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5A559" w14:textId="77777777" w:rsidR="00040C3A" w:rsidRPr="00EC55EA" w:rsidRDefault="00F83617" w:rsidP="00EC55EA">
      <w:pPr>
        <w:jc w:val="both"/>
        <w:rPr>
          <w:rFonts w:asciiTheme="majorHAnsi" w:hAnsiTheme="majorHAnsi" w:cs="Univers"/>
          <w:b/>
          <w:bCs/>
          <w:sz w:val="20"/>
          <w:szCs w:val="20"/>
          <w:lang w:val="es-ES_tradnl"/>
        </w:rPr>
      </w:pPr>
      <w:r>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0EB27690" wp14:editId="6F7B3A04">
                <wp:simplePos x="0" y="0"/>
                <wp:positionH relativeFrom="column">
                  <wp:posOffset>-415925</wp:posOffset>
                </wp:positionH>
                <wp:positionV relativeFrom="paragraph">
                  <wp:posOffset>-356870</wp:posOffset>
                </wp:positionV>
                <wp:extent cx="1409700" cy="8977630"/>
                <wp:effectExtent l="0" t="0" r="0" b="12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8977630"/>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5E117"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" fillcolor="#4a7194" stroked="f" strokeweight="2pt"/>
            </w:pict>
          </mc:Fallback>
        </mc:AlternateContent>
      </w:r>
      <w:r>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656DA522" wp14:editId="3A6508F5">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0F4672" w14:textId="77777777" w:rsidR="00873D49" w:rsidRDefault="00873D49">
                            <w:r>
                              <w:rPr>
                                <w:noProof/>
                              </w:rPr>
                              <w:drawing>
                                <wp:inline distT="0" distB="0" distL="0" distR="0" wp14:anchorId="12DD25F3" wp14:editId="4905A754">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6DA522"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" filled="f" stroked="f" strokeweight=".5pt">
                <v:textbox>
                  <w:txbxContent>
                    <w:p w14:paraId="770F4672" w14:textId="77777777" w:rsidR="00873D49" w:rsidRDefault="00873D49">
                      <w:r>
                        <w:rPr>
                          <w:noProof/>
                        </w:rPr>
                        <w:drawing>
                          <wp:inline distT="0" distB="0" distL="0" distR="0" wp14:anchorId="12DD25F3" wp14:editId="4905A754">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 xml:space="preserve">                                               </w:t>
                      </w:r>
                    </w:p>
                  </w:txbxContent>
                </v:textbox>
              </v:shape>
            </w:pict>
          </mc:Fallback>
        </mc:AlternateContent>
      </w:r>
    </w:p>
    <w:p w14:paraId="27B51FAD" w14:textId="77777777" w:rsidR="00040C3A" w:rsidRPr="00EC55EA" w:rsidRDefault="00040C3A" w:rsidP="00EC55EA">
      <w:pPr>
        <w:tabs>
          <w:tab w:val="center" w:pos="5400"/>
        </w:tabs>
        <w:suppressAutoHyphens/>
        <w:jc w:val="both"/>
        <w:rPr>
          <w:rFonts w:asciiTheme="majorHAnsi" w:hAnsiTheme="majorHAnsi"/>
          <w:sz w:val="20"/>
          <w:szCs w:val="20"/>
          <w:lang w:val="es-ES"/>
        </w:rPr>
      </w:pPr>
    </w:p>
    <w:p w14:paraId="6A8D003E" w14:textId="77777777" w:rsidR="00040C3A" w:rsidRPr="00EC55EA" w:rsidRDefault="00040C3A" w:rsidP="00EC55EA">
      <w:pPr>
        <w:tabs>
          <w:tab w:val="center" w:pos="5400"/>
        </w:tabs>
        <w:suppressAutoHyphens/>
        <w:jc w:val="both"/>
        <w:rPr>
          <w:rFonts w:asciiTheme="majorHAnsi" w:hAnsiTheme="majorHAnsi"/>
          <w:sz w:val="20"/>
          <w:szCs w:val="20"/>
          <w:lang w:val="es-ES"/>
        </w:rPr>
      </w:pPr>
    </w:p>
    <w:p w14:paraId="3E4F46E8" w14:textId="77777777" w:rsidR="005128E4" w:rsidRPr="00EC55EA" w:rsidRDefault="005128E4" w:rsidP="00EC55EA">
      <w:pPr>
        <w:tabs>
          <w:tab w:val="center" w:pos="5400"/>
        </w:tabs>
        <w:suppressAutoHyphens/>
        <w:rPr>
          <w:rFonts w:asciiTheme="majorHAnsi" w:hAnsiTheme="majorHAnsi"/>
          <w:sz w:val="20"/>
          <w:szCs w:val="20"/>
          <w:lang w:val="es-ES_tradnl"/>
        </w:rPr>
      </w:pPr>
    </w:p>
    <w:p w14:paraId="025FF9D8" w14:textId="77777777" w:rsidR="005128E4" w:rsidRPr="00EC55EA" w:rsidRDefault="005128E4" w:rsidP="00EC55EA">
      <w:pPr>
        <w:tabs>
          <w:tab w:val="center" w:pos="5400"/>
        </w:tabs>
        <w:suppressAutoHyphens/>
        <w:rPr>
          <w:rFonts w:asciiTheme="majorHAnsi" w:hAnsiTheme="majorHAnsi"/>
          <w:sz w:val="20"/>
          <w:szCs w:val="20"/>
          <w:lang w:val="es-ES_tradnl"/>
        </w:rPr>
      </w:pPr>
    </w:p>
    <w:p w14:paraId="3700727D" w14:textId="77777777" w:rsidR="005128E4" w:rsidRPr="00EC55EA" w:rsidRDefault="005128E4" w:rsidP="00EC55EA">
      <w:pPr>
        <w:tabs>
          <w:tab w:val="center" w:pos="5400"/>
        </w:tabs>
        <w:suppressAutoHyphens/>
        <w:rPr>
          <w:rFonts w:asciiTheme="majorHAnsi" w:hAnsiTheme="majorHAnsi"/>
          <w:sz w:val="20"/>
          <w:szCs w:val="20"/>
          <w:lang w:val="es-ES_tradnl"/>
        </w:rPr>
      </w:pPr>
    </w:p>
    <w:p w14:paraId="273506E5" w14:textId="77777777" w:rsidR="00040C3A" w:rsidRPr="00EC55EA" w:rsidRDefault="00040C3A" w:rsidP="00EC55EA">
      <w:pPr>
        <w:tabs>
          <w:tab w:val="center" w:pos="5400"/>
        </w:tabs>
        <w:suppressAutoHyphens/>
        <w:jc w:val="center"/>
        <w:rPr>
          <w:rFonts w:asciiTheme="majorHAnsi" w:hAnsiTheme="majorHAnsi"/>
          <w:sz w:val="20"/>
          <w:szCs w:val="20"/>
          <w:lang w:val="es-ES_tradnl"/>
        </w:rPr>
      </w:pPr>
    </w:p>
    <w:p w14:paraId="385655BC" w14:textId="77777777" w:rsidR="00040C3A" w:rsidRPr="00EC55EA" w:rsidRDefault="00F83617" w:rsidP="00EC55EA">
      <w:pPr>
        <w:tabs>
          <w:tab w:val="center" w:pos="5400"/>
        </w:tabs>
        <w:suppressAutoHyphens/>
        <w:jc w:val="center"/>
        <w:rPr>
          <w:rFonts w:asciiTheme="majorHAnsi" w:hAnsiTheme="majorHAnsi"/>
          <w:sz w:val="20"/>
          <w:szCs w:val="20"/>
          <w:lang w:val="es-ES_tradnl"/>
        </w:rPr>
      </w:pPr>
      <w:r>
        <w:rPr>
          <w:rFonts w:asciiTheme="majorHAnsi" w:hAnsiTheme="majorHAnsi"/>
          <w:noProof/>
          <w:sz w:val="20"/>
          <w:szCs w:val="20"/>
        </w:rPr>
        <mc:AlternateContent>
          <mc:Choice Requires="wps">
            <w:drawing>
              <wp:anchor distT="0" distB="0" distL="114300" distR="114300" simplePos="0" relativeHeight="251657216" behindDoc="0" locked="0" layoutInCell="1" allowOverlap="1" wp14:anchorId="51155F4B" wp14:editId="3BF5943E">
                <wp:simplePos x="0" y="0"/>
                <wp:positionH relativeFrom="column">
                  <wp:posOffset>1078230</wp:posOffset>
                </wp:positionH>
                <wp:positionV relativeFrom="paragraph">
                  <wp:posOffset>88900</wp:posOffset>
                </wp:positionV>
                <wp:extent cx="4333875" cy="36779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3875" cy="3677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C7F6F9" w14:textId="77777777" w:rsidR="00873D49" w:rsidRDefault="00873D49" w:rsidP="004B7EB6">
                            <w:pPr>
                              <w:spacing w:line="276" w:lineRule="auto"/>
                              <w:rPr>
                                <w:rFonts w:asciiTheme="majorHAnsi" w:hAnsiTheme="majorHAnsi" w:cs="Arial"/>
                                <w:b/>
                                <w:bCs/>
                                <w:color w:val="0D0D0D" w:themeColor="text1" w:themeTint="F2"/>
                                <w:sz w:val="36"/>
                                <w:szCs w:val="40"/>
                              </w:rPr>
                            </w:pPr>
                          </w:p>
                          <w:p w14:paraId="7D5AA4B1" w14:textId="77777777" w:rsidR="00873D49" w:rsidRDefault="00873D49" w:rsidP="004B7EB6">
                            <w:pPr>
                              <w:spacing w:line="276" w:lineRule="auto"/>
                              <w:rPr>
                                <w:rFonts w:asciiTheme="majorHAnsi" w:hAnsiTheme="majorHAnsi" w:cs="Arial"/>
                                <w:b/>
                                <w:bCs/>
                                <w:color w:val="0D0D0D" w:themeColor="text1" w:themeTint="F2"/>
                                <w:sz w:val="36"/>
                                <w:szCs w:val="40"/>
                              </w:rPr>
                            </w:pPr>
                          </w:p>
                          <w:p w14:paraId="196D0C45" w14:textId="77777777" w:rsidR="00873D49" w:rsidRDefault="00873D49" w:rsidP="004B7EB6">
                            <w:pPr>
                              <w:spacing w:line="276" w:lineRule="auto"/>
                              <w:rPr>
                                <w:rFonts w:asciiTheme="majorHAnsi" w:hAnsiTheme="majorHAnsi" w:cs="Arial"/>
                                <w:b/>
                                <w:bCs/>
                                <w:color w:val="0D0D0D" w:themeColor="text1" w:themeTint="F2"/>
                                <w:sz w:val="36"/>
                                <w:szCs w:val="40"/>
                              </w:rPr>
                            </w:pPr>
                          </w:p>
                          <w:p w14:paraId="077C7130" w14:textId="77777777" w:rsidR="00873D49" w:rsidRDefault="00873D49" w:rsidP="004B7EB6">
                            <w:pPr>
                              <w:spacing w:line="276" w:lineRule="auto"/>
                              <w:rPr>
                                <w:rFonts w:asciiTheme="majorHAnsi" w:hAnsiTheme="majorHAnsi" w:cs="Arial"/>
                                <w:b/>
                                <w:bCs/>
                                <w:color w:val="0D0D0D" w:themeColor="text1" w:themeTint="F2"/>
                                <w:sz w:val="36"/>
                                <w:szCs w:val="40"/>
                              </w:rPr>
                            </w:pPr>
                          </w:p>
                          <w:p w14:paraId="4C0EE1CE" w14:textId="0299977F" w:rsidR="00873D49" w:rsidRPr="006E3733" w:rsidRDefault="00873D49" w:rsidP="004B7EB6">
                            <w:pPr>
                              <w:spacing w:line="276" w:lineRule="auto"/>
                              <w:rPr>
                                <w:rFonts w:asciiTheme="majorHAnsi" w:hAnsiTheme="majorHAnsi" w:cs="Arial"/>
                                <w:b/>
                                <w:bCs/>
                                <w:color w:val="0D0D0D" w:themeColor="text1" w:themeTint="F2"/>
                                <w:sz w:val="36"/>
                                <w:szCs w:val="40"/>
                                <w:lang w:val="es-US"/>
                              </w:rPr>
                            </w:pPr>
                            <w:r w:rsidRPr="006E3733">
                              <w:rPr>
                                <w:rFonts w:asciiTheme="majorHAnsi" w:hAnsiTheme="majorHAnsi" w:cs="Arial"/>
                                <w:b/>
                                <w:bCs/>
                                <w:color w:val="0D0D0D" w:themeColor="text1" w:themeTint="F2"/>
                                <w:sz w:val="36"/>
                                <w:szCs w:val="40"/>
                                <w:lang w:val="es-US"/>
                              </w:rPr>
                              <w:t xml:space="preserve">INFORME No. </w:t>
                            </w:r>
                            <w:r w:rsidR="008379F8" w:rsidRPr="006E3733">
                              <w:rPr>
                                <w:rFonts w:asciiTheme="majorHAnsi" w:hAnsiTheme="majorHAnsi" w:cs="Arial"/>
                                <w:b/>
                                <w:bCs/>
                                <w:color w:val="0D0D0D" w:themeColor="text1" w:themeTint="F2"/>
                                <w:sz w:val="36"/>
                                <w:szCs w:val="40"/>
                                <w:lang w:val="es-US"/>
                              </w:rPr>
                              <w:t>453</w:t>
                            </w:r>
                            <w:r w:rsidRPr="006E3733">
                              <w:rPr>
                                <w:rFonts w:asciiTheme="majorHAnsi" w:hAnsiTheme="majorHAnsi" w:cs="Arial"/>
                                <w:b/>
                                <w:bCs/>
                                <w:color w:val="0D0D0D" w:themeColor="text1" w:themeTint="F2"/>
                                <w:sz w:val="36"/>
                                <w:szCs w:val="40"/>
                                <w:lang w:val="es-US"/>
                              </w:rPr>
                              <w:t>/21</w:t>
                            </w:r>
                          </w:p>
                          <w:p w14:paraId="71F96B7B" w14:textId="77777777" w:rsidR="00873D49" w:rsidRPr="00B443C8" w:rsidRDefault="00873D49" w:rsidP="004B7EB6">
                            <w:pPr>
                              <w:spacing w:line="276" w:lineRule="auto"/>
                              <w:rPr>
                                <w:rFonts w:asciiTheme="majorHAnsi" w:hAnsiTheme="majorHAnsi" w:cs="Arial"/>
                                <w:b/>
                                <w:bCs/>
                                <w:color w:val="0D0D0D" w:themeColor="text1" w:themeTint="F2"/>
                                <w:sz w:val="36"/>
                                <w:szCs w:val="40"/>
                                <w:lang w:val="es-ES"/>
                              </w:rPr>
                            </w:pPr>
                            <w:r w:rsidRPr="00B443C8">
                              <w:rPr>
                                <w:rFonts w:asciiTheme="majorHAnsi" w:hAnsiTheme="majorHAnsi" w:cs="Arial"/>
                                <w:b/>
                                <w:bCs/>
                                <w:color w:val="0D0D0D" w:themeColor="text1" w:themeTint="F2"/>
                                <w:sz w:val="36"/>
                                <w:szCs w:val="40"/>
                                <w:lang w:val="es-ES"/>
                              </w:rPr>
                              <w:t>CASO 13.339</w:t>
                            </w:r>
                          </w:p>
                          <w:p w14:paraId="089D511D" w14:textId="175B5726" w:rsidR="00873D49" w:rsidRPr="00B443C8" w:rsidRDefault="00873D49" w:rsidP="00F45EBF">
                            <w:pPr>
                              <w:spacing w:line="276" w:lineRule="auto"/>
                              <w:rPr>
                                <w:rFonts w:asciiTheme="majorHAnsi" w:hAnsiTheme="majorHAnsi" w:cs="Arial"/>
                                <w:color w:val="0D0D0D" w:themeColor="text1" w:themeTint="F2"/>
                                <w:szCs w:val="22"/>
                                <w:lang w:val="es-ES"/>
                              </w:rPr>
                            </w:pPr>
                            <w:r w:rsidRPr="00B443C8">
                              <w:rPr>
                                <w:rFonts w:asciiTheme="majorHAnsi" w:hAnsiTheme="majorHAnsi" w:cs="Arial"/>
                                <w:color w:val="0D0D0D" w:themeColor="text1" w:themeTint="F2"/>
                                <w:szCs w:val="22"/>
                                <w:lang w:val="es-ES"/>
                              </w:rPr>
                              <w:t>INFORME DE ADMISIBILIDAD Y FONDO</w:t>
                            </w:r>
                            <w:r>
                              <w:rPr>
                                <w:rFonts w:asciiTheme="majorHAnsi" w:hAnsiTheme="majorHAnsi" w:cs="Arial"/>
                                <w:color w:val="0D0D0D" w:themeColor="text1" w:themeTint="F2"/>
                                <w:szCs w:val="22"/>
                                <w:lang w:val="es-ES"/>
                              </w:rPr>
                              <w:t xml:space="preserve"> (</w:t>
                            </w:r>
                            <w:r w:rsidRPr="008379F8">
                              <w:rPr>
                                <w:rFonts w:asciiTheme="majorHAnsi" w:hAnsiTheme="majorHAnsi" w:cs="Arial"/>
                                <w:color w:val="0D0D0D" w:themeColor="text1" w:themeTint="F2"/>
                                <w:szCs w:val="22"/>
                                <w:lang w:val="es-ES"/>
                              </w:rPr>
                              <w:t>PUBLICACIÓN)</w:t>
                            </w:r>
                          </w:p>
                          <w:p w14:paraId="163D69BA" w14:textId="77777777" w:rsidR="00873D49" w:rsidRPr="00B443C8" w:rsidRDefault="00873D49" w:rsidP="004B7EB6">
                            <w:pPr>
                              <w:spacing w:line="276" w:lineRule="auto"/>
                              <w:rPr>
                                <w:rFonts w:asciiTheme="majorHAnsi" w:hAnsiTheme="majorHAnsi" w:cs="Arial"/>
                                <w:color w:val="0D0D0D" w:themeColor="text1" w:themeTint="F2"/>
                                <w:szCs w:val="22"/>
                                <w:lang w:val="es-ES"/>
                              </w:rPr>
                            </w:pPr>
                          </w:p>
                          <w:p w14:paraId="4D0DD425" w14:textId="77777777" w:rsidR="00873D49" w:rsidRPr="00E36893" w:rsidRDefault="00873D49" w:rsidP="004B7EB6">
                            <w:pPr>
                              <w:spacing w:line="276" w:lineRule="auto"/>
                              <w:rPr>
                                <w:rFonts w:asciiTheme="majorHAnsi" w:hAnsiTheme="majorHAnsi" w:cs="Arial"/>
                                <w:color w:val="0D0D0D" w:themeColor="text1" w:themeTint="F2"/>
                                <w:szCs w:val="22"/>
                                <w:lang w:val="es-ES"/>
                              </w:rPr>
                            </w:pPr>
                            <w:r w:rsidRPr="00E36893">
                              <w:rPr>
                                <w:rFonts w:asciiTheme="majorHAnsi" w:hAnsiTheme="majorHAnsi" w:cs="Arial"/>
                                <w:color w:val="0D0D0D" w:themeColor="text1" w:themeTint="F2"/>
                                <w:szCs w:val="22"/>
                                <w:lang w:val="es-ES"/>
                              </w:rPr>
                              <w:t>MANUEL VALLE</w:t>
                            </w:r>
                          </w:p>
                          <w:p w14:paraId="26906589" w14:textId="77777777" w:rsidR="00873D49" w:rsidRPr="00E36893" w:rsidRDefault="00873D49" w:rsidP="008D2EA5">
                            <w:pPr>
                              <w:spacing w:line="276" w:lineRule="auto"/>
                              <w:jc w:val="both"/>
                              <w:rPr>
                                <w:rFonts w:asciiTheme="majorHAnsi" w:hAnsiTheme="majorHAnsi"/>
                                <w:color w:val="0D0D0D" w:themeColor="text1" w:themeTint="F2"/>
                                <w:lang w:val="es-ES"/>
                              </w:rPr>
                            </w:pPr>
                            <w:r w:rsidRPr="00E36893">
                              <w:rPr>
                                <w:rFonts w:asciiTheme="majorHAnsi" w:hAnsiTheme="majorHAnsi" w:cs="Arial"/>
                                <w:color w:val="0D0D0D" w:themeColor="text1" w:themeTint="F2"/>
                                <w:szCs w:val="22"/>
                                <w:lang w:val="es-ES"/>
                              </w:rPr>
                              <w:t>ESTADOS UNIDOS DE AMERICA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155F4B" id="_x0000_t202" coordsize="21600,21600" o:spt="202" path="m,l,21600r21600,l21600,xe">
                <v:stroke joinstyle="miter"/>
                <v:path gradientshapeok="t" o:connecttype="rect"/>
              </v:shapetype>
              <v:shape id="Text Box 5" o:spid="_x0000_s1027" type="#_x0000_t202" style="position:absolute;left:0;text-align:left;margin-left:84.9pt;margin-top:7pt;width:341.25pt;height:28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" filled="f" stroked="f" strokeweight=".5pt">
                <v:textbox>
                  <w:txbxContent>
                    <w:p w14:paraId="67C7F6F9" w14:textId="77777777" w:rsidR="00873D49" w:rsidRDefault="00873D49" w:rsidP="004B7EB6">
                      <w:pPr>
                        <w:spacing w:line="276" w:lineRule="auto"/>
                        <w:rPr>
                          <w:rFonts w:asciiTheme="majorHAnsi" w:hAnsiTheme="majorHAnsi" w:cs="Arial"/>
                          <w:b/>
                          <w:bCs/>
                          <w:color w:val="0D0D0D" w:themeColor="text1" w:themeTint="F2"/>
                          <w:sz w:val="36"/>
                          <w:szCs w:val="40"/>
                        </w:rPr>
                      </w:pPr>
                    </w:p>
                    <w:p w14:paraId="7D5AA4B1" w14:textId="77777777" w:rsidR="00873D49" w:rsidRDefault="00873D49" w:rsidP="004B7EB6">
                      <w:pPr>
                        <w:spacing w:line="276" w:lineRule="auto"/>
                        <w:rPr>
                          <w:rFonts w:asciiTheme="majorHAnsi" w:hAnsiTheme="majorHAnsi" w:cs="Arial"/>
                          <w:b/>
                          <w:bCs/>
                          <w:color w:val="0D0D0D" w:themeColor="text1" w:themeTint="F2"/>
                          <w:sz w:val="36"/>
                          <w:szCs w:val="40"/>
                        </w:rPr>
                      </w:pPr>
                    </w:p>
                    <w:p w14:paraId="196D0C45" w14:textId="77777777" w:rsidR="00873D49" w:rsidRDefault="00873D49" w:rsidP="004B7EB6">
                      <w:pPr>
                        <w:spacing w:line="276" w:lineRule="auto"/>
                        <w:rPr>
                          <w:rFonts w:asciiTheme="majorHAnsi" w:hAnsiTheme="majorHAnsi" w:cs="Arial"/>
                          <w:b/>
                          <w:bCs/>
                          <w:color w:val="0D0D0D" w:themeColor="text1" w:themeTint="F2"/>
                          <w:sz w:val="36"/>
                          <w:szCs w:val="40"/>
                        </w:rPr>
                      </w:pPr>
                    </w:p>
                    <w:p w14:paraId="077C7130" w14:textId="77777777" w:rsidR="00873D49" w:rsidRDefault="00873D49" w:rsidP="004B7EB6">
                      <w:pPr>
                        <w:spacing w:line="276" w:lineRule="auto"/>
                        <w:rPr>
                          <w:rFonts w:asciiTheme="majorHAnsi" w:hAnsiTheme="majorHAnsi" w:cs="Arial"/>
                          <w:b/>
                          <w:bCs/>
                          <w:color w:val="0D0D0D" w:themeColor="text1" w:themeTint="F2"/>
                          <w:sz w:val="36"/>
                          <w:szCs w:val="40"/>
                        </w:rPr>
                      </w:pPr>
                    </w:p>
                    <w:p w14:paraId="4C0EE1CE" w14:textId="0299977F" w:rsidR="00873D49" w:rsidRPr="006E3733" w:rsidRDefault="00873D49" w:rsidP="004B7EB6">
                      <w:pPr>
                        <w:spacing w:line="276" w:lineRule="auto"/>
                        <w:rPr>
                          <w:rFonts w:asciiTheme="majorHAnsi" w:hAnsiTheme="majorHAnsi" w:cs="Arial"/>
                          <w:b/>
                          <w:bCs/>
                          <w:color w:val="0D0D0D" w:themeColor="text1" w:themeTint="F2"/>
                          <w:sz w:val="36"/>
                          <w:szCs w:val="40"/>
                          <w:lang w:val="es-US"/>
                        </w:rPr>
                      </w:pPr>
                      <w:r w:rsidRPr="006E3733">
                        <w:rPr>
                          <w:rFonts w:asciiTheme="majorHAnsi" w:hAnsiTheme="majorHAnsi" w:cs="Arial"/>
                          <w:b/>
                          <w:bCs/>
                          <w:color w:val="0D0D0D" w:themeColor="text1" w:themeTint="F2"/>
                          <w:sz w:val="36"/>
                          <w:szCs w:val="40"/>
                          <w:lang w:val="es-US"/>
                        </w:rPr>
                        <w:t xml:space="preserve">INFORME No. </w:t>
                      </w:r>
                      <w:r w:rsidR="008379F8" w:rsidRPr="006E3733">
                        <w:rPr>
                          <w:rFonts w:asciiTheme="majorHAnsi" w:hAnsiTheme="majorHAnsi" w:cs="Arial"/>
                          <w:b/>
                          <w:bCs/>
                          <w:color w:val="0D0D0D" w:themeColor="text1" w:themeTint="F2"/>
                          <w:sz w:val="36"/>
                          <w:szCs w:val="40"/>
                          <w:lang w:val="es-US"/>
                        </w:rPr>
                        <w:t>453</w:t>
                      </w:r>
                      <w:r w:rsidRPr="006E3733">
                        <w:rPr>
                          <w:rFonts w:asciiTheme="majorHAnsi" w:hAnsiTheme="majorHAnsi" w:cs="Arial"/>
                          <w:b/>
                          <w:bCs/>
                          <w:color w:val="0D0D0D" w:themeColor="text1" w:themeTint="F2"/>
                          <w:sz w:val="36"/>
                          <w:szCs w:val="40"/>
                          <w:lang w:val="es-US"/>
                        </w:rPr>
                        <w:t>/21</w:t>
                      </w:r>
                    </w:p>
                    <w:p w14:paraId="71F96B7B" w14:textId="77777777" w:rsidR="00873D49" w:rsidRPr="00B443C8" w:rsidRDefault="00873D49" w:rsidP="004B7EB6">
                      <w:pPr>
                        <w:spacing w:line="276" w:lineRule="auto"/>
                        <w:rPr>
                          <w:rFonts w:asciiTheme="majorHAnsi" w:hAnsiTheme="majorHAnsi" w:cs="Arial"/>
                          <w:b/>
                          <w:bCs/>
                          <w:color w:val="0D0D0D" w:themeColor="text1" w:themeTint="F2"/>
                          <w:sz w:val="36"/>
                          <w:szCs w:val="40"/>
                          <w:lang w:val="es-ES"/>
                        </w:rPr>
                      </w:pPr>
                      <w:r w:rsidRPr="00B443C8">
                        <w:rPr>
                          <w:rFonts w:asciiTheme="majorHAnsi" w:hAnsiTheme="majorHAnsi" w:cs="Arial"/>
                          <w:b/>
                          <w:bCs/>
                          <w:color w:val="0D0D0D" w:themeColor="text1" w:themeTint="F2"/>
                          <w:sz w:val="36"/>
                          <w:szCs w:val="40"/>
                          <w:lang w:val="es-ES"/>
                        </w:rPr>
                        <w:t>CASO 13.339</w:t>
                      </w:r>
                    </w:p>
                    <w:p w14:paraId="089D511D" w14:textId="175B5726" w:rsidR="00873D49" w:rsidRPr="00B443C8" w:rsidRDefault="00873D49" w:rsidP="00F45EBF">
                      <w:pPr>
                        <w:spacing w:line="276" w:lineRule="auto"/>
                        <w:rPr>
                          <w:rFonts w:asciiTheme="majorHAnsi" w:hAnsiTheme="majorHAnsi" w:cs="Arial"/>
                          <w:color w:val="0D0D0D" w:themeColor="text1" w:themeTint="F2"/>
                          <w:szCs w:val="22"/>
                          <w:lang w:val="es-ES"/>
                        </w:rPr>
                      </w:pPr>
                      <w:r w:rsidRPr="00B443C8">
                        <w:rPr>
                          <w:rFonts w:asciiTheme="majorHAnsi" w:hAnsiTheme="majorHAnsi" w:cs="Arial"/>
                          <w:color w:val="0D0D0D" w:themeColor="text1" w:themeTint="F2"/>
                          <w:szCs w:val="22"/>
                          <w:lang w:val="es-ES"/>
                        </w:rPr>
                        <w:t>INFORME DE ADMISIBILIDAD Y FONDO</w:t>
                      </w:r>
                      <w:r>
                        <w:rPr>
                          <w:rFonts w:asciiTheme="majorHAnsi" w:hAnsiTheme="majorHAnsi" w:cs="Arial"/>
                          <w:color w:val="0D0D0D" w:themeColor="text1" w:themeTint="F2"/>
                          <w:szCs w:val="22"/>
                          <w:lang w:val="es-ES"/>
                        </w:rPr>
                        <w:t xml:space="preserve"> (</w:t>
                      </w:r>
                      <w:r w:rsidRPr="008379F8">
                        <w:rPr>
                          <w:rFonts w:asciiTheme="majorHAnsi" w:hAnsiTheme="majorHAnsi" w:cs="Arial"/>
                          <w:color w:val="0D0D0D" w:themeColor="text1" w:themeTint="F2"/>
                          <w:szCs w:val="22"/>
                          <w:lang w:val="es-ES"/>
                        </w:rPr>
                        <w:t>PUBLICACIÓN)</w:t>
                      </w:r>
                    </w:p>
                    <w:p w14:paraId="163D69BA" w14:textId="77777777" w:rsidR="00873D49" w:rsidRPr="00B443C8" w:rsidRDefault="00873D49" w:rsidP="004B7EB6">
                      <w:pPr>
                        <w:spacing w:line="276" w:lineRule="auto"/>
                        <w:rPr>
                          <w:rFonts w:asciiTheme="majorHAnsi" w:hAnsiTheme="majorHAnsi" w:cs="Arial"/>
                          <w:color w:val="0D0D0D" w:themeColor="text1" w:themeTint="F2"/>
                          <w:szCs w:val="22"/>
                          <w:lang w:val="es-ES"/>
                        </w:rPr>
                      </w:pPr>
                    </w:p>
                    <w:p w14:paraId="4D0DD425" w14:textId="77777777" w:rsidR="00873D49" w:rsidRPr="00E36893" w:rsidRDefault="00873D49" w:rsidP="004B7EB6">
                      <w:pPr>
                        <w:spacing w:line="276" w:lineRule="auto"/>
                        <w:rPr>
                          <w:rFonts w:asciiTheme="majorHAnsi" w:hAnsiTheme="majorHAnsi" w:cs="Arial"/>
                          <w:color w:val="0D0D0D" w:themeColor="text1" w:themeTint="F2"/>
                          <w:szCs w:val="22"/>
                          <w:lang w:val="es-ES"/>
                        </w:rPr>
                      </w:pPr>
                      <w:r w:rsidRPr="00E36893">
                        <w:rPr>
                          <w:rFonts w:asciiTheme="majorHAnsi" w:hAnsiTheme="majorHAnsi" w:cs="Arial"/>
                          <w:color w:val="0D0D0D" w:themeColor="text1" w:themeTint="F2"/>
                          <w:szCs w:val="22"/>
                          <w:lang w:val="es-ES"/>
                        </w:rPr>
                        <w:t>MANUEL VALLE</w:t>
                      </w:r>
                    </w:p>
                    <w:p w14:paraId="26906589" w14:textId="77777777" w:rsidR="00873D49" w:rsidRPr="00E36893" w:rsidRDefault="00873D49" w:rsidP="008D2EA5">
                      <w:pPr>
                        <w:spacing w:line="276" w:lineRule="auto"/>
                        <w:jc w:val="both"/>
                        <w:rPr>
                          <w:rFonts w:asciiTheme="majorHAnsi" w:hAnsiTheme="majorHAnsi"/>
                          <w:color w:val="0D0D0D" w:themeColor="text1" w:themeTint="F2"/>
                          <w:lang w:val="es-ES"/>
                        </w:rPr>
                      </w:pPr>
                      <w:r w:rsidRPr="00E36893">
                        <w:rPr>
                          <w:rFonts w:asciiTheme="majorHAnsi" w:hAnsiTheme="majorHAnsi" w:cs="Arial"/>
                          <w:color w:val="0D0D0D" w:themeColor="text1" w:themeTint="F2"/>
                          <w:szCs w:val="22"/>
                          <w:lang w:val="es-ES"/>
                        </w:rPr>
                        <w:t>ESTADOS UNIDOS DE AMERICA</w:t>
                      </w:r>
                    </w:p>
                  </w:txbxContent>
                </v:textbox>
              </v:shape>
            </w:pict>
          </mc:Fallback>
        </mc:AlternateContent>
      </w:r>
    </w:p>
    <w:p w14:paraId="6323DF44" w14:textId="77777777" w:rsidR="005B52B0" w:rsidRPr="00EC55EA" w:rsidRDefault="005B52B0" w:rsidP="00EC55EA">
      <w:pPr>
        <w:tabs>
          <w:tab w:val="center" w:pos="5400"/>
        </w:tabs>
        <w:suppressAutoHyphens/>
        <w:jc w:val="center"/>
        <w:rPr>
          <w:rFonts w:asciiTheme="majorHAnsi" w:hAnsiTheme="majorHAnsi"/>
          <w:sz w:val="20"/>
          <w:szCs w:val="20"/>
          <w:lang w:val="es-ES_tradnl"/>
        </w:rPr>
      </w:pPr>
    </w:p>
    <w:p w14:paraId="723928F7" w14:textId="77777777" w:rsidR="005B52B0" w:rsidRPr="00EC55EA" w:rsidRDefault="005B52B0" w:rsidP="00EC55EA">
      <w:pPr>
        <w:tabs>
          <w:tab w:val="center" w:pos="5400"/>
        </w:tabs>
        <w:suppressAutoHyphens/>
        <w:jc w:val="center"/>
        <w:rPr>
          <w:rFonts w:asciiTheme="majorHAnsi" w:hAnsiTheme="majorHAnsi"/>
          <w:sz w:val="20"/>
          <w:szCs w:val="20"/>
          <w:lang w:val="es-ES_tradnl"/>
        </w:rPr>
      </w:pPr>
    </w:p>
    <w:p w14:paraId="15E56FD6" w14:textId="77777777" w:rsidR="005B52B0" w:rsidRPr="00EC55EA" w:rsidRDefault="005B52B0" w:rsidP="00EC55EA">
      <w:pPr>
        <w:tabs>
          <w:tab w:val="center" w:pos="5400"/>
        </w:tabs>
        <w:suppressAutoHyphens/>
        <w:jc w:val="center"/>
        <w:rPr>
          <w:rFonts w:asciiTheme="majorHAnsi" w:hAnsiTheme="majorHAnsi"/>
          <w:sz w:val="20"/>
          <w:szCs w:val="20"/>
          <w:lang w:val="es-ES_tradnl"/>
        </w:rPr>
      </w:pPr>
    </w:p>
    <w:p w14:paraId="1E0031FF" w14:textId="77777777" w:rsidR="00040C3A" w:rsidRPr="00EC55EA" w:rsidRDefault="00040C3A" w:rsidP="00EC55EA">
      <w:pPr>
        <w:tabs>
          <w:tab w:val="center" w:pos="5400"/>
        </w:tabs>
        <w:suppressAutoHyphens/>
        <w:jc w:val="center"/>
        <w:rPr>
          <w:rFonts w:asciiTheme="majorHAnsi" w:hAnsiTheme="majorHAnsi"/>
          <w:sz w:val="20"/>
          <w:szCs w:val="20"/>
          <w:lang w:val="es-ES_tradnl"/>
        </w:rPr>
      </w:pPr>
    </w:p>
    <w:p w14:paraId="088AC188" w14:textId="77777777" w:rsidR="00040C3A" w:rsidRPr="00EC55EA" w:rsidRDefault="00040C3A" w:rsidP="00EC55EA">
      <w:pPr>
        <w:tabs>
          <w:tab w:val="center" w:pos="5400"/>
        </w:tabs>
        <w:suppressAutoHyphens/>
        <w:jc w:val="center"/>
        <w:rPr>
          <w:rFonts w:asciiTheme="majorHAnsi" w:hAnsiTheme="majorHAnsi"/>
          <w:sz w:val="20"/>
          <w:szCs w:val="20"/>
          <w:lang w:val="es-ES_tradnl"/>
        </w:rPr>
      </w:pPr>
    </w:p>
    <w:p w14:paraId="4E2F333B" w14:textId="77777777" w:rsidR="00040C3A" w:rsidRPr="00EC55EA" w:rsidRDefault="00040C3A" w:rsidP="00EC55EA">
      <w:pPr>
        <w:tabs>
          <w:tab w:val="center" w:pos="5400"/>
        </w:tabs>
        <w:suppressAutoHyphens/>
        <w:jc w:val="center"/>
        <w:rPr>
          <w:rFonts w:asciiTheme="majorHAnsi" w:hAnsiTheme="majorHAnsi"/>
          <w:sz w:val="20"/>
          <w:szCs w:val="20"/>
          <w:lang w:val="es-ES_tradnl"/>
        </w:rPr>
      </w:pPr>
    </w:p>
    <w:p w14:paraId="03CD3A73" w14:textId="77777777" w:rsidR="00040C3A" w:rsidRPr="00EC55EA" w:rsidRDefault="00040C3A" w:rsidP="00EC55EA">
      <w:pPr>
        <w:tabs>
          <w:tab w:val="center" w:pos="5400"/>
        </w:tabs>
        <w:suppressAutoHyphens/>
        <w:jc w:val="center"/>
        <w:rPr>
          <w:rFonts w:asciiTheme="majorHAnsi" w:hAnsiTheme="majorHAnsi"/>
          <w:sz w:val="20"/>
          <w:szCs w:val="20"/>
          <w:lang w:val="es-ES_tradnl"/>
        </w:rPr>
      </w:pPr>
    </w:p>
    <w:p w14:paraId="73480359" w14:textId="77777777" w:rsidR="00040C3A" w:rsidRPr="00EC55EA" w:rsidRDefault="00F83617" w:rsidP="00EC55EA">
      <w:pPr>
        <w:tabs>
          <w:tab w:val="center" w:pos="5400"/>
        </w:tabs>
        <w:suppressAutoHyphens/>
        <w:jc w:val="center"/>
        <w:rPr>
          <w:rFonts w:asciiTheme="majorHAnsi" w:hAnsiTheme="majorHAnsi"/>
          <w:sz w:val="20"/>
          <w:szCs w:val="20"/>
          <w:lang w:val="es-ES_tradnl"/>
        </w:rPr>
      </w:pPr>
      <w:r>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5744D9C0" wp14:editId="076282AE">
                <wp:simplePos x="0" y="0"/>
                <wp:positionH relativeFrom="column">
                  <wp:posOffset>-370205</wp:posOffset>
                </wp:positionH>
                <wp:positionV relativeFrom="paragraph">
                  <wp:posOffset>43180</wp:posOffset>
                </wp:positionV>
                <wp:extent cx="1334135" cy="83502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135" cy="835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E8AFE0" w14:textId="06954CC3" w:rsidR="00873D49" w:rsidRPr="005F55DC" w:rsidRDefault="00873D49" w:rsidP="002C1641">
                            <w:pPr>
                              <w:jc w:val="right"/>
                              <w:rPr>
                                <w:rFonts w:asciiTheme="minorHAnsi" w:hAnsiTheme="minorHAnsi"/>
                                <w:color w:val="FFFFFF" w:themeColor="background1"/>
                                <w:sz w:val="22"/>
                                <w:lang w:val="es-CO"/>
                              </w:rPr>
                            </w:pPr>
                            <w:r w:rsidRPr="005F55DC">
                              <w:rPr>
                                <w:rFonts w:asciiTheme="minorHAnsi" w:hAnsiTheme="minorHAnsi"/>
                                <w:color w:val="FFFFFF" w:themeColor="background1"/>
                                <w:sz w:val="22"/>
                                <w:lang w:val="es-CO"/>
                              </w:rPr>
                              <w:t>OEA/</w:t>
                            </w:r>
                            <w:proofErr w:type="spellStart"/>
                            <w:r w:rsidRPr="005F55DC">
                              <w:rPr>
                                <w:rFonts w:asciiTheme="minorHAnsi" w:hAnsiTheme="minorHAnsi"/>
                                <w:color w:val="FFFFFF" w:themeColor="background1"/>
                                <w:sz w:val="22"/>
                                <w:lang w:val="es-CO"/>
                              </w:rPr>
                              <w:t>Ser.L</w:t>
                            </w:r>
                            <w:proofErr w:type="spellEnd"/>
                            <w:r w:rsidRPr="005F55DC">
                              <w:rPr>
                                <w:rFonts w:asciiTheme="minorHAnsi" w:hAnsiTheme="minorHAnsi"/>
                                <w:color w:val="FFFFFF" w:themeColor="background1"/>
                                <w:sz w:val="22"/>
                                <w:lang w:val="es-CO"/>
                              </w:rPr>
                              <w:t>/V/II</w:t>
                            </w:r>
                          </w:p>
                          <w:p w14:paraId="6AAFDFDE" w14:textId="71F63A76" w:rsidR="00873D49" w:rsidRPr="00E36893" w:rsidRDefault="00873D49" w:rsidP="002C1641">
                            <w:pPr>
                              <w:jc w:val="right"/>
                              <w:rPr>
                                <w:rFonts w:asciiTheme="minorHAnsi" w:hAnsiTheme="minorHAnsi"/>
                                <w:color w:val="FFFFFF" w:themeColor="background1"/>
                                <w:sz w:val="22"/>
                                <w:lang w:val="es-ES"/>
                              </w:rPr>
                            </w:pPr>
                            <w:r w:rsidRPr="00E36893">
                              <w:rPr>
                                <w:rFonts w:asciiTheme="minorHAnsi" w:hAnsiTheme="minorHAnsi"/>
                                <w:color w:val="FFFFFF" w:themeColor="background1"/>
                                <w:sz w:val="22"/>
                                <w:lang w:val="es-ES"/>
                              </w:rPr>
                              <w:t xml:space="preserve">Doc. </w:t>
                            </w:r>
                            <w:r w:rsidR="008379F8">
                              <w:rPr>
                                <w:rFonts w:asciiTheme="minorHAnsi" w:hAnsiTheme="minorHAnsi"/>
                                <w:color w:val="FFFFFF" w:themeColor="background1"/>
                                <w:sz w:val="22"/>
                                <w:lang w:val="es-ES"/>
                              </w:rPr>
                              <w:t>467</w:t>
                            </w:r>
                          </w:p>
                          <w:p w14:paraId="782C2A07" w14:textId="77890E45" w:rsidR="00873D49" w:rsidRPr="00B443C8" w:rsidRDefault="008379F8" w:rsidP="002C1641">
                            <w:pPr>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31</w:t>
                            </w:r>
                            <w:r w:rsidR="00873D49" w:rsidRPr="00B443C8">
                              <w:rPr>
                                <w:rFonts w:asciiTheme="minorHAnsi" w:hAnsiTheme="minorHAnsi"/>
                                <w:color w:val="FFFFFF" w:themeColor="background1"/>
                                <w:sz w:val="22"/>
                                <w:lang w:val="es-ES"/>
                              </w:rPr>
                              <w:t xml:space="preserve"> </w:t>
                            </w:r>
                            <w:r w:rsidR="00873D49">
                              <w:rPr>
                                <w:rFonts w:asciiTheme="minorHAnsi" w:hAnsiTheme="minorHAnsi"/>
                                <w:color w:val="FFFFFF" w:themeColor="background1"/>
                                <w:sz w:val="22"/>
                                <w:lang w:val="es-ES"/>
                              </w:rPr>
                              <w:t>diciembre</w:t>
                            </w:r>
                            <w:r w:rsidR="00873D49" w:rsidRPr="00B443C8">
                              <w:rPr>
                                <w:rFonts w:asciiTheme="minorHAnsi" w:hAnsiTheme="minorHAnsi"/>
                                <w:color w:val="FFFFFF" w:themeColor="background1"/>
                                <w:sz w:val="22"/>
                                <w:lang w:val="es-ES"/>
                              </w:rPr>
                              <w:t xml:space="preserve"> 202</w:t>
                            </w:r>
                            <w:r w:rsidR="00873D49">
                              <w:rPr>
                                <w:rFonts w:asciiTheme="minorHAnsi" w:hAnsiTheme="minorHAnsi"/>
                                <w:color w:val="FFFFFF" w:themeColor="background1"/>
                                <w:sz w:val="22"/>
                                <w:lang w:val="es-ES"/>
                              </w:rPr>
                              <w:t>1</w:t>
                            </w:r>
                          </w:p>
                          <w:p w14:paraId="51553B57" w14:textId="77777777" w:rsidR="00873D49" w:rsidRPr="00B443C8" w:rsidRDefault="00873D49" w:rsidP="002C1641">
                            <w:pPr>
                              <w:jc w:val="right"/>
                              <w:rPr>
                                <w:rFonts w:asciiTheme="minorHAnsi" w:hAnsiTheme="minorHAnsi"/>
                                <w:color w:val="FFFFFF" w:themeColor="background1"/>
                                <w:sz w:val="22"/>
                                <w:lang w:val="es-ES"/>
                              </w:rPr>
                            </w:pPr>
                            <w:r w:rsidRPr="00B443C8">
                              <w:rPr>
                                <w:rFonts w:asciiTheme="minorHAnsi" w:hAnsiTheme="minorHAnsi"/>
                                <w:color w:val="FFFFFF" w:themeColor="background1"/>
                                <w:sz w:val="22"/>
                                <w:lang w:val="es-ES"/>
                              </w:rPr>
                              <w:t>Original: ingl</w:t>
                            </w:r>
                            <w:r>
                              <w:rPr>
                                <w:rFonts w:asciiTheme="minorHAnsi" w:hAnsiTheme="minorHAnsi"/>
                                <w:color w:val="FFFFFF" w:themeColor="background1"/>
                                <w:sz w:val="22"/>
                                <w:lang w:val="es-ES"/>
                              </w:rPr>
                              <w:t>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4D9C0" id="Text Box 8" o:spid="_x0000_s1028" type="#_x0000_t202" style="position:absolute;left:0;text-align:left;margin-left:-29.15pt;margin-top:3.4pt;width:105.05pt;height:6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" filled="f" stroked="f" strokeweight=".5pt">
                <v:textbox>
                  <w:txbxContent>
                    <w:p w14:paraId="25E8AFE0" w14:textId="06954CC3" w:rsidR="00873D49" w:rsidRPr="005F55DC" w:rsidRDefault="00873D49" w:rsidP="002C1641">
                      <w:pPr>
                        <w:jc w:val="right"/>
                        <w:rPr>
                          <w:rFonts w:asciiTheme="minorHAnsi" w:hAnsiTheme="minorHAnsi"/>
                          <w:color w:val="FFFFFF" w:themeColor="background1"/>
                          <w:sz w:val="22"/>
                          <w:lang w:val="es-CO"/>
                        </w:rPr>
                      </w:pPr>
                      <w:r w:rsidRPr="005F55DC">
                        <w:rPr>
                          <w:rFonts w:asciiTheme="minorHAnsi" w:hAnsiTheme="minorHAnsi"/>
                          <w:color w:val="FFFFFF" w:themeColor="background1"/>
                          <w:sz w:val="22"/>
                          <w:lang w:val="es-CO"/>
                        </w:rPr>
                        <w:t>OEA/Ser.L/V/II</w:t>
                      </w:r>
                    </w:p>
                    <w:p w14:paraId="6AAFDFDE" w14:textId="71F63A76" w:rsidR="00873D49" w:rsidRPr="00E36893" w:rsidRDefault="00873D49" w:rsidP="002C1641">
                      <w:pPr>
                        <w:jc w:val="right"/>
                        <w:rPr>
                          <w:rFonts w:asciiTheme="minorHAnsi" w:hAnsiTheme="minorHAnsi"/>
                          <w:color w:val="FFFFFF" w:themeColor="background1"/>
                          <w:sz w:val="22"/>
                          <w:lang w:val="es-ES"/>
                        </w:rPr>
                      </w:pPr>
                      <w:r w:rsidRPr="00E36893">
                        <w:rPr>
                          <w:rFonts w:asciiTheme="minorHAnsi" w:hAnsiTheme="minorHAnsi"/>
                          <w:color w:val="FFFFFF" w:themeColor="background1"/>
                          <w:sz w:val="22"/>
                          <w:lang w:val="es-ES"/>
                        </w:rPr>
                        <w:t xml:space="preserve">Doc. </w:t>
                      </w:r>
                      <w:r w:rsidR="008379F8">
                        <w:rPr>
                          <w:rFonts w:asciiTheme="minorHAnsi" w:hAnsiTheme="minorHAnsi"/>
                          <w:color w:val="FFFFFF" w:themeColor="background1"/>
                          <w:sz w:val="22"/>
                          <w:lang w:val="es-ES"/>
                        </w:rPr>
                        <w:t>467</w:t>
                      </w:r>
                    </w:p>
                    <w:p w14:paraId="782C2A07" w14:textId="77890E45" w:rsidR="00873D49" w:rsidRPr="00B443C8" w:rsidRDefault="008379F8" w:rsidP="002C1641">
                      <w:pPr>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31</w:t>
                      </w:r>
                      <w:r w:rsidR="00873D49" w:rsidRPr="00B443C8">
                        <w:rPr>
                          <w:rFonts w:asciiTheme="minorHAnsi" w:hAnsiTheme="minorHAnsi"/>
                          <w:color w:val="FFFFFF" w:themeColor="background1"/>
                          <w:sz w:val="22"/>
                          <w:lang w:val="es-ES"/>
                        </w:rPr>
                        <w:t xml:space="preserve"> </w:t>
                      </w:r>
                      <w:r w:rsidR="00873D49">
                        <w:rPr>
                          <w:rFonts w:asciiTheme="minorHAnsi" w:hAnsiTheme="minorHAnsi"/>
                          <w:color w:val="FFFFFF" w:themeColor="background1"/>
                          <w:sz w:val="22"/>
                          <w:lang w:val="es-ES"/>
                        </w:rPr>
                        <w:t>diciembre</w:t>
                      </w:r>
                      <w:r w:rsidR="00873D49" w:rsidRPr="00B443C8">
                        <w:rPr>
                          <w:rFonts w:asciiTheme="minorHAnsi" w:hAnsiTheme="minorHAnsi"/>
                          <w:color w:val="FFFFFF" w:themeColor="background1"/>
                          <w:sz w:val="22"/>
                          <w:lang w:val="es-ES"/>
                        </w:rPr>
                        <w:t xml:space="preserve"> 202</w:t>
                      </w:r>
                      <w:r w:rsidR="00873D49">
                        <w:rPr>
                          <w:rFonts w:asciiTheme="minorHAnsi" w:hAnsiTheme="minorHAnsi"/>
                          <w:color w:val="FFFFFF" w:themeColor="background1"/>
                          <w:sz w:val="22"/>
                          <w:lang w:val="es-ES"/>
                        </w:rPr>
                        <w:t>1</w:t>
                      </w:r>
                    </w:p>
                    <w:p w14:paraId="51553B57" w14:textId="77777777" w:rsidR="00873D49" w:rsidRPr="00B443C8" w:rsidRDefault="00873D49" w:rsidP="002C1641">
                      <w:pPr>
                        <w:jc w:val="right"/>
                        <w:rPr>
                          <w:rFonts w:asciiTheme="minorHAnsi" w:hAnsiTheme="minorHAnsi"/>
                          <w:color w:val="FFFFFF" w:themeColor="background1"/>
                          <w:sz w:val="22"/>
                          <w:lang w:val="es-ES"/>
                        </w:rPr>
                      </w:pPr>
                      <w:r w:rsidRPr="00B443C8">
                        <w:rPr>
                          <w:rFonts w:asciiTheme="minorHAnsi" w:hAnsiTheme="minorHAnsi"/>
                          <w:color w:val="FFFFFF" w:themeColor="background1"/>
                          <w:sz w:val="22"/>
                          <w:lang w:val="es-ES"/>
                        </w:rPr>
                        <w:t>Original: ingl</w:t>
                      </w:r>
                      <w:r>
                        <w:rPr>
                          <w:rFonts w:asciiTheme="minorHAnsi" w:hAnsiTheme="minorHAnsi"/>
                          <w:color w:val="FFFFFF" w:themeColor="background1"/>
                          <w:sz w:val="22"/>
                          <w:lang w:val="es-ES"/>
                        </w:rPr>
                        <w:t>és</w:t>
                      </w:r>
                    </w:p>
                  </w:txbxContent>
                </v:textbox>
              </v:shape>
            </w:pict>
          </mc:Fallback>
        </mc:AlternateContent>
      </w:r>
    </w:p>
    <w:p w14:paraId="2CB568AA" w14:textId="77777777" w:rsidR="00040C3A" w:rsidRPr="00EC55EA" w:rsidRDefault="00040C3A" w:rsidP="00EC55EA">
      <w:pPr>
        <w:tabs>
          <w:tab w:val="center" w:pos="5400"/>
        </w:tabs>
        <w:suppressAutoHyphens/>
        <w:jc w:val="center"/>
        <w:rPr>
          <w:rFonts w:asciiTheme="majorHAnsi" w:hAnsiTheme="majorHAnsi" w:cs="Arial"/>
          <w:sz w:val="20"/>
          <w:szCs w:val="20"/>
          <w:lang w:val="es-ES_tradnl"/>
        </w:rPr>
      </w:pPr>
    </w:p>
    <w:p w14:paraId="467D1AFF" w14:textId="77777777" w:rsidR="00040C3A" w:rsidRPr="00EC55EA" w:rsidRDefault="00040C3A" w:rsidP="00EC55EA">
      <w:pPr>
        <w:tabs>
          <w:tab w:val="center" w:pos="5400"/>
        </w:tabs>
        <w:suppressAutoHyphens/>
        <w:jc w:val="center"/>
        <w:rPr>
          <w:rFonts w:asciiTheme="majorHAnsi" w:hAnsiTheme="majorHAnsi"/>
          <w:sz w:val="20"/>
          <w:szCs w:val="20"/>
          <w:lang w:val="es-ES_tradnl"/>
        </w:rPr>
      </w:pPr>
    </w:p>
    <w:p w14:paraId="48818F4A" w14:textId="77777777" w:rsidR="00040C3A" w:rsidRPr="00EC55EA" w:rsidRDefault="00040C3A" w:rsidP="00EC55EA">
      <w:pPr>
        <w:tabs>
          <w:tab w:val="center" w:pos="5400"/>
        </w:tabs>
        <w:suppressAutoHyphens/>
        <w:jc w:val="center"/>
        <w:rPr>
          <w:rFonts w:asciiTheme="majorHAnsi" w:hAnsiTheme="majorHAnsi"/>
          <w:sz w:val="20"/>
          <w:szCs w:val="20"/>
          <w:lang w:val="es-ES_tradnl"/>
        </w:rPr>
      </w:pPr>
    </w:p>
    <w:p w14:paraId="2D62DDE1" w14:textId="77777777" w:rsidR="00040C3A" w:rsidRPr="00EC55EA" w:rsidRDefault="00040C3A" w:rsidP="00EC55EA">
      <w:pPr>
        <w:tabs>
          <w:tab w:val="center" w:pos="5400"/>
        </w:tabs>
        <w:suppressAutoHyphens/>
        <w:jc w:val="center"/>
        <w:rPr>
          <w:rFonts w:asciiTheme="majorHAnsi" w:hAnsiTheme="majorHAnsi"/>
          <w:sz w:val="20"/>
          <w:szCs w:val="20"/>
          <w:lang w:val="es-ES_tradnl"/>
        </w:rPr>
      </w:pPr>
    </w:p>
    <w:p w14:paraId="44E6CBF7" w14:textId="77777777" w:rsidR="00040C3A" w:rsidRPr="00EC55EA" w:rsidRDefault="00040C3A" w:rsidP="00EC55EA">
      <w:pPr>
        <w:tabs>
          <w:tab w:val="center" w:pos="5400"/>
        </w:tabs>
        <w:suppressAutoHyphens/>
        <w:jc w:val="center"/>
        <w:rPr>
          <w:rFonts w:asciiTheme="majorHAnsi" w:hAnsiTheme="majorHAnsi"/>
          <w:sz w:val="20"/>
          <w:szCs w:val="20"/>
          <w:lang w:val="es-ES_tradnl"/>
        </w:rPr>
      </w:pPr>
    </w:p>
    <w:p w14:paraId="652BAAA7" w14:textId="77777777" w:rsidR="005128E4" w:rsidRPr="00EC55EA" w:rsidRDefault="005128E4" w:rsidP="00EC55EA">
      <w:pPr>
        <w:tabs>
          <w:tab w:val="center" w:pos="5400"/>
        </w:tabs>
        <w:suppressAutoHyphens/>
        <w:jc w:val="center"/>
        <w:rPr>
          <w:rFonts w:asciiTheme="majorHAnsi" w:hAnsiTheme="majorHAnsi"/>
          <w:sz w:val="20"/>
          <w:szCs w:val="20"/>
          <w:lang w:val="es-ES_tradnl"/>
        </w:rPr>
      </w:pPr>
    </w:p>
    <w:p w14:paraId="573EC666" w14:textId="77777777" w:rsidR="00040C3A" w:rsidRPr="00EC55EA" w:rsidRDefault="00040C3A" w:rsidP="00EC55EA">
      <w:pPr>
        <w:tabs>
          <w:tab w:val="center" w:pos="5400"/>
        </w:tabs>
        <w:suppressAutoHyphens/>
        <w:jc w:val="center"/>
        <w:rPr>
          <w:rFonts w:asciiTheme="majorHAnsi" w:hAnsiTheme="majorHAnsi"/>
          <w:sz w:val="20"/>
          <w:szCs w:val="20"/>
          <w:lang w:val="es-ES_tradnl"/>
        </w:rPr>
      </w:pPr>
    </w:p>
    <w:p w14:paraId="1E4E08F4" w14:textId="77777777" w:rsidR="005128E4" w:rsidRPr="00EC55EA" w:rsidRDefault="005128E4" w:rsidP="00EC55EA">
      <w:pPr>
        <w:tabs>
          <w:tab w:val="center" w:pos="5400"/>
        </w:tabs>
        <w:suppressAutoHyphens/>
        <w:jc w:val="center"/>
        <w:rPr>
          <w:rFonts w:asciiTheme="majorHAnsi" w:hAnsiTheme="majorHAnsi"/>
          <w:sz w:val="20"/>
          <w:szCs w:val="20"/>
          <w:lang w:val="es-ES_tradnl"/>
        </w:rPr>
      </w:pPr>
    </w:p>
    <w:p w14:paraId="32BA4093" w14:textId="77777777" w:rsidR="005128E4" w:rsidRPr="00EC55EA" w:rsidRDefault="005128E4" w:rsidP="00EC55EA">
      <w:pPr>
        <w:tabs>
          <w:tab w:val="center" w:pos="5400"/>
        </w:tabs>
        <w:suppressAutoHyphens/>
        <w:jc w:val="center"/>
        <w:rPr>
          <w:rFonts w:asciiTheme="majorHAnsi" w:hAnsiTheme="majorHAnsi"/>
          <w:sz w:val="20"/>
          <w:szCs w:val="20"/>
          <w:lang w:val="es-ES_tradnl"/>
        </w:rPr>
      </w:pPr>
    </w:p>
    <w:p w14:paraId="2E4C0944" w14:textId="77777777" w:rsidR="005128E4" w:rsidRPr="00EC55EA" w:rsidRDefault="005128E4" w:rsidP="00EC55EA">
      <w:pPr>
        <w:tabs>
          <w:tab w:val="center" w:pos="5400"/>
        </w:tabs>
        <w:suppressAutoHyphens/>
        <w:jc w:val="center"/>
        <w:rPr>
          <w:rFonts w:asciiTheme="majorHAnsi" w:hAnsiTheme="majorHAnsi"/>
          <w:sz w:val="20"/>
          <w:szCs w:val="20"/>
          <w:lang w:val="es-ES_tradnl"/>
        </w:rPr>
      </w:pPr>
    </w:p>
    <w:p w14:paraId="360C4295" w14:textId="77777777" w:rsidR="00040C3A" w:rsidRPr="00EC55EA" w:rsidRDefault="00040C3A" w:rsidP="00EC55EA">
      <w:pPr>
        <w:tabs>
          <w:tab w:val="center" w:pos="5400"/>
        </w:tabs>
        <w:suppressAutoHyphens/>
        <w:jc w:val="center"/>
        <w:rPr>
          <w:rFonts w:asciiTheme="majorHAnsi" w:hAnsiTheme="majorHAnsi"/>
          <w:sz w:val="20"/>
          <w:szCs w:val="20"/>
          <w:lang w:val="es-ES_tradnl"/>
        </w:rPr>
      </w:pPr>
    </w:p>
    <w:p w14:paraId="0F630F8B" w14:textId="77777777" w:rsidR="00040C3A" w:rsidRPr="00EC55EA" w:rsidRDefault="00040C3A" w:rsidP="00EC55EA">
      <w:pPr>
        <w:tabs>
          <w:tab w:val="center" w:pos="5400"/>
        </w:tabs>
        <w:suppressAutoHyphens/>
        <w:jc w:val="center"/>
        <w:rPr>
          <w:rFonts w:asciiTheme="majorHAnsi" w:hAnsiTheme="majorHAnsi"/>
          <w:sz w:val="20"/>
          <w:szCs w:val="20"/>
          <w:lang w:val="es-ES_tradnl"/>
        </w:rPr>
      </w:pPr>
    </w:p>
    <w:p w14:paraId="665810EC" w14:textId="77777777" w:rsidR="002C1641" w:rsidRPr="00EC55EA" w:rsidRDefault="002C1641" w:rsidP="00EC55EA">
      <w:pPr>
        <w:tabs>
          <w:tab w:val="center" w:pos="5400"/>
        </w:tabs>
        <w:suppressAutoHyphens/>
        <w:jc w:val="center"/>
        <w:rPr>
          <w:rFonts w:asciiTheme="majorHAnsi" w:hAnsiTheme="majorHAnsi"/>
          <w:sz w:val="20"/>
          <w:szCs w:val="20"/>
          <w:lang w:val="es-ES_tradnl"/>
        </w:rPr>
      </w:pPr>
    </w:p>
    <w:p w14:paraId="5B8E2E3C" w14:textId="77777777" w:rsidR="002C1641" w:rsidRPr="00EC55EA" w:rsidRDefault="002C1641" w:rsidP="00EC55EA">
      <w:pPr>
        <w:tabs>
          <w:tab w:val="center" w:pos="5400"/>
        </w:tabs>
        <w:suppressAutoHyphens/>
        <w:jc w:val="center"/>
        <w:rPr>
          <w:rFonts w:asciiTheme="majorHAnsi" w:hAnsiTheme="majorHAnsi"/>
          <w:sz w:val="20"/>
          <w:szCs w:val="20"/>
          <w:lang w:val="es-ES_tradnl"/>
        </w:rPr>
      </w:pPr>
    </w:p>
    <w:p w14:paraId="7890A157" w14:textId="77777777" w:rsidR="002C1641" w:rsidRPr="00EC55EA" w:rsidRDefault="002C1641" w:rsidP="00EC55EA">
      <w:pPr>
        <w:tabs>
          <w:tab w:val="center" w:pos="5400"/>
        </w:tabs>
        <w:suppressAutoHyphens/>
        <w:jc w:val="center"/>
        <w:rPr>
          <w:rFonts w:asciiTheme="majorHAnsi" w:hAnsiTheme="majorHAnsi"/>
          <w:sz w:val="20"/>
          <w:szCs w:val="20"/>
          <w:lang w:val="es-ES_tradnl"/>
        </w:rPr>
      </w:pPr>
    </w:p>
    <w:p w14:paraId="5F8A75DF" w14:textId="77777777" w:rsidR="002C1641" w:rsidRPr="00EC55EA" w:rsidRDefault="002C1641" w:rsidP="00EC55EA">
      <w:pPr>
        <w:tabs>
          <w:tab w:val="center" w:pos="5400"/>
        </w:tabs>
        <w:suppressAutoHyphens/>
        <w:jc w:val="center"/>
        <w:rPr>
          <w:rFonts w:asciiTheme="majorHAnsi" w:hAnsiTheme="majorHAnsi"/>
          <w:sz w:val="20"/>
          <w:szCs w:val="20"/>
          <w:lang w:val="es-ES_tradnl"/>
        </w:rPr>
      </w:pPr>
    </w:p>
    <w:p w14:paraId="5DD8E22C" w14:textId="77777777" w:rsidR="002C1641" w:rsidRPr="00EC55EA" w:rsidRDefault="002C1641" w:rsidP="00EC55EA">
      <w:pPr>
        <w:tabs>
          <w:tab w:val="center" w:pos="5400"/>
        </w:tabs>
        <w:suppressAutoHyphens/>
        <w:jc w:val="center"/>
        <w:rPr>
          <w:rFonts w:asciiTheme="majorHAnsi" w:hAnsiTheme="majorHAnsi"/>
          <w:sz w:val="20"/>
          <w:szCs w:val="20"/>
          <w:lang w:val="es-ES_tradnl"/>
        </w:rPr>
      </w:pPr>
    </w:p>
    <w:p w14:paraId="64699CFB" w14:textId="77777777" w:rsidR="002C1641" w:rsidRPr="00EC55EA" w:rsidRDefault="002C1641" w:rsidP="00EC55EA">
      <w:pPr>
        <w:tabs>
          <w:tab w:val="center" w:pos="5400"/>
        </w:tabs>
        <w:suppressAutoHyphens/>
        <w:jc w:val="center"/>
        <w:rPr>
          <w:rFonts w:asciiTheme="majorHAnsi" w:hAnsiTheme="majorHAnsi"/>
          <w:sz w:val="20"/>
          <w:szCs w:val="20"/>
          <w:lang w:val="es-ES_tradnl"/>
        </w:rPr>
      </w:pPr>
    </w:p>
    <w:p w14:paraId="42B831B5" w14:textId="77777777" w:rsidR="002C1641" w:rsidRPr="00EC55EA" w:rsidRDefault="002C1641" w:rsidP="00EC55EA">
      <w:pPr>
        <w:tabs>
          <w:tab w:val="center" w:pos="5400"/>
        </w:tabs>
        <w:suppressAutoHyphens/>
        <w:jc w:val="center"/>
        <w:rPr>
          <w:rFonts w:asciiTheme="majorHAnsi" w:hAnsiTheme="majorHAnsi"/>
          <w:sz w:val="20"/>
          <w:szCs w:val="20"/>
          <w:lang w:val="es-ES_tradnl"/>
        </w:rPr>
      </w:pPr>
    </w:p>
    <w:p w14:paraId="2F57D581" w14:textId="77777777" w:rsidR="002C1641" w:rsidRPr="00EC55EA" w:rsidRDefault="002C1641" w:rsidP="00EC55EA">
      <w:pPr>
        <w:tabs>
          <w:tab w:val="center" w:pos="5400"/>
        </w:tabs>
        <w:suppressAutoHyphens/>
        <w:jc w:val="center"/>
        <w:rPr>
          <w:rFonts w:asciiTheme="majorHAnsi" w:hAnsiTheme="majorHAnsi"/>
          <w:sz w:val="20"/>
          <w:szCs w:val="20"/>
          <w:lang w:val="es-ES_tradnl"/>
        </w:rPr>
      </w:pPr>
    </w:p>
    <w:p w14:paraId="57A68D27" w14:textId="77777777" w:rsidR="002C1641" w:rsidRPr="00EC55EA" w:rsidRDefault="002C1641" w:rsidP="00EC55EA">
      <w:pPr>
        <w:tabs>
          <w:tab w:val="center" w:pos="5400"/>
        </w:tabs>
        <w:suppressAutoHyphens/>
        <w:jc w:val="center"/>
        <w:rPr>
          <w:rFonts w:asciiTheme="majorHAnsi" w:hAnsiTheme="majorHAnsi"/>
          <w:sz w:val="20"/>
          <w:szCs w:val="20"/>
          <w:lang w:val="es-ES_tradnl"/>
        </w:rPr>
      </w:pPr>
    </w:p>
    <w:p w14:paraId="2B820276" w14:textId="77777777" w:rsidR="002C1641" w:rsidRPr="00EC55EA" w:rsidRDefault="002C1641" w:rsidP="00EC55EA">
      <w:pPr>
        <w:tabs>
          <w:tab w:val="center" w:pos="5400"/>
        </w:tabs>
        <w:suppressAutoHyphens/>
        <w:jc w:val="center"/>
        <w:rPr>
          <w:rFonts w:asciiTheme="majorHAnsi" w:hAnsiTheme="majorHAnsi"/>
          <w:sz w:val="20"/>
          <w:szCs w:val="20"/>
          <w:lang w:val="es-ES_tradnl"/>
        </w:rPr>
      </w:pPr>
    </w:p>
    <w:p w14:paraId="35A534EC" w14:textId="77777777" w:rsidR="002C1641" w:rsidRPr="00EC55EA" w:rsidRDefault="002C1641" w:rsidP="00EC55EA">
      <w:pPr>
        <w:tabs>
          <w:tab w:val="center" w:pos="5400"/>
        </w:tabs>
        <w:suppressAutoHyphens/>
        <w:jc w:val="center"/>
        <w:rPr>
          <w:rFonts w:asciiTheme="majorHAnsi" w:hAnsiTheme="majorHAnsi"/>
          <w:sz w:val="20"/>
          <w:szCs w:val="20"/>
          <w:lang w:val="es-ES_tradnl"/>
        </w:rPr>
      </w:pPr>
    </w:p>
    <w:p w14:paraId="1DEC0339" w14:textId="77777777" w:rsidR="002C1641" w:rsidRPr="00EC55EA" w:rsidRDefault="002C1641" w:rsidP="00EC55EA">
      <w:pPr>
        <w:tabs>
          <w:tab w:val="center" w:pos="5400"/>
        </w:tabs>
        <w:suppressAutoHyphens/>
        <w:jc w:val="center"/>
        <w:rPr>
          <w:rFonts w:asciiTheme="majorHAnsi" w:hAnsiTheme="majorHAnsi"/>
          <w:sz w:val="20"/>
          <w:szCs w:val="20"/>
          <w:lang w:val="es-ES_tradnl"/>
        </w:rPr>
      </w:pPr>
    </w:p>
    <w:p w14:paraId="0244721C" w14:textId="77777777" w:rsidR="002C1641" w:rsidRPr="00EC55EA" w:rsidRDefault="00F83617" w:rsidP="00EC55EA">
      <w:pPr>
        <w:tabs>
          <w:tab w:val="center" w:pos="5400"/>
        </w:tabs>
        <w:suppressAutoHyphens/>
        <w:jc w:val="center"/>
        <w:rPr>
          <w:rFonts w:asciiTheme="majorHAnsi" w:hAnsiTheme="majorHAnsi"/>
          <w:sz w:val="20"/>
          <w:szCs w:val="20"/>
          <w:lang w:val="es-ES_tradnl"/>
        </w:rPr>
      </w:pPr>
      <w:r>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693BFE36" wp14:editId="3D9455E1">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4D8D1" w14:textId="63FE1D47" w:rsidR="00873D49" w:rsidRPr="00B443C8" w:rsidRDefault="00873D49" w:rsidP="00E30DB9">
                            <w:pPr>
                              <w:tabs>
                                <w:tab w:val="center" w:pos="5400"/>
                              </w:tabs>
                              <w:suppressAutoHyphens/>
                              <w:spacing w:before="60"/>
                              <w:rPr>
                                <w:rFonts w:asciiTheme="majorHAnsi" w:hAnsiTheme="majorHAnsi"/>
                                <w:color w:val="0D0D0D" w:themeColor="text1" w:themeTint="F2"/>
                                <w:sz w:val="18"/>
                                <w:szCs w:val="20"/>
                                <w:lang w:val="es-ES"/>
                              </w:rPr>
                            </w:pPr>
                            <w:r w:rsidRPr="00B443C8">
                              <w:rPr>
                                <w:rFonts w:asciiTheme="majorHAnsi" w:hAnsiTheme="majorHAnsi"/>
                                <w:color w:val="0D0D0D" w:themeColor="text1" w:themeTint="F2"/>
                                <w:sz w:val="18"/>
                                <w:szCs w:val="20"/>
                                <w:lang w:val="es-ES"/>
                              </w:rPr>
                              <w:t xml:space="preserve">Aprobado </w:t>
                            </w:r>
                            <w:r>
                              <w:rPr>
                                <w:rFonts w:asciiTheme="majorHAnsi" w:hAnsiTheme="majorHAnsi"/>
                                <w:color w:val="0D0D0D" w:themeColor="text1" w:themeTint="F2"/>
                                <w:sz w:val="18"/>
                                <w:szCs w:val="20"/>
                                <w:lang w:val="es-ES"/>
                              </w:rPr>
                              <w:t xml:space="preserve">electrónicamente </w:t>
                            </w:r>
                            <w:r w:rsidRPr="00B443C8">
                              <w:rPr>
                                <w:rFonts w:asciiTheme="majorHAnsi" w:hAnsiTheme="majorHAnsi"/>
                                <w:color w:val="0D0D0D" w:themeColor="text1" w:themeTint="F2"/>
                                <w:sz w:val="18"/>
                                <w:szCs w:val="20"/>
                                <w:lang w:val="es-ES"/>
                              </w:rPr>
                              <w:t>por la Comisión</w:t>
                            </w:r>
                            <w:r>
                              <w:rPr>
                                <w:rFonts w:asciiTheme="majorHAnsi" w:hAnsiTheme="majorHAnsi"/>
                                <w:color w:val="0D0D0D" w:themeColor="text1" w:themeTint="F2"/>
                                <w:sz w:val="18"/>
                                <w:szCs w:val="20"/>
                                <w:lang w:val="es-ES"/>
                              </w:rPr>
                              <w:t xml:space="preserve"> el </w:t>
                            </w:r>
                            <w:r w:rsidR="008379F8">
                              <w:rPr>
                                <w:rFonts w:asciiTheme="majorHAnsi" w:hAnsiTheme="majorHAnsi"/>
                                <w:color w:val="0D0D0D" w:themeColor="text1" w:themeTint="F2"/>
                                <w:sz w:val="18"/>
                                <w:szCs w:val="20"/>
                                <w:lang w:val="es-ES"/>
                              </w:rPr>
                              <w:t>31</w:t>
                            </w:r>
                            <w:r>
                              <w:rPr>
                                <w:rFonts w:asciiTheme="majorHAnsi" w:hAnsiTheme="majorHAnsi"/>
                                <w:color w:val="0D0D0D" w:themeColor="text1" w:themeTint="F2"/>
                                <w:sz w:val="18"/>
                                <w:szCs w:val="20"/>
                                <w:lang w:val="es-ES"/>
                              </w:rPr>
                              <w:t xml:space="preserve"> de diciembre de 2021</w:t>
                            </w:r>
                            <w:r w:rsidR="006E3733">
                              <w:rPr>
                                <w:rFonts w:asciiTheme="majorHAnsi" w:hAnsiTheme="majorHAnsi"/>
                                <w:color w:val="0D0D0D" w:themeColor="text1" w:themeTint="F2"/>
                                <w:sz w:val="18"/>
                                <w:szCs w:val="20"/>
                                <w:lang w:val="es-ES"/>
                              </w:rPr>
                              <w:t>.</w:t>
                            </w:r>
                          </w:p>
                          <w:p w14:paraId="444E8D10" w14:textId="77777777" w:rsidR="00873D49" w:rsidRPr="006E3733" w:rsidRDefault="00873D49" w:rsidP="004165C2">
                            <w:pPr>
                              <w:tabs>
                                <w:tab w:val="center" w:pos="5400"/>
                              </w:tabs>
                              <w:suppressAutoHyphens/>
                              <w:spacing w:before="60"/>
                              <w:rPr>
                                <w:rFonts w:asciiTheme="majorHAnsi" w:hAnsiTheme="majorHAnsi"/>
                                <w:color w:val="0D0D0D" w:themeColor="text1" w:themeTint="F2"/>
                                <w:sz w:val="18"/>
                                <w:szCs w:val="22"/>
                                <w:lang w:val="es-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BFE36"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" filled="f" stroked="f" strokeweight=".5pt">
                <v:textbox>
                  <w:txbxContent>
                    <w:p w14:paraId="1794D8D1" w14:textId="63FE1D47" w:rsidR="00873D49" w:rsidRPr="00B443C8" w:rsidRDefault="00873D49" w:rsidP="00E30DB9">
                      <w:pPr>
                        <w:tabs>
                          <w:tab w:val="center" w:pos="5400"/>
                        </w:tabs>
                        <w:suppressAutoHyphens/>
                        <w:spacing w:before="60"/>
                        <w:rPr>
                          <w:rFonts w:asciiTheme="majorHAnsi" w:hAnsiTheme="majorHAnsi"/>
                          <w:color w:val="0D0D0D" w:themeColor="text1" w:themeTint="F2"/>
                          <w:sz w:val="18"/>
                          <w:szCs w:val="20"/>
                          <w:lang w:val="es-ES"/>
                        </w:rPr>
                      </w:pPr>
                      <w:r w:rsidRPr="00B443C8">
                        <w:rPr>
                          <w:rFonts w:asciiTheme="majorHAnsi" w:hAnsiTheme="majorHAnsi"/>
                          <w:color w:val="0D0D0D" w:themeColor="text1" w:themeTint="F2"/>
                          <w:sz w:val="18"/>
                          <w:szCs w:val="20"/>
                          <w:lang w:val="es-ES"/>
                        </w:rPr>
                        <w:t xml:space="preserve">Aprobado </w:t>
                      </w:r>
                      <w:r>
                        <w:rPr>
                          <w:rFonts w:asciiTheme="majorHAnsi" w:hAnsiTheme="majorHAnsi"/>
                          <w:color w:val="0D0D0D" w:themeColor="text1" w:themeTint="F2"/>
                          <w:sz w:val="18"/>
                          <w:szCs w:val="20"/>
                          <w:lang w:val="es-ES"/>
                        </w:rPr>
                        <w:t xml:space="preserve">electrónicamente </w:t>
                      </w:r>
                      <w:r w:rsidRPr="00B443C8">
                        <w:rPr>
                          <w:rFonts w:asciiTheme="majorHAnsi" w:hAnsiTheme="majorHAnsi"/>
                          <w:color w:val="0D0D0D" w:themeColor="text1" w:themeTint="F2"/>
                          <w:sz w:val="18"/>
                          <w:szCs w:val="20"/>
                          <w:lang w:val="es-ES"/>
                        </w:rPr>
                        <w:t>por la Comisión</w:t>
                      </w:r>
                      <w:r>
                        <w:rPr>
                          <w:rFonts w:asciiTheme="majorHAnsi" w:hAnsiTheme="majorHAnsi"/>
                          <w:color w:val="0D0D0D" w:themeColor="text1" w:themeTint="F2"/>
                          <w:sz w:val="18"/>
                          <w:szCs w:val="20"/>
                          <w:lang w:val="es-ES"/>
                        </w:rPr>
                        <w:t xml:space="preserve"> el </w:t>
                      </w:r>
                      <w:r w:rsidR="008379F8">
                        <w:rPr>
                          <w:rFonts w:asciiTheme="majorHAnsi" w:hAnsiTheme="majorHAnsi"/>
                          <w:color w:val="0D0D0D" w:themeColor="text1" w:themeTint="F2"/>
                          <w:sz w:val="18"/>
                          <w:szCs w:val="20"/>
                          <w:lang w:val="es-ES"/>
                        </w:rPr>
                        <w:t>31</w:t>
                      </w:r>
                      <w:r>
                        <w:rPr>
                          <w:rFonts w:asciiTheme="majorHAnsi" w:hAnsiTheme="majorHAnsi"/>
                          <w:color w:val="0D0D0D" w:themeColor="text1" w:themeTint="F2"/>
                          <w:sz w:val="18"/>
                          <w:szCs w:val="20"/>
                          <w:lang w:val="es-ES"/>
                        </w:rPr>
                        <w:t xml:space="preserve"> de diciembre de 2021</w:t>
                      </w:r>
                      <w:r w:rsidR="006E3733">
                        <w:rPr>
                          <w:rFonts w:asciiTheme="majorHAnsi" w:hAnsiTheme="majorHAnsi"/>
                          <w:color w:val="0D0D0D" w:themeColor="text1" w:themeTint="F2"/>
                          <w:sz w:val="18"/>
                          <w:szCs w:val="20"/>
                          <w:lang w:val="es-ES"/>
                        </w:rPr>
                        <w:t>.</w:t>
                      </w:r>
                    </w:p>
                    <w:p w14:paraId="444E8D10" w14:textId="77777777" w:rsidR="00873D49" w:rsidRPr="006E3733" w:rsidRDefault="00873D49" w:rsidP="004165C2">
                      <w:pPr>
                        <w:tabs>
                          <w:tab w:val="center" w:pos="5400"/>
                        </w:tabs>
                        <w:suppressAutoHyphens/>
                        <w:spacing w:before="60"/>
                        <w:rPr>
                          <w:rFonts w:asciiTheme="majorHAnsi" w:hAnsiTheme="majorHAnsi"/>
                          <w:color w:val="0D0D0D" w:themeColor="text1" w:themeTint="F2"/>
                          <w:sz w:val="18"/>
                          <w:szCs w:val="22"/>
                          <w:lang w:val="es-US"/>
                        </w:rPr>
                      </w:pPr>
                    </w:p>
                  </w:txbxContent>
                </v:textbox>
              </v:shape>
            </w:pict>
          </mc:Fallback>
        </mc:AlternateContent>
      </w:r>
    </w:p>
    <w:p w14:paraId="16DA4BD4" w14:textId="77777777" w:rsidR="002C1641" w:rsidRPr="00EC55EA" w:rsidRDefault="002C1641" w:rsidP="00EC55EA">
      <w:pPr>
        <w:tabs>
          <w:tab w:val="center" w:pos="5400"/>
        </w:tabs>
        <w:suppressAutoHyphens/>
        <w:jc w:val="center"/>
        <w:rPr>
          <w:rFonts w:asciiTheme="majorHAnsi" w:hAnsiTheme="majorHAnsi"/>
          <w:sz w:val="20"/>
          <w:szCs w:val="20"/>
          <w:lang w:val="es-ES_tradnl"/>
        </w:rPr>
      </w:pPr>
    </w:p>
    <w:p w14:paraId="4F9BCB93" w14:textId="77777777" w:rsidR="002C1641" w:rsidRPr="00EC55EA" w:rsidRDefault="002C1641" w:rsidP="00EC55EA">
      <w:pPr>
        <w:tabs>
          <w:tab w:val="center" w:pos="5400"/>
        </w:tabs>
        <w:suppressAutoHyphens/>
        <w:jc w:val="center"/>
        <w:rPr>
          <w:rFonts w:asciiTheme="majorHAnsi" w:hAnsiTheme="majorHAnsi"/>
          <w:sz w:val="20"/>
          <w:szCs w:val="20"/>
          <w:lang w:val="es-ES_tradnl"/>
        </w:rPr>
      </w:pPr>
    </w:p>
    <w:p w14:paraId="26DDA2CA" w14:textId="77777777" w:rsidR="002C1641" w:rsidRPr="00EC55EA" w:rsidRDefault="002C1641" w:rsidP="00EC55EA">
      <w:pPr>
        <w:tabs>
          <w:tab w:val="center" w:pos="5400"/>
        </w:tabs>
        <w:suppressAutoHyphens/>
        <w:jc w:val="center"/>
        <w:rPr>
          <w:rFonts w:asciiTheme="majorHAnsi" w:hAnsiTheme="majorHAnsi"/>
          <w:sz w:val="20"/>
          <w:szCs w:val="20"/>
          <w:lang w:val="es-ES_tradnl"/>
        </w:rPr>
      </w:pPr>
    </w:p>
    <w:p w14:paraId="1FBAF7CD" w14:textId="77777777" w:rsidR="002C1641" w:rsidRPr="00EC55EA" w:rsidRDefault="002C1641" w:rsidP="00EC55EA">
      <w:pPr>
        <w:tabs>
          <w:tab w:val="center" w:pos="5400"/>
        </w:tabs>
        <w:suppressAutoHyphens/>
        <w:jc w:val="center"/>
        <w:rPr>
          <w:rFonts w:asciiTheme="majorHAnsi" w:hAnsiTheme="majorHAnsi"/>
          <w:sz w:val="20"/>
          <w:szCs w:val="20"/>
          <w:lang w:val="es-ES_tradnl"/>
        </w:rPr>
      </w:pPr>
    </w:p>
    <w:p w14:paraId="62C133D6" w14:textId="77777777" w:rsidR="002C1641" w:rsidRPr="00EC55EA" w:rsidRDefault="00F83617" w:rsidP="00EC55EA">
      <w:pPr>
        <w:tabs>
          <w:tab w:val="center" w:pos="5400"/>
        </w:tabs>
        <w:suppressAutoHyphens/>
        <w:jc w:val="center"/>
        <w:rPr>
          <w:rFonts w:asciiTheme="majorHAnsi" w:hAnsiTheme="majorHAnsi"/>
          <w:sz w:val="20"/>
          <w:szCs w:val="20"/>
          <w:lang w:val="es-ES_tradnl"/>
        </w:rPr>
      </w:pPr>
      <w:r>
        <w:rPr>
          <w:rFonts w:asciiTheme="majorHAnsi" w:hAnsiTheme="majorHAnsi"/>
          <w:noProof/>
          <w:sz w:val="20"/>
          <w:szCs w:val="20"/>
        </w:rPr>
        <mc:AlternateContent>
          <mc:Choice Requires="wps">
            <w:drawing>
              <wp:anchor distT="0" distB="0" distL="114300" distR="114300" simplePos="0" relativeHeight="251683840" behindDoc="0" locked="0" layoutInCell="1" allowOverlap="1" wp14:anchorId="7EAF60AA" wp14:editId="291C6859">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5F80E6" w14:textId="02815C30" w:rsidR="00873D49" w:rsidRPr="00B443C8" w:rsidRDefault="00873D49" w:rsidP="00F45EBF">
                            <w:pPr>
                              <w:spacing w:line="276" w:lineRule="auto"/>
                              <w:jc w:val="both"/>
                              <w:rPr>
                                <w:rFonts w:asciiTheme="majorHAnsi" w:hAnsiTheme="majorHAnsi"/>
                                <w:color w:val="595959" w:themeColor="text1" w:themeTint="A6"/>
                                <w:sz w:val="18"/>
                                <w:lang w:val="es-ES"/>
                              </w:rPr>
                            </w:pPr>
                            <w:r w:rsidRPr="00B443C8">
                              <w:rPr>
                                <w:rFonts w:asciiTheme="majorHAnsi" w:hAnsiTheme="majorHAnsi"/>
                                <w:b/>
                                <w:color w:val="595959" w:themeColor="text1" w:themeTint="A6"/>
                                <w:sz w:val="18"/>
                                <w:lang w:val="es-ES"/>
                              </w:rPr>
                              <w:t xml:space="preserve">Citar como: </w:t>
                            </w:r>
                            <w:r>
                              <w:rPr>
                                <w:rFonts w:asciiTheme="majorHAnsi" w:hAnsiTheme="majorHAnsi"/>
                                <w:color w:val="595959" w:themeColor="text1" w:themeTint="A6"/>
                                <w:sz w:val="18"/>
                                <w:lang w:val="es-ES"/>
                              </w:rPr>
                              <w:t>CIDH</w:t>
                            </w:r>
                            <w:r w:rsidRPr="00B443C8">
                              <w:rPr>
                                <w:rFonts w:asciiTheme="majorHAnsi" w:hAnsiTheme="majorHAnsi"/>
                                <w:color w:val="595959" w:themeColor="text1" w:themeTint="A6"/>
                                <w:sz w:val="18"/>
                                <w:lang w:val="es-ES"/>
                              </w:rPr>
                              <w:t xml:space="preserve">, </w:t>
                            </w:r>
                            <w:r>
                              <w:rPr>
                                <w:rFonts w:asciiTheme="majorHAnsi" w:hAnsiTheme="majorHAnsi"/>
                                <w:color w:val="595959" w:themeColor="text1" w:themeTint="A6"/>
                                <w:sz w:val="18"/>
                                <w:lang w:val="es-ES"/>
                              </w:rPr>
                              <w:t>Informe</w:t>
                            </w:r>
                            <w:r w:rsidRPr="00B443C8">
                              <w:rPr>
                                <w:rFonts w:asciiTheme="majorHAnsi" w:hAnsiTheme="majorHAnsi"/>
                                <w:color w:val="595959" w:themeColor="text1" w:themeTint="A6"/>
                                <w:sz w:val="18"/>
                                <w:lang w:val="es-ES"/>
                              </w:rPr>
                              <w:t xml:space="preserve"> No. </w:t>
                            </w:r>
                            <w:r w:rsidR="008379F8">
                              <w:rPr>
                                <w:rFonts w:asciiTheme="majorHAnsi" w:hAnsiTheme="majorHAnsi"/>
                                <w:color w:val="595959" w:themeColor="text1" w:themeTint="A6"/>
                                <w:sz w:val="18"/>
                                <w:lang w:val="es-ES"/>
                              </w:rPr>
                              <w:t>453</w:t>
                            </w:r>
                            <w:r w:rsidRPr="00E36893">
                              <w:rPr>
                                <w:rFonts w:asciiTheme="majorHAnsi" w:hAnsiTheme="majorHAnsi"/>
                                <w:color w:val="595959" w:themeColor="text1" w:themeTint="A6"/>
                                <w:sz w:val="18"/>
                                <w:lang w:val="es-ES"/>
                              </w:rPr>
                              <w:t>/2</w:t>
                            </w:r>
                            <w:r>
                              <w:rPr>
                                <w:rFonts w:asciiTheme="majorHAnsi" w:hAnsiTheme="majorHAnsi"/>
                                <w:color w:val="595959" w:themeColor="text1" w:themeTint="A6"/>
                                <w:sz w:val="18"/>
                                <w:lang w:val="es-ES"/>
                              </w:rPr>
                              <w:t>1</w:t>
                            </w:r>
                            <w:r w:rsidRPr="00E36893">
                              <w:rPr>
                                <w:rFonts w:asciiTheme="majorHAnsi" w:hAnsiTheme="majorHAnsi"/>
                                <w:color w:val="595959" w:themeColor="text1" w:themeTint="A6"/>
                                <w:sz w:val="18"/>
                                <w:lang w:val="es-ES"/>
                              </w:rPr>
                              <w:t xml:space="preserve">. </w:t>
                            </w:r>
                            <w:r w:rsidRPr="00B443C8">
                              <w:rPr>
                                <w:rFonts w:asciiTheme="majorHAnsi" w:hAnsiTheme="majorHAnsi"/>
                                <w:color w:val="595959" w:themeColor="text1" w:themeTint="A6"/>
                                <w:sz w:val="18"/>
                                <w:lang w:val="es-ES"/>
                              </w:rPr>
                              <w:t>Caso 13.339. Admisibilidad y fondo</w:t>
                            </w:r>
                            <w:r>
                              <w:rPr>
                                <w:rFonts w:asciiTheme="majorHAnsi" w:hAnsiTheme="majorHAnsi"/>
                                <w:color w:val="595959" w:themeColor="text1" w:themeTint="A6"/>
                                <w:sz w:val="18"/>
                                <w:lang w:val="es-ES"/>
                              </w:rPr>
                              <w:t xml:space="preserve"> (Publicación)</w:t>
                            </w:r>
                            <w:r w:rsidRPr="00B443C8">
                              <w:rPr>
                                <w:rFonts w:asciiTheme="majorHAnsi" w:hAnsiTheme="majorHAnsi"/>
                                <w:color w:val="595959" w:themeColor="text1" w:themeTint="A6"/>
                                <w:sz w:val="18"/>
                                <w:lang w:val="es-ES"/>
                              </w:rPr>
                              <w:t xml:space="preserve">. Manuel Valle. </w:t>
                            </w:r>
                            <w:r>
                              <w:rPr>
                                <w:rFonts w:asciiTheme="majorHAnsi" w:hAnsiTheme="majorHAnsi"/>
                                <w:color w:val="595959" w:themeColor="text1" w:themeTint="A6"/>
                                <w:sz w:val="18"/>
                                <w:lang w:val="es-ES"/>
                              </w:rPr>
                              <w:t>Estados Unidos de América</w:t>
                            </w:r>
                            <w:r w:rsidRPr="00B443C8">
                              <w:rPr>
                                <w:rFonts w:asciiTheme="majorHAnsi" w:hAnsiTheme="majorHAnsi"/>
                                <w:color w:val="595959" w:themeColor="text1" w:themeTint="A6"/>
                                <w:sz w:val="18"/>
                                <w:lang w:val="es-ES"/>
                              </w:rPr>
                              <w:t xml:space="preserve">. </w:t>
                            </w:r>
                            <w:r w:rsidR="008379F8">
                              <w:rPr>
                                <w:rFonts w:asciiTheme="majorHAnsi" w:hAnsiTheme="majorHAnsi"/>
                                <w:color w:val="595959" w:themeColor="text1" w:themeTint="A6"/>
                                <w:sz w:val="18"/>
                                <w:lang w:val="es-ES"/>
                              </w:rPr>
                              <w:t>31</w:t>
                            </w:r>
                            <w:r>
                              <w:rPr>
                                <w:rFonts w:asciiTheme="majorHAnsi" w:hAnsiTheme="majorHAnsi"/>
                                <w:color w:val="595959" w:themeColor="text1" w:themeTint="A6"/>
                                <w:sz w:val="18"/>
                                <w:lang w:val="es-ES"/>
                              </w:rPr>
                              <w:t xml:space="preserve"> de diciembre de </w:t>
                            </w:r>
                            <w:r w:rsidRPr="00B443C8">
                              <w:rPr>
                                <w:rFonts w:asciiTheme="majorHAnsi" w:hAnsiTheme="majorHAnsi"/>
                                <w:color w:val="595959" w:themeColor="text1" w:themeTint="A6"/>
                                <w:sz w:val="18"/>
                                <w:lang w:val="es-ES"/>
                              </w:rPr>
                              <w:t>202</w:t>
                            </w:r>
                            <w:r>
                              <w:rPr>
                                <w:rFonts w:asciiTheme="majorHAnsi" w:hAnsiTheme="majorHAnsi"/>
                                <w:color w:val="595959" w:themeColor="text1" w:themeTint="A6"/>
                                <w:sz w:val="18"/>
                                <w:lang w:val="es-ES"/>
                              </w:rPr>
                              <w:t>1</w:t>
                            </w:r>
                            <w:r w:rsidRPr="00B443C8">
                              <w:rPr>
                                <w:rFonts w:asciiTheme="majorHAnsi" w:hAnsiTheme="majorHAnsi"/>
                                <w:color w:val="595959" w:themeColor="text1" w:themeTint="A6"/>
                                <w:sz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F60AA"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" filled="f" stroked="f" strokeweight=".5pt">
                <v:textbox>
                  <w:txbxContent>
                    <w:p w14:paraId="045F80E6" w14:textId="02815C30" w:rsidR="00873D49" w:rsidRPr="00B443C8" w:rsidRDefault="00873D49" w:rsidP="00F45EBF">
                      <w:pPr>
                        <w:spacing w:line="276" w:lineRule="auto"/>
                        <w:jc w:val="both"/>
                        <w:rPr>
                          <w:rFonts w:asciiTheme="majorHAnsi" w:hAnsiTheme="majorHAnsi"/>
                          <w:color w:val="595959" w:themeColor="text1" w:themeTint="A6"/>
                          <w:sz w:val="18"/>
                          <w:lang w:val="es-ES"/>
                        </w:rPr>
                      </w:pPr>
                      <w:r w:rsidRPr="00B443C8">
                        <w:rPr>
                          <w:rFonts w:asciiTheme="majorHAnsi" w:hAnsiTheme="majorHAnsi"/>
                          <w:b/>
                          <w:color w:val="595959" w:themeColor="text1" w:themeTint="A6"/>
                          <w:sz w:val="18"/>
                          <w:lang w:val="es-ES"/>
                        </w:rPr>
                        <w:t xml:space="preserve">Citar como: </w:t>
                      </w:r>
                      <w:r>
                        <w:rPr>
                          <w:rFonts w:asciiTheme="majorHAnsi" w:hAnsiTheme="majorHAnsi"/>
                          <w:color w:val="595959" w:themeColor="text1" w:themeTint="A6"/>
                          <w:sz w:val="18"/>
                          <w:lang w:val="es-ES"/>
                        </w:rPr>
                        <w:t>CIDH</w:t>
                      </w:r>
                      <w:r w:rsidRPr="00B443C8">
                        <w:rPr>
                          <w:rFonts w:asciiTheme="majorHAnsi" w:hAnsiTheme="majorHAnsi"/>
                          <w:color w:val="595959" w:themeColor="text1" w:themeTint="A6"/>
                          <w:sz w:val="18"/>
                          <w:lang w:val="es-ES"/>
                        </w:rPr>
                        <w:t xml:space="preserve">, </w:t>
                      </w:r>
                      <w:r>
                        <w:rPr>
                          <w:rFonts w:asciiTheme="majorHAnsi" w:hAnsiTheme="majorHAnsi"/>
                          <w:color w:val="595959" w:themeColor="text1" w:themeTint="A6"/>
                          <w:sz w:val="18"/>
                          <w:lang w:val="es-ES"/>
                        </w:rPr>
                        <w:t>Informe</w:t>
                      </w:r>
                      <w:r w:rsidRPr="00B443C8">
                        <w:rPr>
                          <w:rFonts w:asciiTheme="majorHAnsi" w:hAnsiTheme="majorHAnsi"/>
                          <w:color w:val="595959" w:themeColor="text1" w:themeTint="A6"/>
                          <w:sz w:val="18"/>
                          <w:lang w:val="es-ES"/>
                        </w:rPr>
                        <w:t xml:space="preserve"> No. </w:t>
                      </w:r>
                      <w:r w:rsidR="008379F8">
                        <w:rPr>
                          <w:rFonts w:asciiTheme="majorHAnsi" w:hAnsiTheme="majorHAnsi"/>
                          <w:color w:val="595959" w:themeColor="text1" w:themeTint="A6"/>
                          <w:sz w:val="18"/>
                          <w:lang w:val="es-ES"/>
                        </w:rPr>
                        <w:t>453</w:t>
                      </w:r>
                      <w:r w:rsidRPr="00E36893">
                        <w:rPr>
                          <w:rFonts w:asciiTheme="majorHAnsi" w:hAnsiTheme="majorHAnsi"/>
                          <w:color w:val="595959" w:themeColor="text1" w:themeTint="A6"/>
                          <w:sz w:val="18"/>
                          <w:lang w:val="es-ES"/>
                        </w:rPr>
                        <w:t>/2</w:t>
                      </w:r>
                      <w:r>
                        <w:rPr>
                          <w:rFonts w:asciiTheme="majorHAnsi" w:hAnsiTheme="majorHAnsi"/>
                          <w:color w:val="595959" w:themeColor="text1" w:themeTint="A6"/>
                          <w:sz w:val="18"/>
                          <w:lang w:val="es-ES"/>
                        </w:rPr>
                        <w:t>1</w:t>
                      </w:r>
                      <w:r w:rsidRPr="00E36893">
                        <w:rPr>
                          <w:rFonts w:asciiTheme="majorHAnsi" w:hAnsiTheme="majorHAnsi"/>
                          <w:color w:val="595959" w:themeColor="text1" w:themeTint="A6"/>
                          <w:sz w:val="18"/>
                          <w:lang w:val="es-ES"/>
                        </w:rPr>
                        <w:t xml:space="preserve">. </w:t>
                      </w:r>
                      <w:r w:rsidRPr="00B443C8">
                        <w:rPr>
                          <w:rFonts w:asciiTheme="majorHAnsi" w:hAnsiTheme="majorHAnsi"/>
                          <w:color w:val="595959" w:themeColor="text1" w:themeTint="A6"/>
                          <w:sz w:val="18"/>
                          <w:lang w:val="es-ES"/>
                        </w:rPr>
                        <w:t>Caso 13.339. Admisibilidad y fondo</w:t>
                      </w:r>
                      <w:r>
                        <w:rPr>
                          <w:rFonts w:asciiTheme="majorHAnsi" w:hAnsiTheme="majorHAnsi"/>
                          <w:color w:val="595959" w:themeColor="text1" w:themeTint="A6"/>
                          <w:sz w:val="18"/>
                          <w:lang w:val="es-ES"/>
                        </w:rPr>
                        <w:t xml:space="preserve"> (Publicación)</w:t>
                      </w:r>
                      <w:r w:rsidRPr="00B443C8">
                        <w:rPr>
                          <w:rFonts w:asciiTheme="majorHAnsi" w:hAnsiTheme="majorHAnsi"/>
                          <w:color w:val="595959" w:themeColor="text1" w:themeTint="A6"/>
                          <w:sz w:val="18"/>
                          <w:lang w:val="es-ES"/>
                        </w:rPr>
                        <w:t xml:space="preserve">. Manuel Valle. </w:t>
                      </w:r>
                      <w:r>
                        <w:rPr>
                          <w:rFonts w:asciiTheme="majorHAnsi" w:hAnsiTheme="majorHAnsi"/>
                          <w:color w:val="595959" w:themeColor="text1" w:themeTint="A6"/>
                          <w:sz w:val="18"/>
                          <w:lang w:val="es-ES"/>
                        </w:rPr>
                        <w:t>Estados Unidos de América</w:t>
                      </w:r>
                      <w:r w:rsidRPr="00B443C8">
                        <w:rPr>
                          <w:rFonts w:asciiTheme="majorHAnsi" w:hAnsiTheme="majorHAnsi"/>
                          <w:color w:val="595959" w:themeColor="text1" w:themeTint="A6"/>
                          <w:sz w:val="18"/>
                          <w:lang w:val="es-ES"/>
                        </w:rPr>
                        <w:t xml:space="preserve">. </w:t>
                      </w:r>
                      <w:r w:rsidR="008379F8">
                        <w:rPr>
                          <w:rFonts w:asciiTheme="majorHAnsi" w:hAnsiTheme="majorHAnsi"/>
                          <w:color w:val="595959" w:themeColor="text1" w:themeTint="A6"/>
                          <w:sz w:val="18"/>
                          <w:lang w:val="es-ES"/>
                        </w:rPr>
                        <w:t>31</w:t>
                      </w:r>
                      <w:r>
                        <w:rPr>
                          <w:rFonts w:asciiTheme="majorHAnsi" w:hAnsiTheme="majorHAnsi"/>
                          <w:color w:val="595959" w:themeColor="text1" w:themeTint="A6"/>
                          <w:sz w:val="18"/>
                          <w:lang w:val="es-ES"/>
                        </w:rPr>
                        <w:t xml:space="preserve"> de diciembre de </w:t>
                      </w:r>
                      <w:r w:rsidRPr="00B443C8">
                        <w:rPr>
                          <w:rFonts w:asciiTheme="majorHAnsi" w:hAnsiTheme="majorHAnsi"/>
                          <w:color w:val="595959" w:themeColor="text1" w:themeTint="A6"/>
                          <w:sz w:val="18"/>
                          <w:lang w:val="es-ES"/>
                        </w:rPr>
                        <w:t>202</w:t>
                      </w:r>
                      <w:r>
                        <w:rPr>
                          <w:rFonts w:asciiTheme="majorHAnsi" w:hAnsiTheme="majorHAnsi"/>
                          <w:color w:val="595959" w:themeColor="text1" w:themeTint="A6"/>
                          <w:sz w:val="18"/>
                          <w:lang w:val="es-ES"/>
                        </w:rPr>
                        <w:t>1</w:t>
                      </w:r>
                      <w:r w:rsidRPr="00B443C8">
                        <w:rPr>
                          <w:rFonts w:asciiTheme="majorHAnsi" w:hAnsiTheme="majorHAnsi"/>
                          <w:color w:val="595959" w:themeColor="text1" w:themeTint="A6"/>
                          <w:sz w:val="18"/>
                          <w:lang w:val="es-ES"/>
                        </w:rPr>
                        <w:t>.</w:t>
                      </w:r>
                    </w:p>
                  </w:txbxContent>
                </v:textbox>
              </v:shape>
            </w:pict>
          </mc:Fallback>
        </mc:AlternateContent>
      </w:r>
    </w:p>
    <w:p w14:paraId="28EE73B5" w14:textId="77777777" w:rsidR="002C1641" w:rsidRPr="00EC55EA" w:rsidRDefault="002C1641" w:rsidP="00EC55EA">
      <w:pPr>
        <w:tabs>
          <w:tab w:val="center" w:pos="5400"/>
        </w:tabs>
        <w:suppressAutoHyphens/>
        <w:jc w:val="center"/>
        <w:rPr>
          <w:rFonts w:asciiTheme="majorHAnsi" w:hAnsiTheme="majorHAnsi"/>
          <w:sz w:val="20"/>
          <w:szCs w:val="20"/>
          <w:lang w:val="es-ES_tradnl"/>
        </w:rPr>
      </w:pPr>
    </w:p>
    <w:p w14:paraId="5ED9ADDC" w14:textId="77777777" w:rsidR="002C1641" w:rsidRPr="00EC55EA" w:rsidRDefault="002C1641" w:rsidP="00EC55EA">
      <w:pPr>
        <w:tabs>
          <w:tab w:val="center" w:pos="5400"/>
        </w:tabs>
        <w:suppressAutoHyphens/>
        <w:jc w:val="center"/>
        <w:rPr>
          <w:rFonts w:asciiTheme="majorHAnsi" w:hAnsiTheme="majorHAnsi"/>
          <w:sz w:val="20"/>
          <w:szCs w:val="20"/>
          <w:lang w:val="es-ES_tradnl"/>
        </w:rPr>
      </w:pPr>
    </w:p>
    <w:p w14:paraId="5FEFB938" w14:textId="77777777" w:rsidR="003C32BC" w:rsidRPr="00EC55EA" w:rsidRDefault="003C32BC" w:rsidP="00EC55EA">
      <w:pPr>
        <w:tabs>
          <w:tab w:val="center" w:pos="5400"/>
        </w:tabs>
        <w:suppressAutoHyphens/>
        <w:jc w:val="center"/>
        <w:rPr>
          <w:rFonts w:asciiTheme="majorHAnsi" w:hAnsiTheme="majorHAnsi"/>
          <w:sz w:val="20"/>
          <w:szCs w:val="20"/>
        </w:rPr>
      </w:pPr>
    </w:p>
    <w:p w14:paraId="0AA1938E" w14:textId="239EE759" w:rsidR="003C32BC" w:rsidRPr="00EC55EA" w:rsidRDefault="006E3733" w:rsidP="00EC55EA">
      <w:pPr>
        <w:tabs>
          <w:tab w:val="center" w:pos="5400"/>
        </w:tabs>
        <w:suppressAutoHyphens/>
        <w:jc w:val="center"/>
        <w:rPr>
          <w:rFonts w:asciiTheme="majorHAnsi" w:hAnsiTheme="majorHAnsi"/>
          <w:sz w:val="20"/>
          <w:szCs w:val="20"/>
        </w:rPr>
      </w:pPr>
      <w:r>
        <w:rPr>
          <w:rFonts w:asciiTheme="majorHAnsi" w:hAnsiTheme="majorHAnsi"/>
          <w:noProof/>
          <w:sz w:val="20"/>
          <w:szCs w:val="20"/>
        </w:rPr>
        <w:drawing>
          <wp:anchor distT="0" distB="0" distL="114300" distR="114300" simplePos="0" relativeHeight="251687936" behindDoc="0" locked="0" layoutInCell="1" allowOverlap="1" wp14:anchorId="221DFEB3" wp14:editId="49AA2FEE">
            <wp:simplePos x="0" y="0"/>
            <wp:positionH relativeFrom="margin">
              <wp:posOffset>1352550</wp:posOffset>
            </wp:positionH>
            <wp:positionV relativeFrom="margin">
              <wp:posOffset>7781925</wp:posOffset>
            </wp:positionV>
            <wp:extent cx="1750576" cy="450362"/>
            <wp:effectExtent l="0" t="0" r="2540" b="698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50576" cy="450362"/>
                    </a:xfrm>
                    <a:prstGeom prst="rect">
                      <a:avLst/>
                    </a:prstGeom>
                  </pic:spPr>
                </pic:pic>
              </a:graphicData>
            </a:graphic>
          </wp:anchor>
        </w:drawing>
      </w:r>
      <w:r w:rsidR="00F83617">
        <w:rPr>
          <w:rFonts w:asciiTheme="majorHAnsi" w:hAnsiTheme="majorHAnsi"/>
          <w:noProof/>
          <w:sz w:val="20"/>
          <w:szCs w:val="20"/>
        </w:rPr>
        <mc:AlternateContent>
          <mc:Choice Requires="wps">
            <w:drawing>
              <wp:anchor distT="0" distB="0" distL="114300" distR="114300" simplePos="0" relativeHeight="251686912" behindDoc="0" locked="0" layoutInCell="1" allowOverlap="1" wp14:anchorId="590F4558" wp14:editId="07736CD0">
                <wp:simplePos x="0" y="0"/>
                <wp:positionH relativeFrom="column">
                  <wp:posOffset>-299085</wp:posOffset>
                </wp:positionH>
                <wp:positionV relativeFrom="paragraph">
                  <wp:posOffset>859155</wp:posOffset>
                </wp:positionV>
                <wp:extent cx="1181100" cy="3327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8CF4E8" w14:textId="77777777" w:rsidR="00873D49" w:rsidRPr="004B7EB6" w:rsidRDefault="00873D49"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F4558"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" filled="f" stroked="f" strokeweight=".5pt">
                <v:textbox>
                  <w:txbxContent>
                    <w:p w14:paraId="6A8CF4E8" w14:textId="77777777" w:rsidR="00873D49" w:rsidRPr="004B7EB6" w:rsidRDefault="00873D49"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73A66BE0" w14:textId="77777777" w:rsidR="007607C4" w:rsidRPr="00EC55EA" w:rsidRDefault="007607C4" w:rsidP="00EC55EA">
      <w:pPr>
        <w:tabs>
          <w:tab w:val="center" w:pos="5400"/>
        </w:tabs>
        <w:suppressAutoHyphens/>
        <w:jc w:val="center"/>
        <w:rPr>
          <w:rFonts w:asciiTheme="majorHAnsi" w:hAnsiTheme="majorHAnsi"/>
          <w:sz w:val="20"/>
          <w:szCs w:val="20"/>
        </w:rPr>
        <w:sectPr w:rsidR="007607C4" w:rsidRPr="00EC55EA">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p>
    <w:p w14:paraId="5285608B" w14:textId="3BE8908C" w:rsidR="00FC3EB4" w:rsidRPr="00EC55EA" w:rsidRDefault="00FC3EB4" w:rsidP="00EC55EA">
      <w:pPr>
        <w:tabs>
          <w:tab w:val="center" w:pos="5400"/>
        </w:tabs>
        <w:suppressAutoHyphens/>
        <w:spacing w:line="276" w:lineRule="auto"/>
        <w:jc w:val="center"/>
        <w:rPr>
          <w:rFonts w:asciiTheme="majorHAnsi" w:hAnsiTheme="majorHAnsi"/>
          <w:b/>
          <w:sz w:val="20"/>
          <w:szCs w:val="20"/>
        </w:rPr>
      </w:pPr>
      <w:r w:rsidRPr="00EC55EA">
        <w:rPr>
          <w:rFonts w:asciiTheme="majorHAnsi" w:hAnsiTheme="majorHAnsi"/>
          <w:b/>
          <w:sz w:val="20"/>
          <w:szCs w:val="20"/>
        </w:rPr>
        <w:lastRenderedPageBreak/>
        <w:t>IND</w:t>
      </w:r>
      <w:r w:rsidR="006E3733">
        <w:rPr>
          <w:rFonts w:asciiTheme="majorHAnsi" w:hAnsiTheme="majorHAnsi"/>
          <w:b/>
          <w:sz w:val="20"/>
          <w:szCs w:val="20"/>
        </w:rPr>
        <w:t>ICE</w:t>
      </w:r>
    </w:p>
    <w:p w14:paraId="61D58B30" w14:textId="77777777" w:rsidR="007607C4" w:rsidRPr="00C34A87" w:rsidRDefault="007607C4" w:rsidP="00EC55EA">
      <w:pPr>
        <w:tabs>
          <w:tab w:val="center" w:pos="5400"/>
        </w:tabs>
        <w:suppressAutoHyphens/>
        <w:spacing w:line="276" w:lineRule="auto"/>
        <w:rPr>
          <w:rFonts w:asciiTheme="majorHAnsi" w:hAnsiTheme="majorHAnsi"/>
          <w:sz w:val="20"/>
          <w:szCs w:val="20"/>
        </w:rPr>
      </w:pPr>
    </w:p>
    <w:p w14:paraId="66EE658E" w14:textId="7A713ED6" w:rsidR="00C34A87" w:rsidRPr="008379F8" w:rsidRDefault="00D31511">
      <w:pPr>
        <w:pStyle w:val="TOC1"/>
        <w:rPr>
          <w:rFonts w:eastAsiaTheme="minorEastAsia" w:cstheme="minorBidi"/>
          <w:b w:val="0"/>
          <w:bdr w:val="none" w:sz="0" w:space="0" w:color="auto"/>
          <w:lang w:val="es-US" w:eastAsia="zh-CN"/>
        </w:rPr>
      </w:pPr>
      <w:r w:rsidRPr="008379F8">
        <w:rPr>
          <w:b w:val="0"/>
        </w:rPr>
        <w:fldChar w:fldCharType="begin"/>
      </w:r>
      <w:r w:rsidR="00864785" w:rsidRPr="008379F8">
        <w:rPr>
          <w:b w:val="0"/>
          <w:lang w:val="en-US"/>
        </w:rPr>
        <w:instrText xml:space="preserve"> TOC \o "1-3" \h \z \u </w:instrText>
      </w:r>
      <w:r w:rsidRPr="008379F8">
        <w:rPr>
          <w:b w:val="0"/>
        </w:rPr>
        <w:fldChar w:fldCharType="separate"/>
      </w:r>
      <w:hyperlink w:anchor="_Toc90292565" w:history="1">
        <w:r w:rsidR="00C34A87" w:rsidRPr="008379F8">
          <w:rPr>
            <w:rStyle w:val="Hyperlink"/>
          </w:rPr>
          <w:t>I.</w:t>
        </w:r>
        <w:r w:rsidR="00C34A87" w:rsidRPr="008379F8">
          <w:rPr>
            <w:rFonts w:eastAsiaTheme="minorEastAsia" w:cstheme="minorBidi"/>
            <w:b w:val="0"/>
            <w:bdr w:val="none" w:sz="0" w:space="0" w:color="auto"/>
            <w:lang w:val="es-US" w:eastAsia="zh-CN"/>
          </w:rPr>
          <w:tab/>
        </w:r>
        <w:r w:rsidR="00C34A87" w:rsidRPr="008379F8">
          <w:rPr>
            <w:rStyle w:val="Hyperlink"/>
          </w:rPr>
          <w:t>INTRODUCCION</w:t>
        </w:r>
        <w:r w:rsidR="00C34A87" w:rsidRPr="008379F8">
          <w:rPr>
            <w:webHidden/>
          </w:rPr>
          <w:tab/>
        </w:r>
        <w:r w:rsidR="00C34A87" w:rsidRPr="008379F8">
          <w:rPr>
            <w:webHidden/>
          </w:rPr>
          <w:fldChar w:fldCharType="begin"/>
        </w:r>
        <w:r w:rsidR="00C34A87" w:rsidRPr="008379F8">
          <w:rPr>
            <w:webHidden/>
          </w:rPr>
          <w:instrText xml:space="preserve"> PAGEREF _Toc90292565 \h </w:instrText>
        </w:r>
        <w:r w:rsidR="00C34A87" w:rsidRPr="008379F8">
          <w:rPr>
            <w:webHidden/>
          </w:rPr>
        </w:r>
        <w:r w:rsidR="00C34A87" w:rsidRPr="008379F8">
          <w:rPr>
            <w:webHidden/>
          </w:rPr>
          <w:fldChar w:fldCharType="separate"/>
        </w:r>
        <w:r w:rsidR="00C34A87" w:rsidRPr="008379F8">
          <w:rPr>
            <w:webHidden/>
          </w:rPr>
          <w:t>3</w:t>
        </w:r>
        <w:r w:rsidR="00C34A87" w:rsidRPr="008379F8">
          <w:rPr>
            <w:webHidden/>
          </w:rPr>
          <w:fldChar w:fldCharType="end"/>
        </w:r>
      </w:hyperlink>
    </w:p>
    <w:p w14:paraId="62BAD472" w14:textId="13503906" w:rsidR="00C34A87" w:rsidRPr="008379F8" w:rsidRDefault="000F4996">
      <w:pPr>
        <w:pStyle w:val="TOC1"/>
        <w:rPr>
          <w:rFonts w:eastAsiaTheme="minorEastAsia" w:cstheme="minorBidi"/>
          <w:b w:val="0"/>
          <w:bdr w:val="none" w:sz="0" w:space="0" w:color="auto"/>
          <w:lang w:val="es-US" w:eastAsia="zh-CN"/>
        </w:rPr>
      </w:pPr>
      <w:hyperlink w:anchor="_Toc90292566" w:history="1">
        <w:r w:rsidR="00C34A87" w:rsidRPr="008379F8">
          <w:rPr>
            <w:rStyle w:val="Hyperlink"/>
          </w:rPr>
          <w:t>II.</w:t>
        </w:r>
        <w:r w:rsidR="00C34A87" w:rsidRPr="008379F8">
          <w:rPr>
            <w:rFonts w:eastAsiaTheme="minorEastAsia" w:cstheme="minorBidi"/>
            <w:b w:val="0"/>
            <w:bdr w:val="none" w:sz="0" w:space="0" w:color="auto"/>
            <w:lang w:val="es-US" w:eastAsia="zh-CN"/>
          </w:rPr>
          <w:tab/>
        </w:r>
        <w:r w:rsidR="00C34A87" w:rsidRPr="008379F8">
          <w:rPr>
            <w:rStyle w:val="Hyperlink"/>
          </w:rPr>
          <w:t>ALEGATOS DE LAS PARTES</w:t>
        </w:r>
        <w:r w:rsidR="00C34A87" w:rsidRPr="008379F8">
          <w:rPr>
            <w:webHidden/>
          </w:rPr>
          <w:tab/>
        </w:r>
        <w:r w:rsidR="00C34A87" w:rsidRPr="008379F8">
          <w:rPr>
            <w:webHidden/>
          </w:rPr>
          <w:fldChar w:fldCharType="begin"/>
        </w:r>
        <w:r w:rsidR="00C34A87" w:rsidRPr="008379F8">
          <w:rPr>
            <w:webHidden/>
          </w:rPr>
          <w:instrText xml:space="preserve"> PAGEREF _Toc90292566 \h </w:instrText>
        </w:r>
        <w:r w:rsidR="00C34A87" w:rsidRPr="008379F8">
          <w:rPr>
            <w:webHidden/>
          </w:rPr>
        </w:r>
        <w:r w:rsidR="00C34A87" w:rsidRPr="008379F8">
          <w:rPr>
            <w:webHidden/>
          </w:rPr>
          <w:fldChar w:fldCharType="separate"/>
        </w:r>
        <w:r w:rsidR="00C34A87" w:rsidRPr="008379F8">
          <w:rPr>
            <w:webHidden/>
          </w:rPr>
          <w:t>3</w:t>
        </w:r>
        <w:r w:rsidR="00C34A87" w:rsidRPr="008379F8">
          <w:rPr>
            <w:webHidden/>
          </w:rPr>
          <w:fldChar w:fldCharType="end"/>
        </w:r>
      </w:hyperlink>
    </w:p>
    <w:p w14:paraId="34750DC7" w14:textId="5AEF73D8" w:rsidR="00C34A87" w:rsidRPr="008379F8" w:rsidRDefault="000F4996">
      <w:pPr>
        <w:pStyle w:val="TOC2"/>
        <w:rPr>
          <w:rFonts w:asciiTheme="majorHAnsi" w:eastAsiaTheme="minorEastAsia" w:hAnsiTheme="majorHAnsi" w:cstheme="minorBidi"/>
          <w:sz w:val="20"/>
          <w:szCs w:val="20"/>
          <w:bdr w:val="none" w:sz="0" w:space="0" w:color="auto"/>
          <w:lang w:val="es-US" w:eastAsia="zh-CN"/>
        </w:rPr>
      </w:pPr>
      <w:hyperlink w:anchor="_Toc90292567" w:history="1">
        <w:r w:rsidR="00C34A87" w:rsidRPr="008379F8">
          <w:rPr>
            <w:rStyle w:val="Hyperlink"/>
            <w:rFonts w:asciiTheme="majorHAnsi" w:hAnsiTheme="majorHAnsi"/>
            <w:sz w:val="20"/>
            <w:szCs w:val="20"/>
          </w:rPr>
          <w:t>A.</w:t>
        </w:r>
        <w:r w:rsidR="00C34A87" w:rsidRPr="008379F8">
          <w:rPr>
            <w:rFonts w:asciiTheme="majorHAnsi" w:eastAsiaTheme="minorEastAsia" w:hAnsiTheme="majorHAnsi" w:cstheme="minorBidi"/>
            <w:sz w:val="20"/>
            <w:szCs w:val="20"/>
            <w:bdr w:val="none" w:sz="0" w:space="0" w:color="auto"/>
            <w:lang w:val="es-US" w:eastAsia="zh-CN"/>
          </w:rPr>
          <w:tab/>
        </w:r>
        <w:r w:rsidR="00C34A87" w:rsidRPr="008379F8">
          <w:rPr>
            <w:rStyle w:val="Hyperlink"/>
            <w:rFonts w:asciiTheme="majorHAnsi" w:hAnsiTheme="majorHAnsi"/>
            <w:sz w:val="20"/>
            <w:szCs w:val="20"/>
          </w:rPr>
          <w:t>La parte peticionaria</w:t>
        </w:r>
        <w:r w:rsidR="00C34A87" w:rsidRPr="008379F8">
          <w:rPr>
            <w:rFonts w:asciiTheme="majorHAnsi" w:hAnsiTheme="majorHAnsi"/>
            <w:webHidden/>
            <w:sz w:val="20"/>
            <w:szCs w:val="20"/>
          </w:rPr>
          <w:tab/>
        </w:r>
        <w:r w:rsidR="00C34A87" w:rsidRPr="008379F8">
          <w:rPr>
            <w:rFonts w:asciiTheme="majorHAnsi" w:hAnsiTheme="majorHAnsi"/>
            <w:webHidden/>
            <w:sz w:val="20"/>
            <w:szCs w:val="20"/>
          </w:rPr>
          <w:fldChar w:fldCharType="begin"/>
        </w:r>
        <w:r w:rsidR="00C34A87" w:rsidRPr="008379F8">
          <w:rPr>
            <w:rFonts w:asciiTheme="majorHAnsi" w:hAnsiTheme="majorHAnsi"/>
            <w:webHidden/>
            <w:sz w:val="20"/>
            <w:szCs w:val="20"/>
          </w:rPr>
          <w:instrText xml:space="preserve"> PAGEREF _Toc90292567 \h </w:instrText>
        </w:r>
        <w:r w:rsidR="00C34A87" w:rsidRPr="008379F8">
          <w:rPr>
            <w:rFonts w:asciiTheme="majorHAnsi" w:hAnsiTheme="majorHAnsi"/>
            <w:webHidden/>
            <w:sz w:val="20"/>
            <w:szCs w:val="20"/>
          </w:rPr>
        </w:r>
        <w:r w:rsidR="00C34A87" w:rsidRPr="008379F8">
          <w:rPr>
            <w:rFonts w:asciiTheme="majorHAnsi" w:hAnsiTheme="majorHAnsi"/>
            <w:webHidden/>
            <w:sz w:val="20"/>
            <w:szCs w:val="20"/>
          </w:rPr>
          <w:fldChar w:fldCharType="separate"/>
        </w:r>
        <w:r w:rsidR="00C34A87" w:rsidRPr="008379F8">
          <w:rPr>
            <w:rFonts w:asciiTheme="majorHAnsi" w:hAnsiTheme="majorHAnsi"/>
            <w:webHidden/>
            <w:sz w:val="20"/>
            <w:szCs w:val="20"/>
          </w:rPr>
          <w:t>3</w:t>
        </w:r>
        <w:r w:rsidR="00C34A87" w:rsidRPr="008379F8">
          <w:rPr>
            <w:rFonts w:asciiTheme="majorHAnsi" w:hAnsiTheme="majorHAnsi"/>
            <w:webHidden/>
            <w:sz w:val="20"/>
            <w:szCs w:val="20"/>
          </w:rPr>
          <w:fldChar w:fldCharType="end"/>
        </w:r>
      </w:hyperlink>
    </w:p>
    <w:p w14:paraId="099E6882" w14:textId="2976AC94" w:rsidR="00C34A87" w:rsidRPr="008379F8" w:rsidRDefault="000F4996">
      <w:pPr>
        <w:pStyle w:val="TOC2"/>
        <w:rPr>
          <w:rFonts w:asciiTheme="majorHAnsi" w:eastAsiaTheme="minorEastAsia" w:hAnsiTheme="majorHAnsi" w:cstheme="minorBidi"/>
          <w:sz w:val="20"/>
          <w:szCs w:val="20"/>
          <w:bdr w:val="none" w:sz="0" w:space="0" w:color="auto"/>
          <w:lang w:val="es-US" w:eastAsia="zh-CN"/>
        </w:rPr>
      </w:pPr>
      <w:hyperlink w:anchor="_Toc90292568" w:history="1">
        <w:r w:rsidR="00C34A87" w:rsidRPr="008379F8">
          <w:rPr>
            <w:rStyle w:val="Hyperlink"/>
            <w:rFonts w:asciiTheme="majorHAnsi" w:hAnsiTheme="majorHAnsi"/>
            <w:sz w:val="20"/>
            <w:szCs w:val="20"/>
          </w:rPr>
          <w:t>B.</w:t>
        </w:r>
        <w:r w:rsidR="00C34A87" w:rsidRPr="008379F8">
          <w:rPr>
            <w:rFonts w:asciiTheme="majorHAnsi" w:eastAsiaTheme="minorEastAsia" w:hAnsiTheme="majorHAnsi" w:cstheme="minorBidi"/>
            <w:sz w:val="20"/>
            <w:szCs w:val="20"/>
            <w:bdr w:val="none" w:sz="0" w:space="0" w:color="auto"/>
            <w:lang w:val="es-US" w:eastAsia="zh-CN"/>
          </w:rPr>
          <w:tab/>
        </w:r>
        <w:r w:rsidR="00C34A87" w:rsidRPr="008379F8">
          <w:rPr>
            <w:rStyle w:val="Hyperlink"/>
            <w:rFonts w:asciiTheme="majorHAnsi" w:hAnsiTheme="majorHAnsi"/>
            <w:sz w:val="20"/>
            <w:szCs w:val="20"/>
          </w:rPr>
          <w:t>El Estado</w:t>
        </w:r>
        <w:r w:rsidR="00C34A87" w:rsidRPr="008379F8">
          <w:rPr>
            <w:rFonts w:asciiTheme="majorHAnsi" w:hAnsiTheme="majorHAnsi"/>
            <w:webHidden/>
            <w:sz w:val="20"/>
            <w:szCs w:val="20"/>
          </w:rPr>
          <w:tab/>
        </w:r>
        <w:r w:rsidR="00C34A87" w:rsidRPr="008379F8">
          <w:rPr>
            <w:rFonts w:asciiTheme="majorHAnsi" w:hAnsiTheme="majorHAnsi"/>
            <w:webHidden/>
            <w:sz w:val="20"/>
            <w:szCs w:val="20"/>
          </w:rPr>
          <w:fldChar w:fldCharType="begin"/>
        </w:r>
        <w:r w:rsidR="00C34A87" w:rsidRPr="008379F8">
          <w:rPr>
            <w:rFonts w:asciiTheme="majorHAnsi" w:hAnsiTheme="majorHAnsi"/>
            <w:webHidden/>
            <w:sz w:val="20"/>
            <w:szCs w:val="20"/>
          </w:rPr>
          <w:instrText xml:space="preserve"> PAGEREF _Toc90292568 \h </w:instrText>
        </w:r>
        <w:r w:rsidR="00C34A87" w:rsidRPr="008379F8">
          <w:rPr>
            <w:rFonts w:asciiTheme="majorHAnsi" w:hAnsiTheme="majorHAnsi"/>
            <w:webHidden/>
            <w:sz w:val="20"/>
            <w:szCs w:val="20"/>
          </w:rPr>
        </w:r>
        <w:r w:rsidR="00C34A87" w:rsidRPr="008379F8">
          <w:rPr>
            <w:rFonts w:asciiTheme="majorHAnsi" w:hAnsiTheme="majorHAnsi"/>
            <w:webHidden/>
            <w:sz w:val="20"/>
            <w:szCs w:val="20"/>
          </w:rPr>
          <w:fldChar w:fldCharType="separate"/>
        </w:r>
        <w:r w:rsidR="00C34A87" w:rsidRPr="008379F8">
          <w:rPr>
            <w:rFonts w:asciiTheme="majorHAnsi" w:hAnsiTheme="majorHAnsi"/>
            <w:webHidden/>
            <w:sz w:val="20"/>
            <w:szCs w:val="20"/>
          </w:rPr>
          <w:t>3</w:t>
        </w:r>
        <w:r w:rsidR="00C34A87" w:rsidRPr="008379F8">
          <w:rPr>
            <w:rFonts w:asciiTheme="majorHAnsi" w:hAnsiTheme="majorHAnsi"/>
            <w:webHidden/>
            <w:sz w:val="20"/>
            <w:szCs w:val="20"/>
          </w:rPr>
          <w:fldChar w:fldCharType="end"/>
        </w:r>
      </w:hyperlink>
    </w:p>
    <w:p w14:paraId="1D1BF535" w14:textId="74A1EB65" w:rsidR="00C34A87" w:rsidRPr="008379F8" w:rsidRDefault="000F4996">
      <w:pPr>
        <w:pStyle w:val="TOC1"/>
        <w:rPr>
          <w:rFonts w:eastAsiaTheme="minorEastAsia" w:cstheme="minorBidi"/>
          <w:b w:val="0"/>
          <w:bdr w:val="none" w:sz="0" w:space="0" w:color="auto"/>
          <w:lang w:val="es-US" w:eastAsia="zh-CN"/>
        </w:rPr>
      </w:pPr>
      <w:hyperlink w:anchor="_Toc90292569" w:history="1">
        <w:r w:rsidR="00C34A87" w:rsidRPr="008379F8">
          <w:rPr>
            <w:rStyle w:val="Hyperlink"/>
          </w:rPr>
          <w:t>III.</w:t>
        </w:r>
        <w:r w:rsidR="00C34A87" w:rsidRPr="008379F8">
          <w:rPr>
            <w:rFonts w:eastAsiaTheme="minorEastAsia" w:cstheme="minorBidi"/>
            <w:b w:val="0"/>
            <w:bdr w:val="none" w:sz="0" w:space="0" w:color="auto"/>
            <w:lang w:val="es-US" w:eastAsia="zh-CN"/>
          </w:rPr>
          <w:tab/>
        </w:r>
        <w:r w:rsidR="00C34A87" w:rsidRPr="008379F8">
          <w:rPr>
            <w:rStyle w:val="Hyperlink"/>
          </w:rPr>
          <w:t>ADMISIBILIDAD</w:t>
        </w:r>
        <w:r w:rsidR="00C34A87" w:rsidRPr="008379F8">
          <w:rPr>
            <w:webHidden/>
          </w:rPr>
          <w:tab/>
        </w:r>
        <w:r w:rsidR="00C34A87" w:rsidRPr="008379F8">
          <w:rPr>
            <w:webHidden/>
          </w:rPr>
          <w:fldChar w:fldCharType="begin"/>
        </w:r>
        <w:r w:rsidR="00C34A87" w:rsidRPr="008379F8">
          <w:rPr>
            <w:webHidden/>
          </w:rPr>
          <w:instrText xml:space="preserve"> PAGEREF _Toc90292569 \h </w:instrText>
        </w:r>
        <w:r w:rsidR="00C34A87" w:rsidRPr="008379F8">
          <w:rPr>
            <w:webHidden/>
          </w:rPr>
        </w:r>
        <w:r w:rsidR="00C34A87" w:rsidRPr="008379F8">
          <w:rPr>
            <w:webHidden/>
          </w:rPr>
          <w:fldChar w:fldCharType="separate"/>
        </w:r>
        <w:r w:rsidR="00C34A87" w:rsidRPr="008379F8">
          <w:rPr>
            <w:webHidden/>
          </w:rPr>
          <w:t>4</w:t>
        </w:r>
        <w:r w:rsidR="00C34A87" w:rsidRPr="008379F8">
          <w:rPr>
            <w:webHidden/>
          </w:rPr>
          <w:fldChar w:fldCharType="end"/>
        </w:r>
      </w:hyperlink>
    </w:p>
    <w:p w14:paraId="549AABA6" w14:textId="6DA944D9" w:rsidR="00C34A87" w:rsidRPr="008379F8" w:rsidRDefault="000F4996">
      <w:pPr>
        <w:pStyle w:val="TOC2"/>
        <w:rPr>
          <w:rFonts w:asciiTheme="majorHAnsi" w:eastAsiaTheme="minorEastAsia" w:hAnsiTheme="majorHAnsi" w:cstheme="minorBidi"/>
          <w:sz w:val="20"/>
          <w:szCs w:val="20"/>
          <w:bdr w:val="none" w:sz="0" w:space="0" w:color="auto"/>
          <w:lang w:val="es-US" w:eastAsia="zh-CN"/>
        </w:rPr>
      </w:pPr>
      <w:hyperlink w:anchor="_Toc90292570" w:history="1">
        <w:r w:rsidR="00C34A87" w:rsidRPr="008379F8">
          <w:rPr>
            <w:rStyle w:val="Hyperlink"/>
            <w:rFonts w:asciiTheme="majorHAnsi" w:hAnsiTheme="majorHAnsi"/>
            <w:sz w:val="20"/>
            <w:szCs w:val="20"/>
            <w:lang w:val="es-ES"/>
          </w:rPr>
          <w:t>A.</w:t>
        </w:r>
        <w:r w:rsidR="00C34A87" w:rsidRPr="008379F8">
          <w:rPr>
            <w:rFonts w:asciiTheme="majorHAnsi" w:eastAsiaTheme="minorEastAsia" w:hAnsiTheme="majorHAnsi" w:cstheme="minorBidi"/>
            <w:sz w:val="20"/>
            <w:szCs w:val="20"/>
            <w:bdr w:val="none" w:sz="0" w:space="0" w:color="auto"/>
            <w:lang w:val="es-US" w:eastAsia="zh-CN"/>
          </w:rPr>
          <w:tab/>
        </w:r>
        <w:r w:rsidR="00C34A87" w:rsidRPr="008379F8">
          <w:rPr>
            <w:rStyle w:val="Hyperlink"/>
            <w:rFonts w:asciiTheme="majorHAnsi" w:hAnsiTheme="majorHAnsi"/>
            <w:sz w:val="20"/>
            <w:szCs w:val="20"/>
            <w:lang w:val="es-ES"/>
          </w:rPr>
          <w:t>Competencia, duplicidad de procedimientos y cosa juzgada internacional</w:t>
        </w:r>
        <w:r w:rsidR="00C34A87" w:rsidRPr="008379F8">
          <w:rPr>
            <w:rFonts w:asciiTheme="majorHAnsi" w:hAnsiTheme="majorHAnsi"/>
            <w:webHidden/>
            <w:sz w:val="20"/>
            <w:szCs w:val="20"/>
          </w:rPr>
          <w:tab/>
        </w:r>
        <w:r w:rsidR="00C34A87" w:rsidRPr="008379F8">
          <w:rPr>
            <w:rFonts w:asciiTheme="majorHAnsi" w:hAnsiTheme="majorHAnsi"/>
            <w:webHidden/>
            <w:sz w:val="20"/>
            <w:szCs w:val="20"/>
          </w:rPr>
          <w:fldChar w:fldCharType="begin"/>
        </w:r>
        <w:r w:rsidR="00C34A87" w:rsidRPr="008379F8">
          <w:rPr>
            <w:rFonts w:asciiTheme="majorHAnsi" w:hAnsiTheme="majorHAnsi"/>
            <w:webHidden/>
            <w:sz w:val="20"/>
            <w:szCs w:val="20"/>
          </w:rPr>
          <w:instrText xml:space="preserve"> PAGEREF _Toc90292570 \h </w:instrText>
        </w:r>
        <w:r w:rsidR="00C34A87" w:rsidRPr="008379F8">
          <w:rPr>
            <w:rFonts w:asciiTheme="majorHAnsi" w:hAnsiTheme="majorHAnsi"/>
            <w:webHidden/>
            <w:sz w:val="20"/>
            <w:szCs w:val="20"/>
          </w:rPr>
        </w:r>
        <w:r w:rsidR="00C34A87" w:rsidRPr="008379F8">
          <w:rPr>
            <w:rFonts w:asciiTheme="majorHAnsi" w:hAnsiTheme="majorHAnsi"/>
            <w:webHidden/>
            <w:sz w:val="20"/>
            <w:szCs w:val="20"/>
          </w:rPr>
          <w:fldChar w:fldCharType="separate"/>
        </w:r>
        <w:r w:rsidR="00C34A87" w:rsidRPr="008379F8">
          <w:rPr>
            <w:rFonts w:asciiTheme="majorHAnsi" w:hAnsiTheme="majorHAnsi"/>
            <w:webHidden/>
            <w:sz w:val="20"/>
            <w:szCs w:val="20"/>
          </w:rPr>
          <w:t>4</w:t>
        </w:r>
        <w:r w:rsidR="00C34A87" w:rsidRPr="008379F8">
          <w:rPr>
            <w:rFonts w:asciiTheme="majorHAnsi" w:hAnsiTheme="majorHAnsi"/>
            <w:webHidden/>
            <w:sz w:val="20"/>
            <w:szCs w:val="20"/>
          </w:rPr>
          <w:fldChar w:fldCharType="end"/>
        </w:r>
      </w:hyperlink>
    </w:p>
    <w:p w14:paraId="4CB7DE63" w14:textId="1E79DBEA" w:rsidR="00C34A87" w:rsidRPr="008379F8" w:rsidRDefault="000F4996">
      <w:pPr>
        <w:pStyle w:val="TOC2"/>
        <w:rPr>
          <w:rFonts w:asciiTheme="majorHAnsi" w:eastAsiaTheme="minorEastAsia" w:hAnsiTheme="majorHAnsi" w:cstheme="minorBidi"/>
          <w:sz w:val="20"/>
          <w:szCs w:val="20"/>
          <w:bdr w:val="none" w:sz="0" w:space="0" w:color="auto"/>
          <w:lang w:val="es-US" w:eastAsia="zh-CN"/>
        </w:rPr>
      </w:pPr>
      <w:hyperlink w:anchor="_Toc90292571" w:history="1">
        <w:r w:rsidR="00C34A87" w:rsidRPr="008379F8">
          <w:rPr>
            <w:rStyle w:val="Hyperlink"/>
            <w:rFonts w:asciiTheme="majorHAnsi" w:hAnsiTheme="majorHAnsi" w:cs="Tahoma"/>
            <w:sz w:val="20"/>
            <w:szCs w:val="20"/>
            <w:lang w:val="es-ES"/>
          </w:rPr>
          <w:t>B.</w:t>
        </w:r>
        <w:r w:rsidR="00C34A87" w:rsidRPr="008379F8">
          <w:rPr>
            <w:rFonts w:asciiTheme="majorHAnsi" w:eastAsiaTheme="minorEastAsia" w:hAnsiTheme="majorHAnsi" w:cstheme="minorBidi"/>
            <w:sz w:val="20"/>
            <w:szCs w:val="20"/>
            <w:bdr w:val="none" w:sz="0" w:space="0" w:color="auto"/>
            <w:lang w:val="es-US" w:eastAsia="zh-CN"/>
          </w:rPr>
          <w:tab/>
        </w:r>
        <w:r w:rsidR="00C34A87" w:rsidRPr="008379F8">
          <w:rPr>
            <w:rStyle w:val="Hyperlink"/>
            <w:rFonts w:asciiTheme="majorHAnsi" w:hAnsiTheme="majorHAnsi" w:cs="Tahoma"/>
            <w:sz w:val="20"/>
            <w:szCs w:val="20"/>
            <w:shd w:val="clear" w:color="auto" w:fill="FFFFFF"/>
            <w:lang w:val="es-ES"/>
          </w:rPr>
          <w:t>Agotamiento de los recursos internos y plazo de presentación</w:t>
        </w:r>
        <w:r w:rsidR="00C34A87" w:rsidRPr="008379F8">
          <w:rPr>
            <w:rFonts w:asciiTheme="majorHAnsi" w:hAnsiTheme="majorHAnsi"/>
            <w:webHidden/>
            <w:sz w:val="20"/>
            <w:szCs w:val="20"/>
          </w:rPr>
          <w:tab/>
        </w:r>
        <w:r w:rsidR="00C34A87" w:rsidRPr="008379F8">
          <w:rPr>
            <w:rFonts w:asciiTheme="majorHAnsi" w:hAnsiTheme="majorHAnsi"/>
            <w:webHidden/>
            <w:sz w:val="20"/>
            <w:szCs w:val="20"/>
          </w:rPr>
          <w:fldChar w:fldCharType="begin"/>
        </w:r>
        <w:r w:rsidR="00C34A87" w:rsidRPr="008379F8">
          <w:rPr>
            <w:rFonts w:asciiTheme="majorHAnsi" w:hAnsiTheme="majorHAnsi"/>
            <w:webHidden/>
            <w:sz w:val="20"/>
            <w:szCs w:val="20"/>
          </w:rPr>
          <w:instrText xml:space="preserve"> PAGEREF _Toc90292571 \h </w:instrText>
        </w:r>
        <w:r w:rsidR="00C34A87" w:rsidRPr="008379F8">
          <w:rPr>
            <w:rFonts w:asciiTheme="majorHAnsi" w:hAnsiTheme="majorHAnsi"/>
            <w:webHidden/>
            <w:sz w:val="20"/>
            <w:szCs w:val="20"/>
          </w:rPr>
        </w:r>
        <w:r w:rsidR="00C34A87" w:rsidRPr="008379F8">
          <w:rPr>
            <w:rFonts w:asciiTheme="majorHAnsi" w:hAnsiTheme="majorHAnsi"/>
            <w:webHidden/>
            <w:sz w:val="20"/>
            <w:szCs w:val="20"/>
          </w:rPr>
          <w:fldChar w:fldCharType="separate"/>
        </w:r>
        <w:r w:rsidR="00C34A87" w:rsidRPr="008379F8">
          <w:rPr>
            <w:rFonts w:asciiTheme="majorHAnsi" w:hAnsiTheme="majorHAnsi"/>
            <w:webHidden/>
            <w:sz w:val="20"/>
            <w:szCs w:val="20"/>
          </w:rPr>
          <w:t>4</w:t>
        </w:r>
        <w:r w:rsidR="00C34A87" w:rsidRPr="008379F8">
          <w:rPr>
            <w:rFonts w:asciiTheme="majorHAnsi" w:hAnsiTheme="majorHAnsi"/>
            <w:webHidden/>
            <w:sz w:val="20"/>
            <w:szCs w:val="20"/>
          </w:rPr>
          <w:fldChar w:fldCharType="end"/>
        </w:r>
      </w:hyperlink>
    </w:p>
    <w:p w14:paraId="44DB690F" w14:textId="332D9CBC" w:rsidR="00C34A87" w:rsidRPr="008379F8" w:rsidRDefault="000F4996">
      <w:pPr>
        <w:pStyle w:val="TOC2"/>
        <w:rPr>
          <w:rFonts w:asciiTheme="majorHAnsi" w:eastAsiaTheme="minorEastAsia" w:hAnsiTheme="majorHAnsi" w:cstheme="minorBidi"/>
          <w:sz w:val="20"/>
          <w:szCs w:val="20"/>
          <w:bdr w:val="none" w:sz="0" w:space="0" w:color="auto"/>
          <w:lang w:val="es-US" w:eastAsia="zh-CN"/>
        </w:rPr>
      </w:pPr>
      <w:hyperlink w:anchor="_Toc90292572" w:history="1">
        <w:r w:rsidR="00C34A87" w:rsidRPr="008379F8">
          <w:rPr>
            <w:rStyle w:val="Hyperlink"/>
            <w:rFonts w:asciiTheme="majorHAnsi" w:hAnsiTheme="majorHAnsi"/>
            <w:sz w:val="20"/>
            <w:szCs w:val="20"/>
            <w:lang w:val="es-ES"/>
          </w:rPr>
          <w:t>C.</w:t>
        </w:r>
        <w:r w:rsidR="00C34A87" w:rsidRPr="008379F8">
          <w:rPr>
            <w:rFonts w:asciiTheme="majorHAnsi" w:eastAsiaTheme="minorEastAsia" w:hAnsiTheme="majorHAnsi" w:cstheme="minorBidi"/>
            <w:sz w:val="20"/>
            <w:szCs w:val="20"/>
            <w:bdr w:val="none" w:sz="0" w:space="0" w:color="auto"/>
            <w:lang w:val="es-US" w:eastAsia="zh-CN"/>
          </w:rPr>
          <w:tab/>
        </w:r>
        <w:r w:rsidR="00C34A87" w:rsidRPr="008379F8">
          <w:rPr>
            <w:rStyle w:val="Hyperlink"/>
            <w:rFonts w:asciiTheme="majorHAnsi" w:hAnsiTheme="majorHAnsi"/>
            <w:sz w:val="20"/>
            <w:szCs w:val="20"/>
            <w:lang w:val="es-ES"/>
          </w:rPr>
          <w:t>Caracterización de los hechos alegados</w:t>
        </w:r>
        <w:r w:rsidR="00C34A87" w:rsidRPr="008379F8">
          <w:rPr>
            <w:rFonts w:asciiTheme="majorHAnsi" w:hAnsiTheme="majorHAnsi"/>
            <w:webHidden/>
            <w:sz w:val="20"/>
            <w:szCs w:val="20"/>
          </w:rPr>
          <w:tab/>
        </w:r>
        <w:r w:rsidR="00C34A87" w:rsidRPr="008379F8">
          <w:rPr>
            <w:rFonts w:asciiTheme="majorHAnsi" w:hAnsiTheme="majorHAnsi"/>
            <w:webHidden/>
            <w:sz w:val="20"/>
            <w:szCs w:val="20"/>
          </w:rPr>
          <w:fldChar w:fldCharType="begin"/>
        </w:r>
        <w:r w:rsidR="00C34A87" w:rsidRPr="008379F8">
          <w:rPr>
            <w:rFonts w:asciiTheme="majorHAnsi" w:hAnsiTheme="majorHAnsi"/>
            <w:webHidden/>
            <w:sz w:val="20"/>
            <w:szCs w:val="20"/>
          </w:rPr>
          <w:instrText xml:space="preserve"> PAGEREF _Toc90292572 \h </w:instrText>
        </w:r>
        <w:r w:rsidR="00C34A87" w:rsidRPr="008379F8">
          <w:rPr>
            <w:rFonts w:asciiTheme="majorHAnsi" w:hAnsiTheme="majorHAnsi"/>
            <w:webHidden/>
            <w:sz w:val="20"/>
            <w:szCs w:val="20"/>
          </w:rPr>
        </w:r>
        <w:r w:rsidR="00C34A87" w:rsidRPr="008379F8">
          <w:rPr>
            <w:rFonts w:asciiTheme="majorHAnsi" w:hAnsiTheme="majorHAnsi"/>
            <w:webHidden/>
            <w:sz w:val="20"/>
            <w:szCs w:val="20"/>
          </w:rPr>
          <w:fldChar w:fldCharType="separate"/>
        </w:r>
        <w:r w:rsidR="00C34A87" w:rsidRPr="008379F8">
          <w:rPr>
            <w:rFonts w:asciiTheme="majorHAnsi" w:hAnsiTheme="majorHAnsi"/>
            <w:webHidden/>
            <w:sz w:val="20"/>
            <w:szCs w:val="20"/>
          </w:rPr>
          <w:t>5</w:t>
        </w:r>
        <w:r w:rsidR="00C34A87" w:rsidRPr="008379F8">
          <w:rPr>
            <w:rFonts w:asciiTheme="majorHAnsi" w:hAnsiTheme="majorHAnsi"/>
            <w:webHidden/>
            <w:sz w:val="20"/>
            <w:szCs w:val="20"/>
          </w:rPr>
          <w:fldChar w:fldCharType="end"/>
        </w:r>
      </w:hyperlink>
    </w:p>
    <w:p w14:paraId="305A5046" w14:textId="6048E132" w:rsidR="00C34A87" w:rsidRPr="008379F8" w:rsidRDefault="000F4996">
      <w:pPr>
        <w:pStyle w:val="TOC1"/>
        <w:rPr>
          <w:rFonts w:eastAsiaTheme="minorEastAsia" w:cstheme="minorBidi"/>
          <w:b w:val="0"/>
          <w:bdr w:val="none" w:sz="0" w:space="0" w:color="auto"/>
          <w:lang w:val="es-US" w:eastAsia="zh-CN"/>
        </w:rPr>
      </w:pPr>
      <w:hyperlink w:anchor="_Toc90292573" w:history="1">
        <w:r w:rsidR="00C34A87" w:rsidRPr="008379F8">
          <w:rPr>
            <w:rStyle w:val="Hyperlink"/>
          </w:rPr>
          <w:t>IV.</w:t>
        </w:r>
        <w:r w:rsidR="00C34A87" w:rsidRPr="008379F8">
          <w:rPr>
            <w:rFonts w:eastAsiaTheme="minorEastAsia" w:cstheme="minorBidi"/>
            <w:b w:val="0"/>
            <w:bdr w:val="none" w:sz="0" w:space="0" w:color="auto"/>
            <w:lang w:val="es-US" w:eastAsia="zh-CN"/>
          </w:rPr>
          <w:tab/>
        </w:r>
        <w:r w:rsidR="00C34A87" w:rsidRPr="008379F8">
          <w:rPr>
            <w:rStyle w:val="Hyperlink"/>
          </w:rPr>
          <w:t>DETERMINACIONES DE HECHO</w:t>
        </w:r>
        <w:r w:rsidR="00C34A87" w:rsidRPr="008379F8">
          <w:rPr>
            <w:webHidden/>
          </w:rPr>
          <w:tab/>
        </w:r>
        <w:r w:rsidR="00C34A87" w:rsidRPr="008379F8">
          <w:rPr>
            <w:webHidden/>
          </w:rPr>
          <w:fldChar w:fldCharType="begin"/>
        </w:r>
        <w:r w:rsidR="00C34A87" w:rsidRPr="008379F8">
          <w:rPr>
            <w:webHidden/>
          </w:rPr>
          <w:instrText xml:space="preserve"> PAGEREF _Toc90292573 \h </w:instrText>
        </w:r>
        <w:r w:rsidR="00C34A87" w:rsidRPr="008379F8">
          <w:rPr>
            <w:webHidden/>
          </w:rPr>
        </w:r>
        <w:r w:rsidR="00C34A87" w:rsidRPr="008379F8">
          <w:rPr>
            <w:webHidden/>
          </w:rPr>
          <w:fldChar w:fldCharType="separate"/>
        </w:r>
        <w:r w:rsidR="00C34A87" w:rsidRPr="008379F8">
          <w:rPr>
            <w:webHidden/>
          </w:rPr>
          <w:t>5</w:t>
        </w:r>
        <w:r w:rsidR="00C34A87" w:rsidRPr="008379F8">
          <w:rPr>
            <w:webHidden/>
          </w:rPr>
          <w:fldChar w:fldCharType="end"/>
        </w:r>
      </w:hyperlink>
    </w:p>
    <w:p w14:paraId="13C64F85" w14:textId="7E197A0C" w:rsidR="00C34A87" w:rsidRPr="008379F8" w:rsidRDefault="000F4996">
      <w:pPr>
        <w:pStyle w:val="TOC2"/>
        <w:rPr>
          <w:rFonts w:asciiTheme="majorHAnsi" w:eastAsiaTheme="minorEastAsia" w:hAnsiTheme="majorHAnsi" w:cstheme="minorBidi"/>
          <w:sz w:val="20"/>
          <w:szCs w:val="20"/>
          <w:bdr w:val="none" w:sz="0" w:space="0" w:color="auto"/>
          <w:lang w:val="es-US" w:eastAsia="zh-CN"/>
        </w:rPr>
      </w:pPr>
      <w:hyperlink w:anchor="_Toc90292574" w:history="1">
        <w:r w:rsidR="00C34A87" w:rsidRPr="008379F8">
          <w:rPr>
            <w:rStyle w:val="Hyperlink"/>
            <w:rFonts w:asciiTheme="majorHAnsi" w:hAnsiTheme="majorHAnsi"/>
            <w:sz w:val="20"/>
            <w:szCs w:val="20"/>
          </w:rPr>
          <w:t>A.</w:t>
        </w:r>
        <w:r w:rsidR="00C34A87" w:rsidRPr="008379F8">
          <w:rPr>
            <w:rFonts w:asciiTheme="majorHAnsi" w:eastAsiaTheme="minorEastAsia" w:hAnsiTheme="majorHAnsi" w:cstheme="minorBidi"/>
            <w:sz w:val="20"/>
            <w:szCs w:val="20"/>
            <w:bdr w:val="none" w:sz="0" w:space="0" w:color="auto"/>
            <w:lang w:val="es-US" w:eastAsia="zh-CN"/>
          </w:rPr>
          <w:tab/>
        </w:r>
        <w:r w:rsidR="00C34A87" w:rsidRPr="008379F8">
          <w:rPr>
            <w:rStyle w:val="Hyperlink"/>
            <w:rFonts w:asciiTheme="majorHAnsi" w:hAnsiTheme="majorHAnsi"/>
            <w:sz w:val="20"/>
            <w:szCs w:val="20"/>
          </w:rPr>
          <w:t>Hechos del caso</w:t>
        </w:r>
        <w:r w:rsidR="00C34A87" w:rsidRPr="008379F8">
          <w:rPr>
            <w:rFonts w:asciiTheme="majorHAnsi" w:hAnsiTheme="majorHAnsi"/>
            <w:webHidden/>
            <w:sz w:val="20"/>
            <w:szCs w:val="20"/>
          </w:rPr>
          <w:tab/>
        </w:r>
        <w:r w:rsidR="00C34A87" w:rsidRPr="008379F8">
          <w:rPr>
            <w:rFonts w:asciiTheme="majorHAnsi" w:hAnsiTheme="majorHAnsi"/>
            <w:webHidden/>
            <w:sz w:val="20"/>
            <w:szCs w:val="20"/>
          </w:rPr>
          <w:fldChar w:fldCharType="begin"/>
        </w:r>
        <w:r w:rsidR="00C34A87" w:rsidRPr="008379F8">
          <w:rPr>
            <w:rFonts w:asciiTheme="majorHAnsi" w:hAnsiTheme="majorHAnsi"/>
            <w:webHidden/>
            <w:sz w:val="20"/>
            <w:szCs w:val="20"/>
          </w:rPr>
          <w:instrText xml:space="preserve"> PAGEREF _Toc90292574 \h </w:instrText>
        </w:r>
        <w:r w:rsidR="00C34A87" w:rsidRPr="008379F8">
          <w:rPr>
            <w:rFonts w:asciiTheme="majorHAnsi" w:hAnsiTheme="majorHAnsi"/>
            <w:webHidden/>
            <w:sz w:val="20"/>
            <w:szCs w:val="20"/>
          </w:rPr>
        </w:r>
        <w:r w:rsidR="00C34A87" w:rsidRPr="008379F8">
          <w:rPr>
            <w:rFonts w:asciiTheme="majorHAnsi" w:hAnsiTheme="majorHAnsi"/>
            <w:webHidden/>
            <w:sz w:val="20"/>
            <w:szCs w:val="20"/>
          </w:rPr>
          <w:fldChar w:fldCharType="separate"/>
        </w:r>
        <w:r w:rsidR="00C34A87" w:rsidRPr="008379F8">
          <w:rPr>
            <w:rFonts w:asciiTheme="majorHAnsi" w:hAnsiTheme="majorHAnsi"/>
            <w:webHidden/>
            <w:sz w:val="20"/>
            <w:szCs w:val="20"/>
          </w:rPr>
          <w:t>5</w:t>
        </w:r>
        <w:r w:rsidR="00C34A87" w:rsidRPr="008379F8">
          <w:rPr>
            <w:rFonts w:asciiTheme="majorHAnsi" w:hAnsiTheme="majorHAnsi"/>
            <w:webHidden/>
            <w:sz w:val="20"/>
            <w:szCs w:val="20"/>
          </w:rPr>
          <w:fldChar w:fldCharType="end"/>
        </w:r>
      </w:hyperlink>
    </w:p>
    <w:p w14:paraId="39E55CBC" w14:textId="5DBD797F" w:rsidR="00C34A87" w:rsidRPr="008379F8" w:rsidRDefault="000F4996">
      <w:pPr>
        <w:pStyle w:val="TOC2"/>
        <w:rPr>
          <w:rFonts w:asciiTheme="majorHAnsi" w:eastAsiaTheme="minorEastAsia" w:hAnsiTheme="majorHAnsi" w:cstheme="minorBidi"/>
          <w:sz w:val="20"/>
          <w:szCs w:val="20"/>
          <w:bdr w:val="none" w:sz="0" w:space="0" w:color="auto"/>
          <w:lang w:val="es-US" w:eastAsia="zh-CN"/>
        </w:rPr>
      </w:pPr>
      <w:hyperlink w:anchor="_Toc90292575" w:history="1">
        <w:r w:rsidR="00C34A87" w:rsidRPr="008379F8">
          <w:rPr>
            <w:rStyle w:val="Hyperlink"/>
            <w:rFonts w:asciiTheme="majorHAnsi" w:hAnsiTheme="majorHAnsi"/>
            <w:sz w:val="20"/>
            <w:szCs w:val="20"/>
            <w:lang w:val="es-ES"/>
          </w:rPr>
          <w:t>B.</w:t>
        </w:r>
        <w:r w:rsidR="00C34A87" w:rsidRPr="008379F8">
          <w:rPr>
            <w:rFonts w:asciiTheme="majorHAnsi" w:eastAsiaTheme="minorEastAsia" w:hAnsiTheme="majorHAnsi" w:cstheme="minorBidi"/>
            <w:sz w:val="20"/>
            <w:szCs w:val="20"/>
            <w:bdr w:val="none" w:sz="0" w:space="0" w:color="auto"/>
            <w:lang w:val="es-US" w:eastAsia="zh-CN"/>
          </w:rPr>
          <w:tab/>
        </w:r>
        <w:r w:rsidR="00C34A87" w:rsidRPr="008379F8">
          <w:rPr>
            <w:rStyle w:val="Hyperlink"/>
            <w:rFonts w:asciiTheme="majorHAnsi" w:hAnsiTheme="majorHAnsi"/>
            <w:sz w:val="20"/>
            <w:szCs w:val="20"/>
            <w:lang w:val="es-ES"/>
          </w:rPr>
          <w:t>Juicio y condena a muerte</w:t>
        </w:r>
        <w:r w:rsidR="00C34A87" w:rsidRPr="008379F8">
          <w:rPr>
            <w:rFonts w:asciiTheme="majorHAnsi" w:hAnsiTheme="majorHAnsi"/>
            <w:webHidden/>
            <w:sz w:val="20"/>
            <w:szCs w:val="20"/>
          </w:rPr>
          <w:tab/>
        </w:r>
        <w:r w:rsidR="00C34A87" w:rsidRPr="008379F8">
          <w:rPr>
            <w:rFonts w:asciiTheme="majorHAnsi" w:hAnsiTheme="majorHAnsi"/>
            <w:webHidden/>
            <w:sz w:val="20"/>
            <w:szCs w:val="20"/>
          </w:rPr>
          <w:fldChar w:fldCharType="begin"/>
        </w:r>
        <w:r w:rsidR="00C34A87" w:rsidRPr="008379F8">
          <w:rPr>
            <w:rFonts w:asciiTheme="majorHAnsi" w:hAnsiTheme="majorHAnsi"/>
            <w:webHidden/>
            <w:sz w:val="20"/>
            <w:szCs w:val="20"/>
          </w:rPr>
          <w:instrText xml:space="preserve"> PAGEREF _Toc90292575 \h </w:instrText>
        </w:r>
        <w:r w:rsidR="00C34A87" w:rsidRPr="008379F8">
          <w:rPr>
            <w:rFonts w:asciiTheme="majorHAnsi" w:hAnsiTheme="majorHAnsi"/>
            <w:webHidden/>
            <w:sz w:val="20"/>
            <w:szCs w:val="20"/>
          </w:rPr>
        </w:r>
        <w:r w:rsidR="00C34A87" w:rsidRPr="008379F8">
          <w:rPr>
            <w:rFonts w:asciiTheme="majorHAnsi" w:hAnsiTheme="majorHAnsi"/>
            <w:webHidden/>
            <w:sz w:val="20"/>
            <w:szCs w:val="20"/>
          </w:rPr>
          <w:fldChar w:fldCharType="separate"/>
        </w:r>
        <w:r w:rsidR="00C34A87" w:rsidRPr="008379F8">
          <w:rPr>
            <w:rFonts w:asciiTheme="majorHAnsi" w:hAnsiTheme="majorHAnsi"/>
            <w:webHidden/>
            <w:sz w:val="20"/>
            <w:szCs w:val="20"/>
          </w:rPr>
          <w:t>5</w:t>
        </w:r>
        <w:r w:rsidR="00C34A87" w:rsidRPr="008379F8">
          <w:rPr>
            <w:rFonts w:asciiTheme="majorHAnsi" w:hAnsiTheme="majorHAnsi"/>
            <w:webHidden/>
            <w:sz w:val="20"/>
            <w:szCs w:val="20"/>
          </w:rPr>
          <w:fldChar w:fldCharType="end"/>
        </w:r>
      </w:hyperlink>
    </w:p>
    <w:p w14:paraId="2F2373B6" w14:textId="69E198FE" w:rsidR="00C34A87" w:rsidRPr="008379F8" w:rsidRDefault="000F4996">
      <w:pPr>
        <w:pStyle w:val="TOC2"/>
        <w:rPr>
          <w:rFonts w:asciiTheme="majorHAnsi" w:eastAsiaTheme="minorEastAsia" w:hAnsiTheme="majorHAnsi" w:cstheme="minorBidi"/>
          <w:sz w:val="20"/>
          <w:szCs w:val="20"/>
          <w:bdr w:val="none" w:sz="0" w:space="0" w:color="auto"/>
          <w:lang w:val="es-US" w:eastAsia="zh-CN"/>
        </w:rPr>
      </w:pPr>
      <w:hyperlink w:anchor="_Toc90292576" w:history="1">
        <w:r w:rsidR="00C34A87" w:rsidRPr="008379F8">
          <w:rPr>
            <w:rStyle w:val="Hyperlink"/>
            <w:rFonts w:asciiTheme="majorHAnsi" w:hAnsiTheme="majorHAnsi"/>
            <w:sz w:val="20"/>
            <w:szCs w:val="20"/>
            <w:lang w:val="es-ES"/>
          </w:rPr>
          <w:t>C.</w:t>
        </w:r>
        <w:r w:rsidR="00C34A87" w:rsidRPr="008379F8">
          <w:rPr>
            <w:rFonts w:asciiTheme="majorHAnsi" w:eastAsiaTheme="minorEastAsia" w:hAnsiTheme="majorHAnsi" w:cstheme="minorBidi"/>
            <w:sz w:val="20"/>
            <w:szCs w:val="20"/>
            <w:bdr w:val="none" w:sz="0" w:space="0" w:color="auto"/>
            <w:lang w:val="es-US" w:eastAsia="zh-CN"/>
          </w:rPr>
          <w:tab/>
        </w:r>
        <w:r w:rsidR="00C34A87" w:rsidRPr="008379F8">
          <w:rPr>
            <w:rStyle w:val="Hyperlink"/>
            <w:rFonts w:asciiTheme="majorHAnsi" w:hAnsiTheme="majorHAnsi"/>
            <w:sz w:val="20"/>
            <w:szCs w:val="20"/>
            <w:lang w:val="es-ES"/>
          </w:rPr>
          <w:t>Procedimientos posteriores a la condena y otros recursos</w:t>
        </w:r>
        <w:r w:rsidR="00C34A87" w:rsidRPr="008379F8">
          <w:rPr>
            <w:rFonts w:asciiTheme="majorHAnsi" w:hAnsiTheme="majorHAnsi"/>
            <w:webHidden/>
            <w:sz w:val="20"/>
            <w:szCs w:val="20"/>
          </w:rPr>
          <w:tab/>
        </w:r>
        <w:r w:rsidR="00C34A87" w:rsidRPr="008379F8">
          <w:rPr>
            <w:rFonts w:asciiTheme="majorHAnsi" w:hAnsiTheme="majorHAnsi"/>
            <w:webHidden/>
            <w:sz w:val="20"/>
            <w:szCs w:val="20"/>
          </w:rPr>
          <w:fldChar w:fldCharType="begin"/>
        </w:r>
        <w:r w:rsidR="00C34A87" w:rsidRPr="008379F8">
          <w:rPr>
            <w:rFonts w:asciiTheme="majorHAnsi" w:hAnsiTheme="majorHAnsi"/>
            <w:webHidden/>
            <w:sz w:val="20"/>
            <w:szCs w:val="20"/>
          </w:rPr>
          <w:instrText xml:space="preserve"> PAGEREF _Toc90292576 \h </w:instrText>
        </w:r>
        <w:r w:rsidR="00C34A87" w:rsidRPr="008379F8">
          <w:rPr>
            <w:rFonts w:asciiTheme="majorHAnsi" w:hAnsiTheme="majorHAnsi"/>
            <w:webHidden/>
            <w:sz w:val="20"/>
            <w:szCs w:val="20"/>
          </w:rPr>
        </w:r>
        <w:r w:rsidR="00C34A87" w:rsidRPr="008379F8">
          <w:rPr>
            <w:rFonts w:asciiTheme="majorHAnsi" w:hAnsiTheme="majorHAnsi"/>
            <w:webHidden/>
            <w:sz w:val="20"/>
            <w:szCs w:val="20"/>
          </w:rPr>
          <w:fldChar w:fldCharType="separate"/>
        </w:r>
        <w:r w:rsidR="00C34A87" w:rsidRPr="008379F8">
          <w:rPr>
            <w:rFonts w:asciiTheme="majorHAnsi" w:hAnsiTheme="majorHAnsi"/>
            <w:webHidden/>
            <w:sz w:val="20"/>
            <w:szCs w:val="20"/>
          </w:rPr>
          <w:t>6</w:t>
        </w:r>
        <w:r w:rsidR="00C34A87" w:rsidRPr="008379F8">
          <w:rPr>
            <w:rFonts w:asciiTheme="majorHAnsi" w:hAnsiTheme="majorHAnsi"/>
            <w:webHidden/>
            <w:sz w:val="20"/>
            <w:szCs w:val="20"/>
          </w:rPr>
          <w:fldChar w:fldCharType="end"/>
        </w:r>
      </w:hyperlink>
    </w:p>
    <w:p w14:paraId="7E1AD7AB" w14:textId="22CC6EA9" w:rsidR="00C34A87" w:rsidRPr="008379F8" w:rsidRDefault="000F4996">
      <w:pPr>
        <w:pStyle w:val="TOC1"/>
        <w:rPr>
          <w:rFonts w:eastAsiaTheme="minorEastAsia" w:cstheme="minorBidi"/>
          <w:b w:val="0"/>
          <w:bdr w:val="none" w:sz="0" w:space="0" w:color="auto"/>
          <w:lang w:val="es-US" w:eastAsia="zh-CN"/>
        </w:rPr>
      </w:pPr>
      <w:hyperlink w:anchor="_Toc90292577" w:history="1">
        <w:r w:rsidR="00C34A87" w:rsidRPr="008379F8">
          <w:rPr>
            <w:rStyle w:val="Hyperlink"/>
          </w:rPr>
          <w:t>V.</w:t>
        </w:r>
        <w:r w:rsidR="00C34A87" w:rsidRPr="008379F8">
          <w:rPr>
            <w:rFonts w:eastAsiaTheme="minorEastAsia" w:cstheme="minorBidi"/>
            <w:b w:val="0"/>
            <w:bdr w:val="none" w:sz="0" w:space="0" w:color="auto"/>
            <w:lang w:val="es-US" w:eastAsia="zh-CN"/>
          </w:rPr>
          <w:tab/>
        </w:r>
        <w:r w:rsidR="00C34A87" w:rsidRPr="008379F8">
          <w:rPr>
            <w:rStyle w:val="Hyperlink"/>
          </w:rPr>
          <w:t>ANALISIS DE DERECHO</w:t>
        </w:r>
        <w:r w:rsidR="00C34A87" w:rsidRPr="008379F8">
          <w:rPr>
            <w:webHidden/>
          </w:rPr>
          <w:tab/>
        </w:r>
        <w:r w:rsidR="00C34A87" w:rsidRPr="008379F8">
          <w:rPr>
            <w:webHidden/>
          </w:rPr>
          <w:fldChar w:fldCharType="begin"/>
        </w:r>
        <w:r w:rsidR="00C34A87" w:rsidRPr="008379F8">
          <w:rPr>
            <w:webHidden/>
          </w:rPr>
          <w:instrText xml:space="preserve"> PAGEREF _Toc90292577 \h </w:instrText>
        </w:r>
        <w:r w:rsidR="00C34A87" w:rsidRPr="008379F8">
          <w:rPr>
            <w:webHidden/>
          </w:rPr>
        </w:r>
        <w:r w:rsidR="00C34A87" w:rsidRPr="008379F8">
          <w:rPr>
            <w:webHidden/>
          </w:rPr>
          <w:fldChar w:fldCharType="separate"/>
        </w:r>
        <w:r w:rsidR="00C34A87" w:rsidRPr="008379F8">
          <w:rPr>
            <w:webHidden/>
          </w:rPr>
          <w:t>8</w:t>
        </w:r>
        <w:r w:rsidR="00C34A87" w:rsidRPr="008379F8">
          <w:rPr>
            <w:webHidden/>
          </w:rPr>
          <w:fldChar w:fldCharType="end"/>
        </w:r>
      </w:hyperlink>
    </w:p>
    <w:p w14:paraId="66D0B10E" w14:textId="584432B9" w:rsidR="00C34A87" w:rsidRPr="008379F8" w:rsidRDefault="000F4996">
      <w:pPr>
        <w:pStyle w:val="TOC2"/>
        <w:rPr>
          <w:rFonts w:asciiTheme="majorHAnsi" w:eastAsiaTheme="minorEastAsia" w:hAnsiTheme="majorHAnsi" w:cstheme="minorBidi"/>
          <w:sz w:val="20"/>
          <w:szCs w:val="20"/>
          <w:bdr w:val="none" w:sz="0" w:space="0" w:color="auto"/>
          <w:lang w:val="es-US" w:eastAsia="zh-CN"/>
        </w:rPr>
      </w:pPr>
      <w:hyperlink w:anchor="_Toc90292578" w:history="1">
        <w:r w:rsidR="00C34A87" w:rsidRPr="008379F8">
          <w:rPr>
            <w:rStyle w:val="Hyperlink"/>
            <w:rFonts w:asciiTheme="majorHAnsi" w:hAnsiTheme="majorHAnsi"/>
            <w:sz w:val="20"/>
            <w:szCs w:val="20"/>
          </w:rPr>
          <w:t>A.</w:t>
        </w:r>
        <w:r w:rsidR="00C34A87" w:rsidRPr="008379F8">
          <w:rPr>
            <w:rFonts w:asciiTheme="majorHAnsi" w:eastAsiaTheme="minorEastAsia" w:hAnsiTheme="majorHAnsi" w:cstheme="minorBidi"/>
            <w:sz w:val="20"/>
            <w:szCs w:val="20"/>
            <w:bdr w:val="none" w:sz="0" w:space="0" w:color="auto"/>
            <w:lang w:val="es-US" w:eastAsia="zh-CN"/>
          </w:rPr>
          <w:tab/>
        </w:r>
        <w:r w:rsidR="00C34A87" w:rsidRPr="008379F8">
          <w:rPr>
            <w:rStyle w:val="Hyperlink"/>
            <w:rFonts w:asciiTheme="majorHAnsi" w:hAnsiTheme="majorHAnsi"/>
            <w:sz w:val="20"/>
            <w:szCs w:val="20"/>
          </w:rPr>
          <w:t>Derecho</w:t>
        </w:r>
        <w:r w:rsidR="00C34A87" w:rsidRPr="008379F8">
          <w:rPr>
            <w:rFonts w:asciiTheme="majorHAnsi" w:hAnsiTheme="majorHAnsi"/>
            <w:webHidden/>
            <w:sz w:val="20"/>
            <w:szCs w:val="20"/>
          </w:rPr>
          <w:tab/>
        </w:r>
        <w:r w:rsidR="00C34A87" w:rsidRPr="008379F8">
          <w:rPr>
            <w:rFonts w:asciiTheme="majorHAnsi" w:hAnsiTheme="majorHAnsi"/>
            <w:webHidden/>
            <w:sz w:val="20"/>
            <w:szCs w:val="20"/>
          </w:rPr>
          <w:fldChar w:fldCharType="begin"/>
        </w:r>
        <w:r w:rsidR="00C34A87" w:rsidRPr="008379F8">
          <w:rPr>
            <w:rFonts w:asciiTheme="majorHAnsi" w:hAnsiTheme="majorHAnsi"/>
            <w:webHidden/>
            <w:sz w:val="20"/>
            <w:szCs w:val="20"/>
          </w:rPr>
          <w:instrText xml:space="preserve"> PAGEREF _Toc90292578 \h </w:instrText>
        </w:r>
        <w:r w:rsidR="00C34A87" w:rsidRPr="008379F8">
          <w:rPr>
            <w:rFonts w:asciiTheme="majorHAnsi" w:hAnsiTheme="majorHAnsi"/>
            <w:webHidden/>
            <w:sz w:val="20"/>
            <w:szCs w:val="20"/>
          </w:rPr>
        </w:r>
        <w:r w:rsidR="00C34A87" w:rsidRPr="008379F8">
          <w:rPr>
            <w:rFonts w:asciiTheme="majorHAnsi" w:hAnsiTheme="majorHAnsi"/>
            <w:webHidden/>
            <w:sz w:val="20"/>
            <w:szCs w:val="20"/>
          </w:rPr>
          <w:fldChar w:fldCharType="separate"/>
        </w:r>
        <w:r w:rsidR="00C34A87" w:rsidRPr="008379F8">
          <w:rPr>
            <w:rFonts w:asciiTheme="majorHAnsi" w:hAnsiTheme="majorHAnsi"/>
            <w:webHidden/>
            <w:sz w:val="20"/>
            <w:szCs w:val="20"/>
          </w:rPr>
          <w:t>8</w:t>
        </w:r>
        <w:r w:rsidR="00C34A87" w:rsidRPr="008379F8">
          <w:rPr>
            <w:rFonts w:asciiTheme="majorHAnsi" w:hAnsiTheme="majorHAnsi"/>
            <w:webHidden/>
            <w:sz w:val="20"/>
            <w:szCs w:val="20"/>
          </w:rPr>
          <w:fldChar w:fldCharType="end"/>
        </w:r>
      </w:hyperlink>
    </w:p>
    <w:p w14:paraId="6F2562B0" w14:textId="2472DFB9" w:rsidR="00C34A87" w:rsidRPr="008379F8" w:rsidRDefault="000F4996">
      <w:pPr>
        <w:pStyle w:val="TOC2"/>
        <w:rPr>
          <w:rFonts w:asciiTheme="majorHAnsi" w:eastAsiaTheme="minorEastAsia" w:hAnsiTheme="majorHAnsi" w:cstheme="minorBidi"/>
          <w:sz w:val="20"/>
          <w:szCs w:val="20"/>
          <w:bdr w:val="none" w:sz="0" w:space="0" w:color="auto"/>
          <w:lang w:val="es-US" w:eastAsia="zh-CN"/>
        </w:rPr>
      </w:pPr>
      <w:hyperlink w:anchor="_Toc90292579" w:history="1">
        <w:r w:rsidR="00C34A87" w:rsidRPr="008379F8">
          <w:rPr>
            <w:rStyle w:val="Hyperlink"/>
            <w:rFonts w:asciiTheme="majorHAnsi" w:hAnsiTheme="majorHAnsi"/>
            <w:sz w:val="20"/>
            <w:szCs w:val="20"/>
          </w:rPr>
          <w:t>B.</w:t>
        </w:r>
        <w:r w:rsidR="00C34A87" w:rsidRPr="008379F8">
          <w:rPr>
            <w:rFonts w:asciiTheme="majorHAnsi" w:eastAsiaTheme="minorEastAsia" w:hAnsiTheme="majorHAnsi" w:cstheme="minorBidi"/>
            <w:sz w:val="20"/>
            <w:szCs w:val="20"/>
            <w:bdr w:val="none" w:sz="0" w:space="0" w:color="auto"/>
            <w:lang w:val="es-US" w:eastAsia="zh-CN"/>
          </w:rPr>
          <w:tab/>
        </w:r>
        <w:r w:rsidR="00C34A87" w:rsidRPr="008379F8">
          <w:rPr>
            <w:rStyle w:val="Hyperlink"/>
            <w:rFonts w:asciiTheme="majorHAnsi" w:hAnsiTheme="majorHAnsi"/>
            <w:sz w:val="20"/>
            <w:szCs w:val="20"/>
          </w:rPr>
          <w:t>Consideraciones preliminares</w:t>
        </w:r>
        <w:r w:rsidR="00C34A87" w:rsidRPr="008379F8">
          <w:rPr>
            <w:rFonts w:asciiTheme="majorHAnsi" w:hAnsiTheme="majorHAnsi"/>
            <w:webHidden/>
            <w:sz w:val="20"/>
            <w:szCs w:val="20"/>
          </w:rPr>
          <w:tab/>
        </w:r>
        <w:r w:rsidR="00C34A87" w:rsidRPr="008379F8">
          <w:rPr>
            <w:rFonts w:asciiTheme="majorHAnsi" w:hAnsiTheme="majorHAnsi"/>
            <w:webHidden/>
            <w:sz w:val="20"/>
            <w:szCs w:val="20"/>
          </w:rPr>
          <w:fldChar w:fldCharType="begin"/>
        </w:r>
        <w:r w:rsidR="00C34A87" w:rsidRPr="008379F8">
          <w:rPr>
            <w:rFonts w:asciiTheme="majorHAnsi" w:hAnsiTheme="majorHAnsi"/>
            <w:webHidden/>
            <w:sz w:val="20"/>
            <w:szCs w:val="20"/>
          </w:rPr>
          <w:instrText xml:space="preserve"> PAGEREF _Toc90292579 \h </w:instrText>
        </w:r>
        <w:r w:rsidR="00C34A87" w:rsidRPr="008379F8">
          <w:rPr>
            <w:rFonts w:asciiTheme="majorHAnsi" w:hAnsiTheme="majorHAnsi"/>
            <w:webHidden/>
            <w:sz w:val="20"/>
            <w:szCs w:val="20"/>
          </w:rPr>
        </w:r>
        <w:r w:rsidR="00C34A87" w:rsidRPr="008379F8">
          <w:rPr>
            <w:rFonts w:asciiTheme="majorHAnsi" w:hAnsiTheme="majorHAnsi"/>
            <w:webHidden/>
            <w:sz w:val="20"/>
            <w:szCs w:val="20"/>
          </w:rPr>
          <w:fldChar w:fldCharType="separate"/>
        </w:r>
        <w:r w:rsidR="00C34A87" w:rsidRPr="008379F8">
          <w:rPr>
            <w:rFonts w:asciiTheme="majorHAnsi" w:hAnsiTheme="majorHAnsi"/>
            <w:webHidden/>
            <w:sz w:val="20"/>
            <w:szCs w:val="20"/>
          </w:rPr>
          <w:t>8</w:t>
        </w:r>
        <w:r w:rsidR="00C34A87" w:rsidRPr="008379F8">
          <w:rPr>
            <w:rFonts w:asciiTheme="majorHAnsi" w:hAnsiTheme="majorHAnsi"/>
            <w:webHidden/>
            <w:sz w:val="20"/>
            <w:szCs w:val="20"/>
          </w:rPr>
          <w:fldChar w:fldCharType="end"/>
        </w:r>
      </w:hyperlink>
    </w:p>
    <w:p w14:paraId="0847FCC4" w14:textId="3530E9CE" w:rsidR="00C34A87" w:rsidRPr="008379F8" w:rsidRDefault="000F4996">
      <w:pPr>
        <w:pStyle w:val="TOC2"/>
        <w:rPr>
          <w:rFonts w:asciiTheme="majorHAnsi" w:eastAsiaTheme="minorEastAsia" w:hAnsiTheme="majorHAnsi" w:cstheme="minorBidi"/>
          <w:sz w:val="20"/>
          <w:szCs w:val="20"/>
          <w:bdr w:val="none" w:sz="0" w:space="0" w:color="auto"/>
          <w:lang w:val="es-US" w:eastAsia="zh-CN"/>
        </w:rPr>
      </w:pPr>
      <w:hyperlink w:anchor="_Toc90292580" w:history="1">
        <w:r w:rsidR="00C34A87" w:rsidRPr="008379F8">
          <w:rPr>
            <w:rStyle w:val="Hyperlink"/>
            <w:rFonts w:asciiTheme="majorHAnsi" w:hAnsiTheme="majorHAnsi"/>
            <w:sz w:val="20"/>
            <w:szCs w:val="20"/>
            <w:lang w:val="es-ES"/>
          </w:rPr>
          <w:t>C.</w:t>
        </w:r>
        <w:r w:rsidR="00C34A87" w:rsidRPr="008379F8">
          <w:rPr>
            <w:rFonts w:asciiTheme="majorHAnsi" w:eastAsiaTheme="minorEastAsia" w:hAnsiTheme="majorHAnsi" w:cstheme="minorBidi"/>
            <w:sz w:val="20"/>
            <w:szCs w:val="20"/>
            <w:bdr w:val="none" w:sz="0" w:space="0" w:color="auto"/>
            <w:lang w:val="es-US" w:eastAsia="zh-CN"/>
          </w:rPr>
          <w:tab/>
        </w:r>
        <w:r w:rsidR="00C34A87" w:rsidRPr="008379F8">
          <w:rPr>
            <w:rStyle w:val="Hyperlink"/>
            <w:rFonts w:asciiTheme="majorHAnsi" w:hAnsiTheme="majorHAnsi"/>
            <w:sz w:val="20"/>
            <w:szCs w:val="20"/>
            <w:lang w:val="es-ES"/>
          </w:rPr>
          <w:t>Derecho de justicia, derecho de petición, y derecho a proceso regular</w:t>
        </w:r>
        <w:r w:rsidR="00C34A87" w:rsidRPr="008379F8">
          <w:rPr>
            <w:rFonts w:asciiTheme="majorHAnsi" w:hAnsiTheme="majorHAnsi"/>
            <w:webHidden/>
            <w:sz w:val="20"/>
            <w:szCs w:val="20"/>
          </w:rPr>
          <w:tab/>
        </w:r>
        <w:r w:rsidR="00C34A87" w:rsidRPr="008379F8">
          <w:rPr>
            <w:rFonts w:asciiTheme="majorHAnsi" w:hAnsiTheme="majorHAnsi"/>
            <w:webHidden/>
            <w:sz w:val="20"/>
            <w:szCs w:val="20"/>
          </w:rPr>
          <w:fldChar w:fldCharType="begin"/>
        </w:r>
        <w:r w:rsidR="00C34A87" w:rsidRPr="008379F8">
          <w:rPr>
            <w:rFonts w:asciiTheme="majorHAnsi" w:hAnsiTheme="majorHAnsi"/>
            <w:webHidden/>
            <w:sz w:val="20"/>
            <w:szCs w:val="20"/>
          </w:rPr>
          <w:instrText xml:space="preserve"> PAGEREF _Toc90292580 \h </w:instrText>
        </w:r>
        <w:r w:rsidR="00C34A87" w:rsidRPr="008379F8">
          <w:rPr>
            <w:rFonts w:asciiTheme="majorHAnsi" w:hAnsiTheme="majorHAnsi"/>
            <w:webHidden/>
            <w:sz w:val="20"/>
            <w:szCs w:val="20"/>
          </w:rPr>
        </w:r>
        <w:r w:rsidR="00C34A87" w:rsidRPr="008379F8">
          <w:rPr>
            <w:rFonts w:asciiTheme="majorHAnsi" w:hAnsiTheme="majorHAnsi"/>
            <w:webHidden/>
            <w:sz w:val="20"/>
            <w:szCs w:val="20"/>
          </w:rPr>
          <w:fldChar w:fldCharType="separate"/>
        </w:r>
        <w:r w:rsidR="00C34A87" w:rsidRPr="008379F8">
          <w:rPr>
            <w:rFonts w:asciiTheme="majorHAnsi" w:hAnsiTheme="majorHAnsi"/>
            <w:webHidden/>
            <w:sz w:val="20"/>
            <w:szCs w:val="20"/>
          </w:rPr>
          <w:t>9</w:t>
        </w:r>
        <w:r w:rsidR="00C34A87" w:rsidRPr="008379F8">
          <w:rPr>
            <w:rFonts w:asciiTheme="majorHAnsi" w:hAnsiTheme="majorHAnsi"/>
            <w:webHidden/>
            <w:sz w:val="20"/>
            <w:szCs w:val="20"/>
          </w:rPr>
          <w:fldChar w:fldCharType="end"/>
        </w:r>
      </w:hyperlink>
    </w:p>
    <w:p w14:paraId="4CB8A45F" w14:textId="25B9EA0C" w:rsidR="00C34A87" w:rsidRPr="008379F8" w:rsidRDefault="000F4996">
      <w:pPr>
        <w:pStyle w:val="TOC3"/>
        <w:rPr>
          <w:rFonts w:asciiTheme="majorHAnsi" w:eastAsiaTheme="minorEastAsia" w:hAnsiTheme="majorHAnsi" w:cstheme="minorBidi"/>
          <w:noProof/>
          <w:sz w:val="20"/>
          <w:szCs w:val="20"/>
          <w:bdr w:val="none" w:sz="0" w:space="0" w:color="auto"/>
          <w:lang w:val="es-US" w:eastAsia="zh-CN"/>
        </w:rPr>
      </w:pPr>
      <w:hyperlink w:anchor="_Toc90292581" w:history="1">
        <w:r w:rsidR="00C34A87" w:rsidRPr="008379F8">
          <w:rPr>
            <w:rStyle w:val="Hyperlink"/>
            <w:rFonts w:asciiTheme="majorHAnsi" w:hAnsiTheme="majorHAnsi"/>
            <w:noProof/>
            <w:sz w:val="20"/>
            <w:szCs w:val="20"/>
            <w:lang w:val="es-ES"/>
          </w:rPr>
          <w:t>1.</w:t>
        </w:r>
        <w:r w:rsidR="00C34A87" w:rsidRPr="008379F8">
          <w:rPr>
            <w:rFonts w:asciiTheme="majorHAnsi" w:eastAsiaTheme="minorEastAsia" w:hAnsiTheme="majorHAnsi" w:cstheme="minorBidi"/>
            <w:noProof/>
            <w:sz w:val="20"/>
            <w:szCs w:val="20"/>
            <w:bdr w:val="none" w:sz="0" w:space="0" w:color="auto"/>
            <w:lang w:val="es-US" w:eastAsia="zh-CN"/>
          </w:rPr>
          <w:tab/>
        </w:r>
        <w:r w:rsidR="00C34A87" w:rsidRPr="008379F8">
          <w:rPr>
            <w:rStyle w:val="Hyperlink"/>
            <w:rFonts w:asciiTheme="majorHAnsi" w:hAnsiTheme="majorHAnsi"/>
            <w:noProof/>
            <w:sz w:val="20"/>
            <w:szCs w:val="20"/>
            <w:lang w:val="es-ES"/>
          </w:rPr>
          <w:t>Derecho a la información sobre asistencia consultar</w:t>
        </w:r>
        <w:r w:rsidR="00C34A87" w:rsidRPr="008379F8">
          <w:rPr>
            <w:rFonts w:asciiTheme="majorHAnsi" w:hAnsiTheme="majorHAnsi"/>
            <w:noProof/>
            <w:webHidden/>
            <w:sz w:val="20"/>
            <w:szCs w:val="20"/>
          </w:rPr>
          <w:tab/>
        </w:r>
        <w:r w:rsidR="00C34A87" w:rsidRPr="008379F8">
          <w:rPr>
            <w:rFonts w:asciiTheme="majorHAnsi" w:hAnsiTheme="majorHAnsi"/>
            <w:noProof/>
            <w:webHidden/>
            <w:sz w:val="20"/>
            <w:szCs w:val="20"/>
          </w:rPr>
          <w:fldChar w:fldCharType="begin"/>
        </w:r>
        <w:r w:rsidR="00C34A87" w:rsidRPr="008379F8">
          <w:rPr>
            <w:rFonts w:asciiTheme="majorHAnsi" w:hAnsiTheme="majorHAnsi"/>
            <w:noProof/>
            <w:webHidden/>
            <w:sz w:val="20"/>
            <w:szCs w:val="20"/>
          </w:rPr>
          <w:instrText xml:space="preserve"> PAGEREF _Toc90292581 \h </w:instrText>
        </w:r>
        <w:r w:rsidR="00C34A87" w:rsidRPr="008379F8">
          <w:rPr>
            <w:rFonts w:asciiTheme="majorHAnsi" w:hAnsiTheme="majorHAnsi"/>
            <w:noProof/>
            <w:webHidden/>
            <w:sz w:val="20"/>
            <w:szCs w:val="20"/>
          </w:rPr>
        </w:r>
        <w:r w:rsidR="00C34A87" w:rsidRPr="008379F8">
          <w:rPr>
            <w:rFonts w:asciiTheme="majorHAnsi" w:hAnsiTheme="majorHAnsi"/>
            <w:noProof/>
            <w:webHidden/>
            <w:sz w:val="20"/>
            <w:szCs w:val="20"/>
          </w:rPr>
          <w:fldChar w:fldCharType="separate"/>
        </w:r>
        <w:r w:rsidR="00C34A87" w:rsidRPr="008379F8">
          <w:rPr>
            <w:rFonts w:asciiTheme="majorHAnsi" w:hAnsiTheme="majorHAnsi"/>
            <w:noProof/>
            <w:webHidden/>
            <w:sz w:val="20"/>
            <w:szCs w:val="20"/>
          </w:rPr>
          <w:t>9</w:t>
        </w:r>
        <w:r w:rsidR="00C34A87" w:rsidRPr="008379F8">
          <w:rPr>
            <w:rFonts w:asciiTheme="majorHAnsi" w:hAnsiTheme="majorHAnsi"/>
            <w:noProof/>
            <w:webHidden/>
            <w:sz w:val="20"/>
            <w:szCs w:val="20"/>
          </w:rPr>
          <w:fldChar w:fldCharType="end"/>
        </w:r>
      </w:hyperlink>
    </w:p>
    <w:p w14:paraId="6286C10D" w14:textId="601B2F93" w:rsidR="00C34A87" w:rsidRPr="008379F8" w:rsidRDefault="000F4996">
      <w:pPr>
        <w:pStyle w:val="TOC3"/>
        <w:rPr>
          <w:rFonts w:asciiTheme="majorHAnsi" w:eastAsiaTheme="minorEastAsia" w:hAnsiTheme="majorHAnsi" w:cstheme="minorBidi"/>
          <w:noProof/>
          <w:sz w:val="20"/>
          <w:szCs w:val="20"/>
          <w:bdr w:val="none" w:sz="0" w:space="0" w:color="auto"/>
          <w:lang w:val="es-US" w:eastAsia="zh-CN"/>
        </w:rPr>
      </w:pPr>
      <w:hyperlink w:anchor="_Toc90292582" w:history="1">
        <w:r w:rsidR="00C34A87" w:rsidRPr="008379F8">
          <w:rPr>
            <w:rStyle w:val="Hyperlink"/>
            <w:rFonts w:asciiTheme="majorHAnsi" w:hAnsiTheme="majorHAnsi"/>
            <w:noProof/>
            <w:sz w:val="20"/>
            <w:szCs w:val="20"/>
            <w:lang w:val="es-ES"/>
          </w:rPr>
          <w:t>2.</w:t>
        </w:r>
        <w:r w:rsidR="00C34A87" w:rsidRPr="008379F8">
          <w:rPr>
            <w:rFonts w:asciiTheme="majorHAnsi" w:eastAsiaTheme="minorEastAsia" w:hAnsiTheme="majorHAnsi" w:cstheme="minorBidi"/>
            <w:noProof/>
            <w:sz w:val="20"/>
            <w:szCs w:val="20"/>
            <w:bdr w:val="none" w:sz="0" w:space="0" w:color="auto"/>
            <w:lang w:val="es-US" w:eastAsia="zh-CN"/>
          </w:rPr>
          <w:tab/>
        </w:r>
        <w:r w:rsidR="00C34A87" w:rsidRPr="008379F8">
          <w:rPr>
            <w:rStyle w:val="Hyperlink"/>
            <w:rFonts w:asciiTheme="majorHAnsi" w:hAnsiTheme="majorHAnsi"/>
            <w:noProof/>
            <w:sz w:val="20"/>
            <w:szCs w:val="20"/>
            <w:lang w:val="es-ES"/>
          </w:rPr>
          <w:t>Derecho a procedimientos de clemencia</w:t>
        </w:r>
        <w:r w:rsidR="00C34A87" w:rsidRPr="008379F8">
          <w:rPr>
            <w:rFonts w:asciiTheme="majorHAnsi" w:hAnsiTheme="majorHAnsi"/>
            <w:noProof/>
            <w:webHidden/>
            <w:sz w:val="20"/>
            <w:szCs w:val="20"/>
          </w:rPr>
          <w:tab/>
        </w:r>
        <w:r w:rsidR="00C34A87" w:rsidRPr="008379F8">
          <w:rPr>
            <w:rFonts w:asciiTheme="majorHAnsi" w:hAnsiTheme="majorHAnsi"/>
            <w:noProof/>
            <w:webHidden/>
            <w:sz w:val="20"/>
            <w:szCs w:val="20"/>
          </w:rPr>
          <w:fldChar w:fldCharType="begin"/>
        </w:r>
        <w:r w:rsidR="00C34A87" w:rsidRPr="008379F8">
          <w:rPr>
            <w:rFonts w:asciiTheme="majorHAnsi" w:hAnsiTheme="majorHAnsi"/>
            <w:noProof/>
            <w:webHidden/>
            <w:sz w:val="20"/>
            <w:szCs w:val="20"/>
          </w:rPr>
          <w:instrText xml:space="preserve"> PAGEREF _Toc90292582 \h </w:instrText>
        </w:r>
        <w:r w:rsidR="00C34A87" w:rsidRPr="008379F8">
          <w:rPr>
            <w:rFonts w:asciiTheme="majorHAnsi" w:hAnsiTheme="majorHAnsi"/>
            <w:noProof/>
            <w:webHidden/>
            <w:sz w:val="20"/>
            <w:szCs w:val="20"/>
          </w:rPr>
        </w:r>
        <w:r w:rsidR="00C34A87" w:rsidRPr="008379F8">
          <w:rPr>
            <w:rFonts w:asciiTheme="majorHAnsi" w:hAnsiTheme="majorHAnsi"/>
            <w:noProof/>
            <w:webHidden/>
            <w:sz w:val="20"/>
            <w:szCs w:val="20"/>
          </w:rPr>
          <w:fldChar w:fldCharType="separate"/>
        </w:r>
        <w:r w:rsidR="00C34A87" w:rsidRPr="008379F8">
          <w:rPr>
            <w:rFonts w:asciiTheme="majorHAnsi" w:hAnsiTheme="majorHAnsi"/>
            <w:noProof/>
            <w:webHidden/>
            <w:sz w:val="20"/>
            <w:szCs w:val="20"/>
          </w:rPr>
          <w:t>10</w:t>
        </w:r>
        <w:r w:rsidR="00C34A87" w:rsidRPr="008379F8">
          <w:rPr>
            <w:rFonts w:asciiTheme="majorHAnsi" w:hAnsiTheme="majorHAnsi"/>
            <w:noProof/>
            <w:webHidden/>
            <w:sz w:val="20"/>
            <w:szCs w:val="20"/>
          </w:rPr>
          <w:fldChar w:fldCharType="end"/>
        </w:r>
      </w:hyperlink>
    </w:p>
    <w:p w14:paraId="66A9092E" w14:textId="5D2FF8D3" w:rsidR="00C34A87" w:rsidRPr="008379F8" w:rsidRDefault="000F4996">
      <w:pPr>
        <w:pStyle w:val="TOC2"/>
        <w:rPr>
          <w:rFonts w:asciiTheme="majorHAnsi" w:eastAsiaTheme="minorEastAsia" w:hAnsiTheme="majorHAnsi" w:cstheme="minorBidi"/>
          <w:sz w:val="20"/>
          <w:szCs w:val="20"/>
          <w:bdr w:val="none" w:sz="0" w:space="0" w:color="auto"/>
          <w:lang w:val="es-US" w:eastAsia="zh-CN"/>
        </w:rPr>
      </w:pPr>
      <w:hyperlink w:anchor="_Toc90292583" w:history="1">
        <w:r w:rsidR="00C34A87" w:rsidRPr="008379F8">
          <w:rPr>
            <w:rStyle w:val="Hyperlink"/>
            <w:rFonts w:asciiTheme="majorHAnsi" w:hAnsiTheme="majorHAnsi"/>
            <w:sz w:val="20"/>
            <w:szCs w:val="20"/>
            <w:lang w:val="es-ES"/>
          </w:rPr>
          <w:t>D.</w:t>
        </w:r>
        <w:r w:rsidR="00C34A87" w:rsidRPr="008379F8">
          <w:rPr>
            <w:rFonts w:asciiTheme="majorHAnsi" w:eastAsiaTheme="minorEastAsia" w:hAnsiTheme="majorHAnsi" w:cstheme="minorBidi"/>
            <w:sz w:val="20"/>
            <w:szCs w:val="20"/>
            <w:bdr w:val="none" w:sz="0" w:space="0" w:color="auto"/>
            <w:lang w:val="es-US" w:eastAsia="zh-CN"/>
          </w:rPr>
          <w:tab/>
        </w:r>
        <w:r w:rsidR="00C34A87" w:rsidRPr="008379F8">
          <w:rPr>
            <w:rStyle w:val="Hyperlink"/>
            <w:rFonts w:asciiTheme="majorHAnsi" w:hAnsiTheme="majorHAnsi"/>
            <w:sz w:val="20"/>
            <w:szCs w:val="20"/>
            <w:lang w:val="es-ES"/>
          </w:rPr>
          <w:t>La privación de la libertad en el corredor de la muerte y el derecho a la protección contra penas crueles, infamantes o inusitadas</w:t>
        </w:r>
        <w:r w:rsidR="00C34A87" w:rsidRPr="008379F8">
          <w:rPr>
            <w:rFonts w:asciiTheme="majorHAnsi" w:hAnsiTheme="majorHAnsi"/>
            <w:webHidden/>
            <w:sz w:val="20"/>
            <w:szCs w:val="20"/>
          </w:rPr>
          <w:tab/>
        </w:r>
        <w:r w:rsidR="00C34A87" w:rsidRPr="008379F8">
          <w:rPr>
            <w:rFonts w:asciiTheme="majorHAnsi" w:hAnsiTheme="majorHAnsi"/>
            <w:webHidden/>
            <w:sz w:val="20"/>
            <w:szCs w:val="20"/>
          </w:rPr>
          <w:fldChar w:fldCharType="begin"/>
        </w:r>
        <w:r w:rsidR="00C34A87" w:rsidRPr="008379F8">
          <w:rPr>
            <w:rFonts w:asciiTheme="majorHAnsi" w:hAnsiTheme="majorHAnsi"/>
            <w:webHidden/>
            <w:sz w:val="20"/>
            <w:szCs w:val="20"/>
          </w:rPr>
          <w:instrText xml:space="preserve"> PAGEREF _Toc90292583 \h </w:instrText>
        </w:r>
        <w:r w:rsidR="00C34A87" w:rsidRPr="008379F8">
          <w:rPr>
            <w:rFonts w:asciiTheme="majorHAnsi" w:hAnsiTheme="majorHAnsi"/>
            <w:webHidden/>
            <w:sz w:val="20"/>
            <w:szCs w:val="20"/>
          </w:rPr>
        </w:r>
        <w:r w:rsidR="00C34A87" w:rsidRPr="008379F8">
          <w:rPr>
            <w:rFonts w:asciiTheme="majorHAnsi" w:hAnsiTheme="majorHAnsi"/>
            <w:webHidden/>
            <w:sz w:val="20"/>
            <w:szCs w:val="20"/>
          </w:rPr>
          <w:fldChar w:fldCharType="separate"/>
        </w:r>
        <w:r w:rsidR="00C34A87" w:rsidRPr="008379F8">
          <w:rPr>
            <w:rFonts w:asciiTheme="majorHAnsi" w:hAnsiTheme="majorHAnsi"/>
            <w:webHidden/>
            <w:sz w:val="20"/>
            <w:szCs w:val="20"/>
          </w:rPr>
          <w:t>12</w:t>
        </w:r>
        <w:r w:rsidR="00C34A87" w:rsidRPr="008379F8">
          <w:rPr>
            <w:rFonts w:asciiTheme="majorHAnsi" w:hAnsiTheme="majorHAnsi"/>
            <w:webHidden/>
            <w:sz w:val="20"/>
            <w:szCs w:val="20"/>
          </w:rPr>
          <w:fldChar w:fldCharType="end"/>
        </w:r>
      </w:hyperlink>
    </w:p>
    <w:p w14:paraId="7DD21468" w14:textId="3A301FF3" w:rsidR="00C34A87" w:rsidRPr="008379F8" w:rsidRDefault="000F4996">
      <w:pPr>
        <w:pStyle w:val="TOC2"/>
        <w:rPr>
          <w:rFonts w:asciiTheme="majorHAnsi" w:eastAsiaTheme="minorEastAsia" w:hAnsiTheme="majorHAnsi" w:cstheme="minorBidi"/>
          <w:sz w:val="20"/>
          <w:szCs w:val="20"/>
          <w:bdr w:val="none" w:sz="0" w:space="0" w:color="auto"/>
          <w:lang w:val="es-US" w:eastAsia="zh-CN"/>
        </w:rPr>
      </w:pPr>
      <w:hyperlink w:anchor="_Toc90292584" w:history="1">
        <w:r w:rsidR="00C34A87" w:rsidRPr="008379F8">
          <w:rPr>
            <w:rStyle w:val="Hyperlink"/>
            <w:rFonts w:asciiTheme="majorHAnsi" w:hAnsiTheme="majorHAnsi"/>
            <w:sz w:val="20"/>
            <w:szCs w:val="20"/>
            <w:lang w:val="es-ES"/>
          </w:rPr>
          <w:t>1.</w:t>
        </w:r>
        <w:r w:rsidR="00C34A87" w:rsidRPr="008379F8">
          <w:rPr>
            <w:rFonts w:asciiTheme="majorHAnsi" w:eastAsiaTheme="minorEastAsia" w:hAnsiTheme="majorHAnsi" w:cstheme="minorBidi"/>
            <w:sz w:val="20"/>
            <w:szCs w:val="20"/>
            <w:bdr w:val="none" w:sz="0" w:space="0" w:color="auto"/>
            <w:lang w:val="es-US" w:eastAsia="zh-CN"/>
          </w:rPr>
          <w:tab/>
        </w:r>
        <w:r w:rsidR="00C34A87" w:rsidRPr="008379F8">
          <w:rPr>
            <w:rStyle w:val="Hyperlink"/>
            <w:rFonts w:asciiTheme="majorHAnsi" w:hAnsiTheme="majorHAnsi"/>
            <w:sz w:val="20"/>
            <w:szCs w:val="20"/>
            <w:lang w:val="es-ES"/>
          </w:rPr>
          <w:t>El fenómeno del corredor de la muerte</w:t>
        </w:r>
        <w:r w:rsidR="00C34A87" w:rsidRPr="008379F8">
          <w:rPr>
            <w:rFonts w:asciiTheme="majorHAnsi" w:hAnsiTheme="majorHAnsi"/>
            <w:webHidden/>
            <w:sz w:val="20"/>
            <w:szCs w:val="20"/>
          </w:rPr>
          <w:tab/>
        </w:r>
        <w:r w:rsidR="00C34A87" w:rsidRPr="008379F8">
          <w:rPr>
            <w:rFonts w:asciiTheme="majorHAnsi" w:hAnsiTheme="majorHAnsi"/>
            <w:webHidden/>
            <w:sz w:val="20"/>
            <w:szCs w:val="20"/>
          </w:rPr>
          <w:fldChar w:fldCharType="begin"/>
        </w:r>
        <w:r w:rsidR="00C34A87" w:rsidRPr="008379F8">
          <w:rPr>
            <w:rFonts w:asciiTheme="majorHAnsi" w:hAnsiTheme="majorHAnsi"/>
            <w:webHidden/>
            <w:sz w:val="20"/>
            <w:szCs w:val="20"/>
          </w:rPr>
          <w:instrText xml:space="preserve"> PAGEREF _Toc90292584 \h </w:instrText>
        </w:r>
        <w:r w:rsidR="00C34A87" w:rsidRPr="008379F8">
          <w:rPr>
            <w:rFonts w:asciiTheme="majorHAnsi" w:hAnsiTheme="majorHAnsi"/>
            <w:webHidden/>
            <w:sz w:val="20"/>
            <w:szCs w:val="20"/>
          </w:rPr>
        </w:r>
        <w:r w:rsidR="00C34A87" w:rsidRPr="008379F8">
          <w:rPr>
            <w:rFonts w:asciiTheme="majorHAnsi" w:hAnsiTheme="majorHAnsi"/>
            <w:webHidden/>
            <w:sz w:val="20"/>
            <w:szCs w:val="20"/>
          </w:rPr>
          <w:fldChar w:fldCharType="separate"/>
        </w:r>
        <w:r w:rsidR="00C34A87" w:rsidRPr="008379F8">
          <w:rPr>
            <w:rFonts w:asciiTheme="majorHAnsi" w:hAnsiTheme="majorHAnsi"/>
            <w:webHidden/>
            <w:sz w:val="20"/>
            <w:szCs w:val="20"/>
          </w:rPr>
          <w:t>12</w:t>
        </w:r>
        <w:r w:rsidR="00C34A87" w:rsidRPr="008379F8">
          <w:rPr>
            <w:rFonts w:asciiTheme="majorHAnsi" w:hAnsiTheme="majorHAnsi"/>
            <w:webHidden/>
            <w:sz w:val="20"/>
            <w:szCs w:val="20"/>
          </w:rPr>
          <w:fldChar w:fldCharType="end"/>
        </w:r>
      </w:hyperlink>
    </w:p>
    <w:p w14:paraId="7F65CCCB" w14:textId="7E6B93C5" w:rsidR="00C34A87" w:rsidRPr="008379F8" w:rsidRDefault="000F4996">
      <w:pPr>
        <w:pStyle w:val="TOC2"/>
        <w:rPr>
          <w:rFonts w:asciiTheme="majorHAnsi" w:eastAsiaTheme="minorEastAsia" w:hAnsiTheme="majorHAnsi" w:cstheme="minorBidi"/>
          <w:sz w:val="20"/>
          <w:szCs w:val="20"/>
          <w:bdr w:val="none" w:sz="0" w:space="0" w:color="auto"/>
          <w:lang w:val="es-US" w:eastAsia="zh-CN"/>
        </w:rPr>
      </w:pPr>
      <w:hyperlink w:anchor="_Toc90292585" w:history="1">
        <w:r w:rsidR="00C34A87" w:rsidRPr="008379F8">
          <w:rPr>
            <w:rStyle w:val="Hyperlink"/>
            <w:rFonts w:asciiTheme="majorHAnsi" w:hAnsiTheme="majorHAnsi"/>
            <w:sz w:val="20"/>
            <w:szCs w:val="20"/>
          </w:rPr>
          <w:t>2.</w:t>
        </w:r>
        <w:r w:rsidR="00C34A87" w:rsidRPr="008379F8">
          <w:rPr>
            <w:rFonts w:asciiTheme="majorHAnsi" w:eastAsiaTheme="minorEastAsia" w:hAnsiTheme="majorHAnsi" w:cstheme="minorBidi"/>
            <w:sz w:val="20"/>
            <w:szCs w:val="20"/>
            <w:bdr w:val="none" w:sz="0" w:space="0" w:color="auto"/>
            <w:lang w:val="es-US" w:eastAsia="zh-CN"/>
          </w:rPr>
          <w:tab/>
        </w:r>
        <w:r w:rsidR="00C34A87" w:rsidRPr="008379F8">
          <w:rPr>
            <w:rStyle w:val="Hyperlink"/>
            <w:rFonts w:asciiTheme="majorHAnsi" w:hAnsiTheme="majorHAnsi"/>
            <w:sz w:val="20"/>
            <w:szCs w:val="20"/>
          </w:rPr>
          <w:t>Método de ejecución</w:t>
        </w:r>
        <w:r w:rsidR="00C34A87" w:rsidRPr="008379F8">
          <w:rPr>
            <w:rFonts w:asciiTheme="majorHAnsi" w:hAnsiTheme="majorHAnsi"/>
            <w:webHidden/>
            <w:sz w:val="20"/>
            <w:szCs w:val="20"/>
          </w:rPr>
          <w:tab/>
        </w:r>
        <w:r w:rsidR="00C34A87" w:rsidRPr="008379F8">
          <w:rPr>
            <w:rFonts w:asciiTheme="majorHAnsi" w:hAnsiTheme="majorHAnsi"/>
            <w:webHidden/>
            <w:sz w:val="20"/>
            <w:szCs w:val="20"/>
          </w:rPr>
          <w:fldChar w:fldCharType="begin"/>
        </w:r>
        <w:r w:rsidR="00C34A87" w:rsidRPr="008379F8">
          <w:rPr>
            <w:rFonts w:asciiTheme="majorHAnsi" w:hAnsiTheme="majorHAnsi"/>
            <w:webHidden/>
            <w:sz w:val="20"/>
            <w:szCs w:val="20"/>
          </w:rPr>
          <w:instrText xml:space="preserve"> PAGEREF _Toc90292585 \h </w:instrText>
        </w:r>
        <w:r w:rsidR="00C34A87" w:rsidRPr="008379F8">
          <w:rPr>
            <w:rFonts w:asciiTheme="majorHAnsi" w:hAnsiTheme="majorHAnsi"/>
            <w:webHidden/>
            <w:sz w:val="20"/>
            <w:szCs w:val="20"/>
          </w:rPr>
        </w:r>
        <w:r w:rsidR="00C34A87" w:rsidRPr="008379F8">
          <w:rPr>
            <w:rFonts w:asciiTheme="majorHAnsi" w:hAnsiTheme="majorHAnsi"/>
            <w:webHidden/>
            <w:sz w:val="20"/>
            <w:szCs w:val="20"/>
          </w:rPr>
          <w:fldChar w:fldCharType="separate"/>
        </w:r>
        <w:r w:rsidR="00C34A87" w:rsidRPr="008379F8">
          <w:rPr>
            <w:rFonts w:asciiTheme="majorHAnsi" w:hAnsiTheme="majorHAnsi"/>
            <w:webHidden/>
            <w:sz w:val="20"/>
            <w:szCs w:val="20"/>
          </w:rPr>
          <w:t>14</w:t>
        </w:r>
        <w:r w:rsidR="00C34A87" w:rsidRPr="008379F8">
          <w:rPr>
            <w:rFonts w:asciiTheme="majorHAnsi" w:hAnsiTheme="majorHAnsi"/>
            <w:webHidden/>
            <w:sz w:val="20"/>
            <w:szCs w:val="20"/>
          </w:rPr>
          <w:fldChar w:fldCharType="end"/>
        </w:r>
      </w:hyperlink>
    </w:p>
    <w:p w14:paraId="7F6E810D" w14:textId="5AEC2E51" w:rsidR="00C34A87" w:rsidRPr="008379F8" w:rsidRDefault="000F4996">
      <w:pPr>
        <w:pStyle w:val="TOC2"/>
        <w:rPr>
          <w:rFonts w:asciiTheme="majorHAnsi" w:eastAsiaTheme="minorEastAsia" w:hAnsiTheme="majorHAnsi" w:cstheme="minorBidi"/>
          <w:sz w:val="20"/>
          <w:szCs w:val="20"/>
          <w:bdr w:val="none" w:sz="0" w:space="0" w:color="auto"/>
          <w:lang w:val="es-US" w:eastAsia="zh-CN"/>
        </w:rPr>
      </w:pPr>
      <w:hyperlink w:anchor="_Toc90292586" w:history="1">
        <w:r w:rsidR="00C34A87" w:rsidRPr="008379F8">
          <w:rPr>
            <w:rStyle w:val="Hyperlink"/>
            <w:rFonts w:asciiTheme="majorHAnsi" w:hAnsiTheme="majorHAnsi"/>
            <w:sz w:val="20"/>
            <w:szCs w:val="20"/>
          </w:rPr>
          <w:t>E.</w:t>
        </w:r>
        <w:r w:rsidR="00C34A87" w:rsidRPr="008379F8">
          <w:rPr>
            <w:rFonts w:asciiTheme="majorHAnsi" w:eastAsiaTheme="minorEastAsia" w:hAnsiTheme="majorHAnsi" w:cstheme="minorBidi"/>
            <w:sz w:val="20"/>
            <w:szCs w:val="20"/>
            <w:bdr w:val="none" w:sz="0" w:space="0" w:color="auto"/>
            <w:lang w:val="es-US" w:eastAsia="zh-CN"/>
          </w:rPr>
          <w:tab/>
        </w:r>
        <w:r w:rsidR="00C34A87" w:rsidRPr="008379F8">
          <w:rPr>
            <w:rStyle w:val="Hyperlink"/>
            <w:rFonts w:asciiTheme="majorHAnsi" w:hAnsiTheme="majorHAnsi"/>
            <w:sz w:val="20"/>
            <w:szCs w:val="20"/>
          </w:rPr>
          <w:t>Derecho de petición</w:t>
        </w:r>
        <w:r w:rsidR="00C34A87" w:rsidRPr="008379F8">
          <w:rPr>
            <w:rFonts w:asciiTheme="majorHAnsi" w:hAnsiTheme="majorHAnsi"/>
            <w:webHidden/>
            <w:sz w:val="20"/>
            <w:szCs w:val="20"/>
          </w:rPr>
          <w:tab/>
        </w:r>
        <w:r w:rsidR="00C34A87" w:rsidRPr="008379F8">
          <w:rPr>
            <w:rFonts w:asciiTheme="majorHAnsi" w:hAnsiTheme="majorHAnsi"/>
            <w:webHidden/>
            <w:sz w:val="20"/>
            <w:szCs w:val="20"/>
          </w:rPr>
          <w:fldChar w:fldCharType="begin"/>
        </w:r>
        <w:r w:rsidR="00C34A87" w:rsidRPr="008379F8">
          <w:rPr>
            <w:rFonts w:asciiTheme="majorHAnsi" w:hAnsiTheme="majorHAnsi"/>
            <w:webHidden/>
            <w:sz w:val="20"/>
            <w:szCs w:val="20"/>
          </w:rPr>
          <w:instrText xml:space="preserve"> PAGEREF _Toc90292586 \h </w:instrText>
        </w:r>
        <w:r w:rsidR="00C34A87" w:rsidRPr="008379F8">
          <w:rPr>
            <w:rFonts w:asciiTheme="majorHAnsi" w:hAnsiTheme="majorHAnsi"/>
            <w:webHidden/>
            <w:sz w:val="20"/>
            <w:szCs w:val="20"/>
          </w:rPr>
        </w:r>
        <w:r w:rsidR="00C34A87" w:rsidRPr="008379F8">
          <w:rPr>
            <w:rFonts w:asciiTheme="majorHAnsi" w:hAnsiTheme="majorHAnsi"/>
            <w:webHidden/>
            <w:sz w:val="20"/>
            <w:szCs w:val="20"/>
          </w:rPr>
          <w:fldChar w:fldCharType="separate"/>
        </w:r>
        <w:r w:rsidR="00C34A87" w:rsidRPr="008379F8">
          <w:rPr>
            <w:rFonts w:asciiTheme="majorHAnsi" w:hAnsiTheme="majorHAnsi"/>
            <w:webHidden/>
            <w:sz w:val="20"/>
            <w:szCs w:val="20"/>
          </w:rPr>
          <w:t>16</w:t>
        </w:r>
        <w:r w:rsidR="00C34A87" w:rsidRPr="008379F8">
          <w:rPr>
            <w:rFonts w:asciiTheme="majorHAnsi" w:hAnsiTheme="majorHAnsi"/>
            <w:webHidden/>
            <w:sz w:val="20"/>
            <w:szCs w:val="20"/>
          </w:rPr>
          <w:fldChar w:fldCharType="end"/>
        </w:r>
      </w:hyperlink>
    </w:p>
    <w:p w14:paraId="4D59D2EC" w14:textId="4A0FE54D" w:rsidR="00C34A87" w:rsidRPr="008379F8" w:rsidRDefault="000F4996">
      <w:pPr>
        <w:pStyle w:val="TOC2"/>
        <w:rPr>
          <w:rFonts w:asciiTheme="majorHAnsi" w:eastAsiaTheme="minorEastAsia" w:hAnsiTheme="majorHAnsi" w:cstheme="minorBidi"/>
          <w:sz w:val="20"/>
          <w:szCs w:val="20"/>
          <w:bdr w:val="none" w:sz="0" w:space="0" w:color="auto"/>
          <w:lang w:val="es-US" w:eastAsia="zh-CN"/>
        </w:rPr>
      </w:pPr>
      <w:hyperlink w:anchor="_Toc90292587" w:history="1">
        <w:r w:rsidR="00C34A87" w:rsidRPr="008379F8">
          <w:rPr>
            <w:rStyle w:val="Hyperlink"/>
            <w:rFonts w:asciiTheme="majorHAnsi" w:hAnsiTheme="majorHAnsi"/>
            <w:sz w:val="20"/>
            <w:szCs w:val="20"/>
            <w:lang w:val="es-ES"/>
          </w:rPr>
          <w:t>F.</w:t>
        </w:r>
        <w:r w:rsidR="00C34A87" w:rsidRPr="008379F8">
          <w:rPr>
            <w:rFonts w:asciiTheme="majorHAnsi" w:eastAsiaTheme="minorEastAsia" w:hAnsiTheme="majorHAnsi" w:cstheme="minorBidi"/>
            <w:sz w:val="20"/>
            <w:szCs w:val="20"/>
            <w:bdr w:val="none" w:sz="0" w:space="0" w:color="auto"/>
            <w:lang w:val="es-US" w:eastAsia="zh-CN"/>
          </w:rPr>
          <w:tab/>
        </w:r>
        <w:r w:rsidR="00C34A87" w:rsidRPr="008379F8">
          <w:rPr>
            <w:rStyle w:val="Hyperlink"/>
            <w:rFonts w:asciiTheme="majorHAnsi" w:hAnsiTheme="majorHAnsi"/>
            <w:sz w:val="20"/>
            <w:szCs w:val="20"/>
            <w:lang w:val="es-ES"/>
          </w:rPr>
          <w:t>Derecho a la vida y a la protección contra penas crueles, infamantes o inusitadas con respecto a la ejecución de Manuel Valle</w:t>
        </w:r>
        <w:r w:rsidR="00C34A87" w:rsidRPr="008379F8">
          <w:rPr>
            <w:rFonts w:asciiTheme="majorHAnsi" w:hAnsiTheme="majorHAnsi"/>
            <w:webHidden/>
            <w:sz w:val="20"/>
            <w:szCs w:val="20"/>
          </w:rPr>
          <w:tab/>
        </w:r>
        <w:r w:rsidR="00C34A87" w:rsidRPr="008379F8">
          <w:rPr>
            <w:rFonts w:asciiTheme="majorHAnsi" w:hAnsiTheme="majorHAnsi"/>
            <w:webHidden/>
            <w:sz w:val="20"/>
            <w:szCs w:val="20"/>
          </w:rPr>
          <w:fldChar w:fldCharType="begin"/>
        </w:r>
        <w:r w:rsidR="00C34A87" w:rsidRPr="008379F8">
          <w:rPr>
            <w:rFonts w:asciiTheme="majorHAnsi" w:hAnsiTheme="majorHAnsi"/>
            <w:webHidden/>
            <w:sz w:val="20"/>
            <w:szCs w:val="20"/>
          </w:rPr>
          <w:instrText xml:space="preserve"> PAGEREF _Toc90292587 \h </w:instrText>
        </w:r>
        <w:r w:rsidR="00C34A87" w:rsidRPr="008379F8">
          <w:rPr>
            <w:rFonts w:asciiTheme="majorHAnsi" w:hAnsiTheme="majorHAnsi"/>
            <w:webHidden/>
            <w:sz w:val="20"/>
            <w:szCs w:val="20"/>
          </w:rPr>
        </w:r>
        <w:r w:rsidR="00C34A87" w:rsidRPr="008379F8">
          <w:rPr>
            <w:rFonts w:asciiTheme="majorHAnsi" w:hAnsiTheme="majorHAnsi"/>
            <w:webHidden/>
            <w:sz w:val="20"/>
            <w:szCs w:val="20"/>
          </w:rPr>
          <w:fldChar w:fldCharType="separate"/>
        </w:r>
        <w:r w:rsidR="00C34A87" w:rsidRPr="008379F8">
          <w:rPr>
            <w:rFonts w:asciiTheme="majorHAnsi" w:hAnsiTheme="majorHAnsi"/>
            <w:webHidden/>
            <w:sz w:val="20"/>
            <w:szCs w:val="20"/>
          </w:rPr>
          <w:t>17</w:t>
        </w:r>
        <w:r w:rsidR="00C34A87" w:rsidRPr="008379F8">
          <w:rPr>
            <w:rFonts w:asciiTheme="majorHAnsi" w:hAnsiTheme="majorHAnsi"/>
            <w:webHidden/>
            <w:sz w:val="20"/>
            <w:szCs w:val="20"/>
          </w:rPr>
          <w:fldChar w:fldCharType="end"/>
        </w:r>
      </w:hyperlink>
    </w:p>
    <w:p w14:paraId="09FD83AD" w14:textId="4DA8A524" w:rsidR="00C34A87" w:rsidRPr="008379F8" w:rsidRDefault="000F4996">
      <w:pPr>
        <w:pStyle w:val="TOC1"/>
        <w:rPr>
          <w:rFonts w:eastAsiaTheme="minorEastAsia" w:cstheme="minorBidi"/>
          <w:b w:val="0"/>
          <w:bdr w:val="none" w:sz="0" w:space="0" w:color="auto"/>
          <w:lang w:val="es-US" w:eastAsia="zh-CN"/>
        </w:rPr>
      </w:pPr>
      <w:hyperlink w:anchor="_Toc90292588" w:history="1">
        <w:r w:rsidR="00C34A87" w:rsidRPr="008379F8">
          <w:rPr>
            <w:rStyle w:val="Hyperlink"/>
          </w:rPr>
          <w:t>VI.</w:t>
        </w:r>
        <w:r w:rsidR="00C34A87" w:rsidRPr="008379F8">
          <w:rPr>
            <w:rFonts w:eastAsiaTheme="minorEastAsia" w:cstheme="minorBidi"/>
            <w:b w:val="0"/>
            <w:bdr w:val="none" w:sz="0" w:space="0" w:color="auto"/>
            <w:lang w:val="es-US" w:eastAsia="zh-CN"/>
          </w:rPr>
          <w:tab/>
        </w:r>
        <w:r w:rsidR="00C34A87" w:rsidRPr="008379F8">
          <w:rPr>
            <w:rStyle w:val="Hyperlink"/>
          </w:rPr>
          <w:t>INFORME Nº 305/20 E INFORMACIÓN SOBRE EL CUMPLIMIENTO</w:t>
        </w:r>
        <w:r w:rsidR="00C34A87" w:rsidRPr="008379F8">
          <w:rPr>
            <w:webHidden/>
          </w:rPr>
          <w:tab/>
        </w:r>
        <w:r w:rsidR="00C34A87" w:rsidRPr="008379F8">
          <w:rPr>
            <w:webHidden/>
          </w:rPr>
          <w:fldChar w:fldCharType="begin"/>
        </w:r>
        <w:r w:rsidR="00C34A87" w:rsidRPr="008379F8">
          <w:rPr>
            <w:webHidden/>
          </w:rPr>
          <w:instrText xml:space="preserve"> PAGEREF _Toc90292588 \h </w:instrText>
        </w:r>
        <w:r w:rsidR="00C34A87" w:rsidRPr="008379F8">
          <w:rPr>
            <w:webHidden/>
          </w:rPr>
        </w:r>
        <w:r w:rsidR="00C34A87" w:rsidRPr="008379F8">
          <w:rPr>
            <w:webHidden/>
          </w:rPr>
          <w:fldChar w:fldCharType="separate"/>
        </w:r>
        <w:r w:rsidR="00C34A87" w:rsidRPr="008379F8">
          <w:rPr>
            <w:webHidden/>
          </w:rPr>
          <w:t>17</w:t>
        </w:r>
        <w:r w:rsidR="00C34A87" w:rsidRPr="008379F8">
          <w:rPr>
            <w:webHidden/>
          </w:rPr>
          <w:fldChar w:fldCharType="end"/>
        </w:r>
      </w:hyperlink>
    </w:p>
    <w:p w14:paraId="5DB13274" w14:textId="2542B1C4" w:rsidR="00C34A87" w:rsidRPr="008379F8" w:rsidRDefault="000F4996">
      <w:pPr>
        <w:pStyle w:val="TOC1"/>
        <w:rPr>
          <w:rFonts w:eastAsiaTheme="minorEastAsia" w:cstheme="minorBidi"/>
          <w:b w:val="0"/>
          <w:bdr w:val="none" w:sz="0" w:space="0" w:color="auto"/>
          <w:lang w:val="es-US" w:eastAsia="zh-CN"/>
        </w:rPr>
      </w:pPr>
      <w:hyperlink w:anchor="_Toc90292589" w:history="1">
        <w:r w:rsidR="00C34A87" w:rsidRPr="008379F8">
          <w:rPr>
            <w:rStyle w:val="Hyperlink"/>
            <w:lang w:val="es-ES"/>
          </w:rPr>
          <w:t>VII.</w:t>
        </w:r>
        <w:r w:rsidR="00C34A87" w:rsidRPr="008379F8">
          <w:rPr>
            <w:rFonts w:eastAsiaTheme="minorEastAsia" w:cstheme="minorBidi"/>
            <w:b w:val="0"/>
            <w:bdr w:val="none" w:sz="0" w:space="0" w:color="auto"/>
            <w:lang w:val="es-US" w:eastAsia="zh-CN"/>
          </w:rPr>
          <w:tab/>
        </w:r>
        <w:r w:rsidR="00C34A87" w:rsidRPr="008379F8">
          <w:rPr>
            <w:rStyle w:val="Hyperlink"/>
            <w:lang w:val="es-ES"/>
          </w:rPr>
          <w:t>ACCIONES POSTERIORES AL INFORME No. 331/21</w:t>
        </w:r>
        <w:r w:rsidR="00C34A87" w:rsidRPr="008379F8">
          <w:rPr>
            <w:webHidden/>
          </w:rPr>
          <w:tab/>
        </w:r>
        <w:r w:rsidR="00C34A87" w:rsidRPr="008379F8">
          <w:rPr>
            <w:webHidden/>
          </w:rPr>
          <w:fldChar w:fldCharType="begin"/>
        </w:r>
        <w:r w:rsidR="00C34A87" w:rsidRPr="008379F8">
          <w:rPr>
            <w:webHidden/>
          </w:rPr>
          <w:instrText xml:space="preserve"> PAGEREF _Toc90292589 \h </w:instrText>
        </w:r>
        <w:r w:rsidR="00C34A87" w:rsidRPr="008379F8">
          <w:rPr>
            <w:webHidden/>
          </w:rPr>
        </w:r>
        <w:r w:rsidR="00C34A87" w:rsidRPr="008379F8">
          <w:rPr>
            <w:webHidden/>
          </w:rPr>
          <w:fldChar w:fldCharType="separate"/>
        </w:r>
        <w:r w:rsidR="00C34A87" w:rsidRPr="008379F8">
          <w:rPr>
            <w:webHidden/>
          </w:rPr>
          <w:t>18</w:t>
        </w:r>
        <w:r w:rsidR="00C34A87" w:rsidRPr="008379F8">
          <w:rPr>
            <w:webHidden/>
          </w:rPr>
          <w:fldChar w:fldCharType="end"/>
        </w:r>
      </w:hyperlink>
    </w:p>
    <w:p w14:paraId="71E9653A" w14:textId="74CC2535" w:rsidR="00C34A87" w:rsidRPr="008379F8" w:rsidRDefault="000F4996">
      <w:pPr>
        <w:pStyle w:val="TOC1"/>
        <w:rPr>
          <w:rFonts w:eastAsiaTheme="minorEastAsia" w:cstheme="minorBidi"/>
          <w:b w:val="0"/>
          <w:bdr w:val="none" w:sz="0" w:space="0" w:color="auto"/>
          <w:lang w:val="es-US" w:eastAsia="zh-CN"/>
        </w:rPr>
      </w:pPr>
      <w:hyperlink w:anchor="_Toc90292590" w:history="1">
        <w:r w:rsidR="00C34A87" w:rsidRPr="008379F8">
          <w:rPr>
            <w:rStyle w:val="Hyperlink"/>
          </w:rPr>
          <w:t>VIII.</w:t>
        </w:r>
        <w:r w:rsidR="00C34A87" w:rsidRPr="008379F8">
          <w:rPr>
            <w:rFonts w:eastAsiaTheme="minorEastAsia" w:cstheme="minorBidi"/>
            <w:b w:val="0"/>
            <w:bdr w:val="none" w:sz="0" w:space="0" w:color="auto"/>
            <w:lang w:val="es-US" w:eastAsia="zh-CN"/>
          </w:rPr>
          <w:tab/>
        </w:r>
        <w:r w:rsidR="00C34A87" w:rsidRPr="008379F8">
          <w:rPr>
            <w:rStyle w:val="Hyperlink"/>
          </w:rPr>
          <w:t>CONCLUSIONES Y RECOMENDACIONES FINALES</w:t>
        </w:r>
        <w:r w:rsidR="00C34A87" w:rsidRPr="008379F8">
          <w:rPr>
            <w:webHidden/>
          </w:rPr>
          <w:tab/>
        </w:r>
        <w:r w:rsidR="00C34A87" w:rsidRPr="008379F8">
          <w:rPr>
            <w:webHidden/>
          </w:rPr>
          <w:fldChar w:fldCharType="begin"/>
        </w:r>
        <w:r w:rsidR="00C34A87" w:rsidRPr="008379F8">
          <w:rPr>
            <w:webHidden/>
          </w:rPr>
          <w:instrText xml:space="preserve"> PAGEREF _Toc90292590 \h </w:instrText>
        </w:r>
        <w:r w:rsidR="00C34A87" w:rsidRPr="008379F8">
          <w:rPr>
            <w:webHidden/>
          </w:rPr>
        </w:r>
        <w:r w:rsidR="00C34A87" w:rsidRPr="008379F8">
          <w:rPr>
            <w:webHidden/>
          </w:rPr>
          <w:fldChar w:fldCharType="separate"/>
        </w:r>
        <w:r w:rsidR="00C34A87" w:rsidRPr="008379F8">
          <w:rPr>
            <w:webHidden/>
          </w:rPr>
          <w:t>18</w:t>
        </w:r>
        <w:r w:rsidR="00C34A87" w:rsidRPr="008379F8">
          <w:rPr>
            <w:webHidden/>
          </w:rPr>
          <w:fldChar w:fldCharType="end"/>
        </w:r>
      </w:hyperlink>
    </w:p>
    <w:p w14:paraId="21DD6127" w14:textId="1AC1E194" w:rsidR="00C34A87" w:rsidRPr="008379F8" w:rsidRDefault="000F4996">
      <w:pPr>
        <w:pStyle w:val="TOC1"/>
        <w:rPr>
          <w:rFonts w:eastAsiaTheme="minorEastAsia" w:cstheme="minorBidi"/>
          <w:b w:val="0"/>
          <w:bdr w:val="none" w:sz="0" w:space="0" w:color="auto"/>
          <w:lang w:val="es-US" w:eastAsia="zh-CN"/>
        </w:rPr>
      </w:pPr>
      <w:hyperlink w:anchor="_Toc90292591" w:history="1">
        <w:r w:rsidR="00C34A87" w:rsidRPr="008379F8">
          <w:rPr>
            <w:rStyle w:val="Hyperlink"/>
            <w:lang w:val="es-ES"/>
          </w:rPr>
          <w:t>IX.</w:t>
        </w:r>
        <w:r w:rsidR="00C34A87" w:rsidRPr="008379F8">
          <w:rPr>
            <w:rFonts w:eastAsiaTheme="minorEastAsia" w:cstheme="minorBidi"/>
            <w:b w:val="0"/>
            <w:bdr w:val="none" w:sz="0" w:space="0" w:color="auto"/>
            <w:lang w:val="es-US" w:eastAsia="zh-CN"/>
          </w:rPr>
          <w:tab/>
        </w:r>
        <w:r w:rsidR="00C34A87" w:rsidRPr="008379F8">
          <w:rPr>
            <w:rStyle w:val="Hyperlink"/>
            <w:lang w:val="es-ES"/>
          </w:rPr>
          <w:t>PUBLICACIÓN</w:t>
        </w:r>
        <w:r w:rsidR="00C34A87" w:rsidRPr="008379F8">
          <w:rPr>
            <w:webHidden/>
          </w:rPr>
          <w:tab/>
        </w:r>
        <w:r w:rsidR="00C34A87" w:rsidRPr="008379F8">
          <w:rPr>
            <w:webHidden/>
          </w:rPr>
          <w:fldChar w:fldCharType="begin"/>
        </w:r>
        <w:r w:rsidR="00C34A87" w:rsidRPr="008379F8">
          <w:rPr>
            <w:webHidden/>
          </w:rPr>
          <w:instrText xml:space="preserve"> PAGEREF _Toc90292591 \h </w:instrText>
        </w:r>
        <w:r w:rsidR="00C34A87" w:rsidRPr="008379F8">
          <w:rPr>
            <w:webHidden/>
          </w:rPr>
        </w:r>
        <w:r w:rsidR="00C34A87" w:rsidRPr="008379F8">
          <w:rPr>
            <w:webHidden/>
          </w:rPr>
          <w:fldChar w:fldCharType="separate"/>
        </w:r>
        <w:r w:rsidR="00C34A87" w:rsidRPr="008379F8">
          <w:rPr>
            <w:webHidden/>
          </w:rPr>
          <w:t>19</w:t>
        </w:r>
        <w:r w:rsidR="00C34A87" w:rsidRPr="008379F8">
          <w:rPr>
            <w:webHidden/>
          </w:rPr>
          <w:fldChar w:fldCharType="end"/>
        </w:r>
      </w:hyperlink>
    </w:p>
    <w:p w14:paraId="4E535C11" w14:textId="44E4CB0B" w:rsidR="007607C4" w:rsidRPr="001A45C1" w:rsidRDefault="00D31511" w:rsidP="00EC55EA">
      <w:pPr>
        <w:tabs>
          <w:tab w:val="center" w:pos="5400"/>
        </w:tabs>
        <w:suppressAutoHyphens/>
        <w:spacing w:line="276" w:lineRule="auto"/>
        <w:rPr>
          <w:rFonts w:asciiTheme="majorHAnsi" w:hAnsiTheme="majorHAnsi"/>
          <w:sz w:val="20"/>
          <w:szCs w:val="20"/>
        </w:rPr>
      </w:pPr>
      <w:r w:rsidRPr="008379F8">
        <w:rPr>
          <w:rFonts w:asciiTheme="majorHAnsi" w:hAnsiTheme="majorHAnsi"/>
          <w:sz w:val="20"/>
          <w:szCs w:val="20"/>
        </w:rPr>
        <w:fldChar w:fldCharType="end"/>
      </w:r>
    </w:p>
    <w:p w14:paraId="6EFFDC34" w14:textId="77777777" w:rsidR="007607C4" w:rsidRPr="001A45C1" w:rsidRDefault="007607C4" w:rsidP="00EC55EA">
      <w:pPr>
        <w:tabs>
          <w:tab w:val="center" w:pos="5400"/>
        </w:tabs>
        <w:suppressAutoHyphens/>
        <w:spacing w:line="276" w:lineRule="auto"/>
        <w:rPr>
          <w:rFonts w:asciiTheme="majorHAnsi" w:hAnsiTheme="majorHAnsi"/>
          <w:sz w:val="20"/>
          <w:szCs w:val="20"/>
        </w:rPr>
      </w:pPr>
    </w:p>
    <w:p w14:paraId="68AFA389" w14:textId="77777777" w:rsidR="00DE01CB" w:rsidRPr="001A45C1" w:rsidRDefault="00DE01CB" w:rsidP="00EC55EA">
      <w:pPr>
        <w:tabs>
          <w:tab w:val="center" w:pos="5400"/>
        </w:tabs>
        <w:suppressAutoHyphens/>
        <w:spacing w:line="276" w:lineRule="auto"/>
        <w:rPr>
          <w:rFonts w:asciiTheme="majorHAnsi" w:hAnsiTheme="majorHAnsi"/>
          <w:sz w:val="20"/>
          <w:szCs w:val="20"/>
        </w:rPr>
      </w:pPr>
    </w:p>
    <w:p w14:paraId="3521A74C" w14:textId="77777777" w:rsidR="00DE01CB" w:rsidRPr="00EC55EA" w:rsidRDefault="00DE01CB" w:rsidP="00EC55EA">
      <w:pPr>
        <w:tabs>
          <w:tab w:val="center" w:pos="5400"/>
        </w:tabs>
        <w:suppressAutoHyphens/>
        <w:spacing w:line="276" w:lineRule="auto"/>
        <w:rPr>
          <w:rFonts w:asciiTheme="majorHAnsi" w:hAnsiTheme="majorHAnsi"/>
          <w:sz w:val="20"/>
          <w:szCs w:val="20"/>
        </w:rPr>
      </w:pPr>
    </w:p>
    <w:p w14:paraId="671BD0FE" w14:textId="77777777" w:rsidR="00DE01CB" w:rsidRPr="00EC55EA" w:rsidRDefault="00DE01CB" w:rsidP="00EC55EA">
      <w:pPr>
        <w:tabs>
          <w:tab w:val="center" w:pos="5400"/>
        </w:tabs>
        <w:suppressAutoHyphens/>
        <w:spacing w:line="276" w:lineRule="auto"/>
        <w:rPr>
          <w:rFonts w:asciiTheme="majorHAnsi" w:hAnsiTheme="majorHAnsi"/>
          <w:sz w:val="20"/>
          <w:szCs w:val="20"/>
        </w:rPr>
      </w:pPr>
    </w:p>
    <w:p w14:paraId="312D9DEE" w14:textId="77777777" w:rsidR="00DE01CB" w:rsidRPr="00EC55EA" w:rsidRDefault="00DE01CB" w:rsidP="00EC55EA">
      <w:pPr>
        <w:tabs>
          <w:tab w:val="center" w:pos="5400"/>
        </w:tabs>
        <w:suppressAutoHyphens/>
        <w:spacing w:line="276" w:lineRule="auto"/>
        <w:rPr>
          <w:rFonts w:asciiTheme="majorHAnsi" w:hAnsiTheme="majorHAnsi"/>
          <w:sz w:val="20"/>
          <w:szCs w:val="20"/>
        </w:rPr>
      </w:pPr>
    </w:p>
    <w:p w14:paraId="3E107E64" w14:textId="77777777" w:rsidR="00264998" w:rsidRPr="00EC55EA" w:rsidRDefault="00264998" w:rsidP="00EC55EA">
      <w:pPr>
        <w:tabs>
          <w:tab w:val="center" w:pos="5400"/>
        </w:tabs>
        <w:suppressAutoHyphens/>
        <w:spacing w:line="276" w:lineRule="auto"/>
        <w:rPr>
          <w:rFonts w:asciiTheme="majorHAnsi" w:hAnsiTheme="majorHAnsi"/>
          <w:sz w:val="20"/>
          <w:szCs w:val="20"/>
        </w:rPr>
      </w:pPr>
    </w:p>
    <w:p w14:paraId="19CD8E62" w14:textId="77777777" w:rsidR="00264998" w:rsidRPr="00EC55EA" w:rsidRDefault="00264998" w:rsidP="00EC55EA">
      <w:pPr>
        <w:tabs>
          <w:tab w:val="center" w:pos="5400"/>
        </w:tabs>
        <w:suppressAutoHyphens/>
        <w:spacing w:line="276" w:lineRule="auto"/>
        <w:rPr>
          <w:rFonts w:asciiTheme="majorHAnsi" w:hAnsiTheme="majorHAnsi"/>
          <w:sz w:val="20"/>
          <w:szCs w:val="20"/>
        </w:rPr>
      </w:pPr>
    </w:p>
    <w:p w14:paraId="7DDC0716" w14:textId="77777777" w:rsidR="00264998" w:rsidRPr="00EC55EA" w:rsidRDefault="00264998" w:rsidP="00EC55EA">
      <w:pPr>
        <w:tabs>
          <w:tab w:val="center" w:pos="5400"/>
        </w:tabs>
        <w:suppressAutoHyphens/>
        <w:spacing w:line="276" w:lineRule="auto"/>
        <w:rPr>
          <w:rFonts w:asciiTheme="majorHAnsi" w:hAnsiTheme="majorHAnsi"/>
          <w:sz w:val="20"/>
          <w:szCs w:val="20"/>
        </w:rPr>
      </w:pPr>
    </w:p>
    <w:p w14:paraId="7D08CDC0" w14:textId="77777777" w:rsidR="00264998" w:rsidRPr="00EC55EA" w:rsidRDefault="00264998" w:rsidP="00EC55EA">
      <w:pPr>
        <w:tabs>
          <w:tab w:val="center" w:pos="5400"/>
        </w:tabs>
        <w:suppressAutoHyphens/>
        <w:spacing w:line="276" w:lineRule="auto"/>
        <w:rPr>
          <w:rFonts w:asciiTheme="majorHAnsi" w:hAnsiTheme="majorHAnsi"/>
          <w:sz w:val="20"/>
          <w:szCs w:val="20"/>
        </w:rPr>
      </w:pPr>
    </w:p>
    <w:p w14:paraId="4A4E2EDA" w14:textId="33C7D8F2" w:rsidR="007D5671" w:rsidRDefault="007D5671">
      <w:pPr>
        <w:rPr>
          <w:rFonts w:asciiTheme="majorHAnsi" w:eastAsiaTheme="majorEastAsia" w:hAnsiTheme="majorHAnsi" w:cstheme="majorBidi"/>
          <w:b/>
          <w:bCs/>
          <w:sz w:val="20"/>
          <w:szCs w:val="20"/>
        </w:rPr>
      </w:pPr>
    </w:p>
    <w:p w14:paraId="34684FCA" w14:textId="5A2C54BA" w:rsidR="001C4006" w:rsidRPr="00EC55EA" w:rsidRDefault="00B443C8" w:rsidP="00EC55EA">
      <w:pPr>
        <w:pStyle w:val="Heading1"/>
        <w:tabs>
          <w:tab w:val="left" w:pos="360"/>
        </w:tabs>
        <w:spacing w:before="0"/>
        <w:ind w:hanging="720"/>
        <w:rPr>
          <w:color w:val="auto"/>
          <w:sz w:val="20"/>
          <w:szCs w:val="20"/>
        </w:rPr>
      </w:pPr>
      <w:bookmarkStart w:id="0" w:name="_Toc90292565"/>
      <w:r>
        <w:rPr>
          <w:color w:val="auto"/>
          <w:sz w:val="20"/>
          <w:szCs w:val="20"/>
        </w:rPr>
        <w:t>INTRODUCCI</w:t>
      </w:r>
      <w:r w:rsidR="00C34A87">
        <w:rPr>
          <w:color w:val="auto"/>
          <w:sz w:val="20"/>
          <w:szCs w:val="20"/>
        </w:rPr>
        <w:t>Ó</w:t>
      </w:r>
      <w:r>
        <w:rPr>
          <w:color w:val="auto"/>
          <w:sz w:val="20"/>
          <w:szCs w:val="20"/>
        </w:rPr>
        <w:t>N</w:t>
      </w:r>
      <w:bookmarkEnd w:id="0"/>
    </w:p>
    <w:p w14:paraId="20C9D61F" w14:textId="77777777" w:rsidR="001C4006" w:rsidRPr="00EC55EA" w:rsidRDefault="001C4006" w:rsidP="00EC55EA">
      <w:pPr>
        <w:suppressAutoHyphens/>
        <w:ind w:left="1440" w:hanging="720"/>
        <w:rPr>
          <w:rFonts w:asciiTheme="majorHAnsi" w:hAnsiTheme="majorHAnsi"/>
          <w:b/>
          <w:sz w:val="20"/>
          <w:szCs w:val="20"/>
        </w:rPr>
      </w:pPr>
    </w:p>
    <w:p w14:paraId="7A281FA7" w14:textId="77777777" w:rsidR="001A45C1" w:rsidRPr="001A45C1" w:rsidRDefault="001A45C1" w:rsidP="00EC55E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lang w:val="es-ES"/>
        </w:rPr>
      </w:pPr>
      <w:r w:rsidRPr="001A45C1">
        <w:rPr>
          <w:rFonts w:asciiTheme="majorHAnsi" w:hAnsiTheme="majorHAnsi"/>
          <w:sz w:val="20"/>
          <w:szCs w:val="20"/>
          <w:lang w:val="es-ES"/>
        </w:rPr>
        <w:t>El 10 de agosto de 2011 la Comisión Interamericana de Derechos Humanos (la “Comisión Interamericana”, “Comisión” o “CIDH”) recibió una solicitud de medidas cautelares y una petición presentada por Suzanne Keffer (“los peticionarios”)</w:t>
      </w:r>
      <w:r>
        <w:rPr>
          <w:rStyle w:val="FootnoteReference"/>
          <w:rFonts w:asciiTheme="majorHAnsi" w:hAnsiTheme="majorHAnsi"/>
          <w:sz w:val="20"/>
          <w:szCs w:val="20"/>
        </w:rPr>
        <w:footnoteReference w:id="2"/>
      </w:r>
      <w:r w:rsidRPr="001A45C1">
        <w:rPr>
          <w:rFonts w:asciiTheme="majorHAnsi" w:hAnsiTheme="majorHAnsi"/>
          <w:sz w:val="20"/>
          <w:szCs w:val="20"/>
          <w:lang w:val="es-ES"/>
        </w:rPr>
        <w:t xml:space="preserve"> en </w:t>
      </w:r>
      <w:r>
        <w:rPr>
          <w:rFonts w:asciiTheme="majorHAnsi" w:hAnsiTheme="majorHAnsi"/>
          <w:sz w:val="20"/>
          <w:szCs w:val="20"/>
          <w:lang w:val="es-ES"/>
        </w:rPr>
        <w:t>representación</w:t>
      </w:r>
      <w:r w:rsidRPr="001A45C1">
        <w:rPr>
          <w:rFonts w:asciiTheme="majorHAnsi" w:hAnsiTheme="majorHAnsi"/>
          <w:sz w:val="20"/>
          <w:szCs w:val="20"/>
          <w:lang w:val="es-ES"/>
        </w:rPr>
        <w:t xml:space="preserve"> de Manuel Valle (“Sr. Valle” o la “presunta víctima”), ciudadano cubano, alegando la responsabilidad internacional de los Estados Unidos de América (el “Estado” o “Estados Unidos”) por la violación del </w:t>
      </w:r>
      <w:r>
        <w:rPr>
          <w:rFonts w:asciiTheme="majorHAnsi" w:hAnsiTheme="majorHAnsi"/>
          <w:sz w:val="20"/>
          <w:szCs w:val="20"/>
          <w:lang w:val="es-ES"/>
        </w:rPr>
        <w:t xml:space="preserve">los derechos del </w:t>
      </w:r>
      <w:r w:rsidRPr="001A45C1">
        <w:rPr>
          <w:rFonts w:asciiTheme="majorHAnsi" w:hAnsiTheme="majorHAnsi"/>
          <w:sz w:val="20"/>
          <w:szCs w:val="20"/>
          <w:lang w:val="es-ES"/>
        </w:rPr>
        <w:t>Sr. Valle bajo la Declaración Americana.</w:t>
      </w:r>
      <w:r w:rsidRPr="00EC55EA">
        <w:rPr>
          <w:rStyle w:val="FootnoteReference"/>
          <w:rFonts w:asciiTheme="majorHAnsi" w:hAnsiTheme="majorHAnsi"/>
          <w:sz w:val="20"/>
          <w:szCs w:val="20"/>
        </w:rPr>
        <w:footnoteReference w:id="3"/>
      </w:r>
      <w:r w:rsidRPr="001A45C1">
        <w:rPr>
          <w:rFonts w:asciiTheme="majorHAnsi" w:hAnsiTheme="majorHAnsi"/>
          <w:sz w:val="20"/>
          <w:szCs w:val="20"/>
          <w:lang w:val="es-ES"/>
        </w:rPr>
        <w:t xml:space="preserve"> El señor Valle, quien en ese momento se encontraba detenido en el corredor de la muerte, fue ejecutado el 28 de septiembre de 2011 en el estado de Florida.</w:t>
      </w:r>
    </w:p>
    <w:p w14:paraId="705332F1" w14:textId="77777777" w:rsidR="001C4006" w:rsidRPr="00E36893" w:rsidRDefault="001C4006" w:rsidP="001A45C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rPr>
          <w:rFonts w:asciiTheme="majorHAnsi" w:hAnsiTheme="majorHAnsi"/>
          <w:sz w:val="20"/>
          <w:szCs w:val="20"/>
          <w:lang w:val="es-ES"/>
        </w:rPr>
      </w:pPr>
    </w:p>
    <w:p w14:paraId="42D62955" w14:textId="77777777" w:rsidR="001A45C1" w:rsidRPr="001A45C1" w:rsidRDefault="001A45C1" w:rsidP="00EC55E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lang w:val="es-ES"/>
        </w:rPr>
      </w:pPr>
      <w:r w:rsidRPr="001A45C1">
        <w:rPr>
          <w:rFonts w:asciiTheme="majorHAnsi" w:hAnsiTheme="majorHAnsi"/>
          <w:sz w:val="20"/>
          <w:szCs w:val="20"/>
          <w:lang w:val="es-ES"/>
        </w:rPr>
        <w:t xml:space="preserve">El 18 de octubre de 2016 la Comisión notificó a las partes la aplicación del artículo 36 (3) de su Reglamento, ya que la petición se enmarca dentro de los criterios establecidos en su Resolución 1/16, y se puso a disposición de las partes para llegar a una solución amistosa. Las partes </w:t>
      </w:r>
      <w:r>
        <w:rPr>
          <w:rFonts w:asciiTheme="majorHAnsi" w:hAnsiTheme="majorHAnsi"/>
          <w:sz w:val="20"/>
          <w:szCs w:val="20"/>
          <w:lang w:val="es-ES"/>
        </w:rPr>
        <w:t>contaron</w:t>
      </w:r>
      <w:r w:rsidRPr="001A45C1">
        <w:rPr>
          <w:rFonts w:asciiTheme="majorHAnsi" w:hAnsiTheme="majorHAnsi"/>
          <w:sz w:val="20"/>
          <w:szCs w:val="20"/>
          <w:lang w:val="es-ES"/>
        </w:rPr>
        <w:t xml:space="preserve"> los plazos previstos en el Reglamento de la CIDH para presentar observaciones adicionales sobre el fondo. Toda la información recibida por la Comisión fue debidamente transmitida a las partes.</w:t>
      </w:r>
    </w:p>
    <w:p w14:paraId="2CFC7D5E" w14:textId="77777777" w:rsidR="001C4006" w:rsidRPr="00330450" w:rsidRDefault="001C4006" w:rsidP="00EC55E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rPr>
          <w:rFonts w:asciiTheme="majorHAnsi" w:hAnsiTheme="majorHAnsi"/>
          <w:sz w:val="20"/>
          <w:szCs w:val="20"/>
          <w:lang w:val="es-ES"/>
        </w:rPr>
      </w:pPr>
    </w:p>
    <w:p w14:paraId="6D6250AB" w14:textId="77777777" w:rsidR="001C4006" w:rsidRPr="00EC55EA" w:rsidRDefault="00B443C8" w:rsidP="00EC55EA">
      <w:pPr>
        <w:pStyle w:val="Heading1"/>
        <w:tabs>
          <w:tab w:val="left" w:pos="360"/>
        </w:tabs>
        <w:spacing w:before="0"/>
        <w:ind w:hanging="720"/>
        <w:rPr>
          <w:color w:val="auto"/>
          <w:sz w:val="20"/>
          <w:szCs w:val="20"/>
        </w:rPr>
      </w:pPr>
      <w:bookmarkStart w:id="1" w:name="_Toc90292566"/>
      <w:r>
        <w:rPr>
          <w:color w:val="auto"/>
          <w:sz w:val="20"/>
          <w:szCs w:val="20"/>
        </w:rPr>
        <w:t>ALEGATOS DE LAS PARTES</w:t>
      </w:r>
      <w:bookmarkEnd w:id="1"/>
    </w:p>
    <w:p w14:paraId="6FBDA1EF" w14:textId="77777777" w:rsidR="001C4006" w:rsidRPr="00EC55EA" w:rsidRDefault="001C4006" w:rsidP="00EC55EA">
      <w:pPr>
        <w:suppressAutoHyphens/>
        <w:ind w:left="1440" w:hanging="720"/>
        <w:rPr>
          <w:rFonts w:asciiTheme="majorHAnsi" w:hAnsiTheme="majorHAnsi"/>
          <w:sz w:val="20"/>
          <w:szCs w:val="20"/>
        </w:rPr>
      </w:pPr>
    </w:p>
    <w:p w14:paraId="58FA4ABA" w14:textId="77777777" w:rsidR="005C164F" w:rsidRPr="00EC55EA" w:rsidRDefault="00B443C8" w:rsidP="00EC55EA">
      <w:pPr>
        <w:pStyle w:val="Heading2"/>
        <w:numPr>
          <w:ilvl w:val="0"/>
          <w:numId w:val="57"/>
        </w:numPr>
        <w:tabs>
          <w:tab w:val="left" w:pos="360"/>
        </w:tabs>
        <w:spacing w:before="0"/>
        <w:ind w:hanging="720"/>
        <w:rPr>
          <w:color w:val="auto"/>
          <w:sz w:val="20"/>
          <w:szCs w:val="20"/>
        </w:rPr>
      </w:pPr>
      <w:bookmarkStart w:id="2" w:name="_Toc90292567"/>
      <w:r>
        <w:rPr>
          <w:color w:val="auto"/>
          <w:sz w:val="20"/>
          <w:szCs w:val="20"/>
        </w:rPr>
        <w:t>La parte peticionaria</w:t>
      </w:r>
      <w:bookmarkEnd w:id="2"/>
    </w:p>
    <w:p w14:paraId="1511B9FC" w14:textId="77777777" w:rsidR="00DA0F27" w:rsidRDefault="00DA0F27" w:rsidP="00EC55EA"/>
    <w:p w14:paraId="6418A80D" w14:textId="77777777" w:rsidR="001A45C1" w:rsidRPr="001A45C1" w:rsidRDefault="001A45C1" w:rsidP="009B5E0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lang w:val="es-ES"/>
        </w:rPr>
      </w:pPr>
      <w:r w:rsidRPr="001A45C1">
        <w:rPr>
          <w:rFonts w:asciiTheme="majorHAnsi" w:hAnsiTheme="majorHAnsi"/>
          <w:sz w:val="20"/>
          <w:szCs w:val="20"/>
          <w:lang w:val="es-ES"/>
        </w:rPr>
        <w:t xml:space="preserve">Los peticionarios afirman que el señor Valle, como ciudadano cubano, no fue informado de sus derechos en virtud del artículo 36 de la Convención de Viena sobre Relaciones Consulares (Convención de Viena) con respecto a la notificación y el acceso consular, y alegan que al señor Valle se le negó un oportunidad de recibir asistencia de la Sección de Intereses de Cuba de la Embajada de Suiza en Washington DC. Adicionalmente, se afirma que el Estado no ha reparado la violación mediante una revisión y reconsideración completa de la sentencia de muerte del señor Valle y, a la luz de estas circunstancias, alega que el Estado ha violado los derechos del señor Valle </w:t>
      </w:r>
      <w:r>
        <w:rPr>
          <w:rFonts w:asciiTheme="majorHAnsi" w:hAnsiTheme="majorHAnsi"/>
          <w:sz w:val="20"/>
          <w:szCs w:val="20"/>
          <w:lang w:val="es-ES"/>
        </w:rPr>
        <w:t>consagrados en los</w:t>
      </w:r>
      <w:r w:rsidRPr="001A45C1">
        <w:rPr>
          <w:rFonts w:asciiTheme="majorHAnsi" w:hAnsiTheme="majorHAnsi"/>
          <w:sz w:val="20"/>
          <w:szCs w:val="20"/>
          <w:lang w:val="es-ES"/>
        </w:rPr>
        <w:t xml:space="preserve"> artículo</w:t>
      </w:r>
      <w:r>
        <w:rPr>
          <w:rFonts w:asciiTheme="majorHAnsi" w:hAnsiTheme="majorHAnsi"/>
          <w:sz w:val="20"/>
          <w:szCs w:val="20"/>
          <w:lang w:val="es-ES"/>
        </w:rPr>
        <w:t>s</w:t>
      </w:r>
      <w:r w:rsidRPr="001A45C1">
        <w:rPr>
          <w:rFonts w:asciiTheme="majorHAnsi" w:hAnsiTheme="majorHAnsi"/>
          <w:sz w:val="20"/>
          <w:szCs w:val="20"/>
          <w:lang w:val="es-ES"/>
        </w:rPr>
        <w:t xml:space="preserve"> I, II y XXVI de la Declaración Americana.</w:t>
      </w:r>
    </w:p>
    <w:p w14:paraId="20F3DAB5" w14:textId="77777777" w:rsidR="009B5E0C" w:rsidRPr="00E36893" w:rsidRDefault="009B5E0C" w:rsidP="009B5E0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lang w:val="es-ES"/>
        </w:rPr>
      </w:pPr>
    </w:p>
    <w:p w14:paraId="461A1F61" w14:textId="77777777" w:rsidR="001A45C1" w:rsidRPr="001A45C1" w:rsidRDefault="001A45C1" w:rsidP="00E947D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lang w:val="es-ES"/>
        </w:rPr>
      </w:pPr>
      <w:r w:rsidRPr="001A45C1">
        <w:rPr>
          <w:rFonts w:asciiTheme="majorHAnsi" w:hAnsiTheme="majorHAnsi"/>
          <w:sz w:val="20"/>
          <w:szCs w:val="20"/>
          <w:lang w:val="es-ES"/>
        </w:rPr>
        <w:t xml:space="preserve">Los peticionarios afirman además que no hay indicios de que se haya llevado a cabo una investigación de </w:t>
      </w:r>
      <w:r w:rsidR="00E86C3A">
        <w:rPr>
          <w:rFonts w:asciiTheme="majorHAnsi" w:hAnsiTheme="majorHAnsi"/>
          <w:sz w:val="20"/>
          <w:szCs w:val="20"/>
          <w:lang w:val="es-ES"/>
        </w:rPr>
        <w:t>clemencia</w:t>
      </w:r>
      <w:r w:rsidRPr="001A45C1">
        <w:rPr>
          <w:rFonts w:asciiTheme="majorHAnsi" w:hAnsiTheme="majorHAnsi"/>
          <w:sz w:val="20"/>
          <w:szCs w:val="20"/>
          <w:lang w:val="es-ES"/>
        </w:rPr>
        <w:t>, como exige la Constitución de Florida,</w:t>
      </w:r>
      <w:r>
        <w:rPr>
          <w:rStyle w:val="FootnoteReference"/>
          <w:rFonts w:asciiTheme="majorHAnsi" w:hAnsiTheme="majorHAnsi"/>
          <w:sz w:val="20"/>
          <w:szCs w:val="20"/>
        </w:rPr>
        <w:footnoteReference w:id="4"/>
      </w:r>
      <w:r w:rsidRPr="001A45C1">
        <w:rPr>
          <w:rFonts w:asciiTheme="majorHAnsi" w:hAnsiTheme="majorHAnsi"/>
          <w:sz w:val="20"/>
          <w:szCs w:val="20"/>
          <w:lang w:val="es-ES"/>
        </w:rPr>
        <w:t xml:space="preserve"> después de la apelación del Sr. Valle.</w:t>
      </w:r>
      <w:r w:rsidR="00E86C3A">
        <w:rPr>
          <w:rFonts w:asciiTheme="majorHAnsi" w:hAnsiTheme="majorHAnsi"/>
          <w:sz w:val="20"/>
          <w:szCs w:val="20"/>
          <w:lang w:val="es-ES"/>
        </w:rPr>
        <w:t xml:space="preserve"> La ausencia de ese</w:t>
      </w:r>
      <w:r w:rsidRPr="001A45C1">
        <w:rPr>
          <w:rFonts w:asciiTheme="majorHAnsi" w:hAnsiTheme="majorHAnsi"/>
          <w:sz w:val="20"/>
          <w:szCs w:val="20"/>
          <w:lang w:val="es-ES"/>
        </w:rPr>
        <w:t xml:space="preserve"> proceso se alega como una violación del derecho del Sr. Valle a solicitar </w:t>
      </w:r>
      <w:r w:rsidR="00E86C3A">
        <w:rPr>
          <w:rFonts w:asciiTheme="majorHAnsi" w:hAnsiTheme="majorHAnsi"/>
          <w:sz w:val="20"/>
          <w:szCs w:val="20"/>
          <w:lang w:val="es-ES"/>
        </w:rPr>
        <w:t>clemencia</w:t>
      </w:r>
      <w:r w:rsidRPr="001A45C1">
        <w:rPr>
          <w:rFonts w:asciiTheme="majorHAnsi" w:hAnsiTheme="majorHAnsi"/>
          <w:sz w:val="20"/>
          <w:szCs w:val="20"/>
          <w:lang w:val="es-ES"/>
        </w:rPr>
        <w:t xml:space="preserve"> y una violación de sus derechos consagrados en los artículos I y XXVI de la Declaración.</w:t>
      </w:r>
    </w:p>
    <w:p w14:paraId="7332ACF8" w14:textId="77777777" w:rsidR="00E947D7" w:rsidRPr="00330450" w:rsidRDefault="00E947D7" w:rsidP="00E947D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lang w:val="es-ES"/>
        </w:rPr>
      </w:pPr>
    </w:p>
    <w:p w14:paraId="7A229309" w14:textId="77777777" w:rsidR="00E86C3A" w:rsidRPr="00E86C3A" w:rsidRDefault="00E86C3A" w:rsidP="00D4432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lang w:val="es-ES"/>
        </w:rPr>
      </w:pPr>
      <w:r w:rsidRPr="00E86C3A">
        <w:rPr>
          <w:rFonts w:asciiTheme="majorHAnsi" w:hAnsiTheme="majorHAnsi"/>
          <w:sz w:val="20"/>
          <w:szCs w:val="20"/>
          <w:lang w:val="es-ES"/>
        </w:rPr>
        <w:t>Los peticionarios alegan que la reclusión prolongada en el corredor de la muerte, de aproximadamente 33 años, constituye un trato cruel, inhumano y degradante, además de tortuoso. Los peticionarios alegan que dicho período viola los derechos del señor Valle reconocidos en los artículos I, XVII, XXIV y XXVI de la Declaración Americana.</w:t>
      </w:r>
    </w:p>
    <w:p w14:paraId="1B6FC4AC" w14:textId="77777777" w:rsidR="00D44328" w:rsidRPr="00330450" w:rsidRDefault="00D44328" w:rsidP="00E947D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lang w:val="es-ES"/>
        </w:rPr>
      </w:pPr>
    </w:p>
    <w:p w14:paraId="29D8AC77" w14:textId="77777777" w:rsidR="00E86C3A" w:rsidRPr="00E86C3A" w:rsidRDefault="00E86C3A" w:rsidP="00D4432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lang w:val="es-ES"/>
        </w:rPr>
      </w:pPr>
      <w:r w:rsidRPr="00E86C3A">
        <w:rPr>
          <w:rFonts w:asciiTheme="majorHAnsi" w:hAnsiTheme="majorHAnsi"/>
          <w:sz w:val="20"/>
          <w:szCs w:val="20"/>
          <w:lang w:val="es-ES"/>
        </w:rPr>
        <w:t>Se explica que Florida planeaba usar pentobarbital en la inyección letal para la ejecución del Sr. Valle. Los peticionarios destacaron que el fabricante de la droga manifestó que no podía “asegurar los perfiles de seguridad y eficacia asociados en tales instancias”</w:t>
      </w:r>
      <w:r w:rsidRPr="00E86C3A">
        <w:rPr>
          <w:rStyle w:val="FootnoteReference"/>
          <w:rFonts w:asciiTheme="majorHAnsi" w:hAnsiTheme="majorHAnsi"/>
          <w:sz w:val="20"/>
          <w:szCs w:val="20"/>
          <w:lang w:val="es-ES"/>
        </w:rPr>
        <w:t xml:space="preserve"> </w:t>
      </w:r>
      <w:r>
        <w:rPr>
          <w:rStyle w:val="FootnoteReference"/>
          <w:rFonts w:asciiTheme="majorHAnsi" w:hAnsiTheme="majorHAnsi"/>
          <w:sz w:val="20"/>
          <w:szCs w:val="20"/>
        </w:rPr>
        <w:footnoteReference w:id="5"/>
      </w:r>
      <w:r w:rsidRPr="00E86C3A">
        <w:rPr>
          <w:rFonts w:asciiTheme="majorHAnsi" w:hAnsiTheme="majorHAnsi"/>
          <w:sz w:val="20"/>
          <w:szCs w:val="20"/>
          <w:lang w:val="es-ES"/>
        </w:rPr>
        <w:t xml:space="preserve">, siendo las instancias referidas la de ejecución por inyección letal. Se afirma que como el fármaco nunca se probó en seres humanos con el propósito de inducir un coma anestésico, salvo por la ejecución de Roy Blankenship por parte del estado de Georgia el 23 de junio de 2011, el estado de Florida estaría experimentando con el Sr. Valle, violando sus derechos </w:t>
      </w:r>
      <w:r>
        <w:rPr>
          <w:rFonts w:asciiTheme="majorHAnsi" w:hAnsiTheme="majorHAnsi"/>
          <w:sz w:val="20"/>
          <w:szCs w:val="20"/>
          <w:lang w:val="es-ES"/>
        </w:rPr>
        <w:t xml:space="preserve">consagrados en </w:t>
      </w:r>
      <w:r w:rsidRPr="00E86C3A">
        <w:rPr>
          <w:rFonts w:asciiTheme="majorHAnsi" w:hAnsiTheme="majorHAnsi"/>
          <w:sz w:val="20"/>
          <w:szCs w:val="20"/>
          <w:lang w:val="es-ES"/>
        </w:rPr>
        <w:t>los artículos I y XXVI de la Declaración.</w:t>
      </w:r>
    </w:p>
    <w:p w14:paraId="785D0A9F" w14:textId="77777777" w:rsidR="00D10FF4" w:rsidRPr="00330450" w:rsidRDefault="00D10FF4" w:rsidP="00EC55E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ES"/>
        </w:rPr>
      </w:pPr>
    </w:p>
    <w:p w14:paraId="246D7B36" w14:textId="77777777" w:rsidR="00F516D3" w:rsidRPr="00EC55EA" w:rsidRDefault="00B443C8" w:rsidP="00EC55EA">
      <w:pPr>
        <w:pStyle w:val="Heading2"/>
        <w:numPr>
          <w:ilvl w:val="0"/>
          <w:numId w:val="57"/>
        </w:numPr>
        <w:tabs>
          <w:tab w:val="left" w:pos="360"/>
        </w:tabs>
        <w:spacing w:before="0"/>
        <w:ind w:hanging="720"/>
        <w:rPr>
          <w:color w:val="auto"/>
          <w:sz w:val="20"/>
          <w:szCs w:val="20"/>
        </w:rPr>
      </w:pPr>
      <w:bookmarkStart w:id="3" w:name="_Toc90292568"/>
      <w:r>
        <w:rPr>
          <w:color w:val="auto"/>
          <w:sz w:val="20"/>
          <w:szCs w:val="20"/>
        </w:rPr>
        <w:lastRenderedPageBreak/>
        <w:t>El Estado</w:t>
      </w:r>
      <w:bookmarkEnd w:id="3"/>
    </w:p>
    <w:p w14:paraId="171C8D6D" w14:textId="77777777" w:rsidR="00A238D4" w:rsidRPr="00EC55EA" w:rsidRDefault="00A238D4" w:rsidP="00EC55EA">
      <w:pPr>
        <w:rPr>
          <w:rFonts w:asciiTheme="majorHAnsi" w:hAnsiTheme="majorHAnsi"/>
          <w:sz w:val="20"/>
          <w:szCs w:val="20"/>
        </w:rPr>
      </w:pPr>
    </w:p>
    <w:p w14:paraId="3D6A5B06" w14:textId="77777777" w:rsidR="00E86C3A" w:rsidRPr="00E86C3A" w:rsidRDefault="00E86C3A" w:rsidP="00EC55E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lang w:val="es-ES"/>
        </w:rPr>
      </w:pPr>
      <w:r w:rsidRPr="00E86C3A">
        <w:rPr>
          <w:rFonts w:asciiTheme="majorHAnsi" w:hAnsiTheme="majorHAnsi"/>
          <w:sz w:val="20"/>
          <w:szCs w:val="20"/>
          <w:lang w:val="es-ES"/>
        </w:rPr>
        <w:t>El Estado comunicó su intención de no presentar más escritos respecto de la petición dado que a la fecha de su respuesta al asunto, el señor Valle ya había sido ejecutado. El Estado reiteró su posición de que la imposición de la pena de muerte, por los delitos más graves y de conformidad con la ley, no viola ninguna obligación internacional de Estados Unidos.</w:t>
      </w:r>
    </w:p>
    <w:p w14:paraId="3432D982" w14:textId="77777777" w:rsidR="00D10FF4" w:rsidRPr="00330450" w:rsidRDefault="00D10FF4" w:rsidP="00EC55E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lang w:val="es-ES"/>
        </w:rPr>
      </w:pPr>
    </w:p>
    <w:p w14:paraId="1DCF3263" w14:textId="77777777" w:rsidR="00A473E3" w:rsidRPr="00EC55EA" w:rsidRDefault="00B443C8" w:rsidP="00EC55EA">
      <w:pPr>
        <w:pStyle w:val="Heading1"/>
        <w:tabs>
          <w:tab w:val="left" w:pos="360"/>
        </w:tabs>
        <w:spacing w:before="0"/>
        <w:ind w:hanging="720"/>
        <w:rPr>
          <w:color w:val="auto"/>
          <w:sz w:val="20"/>
          <w:szCs w:val="20"/>
        </w:rPr>
      </w:pPr>
      <w:bookmarkStart w:id="4" w:name="_Toc90292569"/>
      <w:r>
        <w:rPr>
          <w:color w:val="auto"/>
          <w:sz w:val="20"/>
          <w:szCs w:val="20"/>
        </w:rPr>
        <w:t>ADMISIBILIDAD</w:t>
      </w:r>
      <w:bookmarkEnd w:id="4"/>
      <w:r w:rsidR="0081365E" w:rsidRPr="00EC55EA">
        <w:rPr>
          <w:sz w:val="20"/>
          <w:szCs w:val="20"/>
        </w:rPr>
        <w:tab/>
      </w:r>
    </w:p>
    <w:p w14:paraId="30CCB17E" w14:textId="77777777" w:rsidR="00F516D3" w:rsidRPr="00EC55EA" w:rsidRDefault="00F516D3" w:rsidP="00EC55EA">
      <w:pPr>
        <w:rPr>
          <w:rFonts w:asciiTheme="majorHAnsi" w:hAnsiTheme="majorHAnsi"/>
          <w:sz w:val="20"/>
          <w:szCs w:val="20"/>
        </w:rPr>
      </w:pPr>
    </w:p>
    <w:p w14:paraId="37C20B16" w14:textId="77777777" w:rsidR="00F516D3" w:rsidRPr="00B443C8" w:rsidRDefault="00B443C8" w:rsidP="00EC55EA">
      <w:pPr>
        <w:pStyle w:val="Heading2"/>
        <w:keepLines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before="0"/>
        <w:ind w:left="360"/>
        <w:rPr>
          <w:rFonts w:cs="Times New Roman"/>
          <w:color w:val="auto"/>
          <w:sz w:val="20"/>
          <w:szCs w:val="20"/>
          <w:lang w:val="es-ES"/>
        </w:rPr>
      </w:pPr>
      <w:bookmarkStart w:id="5" w:name="_Toc7602623"/>
      <w:bookmarkStart w:id="6" w:name="_Toc90292570"/>
      <w:bookmarkStart w:id="7" w:name="_Toc6349142"/>
      <w:r w:rsidRPr="00B443C8">
        <w:rPr>
          <w:rFonts w:cs="Times New Roman"/>
          <w:color w:val="auto"/>
          <w:sz w:val="20"/>
          <w:szCs w:val="20"/>
          <w:lang w:val="es-ES"/>
        </w:rPr>
        <w:t>Competencia, duplicidad de procedimientos</w:t>
      </w:r>
      <w:r>
        <w:rPr>
          <w:rFonts w:cs="Times New Roman"/>
          <w:color w:val="auto"/>
          <w:sz w:val="20"/>
          <w:szCs w:val="20"/>
          <w:lang w:val="es-ES"/>
        </w:rPr>
        <w:t xml:space="preserve"> y cosa juzgada internacional</w:t>
      </w:r>
      <w:bookmarkEnd w:id="5"/>
      <w:bookmarkEnd w:id="6"/>
      <w:r w:rsidR="00F516D3" w:rsidRPr="00B443C8">
        <w:rPr>
          <w:rFonts w:cs="Times New Roman"/>
          <w:color w:val="auto"/>
          <w:sz w:val="20"/>
          <w:szCs w:val="20"/>
          <w:lang w:val="es-ES"/>
        </w:rPr>
        <w:t xml:space="preserve"> </w:t>
      </w:r>
      <w:bookmarkEnd w:id="7"/>
    </w:p>
    <w:p w14:paraId="2A301C71" w14:textId="77777777" w:rsidR="00947B86" w:rsidRPr="00B443C8" w:rsidRDefault="00947B86" w:rsidP="00EC55EA">
      <w:pPr>
        <w:rPr>
          <w:rFonts w:asciiTheme="majorHAnsi" w:hAnsiTheme="majorHAnsi"/>
          <w:sz w:val="20"/>
          <w:szCs w:val="20"/>
          <w:lang w:val="es-ES"/>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1A45C1" w:rsidRPr="00EC55EA" w14:paraId="2C10450D" w14:textId="77777777">
        <w:trPr>
          <w:cantSplit/>
        </w:trPr>
        <w:tc>
          <w:tcPr>
            <w:tcW w:w="3600" w:type="dxa"/>
            <w:tcBorders>
              <w:top w:val="single" w:sz="4" w:space="0" w:color="auto"/>
              <w:bottom w:val="single" w:sz="6" w:space="0" w:color="auto"/>
            </w:tcBorders>
            <w:shd w:val="clear" w:color="auto" w:fill="386294"/>
            <w:vAlign w:val="center"/>
          </w:tcPr>
          <w:p w14:paraId="12BFDF8A" w14:textId="77777777" w:rsidR="00947B86" w:rsidRPr="00EC55EA" w:rsidRDefault="00947B86" w:rsidP="00EC55EA">
            <w:pPr>
              <w:jc w:val="center"/>
              <w:rPr>
                <w:rFonts w:asciiTheme="majorHAnsi" w:hAnsiTheme="majorHAnsi"/>
                <w:b/>
                <w:bCs/>
                <w:i/>
                <w:color w:val="FFFFFF" w:themeColor="background1"/>
                <w:sz w:val="20"/>
                <w:szCs w:val="20"/>
              </w:rPr>
            </w:pPr>
            <w:r w:rsidRPr="00EC55EA">
              <w:rPr>
                <w:rFonts w:asciiTheme="majorHAnsi" w:hAnsiTheme="majorHAnsi"/>
                <w:b/>
                <w:bCs/>
                <w:color w:val="FFFFFF" w:themeColor="background1"/>
                <w:sz w:val="20"/>
                <w:szCs w:val="20"/>
              </w:rPr>
              <w:t>Competenc</w:t>
            </w:r>
            <w:r w:rsidR="001A45C1">
              <w:rPr>
                <w:rFonts w:asciiTheme="majorHAnsi" w:hAnsiTheme="majorHAnsi"/>
                <w:b/>
                <w:bCs/>
                <w:color w:val="FFFFFF" w:themeColor="background1"/>
                <w:sz w:val="20"/>
                <w:szCs w:val="20"/>
              </w:rPr>
              <w:t>ia</w:t>
            </w:r>
            <w:r w:rsidRPr="00EC55EA">
              <w:rPr>
                <w:rFonts w:asciiTheme="majorHAnsi" w:hAnsiTheme="majorHAnsi"/>
                <w:b/>
                <w:bCs/>
                <w:i/>
                <w:color w:val="FFFFFF" w:themeColor="background1"/>
                <w:sz w:val="20"/>
                <w:szCs w:val="20"/>
              </w:rPr>
              <w:t xml:space="preserve"> Ratione personae:</w:t>
            </w:r>
          </w:p>
        </w:tc>
        <w:tc>
          <w:tcPr>
            <w:tcW w:w="5760" w:type="dxa"/>
            <w:vAlign w:val="center"/>
          </w:tcPr>
          <w:p w14:paraId="65EF655B" w14:textId="77777777" w:rsidR="00947B86" w:rsidRPr="00EC55EA" w:rsidRDefault="001A45C1" w:rsidP="00EC55EA">
            <w:pPr>
              <w:rPr>
                <w:rFonts w:asciiTheme="majorHAnsi" w:hAnsiTheme="majorHAnsi"/>
                <w:bCs/>
                <w:sz w:val="20"/>
                <w:szCs w:val="20"/>
              </w:rPr>
            </w:pPr>
            <w:r>
              <w:rPr>
                <w:rFonts w:asciiTheme="majorHAnsi" w:hAnsiTheme="majorHAnsi"/>
                <w:bCs/>
                <w:sz w:val="20"/>
                <w:szCs w:val="20"/>
              </w:rPr>
              <w:t>Si</w:t>
            </w:r>
          </w:p>
        </w:tc>
      </w:tr>
      <w:tr w:rsidR="001A45C1" w:rsidRPr="00EC55EA" w14:paraId="6E089FBF" w14:textId="77777777">
        <w:trPr>
          <w:cantSplit/>
        </w:trPr>
        <w:tc>
          <w:tcPr>
            <w:tcW w:w="3600" w:type="dxa"/>
            <w:tcBorders>
              <w:top w:val="single" w:sz="6" w:space="0" w:color="auto"/>
              <w:bottom w:val="single" w:sz="6" w:space="0" w:color="auto"/>
            </w:tcBorders>
            <w:shd w:val="clear" w:color="auto" w:fill="386294"/>
            <w:vAlign w:val="center"/>
          </w:tcPr>
          <w:p w14:paraId="0735DA45" w14:textId="77777777" w:rsidR="00947B86" w:rsidRPr="00EC55EA" w:rsidRDefault="00947B86" w:rsidP="00EC55EA">
            <w:pPr>
              <w:jc w:val="center"/>
              <w:rPr>
                <w:rFonts w:asciiTheme="majorHAnsi" w:hAnsiTheme="majorHAnsi"/>
                <w:b/>
                <w:bCs/>
                <w:color w:val="FFFFFF" w:themeColor="background1"/>
                <w:sz w:val="20"/>
                <w:szCs w:val="20"/>
              </w:rPr>
            </w:pPr>
            <w:r w:rsidRPr="00EC55EA">
              <w:rPr>
                <w:rFonts w:asciiTheme="majorHAnsi" w:hAnsiTheme="majorHAnsi"/>
                <w:b/>
                <w:bCs/>
                <w:color w:val="FFFFFF" w:themeColor="background1"/>
                <w:sz w:val="20"/>
                <w:szCs w:val="20"/>
              </w:rPr>
              <w:t>Competenc</w:t>
            </w:r>
            <w:r w:rsidR="001A45C1">
              <w:rPr>
                <w:rFonts w:asciiTheme="majorHAnsi" w:hAnsiTheme="majorHAnsi"/>
                <w:b/>
                <w:bCs/>
                <w:color w:val="FFFFFF" w:themeColor="background1"/>
                <w:sz w:val="20"/>
                <w:szCs w:val="20"/>
              </w:rPr>
              <w:t>ia</w:t>
            </w:r>
            <w:r w:rsidRPr="00EC55EA">
              <w:rPr>
                <w:rFonts w:asciiTheme="majorHAnsi" w:hAnsiTheme="majorHAnsi"/>
                <w:b/>
                <w:bCs/>
                <w:i/>
                <w:color w:val="FFFFFF" w:themeColor="background1"/>
                <w:sz w:val="20"/>
                <w:szCs w:val="20"/>
              </w:rPr>
              <w:t xml:space="preserve"> Ratione loci</w:t>
            </w:r>
            <w:r w:rsidRPr="00EC55EA">
              <w:rPr>
                <w:rFonts w:asciiTheme="majorHAnsi" w:hAnsiTheme="majorHAnsi"/>
                <w:b/>
                <w:bCs/>
                <w:color w:val="FFFFFF" w:themeColor="background1"/>
                <w:sz w:val="20"/>
                <w:szCs w:val="20"/>
              </w:rPr>
              <w:t>:</w:t>
            </w:r>
          </w:p>
        </w:tc>
        <w:tc>
          <w:tcPr>
            <w:tcW w:w="5760" w:type="dxa"/>
            <w:vAlign w:val="center"/>
          </w:tcPr>
          <w:p w14:paraId="380334AD" w14:textId="77777777" w:rsidR="00947B86" w:rsidRPr="00EC55EA" w:rsidRDefault="001A45C1" w:rsidP="00EC55EA">
            <w:pPr>
              <w:rPr>
                <w:rFonts w:asciiTheme="majorHAnsi" w:hAnsiTheme="majorHAnsi"/>
                <w:bCs/>
                <w:sz w:val="20"/>
                <w:szCs w:val="20"/>
              </w:rPr>
            </w:pPr>
            <w:r>
              <w:rPr>
                <w:rFonts w:asciiTheme="majorHAnsi" w:hAnsiTheme="majorHAnsi"/>
                <w:bCs/>
                <w:sz w:val="20"/>
                <w:szCs w:val="20"/>
              </w:rPr>
              <w:t>Si</w:t>
            </w:r>
          </w:p>
        </w:tc>
      </w:tr>
      <w:tr w:rsidR="001A45C1" w:rsidRPr="00EC55EA" w14:paraId="4F3C536F" w14:textId="77777777">
        <w:trPr>
          <w:cantSplit/>
        </w:trPr>
        <w:tc>
          <w:tcPr>
            <w:tcW w:w="3600" w:type="dxa"/>
            <w:tcBorders>
              <w:top w:val="single" w:sz="6" w:space="0" w:color="auto"/>
              <w:bottom w:val="single" w:sz="6" w:space="0" w:color="auto"/>
            </w:tcBorders>
            <w:shd w:val="clear" w:color="auto" w:fill="386294"/>
            <w:vAlign w:val="center"/>
          </w:tcPr>
          <w:p w14:paraId="5BE5467D" w14:textId="77777777" w:rsidR="00947B86" w:rsidRPr="00EC55EA" w:rsidRDefault="00947B86" w:rsidP="00EC55EA">
            <w:pPr>
              <w:jc w:val="center"/>
              <w:rPr>
                <w:rFonts w:asciiTheme="majorHAnsi" w:hAnsiTheme="majorHAnsi"/>
                <w:b/>
                <w:bCs/>
                <w:color w:val="FFFFFF" w:themeColor="background1"/>
                <w:sz w:val="20"/>
                <w:szCs w:val="20"/>
              </w:rPr>
            </w:pPr>
            <w:r w:rsidRPr="00EC55EA">
              <w:rPr>
                <w:rFonts w:asciiTheme="majorHAnsi" w:hAnsiTheme="majorHAnsi"/>
                <w:b/>
                <w:bCs/>
                <w:color w:val="FFFFFF" w:themeColor="background1"/>
                <w:sz w:val="20"/>
                <w:szCs w:val="20"/>
              </w:rPr>
              <w:t>Competenc</w:t>
            </w:r>
            <w:r w:rsidR="001A45C1">
              <w:rPr>
                <w:rFonts w:asciiTheme="majorHAnsi" w:hAnsiTheme="majorHAnsi"/>
                <w:b/>
                <w:bCs/>
                <w:color w:val="FFFFFF" w:themeColor="background1"/>
                <w:sz w:val="20"/>
                <w:szCs w:val="20"/>
              </w:rPr>
              <w:t>ia</w:t>
            </w:r>
            <w:r w:rsidRPr="00EC55EA">
              <w:rPr>
                <w:rFonts w:asciiTheme="majorHAnsi" w:hAnsiTheme="majorHAnsi"/>
                <w:b/>
                <w:bCs/>
                <w:i/>
                <w:color w:val="FFFFFF" w:themeColor="background1"/>
                <w:sz w:val="20"/>
                <w:szCs w:val="20"/>
              </w:rPr>
              <w:t xml:space="preserve"> Ratione temporis</w:t>
            </w:r>
            <w:r w:rsidRPr="00EC55EA">
              <w:rPr>
                <w:rFonts w:asciiTheme="majorHAnsi" w:hAnsiTheme="majorHAnsi"/>
                <w:b/>
                <w:bCs/>
                <w:color w:val="FFFFFF" w:themeColor="background1"/>
                <w:sz w:val="20"/>
                <w:szCs w:val="20"/>
              </w:rPr>
              <w:t>:</w:t>
            </w:r>
          </w:p>
        </w:tc>
        <w:tc>
          <w:tcPr>
            <w:tcW w:w="5760" w:type="dxa"/>
            <w:vAlign w:val="center"/>
          </w:tcPr>
          <w:p w14:paraId="05CE1D07" w14:textId="77777777" w:rsidR="00947B86" w:rsidRPr="00EC55EA" w:rsidRDefault="001A45C1" w:rsidP="00EC55EA">
            <w:pPr>
              <w:rPr>
                <w:rFonts w:asciiTheme="majorHAnsi" w:hAnsiTheme="majorHAnsi"/>
                <w:bCs/>
                <w:sz w:val="20"/>
                <w:szCs w:val="20"/>
              </w:rPr>
            </w:pPr>
            <w:r>
              <w:rPr>
                <w:rFonts w:asciiTheme="majorHAnsi" w:hAnsiTheme="majorHAnsi"/>
                <w:bCs/>
                <w:sz w:val="20"/>
                <w:szCs w:val="20"/>
              </w:rPr>
              <w:t>Si</w:t>
            </w:r>
          </w:p>
        </w:tc>
      </w:tr>
      <w:tr w:rsidR="001A45C1" w:rsidRPr="006E3733" w14:paraId="30F51CE2" w14:textId="77777777">
        <w:trPr>
          <w:cantSplit/>
        </w:trPr>
        <w:tc>
          <w:tcPr>
            <w:tcW w:w="3600" w:type="dxa"/>
            <w:tcBorders>
              <w:top w:val="single" w:sz="6" w:space="0" w:color="auto"/>
              <w:bottom w:val="single" w:sz="6" w:space="0" w:color="auto"/>
            </w:tcBorders>
            <w:shd w:val="clear" w:color="auto" w:fill="386294"/>
            <w:vAlign w:val="center"/>
          </w:tcPr>
          <w:p w14:paraId="5859A483" w14:textId="77777777" w:rsidR="00947B86" w:rsidRPr="00EC55EA" w:rsidRDefault="00947B86" w:rsidP="00EC55EA">
            <w:pPr>
              <w:jc w:val="center"/>
              <w:rPr>
                <w:rFonts w:asciiTheme="majorHAnsi" w:hAnsiTheme="majorHAnsi"/>
                <w:b/>
                <w:bCs/>
                <w:color w:val="FFFFFF" w:themeColor="background1"/>
                <w:sz w:val="20"/>
                <w:szCs w:val="20"/>
              </w:rPr>
            </w:pPr>
            <w:r w:rsidRPr="00EC55EA">
              <w:rPr>
                <w:rFonts w:asciiTheme="majorHAnsi" w:hAnsiTheme="majorHAnsi"/>
                <w:b/>
                <w:bCs/>
                <w:color w:val="FFFFFF" w:themeColor="background1"/>
                <w:sz w:val="20"/>
                <w:szCs w:val="20"/>
              </w:rPr>
              <w:t>Competenc</w:t>
            </w:r>
            <w:r w:rsidR="001A45C1">
              <w:rPr>
                <w:rFonts w:asciiTheme="majorHAnsi" w:hAnsiTheme="majorHAnsi"/>
                <w:b/>
                <w:bCs/>
                <w:color w:val="FFFFFF" w:themeColor="background1"/>
                <w:sz w:val="20"/>
                <w:szCs w:val="20"/>
              </w:rPr>
              <w:t>ia</w:t>
            </w:r>
            <w:r w:rsidRPr="00EC55EA">
              <w:rPr>
                <w:rFonts w:asciiTheme="majorHAnsi" w:hAnsiTheme="majorHAnsi"/>
                <w:b/>
                <w:bCs/>
                <w:i/>
                <w:color w:val="FFFFFF" w:themeColor="background1"/>
                <w:sz w:val="20"/>
                <w:szCs w:val="20"/>
              </w:rPr>
              <w:t xml:space="preserve"> Ratione materiae</w:t>
            </w:r>
            <w:r w:rsidRPr="00EC55EA">
              <w:rPr>
                <w:rFonts w:asciiTheme="majorHAnsi" w:hAnsiTheme="majorHAnsi"/>
                <w:b/>
                <w:bCs/>
                <w:color w:val="FFFFFF" w:themeColor="background1"/>
                <w:sz w:val="20"/>
                <w:szCs w:val="20"/>
              </w:rPr>
              <w:t>:</w:t>
            </w:r>
          </w:p>
        </w:tc>
        <w:tc>
          <w:tcPr>
            <w:tcW w:w="5760" w:type="dxa"/>
            <w:vAlign w:val="center"/>
          </w:tcPr>
          <w:p w14:paraId="0209119B" w14:textId="77777777" w:rsidR="00947B86" w:rsidRPr="001A45C1" w:rsidRDefault="001A45C1" w:rsidP="00EC55EA">
            <w:pPr>
              <w:jc w:val="both"/>
              <w:rPr>
                <w:rFonts w:asciiTheme="majorHAnsi" w:hAnsiTheme="majorHAnsi"/>
                <w:bCs/>
                <w:sz w:val="20"/>
                <w:szCs w:val="20"/>
                <w:lang w:val="es-ES"/>
              </w:rPr>
            </w:pPr>
            <w:r w:rsidRPr="001A45C1">
              <w:rPr>
                <w:rFonts w:asciiTheme="majorHAnsi" w:hAnsiTheme="majorHAnsi"/>
                <w:bCs/>
                <w:sz w:val="20"/>
                <w:szCs w:val="20"/>
                <w:lang w:val="es-ES"/>
              </w:rPr>
              <w:t>Si, Declaración Americana de Derechos y Deberes del Hombres (ratificación de la Carta de la OEA el 1</w:t>
            </w:r>
            <w:r>
              <w:rPr>
                <w:rFonts w:asciiTheme="majorHAnsi" w:hAnsiTheme="majorHAnsi"/>
                <w:bCs/>
                <w:sz w:val="20"/>
                <w:szCs w:val="20"/>
                <w:lang w:val="es-ES"/>
              </w:rPr>
              <w:t>9 de junio de 1951)</w:t>
            </w:r>
          </w:p>
        </w:tc>
      </w:tr>
      <w:tr w:rsidR="001A45C1" w:rsidRPr="00EC55EA" w14:paraId="275A0781" w14:textId="77777777">
        <w:trPr>
          <w:cantSplit/>
        </w:trPr>
        <w:tc>
          <w:tcPr>
            <w:tcW w:w="3600" w:type="dxa"/>
            <w:tcBorders>
              <w:top w:val="single" w:sz="6" w:space="0" w:color="auto"/>
              <w:bottom w:val="single" w:sz="6" w:space="0" w:color="auto"/>
            </w:tcBorders>
            <w:shd w:val="clear" w:color="auto" w:fill="386294"/>
            <w:vAlign w:val="center"/>
          </w:tcPr>
          <w:p w14:paraId="4661DF13" w14:textId="77777777" w:rsidR="00947B86" w:rsidRPr="001A45C1" w:rsidRDefault="001A45C1" w:rsidP="00EC55EA">
            <w:pPr>
              <w:jc w:val="center"/>
              <w:rPr>
                <w:rFonts w:asciiTheme="majorHAnsi" w:hAnsiTheme="majorHAnsi"/>
                <w:b/>
                <w:bCs/>
                <w:color w:val="FFFFFF" w:themeColor="background1"/>
                <w:sz w:val="20"/>
                <w:szCs w:val="20"/>
                <w:lang w:val="es-ES"/>
              </w:rPr>
            </w:pPr>
            <w:r w:rsidRPr="001A45C1">
              <w:rPr>
                <w:rFonts w:asciiTheme="majorHAnsi" w:hAnsiTheme="majorHAnsi"/>
                <w:b/>
                <w:bCs/>
                <w:color w:val="FFFFFF" w:themeColor="background1"/>
                <w:sz w:val="20"/>
                <w:szCs w:val="20"/>
                <w:lang w:val="es-ES"/>
              </w:rPr>
              <w:t>Duplicidad de procedimientos y cosas juz</w:t>
            </w:r>
            <w:r>
              <w:rPr>
                <w:rFonts w:asciiTheme="majorHAnsi" w:hAnsiTheme="majorHAnsi"/>
                <w:b/>
                <w:bCs/>
                <w:color w:val="FFFFFF" w:themeColor="background1"/>
                <w:sz w:val="20"/>
                <w:szCs w:val="20"/>
                <w:lang w:val="es-ES"/>
              </w:rPr>
              <w:t>gada internacional:</w:t>
            </w:r>
          </w:p>
        </w:tc>
        <w:tc>
          <w:tcPr>
            <w:tcW w:w="5760" w:type="dxa"/>
            <w:vAlign w:val="center"/>
          </w:tcPr>
          <w:p w14:paraId="33B7A5A2" w14:textId="77777777" w:rsidR="00947B86" w:rsidRPr="00EC55EA" w:rsidRDefault="00947B86" w:rsidP="00EC55EA">
            <w:pPr>
              <w:jc w:val="both"/>
              <w:rPr>
                <w:rFonts w:asciiTheme="majorHAnsi" w:hAnsiTheme="majorHAnsi"/>
                <w:bCs/>
                <w:sz w:val="20"/>
                <w:szCs w:val="20"/>
              </w:rPr>
            </w:pPr>
            <w:r w:rsidRPr="00EC55EA">
              <w:rPr>
                <w:rFonts w:asciiTheme="majorHAnsi" w:hAnsiTheme="majorHAnsi"/>
                <w:bCs/>
                <w:sz w:val="20"/>
                <w:szCs w:val="20"/>
              </w:rPr>
              <w:t>No</w:t>
            </w:r>
          </w:p>
        </w:tc>
      </w:tr>
    </w:tbl>
    <w:p w14:paraId="43DE9690" w14:textId="77777777" w:rsidR="0081365E" w:rsidRPr="00EC55EA" w:rsidRDefault="0081365E" w:rsidP="00EC55EA">
      <w:pPr>
        <w:rPr>
          <w:rFonts w:asciiTheme="majorHAnsi" w:hAnsiTheme="majorHAnsi"/>
          <w:sz w:val="20"/>
          <w:szCs w:val="20"/>
        </w:rPr>
      </w:pPr>
    </w:p>
    <w:p w14:paraId="4D42DCB7" w14:textId="3752B8FB" w:rsidR="00E86C3A" w:rsidRPr="00E86C3A" w:rsidRDefault="00E86C3A" w:rsidP="00EC55E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suppressAutoHyphens/>
        <w:ind w:left="0" w:firstLine="0"/>
        <w:jc w:val="both"/>
        <w:rPr>
          <w:rFonts w:asciiTheme="majorHAnsi" w:hAnsiTheme="majorHAnsi"/>
          <w:sz w:val="20"/>
          <w:szCs w:val="20"/>
          <w:lang w:val="es-ES"/>
        </w:rPr>
      </w:pPr>
      <w:r w:rsidRPr="00E86C3A">
        <w:rPr>
          <w:rFonts w:asciiTheme="majorHAnsi" w:hAnsiTheme="majorHAnsi"/>
          <w:sz w:val="20"/>
          <w:szCs w:val="20"/>
          <w:lang w:val="es-ES"/>
        </w:rPr>
        <w:t xml:space="preserve">Como se abordará más adelante, si bien la Comisión no tiene jurisdicción para </w:t>
      </w:r>
      <w:r>
        <w:rPr>
          <w:rFonts w:asciiTheme="majorHAnsi" w:hAnsiTheme="majorHAnsi"/>
          <w:sz w:val="20"/>
          <w:szCs w:val="20"/>
          <w:lang w:val="es-ES"/>
        </w:rPr>
        <w:t>decidir sobre la existencia</w:t>
      </w:r>
      <w:r w:rsidRPr="00E86C3A">
        <w:rPr>
          <w:rFonts w:asciiTheme="majorHAnsi" w:hAnsiTheme="majorHAnsi"/>
          <w:sz w:val="20"/>
          <w:szCs w:val="20"/>
          <w:lang w:val="es-ES"/>
        </w:rPr>
        <w:t xml:space="preserve"> </w:t>
      </w:r>
      <w:r w:rsidR="00E36893">
        <w:rPr>
          <w:rFonts w:asciiTheme="majorHAnsi" w:hAnsiTheme="majorHAnsi"/>
          <w:sz w:val="20"/>
          <w:szCs w:val="20"/>
          <w:lang w:val="es-ES"/>
        </w:rPr>
        <w:t xml:space="preserve">de </w:t>
      </w:r>
      <w:r w:rsidRPr="00E86C3A">
        <w:rPr>
          <w:rFonts w:asciiTheme="majorHAnsi" w:hAnsiTheme="majorHAnsi"/>
          <w:sz w:val="20"/>
          <w:szCs w:val="20"/>
          <w:lang w:val="es-ES"/>
        </w:rPr>
        <w:t xml:space="preserve">una violación a las disposiciones de la Convención de Viena, puede considerarlas a los efectos de evaluar el cumplimiento por parte del Estado de los derechos al debido proceso de un extranjero </w:t>
      </w:r>
      <w:r>
        <w:rPr>
          <w:rFonts w:asciiTheme="majorHAnsi" w:hAnsiTheme="majorHAnsi"/>
          <w:sz w:val="20"/>
          <w:szCs w:val="20"/>
          <w:lang w:val="es-ES"/>
        </w:rPr>
        <w:t>a la luz</w:t>
      </w:r>
      <w:r w:rsidRPr="00E86C3A">
        <w:rPr>
          <w:rFonts w:asciiTheme="majorHAnsi" w:hAnsiTheme="majorHAnsi"/>
          <w:sz w:val="20"/>
          <w:szCs w:val="20"/>
          <w:lang w:val="es-ES"/>
        </w:rPr>
        <w:t xml:space="preserve"> de la Declaración Americana.</w:t>
      </w:r>
    </w:p>
    <w:p w14:paraId="191A407C" w14:textId="77777777" w:rsidR="00626FB3" w:rsidRPr="00E86C3A" w:rsidRDefault="00626FB3" w:rsidP="00EC55EA">
      <w:pPr>
        <w:rPr>
          <w:rFonts w:asciiTheme="majorHAnsi" w:hAnsiTheme="majorHAnsi"/>
          <w:sz w:val="20"/>
          <w:szCs w:val="20"/>
          <w:lang w:val="es-ES"/>
        </w:rPr>
      </w:pPr>
    </w:p>
    <w:p w14:paraId="1F288D05" w14:textId="77777777" w:rsidR="00F516D3" w:rsidRPr="00B443C8" w:rsidRDefault="00B443C8" w:rsidP="00EC55EA">
      <w:pPr>
        <w:pStyle w:val="Heading2"/>
        <w:keepLines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0"/>
        <w:ind w:left="360"/>
        <w:rPr>
          <w:rFonts w:cs="Tahoma"/>
          <w:color w:val="auto"/>
          <w:sz w:val="20"/>
          <w:szCs w:val="20"/>
          <w:shd w:val="clear" w:color="auto" w:fill="FFFFFF"/>
          <w:lang w:val="es-ES"/>
        </w:rPr>
      </w:pPr>
      <w:bookmarkStart w:id="8" w:name="_Toc90292571"/>
      <w:r w:rsidRPr="00B443C8">
        <w:rPr>
          <w:rFonts w:cs="Tahoma"/>
          <w:color w:val="auto"/>
          <w:sz w:val="20"/>
          <w:szCs w:val="20"/>
          <w:shd w:val="clear" w:color="auto" w:fill="FFFFFF"/>
          <w:lang w:val="es-ES"/>
        </w:rPr>
        <w:t>Agotamiento de los recursos internos y plazo de presentación</w:t>
      </w:r>
      <w:bookmarkEnd w:id="8"/>
    </w:p>
    <w:p w14:paraId="71B6C697" w14:textId="77777777" w:rsidR="00D94F44" w:rsidRPr="00B443C8" w:rsidRDefault="00D94F44" w:rsidP="00EC55EA">
      <w:pPr>
        <w:rPr>
          <w:rFonts w:asciiTheme="majorHAnsi" w:hAnsiTheme="majorHAnsi"/>
          <w:color w:val="FF0000"/>
          <w:sz w:val="20"/>
          <w:szCs w:val="20"/>
          <w:lang w:val="es-ES"/>
        </w:rPr>
      </w:pPr>
    </w:p>
    <w:p w14:paraId="0BED7D87" w14:textId="01115F2D" w:rsidR="00E86C3A" w:rsidRPr="00E86C3A" w:rsidRDefault="00E86C3A" w:rsidP="004607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lang w:val="es-ES"/>
        </w:rPr>
      </w:pPr>
      <w:r w:rsidRPr="00E86C3A">
        <w:rPr>
          <w:rFonts w:asciiTheme="majorHAnsi" w:hAnsiTheme="majorHAnsi"/>
          <w:sz w:val="20"/>
          <w:szCs w:val="20"/>
          <w:lang w:val="es-ES"/>
        </w:rPr>
        <w:t>Según la información proporcionada por los peticionarios,</w:t>
      </w:r>
      <w:r>
        <w:rPr>
          <w:rStyle w:val="FootnoteReference"/>
          <w:rFonts w:asciiTheme="majorHAnsi" w:hAnsiTheme="majorHAnsi"/>
          <w:sz w:val="20"/>
          <w:szCs w:val="20"/>
        </w:rPr>
        <w:footnoteReference w:id="6"/>
      </w:r>
      <w:r w:rsidRPr="00E86C3A">
        <w:rPr>
          <w:rFonts w:asciiTheme="majorHAnsi" w:hAnsiTheme="majorHAnsi"/>
          <w:sz w:val="20"/>
          <w:szCs w:val="20"/>
          <w:lang w:val="es-ES"/>
        </w:rPr>
        <w:t xml:space="preserve"> el señor Valle fue acusado formalmente de homicidio en primer grado y posesión de arma de fuego por un delincuente condenado en el condado de Dade, Florida, el 13 de abril de 1978. El juicio ocurrió 24 días después, y fue </w:t>
      </w:r>
      <w:r>
        <w:rPr>
          <w:rFonts w:asciiTheme="majorHAnsi" w:hAnsiTheme="majorHAnsi"/>
          <w:sz w:val="20"/>
          <w:szCs w:val="20"/>
          <w:lang w:val="es-ES"/>
        </w:rPr>
        <w:t>hallado culpable</w:t>
      </w:r>
      <w:r w:rsidRPr="00E86C3A">
        <w:rPr>
          <w:rFonts w:asciiTheme="majorHAnsi" w:hAnsiTheme="majorHAnsi"/>
          <w:sz w:val="20"/>
          <w:szCs w:val="20"/>
          <w:lang w:val="es-ES"/>
        </w:rPr>
        <w:t xml:space="preserve"> y condenado a muerte. La Corte Suprema de Florida (</w:t>
      </w:r>
      <w:r>
        <w:rPr>
          <w:rFonts w:asciiTheme="majorHAnsi" w:hAnsiTheme="majorHAnsi"/>
          <w:sz w:val="20"/>
          <w:szCs w:val="20"/>
          <w:lang w:val="es-ES"/>
        </w:rPr>
        <w:t>CSF</w:t>
      </w:r>
      <w:r w:rsidRPr="00E86C3A">
        <w:rPr>
          <w:rFonts w:asciiTheme="majorHAnsi" w:hAnsiTheme="majorHAnsi"/>
          <w:sz w:val="20"/>
          <w:szCs w:val="20"/>
          <w:lang w:val="es-ES"/>
        </w:rPr>
        <w:t xml:space="preserve">) anuló esta </w:t>
      </w:r>
      <w:r>
        <w:rPr>
          <w:rFonts w:asciiTheme="majorHAnsi" w:hAnsiTheme="majorHAnsi"/>
          <w:sz w:val="20"/>
          <w:szCs w:val="20"/>
          <w:lang w:val="es-ES"/>
        </w:rPr>
        <w:t xml:space="preserve">sentencia y </w:t>
      </w:r>
      <w:r w:rsidR="00E36893">
        <w:rPr>
          <w:rFonts w:asciiTheme="majorHAnsi" w:hAnsiTheme="majorHAnsi"/>
          <w:sz w:val="20"/>
          <w:szCs w:val="20"/>
          <w:lang w:val="es-ES"/>
        </w:rPr>
        <w:t xml:space="preserve">la </w:t>
      </w:r>
      <w:r>
        <w:rPr>
          <w:rFonts w:asciiTheme="majorHAnsi" w:hAnsiTheme="majorHAnsi"/>
          <w:sz w:val="20"/>
          <w:szCs w:val="20"/>
          <w:lang w:val="es-ES"/>
        </w:rPr>
        <w:t>condena</w:t>
      </w:r>
      <w:r w:rsidRPr="00E86C3A">
        <w:rPr>
          <w:rFonts w:asciiTheme="majorHAnsi" w:hAnsiTheme="majorHAnsi"/>
          <w:sz w:val="20"/>
          <w:szCs w:val="20"/>
          <w:lang w:val="es-ES"/>
        </w:rPr>
        <w:t xml:space="preserve">, ya que el período de 24 días para preparar el juicio </w:t>
      </w:r>
      <w:r>
        <w:rPr>
          <w:rFonts w:asciiTheme="majorHAnsi" w:hAnsiTheme="majorHAnsi"/>
          <w:sz w:val="20"/>
          <w:szCs w:val="20"/>
          <w:lang w:val="es-ES"/>
        </w:rPr>
        <w:t>fue</w:t>
      </w:r>
      <w:r w:rsidRPr="00E86C3A">
        <w:rPr>
          <w:rFonts w:asciiTheme="majorHAnsi" w:hAnsiTheme="majorHAnsi"/>
          <w:sz w:val="20"/>
          <w:szCs w:val="20"/>
          <w:lang w:val="es-ES"/>
        </w:rPr>
        <w:t xml:space="preserve"> consider</w:t>
      </w:r>
      <w:r>
        <w:rPr>
          <w:rFonts w:asciiTheme="majorHAnsi" w:hAnsiTheme="majorHAnsi"/>
          <w:sz w:val="20"/>
          <w:szCs w:val="20"/>
          <w:lang w:val="es-ES"/>
        </w:rPr>
        <w:t>ado</w:t>
      </w:r>
      <w:r w:rsidRPr="00E86C3A">
        <w:rPr>
          <w:rFonts w:asciiTheme="majorHAnsi" w:hAnsiTheme="majorHAnsi"/>
          <w:sz w:val="20"/>
          <w:szCs w:val="20"/>
          <w:lang w:val="es-ES"/>
        </w:rPr>
        <w:t xml:space="preserve"> un abuso de la discreción del tribunal de </w:t>
      </w:r>
      <w:r>
        <w:rPr>
          <w:rFonts w:asciiTheme="majorHAnsi" w:hAnsiTheme="majorHAnsi"/>
          <w:sz w:val="20"/>
          <w:szCs w:val="20"/>
          <w:lang w:val="es-ES"/>
        </w:rPr>
        <w:t>juicio</w:t>
      </w:r>
      <w:r w:rsidRPr="00E86C3A">
        <w:rPr>
          <w:rFonts w:asciiTheme="majorHAnsi" w:hAnsiTheme="majorHAnsi"/>
          <w:sz w:val="20"/>
          <w:szCs w:val="20"/>
          <w:lang w:val="es-ES"/>
        </w:rPr>
        <w:t>.</w:t>
      </w:r>
      <w:r>
        <w:rPr>
          <w:rStyle w:val="FootnoteReference"/>
          <w:rFonts w:asciiTheme="majorHAnsi" w:hAnsiTheme="majorHAnsi"/>
          <w:sz w:val="20"/>
          <w:szCs w:val="20"/>
        </w:rPr>
        <w:footnoteReference w:id="7"/>
      </w:r>
      <w:r w:rsidRPr="00E86C3A">
        <w:rPr>
          <w:rFonts w:asciiTheme="majorHAnsi" w:hAnsiTheme="majorHAnsi"/>
          <w:sz w:val="20"/>
          <w:szCs w:val="20"/>
          <w:lang w:val="es-ES"/>
        </w:rPr>
        <w:t xml:space="preserve"> El segundo juicio resultó en una condena y una sentencia de muerte, que fue confirmada en apelación por la Corte Suprema de Florida.</w:t>
      </w:r>
      <w:r>
        <w:rPr>
          <w:rStyle w:val="FootnoteReference"/>
          <w:rFonts w:asciiTheme="majorHAnsi" w:hAnsiTheme="majorHAnsi"/>
          <w:sz w:val="20"/>
          <w:szCs w:val="20"/>
        </w:rPr>
        <w:footnoteReference w:id="8"/>
      </w:r>
      <w:r w:rsidRPr="00E86C3A">
        <w:rPr>
          <w:rFonts w:asciiTheme="majorHAnsi" w:hAnsiTheme="majorHAnsi"/>
          <w:sz w:val="20"/>
          <w:szCs w:val="20"/>
          <w:lang w:val="es-ES"/>
        </w:rPr>
        <w:t xml:space="preserve"> Esta sentencia fue anulada por la Corte Suprema de los Estados Unido</w:t>
      </w:r>
      <w:r>
        <w:rPr>
          <w:rFonts w:asciiTheme="majorHAnsi" w:hAnsiTheme="majorHAnsi"/>
          <w:sz w:val="20"/>
          <w:szCs w:val="20"/>
          <w:lang w:val="es-ES"/>
        </w:rPr>
        <w:t>s,</w:t>
      </w:r>
      <w:r>
        <w:rPr>
          <w:rStyle w:val="FootnoteReference"/>
          <w:rFonts w:asciiTheme="majorHAnsi" w:hAnsiTheme="majorHAnsi"/>
          <w:sz w:val="20"/>
          <w:szCs w:val="20"/>
        </w:rPr>
        <w:footnoteReference w:id="9"/>
      </w:r>
      <w:r w:rsidRPr="00E86C3A">
        <w:rPr>
          <w:rFonts w:asciiTheme="majorHAnsi" w:hAnsiTheme="majorHAnsi"/>
          <w:sz w:val="20"/>
          <w:szCs w:val="20"/>
          <w:lang w:val="es-ES"/>
        </w:rPr>
        <w:t xml:space="preserve"> sin embargo, un jurado volvió a </w:t>
      </w:r>
      <w:r>
        <w:rPr>
          <w:rFonts w:asciiTheme="majorHAnsi" w:hAnsiTheme="majorHAnsi"/>
          <w:sz w:val="20"/>
          <w:szCs w:val="20"/>
          <w:lang w:val="es-ES"/>
        </w:rPr>
        <w:t>condenarlo</w:t>
      </w:r>
      <w:r w:rsidRPr="00E86C3A">
        <w:rPr>
          <w:rFonts w:asciiTheme="majorHAnsi" w:hAnsiTheme="majorHAnsi"/>
          <w:sz w:val="20"/>
          <w:szCs w:val="20"/>
          <w:lang w:val="es-ES"/>
        </w:rPr>
        <w:t xml:space="preserve"> a muerte. La </w:t>
      </w:r>
      <w:r>
        <w:rPr>
          <w:rFonts w:asciiTheme="majorHAnsi" w:hAnsiTheme="majorHAnsi"/>
          <w:sz w:val="20"/>
          <w:szCs w:val="20"/>
          <w:lang w:val="es-ES"/>
        </w:rPr>
        <w:t>CSF</w:t>
      </w:r>
      <w:r w:rsidRPr="00E86C3A">
        <w:rPr>
          <w:rFonts w:asciiTheme="majorHAnsi" w:hAnsiTheme="majorHAnsi"/>
          <w:sz w:val="20"/>
          <w:szCs w:val="20"/>
          <w:lang w:val="es-ES"/>
        </w:rPr>
        <w:t xml:space="preserve"> anuló la </w:t>
      </w:r>
      <w:r>
        <w:rPr>
          <w:rFonts w:asciiTheme="majorHAnsi" w:hAnsiTheme="majorHAnsi"/>
          <w:sz w:val="20"/>
          <w:szCs w:val="20"/>
          <w:lang w:val="es-ES"/>
        </w:rPr>
        <w:t>condena</w:t>
      </w:r>
      <w:r w:rsidRPr="00E86C3A">
        <w:rPr>
          <w:rFonts w:asciiTheme="majorHAnsi" w:hAnsiTheme="majorHAnsi"/>
          <w:sz w:val="20"/>
          <w:szCs w:val="20"/>
          <w:lang w:val="es-ES"/>
        </w:rPr>
        <w:t xml:space="preserve"> de muerte del Sr. Valle y ordenó</w:t>
      </w:r>
      <w:r>
        <w:rPr>
          <w:rFonts w:asciiTheme="majorHAnsi" w:hAnsiTheme="majorHAnsi"/>
          <w:sz w:val="20"/>
          <w:szCs w:val="20"/>
          <w:lang w:val="es-ES"/>
        </w:rPr>
        <w:t xml:space="preserve"> que un jurado dicte</w:t>
      </w:r>
      <w:r w:rsidRPr="00E86C3A">
        <w:rPr>
          <w:rFonts w:asciiTheme="majorHAnsi" w:hAnsiTheme="majorHAnsi"/>
          <w:sz w:val="20"/>
          <w:szCs w:val="20"/>
          <w:lang w:val="es-ES"/>
        </w:rPr>
        <w:t xml:space="preserve"> una nueva </w:t>
      </w:r>
      <w:r>
        <w:rPr>
          <w:rFonts w:asciiTheme="majorHAnsi" w:hAnsiTheme="majorHAnsi"/>
          <w:sz w:val="20"/>
          <w:szCs w:val="20"/>
          <w:lang w:val="es-ES"/>
        </w:rPr>
        <w:t>condena</w:t>
      </w:r>
      <w:r>
        <w:rPr>
          <w:rStyle w:val="FootnoteReference"/>
          <w:rFonts w:asciiTheme="majorHAnsi" w:hAnsiTheme="majorHAnsi"/>
          <w:sz w:val="20"/>
          <w:szCs w:val="20"/>
        </w:rPr>
        <w:footnoteReference w:id="10"/>
      </w:r>
      <w:r w:rsidRPr="00E86C3A">
        <w:rPr>
          <w:rFonts w:asciiTheme="majorHAnsi" w:hAnsiTheme="majorHAnsi"/>
          <w:sz w:val="20"/>
          <w:szCs w:val="20"/>
          <w:lang w:val="es-ES"/>
        </w:rPr>
        <w:t xml:space="preserve"> y el Sr. Valle fue nuevamente </w:t>
      </w:r>
      <w:r>
        <w:rPr>
          <w:rFonts w:asciiTheme="majorHAnsi" w:hAnsiTheme="majorHAnsi"/>
          <w:sz w:val="20"/>
          <w:szCs w:val="20"/>
          <w:lang w:val="es-ES"/>
        </w:rPr>
        <w:t>condenado</w:t>
      </w:r>
      <w:r w:rsidRPr="00E86C3A">
        <w:rPr>
          <w:rFonts w:asciiTheme="majorHAnsi" w:hAnsiTheme="majorHAnsi"/>
          <w:sz w:val="20"/>
          <w:szCs w:val="20"/>
          <w:lang w:val="es-ES"/>
        </w:rPr>
        <w:t xml:space="preserve"> a muerte, y esto fue confirmado por la Corte Suprema de Florida.</w:t>
      </w:r>
      <w:r w:rsidRPr="00E86C3A">
        <w:rPr>
          <w:rStyle w:val="FootnoteReference"/>
          <w:rFonts w:asciiTheme="majorHAnsi" w:hAnsiTheme="majorHAnsi"/>
          <w:sz w:val="20"/>
          <w:szCs w:val="20"/>
          <w:lang w:val="es-ES"/>
        </w:rPr>
        <w:t xml:space="preserve"> </w:t>
      </w:r>
      <w:r>
        <w:rPr>
          <w:rStyle w:val="FootnoteReference"/>
          <w:rFonts w:asciiTheme="majorHAnsi" w:hAnsiTheme="majorHAnsi"/>
          <w:sz w:val="20"/>
          <w:szCs w:val="20"/>
        </w:rPr>
        <w:footnoteReference w:id="11"/>
      </w:r>
    </w:p>
    <w:p w14:paraId="30F56276" w14:textId="77777777" w:rsidR="00600384" w:rsidRPr="00E86C3A" w:rsidRDefault="00600384" w:rsidP="0060038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textAlignment w:val="baseline"/>
        <w:rPr>
          <w:rFonts w:asciiTheme="majorHAnsi" w:hAnsiTheme="majorHAnsi"/>
          <w:sz w:val="20"/>
          <w:szCs w:val="20"/>
          <w:lang w:val="es-ES"/>
        </w:rPr>
      </w:pPr>
    </w:p>
    <w:p w14:paraId="50CF081B" w14:textId="77777777" w:rsidR="00600384" w:rsidRDefault="00E86C3A" w:rsidP="0060038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lang w:val="es-ES"/>
        </w:rPr>
      </w:pPr>
      <w:r w:rsidRPr="00E86C3A">
        <w:rPr>
          <w:rFonts w:asciiTheme="majorHAnsi" w:hAnsiTheme="majorHAnsi"/>
          <w:sz w:val="20"/>
          <w:szCs w:val="20"/>
          <w:lang w:val="es-ES"/>
        </w:rPr>
        <w:t xml:space="preserve">A partir de entonces, el tribunal de juicio denegó sumariamente la moción de reparación posterior a la condena y la </w:t>
      </w:r>
      <w:r w:rsidR="001571B9">
        <w:rPr>
          <w:rFonts w:asciiTheme="majorHAnsi" w:hAnsiTheme="majorHAnsi"/>
          <w:sz w:val="20"/>
          <w:szCs w:val="20"/>
          <w:lang w:val="es-ES"/>
        </w:rPr>
        <w:t>CSF</w:t>
      </w:r>
      <w:r w:rsidRPr="00E86C3A">
        <w:rPr>
          <w:rFonts w:asciiTheme="majorHAnsi" w:hAnsiTheme="majorHAnsi"/>
          <w:sz w:val="20"/>
          <w:szCs w:val="20"/>
          <w:lang w:val="es-ES"/>
        </w:rPr>
        <w:t xml:space="preserve"> </w:t>
      </w:r>
      <w:r w:rsidR="001571B9">
        <w:rPr>
          <w:rFonts w:asciiTheme="majorHAnsi" w:hAnsiTheme="majorHAnsi"/>
          <w:sz w:val="20"/>
          <w:szCs w:val="20"/>
          <w:lang w:val="es-ES"/>
        </w:rPr>
        <w:t>confirmó</w:t>
      </w:r>
      <w:r w:rsidRPr="00E86C3A">
        <w:rPr>
          <w:rFonts w:asciiTheme="majorHAnsi" w:hAnsiTheme="majorHAnsi"/>
          <w:sz w:val="20"/>
          <w:szCs w:val="20"/>
          <w:lang w:val="es-ES"/>
        </w:rPr>
        <w:t xml:space="preserve"> en parte y revocó en parte esta orden, remitiendo el asunto a la audiencia probatoria.</w:t>
      </w:r>
      <w:r w:rsidR="001571B9">
        <w:rPr>
          <w:rStyle w:val="FootnoteReference"/>
          <w:rFonts w:asciiTheme="majorHAnsi" w:hAnsiTheme="majorHAnsi"/>
          <w:sz w:val="20"/>
          <w:szCs w:val="20"/>
        </w:rPr>
        <w:footnoteReference w:id="12"/>
      </w:r>
      <w:r w:rsidRPr="00E86C3A">
        <w:rPr>
          <w:rFonts w:asciiTheme="majorHAnsi" w:hAnsiTheme="majorHAnsi"/>
          <w:sz w:val="20"/>
          <w:szCs w:val="20"/>
          <w:lang w:val="es-ES"/>
        </w:rPr>
        <w:t xml:space="preserve"> </w:t>
      </w:r>
      <w:r w:rsidRPr="001571B9">
        <w:rPr>
          <w:rFonts w:asciiTheme="majorHAnsi" w:hAnsiTheme="majorHAnsi"/>
          <w:sz w:val="20"/>
          <w:szCs w:val="20"/>
          <w:lang w:val="es-ES"/>
        </w:rPr>
        <w:t xml:space="preserve">Sin embargo, se denegó </w:t>
      </w:r>
      <w:r w:rsidR="001571B9">
        <w:rPr>
          <w:rFonts w:asciiTheme="majorHAnsi" w:hAnsiTheme="majorHAnsi"/>
          <w:sz w:val="20"/>
          <w:szCs w:val="20"/>
          <w:lang w:val="es-ES"/>
        </w:rPr>
        <w:t>la reparación</w:t>
      </w:r>
      <w:r w:rsidRPr="001571B9">
        <w:rPr>
          <w:rFonts w:asciiTheme="majorHAnsi" w:hAnsiTheme="majorHAnsi"/>
          <w:sz w:val="20"/>
          <w:szCs w:val="20"/>
          <w:lang w:val="es-ES"/>
        </w:rPr>
        <w:t xml:space="preserve"> y la </w:t>
      </w:r>
      <w:r w:rsidR="001571B9">
        <w:rPr>
          <w:rFonts w:asciiTheme="majorHAnsi" w:hAnsiTheme="majorHAnsi"/>
          <w:sz w:val="20"/>
          <w:szCs w:val="20"/>
          <w:lang w:val="es-ES"/>
        </w:rPr>
        <w:t>CSF</w:t>
      </w:r>
      <w:r w:rsidRPr="001571B9">
        <w:rPr>
          <w:rFonts w:asciiTheme="majorHAnsi" w:hAnsiTheme="majorHAnsi"/>
          <w:sz w:val="20"/>
          <w:szCs w:val="20"/>
          <w:lang w:val="es-ES"/>
        </w:rPr>
        <w:t xml:space="preserve"> confirmó la decisión.</w:t>
      </w:r>
      <w:r w:rsidR="001571B9">
        <w:rPr>
          <w:rStyle w:val="FootnoteReference"/>
          <w:rFonts w:asciiTheme="majorHAnsi" w:hAnsiTheme="majorHAnsi"/>
          <w:sz w:val="20"/>
          <w:szCs w:val="20"/>
        </w:rPr>
        <w:footnoteReference w:id="13"/>
      </w:r>
      <w:r w:rsidRPr="001571B9">
        <w:rPr>
          <w:rFonts w:asciiTheme="majorHAnsi" w:hAnsiTheme="majorHAnsi"/>
          <w:sz w:val="20"/>
          <w:szCs w:val="20"/>
          <w:lang w:val="es-ES"/>
        </w:rPr>
        <w:t xml:space="preserve"> El 21 de febrero de 2003 el señor Valle presentó un recurso de hábeas corpus, el cual fue denegado por el Juzgado de Distrito. El Sr. Valle luego apeló esta decisión y la Corte de Apelaciones del Undécimo Circuito afirmó la denegación del recurso de hábeas corpus.</w:t>
      </w:r>
      <w:r w:rsidR="001571B9">
        <w:rPr>
          <w:rStyle w:val="FootnoteReference"/>
          <w:rFonts w:asciiTheme="majorHAnsi" w:hAnsiTheme="majorHAnsi"/>
          <w:sz w:val="20"/>
          <w:szCs w:val="20"/>
        </w:rPr>
        <w:footnoteReference w:id="14"/>
      </w:r>
      <w:r w:rsidRPr="001571B9">
        <w:rPr>
          <w:rFonts w:asciiTheme="majorHAnsi" w:hAnsiTheme="majorHAnsi"/>
          <w:sz w:val="20"/>
          <w:szCs w:val="20"/>
          <w:lang w:val="es-ES"/>
        </w:rPr>
        <w:t xml:space="preserve"> </w:t>
      </w:r>
      <w:r w:rsidR="001571B9">
        <w:rPr>
          <w:rFonts w:asciiTheme="majorHAnsi" w:hAnsiTheme="majorHAnsi"/>
          <w:sz w:val="20"/>
          <w:szCs w:val="20"/>
          <w:lang w:val="es-ES"/>
        </w:rPr>
        <w:t>El 11 de agosto de 2007 fueron denegadas también una</w:t>
      </w:r>
      <w:r w:rsidRPr="001571B9">
        <w:rPr>
          <w:rFonts w:asciiTheme="majorHAnsi" w:hAnsiTheme="majorHAnsi"/>
          <w:sz w:val="20"/>
          <w:szCs w:val="20"/>
          <w:lang w:val="es-ES"/>
        </w:rPr>
        <w:t xml:space="preserve"> moción para una nueva audiencia y </w:t>
      </w:r>
      <w:r w:rsidRPr="001571B9">
        <w:rPr>
          <w:rFonts w:asciiTheme="majorHAnsi" w:hAnsiTheme="majorHAnsi"/>
          <w:sz w:val="20"/>
          <w:szCs w:val="20"/>
          <w:lang w:val="es-ES"/>
        </w:rPr>
        <w:lastRenderedPageBreak/>
        <w:t xml:space="preserve">una nueva audiencia en </w:t>
      </w:r>
      <w:r w:rsidR="001571B9">
        <w:rPr>
          <w:rFonts w:asciiTheme="majorHAnsi" w:hAnsiTheme="majorHAnsi"/>
          <w:sz w:val="20"/>
          <w:szCs w:val="20"/>
          <w:lang w:val="es-ES"/>
        </w:rPr>
        <w:t>plenario</w:t>
      </w:r>
      <w:r w:rsidRPr="001571B9">
        <w:rPr>
          <w:rFonts w:asciiTheme="majorHAnsi" w:hAnsiTheme="majorHAnsi"/>
          <w:sz w:val="20"/>
          <w:szCs w:val="20"/>
          <w:lang w:val="es-ES"/>
        </w:rPr>
        <w:t>,</w:t>
      </w:r>
      <w:r w:rsidR="001571B9">
        <w:rPr>
          <w:rStyle w:val="FootnoteReference"/>
          <w:rFonts w:asciiTheme="majorHAnsi" w:hAnsiTheme="majorHAnsi"/>
          <w:sz w:val="20"/>
          <w:szCs w:val="20"/>
        </w:rPr>
        <w:footnoteReference w:id="15"/>
      </w:r>
      <w:r w:rsidRPr="001571B9">
        <w:rPr>
          <w:rFonts w:asciiTheme="majorHAnsi" w:hAnsiTheme="majorHAnsi"/>
          <w:sz w:val="20"/>
          <w:szCs w:val="20"/>
          <w:lang w:val="es-ES"/>
        </w:rPr>
        <w:t xml:space="preserve"> y el 1 de octubre de 2007, la Corte Suprema de los Estados Unidos denegó la revisión del certiorari.</w:t>
      </w:r>
      <w:r w:rsidR="001571B9">
        <w:rPr>
          <w:rStyle w:val="FootnoteReference"/>
          <w:rFonts w:asciiTheme="majorHAnsi" w:hAnsiTheme="majorHAnsi"/>
          <w:sz w:val="20"/>
          <w:szCs w:val="20"/>
        </w:rPr>
        <w:footnoteReference w:id="16"/>
      </w:r>
    </w:p>
    <w:p w14:paraId="3176D956" w14:textId="77777777" w:rsidR="005B222E" w:rsidRPr="001571B9" w:rsidRDefault="005B222E" w:rsidP="005B222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textAlignment w:val="baseline"/>
        <w:rPr>
          <w:rFonts w:asciiTheme="majorHAnsi" w:hAnsiTheme="majorHAnsi"/>
          <w:sz w:val="20"/>
          <w:szCs w:val="20"/>
          <w:lang w:val="es-ES"/>
        </w:rPr>
      </w:pPr>
    </w:p>
    <w:p w14:paraId="377C96CD" w14:textId="77777777" w:rsidR="001571B9" w:rsidRPr="001571B9" w:rsidRDefault="001571B9" w:rsidP="004607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lang w:val="es-ES"/>
        </w:rPr>
      </w:pPr>
      <w:r w:rsidRPr="001571B9">
        <w:rPr>
          <w:rFonts w:asciiTheme="majorHAnsi" w:hAnsiTheme="majorHAnsi"/>
          <w:sz w:val="20"/>
          <w:szCs w:val="20"/>
          <w:lang w:val="es-ES"/>
        </w:rPr>
        <w:t xml:space="preserve">Después de que el gobernador de Florida firmara una orden de </w:t>
      </w:r>
      <w:r>
        <w:rPr>
          <w:rFonts w:asciiTheme="majorHAnsi" w:hAnsiTheme="majorHAnsi"/>
          <w:sz w:val="20"/>
          <w:szCs w:val="20"/>
          <w:lang w:val="es-ES"/>
        </w:rPr>
        <w:t>ejecución</w:t>
      </w:r>
      <w:r w:rsidRPr="001571B9">
        <w:rPr>
          <w:rFonts w:asciiTheme="majorHAnsi" w:hAnsiTheme="majorHAnsi"/>
          <w:sz w:val="20"/>
          <w:szCs w:val="20"/>
          <w:lang w:val="es-ES"/>
        </w:rPr>
        <w:t xml:space="preserve"> en 2011, el Sr. Valle presentó un </w:t>
      </w:r>
      <w:r>
        <w:rPr>
          <w:rFonts w:asciiTheme="majorHAnsi" w:hAnsiTheme="majorHAnsi"/>
          <w:sz w:val="20"/>
          <w:szCs w:val="20"/>
          <w:lang w:val="es-ES"/>
        </w:rPr>
        <w:t>recurso</w:t>
      </w:r>
      <w:r w:rsidRPr="001571B9">
        <w:rPr>
          <w:rFonts w:asciiTheme="majorHAnsi" w:hAnsiTheme="majorHAnsi"/>
          <w:sz w:val="20"/>
          <w:szCs w:val="20"/>
          <w:lang w:val="es-ES"/>
        </w:rPr>
        <w:t xml:space="preserve"> enmendad</w:t>
      </w:r>
      <w:r>
        <w:rPr>
          <w:rFonts w:asciiTheme="majorHAnsi" w:hAnsiTheme="majorHAnsi"/>
          <w:sz w:val="20"/>
          <w:szCs w:val="20"/>
          <w:lang w:val="es-ES"/>
        </w:rPr>
        <w:t>o</w:t>
      </w:r>
      <w:r w:rsidRPr="001571B9">
        <w:rPr>
          <w:rFonts w:asciiTheme="majorHAnsi" w:hAnsiTheme="majorHAnsi"/>
          <w:sz w:val="20"/>
          <w:szCs w:val="20"/>
          <w:lang w:val="es-ES"/>
        </w:rPr>
        <w:t xml:space="preserve"> para obtener un</w:t>
      </w:r>
      <w:r>
        <w:rPr>
          <w:rFonts w:asciiTheme="majorHAnsi" w:hAnsiTheme="majorHAnsi"/>
          <w:sz w:val="20"/>
          <w:szCs w:val="20"/>
          <w:lang w:val="es-ES"/>
        </w:rPr>
        <w:t>a reparación</w:t>
      </w:r>
      <w:r w:rsidRPr="001571B9">
        <w:rPr>
          <w:rFonts w:asciiTheme="majorHAnsi" w:hAnsiTheme="majorHAnsi"/>
          <w:sz w:val="20"/>
          <w:szCs w:val="20"/>
          <w:lang w:val="es-ES"/>
        </w:rPr>
        <w:t xml:space="preserve"> posterior a la condena, principalmente con respecto a la eficacia de la droga pentobarbital utilizada en la inyección letal, para dejar inconsciente a un pres</w:t>
      </w:r>
      <w:r>
        <w:rPr>
          <w:rFonts w:asciiTheme="majorHAnsi" w:hAnsiTheme="majorHAnsi"/>
          <w:sz w:val="20"/>
          <w:szCs w:val="20"/>
          <w:lang w:val="es-ES"/>
        </w:rPr>
        <w:t>o</w:t>
      </w:r>
      <w:r w:rsidRPr="00927B93">
        <w:rPr>
          <w:rStyle w:val="FootnoteReference"/>
          <w:rFonts w:asciiTheme="majorHAnsi" w:hAnsiTheme="majorHAnsi"/>
          <w:sz w:val="20"/>
          <w:szCs w:val="20"/>
        </w:rPr>
        <w:footnoteReference w:id="17"/>
      </w:r>
      <w:r w:rsidRPr="001571B9">
        <w:rPr>
          <w:rFonts w:asciiTheme="majorHAnsi" w:hAnsiTheme="majorHAnsi"/>
          <w:sz w:val="20"/>
          <w:szCs w:val="20"/>
          <w:lang w:val="es-ES"/>
        </w:rPr>
        <w:t xml:space="preserve">. La denegación sumaria fue apelada ante la </w:t>
      </w:r>
      <w:r>
        <w:rPr>
          <w:rFonts w:asciiTheme="majorHAnsi" w:hAnsiTheme="majorHAnsi"/>
          <w:sz w:val="20"/>
          <w:szCs w:val="20"/>
          <w:lang w:val="es-ES"/>
        </w:rPr>
        <w:t>CSF</w:t>
      </w:r>
      <w:r w:rsidRPr="001571B9">
        <w:rPr>
          <w:rFonts w:asciiTheme="majorHAnsi" w:hAnsiTheme="majorHAnsi"/>
          <w:sz w:val="20"/>
          <w:szCs w:val="20"/>
          <w:lang w:val="es-ES"/>
        </w:rPr>
        <w:t>, que concedió la suspensión de la ejecución hasta el 1 de septiembre de 2011, para remitir el asunto al Tribunal de Circuito para una audiencia probatoria.</w:t>
      </w:r>
    </w:p>
    <w:p w14:paraId="41B21927" w14:textId="77777777" w:rsidR="00460794" w:rsidRPr="00E36893" w:rsidRDefault="00460794" w:rsidP="0046079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textAlignment w:val="baseline"/>
        <w:rPr>
          <w:rFonts w:asciiTheme="majorHAnsi" w:hAnsiTheme="majorHAnsi"/>
          <w:sz w:val="20"/>
          <w:szCs w:val="20"/>
          <w:lang w:val="es-ES"/>
        </w:rPr>
      </w:pPr>
    </w:p>
    <w:p w14:paraId="687BCF79" w14:textId="77777777" w:rsidR="001571B9" w:rsidRPr="001571B9" w:rsidRDefault="001571B9" w:rsidP="004607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lang w:val="es-ES"/>
        </w:rPr>
      </w:pPr>
      <w:r w:rsidRPr="001571B9">
        <w:rPr>
          <w:rFonts w:asciiTheme="majorHAnsi" w:hAnsiTheme="majorHAnsi"/>
          <w:sz w:val="20"/>
          <w:szCs w:val="20"/>
          <w:lang w:val="es-ES"/>
        </w:rPr>
        <w:t xml:space="preserve">El Tribunal de Circuito realizó la audiencia probatoria el 28 de julio y el 2 de agosto de 2011 y denegó el </w:t>
      </w:r>
      <w:r>
        <w:rPr>
          <w:rFonts w:asciiTheme="majorHAnsi" w:hAnsiTheme="majorHAnsi"/>
          <w:sz w:val="20"/>
          <w:szCs w:val="20"/>
          <w:lang w:val="es-ES"/>
        </w:rPr>
        <w:t>recurso</w:t>
      </w:r>
      <w:r w:rsidRPr="001571B9">
        <w:rPr>
          <w:rFonts w:asciiTheme="majorHAnsi" w:hAnsiTheme="majorHAnsi"/>
          <w:sz w:val="20"/>
          <w:szCs w:val="20"/>
          <w:lang w:val="es-ES"/>
        </w:rPr>
        <w:t xml:space="preserve">. El asunto se devolvió a la </w:t>
      </w:r>
      <w:r>
        <w:rPr>
          <w:rFonts w:asciiTheme="majorHAnsi" w:hAnsiTheme="majorHAnsi"/>
          <w:sz w:val="20"/>
          <w:szCs w:val="20"/>
          <w:lang w:val="es-ES"/>
        </w:rPr>
        <w:t>CSF</w:t>
      </w:r>
      <w:r w:rsidRPr="001571B9">
        <w:rPr>
          <w:rFonts w:asciiTheme="majorHAnsi" w:hAnsiTheme="majorHAnsi"/>
          <w:sz w:val="20"/>
          <w:szCs w:val="20"/>
          <w:lang w:val="es-ES"/>
        </w:rPr>
        <w:t xml:space="preserve"> para </w:t>
      </w:r>
      <w:r>
        <w:rPr>
          <w:rFonts w:asciiTheme="majorHAnsi" w:hAnsiTheme="majorHAnsi"/>
          <w:sz w:val="20"/>
          <w:szCs w:val="20"/>
          <w:lang w:val="es-ES"/>
        </w:rPr>
        <w:t>que considere</w:t>
      </w:r>
      <w:r w:rsidRPr="001571B9">
        <w:rPr>
          <w:rFonts w:asciiTheme="majorHAnsi" w:hAnsiTheme="majorHAnsi"/>
          <w:sz w:val="20"/>
          <w:szCs w:val="20"/>
          <w:lang w:val="es-ES"/>
        </w:rPr>
        <w:t xml:space="preserve"> todas las cuestiones planteadas en la apelación.</w:t>
      </w:r>
      <w:r w:rsidRPr="00927B93">
        <w:rPr>
          <w:rStyle w:val="FootnoteReference"/>
          <w:rFonts w:asciiTheme="majorHAnsi" w:hAnsiTheme="majorHAnsi"/>
          <w:sz w:val="20"/>
          <w:szCs w:val="20"/>
        </w:rPr>
        <w:footnoteReference w:id="18"/>
      </w:r>
      <w:r w:rsidRPr="001571B9">
        <w:rPr>
          <w:rFonts w:asciiTheme="majorHAnsi" w:hAnsiTheme="majorHAnsi"/>
          <w:sz w:val="20"/>
          <w:szCs w:val="20"/>
          <w:lang w:val="es-ES"/>
        </w:rPr>
        <w:t xml:space="preserve"> Habiendo considerado los reclamos y varias afirmaciones, la FSC confirmó la denegación </w:t>
      </w:r>
      <w:r>
        <w:rPr>
          <w:rFonts w:asciiTheme="majorHAnsi" w:hAnsiTheme="majorHAnsi"/>
          <w:sz w:val="20"/>
          <w:szCs w:val="20"/>
          <w:lang w:val="es-ES"/>
        </w:rPr>
        <w:t>decidida por</w:t>
      </w:r>
      <w:r w:rsidRPr="001571B9">
        <w:rPr>
          <w:rFonts w:asciiTheme="majorHAnsi" w:hAnsiTheme="majorHAnsi"/>
          <w:sz w:val="20"/>
          <w:szCs w:val="20"/>
          <w:lang w:val="es-ES"/>
        </w:rPr>
        <w:t xml:space="preserve"> Tribunal de Circuito.</w:t>
      </w:r>
    </w:p>
    <w:p w14:paraId="70D33AC8" w14:textId="77777777" w:rsidR="002F30A3" w:rsidRPr="00E36893" w:rsidRDefault="002F30A3" w:rsidP="002F30A3">
      <w:pPr>
        <w:pStyle w:val="ListParagraph"/>
        <w:rPr>
          <w:rFonts w:asciiTheme="majorHAnsi" w:hAnsiTheme="majorHAnsi"/>
          <w:color w:val="FF0000"/>
          <w:sz w:val="20"/>
          <w:szCs w:val="20"/>
          <w:lang w:val="es-ES"/>
        </w:rPr>
      </w:pPr>
    </w:p>
    <w:p w14:paraId="72830516" w14:textId="77777777" w:rsidR="001571B9" w:rsidRPr="001571B9" w:rsidRDefault="001571B9" w:rsidP="002F30A3">
      <w:pPr>
        <w:pStyle w:val="parrafos"/>
        <w:numPr>
          <w:ilvl w:val="0"/>
          <w:numId w:val="55"/>
        </w:numPr>
        <w:ind w:left="0" w:firstLine="0"/>
        <w:rPr>
          <w:lang w:val="es-ES"/>
        </w:rPr>
      </w:pPr>
      <w:r w:rsidRPr="001571B9">
        <w:rPr>
          <w:lang w:val="es-ES"/>
        </w:rPr>
        <w:t xml:space="preserve">Con fundamento en estos factores, la Comisión Interamericana concluye que la presunta víctima agotó debidamente los recursos internos disponibles en el ordenamiento jurídico interno y, por lo tanto, que los reclamos ante la Comisión no están excluidos de </w:t>
      </w:r>
      <w:r>
        <w:rPr>
          <w:lang w:val="es-ES"/>
        </w:rPr>
        <w:t xml:space="preserve">su </w:t>
      </w:r>
      <w:r w:rsidRPr="001571B9">
        <w:rPr>
          <w:lang w:val="es-ES"/>
        </w:rPr>
        <w:t>consideración por el requisito del agotamiento de los recursos internos conforme Artículo 31 (1) de su Reglamento.</w:t>
      </w:r>
    </w:p>
    <w:p w14:paraId="276715B4" w14:textId="77777777" w:rsidR="002F30A3" w:rsidRPr="001571B9" w:rsidRDefault="002F30A3" w:rsidP="001571B9">
      <w:pPr>
        <w:rPr>
          <w:lang w:val="es-ES"/>
        </w:rPr>
      </w:pPr>
    </w:p>
    <w:p w14:paraId="38B865D8" w14:textId="77777777" w:rsidR="001571B9" w:rsidRPr="001571B9" w:rsidRDefault="001571B9" w:rsidP="002F30A3">
      <w:pPr>
        <w:pStyle w:val="parrafos"/>
        <w:numPr>
          <w:ilvl w:val="0"/>
          <w:numId w:val="55"/>
        </w:numPr>
        <w:ind w:left="0" w:firstLine="0"/>
        <w:rPr>
          <w:lang w:val="es-ES"/>
        </w:rPr>
      </w:pPr>
      <w:r w:rsidRPr="001571B9">
        <w:rPr>
          <w:lang w:val="es-ES"/>
        </w:rPr>
        <w:t xml:space="preserve">La petición ante la CIDH fue presentada el 10 de agosto de 2011. El Tribunal de Circuito denegó el </w:t>
      </w:r>
      <w:r>
        <w:rPr>
          <w:lang w:val="es-ES"/>
        </w:rPr>
        <w:t xml:space="preserve">último recurso de reparación </w:t>
      </w:r>
      <w:r w:rsidRPr="001571B9">
        <w:rPr>
          <w:lang w:val="es-ES"/>
        </w:rPr>
        <w:t xml:space="preserve">posterior a la condena el 2 de agosto de 2011. Por lo tanto, la Comisión concluye que se ha cumplido el requisito previsto en el artículo 32 (1) de su Reglamento. </w:t>
      </w:r>
    </w:p>
    <w:p w14:paraId="1527E5F0" w14:textId="77777777" w:rsidR="00D20BFA" w:rsidRPr="00E36893" w:rsidRDefault="00D20BFA" w:rsidP="00EC55EA">
      <w:pPr>
        <w:pStyle w:val="parrafos"/>
        <w:ind w:left="0" w:firstLine="0"/>
        <w:rPr>
          <w:lang w:val="es-ES"/>
        </w:rPr>
      </w:pPr>
    </w:p>
    <w:p w14:paraId="36ACF331" w14:textId="77777777" w:rsidR="00F516D3" w:rsidRPr="00B443C8" w:rsidRDefault="00B443C8" w:rsidP="00EC55EA">
      <w:pPr>
        <w:pStyle w:val="Heading2"/>
        <w:keepLines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0"/>
        <w:ind w:left="360"/>
        <w:rPr>
          <w:rFonts w:cs="Times New Roman"/>
          <w:color w:val="auto"/>
          <w:sz w:val="20"/>
          <w:szCs w:val="20"/>
          <w:lang w:val="es-ES"/>
        </w:rPr>
      </w:pPr>
      <w:bookmarkStart w:id="9" w:name="_Toc90292572"/>
      <w:r w:rsidRPr="00B443C8">
        <w:rPr>
          <w:rFonts w:cs="Times New Roman"/>
          <w:color w:val="auto"/>
          <w:sz w:val="20"/>
          <w:szCs w:val="20"/>
          <w:lang w:val="es-ES"/>
        </w:rPr>
        <w:t>Caracterización de los hechos alegados</w:t>
      </w:r>
      <w:bookmarkEnd w:id="9"/>
    </w:p>
    <w:p w14:paraId="23FA71D3" w14:textId="77777777" w:rsidR="00764470" w:rsidRPr="00B443C8" w:rsidRDefault="00764470" w:rsidP="00EC55EA">
      <w:pPr>
        <w:rPr>
          <w:rFonts w:asciiTheme="majorHAnsi" w:hAnsiTheme="majorHAnsi"/>
          <w:sz w:val="20"/>
          <w:szCs w:val="20"/>
          <w:lang w:val="es-ES"/>
        </w:rPr>
      </w:pPr>
    </w:p>
    <w:p w14:paraId="59ED6904" w14:textId="77777777" w:rsidR="001571B9" w:rsidRPr="001571B9" w:rsidRDefault="001571B9" w:rsidP="001571B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lang w:val="es-ES"/>
        </w:rPr>
      </w:pPr>
      <w:r w:rsidRPr="001571B9">
        <w:rPr>
          <w:rFonts w:asciiTheme="majorHAnsi" w:hAnsiTheme="majorHAnsi"/>
          <w:sz w:val="20"/>
          <w:szCs w:val="20"/>
          <w:lang w:val="es-ES"/>
        </w:rPr>
        <w:t>La Comisión considera que, de demostrarse, los hechos alegados tenderían a establecer violaciones a los derechos consagrados en los artículos I, XVII, XXIV, XXVI y XVIII de la Declaración Americana, en perjuicio del señor Valle. Por lo tanto, tomando en cuenta que se cumplen los requisitos, la CIDH declara admisible el caso.</w:t>
      </w:r>
    </w:p>
    <w:p w14:paraId="03E2B598" w14:textId="77777777" w:rsidR="00B41B62" w:rsidRPr="00E36893" w:rsidRDefault="00B41B62" w:rsidP="001571B9">
      <w:pPr>
        <w:rPr>
          <w:rFonts w:asciiTheme="majorHAnsi" w:hAnsiTheme="majorHAnsi"/>
          <w:sz w:val="20"/>
          <w:szCs w:val="20"/>
          <w:lang w:val="es-ES"/>
        </w:rPr>
      </w:pPr>
    </w:p>
    <w:p w14:paraId="2B5D345A" w14:textId="77777777" w:rsidR="00F40F3F" w:rsidRPr="00EC55EA" w:rsidRDefault="00B443C8" w:rsidP="00EC55EA">
      <w:pPr>
        <w:pStyle w:val="Heading1"/>
        <w:tabs>
          <w:tab w:val="left" w:pos="360"/>
        </w:tabs>
        <w:spacing w:before="0"/>
        <w:ind w:hanging="720"/>
        <w:rPr>
          <w:color w:val="auto"/>
          <w:sz w:val="20"/>
          <w:szCs w:val="20"/>
        </w:rPr>
      </w:pPr>
      <w:bookmarkStart w:id="10" w:name="_Toc90292573"/>
      <w:r>
        <w:rPr>
          <w:color w:val="auto"/>
          <w:sz w:val="20"/>
          <w:szCs w:val="20"/>
        </w:rPr>
        <w:t>DETERMINACIONES DE HECHO</w:t>
      </w:r>
      <w:bookmarkEnd w:id="10"/>
    </w:p>
    <w:p w14:paraId="31AE3A03" w14:textId="77777777" w:rsidR="003963B7" w:rsidRPr="00EC55EA" w:rsidRDefault="003963B7" w:rsidP="00EC55EA">
      <w:pPr>
        <w:rPr>
          <w:rFonts w:asciiTheme="majorHAnsi" w:hAnsiTheme="majorHAnsi"/>
          <w:sz w:val="20"/>
          <w:szCs w:val="20"/>
        </w:rPr>
      </w:pPr>
    </w:p>
    <w:p w14:paraId="03F44C5A" w14:textId="77777777" w:rsidR="00DA249D" w:rsidRPr="00EC55EA" w:rsidRDefault="00B443C8" w:rsidP="00EC55EA">
      <w:pPr>
        <w:pStyle w:val="Heading2"/>
        <w:numPr>
          <w:ilvl w:val="0"/>
          <w:numId w:val="58"/>
        </w:numPr>
        <w:tabs>
          <w:tab w:val="left" w:pos="360"/>
        </w:tabs>
        <w:spacing w:before="0"/>
        <w:ind w:hanging="720"/>
        <w:rPr>
          <w:color w:val="auto"/>
          <w:sz w:val="20"/>
          <w:szCs w:val="20"/>
        </w:rPr>
      </w:pPr>
      <w:bookmarkStart w:id="11" w:name="_Toc90292574"/>
      <w:r>
        <w:rPr>
          <w:color w:val="auto"/>
          <w:sz w:val="20"/>
          <w:szCs w:val="20"/>
        </w:rPr>
        <w:t>Hechos del caso</w:t>
      </w:r>
      <w:bookmarkEnd w:id="11"/>
    </w:p>
    <w:p w14:paraId="4E21C234" w14:textId="77777777" w:rsidR="00D9253C" w:rsidRDefault="00D9253C" w:rsidP="00D9253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textAlignment w:val="baseline"/>
        <w:rPr>
          <w:rFonts w:asciiTheme="majorHAnsi" w:hAnsiTheme="majorHAnsi"/>
          <w:sz w:val="20"/>
          <w:szCs w:val="20"/>
        </w:rPr>
      </w:pPr>
    </w:p>
    <w:p w14:paraId="002436DC" w14:textId="77777777" w:rsidR="001571B9" w:rsidRPr="001571B9" w:rsidRDefault="001571B9" w:rsidP="007015C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lang w:val="es-ES"/>
        </w:rPr>
      </w:pPr>
      <w:r w:rsidRPr="001571B9">
        <w:rPr>
          <w:rFonts w:asciiTheme="majorHAnsi" w:hAnsiTheme="majorHAnsi"/>
          <w:sz w:val="20"/>
          <w:szCs w:val="20"/>
          <w:lang w:val="es-ES"/>
        </w:rPr>
        <w:t>Según el historial procesal registrado por la Corte Suprema de Florida (</w:t>
      </w:r>
      <w:r>
        <w:rPr>
          <w:rFonts w:asciiTheme="majorHAnsi" w:hAnsiTheme="majorHAnsi"/>
          <w:sz w:val="20"/>
          <w:szCs w:val="20"/>
          <w:lang w:val="es-ES"/>
        </w:rPr>
        <w:t>CSF</w:t>
      </w:r>
      <w:r w:rsidRPr="001571B9">
        <w:rPr>
          <w:rFonts w:asciiTheme="majorHAnsi" w:hAnsiTheme="majorHAnsi"/>
          <w:sz w:val="20"/>
          <w:szCs w:val="20"/>
          <w:lang w:val="es-ES"/>
        </w:rPr>
        <w:t>),</w:t>
      </w:r>
      <w:r w:rsidRPr="00A54BD3">
        <w:rPr>
          <w:rStyle w:val="FootnoteReference"/>
          <w:rFonts w:asciiTheme="majorHAnsi" w:hAnsiTheme="majorHAnsi"/>
          <w:sz w:val="20"/>
          <w:szCs w:val="20"/>
        </w:rPr>
        <w:footnoteReference w:id="19"/>
      </w:r>
      <w:r w:rsidRPr="001571B9">
        <w:rPr>
          <w:rFonts w:asciiTheme="majorHAnsi" w:hAnsiTheme="majorHAnsi"/>
          <w:sz w:val="20"/>
          <w:szCs w:val="20"/>
          <w:lang w:val="es-ES"/>
        </w:rPr>
        <w:t xml:space="preserve"> el 2 de abril de 1978 el señor Valle disparó contra dos policías. Un </w:t>
      </w:r>
      <w:r>
        <w:rPr>
          <w:rFonts w:asciiTheme="majorHAnsi" w:hAnsiTheme="majorHAnsi"/>
          <w:sz w:val="20"/>
          <w:szCs w:val="20"/>
          <w:lang w:val="es-ES"/>
        </w:rPr>
        <w:t>agente</w:t>
      </w:r>
      <w:r w:rsidRPr="001571B9">
        <w:rPr>
          <w:rFonts w:asciiTheme="majorHAnsi" w:hAnsiTheme="majorHAnsi"/>
          <w:sz w:val="20"/>
          <w:szCs w:val="20"/>
          <w:lang w:val="es-ES"/>
        </w:rPr>
        <w:t xml:space="preserve">, Louis Peña, detuvo al Sr. Valle por una infracción de tránsito y cuando inició una verificación del registro del vehículo robado que conducía el Sr. Valle, el Sr. Valle </w:t>
      </w:r>
      <w:r>
        <w:rPr>
          <w:rFonts w:asciiTheme="majorHAnsi" w:hAnsiTheme="majorHAnsi"/>
          <w:sz w:val="20"/>
          <w:szCs w:val="20"/>
          <w:lang w:val="es-ES"/>
        </w:rPr>
        <w:t>tomó</w:t>
      </w:r>
      <w:r w:rsidRPr="001571B9">
        <w:rPr>
          <w:rFonts w:asciiTheme="majorHAnsi" w:hAnsiTheme="majorHAnsi"/>
          <w:sz w:val="20"/>
          <w:szCs w:val="20"/>
          <w:lang w:val="es-ES"/>
        </w:rPr>
        <w:t xml:space="preserve"> un arma y le disparó al oficial. </w:t>
      </w:r>
      <w:r>
        <w:rPr>
          <w:rFonts w:asciiTheme="majorHAnsi" w:hAnsiTheme="majorHAnsi"/>
          <w:sz w:val="20"/>
          <w:szCs w:val="20"/>
          <w:lang w:val="es-ES"/>
        </w:rPr>
        <w:t>E</w:t>
      </w:r>
      <w:r w:rsidRPr="001571B9">
        <w:rPr>
          <w:rFonts w:asciiTheme="majorHAnsi" w:hAnsiTheme="majorHAnsi"/>
          <w:sz w:val="20"/>
          <w:szCs w:val="20"/>
          <w:lang w:val="es-ES"/>
        </w:rPr>
        <w:t xml:space="preserve">l </w:t>
      </w:r>
      <w:r>
        <w:rPr>
          <w:rFonts w:asciiTheme="majorHAnsi" w:hAnsiTheme="majorHAnsi"/>
          <w:sz w:val="20"/>
          <w:szCs w:val="20"/>
          <w:lang w:val="es-ES"/>
        </w:rPr>
        <w:t xml:space="preserve">agente </w:t>
      </w:r>
      <w:r w:rsidRPr="001571B9">
        <w:rPr>
          <w:rFonts w:asciiTheme="majorHAnsi" w:hAnsiTheme="majorHAnsi"/>
          <w:sz w:val="20"/>
          <w:szCs w:val="20"/>
          <w:lang w:val="es-ES"/>
        </w:rPr>
        <w:t>Louis Pena</w:t>
      </w:r>
      <w:r>
        <w:rPr>
          <w:rFonts w:asciiTheme="majorHAnsi" w:hAnsiTheme="majorHAnsi"/>
          <w:sz w:val="20"/>
          <w:szCs w:val="20"/>
          <w:lang w:val="es-ES"/>
        </w:rPr>
        <w:t xml:space="preserve"> murió</w:t>
      </w:r>
      <w:r w:rsidRPr="001571B9">
        <w:rPr>
          <w:rFonts w:asciiTheme="majorHAnsi" w:hAnsiTheme="majorHAnsi"/>
          <w:sz w:val="20"/>
          <w:szCs w:val="20"/>
          <w:lang w:val="es-ES"/>
        </w:rPr>
        <w:t xml:space="preserve">. Luego, el Sr. Valle disparó al </w:t>
      </w:r>
      <w:r>
        <w:rPr>
          <w:rFonts w:asciiTheme="majorHAnsi" w:hAnsiTheme="majorHAnsi"/>
          <w:sz w:val="20"/>
          <w:szCs w:val="20"/>
          <w:lang w:val="es-ES"/>
        </w:rPr>
        <w:t>agente</w:t>
      </w:r>
      <w:r w:rsidRPr="001571B9">
        <w:rPr>
          <w:rFonts w:asciiTheme="majorHAnsi" w:hAnsiTheme="majorHAnsi"/>
          <w:sz w:val="20"/>
          <w:szCs w:val="20"/>
          <w:lang w:val="es-ES"/>
        </w:rPr>
        <w:t xml:space="preserve"> que lo acompañaba, Gary Spell.</w:t>
      </w:r>
    </w:p>
    <w:p w14:paraId="085953F7" w14:textId="77777777" w:rsidR="00034456" w:rsidRPr="00E36893" w:rsidRDefault="00034456" w:rsidP="0003445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textAlignment w:val="baseline"/>
        <w:rPr>
          <w:rFonts w:asciiTheme="majorHAnsi" w:hAnsiTheme="majorHAnsi"/>
          <w:sz w:val="20"/>
          <w:szCs w:val="20"/>
          <w:lang w:val="es-ES"/>
        </w:rPr>
      </w:pPr>
    </w:p>
    <w:p w14:paraId="65F6ED7E" w14:textId="77777777" w:rsidR="001571B9" w:rsidRPr="001571B9" w:rsidRDefault="001571B9" w:rsidP="007015C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lang w:val="es-ES"/>
        </w:rPr>
      </w:pPr>
      <w:r>
        <w:rPr>
          <w:rFonts w:asciiTheme="majorHAnsi" w:hAnsiTheme="majorHAnsi"/>
          <w:sz w:val="20"/>
          <w:szCs w:val="20"/>
          <w:lang w:val="es-ES"/>
        </w:rPr>
        <w:t>El Sr.</w:t>
      </w:r>
      <w:r w:rsidRPr="001571B9">
        <w:rPr>
          <w:rFonts w:asciiTheme="majorHAnsi" w:hAnsiTheme="majorHAnsi"/>
          <w:sz w:val="20"/>
          <w:szCs w:val="20"/>
          <w:lang w:val="es-ES"/>
        </w:rPr>
        <w:t xml:space="preserve"> Valle fue</w:t>
      </w:r>
      <w:r>
        <w:rPr>
          <w:rFonts w:asciiTheme="majorHAnsi" w:hAnsiTheme="majorHAnsi"/>
          <w:sz w:val="20"/>
          <w:szCs w:val="20"/>
          <w:lang w:val="es-ES"/>
        </w:rPr>
        <w:t xml:space="preserve"> luego</w:t>
      </w:r>
      <w:r w:rsidRPr="001571B9">
        <w:rPr>
          <w:rFonts w:asciiTheme="majorHAnsi" w:hAnsiTheme="majorHAnsi"/>
          <w:sz w:val="20"/>
          <w:szCs w:val="20"/>
          <w:lang w:val="es-ES"/>
        </w:rPr>
        <w:t xml:space="preserve"> acusado del </w:t>
      </w:r>
      <w:r>
        <w:rPr>
          <w:rFonts w:asciiTheme="majorHAnsi" w:hAnsiTheme="majorHAnsi"/>
          <w:sz w:val="20"/>
          <w:szCs w:val="20"/>
          <w:lang w:val="es-ES"/>
        </w:rPr>
        <w:t>homicidio</w:t>
      </w:r>
      <w:r w:rsidRPr="001571B9">
        <w:rPr>
          <w:rFonts w:asciiTheme="majorHAnsi" w:hAnsiTheme="majorHAnsi"/>
          <w:sz w:val="20"/>
          <w:szCs w:val="20"/>
          <w:lang w:val="es-ES"/>
        </w:rPr>
        <w:t xml:space="preserve"> en primer grado de un </w:t>
      </w:r>
      <w:r>
        <w:rPr>
          <w:rFonts w:asciiTheme="majorHAnsi" w:hAnsiTheme="majorHAnsi"/>
          <w:sz w:val="20"/>
          <w:szCs w:val="20"/>
          <w:lang w:val="es-ES"/>
        </w:rPr>
        <w:t>agente</w:t>
      </w:r>
      <w:r w:rsidRPr="001571B9">
        <w:rPr>
          <w:rFonts w:asciiTheme="majorHAnsi" w:hAnsiTheme="majorHAnsi"/>
          <w:sz w:val="20"/>
          <w:szCs w:val="20"/>
          <w:lang w:val="es-ES"/>
        </w:rPr>
        <w:t xml:space="preserve"> de policía, Louis Pena, y de</w:t>
      </w:r>
      <w:r>
        <w:rPr>
          <w:rFonts w:asciiTheme="majorHAnsi" w:hAnsiTheme="majorHAnsi"/>
          <w:sz w:val="20"/>
          <w:szCs w:val="20"/>
          <w:lang w:val="es-ES"/>
        </w:rPr>
        <w:t xml:space="preserve"> </w:t>
      </w:r>
      <w:r w:rsidRPr="001571B9">
        <w:rPr>
          <w:rFonts w:asciiTheme="majorHAnsi" w:hAnsiTheme="majorHAnsi"/>
          <w:sz w:val="20"/>
          <w:szCs w:val="20"/>
          <w:lang w:val="es-ES"/>
        </w:rPr>
        <w:t>l</w:t>
      </w:r>
      <w:r>
        <w:rPr>
          <w:rFonts w:asciiTheme="majorHAnsi" w:hAnsiTheme="majorHAnsi"/>
          <w:sz w:val="20"/>
          <w:szCs w:val="20"/>
          <w:lang w:val="es-ES"/>
        </w:rPr>
        <w:t>a</w:t>
      </w:r>
      <w:r w:rsidRPr="001571B9">
        <w:rPr>
          <w:rFonts w:asciiTheme="majorHAnsi" w:hAnsiTheme="majorHAnsi"/>
          <w:sz w:val="20"/>
          <w:szCs w:val="20"/>
          <w:lang w:val="es-ES"/>
        </w:rPr>
        <w:t xml:space="preserve"> </w:t>
      </w:r>
      <w:r>
        <w:rPr>
          <w:rFonts w:asciiTheme="majorHAnsi" w:hAnsiTheme="majorHAnsi"/>
          <w:sz w:val="20"/>
          <w:szCs w:val="20"/>
          <w:lang w:val="es-ES"/>
        </w:rPr>
        <w:t>tentativa de homicidio</w:t>
      </w:r>
      <w:r w:rsidRPr="001571B9">
        <w:rPr>
          <w:rFonts w:asciiTheme="majorHAnsi" w:hAnsiTheme="majorHAnsi"/>
          <w:sz w:val="20"/>
          <w:szCs w:val="20"/>
          <w:lang w:val="es-ES"/>
        </w:rPr>
        <w:t xml:space="preserve"> en primer grado de otro, Gary Spell. También fue acusado de posesión de un arma de fuego por un delincuente convicto.</w:t>
      </w:r>
    </w:p>
    <w:p w14:paraId="4D01DCEB" w14:textId="77777777" w:rsidR="004600B6" w:rsidRPr="00E36893" w:rsidRDefault="004600B6" w:rsidP="00902C3B">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textAlignment w:val="baseline"/>
        <w:rPr>
          <w:rFonts w:asciiTheme="majorHAnsi" w:hAnsiTheme="majorHAnsi"/>
          <w:sz w:val="20"/>
          <w:szCs w:val="20"/>
          <w:lang w:val="es-ES"/>
        </w:rPr>
      </w:pPr>
    </w:p>
    <w:p w14:paraId="5B851257" w14:textId="77777777" w:rsidR="00DC7C8C" w:rsidRPr="00B443C8" w:rsidRDefault="00B443C8" w:rsidP="00EC55EA">
      <w:pPr>
        <w:pStyle w:val="Heading2"/>
        <w:numPr>
          <w:ilvl w:val="0"/>
          <w:numId w:val="58"/>
        </w:numPr>
        <w:tabs>
          <w:tab w:val="left" w:pos="360"/>
        </w:tabs>
        <w:spacing w:before="0"/>
        <w:ind w:hanging="720"/>
        <w:rPr>
          <w:color w:val="auto"/>
          <w:sz w:val="20"/>
          <w:szCs w:val="20"/>
          <w:lang w:val="es-ES"/>
        </w:rPr>
      </w:pPr>
      <w:bookmarkStart w:id="12" w:name="_Toc90292575"/>
      <w:r w:rsidRPr="00B443C8">
        <w:rPr>
          <w:color w:val="auto"/>
          <w:sz w:val="20"/>
          <w:szCs w:val="20"/>
          <w:lang w:val="es-ES"/>
        </w:rPr>
        <w:t>Juicio y condena a muerte</w:t>
      </w:r>
      <w:bookmarkEnd w:id="12"/>
    </w:p>
    <w:p w14:paraId="1B1D6DD2" w14:textId="77777777" w:rsidR="00021557" w:rsidRPr="00B443C8" w:rsidRDefault="00021557" w:rsidP="00EC55EA">
      <w:pPr>
        <w:rPr>
          <w:lang w:val="es-ES"/>
        </w:rPr>
      </w:pPr>
    </w:p>
    <w:p w14:paraId="530ADF70" w14:textId="01A2A08A" w:rsidR="005A58AF" w:rsidRPr="005A58AF" w:rsidRDefault="005A58AF" w:rsidP="00976A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lang w:val="es-ES"/>
        </w:rPr>
      </w:pPr>
      <w:r w:rsidRPr="005A58AF">
        <w:rPr>
          <w:rFonts w:asciiTheme="majorHAnsi" w:hAnsiTheme="majorHAnsi"/>
          <w:sz w:val="20"/>
          <w:szCs w:val="20"/>
          <w:lang w:val="es-ES"/>
        </w:rPr>
        <w:t xml:space="preserve">El Sr. Valle fue declarado culpable de asesinato en primer grado y condenado a muerte por un jurado el 4 de mayo de 1978. Luego, el Sr. Valle presentó una apelación directa ante la </w:t>
      </w:r>
      <w:r>
        <w:rPr>
          <w:rFonts w:asciiTheme="majorHAnsi" w:hAnsiTheme="majorHAnsi"/>
          <w:sz w:val="20"/>
          <w:szCs w:val="20"/>
          <w:lang w:val="es-ES"/>
        </w:rPr>
        <w:t>CSF</w:t>
      </w:r>
      <w:r w:rsidRPr="005A58AF">
        <w:rPr>
          <w:rFonts w:asciiTheme="majorHAnsi" w:hAnsiTheme="majorHAnsi"/>
          <w:sz w:val="20"/>
          <w:szCs w:val="20"/>
          <w:lang w:val="es-ES"/>
        </w:rPr>
        <w:t xml:space="preserve"> el 7 de julio de 1978, </w:t>
      </w:r>
      <w:r>
        <w:rPr>
          <w:rFonts w:asciiTheme="majorHAnsi" w:hAnsiTheme="majorHAnsi"/>
          <w:sz w:val="20"/>
          <w:szCs w:val="20"/>
          <w:lang w:val="es-ES"/>
        </w:rPr>
        <w:t xml:space="preserve">fundada en el </w:t>
      </w:r>
      <w:r w:rsidRPr="005A58AF">
        <w:rPr>
          <w:rFonts w:asciiTheme="majorHAnsi" w:hAnsiTheme="majorHAnsi"/>
          <w:sz w:val="20"/>
          <w:szCs w:val="20"/>
          <w:lang w:val="es-ES"/>
        </w:rPr>
        <w:t xml:space="preserve">reclamo de que sus derechos </w:t>
      </w:r>
      <w:r>
        <w:rPr>
          <w:rFonts w:asciiTheme="majorHAnsi" w:hAnsiTheme="majorHAnsi"/>
          <w:sz w:val="20"/>
          <w:szCs w:val="20"/>
          <w:lang w:val="es-ES"/>
        </w:rPr>
        <w:t>consagrados por</w:t>
      </w:r>
      <w:r w:rsidRPr="005A58AF">
        <w:rPr>
          <w:rFonts w:asciiTheme="majorHAnsi" w:hAnsiTheme="majorHAnsi"/>
          <w:sz w:val="20"/>
          <w:szCs w:val="20"/>
          <w:lang w:val="es-ES"/>
        </w:rPr>
        <w:t xml:space="preserve"> la Sexta y la Decimocuarta Enmienda </w:t>
      </w:r>
      <w:r>
        <w:rPr>
          <w:rFonts w:asciiTheme="majorHAnsi" w:hAnsiTheme="majorHAnsi"/>
          <w:sz w:val="20"/>
          <w:szCs w:val="20"/>
          <w:lang w:val="es-ES"/>
        </w:rPr>
        <w:t>había sido</w:t>
      </w:r>
      <w:r w:rsidRPr="005A58AF">
        <w:rPr>
          <w:rFonts w:asciiTheme="majorHAnsi" w:hAnsiTheme="majorHAnsi"/>
          <w:sz w:val="20"/>
          <w:szCs w:val="20"/>
          <w:lang w:val="es-ES"/>
        </w:rPr>
        <w:t xml:space="preserve"> violado</w:t>
      </w:r>
      <w:r>
        <w:rPr>
          <w:rFonts w:asciiTheme="majorHAnsi" w:hAnsiTheme="majorHAnsi"/>
          <w:sz w:val="20"/>
          <w:szCs w:val="20"/>
          <w:lang w:val="es-ES"/>
        </w:rPr>
        <w:t>s</w:t>
      </w:r>
      <w:r w:rsidRPr="005A58AF">
        <w:rPr>
          <w:rFonts w:asciiTheme="majorHAnsi" w:hAnsiTheme="majorHAnsi"/>
          <w:sz w:val="20"/>
          <w:szCs w:val="20"/>
          <w:lang w:val="es-ES"/>
        </w:rPr>
        <w:t xml:space="preserve"> por el carácter acelerado de su juicio. Específicamente, </w:t>
      </w:r>
      <w:r>
        <w:rPr>
          <w:rFonts w:asciiTheme="majorHAnsi" w:hAnsiTheme="majorHAnsi"/>
          <w:sz w:val="20"/>
          <w:szCs w:val="20"/>
          <w:lang w:val="es-ES"/>
        </w:rPr>
        <w:t xml:space="preserve">alegaba que </w:t>
      </w:r>
      <w:r w:rsidRPr="005A58AF">
        <w:rPr>
          <w:rFonts w:asciiTheme="majorHAnsi" w:hAnsiTheme="majorHAnsi"/>
          <w:sz w:val="20"/>
          <w:szCs w:val="20"/>
          <w:lang w:val="es-ES"/>
        </w:rPr>
        <w:t xml:space="preserve">se violaron sus derechos a un tiempo de </w:t>
      </w:r>
      <w:r w:rsidRPr="005A58AF">
        <w:rPr>
          <w:rFonts w:asciiTheme="majorHAnsi" w:hAnsiTheme="majorHAnsi"/>
          <w:sz w:val="20"/>
          <w:szCs w:val="20"/>
          <w:lang w:val="es-ES"/>
        </w:rPr>
        <w:lastRenderedPageBreak/>
        <w:t xml:space="preserve">preparación adecuado y a la asistencia efectiva de un abogado cuando su caso fue </w:t>
      </w:r>
      <w:r>
        <w:rPr>
          <w:rFonts w:asciiTheme="majorHAnsi" w:hAnsiTheme="majorHAnsi"/>
          <w:sz w:val="20"/>
          <w:szCs w:val="20"/>
          <w:lang w:val="es-ES"/>
        </w:rPr>
        <w:t xml:space="preserve">llevado </w:t>
      </w:r>
      <w:r w:rsidRPr="005A58AF">
        <w:rPr>
          <w:rFonts w:asciiTheme="majorHAnsi" w:hAnsiTheme="majorHAnsi"/>
          <w:sz w:val="20"/>
          <w:szCs w:val="20"/>
          <w:lang w:val="es-ES"/>
        </w:rPr>
        <w:t xml:space="preserve">a juicio dentro de los 24 días posteriores a la lectura de cargos. La </w:t>
      </w:r>
      <w:r>
        <w:rPr>
          <w:rFonts w:asciiTheme="majorHAnsi" w:hAnsiTheme="majorHAnsi"/>
          <w:sz w:val="20"/>
          <w:szCs w:val="20"/>
          <w:lang w:val="es-ES"/>
        </w:rPr>
        <w:t>CSF</w:t>
      </w:r>
      <w:r w:rsidRPr="005A58AF">
        <w:rPr>
          <w:rFonts w:asciiTheme="majorHAnsi" w:hAnsiTheme="majorHAnsi"/>
          <w:sz w:val="20"/>
          <w:szCs w:val="20"/>
          <w:lang w:val="es-ES"/>
        </w:rPr>
        <w:t xml:space="preserve"> estuvo de acuerdo, y además</w:t>
      </w:r>
      <w:r w:rsidR="002F3E55">
        <w:rPr>
          <w:rFonts w:asciiTheme="majorHAnsi" w:hAnsiTheme="majorHAnsi"/>
          <w:sz w:val="20"/>
          <w:szCs w:val="20"/>
          <w:lang w:val="es-ES"/>
        </w:rPr>
        <w:t>,</w:t>
      </w:r>
      <w:r w:rsidRPr="005A58AF">
        <w:rPr>
          <w:rFonts w:asciiTheme="majorHAnsi" w:hAnsiTheme="majorHAnsi"/>
          <w:sz w:val="20"/>
          <w:szCs w:val="20"/>
          <w:lang w:val="es-ES"/>
        </w:rPr>
        <w:t xml:space="preserve"> </w:t>
      </w:r>
      <w:r>
        <w:rPr>
          <w:rFonts w:asciiTheme="majorHAnsi" w:hAnsiTheme="majorHAnsi"/>
          <w:sz w:val="20"/>
          <w:szCs w:val="20"/>
          <w:lang w:val="es-ES"/>
        </w:rPr>
        <w:t>halló</w:t>
      </w:r>
      <w:r w:rsidRPr="005A58AF">
        <w:rPr>
          <w:rFonts w:asciiTheme="majorHAnsi" w:hAnsiTheme="majorHAnsi"/>
          <w:sz w:val="20"/>
          <w:szCs w:val="20"/>
          <w:lang w:val="es-ES"/>
        </w:rPr>
        <w:t xml:space="preserve"> que la decisión del tribunal de </w:t>
      </w:r>
      <w:r>
        <w:rPr>
          <w:rFonts w:asciiTheme="majorHAnsi" w:hAnsiTheme="majorHAnsi"/>
          <w:sz w:val="20"/>
          <w:szCs w:val="20"/>
          <w:lang w:val="es-ES"/>
        </w:rPr>
        <w:t>juicio</w:t>
      </w:r>
      <w:r w:rsidRPr="005A58AF">
        <w:rPr>
          <w:rFonts w:asciiTheme="majorHAnsi" w:hAnsiTheme="majorHAnsi"/>
          <w:sz w:val="20"/>
          <w:szCs w:val="20"/>
          <w:lang w:val="es-ES"/>
        </w:rPr>
        <w:t xml:space="preserve"> de que el caso procediera dentro de</w:t>
      </w:r>
      <w:r>
        <w:rPr>
          <w:rFonts w:asciiTheme="majorHAnsi" w:hAnsiTheme="majorHAnsi"/>
          <w:sz w:val="20"/>
          <w:szCs w:val="20"/>
          <w:lang w:val="es-ES"/>
        </w:rPr>
        <w:t xml:space="preserve"> ese</w:t>
      </w:r>
      <w:r w:rsidRPr="005A58AF">
        <w:rPr>
          <w:rFonts w:asciiTheme="majorHAnsi" w:hAnsiTheme="majorHAnsi"/>
          <w:sz w:val="20"/>
          <w:szCs w:val="20"/>
          <w:lang w:val="es-ES"/>
        </w:rPr>
        <w:t xml:space="preserve"> plazo fue un abuso de discreción.</w:t>
      </w:r>
    </w:p>
    <w:p w14:paraId="632AB6D5" w14:textId="77777777" w:rsidR="00167E2C" w:rsidRPr="00E36893" w:rsidRDefault="00167E2C" w:rsidP="00167E2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textAlignment w:val="baseline"/>
        <w:rPr>
          <w:rFonts w:asciiTheme="majorHAnsi" w:hAnsiTheme="majorHAnsi"/>
          <w:sz w:val="20"/>
          <w:szCs w:val="20"/>
          <w:lang w:val="es-ES"/>
        </w:rPr>
      </w:pPr>
    </w:p>
    <w:p w14:paraId="78B4FFD6" w14:textId="77777777" w:rsidR="005A58AF" w:rsidRPr="005A58AF" w:rsidRDefault="005A58AF" w:rsidP="00976A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lang w:val="es-ES"/>
        </w:rPr>
      </w:pPr>
      <w:r w:rsidRPr="005A58AF">
        <w:rPr>
          <w:rFonts w:asciiTheme="majorHAnsi" w:hAnsiTheme="majorHAnsi"/>
          <w:sz w:val="20"/>
          <w:szCs w:val="20"/>
          <w:lang w:val="es-ES"/>
        </w:rPr>
        <w:t xml:space="preserve">El señor Valle fue nuevamente declarado culpable y </w:t>
      </w:r>
      <w:r>
        <w:rPr>
          <w:rFonts w:asciiTheme="majorHAnsi" w:hAnsiTheme="majorHAnsi"/>
          <w:sz w:val="20"/>
          <w:szCs w:val="20"/>
          <w:lang w:val="es-ES"/>
        </w:rPr>
        <w:t>condenad</w:t>
      </w:r>
      <w:r w:rsidRPr="005A58AF">
        <w:rPr>
          <w:rFonts w:asciiTheme="majorHAnsi" w:hAnsiTheme="majorHAnsi"/>
          <w:sz w:val="20"/>
          <w:szCs w:val="20"/>
          <w:lang w:val="es-ES"/>
        </w:rPr>
        <w:t xml:space="preserve">o a muerte el 8 de abril de 1981 e interpuso un recurso directo ante la FSC por varios motivos entre los que se encontraba que su confesión debió haber sido suprimida por violar sus derechos Miranda, </w:t>
      </w:r>
      <w:r>
        <w:rPr>
          <w:rFonts w:asciiTheme="majorHAnsi" w:hAnsiTheme="majorHAnsi"/>
          <w:sz w:val="20"/>
          <w:szCs w:val="20"/>
          <w:lang w:val="es-ES"/>
        </w:rPr>
        <w:t xml:space="preserve">que </w:t>
      </w:r>
      <w:r w:rsidRPr="005A58AF">
        <w:rPr>
          <w:rFonts w:asciiTheme="majorHAnsi" w:hAnsiTheme="majorHAnsi"/>
          <w:sz w:val="20"/>
          <w:szCs w:val="20"/>
          <w:lang w:val="es-ES"/>
        </w:rPr>
        <w:t xml:space="preserve">el tribunal incurrió en error al permitir minorías subrepresentadas dentro de la selección del jurado y al omitir pruebas atenuantes de que el Sr. Valle sería un preso modelo si no se le aplicara la pena de muerte. La condena y la sentencia fueron confirmadas por la </w:t>
      </w:r>
      <w:r>
        <w:rPr>
          <w:rFonts w:asciiTheme="majorHAnsi" w:hAnsiTheme="majorHAnsi"/>
          <w:sz w:val="20"/>
          <w:szCs w:val="20"/>
          <w:lang w:val="es-ES"/>
        </w:rPr>
        <w:t>CSF</w:t>
      </w:r>
      <w:r w:rsidRPr="005A58AF">
        <w:rPr>
          <w:rFonts w:asciiTheme="majorHAnsi" w:hAnsiTheme="majorHAnsi"/>
          <w:sz w:val="20"/>
          <w:szCs w:val="20"/>
          <w:lang w:val="es-ES"/>
        </w:rPr>
        <w:t xml:space="preserve"> el 7 de noviembre de 1985 y la Corte Suprema de los Estados Unidos concedió </w:t>
      </w:r>
      <w:r w:rsidR="00B07607">
        <w:rPr>
          <w:rFonts w:asciiTheme="majorHAnsi" w:hAnsiTheme="majorHAnsi"/>
          <w:sz w:val="20"/>
          <w:szCs w:val="20"/>
          <w:lang w:val="es-ES"/>
        </w:rPr>
        <w:t>el recurso</w:t>
      </w:r>
      <w:r w:rsidRPr="005A58AF">
        <w:rPr>
          <w:rFonts w:asciiTheme="majorHAnsi" w:hAnsiTheme="majorHAnsi"/>
          <w:sz w:val="20"/>
          <w:szCs w:val="20"/>
          <w:lang w:val="es-ES"/>
        </w:rPr>
        <w:t xml:space="preserve"> de certiorari del señor Valle el 5 de mayo de 1986.</w:t>
      </w:r>
    </w:p>
    <w:p w14:paraId="52C7BB9D" w14:textId="77777777" w:rsidR="00167E2C" w:rsidRPr="00B07607" w:rsidRDefault="00167E2C" w:rsidP="00167E2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textAlignment w:val="baseline"/>
        <w:rPr>
          <w:rFonts w:asciiTheme="majorHAnsi" w:hAnsiTheme="majorHAnsi"/>
          <w:sz w:val="20"/>
          <w:szCs w:val="20"/>
          <w:lang w:val="es-ES"/>
        </w:rPr>
      </w:pPr>
    </w:p>
    <w:p w14:paraId="53754E13" w14:textId="77777777" w:rsidR="005A58AF" w:rsidRPr="005A58AF" w:rsidRDefault="005A58AF" w:rsidP="00976A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lang w:val="es-ES"/>
        </w:rPr>
      </w:pPr>
      <w:r w:rsidRPr="005A58AF">
        <w:rPr>
          <w:rFonts w:asciiTheme="majorHAnsi" w:hAnsiTheme="majorHAnsi"/>
          <w:sz w:val="20"/>
          <w:szCs w:val="20"/>
          <w:lang w:val="es-ES"/>
        </w:rPr>
        <w:t xml:space="preserve">La Corte Suprema anuló la sentencia de muerte y remitió el asunto a la </w:t>
      </w:r>
      <w:r>
        <w:rPr>
          <w:rFonts w:asciiTheme="majorHAnsi" w:hAnsiTheme="majorHAnsi"/>
          <w:sz w:val="20"/>
          <w:szCs w:val="20"/>
          <w:lang w:val="es-ES"/>
        </w:rPr>
        <w:t>CSF</w:t>
      </w:r>
      <w:r w:rsidRPr="005A58AF">
        <w:rPr>
          <w:rFonts w:asciiTheme="majorHAnsi" w:hAnsiTheme="majorHAnsi"/>
          <w:sz w:val="20"/>
          <w:szCs w:val="20"/>
          <w:lang w:val="es-ES"/>
        </w:rPr>
        <w:t xml:space="preserve"> para que lo reconsiderara. La </w:t>
      </w:r>
      <w:r>
        <w:rPr>
          <w:rFonts w:asciiTheme="majorHAnsi" w:hAnsiTheme="majorHAnsi"/>
          <w:sz w:val="20"/>
          <w:szCs w:val="20"/>
          <w:lang w:val="es-ES"/>
        </w:rPr>
        <w:t>CSF</w:t>
      </w:r>
      <w:r w:rsidRPr="005A58AF">
        <w:rPr>
          <w:rFonts w:asciiTheme="majorHAnsi" w:hAnsiTheme="majorHAnsi"/>
          <w:sz w:val="20"/>
          <w:szCs w:val="20"/>
          <w:lang w:val="es-ES"/>
        </w:rPr>
        <w:t xml:space="preserve"> determinó que el jurado debería haber considerado el testimonio sobre el posible comportamiento futuro del Sr. Valle como un prisionero modelo durante la fase de </w:t>
      </w:r>
      <w:r>
        <w:rPr>
          <w:rFonts w:asciiTheme="majorHAnsi" w:hAnsiTheme="majorHAnsi"/>
          <w:sz w:val="20"/>
          <w:szCs w:val="20"/>
          <w:lang w:val="es-ES"/>
        </w:rPr>
        <w:t>determinación de la pena</w:t>
      </w:r>
      <w:r w:rsidRPr="005A58AF">
        <w:rPr>
          <w:rFonts w:asciiTheme="majorHAnsi" w:hAnsiTheme="majorHAnsi"/>
          <w:sz w:val="20"/>
          <w:szCs w:val="20"/>
          <w:lang w:val="es-ES"/>
        </w:rPr>
        <w:t xml:space="preserve"> y, por lo tanto, la </w:t>
      </w:r>
      <w:r>
        <w:rPr>
          <w:rFonts w:asciiTheme="majorHAnsi" w:hAnsiTheme="majorHAnsi"/>
          <w:sz w:val="20"/>
          <w:szCs w:val="20"/>
          <w:lang w:val="es-ES"/>
        </w:rPr>
        <w:t>CSF</w:t>
      </w:r>
      <w:r w:rsidRPr="005A58AF">
        <w:rPr>
          <w:rFonts w:asciiTheme="majorHAnsi" w:hAnsiTheme="majorHAnsi"/>
          <w:sz w:val="20"/>
          <w:szCs w:val="20"/>
          <w:lang w:val="es-ES"/>
        </w:rPr>
        <w:t xml:space="preserve"> remitió el </w:t>
      </w:r>
      <w:r>
        <w:rPr>
          <w:rFonts w:asciiTheme="majorHAnsi" w:hAnsiTheme="majorHAnsi"/>
          <w:sz w:val="20"/>
          <w:szCs w:val="20"/>
          <w:lang w:val="es-ES"/>
        </w:rPr>
        <w:t>caso</w:t>
      </w:r>
      <w:r w:rsidRPr="005A58AF">
        <w:rPr>
          <w:rFonts w:asciiTheme="majorHAnsi" w:hAnsiTheme="majorHAnsi"/>
          <w:sz w:val="20"/>
          <w:szCs w:val="20"/>
          <w:lang w:val="es-ES"/>
        </w:rPr>
        <w:t xml:space="preserve"> al tribunal de </w:t>
      </w:r>
      <w:r>
        <w:rPr>
          <w:rFonts w:asciiTheme="majorHAnsi" w:hAnsiTheme="majorHAnsi"/>
          <w:sz w:val="20"/>
          <w:szCs w:val="20"/>
          <w:lang w:val="es-ES"/>
        </w:rPr>
        <w:t>juicio p</w:t>
      </w:r>
      <w:r w:rsidRPr="005A58AF">
        <w:rPr>
          <w:rFonts w:asciiTheme="majorHAnsi" w:hAnsiTheme="majorHAnsi"/>
          <w:sz w:val="20"/>
          <w:szCs w:val="20"/>
          <w:lang w:val="es-ES"/>
        </w:rPr>
        <w:t>ara que se volviera a juzgar ante un nuevo jurado el 1 de mayo</w:t>
      </w:r>
      <w:r>
        <w:rPr>
          <w:rFonts w:asciiTheme="majorHAnsi" w:hAnsiTheme="majorHAnsi"/>
          <w:sz w:val="20"/>
          <w:szCs w:val="20"/>
          <w:lang w:val="es-ES"/>
        </w:rPr>
        <w:t xml:space="preserve"> de </w:t>
      </w:r>
      <w:r w:rsidRPr="005A58AF">
        <w:rPr>
          <w:rFonts w:asciiTheme="majorHAnsi" w:hAnsiTheme="majorHAnsi"/>
          <w:sz w:val="20"/>
          <w:szCs w:val="20"/>
          <w:lang w:val="es-ES"/>
        </w:rPr>
        <w:t xml:space="preserve">1987. El señor Valle fue </w:t>
      </w:r>
      <w:r>
        <w:rPr>
          <w:rFonts w:asciiTheme="majorHAnsi" w:hAnsiTheme="majorHAnsi"/>
          <w:sz w:val="20"/>
          <w:szCs w:val="20"/>
          <w:lang w:val="es-ES"/>
        </w:rPr>
        <w:t>condenado</w:t>
      </w:r>
      <w:r w:rsidRPr="005A58AF">
        <w:rPr>
          <w:rFonts w:asciiTheme="majorHAnsi" w:hAnsiTheme="majorHAnsi"/>
          <w:sz w:val="20"/>
          <w:szCs w:val="20"/>
          <w:lang w:val="es-ES"/>
        </w:rPr>
        <w:t xml:space="preserve"> a muerte</w:t>
      </w:r>
      <w:r>
        <w:rPr>
          <w:rFonts w:asciiTheme="majorHAnsi" w:hAnsiTheme="majorHAnsi"/>
          <w:sz w:val="20"/>
          <w:szCs w:val="20"/>
          <w:lang w:val="es-ES"/>
        </w:rPr>
        <w:t xml:space="preserve"> nuevamente</w:t>
      </w:r>
      <w:r w:rsidRPr="005A58AF">
        <w:rPr>
          <w:rFonts w:asciiTheme="majorHAnsi" w:hAnsiTheme="majorHAnsi"/>
          <w:sz w:val="20"/>
          <w:szCs w:val="20"/>
          <w:lang w:val="es-ES"/>
        </w:rPr>
        <w:t xml:space="preserve"> el 16 de marzo de 1988. Se interpuso un recurso de apelación directo ante la </w:t>
      </w:r>
      <w:r>
        <w:rPr>
          <w:rFonts w:asciiTheme="majorHAnsi" w:hAnsiTheme="majorHAnsi"/>
          <w:sz w:val="20"/>
          <w:szCs w:val="20"/>
          <w:lang w:val="es-ES"/>
        </w:rPr>
        <w:t>CSF</w:t>
      </w:r>
      <w:r w:rsidRPr="005A58AF">
        <w:rPr>
          <w:rFonts w:asciiTheme="majorHAnsi" w:hAnsiTheme="majorHAnsi"/>
          <w:sz w:val="20"/>
          <w:szCs w:val="20"/>
          <w:lang w:val="es-ES"/>
        </w:rPr>
        <w:t xml:space="preserve">, alegando contrainterrogatorio indebido, aplicación indebida de agravantes y evidencia </w:t>
      </w:r>
      <w:r>
        <w:rPr>
          <w:rFonts w:asciiTheme="majorHAnsi" w:hAnsiTheme="majorHAnsi"/>
          <w:sz w:val="20"/>
          <w:szCs w:val="20"/>
          <w:lang w:val="es-ES"/>
        </w:rPr>
        <w:t xml:space="preserve">indebida </w:t>
      </w:r>
      <w:r w:rsidRPr="005A58AF">
        <w:rPr>
          <w:rFonts w:asciiTheme="majorHAnsi" w:hAnsiTheme="majorHAnsi"/>
          <w:sz w:val="20"/>
          <w:szCs w:val="20"/>
          <w:lang w:val="es-ES"/>
        </w:rPr>
        <w:t xml:space="preserve">de </w:t>
      </w:r>
      <w:r>
        <w:rPr>
          <w:rFonts w:asciiTheme="majorHAnsi" w:hAnsiTheme="majorHAnsi"/>
          <w:sz w:val="20"/>
          <w:szCs w:val="20"/>
          <w:lang w:val="es-ES"/>
        </w:rPr>
        <w:t>impacto en la víctima</w:t>
      </w:r>
      <w:r w:rsidRPr="005A58AF">
        <w:rPr>
          <w:rFonts w:asciiTheme="majorHAnsi" w:hAnsiTheme="majorHAnsi"/>
          <w:sz w:val="20"/>
          <w:szCs w:val="20"/>
          <w:lang w:val="es-ES"/>
        </w:rPr>
        <w:t xml:space="preserve">. La </w:t>
      </w:r>
      <w:r>
        <w:rPr>
          <w:rFonts w:asciiTheme="majorHAnsi" w:hAnsiTheme="majorHAnsi"/>
          <w:sz w:val="20"/>
          <w:szCs w:val="20"/>
          <w:lang w:val="es-ES"/>
        </w:rPr>
        <w:t>CSF</w:t>
      </w:r>
      <w:r w:rsidRPr="005A58AF">
        <w:rPr>
          <w:rFonts w:asciiTheme="majorHAnsi" w:hAnsiTheme="majorHAnsi"/>
          <w:sz w:val="20"/>
          <w:szCs w:val="20"/>
          <w:lang w:val="es-ES"/>
        </w:rPr>
        <w:t xml:space="preserve"> </w:t>
      </w:r>
      <w:r>
        <w:rPr>
          <w:rFonts w:asciiTheme="majorHAnsi" w:hAnsiTheme="majorHAnsi"/>
          <w:sz w:val="20"/>
          <w:szCs w:val="20"/>
          <w:lang w:val="es-ES"/>
        </w:rPr>
        <w:t>confirmó</w:t>
      </w:r>
      <w:r w:rsidRPr="005A58AF">
        <w:rPr>
          <w:rFonts w:asciiTheme="majorHAnsi" w:hAnsiTheme="majorHAnsi"/>
          <w:sz w:val="20"/>
          <w:szCs w:val="20"/>
          <w:lang w:val="es-ES"/>
        </w:rPr>
        <w:t xml:space="preserve"> la sentencia el 2 de mayo de 1991.</w:t>
      </w:r>
    </w:p>
    <w:p w14:paraId="56411926" w14:textId="77777777" w:rsidR="00D876B2" w:rsidRPr="00EC55EA" w:rsidRDefault="00D876B2" w:rsidP="00EC55E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textAlignment w:val="baseline"/>
        <w:rPr>
          <w:rFonts w:asciiTheme="majorHAnsi" w:hAnsiTheme="majorHAnsi"/>
          <w:sz w:val="20"/>
          <w:szCs w:val="20"/>
        </w:rPr>
      </w:pPr>
    </w:p>
    <w:p w14:paraId="1A6EB660" w14:textId="77777777" w:rsidR="000A2229" w:rsidRPr="00B443C8" w:rsidRDefault="00B443C8" w:rsidP="00EC55EA">
      <w:pPr>
        <w:pStyle w:val="Heading2"/>
        <w:numPr>
          <w:ilvl w:val="0"/>
          <w:numId w:val="58"/>
        </w:numPr>
        <w:tabs>
          <w:tab w:val="left" w:pos="360"/>
        </w:tabs>
        <w:spacing w:before="0"/>
        <w:ind w:hanging="720"/>
        <w:rPr>
          <w:color w:val="auto"/>
          <w:sz w:val="20"/>
          <w:szCs w:val="20"/>
          <w:lang w:val="es-ES"/>
        </w:rPr>
      </w:pPr>
      <w:bookmarkStart w:id="13" w:name="_Toc90292576"/>
      <w:r w:rsidRPr="00B443C8">
        <w:rPr>
          <w:color w:val="auto"/>
          <w:sz w:val="20"/>
          <w:szCs w:val="20"/>
          <w:lang w:val="es-ES"/>
        </w:rPr>
        <w:t>Procedimientos posterior</w:t>
      </w:r>
      <w:r w:rsidR="005A58AF">
        <w:rPr>
          <w:color w:val="auto"/>
          <w:sz w:val="20"/>
          <w:szCs w:val="20"/>
          <w:lang w:val="es-ES"/>
        </w:rPr>
        <w:t>e</w:t>
      </w:r>
      <w:r w:rsidRPr="00B443C8">
        <w:rPr>
          <w:color w:val="auto"/>
          <w:sz w:val="20"/>
          <w:szCs w:val="20"/>
          <w:lang w:val="es-ES"/>
        </w:rPr>
        <w:t xml:space="preserve">s a la </w:t>
      </w:r>
      <w:r w:rsidR="005A58AF">
        <w:rPr>
          <w:color w:val="auto"/>
          <w:sz w:val="20"/>
          <w:szCs w:val="20"/>
          <w:lang w:val="es-ES"/>
        </w:rPr>
        <w:t>condena</w:t>
      </w:r>
      <w:r w:rsidRPr="00B443C8">
        <w:rPr>
          <w:color w:val="auto"/>
          <w:sz w:val="20"/>
          <w:szCs w:val="20"/>
          <w:lang w:val="es-ES"/>
        </w:rPr>
        <w:t xml:space="preserve"> y otros recursos</w:t>
      </w:r>
      <w:bookmarkEnd w:id="13"/>
    </w:p>
    <w:p w14:paraId="2457461C" w14:textId="77777777" w:rsidR="00C14F39" w:rsidRPr="00B443C8" w:rsidRDefault="00C14F39" w:rsidP="00EC55E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textAlignment w:val="baseline"/>
        <w:rPr>
          <w:rFonts w:ascii="Arial" w:eastAsiaTheme="minorHAnsi" w:hAnsi="Arial"/>
          <w:bdr w:val="none" w:sz="0" w:space="0" w:color="auto"/>
          <w:lang w:val="es-ES"/>
        </w:rPr>
      </w:pPr>
    </w:p>
    <w:p w14:paraId="432973B8" w14:textId="77777777" w:rsidR="005A58AF" w:rsidRPr="005A58AF" w:rsidRDefault="005A58AF" w:rsidP="00D12B8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lang w:val="es-ES"/>
        </w:rPr>
      </w:pPr>
      <w:r w:rsidRPr="005A58AF">
        <w:rPr>
          <w:rFonts w:asciiTheme="majorHAnsi" w:hAnsiTheme="majorHAnsi"/>
          <w:sz w:val="20"/>
          <w:szCs w:val="20"/>
          <w:lang w:val="es-ES"/>
        </w:rPr>
        <w:t>Según los antecedentes procesales registrados por la Corte Suprema de Florida (</w:t>
      </w:r>
      <w:r>
        <w:rPr>
          <w:rFonts w:asciiTheme="majorHAnsi" w:hAnsiTheme="majorHAnsi"/>
          <w:sz w:val="20"/>
          <w:szCs w:val="20"/>
          <w:lang w:val="es-ES"/>
        </w:rPr>
        <w:t>CSF</w:t>
      </w:r>
      <w:r w:rsidRPr="005A58AF">
        <w:rPr>
          <w:rFonts w:asciiTheme="majorHAnsi" w:hAnsiTheme="majorHAnsi"/>
          <w:sz w:val="20"/>
          <w:szCs w:val="20"/>
          <w:lang w:val="es-ES"/>
        </w:rPr>
        <w:t>),</w:t>
      </w:r>
      <w:r w:rsidRPr="005A58AF">
        <w:rPr>
          <w:rStyle w:val="FootnoteReference"/>
          <w:rFonts w:asciiTheme="majorHAnsi" w:hAnsiTheme="majorHAnsi"/>
          <w:sz w:val="20"/>
          <w:szCs w:val="20"/>
          <w:lang w:val="es-ES"/>
        </w:rPr>
        <w:t xml:space="preserve"> </w:t>
      </w:r>
      <w:r w:rsidRPr="00927B93">
        <w:rPr>
          <w:rStyle w:val="FootnoteReference"/>
          <w:rFonts w:asciiTheme="majorHAnsi" w:hAnsiTheme="majorHAnsi"/>
          <w:sz w:val="20"/>
          <w:szCs w:val="20"/>
        </w:rPr>
        <w:footnoteReference w:id="20"/>
      </w:r>
      <w:r w:rsidRPr="005A58AF">
        <w:rPr>
          <w:rFonts w:asciiTheme="majorHAnsi" w:hAnsiTheme="majorHAnsi"/>
          <w:sz w:val="20"/>
          <w:szCs w:val="20"/>
          <w:lang w:val="es-ES"/>
        </w:rPr>
        <w:t xml:space="preserve"> en diciembre de 1993, el Sr. Valle presentó un</w:t>
      </w:r>
      <w:r>
        <w:rPr>
          <w:rFonts w:asciiTheme="majorHAnsi" w:hAnsiTheme="majorHAnsi"/>
          <w:sz w:val="20"/>
          <w:szCs w:val="20"/>
          <w:lang w:val="es-ES"/>
        </w:rPr>
        <w:t xml:space="preserve"> recurso</w:t>
      </w:r>
      <w:r w:rsidRPr="005A58AF">
        <w:rPr>
          <w:rFonts w:asciiTheme="majorHAnsi" w:hAnsiTheme="majorHAnsi"/>
          <w:sz w:val="20"/>
          <w:szCs w:val="20"/>
          <w:lang w:val="es-ES"/>
        </w:rPr>
        <w:t xml:space="preserve"> de reparación posterior a la condena y el Tribunal de Circuito denegó sumariamente la moción sin celebrar una audiencia probatoria. Esta </w:t>
      </w:r>
      <w:r>
        <w:rPr>
          <w:rFonts w:asciiTheme="majorHAnsi" w:hAnsiTheme="majorHAnsi"/>
          <w:sz w:val="20"/>
          <w:szCs w:val="20"/>
          <w:lang w:val="es-ES"/>
        </w:rPr>
        <w:t>de</w:t>
      </w:r>
      <w:r w:rsidRPr="005A58AF">
        <w:rPr>
          <w:rFonts w:asciiTheme="majorHAnsi" w:hAnsiTheme="majorHAnsi"/>
          <w:sz w:val="20"/>
          <w:szCs w:val="20"/>
          <w:lang w:val="es-ES"/>
        </w:rPr>
        <w:t xml:space="preserve">negación fue apelada y la </w:t>
      </w:r>
      <w:r>
        <w:rPr>
          <w:rFonts w:asciiTheme="majorHAnsi" w:hAnsiTheme="majorHAnsi"/>
          <w:sz w:val="20"/>
          <w:szCs w:val="20"/>
          <w:lang w:val="es-ES"/>
        </w:rPr>
        <w:t>CSF</w:t>
      </w:r>
      <w:r w:rsidRPr="005A58AF">
        <w:rPr>
          <w:rFonts w:asciiTheme="majorHAnsi" w:hAnsiTheme="majorHAnsi"/>
          <w:sz w:val="20"/>
          <w:szCs w:val="20"/>
          <w:lang w:val="es-ES"/>
        </w:rPr>
        <w:t xml:space="preserve"> afirmó en parte, pero revocó la decisión y remitió el asunto al Tribunal de Circuito para una audiencia probatoria con respecto a los reclamos de asistencia ineficaz de un abogado. Sin embargo, después de la audiencia, el Tribunal de Circuito </w:t>
      </w:r>
      <w:r>
        <w:rPr>
          <w:rFonts w:asciiTheme="majorHAnsi" w:hAnsiTheme="majorHAnsi"/>
          <w:sz w:val="20"/>
          <w:szCs w:val="20"/>
          <w:lang w:val="es-ES"/>
        </w:rPr>
        <w:t>de</w:t>
      </w:r>
      <w:r w:rsidRPr="005A58AF">
        <w:rPr>
          <w:rFonts w:asciiTheme="majorHAnsi" w:hAnsiTheme="majorHAnsi"/>
          <w:sz w:val="20"/>
          <w:szCs w:val="20"/>
          <w:lang w:val="es-ES"/>
        </w:rPr>
        <w:t xml:space="preserve">negó los reclamos y la </w:t>
      </w:r>
      <w:r>
        <w:rPr>
          <w:rFonts w:asciiTheme="majorHAnsi" w:hAnsiTheme="majorHAnsi"/>
          <w:sz w:val="20"/>
          <w:szCs w:val="20"/>
          <w:lang w:val="es-ES"/>
        </w:rPr>
        <w:t>CSF</w:t>
      </w:r>
      <w:r w:rsidRPr="005A58AF">
        <w:rPr>
          <w:rFonts w:asciiTheme="majorHAnsi" w:hAnsiTheme="majorHAnsi"/>
          <w:sz w:val="20"/>
          <w:szCs w:val="20"/>
          <w:lang w:val="es-ES"/>
        </w:rPr>
        <w:t xml:space="preserve"> confirmó la decisión.</w:t>
      </w:r>
    </w:p>
    <w:p w14:paraId="284921A0" w14:textId="77777777" w:rsidR="00D12B8D" w:rsidRPr="00E36893" w:rsidRDefault="00D12B8D" w:rsidP="00D12B8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textAlignment w:val="baseline"/>
        <w:rPr>
          <w:rFonts w:asciiTheme="majorHAnsi" w:hAnsiTheme="majorHAnsi"/>
          <w:sz w:val="20"/>
          <w:szCs w:val="20"/>
          <w:lang w:val="es-ES"/>
        </w:rPr>
      </w:pPr>
    </w:p>
    <w:p w14:paraId="189BD16B" w14:textId="77777777" w:rsidR="005A58AF" w:rsidRPr="005A58AF" w:rsidRDefault="005A58AF" w:rsidP="00104C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lang w:val="es-ES"/>
        </w:rPr>
      </w:pPr>
      <w:r w:rsidRPr="005A58AF">
        <w:rPr>
          <w:rFonts w:asciiTheme="majorHAnsi" w:hAnsiTheme="majorHAnsi"/>
          <w:sz w:val="20"/>
          <w:szCs w:val="20"/>
          <w:lang w:val="es-ES"/>
        </w:rPr>
        <w:t xml:space="preserve">En diciembre de 2001, el Sr. Valle </w:t>
      </w:r>
      <w:r>
        <w:rPr>
          <w:rFonts w:asciiTheme="majorHAnsi" w:hAnsiTheme="majorHAnsi"/>
          <w:sz w:val="20"/>
          <w:szCs w:val="20"/>
          <w:lang w:val="es-ES"/>
        </w:rPr>
        <w:t xml:space="preserve">presentó ante </w:t>
      </w:r>
      <w:r w:rsidRPr="005A58AF">
        <w:rPr>
          <w:rFonts w:asciiTheme="majorHAnsi" w:hAnsiTheme="majorHAnsi"/>
          <w:sz w:val="20"/>
          <w:szCs w:val="20"/>
          <w:lang w:val="es-ES"/>
        </w:rPr>
        <w:t xml:space="preserve">la CSF un recurso de hábeas corpus basado en la presunta asistencia ineficaz de un abogado, y la </w:t>
      </w:r>
      <w:r>
        <w:rPr>
          <w:rFonts w:asciiTheme="majorHAnsi" w:hAnsiTheme="majorHAnsi"/>
          <w:sz w:val="20"/>
          <w:szCs w:val="20"/>
          <w:lang w:val="es-ES"/>
        </w:rPr>
        <w:t>CSF</w:t>
      </w:r>
      <w:r w:rsidRPr="005A58AF">
        <w:rPr>
          <w:rFonts w:asciiTheme="majorHAnsi" w:hAnsiTheme="majorHAnsi"/>
          <w:sz w:val="20"/>
          <w:szCs w:val="20"/>
          <w:lang w:val="es-ES"/>
        </w:rPr>
        <w:t xml:space="preserve"> denegó la petición. En febrero de 2003, el Sr. Valle volvió a presentar una petición de hábeas corpus ante la CSF, pero esta fue denegada sumariamente. </w:t>
      </w:r>
      <w:r w:rsidRPr="00B07607">
        <w:rPr>
          <w:rFonts w:asciiTheme="majorHAnsi" w:hAnsiTheme="majorHAnsi"/>
          <w:sz w:val="20"/>
          <w:szCs w:val="20"/>
          <w:lang w:val="es-ES"/>
        </w:rPr>
        <w:t xml:space="preserve">En 2004 también se denegó un recurso de certiorari ante la Corte Suprema de los Estados Unidos. </w:t>
      </w:r>
      <w:r w:rsidRPr="005A58AF">
        <w:rPr>
          <w:rFonts w:asciiTheme="majorHAnsi" w:hAnsiTheme="majorHAnsi"/>
          <w:sz w:val="20"/>
          <w:szCs w:val="20"/>
          <w:lang w:val="es-ES"/>
        </w:rPr>
        <w:t xml:space="preserve">Se presentó una petición de hábeas corpus federal enmendada y la Corte de Distrito Federal denegó la petición, que fue confirmada por la Corte de Apelaciones del Undécimo Circuito de los Estados Unidos. </w:t>
      </w:r>
      <w:r w:rsidR="00B07607">
        <w:rPr>
          <w:rFonts w:asciiTheme="majorHAnsi" w:hAnsiTheme="majorHAnsi"/>
          <w:sz w:val="20"/>
          <w:szCs w:val="20"/>
          <w:lang w:val="es-ES"/>
        </w:rPr>
        <w:t xml:space="preserve">El 1 de octubre de 2007 fue denegado un recurso de certiorari ante la Corte Suprema que buscaba la </w:t>
      </w:r>
      <w:r w:rsidRPr="005A58AF">
        <w:rPr>
          <w:rFonts w:asciiTheme="majorHAnsi" w:hAnsiTheme="majorHAnsi"/>
          <w:sz w:val="20"/>
          <w:szCs w:val="20"/>
          <w:lang w:val="es-ES"/>
        </w:rPr>
        <w:t>revisión de la decisión.</w:t>
      </w:r>
    </w:p>
    <w:p w14:paraId="2CBDA4A1" w14:textId="77777777" w:rsidR="00F9453D" w:rsidRPr="00B07607" w:rsidRDefault="00F9453D" w:rsidP="00650AA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textAlignment w:val="baseline"/>
        <w:rPr>
          <w:lang w:val="es-ES"/>
        </w:rPr>
      </w:pPr>
    </w:p>
    <w:p w14:paraId="02617528" w14:textId="77777777" w:rsidR="00F9453D" w:rsidRPr="00B07607" w:rsidRDefault="00B07607" w:rsidP="00B076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lang w:val="es-ES"/>
        </w:rPr>
      </w:pPr>
      <w:r w:rsidRPr="00B07607">
        <w:rPr>
          <w:rFonts w:asciiTheme="majorHAnsi" w:hAnsiTheme="majorHAnsi"/>
          <w:sz w:val="20"/>
          <w:szCs w:val="20"/>
          <w:lang w:val="es-ES"/>
        </w:rPr>
        <w:t xml:space="preserve">El 8 de junio de 2011, el Departamento Correccional de Florida (DOC) había promulgado un procedimiento de inyección letal revisado, decidiendo sustituir cinco gramos de pentobarbital por cinco gramos de tiopental sódico como el primero de los tres fármacos utilizados en el protocolo de inyección letal. En Florida, la primera droga se usa para anestesiar al preso condenado antes de la administración de las dos últimas drogas en la secuencia de tres drogas, bromuro de pancuronio (un agente paralizante que puede detener la respiración) y cloruro de potasio (una sustancia que causa </w:t>
      </w:r>
      <w:r>
        <w:rPr>
          <w:rFonts w:asciiTheme="majorHAnsi" w:hAnsiTheme="majorHAnsi"/>
          <w:sz w:val="20"/>
          <w:szCs w:val="20"/>
          <w:lang w:val="es-ES"/>
        </w:rPr>
        <w:t>que el corazón deje de latir</w:t>
      </w:r>
      <w:r w:rsidRPr="00B07607">
        <w:rPr>
          <w:rFonts w:asciiTheme="majorHAnsi" w:hAnsiTheme="majorHAnsi"/>
          <w:sz w:val="20"/>
          <w:szCs w:val="20"/>
          <w:lang w:val="es-ES"/>
        </w:rPr>
        <w:t>).</w:t>
      </w:r>
      <w:r w:rsidR="00F9453D">
        <w:rPr>
          <w:rStyle w:val="FootnoteReference"/>
          <w:rFonts w:asciiTheme="majorHAnsi" w:hAnsiTheme="majorHAnsi"/>
          <w:sz w:val="20"/>
          <w:szCs w:val="20"/>
        </w:rPr>
        <w:footnoteReference w:id="21"/>
      </w:r>
      <w:r w:rsidR="00F9453D" w:rsidRPr="00B07607">
        <w:rPr>
          <w:rFonts w:asciiTheme="majorHAnsi" w:hAnsiTheme="majorHAnsi"/>
          <w:sz w:val="20"/>
          <w:szCs w:val="20"/>
          <w:lang w:val="es-ES"/>
        </w:rPr>
        <w:t xml:space="preserve">  </w:t>
      </w:r>
    </w:p>
    <w:p w14:paraId="6FD829A3" w14:textId="77777777" w:rsidR="00104CA5" w:rsidRPr="00B07607" w:rsidRDefault="00104CA5" w:rsidP="00104CA5">
      <w:pPr>
        <w:rPr>
          <w:lang w:val="es-ES"/>
        </w:rPr>
      </w:pPr>
    </w:p>
    <w:p w14:paraId="52C25591" w14:textId="77777777" w:rsidR="00A50581" w:rsidRPr="00B07607" w:rsidRDefault="00B07607" w:rsidP="00B076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lang w:val="es-ES"/>
        </w:rPr>
      </w:pPr>
      <w:r w:rsidRPr="00B07607">
        <w:rPr>
          <w:rFonts w:asciiTheme="majorHAnsi" w:hAnsiTheme="majorHAnsi"/>
          <w:sz w:val="20"/>
          <w:szCs w:val="20"/>
          <w:lang w:val="es-ES"/>
        </w:rPr>
        <w:t xml:space="preserve">El 30 de junio de 2011, el gobernador Rick Scott firmó una orden de ejecución y la ejecución del señor Valle </w:t>
      </w:r>
      <w:r>
        <w:rPr>
          <w:rFonts w:asciiTheme="majorHAnsi" w:hAnsiTheme="majorHAnsi"/>
          <w:sz w:val="20"/>
          <w:szCs w:val="20"/>
          <w:lang w:val="es-ES"/>
        </w:rPr>
        <w:t xml:space="preserve">fue </w:t>
      </w:r>
      <w:r w:rsidRPr="00B07607">
        <w:rPr>
          <w:rFonts w:asciiTheme="majorHAnsi" w:hAnsiTheme="majorHAnsi"/>
          <w:sz w:val="20"/>
          <w:szCs w:val="20"/>
          <w:lang w:val="es-ES"/>
        </w:rPr>
        <w:t xml:space="preserve">programada para el 2 de agosto de 2011. La orden de ejecución indicó que “se ha determinado que </w:t>
      </w:r>
      <w:r>
        <w:rPr>
          <w:rFonts w:asciiTheme="majorHAnsi" w:hAnsiTheme="majorHAnsi"/>
          <w:sz w:val="20"/>
          <w:szCs w:val="20"/>
          <w:lang w:val="es-ES"/>
        </w:rPr>
        <w:t xml:space="preserve">no resulta apropiada </w:t>
      </w:r>
      <w:r w:rsidRPr="00B07607">
        <w:rPr>
          <w:rFonts w:asciiTheme="majorHAnsi" w:hAnsiTheme="majorHAnsi"/>
          <w:sz w:val="20"/>
          <w:szCs w:val="20"/>
          <w:lang w:val="es-ES"/>
        </w:rPr>
        <w:t xml:space="preserve">la Clemencia Ejecutiva, </w:t>
      </w:r>
      <w:r>
        <w:rPr>
          <w:rFonts w:asciiTheme="majorHAnsi" w:hAnsiTheme="majorHAnsi"/>
          <w:sz w:val="20"/>
          <w:szCs w:val="20"/>
          <w:lang w:val="es-ES"/>
        </w:rPr>
        <w:t>que autoriza</w:t>
      </w:r>
      <w:r w:rsidRPr="00B07607">
        <w:rPr>
          <w:rFonts w:asciiTheme="majorHAnsi" w:hAnsiTheme="majorHAnsi"/>
          <w:sz w:val="20"/>
          <w:szCs w:val="20"/>
          <w:lang w:val="es-ES"/>
        </w:rPr>
        <w:t xml:space="preserve"> el Artículo IV, Sección 8 (a), </w:t>
      </w:r>
      <w:r>
        <w:rPr>
          <w:rFonts w:asciiTheme="majorHAnsi" w:hAnsiTheme="majorHAnsi"/>
          <w:sz w:val="20"/>
          <w:szCs w:val="20"/>
          <w:lang w:val="es-ES"/>
        </w:rPr>
        <w:t>de la</w:t>
      </w:r>
      <w:r w:rsidRPr="00B07607">
        <w:rPr>
          <w:rFonts w:asciiTheme="majorHAnsi" w:hAnsiTheme="majorHAnsi"/>
          <w:sz w:val="20"/>
          <w:szCs w:val="20"/>
          <w:lang w:val="es-ES"/>
        </w:rPr>
        <w:t xml:space="preserve"> Constitución de Florida".</w:t>
      </w:r>
      <w:r w:rsidR="00D12B8D">
        <w:rPr>
          <w:rStyle w:val="FootnoteReference"/>
          <w:rFonts w:asciiTheme="majorHAnsi" w:hAnsiTheme="majorHAnsi"/>
          <w:sz w:val="20"/>
          <w:szCs w:val="20"/>
        </w:rPr>
        <w:footnoteReference w:id="22"/>
      </w:r>
      <w:r w:rsidR="0029275D" w:rsidRPr="00B07607">
        <w:rPr>
          <w:rFonts w:asciiTheme="majorHAnsi" w:hAnsiTheme="majorHAnsi"/>
          <w:sz w:val="20"/>
          <w:szCs w:val="20"/>
          <w:lang w:val="es-ES"/>
        </w:rPr>
        <w:t xml:space="preserve"> </w:t>
      </w:r>
    </w:p>
    <w:p w14:paraId="0459761E" w14:textId="77777777" w:rsidR="007C664F" w:rsidRPr="00B07607" w:rsidRDefault="007C664F" w:rsidP="007C664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textAlignment w:val="baseline"/>
        <w:rPr>
          <w:rFonts w:asciiTheme="majorHAnsi" w:hAnsiTheme="majorHAnsi"/>
          <w:sz w:val="20"/>
          <w:szCs w:val="20"/>
          <w:lang w:val="es-ES"/>
        </w:rPr>
      </w:pPr>
    </w:p>
    <w:p w14:paraId="77151996" w14:textId="77777777" w:rsidR="00B07607" w:rsidRPr="00B07607" w:rsidRDefault="00B07607" w:rsidP="007C664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lang w:val="es-ES"/>
        </w:rPr>
      </w:pPr>
      <w:r w:rsidRPr="00B07607">
        <w:rPr>
          <w:rFonts w:asciiTheme="majorHAnsi" w:hAnsiTheme="majorHAnsi"/>
          <w:sz w:val="20"/>
          <w:szCs w:val="20"/>
          <w:lang w:val="es-ES"/>
        </w:rPr>
        <w:t xml:space="preserve">El Sr. Valle presentó una moción enmendada de reparación posterior a la condena, planteando seis reclamos, entre los cuales argumentó que debido a "serias preocupaciones" con respecto a la eficacia del </w:t>
      </w:r>
      <w:r w:rsidRPr="00B07607">
        <w:rPr>
          <w:rFonts w:asciiTheme="majorHAnsi" w:hAnsiTheme="majorHAnsi"/>
          <w:sz w:val="20"/>
          <w:szCs w:val="20"/>
          <w:lang w:val="es-ES"/>
        </w:rPr>
        <w:lastRenderedPageBreak/>
        <w:t xml:space="preserve">pentobarbital para dejar inconsciente a un recluso, el uso de la droga en el protocolo por parte del DOC constituye una </w:t>
      </w:r>
      <w:r>
        <w:rPr>
          <w:rFonts w:asciiTheme="majorHAnsi" w:hAnsiTheme="majorHAnsi"/>
          <w:sz w:val="20"/>
          <w:szCs w:val="20"/>
          <w:lang w:val="es-ES"/>
        </w:rPr>
        <w:t>pena cruel e inusual que contraviene</w:t>
      </w:r>
      <w:r w:rsidRPr="00B07607">
        <w:rPr>
          <w:rFonts w:asciiTheme="majorHAnsi" w:hAnsiTheme="majorHAnsi"/>
          <w:sz w:val="20"/>
          <w:szCs w:val="20"/>
          <w:lang w:val="es-ES"/>
        </w:rPr>
        <w:t xml:space="preserve"> la Octava Enmienda de la </w:t>
      </w:r>
      <w:r>
        <w:rPr>
          <w:rFonts w:asciiTheme="majorHAnsi" w:hAnsiTheme="majorHAnsi"/>
          <w:sz w:val="20"/>
          <w:szCs w:val="20"/>
          <w:lang w:val="es-ES"/>
        </w:rPr>
        <w:t>C</w:t>
      </w:r>
      <w:r w:rsidRPr="00B07607">
        <w:rPr>
          <w:rFonts w:asciiTheme="majorHAnsi" w:hAnsiTheme="majorHAnsi"/>
          <w:sz w:val="20"/>
          <w:szCs w:val="20"/>
          <w:lang w:val="es-ES"/>
        </w:rPr>
        <w:t>onstitución.</w:t>
      </w:r>
      <w:r w:rsidRPr="00927B93">
        <w:rPr>
          <w:rStyle w:val="FootnoteReference"/>
          <w:rFonts w:asciiTheme="majorHAnsi" w:hAnsiTheme="majorHAnsi"/>
          <w:sz w:val="20"/>
          <w:szCs w:val="20"/>
        </w:rPr>
        <w:footnoteReference w:id="23"/>
      </w:r>
      <w:r w:rsidRPr="00B07607">
        <w:rPr>
          <w:rFonts w:asciiTheme="majorHAnsi" w:hAnsiTheme="majorHAnsi"/>
          <w:sz w:val="20"/>
          <w:szCs w:val="20"/>
          <w:lang w:val="es-ES"/>
        </w:rPr>
        <w:t xml:space="preserve"> Específicamente, se argumentó que el plan del DOC de usar la droga sustituida constituye un</w:t>
      </w:r>
      <w:r>
        <w:rPr>
          <w:rFonts w:asciiTheme="majorHAnsi" w:hAnsiTheme="majorHAnsi"/>
          <w:sz w:val="20"/>
          <w:szCs w:val="20"/>
          <w:lang w:val="es-ES"/>
        </w:rPr>
        <w:t>a pena</w:t>
      </w:r>
      <w:r w:rsidRPr="00B07607">
        <w:rPr>
          <w:rFonts w:asciiTheme="majorHAnsi" w:hAnsiTheme="majorHAnsi"/>
          <w:sz w:val="20"/>
          <w:szCs w:val="20"/>
          <w:lang w:val="es-ES"/>
        </w:rPr>
        <w:t xml:space="preserve"> cruel e inusual, porque el señor Valle puede permanecer consciente luego de ser inyectado con el pentobarbital, lo que lo somete</w:t>
      </w:r>
      <w:r>
        <w:rPr>
          <w:rFonts w:asciiTheme="majorHAnsi" w:hAnsiTheme="majorHAnsi"/>
          <w:sz w:val="20"/>
          <w:szCs w:val="20"/>
          <w:lang w:val="es-ES"/>
        </w:rPr>
        <w:t>ría</w:t>
      </w:r>
      <w:r w:rsidRPr="00B07607">
        <w:rPr>
          <w:rFonts w:asciiTheme="majorHAnsi" w:hAnsiTheme="majorHAnsi"/>
          <w:sz w:val="20"/>
          <w:szCs w:val="20"/>
          <w:lang w:val="es-ES"/>
        </w:rPr>
        <w:t xml:space="preserve"> a un dolor significativo durante la administración de las dos últimas drogas. Además, argumentó que la sustitución, junto con las garantías procesales inadecuadas y una actitud arrogante </w:t>
      </w:r>
      <w:r>
        <w:rPr>
          <w:rFonts w:asciiTheme="majorHAnsi" w:hAnsiTheme="majorHAnsi"/>
          <w:sz w:val="20"/>
          <w:szCs w:val="20"/>
          <w:lang w:val="es-ES"/>
        </w:rPr>
        <w:t>respecto de</w:t>
      </w:r>
      <w:r w:rsidRPr="00B07607">
        <w:rPr>
          <w:rFonts w:asciiTheme="majorHAnsi" w:hAnsiTheme="majorHAnsi"/>
          <w:sz w:val="20"/>
          <w:szCs w:val="20"/>
          <w:lang w:val="es-ES"/>
        </w:rPr>
        <w:t xml:space="preserve"> la inyección letal, lo ponían en riesgo de sufrir daños graves. El Tribunal de Circuito celebró una audiencia inicial y negó sumariamente todos los reclamos. La denegación sumaria fue apelada ante la </w:t>
      </w:r>
      <w:r>
        <w:rPr>
          <w:rFonts w:asciiTheme="majorHAnsi" w:hAnsiTheme="majorHAnsi"/>
          <w:sz w:val="20"/>
          <w:szCs w:val="20"/>
          <w:lang w:val="es-ES"/>
        </w:rPr>
        <w:t>CSF</w:t>
      </w:r>
      <w:r w:rsidRPr="00B07607">
        <w:rPr>
          <w:rFonts w:asciiTheme="majorHAnsi" w:hAnsiTheme="majorHAnsi"/>
          <w:sz w:val="20"/>
          <w:szCs w:val="20"/>
          <w:lang w:val="es-ES"/>
        </w:rPr>
        <w:t xml:space="preserve">, que determinó que las afirmaciones con respecto a la droga justificaban una audiencia probatoria. Se concedió una suspensión de la ejecución hasta el 1 de septiembre de 2011 y el </w:t>
      </w:r>
      <w:r>
        <w:rPr>
          <w:rFonts w:asciiTheme="majorHAnsi" w:hAnsiTheme="majorHAnsi"/>
          <w:sz w:val="20"/>
          <w:szCs w:val="20"/>
          <w:lang w:val="es-ES"/>
        </w:rPr>
        <w:t>cas</w:t>
      </w:r>
      <w:r w:rsidRPr="00B07607">
        <w:rPr>
          <w:rFonts w:asciiTheme="majorHAnsi" w:hAnsiTheme="majorHAnsi"/>
          <w:sz w:val="20"/>
          <w:szCs w:val="20"/>
          <w:lang w:val="es-ES"/>
        </w:rPr>
        <w:t>o se remitió al Tribunal de Circuito.</w:t>
      </w:r>
    </w:p>
    <w:p w14:paraId="7F8394A3" w14:textId="77777777" w:rsidR="00867B70" w:rsidRPr="00B07607" w:rsidRDefault="00867B70" w:rsidP="00867B7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textAlignment w:val="baseline"/>
        <w:rPr>
          <w:rFonts w:asciiTheme="majorHAnsi" w:hAnsiTheme="majorHAnsi"/>
          <w:sz w:val="20"/>
          <w:szCs w:val="20"/>
          <w:lang w:val="es-ES"/>
        </w:rPr>
      </w:pPr>
    </w:p>
    <w:p w14:paraId="75EA28DF" w14:textId="77777777" w:rsidR="00CC06F6" w:rsidRPr="00B07607" w:rsidRDefault="00B07607" w:rsidP="00B076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lang w:val="es-ES"/>
        </w:rPr>
      </w:pPr>
      <w:r w:rsidRPr="00B07607">
        <w:rPr>
          <w:rFonts w:asciiTheme="majorHAnsi" w:hAnsiTheme="majorHAnsi"/>
          <w:sz w:val="20"/>
          <w:szCs w:val="20"/>
          <w:lang w:val="es-ES"/>
        </w:rPr>
        <w:t xml:space="preserve">El Tribunal de Circuito realizó la audiencia probatoria los días 28 de julio y 2 de agosto de 2011, durante la cual el señor Valle y el Estado presentaron prueba pericial. El Tribunal de Circuito negó el reclamo sobre la sustitución de drogas como una violación de la Octava Enmienda, porque la evidencia no pudo establecer que la administración intravenosa de pentobarbital crea un riesgo sustancial de daño grave. El </w:t>
      </w:r>
      <w:r>
        <w:rPr>
          <w:rFonts w:asciiTheme="majorHAnsi" w:hAnsiTheme="majorHAnsi"/>
          <w:sz w:val="20"/>
          <w:szCs w:val="20"/>
          <w:lang w:val="es-ES"/>
        </w:rPr>
        <w:t>caso</w:t>
      </w:r>
      <w:r w:rsidRPr="00B07607">
        <w:rPr>
          <w:rFonts w:asciiTheme="majorHAnsi" w:hAnsiTheme="majorHAnsi"/>
          <w:sz w:val="20"/>
          <w:szCs w:val="20"/>
          <w:lang w:val="es-ES"/>
        </w:rPr>
        <w:t xml:space="preserve"> se devolvió a la </w:t>
      </w:r>
      <w:r>
        <w:rPr>
          <w:rFonts w:asciiTheme="majorHAnsi" w:hAnsiTheme="majorHAnsi"/>
          <w:sz w:val="20"/>
          <w:szCs w:val="20"/>
          <w:lang w:val="es-ES"/>
        </w:rPr>
        <w:t xml:space="preserve">CSF </w:t>
      </w:r>
      <w:r w:rsidRPr="00B07607">
        <w:rPr>
          <w:rFonts w:asciiTheme="majorHAnsi" w:hAnsiTheme="majorHAnsi"/>
          <w:sz w:val="20"/>
          <w:szCs w:val="20"/>
          <w:lang w:val="es-ES"/>
        </w:rPr>
        <w:t>para considerar todas las cuestiones planteadas en la apelación.</w:t>
      </w:r>
      <w:r w:rsidR="00F572A5" w:rsidRPr="00927B93">
        <w:rPr>
          <w:rStyle w:val="FootnoteReference"/>
          <w:rFonts w:asciiTheme="majorHAnsi" w:hAnsiTheme="majorHAnsi"/>
          <w:sz w:val="20"/>
          <w:szCs w:val="20"/>
        </w:rPr>
        <w:footnoteReference w:id="24"/>
      </w:r>
      <w:r w:rsidR="007C664F" w:rsidRPr="00B07607">
        <w:rPr>
          <w:rFonts w:asciiTheme="majorHAnsi" w:hAnsiTheme="majorHAnsi"/>
          <w:sz w:val="20"/>
          <w:szCs w:val="20"/>
          <w:lang w:val="es-ES"/>
        </w:rPr>
        <w:t xml:space="preserve"> </w:t>
      </w:r>
    </w:p>
    <w:p w14:paraId="332EF65D" w14:textId="77777777" w:rsidR="002E70EC" w:rsidRPr="00B07607" w:rsidRDefault="002E70EC" w:rsidP="00CC06F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textAlignment w:val="baseline"/>
        <w:rPr>
          <w:rFonts w:asciiTheme="majorHAnsi" w:hAnsiTheme="majorHAnsi"/>
          <w:sz w:val="20"/>
          <w:szCs w:val="20"/>
          <w:lang w:val="es-ES"/>
        </w:rPr>
      </w:pPr>
    </w:p>
    <w:p w14:paraId="2BAE114C" w14:textId="2579B854" w:rsidR="00B07607" w:rsidRPr="00B07607" w:rsidRDefault="00B07607" w:rsidP="007D7C7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lang w:val="es-ES"/>
        </w:rPr>
      </w:pPr>
      <w:r w:rsidRPr="00B07607">
        <w:rPr>
          <w:rFonts w:asciiTheme="majorHAnsi" w:hAnsiTheme="majorHAnsi"/>
          <w:sz w:val="20"/>
          <w:szCs w:val="20"/>
          <w:lang w:val="es-ES"/>
        </w:rPr>
        <w:t>Reconociendo su deber de asegurar que el método de ejecución no constituya una</w:t>
      </w:r>
      <w:r>
        <w:rPr>
          <w:rFonts w:asciiTheme="majorHAnsi" w:hAnsiTheme="majorHAnsi"/>
          <w:sz w:val="20"/>
          <w:szCs w:val="20"/>
          <w:lang w:val="es-ES"/>
        </w:rPr>
        <w:t xml:space="preserve"> pena</w:t>
      </w:r>
      <w:r w:rsidRPr="00B07607">
        <w:rPr>
          <w:rFonts w:asciiTheme="majorHAnsi" w:hAnsiTheme="majorHAnsi"/>
          <w:sz w:val="20"/>
          <w:szCs w:val="20"/>
          <w:lang w:val="es-ES"/>
        </w:rPr>
        <w:t xml:space="preserve"> cruel e inusual, la </w:t>
      </w:r>
      <w:r>
        <w:rPr>
          <w:rFonts w:asciiTheme="majorHAnsi" w:hAnsiTheme="majorHAnsi"/>
          <w:sz w:val="20"/>
          <w:szCs w:val="20"/>
          <w:lang w:val="es-ES"/>
        </w:rPr>
        <w:t xml:space="preserve">CSF </w:t>
      </w:r>
      <w:r w:rsidRPr="00B07607">
        <w:rPr>
          <w:rFonts w:asciiTheme="majorHAnsi" w:hAnsiTheme="majorHAnsi"/>
          <w:sz w:val="20"/>
          <w:szCs w:val="20"/>
          <w:lang w:val="es-ES"/>
        </w:rPr>
        <w:t>se guió por las decisiones de la Corte Suprema de los Estados Unidos para evaluar si la inyección letal era inconstitucional. Para que dich</w:t>
      </w:r>
      <w:r w:rsidR="002F3E55">
        <w:rPr>
          <w:rFonts w:asciiTheme="majorHAnsi" w:hAnsiTheme="majorHAnsi"/>
          <w:sz w:val="20"/>
          <w:szCs w:val="20"/>
          <w:lang w:val="es-ES"/>
        </w:rPr>
        <w:t>o</w:t>
      </w:r>
      <w:r w:rsidRPr="00B07607">
        <w:rPr>
          <w:rFonts w:asciiTheme="majorHAnsi" w:hAnsiTheme="majorHAnsi"/>
          <w:sz w:val="20"/>
          <w:szCs w:val="20"/>
          <w:lang w:val="es-ES"/>
        </w:rPr>
        <w:t xml:space="preserve"> </w:t>
      </w:r>
      <w:r>
        <w:rPr>
          <w:rFonts w:asciiTheme="majorHAnsi" w:hAnsiTheme="majorHAnsi"/>
          <w:sz w:val="20"/>
          <w:szCs w:val="20"/>
          <w:lang w:val="es-ES"/>
        </w:rPr>
        <w:t>reclamo</w:t>
      </w:r>
      <w:r w:rsidRPr="00B07607">
        <w:rPr>
          <w:rFonts w:asciiTheme="majorHAnsi" w:hAnsiTheme="majorHAnsi"/>
          <w:sz w:val="20"/>
          <w:szCs w:val="20"/>
          <w:lang w:val="es-ES"/>
        </w:rPr>
        <w:t xml:space="preserve"> tenga éxito, el recluso debe demostrar que las condiciones que presentan el riesgo deben </w:t>
      </w:r>
      <w:r>
        <w:rPr>
          <w:rFonts w:asciiTheme="majorHAnsi" w:hAnsiTheme="majorHAnsi"/>
          <w:sz w:val="20"/>
          <w:szCs w:val="20"/>
          <w:lang w:val="es-ES"/>
        </w:rPr>
        <w:t>con seguridad o muy probablemente</w:t>
      </w:r>
      <w:r w:rsidRPr="00B07607">
        <w:rPr>
          <w:rFonts w:asciiTheme="majorHAnsi" w:hAnsiTheme="majorHAnsi"/>
          <w:sz w:val="20"/>
          <w:szCs w:val="20"/>
          <w:lang w:val="es-ES"/>
        </w:rPr>
        <w:t xml:space="preserve"> causar enfermedades graves y sufrimientos innecesarios y dar lugar a peligros suficientemente inminentes. El Tribunal también expuso que debe haber un riesgo sustancial de daño grave, un riesgo de daño objetivamente intolerable que evita que los funcionarios de prisiones aleguen que son subjetivamente inocentes a los efectos de la Octava Enmienda. El tribunal también </w:t>
      </w:r>
      <w:r w:rsidR="00456608">
        <w:rPr>
          <w:rFonts w:asciiTheme="majorHAnsi" w:hAnsiTheme="majorHAnsi"/>
          <w:sz w:val="20"/>
          <w:szCs w:val="20"/>
          <w:lang w:val="es-ES"/>
        </w:rPr>
        <w:t>afirma</w:t>
      </w:r>
      <w:r w:rsidRPr="00B07607">
        <w:rPr>
          <w:rFonts w:asciiTheme="majorHAnsi" w:hAnsiTheme="majorHAnsi"/>
          <w:sz w:val="20"/>
          <w:szCs w:val="20"/>
          <w:lang w:val="es-ES"/>
        </w:rPr>
        <w:t xml:space="preserve"> que la norma impone una pesada carga al recluso para demostrar que los procedimientos de inyección letal violaron la Octava Enmienda.</w:t>
      </w:r>
    </w:p>
    <w:p w14:paraId="4FDA5D56" w14:textId="77777777" w:rsidR="00CC06F6" w:rsidRPr="00E36893" w:rsidRDefault="00CC06F6" w:rsidP="00CC06F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textAlignment w:val="baseline"/>
        <w:rPr>
          <w:rFonts w:asciiTheme="majorHAnsi" w:hAnsiTheme="majorHAnsi"/>
          <w:sz w:val="20"/>
          <w:szCs w:val="20"/>
          <w:lang w:val="es-ES"/>
        </w:rPr>
      </w:pPr>
    </w:p>
    <w:p w14:paraId="073B8616" w14:textId="77777777" w:rsidR="00456608" w:rsidRPr="00456608" w:rsidRDefault="00456608" w:rsidP="007D7C7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lang w:val="es-ES"/>
        </w:rPr>
      </w:pPr>
      <w:r>
        <w:rPr>
          <w:rFonts w:asciiTheme="majorHAnsi" w:hAnsiTheme="majorHAnsi"/>
          <w:sz w:val="20"/>
          <w:szCs w:val="20"/>
          <w:lang w:val="es-ES"/>
        </w:rPr>
        <w:t>Diversos</w:t>
      </w:r>
      <w:r w:rsidRPr="00456608">
        <w:rPr>
          <w:rFonts w:asciiTheme="majorHAnsi" w:hAnsiTheme="majorHAnsi"/>
          <w:sz w:val="20"/>
          <w:szCs w:val="20"/>
          <w:lang w:val="es-ES"/>
        </w:rPr>
        <w:t xml:space="preserve"> expertos </w:t>
      </w:r>
      <w:r>
        <w:rPr>
          <w:rFonts w:asciiTheme="majorHAnsi" w:hAnsiTheme="majorHAnsi"/>
          <w:sz w:val="20"/>
          <w:szCs w:val="20"/>
          <w:lang w:val="es-ES"/>
        </w:rPr>
        <w:t>declararon</w:t>
      </w:r>
      <w:r w:rsidRPr="00456608">
        <w:rPr>
          <w:rFonts w:asciiTheme="majorHAnsi" w:hAnsiTheme="majorHAnsi"/>
          <w:sz w:val="20"/>
          <w:szCs w:val="20"/>
          <w:lang w:val="es-ES"/>
        </w:rPr>
        <w:t xml:space="preserve"> sobre el efecto de la droga. El perito del Estado, Dr. Dershwitz, reconoció que la FDA no había aprobado el uso de pentobarbital en inyecciones letales, sin embargo, sí explicó que la dosis a utilizar es letal por sí sola, y cuando se administra, induciría una línea plana total </w:t>
      </w:r>
      <w:r>
        <w:rPr>
          <w:rFonts w:asciiTheme="majorHAnsi" w:hAnsiTheme="majorHAnsi"/>
          <w:sz w:val="20"/>
          <w:szCs w:val="20"/>
          <w:lang w:val="es-ES"/>
        </w:rPr>
        <w:t xml:space="preserve">en la actividad cerebral </w:t>
      </w:r>
      <w:r w:rsidRPr="00456608">
        <w:rPr>
          <w:rFonts w:asciiTheme="majorHAnsi" w:hAnsiTheme="majorHAnsi"/>
          <w:sz w:val="20"/>
          <w:szCs w:val="20"/>
          <w:lang w:val="es-ES"/>
        </w:rPr>
        <w:t xml:space="preserve">en el electroencefalograma (EEG), lo que significa que el receptor no tendría percepción ni sensación. Un experto </w:t>
      </w:r>
      <w:r>
        <w:rPr>
          <w:rFonts w:asciiTheme="majorHAnsi" w:hAnsiTheme="majorHAnsi"/>
          <w:sz w:val="20"/>
          <w:szCs w:val="20"/>
          <w:lang w:val="es-ES"/>
        </w:rPr>
        <w:t>presentado por el</w:t>
      </w:r>
      <w:r w:rsidRPr="00456608">
        <w:rPr>
          <w:rFonts w:asciiTheme="majorHAnsi" w:hAnsiTheme="majorHAnsi"/>
          <w:sz w:val="20"/>
          <w:szCs w:val="20"/>
          <w:lang w:val="es-ES"/>
        </w:rPr>
        <w:t xml:space="preserve"> Sr. Valle, el Dr. Waisel, opinó que no podría determinar los efectos previstos de la droga porque no había datos suficientes sobre el uso de la droga. El </w:t>
      </w:r>
      <w:r>
        <w:rPr>
          <w:rFonts w:asciiTheme="majorHAnsi" w:hAnsiTheme="majorHAnsi"/>
          <w:sz w:val="20"/>
          <w:szCs w:val="20"/>
          <w:lang w:val="es-ES"/>
        </w:rPr>
        <w:t>T</w:t>
      </w:r>
      <w:r w:rsidRPr="00456608">
        <w:rPr>
          <w:rFonts w:asciiTheme="majorHAnsi" w:hAnsiTheme="majorHAnsi"/>
          <w:sz w:val="20"/>
          <w:szCs w:val="20"/>
          <w:lang w:val="es-ES"/>
        </w:rPr>
        <w:t xml:space="preserve">ribunal de </w:t>
      </w:r>
      <w:r>
        <w:rPr>
          <w:rFonts w:asciiTheme="majorHAnsi" w:hAnsiTheme="majorHAnsi"/>
          <w:sz w:val="20"/>
          <w:szCs w:val="20"/>
          <w:lang w:val="es-ES"/>
        </w:rPr>
        <w:t>C</w:t>
      </w:r>
      <w:r w:rsidRPr="00456608">
        <w:rPr>
          <w:rFonts w:asciiTheme="majorHAnsi" w:hAnsiTheme="majorHAnsi"/>
          <w:sz w:val="20"/>
          <w:szCs w:val="20"/>
          <w:lang w:val="es-ES"/>
        </w:rPr>
        <w:t>ircuito reconoció que la afirmación de falta de conocimiento sobre si la droga dejaría a alguien inconsciente no cumplía con el estándar de la carga de la prueba. Asimismo,</w:t>
      </w:r>
      <w:r>
        <w:rPr>
          <w:rFonts w:asciiTheme="majorHAnsi" w:hAnsiTheme="majorHAnsi"/>
          <w:sz w:val="20"/>
          <w:szCs w:val="20"/>
          <w:lang w:val="es-ES"/>
        </w:rPr>
        <w:t xml:space="preserve"> la CSF</w:t>
      </w:r>
      <w:r w:rsidRPr="00456608">
        <w:rPr>
          <w:rFonts w:asciiTheme="majorHAnsi" w:hAnsiTheme="majorHAnsi"/>
          <w:sz w:val="20"/>
          <w:szCs w:val="20"/>
          <w:lang w:val="es-ES"/>
        </w:rPr>
        <w:t xml:space="preserve"> adoptó una observación similar</w:t>
      </w:r>
      <w:r>
        <w:rPr>
          <w:rFonts w:asciiTheme="majorHAnsi" w:hAnsiTheme="majorHAnsi"/>
          <w:sz w:val="20"/>
          <w:szCs w:val="20"/>
          <w:lang w:val="es-ES"/>
        </w:rPr>
        <w:t>, señalando que</w:t>
      </w:r>
      <w:r w:rsidRPr="00456608">
        <w:rPr>
          <w:rFonts w:asciiTheme="majorHAnsi" w:hAnsiTheme="majorHAnsi"/>
          <w:sz w:val="20"/>
          <w:szCs w:val="20"/>
          <w:lang w:val="es-ES"/>
        </w:rPr>
        <w:t xml:space="preserve"> las otras presentaciones de evidencia no cumplieron con el estándar de que el medicamento de reemplazo </w:t>
      </w:r>
      <w:r>
        <w:rPr>
          <w:rFonts w:asciiTheme="majorHAnsi" w:hAnsiTheme="majorHAnsi"/>
          <w:sz w:val="20"/>
          <w:szCs w:val="20"/>
          <w:lang w:val="es-ES"/>
        </w:rPr>
        <w:t xml:space="preserve">con seguridad o muy probablemente </w:t>
      </w:r>
      <w:r w:rsidRPr="00456608">
        <w:rPr>
          <w:rFonts w:asciiTheme="majorHAnsi" w:hAnsiTheme="majorHAnsi"/>
          <w:sz w:val="20"/>
          <w:szCs w:val="20"/>
          <w:lang w:val="es-ES"/>
        </w:rPr>
        <w:t>cause una enfermedad grave y sufrimiento innecesario. Además, el tribunal reconoció la jurisprudencia anterior que se ocupaba de denuncias de problemas dentro del proceso de inyección letal de Florida, lo que demostró que se habían adoptado varias medidas administrativas.</w:t>
      </w:r>
    </w:p>
    <w:p w14:paraId="1193A54E" w14:textId="77777777" w:rsidR="00180C0F" w:rsidRPr="00E36893" w:rsidRDefault="00180C0F" w:rsidP="00180C0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textAlignment w:val="baseline"/>
        <w:rPr>
          <w:rFonts w:asciiTheme="majorHAnsi" w:hAnsiTheme="majorHAnsi"/>
          <w:sz w:val="20"/>
          <w:szCs w:val="20"/>
          <w:lang w:val="es-ES"/>
        </w:rPr>
      </w:pPr>
    </w:p>
    <w:p w14:paraId="6839545C" w14:textId="77777777" w:rsidR="00456608" w:rsidRPr="00456608" w:rsidRDefault="00456608" w:rsidP="007D7C7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lang w:val="es-ES"/>
        </w:rPr>
      </w:pPr>
      <w:r w:rsidRPr="00456608">
        <w:rPr>
          <w:rFonts w:asciiTheme="majorHAnsi" w:hAnsiTheme="majorHAnsi"/>
          <w:sz w:val="20"/>
          <w:szCs w:val="20"/>
          <w:lang w:val="es-ES"/>
        </w:rPr>
        <w:t xml:space="preserve">Sobre el reclamo adicional del señor Valle de que se le negó la solicitud de registros públicos, se señaló que el Tribunal de Circuito concedió la solicitud en parte; dando acceso a información sobre el fármaco sustituido, el protocolo de inyección letal, información relacionada del </w:t>
      </w:r>
      <w:r>
        <w:rPr>
          <w:rFonts w:asciiTheme="majorHAnsi" w:hAnsiTheme="majorHAnsi"/>
          <w:sz w:val="20"/>
          <w:szCs w:val="20"/>
          <w:lang w:val="es-ES"/>
        </w:rPr>
        <w:t>Fiscal General</w:t>
      </w:r>
      <w:r w:rsidRPr="00456608">
        <w:rPr>
          <w:rFonts w:asciiTheme="majorHAnsi" w:hAnsiTheme="majorHAnsi"/>
          <w:sz w:val="20"/>
          <w:szCs w:val="20"/>
          <w:lang w:val="es-ES"/>
        </w:rPr>
        <w:t xml:space="preserve"> sobre aprobaciones, pruebas periciales y procedimientos previos. La </w:t>
      </w:r>
      <w:r>
        <w:rPr>
          <w:rFonts w:asciiTheme="majorHAnsi" w:hAnsiTheme="majorHAnsi"/>
          <w:sz w:val="20"/>
          <w:szCs w:val="20"/>
          <w:lang w:val="es-ES"/>
        </w:rPr>
        <w:t>CSF</w:t>
      </w:r>
      <w:r w:rsidRPr="00456608">
        <w:rPr>
          <w:rFonts w:asciiTheme="majorHAnsi" w:hAnsiTheme="majorHAnsi"/>
          <w:sz w:val="20"/>
          <w:szCs w:val="20"/>
          <w:lang w:val="es-ES"/>
        </w:rPr>
        <w:t xml:space="preserve"> concluyó que los documentos adicionales no se relacionaban con un reclamo </w:t>
      </w:r>
      <w:r>
        <w:rPr>
          <w:rFonts w:asciiTheme="majorHAnsi" w:hAnsiTheme="majorHAnsi"/>
          <w:sz w:val="20"/>
          <w:szCs w:val="20"/>
          <w:lang w:val="es-ES"/>
        </w:rPr>
        <w:t>razonable sobre</w:t>
      </w:r>
      <w:r w:rsidRPr="00456608">
        <w:rPr>
          <w:rFonts w:asciiTheme="majorHAnsi" w:hAnsiTheme="majorHAnsi"/>
          <w:sz w:val="20"/>
          <w:szCs w:val="20"/>
          <w:lang w:val="es-ES"/>
        </w:rPr>
        <w:t xml:space="preserve"> la Octava Enmienda y que el Sr. Valle no explicó por qué y cómo la información conduciría a pruebas relacionadas con sus reclamos.</w:t>
      </w:r>
    </w:p>
    <w:p w14:paraId="7A664202" w14:textId="77777777" w:rsidR="009E13FA" w:rsidRPr="00E36893" w:rsidRDefault="009E13FA" w:rsidP="009E13F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textAlignment w:val="baseline"/>
        <w:rPr>
          <w:rFonts w:asciiTheme="majorHAnsi" w:hAnsiTheme="majorHAnsi"/>
          <w:sz w:val="20"/>
          <w:szCs w:val="20"/>
          <w:lang w:val="es-ES"/>
        </w:rPr>
      </w:pPr>
    </w:p>
    <w:p w14:paraId="3FFF38D8" w14:textId="77777777" w:rsidR="00456608" w:rsidRPr="00456608" w:rsidRDefault="00456608" w:rsidP="007D7C7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lang w:val="es-ES"/>
        </w:rPr>
      </w:pPr>
      <w:r w:rsidRPr="00456608">
        <w:rPr>
          <w:rFonts w:asciiTheme="majorHAnsi" w:hAnsiTheme="majorHAnsi"/>
          <w:sz w:val="20"/>
          <w:szCs w:val="20"/>
          <w:lang w:val="es-ES"/>
        </w:rPr>
        <w:t xml:space="preserve">Con respecto a otro reclamo sobre la denegación de un procedimiento de clemencia, la </w:t>
      </w:r>
      <w:r>
        <w:rPr>
          <w:rFonts w:asciiTheme="majorHAnsi" w:hAnsiTheme="majorHAnsi"/>
          <w:sz w:val="20"/>
          <w:szCs w:val="20"/>
          <w:lang w:val="es-ES"/>
        </w:rPr>
        <w:t>CSF</w:t>
      </w:r>
      <w:r w:rsidRPr="00456608">
        <w:rPr>
          <w:rFonts w:asciiTheme="majorHAnsi" w:hAnsiTheme="majorHAnsi"/>
          <w:sz w:val="20"/>
          <w:szCs w:val="20"/>
          <w:lang w:val="es-ES"/>
        </w:rPr>
        <w:t xml:space="preserve"> confirmó el fallo del </w:t>
      </w:r>
      <w:r>
        <w:rPr>
          <w:rFonts w:asciiTheme="majorHAnsi" w:hAnsiTheme="majorHAnsi"/>
          <w:sz w:val="20"/>
          <w:szCs w:val="20"/>
          <w:lang w:val="es-ES"/>
        </w:rPr>
        <w:t>Tr</w:t>
      </w:r>
      <w:r w:rsidRPr="00456608">
        <w:rPr>
          <w:rFonts w:asciiTheme="majorHAnsi" w:hAnsiTheme="majorHAnsi"/>
          <w:sz w:val="20"/>
          <w:szCs w:val="20"/>
          <w:lang w:val="es-ES"/>
        </w:rPr>
        <w:t xml:space="preserve">ibunal de </w:t>
      </w:r>
      <w:r>
        <w:rPr>
          <w:rFonts w:asciiTheme="majorHAnsi" w:hAnsiTheme="majorHAnsi"/>
          <w:sz w:val="20"/>
          <w:szCs w:val="20"/>
          <w:lang w:val="es-ES"/>
        </w:rPr>
        <w:t>C</w:t>
      </w:r>
      <w:r w:rsidRPr="00456608">
        <w:rPr>
          <w:rFonts w:asciiTheme="majorHAnsi" w:hAnsiTheme="majorHAnsi"/>
          <w:sz w:val="20"/>
          <w:szCs w:val="20"/>
          <w:lang w:val="es-ES"/>
        </w:rPr>
        <w:t xml:space="preserve">ircuito y consideró que </w:t>
      </w:r>
      <w:r>
        <w:rPr>
          <w:rFonts w:asciiTheme="majorHAnsi" w:hAnsiTheme="majorHAnsi"/>
          <w:sz w:val="20"/>
          <w:szCs w:val="20"/>
          <w:lang w:val="es-ES"/>
        </w:rPr>
        <w:t>el reclamo</w:t>
      </w:r>
      <w:r w:rsidRPr="00456608">
        <w:rPr>
          <w:rFonts w:asciiTheme="majorHAnsi" w:hAnsiTheme="majorHAnsi"/>
          <w:sz w:val="20"/>
          <w:szCs w:val="20"/>
          <w:lang w:val="es-ES"/>
        </w:rPr>
        <w:t xml:space="preserve"> era especulativ</w:t>
      </w:r>
      <w:r>
        <w:rPr>
          <w:rFonts w:asciiTheme="majorHAnsi" w:hAnsiTheme="majorHAnsi"/>
          <w:sz w:val="20"/>
          <w:szCs w:val="20"/>
          <w:lang w:val="es-ES"/>
        </w:rPr>
        <w:t>o</w:t>
      </w:r>
      <w:r w:rsidRPr="00456608">
        <w:rPr>
          <w:rFonts w:asciiTheme="majorHAnsi" w:hAnsiTheme="majorHAnsi"/>
          <w:sz w:val="20"/>
          <w:szCs w:val="20"/>
          <w:lang w:val="es-ES"/>
        </w:rPr>
        <w:t xml:space="preserve"> e insuficientemente </w:t>
      </w:r>
      <w:r>
        <w:rPr>
          <w:rFonts w:asciiTheme="majorHAnsi" w:hAnsiTheme="majorHAnsi"/>
          <w:sz w:val="20"/>
          <w:szCs w:val="20"/>
          <w:lang w:val="es-ES"/>
        </w:rPr>
        <w:t>argumentado</w:t>
      </w:r>
      <w:r w:rsidRPr="00456608">
        <w:rPr>
          <w:rFonts w:asciiTheme="majorHAnsi" w:hAnsiTheme="majorHAnsi"/>
          <w:sz w:val="20"/>
          <w:szCs w:val="20"/>
          <w:lang w:val="es-ES"/>
        </w:rPr>
        <w:t xml:space="preserve">. Se observa que el señor Valle reconoció que el gobernador Chiles solicitó una audiencia de clemencia el 6 de febrero de 1992 y que a la vista de la Corte se </w:t>
      </w:r>
      <w:r>
        <w:rPr>
          <w:rFonts w:asciiTheme="majorHAnsi" w:hAnsiTheme="majorHAnsi"/>
          <w:sz w:val="20"/>
          <w:szCs w:val="20"/>
          <w:lang w:val="es-ES"/>
        </w:rPr>
        <w:t>había nombrado</w:t>
      </w:r>
      <w:r w:rsidRPr="00456608">
        <w:rPr>
          <w:rFonts w:asciiTheme="majorHAnsi" w:hAnsiTheme="majorHAnsi"/>
          <w:sz w:val="20"/>
          <w:szCs w:val="20"/>
          <w:lang w:val="es-ES"/>
        </w:rPr>
        <w:t xml:space="preserve"> </w:t>
      </w:r>
      <w:r>
        <w:rPr>
          <w:rFonts w:asciiTheme="majorHAnsi" w:hAnsiTheme="majorHAnsi"/>
          <w:sz w:val="20"/>
          <w:szCs w:val="20"/>
          <w:lang w:val="es-ES"/>
        </w:rPr>
        <w:t>a</w:t>
      </w:r>
      <w:r w:rsidRPr="00456608">
        <w:rPr>
          <w:rFonts w:asciiTheme="majorHAnsi" w:hAnsiTheme="majorHAnsi"/>
          <w:sz w:val="20"/>
          <w:szCs w:val="20"/>
          <w:lang w:val="es-ES"/>
        </w:rPr>
        <w:t xml:space="preserve">l abogado Mark Evans para representar al señor Valle durante el proceso. Sin embargo, el argumento del Sr. Valle fue que no hay indicios de que se haya llevado </w:t>
      </w:r>
      <w:r w:rsidRPr="00456608">
        <w:rPr>
          <w:rFonts w:asciiTheme="majorHAnsi" w:hAnsiTheme="majorHAnsi"/>
          <w:sz w:val="20"/>
          <w:szCs w:val="20"/>
          <w:lang w:val="es-ES"/>
        </w:rPr>
        <w:lastRenderedPageBreak/>
        <w:t xml:space="preserve">a cabo realmente una investigación o procedimiento de clemencia, debido al hecho de que no tenía ningún expediente que demostrara que se llevó a cabo. La </w:t>
      </w:r>
      <w:r>
        <w:rPr>
          <w:rFonts w:asciiTheme="majorHAnsi" w:hAnsiTheme="majorHAnsi"/>
          <w:sz w:val="20"/>
          <w:szCs w:val="20"/>
          <w:lang w:val="es-ES"/>
        </w:rPr>
        <w:t>CSF</w:t>
      </w:r>
      <w:r w:rsidRPr="00456608">
        <w:rPr>
          <w:rFonts w:asciiTheme="majorHAnsi" w:hAnsiTheme="majorHAnsi"/>
          <w:sz w:val="20"/>
          <w:szCs w:val="20"/>
          <w:lang w:val="es-ES"/>
        </w:rPr>
        <w:t xml:space="preserve"> razonó que la incapacidad del Sr. Valle para determinar esto reflejaba su falta de investigación </w:t>
      </w:r>
      <w:r>
        <w:rPr>
          <w:rFonts w:asciiTheme="majorHAnsi" w:hAnsiTheme="majorHAnsi"/>
          <w:sz w:val="20"/>
          <w:szCs w:val="20"/>
          <w:lang w:val="es-ES"/>
        </w:rPr>
        <w:t xml:space="preserve">y presentación </w:t>
      </w:r>
      <w:r w:rsidRPr="00456608">
        <w:rPr>
          <w:rFonts w:asciiTheme="majorHAnsi" w:hAnsiTheme="majorHAnsi"/>
          <w:sz w:val="20"/>
          <w:szCs w:val="20"/>
          <w:lang w:val="es-ES"/>
        </w:rPr>
        <w:t xml:space="preserve">adecuada de la base fáctica del reclamo. El Sr. Valle denunció que se le negó el acceso a los registros solicitados sobre las investigaciones de </w:t>
      </w:r>
      <w:r>
        <w:rPr>
          <w:rFonts w:asciiTheme="majorHAnsi" w:hAnsiTheme="majorHAnsi"/>
          <w:sz w:val="20"/>
          <w:szCs w:val="20"/>
          <w:lang w:val="es-ES"/>
        </w:rPr>
        <w:t>clemencia</w:t>
      </w:r>
      <w:r w:rsidRPr="00456608">
        <w:rPr>
          <w:rFonts w:asciiTheme="majorHAnsi" w:hAnsiTheme="majorHAnsi"/>
          <w:sz w:val="20"/>
          <w:szCs w:val="20"/>
          <w:lang w:val="es-ES"/>
        </w:rPr>
        <w:t xml:space="preserve">. Sin embargo, no </w:t>
      </w:r>
      <w:r>
        <w:rPr>
          <w:rFonts w:asciiTheme="majorHAnsi" w:hAnsiTheme="majorHAnsi"/>
          <w:sz w:val="20"/>
          <w:szCs w:val="20"/>
          <w:lang w:val="es-ES"/>
        </w:rPr>
        <w:t xml:space="preserve">alegó ante la CSF </w:t>
      </w:r>
      <w:r w:rsidRPr="00456608">
        <w:rPr>
          <w:rFonts w:asciiTheme="majorHAnsi" w:hAnsiTheme="majorHAnsi"/>
          <w:sz w:val="20"/>
          <w:szCs w:val="20"/>
          <w:lang w:val="es-ES"/>
        </w:rPr>
        <w:t xml:space="preserve">que el </w:t>
      </w:r>
      <w:r>
        <w:rPr>
          <w:rFonts w:asciiTheme="majorHAnsi" w:hAnsiTheme="majorHAnsi"/>
          <w:sz w:val="20"/>
          <w:szCs w:val="20"/>
          <w:lang w:val="es-ES"/>
        </w:rPr>
        <w:t>T</w:t>
      </w:r>
      <w:r w:rsidRPr="00456608">
        <w:rPr>
          <w:rFonts w:asciiTheme="majorHAnsi" w:hAnsiTheme="majorHAnsi"/>
          <w:sz w:val="20"/>
          <w:szCs w:val="20"/>
          <w:lang w:val="es-ES"/>
        </w:rPr>
        <w:t xml:space="preserve">ribunal de </w:t>
      </w:r>
      <w:r>
        <w:rPr>
          <w:rFonts w:asciiTheme="majorHAnsi" w:hAnsiTheme="majorHAnsi"/>
          <w:sz w:val="20"/>
          <w:szCs w:val="20"/>
          <w:lang w:val="es-ES"/>
        </w:rPr>
        <w:t>C</w:t>
      </w:r>
      <w:r w:rsidRPr="00456608">
        <w:rPr>
          <w:rFonts w:asciiTheme="majorHAnsi" w:hAnsiTheme="majorHAnsi"/>
          <w:sz w:val="20"/>
          <w:szCs w:val="20"/>
          <w:lang w:val="es-ES"/>
        </w:rPr>
        <w:t xml:space="preserve">ircuito cometió un error al sostener las objeciones de la agencia o que se le negaron indebidamente los registros a los que tenía derecho. Con respecto a la declaración sobre la </w:t>
      </w:r>
      <w:r>
        <w:rPr>
          <w:rFonts w:asciiTheme="majorHAnsi" w:hAnsiTheme="majorHAnsi"/>
          <w:sz w:val="20"/>
          <w:szCs w:val="20"/>
          <w:lang w:val="es-ES"/>
        </w:rPr>
        <w:t>orden de ejecución que determinaba que la clemencia no resultaba apropiada</w:t>
      </w:r>
      <w:r w:rsidRPr="00456608">
        <w:rPr>
          <w:rFonts w:asciiTheme="majorHAnsi" w:hAnsiTheme="majorHAnsi"/>
          <w:sz w:val="20"/>
          <w:szCs w:val="20"/>
          <w:lang w:val="es-ES"/>
        </w:rPr>
        <w:t xml:space="preserve">; el Tribunal dio cuenta de un caso anterior en el que se concedió al recluso una audiencia de </w:t>
      </w:r>
      <w:r>
        <w:rPr>
          <w:rFonts w:asciiTheme="majorHAnsi" w:hAnsiTheme="majorHAnsi"/>
          <w:sz w:val="20"/>
          <w:szCs w:val="20"/>
          <w:lang w:val="es-ES"/>
        </w:rPr>
        <w:t>clemencia</w:t>
      </w:r>
      <w:r w:rsidRPr="00456608">
        <w:rPr>
          <w:rFonts w:asciiTheme="majorHAnsi" w:hAnsiTheme="majorHAnsi"/>
          <w:sz w:val="20"/>
          <w:szCs w:val="20"/>
          <w:lang w:val="es-ES"/>
        </w:rPr>
        <w:t xml:space="preserve"> total y la orden de ejecución que se firmó en algún momento posterior contenía la misma declaración.</w:t>
      </w:r>
    </w:p>
    <w:p w14:paraId="3D348285" w14:textId="77777777" w:rsidR="00C77B21" w:rsidRPr="00E36893" w:rsidRDefault="00C77B21" w:rsidP="00C77B2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textAlignment w:val="baseline"/>
        <w:rPr>
          <w:rFonts w:asciiTheme="majorHAnsi" w:hAnsiTheme="majorHAnsi"/>
          <w:sz w:val="20"/>
          <w:szCs w:val="20"/>
          <w:lang w:val="es-ES"/>
        </w:rPr>
      </w:pPr>
    </w:p>
    <w:p w14:paraId="2280102B" w14:textId="77777777" w:rsidR="00456608" w:rsidRPr="00456608" w:rsidRDefault="00456608" w:rsidP="007D7C7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lang w:val="es-ES"/>
        </w:rPr>
      </w:pPr>
      <w:r w:rsidRPr="00456608">
        <w:rPr>
          <w:rFonts w:asciiTheme="majorHAnsi" w:hAnsiTheme="majorHAnsi"/>
          <w:sz w:val="20"/>
          <w:szCs w:val="20"/>
          <w:lang w:val="es-ES"/>
        </w:rPr>
        <w:t>Se reclamó que los treinta y tres años pasados en el corredor de la muerte constituían un</w:t>
      </w:r>
      <w:r>
        <w:rPr>
          <w:rFonts w:asciiTheme="majorHAnsi" w:hAnsiTheme="majorHAnsi"/>
          <w:sz w:val="20"/>
          <w:szCs w:val="20"/>
          <w:lang w:val="es-ES"/>
        </w:rPr>
        <w:t>a pena</w:t>
      </w:r>
      <w:r w:rsidRPr="00456608">
        <w:rPr>
          <w:rFonts w:asciiTheme="majorHAnsi" w:hAnsiTheme="majorHAnsi"/>
          <w:sz w:val="20"/>
          <w:szCs w:val="20"/>
          <w:lang w:val="es-ES"/>
        </w:rPr>
        <w:t xml:space="preserve"> cruel e inusual. </w:t>
      </w:r>
      <w:r>
        <w:rPr>
          <w:rFonts w:asciiTheme="majorHAnsi" w:hAnsiTheme="majorHAnsi"/>
          <w:sz w:val="20"/>
          <w:szCs w:val="20"/>
          <w:lang w:val="es-ES"/>
        </w:rPr>
        <w:t>La CSF</w:t>
      </w:r>
      <w:r w:rsidRPr="00456608">
        <w:rPr>
          <w:rFonts w:asciiTheme="majorHAnsi" w:hAnsiTheme="majorHAnsi"/>
          <w:sz w:val="20"/>
          <w:szCs w:val="20"/>
          <w:lang w:val="es-ES"/>
        </w:rPr>
        <w:t xml:space="preserve"> hizo referencia a la jurisprudencia </w:t>
      </w:r>
      <w:r>
        <w:rPr>
          <w:rFonts w:asciiTheme="majorHAnsi" w:hAnsiTheme="majorHAnsi"/>
          <w:sz w:val="20"/>
          <w:szCs w:val="20"/>
          <w:lang w:val="es-ES"/>
        </w:rPr>
        <w:t xml:space="preserve">y concluyó </w:t>
      </w:r>
      <w:r w:rsidRPr="00456608">
        <w:rPr>
          <w:rFonts w:asciiTheme="majorHAnsi" w:hAnsiTheme="majorHAnsi"/>
          <w:sz w:val="20"/>
          <w:szCs w:val="20"/>
          <w:lang w:val="es-ES"/>
        </w:rPr>
        <w:t xml:space="preserve">que ningún tribunal federal o estatal ha aceptado tal argumento, especialmente cuando ambas partes son responsables de la demora. El tribunal tomó nota del alegato del señor Valle de que el Estado afectó la demora de sus juicios durante los primeros diez años en el corredor de la muerte, extendiendo así su encarcelamiento. Sin embargo, el tribunal determinó que el señor Valle contribuyó a los veintitrés años restantes mediante </w:t>
      </w:r>
      <w:r>
        <w:rPr>
          <w:rFonts w:asciiTheme="majorHAnsi" w:hAnsiTheme="majorHAnsi"/>
          <w:sz w:val="20"/>
          <w:szCs w:val="20"/>
          <w:lang w:val="es-ES"/>
        </w:rPr>
        <w:t>la presentación continua</w:t>
      </w:r>
      <w:r w:rsidRPr="00456608">
        <w:rPr>
          <w:rFonts w:asciiTheme="majorHAnsi" w:hAnsiTheme="majorHAnsi"/>
          <w:sz w:val="20"/>
          <w:szCs w:val="20"/>
          <w:lang w:val="es-ES"/>
        </w:rPr>
        <w:t xml:space="preserve"> de impugnaciones constitucionales </w:t>
      </w:r>
      <w:r>
        <w:rPr>
          <w:rFonts w:asciiTheme="majorHAnsi" w:hAnsiTheme="majorHAnsi"/>
          <w:sz w:val="20"/>
          <w:szCs w:val="20"/>
          <w:lang w:val="es-ES"/>
        </w:rPr>
        <w:t xml:space="preserve">respecto </w:t>
      </w:r>
      <w:r w:rsidRPr="00456608">
        <w:rPr>
          <w:rFonts w:asciiTheme="majorHAnsi" w:hAnsiTheme="majorHAnsi"/>
          <w:sz w:val="20"/>
          <w:szCs w:val="20"/>
          <w:lang w:val="es-ES"/>
        </w:rPr>
        <w:t>de su</w:t>
      </w:r>
      <w:r>
        <w:rPr>
          <w:rFonts w:asciiTheme="majorHAnsi" w:hAnsiTheme="majorHAnsi"/>
          <w:sz w:val="20"/>
          <w:szCs w:val="20"/>
          <w:lang w:val="es-ES"/>
        </w:rPr>
        <w:t xml:space="preserve"> sentencia y</w:t>
      </w:r>
      <w:r w:rsidRPr="00456608">
        <w:rPr>
          <w:rFonts w:asciiTheme="majorHAnsi" w:hAnsiTheme="majorHAnsi"/>
          <w:sz w:val="20"/>
          <w:szCs w:val="20"/>
          <w:lang w:val="es-ES"/>
        </w:rPr>
        <w:t xml:space="preserve"> condena.</w:t>
      </w:r>
    </w:p>
    <w:p w14:paraId="25F91205" w14:textId="77777777" w:rsidR="001C52AF" w:rsidRPr="00E36893" w:rsidRDefault="001C52AF" w:rsidP="001C52A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textAlignment w:val="baseline"/>
        <w:rPr>
          <w:rFonts w:asciiTheme="majorHAnsi" w:hAnsiTheme="majorHAnsi"/>
          <w:sz w:val="20"/>
          <w:szCs w:val="20"/>
          <w:lang w:val="es-ES"/>
        </w:rPr>
      </w:pPr>
    </w:p>
    <w:p w14:paraId="5F351FD5" w14:textId="77777777" w:rsidR="00456608" w:rsidRPr="00D2426A" w:rsidRDefault="00456608" w:rsidP="007D7C7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lang w:val="es-ES"/>
        </w:rPr>
      </w:pPr>
      <w:r w:rsidRPr="00456608">
        <w:rPr>
          <w:rFonts w:asciiTheme="majorHAnsi" w:hAnsiTheme="majorHAnsi"/>
          <w:sz w:val="20"/>
          <w:szCs w:val="20"/>
          <w:lang w:val="es-ES"/>
        </w:rPr>
        <w:t xml:space="preserve">El señor Valle también alegó que tiene derecho a reparación ya que el Estado no le informó sobre el derecho de notificar al consulado de su arresto y de consultar con el consulado o un funcionario diplomático sin demora, según lo establecido en la Convención de Viena. </w:t>
      </w:r>
      <w:r w:rsidRPr="00D2426A">
        <w:rPr>
          <w:rFonts w:asciiTheme="majorHAnsi" w:hAnsiTheme="majorHAnsi"/>
          <w:sz w:val="20"/>
          <w:szCs w:val="20"/>
          <w:lang w:val="es-ES"/>
        </w:rPr>
        <w:t xml:space="preserve">El Tribunal razonó que el Tribunal de Circuito no se equivocó al negar esta reparación ya que el Sr. Valle basó su reclamo en un proyecto de ley federal que fue propuesto, pero aún no promulgado, que proporcionaría a los presos condenados a muerte un proceso para afirmar tal violación; sin embargo, se concluyó que un estado no tiene prohibido </w:t>
      </w:r>
      <w:r w:rsidR="00D2426A">
        <w:rPr>
          <w:rFonts w:asciiTheme="majorHAnsi" w:hAnsiTheme="majorHAnsi"/>
          <w:sz w:val="20"/>
          <w:szCs w:val="20"/>
          <w:lang w:val="es-ES"/>
        </w:rPr>
        <w:t>ejecutar</w:t>
      </w:r>
      <w:r w:rsidRPr="00D2426A">
        <w:rPr>
          <w:rFonts w:asciiTheme="majorHAnsi" w:hAnsiTheme="majorHAnsi"/>
          <w:sz w:val="20"/>
          <w:szCs w:val="20"/>
          <w:lang w:val="es-ES"/>
        </w:rPr>
        <w:t xml:space="preserve"> una sentencia legal a la luz de una legislación no promulgada que algún día podría autorizar un </w:t>
      </w:r>
      <w:r w:rsidR="00D2426A">
        <w:rPr>
          <w:rFonts w:asciiTheme="majorHAnsi" w:hAnsiTheme="majorHAnsi"/>
          <w:sz w:val="20"/>
          <w:szCs w:val="20"/>
          <w:lang w:val="es-ES"/>
        </w:rPr>
        <w:t>cuestionamiento</w:t>
      </w:r>
      <w:r w:rsidRPr="00D2426A">
        <w:rPr>
          <w:rFonts w:asciiTheme="majorHAnsi" w:hAnsiTheme="majorHAnsi"/>
          <w:sz w:val="20"/>
          <w:szCs w:val="20"/>
          <w:lang w:val="es-ES"/>
        </w:rPr>
        <w:t xml:space="preserve"> colateral a esa sentencia.</w:t>
      </w:r>
    </w:p>
    <w:p w14:paraId="14131C4D" w14:textId="77777777" w:rsidR="00CC06F6" w:rsidRPr="00E36893" w:rsidRDefault="00CC06F6" w:rsidP="00CC06F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textAlignment w:val="baseline"/>
        <w:rPr>
          <w:rFonts w:asciiTheme="majorHAnsi" w:hAnsiTheme="majorHAnsi"/>
          <w:b/>
          <w:sz w:val="20"/>
          <w:szCs w:val="20"/>
          <w:lang w:val="es-ES"/>
        </w:rPr>
      </w:pPr>
    </w:p>
    <w:p w14:paraId="3C317B5B" w14:textId="77777777" w:rsidR="00D2426A" w:rsidRPr="00D2426A" w:rsidRDefault="00D2426A" w:rsidP="00CC06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lang w:val="es-ES"/>
        </w:rPr>
      </w:pPr>
      <w:r w:rsidRPr="00D2426A">
        <w:rPr>
          <w:rFonts w:asciiTheme="majorHAnsi" w:hAnsiTheme="majorHAnsi"/>
          <w:sz w:val="20"/>
          <w:szCs w:val="20"/>
          <w:lang w:val="es-ES"/>
        </w:rPr>
        <w:t xml:space="preserve">Habiendo considerado los reclamos y diversas afirmaciones, la </w:t>
      </w:r>
      <w:r>
        <w:rPr>
          <w:rFonts w:asciiTheme="majorHAnsi" w:hAnsiTheme="majorHAnsi"/>
          <w:sz w:val="20"/>
          <w:szCs w:val="20"/>
          <w:lang w:val="es-ES"/>
        </w:rPr>
        <w:t xml:space="preserve">CSF </w:t>
      </w:r>
      <w:r w:rsidRPr="00D2426A">
        <w:rPr>
          <w:rFonts w:asciiTheme="majorHAnsi" w:hAnsiTheme="majorHAnsi"/>
          <w:sz w:val="20"/>
          <w:szCs w:val="20"/>
          <w:lang w:val="es-ES"/>
        </w:rPr>
        <w:t>confirmó la negativa del Tribunal de Circuito y el señor Valle fue ejecutado el 28 de septiembre de 2011.</w:t>
      </w:r>
    </w:p>
    <w:p w14:paraId="5156338A" w14:textId="77777777" w:rsidR="00847431" w:rsidRPr="00E36893" w:rsidRDefault="00847431" w:rsidP="00EC55E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right="360"/>
        <w:jc w:val="both"/>
        <w:rPr>
          <w:rFonts w:asciiTheme="majorHAnsi" w:hAnsiTheme="majorHAnsi"/>
          <w:sz w:val="20"/>
          <w:szCs w:val="20"/>
          <w:lang w:val="es-ES"/>
        </w:rPr>
      </w:pPr>
    </w:p>
    <w:p w14:paraId="73041B08" w14:textId="77777777" w:rsidR="00677DA7" w:rsidRPr="00EC55EA" w:rsidRDefault="00B443C8" w:rsidP="00EC55EA">
      <w:pPr>
        <w:pStyle w:val="Heading1"/>
        <w:tabs>
          <w:tab w:val="left" w:pos="360"/>
        </w:tabs>
        <w:spacing w:before="0"/>
        <w:ind w:hanging="720"/>
        <w:rPr>
          <w:color w:val="auto"/>
          <w:sz w:val="20"/>
          <w:szCs w:val="20"/>
        </w:rPr>
      </w:pPr>
      <w:bookmarkStart w:id="14" w:name="_Toc90292577"/>
      <w:r>
        <w:rPr>
          <w:color w:val="auto"/>
          <w:sz w:val="20"/>
          <w:szCs w:val="20"/>
        </w:rPr>
        <w:t>ANALISIS DE DERECHO</w:t>
      </w:r>
      <w:bookmarkEnd w:id="14"/>
    </w:p>
    <w:p w14:paraId="7F8E034E" w14:textId="77777777" w:rsidR="00E57AC6" w:rsidRPr="00EC55EA" w:rsidRDefault="00E57AC6" w:rsidP="00EC55EA">
      <w:pPr>
        <w:rPr>
          <w:rFonts w:asciiTheme="majorHAnsi" w:hAnsiTheme="majorHAnsi"/>
          <w:sz w:val="20"/>
          <w:szCs w:val="20"/>
        </w:rPr>
      </w:pPr>
    </w:p>
    <w:p w14:paraId="0621BBDA" w14:textId="77777777" w:rsidR="00677DA7" w:rsidRPr="00EC55EA" w:rsidRDefault="00B443C8" w:rsidP="00EC55EA">
      <w:pPr>
        <w:pStyle w:val="Heading2"/>
        <w:numPr>
          <w:ilvl w:val="0"/>
          <w:numId w:val="61"/>
        </w:numPr>
        <w:tabs>
          <w:tab w:val="left" w:pos="360"/>
        </w:tabs>
        <w:spacing w:before="0"/>
        <w:ind w:left="0" w:firstLine="0"/>
        <w:rPr>
          <w:color w:val="auto"/>
          <w:sz w:val="20"/>
          <w:szCs w:val="20"/>
        </w:rPr>
      </w:pPr>
      <w:bookmarkStart w:id="15" w:name="_Toc90292578"/>
      <w:r>
        <w:rPr>
          <w:color w:val="auto"/>
          <w:sz w:val="20"/>
          <w:szCs w:val="20"/>
        </w:rPr>
        <w:t>Derecho</w:t>
      </w:r>
      <w:bookmarkEnd w:id="15"/>
    </w:p>
    <w:p w14:paraId="57305F0E" w14:textId="77777777" w:rsidR="00E57AC6" w:rsidRPr="00EC55EA" w:rsidRDefault="00E57AC6" w:rsidP="00EC55EA">
      <w:pPr>
        <w:pStyle w:val="ListParagraph"/>
        <w:rPr>
          <w:sz w:val="20"/>
          <w:szCs w:val="20"/>
        </w:rPr>
      </w:pPr>
    </w:p>
    <w:p w14:paraId="75BB7326" w14:textId="77777777" w:rsidR="00D2426A" w:rsidRPr="00D2426A" w:rsidRDefault="00D2426A" w:rsidP="00AF18F9">
      <w:pPr>
        <w:pStyle w:val="parrafos"/>
        <w:numPr>
          <w:ilvl w:val="0"/>
          <w:numId w:val="55"/>
        </w:numPr>
        <w:ind w:left="0" w:firstLine="0"/>
        <w:rPr>
          <w:rFonts w:ascii="Cambria" w:hAnsi="Cambria"/>
          <w:lang w:val="es-ES"/>
        </w:rPr>
      </w:pPr>
      <w:r w:rsidRPr="00D2426A">
        <w:rPr>
          <w:rFonts w:ascii="Cambria" w:hAnsi="Cambria"/>
          <w:lang w:val="es-ES"/>
        </w:rPr>
        <w:t>Las disposiciones de la Constitución de Florida con respecto a</w:t>
      </w:r>
      <w:r>
        <w:rPr>
          <w:rFonts w:ascii="Cambria" w:hAnsi="Cambria"/>
          <w:lang w:val="es-ES"/>
        </w:rPr>
        <w:t xml:space="preserve"> la clemencia</w:t>
      </w:r>
      <w:r w:rsidRPr="00D2426A">
        <w:rPr>
          <w:rFonts w:ascii="Cambria" w:hAnsi="Cambria"/>
          <w:lang w:val="es-ES"/>
        </w:rPr>
        <w:t xml:space="preserve"> se encuentran en el artículo IV, sección 8, y establecen lo siguient</w:t>
      </w:r>
      <w:r>
        <w:rPr>
          <w:rFonts w:ascii="Cambria" w:hAnsi="Cambria"/>
          <w:lang w:val="es-ES"/>
        </w:rPr>
        <w:t>e:</w:t>
      </w:r>
    </w:p>
    <w:p w14:paraId="333D7B8E" w14:textId="77777777" w:rsidR="00B46600" w:rsidRPr="00E36893" w:rsidRDefault="00B46600" w:rsidP="00AF18F9">
      <w:pPr>
        <w:pStyle w:val="parrafos"/>
        <w:ind w:left="426" w:right="288" w:firstLine="0"/>
        <w:rPr>
          <w:rFonts w:ascii="Cambria" w:hAnsi="Cambria"/>
          <w:lang w:val="es-ES"/>
        </w:rPr>
      </w:pPr>
    </w:p>
    <w:p w14:paraId="58B9CF13" w14:textId="77777777" w:rsidR="00D2426A" w:rsidRPr="00D2426A" w:rsidRDefault="00D2426A" w:rsidP="00D2426A">
      <w:pPr>
        <w:pStyle w:val="ListParagraph"/>
        <w:numPr>
          <w:ilvl w:val="0"/>
          <w:numId w:val="69"/>
        </w:numPr>
        <w:ind w:right="288"/>
        <w:jc w:val="both"/>
        <w:rPr>
          <w:rFonts w:asciiTheme="majorHAnsi" w:hAnsiTheme="majorHAnsi"/>
          <w:sz w:val="20"/>
          <w:szCs w:val="20"/>
          <w:bdr w:val="none" w:sz="0" w:space="0" w:color="auto"/>
          <w:lang w:val="es-ES"/>
        </w:rPr>
      </w:pPr>
      <w:r w:rsidRPr="00D2426A">
        <w:rPr>
          <w:rFonts w:asciiTheme="majorHAnsi" w:hAnsiTheme="majorHAnsi"/>
          <w:sz w:val="20"/>
          <w:szCs w:val="20"/>
          <w:bdr w:val="none" w:sz="0" w:space="0" w:color="auto"/>
          <w:lang w:val="es-ES"/>
        </w:rPr>
        <w:t xml:space="preserve">Excepto en casos de traición y en los casos en que el juicio político dé lugar a una condena, el gobernador podrá, mediante una orden ejecutiva presentada ante el custodio de los registros estatales, suspender el cobro de multas y decomisos, otorgar indultos que no excedan de sesenta días y, con la aprobación de dos miembros del gabinete, conceder indultos totales o condicionales, restablecer los derechos civiles, conmutar </w:t>
      </w:r>
      <w:r>
        <w:rPr>
          <w:rFonts w:asciiTheme="majorHAnsi" w:hAnsiTheme="majorHAnsi"/>
          <w:sz w:val="20"/>
          <w:szCs w:val="20"/>
          <w:bdr w:val="none" w:sz="0" w:space="0" w:color="auto"/>
          <w:lang w:val="es-ES"/>
        </w:rPr>
        <w:t>la pena</w:t>
      </w:r>
      <w:r w:rsidRPr="00D2426A">
        <w:rPr>
          <w:rFonts w:asciiTheme="majorHAnsi" w:hAnsiTheme="majorHAnsi"/>
          <w:sz w:val="20"/>
          <w:szCs w:val="20"/>
          <w:bdr w:val="none" w:sz="0" w:space="0" w:color="auto"/>
          <w:lang w:val="es-ES"/>
        </w:rPr>
        <w:t xml:space="preserve"> y </w:t>
      </w:r>
      <w:r>
        <w:rPr>
          <w:rFonts w:asciiTheme="majorHAnsi" w:hAnsiTheme="majorHAnsi"/>
          <w:sz w:val="20"/>
          <w:szCs w:val="20"/>
          <w:bdr w:val="none" w:sz="0" w:space="0" w:color="auto"/>
          <w:lang w:val="es-ES"/>
        </w:rPr>
        <w:t>cancelar</w:t>
      </w:r>
      <w:r w:rsidRPr="00D2426A">
        <w:rPr>
          <w:rFonts w:asciiTheme="majorHAnsi" w:hAnsiTheme="majorHAnsi"/>
          <w:sz w:val="20"/>
          <w:szCs w:val="20"/>
          <w:bdr w:val="none" w:sz="0" w:space="0" w:color="auto"/>
          <w:lang w:val="es-ES"/>
        </w:rPr>
        <w:t xml:space="preserve"> multas y decomisos por delitos.</w:t>
      </w:r>
    </w:p>
    <w:p w14:paraId="6B49F998" w14:textId="77777777" w:rsidR="00F24AB2" w:rsidRPr="00E36893" w:rsidRDefault="00F24AB2" w:rsidP="00F24AB2">
      <w:pPr>
        <w:rPr>
          <w:rFonts w:asciiTheme="majorHAnsi" w:hAnsiTheme="majorHAnsi"/>
          <w:sz w:val="20"/>
          <w:szCs w:val="20"/>
          <w:lang w:val="es-ES"/>
        </w:rPr>
      </w:pPr>
    </w:p>
    <w:p w14:paraId="0FF9396D" w14:textId="77777777" w:rsidR="00F24AB2" w:rsidRPr="00EC55EA" w:rsidRDefault="00B443C8" w:rsidP="00F24AB2">
      <w:pPr>
        <w:pStyle w:val="Heading2"/>
        <w:numPr>
          <w:ilvl w:val="0"/>
          <w:numId w:val="61"/>
        </w:numPr>
        <w:tabs>
          <w:tab w:val="left" w:pos="360"/>
        </w:tabs>
        <w:spacing w:before="0"/>
        <w:ind w:left="0" w:firstLine="0"/>
        <w:rPr>
          <w:color w:val="auto"/>
          <w:sz w:val="20"/>
          <w:szCs w:val="20"/>
        </w:rPr>
      </w:pPr>
      <w:bookmarkStart w:id="16" w:name="_Toc90292579"/>
      <w:r>
        <w:rPr>
          <w:color w:val="auto"/>
          <w:sz w:val="20"/>
          <w:szCs w:val="20"/>
        </w:rPr>
        <w:t>Consideraciones preliminares</w:t>
      </w:r>
      <w:bookmarkEnd w:id="16"/>
    </w:p>
    <w:p w14:paraId="671CD227" w14:textId="77777777" w:rsidR="00F24AB2" w:rsidRPr="00EC55EA" w:rsidRDefault="00F24AB2" w:rsidP="00F24AB2">
      <w:pPr>
        <w:pStyle w:val="ListParagraph"/>
        <w:rPr>
          <w:sz w:val="20"/>
          <w:szCs w:val="20"/>
        </w:rPr>
      </w:pPr>
    </w:p>
    <w:p w14:paraId="57B70DEA" w14:textId="77777777" w:rsidR="00D2426A" w:rsidRPr="00D2426A" w:rsidRDefault="00D2426A" w:rsidP="00EC55EA">
      <w:pPr>
        <w:pStyle w:val="parrafos"/>
        <w:numPr>
          <w:ilvl w:val="0"/>
          <w:numId w:val="55"/>
        </w:numPr>
        <w:ind w:left="0" w:firstLine="0"/>
        <w:rPr>
          <w:lang w:val="es-ES"/>
        </w:rPr>
      </w:pPr>
      <w:r w:rsidRPr="00D2426A">
        <w:rPr>
          <w:lang w:val="es-ES"/>
        </w:rPr>
        <w:t xml:space="preserve">Antes de emprender su análisis de fondo en el caso </w:t>
      </w:r>
      <w:r>
        <w:rPr>
          <w:lang w:val="es-ES"/>
        </w:rPr>
        <w:t xml:space="preserve">de </w:t>
      </w:r>
      <w:r w:rsidRPr="00D2426A">
        <w:rPr>
          <w:lang w:val="es-ES"/>
        </w:rPr>
        <w:t xml:space="preserve">Manuel Valle, la Comisión Interamericana reitera sus </w:t>
      </w:r>
      <w:r>
        <w:rPr>
          <w:lang w:val="es-ES"/>
        </w:rPr>
        <w:t>decisiones</w:t>
      </w:r>
      <w:r w:rsidRPr="00D2426A">
        <w:rPr>
          <w:lang w:val="es-ES"/>
        </w:rPr>
        <w:t xml:space="preserve"> anteriores sobre el escrutinio más riguroso que </w:t>
      </w:r>
      <w:r>
        <w:rPr>
          <w:lang w:val="es-ES"/>
        </w:rPr>
        <w:t>debe utilizarse</w:t>
      </w:r>
      <w:r w:rsidRPr="00D2426A">
        <w:rPr>
          <w:lang w:val="es-ES"/>
        </w:rPr>
        <w:t xml:space="preserve"> en los casos de pena de muerte. El derecho a la vida ha recibido un amplio reconocimiento como derecho humano supremo y como condición sine qua non para el disfrute de todos los demás derechos.</w:t>
      </w:r>
    </w:p>
    <w:p w14:paraId="249DAB7E" w14:textId="77777777" w:rsidR="00E57AC6" w:rsidRPr="00E36893" w:rsidRDefault="00E57AC6" w:rsidP="00EC55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14:paraId="4FC8C050" w14:textId="77777777" w:rsidR="00D2426A" w:rsidRPr="0029354F" w:rsidRDefault="0029354F" w:rsidP="00EC55EA">
      <w:pPr>
        <w:pStyle w:val="parrafos"/>
        <w:numPr>
          <w:ilvl w:val="0"/>
          <w:numId w:val="55"/>
        </w:numPr>
        <w:ind w:left="0" w:firstLine="0"/>
        <w:rPr>
          <w:lang w:val="es-ES"/>
        </w:rPr>
      </w:pPr>
      <w:r w:rsidRPr="0029354F">
        <w:rPr>
          <w:lang w:val="es-ES"/>
        </w:rPr>
        <w:t xml:space="preserve">Ello da lugar a la particular importancia de la obligación de la CIDH de asegurar que cualquier denegación de la vida que se derive de la ejecución de la pena de muerte, cumpla estrictamente con los requisitos establecidos en los instrumentos aplicables del sistema interamericano de derechos humanos, incluida la Declaración </w:t>
      </w:r>
      <w:r>
        <w:rPr>
          <w:lang w:val="es-ES"/>
        </w:rPr>
        <w:t>A</w:t>
      </w:r>
      <w:r w:rsidRPr="0029354F">
        <w:rPr>
          <w:lang w:val="es-ES"/>
        </w:rPr>
        <w:t xml:space="preserve">mericana. Ese mayor escrutinio es coherente con el enfoque restrictivo adoptado por otros </w:t>
      </w:r>
      <w:r w:rsidRPr="0029354F">
        <w:rPr>
          <w:lang w:val="es-ES"/>
        </w:rPr>
        <w:lastRenderedPageBreak/>
        <w:t>organismos internacionales de derechos humanos en casos de imposición de la pena de muerte,</w:t>
      </w:r>
      <w:r w:rsidRPr="00EC55EA">
        <w:rPr>
          <w:rStyle w:val="FootnoteReference"/>
        </w:rPr>
        <w:footnoteReference w:id="25"/>
      </w:r>
      <w:r w:rsidRPr="0029354F">
        <w:rPr>
          <w:lang w:val="es-ES"/>
        </w:rPr>
        <w:t xml:space="preserve"> y ha sido planteado y aplicado por la Comisión Interamericana en anteriores casos </w:t>
      </w:r>
      <w:r>
        <w:rPr>
          <w:lang w:val="es-ES"/>
        </w:rPr>
        <w:t>sobre pena de muerte</w:t>
      </w:r>
      <w:r w:rsidRPr="0029354F">
        <w:rPr>
          <w:lang w:val="es-ES"/>
        </w:rPr>
        <w:t xml:space="preserve"> presentados ante ella.</w:t>
      </w:r>
      <w:r w:rsidRPr="00EC55EA">
        <w:rPr>
          <w:rStyle w:val="FootnoteReference"/>
        </w:rPr>
        <w:footnoteReference w:id="26"/>
      </w:r>
      <w:r w:rsidRPr="0029354F">
        <w:rPr>
          <w:lang w:val="es-ES"/>
        </w:rPr>
        <w:t xml:space="preserve"> Como ha explicado la Comisión Interamericana, este estándar de revisión es la consecuencia necesaria de la pena específica en cuestión y del derecho a un juicio justo y todas las garantías del debido proceso, entre otros.</w:t>
      </w:r>
      <w:r w:rsidRPr="00EC55EA">
        <w:rPr>
          <w:rStyle w:val="FootnoteReference"/>
        </w:rPr>
        <w:footnoteReference w:id="27"/>
      </w:r>
      <w:r w:rsidRPr="0029354F">
        <w:rPr>
          <w:lang w:val="es-ES"/>
        </w:rPr>
        <w:t xml:space="preserve"> En palabras de la Comisión:</w:t>
      </w:r>
    </w:p>
    <w:p w14:paraId="63869819" w14:textId="77777777" w:rsidR="00E57AC6" w:rsidRPr="00EC55EA" w:rsidRDefault="00E57AC6" w:rsidP="00EC55EA">
      <w:pPr>
        <w:pStyle w:val="ListParagraph"/>
        <w:rPr>
          <w:sz w:val="20"/>
          <w:szCs w:val="20"/>
        </w:rPr>
      </w:pPr>
    </w:p>
    <w:p w14:paraId="3D85EB85" w14:textId="77777777" w:rsidR="0029354F" w:rsidRPr="00E36893" w:rsidRDefault="0029354F" w:rsidP="0029354F">
      <w:pPr>
        <w:autoSpaceDE w:val="0"/>
        <w:autoSpaceDN w:val="0"/>
        <w:adjustRightInd w:val="0"/>
        <w:ind w:left="360" w:right="360"/>
        <w:jc w:val="both"/>
        <w:rPr>
          <w:rFonts w:ascii="Cambria" w:hAnsi="Cambria" w:cs="Calibri"/>
          <w:sz w:val="18"/>
          <w:szCs w:val="18"/>
          <w:lang w:val="es-ES"/>
        </w:rPr>
      </w:pPr>
      <w:r w:rsidRPr="00E36893">
        <w:rPr>
          <w:rFonts w:ascii="Cambria" w:hAnsi="Cambria" w:cs="Calibri"/>
          <w:sz w:val="18"/>
          <w:szCs w:val="18"/>
          <w:lang w:val="es-ES"/>
        </w:rPr>
        <w:t>debido en parte a su carácter irrevocable e irreversible, la pena de muerte es una forma de castigo que se diferencia sustancialmente y en grado de otros medios de castigo, por lo cual reclama una certeza particularmente rigurosa en la determinación de la responsabilidad de una persona por un delito que comporta la pena de muerte.</w:t>
      </w:r>
      <w:r w:rsidRPr="00BF6BE9">
        <w:rPr>
          <w:rStyle w:val="FootnoteReference"/>
          <w:rFonts w:ascii="Cambria" w:hAnsi="Cambria"/>
          <w:sz w:val="18"/>
          <w:szCs w:val="18"/>
        </w:rPr>
        <w:footnoteReference w:id="28"/>
      </w:r>
    </w:p>
    <w:p w14:paraId="55A9317F" w14:textId="77777777" w:rsidR="00E57AC6" w:rsidRPr="00E36893" w:rsidRDefault="00E57AC6" w:rsidP="00EC55EA">
      <w:pPr>
        <w:jc w:val="both"/>
        <w:rPr>
          <w:rFonts w:ascii="Cambria" w:hAnsi="Cambria"/>
          <w:sz w:val="20"/>
          <w:szCs w:val="20"/>
          <w:lang w:val="es-ES"/>
        </w:rPr>
      </w:pPr>
    </w:p>
    <w:p w14:paraId="56DCA95B" w14:textId="77777777" w:rsidR="0029354F" w:rsidRPr="0029354F" w:rsidRDefault="0029354F" w:rsidP="00EC55EA">
      <w:pPr>
        <w:pStyle w:val="NormalWeb"/>
        <w:numPr>
          <w:ilvl w:val="0"/>
          <w:numId w:val="55"/>
        </w:numPr>
        <w:tabs>
          <w:tab w:val="left" w:pos="360"/>
        </w:tabs>
        <w:spacing w:before="0" w:beforeAutospacing="0" w:after="0" w:afterAutospacing="0"/>
        <w:ind w:left="0" w:firstLine="0"/>
        <w:jc w:val="both"/>
        <w:rPr>
          <w:rFonts w:ascii="Cambria" w:eastAsia="Arial Unicode MS" w:hAnsi="Cambria"/>
          <w:sz w:val="20"/>
          <w:szCs w:val="20"/>
          <w:bdr w:val="nil"/>
          <w:lang w:val="es-ES"/>
        </w:rPr>
      </w:pPr>
      <w:r w:rsidRPr="0029354F">
        <w:rPr>
          <w:rFonts w:ascii="Cambria" w:eastAsia="Arial Unicode MS" w:hAnsi="Cambria"/>
          <w:sz w:val="20"/>
          <w:szCs w:val="20"/>
          <w:bdr w:val="nil"/>
          <w:lang w:val="es-ES"/>
        </w:rPr>
        <w:t>Por lo tanto, la Comisión Interamericana revisará los alegatos de los peticionarios en el presente caso con un mayor nivel de escrutinio, para asegurar en particular que los derechos a la vida, a no recibir penas crueles, infam</w:t>
      </w:r>
      <w:r>
        <w:rPr>
          <w:rFonts w:ascii="Cambria" w:eastAsia="Arial Unicode MS" w:hAnsi="Cambria"/>
          <w:sz w:val="20"/>
          <w:szCs w:val="20"/>
          <w:bdr w:val="nil"/>
          <w:lang w:val="es-ES"/>
        </w:rPr>
        <w:t>ante</w:t>
      </w:r>
      <w:r w:rsidRPr="0029354F">
        <w:rPr>
          <w:rFonts w:ascii="Cambria" w:eastAsia="Arial Unicode MS" w:hAnsi="Cambria"/>
          <w:sz w:val="20"/>
          <w:szCs w:val="20"/>
          <w:bdr w:val="nil"/>
          <w:lang w:val="es-ES"/>
        </w:rPr>
        <w:t xml:space="preserve">s o </w:t>
      </w:r>
      <w:r>
        <w:rPr>
          <w:rFonts w:ascii="Cambria" w:eastAsia="Arial Unicode MS" w:hAnsi="Cambria"/>
          <w:sz w:val="20"/>
          <w:szCs w:val="20"/>
          <w:bdr w:val="nil"/>
          <w:lang w:val="es-ES"/>
        </w:rPr>
        <w:t>inusitadas</w:t>
      </w:r>
      <w:r w:rsidRPr="0029354F">
        <w:rPr>
          <w:rFonts w:ascii="Cambria" w:eastAsia="Arial Unicode MS" w:hAnsi="Cambria"/>
          <w:sz w:val="20"/>
          <w:szCs w:val="20"/>
          <w:bdr w:val="nil"/>
          <w:lang w:val="es-ES"/>
        </w:rPr>
        <w:t>, al debido proceso y a un juicio justo según lo prescrito en la Declaración Americana, han sido respetados por el Estado. Con respecto al estatus legal de la Declaración Americana, la CIDH reitera que:</w:t>
      </w:r>
      <w:r w:rsidRPr="00EC55EA">
        <w:rPr>
          <w:rStyle w:val="FootnoteReference"/>
          <w:rFonts w:ascii="Cambria" w:hAnsi="Cambria"/>
          <w:sz w:val="20"/>
          <w:szCs w:val="20"/>
        </w:rPr>
        <w:footnoteReference w:id="29"/>
      </w:r>
    </w:p>
    <w:p w14:paraId="6A59E830" w14:textId="77777777" w:rsidR="0029354F" w:rsidRPr="00E36893" w:rsidRDefault="0029354F" w:rsidP="0029354F">
      <w:pPr>
        <w:tabs>
          <w:tab w:val="left" w:pos="630"/>
          <w:tab w:val="left" w:pos="810"/>
        </w:tabs>
        <w:autoSpaceDE w:val="0"/>
        <w:autoSpaceDN w:val="0"/>
        <w:adjustRightInd w:val="0"/>
        <w:jc w:val="both"/>
        <w:rPr>
          <w:rFonts w:ascii="Cambria" w:hAnsi="Cambria" w:cs="Calibri"/>
          <w:sz w:val="20"/>
          <w:szCs w:val="20"/>
          <w:lang w:val="es-ES"/>
        </w:rPr>
      </w:pPr>
      <w:r w:rsidRPr="00E36893">
        <w:rPr>
          <w:rFonts w:ascii="Cambria" w:hAnsi="Cambria" w:cs="Calibri"/>
          <w:sz w:val="20"/>
          <w:szCs w:val="20"/>
          <w:lang w:val="es-ES"/>
        </w:rPr>
        <w:tab/>
      </w:r>
    </w:p>
    <w:p w14:paraId="162D7B5E" w14:textId="77777777" w:rsidR="0029354F" w:rsidRPr="0029354F" w:rsidRDefault="0029354F" w:rsidP="0029354F">
      <w:pPr>
        <w:tabs>
          <w:tab w:val="left" w:pos="630"/>
          <w:tab w:val="left" w:pos="810"/>
        </w:tabs>
        <w:autoSpaceDE w:val="0"/>
        <w:autoSpaceDN w:val="0"/>
        <w:adjustRightInd w:val="0"/>
        <w:ind w:left="360" w:right="360"/>
        <w:jc w:val="both"/>
        <w:rPr>
          <w:rFonts w:ascii="Cambria" w:hAnsi="Cambria"/>
          <w:sz w:val="18"/>
          <w:szCs w:val="18"/>
          <w:lang w:val="es-ES"/>
        </w:rPr>
      </w:pPr>
      <w:r w:rsidRPr="00E36893">
        <w:rPr>
          <w:rFonts w:ascii="Cambria" w:hAnsi="Cambria"/>
          <w:sz w:val="18"/>
          <w:szCs w:val="18"/>
          <w:lang w:val="es-ES"/>
        </w:rPr>
        <w:t xml:space="preserve">Para los Estados Miembros que no son parte de la Convención Americana, la Declaración es la fuente de obligaciones internacionales relacionadas con la Carta de la OEA. </w:t>
      </w:r>
      <w:r w:rsidRPr="0029354F">
        <w:rPr>
          <w:rFonts w:ascii="Cambria" w:hAnsi="Cambria"/>
          <w:sz w:val="18"/>
          <w:szCs w:val="18"/>
          <w:lang w:val="es-ES"/>
        </w:rPr>
        <w:t>La Carta de la Organización confirió a la CIDH la función principal de promover la observancia y la protección de los derechos humanos en los Estados Miembros. El artículo 106 de la Carta de la OEA, sin embargo, no enumera o define esos derechos. La Asamblea General de la OEA, en su noveno período ordinario de sesiones celebrado en La Paz, Bolivia, en octubre de 1979, convino en que esos derechos son aquellos enunciados y definidos en la Declaración Americana143. Por lo tanto, la Declaración Americana cristaliza los principios fundamentales reconocidos por los Estados americanos. La Asamblea General de la OEA también ha reconocido repetidamente que la Declaración constituye una fuente de obligaciones internacionales para los Estados Miembros de la OEA.</w:t>
      </w:r>
    </w:p>
    <w:p w14:paraId="69E27746" w14:textId="77777777" w:rsidR="00E57AC6" w:rsidRPr="0029354F" w:rsidRDefault="00E57AC6" w:rsidP="0029354F">
      <w:pPr>
        <w:rPr>
          <w:sz w:val="20"/>
          <w:szCs w:val="20"/>
          <w:lang w:val="es-ES"/>
        </w:rPr>
      </w:pPr>
    </w:p>
    <w:p w14:paraId="3006A620" w14:textId="77777777" w:rsidR="0029354F" w:rsidRPr="00BC71C5" w:rsidRDefault="00BC71C5" w:rsidP="00EC55EA">
      <w:pPr>
        <w:pStyle w:val="NormalWeb"/>
        <w:numPr>
          <w:ilvl w:val="0"/>
          <w:numId w:val="55"/>
        </w:numPr>
        <w:tabs>
          <w:tab w:val="left" w:pos="360"/>
        </w:tabs>
        <w:spacing w:before="0" w:beforeAutospacing="0" w:after="0" w:afterAutospacing="0"/>
        <w:ind w:left="0" w:firstLine="0"/>
        <w:jc w:val="both"/>
        <w:rPr>
          <w:rFonts w:asciiTheme="majorHAnsi" w:eastAsia="Arial Unicode MS" w:hAnsiTheme="majorHAnsi"/>
          <w:sz w:val="20"/>
          <w:szCs w:val="20"/>
          <w:bdr w:val="nil"/>
          <w:lang w:val="es-ES"/>
        </w:rPr>
      </w:pPr>
      <w:r w:rsidRPr="00BC71C5">
        <w:rPr>
          <w:rFonts w:asciiTheme="majorHAnsi" w:eastAsia="Arial Unicode MS" w:hAnsiTheme="majorHAnsi"/>
          <w:sz w:val="20"/>
          <w:szCs w:val="20"/>
          <w:bdr w:val="nil"/>
          <w:lang w:val="es-ES"/>
        </w:rPr>
        <w:t>Por último, la Comisión recuerda que su revisión no consiste en determinar que la pena de muerte en sí misma viola la Declaración Americana. Lo que se aborda en esta sección es el estándar de revisión de las presuntas violaciones de derechos humanos en el contexto de un proceso penal en un caso de aplicación de la pena de muerte.</w:t>
      </w:r>
    </w:p>
    <w:p w14:paraId="0A1FF078" w14:textId="77777777" w:rsidR="00847431" w:rsidRPr="00E36893" w:rsidRDefault="00847431" w:rsidP="00EC55EA">
      <w:pPr>
        <w:rPr>
          <w:lang w:val="es-ES"/>
        </w:rPr>
      </w:pPr>
    </w:p>
    <w:p w14:paraId="0658F314" w14:textId="77777777" w:rsidR="00677DA7" w:rsidRPr="00126FD8" w:rsidRDefault="00B443C8" w:rsidP="00EC55EA">
      <w:pPr>
        <w:pStyle w:val="Heading2"/>
        <w:numPr>
          <w:ilvl w:val="0"/>
          <w:numId w:val="61"/>
        </w:numPr>
        <w:tabs>
          <w:tab w:val="left" w:pos="360"/>
        </w:tabs>
        <w:spacing w:before="0"/>
        <w:ind w:left="0" w:firstLine="0"/>
        <w:jc w:val="both"/>
        <w:rPr>
          <w:color w:val="auto"/>
          <w:sz w:val="20"/>
          <w:szCs w:val="20"/>
          <w:lang w:val="es-ES"/>
        </w:rPr>
      </w:pPr>
      <w:bookmarkStart w:id="17" w:name="_Toc90292580"/>
      <w:r w:rsidRPr="00126FD8">
        <w:rPr>
          <w:color w:val="auto"/>
          <w:sz w:val="20"/>
          <w:szCs w:val="20"/>
          <w:lang w:val="es-ES"/>
        </w:rPr>
        <w:t xml:space="preserve">Derecho </w:t>
      </w:r>
      <w:r w:rsidR="00126FD8" w:rsidRPr="00126FD8">
        <w:rPr>
          <w:color w:val="auto"/>
          <w:sz w:val="20"/>
          <w:szCs w:val="20"/>
          <w:lang w:val="es-ES"/>
        </w:rPr>
        <w:t>de justicia</w:t>
      </w:r>
      <w:r w:rsidR="002E3921" w:rsidRPr="00126FD8">
        <w:rPr>
          <w:color w:val="auto"/>
          <w:sz w:val="20"/>
          <w:szCs w:val="20"/>
          <w:lang w:val="es-ES"/>
        </w:rPr>
        <w:t>,</w:t>
      </w:r>
      <w:r w:rsidR="00F61B4C" w:rsidRPr="00EC55EA">
        <w:rPr>
          <w:rStyle w:val="FootnoteReference"/>
          <w:color w:val="auto"/>
          <w:sz w:val="20"/>
          <w:szCs w:val="20"/>
        </w:rPr>
        <w:footnoteReference w:id="30"/>
      </w:r>
      <w:r w:rsidR="002E3921" w:rsidRPr="00126FD8">
        <w:rPr>
          <w:color w:val="auto"/>
          <w:sz w:val="20"/>
          <w:szCs w:val="20"/>
          <w:lang w:val="es-ES"/>
        </w:rPr>
        <w:t xml:space="preserve"> </w:t>
      </w:r>
      <w:r w:rsidR="00126FD8" w:rsidRPr="00126FD8">
        <w:rPr>
          <w:color w:val="auto"/>
          <w:sz w:val="20"/>
          <w:szCs w:val="20"/>
          <w:lang w:val="es-ES"/>
        </w:rPr>
        <w:t>derecho de petición</w:t>
      </w:r>
      <w:r w:rsidR="002E3921" w:rsidRPr="00126FD8">
        <w:rPr>
          <w:color w:val="auto"/>
          <w:sz w:val="20"/>
          <w:szCs w:val="20"/>
          <w:lang w:val="es-ES"/>
        </w:rPr>
        <w:t>,</w:t>
      </w:r>
      <w:r w:rsidR="009C03AE" w:rsidRPr="00EC55EA">
        <w:rPr>
          <w:rStyle w:val="FootnoteReference"/>
          <w:color w:val="auto"/>
          <w:sz w:val="20"/>
          <w:szCs w:val="20"/>
        </w:rPr>
        <w:footnoteReference w:id="31"/>
      </w:r>
      <w:r w:rsidR="00BE66B0" w:rsidRPr="00126FD8">
        <w:rPr>
          <w:color w:val="auto"/>
          <w:sz w:val="20"/>
          <w:szCs w:val="20"/>
          <w:lang w:val="es-ES"/>
        </w:rPr>
        <w:t xml:space="preserve"> </w:t>
      </w:r>
      <w:r w:rsidR="00126FD8" w:rsidRPr="00126FD8">
        <w:rPr>
          <w:color w:val="auto"/>
          <w:sz w:val="20"/>
          <w:szCs w:val="20"/>
          <w:lang w:val="es-ES"/>
        </w:rPr>
        <w:t xml:space="preserve">y derecho </w:t>
      </w:r>
      <w:r w:rsidR="00126FD8">
        <w:rPr>
          <w:color w:val="auto"/>
          <w:sz w:val="20"/>
          <w:szCs w:val="20"/>
          <w:lang w:val="es-ES"/>
        </w:rPr>
        <w:t>a proceso regular</w:t>
      </w:r>
      <w:r w:rsidR="00F61B4C" w:rsidRPr="00EC55EA">
        <w:rPr>
          <w:rStyle w:val="FootnoteReference"/>
          <w:color w:val="auto"/>
          <w:sz w:val="20"/>
          <w:szCs w:val="20"/>
        </w:rPr>
        <w:footnoteReference w:id="32"/>
      </w:r>
      <w:bookmarkEnd w:id="17"/>
      <w:r w:rsidR="00B55F23" w:rsidRPr="00126FD8">
        <w:rPr>
          <w:color w:val="auto"/>
          <w:sz w:val="20"/>
          <w:szCs w:val="20"/>
          <w:lang w:val="es-ES"/>
        </w:rPr>
        <w:t xml:space="preserve"> </w:t>
      </w:r>
    </w:p>
    <w:p w14:paraId="1D7204AF" w14:textId="77777777" w:rsidR="005D447F" w:rsidRPr="00126FD8" w:rsidRDefault="005D447F" w:rsidP="00EC55EA">
      <w:pPr>
        <w:pStyle w:val="NormalWeb"/>
        <w:tabs>
          <w:tab w:val="left" w:pos="360"/>
        </w:tabs>
        <w:spacing w:before="0" w:beforeAutospacing="0" w:after="0" w:afterAutospacing="0"/>
        <w:jc w:val="both"/>
        <w:rPr>
          <w:rFonts w:asciiTheme="majorHAnsi" w:hAnsiTheme="majorHAnsi"/>
          <w:sz w:val="20"/>
          <w:szCs w:val="20"/>
          <w:lang w:val="es-ES"/>
        </w:rPr>
      </w:pPr>
    </w:p>
    <w:p w14:paraId="3A2A6CD0" w14:textId="77777777" w:rsidR="004C5505" w:rsidRPr="00126FD8" w:rsidRDefault="00126FD8" w:rsidP="00EC55EA">
      <w:pPr>
        <w:pStyle w:val="Heading3"/>
        <w:numPr>
          <w:ilvl w:val="1"/>
          <w:numId w:val="53"/>
        </w:numPr>
        <w:spacing w:before="0"/>
        <w:ind w:left="360"/>
        <w:rPr>
          <w:color w:val="auto"/>
          <w:sz w:val="20"/>
          <w:szCs w:val="20"/>
          <w:lang w:val="es-ES"/>
        </w:rPr>
      </w:pPr>
      <w:bookmarkStart w:id="18" w:name="_Toc90292581"/>
      <w:r w:rsidRPr="00126FD8">
        <w:rPr>
          <w:color w:val="auto"/>
          <w:sz w:val="20"/>
          <w:szCs w:val="20"/>
          <w:lang w:val="es-ES"/>
        </w:rPr>
        <w:t>Derecho a la información sobre asistencia consultar</w:t>
      </w:r>
      <w:bookmarkEnd w:id="18"/>
      <w:r w:rsidR="00EB0BBC" w:rsidRPr="00126FD8">
        <w:rPr>
          <w:color w:val="auto"/>
          <w:sz w:val="20"/>
          <w:szCs w:val="20"/>
          <w:lang w:val="es-ES"/>
        </w:rPr>
        <w:t xml:space="preserve"> </w:t>
      </w:r>
    </w:p>
    <w:p w14:paraId="089D4D18" w14:textId="77777777" w:rsidR="004C5505" w:rsidRPr="00126FD8" w:rsidRDefault="004C5505" w:rsidP="00EC55EA">
      <w:pPr>
        <w:pStyle w:val="NormalWeb"/>
        <w:tabs>
          <w:tab w:val="left" w:pos="360"/>
        </w:tabs>
        <w:spacing w:before="0" w:beforeAutospacing="0" w:after="0" w:afterAutospacing="0"/>
        <w:jc w:val="both"/>
        <w:rPr>
          <w:rFonts w:asciiTheme="majorHAnsi" w:hAnsiTheme="majorHAnsi"/>
          <w:sz w:val="20"/>
          <w:szCs w:val="20"/>
          <w:lang w:val="es-ES"/>
        </w:rPr>
      </w:pPr>
    </w:p>
    <w:p w14:paraId="15A349EB" w14:textId="77777777" w:rsidR="00BC71C5" w:rsidRPr="00BC71C5" w:rsidRDefault="00BC71C5" w:rsidP="00EC55EA">
      <w:pPr>
        <w:pStyle w:val="NormalWeb"/>
        <w:numPr>
          <w:ilvl w:val="0"/>
          <w:numId w:val="55"/>
        </w:numPr>
        <w:tabs>
          <w:tab w:val="left" w:pos="360"/>
        </w:tabs>
        <w:spacing w:before="0" w:beforeAutospacing="0" w:after="0" w:afterAutospacing="0"/>
        <w:ind w:left="0" w:firstLine="0"/>
        <w:jc w:val="both"/>
        <w:rPr>
          <w:rFonts w:asciiTheme="majorHAnsi" w:hAnsiTheme="majorHAnsi"/>
          <w:sz w:val="20"/>
          <w:szCs w:val="20"/>
          <w:lang w:val="es-ES"/>
        </w:rPr>
      </w:pPr>
      <w:r w:rsidRPr="00BC71C5">
        <w:rPr>
          <w:rFonts w:asciiTheme="majorHAnsi" w:hAnsiTheme="majorHAnsi"/>
          <w:sz w:val="20"/>
          <w:szCs w:val="20"/>
          <w:lang w:val="es-ES"/>
        </w:rPr>
        <w:t xml:space="preserve">La Comisión ha determinado en casos anteriores que es necesario y apropiado considerar en qué medida un Estado parte ha dado efecto a los requisitos del artículo 36 de la Convención de Viena con el fin de evaluar </w:t>
      </w:r>
      <w:r w:rsidRPr="00BC71C5">
        <w:rPr>
          <w:rFonts w:asciiTheme="majorHAnsi" w:hAnsiTheme="majorHAnsi"/>
          <w:sz w:val="20"/>
          <w:szCs w:val="20"/>
          <w:lang w:val="es-ES"/>
        </w:rPr>
        <w:lastRenderedPageBreak/>
        <w:t>el cumplimiento de ese Estado con los derechos al debido proceso de un ciudadano extranjero</w:t>
      </w:r>
      <w:r>
        <w:rPr>
          <w:rFonts w:asciiTheme="majorHAnsi" w:hAnsiTheme="majorHAnsi"/>
          <w:sz w:val="20"/>
          <w:szCs w:val="20"/>
          <w:lang w:val="es-ES"/>
        </w:rPr>
        <w:t>,</w:t>
      </w:r>
      <w:r w:rsidRPr="00BC71C5">
        <w:rPr>
          <w:rFonts w:asciiTheme="majorHAnsi" w:hAnsiTheme="majorHAnsi"/>
          <w:sz w:val="20"/>
          <w:szCs w:val="20"/>
          <w:lang w:val="es-ES"/>
        </w:rPr>
        <w:t xml:space="preserve"> de conformidad con los artículos XVIII y XXVI de la Declaración Americana. Por lo tanto, sí considera el cumplimiento del artículo 36 de la Convención de Viena al interpretar y aplicar las disposiciones de la Declaración Americana a un extranjero que haya sido detenido, </w:t>
      </w:r>
      <w:r>
        <w:rPr>
          <w:rFonts w:asciiTheme="majorHAnsi" w:hAnsiTheme="majorHAnsi"/>
          <w:sz w:val="20"/>
          <w:szCs w:val="20"/>
          <w:lang w:val="es-ES"/>
        </w:rPr>
        <w:t>llevad</w:t>
      </w:r>
      <w:r w:rsidRPr="00BC71C5">
        <w:rPr>
          <w:rFonts w:asciiTheme="majorHAnsi" w:hAnsiTheme="majorHAnsi"/>
          <w:sz w:val="20"/>
          <w:szCs w:val="20"/>
          <w:lang w:val="es-ES"/>
        </w:rPr>
        <w:t>o a juicio</w:t>
      </w:r>
      <w:r>
        <w:rPr>
          <w:rFonts w:asciiTheme="majorHAnsi" w:hAnsiTheme="majorHAnsi"/>
          <w:sz w:val="20"/>
          <w:szCs w:val="20"/>
          <w:lang w:val="es-ES"/>
        </w:rPr>
        <w:t xml:space="preserve"> o </w:t>
      </w:r>
      <w:r w:rsidRPr="00BC71C5">
        <w:rPr>
          <w:rFonts w:asciiTheme="majorHAnsi" w:hAnsiTheme="majorHAnsi"/>
          <w:sz w:val="20"/>
          <w:szCs w:val="20"/>
          <w:lang w:val="es-ES"/>
        </w:rPr>
        <w:t xml:space="preserve">detenido en espera de juicio, o se encuentre detenido de cualquier otra forma por ese </w:t>
      </w:r>
      <w:r>
        <w:rPr>
          <w:rFonts w:asciiTheme="majorHAnsi" w:hAnsiTheme="majorHAnsi"/>
          <w:sz w:val="20"/>
          <w:szCs w:val="20"/>
          <w:lang w:val="es-ES"/>
        </w:rPr>
        <w:t>E</w:t>
      </w:r>
      <w:r w:rsidRPr="00BC71C5">
        <w:rPr>
          <w:rFonts w:asciiTheme="majorHAnsi" w:hAnsiTheme="majorHAnsi"/>
          <w:sz w:val="20"/>
          <w:szCs w:val="20"/>
          <w:lang w:val="es-ES"/>
        </w:rPr>
        <w:t>stado.</w:t>
      </w:r>
      <w:r w:rsidRPr="00EC55EA">
        <w:rPr>
          <w:rStyle w:val="FootnoteReference"/>
          <w:rFonts w:asciiTheme="majorHAnsi" w:hAnsiTheme="majorHAnsi"/>
          <w:sz w:val="20"/>
          <w:szCs w:val="20"/>
        </w:rPr>
        <w:footnoteReference w:id="33"/>
      </w:r>
    </w:p>
    <w:p w14:paraId="345778B0" w14:textId="77777777" w:rsidR="00FD3996" w:rsidRPr="00E36893" w:rsidRDefault="00FD3996" w:rsidP="00EC55EA">
      <w:pPr>
        <w:pStyle w:val="NormalWeb"/>
        <w:tabs>
          <w:tab w:val="left" w:pos="360"/>
        </w:tabs>
        <w:spacing w:before="0" w:beforeAutospacing="0" w:after="0" w:afterAutospacing="0"/>
        <w:jc w:val="both"/>
        <w:rPr>
          <w:rFonts w:asciiTheme="majorHAnsi" w:hAnsiTheme="majorHAnsi"/>
          <w:sz w:val="20"/>
          <w:szCs w:val="20"/>
          <w:lang w:val="es-ES"/>
        </w:rPr>
      </w:pPr>
    </w:p>
    <w:p w14:paraId="1ABDDA3F" w14:textId="77777777" w:rsidR="00BC71C5" w:rsidRPr="00BC71C5" w:rsidRDefault="00BC71C5" w:rsidP="00EB0BBC">
      <w:pPr>
        <w:pStyle w:val="NormalWeb"/>
        <w:numPr>
          <w:ilvl w:val="0"/>
          <w:numId w:val="55"/>
        </w:numPr>
        <w:tabs>
          <w:tab w:val="left" w:pos="360"/>
        </w:tabs>
        <w:spacing w:before="0" w:beforeAutospacing="0" w:after="0" w:afterAutospacing="0"/>
        <w:ind w:left="0" w:firstLine="0"/>
        <w:jc w:val="both"/>
        <w:rPr>
          <w:rFonts w:asciiTheme="majorHAnsi" w:hAnsiTheme="majorHAnsi"/>
          <w:sz w:val="20"/>
          <w:szCs w:val="20"/>
          <w:lang w:val="es-ES"/>
        </w:rPr>
      </w:pPr>
      <w:r w:rsidRPr="00BC71C5">
        <w:rPr>
          <w:rFonts w:asciiTheme="majorHAnsi" w:hAnsiTheme="majorHAnsi"/>
          <w:sz w:val="20"/>
          <w:szCs w:val="20"/>
          <w:lang w:val="es-ES"/>
        </w:rPr>
        <w:t>En su Opinión Consultiva OC-16/99, la Corte Interamericana estableció que los incisos (b) y (c) del artículo 36(1) de la Convención de Viena “</w:t>
      </w:r>
      <w:r>
        <w:rPr>
          <w:rFonts w:asciiTheme="majorHAnsi" w:hAnsiTheme="majorHAnsi"/>
          <w:sz w:val="20"/>
          <w:szCs w:val="20"/>
          <w:lang w:val="es-ES"/>
        </w:rPr>
        <w:t>consagra, entre otros, el derecho del extranjero privado de la libertad a ser informado, “sin dilación”, de que tiene</w:t>
      </w:r>
      <w:r w:rsidRPr="00BC71C5">
        <w:rPr>
          <w:rFonts w:asciiTheme="majorHAnsi" w:hAnsiTheme="majorHAnsi"/>
          <w:sz w:val="20"/>
          <w:szCs w:val="20"/>
          <w:lang w:val="es-ES"/>
        </w:rPr>
        <w:t>:</w:t>
      </w:r>
    </w:p>
    <w:p w14:paraId="006A625B" w14:textId="77777777" w:rsidR="00BC71C5" w:rsidRPr="00E36893" w:rsidRDefault="00BC71C5" w:rsidP="00BC71C5">
      <w:pPr>
        <w:rPr>
          <w:rFonts w:asciiTheme="majorHAnsi" w:hAnsiTheme="majorHAnsi"/>
          <w:sz w:val="20"/>
          <w:szCs w:val="20"/>
          <w:lang w:val="es-ES"/>
        </w:rPr>
      </w:pPr>
    </w:p>
    <w:p w14:paraId="0C4BEAC5" w14:textId="77777777" w:rsidR="00BC71C5" w:rsidRPr="00BC71C5" w:rsidRDefault="00BC71C5" w:rsidP="00BC71C5">
      <w:pPr>
        <w:pStyle w:val="NormalWeb"/>
        <w:tabs>
          <w:tab w:val="left" w:pos="360"/>
        </w:tabs>
        <w:spacing w:before="0" w:beforeAutospacing="0" w:after="0" w:afterAutospacing="0"/>
        <w:ind w:left="360" w:right="360"/>
        <w:jc w:val="both"/>
        <w:rPr>
          <w:rFonts w:asciiTheme="majorHAnsi" w:hAnsiTheme="majorHAnsi"/>
          <w:sz w:val="18"/>
          <w:szCs w:val="18"/>
          <w:lang w:val="es-ES"/>
        </w:rPr>
      </w:pPr>
      <w:r w:rsidRPr="00BC71C5">
        <w:rPr>
          <w:rFonts w:asciiTheme="majorHAnsi" w:hAnsiTheme="majorHAnsi"/>
          <w:sz w:val="18"/>
          <w:szCs w:val="18"/>
          <w:lang w:val="es-ES"/>
        </w:rPr>
        <w:t>a) derecho a solicitar y obtener que las autoridades competentes del Estado receptor informen a la oficina consular competente sobre su arresto, detención o puesta en prisión preventiva, y</w:t>
      </w:r>
    </w:p>
    <w:p w14:paraId="577A3366" w14:textId="77777777" w:rsidR="00EB0BBC" w:rsidRDefault="00BC71C5" w:rsidP="00BC71C5">
      <w:pPr>
        <w:pStyle w:val="NormalWeb"/>
        <w:tabs>
          <w:tab w:val="left" w:pos="360"/>
        </w:tabs>
        <w:spacing w:before="0" w:beforeAutospacing="0" w:after="0" w:afterAutospacing="0"/>
        <w:ind w:left="360" w:right="360"/>
        <w:jc w:val="both"/>
        <w:rPr>
          <w:rFonts w:asciiTheme="majorHAnsi" w:hAnsiTheme="majorHAnsi"/>
          <w:sz w:val="18"/>
          <w:szCs w:val="18"/>
          <w:lang w:val="es-ES"/>
        </w:rPr>
      </w:pPr>
      <w:r w:rsidRPr="00BC71C5">
        <w:rPr>
          <w:rFonts w:asciiTheme="majorHAnsi" w:hAnsiTheme="majorHAnsi"/>
          <w:sz w:val="18"/>
          <w:szCs w:val="18"/>
          <w:lang w:val="es-ES"/>
        </w:rPr>
        <w:t>b) derecho a dirigir a la oficina consular competente cualquier comunicación, para que ésta le sea transmitida “sin demora</w:t>
      </w:r>
      <w:r w:rsidR="00EB0BBC" w:rsidRPr="00BC71C5">
        <w:rPr>
          <w:rFonts w:asciiTheme="majorHAnsi" w:hAnsiTheme="majorHAnsi"/>
          <w:sz w:val="18"/>
          <w:szCs w:val="18"/>
          <w:lang w:val="es-ES"/>
        </w:rPr>
        <w:t>.”</w:t>
      </w:r>
      <w:r w:rsidR="00EB0BBC" w:rsidRPr="00EB0BBC">
        <w:rPr>
          <w:rStyle w:val="FootnoteReference"/>
          <w:rFonts w:asciiTheme="majorHAnsi" w:hAnsiTheme="majorHAnsi"/>
          <w:sz w:val="18"/>
          <w:szCs w:val="18"/>
        </w:rPr>
        <w:footnoteReference w:id="34"/>
      </w:r>
    </w:p>
    <w:p w14:paraId="0612BF5D" w14:textId="77777777" w:rsidR="00BC71C5" w:rsidRPr="00BC71C5" w:rsidRDefault="00BC71C5" w:rsidP="00BC71C5">
      <w:pPr>
        <w:pStyle w:val="NormalWeb"/>
        <w:tabs>
          <w:tab w:val="left" w:pos="360"/>
        </w:tabs>
        <w:spacing w:before="0" w:beforeAutospacing="0" w:after="0" w:afterAutospacing="0"/>
        <w:ind w:right="360"/>
        <w:jc w:val="both"/>
        <w:rPr>
          <w:rFonts w:asciiTheme="majorHAnsi" w:hAnsiTheme="majorHAnsi"/>
          <w:sz w:val="18"/>
          <w:szCs w:val="18"/>
          <w:lang w:val="es-ES"/>
        </w:rPr>
      </w:pPr>
    </w:p>
    <w:p w14:paraId="184412C7" w14:textId="77777777" w:rsidR="00FD3996" w:rsidRPr="00BC71C5" w:rsidRDefault="00BC71C5" w:rsidP="00BC71C5">
      <w:pPr>
        <w:pStyle w:val="NormalWeb"/>
        <w:numPr>
          <w:ilvl w:val="0"/>
          <w:numId w:val="55"/>
        </w:numPr>
        <w:tabs>
          <w:tab w:val="left" w:pos="360"/>
        </w:tabs>
        <w:spacing w:before="0" w:beforeAutospacing="0" w:after="0" w:afterAutospacing="0"/>
        <w:ind w:left="0" w:firstLine="0"/>
        <w:jc w:val="both"/>
        <w:rPr>
          <w:rFonts w:asciiTheme="majorHAnsi" w:hAnsiTheme="majorHAnsi"/>
          <w:sz w:val="20"/>
          <w:szCs w:val="20"/>
          <w:lang w:val="es-ES"/>
        </w:rPr>
      </w:pPr>
      <w:r w:rsidRPr="00BC71C5">
        <w:rPr>
          <w:rFonts w:asciiTheme="majorHAnsi" w:hAnsiTheme="majorHAnsi"/>
          <w:sz w:val="20"/>
          <w:szCs w:val="20"/>
          <w:lang w:val="es-ES"/>
        </w:rPr>
        <w:t xml:space="preserve">La importancia del derecho a la información sobre la asistencia consular también se refleja en pautas prácticas como las adoptadas por la </w:t>
      </w:r>
      <w:r w:rsidRPr="00BC71C5">
        <w:rPr>
          <w:rFonts w:asciiTheme="majorHAnsi" w:hAnsiTheme="majorHAnsi"/>
          <w:i/>
          <w:iCs/>
          <w:sz w:val="20"/>
          <w:szCs w:val="20"/>
          <w:lang w:val="es-ES"/>
        </w:rPr>
        <w:t>American Bar Association</w:t>
      </w:r>
      <w:r w:rsidRPr="00BC71C5">
        <w:rPr>
          <w:rFonts w:asciiTheme="majorHAnsi" w:hAnsiTheme="majorHAnsi"/>
          <w:sz w:val="20"/>
          <w:szCs w:val="20"/>
          <w:lang w:val="es-ES"/>
        </w:rPr>
        <w:t xml:space="preserve">, una organización nacional para la profesión jurídica en los Estados Unidos, en relación con los derechos al debido proceso de los extranjeros en los procesos penales. La ABA ha indicado en sus </w:t>
      </w:r>
      <w:r>
        <w:rPr>
          <w:rFonts w:asciiTheme="majorHAnsi" w:hAnsiTheme="majorHAnsi"/>
          <w:sz w:val="20"/>
          <w:szCs w:val="20"/>
          <w:lang w:val="es-ES"/>
        </w:rPr>
        <w:t>“</w:t>
      </w:r>
      <w:r w:rsidRPr="00BC71C5">
        <w:rPr>
          <w:rFonts w:asciiTheme="majorHAnsi" w:hAnsiTheme="majorHAnsi"/>
          <w:sz w:val="20"/>
          <w:szCs w:val="20"/>
          <w:lang w:val="es-ES"/>
        </w:rPr>
        <w:t xml:space="preserve">Directrices para el </w:t>
      </w:r>
      <w:r>
        <w:rPr>
          <w:rFonts w:asciiTheme="majorHAnsi" w:hAnsiTheme="majorHAnsi"/>
          <w:sz w:val="20"/>
          <w:szCs w:val="20"/>
          <w:lang w:val="es-ES"/>
        </w:rPr>
        <w:t>N</w:t>
      </w:r>
      <w:r w:rsidRPr="00BC71C5">
        <w:rPr>
          <w:rFonts w:asciiTheme="majorHAnsi" w:hAnsiTheme="majorHAnsi"/>
          <w:sz w:val="20"/>
          <w:szCs w:val="20"/>
          <w:lang w:val="es-ES"/>
        </w:rPr>
        <w:t xml:space="preserve">ombramiento y </w:t>
      </w:r>
      <w:r>
        <w:rPr>
          <w:rFonts w:asciiTheme="majorHAnsi" w:hAnsiTheme="majorHAnsi"/>
          <w:sz w:val="20"/>
          <w:szCs w:val="20"/>
          <w:lang w:val="es-ES"/>
        </w:rPr>
        <w:t>D</w:t>
      </w:r>
      <w:r w:rsidRPr="00BC71C5">
        <w:rPr>
          <w:rFonts w:asciiTheme="majorHAnsi" w:hAnsiTheme="majorHAnsi"/>
          <w:sz w:val="20"/>
          <w:szCs w:val="20"/>
          <w:lang w:val="es-ES"/>
        </w:rPr>
        <w:t xml:space="preserve">esempeño de </w:t>
      </w:r>
      <w:r>
        <w:rPr>
          <w:rFonts w:asciiTheme="majorHAnsi" w:hAnsiTheme="majorHAnsi"/>
          <w:sz w:val="20"/>
          <w:szCs w:val="20"/>
          <w:lang w:val="es-ES"/>
        </w:rPr>
        <w:t>A</w:t>
      </w:r>
      <w:r w:rsidRPr="00BC71C5">
        <w:rPr>
          <w:rFonts w:asciiTheme="majorHAnsi" w:hAnsiTheme="majorHAnsi"/>
          <w:sz w:val="20"/>
          <w:szCs w:val="20"/>
          <w:lang w:val="es-ES"/>
        </w:rPr>
        <w:t xml:space="preserve">bogados </w:t>
      </w:r>
      <w:r>
        <w:rPr>
          <w:rFonts w:asciiTheme="majorHAnsi" w:hAnsiTheme="majorHAnsi"/>
          <w:sz w:val="20"/>
          <w:szCs w:val="20"/>
          <w:lang w:val="es-ES"/>
        </w:rPr>
        <w:t>D</w:t>
      </w:r>
      <w:r w:rsidRPr="00BC71C5">
        <w:rPr>
          <w:rFonts w:asciiTheme="majorHAnsi" w:hAnsiTheme="majorHAnsi"/>
          <w:sz w:val="20"/>
          <w:szCs w:val="20"/>
          <w:lang w:val="es-ES"/>
        </w:rPr>
        <w:t xml:space="preserve">efensores en </w:t>
      </w:r>
      <w:r>
        <w:rPr>
          <w:rFonts w:asciiTheme="majorHAnsi" w:hAnsiTheme="majorHAnsi"/>
          <w:sz w:val="20"/>
          <w:szCs w:val="20"/>
          <w:lang w:val="es-ES"/>
        </w:rPr>
        <w:t>C</w:t>
      </w:r>
      <w:r w:rsidRPr="00BC71C5">
        <w:rPr>
          <w:rFonts w:asciiTheme="majorHAnsi" w:hAnsiTheme="majorHAnsi"/>
          <w:sz w:val="20"/>
          <w:szCs w:val="20"/>
          <w:lang w:val="es-ES"/>
        </w:rPr>
        <w:t xml:space="preserve">asos de </w:t>
      </w:r>
      <w:r>
        <w:rPr>
          <w:rFonts w:asciiTheme="majorHAnsi" w:hAnsiTheme="majorHAnsi"/>
          <w:sz w:val="20"/>
          <w:szCs w:val="20"/>
          <w:lang w:val="es-ES"/>
        </w:rPr>
        <w:t>P</w:t>
      </w:r>
      <w:r w:rsidRPr="00BC71C5">
        <w:rPr>
          <w:rFonts w:asciiTheme="majorHAnsi" w:hAnsiTheme="majorHAnsi"/>
          <w:sz w:val="20"/>
          <w:szCs w:val="20"/>
          <w:lang w:val="es-ES"/>
        </w:rPr>
        <w:t xml:space="preserve">ena de </w:t>
      </w:r>
      <w:r>
        <w:rPr>
          <w:rFonts w:asciiTheme="majorHAnsi" w:hAnsiTheme="majorHAnsi"/>
          <w:sz w:val="20"/>
          <w:szCs w:val="20"/>
          <w:lang w:val="es-ES"/>
        </w:rPr>
        <w:t>M</w:t>
      </w:r>
      <w:r w:rsidRPr="00BC71C5">
        <w:rPr>
          <w:rFonts w:asciiTheme="majorHAnsi" w:hAnsiTheme="majorHAnsi"/>
          <w:sz w:val="20"/>
          <w:szCs w:val="20"/>
          <w:lang w:val="es-ES"/>
        </w:rPr>
        <w:t>uerte que</w:t>
      </w:r>
      <w:r w:rsidR="00FD3996" w:rsidRPr="00BC71C5">
        <w:rPr>
          <w:rFonts w:ascii="Cambria" w:hAnsi="Cambria"/>
          <w:sz w:val="20"/>
          <w:szCs w:val="20"/>
          <w:lang w:val="es-ES"/>
        </w:rPr>
        <w:t>:</w:t>
      </w:r>
      <w:r w:rsidR="00FD3996" w:rsidRPr="00EC55EA">
        <w:rPr>
          <w:rStyle w:val="FootnoteReference"/>
          <w:rFonts w:ascii="Cambria" w:hAnsi="Cambria" w:cs="Arial"/>
          <w:sz w:val="20"/>
          <w:szCs w:val="20"/>
        </w:rPr>
        <w:footnoteReference w:id="35"/>
      </w:r>
    </w:p>
    <w:p w14:paraId="0691146B" w14:textId="77777777" w:rsidR="00FD3996" w:rsidRPr="00BC71C5" w:rsidRDefault="00FD3996" w:rsidP="00EC55EA">
      <w:pPr>
        <w:jc w:val="both"/>
        <w:rPr>
          <w:rFonts w:ascii="Cambria" w:hAnsi="Cambria" w:cs="Arial"/>
          <w:sz w:val="20"/>
          <w:szCs w:val="20"/>
          <w:lang w:val="es-ES"/>
        </w:rPr>
      </w:pPr>
    </w:p>
    <w:p w14:paraId="06C90239" w14:textId="1557C351" w:rsidR="00FD3996" w:rsidRPr="008448B4" w:rsidRDefault="008448B4" w:rsidP="008448B4">
      <w:pPr>
        <w:ind w:left="360" w:right="360"/>
        <w:jc w:val="both"/>
        <w:rPr>
          <w:rFonts w:ascii="Cambria" w:hAnsi="Cambria" w:cs="Arial"/>
          <w:sz w:val="18"/>
          <w:szCs w:val="18"/>
          <w:lang w:val="es-ES"/>
        </w:rPr>
      </w:pPr>
      <w:r w:rsidRPr="008448B4">
        <w:rPr>
          <w:rFonts w:ascii="Cambria" w:hAnsi="Cambria" w:cs="Arial"/>
          <w:sz w:val="18"/>
          <w:szCs w:val="18"/>
          <w:lang w:val="es-ES"/>
        </w:rPr>
        <w:t>[a] menos que el abogado predecesor ya lo haya hecho, el abogado que represente a un ciudadano extranjero debe: 1. informar inmediatamente al cliente de su derecho a comunicarse con la oficina consular correspondiente; y 2. obtener el consentimiento del cliente para comunicarse con la oficina consular. Después de obtener el consentimiento, el abogado debe comunicarse inmediatamente con la oficina consular del cliente e informarle de la detención o arresto del cliente</w:t>
      </w:r>
      <w:r w:rsidR="003E7F11">
        <w:rPr>
          <w:rFonts w:ascii="Cambria" w:hAnsi="Cambria" w:cs="Arial"/>
          <w:sz w:val="18"/>
          <w:szCs w:val="18"/>
          <w:lang w:val="es-ES"/>
        </w:rPr>
        <w:t xml:space="preserve"> </w:t>
      </w:r>
      <w:r w:rsidR="00FD3996" w:rsidRPr="008448B4">
        <w:rPr>
          <w:rFonts w:ascii="Cambria" w:hAnsi="Cambria" w:cs="Arial"/>
          <w:sz w:val="18"/>
          <w:szCs w:val="18"/>
          <w:lang w:val="es-ES"/>
        </w:rPr>
        <w:t>[…]</w:t>
      </w:r>
    </w:p>
    <w:p w14:paraId="686704C5" w14:textId="77777777" w:rsidR="00FD3996" w:rsidRPr="008448B4" w:rsidRDefault="00FD3996" w:rsidP="00EC55EA">
      <w:pPr>
        <w:pStyle w:val="NormalWeb"/>
        <w:tabs>
          <w:tab w:val="left" w:pos="360"/>
        </w:tabs>
        <w:spacing w:before="0" w:beforeAutospacing="0" w:after="0" w:afterAutospacing="0"/>
        <w:jc w:val="both"/>
        <w:rPr>
          <w:rFonts w:ascii="Cambria" w:hAnsi="Cambria"/>
          <w:sz w:val="20"/>
          <w:szCs w:val="20"/>
          <w:lang w:val="es-ES"/>
        </w:rPr>
      </w:pPr>
    </w:p>
    <w:p w14:paraId="532EDF05" w14:textId="77777777" w:rsidR="008448B4" w:rsidRPr="008448B4" w:rsidRDefault="008448B4" w:rsidP="00EC55EA">
      <w:pPr>
        <w:pStyle w:val="NormalWeb"/>
        <w:numPr>
          <w:ilvl w:val="0"/>
          <w:numId w:val="55"/>
        </w:numPr>
        <w:tabs>
          <w:tab w:val="left" w:pos="360"/>
        </w:tabs>
        <w:spacing w:before="0" w:beforeAutospacing="0" w:after="0" w:afterAutospacing="0"/>
        <w:ind w:left="0" w:firstLine="0"/>
        <w:jc w:val="both"/>
        <w:rPr>
          <w:rFonts w:ascii="Cambria" w:hAnsi="Cambria"/>
          <w:sz w:val="20"/>
          <w:szCs w:val="20"/>
          <w:lang w:val="es-ES"/>
        </w:rPr>
      </w:pPr>
      <w:r w:rsidRPr="008448B4">
        <w:rPr>
          <w:rFonts w:ascii="Cambria" w:hAnsi="Cambria"/>
          <w:sz w:val="20"/>
          <w:szCs w:val="20"/>
          <w:lang w:val="es-ES"/>
        </w:rPr>
        <w:t>En este caso, la Comisión observa que los peticionarios afirman que el señor Valle es nacional de Cuba; afirmaciones que hasta la fecha no han sido impugnadas por el Estado. Los peticionarios alegan que el señor Valle no fue informado de su derecho a la información sobre asistencia consular al momento de su arresto y nunca se contactó ni recibió asistencia del gobierno cubano. Se afirma que si el Sr. Valle conociera sus derechos en virtud del artículo 36 de la Convención de Viena, se habría valido de sus derechos y es probable que el contacto con el cónsul hubiera resultado en asistencia.</w:t>
      </w:r>
    </w:p>
    <w:p w14:paraId="482E9A68" w14:textId="77777777" w:rsidR="00F810EB" w:rsidRPr="00E36893" w:rsidRDefault="00F810EB" w:rsidP="00057843">
      <w:pPr>
        <w:pStyle w:val="NormalWeb"/>
        <w:tabs>
          <w:tab w:val="left" w:pos="360"/>
        </w:tabs>
        <w:spacing w:before="0" w:beforeAutospacing="0" w:after="0" w:afterAutospacing="0"/>
        <w:jc w:val="both"/>
        <w:rPr>
          <w:rFonts w:ascii="Cambria" w:hAnsi="Cambria"/>
          <w:sz w:val="20"/>
          <w:szCs w:val="20"/>
          <w:lang w:val="es-ES"/>
        </w:rPr>
      </w:pPr>
    </w:p>
    <w:p w14:paraId="3EE66E95" w14:textId="77777777" w:rsidR="008448B4" w:rsidRPr="008448B4" w:rsidRDefault="008448B4" w:rsidP="00EC55EA">
      <w:pPr>
        <w:pStyle w:val="NormalWeb"/>
        <w:numPr>
          <w:ilvl w:val="0"/>
          <w:numId w:val="55"/>
        </w:numPr>
        <w:tabs>
          <w:tab w:val="left" w:pos="360"/>
        </w:tabs>
        <w:spacing w:before="0" w:beforeAutospacing="0" w:after="0" w:afterAutospacing="0"/>
        <w:ind w:left="0" w:firstLine="0"/>
        <w:jc w:val="both"/>
        <w:rPr>
          <w:rFonts w:ascii="Cambria" w:hAnsi="Cambria"/>
          <w:sz w:val="20"/>
          <w:szCs w:val="20"/>
          <w:lang w:val="es-ES"/>
        </w:rPr>
      </w:pPr>
      <w:r w:rsidRPr="008448B4">
        <w:rPr>
          <w:rFonts w:ascii="Cambria" w:hAnsi="Cambria"/>
          <w:sz w:val="20"/>
          <w:szCs w:val="20"/>
          <w:lang w:val="es-ES"/>
        </w:rPr>
        <w:t>El Estado no ha refutado los argumentos de los peticionarios al respecto. En consecuencia, con base en la información y argumentos presentados, la Comisión concluye que la presunta víctima no fue notificada de su derecho a la notificación consular en el momento de sus respectivas detenciones o posteriormente.</w:t>
      </w:r>
    </w:p>
    <w:p w14:paraId="292D2C10" w14:textId="77777777" w:rsidR="002F023D" w:rsidRPr="00E36893" w:rsidRDefault="002F023D" w:rsidP="00EC55EA">
      <w:pPr>
        <w:rPr>
          <w:sz w:val="20"/>
          <w:szCs w:val="20"/>
          <w:lang w:val="es-ES"/>
        </w:rPr>
      </w:pPr>
    </w:p>
    <w:p w14:paraId="450024CC" w14:textId="77777777" w:rsidR="008448B4" w:rsidRPr="008448B4" w:rsidRDefault="008448B4" w:rsidP="00EC55EA">
      <w:pPr>
        <w:pStyle w:val="NormalWeb"/>
        <w:numPr>
          <w:ilvl w:val="0"/>
          <w:numId w:val="55"/>
        </w:numPr>
        <w:tabs>
          <w:tab w:val="left" w:pos="360"/>
        </w:tabs>
        <w:spacing w:before="0" w:beforeAutospacing="0" w:after="0" w:afterAutospacing="0"/>
        <w:ind w:left="0" w:firstLine="0"/>
        <w:jc w:val="both"/>
        <w:rPr>
          <w:rFonts w:ascii="Cambria" w:hAnsi="Cambria"/>
          <w:sz w:val="20"/>
          <w:szCs w:val="20"/>
          <w:lang w:val="es-ES"/>
        </w:rPr>
      </w:pPr>
      <w:r w:rsidRPr="008448B4">
        <w:rPr>
          <w:rFonts w:ascii="Cambria" w:hAnsi="Cambria"/>
          <w:sz w:val="20"/>
          <w:szCs w:val="20"/>
          <w:lang w:val="es-ES"/>
        </w:rPr>
        <w:t>Con base en lo anterior, la Comisión concluye que la obligación del Estado en virtud del artículo 36 de la Convención de Viena de informar al señor Valle (al momento de su detención) de su derecho a la información sobre la asistencia consular constituyó un componente fundamental de l</w:t>
      </w:r>
      <w:r>
        <w:rPr>
          <w:rFonts w:ascii="Cambria" w:hAnsi="Cambria"/>
          <w:sz w:val="20"/>
          <w:szCs w:val="20"/>
          <w:lang w:val="es-ES"/>
        </w:rPr>
        <w:t xml:space="preserve">os estándares </w:t>
      </w:r>
      <w:r w:rsidRPr="008448B4">
        <w:rPr>
          <w:rFonts w:ascii="Cambria" w:hAnsi="Cambria"/>
          <w:sz w:val="20"/>
          <w:szCs w:val="20"/>
          <w:lang w:val="es-ES"/>
        </w:rPr>
        <w:t>del debido proceso que le corresponde en virtud de los artículos XVIII y XXVI de la Declaración, y que la falta de respeto y garantía por parte del Estado de esta obligación privó a la presunta víctima de un proceso penal que cumplió con los estándares mínimos del debido proceso y un juicio justo requeridos por los artículos XVIII y XXVI de la Declaración.</w:t>
      </w:r>
    </w:p>
    <w:p w14:paraId="31908EC9" w14:textId="77777777" w:rsidR="003D684D" w:rsidRPr="00E36893" w:rsidRDefault="003D684D" w:rsidP="003D684D">
      <w:pPr>
        <w:pStyle w:val="NormalWeb"/>
        <w:tabs>
          <w:tab w:val="left" w:pos="360"/>
        </w:tabs>
        <w:spacing w:before="0" w:beforeAutospacing="0" w:after="0" w:afterAutospacing="0"/>
        <w:jc w:val="both"/>
        <w:rPr>
          <w:rFonts w:asciiTheme="majorHAnsi" w:hAnsiTheme="majorHAnsi"/>
          <w:sz w:val="20"/>
          <w:szCs w:val="20"/>
          <w:lang w:val="es-ES"/>
        </w:rPr>
      </w:pPr>
    </w:p>
    <w:p w14:paraId="11C28559" w14:textId="77777777" w:rsidR="003D684D" w:rsidRPr="00126FD8" w:rsidRDefault="00126FD8" w:rsidP="003D684D">
      <w:pPr>
        <w:pStyle w:val="Heading3"/>
        <w:numPr>
          <w:ilvl w:val="1"/>
          <w:numId w:val="53"/>
        </w:numPr>
        <w:spacing w:before="0"/>
        <w:ind w:left="360"/>
        <w:rPr>
          <w:color w:val="auto"/>
          <w:sz w:val="20"/>
          <w:szCs w:val="20"/>
          <w:lang w:val="es-ES"/>
        </w:rPr>
      </w:pPr>
      <w:bookmarkStart w:id="19" w:name="_Toc90292582"/>
      <w:r w:rsidRPr="00126FD8">
        <w:rPr>
          <w:color w:val="auto"/>
          <w:sz w:val="20"/>
          <w:szCs w:val="20"/>
          <w:lang w:val="es-ES"/>
        </w:rPr>
        <w:t>Derecho a pro</w:t>
      </w:r>
      <w:r w:rsidR="008448B4">
        <w:rPr>
          <w:color w:val="auto"/>
          <w:sz w:val="20"/>
          <w:szCs w:val="20"/>
          <w:lang w:val="es-ES"/>
        </w:rPr>
        <w:t>ced</w:t>
      </w:r>
      <w:r w:rsidRPr="00126FD8">
        <w:rPr>
          <w:color w:val="auto"/>
          <w:sz w:val="20"/>
          <w:szCs w:val="20"/>
          <w:lang w:val="es-ES"/>
        </w:rPr>
        <w:t>imientos de clemencia</w:t>
      </w:r>
      <w:bookmarkEnd w:id="19"/>
      <w:r w:rsidR="003D684D" w:rsidRPr="00126FD8">
        <w:rPr>
          <w:color w:val="auto"/>
          <w:sz w:val="20"/>
          <w:szCs w:val="20"/>
          <w:lang w:val="es-ES"/>
        </w:rPr>
        <w:t xml:space="preserve"> </w:t>
      </w:r>
    </w:p>
    <w:p w14:paraId="6E825004" w14:textId="77777777" w:rsidR="00A3072C" w:rsidRPr="00126FD8" w:rsidRDefault="00A3072C" w:rsidP="00A3072C">
      <w:pPr>
        <w:pStyle w:val="ListParagraph"/>
        <w:rPr>
          <w:sz w:val="20"/>
          <w:szCs w:val="20"/>
          <w:lang w:val="es-ES"/>
        </w:rPr>
      </w:pPr>
    </w:p>
    <w:p w14:paraId="18449B7F" w14:textId="77777777" w:rsidR="008448B4" w:rsidRPr="008448B4" w:rsidRDefault="008448B4" w:rsidP="00D31511">
      <w:pPr>
        <w:pStyle w:val="NormalWeb"/>
        <w:numPr>
          <w:ilvl w:val="0"/>
          <w:numId w:val="55"/>
        </w:numPr>
        <w:tabs>
          <w:tab w:val="left" w:pos="360"/>
        </w:tabs>
        <w:spacing w:beforeLines="1" w:before="2" w:beforeAutospacing="0" w:afterLines="1" w:after="2" w:afterAutospacing="0"/>
        <w:ind w:left="0" w:firstLine="0"/>
        <w:jc w:val="both"/>
        <w:rPr>
          <w:rFonts w:asciiTheme="majorHAnsi" w:eastAsiaTheme="minorHAnsi" w:hAnsiTheme="majorHAnsi"/>
          <w:sz w:val="20"/>
          <w:szCs w:val="20"/>
          <w:lang w:val="es-ES"/>
        </w:rPr>
      </w:pPr>
      <w:r w:rsidRPr="008448B4">
        <w:rPr>
          <w:rFonts w:asciiTheme="majorHAnsi" w:eastAsiaTheme="minorHAnsi" w:hAnsiTheme="majorHAnsi"/>
          <w:sz w:val="20"/>
          <w:szCs w:val="20"/>
          <w:lang w:val="es-ES"/>
        </w:rPr>
        <w:lastRenderedPageBreak/>
        <w:t>Como se señaló en Medellín y otros,</w:t>
      </w:r>
      <w:r w:rsidRPr="002F0138">
        <w:rPr>
          <w:rStyle w:val="FootnoteReference"/>
          <w:rFonts w:asciiTheme="majorHAnsi" w:eastAsiaTheme="minorHAnsi" w:hAnsiTheme="majorHAnsi"/>
          <w:sz w:val="20"/>
          <w:szCs w:val="20"/>
        </w:rPr>
        <w:footnoteReference w:id="36"/>
      </w:r>
      <w:r w:rsidRPr="008448B4">
        <w:rPr>
          <w:rFonts w:asciiTheme="majorHAnsi" w:eastAsiaTheme="minorHAnsi" w:hAnsiTheme="majorHAnsi"/>
          <w:sz w:val="20"/>
          <w:szCs w:val="20"/>
          <w:lang w:val="es-ES"/>
        </w:rPr>
        <w:t xml:space="preserve"> la Comisión ha sostenido anteriormente que el derecho a solicitar la amnistía, el indulto o la conmutación de la pena en los instrumentos interamericanos de derechos humanos, aunque no necesariamente está sujeto a las protecciones plenas del debido proceso, está sujeto a ciertas garantías mínimas de </w:t>
      </w:r>
      <w:r>
        <w:rPr>
          <w:rFonts w:asciiTheme="majorHAnsi" w:eastAsiaTheme="minorHAnsi" w:hAnsiTheme="majorHAnsi"/>
          <w:sz w:val="20"/>
          <w:szCs w:val="20"/>
          <w:lang w:val="es-ES"/>
        </w:rPr>
        <w:t>justicia</w:t>
      </w:r>
      <w:r w:rsidRPr="008448B4">
        <w:rPr>
          <w:rFonts w:asciiTheme="majorHAnsi" w:eastAsiaTheme="minorHAnsi" w:hAnsiTheme="majorHAnsi"/>
          <w:sz w:val="20"/>
          <w:szCs w:val="20"/>
          <w:lang w:val="es-ES"/>
        </w:rPr>
        <w:t xml:space="preserve"> para presos condenados a fin de que el derecho sea efectivamente respetado y disfrutado.</w:t>
      </w:r>
      <w:r w:rsidRPr="002F0138">
        <w:rPr>
          <w:rStyle w:val="FootnoteReference"/>
          <w:rFonts w:asciiTheme="majorHAnsi" w:eastAsiaTheme="minorHAnsi" w:hAnsiTheme="majorHAnsi"/>
          <w:sz w:val="20"/>
          <w:szCs w:val="20"/>
        </w:rPr>
        <w:footnoteReference w:id="37"/>
      </w:r>
      <w:r w:rsidRPr="008448B4">
        <w:rPr>
          <w:rFonts w:asciiTheme="majorHAnsi" w:eastAsiaTheme="minorHAnsi" w:hAnsiTheme="majorHAnsi"/>
          <w:sz w:val="20"/>
          <w:szCs w:val="20"/>
          <w:lang w:val="es-ES"/>
        </w:rPr>
        <w:t xml:space="preserve"> </w:t>
      </w:r>
      <w:r>
        <w:rPr>
          <w:rFonts w:asciiTheme="majorHAnsi" w:eastAsiaTheme="minorHAnsi" w:hAnsiTheme="majorHAnsi"/>
          <w:sz w:val="20"/>
          <w:szCs w:val="20"/>
          <w:lang w:val="es-ES"/>
        </w:rPr>
        <w:t>Se ha considerado que e</w:t>
      </w:r>
      <w:r w:rsidRPr="008448B4">
        <w:rPr>
          <w:rFonts w:asciiTheme="majorHAnsi" w:eastAsiaTheme="minorHAnsi" w:hAnsiTheme="majorHAnsi"/>
          <w:sz w:val="20"/>
          <w:szCs w:val="20"/>
          <w:lang w:val="es-ES"/>
        </w:rPr>
        <w:t xml:space="preserve">stas protecciones procesales </w:t>
      </w:r>
      <w:r>
        <w:rPr>
          <w:rFonts w:asciiTheme="majorHAnsi" w:eastAsiaTheme="minorHAnsi" w:hAnsiTheme="majorHAnsi"/>
          <w:sz w:val="20"/>
          <w:szCs w:val="20"/>
          <w:lang w:val="es-ES"/>
        </w:rPr>
        <w:t>incluyen</w:t>
      </w:r>
      <w:r w:rsidRPr="008448B4">
        <w:rPr>
          <w:rFonts w:asciiTheme="majorHAnsi" w:eastAsiaTheme="minorHAnsi" w:hAnsiTheme="majorHAnsi"/>
          <w:sz w:val="20"/>
          <w:szCs w:val="20"/>
          <w:lang w:val="es-ES"/>
        </w:rPr>
        <w:t xml:space="preserve"> el derecho de los presos condenados a presentar una solicitud de amnistía, indulto o conmutación de pena, a ser informados de cuándo la autoridad competente considerará el caso del infractor, a realizar gestiones, en persona o por un abogado </w:t>
      </w:r>
      <w:r>
        <w:rPr>
          <w:rFonts w:asciiTheme="majorHAnsi" w:eastAsiaTheme="minorHAnsi" w:hAnsiTheme="majorHAnsi"/>
          <w:sz w:val="20"/>
          <w:szCs w:val="20"/>
          <w:lang w:val="es-ES"/>
        </w:rPr>
        <w:t>ante</w:t>
      </w:r>
      <w:r w:rsidRPr="008448B4">
        <w:rPr>
          <w:rFonts w:asciiTheme="majorHAnsi" w:eastAsiaTheme="minorHAnsi" w:hAnsiTheme="majorHAnsi"/>
          <w:sz w:val="20"/>
          <w:szCs w:val="20"/>
          <w:lang w:val="es-ES"/>
        </w:rPr>
        <w:t xml:space="preserve"> la autoridad competente, y recibir una decisión de dicha autoridad dentro de un plazo razonable antes de su ejecución.</w:t>
      </w:r>
      <w:r w:rsidRPr="002F0138">
        <w:rPr>
          <w:rStyle w:val="FootnoteReference"/>
          <w:rFonts w:asciiTheme="majorHAnsi" w:eastAsiaTheme="minorHAnsi" w:hAnsiTheme="majorHAnsi"/>
          <w:sz w:val="20"/>
          <w:szCs w:val="20"/>
        </w:rPr>
        <w:footnoteReference w:id="38"/>
      </w:r>
    </w:p>
    <w:p w14:paraId="1B0E1C4C" w14:textId="77777777" w:rsidR="00792021" w:rsidRPr="00E36893" w:rsidRDefault="00792021" w:rsidP="00D31511">
      <w:pPr>
        <w:pStyle w:val="NormalWeb"/>
        <w:tabs>
          <w:tab w:val="left" w:pos="360"/>
        </w:tabs>
        <w:spacing w:beforeLines="1" w:before="2" w:beforeAutospacing="0" w:afterLines="1" w:after="2" w:afterAutospacing="0"/>
        <w:jc w:val="both"/>
        <w:rPr>
          <w:rFonts w:asciiTheme="majorHAnsi" w:eastAsiaTheme="minorHAnsi" w:hAnsiTheme="majorHAnsi"/>
          <w:sz w:val="20"/>
          <w:szCs w:val="20"/>
          <w:lang w:val="es-ES"/>
        </w:rPr>
      </w:pPr>
    </w:p>
    <w:p w14:paraId="07605C31" w14:textId="77777777" w:rsidR="008448B4" w:rsidRPr="008448B4" w:rsidRDefault="008448B4" w:rsidP="00D31511">
      <w:pPr>
        <w:pStyle w:val="NormalWeb"/>
        <w:numPr>
          <w:ilvl w:val="0"/>
          <w:numId w:val="55"/>
        </w:numPr>
        <w:tabs>
          <w:tab w:val="left" w:pos="360"/>
        </w:tabs>
        <w:spacing w:beforeLines="1" w:before="2" w:beforeAutospacing="0" w:afterLines="1" w:after="2" w:afterAutospacing="0"/>
        <w:ind w:left="0" w:firstLine="0"/>
        <w:jc w:val="both"/>
        <w:rPr>
          <w:rFonts w:asciiTheme="majorHAnsi" w:eastAsiaTheme="minorHAnsi" w:hAnsiTheme="majorHAnsi"/>
          <w:sz w:val="20"/>
          <w:szCs w:val="20"/>
          <w:lang w:val="es-ES"/>
        </w:rPr>
      </w:pPr>
      <w:r w:rsidRPr="008448B4">
        <w:rPr>
          <w:rFonts w:asciiTheme="majorHAnsi" w:eastAsiaTheme="minorHAnsi" w:hAnsiTheme="majorHAnsi"/>
          <w:sz w:val="20"/>
          <w:szCs w:val="20"/>
          <w:lang w:val="es-ES"/>
        </w:rPr>
        <w:t xml:space="preserve">Como se indicó </w:t>
      </w:r>
      <w:r w:rsidRPr="008448B4">
        <w:rPr>
          <w:rFonts w:asciiTheme="majorHAnsi" w:eastAsiaTheme="minorHAnsi" w:hAnsiTheme="majorHAnsi"/>
          <w:i/>
          <w:iCs/>
          <w:sz w:val="20"/>
          <w:szCs w:val="20"/>
          <w:lang w:val="es-ES"/>
        </w:rPr>
        <w:t>supra</w:t>
      </w:r>
      <w:r w:rsidRPr="008448B4">
        <w:rPr>
          <w:rFonts w:asciiTheme="majorHAnsi" w:eastAsiaTheme="minorHAnsi" w:hAnsiTheme="majorHAnsi"/>
          <w:sz w:val="20"/>
          <w:szCs w:val="20"/>
          <w:lang w:val="es-ES"/>
        </w:rPr>
        <w:t xml:space="preserve">, la Comisión tiene la obligación reforzada de asegurar que cualquier privación de la vida que pueda ocurrir a través de la aplicación de la pena de muerte cumpla estrictamente con los requisitos de los instrumentos interamericanos de derechos humanos aplicables, incluida la Declaración Americana. Por lo tanto, las alegaciones en el presente caso requieren un mayor nivel de escrutinio para asegurar que los derechos a la vida, </w:t>
      </w:r>
      <w:r>
        <w:rPr>
          <w:rFonts w:asciiTheme="majorHAnsi" w:eastAsiaTheme="minorHAnsi" w:hAnsiTheme="majorHAnsi"/>
          <w:sz w:val="20"/>
          <w:szCs w:val="20"/>
          <w:lang w:val="es-ES"/>
        </w:rPr>
        <w:t>al proceso regular</w:t>
      </w:r>
      <w:r w:rsidRPr="008448B4">
        <w:rPr>
          <w:rFonts w:asciiTheme="majorHAnsi" w:eastAsiaTheme="minorHAnsi" w:hAnsiTheme="majorHAnsi"/>
          <w:sz w:val="20"/>
          <w:szCs w:val="20"/>
          <w:lang w:val="es-ES"/>
        </w:rPr>
        <w:t xml:space="preserve"> y un juicio justo </w:t>
      </w:r>
      <w:r>
        <w:rPr>
          <w:rFonts w:asciiTheme="majorHAnsi" w:eastAsiaTheme="minorHAnsi" w:hAnsiTheme="majorHAnsi"/>
          <w:sz w:val="20"/>
          <w:szCs w:val="20"/>
          <w:lang w:val="es-ES"/>
        </w:rPr>
        <w:t>como son reconocidos</w:t>
      </w:r>
      <w:r w:rsidRPr="008448B4">
        <w:rPr>
          <w:rFonts w:asciiTheme="majorHAnsi" w:eastAsiaTheme="minorHAnsi" w:hAnsiTheme="majorHAnsi"/>
          <w:sz w:val="20"/>
          <w:szCs w:val="20"/>
          <w:lang w:val="es-ES"/>
        </w:rPr>
        <w:t xml:space="preserve"> en la Declaración Americana han sido debidamente respetados por el Estado. En el caso de los procedimientos de clemencia en espera de la ejecución de una sentencia de muerte, las garantías mínimas de </w:t>
      </w:r>
      <w:r>
        <w:rPr>
          <w:rFonts w:asciiTheme="majorHAnsi" w:eastAsiaTheme="minorHAnsi" w:hAnsiTheme="majorHAnsi"/>
          <w:sz w:val="20"/>
          <w:szCs w:val="20"/>
          <w:lang w:val="es-ES"/>
        </w:rPr>
        <w:t>justicia</w:t>
      </w:r>
      <w:r w:rsidRPr="008448B4">
        <w:rPr>
          <w:rFonts w:asciiTheme="majorHAnsi" w:eastAsiaTheme="minorHAnsi" w:hAnsiTheme="majorHAnsi"/>
          <w:sz w:val="20"/>
          <w:szCs w:val="20"/>
          <w:lang w:val="es-ES"/>
        </w:rPr>
        <w:t xml:space="preserve"> otorgadas al solicitante deben incluir la oportunidad de recibir una audiencia imparcial.</w:t>
      </w:r>
    </w:p>
    <w:p w14:paraId="16BD6958" w14:textId="77777777" w:rsidR="00792021" w:rsidRPr="00E36893" w:rsidRDefault="00792021" w:rsidP="00D31511">
      <w:pPr>
        <w:pStyle w:val="NormalWeb"/>
        <w:tabs>
          <w:tab w:val="left" w:pos="360"/>
        </w:tabs>
        <w:spacing w:beforeLines="1" w:before="2" w:beforeAutospacing="0" w:afterLines="1" w:after="2" w:afterAutospacing="0"/>
        <w:jc w:val="both"/>
        <w:rPr>
          <w:rFonts w:asciiTheme="majorHAnsi" w:eastAsiaTheme="minorHAnsi" w:hAnsiTheme="majorHAnsi"/>
          <w:sz w:val="20"/>
          <w:szCs w:val="20"/>
          <w:lang w:val="es-ES"/>
        </w:rPr>
      </w:pPr>
    </w:p>
    <w:p w14:paraId="7B7F0884" w14:textId="3F981F9A" w:rsidR="008448B4" w:rsidRPr="008448B4" w:rsidRDefault="008448B4" w:rsidP="00D31511">
      <w:pPr>
        <w:pStyle w:val="NormalWeb"/>
        <w:numPr>
          <w:ilvl w:val="0"/>
          <w:numId w:val="55"/>
        </w:numPr>
        <w:tabs>
          <w:tab w:val="left" w:pos="360"/>
        </w:tabs>
        <w:spacing w:beforeLines="1" w:before="2" w:beforeAutospacing="0" w:afterLines="1" w:after="2" w:afterAutospacing="0"/>
        <w:ind w:left="0" w:firstLine="0"/>
        <w:jc w:val="both"/>
        <w:rPr>
          <w:rFonts w:asciiTheme="majorHAnsi" w:eastAsiaTheme="minorHAnsi" w:hAnsiTheme="majorHAnsi"/>
          <w:sz w:val="20"/>
          <w:szCs w:val="20"/>
          <w:lang w:val="es-ES"/>
        </w:rPr>
      </w:pPr>
      <w:r w:rsidRPr="008448B4">
        <w:rPr>
          <w:rFonts w:asciiTheme="majorHAnsi" w:eastAsiaTheme="minorHAnsi" w:hAnsiTheme="majorHAnsi"/>
          <w:sz w:val="20"/>
          <w:szCs w:val="20"/>
          <w:lang w:val="es-ES"/>
        </w:rPr>
        <w:t>Los alegatos de los peticionarios indican que la práctica seguida por el estado de Florida no permite determinar si se llevó a cabo un proc</w:t>
      </w:r>
      <w:r>
        <w:rPr>
          <w:rFonts w:asciiTheme="majorHAnsi" w:eastAsiaTheme="minorHAnsi" w:hAnsiTheme="majorHAnsi"/>
          <w:sz w:val="20"/>
          <w:szCs w:val="20"/>
          <w:lang w:val="es-ES"/>
        </w:rPr>
        <w:t>edimiento</w:t>
      </w:r>
      <w:r w:rsidRPr="008448B4">
        <w:rPr>
          <w:rFonts w:asciiTheme="majorHAnsi" w:eastAsiaTheme="minorHAnsi" w:hAnsiTheme="majorHAnsi"/>
          <w:sz w:val="20"/>
          <w:szCs w:val="20"/>
          <w:lang w:val="es-ES"/>
        </w:rPr>
        <w:t xml:space="preserve"> de clemencia y</w:t>
      </w:r>
      <w:r w:rsidR="003E7F11">
        <w:rPr>
          <w:rFonts w:asciiTheme="majorHAnsi" w:eastAsiaTheme="minorHAnsi" w:hAnsiTheme="majorHAnsi"/>
          <w:sz w:val="20"/>
          <w:szCs w:val="20"/>
          <w:lang w:val="es-ES"/>
        </w:rPr>
        <w:t>a</w:t>
      </w:r>
      <w:r w:rsidRPr="008448B4">
        <w:rPr>
          <w:rFonts w:asciiTheme="majorHAnsi" w:eastAsiaTheme="minorHAnsi" w:hAnsiTheme="majorHAnsi"/>
          <w:sz w:val="20"/>
          <w:szCs w:val="20"/>
          <w:lang w:val="es-ES"/>
        </w:rPr>
        <w:t xml:space="preserve"> que no </w:t>
      </w:r>
      <w:r>
        <w:rPr>
          <w:rFonts w:asciiTheme="majorHAnsi" w:eastAsiaTheme="minorHAnsi" w:hAnsiTheme="majorHAnsi"/>
          <w:sz w:val="20"/>
          <w:szCs w:val="20"/>
          <w:lang w:val="es-ES"/>
        </w:rPr>
        <w:t>se provee información</w:t>
      </w:r>
      <w:r w:rsidRPr="008448B4">
        <w:rPr>
          <w:rFonts w:asciiTheme="majorHAnsi" w:eastAsiaTheme="minorHAnsi" w:hAnsiTheme="majorHAnsi"/>
          <w:sz w:val="20"/>
          <w:szCs w:val="20"/>
          <w:lang w:val="es-ES"/>
        </w:rPr>
        <w:t xml:space="preserve"> sobre los motivos de su recomendación de rechazar una petición de clemencia. El Estado no ha negado la afirmación de que no existe un conjunto de reglas o criterios a tener en cuenta a la hora de tomar decisiones sobre </w:t>
      </w:r>
      <w:r>
        <w:rPr>
          <w:rFonts w:asciiTheme="majorHAnsi" w:eastAsiaTheme="minorHAnsi" w:hAnsiTheme="majorHAnsi"/>
          <w:sz w:val="20"/>
          <w:szCs w:val="20"/>
          <w:lang w:val="es-ES"/>
        </w:rPr>
        <w:t>clemencia</w:t>
      </w:r>
      <w:r w:rsidRPr="008448B4">
        <w:rPr>
          <w:rFonts w:asciiTheme="majorHAnsi" w:eastAsiaTheme="minorHAnsi" w:hAnsiTheme="majorHAnsi"/>
          <w:sz w:val="20"/>
          <w:szCs w:val="20"/>
          <w:lang w:val="es-ES"/>
        </w:rPr>
        <w:t xml:space="preserve"> en los casos de pena de muerte.</w:t>
      </w:r>
    </w:p>
    <w:p w14:paraId="5376AEF5" w14:textId="77777777" w:rsidR="004E7578" w:rsidRPr="00E36893" w:rsidRDefault="004E7578" w:rsidP="00D31511">
      <w:pPr>
        <w:pStyle w:val="NormalWeb"/>
        <w:tabs>
          <w:tab w:val="left" w:pos="360"/>
        </w:tabs>
        <w:spacing w:beforeLines="1" w:before="2" w:beforeAutospacing="0" w:afterLines="1" w:after="2" w:afterAutospacing="0"/>
        <w:jc w:val="both"/>
        <w:rPr>
          <w:rFonts w:asciiTheme="majorHAnsi" w:eastAsiaTheme="minorHAnsi" w:hAnsiTheme="majorHAnsi"/>
          <w:sz w:val="20"/>
          <w:szCs w:val="20"/>
          <w:lang w:val="es-ES"/>
        </w:rPr>
      </w:pPr>
    </w:p>
    <w:p w14:paraId="0B22C25A" w14:textId="77777777" w:rsidR="008448B4" w:rsidRPr="008448B4" w:rsidRDefault="008448B4" w:rsidP="00D31511">
      <w:pPr>
        <w:pStyle w:val="NormalWeb"/>
        <w:numPr>
          <w:ilvl w:val="0"/>
          <w:numId w:val="55"/>
        </w:numPr>
        <w:tabs>
          <w:tab w:val="left" w:pos="360"/>
        </w:tabs>
        <w:spacing w:beforeLines="1" w:before="2" w:beforeAutospacing="0" w:afterLines="1" w:after="2" w:afterAutospacing="0"/>
        <w:ind w:left="0" w:firstLine="0"/>
        <w:jc w:val="both"/>
        <w:rPr>
          <w:rFonts w:ascii="Cambria" w:eastAsiaTheme="minorHAnsi" w:hAnsi="Cambria"/>
          <w:sz w:val="20"/>
          <w:szCs w:val="20"/>
          <w:lang w:val="es-ES"/>
        </w:rPr>
      </w:pPr>
      <w:r w:rsidRPr="008448B4">
        <w:rPr>
          <w:rFonts w:ascii="Cambria" w:eastAsiaTheme="minorHAnsi" w:hAnsi="Cambria"/>
          <w:sz w:val="20"/>
          <w:szCs w:val="20"/>
          <w:lang w:val="es-ES"/>
        </w:rPr>
        <w:t>La ley de Florida establece un proceso mediante el cual el Gobernador puede ejercer la autoridad para otorgar indultos totales o condicionales, restaurar los derechos civiles y conmutar</w:t>
      </w:r>
      <w:r>
        <w:rPr>
          <w:rFonts w:ascii="Cambria" w:eastAsiaTheme="minorHAnsi" w:hAnsi="Cambria"/>
          <w:sz w:val="20"/>
          <w:szCs w:val="20"/>
          <w:lang w:val="es-ES"/>
        </w:rPr>
        <w:t xml:space="preserve"> la pena.</w:t>
      </w:r>
      <w:r w:rsidRPr="008448B4">
        <w:rPr>
          <w:rFonts w:ascii="Cambria" w:eastAsiaTheme="minorHAnsi" w:hAnsi="Cambria"/>
          <w:sz w:val="20"/>
          <w:szCs w:val="20"/>
          <w:lang w:val="es-ES"/>
        </w:rPr>
        <w:t xml:space="preserve"> Sin embargo, la Comisión no tiene conocimiento de ningún criterio prescrito que se aplique en el ejercicio de las funciones o la discreción del Gobernador. La Comisión tampoco tiene conocimiento de que un delincuente tenga derecho a presentar una solicitud al gobernador, a ser informado del momento en que se lleve a cabo la investigación de clemencia o la audiencia del caso del delincuente, a presentar comunicaciones orales o escritas al gobernador o</w:t>
      </w:r>
      <w:r>
        <w:rPr>
          <w:rFonts w:ascii="Cambria" w:eastAsiaTheme="minorHAnsi" w:hAnsi="Cambria"/>
          <w:sz w:val="20"/>
          <w:szCs w:val="20"/>
          <w:lang w:val="es-ES"/>
        </w:rPr>
        <w:t xml:space="preserve"> </w:t>
      </w:r>
      <w:r w:rsidRPr="008448B4">
        <w:rPr>
          <w:rFonts w:ascii="Cambria" w:eastAsiaTheme="minorHAnsi" w:hAnsi="Cambria"/>
          <w:sz w:val="20"/>
          <w:szCs w:val="20"/>
          <w:lang w:val="es-ES"/>
        </w:rPr>
        <w:t>a presentar, recibir o impugnar las pruebas consideradas salvo las que un abogado designado pueda presentar en su nombre.</w:t>
      </w:r>
    </w:p>
    <w:p w14:paraId="4F86A5E6" w14:textId="77777777" w:rsidR="001947BA" w:rsidRPr="00E36893" w:rsidRDefault="001947BA" w:rsidP="00D31511">
      <w:pPr>
        <w:pStyle w:val="NormalWeb"/>
        <w:tabs>
          <w:tab w:val="left" w:pos="360"/>
        </w:tabs>
        <w:spacing w:beforeLines="1" w:before="2" w:beforeAutospacing="0" w:afterLines="1" w:after="2" w:afterAutospacing="0"/>
        <w:jc w:val="both"/>
        <w:rPr>
          <w:rFonts w:ascii="Cambria" w:eastAsiaTheme="minorHAnsi" w:hAnsi="Cambria"/>
          <w:sz w:val="20"/>
          <w:szCs w:val="20"/>
          <w:lang w:val="es-ES"/>
        </w:rPr>
      </w:pPr>
    </w:p>
    <w:p w14:paraId="7B975306" w14:textId="77777777" w:rsidR="008448B4" w:rsidRPr="008448B4" w:rsidRDefault="008448B4" w:rsidP="00D31511">
      <w:pPr>
        <w:pStyle w:val="NormalWeb"/>
        <w:numPr>
          <w:ilvl w:val="0"/>
          <w:numId w:val="55"/>
        </w:numPr>
        <w:tabs>
          <w:tab w:val="left" w:pos="360"/>
        </w:tabs>
        <w:spacing w:beforeLines="1" w:before="2" w:beforeAutospacing="0" w:afterLines="1" w:after="2" w:afterAutospacing="0"/>
        <w:ind w:left="0" w:firstLine="0"/>
        <w:jc w:val="both"/>
        <w:rPr>
          <w:rFonts w:ascii="Cambria" w:eastAsiaTheme="minorHAnsi" w:hAnsi="Cambria"/>
          <w:sz w:val="20"/>
          <w:szCs w:val="20"/>
          <w:lang w:val="es-ES"/>
        </w:rPr>
      </w:pPr>
      <w:r w:rsidRPr="008448B4">
        <w:rPr>
          <w:rFonts w:ascii="Cambria" w:eastAsiaTheme="minorHAnsi" w:hAnsi="Cambria"/>
          <w:sz w:val="20"/>
          <w:szCs w:val="20"/>
          <w:lang w:val="es-ES"/>
        </w:rPr>
        <w:t xml:space="preserve">Además, con base en la información que tiene ante sí, la Comisión concluye que el procedimiento para </w:t>
      </w:r>
      <w:r>
        <w:rPr>
          <w:rFonts w:ascii="Cambria" w:eastAsiaTheme="minorHAnsi" w:hAnsi="Cambria"/>
          <w:sz w:val="20"/>
          <w:szCs w:val="20"/>
          <w:lang w:val="es-ES"/>
        </w:rPr>
        <w:t>conceder clemencia</w:t>
      </w:r>
      <w:r w:rsidRPr="008448B4">
        <w:rPr>
          <w:rFonts w:ascii="Cambria" w:eastAsiaTheme="minorHAnsi" w:hAnsi="Cambria"/>
          <w:sz w:val="20"/>
          <w:szCs w:val="20"/>
          <w:lang w:val="es-ES"/>
        </w:rPr>
        <w:t xml:space="preserve"> no garantiza a los condenados una oportunidad efectiva o adecuada de participar en el proceso y, por lo tanto, no asegura debidamente los derechos del señor Valle en virtud del artículo XXIV de la Declaración </w:t>
      </w:r>
      <w:r>
        <w:rPr>
          <w:rFonts w:ascii="Cambria" w:eastAsiaTheme="minorHAnsi" w:hAnsi="Cambria"/>
          <w:sz w:val="20"/>
          <w:szCs w:val="20"/>
          <w:lang w:val="es-ES"/>
        </w:rPr>
        <w:t xml:space="preserve">a </w:t>
      </w:r>
      <w:r w:rsidRPr="008448B4">
        <w:rPr>
          <w:rFonts w:ascii="Cambria" w:eastAsiaTheme="minorHAnsi" w:hAnsi="Cambria"/>
          <w:sz w:val="20"/>
          <w:szCs w:val="20"/>
          <w:lang w:val="es-ES"/>
        </w:rPr>
        <w:t>presentar peticiones respetuosas ante cualquier autoridad competente, por motivos de interés general o p</w:t>
      </w:r>
      <w:r w:rsidR="006B7AD6">
        <w:rPr>
          <w:rFonts w:ascii="Cambria" w:eastAsiaTheme="minorHAnsi" w:hAnsi="Cambria"/>
          <w:sz w:val="20"/>
          <w:szCs w:val="20"/>
          <w:lang w:val="es-ES"/>
        </w:rPr>
        <w:t>articular</w:t>
      </w:r>
      <w:r w:rsidRPr="008448B4">
        <w:rPr>
          <w:rFonts w:ascii="Cambria" w:eastAsiaTheme="minorHAnsi" w:hAnsi="Cambria"/>
          <w:sz w:val="20"/>
          <w:szCs w:val="20"/>
          <w:lang w:val="es-ES"/>
        </w:rPr>
        <w:t>, y a obtener una pronta resolución al respecto.</w:t>
      </w:r>
    </w:p>
    <w:p w14:paraId="775911A6" w14:textId="77777777" w:rsidR="001947BA" w:rsidRPr="006B7AD6" w:rsidRDefault="001947BA" w:rsidP="00D31511">
      <w:pPr>
        <w:pStyle w:val="NormalWeb"/>
        <w:tabs>
          <w:tab w:val="left" w:pos="360"/>
        </w:tabs>
        <w:spacing w:beforeLines="1" w:before="2" w:beforeAutospacing="0" w:afterLines="1" w:after="2" w:afterAutospacing="0"/>
        <w:jc w:val="both"/>
        <w:rPr>
          <w:rFonts w:ascii="Cambria" w:eastAsiaTheme="minorHAnsi" w:hAnsi="Cambria"/>
          <w:sz w:val="20"/>
          <w:szCs w:val="20"/>
          <w:lang w:val="es-ES"/>
        </w:rPr>
      </w:pPr>
    </w:p>
    <w:p w14:paraId="2F0712E7" w14:textId="77777777" w:rsidR="006B7AD6" w:rsidRPr="006B7AD6" w:rsidRDefault="006B7AD6" w:rsidP="00D31511">
      <w:pPr>
        <w:pStyle w:val="NormalWeb"/>
        <w:numPr>
          <w:ilvl w:val="0"/>
          <w:numId w:val="55"/>
        </w:numPr>
        <w:tabs>
          <w:tab w:val="left" w:pos="360"/>
        </w:tabs>
        <w:spacing w:beforeLines="1" w:before="2" w:beforeAutospacing="0" w:afterLines="1" w:after="2" w:afterAutospacing="0"/>
        <w:ind w:left="0" w:firstLine="0"/>
        <w:jc w:val="both"/>
        <w:rPr>
          <w:rFonts w:ascii="Cambria" w:eastAsiaTheme="minorHAnsi" w:hAnsi="Cambria"/>
          <w:sz w:val="20"/>
          <w:szCs w:val="20"/>
          <w:lang w:val="es-ES"/>
        </w:rPr>
      </w:pPr>
      <w:r w:rsidRPr="006B7AD6">
        <w:rPr>
          <w:rFonts w:ascii="Cambria" w:eastAsiaTheme="minorHAnsi" w:hAnsi="Cambria"/>
          <w:sz w:val="20"/>
          <w:szCs w:val="20"/>
          <w:lang w:val="es-ES"/>
        </w:rPr>
        <w:t xml:space="preserve">En opinión de la Comisión, el derecho de petición en virtud del artículo XXIV de la Declaración, cuando se lee junto con las obligaciones del Estado en virtud de la Declaración, debe interpretarse como que abarca ciertas protecciones procesales mínimas para los presos condenados si se </w:t>
      </w:r>
      <w:r>
        <w:rPr>
          <w:rFonts w:ascii="Cambria" w:eastAsiaTheme="minorHAnsi" w:hAnsi="Cambria"/>
          <w:sz w:val="20"/>
          <w:szCs w:val="20"/>
          <w:lang w:val="es-ES"/>
        </w:rPr>
        <w:t>busca</w:t>
      </w:r>
      <w:r w:rsidRPr="006B7AD6">
        <w:rPr>
          <w:rFonts w:ascii="Cambria" w:eastAsiaTheme="minorHAnsi" w:hAnsi="Cambria"/>
          <w:sz w:val="20"/>
          <w:szCs w:val="20"/>
          <w:lang w:val="es-ES"/>
        </w:rPr>
        <w:t xml:space="preserve"> que el derecho sea efectivamente respetado y disfrutado. Estas protecciones incluyen el derecho de los presos condenados a solicitar la amnistía, el indulto o la conmutación de la pena, a ser informados de cuándo la autoridad competente considerará el caso del delincuente, a hacer gestiones en persona o </w:t>
      </w:r>
      <w:r>
        <w:rPr>
          <w:rFonts w:ascii="Cambria" w:eastAsiaTheme="minorHAnsi" w:hAnsi="Cambria"/>
          <w:sz w:val="20"/>
          <w:szCs w:val="20"/>
          <w:lang w:val="es-ES"/>
        </w:rPr>
        <w:t>mediante</w:t>
      </w:r>
      <w:r w:rsidRPr="006B7AD6">
        <w:rPr>
          <w:rFonts w:ascii="Cambria" w:eastAsiaTheme="minorHAnsi" w:hAnsi="Cambria"/>
          <w:sz w:val="20"/>
          <w:szCs w:val="20"/>
          <w:lang w:val="es-ES"/>
        </w:rPr>
        <w:t xml:space="preserve"> abogado a</w:t>
      </w:r>
      <w:r>
        <w:rPr>
          <w:rFonts w:ascii="Cambria" w:eastAsiaTheme="minorHAnsi" w:hAnsi="Cambria"/>
          <w:sz w:val="20"/>
          <w:szCs w:val="20"/>
          <w:lang w:val="es-ES"/>
        </w:rPr>
        <w:t>nte</w:t>
      </w:r>
      <w:r w:rsidRPr="006B7AD6">
        <w:rPr>
          <w:rFonts w:ascii="Cambria" w:eastAsiaTheme="minorHAnsi" w:hAnsi="Cambria"/>
          <w:sz w:val="20"/>
          <w:szCs w:val="20"/>
          <w:lang w:val="es-ES"/>
        </w:rPr>
        <w:t xml:space="preserve"> la autoridad competente y, recibir una decisión de esa autoridad dentro de un período de tiempo razonable antes de su ejecución. También implica el derecho a que no se imponga la pena capital mientras dicha petición esté pendiente de decisión de la autoridad competente.</w:t>
      </w:r>
    </w:p>
    <w:p w14:paraId="3D6CFCAA" w14:textId="77777777" w:rsidR="00937CFA" w:rsidRPr="00E36893" w:rsidRDefault="00937CFA" w:rsidP="006B7AD6">
      <w:pPr>
        <w:rPr>
          <w:rFonts w:eastAsiaTheme="minorHAnsi"/>
          <w:sz w:val="20"/>
          <w:szCs w:val="20"/>
          <w:lang w:val="es-ES"/>
        </w:rPr>
      </w:pPr>
    </w:p>
    <w:p w14:paraId="1925C9F2" w14:textId="28F8F4DE" w:rsidR="004A0895" w:rsidRPr="006B7AD6" w:rsidRDefault="006B7AD6" w:rsidP="006B7AD6">
      <w:pPr>
        <w:pStyle w:val="NormalWeb"/>
        <w:numPr>
          <w:ilvl w:val="0"/>
          <w:numId w:val="55"/>
        </w:numPr>
        <w:tabs>
          <w:tab w:val="left" w:pos="360"/>
        </w:tabs>
        <w:spacing w:beforeLines="1" w:before="2" w:beforeAutospacing="0" w:afterLines="1" w:after="2" w:afterAutospacing="0"/>
        <w:ind w:left="0" w:firstLine="0"/>
        <w:jc w:val="both"/>
        <w:rPr>
          <w:rFonts w:ascii="Cambria" w:eastAsiaTheme="minorHAnsi" w:hAnsi="Cambria"/>
          <w:sz w:val="20"/>
          <w:szCs w:val="20"/>
          <w:lang w:val="es-ES"/>
        </w:rPr>
      </w:pPr>
      <w:r w:rsidRPr="006B7AD6">
        <w:rPr>
          <w:rFonts w:ascii="Cambria" w:eastAsiaTheme="minorHAnsi" w:hAnsi="Cambria"/>
          <w:sz w:val="20"/>
          <w:szCs w:val="20"/>
          <w:lang w:val="es-ES"/>
        </w:rPr>
        <w:t>Con el fin de brindar a las personas condenadas una oportunidad efectiva de ejercer este derecho, el Estado debe prescribir y poner a disposición un procedimiento a través del cual los presos pued</w:t>
      </w:r>
      <w:r w:rsidR="003E7F11">
        <w:rPr>
          <w:rFonts w:ascii="Cambria" w:eastAsiaTheme="minorHAnsi" w:hAnsi="Cambria"/>
          <w:sz w:val="20"/>
          <w:szCs w:val="20"/>
          <w:lang w:val="es-ES"/>
        </w:rPr>
        <w:t>a</w:t>
      </w:r>
      <w:r w:rsidRPr="006B7AD6">
        <w:rPr>
          <w:rFonts w:ascii="Cambria" w:eastAsiaTheme="minorHAnsi" w:hAnsi="Cambria"/>
          <w:sz w:val="20"/>
          <w:szCs w:val="20"/>
          <w:lang w:val="es-ES"/>
        </w:rPr>
        <w:t xml:space="preserve">n presentar una solicitud de amnistía, indulto o conmutación de pena y presentar manifestaciones en apoyo de su </w:t>
      </w:r>
      <w:r>
        <w:rPr>
          <w:rFonts w:ascii="Cambria" w:eastAsiaTheme="minorHAnsi" w:hAnsi="Cambria"/>
          <w:sz w:val="20"/>
          <w:szCs w:val="20"/>
          <w:lang w:val="es-ES"/>
        </w:rPr>
        <w:t>solicitud</w:t>
      </w:r>
      <w:r w:rsidRPr="006B7AD6">
        <w:rPr>
          <w:rFonts w:ascii="Cambria" w:eastAsiaTheme="minorHAnsi" w:hAnsi="Cambria"/>
          <w:sz w:val="20"/>
          <w:szCs w:val="20"/>
          <w:lang w:val="es-ES"/>
        </w:rPr>
        <w:t>. En ausencia de protecciones y procedimientos mínimos de esta naturaleza, el artículo XXIV de la Declaración Americana se vuelve sin sentido, un derecho sin remedio. Tal interpretación no puede sostenerse a la luz del objeto y fin de la Declaración Americana</w:t>
      </w:r>
      <w:r w:rsidR="00937CFA" w:rsidRPr="006B7AD6">
        <w:rPr>
          <w:rFonts w:ascii="Cambria" w:eastAsiaTheme="minorHAnsi" w:hAnsi="Cambria"/>
          <w:sz w:val="20"/>
          <w:szCs w:val="20"/>
          <w:lang w:val="es-ES"/>
        </w:rPr>
        <w:t>.</w:t>
      </w:r>
      <w:r w:rsidR="008C4234">
        <w:rPr>
          <w:rStyle w:val="FootnoteReference"/>
          <w:rFonts w:ascii="Cambria" w:eastAsiaTheme="minorHAnsi" w:hAnsi="Cambria"/>
          <w:sz w:val="20"/>
          <w:szCs w:val="20"/>
        </w:rPr>
        <w:footnoteReference w:id="39"/>
      </w:r>
      <w:r w:rsidR="004E7578" w:rsidRPr="006B7AD6">
        <w:rPr>
          <w:rFonts w:ascii="Cambria" w:eastAsiaTheme="minorHAnsi" w:hAnsi="Cambria"/>
          <w:sz w:val="20"/>
          <w:szCs w:val="20"/>
          <w:lang w:val="es-ES"/>
        </w:rPr>
        <w:t xml:space="preserve"> </w:t>
      </w:r>
      <w:r w:rsidR="0041749E" w:rsidRPr="006B7AD6">
        <w:rPr>
          <w:rFonts w:ascii="Cambria" w:eastAsiaTheme="minorHAnsi" w:hAnsi="Cambria"/>
          <w:sz w:val="20"/>
          <w:szCs w:val="20"/>
          <w:lang w:val="es-ES"/>
        </w:rPr>
        <w:t xml:space="preserve"> </w:t>
      </w:r>
    </w:p>
    <w:p w14:paraId="59C107A1" w14:textId="77777777" w:rsidR="004A0895" w:rsidRPr="006B7AD6" w:rsidRDefault="004A0895" w:rsidP="004A0895">
      <w:pPr>
        <w:pStyle w:val="ListParagraph"/>
        <w:rPr>
          <w:rFonts w:eastAsiaTheme="minorHAnsi"/>
          <w:sz w:val="20"/>
          <w:szCs w:val="20"/>
          <w:lang w:val="es-ES"/>
        </w:rPr>
      </w:pPr>
    </w:p>
    <w:p w14:paraId="5D4E869A" w14:textId="77777777" w:rsidR="006B7AD6" w:rsidRPr="006B7AD6" w:rsidRDefault="006B7AD6" w:rsidP="004A0895">
      <w:pPr>
        <w:pStyle w:val="NormalWeb"/>
        <w:numPr>
          <w:ilvl w:val="0"/>
          <w:numId w:val="55"/>
        </w:numPr>
        <w:tabs>
          <w:tab w:val="left" w:pos="360"/>
        </w:tabs>
        <w:spacing w:beforeLines="1" w:before="2" w:beforeAutospacing="0" w:afterLines="1" w:after="2" w:afterAutospacing="0"/>
        <w:ind w:left="0" w:firstLine="0"/>
        <w:jc w:val="both"/>
        <w:rPr>
          <w:rFonts w:ascii="Cambria" w:eastAsiaTheme="minorHAnsi" w:hAnsi="Cambria"/>
          <w:sz w:val="20"/>
          <w:szCs w:val="20"/>
          <w:lang w:val="es-ES"/>
        </w:rPr>
      </w:pPr>
      <w:r w:rsidRPr="006B7AD6">
        <w:rPr>
          <w:rFonts w:ascii="Cambria" w:eastAsiaTheme="minorHAnsi" w:hAnsi="Cambria"/>
          <w:sz w:val="20"/>
          <w:szCs w:val="20"/>
          <w:lang w:val="es-ES"/>
        </w:rPr>
        <w:t xml:space="preserve">En este sentido, la CIDH recuerda, por ejemplo, que la Corte Interamericana de Derechos Humanos ha establecido que “el derecho </w:t>
      </w:r>
      <w:r>
        <w:rPr>
          <w:rFonts w:ascii="Cambria" w:eastAsiaTheme="minorHAnsi" w:hAnsi="Cambria"/>
          <w:sz w:val="20"/>
          <w:szCs w:val="20"/>
          <w:lang w:val="es-ES"/>
        </w:rPr>
        <w:t>de</w:t>
      </w:r>
      <w:r w:rsidRPr="006B7AD6">
        <w:rPr>
          <w:rFonts w:ascii="Cambria" w:eastAsiaTheme="minorHAnsi" w:hAnsi="Cambria"/>
          <w:sz w:val="20"/>
          <w:szCs w:val="20"/>
          <w:lang w:val="es-ES"/>
        </w:rPr>
        <w:t xml:space="preserve"> gracia forma parte del corpus juris internacional, específicamente de la Convención Americana y el Pacto Internacional de Derechos Civiles y Políticos”</w:t>
      </w:r>
      <w:r>
        <w:rPr>
          <w:rStyle w:val="FootnoteReference"/>
          <w:rFonts w:ascii="Cambria" w:eastAsiaTheme="minorHAnsi" w:hAnsi="Cambria"/>
          <w:sz w:val="20"/>
          <w:szCs w:val="20"/>
        </w:rPr>
        <w:footnoteReference w:id="40"/>
      </w:r>
      <w:r w:rsidRPr="006B7AD6">
        <w:rPr>
          <w:rFonts w:ascii="Cambria" w:eastAsiaTheme="minorHAnsi" w:hAnsi="Cambria"/>
          <w:sz w:val="20"/>
          <w:szCs w:val="20"/>
          <w:lang w:val="es-ES"/>
        </w:rPr>
        <w:t>. Dicho Tribunal ha establecido que como parte de este derecho el Estado tiene “</w:t>
      </w:r>
      <w:r>
        <w:rPr>
          <w:rFonts w:ascii="Cambria" w:eastAsiaTheme="minorHAnsi" w:hAnsi="Cambria"/>
          <w:sz w:val="20"/>
          <w:szCs w:val="20"/>
          <w:lang w:val="es-ES"/>
        </w:rPr>
        <w:t>la obligación de garantizar que este derecho pueda ser ejercido por el condenado a pena de muerte de manera efectiva. Así, el Estado tiene la obligación de implementar un procedimiento de esta índole que se caracterice por ser imparcial y transparente, en donde el condenado a pena capital pueda hacer valer de manera cierta todos los antecedentes que crea pertinentes para ser favorecido con el acto de clemencia</w:t>
      </w:r>
      <w:r w:rsidRPr="006B7AD6">
        <w:rPr>
          <w:rFonts w:ascii="Cambria" w:eastAsiaTheme="minorHAnsi" w:hAnsi="Cambria"/>
          <w:sz w:val="20"/>
          <w:szCs w:val="20"/>
          <w:lang w:val="es-ES"/>
        </w:rPr>
        <w:t>”</w:t>
      </w:r>
      <w:r>
        <w:rPr>
          <w:rStyle w:val="FootnoteReference"/>
          <w:rFonts w:ascii="Cambria" w:eastAsiaTheme="minorHAnsi" w:hAnsi="Cambria"/>
          <w:sz w:val="20"/>
          <w:szCs w:val="20"/>
        </w:rPr>
        <w:footnoteReference w:id="41"/>
      </w:r>
      <w:r w:rsidRPr="006B7AD6">
        <w:rPr>
          <w:rFonts w:ascii="Cambria" w:eastAsiaTheme="minorHAnsi" w:hAnsi="Cambria"/>
          <w:sz w:val="20"/>
          <w:szCs w:val="20"/>
          <w:lang w:val="es-ES"/>
        </w:rPr>
        <w:t>. De igual forma el Comité de Derechos Humanos de la Organización de Naciones Unidas ha manifestado que el Estado</w:t>
      </w:r>
    </w:p>
    <w:p w14:paraId="288E96FE" w14:textId="77777777" w:rsidR="004A0895" w:rsidRPr="00E36893" w:rsidRDefault="004A0895" w:rsidP="004A0895">
      <w:pPr>
        <w:pStyle w:val="NormalWeb"/>
        <w:tabs>
          <w:tab w:val="left" w:pos="360"/>
        </w:tabs>
        <w:spacing w:beforeLines="1" w:before="2" w:beforeAutospacing="0" w:afterLines="1" w:after="2" w:afterAutospacing="0"/>
        <w:jc w:val="both"/>
        <w:rPr>
          <w:rFonts w:ascii="Cambria" w:eastAsiaTheme="minorHAnsi" w:hAnsi="Cambria" w:cs="Cambria"/>
          <w:color w:val="000000"/>
          <w:sz w:val="20"/>
          <w:szCs w:val="20"/>
          <w:u w:color="000000"/>
          <w:bdr w:val="nil"/>
          <w:lang w:val="es-ES" w:eastAsia="es-ES"/>
        </w:rPr>
      </w:pPr>
    </w:p>
    <w:p w14:paraId="014347F9" w14:textId="77777777" w:rsidR="004A0895" w:rsidRPr="006B7AD6" w:rsidRDefault="004A0895" w:rsidP="004A0895">
      <w:pPr>
        <w:pStyle w:val="NormalWeb"/>
        <w:tabs>
          <w:tab w:val="left" w:pos="360"/>
        </w:tabs>
        <w:spacing w:beforeLines="1" w:before="2" w:beforeAutospacing="0" w:afterLines="1" w:after="2" w:afterAutospacing="0"/>
        <w:ind w:left="450" w:right="630"/>
        <w:jc w:val="both"/>
        <w:rPr>
          <w:rFonts w:ascii="Cambria" w:eastAsiaTheme="minorHAnsi" w:hAnsi="Cambria"/>
          <w:sz w:val="20"/>
          <w:szCs w:val="20"/>
          <w:lang w:val="es-ES"/>
        </w:rPr>
      </w:pPr>
      <w:r w:rsidRPr="006B7AD6">
        <w:rPr>
          <w:rFonts w:ascii="Cambria" w:eastAsiaTheme="minorHAnsi" w:hAnsi="Cambria"/>
          <w:sz w:val="20"/>
          <w:szCs w:val="20"/>
          <w:lang w:val="es-ES"/>
        </w:rPr>
        <w:t xml:space="preserve">[…] </w:t>
      </w:r>
      <w:r w:rsidR="006B7AD6" w:rsidRPr="006B7AD6">
        <w:rPr>
          <w:rFonts w:ascii="Cambria" w:eastAsiaTheme="minorHAnsi" w:hAnsi="Cambria"/>
          <w:sz w:val="20"/>
          <w:szCs w:val="20"/>
          <w:lang w:val="es-ES"/>
        </w:rPr>
        <w:t>El Estado Parte debe garantizar que toda persona condenada a muerte tenga derecho a solicitar el indulto o la conmutación de la pena, conformando la legislación con las obligaciones del Pacto y dictando las normas correspondientes para que ese derecho de petición pueda ser ejercido</w:t>
      </w:r>
      <w:r>
        <w:rPr>
          <w:rStyle w:val="FootnoteReference"/>
          <w:rFonts w:ascii="Cambria" w:eastAsiaTheme="minorHAnsi" w:hAnsi="Cambria"/>
          <w:sz w:val="20"/>
          <w:szCs w:val="20"/>
        </w:rPr>
        <w:footnoteReference w:id="42"/>
      </w:r>
      <w:r w:rsidRPr="006B7AD6">
        <w:rPr>
          <w:rFonts w:ascii="Cambria" w:eastAsiaTheme="minorHAnsi" w:hAnsi="Cambria"/>
          <w:sz w:val="20"/>
          <w:szCs w:val="20"/>
          <w:lang w:val="es-ES"/>
        </w:rPr>
        <w:t>.</w:t>
      </w:r>
    </w:p>
    <w:p w14:paraId="0D2CC9B1" w14:textId="77777777" w:rsidR="004E7578" w:rsidRPr="00AC31F6" w:rsidRDefault="004E7578" w:rsidP="00D31511">
      <w:pPr>
        <w:pStyle w:val="NormalWeb"/>
        <w:tabs>
          <w:tab w:val="left" w:pos="360"/>
        </w:tabs>
        <w:spacing w:beforeLines="1" w:before="2" w:beforeAutospacing="0" w:afterLines="1" w:after="2" w:afterAutospacing="0"/>
        <w:jc w:val="both"/>
        <w:rPr>
          <w:rFonts w:ascii="Cambria" w:eastAsiaTheme="minorHAnsi" w:hAnsi="Cambria"/>
          <w:sz w:val="20"/>
          <w:szCs w:val="20"/>
          <w:lang w:val="es-ES"/>
        </w:rPr>
      </w:pPr>
    </w:p>
    <w:p w14:paraId="0A42418E" w14:textId="77777777" w:rsidR="006B7AD6" w:rsidRPr="00AC31F6" w:rsidRDefault="00AC31F6" w:rsidP="00D31511">
      <w:pPr>
        <w:pStyle w:val="NormalWeb"/>
        <w:numPr>
          <w:ilvl w:val="0"/>
          <w:numId w:val="55"/>
        </w:numPr>
        <w:tabs>
          <w:tab w:val="left" w:pos="360"/>
        </w:tabs>
        <w:spacing w:beforeLines="1" w:before="2" w:beforeAutospacing="0" w:afterLines="1" w:after="2" w:afterAutospacing="0"/>
        <w:ind w:left="0" w:firstLine="0"/>
        <w:jc w:val="both"/>
        <w:rPr>
          <w:rFonts w:ascii="Cambria" w:eastAsiaTheme="minorHAnsi" w:hAnsi="Cambria"/>
          <w:sz w:val="20"/>
          <w:szCs w:val="20"/>
          <w:lang w:val="es-ES"/>
        </w:rPr>
      </w:pPr>
      <w:r w:rsidRPr="00AC31F6">
        <w:rPr>
          <w:rFonts w:ascii="Cambria" w:eastAsiaTheme="minorHAnsi" w:hAnsi="Cambria"/>
          <w:sz w:val="20"/>
          <w:szCs w:val="20"/>
          <w:lang w:val="es-ES"/>
        </w:rPr>
        <w:t xml:space="preserve">Por lo tanto, la Comisión encuentra que el procedimiento vigente no llega a establecer salvaguardias mínimas para hacer efectiva una solicitud de </w:t>
      </w:r>
      <w:r>
        <w:rPr>
          <w:rFonts w:ascii="Cambria" w:eastAsiaTheme="minorHAnsi" w:hAnsi="Cambria"/>
          <w:sz w:val="20"/>
          <w:szCs w:val="20"/>
          <w:lang w:val="es-ES"/>
        </w:rPr>
        <w:t>clemencia</w:t>
      </w:r>
      <w:r w:rsidRPr="00AC31F6">
        <w:rPr>
          <w:rFonts w:ascii="Cambria" w:eastAsiaTheme="minorHAnsi" w:hAnsi="Cambria"/>
          <w:sz w:val="20"/>
          <w:szCs w:val="20"/>
          <w:lang w:val="es-ES"/>
        </w:rPr>
        <w:t xml:space="preserve"> </w:t>
      </w:r>
      <w:r>
        <w:rPr>
          <w:rFonts w:ascii="Cambria" w:eastAsiaTheme="minorHAnsi" w:hAnsi="Cambria"/>
          <w:sz w:val="20"/>
          <w:szCs w:val="20"/>
          <w:lang w:val="es-ES"/>
        </w:rPr>
        <w:t>antes</w:t>
      </w:r>
      <w:r w:rsidRPr="00AC31F6">
        <w:rPr>
          <w:rFonts w:ascii="Cambria" w:eastAsiaTheme="minorHAnsi" w:hAnsi="Cambria"/>
          <w:sz w:val="20"/>
          <w:szCs w:val="20"/>
          <w:lang w:val="es-ES"/>
        </w:rPr>
        <w:t xml:space="preserve"> de la ejecución de la pena de muerte y, por lo tanto, para evitar decisiones arbitrarias. En consecuencia, la Comisión también concluye que el Estado ha violado los derechos del señor Valle de conformidad con el artículo XXIV de la Convención Americana al no garantizarle el derecho efectivo de petición y solicitud de amnistía, indulto o conmutación de pena, para hacer gestiones, en persona o por un abogado, al Gobernador y, para recibir una pronta decisión del Gobernador dentro de un tiempo razonable antes de su ejecución.</w:t>
      </w:r>
    </w:p>
    <w:p w14:paraId="2AD990AF" w14:textId="77777777" w:rsidR="00792021" w:rsidRPr="00E36893" w:rsidRDefault="00792021" w:rsidP="00D31511">
      <w:pPr>
        <w:pStyle w:val="NormalWeb"/>
        <w:tabs>
          <w:tab w:val="left" w:pos="360"/>
        </w:tabs>
        <w:spacing w:beforeLines="1" w:before="2" w:beforeAutospacing="0" w:afterLines="1" w:after="2" w:afterAutospacing="0"/>
        <w:jc w:val="both"/>
        <w:rPr>
          <w:rFonts w:asciiTheme="majorHAnsi" w:eastAsiaTheme="minorHAnsi" w:hAnsiTheme="majorHAnsi"/>
          <w:sz w:val="20"/>
          <w:szCs w:val="20"/>
          <w:lang w:val="es-ES"/>
        </w:rPr>
      </w:pPr>
    </w:p>
    <w:p w14:paraId="77904C38" w14:textId="77777777" w:rsidR="00AC31F6" w:rsidRPr="00AC31F6" w:rsidRDefault="00AC31F6" w:rsidP="00D31511">
      <w:pPr>
        <w:pStyle w:val="NormalWeb"/>
        <w:numPr>
          <w:ilvl w:val="0"/>
          <w:numId w:val="55"/>
        </w:numPr>
        <w:tabs>
          <w:tab w:val="left" w:pos="360"/>
        </w:tabs>
        <w:spacing w:beforeLines="1" w:before="2" w:beforeAutospacing="0" w:afterLines="1" w:after="2" w:afterAutospacing="0"/>
        <w:ind w:left="0" w:firstLine="0"/>
        <w:jc w:val="both"/>
        <w:rPr>
          <w:rFonts w:asciiTheme="majorHAnsi" w:eastAsiaTheme="minorHAnsi" w:hAnsiTheme="majorHAnsi"/>
          <w:sz w:val="20"/>
          <w:szCs w:val="20"/>
          <w:lang w:val="es-ES"/>
        </w:rPr>
      </w:pPr>
      <w:r w:rsidRPr="00AC31F6">
        <w:rPr>
          <w:rFonts w:asciiTheme="majorHAnsi" w:eastAsiaTheme="minorHAnsi" w:hAnsiTheme="majorHAnsi"/>
          <w:sz w:val="20"/>
          <w:szCs w:val="20"/>
          <w:lang w:val="es-ES"/>
        </w:rPr>
        <w:t>Con base en lo anterior, la Comisión concluye que los procedimientos de clemencia en Florida no garantizan el derecho a una audiencia imparcial conforme al artículo XXVI de la Declaración Americana y que el incumplimiento por parte del Estado de esta obligación puede resultar en una violación adicional de los derechos</w:t>
      </w:r>
      <w:r>
        <w:rPr>
          <w:rFonts w:asciiTheme="majorHAnsi" w:eastAsiaTheme="minorHAnsi" w:hAnsiTheme="majorHAnsi"/>
          <w:sz w:val="20"/>
          <w:szCs w:val="20"/>
          <w:lang w:val="es-ES"/>
        </w:rPr>
        <w:t xml:space="preserve"> de justicia</w:t>
      </w:r>
      <w:r w:rsidRPr="00AC31F6">
        <w:rPr>
          <w:rFonts w:asciiTheme="majorHAnsi" w:eastAsiaTheme="minorHAnsi" w:hAnsiTheme="majorHAnsi"/>
          <w:sz w:val="20"/>
          <w:szCs w:val="20"/>
          <w:lang w:val="es-ES"/>
        </w:rPr>
        <w:t xml:space="preserve"> en virtud de la Declaración.</w:t>
      </w:r>
    </w:p>
    <w:p w14:paraId="75C90334" w14:textId="77777777" w:rsidR="004C5505" w:rsidRPr="00E36893" w:rsidRDefault="004C5505" w:rsidP="00EC55EA">
      <w:pPr>
        <w:pStyle w:val="NormalWeb"/>
        <w:tabs>
          <w:tab w:val="left" w:pos="360"/>
        </w:tabs>
        <w:spacing w:before="0" w:beforeAutospacing="0" w:after="0" w:afterAutospacing="0"/>
        <w:jc w:val="both"/>
        <w:rPr>
          <w:rFonts w:asciiTheme="majorHAnsi" w:hAnsiTheme="majorHAnsi"/>
          <w:sz w:val="20"/>
          <w:szCs w:val="20"/>
          <w:lang w:val="es-ES"/>
        </w:rPr>
      </w:pPr>
    </w:p>
    <w:p w14:paraId="3B8CD80E" w14:textId="77777777" w:rsidR="00126FD8" w:rsidRPr="00126FD8" w:rsidRDefault="00126FD8" w:rsidP="00F47B79">
      <w:pPr>
        <w:pStyle w:val="Heading2"/>
        <w:numPr>
          <w:ilvl w:val="0"/>
          <w:numId w:val="61"/>
        </w:numPr>
        <w:tabs>
          <w:tab w:val="left" w:pos="360"/>
        </w:tabs>
        <w:spacing w:before="0"/>
        <w:ind w:left="0" w:firstLine="0"/>
        <w:jc w:val="both"/>
        <w:rPr>
          <w:color w:val="auto"/>
          <w:sz w:val="20"/>
          <w:szCs w:val="20"/>
          <w:lang w:val="es-ES"/>
        </w:rPr>
      </w:pPr>
      <w:bookmarkStart w:id="20" w:name="_Toc90292583"/>
      <w:r w:rsidRPr="00126FD8">
        <w:rPr>
          <w:color w:val="auto"/>
          <w:sz w:val="20"/>
          <w:szCs w:val="20"/>
          <w:lang w:val="es-ES"/>
        </w:rPr>
        <w:t>La privación de la libertad en el corr</w:t>
      </w:r>
      <w:r>
        <w:rPr>
          <w:color w:val="auto"/>
          <w:sz w:val="20"/>
          <w:szCs w:val="20"/>
          <w:lang w:val="es-ES"/>
        </w:rPr>
        <w:t>e</w:t>
      </w:r>
      <w:r w:rsidRPr="00126FD8">
        <w:rPr>
          <w:color w:val="auto"/>
          <w:sz w:val="20"/>
          <w:szCs w:val="20"/>
          <w:lang w:val="es-ES"/>
        </w:rPr>
        <w:t xml:space="preserve">dor de la muerte y el derecho </w:t>
      </w:r>
      <w:r>
        <w:rPr>
          <w:color w:val="auto"/>
          <w:sz w:val="20"/>
          <w:szCs w:val="20"/>
          <w:lang w:val="es-ES"/>
        </w:rPr>
        <w:t>a la protección contra penas crueles, infamantes o inusitadas</w:t>
      </w:r>
      <w:bookmarkEnd w:id="20"/>
    </w:p>
    <w:p w14:paraId="254955CC" w14:textId="77777777" w:rsidR="0050076E" w:rsidRPr="00126FD8" w:rsidRDefault="0050076E" w:rsidP="0050076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14:paraId="096D3C3E" w14:textId="77777777" w:rsidR="0050076E" w:rsidRPr="00126FD8" w:rsidRDefault="00126FD8" w:rsidP="0050076E">
      <w:pPr>
        <w:pStyle w:val="Heading2"/>
        <w:numPr>
          <w:ilvl w:val="1"/>
          <w:numId w:val="68"/>
        </w:numPr>
        <w:spacing w:before="0"/>
        <w:ind w:left="360" w:hanging="360"/>
        <w:rPr>
          <w:rFonts w:eastAsia="Arial Unicode MS"/>
          <w:color w:val="auto"/>
          <w:sz w:val="20"/>
          <w:szCs w:val="20"/>
          <w:lang w:val="es-ES"/>
        </w:rPr>
      </w:pPr>
      <w:bookmarkStart w:id="21" w:name="_Toc31968749"/>
      <w:bookmarkStart w:id="22" w:name="_Toc90292584"/>
      <w:r w:rsidRPr="00126FD8">
        <w:rPr>
          <w:color w:val="auto"/>
          <w:sz w:val="20"/>
          <w:szCs w:val="20"/>
          <w:lang w:val="es-ES"/>
        </w:rPr>
        <w:t>El fenómeno del corr</w:t>
      </w:r>
      <w:r>
        <w:rPr>
          <w:color w:val="auto"/>
          <w:sz w:val="20"/>
          <w:szCs w:val="20"/>
          <w:lang w:val="es-ES"/>
        </w:rPr>
        <w:t>e</w:t>
      </w:r>
      <w:r w:rsidRPr="00126FD8">
        <w:rPr>
          <w:color w:val="auto"/>
          <w:sz w:val="20"/>
          <w:szCs w:val="20"/>
          <w:lang w:val="es-ES"/>
        </w:rPr>
        <w:t>dor de la muerte</w:t>
      </w:r>
      <w:r w:rsidR="0050076E" w:rsidRPr="009E075C">
        <w:rPr>
          <w:rStyle w:val="FootnoteReference"/>
          <w:rFonts w:eastAsia="Arial Unicode MS"/>
          <w:color w:val="auto"/>
          <w:sz w:val="20"/>
          <w:szCs w:val="20"/>
        </w:rPr>
        <w:footnoteReference w:id="43"/>
      </w:r>
      <w:bookmarkEnd w:id="21"/>
      <w:bookmarkEnd w:id="22"/>
      <w:r w:rsidR="0050076E" w:rsidRPr="00126FD8">
        <w:rPr>
          <w:rFonts w:eastAsia="Arial Unicode MS"/>
          <w:color w:val="auto"/>
          <w:sz w:val="20"/>
          <w:szCs w:val="20"/>
          <w:lang w:val="es-ES"/>
        </w:rPr>
        <w:t xml:space="preserve">  </w:t>
      </w:r>
    </w:p>
    <w:p w14:paraId="3EACD4CA" w14:textId="77777777" w:rsidR="0050076E" w:rsidRPr="00126FD8" w:rsidDel="00416F46" w:rsidRDefault="0050076E" w:rsidP="0038245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eastAsia="Times New Roman" w:hAnsiTheme="majorHAnsi"/>
          <w:sz w:val="20"/>
          <w:szCs w:val="20"/>
          <w:lang w:val="es-ES"/>
        </w:rPr>
      </w:pPr>
    </w:p>
    <w:p w14:paraId="076C210D" w14:textId="77777777" w:rsidR="0050076E" w:rsidRPr="00AC31F6" w:rsidRDefault="00AC31F6" w:rsidP="005B222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eastAsia="Times New Roman" w:hAnsiTheme="majorHAnsi"/>
          <w:sz w:val="20"/>
          <w:szCs w:val="20"/>
          <w:lang w:val="es-ES"/>
        </w:rPr>
      </w:pPr>
      <w:r w:rsidRPr="00AC31F6">
        <w:rPr>
          <w:rFonts w:asciiTheme="majorHAnsi" w:eastAsia="Times New Roman" w:hAnsiTheme="majorHAnsi"/>
          <w:sz w:val="20"/>
          <w:szCs w:val="20"/>
          <w:lang w:val="es-ES"/>
        </w:rPr>
        <w:t xml:space="preserve">La privación de libertad a largo plazo en el corredor de la muerte se denomina tanto en el derecho internacional de los derechos humanos como en el derecho comparado como el "fenómeno del corredor de la muerte" y atenta contra la libertad de una persona de sufrir penas crueles, inhumanas o degradantes. Dicho </w:t>
      </w:r>
      <w:r w:rsidRPr="00AC31F6">
        <w:rPr>
          <w:rFonts w:asciiTheme="majorHAnsi" w:eastAsia="Times New Roman" w:hAnsiTheme="majorHAnsi"/>
          <w:sz w:val="20"/>
          <w:szCs w:val="20"/>
          <w:lang w:val="es-ES"/>
        </w:rPr>
        <w:lastRenderedPageBreak/>
        <w:t>trato viola la prohibición de l</w:t>
      </w:r>
      <w:r>
        <w:rPr>
          <w:rFonts w:asciiTheme="majorHAnsi" w:eastAsia="Times New Roman" w:hAnsiTheme="majorHAnsi"/>
          <w:sz w:val="20"/>
          <w:szCs w:val="20"/>
          <w:lang w:val="es-ES"/>
        </w:rPr>
        <w:t>as pena</w:t>
      </w:r>
      <w:r w:rsidRPr="00AC31F6">
        <w:rPr>
          <w:rFonts w:asciiTheme="majorHAnsi" w:eastAsia="Times New Roman" w:hAnsiTheme="majorHAnsi"/>
          <w:sz w:val="20"/>
          <w:szCs w:val="20"/>
          <w:lang w:val="es-ES"/>
        </w:rPr>
        <w:t>s crueles, inhuman</w:t>
      </w:r>
      <w:r>
        <w:rPr>
          <w:rFonts w:asciiTheme="majorHAnsi" w:eastAsia="Times New Roman" w:hAnsiTheme="majorHAnsi"/>
          <w:sz w:val="20"/>
          <w:szCs w:val="20"/>
          <w:lang w:val="es-ES"/>
        </w:rPr>
        <w:t>a</w:t>
      </w:r>
      <w:r w:rsidRPr="00AC31F6">
        <w:rPr>
          <w:rFonts w:asciiTheme="majorHAnsi" w:eastAsia="Times New Roman" w:hAnsiTheme="majorHAnsi"/>
          <w:sz w:val="20"/>
          <w:szCs w:val="20"/>
          <w:lang w:val="es-ES"/>
        </w:rPr>
        <w:t>s o degradantes en las Constituciones y en múltiples tratados internacionales, incluida la Declaración Americana (artículos XXV y XXVI).</w:t>
      </w:r>
      <w:r w:rsidR="0050076E" w:rsidRPr="007B6018">
        <w:rPr>
          <w:rStyle w:val="FootnoteReference"/>
          <w:rFonts w:asciiTheme="majorHAnsi" w:hAnsiTheme="majorHAnsi"/>
          <w:sz w:val="20"/>
          <w:szCs w:val="20"/>
        </w:rPr>
        <w:footnoteReference w:id="44"/>
      </w:r>
    </w:p>
    <w:p w14:paraId="5A3CB721" w14:textId="77777777" w:rsidR="0050076E" w:rsidRPr="00AC31F6" w:rsidDel="00152A34" w:rsidRDefault="0050076E" w:rsidP="0038245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eastAsia="Times New Roman" w:hAnsiTheme="majorHAnsi"/>
          <w:sz w:val="20"/>
          <w:szCs w:val="20"/>
          <w:lang w:val="es-ES"/>
        </w:rPr>
      </w:pPr>
    </w:p>
    <w:p w14:paraId="664A4ACC" w14:textId="77777777" w:rsidR="00AC31F6" w:rsidRPr="00AC31F6" w:rsidRDefault="00AC31F6" w:rsidP="005007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eastAsia="Times New Roman" w:hAnsiTheme="majorHAnsi"/>
          <w:sz w:val="20"/>
          <w:szCs w:val="20"/>
          <w:lang w:val="es-ES"/>
        </w:rPr>
      </w:pPr>
      <w:r w:rsidRPr="00AC31F6">
        <w:rPr>
          <w:rFonts w:asciiTheme="majorHAnsi" w:eastAsia="Times New Roman" w:hAnsiTheme="majorHAnsi"/>
          <w:sz w:val="20"/>
          <w:szCs w:val="20"/>
          <w:lang w:val="es-ES"/>
        </w:rPr>
        <w:t xml:space="preserve">La Comisión toma nota </w:t>
      </w:r>
      <w:r>
        <w:rPr>
          <w:rFonts w:asciiTheme="majorHAnsi" w:eastAsia="Times New Roman" w:hAnsiTheme="majorHAnsi"/>
          <w:sz w:val="20"/>
          <w:szCs w:val="20"/>
          <w:lang w:val="es-ES"/>
        </w:rPr>
        <w:t xml:space="preserve">de que </w:t>
      </w:r>
      <w:r w:rsidRPr="00AC31F6">
        <w:rPr>
          <w:rFonts w:asciiTheme="majorHAnsi" w:eastAsia="Times New Roman" w:hAnsiTheme="majorHAnsi"/>
          <w:sz w:val="20"/>
          <w:szCs w:val="20"/>
          <w:lang w:val="es-ES"/>
        </w:rPr>
        <w:t>el concepto de fenómeno del corredor de la muerte del Relator Especial de las Naciones Unidas sobre la tortura y otros tratos o penas crueles, inhumanos o degradantes:</w:t>
      </w:r>
    </w:p>
    <w:p w14:paraId="4B245DD5" w14:textId="77777777" w:rsidR="00AC31F6" w:rsidRDefault="00AC31F6" w:rsidP="00AC31F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ind w:left="360" w:right="360"/>
        <w:jc w:val="both"/>
        <w:rPr>
          <w:rFonts w:ascii="Cambria" w:hAnsi="Cambria"/>
          <w:sz w:val="18"/>
          <w:szCs w:val="18"/>
          <w:lang w:val="es-ES"/>
        </w:rPr>
      </w:pPr>
    </w:p>
    <w:p w14:paraId="4D309988" w14:textId="77777777" w:rsidR="0050076E" w:rsidRPr="00AC31F6" w:rsidRDefault="00AC31F6" w:rsidP="00AC31F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ind w:left="360" w:right="360"/>
        <w:jc w:val="both"/>
        <w:rPr>
          <w:rFonts w:ascii="Cambria" w:hAnsi="Cambria"/>
          <w:sz w:val="18"/>
          <w:szCs w:val="18"/>
          <w:lang w:val="es-ES"/>
        </w:rPr>
      </w:pPr>
      <w:r>
        <w:rPr>
          <w:rFonts w:ascii="Cambria" w:hAnsi="Cambria"/>
          <w:sz w:val="18"/>
          <w:szCs w:val="18"/>
          <w:lang w:val="es-ES"/>
        </w:rPr>
        <w:t xml:space="preserve">(…) </w:t>
      </w:r>
      <w:r w:rsidRPr="00AC31F6">
        <w:rPr>
          <w:rFonts w:ascii="Cambria" w:hAnsi="Cambria"/>
          <w:sz w:val="18"/>
          <w:szCs w:val="18"/>
          <w:lang w:val="es-ES"/>
        </w:rPr>
        <w:t>Consiste en una combinación de circunstancias que producen graves traumas mentales y deterioro físico en los presos sentenciados a muerte.</w:t>
      </w:r>
      <w:r w:rsidRPr="00E43FF8">
        <w:rPr>
          <w:rFonts w:ascii="Cambria" w:hAnsi="Cambria"/>
          <w:sz w:val="18"/>
          <w:szCs w:val="18"/>
          <w:vertAlign w:val="superscript"/>
        </w:rPr>
        <w:footnoteReference w:id="45"/>
      </w:r>
      <w:r w:rsidRPr="00AC31F6">
        <w:rPr>
          <w:rFonts w:ascii="Cambria" w:hAnsi="Cambria"/>
          <w:sz w:val="18"/>
          <w:szCs w:val="18"/>
          <w:lang w:val="es-ES"/>
        </w:rPr>
        <w:t xml:space="preserve"> Entre esas circunstancias figuran la prolongada y ansiosa espera de resultados plenos de incertidumbre, el aislamiento, el contacto humano drásticamente reducido e incluso las condiciones físicas en que están alojados algunos reclusos. Con frecuencia, las condiciones del pabellón de los condenados a muerte son peores que las que afectan al resto de la población carcelaria y se deniegan a los presos alojados en ese pabellón muchas cuestiones básicas y de primera necesidad.</w:t>
      </w:r>
      <w:r w:rsidR="00B343BE">
        <w:rPr>
          <w:rStyle w:val="FootnoteReference"/>
          <w:rFonts w:ascii="Cambria" w:hAnsi="Cambria"/>
          <w:sz w:val="18"/>
          <w:szCs w:val="18"/>
          <w:lang w:val="es-ES"/>
        </w:rPr>
        <w:footnoteReference w:id="46"/>
      </w:r>
      <w:r w:rsidRPr="00AC31F6">
        <w:rPr>
          <w:rFonts w:ascii="Cambria" w:hAnsi="Cambria"/>
          <w:sz w:val="18"/>
          <w:szCs w:val="18"/>
          <w:vertAlign w:val="superscript"/>
          <w:lang w:val="es-ES"/>
        </w:rPr>
        <w:t xml:space="preserve"> </w:t>
      </w:r>
    </w:p>
    <w:p w14:paraId="5C7ED87C" w14:textId="77777777" w:rsidR="0050076E" w:rsidRPr="00B343BE" w:rsidRDefault="0050076E" w:rsidP="0050076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ind w:right="720"/>
        <w:jc w:val="both"/>
        <w:rPr>
          <w:rFonts w:ascii="Cambria" w:hAnsi="Cambria"/>
          <w:bCs/>
          <w:sz w:val="20"/>
          <w:szCs w:val="20"/>
          <w:lang w:val="es-ES"/>
        </w:rPr>
      </w:pPr>
    </w:p>
    <w:p w14:paraId="09440456" w14:textId="77777777" w:rsidR="00AC31F6" w:rsidRPr="00AC31F6" w:rsidRDefault="00AC31F6" w:rsidP="005007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eastAsia="Times New Roman" w:hAnsiTheme="majorHAnsi"/>
          <w:sz w:val="20"/>
          <w:szCs w:val="20"/>
          <w:lang w:val="es-ES"/>
        </w:rPr>
      </w:pPr>
      <w:r w:rsidRPr="00AC31F6">
        <w:rPr>
          <w:rFonts w:asciiTheme="majorHAnsi" w:eastAsia="Times New Roman" w:hAnsiTheme="majorHAnsi"/>
          <w:sz w:val="20"/>
          <w:szCs w:val="20"/>
          <w:lang w:val="es-ES"/>
        </w:rPr>
        <w:t xml:space="preserve">En el caso </w:t>
      </w:r>
      <w:r w:rsidRPr="00AC31F6">
        <w:rPr>
          <w:rFonts w:asciiTheme="majorHAnsi" w:eastAsia="Times New Roman" w:hAnsiTheme="majorHAnsi"/>
          <w:i/>
          <w:iCs/>
          <w:sz w:val="20"/>
          <w:szCs w:val="20"/>
          <w:lang w:val="es-ES"/>
        </w:rPr>
        <w:t>Soering vs. Reino Unido</w:t>
      </w:r>
      <w:r w:rsidRPr="00AC31F6">
        <w:rPr>
          <w:rFonts w:asciiTheme="majorHAnsi" w:eastAsia="Times New Roman" w:hAnsiTheme="majorHAnsi"/>
          <w:sz w:val="20"/>
          <w:szCs w:val="20"/>
          <w:lang w:val="es-ES"/>
        </w:rPr>
        <w:t>, el Tribunal Europeo de Derechos Humanos, en su interpretación de la norma que prohíbe las penas crueles, inhumanos e inusuales y en referencia a la pena de muerte, señaló que:</w:t>
      </w:r>
    </w:p>
    <w:p w14:paraId="11671151" w14:textId="77777777" w:rsidR="00AC31F6" w:rsidRPr="00E36893" w:rsidRDefault="00AC31F6" w:rsidP="00AC31F6">
      <w:pPr>
        <w:ind w:right="360"/>
        <w:jc w:val="both"/>
        <w:rPr>
          <w:rStyle w:val="sb8d990e2"/>
          <w:sz w:val="18"/>
          <w:szCs w:val="18"/>
          <w:lang w:val="es-ES"/>
        </w:rPr>
      </w:pPr>
    </w:p>
    <w:p w14:paraId="3A0FFB23" w14:textId="77777777" w:rsidR="0050076E" w:rsidRPr="00AC31F6" w:rsidRDefault="00AC31F6" w:rsidP="00AC31F6">
      <w:pPr>
        <w:pStyle w:val="ListParagraph"/>
        <w:ind w:left="360" w:right="360"/>
        <w:jc w:val="both"/>
        <w:rPr>
          <w:rStyle w:val="sb8d990e2"/>
          <w:sz w:val="18"/>
          <w:szCs w:val="18"/>
          <w:lang w:val="es-ES"/>
        </w:rPr>
      </w:pPr>
      <w:r w:rsidRPr="00AC31F6">
        <w:rPr>
          <w:rStyle w:val="sb8d990e2"/>
          <w:sz w:val="18"/>
          <w:szCs w:val="18"/>
          <w:lang w:val="es-ES"/>
        </w:rPr>
        <w:t>La manera en que se dicte o aplique, la personalidad del condenado y la desproporción en relación con la gravedad del delito, así como las condiciones de la prisión mientras espera la ejecución, son algunos de</w:t>
      </w:r>
      <w:r>
        <w:rPr>
          <w:rStyle w:val="sb8d990e2"/>
          <w:sz w:val="18"/>
          <w:szCs w:val="18"/>
          <w:lang w:val="es-ES"/>
        </w:rPr>
        <w:t xml:space="preserve"> </w:t>
      </w:r>
      <w:r w:rsidRPr="00AC31F6">
        <w:rPr>
          <w:rStyle w:val="sb8d990e2"/>
          <w:sz w:val="18"/>
          <w:szCs w:val="18"/>
          <w:lang w:val="es-ES"/>
        </w:rPr>
        <w:t>los factores que pueden hacer que el trato y la pena que sufre el reo incidan en el artículo 3.</w:t>
      </w:r>
      <w:r w:rsidR="0050076E" w:rsidRPr="00E43FF8">
        <w:rPr>
          <w:rStyle w:val="FootnoteReference"/>
          <w:sz w:val="18"/>
          <w:szCs w:val="18"/>
        </w:rPr>
        <w:footnoteReference w:id="47"/>
      </w:r>
      <w:r w:rsidR="0050076E" w:rsidRPr="00AC31F6">
        <w:rPr>
          <w:rStyle w:val="sb8d990e2"/>
          <w:sz w:val="18"/>
          <w:szCs w:val="18"/>
          <w:lang w:val="es-ES"/>
        </w:rPr>
        <w:t xml:space="preserve"> </w:t>
      </w:r>
    </w:p>
    <w:p w14:paraId="122235B9" w14:textId="77777777" w:rsidR="0050076E" w:rsidRPr="00AC31F6" w:rsidRDefault="0050076E" w:rsidP="0050076E">
      <w:pPr>
        <w:pBdr>
          <w:top w:val="none" w:sz="0" w:space="0" w:color="auto"/>
          <w:left w:val="none" w:sz="0" w:space="0" w:color="auto"/>
          <w:bottom w:val="none" w:sz="0" w:space="0" w:color="auto"/>
          <w:right w:val="none" w:sz="0" w:space="0" w:color="auto"/>
          <w:between w:val="none" w:sz="0" w:space="0" w:color="auto"/>
          <w:bar w:val="none" w:sz="0" w:color="auto"/>
        </w:pBdr>
        <w:jc w:val="both"/>
        <w:rPr>
          <w:rStyle w:val="sb8d990e2"/>
          <w:rFonts w:ascii="Cambria" w:eastAsia="Cambria" w:hAnsi="Cambria" w:cs="Cambria"/>
          <w:color w:val="000000"/>
          <w:u w:color="000000"/>
          <w:lang w:val="es-ES" w:eastAsia="es-ES"/>
        </w:rPr>
      </w:pPr>
    </w:p>
    <w:p w14:paraId="4573C30A" w14:textId="77777777" w:rsidR="0050076E" w:rsidRPr="0098528B" w:rsidRDefault="0098528B" w:rsidP="0098528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eastAsia="Times New Roman" w:hAnsiTheme="majorHAnsi"/>
          <w:sz w:val="20"/>
          <w:szCs w:val="20"/>
          <w:lang w:val="es-ES"/>
        </w:rPr>
      </w:pPr>
      <w:r w:rsidRPr="0098528B">
        <w:rPr>
          <w:rFonts w:asciiTheme="majorHAnsi" w:eastAsia="Times New Roman" w:hAnsiTheme="majorHAnsi"/>
          <w:sz w:val="20"/>
          <w:szCs w:val="20"/>
          <w:lang w:val="es-ES"/>
        </w:rPr>
        <w:t>El Tribunal Europeo determinó que el "fenómeno del corredor de la muerte" es un trato cruel, inhumano y degradante y se caracteriza por un período prolongado de detención en espera de ejecución, durante el cual los presos condenados a muerte sufren ansiedad mental grave, tensión psicológica extrema y trauma.</w:t>
      </w:r>
      <w:r w:rsidR="0050076E" w:rsidRPr="00E43FF8">
        <w:rPr>
          <w:rStyle w:val="FootnoteReference"/>
          <w:rFonts w:asciiTheme="majorHAnsi" w:hAnsiTheme="majorHAnsi"/>
          <w:sz w:val="20"/>
          <w:szCs w:val="20"/>
        </w:rPr>
        <w:footnoteReference w:id="48"/>
      </w:r>
    </w:p>
    <w:p w14:paraId="050E1F64" w14:textId="77777777" w:rsidR="0050076E" w:rsidRPr="00E36893" w:rsidRDefault="0050076E" w:rsidP="0050076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hAnsiTheme="majorHAnsi"/>
          <w:sz w:val="20"/>
          <w:szCs w:val="20"/>
          <w:lang w:val="es-ES"/>
        </w:rPr>
      </w:pPr>
    </w:p>
    <w:p w14:paraId="09D7011E" w14:textId="71D6B8BE" w:rsidR="0050076E" w:rsidRPr="0098528B" w:rsidRDefault="0098528B" w:rsidP="0098528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eastAsia="Times New Roman" w:hAnsiTheme="majorHAnsi"/>
          <w:sz w:val="20"/>
          <w:szCs w:val="20"/>
          <w:lang w:val="es-ES"/>
        </w:rPr>
      </w:pPr>
      <w:r w:rsidRPr="0098528B">
        <w:rPr>
          <w:rFonts w:asciiTheme="majorHAnsi" w:eastAsia="Times New Roman" w:hAnsiTheme="majorHAnsi"/>
          <w:sz w:val="20"/>
          <w:szCs w:val="20"/>
          <w:lang w:val="es-ES"/>
        </w:rPr>
        <w:t>El Tribunal Europeo se refería a un promedio de seis a ocho años en el corredor de la muerte desde la imposición de la pena hasta la ejecución y mencionó cómo los procedimientos y los recursos posteriores a la imposición de la pena de muerte inciden en el tiempo de espera mencionado anteriormente en el corredor de la muerte. El tribunal mencionó que el lapso de tiempo entre la sentencia y la ejecución es inevitable, sin embargo, la consecuencia es que el preso condenado tiene que soportar durante muchos años las condiciones en el corredor de la muerte y la angustia y tensión creciente de vivir en la sombra omnipresente de la muerte</w:t>
      </w:r>
      <w:r w:rsidR="0050076E" w:rsidRPr="00FE4BF7">
        <w:rPr>
          <w:rFonts w:asciiTheme="majorHAnsi" w:eastAsia="Times New Roman" w:hAnsiTheme="majorHAnsi"/>
          <w:sz w:val="20"/>
          <w:szCs w:val="20"/>
          <w:lang w:val="es-ES"/>
        </w:rPr>
        <w:t>.</w:t>
      </w:r>
      <w:r w:rsidR="0050076E" w:rsidRPr="00E43FF8">
        <w:rPr>
          <w:rFonts w:ascii="Cambria" w:hAnsi="Cambria"/>
          <w:sz w:val="20"/>
          <w:vertAlign w:val="superscript"/>
        </w:rPr>
        <w:footnoteReference w:id="49"/>
      </w:r>
    </w:p>
    <w:p w14:paraId="1852A1CF" w14:textId="77777777" w:rsidR="0050076E" w:rsidRPr="00FE4BF7" w:rsidRDefault="0050076E" w:rsidP="0050076E">
      <w:pPr>
        <w:pStyle w:val="ListParagraph"/>
        <w:tabs>
          <w:tab w:val="left" w:pos="360"/>
        </w:tabs>
        <w:rPr>
          <w:sz w:val="20"/>
          <w:lang w:val="es-ES"/>
        </w:rPr>
      </w:pPr>
    </w:p>
    <w:p w14:paraId="351647BC" w14:textId="77777777" w:rsidR="0050076E" w:rsidRPr="00FE4BF7" w:rsidRDefault="00FE4BF7" w:rsidP="00FE4BF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eastAsia="Times New Roman" w:hAnsiTheme="majorHAnsi"/>
          <w:sz w:val="20"/>
          <w:szCs w:val="20"/>
          <w:lang w:val="es-ES"/>
        </w:rPr>
      </w:pPr>
      <w:r w:rsidRPr="00FE4BF7">
        <w:rPr>
          <w:rFonts w:asciiTheme="majorHAnsi" w:eastAsia="Times New Roman" w:hAnsiTheme="majorHAnsi"/>
          <w:sz w:val="20"/>
          <w:szCs w:val="20"/>
          <w:lang w:val="es-ES"/>
        </w:rPr>
        <w:t>El Tribunal reconoció además que algún elemento de retraso entre la imposición y ejecución de la sentencia y la experiencia de estrés severo en las condiciones necesarias para un encarcelamiento estricto son inevitables y consider</w:t>
      </w:r>
      <w:r>
        <w:rPr>
          <w:rFonts w:asciiTheme="majorHAnsi" w:eastAsia="Times New Roman" w:hAnsiTheme="majorHAnsi"/>
          <w:sz w:val="20"/>
          <w:szCs w:val="20"/>
          <w:lang w:val="es-ES"/>
        </w:rPr>
        <w:t xml:space="preserve">ó elementos </w:t>
      </w:r>
      <w:r w:rsidRPr="00FE4BF7">
        <w:rPr>
          <w:rFonts w:asciiTheme="majorHAnsi" w:eastAsia="Times New Roman" w:hAnsiTheme="majorHAnsi"/>
          <w:sz w:val="20"/>
          <w:szCs w:val="20"/>
          <w:lang w:val="es-ES"/>
        </w:rPr>
        <w:t>como el largo período de tiempo pasado en el corredor de la muerte en condiciones tan extremas, con la angustia siempre presente y creciente de esperar la ejecución de la pena de muerte, lo que llev</w:t>
      </w:r>
      <w:r>
        <w:rPr>
          <w:rFonts w:asciiTheme="majorHAnsi" w:eastAsia="Times New Roman" w:hAnsiTheme="majorHAnsi"/>
          <w:sz w:val="20"/>
          <w:szCs w:val="20"/>
          <w:lang w:val="es-ES"/>
        </w:rPr>
        <w:t>aría</w:t>
      </w:r>
      <w:r w:rsidRPr="00FE4BF7">
        <w:rPr>
          <w:rFonts w:asciiTheme="majorHAnsi" w:eastAsia="Times New Roman" w:hAnsiTheme="majorHAnsi"/>
          <w:sz w:val="20"/>
          <w:szCs w:val="20"/>
          <w:lang w:val="es-ES"/>
        </w:rPr>
        <w:t xml:space="preserve"> la demora a</w:t>
      </w:r>
      <w:r>
        <w:rPr>
          <w:rFonts w:asciiTheme="majorHAnsi" w:eastAsia="Times New Roman" w:hAnsiTheme="majorHAnsi"/>
          <w:sz w:val="20"/>
          <w:szCs w:val="20"/>
          <w:lang w:val="es-ES"/>
        </w:rPr>
        <w:t xml:space="preserve"> exponerlo a un </w:t>
      </w:r>
      <w:r w:rsidRPr="00FE4BF7">
        <w:rPr>
          <w:rFonts w:asciiTheme="majorHAnsi" w:eastAsia="Times New Roman" w:hAnsiTheme="majorHAnsi"/>
          <w:sz w:val="20"/>
          <w:szCs w:val="20"/>
          <w:lang w:val="es-ES"/>
        </w:rPr>
        <w:t>riesgo real de que el trat</w:t>
      </w:r>
      <w:r>
        <w:rPr>
          <w:rFonts w:asciiTheme="majorHAnsi" w:eastAsia="Times New Roman" w:hAnsiTheme="majorHAnsi"/>
          <w:sz w:val="20"/>
          <w:szCs w:val="20"/>
          <w:lang w:val="es-ES"/>
        </w:rPr>
        <w:t>o</w:t>
      </w:r>
      <w:r w:rsidRPr="00FE4BF7">
        <w:rPr>
          <w:rFonts w:asciiTheme="majorHAnsi" w:eastAsia="Times New Roman" w:hAnsiTheme="majorHAnsi"/>
          <w:sz w:val="20"/>
          <w:szCs w:val="20"/>
          <w:lang w:val="es-ES"/>
        </w:rPr>
        <w:t xml:space="preserve"> supere el umbral establecido por el artículo 3.</w:t>
      </w:r>
      <w:r w:rsidR="0050076E" w:rsidRPr="008C614F">
        <w:rPr>
          <w:rFonts w:ascii="Cambria" w:hAnsi="Cambria"/>
          <w:sz w:val="20"/>
          <w:vertAlign w:val="superscript"/>
        </w:rPr>
        <w:footnoteReference w:id="50"/>
      </w:r>
    </w:p>
    <w:p w14:paraId="32CAC05A" w14:textId="77777777" w:rsidR="0050076E" w:rsidRPr="00FE4BF7" w:rsidRDefault="0050076E" w:rsidP="0050076E">
      <w:pPr>
        <w:pStyle w:val="ListParagraph"/>
        <w:tabs>
          <w:tab w:val="left" w:pos="360"/>
        </w:tabs>
        <w:rPr>
          <w:sz w:val="20"/>
          <w:lang w:val="es-ES"/>
        </w:rPr>
      </w:pPr>
    </w:p>
    <w:p w14:paraId="27421A5C" w14:textId="77777777" w:rsidR="00FE4BF7" w:rsidRPr="00FE4BF7" w:rsidRDefault="00FE4BF7" w:rsidP="005007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eastAsia="Times New Roman" w:hAnsiTheme="majorHAnsi"/>
          <w:sz w:val="20"/>
          <w:szCs w:val="20"/>
          <w:lang w:val="es-ES"/>
        </w:rPr>
      </w:pPr>
      <w:r w:rsidRPr="00FE4BF7">
        <w:rPr>
          <w:rFonts w:asciiTheme="majorHAnsi" w:eastAsia="Times New Roman" w:hAnsiTheme="majorHAnsi"/>
          <w:sz w:val="20"/>
          <w:szCs w:val="20"/>
          <w:lang w:val="es-ES"/>
        </w:rPr>
        <w:t xml:space="preserve">Además, en un contexto de derecho comparado, la Comisión observa que en el caso </w:t>
      </w:r>
      <w:r w:rsidRPr="00FE4BF7">
        <w:rPr>
          <w:rFonts w:asciiTheme="majorHAnsi" w:eastAsia="Times New Roman" w:hAnsiTheme="majorHAnsi"/>
          <w:i/>
          <w:iCs/>
          <w:sz w:val="20"/>
          <w:szCs w:val="20"/>
          <w:lang w:val="es-ES"/>
        </w:rPr>
        <w:t>Pratt y Morgan c. Jamaica</w:t>
      </w:r>
      <w:r w:rsidRPr="00FE4BF7">
        <w:rPr>
          <w:rFonts w:asciiTheme="majorHAnsi" w:eastAsia="Times New Roman" w:hAnsiTheme="majorHAnsi"/>
          <w:sz w:val="20"/>
          <w:szCs w:val="20"/>
          <w:lang w:val="es-ES"/>
        </w:rPr>
        <w:t xml:space="preserve"> antes citado, el Privy Council consideró la cuestión del fenómeno del corredor de la muerte y sostuvo que:</w:t>
      </w:r>
    </w:p>
    <w:p w14:paraId="2DF9F0D9" w14:textId="77777777" w:rsidR="0050076E" w:rsidRPr="00E36893" w:rsidRDefault="0050076E" w:rsidP="0050076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jc w:val="both"/>
        <w:rPr>
          <w:rFonts w:ascii="Cambria" w:hAnsi="Cambria"/>
          <w:sz w:val="20"/>
          <w:lang w:val="es-ES"/>
        </w:rPr>
      </w:pPr>
    </w:p>
    <w:p w14:paraId="68997BDD" w14:textId="77777777" w:rsidR="00EA66A2" w:rsidRPr="00EA66A2" w:rsidRDefault="00EA66A2" w:rsidP="0050076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ight="360"/>
        <w:jc w:val="both"/>
        <w:rPr>
          <w:rFonts w:ascii="Cambria" w:eastAsia="Calibri" w:hAnsi="Cambria"/>
          <w:sz w:val="18"/>
          <w:szCs w:val="18"/>
          <w:bdr w:val="none" w:sz="0" w:space="0" w:color="auto"/>
          <w:lang w:val="es-ES"/>
        </w:rPr>
      </w:pPr>
      <w:r w:rsidRPr="00EA66A2">
        <w:rPr>
          <w:rFonts w:ascii="Cambria" w:eastAsia="Calibri" w:hAnsi="Cambria"/>
          <w:sz w:val="18"/>
          <w:szCs w:val="18"/>
          <w:bdr w:val="none" w:sz="0" w:space="0" w:color="auto"/>
          <w:lang w:val="es-ES"/>
        </w:rPr>
        <w:t xml:space="preserve">En opinión de sus Señorías, un Estado que desee mantener la pena capital debe aceptar la responsabilidad de garantizar que la ejecución se lleve a cabo tan pronto como sea posible después de la sentencia, permitiendo un tiempo razonable para apelar y considerar el indulto. Es parte de la condición humana que un condenado </w:t>
      </w:r>
      <w:r w:rsidRPr="00EA66A2">
        <w:rPr>
          <w:rFonts w:ascii="Cambria" w:eastAsia="Calibri" w:hAnsi="Cambria"/>
          <w:sz w:val="18"/>
          <w:szCs w:val="18"/>
          <w:bdr w:val="none" w:sz="0" w:space="0" w:color="auto"/>
          <w:lang w:val="es-ES"/>
        </w:rPr>
        <w:lastRenderedPageBreak/>
        <w:t xml:space="preserve">aproveche cada oportunidad para salvar su vida mediante el uso del procedimiento de apelación. Si el procedimiento de apelación permite al recluso prolongar las audiencias de apelación por un período de años, la culpa será atribuida al sistema de apelación que permite tal demora y no al recluso que se aprovecha de ella. Los procedimientos de apelación que </w:t>
      </w:r>
      <w:r>
        <w:rPr>
          <w:rFonts w:ascii="Cambria" w:eastAsia="Calibri" w:hAnsi="Cambria"/>
          <w:sz w:val="18"/>
          <w:szCs w:val="18"/>
          <w:bdr w:val="none" w:sz="0" w:space="0" w:color="auto"/>
          <w:lang w:val="es-ES"/>
        </w:rPr>
        <w:t>se prolonga</w:t>
      </w:r>
      <w:r w:rsidRPr="00EA66A2">
        <w:rPr>
          <w:rFonts w:ascii="Cambria" w:eastAsia="Calibri" w:hAnsi="Cambria"/>
          <w:sz w:val="18"/>
          <w:szCs w:val="18"/>
          <w:bdr w:val="none" w:sz="0" w:space="0" w:color="auto"/>
          <w:lang w:val="es-ES"/>
        </w:rPr>
        <w:t xml:space="preserve">n a lo largo de los años no son compatibles con la pena capital. El fenómeno del corredor de la muerte no debe </w:t>
      </w:r>
      <w:r>
        <w:rPr>
          <w:rFonts w:ascii="Cambria" w:eastAsia="Calibri" w:hAnsi="Cambria"/>
          <w:sz w:val="18"/>
          <w:szCs w:val="18"/>
          <w:bdr w:val="none" w:sz="0" w:space="0" w:color="auto"/>
          <w:lang w:val="es-ES"/>
        </w:rPr>
        <w:t xml:space="preserve">convertirse en una </w:t>
      </w:r>
      <w:r w:rsidRPr="00EA66A2">
        <w:rPr>
          <w:rFonts w:ascii="Cambria" w:eastAsia="Calibri" w:hAnsi="Cambria"/>
          <w:sz w:val="18"/>
          <w:szCs w:val="18"/>
          <w:bdr w:val="none" w:sz="0" w:space="0" w:color="auto"/>
          <w:lang w:val="es-ES"/>
        </w:rPr>
        <w:t>parte</w:t>
      </w:r>
      <w:r>
        <w:rPr>
          <w:rFonts w:ascii="Cambria" w:eastAsia="Calibri" w:hAnsi="Cambria"/>
          <w:sz w:val="18"/>
          <w:szCs w:val="18"/>
          <w:bdr w:val="none" w:sz="0" w:space="0" w:color="auto"/>
          <w:lang w:val="es-ES"/>
        </w:rPr>
        <w:t xml:space="preserve"> establecida</w:t>
      </w:r>
      <w:r w:rsidRPr="00EA66A2">
        <w:rPr>
          <w:rFonts w:ascii="Cambria" w:eastAsia="Calibri" w:hAnsi="Cambria"/>
          <w:sz w:val="18"/>
          <w:szCs w:val="18"/>
          <w:bdr w:val="none" w:sz="0" w:space="0" w:color="auto"/>
          <w:lang w:val="es-ES"/>
        </w:rPr>
        <w:t xml:space="preserve"> de nuestra jurisprudencia.</w:t>
      </w:r>
    </w:p>
    <w:p w14:paraId="6331AE9D" w14:textId="77777777" w:rsidR="0050076E" w:rsidRPr="00EA66A2" w:rsidRDefault="0050076E" w:rsidP="0050076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ight="360"/>
        <w:jc w:val="both"/>
        <w:rPr>
          <w:rFonts w:ascii="Cambria" w:eastAsia="Calibri" w:hAnsi="Cambria" w:cs="Tahoma"/>
          <w:sz w:val="18"/>
          <w:szCs w:val="18"/>
          <w:bdr w:val="none" w:sz="0" w:space="0" w:color="auto"/>
          <w:lang w:val="es-ES"/>
        </w:rPr>
      </w:pPr>
      <w:r w:rsidRPr="00EA66A2">
        <w:rPr>
          <w:rFonts w:ascii="Cambria" w:eastAsia="Calibri" w:hAnsi="Cambria"/>
          <w:sz w:val="18"/>
          <w:szCs w:val="18"/>
          <w:bdr w:val="none" w:sz="0" w:space="0" w:color="auto"/>
          <w:lang w:val="es-ES"/>
        </w:rPr>
        <w:t>(…)</w:t>
      </w:r>
    </w:p>
    <w:p w14:paraId="0404BB5E" w14:textId="77777777" w:rsidR="0050076E" w:rsidRPr="00EA66A2" w:rsidRDefault="00EA66A2" w:rsidP="00EA66A2">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Cambria" w:eastAsia="Calibri" w:hAnsi="Cambria"/>
          <w:sz w:val="18"/>
          <w:szCs w:val="18"/>
          <w:bdr w:val="none" w:sz="0" w:space="0" w:color="auto"/>
          <w:lang w:val="es-ES"/>
        </w:rPr>
      </w:pPr>
      <w:r w:rsidRPr="00EA66A2">
        <w:rPr>
          <w:rFonts w:ascii="Cambria" w:eastAsia="Calibri" w:hAnsi="Cambria"/>
          <w:sz w:val="18"/>
          <w:szCs w:val="18"/>
          <w:bdr w:val="none" w:sz="0" w:space="0" w:color="auto"/>
          <w:lang w:val="es-ES"/>
        </w:rPr>
        <w:t>Estas consideraciones llevan a sus Señorías a la conclusión de que en cualquier caso en el que la ejecución se lleve a cabo más de cinco años después de la sentencia, habrá fuertes motivos para creer que la demora constituye "una pena u otro trato inhumano o degradante".</w:t>
      </w:r>
      <w:r w:rsidR="0050076E" w:rsidRPr="00E5217B">
        <w:rPr>
          <w:rFonts w:ascii="Cambria" w:eastAsia="Calibri" w:hAnsi="Cambria"/>
          <w:sz w:val="18"/>
          <w:szCs w:val="18"/>
          <w:bdr w:val="none" w:sz="0" w:space="0" w:color="auto"/>
          <w:vertAlign w:val="superscript"/>
        </w:rPr>
        <w:footnoteReference w:id="51"/>
      </w:r>
    </w:p>
    <w:p w14:paraId="4494C211" w14:textId="77777777" w:rsidR="0050076E" w:rsidRPr="00E36893" w:rsidRDefault="0050076E" w:rsidP="0050076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Calibri" w:hAnsi="Cambria"/>
          <w:sz w:val="20"/>
          <w:szCs w:val="22"/>
          <w:bdr w:val="none" w:sz="0" w:space="0" w:color="auto"/>
          <w:lang w:val="es-ES"/>
        </w:rPr>
      </w:pPr>
    </w:p>
    <w:p w14:paraId="19E5D381" w14:textId="77777777" w:rsidR="00EA66A2" w:rsidRPr="00EA66A2" w:rsidRDefault="00EA66A2" w:rsidP="005007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eastAsia="Times New Roman" w:hAnsiTheme="majorHAnsi"/>
          <w:sz w:val="20"/>
          <w:szCs w:val="20"/>
          <w:lang w:val="es-ES"/>
        </w:rPr>
      </w:pPr>
      <w:r w:rsidRPr="00EA66A2">
        <w:rPr>
          <w:rFonts w:asciiTheme="majorHAnsi" w:eastAsia="Times New Roman" w:hAnsiTheme="majorHAnsi"/>
          <w:sz w:val="20"/>
          <w:szCs w:val="20"/>
          <w:lang w:val="es-ES"/>
        </w:rPr>
        <w:t xml:space="preserve">En la misma línea, la Corte Suprema de Uganda consideró en 2009 que "ejecutar a una persona después de una demora de tres años en condiciones que no eran aceptables para los estándares de Uganda equivaldría a un </w:t>
      </w:r>
      <w:r>
        <w:rPr>
          <w:rFonts w:asciiTheme="majorHAnsi" w:eastAsia="Times New Roman" w:hAnsiTheme="majorHAnsi"/>
          <w:sz w:val="20"/>
          <w:szCs w:val="20"/>
          <w:lang w:val="es-ES"/>
        </w:rPr>
        <w:t>pena</w:t>
      </w:r>
      <w:r w:rsidRPr="00EA66A2">
        <w:rPr>
          <w:rFonts w:asciiTheme="majorHAnsi" w:eastAsia="Times New Roman" w:hAnsiTheme="majorHAnsi"/>
          <w:sz w:val="20"/>
          <w:szCs w:val="20"/>
          <w:lang w:val="es-ES"/>
        </w:rPr>
        <w:t xml:space="preserve"> cruel e inhuman</w:t>
      </w:r>
      <w:r>
        <w:rPr>
          <w:rFonts w:asciiTheme="majorHAnsi" w:eastAsia="Times New Roman" w:hAnsiTheme="majorHAnsi"/>
          <w:sz w:val="20"/>
          <w:szCs w:val="20"/>
          <w:lang w:val="es-ES"/>
        </w:rPr>
        <w:t>a</w:t>
      </w:r>
      <w:r w:rsidRPr="00EA66A2">
        <w:rPr>
          <w:rFonts w:asciiTheme="majorHAnsi" w:eastAsia="Times New Roman" w:hAnsiTheme="majorHAnsi"/>
          <w:sz w:val="20"/>
          <w:szCs w:val="20"/>
          <w:lang w:val="es-ES"/>
        </w:rPr>
        <w:t>".</w:t>
      </w:r>
      <w:r w:rsidRPr="00E5217B">
        <w:rPr>
          <w:rFonts w:ascii="Cambria" w:hAnsi="Cambria"/>
          <w:sz w:val="20"/>
          <w:vertAlign w:val="superscript"/>
        </w:rPr>
        <w:footnoteReference w:id="52"/>
      </w:r>
      <w:r w:rsidRPr="00EA66A2">
        <w:rPr>
          <w:rFonts w:asciiTheme="majorHAnsi" w:eastAsia="Times New Roman" w:hAnsiTheme="majorHAnsi"/>
          <w:sz w:val="20"/>
          <w:szCs w:val="20"/>
          <w:lang w:val="es-ES"/>
        </w:rPr>
        <w:t xml:space="preserve"> Por su parte, la Corte Suprema de Zimbabwe ha señalado desde 1993 que “teniendo en cuenta el consenso judicial y académico sobre el fenómeno del corredor de la muerte, las prolongadas demoras y las duras condiciones de encarcelamiento, se había alcanzado un grado de gravedad suficiente para dar derecho al solicitante para invocar la protección relativa a la prohibición de la tortura y las penas inhumanas o degradantes ”. Ese Tribunal Supremo sostuvo que “52 y 72 meses, respectivamente, en el corredor de la muerte constituían una violación a la prohibición de la tortura y harían inconstitucional una ejecución real”.</w:t>
      </w:r>
      <w:r w:rsidRPr="00E5217B">
        <w:rPr>
          <w:rFonts w:ascii="Cambria" w:hAnsi="Cambria"/>
          <w:sz w:val="20"/>
          <w:vertAlign w:val="superscript"/>
        </w:rPr>
        <w:footnoteReference w:id="53"/>
      </w:r>
    </w:p>
    <w:p w14:paraId="20EFC0B9" w14:textId="77777777" w:rsidR="0050076E" w:rsidRPr="00E36893" w:rsidRDefault="0050076E" w:rsidP="0050076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14:paraId="28C15047" w14:textId="77777777" w:rsidR="003E0ABC" w:rsidRPr="00EA66A2" w:rsidRDefault="00EA66A2" w:rsidP="00F47B7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lang w:val="es-ES"/>
        </w:rPr>
      </w:pPr>
      <w:r w:rsidRPr="00EA66A2">
        <w:rPr>
          <w:rFonts w:ascii="Cambria" w:hAnsi="Cambria"/>
          <w:sz w:val="20"/>
          <w:lang w:val="es-ES"/>
        </w:rPr>
        <w:t xml:space="preserve">La Comisión observa que el señor Valle estuvo en el corredor de la muerte desde 1978 hasta septiembre de 2011. Por lo tanto, el señor Valle estuvo privado de su libertad en el corredor de la muerte durante 33 años. La Comisión observa que el solo hecho de pasar 33 años en el corredor de la muerte fue, </w:t>
      </w:r>
      <w:r>
        <w:rPr>
          <w:rFonts w:ascii="Cambria" w:hAnsi="Cambria"/>
          <w:sz w:val="20"/>
          <w:lang w:val="es-ES"/>
        </w:rPr>
        <w:t>en cualquier caso</w:t>
      </w:r>
      <w:r w:rsidRPr="00EA66A2">
        <w:rPr>
          <w:rFonts w:ascii="Cambria" w:hAnsi="Cambria"/>
          <w:sz w:val="20"/>
          <w:lang w:val="es-ES"/>
        </w:rPr>
        <w:t xml:space="preserve">, excesivo e inhumano, y se vio agravado por la prolongada expectativa de que la pena de muerte pudiera ser ejecutada. En consecuencia, Estados Unidos es responsable de haber violado, en perjuicio de la presunta víctima, el derecho a la integridad personal y a no recibir </w:t>
      </w:r>
      <w:r>
        <w:rPr>
          <w:rFonts w:ascii="Cambria" w:hAnsi="Cambria"/>
          <w:sz w:val="20"/>
          <w:lang w:val="es-ES"/>
        </w:rPr>
        <w:t>penas</w:t>
      </w:r>
      <w:r w:rsidRPr="00EA66A2">
        <w:rPr>
          <w:rFonts w:ascii="Cambria" w:hAnsi="Cambria"/>
          <w:sz w:val="20"/>
          <w:lang w:val="es-ES"/>
        </w:rPr>
        <w:t xml:space="preserve"> crueles, infam</w:t>
      </w:r>
      <w:r>
        <w:rPr>
          <w:rFonts w:ascii="Cambria" w:hAnsi="Cambria"/>
          <w:sz w:val="20"/>
          <w:lang w:val="es-ES"/>
        </w:rPr>
        <w:t>antes</w:t>
      </w:r>
      <w:r w:rsidRPr="00EA66A2">
        <w:rPr>
          <w:rFonts w:ascii="Cambria" w:hAnsi="Cambria"/>
          <w:sz w:val="20"/>
          <w:lang w:val="es-ES"/>
        </w:rPr>
        <w:t xml:space="preserve"> o inus</w:t>
      </w:r>
      <w:r>
        <w:rPr>
          <w:rFonts w:ascii="Cambria" w:hAnsi="Cambria"/>
          <w:sz w:val="20"/>
          <w:lang w:val="es-ES"/>
        </w:rPr>
        <w:t>itado</w:t>
      </w:r>
      <w:r w:rsidRPr="00EA66A2">
        <w:rPr>
          <w:rFonts w:ascii="Cambria" w:hAnsi="Cambria"/>
          <w:sz w:val="20"/>
          <w:lang w:val="es-ES"/>
        </w:rPr>
        <w:t>s establecidos en los artículos XXV y XXVI de la Declaración Americana.</w:t>
      </w:r>
    </w:p>
    <w:p w14:paraId="1B3169D2" w14:textId="77777777" w:rsidR="003E0ABC" w:rsidRPr="00E36893" w:rsidRDefault="003E0ABC" w:rsidP="00F47B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14:paraId="51B54F57" w14:textId="77777777" w:rsidR="00F47B79" w:rsidRPr="00186608" w:rsidRDefault="00126FD8" w:rsidP="00F47B79">
      <w:pPr>
        <w:pStyle w:val="Heading2"/>
        <w:numPr>
          <w:ilvl w:val="1"/>
          <w:numId w:val="68"/>
        </w:numPr>
        <w:spacing w:before="0"/>
        <w:ind w:left="360" w:hanging="360"/>
        <w:rPr>
          <w:rFonts w:eastAsia="Arial Unicode MS"/>
          <w:color w:val="auto"/>
          <w:sz w:val="20"/>
          <w:szCs w:val="20"/>
        </w:rPr>
      </w:pPr>
      <w:bookmarkStart w:id="23" w:name="_Toc90292585"/>
      <w:r>
        <w:rPr>
          <w:color w:val="auto"/>
          <w:sz w:val="20"/>
          <w:szCs w:val="20"/>
        </w:rPr>
        <w:t>Método de ejecución</w:t>
      </w:r>
      <w:bookmarkEnd w:id="23"/>
    </w:p>
    <w:p w14:paraId="33B1A355" w14:textId="77777777" w:rsidR="00F47B79" w:rsidRPr="00771B62" w:rsidRDefault="00F47B79" w:rsidP="00F47B79">
      <w:pPr>
        <w:rPr>
          <w:rFonts w:asciiTheme="majorHAnsi" w:hAnsiTheme="majorHAnsi"/>
          <w:sz w:val="20"/>
          <w:szCs w:val="20"/>
        </w:rPr>
      </w:pPr>
    </w:p>
    <w:p w14:paraId="40D3CED8" w14:textId="1DC4ABF7" w:rsidR="00F76ADB" w:rsidRPr="00EA66A2" w:rsidRDefault="00EA66A2" w:rsidP="00EA66A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ind w:left="0" w:firstLine="0"/>
        <w:jc w:val="both"/>
        <w:rPr>
          <w:lang w:val="es-ES"/>
        </w:rPr>
      </w:pPr>
      <w:r w:rsidRPr="00EA66A2">
        <w:rPr>
          <w:rFonts w:ascii="Cambria" w:hAnsi="Cambria"/>
          <w:sz w:val="20"/>
          <w:szCs w:val="20"/>
          <w:lang w:val="es-ES"/>
        </w:rPr>
        <w:t>La Comisión observa que si bien la Declaración Americana no prohíbe la pena de muerte, diversos órganos han considerado que un método de ejecución es incompatible con el derecho a la integridad personal y la prohibición de la tortura cuando no está diseñado para infligir el menor sufrimiento posible.</w:t>
      </w:r>
      <w:r w:rsidR="002B29F1">
        <w:rPr>
          <w:rStyle w:val="FootnoteReference"/>
          <w:rFonts w:ascii="Cambria" w:hAnsi="Cambria"/>
          <w:sz w:val="20"/>
          <w:szCs w:val="20"/>
          <w:bdr w:val="none" w:sz="0" w:space="0" w:color="auto"/>
        </w:rPr>
        <w:footnoteReference w:id="54"/>
      </w:r>
    </w:p>
    <w:p w14:paraId="18B2FB94" w14:textId="77777777" w:rsidR="00F76ADB" w:rsidRPr="00EA66A2" w:rsidRDefault="00F76ADB" w:rsidP="00F76ADB">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jc w:val="both"/>
        <w:rPr>
          <w:rFonts w:ascii="Cambria" w:hAnsi="Cambria"/>
          <w:sz w:val="20"/>
          <w:szCs w:val="20"/>
          <w:lang w:val="es-ES"/>
        </w:rPr>
      </w:pPr>
    </w:p>
    <w:p w14:paraId="256A1EB4" w14:textId="085ACC7F" w:rsidR="00186608" w:rsidRPr="00E36893" w:rsidRDefault="00EA66A2" w:rsidP="00EA66A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ind w:left="0" w:firstLine="0"/>
        <w:jc w:val="both"/>
        <w:rPr>
          <w:lang w:val="es-ES"/>
        </w:rPr>
      </w:pPr>
      <w:r w:rsidRPr="00EA66A2">
        <w:rPr>
          <w:rFonts w:ascii="Cambria" w:hAnsi="Cambria"/>
          <w:sz w:val="20"/>
          <w:szCs w:val="20"/>
          <w:lang w:val="es-ES"/>
        </w:rPr>
        <w:t>Las salvaguardias de las Naciones Unidas que garantizan la protección de los derechos de los que enfrentan la pena de muerte establecen que "</w:t>
      </w:r>
      <w:r>
        <w:rPr>
          <w:rFonts w:ascii="Cambria" w:hAnsi="Cambria"/>
          <w:sz w:val="20"/>
          <w:szCs w:val="20"/>
          <w:lang w:val="es-ES"/>
        </w:rPr>
        <w:t>cuando se aplique la pena capital, su ejecución se hará de forma que se cause el menor sufrimiento posible</w:t>
      </w:r>
      <w:r w:rsidRPr="00EA66A2">
        <w:rPr>
          <w:rFonts w:ascii="Cambria" w:hAnsi="Cambria"/>
          <w:sz w:val="20"/>
          <w:szCs w:val="20"/>
          <w:lang w:val="es-ES"/>
        </w:rPr>
        <w:t>"</w:t>
      </w:r>
      <w:r>
        <w:rPr>
          <w:rFonts w:ascii="Cambria" w:hAnsi="Cambria"/>
          <w:sz w:val="20"/>
          <w:szCs w:val="20"/>
          <w:lang w:val="es-ES"/>
        </w:rPr>
        <w:t>.</w:t>
      </w:r>
      <w:r>
        <w:rPr>
          <w:rStyle w:val="FootnoteReference"/>
          <w:rFonts w:ascii="Cambria" w:hAnsi="Cambria"/>
          <w:sz w:val="20"/>
          <w:szCs w:val="20"/>
          <w:bdr w:val="none" w:sz="0" w:space="0" w:color="auto"/>
        </w:rPr>
        <w:footnoteReference w:id="55"/>
      </w:r>
      <w:r w:rsidRPr="00EA66A2">
        <w:rPr>
          <w:rFonts w:ascii="Cambria" w:hAnsi="Cambria"/>
          <w:sz w:val="20"/>
          <w:szCs w:val="20"/>
          <w:lang w:val="es-ES"/>
        </w:rPr>
        <w:t xml:space="preserve"> El Relator Especial sobre la Tortura, refiriéndose a las Salvaguardias, ha señalado que no existe evidencia contundente que demuestre que alguno de los métodos de ejecución actualmente utilizados para implementar la pena de muerte cumplen con la prohibición de tortura y tratos crueles, inhumanos y degradantes y </w:t>
      </w:r>
      <w:r>
        <w:rPr>
          <w:rFonts w:ascii="Cambria" w:hAnsi="Cambria"/>
          <w:sz w:val="20"/>
          <w:szCs w:val="20"/>
          <w:lang w:val="es-ES"/>
        </w:rPr>
        <w:t>agregó que</w:t>
      </w:r>
      <w:r w:rsidRPr="00EA66A2">
        <w:rPr>
          <w:rFonts w:ascii="Cambria" w:hAnsi="Cambria"/>
          <w:sz w:val="20"/>
          <w:szCs w:val="20"/>
          <w:lang w:val="es-ES"/>
        </w:rPr>
        <w:t xml:space="preserve"> “incluso si se respeta</w:t>
      </w:r>
      <w:r>
        <w:rPr>
          <w:rFonts w:ascii="Cambria" w:hAnsi="Cambria"/>
          <w:sz w:val="20"/>
          <w:szCs w:val="20"/>
          <w:lang w:val="es-ES"/>
        </w:rPr>
        <w:t>ban</w:t>
      </w:r>
      <w:r w:rsidRPr="00EA66A2">
        <w:rPr>
          <w:rFonts w:ascii="Cambria" w:hAnsi="Cambria"/>
          <w:sz w:val="20"/>
          <w:szCs w:val="20"/>
          <w:lang w:val="es-ES"/>
        </w:rPr>
        <w:t xml:space="preserve"> las salvaguardias</w:t>
      </w:r>
      <w:r>
        <w:rPr>
          <w:rFonts w:ascii="Cambria" w:hAnsi="Cambria"/>
          <w:sz w:val="20"/>
          <w:szCs w:val="20"/>
          <w:lang w:val="es-ES"/>
        </w:rPr>
        <w:t xml:space="preserve"> necesarias</w:t>
      </w:r>
      <w:r w:rsidRPr="00EA66A2">
        <w:rPr>
          <w:rFonts w:ascii="Cambria" w:hAnsi="Cambria"/>
          <w:sz w:val="20"/>
          <w:szCs w:val="20"/>
          <w:lang w:val="es-ES"/>
        </w:rPr>
        <w:t xml:space="preserve">, todos los métodos de ejecución </w:t>
      </w:r>
      <w:r>
        <w:rPr>
          <w:rFonts w:ascii="Cambria" w:hAnsi="Cambria"/>
          <w:sz w:val="20"/>
          <w:szCs w:val="20"/>
          <w:lang w:val="es-ES"/>
        </w:rPr>
        <w:t xml:space="preserve">actualmente </w:t>
      </w:r>
      <w:r w:rsidRPr="00EA66A2">
        <w:rPr>
          <w:rFonts w:ascii="Cambria" w:hAnsi="Cambria"/>
          <w:sz w:val="20"/>
          <w:szCs w:val="20"/>
          <w:lang w:val="es-ES"/>
        </w:rPr>
        <w:t xml:space="preserve">utilizados </w:t>
      </w:r>
      <w:r>
        <w:rPr>
          <w:rFonts w:ascii="Cambria" w:hAnsi="Cambria"/>
          <w:sz w:val="20"/>
          <w:szCs w:val="20"/>
          <w:lang w:val="es-ES"/>
        </w:rPr>
        <w:t xml:space="preserve">podía </w:t>
      </w:r>
      <w:r w:rsidR="003201AA">
        <w:rPr>
          <w:rFonts w:ascii="Cambria" w:hAnsi="Cambria"/>
          <w:sz w:val="20"/>
          <w:szCs w:val="20"/>
          <w:lang w:val="es-ES"/>
        </w:rPr>
        <w:t>infligir</w:t>
      </w:r>
      <w:r w:rsidRPr="00EA66A2">
        <w:rPr>
          <w:rFonts w:ascii="Cambria" w:hAnsi="Cambria"/>
          <w:sz w:val="20"/>
          <w:szCs w:val="20"/>
          <w:lang w:val="es-ES"/>
        </w:rPr>
        <w:t xml:space="preserve"> dolor </w:t>
      </w:r>
      <w:r>
        <w:rPr>
          <w:rFonts w:ascii="Cambria" w:hAnsi="Cambria"/>
          <w:sz w:val="20"/>
          <w:szCs w:val="20"/>
          <w:lang w:val="es-ES"/>
        </w:rPr>
        <w:t>o</w:t>
      </w:r>
      <w:r w:rsidRPr="00EA66A2">
        <w:rPr>
          <w:rFonts w:ascii="Cambria" w:hAnsi="Cambria"/>
          <w:sz w:val="20"/>
          <w:szCs w:val="20"/>
          <w:lang w:val="es-ES"/>
        </w:rPr>
        <w:t xml:space="preserve"> sufrimiento </w:t>
      </w:r>
      <w:r>
        <w:rPr>
          <w:rFonts w:ascii="Cambria" w:hAnsi="Cambria"/>
          <w:sz w:val="20"/>
          <w:szCs w:val="20"/>
          <w:lang w:val="es-ES"/>
        </w:rPr>
        <w:t>intensos</w:t>
      </w:r>
      <w:r w:rsidRPr="00EA66A2">
        <w:rPr>
          <w:rFonts w:ascii="Cambria" w:hAnsi="Cambria"/>
          <w:sz w:val="20"/>
          <w:szCs w:val="20"/>
          <w:lang w:val="es-ES"/>
        </w:rPr>
        <w:t>".</w:t>
      </w:r>
      <w:r w:rsidR="00CC1B33">
        <w:rPr>
          <w:rStyle w:val="FootnoteReference"/>
          <w:rFonts w:ascii="Cambria" w:hAnsi="Cambria"/>
          <w:sz w:val="20"/>
          <w:szCs w:val="20"/>
          <w:bdr w:val="none" w:sz="0" w:space="0" w:color="auto"/>
        </w:rPr>
        <w:footnoteReference w:id="56"/>
      </w:r>
    </w:p>
    <w:p w14:paraId="7328B33C" w14:textId="77777777" w:rsidR="00186608" w:rsidRPr="00E36893" w:rsidRDefault="00186608" w:rsidP="00186608">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jc w:val="both"/>
        <w:rPr>
          <w:rFonts w:ascii="Cambria" w:hAnsi="Cambria"/>
          <w:sz w:val="20"/>
          <w:szCs w:val="20"/>
          <w:bdr w:val="none" w:sz="0" w:space="0" w:color="auto"/>
          <w:lang w:val="es-ES"/>
        </w:rPr>
      </w:pPr>
    </w:p>
    <w:p w14:paraId="7B70E873" w14:textId="77777777" w:rsidR="00186608" w:rsidRPr="00B92AA7" w:rsidRDefault="00EA66A2" w:rsidP="00B92AA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ind w:left="0" w:firstLine="0"/>
        <w:jc w:val="both"/>
        <w:rPr>
          <w:lang w:val="es-ES"/>
        </w:rPr>
      </w:pPr>
      <w:r w:rsidRPr="00EA66A2">
        <w:rPr>
          <w:rFonts w:ascii="Cambria" w:hAnsi="Cambria"/>
          <w:sz w:val="20"/>
          <w:szCs w:val="20"/>
          <w:lang w:val="es-ES"/>
        </w:rPr>
        <w:t xml:space="preserve">El Relator Especial sobre Ejecuciones Extrajudiciales, Sumarias o Arbitrarias ha señalado con respecto a los métodos para la ejecución de la pena de muerte que </w:t>
      </w:r>
      <w:r w:rsidR="00B92AA7">
        <w:rPr>
          <w:rFonts w:ascii="Cambria" w:hAnsi="Cambria"/>
          <w:sz w:val="20"/>
          <w:szCs w:val="20"/>
          <w:lang w:val="es-ES"/>
        </w:rPr>
        <w:t>“l</w:t>
      </w:r>
      <w:r w:rsidR="00B92AA7" w:rsidRPr="00B92AA7">
        <w:rPr>
          <w:rFonts w:ascii="Cambria" w:hAnsi="Cambria"/>
          <w:sz w:val="20"/>
          <w:szCs w:val="20"/>
          <w:lang w:val="es-ES"/>
        </w:rPr>
        <w:t xml:space="preserve">a extraordinaria facultad conferida al Estado de tomar </w:t>
      </w:r>
      <w:r w:rsidR="00B92AA7" w:rsidRPr="00B92AA7">
        <w:rPr>
          <w:rFonts w:ascii="Cambria" w:hAnsi="Cambria"/>
          <w:sz w:val="20"/>
          <w:szCs w:val="20"/>
          <w:lang w:val="es-ES"/>
        </w:rPr>
        <w:lastRenderedPageBreak/>
        <w:t>la vida de una persona mediante un pelotón de fusilamiento, la horca, una inyección letal o cualquier otro medio de matar, plantea un grave riesgo de abuso. Esta facultad solo puede mantenerse a raya de manera segura mediante la supervisión pública del castigo público. Es aceptado que las garantías procesales sirven para proteger a los acusados. Sin embargo, también son el mecanismo por el cual la sociedad garantiza que los castigos infligidos en su nombre sean justos e imparciales”</w:t>
      </w:r>
      <w:r w:rsidR="00B92AA7" w:rsidRPr="00B92AA7">
        <w:rPr>
          <w:lang w:val="es-ES"/>
        </w:rPr>
        <w:t>.</w:t>
      </w:r>
      <w:r w:rsidR="000C59A4">
        <w:rPr>
          <w:rStyle w:val="FootnoteReference"/>
          <w:rFonts w:ascii="Cambria" w:hAnsi="Cambria"/>
          <w:sz w:val="20"/>
          <w:szCs w:val="20"/>
          <w:bdr w:val="none" w:sz="0" w:space="0" w:color="auto"/>
        </w:rPr>
        <w:footnoteReference w:id="57"/>
      </w:r>
    </w:p>
    <w:p w14:paraId="35927419" w14:textId="77777777" w:rsidR="00186608" w:rsidRPr="00B92AA7" w:rsidRDefault="00186608" w:rsidP="00186608">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jc w:val="both"/>
        <w:rPr>
          <w:rFonts w:ascii="Cambria" w:hAnsi="Cambria"/>
          <w:sz w:val="20"/>
          <w:szCs w:val="20"/>
          <w:bdr w:val="none" w:sz="0" w:space="0" w:color="auto"/>
          <w:lang w:val="es-ES"/>
        </w:rPr>
      </w:pPr>
    </w:p>
    <w:p w14:paraId="4E7CA159" w14:textId="77777777" w:rsidR="00186608" w:rsidRPr="00B92AA7" w:rsidRDefault="00B92AA7" w:rsidP="00B92AA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ind w:left="0" w:firstLine="0"/>
        <w:jc w:val="both"/>
        <w:rPr>
          <w:rFonts w:ascii="Cambria" w:hAnsi="Cambria"/>
          <w:sz w:val="20"/>
          <w:szCs w:val="20"/>
          <w:lang w:val="es-ES"/>
        </w:rPr>
      </w:pPr>
      <w:r w:rsidRPr="00B92AA7">
        <w:rPr>
          <w:rFonts w:ascii="Cambria" w:hAnsi="Cambria"/>
          <w:sz w:val="20"/>
          <w:szCs w:val="20"/>
          <w:lang w:val="es-ES"/>
        </w:rPr>
        <w:t>Los Estados tienen el deber especial reforzado de garantizar que el método de ejecución no constituya un pena cruel, infame o inusual. En este sentido, los fármacos y dosis a utilizar en caso de ejecuciones por inyección letal, así como la composición del equipo ejecutor y la formación de sus integrantes deben estar sujetos a los más altos estándares de control de calidad. En particular, los medicamentos utilizados deben estar sujetos a la aprobación y regulación del gobierno, el equipo de ejecución debe tener la formación médica adecuada y los protocolos de inyección letal deben estar disponibles para el público para garantizar el escrutinio público</w:t>
      </w:r>
      <w:r w:rsidR="00EB22B0" w:rsidRPr="00B92AA7">
        <w:rPr>
          <w:rFonts w:ascii="Cambria" w:hAnsi="Cambria"/>
          <w:sz w:val="20"/>
          <w:szCs w:val="20"/>
          <w:bdr w:val="none" w:sz="0" w:space="0" w:color="auto"/>
          <w:lang w:val="es-ES"/>
        </w:rPr>
        <w:t>.</w:t>
      </w:r>
      <w:r w:rsidR="00E25A6B">
        <w:rPr>
          <w:rStyle w:val="FootnoteReference"/>
          <w:rFonts w:ascii="Cambria" w:hAnsi="Cambria"/>
          <w:sz w:val="20"/>
          <w:szCs w:val="20"/>
          <w:bdr w:val="none" w:sz="0" w:space="0" w:color="auto"/>
        </w:rPr>
        <w:footnoteReference w:id="58"/>
      </w:r>
      <w:r w:rsidR="00676888" w:rsidRPr="00B92AA7">
        <w:rPr>
          <w:rFonts w:ascii="Cambria" w:hAnsi="Cambria"/>
          <w:sz w:val="20"/>
          <w:szCs w:val="20"/>
          <w:bdr w:val="none" w:sz="0" w:space="0" w:color="auto"/>
          <w:lang w:val="es-ES"/>
        </w:rPr>
        <w:t xml:space="preserve"> </w:t>
      </w:r>
    </w:p>
    <w:p w14:paraId="1E46AB00" w14:textId="77777777" w:rsidR="00186608" w:rsidRPr="00B92AA7" w:rsidRDefault="00186608" w:rsidP="00186608">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jc w:val="both"/>
        <w:rPr>
          <w:rFonts w:ascii="Cambria" w:hAnsi="Cambria"/>
          <w:sz w:val="20"/>
          <w:szCs w:val="20"/>
          <w:bdr w:val="none" w:sz="0" w:space="0" w:color="auto"/>
          <w:lang w:val="es-ES"/>
        </w:rPr>
      </w:pPr>
    </w:p>
    <w:p w14:paraId="181AE669" w14:textId="77777777" w:rsidR="00B92AA7" w:rsidRPr="00B92AA7" w:rsidRDefault="00B92AA7" w:rsidP="0018660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ind w:left="0" w:firstLine="0"/>
        <w:jc w:val="both"/>
        <w:rPr>
          <w:rFonts w:ascii="Cambria" w:hAnsi="Cambria"/>
          <w:sz w:val="20"/>
          <w:szCs w:val="20"/>
          <w:lang w:val="es-ES"/>
        </w:rPr>
      </w:pPr>
      <w:r w:rsidRPr="00B92AA7">
        <w:rPr>
          <w:rFonts w:ascii="Cambria" w:hAnsi="Cambria"/>
          <w:sz w:val="20"/>
          <w:szCs w:val="20"/>
          <w:lang w:val="es-ES"/>
        </w:rPr>
        <w:t>La Comisión Interamericana observa al respecto que el requisito del debido proceso no se limita a los procedimientos de condena y pos</w:t>
      </w:r>
      <w:r>
        <w:rPr>
          <w:rFonts w:ascii="Cambria" w:hAnsi="Cambria"/>
          <w:sz w:val="20"/>
          <w:szCs w:val="20"/>
          <w:lang w:val="es-ES"/>
        </w:rPr>
        <w:t>-</w:t>
      </w:r>
      <w:r w:rsidRPr="00B92AA7">
        <w:rPr>
          <w:rFonts w:ascii="Cambria" w:hAnsi="Cambria"/>
          <w:sz w:val="20"/>
          <w:szCs w:val="20"/>
          <w:lang w:val="es-ES"/>
        </w:rPr>
        <w:t>condena.</w:t>
      </w:r>
      <w:r w:rsidRPr="00B92AA7">
        <w:rPr>
          <w:rStyle w:val="FootnoteReference"/>
          <w:rFonts w:ascii="Cambria" w:hAnsi="Cambria"/>
          <w:sz w:val="20"/>
          <w:szCs w:val="20"/>
          <w:bdr w:val="none" w:sz="0" w:space="0" w:color="auto"/>
          <w:lang w:val="es-ES"/>
        </w:rPr>
        <w:t xml:space="preserve"> </w:t>
      </w:r>
      <w:r>
        <w:rPr>
          <w:rStyle w:val="FootnoteReference"/>
          <w:rFonts w:ascii="Cambria" w:hAnsi="Cambria"/>
          <w:sz w:val="20"/>
          <w:szCs w:val="20"/>
          <w:bdr w:val="none" w:sz="0" w:space="0" w:color="auto"/>
        </w:rPr>
        <w:footnoteReference w:id="59"/>
      </w:r>
      <w:r w:rsidRPr="00B92AA7">
        <w:rPr>
          <w:rFonts w:ascii="Cambria" w:hAnsi="Cambria"/>
          <w:sz w:val="20"/>
          <w:szCs w:val="20"/>
          <w:lang w:val="es-ES"/>
        </w:rPr>
        <w:t xml:space="preserve"> Por tanto, el Estado tiene el deber de informar oportunamente a la persona condenada a muerte sobre la droga y método de ejecución que se utilizará</w:t>
      </w:r>
      <w:r>
        <w:rPr>
          <w:rFonts w:ascii="Cambria" w:hAnsi="Cambria"/>
          <w:sz w:val="20"/>
          <w:szCs w:val="20"/>
          <w:lang w:val="es-ES"/>
        </w:rPr>
        <w:t>, de modo</w:t>
      </w:r>
      <w:r w:rsidRPr="00B92AA7">
        <w:rPr>
          <w:rFonts w:ascii="Cambria" w:hAnsi="Cambria"/>
          <w:sz w:val="20"/>
          <w:szCs w:val="20"/>
          <w:lang w:val="es-ES"/>
        </w:rPr>
        <w:t xml:space="preserve"> que no se le impid</w:t>
      </w:r>
      <w:r>
        <w:rPr>
          <w:rFonts w:ascii="Cambria" w:hAnsi="Cambria"/>
          <w:sz w:val="20"/>
          <w:szCs w:val="20"/>
          <w:lang w:val="es-ES"/>
        </w:rPr>
        <w:t>a</w:t>
      </w:r>
      <w:r w:rsidRPr="00B92AA7">
        <w:rPr>
          <w:rFonts w:ascii="Cambria" w:hAnsi="Cambria"/>
          <w:sz w:val="20"/>
          <w:szCs w:val="20"/>
          <w:lang w:val="es-ES"/>
        </w:rPr>
        <w:t xml:space="preserve"> litigar el derecho a ser ejecutado </w:t>
      </w:r>
      <w:r>
        <w:rPr>
          <w:rFonts w:ascii="Cambria" w:hAnsi="Cambria"/>
          <w:sz w:val="20"/>
          <w:szCs w:val="20"/>
          <w:lang w:val="es-ES"/>
        </w:rPr>
        <w:t>de</w:t>
      </w:r>
      <w:r w:rsidRPr="00B92AA7">
        <w:rPr>
          <w:rFonts w:ascii="Cambria" w:hAnsi="Cambria"/>
          <w:sz w:val="20"/>
          <w:szCs w:val="20"/>
          <w:lang w:val="es-ES"/>
        </w:rPr>
        <w:t xml:space="preserve"> forma carente de sufrimiento cruel e inusual.</w:t>
      </w:r>
    </w:p>
    <w:p w14:paraId="5B060197" w14:textId="77777777" w:rsidR="00186608" w:rsidRPr="00B92AA7" w:rsidRDefault="00186608" w:rsidP="00186608">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jc w:val="both"/>
        <w:rPr>
          <w:rFonts w:ascii="Cambria" w:hAnsi="Cambria"/>
          <w:sz w:val="20"/>
          <w:szCs w:val="20"/>
          <w:bdr w:val="none" w:sz="0" w:space="0" w:color="auto"/>
          <w:lang w:val="es-ES"/>
        </w:rPr>
      </w:pPr>
    </w:p>
    <w:p w14:paraId="1077E795" w14:textId="77777777" w:rsidR="00186608" w:rsidRPr="00B92AA7" w:rsidRDefault="00B92AA7" w:rsidP="00B92AA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ind w:left="0" w:firstLine="0"/>
        <w:jc w:val="both"/>
        <w:rPr>
          <w:lang w:val="es-ES"/>
        </w:rPr>
      </w:pPr>
      <w:r w:rsidRPr="00B92AA7">
        <w:rPr>
          <w:rFonts w:ascii="Cambria" w:hAnsi="Cambria"/>
          <w:sz w:val="20"/>
          <w:szCs w:val="20"/>
          <w:lang w:val="es-ES"/>
        </w:rPr>
        <w:t>Asimismo, la CIDH observa que el Comité Contra la Tortura de Naciones Unidas recibió información fundamentada que indica que las ejecuciones en Estados Unidos pueden ir acompañadas de dolores y sufrimientos severos y solicitó al Estado que “</w:t>
      </w:r>
      <w:r>
        <w:rPr>
          <w:rFonts w:ascii="Cambria" w:hAnsi="Cambria"/>
          <w:sz w:val="20"/>
          <w:szCs w:val="20"/>
          <w:lang w:val="es-ES"/>
        </w:rPr>
        <w:t>examinar atentamente las técnicas de ejecución, especialmente la inyección letal, a fin de no causar un dolor o sufrimiento grave.</w:t>
      </w:r>
      <w:r w:rsidRPr="00B92AA7">
        <w:rPr>
          <w:rFonts w:ascii="Cambria" w:hAnsi="Cambria"/>
          <w:sz w:val="20"/>
          <w:szCs w:val="20"/>
          <w:lang w:val="es-ES"/>
        </w:rPr>
        <w:t>"</w:t>
      </w:r>
      <w:r w:rsidR="00076BDB">
        <w:rPr>
          <w:rStyle w:val="FootnoteReference"/>
          <w:rFonts w:ascii="Cambria" w:hAnsi="Cambria"/>
          <w:sz w:val="20"/>
          <w:szCs w:val="20"/>
          <w:bdr w:val="none" w:sz="0" w:space="0" w:color="auto"/>
        </w:rPr>
        <w:footnoteReference w:id="60"/>
      </w:r>
    </w:p>
    <w:p w14:paraId="62FBFDEB" w14:textId="77777777" w:rsidR="00186608" w:rsidRPr="00B92AA7" w:rsidRDefault="00186608" w:rsidP="00186608">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jc w:val="both"/>
        <w:rPr>
          <w:rFonts w:ascii="Cambria" w:hAnsi="Cambria"/>
          <w:sz w:val="20"/>
          <w:szCs w:val="20"/>
          <w:bdr w:val="none" w:sz="0" w:space="0" w:color="auto"/>
          <w:lang w:val="es-ES"/>
        </w:rPr>
      </w:pPr>
    </w:p>
    <w:p w14:paraId="78490273" w14:textId="77777777" w:rsidR="00B92AA7" w:rsidRPr="00B92AA7" w:rsidRDefault="00B92AA7" w:rsidP="00B83D7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ind w:left="0" w:firstLine="0"/>
        <w:jc w:val="both"/>
        <w:rPr>
          <w:rFonts w:ascii="Cambria" w:hAnsi="Cambria"/>
          <w:sz w:val="20"/>
          <w:szCs w:val="20"/>
          <w:lang w:val="es-ES"/>
        </w:rPr>
      </w:pPr>
      <w:r w:rsidRPr="00B92AA7">
        <w:rPr>
          <w:rFonts w:ascii="Cambria" w:hAnsi="Cambria"/>
          <w:sz w:val="20"/>
          <w:szCs w:val="20"/>
          <w:lang w:val="es-ES"/>
        </w:rPr>
        <w:t>Los peticionarios originalmente argumentaron que la sustitución de drogas dentro del protocolo de inyección letal en Florida al momento de la presentación de la petición no cumplía con el requisito de que un método de ejecución causara “el menor sufrimiento físico y mental posible”. Según los peticionarios, la inyección letal prescrita es un castigo cruel, infam</w:t>
      </w:r>
      <w:r>
        <w:rPr>
          <w:rFonts w:ascii="Cambria" w:hAnsi="Cambria"/>
          <w:sz w:val="20"/>
          <w:szCs w:val="20"/>
          <w:lang w:val="es-ES"/>
        </w:rPr>
        <w:t>ante e inusitado</w:t>
      </w:r>
      <w:r w:rsidRPr="00B92AA7">
        <w:rPr>
          <w:rFonts w:ascii="Cambria" w:hAnsi="Cambria"/>
          <w:sz w:val="20"/>
          <w:szCs w:val="20"/>
          <w:lang w:val="es-ES"/>
        </w:rPr>
        <w:t>. También alegaron que el fabricante del medicamento declaró que no podían "asegurar los perfiles de seguridad y eficacia asociados en tales casos" y que el medicamento nunca se probó en humanos.</w:t>
      </w:r>
    </w:p>
    <w:p w14:paraId="23EFED11" w14:textId="77777777" w:rsidR="00B83D79" w:rsidRPr="00E36893" w:rsidRDefault="00B83D79" w:rsidP="00B83D7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jc w:val="both"/>
        <w:rPr>
          <w:rFonts w:ascii="Cambria" w:hAnsi="Cambria"/>
          <w:sz w:val="20"/>
          <w:szCs w:val="20"/>
          <w:lang w:val="es-ES"/>
        </w:rPr>
      </w:pPr>
    </w:p>
    <w:p w14:paraId="46665F3F" w14:textId="64E4C8E0" w:rsidR="009E3762" w:rsidRPr="00B92AA7" w:rsidRDefault="00B92AA7" w:rsidP="00B92AA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lang w:val="es-ES"/>
        </w:rPr>
      </w:pPr>
      <w:r w:rsidRPr="00B92AA7">
        <w:rPr>
          <w:rFonts w:asciiTheme="majorHAnsi" w:hAnsiTheme="majorHAnsi"/>
          <w:sz w:val="20"/>
          <w:szCs w:val="20"/>
          <w:lang w:val="es-ES"/>
        </w:rPr>
        <w:t>El recurso enmendad</w:t>
      </w:r>
      <w:r w:rsidR="003201AA">
        <w:rPr>
          <w:rFonts w:asciiTheme="majorHAnsi" w:hAnsiTheme="majorHAnsi"/>
          <w:sz w:val="20"/>
          <w:szCs w:val="20"/>
          <w:lang w:val="es-ES"/>
        </w:rPr>
        <w:t>o</w:t>
      </w:r>
      <w:r w:rsidRPr="00B92AA7">
        <w:rPr>
          <w:rFonts w:asciiTheme="majorHAnsi" w:hAnsiTheme="majorHAnsi"/>
          <w:sz w:val="20"/>
          <w:szCs w:val="20"/>
          <w:lang w:val="es-ES"/>
        </w:rPr>
        <w:t xml:space="preserve"> del Sr. Valle para una reparación posterior a la condena argumentó, entre otras afirmaciones, que el plan del DOC de usar la droga sustituida constituye un</w:t>
      </w:r>
      <w:r>
        <w:rPr>
          <w:rFonts w:asciiTheme="majorHAnsi" w:hAnsiTheme="majorHAnsi"/>
          <w:sz w:val="20"/>
          <w:szCs w:val="20"/>
          <w:lang w:val="es-ES"/>
        </w:rPr>
        <w:t>a pena</w:t>
      </w:r>
      <w:r w:rsidRPr="00B92AA7">
        <w:rPr>
          <w:rFonts w:asciiTheme="majorHAnsi" w:hAnsiTheme="majorHAnsi"/>
          <w:sz w:val="20"/>
          <w:szCs w:val="20"/>
          <w:lang w:val="es-ES"/>
        </w:rPr>
        <w:t xml:space="preserve"> cruel e inusual, porque el Sr. Valle puede permanecer consciente después de haber sido inyectado con el pentobarbital, lo que lo somete a importante dolor durante la administración de los dos últimos fármacos. El Tribunal de Circuito finalmente negó el reclamo y el asunto fue devuelto a la Corte Suprema de Florida. La </w:t>
      </w:r>
      <w:r>
        <w:rPr>
          <w:rFonts w:asciiTheme="majorHAnsi" w:hAnsiTheme="majorHAnsi"/>
          <w:sz w:val="20"/>
          <w:szCs w:val="20"/>
          <w:lang w:val="es-ES"/>
        </w:rPr>
        <w:t>CSF</w:t>
      </w:r>
      <w:r w:rsidRPr="00B92AA7">
        <w:rPr>
          <w:rFonts w:asciiTheme="majorHAnsi" w:hAnsiTheme="majorHAnsi"/>
          <w:sz w:val="20"/>
          <w:szCs w:val="20"/>
          <w:lang w:val="es-ES"/>
        </w:rPr>
        <w:t xml:space="preserve"> indicó que el </w:t>
      </w:r>
      <w:r>
        <w:rPr>
          <w:rFonts w:asciiTheme="majorHAnsi" w:hAnsiTheme="majorHAnsi"/>
          <w:sz w:val="20"/>
          <w:szCs w:val="20"/>
          <w:lang w:val="es-ES"/>
        </w:rPr>
        <w:t>presto</w:t>
      </w:r>
      <w:r w:rsidRPr="00B92AA7">
        <w:rPr>
          <w:rFonts w:asciiTheme="majorHAnsi" w:hAnsiTheme="majorHAnsi"/>
          <w:sz w:val="20"/>
          <w:szCs w:val="20"/>
          <w:lang w:val="es-ES"/>
        </w:rPr>
        <w:t xml:space="preserve"> debe demostrar que las condiciones que presentan el riesgo deben </w:t>
      </w:r>
      <w:r>
        <w:rPr>
          <w:rFonts w:asciiTheme="majorHAnsi" w:hAnsiTheme="majorHAnsi"/>
          <w:sz w:val="20"/>
          <w:szCs w:val="20"/>
          <w:lang w:val="es-ES"/>
        </w:rPr>
        <w:t>con seguridad o muy probablemente</w:t>
      </w:r>
      <w:r w:rsidRPr="00B92AA7">
        <w:rPr>
          <w:rFonts w:asciiTheme="majorHAnsi" w:hAnsiTheme="majorHAnsi"/>
          <w:sz w:val="20"/>
          <w:szCs w:val="20"/>
          <w:lang w:val="es-ES"/>
        </w:rPr>
        <w:t xml:space="preserve"> causar enfermedades graves y sufrimientos innecesarios y dar lugar a peligros suficientemente inminentes.</w:t>
      </w:r>
      <w:r w:rsidR="009E3762" w:rsidRPr="00B92AA7">
        <w:rPr>
          <w:rFonts w:asciiTheme="majorHAnsi" w:hAnsiTheme="majorHAnsi"/>
          <w:sz w:val="20"/>
          <w:szCs w:val="20"/>
          <w:lang w:val="es-ES"/>
        </w:rPr>
        <w:t xml:space="preserve"> </w:t>
      </w:r>
    </w:p>
    <w:p w14:paraId="6060C4F5" w14:textId="77777777" w:rsidR="009E3762" w:rsidRPr="00B92AA7" w:rsidRDefault="009E3762" w:rsidP="003E0ABC">
      <w:pPr>
        <w:pStyle w:val="ListParagraph"/>
        <w:rPr>
          <w:rFonts w:asciiTheme="majorHAnsi" w:hAnsiTheme="majorHAnsi"/>
          <w:sz w:val="20"/>
          <w:szCs w:val="20"/>
          <w:lang w:val="es-ES"/>
        </w:rPr>
      </w:pPr>
    </w:p>
    <w:p w14:paraId="7B70D95F" w14:textId="41272687" w:rsidR="00B92AA7" w:rsidRPr="00B92AA7" w:rsidRDefault="00B92AA7" w:rsidP="00B92AA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Cambria" w:hAnsi="Cambria"/>
          <w:sz w:val="20"/>
          <w:szCs w:val="20"/>
          <w:lang w:val="es-ES"/>
        </w:rPr>
      </w:pPr>
      <w:r w:rsidRPr="00B92AA7">
        <w:rPr>
          <w:rFonts w:ascii="Cambria" w:hAnsi="Cambria"/>
          <w:sz w:val="20"/>
          <w:szCs w:val="20"/>
          <w:lang w:val="es-ES"/>
        </w:rPr>
        <w:t>La Comisión obser</w:t>
      </w:r>
      <w:r w:rsidR="00A53B54">
        <w:rPr>
          <w:rFonts w:ascii="Cambria" w:hAnsi="Cambria"/>
          <w:sz w:val="20"/>
          <w:szCs w:val="20"/>
          <w:lang w:val="es-ES"/>
        </w:rPr>
        <w:t>v</w:t>
      </w:r>
      <w:r w:rsidR="003201AA">
        <w:rPr>
          <w:rFonts w:ascii="Cambria" w:hAnsi="Cambria"/>
          <w:sz w:val="20"/>
          <w:szCs w:val="20"/>
          <w:lang w:val="es-ES"/>
        </w:rPr>
        <w:t>a</w:t>
      </w:r>
      <w:r w:rsidRPr="00B92AA7">
        <w:rPr>
          <w:rFonts w:ascii="Cambria" w:hAnsi="Cambria"/>
          <w:sz w:val="20"/>
          <w:szCs w:val="20"/>
          <w:lang w:val="es-ES"/>
        </w:rPr>
        <w:t xml:space="preserve"> que el tribunal señaló que la norma impone una pesada carga al </w:t>
      </w:r>
      <w:r>
        <w:rPr>
          <w:rFonts w:ascii="Cambria" w:hAnsi="Cambria"/>
          <w:sz w:val="20"/>
          <w:szCs w:val="20"/>
          <w:lang w:val="es-ES"/>
        </w:rPr>
        <w:t>preso</w:t>
      </w:r>
      <w:r w:rsidRPr="00B92AA7">
        <w:rPr>
          <w:rFonts w:ascii="Cambria" w:hAnsi="Cambria"/>
          <w:sz w:val="20"/>
          <w:szCs w:val="20"/>
          <w:lang w:val="es-ES"/>
        </w:rPr>
        <w:t xml:space="preserve"> para demostrar que los procedimientos de inyección letal violaron la Octava Enmienda. También observa que el perito estatal reconoció la no aprobación del pentobarbital por parte de la FDA para su uso en inyecciones letales, y que otro experto opinó que no podría determinar los efectos previstos del fármaco por no contar con datos suficientes sobre </w:t>
      </w:r>
      <w:r w:rsidR="005B2F88">
        <w:rPr>
          <w:rFonts w:ascii="Cambria" w:hAnsi="Cambria"/>
          <w:sz w:val="20"/>
          <w:szCs w:val="20"/>
          <w:lang w:val="es-ES"/>
        </w:rPr>
        <w:t>su</w:t>
      </w:r>
      <w:r w:rsidRPr="00B92AA7">
        <w:rPr>
          <w:rFonts w:ascii="Cambria" w:hAnsi="Cambria"/>
          <w:sz w:val="20"/>
          <w:szCs w:val="20"/>
          <w:lang w:val="es-ES"/>
        </w:rPr>
        <w:t xml:space="preserve"> uso. A pesar de estas afirmaciones, según la información disponible, los tribunales no abordaron directamente la falta de aprobación por parte de la FDA del pentobarbital para su uso en inyecciones letales.</w:t>
      </w:r>
    </w:p>
    <w:p w14:paraId="335000B5" w14:textId="77777777" w:rsidR="0056549F" w:rsidRPr="00E36893" w:rsidRDefault="0056549F" w:rsidP="003E0AB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jc w:val="both"/>
        <w:rPr>
          <w:rFonts w:ascii="Cambria" w:hAnsi="Cambria"/>
          <w:sz w:val="20"/>
          <w:szCs w:val="20"/>
          <w:lang w:val="es-ES"/>
        </w:rPr>
      </w:pPr>
    </w:p>
    <w:p w14:paraId="1F37E883" w14:textId="77777777" w:rsidR="005B2F88" w:rsidRPr="005B2F88" w:rsidRDefault="005B2F88" w:rsidP="003E0AB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ind w:left="0" w:firstLine="0"/>
        <w:jc w:val="both"/>
        <w:rPr>
          <w:rFonts w:ascii="Cambria" w:hAnsi="Cambria"/>
          <w:sz w:val="20"/>
          <w:szCs w:val="20"/>
          <w:lang w:val="es-ES"/>
        </w:rPr>
      </w:pPr>
      <w:r w:rsidRPr="005B2F88">
        <w:rPr>
          <w:rFonts w:ascii="Cambria" w:hAnsi="Cambria"/>
          <w:sz w:val="20"/>
          <w:szCs w:val="20"/>
          <w:lang w:val="es-ES"/>
        </w:rPr>
        <w:t xml:space="preserve">Dado el deber especial reforzado del Estado de asegurar que el método de ejecución no constituya un castigo cruel, infamante o inusitado y, en particular, de someter las drogas utilizadas a la aprobación y </w:t>
      </w:r>
      <w:r w:rsidRPr="005B2F88">
        <w:rPr>
          <w:rFonts w:ascii="Cambria" w:hAnsi="Cambria"/>
          <w:sz w:val="20"/>
          <w:szCs w:val="20"/>
          <w:lang w:val="es-ES"/>
        </w:rPr>
        <w:lastRenderedPageBreak/>
        <w:t xml:space="preserve">regulación del gobierno, la CIDH concluye que en el caso del señor Valle </w:t>
      </w:r>
      <w:r>
        <w:rPr>
          <w:rFonts w:ascii="Cambria" w:hAnsi="Cambria"/>
          <w:sz w:val="20"/>
          <w:szCs w:val="20"/>
          <w:lang w:val="es-ES"/>
        </w:rPr>
        <w:t xml:space="preserve">el Estado </w:t>
      </w:r>
      <w:r w:rsidRPr="005B2F88">
        <w:rPr>
          <w:rFonts w:ascii="Cambria" w:hAnsi="Cambria"/>
          <w:sz w:val="20"/>
          <w:szCs w:val="20"/>
          <w:lang w:val="es-ES"/>
        </w:rPr>
        <w:t>violó el artículo XXVI de la Declaración Americana.</w:t>
      </w:r>
    </w:p>
    <w:p w14:paraId="3EDFAB61" w14:textId="77777777" w:rsidR="0063586E" w:rsidRPr="00E36893" w:rsidRDefault="0063586E" w:rsidP="0074375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jc w:val="both"/>
        <w:rPr>
          <w:rFonts w:ascii="Cambria" w:hAnsi="Cambria"/>
          <w:sz w:val="20"/>
          <w:szCs w:val="20"/>
          <w:lang w:val="es-ES"/>
        </w:rPr>
      </w:pPr>
    </w:p>
    <w:p w14:paraId="25BE6E26" w14:textId="77777777" w:rsidR="0063586E" w:rsidRPr="0074375D" w:rsidRDefault="00126FD8" w:rsidP="0063586E">
      <w:pPr>
        <w:pStyle w:val="Heading2"/>
        <w:numPr>
          <w:ilvl w:val="0"/>
          <w:numId w:val="61"/>
        </w:numPr>
        <w:tabs>
          <w:tab w:val="left" w:pos="360"/>
        </w:tabs>
        <w:spacing w:before="0"/>
        <w:ind w:left="0" w:firstLine="0"/>
        <w:jc w:val="both"/>
        <w:rPr>
          <w:rFonts w:ascii="Cambria" w:eastAsia="Arial Unicode MS" w:hAnsi="Cambria"/>
          <w:color w:val="auto"/>
          <w:sz w:val="20"/>
          <w:szCs w:val="20"/>
        </w:rPr>
      </w:pPr>
      <w:bookmarkStart w:id="24" w:name="_Toc25764133"/>
      <w:bookmarkStart w:id="25" w:name="_Toc90292586"/>
      <w:r>
        <w:rPr>
          <w:rFonts w:ascii="Cambria" w:eastAsia="Arial Unicode MS" w:hAnsi="Cambria"/>
          <w:color w:val="auto"/>
          <w:sz w:val="20"/>
          <w:szCs w:val="20"/>
        </w:rPr>
        <w:t xml:space="preserve">Derecho de </w:t>
      </w:r>
      <w:r w:rsidR="001A45C1">
        <w:rPr>
          <w:rFonts w:ascii="Cambria" w:eastAsia="Arial Unicode MS" w:hAnsi="Cambria"/>
          <w:color w:val="auto"/>
          <w:sz w:val="20"/>
          <w:szCs w:val="20"/>
        </w:rPr>
        <w:t>petición</w:t>
      </w:r>
      <w:r w:rsidR="0063586E" w:rsidRPr="0074375D">
        <w:rPr>
          <w:rStyle w:val="FootnoteReference"/>
          <w:rFonts w:ascii="Cambria" w:eastAsia="Arial Unicode MS" w:hAnsi="Cambria"/>
          <w:color w:val="auto"/>
          <w:sz w:val="20"/>
          <w:szCs w:val="20"/>
        </w:rPr>
        <w:footnoteReference w:id="61"/>
      </w:r>
      <w:bookmarkEnd w:id="24"/>
      <w:bookmarkEnd w:id="25"/>
      <w:r w:rsidR="0063586E" w:rsidRPr="0074375D">
        <w:rPr>
          <w:rFonts w:ascii="Cambria" w:eastAsia="Arial Unicode MS" w:hAnsi="Cambria"/>
          <w:color w:val="auto"/>
          <w:sz w:val="20"/>
          <w:szCs w:val="20"/>
        </w:rPr>
        <w:t xml:space="preserve"> </w:t>
      </w:r>
    </w:p>
    <w:p w14:paraId="15946D57" w14:textId="77777777" w:rsidR="0063586E" w:rsidRPr="0074375D" w:rsidRDefault="0063586E" w:rsidP="0063586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Cambria" w:hAnsi="Cambria"/>
          <w:sz w:val="20"/>
          <w:szCs w:val="20"/>
        </w:rPr>
      </w:pPr>
    </w:p>
    <w:p w14:paraId="7A336BA8" w14:textId="5B2D5C77" w:rsidR="0063586E" w:rsidRPr="005B2F88" w:rsidRDefault="005B2F88" w:rsidP="005B2F8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Cambria" w:hAnsi="Cambria"/>
          <w:sz w:val="20"/>
          <w:szCs w:val="20"/>
          <w:lang w:val="es-ES"/>
        </w:rPr>
      </w:pPr>
      <w:r w:rsidRPr="005B2F88">
        <w:rPr>
          <w:rFonts w:ascii="Cambria" w:hAnsi="Cambria"/>
          <w:sz w:val="20"/>
          <w:szCs w:val="20"/>
          <w:lang w:val="es-ES"/>
        </w:rPr>
        <w:t xml:space="preserve">La Comisión recuerda que en su decisión en el caso Juan </w:t>
      </w:r>
      <w:r w:rsidR="00FF3E59" w:rsidRPr="005B2F88">
        <w:rPr>
          <w:rFonts w:ascii="Cambria" w:hAnsi="Cambria"/>
          <w:sz w:val="20"/>
          <w:szCs w:val="20"/>
          <w:lang w:val="es-ES"/>
        </w:rPr>
        <w:t>Raúl</w:t>
      </w:r>
      <w:r w:rsidRPr="005B2F88">
        <w:rPr>
          <w:rFonts w:ascii="Cambria" w:hAnsi="Cambria"/>
          <w:sz w:val="20"/>
          <w:szCs w:val="20"/>
          <w:lang w:val="es-ES"/>
        </w:rPr>
        <w:t xml:space="preserve"> Garza v.</w:t>
      </w:r>
      <w:r w:rsidR="003201AA">
        <w:rPr>
          <w:rFonts w:ascii="Cambria" w:hAnsi="Cambria"/>
          <w:sz w:val="20"/>
          <w:szCs w:val="20"/>
          <w:lang w:val="es-ES"/>
        </w:rPr>
        <w:t xml:space="preserve"> </w:t>
      </w:r>
      <w:r w:rsidRPr="005B2F88">
        <w:rPr>
          <w:rFonts w:ascii="Cambria" w:hAnsi="Cambria"/>
          <w:sz w:val="20"/>
          <w:szCs w:val="20"/>
          <w:lang w:val="es-ES"/>
        </w:rPr>
        <w:t>Estados Unidos, la Comisión sostuvo que en los casos de pena capital, la omisión de un Estado miembro de la OEA de preservar la vida de un condenado en espera de la revisión de su denuncia por parte de la Comisión menoscaba la eficacia del proceso de la Comisión, priva a las personas condenadas de su derecho de petición en el sistema interamericano de derechos humanos, y genera daños graves e irreparables a esas personas, por lo que es incompatible con las obligaciones del Estado en materia de derechos humanos</w:t>
      </w:r>
      <w:r w:rsidR="0063586E" w:rsidRPr="005B2F88">
        <w:rPr>
          <w:rFonts w:ascii="Cambria" w:eastAsia="Times New Roman" w:hAnsi="Cambria"/>
          <w:sz w:val="20"/>
          <w:szCs w:val="20"/>
          <w:lang w:val="es-ES"/>
        </w:rPr>
        <w:t>.</w:t>
      </w:r>
      <w:r w:rsidR="0063586E" w:rsidRPr="0074375D">
        <w:rPr>
          <w:rStyle w:val="FootnoteReference"/>
          <w:rFonts w:ascii="Cambria" w:eastAsia="Times New Roman" w:hAnsi="Cambria"/>
          <w:sz w:val="20"/>
          <w:szCs w:val="20"/>
        </w:rPr>
        <w:footnoteReference w:id="62"/>
      </w:r>
      <w:r w:rsidR="0063586E" w:rsidRPr="005B2F88">
        <w:rPr>
          <w:rFonts w:ascii="Cambria" w:eastAsia="Times New Roman" w:hAnsi="Cambria"/>
          <w:sz w:val="20"/>
          <w:szCs w:val="20"/>
          <w:lang w:val="es-ES"/>
        </w:rPr>
        <w:t xml:space="preserve"> </w:t>
      </w:r>
    </w:p>
    <w:p w14:paraId="21B6100F" w14:textId="77777777" w:rsidR="0063586E" w:rsidRPr="005B2F88" w:rsidRDefault="0063586E" w:rsidP="0063586E">
      <w:pPr>
        <w:pStyle w:val="ListParagraph"/>
        <w:rPr>
          <w:rFonts w:eastAsia="Times New Roman"/>
          <w:sz w:val="20"/>
          <w:szCs w:val="20"/>
          <w:lang w:val="es-ES"/>
        </w:rPr>
      </w:pPr>
    </w:p>
    <w:p w14:paraId="6092C505" w14:textId="77777777" w:rsidR="005B2F88" w:rsidRPr="005B2F88" w:rsidRDefault="005B2F88" w:rsidP="006358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lang w:val="es-ES"/>
        </w:rPr>
      </w:pPr>
      <w:r w:rsidRPr="005B2F88">
        <w:rPr>
          <w:rFonts w:asciiTheme="majorHAnsi" w:hAnsiTheme="majorHAnsi"/>
          <w:sz w:val="20"/>
          <w:szCs w:val="20"/>
          <w:lang w:val="es-ES"/>
        </w:rPr>
        <w:t>La Comisión basó estas obligaciones en la conclusión de que los Estados miembros de la OEA, al crear la Comisión y encomendarle mediante la Carta de la OEA y el Estatuto de la Comisión promover la observancia y protección de los derechos humanos de los pueblos americanos, se han comprometido implícitamente a implementar medidas de esta naturaleza cuando sean esenciales para preservar el mandato de la Comisión</w:t>
      </w:r>
      <w:r>
        <w:rPr>
          <w:rFonts w:asciiTheme="majorHAnsi" w:eastAsia="Times New Roman" w:hAnsiTheme="majorHAnsi"/>
          <w:sz w:val="20"/>
          <w:szCs w:val="20"/>
          <w:lang w:val="es-ES"/>
        </w:rPr>
        <w:t>.</w:t>
      </w:r>
      <w:r w:rsidRPr="00256677">
        <w:rPr>
          <w:rStyle w:val="FootnoteReference"/>
          <w:rFonts w:asciiTheme="majorHAnsi" w:eastAsia="Times New Roman" w:hAnsiTheme="majorHAnsi"/>
          <w:sz w:val="20"/>
          <w:szCs w:val="20"/>
        </w:rPr>
        <w:footnoteReference w:id="63"/>
      </w:r>
      <w:r w:rsidRPr="005B2F88">
        <w:rPr>
          <w:rFonts w:asciiTheme="majorHAnsi" w:hAnsiTheme="majorHAnsi"/>
          <w:sz w:val="20"/>
          <w:szCs w:val="20"/>
          <w:lang w:val="es-ES"/>
        </w:rPr>
        <w:t xml:space="preserve"> La Comisión encontró apoyo para esta determinación en su propia jurisprudencia, así como en las conclusiones de otros órganos judiciales regionales e internacionales, incluido el Comité de Derechos Humanos de la ONU, </w:t>
      </w:r>
      <w:r>
        <w:rPr>
          <w:rFonts w:asciiTheme="majorHAnsi" w:hAnsiTheme="majorHAnsi"/>
          <w:sz w:val="20"/>
          <w:szCs w:val="20"/>
          <w:lang w:val="es-ES"/>
        </w:rPr>
        <w:t xml:space="preserve">el Tribunal </w:t>
      </w:r>
      <w:r w:rsidRPr="005B2F88">
        <w:rPr>
          <w:rFonts w:asciiTheme="majorHAnsi" w:hAnsiTheme="majorHAnsi"/>
          <w:sz w:val="20"/>
          <w:szCs w:val="20"/>
          <w:lang w:val="es-ES"/>
        </w:rPr>
        <w:t>Europe</w:t>
      </w:r>
      <w:r>
        <w:rPr>
          <w:rFonts w:asciiTheme="majorHAnsi" w:hAnsiTheme="majorHAnsi"/>
          <w:sz w:val="20"/>
          <w:szCs w:val="20"/>
          <w:lang w:val="es-ES"/>
        </w:rPr>
        <w:t>o</w:t>
      </w:r>
      <w:r w:rsidRPr="005B2F88">
        <w:rPr>
          <w:rFonts w:asciiTheme="majorHAnsi" w:hAnsiTheme="majorHAnsi"/>
          <w:sz w:val="20"/>
          <w:szCs w:val="20"/>
          <w:lang w:val="es-ES"/>
        </w:rPr>
        <w:t xml:space="preserve"> de Derechos Humanos y la Corte Internacional de Justicia.</w:t>
      </w:r>
      <w:r w:rsidRPr="00256677">
        <w:rPr>
          <w:rStyle w:val="FootnoteReference"/>
          <w:rFonts w:asciiTheme="majorHAnsi" w:eastAsia="Times New Roman" w:hAnsiTheme="majorHAnsi"/>
          <w:sz w:val="20"/>
          <w:szCs w:val="20"/>
        </w:rPr>
        <w:footnoteReference w:id="64"/>
      </w:r>
      <w:r w:rsidRPr="005B2F88">
        <w:rPr>
          <w:rFonts w:asciiTheme="majorHAnsi" w:hAnsiTheme="majorHAnsi"/>
          <w:sz w:val="20"/>
          <w:szCs w:val="20"/>
          <w:lang w:val="es-ES"/>
        </w:rPr>
        <w:t xml:space="preserve"> A juicio de la Comisión, esta jurisprudencia articula un principio común al funcionamiento de los sistemas judiciales internacionales según el cual los Estados miembros deben implementar medidas cautelares o </w:t>
      </w:r>
      <w:r>
        <w:rPr>
          <w:rFonts w:asciiTheme="majorHAnsi" w:hAnsiTheme="majorHAnsi"/>
          <w:sz w:val="20"/>
          <w:szCs w:val="20"/>
          <w:lang w:val="es-ES"/>
        </w:rPr>
        <w:t>precautorias</w:t>
      </w:r>
      <w:r w:rsidRPr="005B2F88">
        <w:rPr>
          <w:rFonts w:asciiTheme="majorHAnsi" w:hAnsiTheme="majorHAnsi"/>
          <w:sz w:val="20"/>
          <w:szCs w:val="20"/>
          <w:lang w:val="es-ES"/>
        </w:rPr>
        <w:t xml:space="preserve"> cuando sea necesario para preservar los fines mismos para los cuales fueron creados y prevenir daños irreparables a las partes cuyos intereses se determinan a través de esos procesos.</w:t>
      </w:r>
    </w:p>
    <w:p w14:paraId="799D4C25" w14:textId="77777777" w:rsidR="0063586E" w:rsidRPr="00E36893" w:rsidRDefault="0063586E" w:rsidP="00157AAB">
      <w:pPr>
        <w:tabs>
          <w:tab w:val="left" w:pos="360"/>
        </w:tabs>
        <w:rPr>
          <w:rFonts w:asciiTheme="majorHAnsi" w:eastAsia="Times" w:hAnsiTheme="majorHAnsi" w:cs="Times"/>
          <w:sz w:val="20"/>
          <w:szCs w:val="20"/>
          <w:lang w:val="es-ES"/>
        </w:rPr>
      </w:pPr>
    </w:p>
    <w:p w14:paraId="227F26E6" w14:textId="77777777" w:rsidR="005B2F88" w:rsidRPr="005B2F88" w:rsidRDefault="005B2F88" w:rsidP="006358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lang w:val="es-ES"/>
        </w:rPr>
      </w:pPr>
      <w:r w:rsidRPr="005B2F88">
        <w:rPr>
          <w:rFonts w:asciiTheme="majorHAnsi" w:hAnsiTheme="majorHAnsi"/>
          <w:sz w:val="20"/>
          <w:szCs w:val="20"/>
          <w:lang w:val="es-ES"/>
        </w:rPr>
        <w:t xml:space="preserve">La denegación por parte del Estado de la suspensión de la ejecución ante una medida cautelar de la Comisión para evaluar las violaciones a los derechos humanos y su omisión </w:t>
      </w:r>
      <w:r>
        <w:rPr>
          <w:rFonts w:asciiTheme="majorHAnsi" w:hAnsiTheme="majorHAnsi"/>
          <w:sz w:val="20"/>
          <w:szCs w:val="20"/>
          <w:lang w:val="es-ES"/>
        </w:rPr>
        <w:t>de preservar</w:t>
      </w:r>
      <w:r w:rsidRPr="005B2F88">
        <w:rPr>
          <w:rFonts w:asciiTheme="majorHAnsi" w:hAnsiTheme="majorHAnsi"/>
          <w:sz w:val="20"/>
          <w:szCs w:val="20"/>
          <w:lang w:val="es-ES"/>
        </w:rPr>
        <w:t xml:space="preserve"> la vida de un condenado a la espera de la culminación del proceso, incluida la implementación de las recomendaciones finales de la Comisión, menoscaba la eficacia del proce</w:t>
      </w:r>
      <w:r>
        <w:rPr>
          <w:rFonts w:asciiTheme="majorHAnsi" w:hAnsiTheme="majorHAnsi"/>
          <w:sz w:val="20"/>
          <w:szCs w:val="20"/>
          <w:lang w:val="es-ES"/>
        </w:rPr>
        <w:t>dimiento</w:t>
      </w:r>
      <w:r w:rsidRPr="005B2F88">
        <w:rPr>
          <w:rFonts w:asciiTheme="majorHAnsi" w:hAnsiTheme="majorHAnsi"/>
          <w:sz w:val="20"/>
          <w:szCs w:val="20"/>
          <w:lang w:val="es-ES"/>
        </w:rPr>
        <w:t xml:space="preserve"> de la Comisión, priva a las personas condenadas de su derecho de petición y les ocasiona daños graves e irreparables. Una ejecución en esas circunstancias obstaculiza la capacidad de la Comisión o de la Corte para investigar de manera efectiva y emitir determinaciones en casos de pena capital.</w:t>
      </w:r>
    </w:p>
    <w:p w14:paraId="0303F7FC" w14:textId="77777777" w:rsidR="0063586E" w:rsidRPr="00E36893" w:rsidRDefault="0063586E" w:rsidP="005B2F88">
      <w:pPr>
        <w:tabs>
          <w:tab w:val="left" w:pos="360"/>
        </w:tabs>
        <w:rPr>
          <w:rFonts w:asciiTheme="majorHAnsi" w:eastAsia="Times" w:hAnsiTheme="majorHAnsi" w:cs="Times"/>
          <w:sz w:val="20"/>
          <w:szCs w:val="20"/>
          <w:lang w:val="es-ES"/>
        </w:rPr>
      </w:pPr>
    </w:p>
    <w:p w14:paraId="4A4D3B63" w14:textId="77777777" w:rsidR="0063586E" w:rsidRPr="005B2F88" w:rsidRDefault="005B2F88" w:rsidP="005B2F8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lang w:val="es-ES"/>
        </w:rPr>
      </w:pPr>
      <w:r w:rsidRPr="005B2F88">
        <w:rPr>
          <w:rFonts w:asciiTheme="majorHAnsi" w:hAnsiTheme="majorHAnsi"/>
          <w:sz w:val="20"/>
          <w:szCs w:val="20"/>
          <w:lang w:val="es-ES"/>
        </w:rPr>
        <w:t>Tanto la Comisión como la Corte Interamericana han señalado que la ejecución de una persona bajo medidas cautelares o provisionales, respectivamente, constituye una violación agravada del derecho a la vida. Como se señala en este informe, el derecho a la vida está ampliamente reconocido como el derecho supremo del ser humano. Asimismo, la Corte Interamericana ha confirmado que “[</w:t>
      </w:r>
      <w:r>
        <w:rPr>
          <w:rFonts w:asciiTheme="majorHAnsi" w:hAnsiTheme="majorHAnsi"/>
          <w:sz w:val="20"/>
          <w:szCs w:val="20"/>
          <w:lang w:val="es-ES"/>
        </w:rPr>
        <w:t>s</w:t>
      </w:r>
      <w:r w:rsidRPr="005B2F88">
        <w:rPr>
          <w:rFonts w:asciiTheme="majorHAnsi" w:hAnsiTheme="majorHAnsi"/>
          <w:sz w:val="20"/>
          <w:szCs w:val="20"/>
          <w:lang w:val="es-ES"/>
        </w:rPr>
        <w:t>]</w:t>
      </w:r>
      <w:r>
        <w:rPr>
          <w:rFonts w:asciiTheme="majorHAnsi" w:hAnsiTheme="majorHAnsi"/>
          <w:sz w:val="20"/>
          <w:szCs w:val="20"/>
          <w:lang w:val="es-ES"/>
        </w:rPr>
        <w:t>iendo la ejecución de la pena de muerte una medida de carácter irreversible, exige del Estado el más estricto y riguroso respeto de las garantías judiciales, de modo a evitar una violación de éstas, que, a su vez, acarrearía una privación arbitraria de la vida.”</w:t>
      </w:r>
      <w:r w:rsidR="0063586E" w:rsidRPr="00256677">
        <w:rPr>
          <w:rStyle w:val="FootnoteReference"/>
          <w:rFonts w:asciiTheme="majorHAnsi" w:eastAsia="Times New Roman" w:hAnsiTheme="majorHAnsi"/>
          <w:sz w:val="20"/>
          <w:szCs w:val="20"/>
        </w:rPr>
        <w:footnoteReference w:id="65"/>
      </w:r>
    </w:p>
    <w:p w14:paraId="0FEC31B1" w14:textId="77777777" w:rsidR="0063586E" w:rsidRPr="005B2F88" w:rsidRDefault="0063586E" w:rsidP="0063586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hAnsiTheme="majorHAnsi"/>
          <w:sz w:val="20"/>
          <w:szCs w:val="20"/>
          <w:lang w:val="es-ES"/>
        </w:rPr>
      </w:pPr>
    </w:p>
    <w:p w14:paraId="733B0CEB" w14:textId="77777777" w:rsidR="005B2F88" w:rsidRPr="005B2F88" w:rsidRDefault="005B2F88" w:rsidP="006358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lang w:val="es-ES"/>
        </w:rPr>
      </w:pPr>
      <w:r w:rsidRPr="005B2F88">
        <w:rPr>
          <w:rFonts w:asciiTheme="majorHAnsi" w:hAnsiTheme="majorHAnsi"/>
          <w:sz w:val="20"/>
          <w:szCs w:val="20"/>
          <w:lang w:val="es-ES"/>
        </w:rPr>
        <w:lastRenderedPageBreak/>
        <w:t>La Comisión ha condenado de manera consistente y enfática la práctica de ciertos Estados de ejecutar a personas condenadas a muerte en violación de las medidas cautelares dictadas por ella, incluso en los casos en que la Comisión tuvo ante sí una petición pendiente que presenta alegatos de debido proceso u otras violaciones en la acusación</w:t>
      </w:r>
      <w:r>
        <w:rPr>
          <w:rFonts w:asciiTheme="majorHAnsi" w:hAnsiTheme="majorHAnsi"/>
          <w:sz w:val="20"/>
          <w:szCs w:val="20"/>
          <w:lang w:val="es-ES"/>
        </w:rPr>
        <w:t xml:space="preserve"> </w:t>
      </w:r>
      <w:r w:rsidRPr="005B2F88">
        <w:rPr>
          <w:rFonts w:asciiTheme="majorHAnsi" w:hAnsiTheme="majorHAnsi"/>
          <w:sz w:val="20"/>
          <w:szCs w:val="20"/>
          <w:lang w:val="es-ES"/>
        </w:rPr>
        <w:t>que produjo la sentencia.</w:t>
      </w:r>
    </w:p>
    <w:p w14:paraId="3B6B875C" w14:textId="77777777" w:rsidR="0063586E" w:rsidRPr="00E36893" w:rsidRDefault="0063586E" w:rsidP="005B2F88">
      <w:pPr>
        <w:tabs>
          <w:tab w:val="left" w:pos="360"/>
        </w:tabs>
        <w:rPr>
          <w:rFonts w:asciiTheme="majorHAnsi" w:hAnsiTheme="majorHAnsi"/>
          <w:sz w:val="20"/>
          <w:szCs w:val="20"/>
          <w:lang w:val="es-ES"/>
        </w:rPr>
      </w:pPr>
    </w:p>
    <w:p w14:paraId="2734B528" w14:textId="77777777" w:rsidR="005B2F88" w:rsidRPr="005B2F88" w:rsidRDefault="005B2F88" w:rsidP="008046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lang w:val="es-ES"/>
        </w:rPr>
      </w:pPr>
      <w:r w:rsidRPr="005B2F88">
        <w:rPr>
          <w:rFonts w:asciiTheme="majorHAnsi" w:hAnsiTheme="majorHAnsi"/>
          <w:sz w:val="20"/>
          <w:szCs w:val="20"/>
          <w:lang w:val="es-ES"/>
        </w:rPr>
        <w:t>La ejecución de la pena de muerte contra el señor Valle representa un incumplimiento por parte del Estado de la medida cautelar. Al permitir que la ejecución del señor Valle procediera en estas circunstancias, la Comisión considera que Estados Unidos violó los artículos I y XXIV de la Declaración Americana y no actuó de conformidad con sus obligaciones fundamentales en materia de derechos humanos como miembro de la Organización de los Estados Americanos.</w:t>
      </w:r>
    </w:p>
    <w:p w14:paraId="2C16861E" w14:textId="77777777" w:rsidR="003A5E9B" w:rsidRPr="00E36893" w:rsidRDefault="003A5E9B" w:rsidP="00804686">
      <w:pPr>
        <w:pStyle w:val="NormalWeb"/>
        <w:tabs>
          <w:tab w:val="left" w:pos="360"/>
        </w:tabs>
        <w:spacing w:before="0" w:beforeAutospacing="0" w:after="0" w:afterAutospacing="0"/>
        <w:jc w:val="both"/>
        <w:rPr>
          <w:rFonts w:ascii="Cambria" w:hAnsi="Cambria"/>
          <w:sz w:val="20"/>
          <w:lang w:val="es-ES"/>
        </w:rPr>
      </w:pPr>
    </w:p>
    <w:p w14:paraId="7723E46B" w14:textId="5AC44184" w:rsidR="00801C7F" w:rsidRPr="001A45C1" w:rsidRDefault="001A45C1" w:rsidP="00EC55EA">
      <w:pPr>
        <w:pStyle w:val="Heading2"/>
        <w:numPr>
          <w:ilvl w:val="0"/>
          <w:numId w:val="61"/>
        </w:numPr>
        <w:tabs>
          <w:tab w:val="left" w:pos="360"/>
        </w:tabs>
        <w:spacing w:before="0"/>
        <w:ind w:left="0" w:firstLine="0"/>
        <w:jc w:val="both"/>
        <w:rPr>
          <w:color w:val="auto"/>
          <w:sz w:val="20"/>
          <w:szCs w:val="20"/>
          <w:lang w:val="es-ES"/>
        </w:rPr>
      </w:pPr>
      <w:bookmarkStart w:id="26" w:name="_Toc90292587"/>
      <w:r w:rsidRPr="001A45C1">
        <w:rPr>
          <w:color w:val="auto"/>
          <w:sz w:val="20"/>
          <w:szCs w:val="20"/>
          <w:lang w:val="es-ES"/>
        </w:rPr>
        <w:t>Derecho a la vida</w:t>
      </w:r>
      <w:r w:rsidR="00C535F1" w:rsidRPr="00EC55EA">
        <w:rPr>
          <w:rStyle w:val="FootnoteReference"/>
          <w:color w:val="auto"/>
          <w:sz w:val="20"/>
          <w:szCs w:val="20"/>
        </w:rPr>
        <w:footnoteReference w:id="66"/>
      </w:r>
      <w:r w:rsidR="00DD5501" w:rsidRPr="001A45C1">
        <w:rPr>
          <w:color w:val="auto"/>
          <w:sz w:val="20"/>
          <w:szCs w:val="20"/>
          <w:lang w:val="es-ES"/>
        </w:rPr>
        <w:t xml:space="preserve"> </w:t>
      </w:r>
      <w:r w:rsidRPr="001A45C1">
        <w:rPr>
          <w:color w:val="auto"/>
          <w:sz w:val="20"/>
          <w:szCs w:val="20"/>
          <w:lang w:val="es-ES"/>
        </w:rPr>
        <w:t>y a la protección contra penas crueles, infamantes o inusitadas con respect</w:t>
      </w:r>
      <w:r w:rsidR="003201AA">
        <w:rPr>
          <w:color w:val="auto"/>
          <w:sz w:val="20"/>
          <w:szCs w:val="20"/>
          <w:lang w:val="es-ES"/>
        </w:rPr>
        <w:t>o</w:t>
      </w:r>
      <w:r w:rsidRPr="001A45C1">
        <w:rPr>
          <w:color w:val="auto"/>
          <w:sz w:val="20"/>
          <w:szCs w:val="20"/>
          <w:lang w:val="es-ES"/>
        </w:rPr>
        <w:t xml:space="preserve"> a la ejecución de Manuel Valle</w:t>
      </w:r>
      <w:bookmarkEnd w:id="26"/>
      <w:r w:rsidR="009D45F5" w:rsidRPr="001A45C1">
        <w:rPr>
          <w:sz w:val="20"/>
          <w:szCs w:val="20"/>
          <w:lang w:val="es-ES"/>
        </w:rPr>
        <w:t xml:space="preserve"> </w:t>
      </w:r>
    </w:p>
    <w:p w14:paraId="36FECD90" w14:textId="77777777" w:rsidR="00867DA3" w:rsidRPr="001A45C1" w:rsidRDefault="00867DA3" w:rsidP="00EC55EA">
      <w:pPr>
        <w:rPr>
          <w:rFonts w:asciiTheme="majorHAnsi" w:hAnsiTheme="majorHAnsi"/>
          <w:sz w:val="20"/>
          <w:szCs w:val="20"/>
          <w:lang w:val="es-ES"/>
        </w:rPr>
      </w:pPr>
    </w:p>
    <w:p w14:paraId="6820EE58" w14:textId="77777777" w:rsidR="00BE3560" w:rsidRPr="005B2F88" w:rsidRDefault="005B2F88" w:rsidP="005B2F8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ind w:left="0" w:firstLine="0"/>
        <w:jc w:val="both"/>
        <w:rPr>
          <w:rFonts w:ascii="Cambria" w:hAnsi="Cambria"/>
          <w:sz w:val="20"/>
          <w:szCs w:val="20"/>
          <w:lang w:val="es-ES"/>
        </w:rPr>
      </w:pPr>
      <w:r w:rsidRPr="005B2F88">
        <w:rPr>
          <w:rFonts w:ascii="Cambria" w:hAnsi="Cambria"/>
          <w:sz w:val="20"/>
          <w:szCs w:val="20"/>
          <w:lang w:val="es-ES"/>
        </w:rPr>
        <w:t>Como se indicó anteriormente, la Comisión Interamericana considera que corresponde a los tribunales nacionales, no a la Comisión, interpretar y aplicar el derecho nacional. No obstante, la CIDH debe garantizar que toda privación de la vida derivada de la imposición de la pena de muerte cumpla con los requisitos de la Declaración Americana</w:t>
      </w:r>
      <w:r w:rsidR="00BE3560" w:rsidRPr="005B2F88">
        <w:rPr>
          <w:rFonts w:ascii="Cambria" w:hAnsi="Cambria"/>
          <w:sz w:val="20"/>
          <w:szCs w:val="20"/>
          <w:lang w:val="es-ES"/>
        </w:rPr>
        <w:t>.</w:t>
      </w:r>
      <w:r w:rsidR="00BE3560" w:rsidRPr="00EC55EA">
        <w:rPr>
          <w:rStyle w:val="FootnoteReference"/>
          <w:rFonts w:ascii="Cambria" w:hAnsi="Cambria"/>
          <w:sz w:val="20"/>
          <w:szCs w:val="20"/>
        </w:rPr>
        <w:footnoteReference w:id="67"/>
      </w:r>
    </w:p>
    <w:p w14:paraId="5264886C" w14:textId="77777777" w:rsidR="00BE3560" w:rsidRPr="005B2F88" w:rsidRDefault="00BE3560" w:rsidP="00EC55EA">
      <w:pPr>
        <w:rPr>
          <w:sz w:val="20"/>
          <w:szCs w:val="20"/>
          <w:lang w:val="es-ES"/>
        </w:rPr>
      </w:pPr>
    </w:p>
    <w:p w14:paraId="75D28AFF" w14:textId="0575F069" w:rsidR="005B2F88" w:rsidRDefault="005B2F88" w:rsidP="009F606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ind w:left="0" w:firstLine="0"/>
        <w:jc w:val="both"/>
        <w:rPr>
          <w:rFonts w:ascii="Cambria" w:hAnsi="Cambria"/>
          <w:sz w:val="20"/>
          <w:szCs w:val="20"/>
          <w:lang w:val="es-ES"/>
        </w:rPr>
      </w:pPr>
      <w:r w:rsidRPr="005B2F88">
        <w:rPr>
          <w:rFonts w:ascii="Cambria" w:hAnsi="Cambria"/>
          <w:sz w:val="20"/>
          <w:szCs w:val="20"/>
          <w:lang w:val="es-ES"/>
        </w:rPr>
        <w:t>En estas circunstancias, la CIDH ha sostenido que la ejecución de una persona, luego de procesos que se desarrollaron en violación de sus derechos, sería sumamente grave y constituiría una violación deliberada del derecho a la vida consagrado en el artículo I de la Declaración Americana</w:t>
      </w:r>
      <w:r w:rsidR="00FF3E59">
        <w:rPr>
          <w:rFonts w:ascii="Cambria" w:hAnsi="Cambria"/>
          <w:sz w:val="20"/>
          <w:szCs w:val="20"/>
          <w:lang w:val="es-ES"/>
        </w:rPr>
        <w:t>.</w:t>
      </w:r>
      <w:r w:rsidR="00FF3E59" w:rsidRPr="00CE58F6">
        <w:rPr>
          <w:rStyle w:val="FootnoteReference"/>
          <w:rFonts w:ascii="Cambria" w:hAnsi="Cambria"/>
          <w:sz w:val="20"/>
          <w:szCs w:val="20"/>
        </w:rPr>
        <w:footnoteReference w:id="68"/>
      </w:r>
      <w:r w:rsidRPr="005B2F88">
        <w:rPr>
          <w:rFonts w:ascii="Cambria" w:hAnsi="Cambria"/>
          <w:sz w:val="20"/>
          <w:szCs w:val="20"/>
          <w:lang w:val="es-ES"/>
        </w:rPr>
        <w:t xml:space="preserve"> Asimismo, con base en las conclusiones sobre la privación de libertad en el corredor de la muerte, así como las violaciones a los derechos </w:t>
      </w:r>
      <w:r>
        <w:rPr>
          <w:rFonts w:ascii="Cambria" w:hAnsi="Cambria"/>
          <w:sz w:val="20"/>
          <w:szCs w:val="20"/>
          <w:lang w:val="es-ES"/>
        </w:rPr>
        <w:t>de justicia</w:t>
      </w:r>
      <w:r w:rsidRPr="005B2F88">
        <w:rPr>
          <w:rFonts w:ascii="Cambria" w:hAnsi="Cambria"/>
          <w:sz w:val="20"/>
          <w:szCs w:val="20"/>
          <w:lang w:val="es-ES"/>
        </w:rPr>
        <w:t xml:space="preserve">, derecho de petición y derecho al </w:t>
      </w:r>
      <w:r>
        <w:rPr>
          <w:rFonts w:ascii="Cambria" w:hAnsi="Cambria"/>
          <w:sz w:val="20"/>
          <w:szCs w:val="20"/>
          <w:lang w:val="es-ES"/>
        </w:rPr>
        <w:t>proceso regular</w:t>
      </w:r>
      <w:r w:rsidRPr="005B2F88">
        <w:rPr>
          <w:rFonts w:ascii="Cambria" w:hAnsi="Cambria"/>
          <w:sz w:val="20"/>
          <w:szCs w:val="20"/>
          <w:lang w:val="es-ES"/>
        </w:rPr>
        <w:t>, y teniendo en cuenta las determinaciones realizadas a lo largo de este informe, la CIDH concluye que la ejecución del señor Valle constituyó una grave violación a su derecho a la vida consagrado en el artículo I de la Declaración Americana.</w:t>
      </w:r>
    </w:p>
    <w:p w14:paraId="50E6D8E5" w14:textId="77777777" w:rsidR="001A1FD8" w:rsidRDefault="001A1FD8" w:rsidP="001A1FD8">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jc w:val="both"/>
        <w:rPr>
          <w:rFonts w:ascii="Cambria" w:hAnsi="Cambria"/>
          <w:sz w:val="20"/>
          <w:szCs w:val="20"/>
          <w:lang w:val="es-ES"/>
        </w:rPr>
      </w:pPr>
    </w:p>
    <w:p w14:paraId="729FB86A" w14:textId="32B662D7" w:rsidR="001A1FD8" w:rsidRPr="00873D49" w:rsidRDefault="001A1FD8" w:rsidP="001A1FD8">
      <w:pPr>
        <w:pStyle w:val="Heading1"/>
        <w:tabs>
          <w:tab w:val="left" w:pos="360"/>
        </w:tabs>
        <w:spacing w:before="0"/>
        <w:ind w:left="0" w:firstLine="0"/>
        <w:rPr>
          <w:color w:val="auto"/>
          <w:sz w:val="20"/>
          <w:szCs w:val="20"/>
          <w:lang w:val="es-ES_tradnl"/>
        </w:rPr>
      </w:pPr>
      <w:bookmarkStart w:id="27" w:name="_Toc87434319"/>
      <w:bookmarkStart w:id="28" w:name="_Toc87538754"/>
      <w:bookmarkStart w:id="29" w:name="_Toc90292588"/>
      <w:r w:rsidRPr="00873D49">
        <w:rPr>
          <w:color w:val="auto"/>
          <w:sz w:val="20"/>
          <w:szCs w:val="20"/>
          <w:lang w:val="es-ES_tradnl"/>
        </w:rPr>
        <w:t>INFORME Nº 305/20 E INFORMACIÓN SOBRE EL CUMPLIMIENTO</w:t>
      </w:r>
      <w:bookmarkEnd w:id="27"/>
      <w:bookmarkEnd w:id="28"/>
      <w:bookmarkEnd w:id="29"/>
    </w:p>
    <w:p w14:paraId="7472B22A" w14:textId="77777777" w:rsidR="001A1FD8" w:rsidRPr="00873D49" w:rsidRDefault="001A1FD8" w:rsidP="001A1FD8">
      <w:pPr>
        <w:rPr>
          <w:lang w:val="es-ES_tradnl"/>
        </w:rPr>
      </w:pPr>
    </w:p>
    <w:p w14:paraId="6F29F89B" w14:textId="6AC867D5" w:rsidR="001A1FD8" w:rsidRPr="00873D49" w:rsidRDefault="001A1FD8" w:rsidP="001A1F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 w:val="left" w:pos="540"/>
        </w:tabs>
        <w:ind w:left="0" w:firstLine="0"/>
        <w:jc w:val="both"/>
        <w:rPr>
          <w:rFonts w:asciiTheme="majorHAnsi" w:hAnsiTheme="majorHAnsi"/>
          <w:color w:val="000000" w:themeColor="text1"/>
          <w:sz w:val="20"/>
          <w:szCs w:val="20"/>
          <w:lang w:val="es-ES_tradnl"/>
        </w:rPr>
      </w:pPr>
      <w:r w:rsidRPr="006E3733">
        <w:rPr>
          <w:rFonts w:asciiTheme="majorHAnsi" w:hAnsiTheme="majorHAnsi"/>
          <w:color w:val="000000" w:themeColor="text1"/>
          <w:sz w:val="20"/>
          <w:szCs w:val="20"/>
          <w:lang w:val="es-US"/>
        </w:rPr>
        <w:t>El</w:t>
      </w:r>
      <w:r w:rsidRPr="00873D49">
        <w:rPr>
          <w:rFonts w:asciiTheme="majorHAnsi" w:hAnsiTheme="majorHAnsi"/>
          <w:color w:val="000000" w:themeColor="text1"/>
          <w:sz w:val="20"/>
          <w:szCs w:val="20"/>
          <w:lang w:val="es-ES_tradnl"/>
        </w:rPr>
        <w:t xml:space="preserve"> 29 de octubre de 2020, la Comisión aprobó el Informe No. 305/20 sobre la admisibilidad y el fondo del presente caso, que comprende los párrafos 1 a 81 supra, y emitió las siguientes recomendaciones al Estado:</w:t>
      </w:r>
    </w:p>
    <w:p w14:paraId="1B25F038" w14:textId="77777777" w:rsidR="000932C2" w:rsidRPr="005B2F88" w:rsidRDefault="000932C2" w:rsidP="000932C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jc w:val="both"/>
        <w:rPr>
          <w:rFonts w:ascii="Cambria" w:hAnsi="Cambria"/>
          <w:sz w:val="20"/>
          <w:szCs w:val="20"/>
          <w:lang w:val="es-ES"/>
        </w:rPr>
      </w:pPr>
    </w:p>
    <w:p w14:paraId="2D828529" w14:textId="77777777" w:rsidR="000932C2" w:rsidRPr="005B2F88" w:rsidRDefault="000932C2" w:rsidP="000932C2">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rPr>
          <w:rFonts w:eastAsia="Times New Roman" w:cs="Tahoma"/>
          <w:sz w:val="20"/>
          <w:szCs w:val="20"/>
          <w:bdr w:val="none" w:sz="0" w:space="0" w:color="auto" w:frame="1"/>
          <w:lang w:val="es-ES"/>
        </w:rPr>
      </w:pPr>
      <w:r w:rsidRPr="005B2F88">
        <w:rPr>
          <w:rFonts w:eastAsia="Times New Roman" w:cs="Tahoma"/>
          <w:sz w:val="20"/>
          <w:szCs w:val="20"/>
          <w:bdr w:val="none" w:sz="0" w:space="0" w:color="auto" w:frame="1"/>
          <w:lang w:val="es-ES"/>
        </w:rPr>
        <w:t>Provea reparaciones a la familia de Manuel Valle como consecuencia de las violaciones establecidas en este informe.</w:t>
      </w:r>
    </w:p>
    <w:p w14:paraId="033B43F9" w14:textId="77777777" w:rsidR="000932C2" w:rsidRPr="00E36893" w:rsidRDefault="000932C2" w:rsidP="000932C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jc w:val="both"/>
        <w:rPr>
          <w:rFonts w:eastAsia="Times New Roman" w:cs="Tahoma"/>
          <w:sz w:val="20"/>
          <w:szCs w:val="20"/>
          <w:bdr w:val="none" w:sz="0" w:space="0" w:color="auto" w:frame="1"/>
          <w:lang w:val="es-ES"/>
        </w:rPr>
      </w:pPr>
    </w:p>
    <w:p w14:paraId="13AB6547" w14:textId="77777777" w:rsidR="000932C2" w:rsidRPr="005B2F88" w:rsidRDefault="000932C2" w:rsidP="000932C2">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rPr>
          <w:rFonts w:eastAsia="Times New Roman" w:cs="Tahoma"/>
          <w:sz w:val="20"/>
          <w:szCs w:val="20"/>
          <w:bdr w:val="none" w:sz="0" w:space="0" w:color="auto" w:frame="1"/>
          <w:lang w:val="es-ES"/>
        </w:rPr>
      </w:pPr>
      <w:r w:rsidRPr="005B2F88">
        <w:rPr>
          <w:rFonts w:eastAsia="Times New Roman" w:cs="Tahoma"/>
          <w:sz w:val="20"/>
          <w:szCs w:val="20"/>
          <w:bdr w:val="none" w:sz="0" w:space="0" w:color="auto" w:frame="1"/>
          <w:lang w:val="es-ES"/>
        </w:rPr>
        <w:t>Asegure el cumplimiento de las medidas cautelares conce</w:t>
      </w:r>
      <w:r>
        <w:rPr>
          <w:rFonts w:eastAsia="Times New Roman" w:cs="Tahoma"/>
          <w:sz w:val="20"/>
          <w:szCs w:val="20"/>
          <w:bdr w:val="none" w:sz="0" w:space="0" w:color="auto" w:frame="1"/>
          <w:lang w:val="es-ES"/>
        </w:rPr>
        <w:t>didas por la CIDH a personas que enfrentan la pena de muerte.</w:t>
      </w:r>
    </w:p>
    <w:p w14:paraId="315902A7" w14:textId="77777777" w:rsidR="000932C2" w:rsidRPr="00E36893" w:rsidRDefault="000932C2" w:rsidP="000932C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eastAsia="Times New Roman" w:cs="Tahoma"/>
          <w:sz w:val="20"/>
          <w:szCs w:val="20"/>
          <w:bdr w:val="none" w:sz="0" w:space="0" w:color="auto" w:frame="1"/>
          <w:lang w:val="es-ES"/>
        </w:rPr>
      </w:pPr>
    </w:p>
    <w:p w14:paraId="3EC79171" w14:textId="77777777" w:rsidR="000932C2" w:rsidRPr="005B2F88" w:rsidRDefault="000932C2" w:rsidP="000932C2">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rPr>
          <w:rFonts w:eastAsia="Times New Roman" w:cs="Tahoma"/>
          <w:sz w:val="20"/>
          <w:szCs w:val="20"/>
          <w:bdr w:val="none" w:sz="0" w:space="0" w:color="auto" w:frame="1"/>
          <w:lang w:val="es-ES"/>
        </w:rPr>
      </w:pPr>
      <w:r w:rsidRPr="005B2F88">
        <w:rPr>
          <w:rFonts w:eastAsia="Times New Roman" w:cs="Tahoma"/>
          <w:sz w:val="20"/>
          <w:szCs w:val="20"/>
          <w:bdr w:val="none" w:sz="0" w:space="0" w:color="auto" w:frame="1"/>
          <w:lang w:val="es-ES"/>
        </w:rPr>
        <w:t xml:space="preserve">Revise sus leyes, procedimientos y </w:t>
      </w:r>
      <w:r>
        <w:rPr>
          <w:rFonts w:eastAsia="Times New Roman" w:cs="Tahoma"/>
          <w:sz w:val="20"/>
          <w:szCs w:val="20"/>
          <w:bdr w:val="none" w:sz="0" w:space="0" w:color="auto" w:frame="1"/>
          <w:lang w:val="es-ES"/>
        </w:rPr>
        <w:t>prácticas en el nivel federal para asegurar que las personas acusadas de delitos susceptibles de recibir condena de muerta sean juzgadas y, si son halladas culpables, condenadas de acuerdo con los derechos establecidos en la Declaración Americana,</w:t>
      </w:r>
      <w:r w:rsidRPr="00EC55EA">
        <w:rPr>
          <w:rStyle w:val="FootnoteReference"/>
          <w:sz w:val="20"/>
        </w:rPr>
        <w:footnoteReference w:id="69"/>
      </w:r>
      <w:r>
        <w:rPr>
          <w:rFonts w:eastAsia="Times New Roman" w:cs="Tahoma"/>
          <w:sz w:val="20"/>
          <w:szCs w:val="20"/>
          <w:bdr w:val="none" w:sz="0" w:space="0" w:color="auto" w:frame="1"/>
          <w:lang w:val="es-ES"/>
        </w:rPr>
        <w:t xml:space="preserve"> incluyendo sus artículos</w:t>
      </w:r>
      <w:r w:rsidRPr="005B2F88">
        <w:rPr>
          <w:sz w:val="20"/>
          <w:lang w:val="es-ES"/>
        </w:rPr>
        <w:t xml:space="preserve"> I, XVIII, XXIV, XXV and XXVI</w:t>
      </w:r>
      <w:r>
        <w:rPr>
          <w:sz w:val="20"/>
          <w:lang w:val="es-ES"/>
        </w:rPr>
        <w:t xml:space="preserve"> y en particular:</w:t>
      </w:r>
    </w:p>
    <w:p w14:paraId="09236E8D" w14:textId="77777777" w:rsidR="000932C2" w:rsidRPr="00E36893" w:rsidRDefault="000932C2" w:rsidP="000932C2">
      <w:pPr>
        <w:pStyle w:val="ListParagraph"/>
        <w:rPr>
          <w:rFonts w:asciiTheme="majorHAnsi" w:eastAsia="Times New Roman" w:hAnsiTheme="majorHAnsi" w:cs="Tahoma"/>
          <w:sz w:val="20"/>
          <w:szCs w:val="20"/>
          <w:bdr w:val="none" w:sz="0" w:space="0" w:color="auto"/>
          <w:lang w:val="es-ES"/>
        </w:rPr>
      </w:pPr>
    </w:p>
    <w:p w14:paraId="2F54CA2D" w14:textId="77777777" w:rsidR="000932C2" w:rsidRPr="005B222E" w:rsidRDefault="000932C2" w:rsidP="000932C2">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1080"/>
        <w:jc w:val="both"/>
        <w:rPr>
          <w:rFonts w:eastAsia="Times New Roman" w:cs="Tahoma"/>
          <w:sz w:val="20"/>
          <w:szCs w:val="20"/>
          <w:bdr w:val="none" w:sz="0" w:space="0" w:color="auto" w:frame="1"/>
          <w:lang w:val="es-ES"/>
        </w:rPr>
      </w:pPr>
      <w:r w:rsidRPr="005B222E">
        <w:rPr>
          <w:rFonts w:eastAsia="Times New Roman" w:cs="Tahoma"/>
          <w:sz w:val="20"/>
          <w:szCs w:val="20"/>
          <w:bdr w:val="none" w:sz="0" w:space="0" w:color="auto" w:frame="1"/>
          <w:lang w:val="es-ES"/>
        </w:rPr>
        <w:t>Asegurar que todo ciudadano extran</w:t>
      </w:r>
      <w:r>
        <w:rPr>
          <w:rFonts w:eastAsia="Times New Roman" w:cs="Tahoma"/>
          <w:sz w:val="20"/>
          <w:szCs w:val="20"/>
          <w:bdr w:val="none" w:sz="0" w:space="0" w:color="auto" w:frame="1"/>
          <w:lang w:val="es-ES"/>
        </w:rPr>
        <w:t>jero privado de su libertad sea informado, sin demora y antes de su primera declaración, del derecho a solicitar que sus autoridades consulares sean inmediatamente notificadas de su arresto o detención; y</w:t>
      </w:r>
    </w:p>
    <w:p w14:paraId="62DCE79A" w14:textId="77777777" w:rsidR="000932C2" w:rsidRPr="00E36893" w:rsidRDefault="000932C2" w:rsidP="000932C2">
      <w:pPr>
        <w:pStyle w:val="ListParagraph"/>
        <w:ind w:left="1080"/>
        <w:rPr>
          <w:sz w:val="20"/>
          <w:szCs w:val="20"/>
          <w:bdr w:val="none" w:sz="0" w:space="0" w:color="auto" w:frame="1"/>
          <w:lang w:val="es-ES"/>
        </w:rPr>
      </w:pPr>
    </w:p>
    <w:p w14:paraId="4FADF52E" w14:textId="77777777" w:rsidR="000932C2" w:rsidRPr="005B222E" w:rsidRDefault="000932C2" w:rsidP="000932C2">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1080"/>
        <w:jc w:val="both"/>
        <w:rPr>
          <w:rFonts w:eastAsiaTheme="minorHAnsi"/>
          <w:sz w:val="20"/>
          <w:szCs w:val="20"/>
          <w:lang w:val="es-ES"/>
        </w:rPr>
      </w:pPr>
      <w:r w:rsidRPr="005B222E">
        <w:rPr>
          <w:rFonts w:eastAsiaTheme="minorHAnsi"/>
          <w:sz w:val="20"/>
          <w:szCs w:val="20"/>
          <w:lang w:val="es-ES"/>
        </w:rPr>
        <w:t>Adoptar las medidas necesarias para garantizar que el mar</w:t>
      </w:r>
      <w:r>
        <w:rPr>
          <w:rFonts w:eastAsiaTheme="minorHAnsi"/>
          <w:sz w:val="20"/>
          <w:szCs w:val="20"/>
          <w:lang w:val="es-ES"/>
        </w:rPr>
        <w:t xml:space="preserve">co legal del estado de Florida asegurar de manera efectiva que toda persona condenada a muerte tenga el derecho de solicitar un indulto o una conmutación de la pena de acuerdo con sus derechos de petición, proceso regular y justicia. </w:t>
      </w:r>
      <w:r>
        <w:rPr>
          <w:rFonts w:eastAsiaTheme="minorHAnsi"/>
          <w:sz w:val="20"/>
          <w:szCs w:val="20"/>
          <w:lang w:val="es-ES"/>
        </w:rPr>
        <w:lastRenderedPageBreak/>
        <w:t>Ello incluye establecer un procedimiento que asegure una oportunidad efectiva y adecuada para que los prisioneros participen de los procedimientos de clemencia.</w:t>
      </w:r>
    </w:p>
    <w:p w14:paraId="5FA3D7AD" w14:textId="77777777" w:rsidR="000932C2" w:rsidRPr="00E36893" w:rsidRDefault="000932C2" w:rsidP="000932C2">
      <w:pPr>
        <w:tabs>
          <w:tab w:val="left" w:pos="360"/>
        </w:tabs>
        <w:jc w:val="both"/>
        <w:rPr>
          <w:rFonts w:eastAsia="Times New Roman" w:cs="Tahoma"/>
          <w:sz w:val="20"/>
          <w:szCs w:val="20"/>
          <w:bdr w:val="none" w:sz="0" w:space="0" w:color="auto" w:frame="1"/>
          <w:lang w:val="es-ES"/>
        </w:rPr>
      </w:pPr>
    </w:p>
    <w:p w14:paraId="2B95EC41" w14:textId="77777777" w:rsidR="000932C2" w:rsidRDefault="000932C2" w:rsidP="000932C2">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rPr>
          <w:rFonts w:eastAsia="Times New Roman" w:cs="Tahoma"/>
          <w:sz w:val="20"/>
          <w:szCs w:val="20"/>
          <w:bdr w:val="none" w:sz="0" w:space="0" w:color="auto" w:frame="1"/>
          <w:lang w:val="es-ES"/>
        </w:rPr>
      </w:pPr>
      <w:r w:rsidRPr="005B222E">
        <w:rPr>
          <w:rFonts w:eastAsia="Times New Roman" w:cs="Tahoma"/>
          <w:sz w:val="20"/>
          <w:szCs w:val="20"/>
          <w:bdr w:val="none" w:sz="0" w:space="0" w:color="auto" w:frame="1"/>
          <w:lang w:val="es-ES"/>
        </w:rPr>
        <w:t>Dadas las violaciones de la Declaración America</w:t>
      </w:r>
      <w:r>
        <w:rPr>
          <w:rFonts w:eastAsia="Times New Roman" w:cs="Tahoma"/>
          <w:sz w:val="20"/>
          <w:szCs w:val="20"/>
          <w:bdr w:val="none" w:sz="0" w:space="0" w:color="auto" w:frame="1"/>
          <w:lang w:val="es-ES"/>
        </w:rPr>
        <w:t>na que la CIDH ha establecido en este y otros casos que involucran la aplicación de la pena de muerte, la Comisión Interamericana también recomienda a los Estados Unidos que abola la pena de muerte en el estado de Florida.</w:t>
      </w:r>
    </w:p>
    <w:p w14:paraId="6317A6B4" w14:textId="77777777" w:rsidR="000932C2" w:rsidRPr="000932C2" w:rsidRDefault="000932C2" w:rsidP="000932C2">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eastAsia="Times New Roman" w:cs="Tahoma"/>
          <w:sz w:val="20"/>
          <w:szCs w:val="20"/>
          <w:bdr w:val="none" w:sz="0" w:space="0" w:color="auto" w:frame="1"/>
          <w:lang w:val="es-ES"/>
        </w:rPr>
      </w:pPr>
    </w:p>
    <w:p w14:paraId="7600D86F" w14:textId="3EF226D4" w:rsidR="000932C2" w:rsidRPr="00873D49" w:rsidRDefault="000932C2" w:rsidP="000932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ind w:left="0" w:firstLine="0"/>
        <w:jc w:val="both"/>
        <w:rPr>
          <w:rFonts w:ascii="Cambria" w:hAnsi="Cambria"/>
          <w:sz w:val="20"/>
          <w:szCs w:val="20"/>
          <w:lang w:val="es-ES"/>
        </w:rPr>
      </w:pPr>
      <w:r w:rsidRPr="00873D49">
        <w:rPr>
          <w:rFonts w:ascii="Cambria" w:hAnsi="Cambria"/>
          <w:sz w:val="20"/>
          <w:szCs w:val="20"/>
          <w:lang w:val="es-ES"/>
        </w:rPr>
        <w:t xml:space="preserve">El </w:t>
      </w:r>
      <w:r w:rsidR="00967150" w:rsidRPr="00873D49">
        <w:rPr>
          <w:rFonts w:ascii="Cambria" w:hAnsi="Cambria"/>
          <w:sz w:val="20"/>
          <w:szCs w:val="20"/>
          <w:lang w:val="es-ES"/>
        </w:rPr>
        <w:t>3 de diciembre de</w:t>
      </w:r>
      <w:r w:rsidRPr="00873D49">
        <w:rPr>
          <w:rFonts w:ascii="Cambria" w:hAnsi="Cambria"/>
          <w:sz w:val="20"/>
          <w:szCs w:val="20"/>
          <w:lang w:val="es-ES"/>
        </w:rPr>
        <w:t xml:space="preserve"> 2020 la CIDH transmitió el informe al Estado con un plazo de dos meses para informar a la Comisión sobre las medidas adoptadas para cumplir con sus recomendaciones. Hasta la fecha, la Comisión no ha recibido ninguna respuesta de Estados Unidos en relación con el informe No. </w:t>
      </w:r>
      <w:r w:rsidR="001A1FD8" w:rsidRPr="00873D49">
        <w:rPr>
          <w:rFonts w:ascii="Cambria" w:hAnsi="Cambria"/>
          <w:sz w:val="20"/>
          <w:szCs w:val="20"/>
          <w:lang w:val="es-ES"/>
        </w:rPr>
        <w:t>305</w:t>
      </w:r>
      <w:r w:rsidRPr="00873D49">
        <w:rPr>
          <w:rFonts w:ascii="Cambria" w:hAnsi="Cambria"/>
          <w:sz w:val="20"/>
          <w:szCs w:val="20"/>
          <w:lang w:val="es-ES"/>
        </w:rPr>
        <w:t>/</w:t>
      </w:r>
      <w:r w:rsidR="001A1FD8" w:rsidRPr="00873D49">
        <w:rPr>
          <w:rFonts w:ascii="Cambria" w:hAnsi="Cambria"/>
          <w:sz w:val="20"/>
          <w:szCs w:val="20"/>
          <w:lang w:val="es-ES"/>
        </w:rPr>
        <w:t>20</w:t>
      </w:r>
      <w:r w:rsidRPr="00873D49">
        <w:rPr>
          <w:rFonts w:ascii="Cambria" w:hAnsi="Cambria"/>
          <w:sz w:val="20"/>
          <w:szCs w:val="20"/>
          <w:lang w:val="es-ES"/>
        </w:rPr>
        <w:t>.</w:t>
      </w:r>
    </w:p>
    <w:p w14:paraId="0FDD8570" w14:textId="77777777" w:rsidR="00873D49" w:rsidRPr="00D006F7" w:rsidRDefault="00873D49" w:rsidP="00873D49">
      <w:pPr>
        <w:tabs>
          <w:tab w:val="left" w:pos="0"/>
          <w:tab w:val="left" w:pos="360"/>
        </w:tabs>
        <w:jc w:val="both"/>
        <w:rPr>
          <w:rFonts w:ascii="Cambria" w:hAnsi="Cambria"/>
          <w:color w:val="000000"/>
          <w:sz w:val="20"/>
          <w:szCs w:val="20"/>
          <w:lang w:val="es-ES_tradnl"/>
        </w:rPr>
      </w:pPr>
    </w:p>
    <w:p w14:paraId="4054DCC0" w14:textId="19747476" w:rsidR="00873D49" w:rsidRPr="008379F8" w:rsidRDefault="00873D49" w:rsidP="00873D49">
      <w:pPr>
        <w:pStyle w:val="Heading1"/>
        <w:tabs>
          <w:tab w:val="left" w:pos="360"/>
        </w:tabs>
        <w:spacing w:before="0"/>
        <w:ind w:hanging="720"/>
        <w:rPr>
          <w:color w:val="auto"/>
          <w:sz w:val="20"/>
          <w:szCs w:val="20"/>
          <w:lang w:val="es-ES"/>
        </w:rPr>
      </w:pPr>
      <w:bookmarkStart w:id="30" w:name="_Toc26552694"/>
      <w:bookmarkStart w:id="31" w:name="_Toc87522750"/>
      <w:bookmarkStart w:id="32" w:name="_Toc90117848"/>
      <w:bookmarkStart w:id="33" w:name="_Toc90283158"/>
      <w:bookmarkStart w:id="34" w:name="_Toc90284835"/>
      <w:bookmarkStart w:id="35" w:name="_Toc90289330"/>
      <w:bookmarkStart w:id="36" w:name="_Toc90292589"/>
      <w:r w:rsidRPr="008379F8">
        <w:rPr>
          <w:color w:val="auto"/>
          <w:sz w:val="20"/>
          <w:szCs w:val="20"/>
          <w:lang w:val="es-ES"/>
        </w:rPr>
        <w:t>ACCIONES POSTERIORES AL INFORME No. 331/</w:t>
      </w:r>
      <w:bookmarkEnd w:id="30"/>
      <w:r w:rsidRPr="008379F8">
        <w:rPr>
          <w:color w:val="auto"/>
          <w:sz w:val="20"/>
          <w:szCs w:val="20"/>
          <w:lang w:val="es-ES"/>
        </w:rPr>
        <w:t>2</w:t>
      </w:r>
      <w:bookmarkEnd w:id="31"/>
      <w:r w:rsidRPr="008379F8">
        <w:rPr>
          <w:color w:val="auto"/>
          <w:sz w:val="20"/>
          <w:szCs w:val="20"/>
          <w:lang w:val="es-ES"/>
        </w:rPr>
        <w:t>1</w:t>
      </w:r>
      <w:bookmarkEnd w:id="32"/>
      <w:bookmarkEnd w:id="33"/>
      <w:bookmarkEnd w:id="34"/>
      <w:bookmarkEnd w:id="35"/>
      <w:bookmarkEnd w:id="36"/>
    </w:p>
    <w:p w14:paraId="12A57B08" w14:textId="77777777" w:rsidR="00873D49" w:rsidRPr="008379F8" w:rsidRDefault="00873D49" w:rsidP="00873D49">
      <w:pPr>
        <w:tabs>
          <w:tab w:val="left" w:pos="0"/>
          <w:tab w:val="left" w:pos="360"/>
        </w:tabs>
        <w:jc w:val="both"/>
        <w:rPr>
          <w:lang w:val="es-AR"/>
        </w:rPr>
      </w:pPr>
    </w:p>
    <w:p w14:paraId="716DAE1B" w14:textId="2CF4B13C" w:rsidR="00873D49" w:rsidRPr="008379F8" w:rsidRDefault="00873D49" w:rsidP="00873D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 w:val="left" w:pos="540"/>
        </w:tabs>
        <w:ind w:left="0" w:firstLine="0"/>
        <w:jc w:val="both"/>
        <w:rPr>
          <w:rFonts w:ascii="Cambria" w:hAnsi="Cambria"/>
          <w:sz w:val="20"/>
          <w:szCs w:val="20"/>
          <w:lang w:val="es-UY"/>
        </w:rPr>
      </w:pPr>
      <w:r w:rsidRPr="006E3733">
        <w:rPr>
          <w:rFonts w:asciiTheme="majorHAnsi" w:hAnsiTheme="majorHAnsi"/>
          <w:color w:val="000000" w:themeColor="text1"/>
          <w:sz w:val="20"/>
          <w:szCs w:val="20"/>
          <w:lang w:val="es-US"/>
        </w:rPr>
        <w:t>El</w:t>
      </w:r>
      <w:r w:rsidRPr="008379F8">
        <w:rPr>
          <w:rFonts w:ascii="Cambria" w:hAnsi="Cambria"/>
          <w:sz w:val="20"/>
          <w:szCs w:val="20"/>
          <w:lang w:val="es-UY"/>
        </w:rPr>
        <w:t xml:space="preserve"> 19 de noviembre de 2021, la Comisión aprobó el Informe de Fondo Final No. 331/21, que abarca los párrafos 1 a 83 </w:t>
      </w:r>
      <w:r w:rsidRPr="008379F8">
        <w:rPr>
          <w:rFonts w:ascii="Cambria" w:hAnsi="Cambria"/>
          <w:i/>
          <w:sz w:val="20"/>
          <w:szCs w:val="20"/>
          <w:lang w:val="es-UY"/>
        </w:rPr>
        <w:t>supra</w:t>
      </w:r>
      <w:r w:rsidRPr="008379F8">
        <w:rPr>
          <w:rFonts w:ascii="Cambria" w:hAnsi="Cambria"/>
          <w:sz w:val="20"/>
          <w:szCs w:val="20"/>
          <w:lang w:val="es-UY"/>
        </w:rPr>
        <w:t>, y emitió sus conclusiones y recomendaciones finales al Estado. El 2 de diciembre de 2021, la Comisión transmitió el informe al Estado y a los peticionarios con un plazo de tres semanas para informar a la Comisión Interamericana sobre las medidas adoptadas para dar cumplimiento a sus recomendaciones. Hasta la fecha, la CIDH no ha recibido respuesta de los Estados Unidos ni de los peticionarios en relación con el Informe 331/21.</w:t>
      </w:r>
    </w:p>
    <w:p w14:paraId="7033D775" w14:textId="77777777" w:rsidR="00873D49" w:rsidRPr="00E36893" w:rsidRDefault="00873D49" w:rsidP="00EC55EA">
      <w:pPr>
        <w:rPr>
          <w:rFonts w:asciiTheme="majorHAnsi" w:hAnsiTheme="majorHAnsi"/>
          <w:sz w:val="20"/>
          <w:szCs w:val="20"/>
          <w:lang w:val="es-ES"/>
        </w:rPr>
      </w:pPr>
    </w:p>
    <w:p w14:paraId="7CE279F5" w14:textId="646B9726" w:rsidR="00C55560" w:rsidRPr="00873D49" w:rsidRDefault="001A45C1" w:rsidP="001A1FD8">
      <w:pPr>
        <w:pStyle w:val="Heading1"/>
        <w:tabs>
          <w:tab w:val="left" w:pos="360"/>
        </w:tabs>
        <w:spacing w:before="0"/>
        <w:ind w:hanging="720"/>
        <w:rPr>
          <w:color w:val="auto"/>
          <w:sz w:val="20"/>
          <w:szCs w:val="20"/>
          <w:lang w:val="es-ES_tradnl"/>
        </w:rPr>
      </w:pPr>
      <w:bookmarkStart w:id="37" w:name="_Toc90292590"/>
      <w:r w:rsidRPr="00873D49">
        <w:rPr>
          <w:color w:val="auto"/>
          <w:sz w:val="20"/>
          <w:szCs w:val="20"/>
          <w:lang w:val="es-ES_tradnl"/>
        </w:rPr>
        <w:t>CONCLUSIONES Y RECOMENDACIONES</w:t>
      </w:r>
      <w:r w:rsidR="000932C2" w:rsidRPr="00873D49">
        <w:rPr>
          <w:color w:val="auto"/>
          <w:sz w:val="20"/>
          <w:szCs w:val="20"/>
          <w:lang w:val="es-ES_tradnl"/>
        </w:rPr>
        <w:t xml:space="preserve"> FINALES</w:t>
      </w:r>
      <w:bookmarkEnd w:id="37"/>
    </w:p>
    <w:p w14:paraId="176DAF22" w14:textId="77777777" w:rsidR="00BC5766" w:rsidRPr="00873D49" w:rsidRDefault="00BC5766" w:rsidP="00EC55EA">
      <w:pPr>
        <w:rPr>
          <w:lang w:val="es-ES_tradnl"/>
        </w:rPr>
      </w:pPr>
    </w:p>
    <w:p w14:paraId="65E45A08" w14:textId="77777777" w:rsidR="005B2F88" w:rsidRPr="00873D49" w:rsidRDefault="005B2F88" w:rsidP="000932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ind w:left="0" w:firstLine="0"/>
        <w:jc w:val="both"/>
        <w:rPr>
          <w:rFonts w:ascii="Cambria" w:hAnsi="Cambria"/>
          <w:sz w:val="20"/>
          <w:szCs w:val="20"/>
          <w:lang w:val="es-ES_tradnl"/>
        </w:rPr>
      </w:pPr>
      <w:r w:rsidRPr="00873D49">
        <w:rPr>
          <w:rFonts w:ascii="Cambria" w:hAnsi="Cambria"/>
          <w:sz w:val="20"/>
          <w:szCs w:val="20"/>
          <w:lang w:val="es-ES_tradnl"/>
        </w:rPr>
        <w:t>Con base en determinaciones de hecho y de derecho, la Comisión Interamericana concluye que el Estado es responsable por la violación de los artículos I (vida, libertad y seguridad), XVIII (justicia), XXIV (petición), XXV (protección contra la detención arbitraria), y XXVI (proceso regular) de la Declaración Americana.</w:t>
      </w:r>
    </w:p>
    <w:p w14:paraId="045EC4F8" w14:textId="77777777" w:rsidR="00DE01CB" w:rsidRPr="00873D49" w:rsidRDefault="00DE01CB" w:rsidP="00EC55EA">
      <w:pPr>
        <w:tabs>
          <w:tab w:val="left" w:pos="360"/>
        </w:tabs>
        <w:jc w:val="both"/>
        <w:rPr>
          <w:rFonts w:ascii="Cambria" w:hAnsi="Cambria"/>
          <w:b/>
          <w:sz w:val="20"/>
          <w:szCs w:val="20"/>
          <w:lang w:val="es-ES_tradnl"/>
        </w:rPr>
      </w:pPr>
    </w:p>
    <w:p w14:paraId="42B70C53" w14:textId="3988A705" w:rsidR="00BC5766" w:rsidRPr="00873D49" w:rsidRDefault="001A45C1" w:rsidP="00EC55EA">
      <w:pPr>
        <w:tabs>
          <w:tab w:val="left" w:pos="360"/>
        </w:tabs>
        <w:jc w:val="both"/>
        <w:rPr>
          <w:rFonts w:ascii="Cambria" w:hAnsi="Cambria"/>
          <w:b/>
          <w:sz w:val="20"/>
          <w:szCs w:val="20"/>
          <w:lang w:val="es-ES_tradnl"/>
        </w:rPr>
      </w:pPr>
      <w:r w:rsidRPr="00873D49">
        <w:rPr>
          <w:rFonts w:ascii="Cambria" w:hAnsi="Cambria"/>
          <w:b/>
          <w:sz w:val="20"/>
          <w:szCs w:val="20"/>
          <w:lang w:val="es-ES_tradnl"/>
        </w:rPr>
        <w:t xml:space="preserve">LA </w:t>
      </w:r>
      <w:r w:rsidR="00873D49" w:rsidRPr="00873D49">
        <w:rPr>
          <w:rFonts w:ascii="Cambria" w:hAnsi="Cambria"/>
          <w:b/>
          <w:sz w:val="20"/>
          <w:szCs w:val="20"/>
          <w:lang w:val="es-ES_tradnl"/>
        </w:rPr>
        <w:t>COMISIÓN</w:t>
      </w:r>
      <w:r w:rsidRPr="00873D49">
        <w:rPr>
          <w:rFonts w:ascii="Cambria" w:hAnsi="Cambria"/>
          <w:b/>
          <w:sz w:val="20"/>
          <w:szCs w:val="20"/>
          <w:lang w:val="es-ES_tradnl"/>
        </w:rPr>
        <w:t xml:space="preserve"> INTERAMERICANA DE DERECHOS HUMANOS RE</w:t>
      </w:r>
      <w:r w:rsidR="000932C2" w:rsidRPr="00873D49">
        <w:rPr>
          <w:rFonts w:ascii="Cambria" w:hAnsi="Cambria"/>
          <w:b/>
          <w:sz w:val="20"/>
          <w:szCs w:val="20"/>
          <w:lang w:val="es-ES_tradnl"/>
        </w:rPr>
        <w:t>ITERA</w:t>
      </w:r>
      <w:r w:rsidRPr="00873D49">
        <w:rPr>
          <w:rFonts w:ascii="Cambria" w:hAnsi="Cambria"/>
          <w:b/>
          <w:sz w:val="20"/>
          <w:szCs w:val="20"/>
          <w:lang w:val="es-ES_tradnl"/>
        </w:rPr>
        <w:t xml:space="preserve"> QUE LOS ESTADOS UNIDOS DE </w:t>
      </w:r>
      <w:r w:rsidR="00873D49" w:rsidRPr="00873D49">
        <w:rPr>
          <w:rFonts w:ascii="Cambria" w:hAnsi="Cambria"/>
          <w:b/>
          <w:sz w:val="20"/>
          <w:szCs w:val="20"/>
          <w:lang w:val="es-ES_tradnl"/>
        </w:rPr>
        <w:t>AMÉRICA</w:t>
      </w:r>
      <w:r w:rsidR="00BC5766" w:rsidRPr="00873D49">
        <w:rPr>
          <w:rFonts w:ascii="Cambria" w:hAnsi="Cambria"/>
          <w:b/>
          <w:sz w:val="20"/>
          <w:szCs w:val="20"/>
          <w:lang w:val="es-ES_tradnl"/>
        </w:rPr>
        <w:t>,</w:t>
      </w:r>
    </w:p>
    <w:p w14:paraId="0360A8C5" w14:textId="77777777" w:rsidR="00AA3C9F" w:rsidRPr="001A45C1" w:rsidRDefault="00AA3C9F" w:rsidP="00EC55EA">
      <w:pPr>
        <w:rPr>
          <w:lang w:val="es-ES"/>
        </w:rPr>
      </w:pPr>
    </w:p>
    <w:p w14:paraId="2E372E29" w14:textId="3ECDFEC0" w:rsidR="005B2F88" w:rsidRPr="005B2F88" w:rsidRDefault="005B2F88" w:rsidP="000932C2">
      <w:pPr>
        <w:pStyle w:val="ListParagraph"/>
        <w:numPr>
          <w:ilvl w:val="3"/>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jc w:val="both"/>
        <w:rPr>
          <w:rFonts w:eastAsia="Times New Roman" w:cs="Tahoma"/>
          <w:sz w:val="20"/>
          <w:szCs w:val="20"/>
          <w:bdr w:val="none" w:sz="0" w:space="0" w:color="auto" w:frame="1"/>
          <w:lang w:val="es-ES"/>
        </w:rPr>
      </w:pPr>
      <w:r w:rsidRPr="005B2F88">
        <w:rPr>
          <w:rFonts w:eastAsia="Times New Roman" w:cs="Tahoma"/>
          <w:sz w:val="20"/>
          <w:szCs w:val="20"/>
          <w:bdr w:val="none" w:sz="0" w:space="0" w:color="auto" w:frame="1"/>
          <w:lang w:val="es-ES"/>
        </w:rPr>
        <w:t>Provea reparaciones a la familia de Manuel Valle como consecuencia de las violaciones establecidas en este informe.</w:t>
      </w:r>
    </w:p>
    <w:p w14:paraId="15F2B543" w14:textId="77777777" w:rsidR="008E6153" w:rsidRPr="00E36893" w:rsidRDefault="008E6153" w:rsidP="008E6153">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jc w:val="both"/>
        <w:rPr>
          <w:rFonts w:eastAsia="Times New Roman" w:cs="Tahoma"/>
          <w:sz w:val="20"/>
          <w:szCs w:val="20"/>
          <w:bdr w:val="none" w:sz="0" w:space="0" w:color="auto" w:frame="1"/>
          <w:lang w:val="es-ES"/>
        </w:rPr>
      </w:pPr>
    </w:p>
    <w:p w14:paraId="1B208111" w14:textId="77777777" w:rsidR="005B2F88" w:rsidRPr="005B2F88" w:rsidRDefault="005B2F88" w:rsidP="000932C2">
      <w:pPr>
        <w:pStyle w:val="ListParagraph"/>
        <w:numPr>
          <w:ilvl w:val="3"/>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jc w:val="both"/>
        <w:rPr>
          <w:rFonts w:eastAsia="Times New Roman" w:cs="Tahoma"/>
          <w:sz w:val="20"/>
          <w:szCs w:val="20"/>
          <w:bdr w:val="none" w:sz="0" w:space="0" w:color="auto" w:frame="1"/>
          <w:lang w:val="es-ES"/>
        </w:rPr>
      </w:pPr>
      <w:r w:rsidRPr="005B2F88">
        <w:rPr>
          <w:rFonts w:eastAsia="Times New Roman" w:cs="Tahoma"/>
          <w:sz w:val="20"/>
          <w:szCs w:val="20"/>
          <w:bdr w:val="none" w:sz="0" w:space="0" w:color="auto" w:frame="1"/>
          <w:lang w:val="es-ES"/>
        </w:rPr>
        <w:t>Asegure el cumplimiento de las medidas cautelares conce</w:t>
      </w:r>
      <w:r>
        <w:rPr>
          <w:rFonts w:eastAsia="Times New Roman" w:cs="Tahoma"/>
          <w:sz w:val="20"/>
          <w:szCs w:val="20"/>
          <w:bdr w:val="none" w:sz="0" w:space="0" w:color="auto" w:frame="1"/>
          <w:lang w:val="es-ES"/>
        </w:rPr>
        <w:t>didas por la CIDH a personas que enfrentan la pena de muerte.</w:t>
      </w:r>
    </w:p>
    <w:p w14:paraId="490425B8" w14:textId="77777777" w:rsidR="002237F3" w:rsidRPr="00E36893" w:rsidRDefault="002237F3" w:rsidP="00DE4E1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eastAsia="Times New Roman" w:cs="Tahoma"/>
          <w:sz w:val="20"/>
          <w:szCs w:val="20"/>
          <w:bdr w:val="none" w:sz="0" w:space="0" w:color="auto" w:frame="1"/>
          <w:lang w:val="es-ES"/>
        </w:rPr>
      </w:pPr>
    </w:p>
    <w:p w14:paraId="3F27D4B1" w14:textId="77777777" w:rsidR="005B2F88" w:rsidRPr="005B2F88" w:rsidRDefault="005B2F88" w:rsidP="000932C2">
      <w:pPr>
        <w:pStyle w:val="ListParagraph"/>
        <w:numPr>
          <w:ilvl w:val="3"/>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jc w:val="both"/>
        <w:rPr>
          <w:rFonts w:eastAsia="Times New Roman" w:cs="Tahoma"/>
          <w:sz w:val="20"/>
          <w:szCs w:val="20"/>
          <w:bdr w:val="none" w:sz="0" w:space="0" w:color="auto" w:frame="1"/>
          <w:lang w:val="es-ES"/>
        </w:rPr>
      </w:pPr>
      <w:r w:rsidRPr="005B2F88">
        <w:rPr>
          <w:rFonts w:eastAsia="Times New Roman" w:cs="Tahoma"/>
          <w:sz w:val="20"/>
          <w:szCs w:val="20"/>
          <w:bdr w:val="none" w:sz="0" w:space="0" w:color="auto" w:frame="1"/>
          <w:lang w:val="es-ES"/>
        </w:rPr>
        <w:t xml:space="preserve">Revise sus leyes, procedimientos y </w:t>
      </w:r>
      <w:r>
        <w:rPr>
          <w:rFonts w:eastAsia="Times New Roman" w:cs="Tahoma"/>
          <w:sz w:val="20"/>
          <w:szCs w:val="20"/>
          <w:bdr w:val="none" w:sz="0" w:space="0" w:color="auto" w:frame="1"/>
          <w:lang w:val="es-ES"/>
        </w:rPr>
        <w:t>prácticas en el nivel federal para asegurar que las personas acusadas de delitos susceptibles de recibir condena de muerta sean juzgadas y, si son halladas culpables, condenadas de acuerdo con los derechos establecidos en la Declaración Americana,</w:t>
      </w:r>
      <w:r w:rsidRPr="00EC55EA">
        <w:rPr>
          <w:rStyle w:val="FootnoteReference"/>
          <w:sz w:val="20"/>
        </w:rPr>
        <w:footnoteReference w:id="70"/>
      </w:r>
      <w:r>
        <w:rPr>
          <w:rFonts w:eastAsia="Times New Roman" w:cs="Tahoma"/>
          <w:sz w:val="20"/>
          <w:szCs w:val="20"/>
          <w:bdr w:val="none" w:sz="0" w:space="0" w:color="auto" w:frame="1"/>
          <w:lang w:val="es-ES"/>
        </w:rPr>
        <w:t xml:space="preserve"> incluyendo sus artículos</w:t>
      </w:r>
      <w:r w:rsidRPr="005B2F88">
        <w:rPr>
          <w:sz w:val="20"/>
          <w:lang w:val="es-ES"/>
        </w:rPr>
        <w:t xml:space="preserve"> I, XVIII, XXIV, XXV and XXVI</w:t>
      </w:r>
      <w:r>
        <w:rPr>
          <w:sz w:val="20"/>
          <w:lang w:val="es-ES"/>
        </w:rPr>
        <w:t xml:space="preserve"> y en particular:</w:t>
      </w:r>
    </w:p>
    <w:p w14:paraId="761763C3" w14:textId="77777777" w:rsidR="000060AC" w:rsidRPr="00E36893" w:rsidRDefault="000060AC" w:rsidP="00EC55EA">
      <w:pPr>
        <w:pStyle w:val="ListParagraph"/>
        <w:rPr>
          <w:rFonts w:asciiTheme="majorHAnsi" w:eastAsia="Times New Roman" w:hAnsiTheme="majorHAnsi" w:cs="Tahoma"/>
          <w:sz w:val="20"/>
          <w:szCs w:val="20"/>
          <w:bdr w:val="none" w:sz="0" w:space="0" w:color="auto"/>
          <w:lang w:val="es-ES"/>
        </w:rPr>
      </w:pPr>
    </w:p>
    <w:p w14:paraId="7A5B2B65" w14:textId="056BCA13" w:rsidR="000060AC" w:rsidRPr="003B4B47" w:rsidRDefault="005B222E" w:rsidP="003B4B47">
      <w:pPr>
        <w:pStyle w:val="ListParagraph"/>
        <w:numPr>
          <w:ilvl w:val="4"/>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1080"/>
        <w:jc w:val="both"/>
        <w:rPr>
          <w:rFonts w:eastAsia="Times New Roman" w:cs="Tahoma"/>
          <w:sz w:val="20"/>
          <w:szCs w:val="20"/>
          <w:bdr w:val="none" w:sz="0" w:space="0" w:color="auto" w:frame="1"/>
          <w:lang w:val="es-ES"/>
        </w:rPr>
      </w:pPr>
      <w:r w:rsidRPr="003B4B47">
        <w:rPr>
          <w:rFonts w:eastAsia="Times New Roman" w:cs="Tahoma"/>
          <w:sz w:val="20"/>
          <w:szCs w:val="20"/>
          <w:bdr w:val="none" w:sz="0" w:space="0" w:color="auto" w:frame="1"/>
          <w:lang w:val="es-ES"/>
        </w:rPr>
        <w:t>Asegurar que todo ciudadano extranjero privado de su libertad sea informado, sin demora y antes de su primera declaración, del derecho a solicitar que sus autoridades consulares sean inmediatamente notificadas de su arresto o detención; y</w:t>
      </w:r>
    </w:p>
    <w:p w14:paraId="169CAFC4" w14:textId="77777777" w:rsidR="000060AC" w:rsidRPr="00E36893" w:rsidRDefault="000060AC" w:rsidP="00EC55EA">
      <w:pPr>
        <w:pStyle w:val="ListParagraph"/>
        <w:ind w:left="1080"/>
        <w:rPr>
          <w:sz w:val="20"/>
          <w:szCs w:val="20"/>
          <w:bdr w:val="none" w:sz="0" w:space="0" w:color="auto" w:frame="1"/>
          <w:lang w:val="es-ES"/>
        </w:rPr>
      </w:pPr>
    </w:p>
    <w:p w14:paraId="140F9F3D" w14:textId="77777777" w:rsidR="005B222E" w:rsidRPr="005B222E" w:rsidRDefault="005B222E" w:rsidP="0075074D">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1080"/>
        <w:jc w:val="both"/>
        <w:rPr>
          <w:rFonts w:eastAsiaTheme="minorHAnsi"/>
          <w:sz w:val="20"/>
          <w:szCs w:val="20"/>
          <w:lang w:val="es-ES"/>
        </w:rPr>
      </w:pPr>
      <w:r w:rsidRPr="005B222E">
        <w:rPr>
          <w:rFonts w:eastAsiaTheme="minorHAnsi"/>
          <w:sz w:val="20"/>
          <w:szCs w:val="20"/>
          <w:lang w:val="es-ES"/>
        </w:rPr>
        <w:t>Adoptar las medidas necesarias para garantizar que el mar</w:t>
      </w:r>
      <w:r>
        <w:rPr>
          <w:rFonts w:eastAsiaTheme="minorHAnsi"/>
          <w:sz w:val="20"/>
          <w:szCs w:val="20"/>
          <w:lang w:val="es-ES"/>
        </w:rPr>
        <w:t>co legal del estado de Florida asegurar de manera efectiva que toda persona condenada a muerte tenga el derecho de solicitar un indulto o una conmutación de la pena de acuerdo con sus derechos de petición, proceso regular y justicia. Ello incluye establecer un procedimiento que asegure una oportunidad efectiva y adecuada para que los prisioneros participen de los procedimientos de clemencia.</w:t>
      </w:r>
    </w:p>
    <w:p w14:paraId="365CA101" w14:textId="77777777" w:rsidR="00AA3C9F" w:rsidRPr="00E36893" w:rsidRDefault="00AA3C9F" w:rsidP="00EC55EA">
      <w:pPr>
        <w:tabs>
          <w:tab w:val="left" w:pos="360"/>
        </w:tabs>
        <w:jc w:val="both"/>
        <w:rPr>
          <w:rFonts w:eastAsia="Times New Roman" w:cs="Tahoma"/>
          <w:sz w:val="20"/>
          <w:szCs w:val="20"/>
          <w:bdr w:val="none" w:sz="0" w:space="0" w:color="auto" w:frame="1"/>
          <w:lang w:val="es-ES"/>
        </w:rPr>
      </w:pPr>
    </w:p>
    <w:p w14:paraId="5DCBD8E6" w14:textId="6A845EA6" w:rsidR="000932C2" w:rsidRPr="008379F8" w:rsidRDefault="005B222E" w:rsidP="00873D49">
      <w:pPr>
        <w:pStyle w:val="ListParagraph"/>
        <w:numPr>
          <w:ilvl w:val="3"/>
          <w:numId w:val="6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jc w:val="both"/>
        <w:rPr>
          <w:rFonts w:eastAsia="Times New Roman" w:cs="Tahoma"/>
          <w:sz w:val="20"/>
          <w:szCs w:val="20"/>
          <w:bdr w:val="none" w:sz="0" w:space="0" w:color="auto" w:frame="1"/>
          <w:lang w:val="es-ES"/>
        </w:rPr>
      </w:pPr>
      <w:r w:rsidRPr="003B4B47">
        <w:rPr>
          <w:rFonts w:eastAsia="Times New Roman" w:cs="Tahoma"/>
          <w:sz w:val="20"/>
          <w:szCs w:val="20"/>
          <w:bdr w:val="none" w:sz="0" w:space="0" w:color="auto" w:frame="1"/>
          <w:lang w:val="es-ES"/>
        </w:rPr>
        <w:lastRenderedPageBreak/>
        <w:t xml:space="preserve">Dadas las violaciones de la Declaración Americana que la CIDH ha establecido en este y otros casos que involucran la aplicación de la pena de muerte, la Comisión Interamericana también recomienda a los Estados Unidos que abola la pena de muerte en el estado </w:t>
      </w:r>
      <w:r w:rsidRPr="008379F8">
        <w:rPr>
          <w:rFonts w:eastAsia="Times New Roman" w:cs="Tahoma"/>
          <w:sz w:val="20"/>
          <w:szCs w:val="20"/>
          <w:bdr w:val="none" w:sz="0" w:space="0" w:color="auto" w:frame="1"/>
          <w:lang w:val="es-ES"/>
        </w:rPr>
        <w:t>de Florida.</w:t>
      </w:r>
    </w:p>
    <w:p w14:paraId="4F0805FF" w14:textId="77777777" w:rsidR="00873D49" w:rsidRPr="008379F8" w:rsidRDefault="00873D49" w:rsidP="00873D49">
      <w:pPr>
        <w:jc w:val="both"/>
        <w:rPr>
          <w:rFonts w:ascii="Cambria" w:eastAsia="Times New Roman" w:hAnsi="Cambria" w:cs="Tahoma"/>
          <w:color w:val="000000"/>
          <w:sz w:val="20"/>
          <w:szCs w:val="20"/>
          <w:u w:color="000000"/>
          <w:bdr w:val="none" w:sz="0" w:space="0" w:color="auto" w:frame="1"/>
          <w:lang w:val="es-ES_tradnl" w:eastAsia="es-ES"/>
        </w:rPr>
      </w:pPr>
    </w:p>
    <w:p w14:paraId="01DAE201" w14:textId="77777777" w:rsidR="00873D49" w:rsidRPr="008379F8" w:rsidRDefault="00873D49" w:rsidP="00873D49">
      <w:pPr>
        <w:pStyle w:val="Heading1"/>
        <w:tabs>
          <w:tab w:val="left" w:pos="360"/>
        </w:tabs>
        <w:spacing w:before="0"/>
        <w:ind w:hanging="720"/>
        <w:rPr>
          <w:color w:val="auto"/>
          <w:sz w:val="20"/>
          <w:szCs w:val="20"/>
          <w:lang w:val="es-ES"/>
        </w:rPr>
      </w:pPr>
      <w:bookmarkStart w:id="38" w:name="_Toc26552696"/>
      <w:bookmarkStart w:id="39" w:name="_Toc87522752"/>
      <w:bookmarkStart w:id="40" w:name="_Toc90117850"/>
      <w:bookmarkStart w:id="41" w:name="_Toc90283160"/>
      <w:bookmarkStart w:id="42" w:name="_Toc90284837"/>
      <w:bookmarkStart w:id="43" w:name="_Toc90289332"/>
      <w:bookmarkStart w:id="44" w:name="_Toc90292591"/>
      <w:r w:rsidRPr="008379F8">
        <w:rPr>
          <w:color w:val="auto"/>
          <w:sz w:val="20"/>
          <w:szCs w:val="20"/>
          <w:lang w:val="es-ES"/>
        </w:rPr>
        <w:t>PUBLICACIÓN</w:t>
      </w:r>
      <w:bookmarkEnd w:id="38"/>
      <w:bookmarkEnd w:id="39"/>
      <w:bookmarkEnd w:id="40"/>
      <w:bookmarkEnd w:id="41"/>
      <w:bookmarkEnd w:id="42"/>
      <w:bookmarkEnd w:id="43"/>
      <w:bookmarkEnd w:id="44"/>
    </w:p>
    <w:p w14:paraId="451CF616" w14:textId="77777777" w:rsidR="00873D49" w:rsidRPr="008379F8" w:rsidRDefault="00873D49" w:rsidP="00873D49">
      <w:pPr>
        <w:ind w:left="360"/>
        <w:jc w:val="both"/>
        <w:rPr>
          <w:lang w:val="es-UY"/>
        </w:rPr>
      </w:pPr>
    </w:p>
    <w:p w14:paraId="03198CE7" w14:textId="77777777" w:rsidR="00873D49" w:rsidRPr="008379F8" w:rsidRDefault="00873D49" w:rsidP="00873D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Cambria" w:hAnsi="Cambria"/>
          <w:color w:val="000000"/>
          <w:sz w:val="20"/>
          <w:szCs w:val="20"/>
          <w:lang w:val="es-AR"/>
        </w:rPr>
      </w:pPr>
      <w:r w:rsidRPr="008379F8">
        <w:rPr>
          <w:rFonts w:asciiTheme="majorHAnsi" w:hAnsiTheme="majorHAnsi"/>
          <w:color w:val="000000" w:themeColor="text1"/>
          <w:sz w:val="20"/>
          <w:szCs w:val="20"/>
          <w:lang w:val="es-ES"/>
        </w:rPr>
        <w:t>En</w:t>
      </w:r>
      <w:r w:rsidRPr="008379F8">
        <w:rPr>
          <w:rFonts w:ascii="Cambria" w:hAnsi="Cambria"/>
          <w:color w:val="000000"/>
          <w:sz w:val="20"/>
          <w:szCs w:val="20"/>
          <w:lang w:val="es-AR"/>
        </w:rPr>
        <w:t xml:space="preserve"> vista de lo anterior y de conformidad con el artículo 47.3 de su Reglamento, la CIDH decide hacer público el presente informe e incluirlo en su Informe Anual a la Asamblea General de la Organización de los Estados Americanos. La Comisión Interamericana, de acuerdo con las normas contenidas en los instrumentos que rigen su mandato, continuará evaluando las medidas adoptadas por los Estados Unidos con respecto a las referidas recomendaciones hasta que determine que se han cumplido plenamente.</w:t>
      </w:r>
    </w:p>
    <w:p w14:paraId="31211914" w14:textId="20617562" w:rsidR="000932C2" w:rsidRDefault="000932C2" w:rsidP="000932C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eastAsia="Times New Roman" w:cs="Tahoma"/>
          <w:sz w:val="20"/>
          <w:szCs w:val="20"/>
          <w:bdr w:val="none" w:sz="0" w:space="0" w:color="auto" w:frame="1"/>
          <w:lang w:val="es-ES"/>
        </w:rPr>
      </w:pPr>
    </w:p>
    <w:p w14:paraId="0B1E7D6A" w14:textId="26B62581" w:rsidR="009F7EDD" w:rsidRPr="006E3733" w:rsidRDefault="009F7EDD" w:rsidP="006E3733">
      <w:pPr>
        <w:pStyle w:val="xmsonormal"/>
        <w:spacing w:before="0" w:beforeAutospacing="0" w:after="0" w:afterAutospacing="0"/>
        <w:jc w:val="both"/>
        <w:rPr>
          <w:rFonts w:ascii="Calibri" w:hAnsi="Calibri" w:cs="Calibri"/>
          <w:color w:val="201F1E"/>
          <w:sz w:val="22"/>
          <w:szCs w:val="22"/>
        </w:rPr>
      </w:pPr>
      <w:r>
        <w:rPr>
          <w:rFonts w:ascii="Cambria" w:hAnsi="Cambria" w:cs="Calibri"/>
          <w:color w:val="201F1E"/>
          <w:spacing w:val="-2"/>
          <w:sz w:val="20"/>
          <w:szCs w:val="20"/>
          <w:bdr w:val="none" w:sz="0" w:space="0" w:color="auto" w:frame="1"/>
          <w:lang w:val="es-CL"/>
        </w:rPr>
        <w:t>Aprobado por la Comisión Interamericana de Derechos Humanos a los</w:t>
      </w:r>
      <w:r>
        <w:rPr>
          <w:rStyle w:val="apple-converted-space"/>
          <w:rFonts w:ascii="Cambria" w:eastAsia="Trebuchet MS" w:hAnsi="Cambria" w:cs="Calibri"/>
          <w:color w:val="201F1E"/>
          <w:spacing w:val="-2"/>
          <w:sz w:val="20"/>
          <w:szCs w:val="20"/>
          <w:bdr w:val="none" w:sz="0" w:space="0" w:color="auto" w:frame="1"/>
          <w:lang w:val="es-CL"/>
        </w:rPr>
        <w:t xml:space="preserve"> 31 días del mes de diciembre de 2021. </w:t>
      </w:r>
      <w:r>
        <w:rPr>
          <w:rFonts w:ascii="Cambria" w:hAnsi="Cambria" w:cs="Calibri"/>
          <w:color w:val="201F1E"/>
          <w:spacing w:val="-2"/>
          <w:sz w:val="20"/>
          <w:szCs w:val="20"/>
          <w:bdr w:val="none" w:sz="0" w:space="0" w:color="auto" w:frame="1"/>
          <w:lang w:val="es-CL"/>
        </w:rPr>
        <w:t>(Firmado): Antonia Urrejola Noguera, Presidenta; Julissa Mantilla Falcón, Primera Vicepresidenta; Flávia Piovesan, Segunda Vicepresidenta; Margarette May Macaulay, Esmeralda E. Arosemena de Troitiño, Joel Hernández Gracía y Edgar Stuardo Ralón Orellana, Miembros de la Comisión.</w:t>
      </w:r>
    </w:p>
    <w:sectPr w:rsidR="009F7EDD" w:rsidRPr="006E3733" w:rsidSect="006311DA">
      <w:footerReference w:type="first" r:id="rId15"/>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3743E" w14:textId="77777777" w:rsidR="000F4996" w:rsidRDefault="000F4996" w:rsidP="00036A8A">
      <w:r>
        <w:separator/>
      </w:r>
    </w:p>
  </w:endnote>
  <w:endnote w:type="continuationSeparator" w:id="0">
    <w:p w14:paraId="22AE9BCF" w14:textId="77777777" w:rsidR="000F4996" w:rsidRDefault="000F4996"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Univers">
    <w:panose1 w:val="020B0603020202030204"/>
    <w:charset w:val="00"/>
    <w:family w:val="swiss"/>
    <w:pitch w:val="variable"/>
    <w:sig w:usb0="8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ans-Regular">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3B651C25" w14:textId="77777777" w:rsidR="00873D49" w:rsidRPr="006311DA" w:rsidRDefault="00873D49">
        <w:pPr>
          <w:pStyle w:val="Footer"/>
          <w:jc w:val="center"/>
          <w:rPr>
            <w:sz w:val="16"/>
          </w:rPr>
        </w:pPr>
        <w:r>
          <w:fldChar w:fldCharType="begin"/>
        </w:r>
        <w:r>
          <w:instrText xml:space="preserve"> PAGE   \* MERGEFORMAT </w:instrText>
        </w:r>
        <w:r>
          <w:fldChar w:fldCharType="separate"/>
        </w:r>
        <w:r w:rsidRPr="001B6216">
          <w:rPr>
            <w:noProof/>
            <w:sz w:val="16"/>
          </w:rPr>
          <w:t>3</w:t>
        </w:r>
        <w:r>
          <w:rPr>
            <w:noProof/>
            <w:sz w:val="16"/>
          </w:rPr>
          <w:fldChar w:fldCharType="end"/>
        </w:r>
      </w:p>
    </w:sdtContent>
  </w:sdt>
  <w:p w14:paraId="30F58990" w14:textId="77777777" w:rsidR="00873D49" w:rsidRDefault="00873D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92BAC" w14:textId="77777777" w:rsidR="00873D49" w:rsidRDefault="00873D49">
    <w:pPr>
      <w:pStyle w:val="Footer"/>
      <w:jc w:val="center"/>
    </w:pPr>
  </w:p>
  <w:p w14:paraId="6F1D0D1E" w14:textId="77777777" w:rsidR="00873D49" w:rsidRDefault="00873D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89080"/>
      <w:docPartObj>
        <w:docPartGallery w:val="Page Numbers (Bottom of Page)"/>
        <w:docPartUnique/>
      </w:docPartObj>
    </w:sdtPr>
    <w:sdtEndPr>
      <w:rPr>
        <w:noProof/>
      </w:rPr>
    </w:sdtEndPr>
    <w:sdtContent>
      <w:p w14:paraId="6D2F74D6" w14:textId="77777777" w:rsidR="00873D49" w:rsidRDefault="00873D4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0A21473" w14:textId="77777777" w:rsidR="00873D49" w:rsidRDefault="00873D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73381" w14:textId="77777777" w:rsidR="000F4996" w:rsidRPr="00036A8A" w:rsidRDefault="000F4996"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677B698" w14:textId="77777777" w:rsidR="000F4996" w:rsidRPr="00036A8A" w:rsidRDefault="000F4996" w:rsidP="00036A8A">
      <w:pPr>
        <w:rPr>
          <w:rFonts w:asciiTheme="majorHAnsi" w:hAnsiTheme="majorHAnsi"/>
          <w:sz w:val="16"/>
          <w:szCs w:val="16"/>
        </w:rPr>
      </w:pPr>
      <w:r w:rsidRPr="00036A8A">
        <w:rPr>
          <w:rFonts w:asciiTheme="majorHAnsi" w:hAnsiTheme="majorHAnsi"/>
          <w:sz w:val="16"/>
          <w:szCs w:val="16"/>
        </w:rPr>
        <w:separator/>
      </w:r>
    </w:p>
    <w:p w14:paraId="79A4C50D" w14:textId="77777777" w:rsidR="000F4996" w:rsidRPr="00036A8A" w:rsidRDefault="000F4996"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466EBA0E" w14:textId="77777777" w:rsidR="000F4996" w:rsidRPr="0093441A" w:rsidRDefault="000F4996"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3DC7065E" w14:textId="56B093DD" w:rsidR="00873D49" w:rsidRPr="005B222E" w:rsidRDefault="00873D49" w:rsidP="001A45C1">
      <w:pPr>
        <w:pStyle w:val="FootnoteText"/>
        <w:jc w:val="both"/>
        <w:rPr>
          <w:rFonts w:asciiTheme="majorHAnsi" w:hAnsiTheme="majorHAnsi"/>
          <w:color w:val="auto"/>
          <w:sz w:val="16"/>
          <w:szCs w:val="16"/>
          <w:lang w:val="es-ES"/>
        </w:rPr>
      </w:pPr>
      <w:r w:rsidRPr="004A0895">
        <w:rPr>
          <w:rStyle w:val="FootnoteReference"/>
          <w:rFonts w:asciiTheme="majorHAnsi" w:hAnsiTheme="majorHAnsi"/>
          <w:color w:val="auto"/>
          <w:sz w:val="16"/>
          <w:szCs w:val="16"/>
        </w:rPr>
        <w:footnoteRef/>
      </w:r>
      <w:r w:rsidRPr="005B222E">
        <w:rPr>
          <w:rStyle w:val="FootnoteReference"/>
          <w:rFonts w:asciiTheme="majorHAnsi" w:hAnsiTheme="majorHAnsi"/>
          <w:color w:val="auto"/>
          <w:sz w:val="16"/>
          <w:szCs w:val="16"/>
          <w:lang w:val="es-ES"/>
        </w:rPr>
        <w:t xml:space="preserve"> </w:t>
      </w:r>
      <w:r w:rsidRPr="005B222E">
        <w:rPr>
          <w:rFonts w:asciiTheme="majorHAnsi" w:hAnsiTheme="majorHAnsi"/>
          <w:color w:val="auto"/>
          <w:sz w:val="16"/>
          <w:szCs w:val="16"/>
          <w:lang w:val="es-ES"/>
        </w:rPr>
        <w:t xml:space="preserve"> </w:t>
      </w:r>
      <w:r>
        <w:rPr>
          <w:rFonts w:asciiTheme="majorHAnsi" w:hAnsiTheme="majorHAnsi"/>
          <w:color w:val="auto"/>
          <w:sz w:val="16"/>
          <w:szCs w:val="16"/>
          <w:lang w:val="es-ES"/>
        </w:rPr>
        <w:t xml:space="preserve">El 10 de agosto de 2011 </w:t>
      </w:r>
      <w:proofErr w:type="spellStart"/>
      <w:r w:rsidRPr="005B222E">
        <w:rPr>
          <w:rFonts w:asciiTheme="majorHAnsi" w:hAnsiTheme="majorHAnsi"/>
          <w:color w:val="auto"/>
          <w:sz w:val="16"/>
          <w:szCs w:val="16"/>
          <w:lang w:val="es-ES"/>
        </w:rPr>
        <w:t>Chaitanya</w:t>
      </w:r>
      <w:proofErr w:type="spellEnd"/>
      <w:r w:rsidRPr="005B222E">
        <w:rPr>
          <w:rFonts w:asciiTheme="majorHAnsi" w:hAnsiTheme="majorHAnsi"/>
          <w:color w:val="auto"/>
          <w:sz w:val="16"/>
          <w:szCs w:val="16"/>
          <w:lang w:val="es-ES"/>
        </w:rPr>
        <w:t xml:space="preserve"> Patel de </w:t>
      </w:r>
      <w:proofErr w:type="spellStart"/>
      <w:r w:rsidRPr="005B222E">
        <w:rPr>
          <w:rFonts w:asciiTheme="majorHAnsi" w:hAnsiTheme="majorHAnsi"/>
          <w:color w:val="auto"/>
          <w:sz w:val="16"/>
          <w:szCs w:val="16"/>
          <w:lang w:val="es-ES"/>
        </w:rPr>
        <w:t>Reprieve</w:t>
      </w:r>
      <w:proofErr w:type="spellEnd"/>
      <w:r w:rsidRPr="005B222E">
        <w:rPr>
          <w:rFonts w:asciiTheme="majorHAnsi" w:hAnsiTheme="majorHAnsi"/>
          <w:color w:val="auto"/>
          <w:sz w:val="16"/>
          <w:szCs w:val="16"/>
          <w:lang w:val="es-ES"/>
        </w:rPr>
        <w:t xml:space="preserve"> </w:t>
      </w:r>
      <w:r>
        <w:rPr>
          <w:rFonts w:asciiTheme="majorHAnsi" w:hAnsiTheme="majorHAnsi"/>
          <w:color w:val="auto"/>
          <w:sz w:val="16"/>
          <w:szCs w:val="16"/>
          <w:lang w:val="es-ES"/>
        </w:rPr>
        <w:t xml:space="preserve">fue agregado como </w:t>
      </w:r>
      <w:proofErr w:type="spellStart"/>
      <w:r>
        <w:rPr>
          <w:rFonts w:asciiTheme="majorHAnsi" w:hAnsiTheme="majorHAnsi"/>
          <w:color w:val="auto"/>
          <w:sz w:val="16"/>
          <w:szCs w:val="16"/>
          <w:lang w:val="es-ES"/>
        </w:rPr>
        <w:t>co-peticionario</w:t>
      </w:r>
      <w:proofErr w:type="spellEnd"/>
      <w:r>
        <w:rPr>
          <w:rFonts w:asciiTheme="majorHAnsi" w:hAnsiTheme="majorHAnsi"/>
          <w:color w:val="auto"/>
          <w:sz w:val="16"/>
          <w:szCs w:val="16"/>
          <w:lang w:val="es-ES"/>
        </w:rPr>
        <w:t>.</w:t>
      </w:r>
    </w:p>
  </w:footnote>
  <w:footnote w:id="3">
    <w:p w14:paraId="174C27CE" w14:textId="77777777" w:rsidR="00873D49" w:rsidRPr="004B16F9" w:rsidRDefault="00873D49" w:rsidP="001A45C1">
      <w:pPr>
        <w:pStyle w:val="FootnoteText"/>
        <w:jc w:val="both"/>
        <w:rPr>
          <w:rFonts w:asciiTheme="majorHAnsi" w:hAnsiTheme="majorHAnsi"/>
          <w:color w:val="auto"/>
          <w:sz w:val="16"/>
          <w:szCs w:val="16"/>
          <w:lang w:val="es-ES"/>
        </w:rPr>
      </w:pPr>
      <w:r w:rsidRPr="004A0895">
        <w:rPr>
          <w:rStyle w:val="FootnoteReference"/>
          <w:rFonts w:asciiTheme="majorHAnsi" w:hAnsiTheme="majorHAnsi"/>
          <w:color w:val="auto"/>
          <w:sz w:val="16"/>
          <w:szCs w:val="16"/>
        </w:rPr>
        <w:footnoteRef/>
      </w:r>
      <w:r w:rsidRPr="005B222E">
        <w:rPr>
          <w:rFonts w:asciiTheme="majorHAnsi" w:hAnsiTheme="majorHAnsi"/>
          <w:color w:val="auto"/>
          <w:sz w:val="16"/>
          <w:szCs w:val="16"/>
          <w:lang w:val="es-ES"/>
        </w:rPr>
        <w:t xml:space="preserve"> El 19 de </w:t>
      </w:r>
      <w:r>
        <w:rPr>
          <w:rFonts w:asciiTheme="majorHAnsi" w:hAnsiTheme="majorHAnsi"/>
          <w:color w:val="auto"/>
          <w:sz w:val="16"/>
          <w:szCs w:val="16"/>
          <w:lang w:val="es-ES"/>
        </w:rPr>
        <w:t>a</w:t>
      </w:r>
      <w:r w:rsidRPr="005B222E">
        <w:rPr>
          <w:rFonts w:asciiTheme="majorHAnsi" w:hAnsiTheme="majorHAnsi"/>
          <w:color w:val="auto"/>
          <w:sz w:val="16"/>
          <w:szCs w:val="16"/>
          <w:lang w:val="es-ES"/>
        </w:rPr>
        <w:t xml:space="preserve">gosto de 2011, la </w:t>
      </w:r>
      <w:r>
        <w:rPr>
          <w:rFonts w:asciiTheme="majorHAnsi" w:hAnsiTheme="majorHAnsi"/>
          <w:color w:val="auto"/>
          <w:sz w:val="16"/>
          <w:szCs w:val="16"/>
          <w:lang w:val="es-ES"/>
        </w:rPr>
        <w:t>CIDH concedió medidas cautelares en beneficio del Sr. Valle en aplicación del Artículo 25(1) de sus Reglamento y solicitó a Estados Unidos que tome las medidas necesarias para preservar la vida y la integridad física de la presunta víctima de modo de no entorpecer el procesamiento de su caso ante el sistema Interameric</w:t>
      </w:r>
      <w:r w:rsidRPr="004B16F9">
        <w:rPr>
          <w:rFonts w:asciiTheme="majorHAnsi" w:hAnsiTheme="majorHAnsi"/>
          <w:color w:val="auto"/>
          <w:sz w:val="16"/>
          <w:szCs w:val="16"/>
          <w:lang w:val="es-ES"/>
        </w:rPr>
        <w:t>ano.</w:t>
      </w:r>
    </w:p>
  </w:footnote>
  <w:footnote w:id="4">
    <w:p w14:paraId="5F9FD3A4" w14:textId="77777777" w:rsidR="00873D49" w:rsidRPr="00E36893" w:rsidRDefault="00873D49" w:rsidP="001A45C1">
      <w:pPr>
        <w:pStyle w:val="NormalWeb"/>
        <w:spacing w:before="0" w:beforeAutospacing="0" w:after="0" w:afterAutospacing="0"/>
        <w:jc w:val="both"/>
        <w:rPr>
          <w:rFonts w:asciiTheme="majorHAnsi" w:eastAsia="Arial Unicode MS" w:hAnsiTheme="majorHAnsi"/>
          <w:sz w:val="16"/>
          <w:szCs w:val="16"/>
          <w:lang w:val="es-ES"/>
        </w:rPr>
      </w:pPr>
      <w:r w:rsidRPr="004B16F9">
        <w:rPr>
          <w:rStyle w:val="FootnoteReference"/>
          <w:rFonts w:asciiTheme="majorHAnsi" w:hAnsiTheme="majorHAnsi"/>
          <w:sz w:val="16"/>
          <w:szCs w:val="16"/>
        </w:rPr>
        <w:footnoteRef/>
      </w:r>
      <w:r w:rsidRPr="004B16F9">
        <w:rPr>
          <w:rFonts w:asciiTheme="majorHAnsi" w:hAnsiTheme="majorHAnsi"/>
          <w:sz w:val="16"/>
          <w:szCs w:val="16"/>
          <w:lang w:val="es-ES"/>
        </w:rPr>
        <w:t xml:space="preserve"> </w:t>
      </w:r>
      <w:r w:rsidRPr="004B16F9">
        <w:rPr>
          <w:rFonts w:asciiTheme="majorHAnsi" w:eastAsia="Arial Unicode MS" w:hAnsiTheme="majorHAnsi"/>
          <w:i/>
          <w:iCs/>
          <w:sz w:val="16"/>
          <w:szCs w:val="16"/>
          <w:lang w:val="es-ES"/>
        </w:rPr>
        <w:t xml:space="preserve">Valle v Florida, </w:t>
      </w:r>
      <w:r w:rsidRPr="004B16F9">
        <w:rPr>
          <w:rFonts w:asciiTheme="majorHAnsi" w:eastAsia="Arial Unicode MS" w:hAnsiTheme="majorHAnsi"/>
          <w:sz w:val="16"/>
          <w:szCs w:val="16"/>
          <w:lang w:val="es-ES"/>
        </w:rPr>
        <w:t xml:space="preserve">Escrito Inicial del Apelante, Corte Suprema de Florida No. </w:t>
      </w:r>
      <w:r w:rsidRPr="00E36893">
        <w:rPr>
          <w:rFonts w:asciiTheme="majorHAnsi" w:eastAsia="Arial Unicode MS" w:hAnsiTheme="majorHAnsi"/>
          <w:sz w:val="16"/>
          <w:szCs w:val="16"/>
          <w:lang w:val="es-ES"/>
        </w:rPr>
        <w:t xml:space="preserve">SC11-1387. </w:t>
      </w:r>
    </w:p>
  </w:footnote>
  <w:footnote w:id="5">
    <w:p w14:paraId="11871133" w14:textId="77777777" w:rsidR="00873D49" w:rsidRPr="005B222E" w:rsidRDefault="00873D49" w:rsidP="00E86C3A">
      <w:pPr>
        <w:pStyle w:val="NormalWeb"/>
        <w:spacing w:before="0" w:beforeAutospacing="0" w:after="0" w:afterAutospacing="0"/>
        <w:jc w:val="both"/>
        <w:rPr>
          <w:rFonts w:asciiTheme="majorHAnsi" w:eastAsia="Arial Unicode MS" w:hAnsiTheme="majorHAnsi"/>
          <w:sz w:val="16"/>
          <w:szCs w:val="16"/>
          <w:lang w:val="es-ES"/>
        </w:rPr>
      </w:pPr>
      <w:r w:rsidRPr="004B16F9">
        <w:rPr>
          <w:rStyle w:val="FootnoteReference"/>
          <w:rFonts w:asciiTheme="majorHAnsi" w:hAnsiTheme="majorHAnsi"/>
          <w:sz w:val="16"/>
          <w:szCs w:val="16"/>
        </w:rPr>
        <w:footnoteRef/>
      </w:r>
      <w:r w:rsidRPr="004B16F9">
        <w:rPr>
          <w:rFonts w:asciiTheme="majorHAnsi" w:hAnsiTheme="majorHAnsi"/>
          <w:sz w:val="16"/>
          <w:szCs w:val="16"/>
          <w:lang w:val="es-ES"/>
        </w:rPr>
        <w:t xml:space="preserve"> Solicitud de medidas cautelares del peticionario presentada el 10 de</w:t>
      </w:r>
      <w:r w:rsidRPr="005B222E">
        <w:rPr>
          <w:rFonts w:asciiTheme="majorHAnsi" w:hAnsiTheme="majorHAnsi"/>
          <w:sz w:val="16"/>
          <w:szCs w:val="16"/>
          <w:lang w:val="es-ES"/>
        </w:rPr>
        <w:t xml:space="preserve"> agosto de 2011</w:t>
      </w:r>
    </w:p>
    <w:p w14:paraId="05AB841C" w14:textId="77777777" w:rsidR="00873D49" w:rsidRPr="005B222E" w:rsidRDefault="00873D49" w:rsidP="00E86C3A">
      <w:pPr>
        <w:pStyle w:val="FootnoteText"/>
        <w:jc w:val="both"/>
        <w:rPr>
          <w:rFonts w:asciiTheme="majorHAnsi" w:hAnsiTheme="majorHAnsi"/>
          <w:color w:val="auto"/>
          <w:sz w:val="16"/>
          <w:szCs w:val="16"/>
          <w:lang w:val="es-ES"/>
        </w:rPr>
      </w:pPr>
    </w:p>
  </w:footnote>
  <w:footnote w:id="6">
    <w:p w14:paraId="1FF7CA97" w14:textId="77777777" w:rsidR="00873D49" w:rsidRPr="005B222E" w:rsidRDefault="00873D49" w:rsidP="00E86C3A">
      <w:pPr>
        <w:pStyle w:val="FootnoteText"/>
        <w:jc w:val="both"/>
        <w:rPr>
          <w:rFonts w:asciiTheme="majorHAnsi" w:hAnsiTheme="majorHAnsi"/>
          <w:color w:val="auto"/>
          <w:sz w:val="16"/>
          <w:szCs w:val="16"/>
          <w:lang w:val="es-ES"/>
        </w:rPr>
      </w:pPr>
      <w:r w:rsidRPr="004A0895">
        <w:rPr>
          <w:rStyle w:val="FootnoteReference"/>
          <w:rFonts w:asciiTheme="majorHAnsi" w:hAnsiTheme="majorHAnsi"/>
          <w:color w:val="auto"/>
          <w:sz w:val="16"/>
          <w:szCs w:val="16"/>
        </w:rPr>
        <w:footnoteRef/>
      </w:r>
      <w:r w:rsidRPr="005B222E">
        <w:rPr>
          <w:rFonts w:asciiTheme="majorHAnsi" w:hAnsiTheme="majorHAnsi"/>
          <w:color w:val="auto"/>
          <w:sz w:val="16"/>
          <w:szCs w:val="16"/>
          <w:lang w:val="es-ES"/>
        </w:rPr>
        <w:t xml:space="preserve"> </w:t>
      </w:r>
      <w:r w:rsidRPr="005B222E">
        <w:rPr>
          <w:rFonts w:asciiTheme="majorHAnsi" w:hAnsiTheme="majorHAnsi"/>
          <w:sz w:val="16"/>
          <w:szCs w:val="16"/>
          <w:lang w:val="es-ES"/>
        </w:rPr>
        <w:t>Solicitud de medidas cautelares del peticionario presentada el 10 de agosto de 2011</w:t>
      </w:r>
    </w:p>
  </w:footnote>
  <w:footnote w:id="7">
    <w:p w14:paraId="0023C0FA" w14:textId="77777777" w:rsidR="00873D49" w:rsidRPr="005B222E" w:rsidRDefault="00873D49" w:rsidP="00E86C3A">
      <w:pPr>
        <w:pStyle w:val="FootnoteText"/>
        <w:jc w:val="both"/>
        <w:rPr>
          <w:rFonts w:asciiTheme="majorHAnsi" w:hAnsiTheme="majorHAnsi"/>
          <w:color w:val="auto"/>
          <w:sz w:val="16"/>
          <w:szCs w:val="16"/>
          <w:lang w:val="es-ES"/>
        </w:rPr>
      </w:pPr>
      <w:r w:rsidRPr="004A0895">
        <w:rPr>
          <w:rStyle w:val="FootnoteReference"/>
          <w:rFonts w:asciiTheme="majorHAnsi" w:hAnsiTheme="majorHAnsi"/>
          <w:color w:val="auto"/>
          <w:sz w:val="16"/>
          <w:szCs w:val="16"/>
        </w:rPr>
        <w:footnoteRef/>
      </w:r>
      <w:r w:rsidRPr="005B222E">
        <w:rPr>
          <w:rFonts w:asciiTheme="majorHAnsi" w:hAnsiTheme="majorHAnsi"/>
          <w:color w:val="auto"/>
          <w:sz w:val="16"/>
          <w:szCs w:val="16"/>
          <w:lang w:val="es-ES"/>
        </w:rPr>
        <w:t xml:space="preserve"> </w:t>
      </w:r>
      <w:r w:rsidRPr="005B222E">
        <w:rPr>
          <w:rFonts w:asciiTheme="majorHAnsi" w:hAnsiTheme="majorHAnsi"/>
          <w:sz w:val="16"/>
          <w:szCs w:val="16"/>
          <w:lang w:val="es-ES"/>
        </w:rPr>
        <w:t>Solicitud de medidas cautelares del peticionario presentada el 10 de agosto de 2011</w:t>
      </w:r>
      <w:r w:rsidRPr="005B222E">
        <w:rPr>
          <w:rFonts w:asciiTheme="majorHAnsi" w:hAnsiTheme="majorHAnsi"/>
          <w:color w:val="auto"/>
          <w:sz w:val="16"/>
          <w:szCs w:val="16"/>
          <w:lang w:val="es-ES"/>
        </w:rPr>
        <w:t xml:space="preserve">, </w:t>
      </w:r>
      <w:r>
        <w:rPr>
          <w:rFonts w:asciiTheme="majorHAnsi" w:hAnsiTheme="majorHAnsi"/>
          <w:color w:val="auto"/>
          <w:sz w:val="16"/>
          <w:szCs w:val="16"/>
          <w:lang w:val="es-ES"/>
        </w:rPr>
        <w:t>citando</w:t>
      </w:r>
      <w:r w:rsidRPr="005B222E">
        <w:rPr>
          <w:rFonts w:asciiTheme="majorHAnsi" w:hAnsiTheme="majorHAnsi"/>
          <w:color w:val="auto"/>
          <w:sz w:val="16"/>
          <w:szCs w:val="16"/>
          <w:lang w:val="es-ES"/>
        </w:rPr>
        <w:t xml:space="preserve"> </w:t>
      </w:r>
      <w:r w:rsidRPr="005B222E">
        <w:rPr>
          <w:rFonts w:asciiTheme="majorHAnsi" w:eastAsiaTheme="minorHAnsi" w:hAnsiTheme="majorHAnsi"/>
          <w:i/>
          <w:iCs/>
          <w:color w:val="auto"/>
          <w:sz w:val="16"/>
          <w:szCs w:val="16"/>
          <w:bdr w:val="none" w:sz="0" w:space="0" w:color="auto"/>
          <w:lang w:val="es-ES"/>
        </w:rPr>
        <w:t xml:space="preserve">Valle v. </w:t>
      </w:r>
      <w:proofErr w:type="spellStart"/>
      <w:r w:rsidRPr="005B222E">
        <w:rPr>
          <w:rFonts w:asciiTheme="majorHAnsi" w:eastAsiaTheme="minorHAnsi" w:hAnsiTheme="majorHAnsi"/>
          <w:i/>
          <w:iCs/>
          <w:color w:val="auto"/>
          <w:sz w:val="16"/>
          <w:szCs w:val="16"/>
          <w:bdr w:val="none" w:sz="0" w:space="0" w:color="auto"/>
          <w:lang w:val="es-ES"/>
        </w:rPr>
        <w:t>State</w:t>
      </w:r>
      <w:proofErr w:type="spellEnd"/>
      <w:r w:rsidRPr="005B222E">
        <w:rPr>
          <w:rFonts w:asciiTheme="majorHAnsi" w:eastAsiaTheme="minorHAnsi" w:hAnsiTheme="majorHAnsi"/>
          <w:color w:val="auto"/>
          <w:sz w:val="16"/>
          <w:szCs w:val="16"/>
          <w:bdr w:val="none" w:sz="0" w:space="0" w:color="auto"/>
          <w:lang w:val="es-ES"/>
        </w:rPr>
        <w:t>, 394 So. 2d 1004 (Fla. 1981)</w:t>
      </w:r>
    </w:p>
  </w:footnote>
  <w:footnote w:id="8">
    <w:p w14:paraId="76AEDA2F" w14:textId="77777777" w:rsidR="00873D49" w:rsidRPr="005B222E" w:rsidRDefault="00873D49" w:rsidP="00E86C3A">
      <w:pPr>
        <w:pStyle w:val="FootnoteText"/>
        <w:jc w:val="both"/>
        <w:rPr>
          <w:rFonts w:asciiTheme="majorHAnsi" w:hAnsiTheme="majorHAnsi"/>
          <w:color w:val="auto"/>
          <w:sz w:val="16"/>
          <w:szCs w:val="16"/>
          <w:lang w:val="es-ES"/>
        </w:rPr>
      </w:pPr>
      <w:r w:rsidRPr="004A0895">
        <w:rPr>
          <w:rStyle w:val="FootnoteReference"/>
          <w:rFonts w:asciiTheme="majorHAnsi" w:hAnsiTheme="majorHAnsi"/>
          <w:color w:val="auto"/>
          <w:sz w:val="16"/>
          <w:szCs w:val="16"/>
        </w:rPr>
        <w:footnoteRef/>
      </w:r>
      <w:r w:rsidRPr="005B222E">
        <w:rPr>
          <w:rFonts w:asciiTheme="majorHAnsi" w:hAnsiTheme="majorHAnsi"/>
          <w:color w:val="auto"/>
          <w:sz w:val="16"/>
          <w:szCs w:val="16"/>
          <w:lang w:val="es-ES"/>
        </w:rPr>
        <w:t xml:space="preserve"> </w:t>
      </w:r>
      <w:r w:rsidRPr="005B222E">
        <w:rPr>
          <w:rFonts w:asciiTheme="majorHAnsi" w:hAnsiTheme="majorHAnsi"/>
          <w:sz w:val="16"/>
          <w:szCs w:val="16"/>
          <w:lang w:val="es-ES"/>
        </w:rPr>
        <w:t>Solicitud de medidas cautelares del peticionario presentada el 10 de agosto de 2011</w:t>
      </w:r>
      <w:r w:rsidRPr="005B222E">
        <w:rPr>
          <w:rFonts w:asciiTheme="majorHAnsi" w:hAnsiTheme="majorHAnsi"/>
          <w:color w:val="auto"/>
          <w:sz w:val="16"/>
          <w:szCs w:val="16"/>
          <w:lang w:val="es-ES"/>
        </w:rPr>
        <w:t>,</w:t>
      </w:r>
      <w:r>
        <w:rPr>
          <w:rFonts w:asciiTheme="majorHAnsi" w:hAnsiTheme="majorHAnsi"/>
          <w:color w:val="auto"/>
          <w:sz w:val="16"/>
          <w:szCs w:val="16"/>
          <w:lang w:val="es-ES"/>
        </w:rPr>
        <w:t xml:space="preserve"> citando</w:t>
      </w:r>
      <w:r w:rsidRPr="005B222E">
        <w:rPr>
          <w:rFonts w:asciiTheme="majorHAnsi" w:hAnsiTheme="majorHAnsi"/>
          <w:color w:val="auto"/>
          <w:sz w:val="16"/>
          <w:szCs w:val="16"/>
          <w:lang w:val="es-ES"/>
        </w:rPr>
        <w:t xml:space="preserve"> </w:t>
      </w:r>
      <w:r w:rsidRPr="005B222E">
        <w:rPr>
          <w:rFonts w:asciiTheme="majorHAnsi" w:eastAsiaTheme="minorHAnsi" w:hAnsiTheme="majorHAnsi"/>
          <w:i/>
          <w:iCs/>
          <w:color w:val="auto"/>
          <w:sz w:val="16"/>
          <w:szCs w:val="16"/>
          <w:bdr w:val="none" w:sz="0" w:space="0" w:color="auto"/>
          <w:lang w:val="es-ES"/>
        </w:rPr>
        <w:t xml:space="preserve">Valle v. </w:t>
      </w:r>
      <w:proofErr w:type="spellStart"/>
      <w:r w:rsidRPr="005B222E">
        <w:rPr>
          <w:rFonts w:asciiTheme="majorHAnsi" w:eastAsiaTheme="minorHAnsi" w:hAnsiTheme="majorHAnsi"/>
          <w:i/>
          <w:iCs/>
          <w:color w:val="auto"/>
          <w:sz w:val="16"/>
          <w:szCs w:val="16"/>
          <w:bdr w:val="none" w:sz="0" w:space="0" w:color="auto"/>
          <w:lang w:val="es-ES"/>
        </w:rPr>
        <w:t>State</w:t>
      </w:r>
      <w:proofErr w:type="spellEnd"/>
      <w:r w:rsidRPr="005B222E">
        <w:rPr>
          <w:rFonts w:asciiTheme="majorHAnsi" w:eastAsiaTheme="minorHAnsi" w:hAnsiTheme="majorHAnsi"/>
          <w:color w:val="auto"/>
          <w:sz w:val="16"/>
          <w:szCs w:val="16"/>
          <w:bdr w:val="none" w:sz="0" w:space="0" w:color="auto"/>
          <w:lang w:val="es-ES"/>
        </w:rPr>
        <w:t>, 474 So. 2d 796 (Fla. 1985)</w:t>
      </w:r>
    </w:p>
  </w:footnote>
  <w:footnote w:id="9">
    <w:p w14:paraId="2CF53317" w14:textId="77777777" w:rsidR="00873D49" w:rsidRPr="005B222E" w:rsidRDefault="00873D49" w:rsidP="00E86C3A">
      <w:pPr>
        <w:pStyle w:val="FootnoteText"/>
        <w:jc w:val="both"/>
        <w:rPr>
          <w:rFonts w:asciiTheme="majorHAnsi" w:hAnsiTheme="majorHAnsi"/>
          <w:color w:val="auto"/>
          <w:sz w:val="16"/>
          <w:szCs w:val="16"/>
          <w:lang w:val="es-ES"/>
        </w:rPr>
      </w:pPr>
      <w:r w:rsidRPr="004A0895">
        <w:rPr>
          <w:rStyle w:val="FootnoteReference"/>
          <w:rFonts w:asciiTheme="majorHAnsi" w:hAnsiTheme="majorHAnsi"/>
          <w:color w:val="auto"/>
          <w:sz w:val="16"/>
          <w:szCs w:val="16"/>
        </w:rPr>
        <w:footnoteRef/>
      </w:r>
      <w:r w:rsidRPr="005B222E">
        <w:rPr>
          <w:rFonts w:asciiTheme="majorHAnsi" w:hAnsiTheme="majorHAnsi"/>
          <w:color w:val="auto"/>
          <w:sz w:val="16"/>
          <w:szCs w:val="16"/>
          <w:lang w:val="es-ES"/>
        </w:rPr>
        <w:t xml:space="preserve"> </w:t>
      </w:r>
      <w:r w:rsidRPr="005B222E">
        <w:rPr>
          <w:rFonts w:asciiTheme="majorHAnsi" w:hAnsiTheme="majorHAnsi"/>
          <w:sz w:val="16"/>
          <w:szCs w:val="16"/>
          <w:lang w:val="es-ES"/>
        </w:rPr>
        <w:t>Solicitud de medidas cautelares del peticionario presentada el 10 de agosto de 2011</w:t>
      </w:r>
      <w:r w:rsidRPr="005B222E">
        <w:rPr>
          <w:rFonts w:asciiTheme="majorHAnsi" w:hAnsiTheme="majorHAnsi"/>
          <w:color w:val="auto"/>
          <w:sz w:val="16"/>
          <w:szCs w:val="16"/>
          <w:lang w:val="es-ES"/>
        </w:rPr>
        <w:t>,</w:t>
      </w:r>
      <w:r>
        <w:rPr>
          <w:rFonts w:asciiTheme="majorHAnsi" w:hAnsiTheme="majorHAnsi"/>
          <w:color w:val="auto"/>
          <w:sz w:val="16"/>
          <w:szCs w:val="16"/>
          <w:lang w:val="es-ES"/>
        </w:rPr>
        <w:t xml:space="preserve"> citando</w:t>
      </w:r>
      <w:r w:rsidRPr="005B222E">
        <w:rPr>
          <w:rFonts w:asciiTheme="majorHAnsi" w:hAnsiTheme="majorHAnsi"/>
          <w:color w:val="auto"/>
          <w:sz w:val="16"/>
          <w:szCs w:val="16"/>
          <w:lang w:val="es-ES"/>
        </w:rPr>
        <w:t xml:space="preserve"> </w:t>
      </w:r>
      <w:r w:rsidRPr="005B222E">
        <w:rPr>
          <w:rFonts w:asciiTheme="majorHAnsi" w:eastAsiaTheme="minorHAnsi" w:hAnsiTheme="majorHAnsi"/>
          <w:i/>
          <w:iCs/>
          <w:color w:val="auto"/>
          <w:sz w:val="16"/>
          <w:szCs w:val="16"/>
          <w:bdr w:val="none" w:sz="0" w:space="0" w:color="auto"/>
          <w:lang w:val="es-ES"/>
        </w:rPr>
        <w:t>Valle v. Florida</w:t>
      </w:r>
      <w:r w:rsidRPr="005B222E">
        <w:rPr>
          <w:rFonts w:asciiTheme="majorHAnsi" w:eastAsiaTheme="minorHAnsi" w:hAnsiTheme="majorHAnsi"/>
          <w:color w:val="auto"/>
          <w:sz w:val="16"/>
          <w:szCs w:val="16"/>
          <w:bdr w:val="none" w:sz="0" w:space="0" w:color="auto"/>
          <w:lang w:val="es-ES"/>
        </w:rPr>
        <w:t xml:space="preserve">, 476 U.S. 1102 (1986). </w:t>
      </w:r>
    </w:p>
  </w:footnote>
  <w:footnote w:id="10">
    <w:p w14:paraId="55B5BE83" w14:textId="77777777" w:rsidR="00873D49" w:rsidRPr="005B222E" w:rsidRDefault="00873D49" w:rsidP="00E86C3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heme="minorHAnsi" w:hAnsiTheme="majorHAnsi"/>
          <w:sz w:val="16"/>
          <w:szCs w:val="16"/>
          <w:bdr w:val="none" w:sz="0" w:space="0" w:color="auto"/>
          <w:lang w:val="es-ES"/>
        </w:rPr>
      </w:pPr>
      <w:r w:rsidRPr="004A0895">
        <w:rPr>
          <w:rStyle w:val="FootnoteReference"/>
          <w:rFonts w:asciiTheme="majorHAnsi" w:hAnsiTheme="majorHAnsi"/>
          <w:sz w:val="16"/>
          <w:szCs w:val="16"/>
        </w:rPr>
        <w:footnoteRef/>
      </w:r>
      <w:r w:rsidRPr="005B222E">
        <w:rPr>
          <w:rFonts w:asciiTheme="majorHAnsi" w:hAnsiTheme="majorHAnsi"/>
          <w:sz w:val="16"/>
          <w:szCs w:val="16"/>
          <w:lang w:val="es-ES"/>
        </w:rPr>
        <w:t xml:space="preserve"> Solicitud de medidas cautelares del peticionario presentada el 10 de agosto de 2011, </w:t>
      </w:r>
      <w:r>
        <w:rPr>
          <w:rFonts w:asciiTheme="majorHAnsi" w:hAnsiTheme="majorHAnsi"/>
          <w:sz w:val="16"/>
          <w:szCs w:val="16"/>
          <w:lang w:val="es-ES"/>
        </w:rPr>
        <w:t>citando</w:t>
      </w:r>
      <w:r w:rsidRPr="005B222E">
        <w:rPr>
          <w:rFonts w:asciiTheme="majorHAnsi" w:hAnsiTheme="majorHAnsi"/>
          <w:sz w:val="16"/>
          <w:szCs w:val="16"/>
          <w:lang w:val="es-ES"/>
        </w:rPr>
        <w:t xml:space="preserve"> </w:t>
      </w:r>
      <w:r w:rsidRPr="005B222E">
        <w:rPr>
          <w:rFonts w:asciiTheme="majorHAnsi" w:eastAsiaTheme="minorHAnsi" w:hAnsiTheme="majorHAnsi"/>
          <w:i/>
          <w:iCs/>
          <w:sz w:val="16"/>
          <w:szCs w:val="16"/>
          <w:bdr w:val="none" w:sz="0" w:space="0" w:color="auto"/>
          <w:lang w:val="es-ES"/>
        </w:rPr>
        <w:t xml:space="preserve">Valle v. </w:t>
      </w:r>
      <w:proofErr w:type="spellStart"/>
      <w:r w:rsidRPr="005B222E">
        <w:rPr>
          <w:rFonts w:asciiTheme="majorHAnsi" w:eastAsiaTheme="minorHAnsi" w:hAnsiTheme="majorHAnsi"/>
          <w:i/>
          <w:iCs/>
          <w:sz w:val="16"/>
          <w:szCs w:val="16"/>
          <w:bdr w:val="none" w:sz="0" w:space="0" w:color="auto"/>
          <w:lang w:val="es-ES"/>
        </w:rPr>
        <w:t>State</w:t>
      </w:r>
      <w:proofErr w:type="spellEnd"/>
      <w:r w:rsidRPr="005B222E">
        <w:rPr>
          <w:rFonts w:asciiTheme="majorHAnsi" w:eastAsiaTheme="minorHAnsi" w:hAnsiTheme="majorHAnsi"/>
          <w:sz w:val="16"/>
          <w:szCs w:val="16"/>
          <w:bdr w:val="none" w:sz="0" w:space="0" w:color="auto"/>
          <w:lang w:val="es-ES"/>
        </w:rPr>
        <w:t>, 502 So. 2d 1225 (Fla. 1987) (</w:t>
      </w:r>
      <w:r w:rsidRPr="005B222E">
        <w:rPr>
          <w:rFonts w:asciiTheme="majorHAnsi" w:eastAsiaTheme="minorHAnsi" w:hAnsiTheme="majorHAnsi"/>
          <w:i/>
          <w:iCs/>
          <w:sz w:val="16"/>
          <w:szCs w:val="16"/>
          <w:bdr w:val="none" w:sz="0" w:space="0" w:color="auto"/>
          <w:lang w:val="es-ES"/>
        </w:rPr>
        <w:t>Valle III</w:t>
      </w:r>
      <w:r w:rsidRPr="005B222E">
        <w:rPr>
          <w:rFonts w:asciiTheme="majorHAnsi" w:eastAsiaTheme="minorHAnsi" w:hAnsiTheme="majorHAnsi"/>
          <w:sz w:val="16"/>
          <w:szCs w:val="16"/>
          <w:bdr w:val="none" w:sz="0" w:space="0" w:color="auto"/>
          <w:lang w:val="es-ES"/>
        </w:rPr>
        <w:t xml:space="preserve">). </w:t>
      </w:r>
    </w:p>
  </w:footnote>
  <w:footnote w:id="11">
    <w:p w14:paraId="385A9A88" w14:textId="77777777" w:rsidR="00873D49" w:rsidRPr="005B222E" w:rsidRDefault="00873D49" w:rsidP="00E86C3A">
      <w:pPr>
        <w:pStyle w:val="FootnoteText"/>
        <w:jc w:val="both"/>
        <w:rPr>
          <w:rFonts w:asciiTheme="majorHAnsi" w:hAnsiTheme="majorHAnsi"/>
          <w:color w:val="auto"/>
          <w:sz w:val="16"/>
          <w:szCs w:val="16"/>
          <w:lang w:val="es-ES"/>
        </w:rPr>
      </w:pPr>
      <w:r w:rsidRPr="004A0895">
        <w:rPr>
          <w:rStyle w:val="FootnoteReference"/>
          <w:rFonts w:asciiTheme="majorHAnsi" w:hAnsiTheme="majorHAnsi"/>
          <w:color w:val="auto"/>
          <w:sz w:val="16"/>
          <w:szCs w:val="16"/>
        </w:rPr>
        <w:footnoteRef/>
      </w:r>
      <w:r w:rsidRPr="005B222E">
        <w:rPr>
          <w:rFonts w:asciiTheme="majorHAnsi" w:hAnsiTheme="majorHAnsi"/>
          <w:color w:val="auto"/>
          <w:sz w:val="16"/>
          <w:szCs w:val="16"/>
          <w:lang w:val="es-ES"/>
        </w:rPr>
        <w:t xml:space="preserve"> </w:t>
      </w:r>
      <w:r w:rsidRPr="005B222E">
        <w:rPr>
          <w:rFonts w:asciiTheme="majorHAnsi" w:hAnsiTheme="majorHAnsi"/>
          <w:sz w:val="16"/>
          <w:szCs w:val="16"/>
          <w:lang w:val="es-ES"/>
        </w:rPr>
        <w:t>Solicitud de medidas cautelares del peticionario presentada el 10 de agosto de 2011</w:t>
      </w:r>
      <w:r w:rsidRPr="005B222E">
        <w:rPr>
          <w:rFonts w:asciiTheme="majorHAnsi" w:hAnsiTheme="majorHAnsi"/>
          <w:color w:val="auto"/>
          <w:sz w:val="16"/>
          <w:szCs w:val="16"/>
          <w:lang w:val="es-ES"/>
        </w:rPr>
        <w:t xml:space="preserve">, </w:t>
      </w:r>
      <w:r>
        <w:rPr>
          <w:rFonts w:asciiTheme="majorHAnsi" w:hAnsiTheme="majorHAnsi"/>
          <w:color w:val="auto"/>
          <w:sz w:val="16"/>
          <w:szCs w:val="16"/>
          <w:lang w:val="es-ES"/>
        </w:rPr>
        <w:t>citando</w:t>
      </w:r>
      <w:r w:rsidRPr="005B222E">
        <w:rPr>
          <w:rFonts w:asciiTheme="majorHAnsi" w:hAnsiTheme="majorHAnsi"/>
          <w:color w:val="auto"/>
          <w:sz w:val="16"/>
          <w:szCs w:val="16"/>
          <w:lang w:val="es-ES"/>
        </w:rPr>
        <w:t xml:space="preserve"> </w:t>
      </w:r>
      <w:r w:rsidRPr="005B222E">
        <w:rPr>
          <w:rFonts w:asciiTheme="majorHAnsi" w:eastAsiaTheme="minorHAnsi" w:hAnsiTheme="majorHAnsi"/>
          <w:i/>
          <w:iCs/>
          <w:color w:val="auto"/>
          <w:sz w:val="16"/>
          <w:szCs w:val="16"/>
          <w:bdr w:val="none" w:sz="0" w:space="0" w:color="auto"/>
          <w:lang w:val="es-ES"/>
        </w:rPr>
        <w:t xml:space="preserve">Valle v. </w:t>
      </w:r>
      <w:proofErr w:type="spellStart"/>
      <w:r w:rsidRPr="005B222E">
        <w:rPr>
          <w:rFonts w:asciiTheme="majorHAnsi" w:eastAsiaTheme="minorHAnsi" w:hAnsiTheme="majorHAnsi"/>
          <w:i/>
          <w:iCs/>
          <w:color w:val="auto"/>
          <w:sz w:val="16"/>
          <w:szCs w:val="16"/>
          <w:bdr w:val="none" w:sz="0" w:space="0" w:color="auto"/>
          <w:lang w:val="es-ES"/>
        </w:rPr>
        <w:t>State</w:t>
      </w:r>
      <w:proofErr w:type="spellEnd"/>
      <w:r w:rsidRPr="005B222E">
        <w:rPr>
          <w:rFonts w:asciiTheme="majorHAnsi" w:eastAsiaTheme="minorHAnsi" w:hAnsiTheme="majorHAnsi"/>
          <w:color w:val="auto"/>
          <w:sz w:val="16"/>
          <w:szCs w:val="16"/>
          <w:bdr w:val="none" w:sz="0" w:space="0" w:color="auto"/>
          <w:lang w:val="es-ES"/>
        </w:rPr>
        <w:t xml:space="preserve">, 581 So. 2d 40 (Fla.), </w:t>
      </w:r>
      <w:proofErr w:type="spellStart"/>
      <w:r w:rsidRPr="005B222E">
        <w:rPr>
          <w:rFonts w:asciiTheme="majorHAnsi" w:eastAsiaTheme="minorHAnsi" w:hAnsiTheme="majorHAnsi"/>
          <w:i/>
          <w:iCs/>
          <w:color w:val="auto"/>
          <w:sz w:val="16"/>
          <w:szCs w:val="16"/>
          <w:bdr w:val="none" w:sz="0" w:space="0" w:color="auto"/>
          <w:lang w:val="es-ES"/>
        </w:rPr>
        <w:t>cert</w:t>
      </w:r>
      <w:proofErr w:type="spellEnd"/>
      <w:r w:rsidRPr="005B222E">
        <w:rPr>
          <w:rFonts w:asciiTheme="majorHAnsi" w:eastAsiaTheme="minorHAnsi" w:hAnsiTheme="majorHAnsi"/>
          <w:i/>
          <w:iCs/>
          <w:color w:val="auto"/>
          <w:sz w:val="16"/>
          <w:szCs w:val="16"/>
          <w:bdr w:val="none" w:sz="0" w:space="0" w:color="auto"/>
          <w:lang w:val="es-ES"/>
        </w:rPr>
        <w:t xml:space="preserve">. </w:t>
      </w:r>
      <w:proofErr w:type="spellStart"/>
      <w:r w:rsidRPr="005B222E">
        <w:rPr>
          <w:rFonts w:asciiTheme="majorHAnsi" w:eastAsiaTheme="minorHAnsi" w:hAnsiTheme="majorHAnsi"/>
          <w:i/>
          <w:iCs/>
          <w:color w:val="auto"/>
          <w:sz w:val="16"/>
          <w:szCs w:val="16"/>
          <w:bdr w:val="none" w:sz="0" w:space="0" w:color="auto"/>
          <w:lang w:val="es-ES"/>
        </w:rPr>
        <w:t>denied</w:t>
      </w:r>
      <w:proofErr w:type="spellEnd"/>
      <w:r w:rsidRPr="005B222E">
        <w:rPr>
          <w:rFonts w:asciiTheme="majorHAnsi" w:eastAsiaTheme="minorHAnsi" w:hAnsiTheme="majorHAnsi"/>
          <w:color w:val="auto"/>
          <w:sz w:val="16"/>
          <w:szCs w:val="16"/>
          <w:bdr w:val="none" w:sz="0" w:space="0" w:color="auto"/>
          <w:lang w:val="es-ES"/>
        </w:rPr>
        <w:t>, 502 U.S. 986 (1991) (</w:t>
      </w:r>
      <w:r w:rsidRPr="005B222E">
        <w:rPr>
          <w:rFonts w:asciiTheme="majorHAnsi" w:eastAsiaTheme="minorHAnsi" w:hAnsiTheme="majorHAnsi"/>
          <w:i/>
          <w:iCs/>
          <w:color w:val="auto"/>
          <w:sz w:val="16"/>
          <w:szCs w:val="16"/>
          <w:bdr w:val="none" w:sz="0" w:space="0" w:color="auto"/>
          <w:lang w:val="es-ES"/>
        </w:rPr>
        <w:t>Valle IV</w:t>
      </w:r>
      <w:r w:rsidRPr="005B222E">
        <w:rPr>
          <w:rFonts w:asciiTheme="majorHAnsi" w:eastAsiaTheme="minorHAnsi" w:hAnsiTheme="majorHAnsi"/>
          <w:color w:val="auto"/>
          <w:sz w:val="16"/>
          <w:szCs w:val="16"/>
          <w:bdr w:val="none" w:sz="0" w:space="0" w:color="auto"/>
          <w:lang w:val="es-ES"/>
        </w:rPr>
        <w:t>).</w:t>
      </w:r>
    </w:p>
  </w:footnote>
  <w:footnote w:id="12">
    <w:p w14:paraId="06E71F50" w14:textId="77777777" w:rsidR="00873D49" w:rsidRPr="005B222E" w:rsidRDefault="00873D49" w:rsidP="001571B9">
      <w:pPr>
        <w:pStyle w:val="FootnoteText"/>
        <w:jc w:val="both"/>
        <w:rPr>
          <w:rFonts w:asciiTheme="majorHAnsi" w:hAnsiTheme="majorHAnsi"/>
          <w:color w:val="auto"/>
          <w:sz w:val="16"/>
          <w:szCs w:val="16"/>
          <w:lang w:val="es-ES"/>
        </w:rPr>
      </w:pPr>
      <w:r w:rsidRPr="004A0895">
        <w:rPr>
          <w:rStyle w:val="FootnoteReference"/>
          <w:rFonts w:asciiTheme="majorHAnsi" w:hAnsiTheme="majorHAnsi"/>
          <w:color w:val="auto"/>
          <w:sz w:val="16"/>
          <w:szCs w:val="16"/>
        </w:rPr>
        <w:footnoteRef/>
      </w:r>
      <w:r w:rsidRPr="005B222E">
        <w:rPr>
          <w:rFonts w:asciiTheme="majorHAnsi" w:hAnsiTheme="majorHAnsi"/>
          <w:color w:val="auto"/>
          <w:sz w:val="16"/>
          <w:szCs w:val="16"/>
          <w:lang w:val="es-ES"/>
        </w:rPr>
        <w:t xml:space="preserve"> </w:t>
      </w:r>
      <w:r w:rsidRPr="005B222E">
        <w:rPr>
          <w:rFonts w:asciiTheme="majorHAnsi" w:hAnsiTheme="majorHAnsi"/>
          <w:sz w:val="16"/>
          <w:szCs w:val="16"/>
          <w:lang w:val="es-ES"/>
        </w:rPr>
        <w:t>Solicitud de medidas cautelares del peticionario presentada el 10 de agosto de 2011</w:t>
      </w:r>
      <w:r w:rsidRPr="005B222E">
        <w:rPr>
          <w:rFonts w:asciiTheme="majorHAnsi" w:hAnsiTheme="majorHAnsi"/>
          <w:color w:val="auto"/>
          <w:sz w:val="16"/>
          <w:szCs w:val="16"/>
          <w:lang w:val="es-ES"/>
        </w:rPr>
        <w:t xml:space="preserve">, </w:t>
      </w:r>
      <w:r>
        <w:rPr>
          <w:rFonts w:asciiTheme="majorHAnsi" w:hAnsiTheme="majorHAnsi"/>
          <w:color w:val="auto"/>
          <w:sz w:val="16"/>
          <w:szCs w:val="16"/>
          <w:lang w:val="es-ES"/>
        </w:rPr>
        <w:t>citando</w:t>
      </w:r>
      <w:r w:rsidRPr="005B222E">
        <w:rPr>
          <w:rFonts w:asciiTheme="majorHAnsi" w:hAnsiTheme="majorHAnsi"/>
          <w:color w:val="auto"/>
          <w:sz w:val="16"/>
          <w:szCs w:val="16"/>
          <w:lang w:val="es-ES"/>
        </w:rPr>
        <w:t xml:space="preserve"> </w:t>
      </w:r>
      <w:r w:rsidRPr="005B222E">
        <w:rPr>
          <w:rFonts w:asciiTheme="majorHAnsi" w:eastAsiaTheme="minorHAnsi" w:hAnsiTheme="majorHAnsi"/>
          <w:i/>
          <w:iCs/>
          <w:color w:val="auto"/>
          <w:sz w:val="16"/>
          <w:szCs w:val="16"/>
          <w:bdr w:val="none" w:sz="0" w:space="0" w:color="auto"/>
          <w:lang w:val="es-ES"/>
        </w:rPr>
        <w:t xml:space="preserve">Valle v. </w:t>
      </w:r>
      <w:proofErr w:type="spellStart"/>
      <w:r w:rsidRPr="005B222E">
        <w:rPr>
          <w:rFonts w:asciiTheme="majorHAnsi" w:eastAsiaTheme="minorHAnsi" w:hAnsiTheme="majorHAnsi"/>
          <w:i/>
          <w:iCs/>
          <w:color w:val="auto"/>
          <w:sz w:val="16"/>
          <w:szCs w:val="16"/>
          <w:bdr w:val="none" w:sz="0" w:space="0" w:color="auto"/>
          <w:lang w:val="es-ES"/>
        </w:rPr>
        <w:t>State</w:t>
      </w:r>
      <w:proofErr w:type="spellEnd"/>
      <w:r w:rsidRPr="005B222E">
        <w:rPr>
          <w:rFonts w:asciiTheme="majorHAnsi" w:eastAsiaTheme="minorHAnsi" w:hAnsiTheme="majorHAnsi"/>
          <w:color w:val="auto"/>
          <w:sz w:val="16"/>
          <w:szCs w:val="16"/>
          <w:bdr w:val="none" w:sz="0" w:space="0" w:color="auto"/>
          <w:lang w:val="es-ES"/>
        </w:rPr>
        <w:t>, 705 So. 2d 1331 (Fla. 1997) (</w:t>
      </w:r>
      <w:r w:rsidRPr="005B222E">
        <w:rPr>
          <w:rFonts w:asciiTheme="majorHAnsi" w:eastAsiaTheme="minorHAnsi" w:hAnsiTheme="majorHAnsi"/>
          <w:i/>
          <w:iCs/>
          <w:color w:val="auto"/>
          <w:sz w:val="16"/>
          <w:szCs w:val="16"/>
          <w:bdr w:val="none" w:sz="0" w:space="0" w:color="auto"/>
          <w:lang w:val="es-ES"/>
        </w:rPr>
        <w:t>Valle V).</w:t>
      </w:r>
    </w:p>
  </w:footnote>
  <w:footnote w:id="13">
    <w:p w14:paraId="6BA8F39C" w14:textId="77777777" w:rsidR="00873D49" w:rsidRPr="005B222E" w:rsidRDefault="00873D49" w:rsidP="001571B9">
      <w:pPr>
        <w:pStyle w:val="FootnoteText"/>
        <w:jc w:val="both"/>
        <w:rPr>
          <w:rFonts w:asciiTheme="majorHAnsi" w:hAnsiTheme="majorHAnsi"/>
          <w:color w:val="auto"/>
          <w:sz w:val="16"/>
          <w:szCs w:val="16"/>
          <w:lang w:val="es-ES"/>
        </w:rPr>
      </w:pPr>
      <w:r w:rsidRPr="004A0895">
        <w:rPr>
          <w:rStyle w:val="FootnoteReference"/>
          <w:rFonts w:asciiTheme="majorHAnsi" w:hAnsiTheme="majorHAnsi"/>
          <w:color w:val="auto"/>
          <w:sz w:val="16"/>
          <w:szCs w:val="16"/>
        </w:rPr>
        <w:footnoteRef/>
      </w:r>
      <w:r w:rsidRPr="005B222E">
        <w:rPr>
          <w:rFonts w:asciiTheme="majorHAnsi" w:hAnsiTheme="majorHAnsi"/>
          <w:color w:val="auto"/>
          <w:sz w:val="16"/>
          <w:szCs w:val="16"/>
          <w:lang w:val="es-ES"/>
        </w:rPr>
        <w:t xml:space="preserve"> </w:t>
      </w:r>
      <w:r w:rsidRPr="005B222E">
        <w:rPr>
          <w:rFonts w:asciiTheme="majorHAnsi" w:hAnsiTheme="majorHAnsi"/>
          <w:sz w:val="16"/>
          <w:szCs w:val="16"/>
          <w:lang w:val="es-ES"/>
        </w:rPr>
        <w:t>Solicitud de medidas cautelares del peticionario presentada el 10 de agosto de 2011</w:t>
      </w:r>
      <w:r w:rsidRPr="005B222E">
        <w:rPr>
          <w:rFonts w:asciiTheme="majorHAnsi" w:hAnsiTheme="majorHAnsi"/>
          <w:color w:val="auto"/>
          <w:sz w:val="16"/>
          <w:szCs w:val="16"/>
          <w:lang w:val="es-ES"/>
        </w:rPr>
        <w:t xml:space="preserve">, </w:t>
      </w:r>
      <w:r>
        <w:rPr>
          <w:rFonts w:asciiTheme="majorHAnsi" w:hAnsiTheme="majorHAnsi"/>
          <w:color w:val="auto"/>
          <w:sz w:val="16"/>
          <w:szCs w:val="16"/>
          <w:lang w:val="es-ES"/>
        </w:rPr>
        <w:t>citando</w:t>
      </w:r>
      <w:r w:rsidRPr="005B222E">
        <w:rPr>
          <w:rFonts w:asciiTheme="majorHAnsi" w:hAnsiTheme="majorHAnsi"/>
          <w:color w:val="auto"/>
          <w:sz w:val="16"/>
          <w:szCs w:val="16"/>
          <w:lang w:val="es-ES"/>
        </w:rPr>
        <w:t xml:space="preserve"> </w:t>
      </w:r>
      <w:r w:rsidRPr="005B222E">
        <w:rPr>
          <w:rFonts w:asciiTheme="majorHAnsi" w:eastAsiaTheme="minorHAnsi" w:hAnsiTheme="majorHAnsi"/>
          <w:i/>
          <w:iCs/>
          <w:color w:val="auto"/>
          <w:sz w:val="16"/>
          <w:szCs w:val="16"/>
          <w:bdr w:val="none" w:sz="0" w:space="0" w:color="auto"/>
          <w:lang w:val="es-ES"/>
        </w:rPr>
        <w:t xml:space="preserve">Valle v. </w:t>
      </w:r>
      <w:proofErr w:type="spellStart"/>
      <w:r w:rsidRPr="005B222E">
        <w:rPr>
          <w:rFonts w:asciiTheme="majorHAnsi" w:eastAsiaTheme="minorHAnsi" w:hAnsiTheme="majorHAnsi"/>
          <w:i/>
          <w:iCs/>
          <w:color w:val="auto"/>
          <w:sz w:val="16"/>
          <w:szCs w:val="16"/>
          <w:bdr w:val="none" w:sz="0" w:space="0" w:color="auto"/>
          <w:lang w:val="es-ES"/>
        </w:rPr>
        <w:t>State</w:t>
      </w:r>
      <w:proofErr w:type="spellEnd"/>
      <w:r w:rsidRPr="005B222E">
        <w:rPr>
          <w:rFonts w:asciiTheme="majorHAnsi" w:eastAsiaTheme="minorHAnsi" w:hAnsiTheme="majorHAnsi"/>
          <w:color w:val="auto"/>
          <w:sz w:val="16"/>
          <w:szCs w:val="16"/>
          <w:bdr w:val="none" w:sz="0" w:space="0" w:color="auto"/>
          <w:lang w:val="es-ES"/>
        </w:rPr>
        <w:t>, 778 So. 2d 960 (Fla. 2001) (</w:t>
      </w:r>
      <w:r w:rsidRPr="005B222E">
        <w:rPr>
          <w:rFonts w:asciiTheme="majorHAnsi" w:eastAsiaTheme="minorHAnsi" w:hAnsiTheme="majorHAnsi"/>
          <w:i/>
          <w:iCs/>
          <w:color w:val="auto"/>
          <w:sz w:val="16"/>
          <w:szCs w:val="16"/>
          <w:bdr w:val="none" w:sz="0" w:space="0" w:color="auto"/>
          <w:lang w:val="es-ES"/>
        </w:rPr>
        <w:t>Valle VI</w:t>
      </w:r>
      <w:r w:rsidRPr="005B222E">
        <w:rPr>
          <w:rFonts w:asciiTheme="majorHAnsi" w:eastAsiaTheme="minorHAnsi" w:hAnsiTheme="majorHAnsi"/>
          <w:color w:val="auto"/>
          <w:sz w:val="16"/>
          <w:szCs w:val="16"/>
          <w:bdr w:val="none" w:sz="0" w:space="0" w:color="auto"/>
          <w:lang w:val="es-ES"/>
        </w:rPr>
        <w:t xml:space="preserve">). </w:t>
      </w:r>
    </w:p>
  </w:footnote>
  <w:footnote w:id="14">
    <w:p w14:paraId="4B96A6AD" w14:textId="77777777" w:rsidR="00873D49" w:rsidRPr="005B222E" w:rsidRDefault="00873D49" w:rsidP="001571B9">
      <w:pPr>
        <w:pStyle w:val="FootnoteText"/>
        <w:jc w:val="both"/>
        <w:rPr>
          <w:rFonts w:asciiTheme="majorHAnsi" w:hAnsiTheme="majorHAnsi"/>
          <w:color w:val="auto"/>
          <w:sz w:val="16"/>
          <w:szCs w:val="16"/>
          <w:lang w:val="es-ES"/>
        </w:rPr>
      </w:pPr>
      <w:r w:rsidRPr="004A0895">
        <w:rPr>
          <w:rStyle w:val="FootnoteReference"/>
          <w:rFonts w:asciiTheme="majorHAnsi" w:hAnsiTheme="majorHAnsi"/>
          <w:color w:val="auto"/>
          <w:sz w:val="16"/>
          <w:szCs w:val="16"/>
        </w:rPr>
        <w:footnoteRef/>
      </w:r>
      <w:r w:rsidRPr="005B222E">
        <w:rPr>
          <w:rFonts w:asciiTheme="majorHAnsi" w:hAnsiTheme="majorHAnsi"/>
          <w:color w:val="auto"/>
          <w:sz w:val="16"/>
          <w:szCs w:val="16"/>
          <w:lang w:val="es-ES"/>
        </w:rPr>
        <w:t xml:space="preserve"> </w:t>
      </w:r>
      <w:r w:rsidRPr="005B222E">
        <w:rPr>
          <w:rFonts w:asciiTheme="majorHAnsi" w:hAnsiTheme="majorHAnsi"/>
          <w:sz w:val="16"/>
          <w:szCs w:val="16"/>
          <w:lang w:val="es-ES"/>
        </w:rPr>
        <w:t>Solicitud de medidas cautelares del peticionario presentada el 10 de agosto de 2011</w:t>
      </w:r>
      <w:r w:rsidRPr="005B222E">
        <w:rPr>
          <w:rFonts w:asciiTheme="majorHAnsi" w:hAnsiTheme="majorHAnsi"/>
          <w:color w:val="auto"/>
          <w:sz w:val="16"/>
          <w:szCs w:val="16"/>
          <w:lang w:val="es-ES"/>
        </w:rPr>
        <w:t xml:space="preserve">, </w:t>
      </w:r>
      <w:r>
        <w:rPr>
          <w:rFonts w:asciiTheme="majorHAnsi" w:hAnsiTheme="majorHAnsi"/>
          <w:color w:val="auto"/>
          <w:sz w:val="16"/>
          <w:szCs w:val="16"/>
          <w:lang w:val="es-ES"/>
        </w:rPr>
        <w:t>citando</w:t>
      </w:r>
      <w:r w:rsidRPr="005B222E">
        <w:rPr>
          <w:rFonts w:asciiTheme="majorHAnsi" w:hAnsiTheme="majorHAnsi"/>
          <w:color w:val="auto"/>
          <w:sz w:val="16"/>
          <w:szCs w:val="16"/>
          <w:lang w:val="es-ES"/>
        </w:rPr>
        <w:t xml:space="preserve"> </w:t>
      </w:r>
      <w:r w:rsidRPr="005B222E">
        <w:rPr>
          <w:rFonts w:asciiTheme="majorHAnsi" w:eastAsiaTheme="minorHAnsi" w:hAnsiTheme="majorHAnsi"/>
          <w:i/>
          <w:iCs/>
          <w:color w:val="auto"/>
          <w:sz w:val="16"/>
          <w:szCs w:val="16"/>
          <w:bdr w:val="none" w:sz="0" w:space="0" w:color="auto"/>
          <w:lang w:val="es-ES"/>
        </w:rPr>
        <w:t xml:space="preserve">Valle v. </w:t>
      </w:r>
      <w:proofErr w:type="spellStart"/>
      <w:r w:rsidRPr="005B222E">
        <w:rPr>
          <w:rFonts w:asciiTheme="majorHAnsi" w:eastAsiaTheme="minorHAnsi" w:hAnsiTheme="majorHAnsi"/>
          <w:i/>
          <w:iCs/>
          <w:color w:val="auto"/>
          <w:sz w:val="16"/>
          <w:szCs w:val="16"/>
          <w:bdr w:val="none" w:sz="0" w:space="0" w:color="auto"/>
          <w:lang w:val="es-ES"/>
        </w:rPr>
        <w:t>Sec’y</w:t>
      </w:r>
      <w:proofErr w:type="spellEnd"/>
      <w:r w:rsidRPr="005B222E">
        <w:rPr>
          <w:rFonts w:asciiTheme="majorHAnsi" w:eastAsiaTheme="minorHAnsi" w:hAnsiTheme="majorHAnsi"/>
          <w:i/>
          <w:iCs/>
          <w:color w:val="auto"/>
          <w:sz w:val="16"/>
          <w:szCs w:val="16"/>
          <w:bdr w:val="none" w:sz="0" w:space="0" w:color="auto"/>
          <w:lang w:val="es-ES"/>
        </w:rPr>
        <w:t xml:space="preserve">. </w:t>
      </w:r>
      <w:proofErr w:type="spellStart"/>
      <w:r w:rsidRPr="005B222E">
        <w:rPr>
          <w:rFonts w:asciiTheme="majorHAnsi" w:eastAsiaTheme="minorHAnsi" w:hAnsiTheme="majorHAnsi"/>
          <w:i/>
          <w:iCs/>
          <w:color w:val="auto"/>
          <w:sz w:val="16"/>
          <w:szCs w:val="16"/>
          <w:bdr w:val="none" w:sz="0" w:space="0" w:color="auto"/>
          <w:lang w:val="es-ES"/>
        </w:rPr>
        <w:t>for</w:t>
      </w:r>
      <w:proofErr w:type="spellEnd"/>
      <w:r w:rsidRPr="005B222E">
        <w:rPr>
          <w:rFonts w:asciiTheme="majorHAnsi" w:eastAsiaTheme="minorHAnsi" w:hAnsiTheme="majorHAnsi"/>
          <w:i/>
          <w:iCs/>
          <w:color w:val="auto"/>
          <w:sz w:val="16"/>
          <w:szCs w:val="16"/>
          <w:bdr w:val="none" w:sz="0" w:space="0" w:color="auto"/>
          <w:lang w:val="es-ES"/>
        </w:rPr>
        <w:t xml:space="preserve"> </w:t>
      </w:r>
      <w:proofErr w:type="spellStart"/>
      <w:r w:rsidRPr="005B222E">
        <w:rPr>
          <w:rFonts w:asciiTheme="majorHAnsi" w:eastAsiaTheme="minorHAnsi" w:hAnsiTheme="majorHAnsi"/>
          <w:i/>
          <w:iCs/>
          <w:color w:val="auto"/>
          <w:sz w:val="16"/>
          <w:szCs w:val="16"/>
          <w:bdr w:val="none" w:sz="0" w:space="0" w:color="auto"/>
          <w:lang w:val="es-ES"/>
        </w:rPr>
        <w:t>Dep’t</w:t>
      </w:r>
      <w:proofErr w:type="spellEnd"/>
      <w:r w:rsidRPr="005B222E">
        <w:rPr>
          <w:rFonts w:asciiTheme="majorHAnsi" w:eastAsiaTheme="minorHAnsi" w:hAnsiTheme="majorHAnsi"/>
          <w:i/>
          <w:iCs/>
          <w:color w:val="auto"/>
          <w:sz w:val="16"/>
          <w:szCs w:val="16"/>
          <w:bdr w:val="none" w:sz="0" w:space="0" w:color="auto"/>
          <w:lang w:val="es-ES"/>
        </w:rPr>
        <w:t xml:space="preserve">. Of </w:t>
      </w:r>
      <w:proofErr w:type="spellStart"/>
      <w:r w:rsidRPr="005B222E">
        <w:rPr>
          <w:rFonts w:asciiTheme="majorHAnsi" w:eastAsiaTheme="minorHAnsi" w:hAnsiTheme="majorHAnsi"/>
          <w:i/>
          <w:iCs/>
          <w:color w:val="auto"/>
          <w:sz w:val="16"/>
          <w:szCs w:val="16"/>
          <w:bdr w:val="none" w:sz="0" w:space="0" w:color="auto"/>
          <w:lang w:val="es-ES"/>
        </w:rPr>
        <w:t>Corrections</w:t>
      </w:r>
      <w:proofErr w:type="spellEnd"/>
      <w:r w:rsidRPr="005B222E">
        <w:rPr>
          <w:rFonts w:asciiTheme="majorHAnsi" w:eastAsiaTheme="minorHAnsi" w:hAnsiTheme="majorHAnsi"/>
          <w:i/>
          <w:iCs/>
          <w:color w:val="auto"/>
          <w:sz w:val="16"/>
          <w:szCs w:val="16"/>
          <w:bdr w:val="none" w:sz="0" w:space="0" w:color="auto"/>
          <w:lang w:val="es-ES"/>
        </w:rPr>
        <w:t xml:space="preserve">, </w:t>
      </w:r>
      <w:r w:rsidRPr="005B222E">
        <w:rPr>
          <w:rFonts w:asciiTheme="majorHAnsi" w:eastAsiaTheme="minorHAnsi" w:hAnsiTheme="majorHAnsi"/>
          <w:color w:val="auto"/>
          <w:sz w:val="16"/>
          <w:szCs w:val="16"/>
          <w:bdr w:val="none" w:sz="0" w:space="0" w:color="auto"/>
          <w:lang w:val="es-ES"/>
        </w:rPr>
        <w:t>459 F. 3d 1206 (11th Cir. 2006).</w:t>
      </w:r>
    </w:p>
  </w:footnote>
  <w:footnote w:id="15">
    <w:p w14:paraId="6D851030" w14:textId="77777777" w:rsidR="00873D49" w:rsidRPr="005B222E" w:rsidRDefault="00873D49" w:rsidP="001571B9">
      <w:pPr>
        <w:pStyle w:val="FootnoteText"/>
        <w:jc w:val="both"/>
        <w:rPr>
          <w:rFonts w:asciiTheme="majorHAnsi" w:hAnsiTheme="majorHAnsi"/>
          <w:color w:val="auto"/>
          <w:sz w:val="16"/>
          <w:szCs w:val="16"/>
          <w:lang w:val="es-ES"/>
        </w:rPr>
      </w:pPr>
      <w:r w:rsidRPr="004A0895">
        <w:rPr>
          <w:rStyle w:val="FootnoteReference"/>
          <w:rFonts w:asciiTheme="majorHAnsi" w:hAnsiTheme="majorHAnsi"/>
          <w:color w:val="auto"/>
          <w:sz w:val="16"/>
          <w:szCs w:val="16"/>
        </w:rPr>
        <w:footnoteRef/>
      </w:r>
      <w:r w:rsidRPr="005B222E">
        <w:rPr>
          <w:rFonts w:asciiTheme="majorHAnsi" w:hAnsiTheme="majorHAnsi"/>
          <w:color w:val="auto"/>
          <w:sz w:val="16"/>
          <w:szCs w:val="16"/>
          <w:lang w:val="es-ES"/>
        </w:rPr>
        <w:t xml:space="preserve"> </w:t>
      </w:r>
      <w:r w:rsidRPr="005B222E">
        <w:rPr>
          <w:rFonts w:asciiTheme="majorHAnsi" w:hAnsiTheme="majorHAnsi"/>
          <w:sz w:val="16"/>
          <w:szCs w:val="16"/>
          <w:lang w:val="es-ES"/>
        </w:rPr>
        <w:t>Solicitud de medidas cautelares del peticionario presentada el 10 de agosto de 2011</w:t>
      </w:r>
      <w:r w:rsidRPr="005B222E">
        <w:rPr>
          <w:rFonts w:asciiTheme="majorHAnsi" w:hAnsiTheme="majorHAnsi"/>
          <w:color w:val="auto"/>
          <w:sz w:val="16"/>
          <w:szCs w:val="16"/>
          <w:lang w:val="es-ES"/>
        </w:rPr>
        <w:t xml:space="preserve">, </w:t>
      </w:r>
      <w:r>
        <w:rPr>
          <w:rFonts w:asciiTheme="majorHAnsi" w:hAnsiTheme="majorHAnsi"/>
          <w:color w:val="auto"/>
          <w:sz w:val="16"/>
          <w:szCs w:val="16"/>
          <w:lang w:val="es-ES"/>
        </w:rPr>
        <w:t>citando</w:t>
      </w:r>
      <w:r w:rsidRPr="005B222E">
        <w:rPr>
          <w:rFonts w:asciiTheme="majorHAnsi" w:hAnsiTheme="majorHAnsi"/>
          <w:color w:val="auto"/>
          <w:sz w:val="16"/>
          <w:szCs w:val="16"/>
          <w:lang w:val="es-ES"/>
        </w:rPr>
        <w:t xml:space="preserve"> </w:t>
      </w:r>
      <w:r w:rsidRPr="005B222E">
        <w:rPr>
          <w:rFonts w:asciiTheme="majorHAnsi" w:eastAsiaTheme="minorHAnsi" w:hAnsiTheme="majorHAnsi"/>
          <w:i/>
          <w:iCs/>
          <w:color w:val="auto"/>
          <w:sz w:val="16"/>
          <w:szCs w:val="16"/>
          <w:bdr w:val="none" w:sz="0" w:space="0" w:color="auto"/>
          <w:lang w:val="es-ES"/>
        </w:rPr>
        <w:t xml:space="preserve">Valle v. </w:t>
      </w:r>
      <w:proofErr w:type="spellStart"/>
      <w:r w:rsidRPr="005B222E">
        <w:rPr>
          <w:rFonts w:asciiTheme="majorHAnsi" w:eastAsiaTheme="minorHAnsi" w:hAnsiTheme="majorHAnsi"/>
          <w:i/>
          <w:iCs/>
          <w:color w:val="auto"/>
          <w:sz w:val="16"/>
          <w:szCs w:val="16"/>
          <w:bdr w:val="none" w:sz="0" w:space="0" w:color="auto"/>
          <w:lang w:val="es-ES"/>
        </w:rPr>
        <w:t>Sec’y</w:t>
      </w:r>
      <w:proofErr w:type="spellEnd"/>
      <w:r w:rsidRPr="005B222E">
        <w:rPr>
          <w:rFonts w:asciiTheme="majorHAnsi" w:eastAsiaTheme="minorHAnsi" w:hAnsiTheme="majorHAnsi"/>
          <w:i/>
          <w:iCs/>
          <w:color w:val="auto"/>
          <w:sz w:val="16"/>
          <w:szCs w:val="16"/>
          <w:bdr w:val="none" w:sz="0" w:space="0" w:color="auto"/>
          <w:lang w:val="es-ES"/>
        </w:rPr>
        <w:t xml:space="preserve">. </w:t>
      </w:r>
      <w:proofErr w:type="spellStart"/>
      <w:r w:rsidRPr="005B222E">
        <w:rPr>
          <w:rFonts w:asciiTheme="majorHAnsi" w:eastAsiaTheme="minorHAnsi" w:hAnsiTheme="majorHAnsi"/>
          <w:i/>
          <w:iCs/>
          <w:color w:val="auto"/>
          <w:sz w:val="16"/>
          <w:szCs w:val="16"/>
          <w:bdr w:val="none" w:sz="0" w:space="0" w:color="auto"/>
          <w:lang w:val="es-ES"/>
        </w:rPr>
        <w:t>for</w:t>
      </w:r>
      <w:proofErr w:type="spellEnd"/>
      <w:r w:rsidRPr="005B222E">
        <w:rPr>
          <w:rFonts w:asciiTheme="majorHAnsi" w:eastAsiaTheme="minorHAnsi" w:hAnsiTheme="majorHAnsi"/>
          <w:i/>
          <w:iCs/>
          <w:color w:val="auto"/>
          <w:sz w:val="16"/>
          <w:szCs w:val="16"/>
          <w:bdr w:val="none" w:sz="0" w:space="0" w:color="auto"/>
          <w:lang w:val="es-ES"/>
        </w:rPr>
        <w:t xml:space="preserve"> </w:t>
      </w:r>
      <w:proofErr w:type="spellStart"/>
      <w:r w:rsidRPr="005B222E">
        <w:rPr>
          <w:rFonts w:asciiTheme="majorHAnsi" w:eastAsiaTheme="minorHAnsi" w:hAnsiTheme="majorHAnsi"/>
          <w:i/>
          <w:iCs/>
          <w:color w:val="auto"/>
          <w:sz w:val="16"/>
          <w:szCs w:val="16"/>
          <w:bdr w:val="none" w:sz="0" w:space="0" w:color="auto"/>
          <w:lang w:val="es-ES"/>
        </w:rPr>
        <w:t>Dep’t</w:t>
      </w:r>
      <w:proofErr w:type="spellEnd"/>
      <w:r w:rsidRPr="005B222E">
        <w:rPr>
          <w:rFonts w:asciiTheme="majorHAnsi" w:eastAsiaTheme="minorHAnsi" w:hAnsiTheme="majorHAnsi"/>
          <w:i/>
          <w:iCs/>
          <w:color w:val="auto"/>
          <w:sz w:val="16"/>
          <w:szCs w:val="16"/>
          <w:bdr w:val="none" w:sz="0" w:space="0" w:color="auto"/>
          <w:lang w:val="es-ES"/>
        </w:rPr>
        <w:t xml:space="preserve">. Of </w:t>
      </w:r>
      <w:proofErr w:type="spellStart"/>
      <w:r w:rsidRPr="005B222E">
        <w:rPr>
          <w:rFonts w:asciiTheme="majorHAnsi" w:eastAsiaTheme="minorHAnsi" w:hAnsiTheme="majorHAnsi"/>
          <w:i/>
          <w:iCs/>
          <w:color w:val="auto"/>
          <w:sz w:val="16"/>
          <w:szCs w:val="16"/>
          <w:bdr w:val="none" w:sz="0" w:space="0" w:color="auto"/>
          <w:lang w:val="es-ES"/>
        </w:rPr>
        <w:t>Corrections</w:t>
      </w:r>
      <w:proofErr w:type="spellEnd"/>
      <w:r w:rsidRPr="005B222E">
        <w:rPr>
          <w:rFonts w:asciiTheme="majorHAnsi" w:eastAsiaTheme="minorHAnsi" w:hAnsiTheme="majorHAnsi"/>
          <w:i/>
          <w:iCs/>
          <w:color w:val="auto"/>
          <w:sz w:val="16"/>
          <w:szCs w:val="16"/>
          <w:bdr w:val="none" w:sz="0" w:space="0" w:color="auto"/>
          <w:lang w:val="es-ES"/>
        </w:rPr>
        <w:t xml:space="preserve">, </w:t>
      </w:r>
      <w:r w:rsidRPr="005B222E">
        <w:rPr>
          <w:rFonts w:asciiTheme="majorHAnsi" w:eastAsiaTheme="minorHAnsi" w:hAnsiTheme="majorHAnsi"/>
          <w:color w:val="auto"/>
          <w:sz w:val="16"/>
          <w:szCs w:val="16"/>
          <w:bdr w:val="none" w:sz="0" w:space="0" w:color="auto"/>
          <w:lang w:val="es-ES"/>
        </w:rPr>
        <w:t>478 F. 3d 1326 (11th Cir. 2007).</w:t>
      </w:r>
    </w:p>
  </w:footnote>
  <w:footnote w:id="16">
    <w:p w14:paraId="24CAFD5F" w14:textId="77777777" w:rsidR="00873D49" w:rsidRPr="005B222E" w:rsidRDefault="00873D49" w:rsidP="001571B9">
      <w:pPr>
        <w:pStyle w:val="FootnoteText"/>
        <w:jc w:val="both"/>
        <w:rPr>
          <w:rFonts w:asciiTheme="majorHAnsi" w:hAnsiTheme="majorHAnsi"/>
          <w:color w:val="auto"/>
          <w:sz w:val="16"/>
          <w:szCs w:val="16"/>
          <w:lang w:val="es-ES"/>
        </w:rPr>
      </w:pPr>
      <w:r w:rsidRPr="004A0895">
        <w:rPr>
          <w:rStyle w:val="FootnoteReference"/>
          <w:rFonts w:asciiTheme="majorHAnsi" w:hAnsiTheme="majorHAnsi"/>
          <w:color w:val="auto"/>
          <w:sz w:val="16"/>
          <w:szCs w:val="16"/>
        </w:rPr>
        <w:footnoteRef/>
      </w:r>
      <w:r w:rsidRPr="005B222E">
        <w:rPr>
          <w:rFonts w:asciiTheme="majorHAnsi" w:hAnsiTheme="majorHAnsi"/>
          <w:color w:val="auto"/>
          <w:sz w:val="16"/>
          <w:szCs w:val="16"/>
          <w:lang w:val="es-ES"/>
        </w:rPr>
        <w:t xml:space="preserve"> </w:t>
      </w:r>
      <w:r w:rsidRPr="005B222E">
        <w:rPr>
          <w:rFonts w:asciiTheme="majorHAnsi" w:hAnsiTheme="majorHAnsi"/>
          <w:sz w:val="16"/>
          <w:szCs w:val="16"/>
          <w:lang w:val="es-ES"/>
        </w:rPr>
        <w:t>Solicitud de medidas cautelares del peticionario presentada el 10 de agosto de 2011</w:t>
      </w:r>
      <w:r w:rsidRPr="005B222E">
        <w:rPr>
          <w:rFonts w:asciiTheme="majorHAnsi" w:hAnsiTheme="majorHAnsi"/>
          <w:color w:val="auto"/>
          <w:sz w:val="16"/>
          <w:szCs w:val="16"/>
          <w:lang w:val="es-ES"/>
        </w:rPr>
        <w:t xml:space="preserve">, </w:t>
      </w:r>
      <w:r>
        <w:rPr>
          <w:rFonts w:asciiTheme="majorHAnsi" w:hAnsiTheme="majorHAnsi"/>
          <w:color w:val="auto"/>
          <w:sz w:val="16"/>
          <w:szCs w:val="16"/>
          <w:lang w:val="es-ES"/>
        </w:rPr>
        <w:t>citando</w:t>
      </w:r>
      <w:r w:rsidRPr="005B222E">
        <w:rPr>
          <w:rFonts w:asciiTheme="majorHAnsi" w:hAnsiTheme="majorHAnsi"/>
          <w:color w:val="auto"/>
          <w:sz w:val="16"/>
          <w:szCs w:val="16"/>
          <w:lang w:val="es-ES"/>
        </w:rPr>
        <w:t xml:space="preserve"> </w:t>
      </w:r>
      <w:r w:rsidRPr="005B222E">
        <w:rPr>
          <w:rFonts w:asciiTheme="majorHAnsi" w:eastAsiaTheme="minorHAnsi" w:hAnsiTheme="majorHAnsi"/>
          <w:i/>
          <w:iCs/>
          <w:color w:val="auto"/>
          <w:sz w:val="16"/>
          <w:szCs w:val="16"/>
          <w:bdr w:val="none" w:sz="0" w:space="0" w:color="auto"/>
          <w:lang w:val="es-ES"/>
        </w:rPr>
        <w:t xml:space="preserve">Valle v. </w:t>
      </w:r>
      <w:proofErr w:type="spellStart"/>
      <w:r w:rsidRPr="005B222E">
        <w:rPr>
          <w:rFonts w:asciiTheme="majorHAnsi" w:eastAsiaTheme="minorHAnsi" w:hAnsiTheme="majorHAnsi"/>
          <w:i/>
          <w:iCs/>
          <w:color w:val="auto"/>
          <w:sz w:val="16"/>
          <w:szCs w:val="16"/>
          <w:bdr w:val="none" w:sz="0" w:space="0" w:color="auto"/>
          <w:lang w:val="es-ES"/>
        </w:rPr>
        <w:t>McDonough</w:t>
      </w:r>
      <w:proofErr w:type="spellEnd"/>
      <w:r w:rsidRPr="005B222E">
        <w:rPr>
          <w:rFonts w:asciiTheme="majorHAnsi" w:eastAsiaTheme="minorHAnsi" w:hAnsiTheme="majorHAnsi"/>
          <w:color w:val="auto"/>
          <w:sz w:val="16"/>
          <w:szCs w:val="16"/>
          <w:bdr w:val="none" w:sz="0" w:space="0" w:color="auto"/>
          <w:lang w:val="es-ES"/>
        </w:rPr>
        <w:t xml:space="preserve">, 552 U.S. 920 (2007). </w:t>
      </w:r>
    </w:p>
  </w:footnote>
  <w:footnote w:id="17">
    <w:p w14:paraId="1A66E9C6" w14:textId="4706DF92" w:rsidR="00873D49" w:rsidRPr="005B222E" w:rsidRDefault="00873D49" w:rsidP="001571B9">
      <w:pPr>
        <w:pStyle w:val="FootnoteText"/>
        <w:jc w:val="both"/>
        <w:rPr>
          <w:rFonts w:asciiTheme="majorHAnsi" w:hAnsiTheme="majorHAnsi"/>
          <w:color w:val="auto"/>
          <w:sz w:val="16"/>
          <w:szCs w:val="16"/>
          <w:lang w:val="es-ES"/>
        </w:rPr>
      </w:pPr>
      <w:r w:rsidRPr="004A0895">
        <w:rPr>
          <w:rStyle w:val="FootnoteReference"/>
          <w:rFonts w:asciiTheme="majorHAnsi" w:hAnsiTheme="majorHAnsi"/>
          <w:color w:val="auto"/>
          <w:sz w:val="16"/>
          <w:szCs w:val="16"/>
        </w:rPr>
        <w:footnoteRef/>
      </w:r>
      <w:r w:rsidRPr="005B222E">
        <w:rPr>
          <w:rFonts w:asciiTheme="majorHAnsi" w:hAnsiTheme="majorHAnsi"/>
          <w:color w:val="auto"/>
          <w:sz w:val="16"/>
          <w:szCs w:val="16"/>
          <w:lang w:val="es-ES"/>
        </w:rPr>
        <w:t xml:space="preserve"> Manuel Valle v </w:t>
      </w:r>
      <w:r w:rsidR="00C34A87">
        <w:rPr>
          <w:rFonts w:asciiTheme="majorHAnsi" w:hAnsiTheme="majorHAnsi"/>
          <w:color w:val="auto"/>
          <w:sz w:val="16"/>
          <w:szCs w:val="16"/>
          <w:lang w:val="es-ES"/>
        </w:rPr>
        <w:t xml:space="preserve">Estado de </w:t>
      </w:r>
      <w:r w:rsidRPr="005B222E">
        <w:rPr>
          <w:rFonts w:asciiTheme="majorHAnsi" w:hAnsiTheme="majorHAnsi"/>
          <w:color w:val="auto"/>
          <w:sz w:val="16"/>
          <w:szCs w:val="16"/>
          <w:lang w:val="es-ES"/>
        </w:rPr>
        <w:t xml:space="preserve">Florida No SC11-1387, 23 de </w:t>
      </w:r>
      <w:r>
        <w:rPr>
          <w:rFonts w:asciiTheme="majorHAnsi" w:hAnsiTheme="majorHAnsi"/>
          <w:color w:val="auto"/>
          <w:sz w:val="16"/>
          <w:szCs w:val="16"/>
          <w:lang w:val="es-ES"/>
        </w:rPr>
        <w:t>a</w:t>
      </w:r>
      <w:r w:rsidRPr="005B222E">
        <w:rPr>
          <w:rFonts w:asciiTheme="majorHAnsi" w:hAnsiTheme="majorHAnsi"/>
          <w:color w:val="auto"/>
          <w:sz w:val="16"/>
          <w:szCs w:val="16"/>
          <w:lang w:val="es-ES"/>
        </w:rPr>
        <w:t xml:space="preserve">gosto de </w:t>
      </w:r>
      <w:r>
        <w:rPr>
          <w:rFonts w:asciiTheme="majorHAnsi" w:hAnsiTheme="majorHAnsi"/>
          <w:color w:val="auto"/>
          <w:sz w:val="16"/>
          <w:szCs w:val="16"/>
          <w:lang w:val="es-ES"/>
        </w:rPr>
        <w:t>2011</w:t>
      </w:r>
      <w:r w:rsidR="00C34A87">
        <w:rPr>
          <w:rFonts w:asciiTheme="majorHAnsi" w:hAnsiTheme="majorHAnsi"/>
          <w:color w:val="auto"/>
          <w:sz w:val="16"/>
          <w:szCs w:val="16"/>
          <w:lang w:val="es-ES"/>
        </w:rPr>
        <w:t>.</w:t>
      </w:r>
    </w:p>
  </w:footnote>
  <w:footnote w:id="18">
    <w:p w14:paraId="7923169C" w14:textId="41734AC7" w:rsidR="00873D49" w:rsidRPr="005B222E" w:rsidRDefault="00873D49" w:rsidP="001571B9">
      <w:pPr>
        <w:pStyle w:val="FootnoteText"/>
        <w:jc w:val="both"/>
        <w:rPr>
          <w:rFonts w:asciiTheme="majorHAnsi" w:hAnsiTheme="majorHAnsi"/>
          <w:color w:val="auto"/>
          <w:sz w:val="16"/>
          <w:szCs w:val="16"/>
          <w:lang w:val="es-ES"/>
        </w:rPr>
      </w:pPr>
      <w:r w:rsidRPr="004A0895">
        <w:rPr>
          <w:rStyle w:val="FootnoteReference"/>
          <w:rFonts w:asciiTheme="majorHAnsi" w:hAnsiTheme="majorHAnsi"/>
          <w:color w:val="auto"/>
          <w:sz w:val="16"/>
          <w:szCs w:val="16"/>
        </w:rPr>
        <w:footnoteRef/>
      </w:r>
      <w:r w:rsidRPr="005B222E">
        <w:rPr>
          <w:rFonts w:asciiTheme="majorHAnsi" w:hAnsiTheme="majorHAnsi"/>
          <w:color w:val="auto"/>
          <w:sz w:val="16"/>
          <w:szCs w:val="16"/>
          <w:lang w:val="es-ES"/>
        </w:rPr>
        <w:t xml:space="preserve"> Manuel Valle v </w:t>
      </w:r>
      <w:r w:rsidR="00C34A87">
        <w:rPr>
          <w:rFonts w:asciiTheme="majorHAnsi" w:hAnsiTheme="majorHAnsi"/>
          <w:color w:val="auto"/>
          <w:sz w:val="16"/>
          <w:szCs w:val="16"/>
          <w:lang w:val="es-ES"/>
        </w:rPr>
        <w:t xml:space="preserve">Estado de </w:t>
      </w:r>
      <w:r w:rsidRPr="005B222E">
        <w:rPr>
          <w:rFonts w:asciiTheme="majorHAnsi" w:hAnsiTheme="majorHAnsi"/>
          <w:color w:val="auto"/>
          <w:sz w:val="16"/>
          <w:szCs w:val="16"/>
          <w:lang w:val="es-ES"/>
        </w:rPr>
        <w:t xml:space="preserve">Florida No SC11-1387, 23 de </w:t>
      </w:r>
      <w:r>
        <w:rPr>
          <w:rFonts w:asciiTheme="majorHAnsi" w:hAnsiTheme="majorHAnsi"/>
          <w:color w:val="auto"/>
          <w:sz w:val="16"/>
          <w:szCs w:val="16"/>
          <w:lang w:val="es-ES"/>
        </w:rPr>
        <w:t>a</w:t>
      </w:r>
      <w:r w:rsidRPr="005B222E">
        <w:rPr>
          <w:rFonts w:asciiTheme="majorHAnsi" w:hAnsiTheme="majorHAnsi"/>
          <w:color w:val="auto"/>
          <w:sz w:val="16"/>
          <w:szCs w:val="16"/>
          <w:lang w:val="es-ES"/>
        </w:rPr>
        <w:t xml:space="preserve">gosto de </w:t>
      </w:r>
      <w:r>
        <w:rPr>
          <w:rFonts w:asciiTheme="majorHAnsi" w:hAnsiTheme="majorHAnsi"/>
          <w:color w:val="auto"/>
          <w:sz w:val="16"/>
          <w:szCs w:val="16"/>
          <w:lang w:val="es-ES"/>
        </w:rPr>
        <w:t>2011</w:t>
      </w:r>
      <w:r w:rsidR="00C34A87">
        <w:rPr>
          <w:rFonts w:asciiTheme="majorHAnsi" w:hAnsiTheme="majorHAnsi"/>
          <w:color w:val="auto"/>
          <w:sz w:val="16"/>
          <w:szCs w:val="16"/>
          <w:lang w:val="es-ES"/>
        </w:rPr>
        <w:t>.</w:t>
      </w:r>
    </w:p>
  </w:footnote>
  <w:footnote w:id="19">
    <w:p w14:paraId="52275C07" w14:textId="796BA90F" w:rsidR="00873D49" w:rsidRPr="005B222E" w:rsidRDefault="00873D49" w:rsidP="001571B9">
      <w:pPr>
        <w:pStyle w:val="FootnoteText"/>
        <w:jc w:val="both"/>
        <w:rPr>
          <w:rFonts w:asciiTheme="majorHAnsi" w:hAnsiTheme="majorHAnsi"/>
          <w:color w:val="auto"/>
          <w:sz w:val="16"/>
          <w:szCs w:val="16"/>
          <w:lang w:val="es-ES"/>
        </w:rPr>
      </w:pPr>
      <w:r w:rsidRPr="004A0895">
        <w:rPr>
          <w:rStyle w:val="FootnoteReference"/>
          <w:rFonts w:asciiTheme="majorHAnsi" w:hAnsiTheme="majorHAnsi"/>
          <w:color w:val="auto"/>
          <w:sz w:val="16"/>
          <w:szCs w:val="16"/>
        </w:rPr>
        <w:footnoteRef/>
      </w:r>
      <w:r w:rsidRPr="005B222E">
        <w:rPr>
          <w:rFonts w:asciiTheme="majorHAnsi" w:hAnsiTheme="majorHAnsi"/>
          <w:color w:val="auto"/>
          <w:sz w:val="16"/>
          <w:szCs w:val="16"/>
          <w:lang w:val="es-ES"/>
        </w:rPr>
        <w:t xml:space="preserve"> Manuel Valle v </w:t>
      </w:r>
      <w:r w:rsidR="00C34A87">
        <w:rPr>
          <w:rFonts w:asciiTheme="majorHAnsi" w:hAnsiTheme="majorHAnsi"/>
          <w:color w:val="auto"/>
          <w:sz w:val="16"/>
          <w:szCs w:val="16"/>
          <w:lang w:val="es-ES"/>
        </w:rPr>
        <w:t xml:space="preserve">Estado de </w:t>
      </w:r>
      <w:r w:rsidRPr="005B222E">
        <w:rPr>
          <w:rFonts w:asciiTheme="majorHAnsi" w:hAnsiTheme="majorHAnsi"/>
          <w:color w:val="auto"/>
          <w:sz w:val="16"/>
          <w:szCs w:val="16"/>
          <w:lang w:val="es-ES"/>
        </w:rPr>
        <w:t xml:space="preserve">Florida No SC11-1387, 23 de </w:t>
      </w:r>
      <w:r>
        <w:rPr>
          <w:rFonts w:asciiTheme="majorHAnsi" w:hAnsiTheme="majorHAnsi"/>
          <w:color w:val="auto"/>
          <w:sz w:val="16"/>
          <w:szCs w:val="16"/>
          <w:lang w:val="es-ES"/>
        </w:rPr>
        <w:t>a</w:t>
      </w:r>
      <w:r w:rsidRPr="005B222E">
        <w:rPr>
          <w:rFonts w:asciiTheme="majorHAnsi" w:hAnsiTheme="majorHAnsi"/>
          <w:color w:val="auto"/>
          <w:sz w:val="16"/>
          <w:szCs w:val="16"/>
          <w:lang w:val="es-ES"/>
        </w:rPr>
        <w:t xml:space="preserve">gosto de </w:t>
      </w:r>
      <w:r>
        <w:rPr>
          <w:rFonts w:asciiTheme="majorHAnsi" w:hAnsiTheme="majorHAnsi"/>
          <w:color w:val="auto"/>
          <w:sz w:val="16"/>
          <w:szCs w:val="16"/>
          <w:lang w:val="es-ES"/>
        </w:rPr>
        <w:t>2011</w:t>
      </w:r>
      <w:r w:rsidR="00C34A87">
        <w:rPr>
          <w:rFonts w:asciiTheme="majorHAnsi" w:hAnsiTheme="majorHAnsi"/>
          <w:color w:val="auto"/>
          <w:sz w:val="16"/>
          <w:szCs w:val="16"/>
          <w:lang w:val="es-ES"/>
        </w:rPr>
        <w:t>.</w:t>
      </w:r>
    </w:p>
  </w:footnote>
  <w:footnote w:id="20">
    <w:p w14:paraId="4B024E09" w14:textId="77392227" w:rsidR="00873D49" w:rsidRPr="005B222E" w:rsidRDefault="00873D49" w:rsidP="005A58AF">
      <w:pPr>
        <w:pStyle w:val="FootnoteText"/>
        <w:jc w:val="both"/>
        <w:rPr>
          <w:rFonts w:asciiTheme="majorHAnsi" w:hAnsiTheme="majorHAnsi"/>
          <w:color w:val="auto"/>
          <w:sz w:val="16"/>
          <w:szCs w:val="16"/>
          <w:lang w:val="es-ES"/>
        </w:rPr>
      </w:pPr>
      <w:r w:rsidRPr="004A0895">
        <w:rPr>
          <w:rStyle w:val="FootnoteReference"/>
          <w:rFonts w:asciiTheme="majorHAnsi" w:hAnsiTheme="majorHAnsi"/>
          <w:color w:val="auto"/>
          <w:sz w:val="16"/>
          <w:szCs w:val="16"/>
        </w:rPr>
        <w:footnoteRef/>
      </w:r>
      <w:r w:rsidRPr="005B222E">
        <w:rPr>
          <w:rFonts w:asciiTheme="majorHAnsi" w:hAnsiTheme="majorHAnsi"/>
          <w:color w:val="auto"/>
          <w:sz w:val="16"/>
          <w:szCs w:val="16"/>
          <w:lang w:val="es-ES"/>
        </w:rPr>
        <w:t xml:space="preserve"> Manuel Valle v </w:t>
      </w:r>
      <w:r w:rsidR="00C34A87">
        <w:rPr>
          <w:rFonts w:asciiTheme="majorHAnsi" w:hAnsiTheme="majorHAnsi"/>
          <w:color w:val="auto"/>
          <w:sz w:val="16"/>
          <w:szCs w:val="16"/>
          <w:lang w:val="es-ES"/>
        </w:rPr>
        <w:t>Estado de Florida</w:t>
      </w:r>
      <w:r w:rsidRPr="005B222E">
        <w:rPr>
          <w:rFonts w:asciiTheme="majorHAnsi" w:hAnsiTheme="majorHAnsi"/>
          <w:color w:val="auto"/>
          <w:sz w:val="16"/>
          <w:szCs w:val="16"/>
          <w:lang w:val="es-ES"/>
        </w:rPr>
        <w:t xml:space="preserve"> No SC11-1387, 23 de </w:t>
      </w:r>
      <w:r>
        <w:rPr>
          <w:rFonts w:asciiTheme="majorHAnsi" w:hAnsiTheme="majorHAnsi"/>
          <w:color w:val="auto"/>
          <w:sz w:val="16"/>
          <w:szCs w:val="16"/>
          <w:lang w:val="es-ES"/>
        </w:rPr>
        <w:t>a</w:t>
      </w:r>
      <w:r w:rsidRPr="005B222E">
        <w:rPr>
          <w:rFonts w:asciiTheme="majorHAnsi" w:hAnsiTheme="majorHAnsi"/>
          <w:color w:val="auto"/>
          <w:sz w:val="16"/>
          <w:szCs w:val="16"/>
          <w:lang w:val="es-ES"/>
        </w:rPr>
        <w:t xml:space="preserve">gosto de </w:t>
      </w:r>
      <w:r>
        <w:rPr>
          <w:rFonts w:asciiTheme="majorHAnsi" w:hAnsiTheme="majorHAnsi"/>
          <w:color w:val="auto"/>
          <w:sz w:val="16"/>
          <w:szCs w:val="16"/>
          <w:lang w:val="es-ES"/>
        </w:rPr>
        <w:t>2011</w:t>
      </w:r>
      <w:r w:rsidR="00C34A87">
        <w:rPr>
          <w:rFonts w:asciiTheme="majorHAnsi" w:hAnsiTheme="majorHAnsi"/>
          <w:color w:val="auto"/>
          <w:sz w:val="16"/>
          <w:szCs w:val="16"/>
          <w:lang w:val="es-ES"/>
        </w:rPr>
        <w:t>.</w:t>
      </w:r>
    </w:p>
  </w:footnote>
  <w:footnote w:id="21">
    <w:p w14:paraId="327892C7" w14:textId="632E0315" w:rsidR="00873D49" w:rsidRPr="005B222E" w:rsidRDefault="00873D49" w:rsidP="004A0895">
      <w:pPr>
        <w:pStyle w:val="FootnoteText"/>
        <w:jc w:val="both"/>
        <w:rPr>
          <w:rFonts w:asciiTheme="majorHAnsi" w:hAnsiTheme="majorHAnsi"/>
          <w:color w:val="auto"/>
          <w:sz w:val="16"/>
          <w:szCs w:val="16"/>
          <w:lang w:val="es-ES"/>
        </w:rPr>
      </w:pPr>
      <w:r w:rsidRPr="004A0895">
        <w:rPr>
          <w:rStyle w:val="FootnoteReference"/>
          <w:rFonts w:asciiTheme="majorHAnsi" w:hAnsiTheme="majorHAnsi"/>
          <w:color w:val="auto"/>
          <w:sz w:val="16"/>
          <w:szCs w:val="16"/>
        </w:rPr>
        <w:footnoteRef/>
      </w:r>
      <w:r w:rsidRPr="005B222E">
        <w:rPr>
          <w:rFonts w:asciiTheme="majorHAnsi" w:hAnsiTheme="majorHAnsi"/>
          <w:color w:val="auto"/>
          <w:sz w:val="16"/>
          <w:szCs w:val="16"/>
          <w:lang w:val="es-ES"/>
        </w:rPr>
        <w:t xml:space="preserve"> Manuel Valle v </w:t>
      </w:r>
      <w:r w:rsidR="00C34A87">
        <w:rPr>
          <w:rFonts w:asciiTheme="majorHAnsi" w:hAnsiTheme="majorHAnsi"/>
          <w:color w:val="auto"/>
          <w:sz w:val="16"/>
          <w:szCs w:val="16"/>
          <w:lang w:val="es-ES"/>
        </w:rPr>
        <w:t>Estado de</w:t>
      </w:r>
      <w:r w:rsidRPr="005B222E">
        <w:rPr>
          <w:rFonts w:asciiTheme="majorHAnsi" w:hAnsiTheme="majorHAnsi"/>
          <w:color w:val="auto"/>
          <w:sz w:val="16"/>
          <w:szCs w:val="16"/>
          <w:lang w:val="es-ES"/>
        </w:rPr>
        <w:t xml:space="preserve"> Florida No SC11-1387, 23 de </w:t>
      </w:r>
      <w:r>
        <w:rPr>
          <w:rFonts w:asciiTheme="majorHAnsi" w:hAnsiTheme="majorHAnsi"/>
          <w:color w:val="auto"/>
          <w:sz w:val="16"/>
          <w:szCs w:val="16"/>
          <w:lang w:val="es-ES"/>
        </w:rPr>
        <w:t>a</w:t>
      </w:r>
      <w:r w:rsidRPr="005B222E">
        <w:rPr>
          <w:rFonts w:asciiTheme="majorHAnsi" w:hAnsiTheme="majorHAnsi"/>
          <w:color w:val="auto"/>
          <w:sz w:val="16"/>
          <w:szCs w:val="16"/>
          <w:lang w:val="es-ES"/>
        </w:rPr>
        <w:t xml:space="preserve">gosto de </w:t>
      </w:r>
      <w:r>
        <w:rPr>
          <w:rFonts w:asciiTheme="majorHAnsi" w:hAnsiTheme="majorHAnsi"/>
          <w:color w:val="auto"/>
          <w:sz w:val="16"/>
          <w:szCs w:val="16"/>
          <w:lang w:val="es-ES"/>
        </w:rPr>
        <w:t>2011</w:t>
      </w:r>
      <w:r w:rsidR="00C34A87">
        <w:rPr>
          <w:rFonts w:asciiTheme="majorHAnsi" w:hAnsiTheme="majorHAnsi"/>
          <w:color w:val="auto"/>
          <w:sz w:val="16"/>
          <w:szCs w:val="16"/>
          <w:lang w:val="es-ES"/>
        </w:rPr>
        <w:t>.</w:t>
      </w:r>
    </w:p>
  </w:footnote>
  <w:footnote w:id="22">
    <w:p w14:paraId="56A39829" w14:textId="65E03717" w:rsidR="00873D49" w:rsidRPr="005B222E" w:rsidRDefault="00873D49" w:rsidP="004A0895">
      <w:pPr>
        <w:pStyle w:val="FootnoteText"/>
        <w:jc w:val="both"/>
        <w:rPr>
          <w:rFonts w:asciiTheme="majorHAnsi" w:hAnsiTheme="majorHAnsi"/>
          <w:color w:val="auto"/>
          <w:sz w:val="16"/>
          <w:szCs w:val="16"/>
          <w:lang w:val="es-ES"/>
        </w:rPr>
      </w:pPr>
      <w:r w:rsidRPr="004A0895">
        <w:rPr>
          <w:rStyle w:val="FootnoteReference"/>
          <w:rFonts w:asciiTheme="majorHAnsi" w:hAnsiTheme="majorHAnsi"/>
          <w:color w:val="auto"/>
          <w:sz w:val="16"/>
          <w:szCs w:val="16"/>
        </w:rPr>
        <w:footnoteRef/>
      </w:r>
      <w:r w:rsidRPr="005B222E">
        <w:rPr>
          <w:rFonts w:asciiTheme="majorHAnsi" w:hAnsiTheme="majorHAnsi"/>
          <w:color w:val="auto"/>
          <w:sz w:val="16"/>
          <w:szCs w:val="16"/>
          <w:lang w:val="es-ES"/>
        </w:rPr>
        <w:t xml:space="preserve"> </w:t>
      </w:r>
      <w:r w:rsidRPr="005B222E">
        <w:rPr>
          <w:rFonts w:asciiTheme="majorHAnsi" w:hAnsiTheme="majorHAnsi"/>
          <w:sz w:val="16"/>
          <w:szCs w:val="16"/>
          <w:lang w:val="es-ES"/>
        </w:rPr>
        <w:t>Solicitud de medidas cautelares del peticionario presentada el 10 de agosto de 2011</w:t>
      </w:r>
      <w:r w:rsidR="00C34A87">
        <w:rPr>
          <w:rFonts w:asciiTheme="majorHAnsi" w:hAnsiTheme="majorHAnsi"/>
          <w:sz w:val="16"/>
          <w:szCs w:val="16"/>
          <w:lang w:val="es-ES"/>
        </w:rPr>
        <w:t>.</w:t>
      </w:r>
    </w:p>
  </w:footnote>
  <w:footnote w:id="23">
    <w:p w14:paraId="5D113BC1" w14:textId="4C653C9C" w:rsidR="00873D49" w:rsidRPr="005B222E" w:rsidRDefault="00873D49" w:rsidP="00B07607">
      <w:pPr>
        <w:pStyle w:val="FootnoteText"/>
        <w:jc w:val="both"/>
        <w:rPr>
          <w:rFonts w:asciiTheme="majorHAnsi" w:hAnsiTheme="majorHAnsi"/>
          <w:color w:val="auto"/>
          <w:sz w:val="16"/>
          <w:szCs w:val="16"/>
          <w:lang w:val="es-ES"/>
        </w:rPr>
      </w:pPr>
      <w:r w:rsidRPr="004A0895">
        <w:rPr>
          <w:rStyle w:val="FootnoteReference"/>
          <w:rFonts w:asciiTheme="majorHAnsi" w:hAnsiTheme="majorHAnsi"/>
          <w:color w:val="auto"/>
          <w:sz w:val="16"/>
          <w:szCs w:val="16"/>
        </w:rPr>
        <w:footnoteRef/>
      </w:r>
      <w:r w:rsidRPr="005B222E">
        <w:rPr>
          <w:rFonts w:asciiTheme="majorHAnsi" w:hAnsiTheme="majorHAnsi"/>
          <w:color w:val="auto"/>
          <w:sz w:val="16"/>
          <w:szCs w:val="16"/>
          <w:lang w:val="es-ES"/>
        </w:rPr>
        <w:t xml:space="preserve"> Manuel Valle v </w:t>
      </w:r>
      <w:r w:rsidR="00C34A87">
        <w:rPr>
          <w:rFonts w:asciiTheme="majorHAnsi" w:hAnsiTheme="majorHAnsi"/>
          <w:color w:val="auto"/>
          <w:sz w:val="16"/>
          <w:szCs w:val="16"/>
          <w:lang w:val="es-ES"/>
        </w:rPr>
        <w:t>Estado de</w:t>
      </w:r>
      <w:r w:rsidRPr="005B222E">
        <w:rPr>
          <w:rFonts w:asciiTheme="majorHAnsi" w:hAnsiTheme="majorHAnsi"/>
          <w:color w:val="auto"/>
          <w:sz w:val="16"/>
          <w:szCs w:val="16"/>
          <w:lang w:val="es-ES"/>
        </w:rPr>
        <w:t xml:space="preserve"> Florida No SC11-1387, 23 de </w:t>
      </w:r>
      <w:r>
        <w:rPr>
          <w:rFonts w:asciiTheme="majorHAnsi" w:hAnsiTheme="majorHAnsi"/>
          <w:color w:val="auto"/>
          <w:sz w:val="16"/>
          <w:szCs w:val="16"/>
          <w:lang w:val="es-ES"/>
        </w:rPr>
        <w:t>a</w:t>
      </w:r>
      <w:r w:rsidRPr="005B222E">
        <w:rPr>
          <w:rFonts w:asciiTheme="majorHAnsi" w:hAnsiTheme="majorHAnsi"/>
          <w:color w:val="auto"/>
          <w:sz w:val="16"/>
          <w:szCs w:val="16"/>
          <w:lang w:val="es-ES"/>
        </w:rPr>
        <w:t>gosto de 20</w:t>
      </w:r>
      <w:r>
        <w:rPr>
          <w:rFonts w:asciiTheme="majorHAnsi" w:hAnsiTheme="majorHAnsi"/>
          <w:color w:val="auto"/>
          <w:sz w:val="16"/>
          <w:szCs w:val="16"/>
          <w:lang w:val="es-ES"/>
        </w:rPr>
        <w:t>11</w:t>
      </w:r>
      <w:r w:rsidR="00C34A87">
        <w:rPr>
          <w:rFonts w:asciiTheme="majorHAnsi" w:hAnsiTheme="majorHAnsi"/>
          <w:color w:val="auto"/>
          <w:sz w:val="16"/>
          <w:szCs w:val="16"/>
          <w:lang w:val="es-ES"/>
        </w:rPr>
        <w:t>.</w:t>
      </w:r>
    </w:p>
  </w:footnote>
  <w:footnote w:id="24">
    <w:p w14:paraId="792E334D" w14:textId="29841D50" w:rsidR="00873D49" w:rsidRPr="005B222E" w:rsidRDefault="00873D49" w:rsidP="004A0895">
      <w:pPr>
        <w:pStyle w:val="FootnoteText"/>
        <w:jc w:val="both"/>
        <w:rPr>
          <w:rFonts w:asciiTheme="majorHAnsi" w:hAnsiTheme="majorHAnsi"/>
          <w:color w:val="auto"/>
          <w:sz w:val="16"/>
          <w:szCs w:val="16"/>
          <w:lang w:val="es-ES"/>
        </w:rPr>
      </w:pPr>
      <w:r w:rsidRPr="004A0895">
        <w:rPr>
          <w:rStyle w:val="FootnoteReference"/>
          <w:rFonts w:asciiTheme="majorHAnsi" w:hAnsiTheme="majorHAnsi"/>
          <w:color w:val="auto"/>
          <w:sz w:val="16"/>
          <w:szCs w:val="16"/>
        </w:rPr>
        <w:footnoteRef/>
      </w:r>
      <w:r w:rsidRPr="005B222E">
        <w:rPr>
          <w:rFonts w:asciiTheme="majorHAnsi" w:hAnsiTheme="majorHAnsi"/>
          <w:color w:val="auto"/>
          <w:sz w:val="16"/>
          <w:szCs w:val="16"/>
          <w:lang w:val="es-ES"/>
        </w:rPr>
        <w:t xml:space="preserve"> Manuel Valle v </w:t>
      </w:r>
      <w:r w:rsidR="00C34A87">
        <w:rPr>
          <w:rFonts w:asciiTheme="majorHAnsi" w:hAnsiTheme="majorHAnsi"/>
          <w:color w:val="auto"/>
          <w:sz w:val="16"/>
          <w:szCs w:val="16"/>
          <w:lang w:val="es-ES"/>
        </w:rPr>
        <w:t>Estado de</w:t>
      </w:r>
      <w:r w:rsidRPr="005B222E">
        <w:rPr>
          <w:rFonts w:asciiTheme="majorHAnsi" w:hAnsiTheme="majorHAnsi"/>
          <w:color w:val="auto"/>
          <w:sz w:val="16"/>
          <w:szCs w:val="16"/>
          <w:lang w:val="es-ES"/>
        </w:rPr>
        <w:t xml:space="preserve"> Florida No SC11-1387, 23 de </w:t>
      </w:r>
      <w:r>
        <w:rPr>
          <w:rFonts w:asciiTheme="majorHAnsi" w:hAnsiTheme="majorHAnsi"/>
          <w:color w:val="auto"/>
          <w:sz w:val="16"/>
          <w:szCs w:val="16"/>
          <w:lang w:val="es-ES"/>
        </w:rPr>
        <w:t>agosto de 2011</w:t>
      </w:r>
      <w:r w:rsidR="00C34A87">
        <w:rPr>
          <w:rFonts w:asciiTheme="majorHAnsi" w:hAnsiTheme="majorHAnsi"/>
          <w:color w:val="auto"/>
          <w:sz w:val="16"/>
          <w:szCs w:val="16"/>
          <w:lang w:val="es-ES"/>
        </w:rPr>
        <w:t>.</w:t>
      </w:r>
    </w:p>
  </w:footnote>
  <w:footnote w:id="25">
    <w:p w14:paraId="7C730927" w14:textId="4056E09F" w:rsidR="00873D49" w:rsidRPr="00E36893" w:rsidRDefault="00873D49" w:rsidP="004621D7">
      <w:pPr>
        <w:pStyle w:val="FootnoteText"/>
        <w:jc w:val="both"/>
        <w:rPr>
          <w:rFonts w:asciiTheme="majorHAnsi" w:hAnsiTheme="majorHAnsi"/>
          <w:color w:val="auto"/>
          <w:sz w:val="16"/>
          <w:szCs w:val="16"/>
          <w:lang w:val="es-ES"/>
        </w:rPr>
      </w:pPr>
      <w:r w:rsidRPr="004A0895">
        <w:rPr>
          <w:rStyle w:val="FootnoteReference"/>
          <w:rFonts w:asciiTheme="majorHAnsi" w:hAnsiTheme="majorHAnsi"/>
          <w:color w:val="auto"/>
          <w:sz w:val="16"/>
          <w:szCs w:val="16"/>
        </w:rPr>
        <w:footnoteRef/>
      </w:r>
      <w:r w:rsidRPr="004621D7">
        <w:rPr>
          <w:rFonts w:asciiTheme="majorHAnsi" w:hAnsiTheme="majorHAnsi"/>
          <w:color w:val="auto"/>
          <w:sz w:val="16"/>
          <w:szCs w:val="16"/>
          <w:lang w:val="es-ES"/>
        </w:rPr>
        <w:t xml:space="preserve"> Véase, por ejemplo: Corte IDH. El derecho a la información sobre la asistencia consular en el marco de las garantías del debido proceso legal. Opinión Consultiva OC-16/99 de 1 de octubre de 1999. Serie A No. 16., </w:t>
      </w:r>
      <w:r w:rsidR="00C34A87" w:rsidRPr="004621D7">
        <w:rPr>
          <w:rFonts w:asciiTheme="majorHAnsi" w:hAnsiTheme="majorHAnsi"/>
          <w:color w:val="auto"/>
          <w:sz w:val="16"/>
          <w:szCs w:val="16"/>
          <w:lang w:val="es-ES"/>
        </w:rPr>
        <w:t>pá</w:t>
      </w:r>
      <w:r w:rsidR="00C34A87">
        <w:rPr>
          <w:rFonts w:asciiTheme="majorHAnsi" w:hAnsiTheme="majorHAnsi"/>
          <w:color w:val="auto"/>
          <w:sz w:val="16"/>
          <w:szCs w:val="16"/>
          <w:lang w:val="es-ES"/>
        </w:rPr>
        <w:t>rr.</w:t>
      </w:r>
      <w:r w:rsidRPr="004621D7">
        <w:rPr>
          <w:rFonts w:asciiTheme="majorHAnsi" w:hAnsiTheme="majorHAnsi"/>
          <w:color w:val="auto"/>
          <w:sz w:val="16"/>
          <w:szCs w:val="16"/>
          <w:lang w:val="es-ES"/>
        </w:rPr>
        <w:t xml:space="preserve"> </w:t>
      </w:r>
      <w:r>
        <w:rPr>
          <w:rFonts w:asciiTheme="majorHAnsi" w:hAnsiTheme="majorHAnsi"/>
          <w:color w:val="auto"/>
          <w:sz w:val="16"/>
          <w:szCs w:val="16"/>
          <w:lang w:val="es-ES"/>
        </w:rPr>
        <w:t xml:space="preserve">136; Comité de Derechos Humanos de la ONU, </w:t>
      </w:r>
      <w:proofErr w:type="spellStart"/>
      <w:r w:rsidRPr="004621D7">
        <w:rPr>
          <w:rFonts w:asciiTheme="majorHAnsi" w:hAnsiTheme="majorHAnsi"/>
          <w:iCs/>
          <w:color w:val="auto"/>
          <w:sz w:val="16"/>
          <w:szCs w:val="16"/>
          <w:lang w:val="es-ES"/>
        </w:rPr>
        <w:t>Baboheram-Adhin</w:t>
      </w:r>
      <w:proofErr w:type="spellEnd"/>
      <w:r w:rsidRPr="004621D7">
        <w:rPr>
          <w:rFonts w:asciiTheme="majorHAnsi" w:hAnsiTheme="majorHAnsi"/>
          <w:iCs/>
          <w:color w:val="auto"/>
          <w:sz w:val="16"/>
          <w:szCs w:val="16"/>
          <w:lang w:val="es-ES"/>
        </w:rPr>
        <w:t xml:space="preserve"> y otros vs. Surinam</w:t>
      </w:r>
      <w:r>
        <w:rPr>
          <w:rFonts w:asciiTheme="majorHAnsi" w:hAnsiTheme="majorHAnsi"/>
          <w:iCs/>
          <w:color w:val="auto"/>
          <w:sz w:val="16"/>
          <w:szCs w:val="16"/>
          <w:lang w:val="es-ES"/>
        </w:rPr>
        <w:t xml:space="preserve">, Comunicaciones Nro. </w:t>
      </w:r>
      <w:r w:rsidRPr="004621D7">
        <w:rPr>
          <w:rFonts w:asciiTheme="majorHAnsi" w:hAnsiTheme="majorHAnsi"/>
          <w:color w:val="auto"/>
          <w:sz w:val="16"/>
          <w:szCs w:val="16"/>
          <w:lang w:val="es-ES"/>
        </w:rPr>
        <w:t xml:space="preserve">148-154/1983, </w:t>
      </w:r>
      <w:r>
        <w:rPr>
          <w:rFonts w:asciiTheme="majorHAnsi" w:hAnsiTheme="majorHAnsi"/>
          <w:color w:val="auto"/>
          <w:sz w:val="16"/>
          <w:szCs w:val="16"/>
          <w:lang w:val="es-ES"/>
        </w:rPr>
        <w:t xml:space="preserve">aprobadas el 4 de abril de 1985, </w:t>
      </w:r>
      <w:r w:rsidR="00C34A87">
        <w:rPr>
          <w:rFonts w:asciiTheme="majorHAnsi" w:hAnsiTheme="majorHAnsi"/>
          <w:color w:val="auto"/>
          <w:sz w:val="16"/>
          <w:szCs w:val="16"/>
          <w:lang w:val="es-ES"/>
        </w:rPr>
        <w:t>párr.</w:t>
      </w:r>
      <w:r>
        <w:rPr>
          <w:rFonts w:asciiTheme="majorHAnsi" w:hAnsiTheme="majorHAnsi"/>
          <w:color w:val="auto"/>
          <w:sz w:val="16"/>
          <w:szCs w:val="16"/>
          <w:lang w:val="es-ES"/>
        </w:rPr>
        <w:t xml:space="preserve"> 14.3; </w:t>
      </w:r>
      <w:r w:rsidRPr="004621D7">
        <w:rPr>
          <w:rFonts w:asciiTheme="majorHAnsi" w:hAnsiTheme="majorHAnsi"/>
          <w:color w:val="auto"/>
          <w:sz w:val="16"/>
          <w:szCs w:val="16"/>
          <w:lang w:val="es-ES"/>
        </w:rPr>
        <w:t xml:space="preserve">Informe del Relator Especial, Sr. Bacre Waly </w:t>
      </w:r>
      <w:proofErr w:type="spellStart"/>
      <w:r w:rsidRPr="004621D7">
        <w:rPr>
          <w:rFonts w:asciiTheme="majorHAnsi" w:hAnsiTheme="majorHAnsi"/>
          <w:color w:val="auto"/>
          <w:sz w:val="16"/>
          <w:szCs w:val="16"/>
          <w:lang w:val="es-ES"/>
        </w:rPr>
        <w:t>Ndiaye</w:t>
      </w:r>
      <w:proofErr w:type="spellEnd"/>
      <w:r w:rsidRPr="004621D7">
        <w:rPr>
          <w:rFonts w:asciiTheme="majorHAnsi" w:hAnsiTheme="majorHAnsi"/>
          <w:color w:val="auto"/>
          <w:sz w:val="16"/>
          <w:szCs w:val="16"/>
          <w:lang w:val="es-ES"/>
        </w:rPr>
        <w:t>,</w:t>
      </w:r>
      <w:r>
        <w:rPr>
          <w:rFonts w:asciiTheme="majorHAnsi" w:hAnsiTheme="majorHAnsi"/>
          <w:color w:val="auto"/>
          <w:sz w:val="16"/>
          <w:szCs w:val="16"/>
          <w:lang w:val="es-ES"/>
        </w:rPr>
        <w:t xml:space="preserve"> </w:t>
      </w:r>
      <w:r w:rsidRPr="004621D7">
        <w:rPr>
          <w:rFonts w:asciiTheme="majorHAnsi" w:hAnsiTheme="majorHAnsi"/>
          <w:color w:val="auto"/>
          <w:sz w:val="16"/>
          <w:szCs w:val="16"/>
          <w:lang w:val="es-ES"/>
        </w:rPr>
        <w:t>presentado en cumplimiento de la resolución 1994/82</w:t>
      </w:r>
      <w:r>
        <w:rPr>
          <w:rFonts w:asciiTheme="majorHAnsi" w:hAnsiTheme="majorHAnsi"/>
          <w:color w:val="auto"/>
          <w:sz w:val="16"/>
          <w:szCs w:val="16"/>
          <w:lang w:val="es-ES"/>
        </w:rPr>
        <w:t xml:space="preserve"> </w:t>
      </w:r>
      <w:r w:rsidRPr="004621D7">
        <w:rPr>
          <w:rFonts w:asciiTheme="majorHAnsi" w:hAnsiTheme="majorHAnsi"/>
          <w:color w:val="auto"/>
          <w:sz w:val="16"/>
          <w:szCs w:val="16"/>
          <w:lang w:val="es-ES"/>
        </w:rPr>
        <w:t>de la Comisión de Derechos Humanos</w:t>
      </w:r>
      <w:r>
        <w:rPr>
          <w:rFonts w:asciiTheme="majorHAnsi" w:hAnsiTheme="majorHAnsi"/>
          <w:color w:val="auto"/>
          <w:sz w:val="16"/>
          <w:szCs w:val="16"/>
          <w:lang w:val="es-ES"/>
        </w:rPr>
        <w:t>, Cuestión de la Violación de los Derechos Humanos y las Libertades Fundamentales en Cualquier Parte del Mundo, Especialmente en los Países y Territorios Coloniales y Dependientes,</w:t>
      </w:r>
      <w:r w:rsidRPr="004621D7">
        <w:rPr>
          <w:rFonts w:asciiTheme="majorHAnsi" w:hAnsiTheme="majorHAnsi"/>
          <w:color w:val="auto"/>
          <w:sz w:val="16"/>
          <w:szCs w:val="16"/>
          <w:lang w:val="es-ES"/>
        </w:rPr>
        <w:t xml:space="preserve"> UN </w:t>
      </w:r>
      <w:proofErr w:type="spellStart"/>
      <w:r w:rsidRPr="004621D7">
        <w:rPr>
          <w:rFonts w:asciiTheme="majorHAnsi" w:hAnsiTheme="majorHAnsi"/>
          <w:color w:val="auto"/>
          <w:sz w:val="16"/>
          <w:szCs w:val="16"/>
          <w:lang w:val="es-ES"/>
        </w:rPr>
        <w:t>Doc.E</w:t>
      </w:r>
      <w:proofErr w:type="spellEnd"/>
      <w:r w:rsidRPr="004621D7">
        <w:rPr>
          <w:rFonts w:asciiTheme="majorHAnsi" w:hAnsiTheme="majorHAnsi"/>
          <w:color w:val="auto"/>
          <w:sz w:val="16"/>
          <w:szCs w:val="16"/>
          <w:lang w:val="es-ES"/>
        </w:rPr>
        <w:t>/CN.4/1995/61 (1</w:t>
      </w:r>
      <w:r>
        <w:rPr>
          <w:rFonts w:asciiTheme="majorHAnsi" w:hAnsiTheme="majorHAnsi"/>
          <w:color w:val="auto"/>
          <w:sz w:val="16"/>
          <w:szCs w:val="16"/>
          <w:lang w:val="es-ES"/>
        </w:rPr>
        <w:t>4 de diciembre de 1994</w:t>
      </w:r>
      <w:r w:rsidRPr="004621D7">
        <w:rPr>
          <w:rFonts w:asciiTheme="majorHAnsi" w:hAnsiTheme="majorHAnsi"/>
          <w:color w:val="auto"/>
          <w:sz w:val="16"/>
          <w:szCs w:val="16"/>
          <w:lang w:val="es-ES"/>
        </w:rPr>
        <w:t xml:space="preserve">), </w:t>
      </w:r>
      <w:r w:rsidR="00C34A87" w:rsidRPr="004621D7">
        <w:rPr>
          <w:rFonts w:asciiTheme="majorHAnsi" w:hAnsiTheme="majorHAnsi"/>
          <w:color w:val="auto"/>
          <w:sz w:val="16"/>
          <w:szCs w:val="16"/>
          <w:lang w:val="es-ES"/>
        </w:rPr>
        <w:t>pár</w:t>
      </w:r>
      <w:r w:rsidR="00C34A87">
        <w:rPr>
          <w:rFonts w:asciiTheme="majorHAnsi" w:hAnsiTheme="majorHAnsi"/>
          <w:color w:val="auto"/>
          <w:sz w:val="16"/>
          <w:szCs w:val="16"/>
          <w:lang w:val="es-ES"/>
        </w:rPr>
        <w:t>r</w:t>
      </w:r>
      <w:r w:rsidR="00C34A87" w:rsidRPr="004621D7">
        <w:rPr>
          <w:rFonts w:asciiTheme="majorHAnsi" w:hAnsiTheme="majorHAnsi"/>
          <w:color w:val="auto"/>
          <w:sz w:val="16"/>
          <w:szCs w:val="16"/>
          <w:lang w:val="es-ES"/>
        </w:rPr>
        <w:t>.</w:t>
      </w:r>
      <w:r w:rsidRPr="004621D7">
        <w:rPr>
          <w:rFonts w:asciiTheme="majorHAnsi" w:hAnsiTheme="majorHAnsi"/>
          <w:color w:val="auto"/>
          <w:sz w:val="16"/>
          <w:szCs w:val="16"/>
          <w:lang w:val="es-ES"/>
        </w:rPr>
        <w:t xml:space="preserve"> </w:t>
      </w:r>
      <w:r w:rsidRPr="00E36893">
        <w:rPr>
          <w:rFonts w:asciiTheme="majorHAnsi" w:hAnsiTheme="majorHAnsi"/>
          <w:color w:val="auto"/>
          <w:sz w:val="16"/>
          <w:szCs w:val="16"/>
          <w:lang w:val="es-ES"/>
        </w:rPr>
        <w:t>378.</w:t>
      </w:r>
    </w:p>
  </w:footnote>
  <w:footnote w:id="26">
    <w:p w14:paraId="64332ADB" w14:textId="2B137DDD" w:rsidR="00873D49" w:rsidRPr="00E36893" w:rsidRDefault="00873D49" w:rsidP="0029354F">
      <w:pPr>
        <w:pStyle w:val="FootnoteText"/>
        <w:jc w:val="both"/>
        <w:rPr>
          <w:rFonts w:asciiTheme="majorHAnsi" w:hAnsiTheme="majorHAnsi"/>
          <w:color w:val="auto"/>
          <w:sz w:val="16"/>
          <w:szCs w:val="16"/>
          <w:lang w:val="es-ES"/>
        </w:rPr>
      </w:pPr>
      <w:r w:rsidRPr="004A0895">
        <w:rPr>
          <w:rStyle w:val="FootnoteReference"/>
          <w:rFonts w:asciiTheme="majorHAnsi" w:hAnsiTheme="majorHAnsi"/>
          <w:color w:val="auto"/>
          <w:sz w:val="16"/>
          <w:szCs w:val="16"/>
        </w:rPr>
        <w:footnoteRef/>
      </w:r>
      <w:r w:rsidRPr="004621D7">
        <w:rPr>
          <w:rFonts w:asciiTheme="majorHAnsi" w:hAnsiTheme="majorHAnsi"/>
          <w:color w:val="auto"/>
          <w:sz w:val="16"/>
          <w:szCs w:val="16"/>
          <w:lang w:val="es-ES"/>
        </w:rPr>
        <w:t xml:space="preserve"> CIDH,</w:t>
      </w:r>
      <w:r w:rsidRPr="004621D7">
        <w:rPr>
          <w:rFonts w:asciiTheme="majorHAnsi" w:hAnsiTheme="majorHAnsi"/>
          <w:iCs/>
          <w:color w:val="auto"/>
          <w:sz w:val="16"/>
          <w:szCs w:val="16"/>
          <w:lang w:val="es-ES"/>
        </w:rPr>
        <w:t xml:space="preserve"> </w:t>
      </w:r>
      <w:r w:rsidRPr="004621D7">
        <w:rPr>
          <w:rFonts w:asciiTheme="majorHAnsi" w:hAnsiTheme="majorHAnsi"/>
          <w:color w:val="auto"/>
          <w:sz w:val="16"/>
          <w:szCs w:val="16"/>
          <w:lang w:val="es-ES"/>
        </w:rPr>
        <w:t xml:space="preserve">Informe No. 57/96, </w:t>
      </w:r>
      <w:r w:rsidRPr="004621D7">
        <w:rPr>
          <w:rFonts w:asciiTheme="majorHAnsi" w:hAnsiTheme="majorHAnsi"/>
          <w:iCs/>
          <w:color w:val="auto"/>
          <w:sz w:val="16"/>
          <w:szCs w:val="16"/>
          <w:lang w:val="es-ES"/>
        </w:rPr>
        <w:t>Andrews, Estados Unidos</w:t>
      </w:r>
      <w:r w:rsidRPr="004621D7">
        <w:rPr>
          <w:rFonts w:asciiTheme="majorHAnsi" w:hAnsiTheme="majorHAnsi"/>
          <w:color w:val="auto"/>
          <w:sz w:val="16"/>
          <w:szCs w:val="16"/>
          <w:lang w:val="es-ES"/>
        </w:rPr>
        <w:t>,</w:t>
      </w:r>
      <w:r>
        <w:rPr>
          <w:rFonts w:asciiTheme="majorHAnsi" w:hAnsiTheme="majorHAnsi"/>
          <w:color w:val="auto"/>
          <w:sz w:val="16"/>
          <w:szCs w:val="16"/>
          <w:lang w:val="es-ES"/>
        </w:rPr>
        <w:t xml:space="preserve"> Informe Anual 1997 de la CIDH</w:t>
      </w:r>
      <w:r w:rsidRPr="004621D7">
        <w:rPr>
          <w:rFonts w:asciiTheme="majorHAnsi" w:hAnsiTheme="majorHAnsi"/>
          <w:color w:val="auto"/>
          <w:sz w:val="16"/>
          <w:szCs w:val="16"/>
          <w:lang w:val="es-ES"/>
        </w:rPr>
        <w:t xml:space="preserve">, </w:t>
      </w:r>
      <w:proofErr w:type="spellStart"/>
      <w:r w:rsidRPr="004621D7">
        <w:rPr>
          <w:rFonts w:asciiTheme="majorHAnsi" w:hAnsiTheme="majorHAnsi"/>
          <w:color w:val="auto"/>
          <w:sz w:val="16"/>
          <w:szCs w:val="16"/>
          <w:lang w:val="es-ES"/>
        </w:rPr>
        <w:t>p</w:t>
      </w:r>
      <w:r w:rsidR="00C34A87">
        <w:rPr>
          <w:rFonts w:asciiTheme="majorHAnsi" w:hAnsiTheme="majorHAnsi"/>
          <w:color w:val="auto"/>
          <w:sz w:val="16"/>
          <w:szCs w:val="16"/>
          <w:lang w:val="es-ES"/>
        </w:rPr>
        <w:t>á</w:t>
      </w:r>
      <w:r w:rsidRPr="004621D7">
        <w:rPr>
          <w:rFonts w:asciiTheme="majorHAnsi" w:hAnsiTheme="majorHAnsi"/>
          <w:color w:val="auto"/>
          <w:sz w:val="16"/>
          <w:szCs w:val="16"/>
          <w:lang w:val="es-ES"/>
        </w:rPr>
        <w:t>r</w:t>
      </w:r>
      <w:r>
        <w:rPr>
          <w:rFonts w:asciiTheme="majorHAnsi" w:hAnsiTheme="majorHAnsi"/>
          <w:color w:val="auto"/>
          <w:sz w:val="16"/>
          <w:szCs w:val="16"/>
          <w:lang w:val="es-ES"/>
        </w:rPr>
        <w:t>rs</w:t>
      </w:r>
      <w:proofErr w:type="spellEnd"/>
      <w:r w:rsidRPr="004621D7">
        <w:rPr>
          <w:rFonts w:asciiTheme="majorHAnsi" w:hAnsiTheme="majorHAnsi"/>
          <w:color w:val="auto"/>
          <w:sz w:val="16"/>
          <w:szCs w:val="16"/>
          <w:lang w:val="es-ES"/>
        </w:rPr>
        <w:t xml:space="preserve">. 170-171; Informe No. 38/00 </w:t>
      </w:r>
      <w:proofErr w:type="spellStart"/>
      <w:r w:rsidRPr="004621D7">
        <w:rPr>
          <w:rFonts w:asciiTheme="majorHAnsi" w:hAnsiTheme="majorHAnsi"/>
          <w:color w:val="auto"/>
          <w:sz w:val="16"/>
          <w:szCs w:val="16"/>
          <w:lang w:val="es-ES"/>
        </w:rPr>
        <w:t>Baptiste</w:t>
      </w:r>
      <w:proofErr w:type="spellEnd"/>
      <w:r w:rsidRPr="004621D7">
        <w:rPr>
          <w:rFonts w:asciiTheme="majorHAnsi" w:hAnsiTheme="majorHAnsi"/>
          <w:color w:val="auto"/>
          <w:sz w:val="16"/>
          <w:szCs w:val="16"/>
          <w:lang w:val="es-ES"/>
        </w:rPr>
        <w:t xml:space="preserve">, </w:t>
      </w:r>
      <w:proofErr w:type="spellStart"/>
      <w:r w:rsidRPr="004621D7">
        <w:rPr>
          <w:rFonts w:asciiTheme="majorHAnsi" w:hAnsiTheme="majorHAnsi"/>
          <w:color w:val="auto"/>
          <w:sz w:val="16"/>
          <w:szCs w:val="16"/>
          <w:lang w:val="es-ES"/>
        </w:rPr>
        <w:t>Grenada</w:t>
      </w:r>
      <w:proofErr w:type="spellEnd"/>
      <w:r w:rsidRPr="004621D7">
        <w:rPr>
          <w:rFonts w:asciiTheme="majorHAnsi" w:hAnsiTheme="majorHAnsi"/>
          <w:color w:val="auto"/>
          <w:sz w:val="16"/>
          <w:szCs w:val="16"/>
          <w:lang w:val="es-ES"/>
        </w:rPr>
        <w:t xml:space="preserve">, Informe Anual 1999 de la CIDH, </w:t>
      </w:r>
      <w:proofErr w:type="spellStart"/>
      <w:r w:rsidRPr="004621D7">
        <w:rPr>
          <w:rFonts w:asciiTheme="majorHAnsi" w:hAnsiTheme="majorHAnsi"/>
          <w:color w:val="auto"/>
          <w:sz w:val="16"/>
          <w:szCs w:val="16"/>
          <w:lang w:val="es-ES"/>
        </w:rPr>
        <w:t>p</w:t>
      </w:r>
      <w:r w:rsidR="00C34A87">
        <w:rPr>
          <w:rFonts w:asciiTheme="majorHAnsi" w:hAnsiTheme="majorHAnsi"/>
          <w:color w:val="auto"/>
          <w:sz w:val="16"/>
          <w:szCs w:val="16"/>
          <w:lang w:val="es-ES"/>
        </w:rPr>
        <w:t>á</w:t>
      </w:r>
      <w:r w:rsidRPr="004621D7">
        <w:rPr>
          <w:rFonts w:asciiTheme="majorHAnsi" w:hAnsiTheme="majorHAnsi"/>
          <w:color w:val="auto"/>
          <w:sz w:val="16"/>
          <w:szCs w:val="16"/>
          <w:lang w:val="es-ES"/>
        </w:rPr>
        <w:t>r</w:t>
      </w:r>
      <w:r>
        <w:rPr>
          <w:rFonts w:asciiTheme="majorHAnsi" w:hAnsiTheme="majorHAnsi"/>
          <w:color w:val="auto"/>
          <w:sz w:val="16"/>
          <w:szCs w:val="16"/>
          <w:lang w:val="es-ES"/>
        </w:rPr>
        <w:t>r</w:t>
      </w:r>
      <w:r w:rsidRPr="004621D7">
        <w:rPr>
          <w:rFonts w:asciiTheme="majorHAnsi" w:hAnsiTheme="majorHAnsi"/>
          <w:color w:val="auto"/>
          <w:sz w:val="16"/>
          <w:szCs w:val="16"/>
          <w:lang w:val="es-ES"/>
        </w:rPr>
        <w:t>s</w:t>
      </w:r>
      <w:proofErr w:type="spellEnd"/>
      <w:r w:rsidRPr="004621D7">
        <w:rPr>
          <w:rFonts w:asciiTheme="majorHAnsi" w:hAnsiTheme="majorHAnsi"/>
          <w:color w:val="auto"/>
          <w:sz w:val="16"/>
          <w:szCs w:val="16"/>
          <w:lang w:val="es-ES"/>
        </w:rPr>
        <w:t xml:space="preserve">. 64-66; Informe No. 41/00, McKenzie </w:t>
      </w:r>
      <w:r w:rsidRPr="004621D7">
        <w:rPr>
          <w:rFonts w:asciiTheme="majorHAnsi" w:hAnsiTheme="majorHAnsi"/>
          <w:iCs/>
          <w:color w:val="auto"/>
          <w:sz w:val="16"/>
          <w:szCs w:val="16"/>
          <w:lang w:val="es-ES"/>
        </w:rPr>
        <w:t>y otros,</w:t>
      </w:r>
      <w:r w:rsidRPr="004621D7">
        <w:rPr>
          <w:rFonts w:asciiTheme="majorHAnsi" w:hAnsiTheme="majorHAnsi"/>
          <w:color w:val="auto"/>
          <w:sz w:val="16"/>
          <w:szCs w:val="16"/>
          <w:lang w:val="es-ES"/>
        </w:rPr>
        <w:t xml:space="preserve"> Jamaica, </w:t>
      </w:r>
      <w:r>
        <w:rPr>
          <w:rFonts w:asciiTheme="majorHAnsi" w:hAnsiTheme="majorHAnsi"/>
          <w:color w:val="auto"/>
          <w:sz w:val="16"/>
          <w:szCs w:val="16"/>
          <w:lang w:val="es-ES"/>
        </w:rPr>
        <w:t>Informe Anual 1999 de la CIDH</w:t>
      </w:r>
      <w:r w:rsidRPr="004621D7">
        <w:rPr>
          <w:rFonts w:asciiTheme="majorHAnsi" w:hAnsiTheme="majorHAnsi"/>
          <w:color w:val="auto"/>
          <w:sz w:val="16"/>
          <w:szCs w:val="16"/>
          <w:lang w:val="es-ES"/>
        </w:rPr>
        <w:t xml:space="preserve">, </w:t>
      </w:r>
      <w:proofErr w:type="spellStart"/>
      <w:r w:rsidRPr="004621D7">
        <w:rPr>
          <w:rFonts w:asciiTheme="majorHAnsi" w:hAnsiTheme="majorHAnsi"/>
          <w:color w:val="auto"/>
          <w:sz w:val="16"/>
          <w:szCs w:val="16"/>
          <w:lang w:val="es-ES"/>
        </w:rPr>
        <w:t>p</w:t>
      </w:r>
      <w:r w:rsidR="00C34A87">
        <w:rPr>
          <w:rFonts w:asciiTheme="majorHAnsi" w:hAnsiTheme="majorHAnsi"/>
          <w:color w:val="auto"/>
          <w:sz w:val="16"/>
          <w:szCs w:val="16"/>
          <w:lang w:val="es-ES"/>
        </w:rPr>
        <w:t>á</w:t>
      </w:r>
      <w:r w:rsidRPr="004621D7">
        <w:rPr>
          <w:rFonts w:asciiTheme="majorHAnsi" w:hAnsiTheme="majorHAnsi"/>
          <w:color w:val="auto"/>
          <w:sz w:val="16"/>
          <w:szCs w:val="16"/>
          <w:lang w:val="es-ES"/>
        </w:rPr>
        <w:t>r</w:t>
      </w:r>
      <w:r>
        <w:rPr>
          <w:rFonts w:asciiTheme="majorHAnsi" w:hAnsiTheme="majorHAnsi"/>
          <w:color w:val="auto"/>
          <w:sz w:val="16"/>
          <w:szCs w:val="16"/>
          <w:lang w:val="es-ES"/>
        </w:rPr>
        <w:t>r</w:t>
      </w:r>
      <w:r w:rsidRPr="004621D7">
        <w:rPr>
          <w:rFonts w:asciiTheme="majorHAnsi" w:hAnsiTheme="majorHAnsi"/>
          <w:color w:val="auto"/>
          <w:sz w:val="16"/>
          <w:szCs w:val="16"/>
          <w:lang w:val="es-ES"/>
        </w:rPr>
        <w:t>s</w:t>
      </w:r>
      <w:proofErr w:type="spellEnd"/>
      <w:r w:rsidRPr="004621D7">
        <w:rPr>
          <w:rFonts w:asciiTheme="majorHAnsi" w:hAnsiTheme="majorHAnsi"/>
          <w:color w:val="auto"/>
          <w:sz w:val="16"/>
          <w:szCs w:val="16"/>
          <w:lang w:val="es-ES"/>
        </w:rPr>
        <w:t xml:space="preserve">. </w:t>
      </w:r>
      <w:r w:rsidRPr="00E36893">
        <w:rPr>
          <w:rFonts w:asciiTheme="majorHAnsi" w:hAnsiTheme="majorHAnsi"/>
          <w:color w:val="auto"/>
          <w:sz w:val="16"/>
          <w:szCs w:val="16"/>
          <w:lang w:val="es-ES"/>
        </w:rPr>
        <w:t>169-171.</w:t>
      </w:r>
    </w:p>
  </w:footnote>
  <w:footnote w:id="27">
    <w:p w14:paraId="19FFFFFC" w14:textId="539A0D9D" w:rsidR="00873D49" w:rsidRPr="00E36893" w:rsidRDefault="00873D49" w:rsidP="004621D7">
      <w:pPr>
        <w:autoSpaceDE w:val="0"/>
        <w:autoSpaceDN w:val="0"/>
        <w:adjustRightInd w:val="0"/>
        <w:jc w:val="both"/>
        <w:rPr>
          <w:rFonts w:asciiTheme="majorHAnsi" w:hAnsiTheme="majorHAnsi"/>
          <w:sz w:val="16"/>
          <w:szCs w:val="16"/>
          <w:lang w:val="es-ES"/>
        </w:rPr>
      </w:pPr>
      <w:r w:rsidRPr="004A0895">
        <w:rPr>
          <w:rStyle w:val="FootnoteReference"/>
          <w:rFonts w:asciiTheme="majorHAnsi" w:hAnsiTheme="majorHAnsi"/>
          <w:sz w:val="16"/>
          <w:szCs w:val="16"/>
        </w:rPr>
        <w:footnoteRef/>
      </w:r>
      <w:r w:rsidRPr="004621D7">
        <w:rPr>
          <w:rFonts w:asciiTheme="majorHAnsi" w:hAnsiTheme="majorHAnsi"/>
          <w:sz w:val="16"/>
          <w:szCs w:val="16"/>
          <w:lang w:val="es-ES"/>
        </w:rPr>
        <w:t xml:space="preserve"> CIDH, La pena de muerte en el Sistema Interamericano de Derechos Huma</w:t>
      </w:r>
      <w:r>
        <w:rPr>
          <w:rFonts w:asciiTheme="majorHAnsi" w:hAnsiTheme="majorHAnsi"/>
          <w:sz w:val="16"/>
          <w:szCs w:val="16"/>
          <w:lang w:val="es-ES"/>
        </w:rPr>
        <w:t>nos: de restricciones a abolición</w:t>
      </w:r>
      <w:r w:rsidRPr="004621D7">
        <w:rPr>
          <w:rFonts w:asciiTheme="majorHAnsi" w:hAnsiTheme="majorHAnsi"/>
          <w:sz w:val="16"/>
          <w:szCs w:val="16"/>
          <w:lang w:val="es-ES"/>
        </w:rPr>
        <w:t xml:space="preserve">, </w:t>
      </w:r>
      <w:r w:rsidRPr="004621D7">
        <w:rPr>
          <w:rFonts w:asciiTheme="majorHAnsi" w:hAnsiTheme="majorHAnsi" w:cs="Calibri"/>
          <w:sz w:val="16"/>
          <w:szCs w:val="16"/>
          <w:lang w:val="es-ES"/>
        </w:rPr>
        <w:t>OEA/</w:t>
      </w:r>
      <w:proofErr w:type="spellStart"/>
      <w:r w:rsidRPr="004621D7">
        <w:rPr>
          <w:rFonts w:asciiTheme="majorHAnsi" w:hAnsiTheme="majorHAnsi" w:cs="Calibri"/>
          <w:sz w:val="16"/>
          <w:szCs w:val="16"/>
          <w:lang w:val="es-ES"/>
        </w:rPr>
        <w:t>Ser.L</w:t>
      </w:r>
      <w:proofErr w:type="spellEnd"/>
      <w:r w:rsidRPr="004621D7">
        <w:rPr>
          <w:rFonts w:asciiTheme="majorHAnsi" w:hAnsiTheme="majorHAnsi" w:cs="Calibri"/>
          <w:sz w:val="16"/>
          <w:szCs w:val="16"/>
          <w:lang w:val="es-ES"/>
        </w:rPr>
        <w:t xml:space="preserve">/V/II.Doc. 68, </w:t>
      </w:r>
      <w:r>
        <w:rPr>
          <w:rFonts w:asciiTheme="majorHAnsi" w:hAnsiTheme="majorHAnsi" w:cs="Calibri"/>
          <w:sz w:val="16"/>
          <w:szCs w:val="16"/>
          <w:lang w:val="es-ES"/>
        </w:rPr>
        <w:t>31 de diciembre de 2011</w:t>
      </w:r>
      <w:r w:rsidRPr="004621D7">
        <w:rPr>
          <w:rFonts w:asciiTheme="majorHAnsi" w:hAnsiTheme="majorHAnsi" w:cs="Calibri"/>
          <w:sz w:val="16"/>
          <w:szCs w:val="16"/>
          <w:lang w:val="es-ES"/>
        </w:rPr>
        <w:t xml:space="preserve">, </w:t>
      </w:r>
      <w:r w:rsidR="00C34A87" w:rsidRPr="004621D7">
        <w:rPr>
          <w:rFonts w:asciiTheme="majorHAnsi" w:hAnsiTheme="majorHAnsi"/>
          <w:sz w:val="16"/>
          <w:szCs w:val="16"/>
          <w:lang w:val="es-ES"/>
        </w:rPr>
        <w:t>pár</w:t>
      </w:r>
      <w:r w:rsidR="00C34A87">
        <w:rPr>
          <w:rFonts w:asciiTheme="majorHAnsi" w:hAnsiTheme="majorHAnsi"/>
          <w:sz w:val="16"/>
          <w:szCs w:val="16"/>
          <w:lang w:val="es-ES"/>
        </w:rPr>
        <w:t>r</w:t>
      </w:r>
      <w:r w:rsidR="00C34A87" w:rsidRPr="004621D7">
        <w:rPr>
          <w:rFonts w:asciiTheme="majorHAnsi" w:hAnsiTheme="majorHAnsi"/>
          <w:sz w:val="16"/>
          <w:szCs w:val="16"/>
          <w:lang w:val="es-ES"/>
        </w:rPr>
        <w:t>.</w:t>
      </w:r>
      <w:r w:rsidRPr="004621D7">
        <w:rPr>
          <w:rFonts w:asciiTheme="majorHAnsi" w:hAnsiTheme="majorHAnsi"/>
          <w:sz w:val="16"/>
          <w:szCs w:val="16"/>
          <w:lang w:val="es-ES"/>
        </w:rPr>
        <w:t xml:space="preserve"> </w:t>
      </w:r>
      <w:r w:rsidRPr="00E36893">
        <w:rPr>
          <w:rFonts w:asciiTheme="majorHAnsi" w:hAnsiTheme="majorHAnsi"/>
          <w:sz w:val="16"/>
          <w:szCs w:val="16"/>
          <w:lang w:val="es-ES"/>
        </w:rPr>
        <w:t>41.</w:t>
      </w:r>
    </w:p>
  </w:footnote>
  <w:footnote w:id="28">
    <w:p w14:paraId="0D0C13A8" w14:textId="4692C808" w:rsidR="00873D49" w:rsidRPr="00E36893" w:rsidRDefault="00873D49" w:rsidP="0029354F">
      <w:pPr>
        <w:autoSpaceDE w:val="0"/>
        <w:autoSpaceDN w:val="0"/>
        <w:adjustRightInd w:val="0"/>
        <w:jc w:val="both"/>
        <w:rPr>
          <w:rFonts w:asciiTheme="majorHAnsi" w:hAnsiTheme="majorHAnsi"/>
          <w:sz w:val="16"/>
          <w:szCs w:val="16"/>
          <w:lang w:val="es-ES"/>
        </w:rPr>
      </w:pPr>
      <w:r w:rsidRPr="004A0895">
        <w:rPr>
          <w:rStyle w:val="FootnoteReference"/>
          <w:rFonts w:asciiTheme="majorHAnsi" w:hAnsiTheme="majorHAnsi"/>
          <w:sz w:val="16"/>
          <w:szCs w:val="16"/>
        </w:rPr>
        <w:footnoteRef/>
      </w:r>
      <w:r w:rsidRPr="004621D7">
        <w:rPr>
          <w:rFonts w:asciiTheme="majorHAnsi" w:hAnsiTheme="majorHAnsi"/>
          <w:sz w:val="16"/>
          <w:szCs w:val="16"/>
          <w:lang w:val="es-ES"/>
        </w:rPr>
        <w:t xml:space="preserve"> CIDH, Informe No. 78/07, Cas</w:t>
      </w:r>
      <w:r>
        <w:rPr>
          <w:rFonts w:asciiTheme="majorHAnsi" w:hAnsiTheme="majorHAnsi"/>
          <w:sz w:val="16"/>
          <w:szCs w:val="16"/>
          <w:lang w:val="es-ES"/>
        </w:rPr>
        <w:t>o</w:t>
      </w:r>
      <w:r w:rsidRPr="004621D7">
        <w:rPr>
          <w:rFonts w:asciiTheme="majorHAnsi" w:hAnsiTheme="majorHAnsi"/>
          <w:sz w:val="16"/>
          <w:szCs w:val="16"/>
          <w:lang w:val="es-ES"/>
        </w:rPr>
        <w:t xml:space="preserve"> 12.265, Fondo (Publicación), Chad Roger Goodman, Las Bahamas, </w:t>
      </w:r>
      <w:r>
        <w:rPr>
          <w:rFonts w:asciiTheme="majorHAnsi" w:hAnsiTheme="majorHAnsi"/>
          <w:sz w:val="16"/>
          <w:szCs w:val="16"/>
          <w:lang w:val="es-ES"/>
        </w:rPr>
        <w:t>15 de octubre de</w:t>
      </w:r>
      <w:r w:rsidRPr="004621D7">
        <w:rPr>
          <w:rFonts w:asciiTheme="majorHAnsi" w:hAnsiTheme="majorHAnsi"/>
          <w:sz w:val="16"/>
          <w:szCs w:val="16"/>
          <w:lang w:val="es-ES"/>
        </w:rPr>
        <w:t xml:space="preserve"> 2007, </w:t>
      </w:r>
      <w:r w:rsidR="00C34A87" w:rsidRPr="004621D7">
        <w:rPr>
          <w:rFonts w:asciiTheme="majorHAnsi" w:hAnsiTheme="majorHAnsi"/>
          <w:sz w:val="16"/>
          <w:szCs w:val="16"/>
          <w:lang w:val="es-ES"/>
        </w:rPr>
        <w:t>pár</w:t>
      </w:r>
      <w:r w:rsidR="00C34A87">
        <w:rPr>
          <w:rFonts w:asciiTheme="majorHAnsi" w:hAnsiTheme="majorHAnsi"/>
          <w:sz w:val="16"/>
          <w:szCs w:val="16"/>
          <w:lang w:val="es-ES"/>
        </w:rPr>
        <w:t>r</w:t>
      </w:r>
      <w:r w:rsidR="00C34A87" w:rsidRPr="004621D7">
        <w:rPr>
          <w:rFonts w:asciiTheme="majorHAnsi" w:hAnsiTheme="majorHAnsi"/>
          <w:sz w:val="16"/>
          <w:szCs w:val="16"/>
          <w:lang w:val="es-ES"/>
        </w:rPr>
        <w:t>.</w:t>
      </w:r>
      <w:r w:rsidRPr="004621D7">
        <w:rPr>
          <w:rFonts w:asciiTheme="majorHAnsi" w:hAnsiTheme="majorHAnsi"/>
          <w:sz w:val="16"/>
          <w:szCs w:val="16"/>
          <w:lang w:val="es-ES"/>
        </w:rPr>
        <w:t xml:space="preserve"> </w:t>
      </w:r>
      <w:r w:rsidRPr="00E36893">
        <w:rPr>
          <w:rFonts w:asciiTheme="majorHAnsi" w:hAnsiTheme="majorHAnsi"/>
          <w:sz w:val="16"/>
          <w:szCs w:val="16"/>
          <w:lang w:val="es-ES"/>
        </w:rPr>
        <w:t>34.</w:t>
      </w:r>
    </w:p>
  </w:footnote>
  <w:footnote w:id="29">
    <w:p w14:paraId="235AD4D9" w14:textId="7C4412DE" w:rsidR="00873D49" w:rsidRPr="00E36893" w:rsidRDefault="00873D49" w:rsidP="0029354F">
      <w:pPr>
        <w:pStyle w:val="FootnoteText"/>
        <w:jc w:val="both"/>
        <w:rPr>
          <w:rFonts w:asciiTheme="majorHAnsi" w:hAnsiTheme="majorHAnsi" w:cs="Times New Roman"/>
          <w:color w:val="auto"/>
          <w:sz w:val="16"/>
          <w:szCs w:val="16"/>
          <w:lang w:val="es-ES"/>
        </w:rPr>
      </w:pPr>
      <w:r w:rsidRPr="004A0895">
        <w:rPr>
          <w:rStyle w:val="FootnoteReference"/>
          <w:rFonts w:asciiTheme="majorHAnsi" w:hAnsiTheme="majorHAnsi"/>
          <w:color w:val="auto"/>
          <w:sz w:val="16"/>
          <w:szCs w:val="16"/>
        </w:rPr>
        <w:footnoteRef/>
      </w:r>
      <w:r w:rsidRPr="004621D7">
        <w:rPr>
          <w:rFonts w:asciiTheme="majorHAnsi" w:hAnsiTheme="majorHAnsi"/>
          <w:color w:val="auto"/>
          <w:sz w:val="16"/>
          <w:szCs w:val="16"/>
          <w:lang w:val="es-ES"/>
        </w:rPr>
        <w:t xml:space="preserve"> CIDH, Informe No. 44/14, Caso 12,873, Fondo (Publicación), Edgar Tamayo Arias, Estados Unidos, 1</w:t>
      </w:r>
      <w:r>
        <w:rPr>
          <w:rFonts w:asciiTheme="majorHAnsi" w:hAnsiTheme="majorHAnsi"/>
          <w:color w:val="auto"/>
          <w:sz w:val="16"/>
          <w:szCs w:val="16"/>
          <w:lang w:val="es-ES"/>
        </w:rPr>
        <w:t>7 de julio de 2014,</w:t>
      </w:r>
      <w:r w:rsidRPr="004621D7">
        <w:rPr>
          <w:rFonts w:asciiTheme="majorHAnsi" w:hAnsiTheme="majorHAnsi"/>
          <w:color w:val="auto"/>
          <w:sz w:val="16"/>
          <w:szCs w:val="16"/>
          <w:lang w:val="es-ES"/>
        </w:rPr>
        <w:t xml:space="preserve"> </w:t>
      </w:r>
      <w:r w:rsidR="00C34A87" w:rsidRPr="004621D7">
        <w:rPr>
          <w:rFonts w:asciiTheme="majorHAnsi" w:hAnsiTheme="majorHAnsi"/>
          <w:color w:val="auto"/>
          <w:sz w:val="16"/>
          <w:szCs w:val="16"/>
          <w:lang w:val="es-ES"/>
        </w:rPr>
        <w:t>pár</w:t>
      </w:r>
      <w:r w:rsidR="00C34A87">
        <w:rPr>
          <w:rFonts w:asciiTheme="majorHAnsi" w:hAnsiTheme="majorHAnsi"/>
          <w:color w:val="auto"/>
          <w:sz w:val="16"/>
          <w:szCs w:val="16"/>
          <w:lang w:val="es-ES"/>
        </w:rPr>
        <w:t>r</w:t>
      </w:r>
      <w:r w:rsidR="00C34A87" w:rsidRPr="004621D7">
        <w:rPr>
          <w:rFonts w:asciiTheme="majorHAnsi" w:hAnsiTheme="majorHAnsi"/>
          <w:color w:val="auto"/>
          <w:sz w:val="16"/>
          <w:szCs w:val="16"/>
          <w:lang w:val="es-ES"/>
        </w:rPr>
        <w:t>.</w:t>
      </w:r>
      <w:r w:rsidRPr="004621D7">
        <w:rPr>
          <w:rFonts w:asciiTheme="majorHAnsi" w:hAnsiTheme="majorHAnsi"/>
          <w:color w:val="auto"/>
          <w:sz w:val="16"/>
          <w:szCs w:val="16"/>
          <w:lang w:val="es-ES"/>
        </w:rPr>
        <w:t xml:space="preserve"> </w:t>
      </w:r>
      <w:r w:rsidRPr="00E36893">
        <w:rPr>
          <w:rFonts w:asciiTheme="majorHAnsi" w:hAnsiTheme="majorHAnsi"/>
          <w:color w:val="auto"/>
          <w:sz w:val="16"/>
          <w:szCs w:val="16"/>
          <w:lang w:val="es-ES"/>
        </w:rPr>
        <w:t>214.</w:t>
      </w:r>
    </w:p>
  </w:footnote>
  <w:footnote w:id="30">
    <w:p w14:paraId="6EA440E0" w14:textId="49A1285C" w:rsidR="00873D49" w:rsidRPr="006E3733" w:rsidRDefault="00873D49" w:rsidP="004A0895">
      <w:pPr>
        <w:pStyle w:val="FootnoteText"/>
        <w:jc w:val="both"/>
        <w:rPr>
          <w:rFonts w:asciiTheme="majorHAnsi" w:hAnsiTheme="majorHAnsi"/>
          <w:color w:val="auto"/>
          <w:sz w:val="16"/>
          <w:szCs w:val="16"/>
          <w:lang w:val="es-US"/>
        </w:rPr>
      </w:pPr>
      <w:r w:rsidRPr="004A0895">
        <w:rPr>
          <w:rStyle w:val="FootnoteReference"/>
          <w:rFonts w:asciiTheme="majorHAnsi" w:hAnsiTheme="majorHAnsi"/>
          <w:color w:val="auto"/>
          <w:sz w:val="16"/>
          <w:szCs w:val="16"/>
        </w:rPr>
        <w:footnoteRef/>
      </w:r>
      <w:r w:rsidRPr="004621D7">
        <w:rPr>
          <w:rFonts w:asciiTheme="majorHAnsi" w:hAnsiTheme="majorHAnsi"/>
          <w:color w:val="auto"/>
          <w:sz w:val="16"/>
          <w:szCs w:val="16"/>
          <w:lang w:val="es-ES"/>
        </w:rPr>
        <w:t xml:space="preserve"> El Artículo XVIII de la Declaración Americana </w:t>
      </w:r>
      <w:r>
        <w:rPr>
          <w:rFonts w:asciiTheme="majorHAnsi" w:hAnsiTheme="majorHAnsi"/>
          <w:color w:val="auto"/>
          <w:sz w:val="16"/>
          <w:szCs w:val="16"/>
          <w:lang w:val="es-ES"/>
        </w:rPr>
        <w:t xml:space="preserve">establece: </w:t>
      </w:r>
      <w:r w:rsidRPr="004621D7">
        <w:rPr>
          <w:rFonts w:asciiTheme="majorHAnsi" w:hAnsiTheme="majorHAnsi"/>
          <w:color w:val="auto"/>
          <w:sz w:val="16"/>
          <w:szCs w:val="16"/>
          <w:lang w:val="es-ES"/>
        </w:rPr>
        <w:t>Toda persona puede ocurrir a los tribunales para hacer valer sus derechos.  Asimismo</w:t>
      </w:r>
      <w:r>
        <w:rPr>
          <w:rFonts w:asciiTheme="majorHAnsi" w:hAnsiTheme="majorHAnsi"/>
          <w:color w:val="auto"/>
          <w:sz w:val="16"/>
          <w:szCs w:val="16"/>
          <w:lang w:val="es-ES"/>
        </w:rPr>
        <w:t>,</w:t>
      </w:r>
      <w:r w:rsidRPr="004621D7">
        <w:rPr>
          <w:rFonts w:asciiTheme="majorHAnsi" w:hAnsiTheme="majorHAnsi"/>
          <w:color w:val="auto"/>
          <w:sz w:val="16"/>
          <w:szCs w:val="16"/>
          <w:lang w:val="es-ES"/>
        </w:rPr>
        <w:t xml:space="preserve"> debe disponer de un procedimiento sencillo y breve por el cual la justicia lo ampare contra actos de la autoridad que violen, en perjuicio suyo, alguno de los derechos fundamentales consagrados constitucionalmente.</w:t>
      </w:r>
    </w:p>
  </w:footnote>
  <w:footnote w:id="31">
    <w:p w14:paraId="2E59CC7C" w14:textId="77777777" w:rsidR="00873D49" w:rsidRPr="006E3733" w:rsidRDefault="00873D49" w:rsidP="004A0895">
      <w:pPr>
        <w:pStyle w:val="FootnoteText"/>
        <w:jc w:val="both"/>
        <w:rPr>
          <w:rFonts w:asciiTheme="majorHAnsi" w:hAnsiTheme="majorHAnsi"/>
          <w:color w:val="auto"/>
          <w:sz w:val="16"/>
          <w:szCs w:val="16"/>
          <w:lang w:val="es-US"/>
        </w:rPr>
      </w:pPr>
      <w:r w:rsidRPr="004A0895">
        <w:rPr>
          <w:rStyle w:val="FootnoteReference"/>
          <w:rFonts w:asciiTheme="majorHAnsi" w:hAnsiTheme="majorHAnsi"/>
          <w:color w:val="auto"/>
          <w:sz w:val="16"/>
          <w:szCs w:val="16"/>
        </w:rPr>
        <w:footnoteRef/>
      </w:r>
      <w:r w:rsidRPr="004B16F9">
        <w:rPr>
          <w:rStyle w:val="FootnoteReference"/>
          <w:rFonts w:asciiTheme="majorHAnsi" w:hAnsiTheme="majorHAnsi"/>
          <w:color w:val="auto"/>
          <w:sz w:val="16"/>
          <w:szCs w:val="16"/>
          <w:lang w:val="es-ES"/>
        </w:rPr>
        <w:t xml:space="preserve"> </w:t>
      </w:r>
      <w:r w:rsidRPr="004B16F9">
        <w:rPr>
          <w:rFonts w:asciiTheme="majorHAnsi" w:hAnsiTheme="majorHAnsi"/>
          <w:color w:val="auto"/>
          <w:sz w:val="16"/>
          <w:szCs w:val="16"/>
          <w:lang w:val="es-ES"/>
        </w:rPr>
        <w:t>El Artículo XXIV de la Declaración Americana establece: Toda persona tiene derecho de presentar peticiones respetuosas a cualquiera autoridad competente, ya sea por motivo de interés general, ya de interés particular, y el de obtener pronta resolución.</w:t>
      </w:r>
    </w:p>
  </w:footnote>
  <w:footnote w:id="32">
    <w:p w14:paraId="4606754E" w14:textId="77777777" w:rsidR="00873D49" w:rsidRPr="004B16F9" w:rsidRDefault="00873D49" w:rsidP="004B16F9">
      <w:pPr>
        <w:pStyle w:val="FootnoteText"/>
        <w:jc w:val="both"/>
        <w:rPr>
          <w:rFonts w:asciiTheme="majorHAnsi" w:hAnsiTheme="majorHAnsi"/>
          <w:color w:val="auto"/>
          <w:sz w:val="16"/>
          <w:szCs w:val="16"/>
          <w:lang w:val="es-ES"/>
        </w:rPr>
      </w:pPr>
      <w:r w:rsidRPr="004A0895">
        <w:rPr>
          <w:rStyle w:val="FootnoteReference"/>
          <w:rFonts w:asciiTheme="majorHAnsi" w:hAnsiTheme="majorHAnsi"/>
          <w:color w:val="auto"/>
          <w:sz w:val="16"/>
          <w:szCs w:val="16"/>
        </w:rPr>
        <w:footnoteRef/>
      </w:r>
      <w:r w:rsidRPr="004B16F9">
        <w:rPr>
          <w:rFonts w:asciiTheme="majorHAnsi" w:hAnsiTheme="majorHAnsi"/>
          <w:color w:val="auto"/>
          <w:sz w:val="16"/>
          <w:szCs w:val="16"/>
          <w:lang w:val="es-ES"/>
        </w:rPr>
        <w:t xml:space="preserve"> El Artículo XXVI de la Declaración Americana </w:t>
      </w:r>
      <w:r>
        <w:rPr>
          <w:rFonts w:asciiTheme="majorHAnsi" w:hAnsiTheme="majorHAnsi"/>
          <w:color w:val="auto"/>
          <w:sz w:val="16"/>
          <w:szCs w:val="16"/>
          <w:lang w:val="es-ES"/>
        </w:rPr>
        <w:t>establece:</w:t>
      </w:r>
      <w:r w:rsidRPr="004B16F9">
        <w:rPr>
          <w:lang w:val="es-ES"/>
        </w:rPr>
        <w:t xml:space="preserve"> </w:t>
      </w:r>
      <w:r w:rsidRPr="004B16F9">
        <w:rPr>
          <w:rFonts w:asciiTheme="majorHAnsi" w:hAnsiTheme="majorHAnsi"/>
          <w:color w:val="auto"/>
          <w:sz w:val="16"/>
          <w:szCs w:val="16"/>
          <w:lang w:val="es-ES"/>
        </w:rPr>
        <w:t>Se presume que todo acusado es inocente, hasta que se pruebe que es culpable.</w:t>
      </w:r>
    </w:p>
    <w:p w14:paraId="00CF1D63" w14:textId="62D30F80" w:rsidR="00873D49" w:rsidRPr="006E3733" w:rsidRDefault="00873D49" w:rsidP="004A0895">
      <w:pPr>
        <w:pStyle w:val="FootnoteText"/>
        <w:jc w:val="both"/>
        <w:rPr>
          <w:rFonts w:asciiTheme="majorHAnsi" w:hAnsiTheme="majorHAnsi"/>
          <w:color w:val="auto"/>
          <w:sz w:val="16"/>
          <w:szCs w:val="16"/>
          <w:lang w:val="es-US"/>
        </w:rPr>
      </w:pPr>
      <w:r w:rsidRPr="004B16F9">
        <w:rPr>
          <w:rFonts w:asciiTheme="majorHAnsi" w:hAnsiTheme="majorHAnsi"/>
          <w:color w:val="auto"/>
          <w:sz w:val="16"/>
          <w:szCs w:val="16"/>
          <w:lang w:val="es-ES"/>
        </w:rPr>
        <w:t>Toda persona acusada de delito tiene derecho a ser oída en forma imparcial y pública, a ser juzgada por tribunales anteriormente establecidos de acuerdo con leyes preexistentes y a que no se le imponga penas crueles, infamantes o inusitadas</w:t>
      </w:r>
      <w:r w:rsidR="00C34A87">
        <w:rPr>
          <w:rFonts w:asciiTheme="majorHAnsi" w:hAnsiTheme="majorHAnsi"/>
          <w:color w:val="auto"/>
          <w:sz w:val="16"/>
          <w:szCs w:val="16"/>
          <w:lang w:val="es-ES"/>
        </w:rPr>
        <w:t>.</w:t>
      </w:r>
    </w:p>
  </w:footnote>
  <w:footnote w:id="33">
    <w:p w14:paraId="24A70F98" w14:textId="77777777" w:rsidR="00873D49" w:rsidRPr="006E3733" w:rsidRDefault="00873D49" w:rsidP="00BC71C5">
      <w:pPr>
        <w:pStyle w:val="FootnoteText"/>
        <w:jc w:val="both"/>
        <w:rPr>
          <w:rFonts w:asciiTheme="majorHAnsi" w:hAnsiTheme="majorHAnsi"/>
          <w:color w:val="auto"/>
          <w:sz w:val="16"/>
          <w:szCs w:val="16"/>
          <w:lang w:val="es-US"/>
        </w:rPr>
      </w:pPr>
      <w:r w:rsidRPr="004A0895">
        <w:rPr>
          <w:rStyle w:val="FootnoteReference"/>
          <w:rFonts w:asciiTheme="majorHAnsi" w:hAnsiTheme="majorHAnsi" w:cs="Arial"/>
          <w:color w:val="auto"/>
          <w:sz w:val="16"/>
          <w:szCs w:val="16"/>
        </w:rPr>
        <w:footnoteRef/>
      </w:r>
      <w:r w:rsidRPr="006E3733">
        <w:rPr>
          <w:rFonts w:asciiTheme="majorHAnsi" w:hAnsiTheme="majorHAnsi" w:cs="Arial"/>
          <w:color w:val="auto"/>
          <w:sz w:val="16"/>
          <w:szCs w:val="16"/>
          <w:lang w:val="es-US"/>
        </w:rPr>
        <w:t xml:space="preserve"> CIDH, </w:t>
      </w:r>
      <w:r w:rsidRPr="006E3733">
        <w:rPr>
          <w:rFonts w:asciiTheme="majorHAnsi" w:hAnsiTheme="majorHAnsi" w:cs="Arial"/>
          <w:bCs/>
          <w:color w:val="auto"/>
          <w:sz w:val="16"/>
          <w:szCs w:val="16"/>
          <w:lang w:val="es-US"/>
        </w:rPr>
        <w:t>Informe No. 90/09</w:t>
      </w:r>
      <w:r w:rsidRPr="006E3733">
        <w:rPr>
          <w:rFonts w:asciiTheme="majorHAnsi" w:hAnsiTheme="majorHAnsi" w:cs="Arial"/>
          <w:color w:val="auto"/>
          <w:sz w:val="16"/>
          <w:szCs w:val="16"/>
          <w:lang w:val="es-US"/>
        </w:rPr>
        <w:t xml:space="preserve">, Caso 12.644, Admisibilidad y Fondo (Publicación), Medellín, Ramírez </w:t>
      </w:r>
      <w:proofErr w:type="spellStart"/>
      <w:r w:rsidRPr="006E3733">
        <w:rPr>
          <w:rFonts w:asciiTheme="majorHAnsi" w:hAnsiTheme="majorHAnsi" w:cs="Arial"/>
          <w:color w:val="auto"/>
          <w:sz w:val="16"/>
          <w:szCs w:val="16"/>
          <w:lang w:val="es-US"/>
        </w:rPr>
        <w:t>Cardenas</w:t>
      </w:r>
      <w:proofErr w:type="spellEnd"/>
      <w:r w:rsidRPr="006E3733">
        <w:rPr>
          <w:rFonts w:asciiTheme="majorHAnsi" w:hAnsiTheme="majorHAnsi" w:cs="Arial"/>
          <w:color w:val="auto"/>
          <w:sz w:val="16"/>
          <w:szCs w:val="16"/>
          <w:lang w:val="es-US"/>
        </w:rPr>
        <w:t xml:space="preserve"> </w:t>
      </w:r>
      <w:r>
        <w:rPr>
          <w:rFonts w:asciiTheme="majorHAnsi" w:hAnsiTheme="majorHAnsi" w:cs="Arial"/>
          <w:color w:val="auto"/>
          <w:sz w:val="16"/>
          <w:szCs w:val="16"/>
          <w:lang w:val="es-ES"/>
        </w:rPr>
        <w:t>y</w:t>
      </w:r>
      <w:r w:rsidRPr="006E3733">
        <w:rPr>
          <w:rFonts w:asciiTheme="majorHAnsi" w:hAnsiTheme="majorHAnsi" w:cs="Arial"/>
          <w:color w:val="auto"/>
          <w:sz w:val="16"/>
          <w:szCs w:val="16"/>
          <w:lang w:val="es-US"/>
        </w:rPr>
        <w:t xml:space="preserve"> Leal García, </w:t>
      </w:r>
      <w:r>
        <w:rPr>
          <w:rFonts w:asciiTheme="majorHAnsi" w:hAnsiTheme="majorHAnsi" w:cs="Arial"/>
          <w:color w:val="auto"/>
          <w:sz w:val="16"/>
          <w:szCs w:val="16"/>
          <w:lang w:val="es-ES"/>
        </w:rPr>
        <w:t>Estados Unidos</w:t>
      </w:r>
      <w:r w:rsidRPr="006E3733">
        <w:rPr>
          <w:rFonts w:asciiTheme="majorHAnsi" w:hAnsiTheme="majorHAnsi" w:cs="Arial"/>
          <w:color w:val="auto"/>
          <w:sz w:val="16"/>
          <w:szCs w:val="16"/>
          <w:lang w:val="es-US"/>
        </w:rPr>
        <w:t>,</w:t>
      </w:r>
      <w:r>
        <w:rPr>
          <w:rFonts w:asciiTheme="majorHAnsi" w:hAnsiTheme="majorHAnsi" w:cs="Arial"/>
          <w:color w:val="auto"/>
          <w:sz w:val="16"/>
          <w:szCs w:val="16"/>
          <w:lang w:val="es-ES"/>
        </w:rPr>
        <w:t xml:space="preserve"> 7 de agosto de 2009</w:t>
      </w:r>
      <w:r w:rsidRPr="006E3733">
        <w:rPr>
          <w:rFonts w:asciiTheme="majorHAnsi" w:hAnsiTheme="majorHAnsi" w:cs="Arial"/>
          <w:color w:val="auto"/>
          <w:sz w:val="16"/>
          <w:szCs w:val="16"/>
          <w:lang w:val="es-US"/>
        </w:rPr>
        <w:t>, par</w:t>
      </w:r>
      <w:r>
        <w:rPr>
          <w:rFonts w:asciiTheme="majorHAnsi" w:hAnsiTheme="majorHAnsi" w:cs="Arial"/>
          <w:color w:val="auto"/>
          <w:sz w:val="16"/>
          <w:szCs w:val="16"/>
          <w:lang w:val="es-ES"/>
        </w:rPr>
        <w:t>r</w:t>
      </w:r>
      <w:r w:rsidRPr="006E3733">
        <w:rPr>
          <w:rFonts w:asciiTheme="majorHAnsi" w:hAnsiTheme="majorHAnsi" w:cs="Arial"/>
          <w:color w:val="auto"/>
          <w:sz w:val="16"/>
          <w:szCs w:val="16"/>
          <w:lang w:val="es-US"/>
        </w:rPr>
        <w:t>s</w:t>
      </w:r>
      <w:r>
        <w:rPr>
          <w:rFonts w:asciiTheme="majorHAnsi" w:hAnsiTheme="majorHAnsi" w:cs="Arial"/>
          <w:color w:val="auto"/>
          <w:sz w:val="16"/>
          <w:szCs w:val="16"/>
          <w:lang w:val="es-ES"/>
        </w:rPr>
        <w:t>.</w:t>
      </w:r>
      <w:r w:rsidRPr="006E3733">
        <w:rPr>
          <w:rFonts w:asciiTheme="majorHAnsi" w:hAnsiTheme="majorHAnsi" w:cs="Arial"/>
          <w:color w:val="auto"/>
          <w:sz w:val="16"/>
          <w:szCs w:val="16"/>
          <w:lang w:val="es-US"/>
        </w:rPr>
        <w:t xml:space="preserve"> 124-132. Véase también, CIDH, Informe No. 91/05 (Javier Suarez Medina), Estados Unidos, Informe Anual 2005 de la CIDH; Informe No. 1/05 (Roberto Moreno Ramos), Estados Unidos, </w:t>
      </w:r>
      <w:r>
        <w:rPr>
          <w:rFonts w:asciiTheme="majorHAnsi" w:hAnsiTheme="majorHAnsi" w:cs="Arial"/>
          <w:color w:val="auto"/>
          <w:sz w:val="16"/>
          <w:szCs w:val="16"/>
          <w:lang w:val="es-ES"/>
        </w:rPr>
        <w:t>Informe Anual 2005 de la CIDH</w:t>
      </w:r>
      <w:r w:rsidRPr="006E3733">
        <w:rPr>
          <w:rFonts w:asciiTheme="majorHAnsi" w:hAnsiTheme="majorHAnsi" w:cs="Arial"/>
          <w:color w:val="auto"/>
          <w:sz w:val="16"/>
          <w:szCs w:val="16"/>
          <w:lang w:val="es-US"/>
        </w:rPr>
        <w:t xml:space="preserve">; </w:t>
      </w:r>
      <w:proofErr w:type="spellStart"/>
      <w:r>
        <w:rPr>
          <w:rFonts w:asciiTheme="majorHAnsi" w:hAnsiTheme="majorHAnsi" w:cs="Arial"/>
          <w:color w:val="auto"/>
          <w:sz w:val="16"/>
          <w:szCs w:val="16"/>
          <w:lang w:val="es-ES"/>
        </w:rPr>
        <w:t>y</w:t>
      </w:r>
      <w:proofErr w:type="spellEnd"/>
      <w:r w:rsidRPr="006E3733">
        <w:rPr>
          <w:rFonts w:asciiTheme="majorHAnsi" w:hAnsiTheme="majorHAnsi" w:cs="Arial"/>
          <w:color w:val="auto"/>
          <w:sz w:val="16"/>
          <w:szCs w:val="16"/>
          <w:lang w:val="es-US"/>
        </w:rPr>
        <w:t xml:space="preserve"> </w:t>
      </w:r>
      <w:r>
        <w:rPr>
          <w:rFonts w:asciiTheme="majorHAnsi" w:hAnsiTheme="majorHAnsi" w:cs="Arial"/>
          <w:color w:val="auto"/>
          <w:sz w:val="16"/>
          <w:szCs w:val="16"/>
          <w:lang w:val="es-ES"/>
        </w:rPr>
        <w:t>Informe</w:t>
      </w:r>
      <w:r w:rsidRPr="006E3733">
        <w:rPr>
          <w:rFonts w:asciiTheme="majorHAnsi" w:hAnsiTheme="majorHAnsi" w:cs="Arial"/>
          <w:color w:val="auto"/>
          <w:sz w:val="16"/>
          <w:szCs w:val="16"/>
          <w:lang w:val="es-US"/>
        </w:rPr>
        <w:t xml:space="preserve"> 52/02, Cas</w:t>
      </w:r>
      <w:r>
        <w:rPr>
          <w:rFonts w:asciiTheme="majorHAnsi" w:hAnsiTheme="majorHAnsi" w:cs="Arial"/>
          <w:color w:val="auto"/>
          <w:sz w:val="16"/>
          <w:szCs w:val="16"/>
          <w:lang w:val="es-ES"/>
        </w:rPr>
        <w:t>o</w:t>
      </w:r>
      <w:r w:rsidRPr="006E3733">
        <w:rPr>
          <w:rFonts w:asciiTheme="majorHAnsi" w:hAnsiTheme="majorHAnsi" w:cs="Arial"/>
          <w:color w:val="auto"/>
          <w:sz w:val="16"/>
          <w:szCs w:val="16"/>
          <w:lang w:val="es-US"/>
        </w:rPr>
        <w:t xml:space="preserve"> 11.753 (Ramón Martinez Villarreal),</w:t>
      </w:r>
      <w:r>
        <w:rPr>
          <w:rFonts w:asciiTheme="majorHAnsi" w:hAnsiTheme="majorHAnsi" w:cs="Arial"/>
          <w:color w:val="auto"/>
          <w:sz w:val="16"/>
          <w:szCs w:val="16"/>
          <w:lang w:val="es-ES"/>
        </w:rPr>
        <w:t xml:space="preserve"> Estados Unidos, Informe Anual 2002 de la CIDH</w:t>
      </w:r>
      <w:r w:rsidRPr="006E3733">
        <w:rPr>
          <w:rFonts w:asciiTheme="majorHAnsi" w:hAnsiTheme="majorHAnsi" w:cs="Arial"/>
          <w:color w:val="auto"/>
          <w:sz w:val="16"/>
          <w:szCs w:val="16"/>
          <w:lang w:val="es-US"/>
        </w:rPr>
        <w:t>.</w:t>
      </w:r>
    </w:p>
  </w:footnote>
  <w:footnote w:id="34">
    <w:p w14:paraId="380E0FA4" w14:textId="0F78D21F" w:rsidR="00873D49" w:rsidRPr="00E36893" w:rsidRDefault="00873D49" w:rsidP="004A0895">
      <w:pPr>
        <w:jc w:val="both"/>
        <w:rPr>
          <w:rFonts w:asciiTheme="majorHAnsi" w:eastAsia="Times New Roman" w:hAnsiTheme="majorHAnsi" w:cs="Tahoma"/>
          <w:sz w:val="16"/>
          <w:szCs w:val="16"/>
          <w:lang w:val="es-ES"/>
        </w:rPr>
      </w:pPr>
      <w:r w:rsidRPr="004A0895">
        <w:rPr>
          <w:rStyle w:val="FootnoteReference"/>
          <w:rFonts w:asciiTheme="majorHAnsi" w:eastAsia="Calibri" w:hAnsiTheme="majorHAnsi" w:cs="Arial"/>
          <w:sz w:val="16"/>
          <w:szCs w:val="16"/>
          <w:u w:color="000000"/>
          <w:lang w:eastAsia="es-ES"/>
        </w:rPr>
        <w:footnoteRef/>
      </w:r>
      <w:r w:rsidRPr="004B16F9">
        <w:rPr>
          <w:rStyle w:val="FootnoteReference"/>
          <w:rFonts w:asciiTheme="majorHAnsi" w:eastAsia="Calibri" w:hAnsiTheme="majorHAnsi" w:cs="Arial"/>
          <w:sz w:val="16"/>
          <w:szCs w:val="16"/>
          <w:u w:color="000000"/>
          <w:lang w:val="es-ES" w:eastAsia="es-ES"/>
        </w:rPr>
        <w:t xml:space="preserve"> </w:t>
      </w:r>
      <w:r w:rsidRPr="004B16F9">
        <w:rPr>
          <w:rFonts w:asciiTheme="majorHAnsi" w:eastAsia="Calibri" w:hAnsiTheme="majorHAnsi" w:cs="Arial"/>
          <w:sz w:val="16"/>
          <w:szCs w:val="16"/>
          <w:u w:color="000000"/>
          <w:lang w:val="es-ES" w:eastAsia="es-ES"/>
        </w:rPr>
        <w:t xml:space="preserve">Corte IDH. El derecho a la información sobre la asistencia consular en el marco de las garantías del debido proceso legal. </w:t>
      </w:r>
      <w:r w:rsidRPr="00E36893">
        <w:rPr>
          <w:rFonts w:asciiTheme="majorHAnsi" w:eastAsia="Calibri" w:hAnsiTheme="majorHAnsi" w:cs="Arial"/>
          <w:sz w:val="16"/>
          <w:szCs w:val="16"/>
          <w:u w:color="000000"/>
          <w:lang w:val="es-ES" w:eastAsia="es-ES"/>
        </w:rPr>
        <w:t xml:space="preserve">Opinión Consultiva OC-16/99 de 1 de octubre de 1999. Serie A No. 16, </w:t>
      </w:r>
      <w:r w:rsidR="00C34A87" w:rsidRPr="00E36893">
        <w:rPr>
          <w:rFonts w:asciiTheme="majorHAnsi" w:eastAsia="Calibri" w:hAnsiTheme="majorHAnsi" w:cs="Arial"/>
          <w:sz w:val="16"/>
          <w:szCs w:val="16"/>
          <w:u w:color="000000"/>
          <w:lang w:val="es-ES" w:eastAsia="es-ES"/>
        </w:rPr>
        <w:t>párr.</w:t>
      </w:r>
      <w:r w:rsidRPr="00E36893">
        <w:rPr>
          <w:rFonts w:asciiTheme="majorHAnsi" w:eastAsia="Calibri" w:hAnsiTheme="majorHAnsi" w:cs="Arial"/>
          <w:bCs/>
          <w:sz w:val="16"/>
          <w:szCs w:val="16"/>
          <w:u w:color="000000"/>
          <w:lang w:val="es-ES" w:eastAsia="es-ES"/>
        </w:rPr>
        <w:t xml:space="preserve"> 81.</w:t>
      </w:r>
    </w:p>
  </w:footnote>
  <w:footnote w:id="35">
    <w:p w14:paraId="0E7AC842" w14:textId="4932DEBF" w:rsidR="00873D49" w:rsidRPr="00E36893" w:rsidRDefault="00873D49" w:rsidP="004A0895">
      <w:pPr>
        <w:pStyle w:val="FootnoteText"/>
        <w:jc w:val="both"/>
        <w:rPr>
          <w:rFonts w:asciiTheme="majorHAnsi" w:hAnsiTheme="majorHAnsi"/>
          <w:color w:val="auto"/>
          <w:sz w:val="16"/>
          <w:szCs w:val="16"/>
          <w:lang w:val="es-ES"/>
        </w:rPr>
      </w:pPr>
      <w:r w:rsidRPr="004A0895">
        <w:rPr>
          <w:rStyle w:val="FootnoteReference"/>
          <w:rFonts w:asciiTheme="majorHAnsi" w:hAnsiTheme="majorHAnsi" w:cs="Arial"/>
          <w:color w:val="auto"/>
          <w:sz w:val="16"/>
          <w:szCs w:val="16"/>
        </w:rPr>
        <w:footnoteRef/>
      </w:r>
      <w:r w:rsidRPr="00E36893">
        <w:rPr>
          <w:rFonts w:asciiTheme="majorHAnsi" w:hAnsiTheme="majorHAnsi" w:cs="Arial"/>
          <w:color w:val="auto"/>
          <w:sz w:val="16"/>
          <w:szCs w:val="16"/>
          <w:lang w:val="es-ES"/>
        </w:rPr>
        <w:t xml:space="preserve"> American Bar </w:t>
      </w:r>
      <w:proofErr w:type="spellStart"/>
      <w:r w:rsidRPr="00E36893">
        <w:rPr>
          <w:rFonts w:asciiTheme="majorHAnsi" w:hAnsiTheme="majorHAnsi" w:cs="Arial"/>
          <w:color w:val="auto"/>
          <w:sz w:val="16"/>
          <w:szCs w:val="16"/>
          <w:lang w:val="es-ES"/>
        </w:rPr>
        <w:t>Association</w:t>
      </w:r>
      <w:proofErr w:type="spellEnd"/>
      <w:r w:rsidRPr="00E36893">
        <w:rPr>
          <w:rFonts w:asciiTheme="majorHAnsi" w:hAnsiTheme="majorHAnsi" w:cs="Arial"/>
          <w:color w:val="auto"/>
          <w:sz w:val="16"/>
          <w:szCs w:val="16"/>
          <w:lang w:val="es-ES"/>
        </w:rPr>
        <w:t xml:space="preserve">, </w:t>
      </w:r>
      <w:proofErr w:type="spellStart"/>
      <w:r w:rsidRPr="00E36893">
        <w:rPr>
          <w:rFonts w:asciiTheme="majorHAnsi" w:hAnsiTheme="majorHAnsi" w:cs="Arial"/>
          <w:i/>
          <w:iCs/>
          <w:color w:val="auto"/>
          <w:sz w:val="16"/>
          <w:szCs w:val="16"/>
          <w:lang w:val="es-ES"/>
        </w:rPr>
        <w:t>Guidelines</w:t>
      </w:r>
      <w:proofErr w:type="spellEnd"/>
      <w:r w:rsidRPr="00E36893">
        <w:rPr>
          <w:rFonts w:asciiTheme="majorHAnsi" w:hAnsiTheme="majorHAnsi" w:cs="Arial"/>
          <w:i/>
          <w:iCs/>
          <w:color w:val="auto"/>
          <w:sz w:val="16"/>
          <w:szCs w:val="16"/>
          <w:lang w:val="es-ES"/>
        </w:rPr>
        <w:t xml:space="preserve"> </w:t>
      </w:r>
      <w:proofErr w:type="spellStart"/>
      <w:r w:rsidRPr="00E36893">
        <w:rPr>
          <w:rFonts w:asciiTheme="majorHAnsi" w:hAnsiTheme="majorHAnsi" w:cs="Arial"/>
          <w:i/>
          <w:iCs/>
          <w:color w:val="auto"/>
          <w:sz w:val="16"/>
          <w:szCs w:val="16"/>
          <w:lang w:val="es-ES"/>
        </w:rPr>
        <w:t>for</w:t>
      </w:r>
      <w:proofErr w:type="spellEnd"/>
      <w:r w:rsidRPr="00E36893">
        <w:rPr>
          <w:rFonts w:asciiTheme="majorHAnsi" w:hAnsiTheme="majorHAnsi" w:cs="Arial"/>
          <w:i/>
          <w:iCs/>
          <w:color w:val="auto"/>
          <w:sz w:val="16"/>
          <w:szCs w:val="16"/>
          <w:lang w:val="es-ES"/>
        </w:rPr>
        <w:t xml:space="preserve"> </w:t>
      </w:r>
      <w:proofErr w:type="spellStart"/>
      <w:r w:rsidRPr="00E36893">
        <w:rPr>
          <w:rFonts w:asciiTheme="majorHAnsi" w:hAnsiTheme="majorHAnsi" w:cs="Arial"/>
          <w:i/>
          <w:iCs/>
          <w:color w:val="auto"/>
          <w:sz w:val="16"/>
          <w:szCs w:val="16"/>
          <w:lang w:val="es-ES"/>
        </w:rPr>
        <w:t>the</w:t>
      </w:r>
      <w:proofErr w:type="spellEnd"/>
      <w:r w:rsidRPr="00E36893">
        <w:rPr>
          <w:rFonts w:asciiTheme="majorHAnsi" w:hAnsiTheme="majorHAnsi" w:cs="Arial"/>
          <w:i/>
          <w:iCs/>
          <w:color w:val="auto"/>
          <w:sz w:val="16"/>
          <w:szCs w:val="16"/>
          <w:lang w:val="es-ES"/>
        </w:rPr>
        <w:t xml:space="preserve"> </w:t>
      </w:r>
      <w:proofErr w:type="spellStart"/>
      <w:r w:rsidRPr="00E36893">
        <w:rPr>
          <w:rFonts w:asciiTheme="majorHAnsi" w:hAnsiTheme="majorHAnsi" w:cs="Arial"/>
          <w:i/>
          <w:iCs/>
          <w:color w:val="auto"/>
          <w:sz w:val="16"/>
          <w:szCs w:val="16"/>
          <w:lang w:val="es-ES"/>
        </w:rPr>
        <w:t>Appointment</w:t>
      </w:r>
      <w:proofErr w:type="spellEnd"/>
      <w:r w:rsidRPr="00E36893">
        <w:rPr>
          <w:rFonts w:asciiTheme="majorHAnsi" w:hAnsiTheme="majorHAnsi" w:cs="Arial"/>
          <w:i/>
          <w:iCs/>
          <w:color w:val="auto"/>
          <w:sz w:val="16"/>
          <w:szCs w:val="16"/>
          <w:lang w:val="es-ES"/>
        </w:rPr>
        <w:t xml:space="preserve"> and Performance of Defense </w:t>
      </w:r>
      <w:proofErr w:type="spellStart"/>
      <w:r w:rsidRPr="00E36893">
        <w:rPr>
          <w:rFonts w:asciiTheme="majorHAnsi" w:hAnsiTheme="majorHAnsi" w:cs="Arial"/>
          <w:i/>
          <w:iCs/>
          <w:color w:val="auto"/>
          <w:sz w:val="16"/>
          <w:szCs w:val="16"/>
          <w:lang w:val="es-ES"/>
        </w:rPr>
        <w:t>Counsel</w:t>
      </w:r>
      <w:proofErr w:type="spellEnd"/>
      <w:r w:rsidRPr="00E36893">
        <w:rPr>
          <w:rFonts w:asciiTheme="majorHAnsi" w:hAnsiTheme="majorHAnsi" w:cs="Arial"/>
          <w:i/>
          <w:iCs/>
          <w:color w:val="auto"/>
          <w:sz w:val="16"/>
          <w:szCs w:val="16"/>
          <w:lang w:val="es-ES"/>
        </w:rPr>
        <w:t xml:space="preserve"> in </w:t>
      </w:r>
      <w:proofErr w:type="spellStart"/>
      <w:r w:rsidRPr="00E36893">
        <w:rPr>
          <w:rFonts w:asciiTheme="majorHAnsi" w:hAnsiTheme="majorHAnsi" w:cs="Arial"/>
          <w:i/>
          <w:iCs/>
          <w:color w:val="auto"/>
          <w:sz w:val="16"/>
          <w:szCs w:val="16"/>
          <w:lang w:val="es-ES"/>
        </w:rPr>
        <w:t>Death</w:t>
      </w:r>
      <w:proofErr w:type="spellEnd"/>
      <w:r w:rsidRPr="00E36893">
        <w:rPr>
          <w:rFonts w:asciiTheme="majorHAnsi" w:hAnsiTheme="majorHAnsi" w:cs="Arial"/>
          <w:i/>
          <w:iCs/>
          <w:color w:val="auto"/>
          <w:sz w:val="16"/>
          <w:szCs w:val="16"/>
          <w:lang w:val="es-ES"/>
        </w:rPr>
        <w:t xml:space="preserve"> </w:t>
      </w:r>
      <w:proofErr w:type="spellStart"/>
      <w:r w:rsidRPr="00E36893">
        <w:rPr>
          <w:rFonts w:asciiTheme="majorHAnsi" w:hAnsiTheme="majorHAnsi" w:cs="Arial"/>
          <w:i/>
          <w:iCs/>
          <w:color w:val="auto"/>
          <w:sz w:val="16"/>
          <w:szCs w:val="16"/>
          <w:lang w:val="es-ES"/>
        </w:rPr>
        <w:t>Penalty</w:t>
      </w:r>
      <w:proofErr w:type="spellEnd"/>
      <w:r w:rsidRPr="00E36893">
        <w:rPr>
          <w:rFonts w:asciiTheme="majorHAnsi" w:hAnsiTheme="majorHAnsi" w:cs="Arial"/>
          <w:i/>
          <w:iCs/>
          <w:color w:val="auto"/>
          <w:sz w:val="16"/>
          <w:szCs w:val="16"/>
          <w:lang w:val="es-ES"/>
        </w:rPr>
        <w:t xml:space="preserve"> Cases</w:t>
      </w:r>
      <w:r w:rsidRPr="00E36893">
        <w:rPr>
          <w:rFonts w:asciiTheme="majorHAnsi" w:hAnsiTheme="majorHAnsi" w:cs="Arial"/>
          <w:color w:val="auto"/>
          <w:sz w:val="16"/>
          <w:szCs w:val="16"/>
          <w:lang w:val="es-ES"/>
        </w:rPr>
        <w:t xml:space="preserve"> (</w:t>
      </w:r>
      <w:proofErr w:type="spellStart"/>
      <w:r w:rsidRPr="00E36893">
        <w:rPr>
          <w:rFonts w:asciiTheme="majorHAnsi" w:hAnsiTheme="majorHAnsi" w:cs="Arial"/>
          <w:color w:val="auto"/>
          <w:sz w:val="16"/>
          <w:szCs w:val="16"/>
          <w:lang w:val="es-ES"/>
        </w:rPr>
        <w:t>Revised</w:t>
      </w:r>
      <w:proofErr w:type="spellEnd"/>
      <w:r w:rsidRPr="00E36893">
        <w:rPr>
          <w:rFonts w:asciiTheme="majorHAnsi" w:hAnsiTheme="majorHAnsi" w:cs="Arial"/>
          <w:color w:val="auto"/>
          <w:sz w:val="16"/>
          <w:szCs w:val="16"/>
          <w:lang w:val="es-ES"/>
        </w:rPr>
        <w:t xml:space="preserve"> </w:t>
      </w:r>
      <w:proofErr w:type="spellStart"/>
      <w:r w:rsidRPr="00E36893">
        <w:rPr>
          <w:rFonts w:asciiTheme="majorHAnsi" w:hAnsiTheme="majorHAnsi" w:cs="Arial"/>
          <w:color w:val="auto"/>
          <w:sz w:val="16"/>
          <w:szCs w:val="16"/>
          <w:lang w:val="es-ES"/>
        </w:rPr>
        <w:t>Edition</w:t>
      </w:r>
      <w:proofErr w:type="spellEnd"/>
      <w:r w:rsidRPr="00E36893">
        <w:rPr>
          <w:rFonts w:asciiTheme="majorHAnsi" w:hAnsiTheme="majorHAnsi" w:cs="Arial"/>
          <w:color w:val="auto"/>
          <w:sz w:val="16"/>
          <w:szCs w:val="16"/>
          <w:lang w:val="es-ES"/>
        </w:rPr>
        <w:t>) (</w:t>
      </w:r>
      <w:proofErr w:type="gramStart"/>
      <w:r w:rsidRPr="00E36893">
        <w:rPr>
          <w:rFonts w:asciiTheme="majorHAnsi" w:hAnsiTheme="majorHAnsi" w:cs="Arial"/>
          <w:color w:val="auto"/>
          <w:sz w:val="16"/>
          <w:szCs w:val="16"/>
          <w:lang w:val="es-ES"/>
        </w:rPr>
        <w:t>Febrero</w:t>
      </w:r>
      <w:proofErr w:type="gramEnd"/>
      <w:r w:rsidRPr="00E36893">
        <w:rPr>
          <w:rFonts w:asciiTheme="majorHAnsi" w:hAnsiTheme="majorHAnsi" w:cs="Arial"/>
          <w:color w:val="auto"/>
          <w:sz w:val="16"/>
          <w:szCs w:val="16"/>
          <w:lang w:val="es-ES"/>
        </w:rPr>
        <w:t>, 2004), Directriz 10.6B “Obligaciones Adicionales de los Abogados que Representan a un Ciuda</w:t>
      </w:r>
      <w:r>
        <w:rPr>
          <w:rFonts w:asciiTheme="majorHAnsi" w:hAnsiTheme="majorHAnsi" w:cs="Arial"/>
          <w:color w:val="auto"/>
          <w:sz w:val="16"/>
          <w:szCs w:val="16"/>
          <w:lang w:val="es-ES"/>
        </w:rPr>
        <w:t>da</w:t>
      </w:r>
      <w:r w:rsidRPr="00E36893">
        <w:rPr>
          <w:rFonts w:asciiTheme="majorHAnsi" w:hAnsiTheme="majorHAnsi" w:cs="Arial"/>
          <w:color w:val="auto"/>
          <w:sz w:val="16"/>
          <w:szCs w:val="16"/>
          <w:lang w:val="es-ES"/>
        </w:rPr>
        <w:t>no Extranjero.”</w:t>
      </w:r>
    </w:p>
  </w:footnote>
  <w:footnote w:id="36">
    <w:p w14:paraId="1761344A" w14:textId="77777777" w:rsidR="00873D49" w:rsidRPr="004B16F9" w:rsidRDefault="00873D49" w:rsidP="008448B4">
      <w:pPr>
        <w:pStyle w:val="FootnoteText"/>
        <w:jc w:val="both"/>
        <w:rPr>
          <w:rFonts w:asciiTheme="majorHAnsi" w:hAnsiTheme="majorHAnsi"/>
          <w:color w:val="auto"/>
          <w:sz w:val="16"/>
          <w:szCs w:val="16"/>
          <w:lang w:val="es-ES"/>
        </w:rPr>
      </w:pPr>
      <w:r w:rsidRPr="004A0895">
        <w:rPr>
          <w:rStyle w:val="FootnoteReference"/>
          <w:rFonts w:asciiTheme="majorHAnsi" w:hAnsiTheme="majorHAnsi"/>
          <w:color w:val="auto"/>
          <w:sz w:val="16"/>
          <w:szCs w:val="16"/>
        </w:rPr>
        <w:footnoteRef/>
      </w:r>
      <w:r w:rsidRPr="004B16F9">
        <w:rPr>
          <w:rFonts w:asciiTheme="majorHAnsi" w:hAnsiTheme="majorHAnsi"/>
          <w:color w:val="auto"/>
          <w:sz w:val="16"/>
          <w:szCs w:val="16"/>
          <w:lang w:val="es-ES"/>
        </w:rPr>
        <w:t xml:space="preserve"> </w:t>
      </w:r>
      <w:r w:rsidRPr="006E3733">
        <w:rPr>
          <w:rFonts w:asciiTheme="majorHAnsi" w:hAnsiTheme="majorHAnsi" w:cs="Arial"/>
          <w:color w:val="auto"/>
          <w:sz w:val="16"/>
          <w:szCs w:val="16"/>
          <w:lang w:val="es-US"/>
        </w:rPr>
        <w:t xml:space="preserve">CIDH, </w:t>
      </w:r>
      <w:r w:rsidRPr="006E3733">
        <w:rPr>
          <w:rFonts w:asciiTheme="majorHAnsi" w:hAnsiTheme="majorHAnsi" w:cs="Arial"/>
          <w:bCs/>
          <w:color w:val="auto"/>
          <w:sz w:val="16"/>
          <w:szCs w:val="16"/>
          <w:lang w:val="es-US"/>
        </w:rPr>
        <w:t>Informe No. 90/09</w:t>
      </w:r>
      <w:r w:rsidRPr="006E3733">
        <w:rPr>
          <w:rFonts w:asciiTheme="majorHAnsi" w:hAnsiTheme="majorHAnsi" w:cs="Arial"/>
          <w:color w:val="auto"/>
          <w:sz w:val="16"/>
          <w:szCs w:val="16"/>
          <w:lang w:val="es-US"/>
        </w:rPr>
        <w:t xml:space="preserve">, Caso 12.644, Admisibilidad y Fondo (Publicación), Medellín, Ramírez </w:t>
      </w:r>
      <w:proofErr w:type="spellStart"/>
      <w:r w:rsidRPr="006E3733">
        <w:rPr>
          <w:rFonts w:asciiTheme="majorHAnsi" w:hAnsiTheme="majorHAnsi" w:cs="Arial"/>
          <w:color w:val="auto"/>
          <w:sz w:val="16"/>
          <w:szCs w:val="16"/>
          <w:lang w:val="es-US"/>
        </w:rPr>
        <w:t>Cardenas</w:t>
      </w:r>
      <w:proofErr w:type="spellEnd"/>
      <w:r w:rsidRPr="006E3733">
        <w:rPr>
          <w:rFonts w:asciiTheme="majorHAnsi" w:hAnsiTheme="majorHAnsi" w:cs="Arial"/>
          <w:color w:val="auto"/>
          <w:sz w:val="16"/>
          <w:szCs w:val="16"/>
          <w:lang w:val="es-US"/>
        </w:rPr>
        <w:t xml:space="preserve"> </w:t>
      </w:r>
      <w:r>
        <w:rPr>
          <w:rFonts w:asciiTheme="majorHAnsi" w:hAnsiTheme="majorHAnsi" w:cs="Arial"/>
          <w:color w:val="auto"/>
          <w:sz w:val="16"/>
          <w:szCs w:val="16"/>
          <w:lang w:val="es-ES"/>
        </w:rPr>
        <w:t>y</w:t>
      </w:r>
      <w:r w:rsidRPr="006E3733">
        <w:rPr>
          <w:rFonts w:asciiTheme="majorHAnsi" w:hAnsiTheme="majorHAnsi" w:cs="Arial"/>
          <w:color w:val="auto"/>
          <w:sz w:val="16"/>
          <w:szCs w:val="16"/>
          <w:lang w:val="es-US"/>
        </w:rPr>
        <w:t xml:space="preserve"> Leal García, </w:t>
      </w:r>
      <w:r>
        <w:rPr>
          <w:rFonts w:asciiTheme="majorHAnsi" w:hAnsiTheme="majorHAnsi" w:cs="Arial"/>
          <w:color w:val="auto"/>
          <w:sz w:val="16"/>
          <w:szCs w:val="16"/>
          <w:lang w:val="es-ES"/>
        </w:rPr>
        <w:t>Estados Unidos</w:t>
      </w:r>
      <w:r w:rsidRPr="006E3733">
        <w:rPr>
          <w:rFonts w:asciiTheme="majorHAnsi" w:hAnsiTheme="majorHAnsi" w:cs="Arial"/>
          <w:color w:val="auto"/>
          <w:sz w:val="16"/>
          <w:szCs w:val="16"/>
          <w:lang w:val="es-US"/>
        </w:rPr>
        <w:t>,</w:t>
      </w:r>
      <w:r>
        <w:rPr>
          <w:rFonts w:asciiTheme="majorHAnsi" w:hAnsiTheme="majorHAnsi" w:cs="Arial"/>
          <w:color w:val="auto"/>
          <w:sz w:val="16"/>
          <w:szCs w:val="16"/>
          <w:lang w:val="es-ES"/>
        </w:rPr>
        <w:t xml:space="preserve"> 7 de agosto de 2009.</w:t>
      </w:r>
    </w:p>
  </w:footnote>
  <w:footnote w:id="37">
    <w:p w14:paraId="071FCA16" w14:textId="2D8C58FE" w:rsidR="00873D49" w:rsidRPr="00E36893" w:rsidRDefault="00873D49" w:rsidP="008448B4">
      <w:pPr>
        <w:pStyle w:val="FootnoteText"/>
        <w:jc w:val="both"/>
        <w:rPr>
          <w:rFonts w:asciiTheme="majorHAnsi" w:hAnsiTheme="majorHAnsi"/>
          <w:color w:val="auto"/>
          <w:sz w:val="16"/>
          <w:szCs w:val="16"/>
          <w:lang w:val="es-ES"/>
        </w:rPr>
      </w:pPr>
      <w:r w:rsidRPr="004A0895">
        <w:rPr>
          <w:rStyle w:val="FootnoteReference"/>
          <w:rFonts w:asciiTheme="majorHAnsi" w:hAnsiTheme="majorHAnsi"/>
          <w:color w:val="auto"/>
          <w:sz w:val="16"/>
          <w:szCs w:val="16"/>
        </w:rPr>
        <w:footnoteRef/>
      </w:r>
      <w:r w:rsidRPr="004B16F9">
        <w:rPr>
          <w:rFonts w:asciiTheme="majorHAnsi" w:hAnsiTheme="majorHAnsi"/>
          <w:color w:val="auto"/>
          <w:sz w:val="16"/>
          <w:szCs w:val="16"/>
          <w:lang w:val="es-ES"/>
        </w:rPr>
        <w:t xml:space="preserve"> </w:t>
      </w:r>
      <w:r w:rsidRPr="004B16F9">
        <w:rPr>
          <w:rFonts w:asciiTheme="majorHAnsi" w:eastAsiaTheme="minorHAnsi" w:hAnsiTheme="majorHAnsi"/>
          <w:color w:val="auto"/>
          <w:sz w:val="16"/>
          <w:szCs w:val="16"/>
          <w:bdr w:val="none" w:sz="0" w:space="0" w:color="auto"/>
          <w:lang w:val="es-ES"/>
        </w:rPr>
        <w:t xml:space="preserve">CIDH, Caso No 12.023 (Desmond McKenzie y otros), Jamaica, Informe Anual 1999 de la CIDH, </w:t>
      </w:r>
      <w:r w:rsidR="00C34A87" w:rsidRPr="004B16F9">
        <w:rPr>
          <w:rFonts w:asciiTheme="majorHAnsi" w:eastAsiaTheme="minorHAnsi" w:hAnsiTheme="majorHAnsi"/>
          <w:color w:val="auto"/>
          <w:sz w:val="16"/>
          <w:szCs w:val="16"/>
          <w:bdr w:val="none" w:sz="0" w:space="0" w:color="auto"/>
          <w:lang w:val="es-ES"/>
        </w:rPr>
        <w:t>pár</w:t>
      </w:r>
      <w:r w:rsidR="00C34A87">
        <w:rPr>
          <w:rFonts w:asciiTheme="majorHAnsi" w:eastAsiaTheme="minorHAnsi" w:hAnsiTheme="majorHAnsi"/>
          <w:color w:val="auto"/>
          <w:sz w:val="16"/>
          <w:szCs w:val="16"/>
          <w:bdr w:val="none" w:sz="0" w:space="0" w:color="auto"/>
          <w:lang w:val="es-ES"/>
        </w:rPr>
        <w:t>r</w:t>
      </w:r>
      <w:r w:rsidR="00C34A87" w:rsidRPr="004B16F9">
        <w:rPr>
          <w:rFonts w:asciiTheme="majorHAnsi" w:eastAsiaTheme="minorHAnsi" w:hAnsiTheme="majorHAnsi"/>
          <w:color w:val="auto"/>
          <w:sz w:val="16"/>
          <w:szCs w:val="16"/>
          <w:bdr w:val="none" w:sz="0" w:space="0" w:color="auto"/>
          <w:lang w:val="es-ES"/>
        </w:rPr>
        <w:t>.</w:t>
      </w:r>
      <w:r w:rsidRPr="004B16F9">
        <w:rPr>
          <w:rFonts w:asciiTheme="majorHAnsi" w:eastAsiaTheme="minorHAnsi" w:hAnsiTheme="majorHAnsi"/>
          <w:color w:val="auto"/>
          <w:sz w:val="16"/>
          <w:szCs w:val="16"/>
          <w:bdr w:val="none" w:sz="0" w:space="0" w:color="auto"/>
          <w:lang w:val="es-ES"/>
        </w:rPr>
        <w:t xml:space="preserve"> 228; Caso No 12.067 (Michael Edwards y otros), Las Bahamas, Informe Anual</w:t>
      </w:r>
      <w:r>
        <w:rPr>
          <w:rFonts w:asciiTheme="majorHAnsi" w:eastAsiaTheme="minorHAnsi" w:hAnsiTheme="majorHAnsi"/>
          <w:color w:val="auto"/>
          <w:sz w:val="16"/>
          <w:szCs w:val="16"/>
          <w:bdr w:val="none" w:sz="0" w:space="0" w:color="auto"/>
          <w:lang w:val="es-ES"/>
        </w:rPr>
        <w:t xml:space="preserve"> 2000</w:t>
      </w:r>
      <w:r w:rsidRPr="004B16F9">
        <w:rPr>
          <w:rFonts w:asciiTheme="majorHAnsi" w:eastAsiaTheme="minorHAnsi" w:hAnsiTheme="majorHAnsi"/>
          <w:color w:val="auto"/>
          <w:sz w:val="16"/>
          <w:szCs w:val="16"/>
          <w:bdr w:val="none" w:sz="0" w:space="0" w:color="auto"/>
          <w:lang w:val="es-ES"/>
        </w:rPr>
        <w:t xml:space="preserve"> de la CIDH, </w:t>
      </w:r>
      <w:r w:rsidR="00C34A87" w:rsidRPr="004B16F9">
        <w:rPr>
          <w:rFonts w:asciiTheme="majorHAnsi" w:eastAsiaTheme="minorHAnsi" w:hAnsiTheme="majorHAnsi"/>
          <w:color w:val="auto"/>
          <w:sz w:val="16"/>
          <w:szCs w:val="16"/>
          <w:bdr w:val="none" w:sz="0" w:space="0" w:color="auto"/>
          <w:lang w:val="es-ES"/>
        </w:rPr>
        <w:t>pár</w:t>
      </w:r>
      <w:r w:rsidR="00C34A87">
        <w:rPr>
          <w:rFonts w:asciiTheme="majorHAnsi" w:eastAsiaTheme="minorHAnsi" w:hAnsiTheme="majorHAnsi"/>
          <w:color w:val="auto"/>
          <w:sz w:val="16"/>
          <w:szCs w:val="16"/>
          <w:bdr w:val="none" w:sz="0" w:space="0" w:color="auto"/>
          <w:lang w:val="es-ES"/>
        </w:rPr>
        <w:t>r</w:t>
      </w:r>
      <w:r w:rsidR="00C34A87" w:rsidRPr="004B16F9">
        <w:rPr>
          <w:rFonts w:asciiTheme="majorHAnsi" w:eastAsiaTheme="minorHAnsi" w:hAnsiTheme="majorHAnsi"/>
          <w:color w:val="auto"/>
          <w:sz w:val="16"/>
          <w:szCs w:val="16"/>
          <w:bdr w:val="none" w:sz="0" w:space="0" w:color="auto"/>
          <w:lang w:val="es-ES"/>
        </w:rPr>
        <w:t>.</w:t>
      </w:r>
      <w:r w:rsidRPr="004B16F9">
        <w:rPr>
          <w:rFonts w:asciiTheme="majorHAnsi" w:eastAsiaTheme="minorHAnsi" w:hAnsiTheme="majorHAnsi"/>
          <w:color w:val="auto"/>
          <w:sz w:val="16"/>
          <w:szCs w:val="16"/>
          <w:bdr w:val="none" w:sz="0" w:space="0" w:color="auto"/>
          <w:lang w:val="es-ES"/>
        </w:rPr>
        <w:t xml:space="preserve"> </w:t>
      </w:r>
      <w:r w:rsidRPr="00E36893">
        <w:rPr>
          <w:rFonts w:asciiTheme="majorHAnsi" w:eastAsiaTheme="minorHAnsi" w:hAnsiTheme="majorHAnsi"/>
          <w:color w:val="auto"/>
          <w:sz w:val="16"/>
          <w:szCs w:val="16"/>
          <w:bdr w:val="none" w:sz="0" w:space="0" w:color="auto"/>
          <w:lang w:val="es-ES"/>
        </w:rPr>
        <w:t xml:space="preserve">170. </w:t>
      </w:r>
    </w:p>
  </w:footnote>
  <w:footnote w:id="38">
    <w:p w14:paraId="6998613E" w14:textId="1F869966" w:rsidR="00873D49" w:rsidRPr="00E36893" w:rsidRDefault="00873D49" w:rsidP="008448B4">
      <w:pPr>
        <w:pStyle w:val="FootnoteText"/>
        <w:jc w:val="both"/>
        <w:rPr>
          <w:rFonts w:asciiTheme="majorHAnsi" w:hAnsiTheme="majorHAnsi"/>
          <w:color w:val="auto"/>
          <w:sz w:val="16"/>
          <w:szCs w:val="16"/>
          <w:lang w:val="es-ES"/>
        </w:rPr>
      </w:pPr>
      <w:r w:rsidRPr="004A0895">
        <w:rPr>
          <w:rStyle w:val="FootnoteReference"/>
          <w:rFonts w:asciiTheme="majorHAnsi" w:hAnsiTheme="majorHAnsi"/>
          <w:color w:val="auto"/>
          <w:sz w:val="16"/>
          <w:szCs w:val="16"/>
        </w:rPr>
        <w:footnoteRef/>
      </w:r>
      <w:r w:rsidRPr="004B16F9">
        <w:rPr>
          <w:rFonts w:asciiTheme="majorHAnsi" w:hAnsiTheme="majorHAnsi"/>
          <w:color w:val="auto"/>
          <w:sz w:val="16"/>
          <w:szCs w:val="16"/>
          <w:lang w:val="es-ES"/>
        </w:rPr>
        <w:t xml:space="preserve"> </w:t>
      </w:r>
      <w:r w:rsidRPr="004B16F9">
        <w:rPr>
          <w:rFonts w:asciiTheme="majorHAnsi" w:eastAsiaTheme="minorHAnsi" w:hAnsiTheme="majorHAnsi"/>
          <w:color w:val="auto"/>
          <w:sz w:val="16"/>
          <w:szCs w:val="16"/>
          <w:bdr w:val="none" w:sz="0" w:space="0" w:color="auto"/>
          <w:lang w:val="es-ES"/>
        </w:rPr>
        <w:t xml:space="preserve">CIDH, Caso No 12.023 (Desmond McKenzie y otros), Jamaica, Informe Anual 1999 de la CIDH, </w:t>
      </w:r>
      <w:r w:rsidR="00C34A87" w:rsidRPr="004B16F9">
        <w:rPr>
          <w:rFonts w:asciiTheme="majorHAnsi" w:eastAsiaTheme="minorHAnsi" w:hAnsiTheme="majorHAnsi"/>
          <w:color w:val="auto"/>
          <w:sz w:val="16"/>
          <w:szCs w:val="16"/>
          <w:bdr w:val="none" w:sz="0" w:space="0" w:color="auto"/>
          <w:lang w:val="es-ES"/>
        </w:rPr>
        <w:t>pár</w:t>
      </w:r>
      <w:r w:rsidR="00C34A87">
        <w:rPr>
          <w:rFonts w:asciiTheme="majorHAnsi" w:eastAsiaTheme="minorHAnsi" w:hAnsiTheme="majorHAnsi"/>
          <w:color w:val="auto"/>
          <w:sz w:val="16"/>
          <w:szCs w:val="16"/>
          <w:bdr w:val="none" w:sz="0" w:space="0" w:color="auto"/>
          <w:lang w:val="es-ES"/>
        </w:rPr>
        <w:t>r</w:t>
      </w:r>
      <w:r w:rsidR="00C34A87" w:rsidRPr="004B16F9">
        <w:rPr>
          <w:rFonts w:asciiTheme="majorHAnsi" w:eastAsiaTheme="minorHAnsi" w:hAnsiTheme="majorHAnsi"/>
          <w:color w:val="auto"/>
          <w:sz w:val="16"/>
          <w:szCs w:val="16"/>
          <w:bdr w:val="none" w:sz="0" w:space="0" w:color="auto"/>
          <w:lang w:val="es-ES"/>
        </w:rPr>
        <w:t>.</w:t>
      </w:r>
      <w:r w:rsidRPr="004B16F9">
        <w:rPr>
          <w:rFonts w:asciiTheme="majorHAnsi" w:eastAsiaTheme="minorHAnsi" w:hAnsiTheme="majorHAnsi"/>
          <w:color w:val="auto"/>
          <w:sz w:val="16"/>
          <w:szCs w:val="16"/>
          <w:bdr w:val="none" w:sz="0" w:space="0" w:color="auto"/>
          <w:lang w:val="es-ES"/>
        </w:rPr>
        <w:t xml:space="preserve"> 228; Caso No 12.067 (Michael Edwards y otros), Las Bahamas, Informe Anual 2000 de la CIDH</w:t>
      </w:r>
      <w:r>
        <w:rPr>
          <w:rFonts w:asciiTheme="majorHAnsi" w:eastAsiaTheme="minorHAnsi" w:hAnsiTheme="majorHAnsi"/>
          <w:color w:val="auto"/>
          <w:sz w:val="16"/>
          <w:szCs w:val="16"/>
          <w:bdr w:val="none" w:sz="0" w:space="0" w:color="auto"/>
          <w:lang w:val="es-ES"/>
        </w:rPr>
        <w:t>,</w:t>
      </w:r>
      <w:r w:rsidRPr="004B16F9">
        <w:rPr>
          <w:rFonts w:asciiTheme="majorHAnsi" w:eastAsiaTheme="minorHAnsi" w:hAnsiTheme="majorHAnsi"/>
          <w:color w:val="auto"/>
          <w:sz w:val="16"/>
          <w:szCs w:val="16"/>
          <w:bdr w:val="none" w:sz="0" w:space="0" w:color="auto"/>
          <w:lang w:val="es-ES"/>
        </w:rPr>
        <w:t xml:space="preserve"> </w:t>
      </w:r>
      <w:r w:rsidR="00C34A87" w:rsidRPr="004B16F9">
        <w:rPr>
          <w:rFonts w:asciiTheme="majorHAnsi" w:eastAsiaTheme="minorHAnsi" w:hAnsiTheme="majorHAnsi"/>
          <w:color w:val="auto"/>
          <w:sz w:val="16"/>
          <w:szCs w:val="16"/>
          <w:bdr w:val="none" w:sz="0" w:space="0" w:color="auto"/>
          <w:lang w:val="es-ES"/>
        </w:rPr>
        <w:t>pár</w:t>
      </w:r>
      <w:r w:rsidR="00C34A87">
        <w:rPr>
          <w:rFonts w:asciiTheme="majorHAnsi" w:eastAsiaTheme="minorHAnsi" w:hAnsiTheme="majorHAnsi"/>
          <w:color w:val="auto"/>
          <w:sz w:val="16"/>
          <w:szCs w:val="16"/>
          <w:bdr w:val="none" w:sz="0" w:space="0" w:color="auto"/>
          <w:lang w:val="es-ES"/>
        </w:rPr>
        <w:t>r</w:t>
      </w:r>
      <w:r w:rsidR="00C34A87" w:rsidRPr="004B16F9">
        <w:rPr>
          <w:rFonts w:asciiTheme="majorHAnsi" w:eastAsiaTheme="minorHAnsi" w:hAnsiTheme="majorHAnsi"/>
          <w:color w:val="auto"/>
          <w:sz w:val="16"/>
          <w:szCs w:val="16"/>
          <w:bdr w:val="none" w:sz="0" w:space="0" w:color="auto"/>
          <w:lang w:val="es-ES"/>
        </w:rPr>
        <w:t>.</w:t>
      </w:r>
      <w:r w:rsidRPr="004B16F9">
        <w:rPr>
          <w:rFonts w:asciiTheme="majorHAnsi" w:eastAsiaTheme="minorHAnsi" w:hAnsiTheme="majorHAnsi"/>
          <w:color w:val="auto"/>
          <w:sz w:val="16"/>
          <w:szCs w:val="16"/>
          <w:bdr w:val="none" w:sz="0" w:space="0" w:color="auto"/>
          <w:lang w:val="es-ES"/>
        </w:rPr>
        <w:t xml:space="preserve"> </w:t>
      </w:r>
      <w:r w:rsidRPr="00E36893">
        <w:rPr>
          <w:rFonts w:asciiTheme="majorHAnsi" w:eastAsiaTheme="minorHAnsi" w:hAnsiTheme="majorHAnsi"/>
          <w:color w:val="auto"/>
          <w:sz w:val="16"/>
          <w:szCs w:val="16"/>
          <w:bdr w:val="none" w:sz="0" w:space="0" w:color="auto"/>
          <w:lang w:val="es-ES"/>
        </w:rPr>
        <w:t xml:space="preserve">170. </w:t>
      </w:r>
    </w:p>
  </w:footnote>
  <w:footnote w:id="39">
    <w:p w14:paraId="15D76AA8" w14:textId="77777777" w:rsidR="00873D49" w:rsidRPr="004B16F9" w:rsidRDefault="00873D49" w:rsidP="004A0895">
      <w:pPr>
        <w:pStyle w:val="NormalWeb"/>
        <w:spacing w:before="0" w:beforeAutospacing="0" w:after="0" w:afterAutospacing="0"/>
        <w:jc w:val="both"/>
        <w:rPr>
          <w:rFonts w:asciiTheme="majorHAnsi" w:eastAsiaTheme="minorHAnsi" w:hAnsiTheme="majorHAnsi"/>
          <w:sz w:val="16"/>
          <w:szCs w:val="16"/>
          <w:lang w:val="es-ES"/>
        </w:rPr>
      </w:pPr>
      <w:r w:rsidRPr="004A0895">
        <w:rPr>
          <w:rStyle w:val="FootnoteReference"/>
          <w:rFonts w:asciiTheme="majorHAnsi" w:hAnsiTheme="majorHAnsi"/>
          <w:sz w:val="16"/>
          <w:szCs w:val="16"/>
        </w:rPr>
        <w:footnoteRef/>
      </w:r>
      <w:r w:rsidRPr="004B16F9">
        <w:rPr>
          <w:rFonts w:asciiTheme="majorHAnsi" w:hAnsiTheme="majorHAnsi"/>
          <w:sz w:val="16"/>
          <w:szCs w:val="16"/>
          <w:lang w:val="es-ES"/>
        </w:rPr>
        <w:t xml:space="preserve"> CIDH</w:t>
      </w:r>
      <w:r w:rsidRPr="004B16F9">
        <w:rPr>
          <w:rFonts w:asciiTheme="majorHAnsi" w:eastAsiaTheme="minorHAnsi" w:hAnsiTheme="majorHAnsi"/>
          <w:sz w:val="16"/>
          <w:szCs w:val="16"/>
          <w:lang w:val="es-ES"/>
        </w:rPr>
        <w:t>, Informe No. 12.231, Caso 12.231. Fondo (Publica</w:t>
      </w:r>
      <w:r>
        <w:rPr>
          <w:rFonts w:asciiTheme="majorHAnsi" w:eastAsiaTheme="minorHAnsi" w:hAnsiTheme="majorHAnsi"/>
          <w:sz w:val="16"/>
          <w:szCs w:val="16"/>
          <w:lang w:val="es-ES"/>
        </w:rPr>
        <w:t>c</w:t>
      </w:r>
      <w:r w:rsidRPr="004B16F9">
        <w:rPr>
          <w:rFonts w:asciiTheme="majorHAnsi" w:eastAsiaTheme="minorHAnsi" w:hAnsiTheme="majorHAnsi"/>
          <w:sz w:val="16"/>
          <w:szCs w:val="16"/>
          <w:lang w:val="es-ES"/>
        </w:rPr>
        <w:t>i</w:t>
      </w:r>
      <w:r>
        <w:rPr>
          <w:rFonts w:asciiTheme="majorHAnsi" w:eastAsiaTheme="minorHAnsi" w:hAnsiTheme="majorHAnsi"/>
          <w:sz w:val="16"/>
          <w:szCs w:val="16"/>
          <w:lang w:val="es-ES"/>
        </w:rPr>
        <w:t>ó</w:t>
      </w:r>
      <w:r w:rsidRPr="004B16F9">
        <w:rPr>
          <w:rFonts w:asciiTheme="majorHAnsi" w:eastAsiaTheme="minorHAnsi" w:hAnsiTheme="majorHAnsi"/>
          <w:sz w:val="16"/>
          <w:szCs w:val="16"/>
          <w:lang w:val="es-ES"/>
        </w:rPr>
        <w:t xml:space="preserve">n). </w:t>
      </w:r>
      <w:r w:rsidRPr="00E36893">
        <w:rPr>
          <w:rFonts w:asciiTheme="majorHAnsi" w:eastAsiaTheme="minorHAnsi" w:hAnsiTheme="majorHAnsi"/>
          <w:sz w:val="16"/>
          <w:szCs w:val="16"/>
          <w:lang w:val="es-ES"/>
        </w:rPr>
        <w:t xml:space="preserve">Peter Cash. </w:t>
      </w:r>
      <w:r w:rsidRPr="004B16F9">
        <w:rPr>
          <w:rFonts w:asciiTheme="majorHAnsi" w:eastAsiaTheme="minorHAnsi" w:hAnsiTheme="majorHAnsi"/>
          <w:sz w:val="16"/>
          <w:szCs w:val="16"/>
          <w:lang w:val="es-ES"/>
        </w:rPr>
        <w:t>Mancomunidad de Las Bahamas. 2 de abril de 2014.</w:t>
      </w:r>
    </w:p>
  </w:footnote>
  <w:footnote w:id="40">
    <w:p w14:paraId="04236E6D" w14:textId="77777777" w:rsidR="00873D49" w:rsidRPr="00E36893" w:rsidRDefault="00873D49" w:rsidP="004B16F9">
      <w:pPr>
        <w:pStyle w:val="FootnoteText"/>
        <w:jc w:val="both"/>
        <w:rPr>
          <w:rFonts w:asciiTheme="majorHAnsi" w:hAnsiTheme="majorHAnsi"/>
          <w:color w:val="auto"/>
          <w:sz w:val="16"/>
          <w:szCs w:val="16"/>
          <w:lang w:val="es-ES"/>
        </w:rPr>
      </w:pPr>
      <w:r w:rsidRPr="004A0895">
        <w:rPr>
          <w:rStyle w:val="FootnoteReference"/>
          <w:rFonts w:asciiTheme="majorHAnsi" w:hAnsiTheme="majorHAnsi"/>
          <w:color w:val="auto"/>
          <w:sz w:val="16"/>
          <w:szCs w:val="16"/>
        </w:rPr>
        <w:footnoteRef/>
      </w:r>
      <w:r w:rsidRPr="004B16F9">
        <w:rPr>
          <w:rFonts w:asciiTheme="majorHAnsi" w:hAnsiTheme="majorHAnsi"/>
          <w:color w:val="auto"/>
          <w:sz w:val="16"/>
          <w:szCs w:val="16"/>
          <w:lang w:val="es-ES"/>
        </w:rPr>
        <w:t xml:space="preserve"> </w:t>
      </w:r>
      <w:r w:rsidRPr="004B16F9">
        <w:rPr>
          <w:rFonts w:asciiTheme="majorHAnsi" w:hAnsiTheme="majorHAnsi" w:cs="OpenSans-Regular"/>
          <w:color w:val="auto"/>
          <w:sz w:val="16"/>
          <w:szCs w:val="16"/>
          <w:lang w:val="es-ES"/>
        </w:rPr>
        <w:t xml:space="preserve">Corte IDH. Caso Fermín Ramírez Vs. Guatemala. Fondo, Reparaciones y Costas. </w:t>
      </w:r>
      <w:r w:rsidRPr="00E36893">
        <w:rPr>
          <w:rFonts w:asciiTheme="majorHAnsi" w:hAnsiTheme="majorHAnsi" w:cs="OpenSans-Regular"/>
          <w:color w:val="auto"/>
          <w:sz w:val="16"/>
          <w:szCs w:val="16"/>
          <w:lang w:val="es-ES"/>
        </w:rPr>
        <w:t xml:space="preserve">Sentencia de 20 de junio de 2005. Serie C No. 126, </w:t>
      </w:r>
      <w:r w:rsidRPr="004B16F9">
        <w:rPr>
          <w:rFonts w:asciiTheme="majorHAnsi" w:hAnsiTheme="majorHAnsi" w:cs="OpenSans-Regular"/>
          <w:color w:val="auto"/>
          <w:sz w:val="16"/>
          <w:szCs w:val="16"/>
          <w:lang w:val="es-ES"/>
        </w:rPr>
        <w:t xml:space="preserve">para. </w:t>
      </w:r>
      <w:r w:rsidRPr="00E36893">
        <w:rPr>
          <w:rFonts w:asciiTheme="majorHAnsi" w:hAnsiTheme="majorHAnsi" w:cs="OpenSans-Regular"/>
          <w:color w:val="auto"/>
          <w:sz w:val="16"/>
          <w:szCs w:val="16"/>
          <w:lang w:val="es-ES"/>
        </w:rPr>
        <w:t>109.</w:t>
      </w:r>
    </w:p>
  </w:footnote>
  <w:footnote w:id="41">
    <w:p w14:paraId="5E4FF256" w14:textId="3677B7A9" w:rsidR="00873D49" w:rsidRPr="00E36893" w:rsidRDefault="00873D49" w:rsidP="004B16F9">
      <w:pPr>
        <w:pStyle w:val="FootnoteText"/>
        <w:jc w:val="both"/>
        <w:rPr>
          <w:rFonts w:asciiTheme="majorHAnsi" w:hAnsiTheme="majorHAnsi"/>
          <w:color w:val="auto"/>
          <w:sz w:val="16"/>
          <w:szCs w:val="16"/>
          <w:lang w:val="es-ES"/>
        </w:rPr>
      </w:pPr>
      <w:r w:rsidRPr="004A0895">
        <w:rPr>
          <w:rStyle w:val="FootnoteReference"/>
          <w:rFonts w:asciiTheme="majorHAnsi" w:hAnsiTheme="majorHAnsi"/>
          <w:color w:val="auto"/>
          <w:sz w:val="16"/>
          <w:szCs w:val="16"/>
        </w:rPr>
        <w:footnoteRef/>
      </w:r>
      <w:r w:rsidRPr="004B16F9">
        <w:rPr>
          <w:rFonts w:asciiTheme="majorHAnsi" w:hAnsiTheme="majorHAnsi"/>
          <w:color w:val="auto"/>
          <w:sz w:val="16"/>
          <w:szCs w:val="16"/>
          <w:lang w:val="es-ES"/>
        </w:rPr>
        <w:t xml:space="preserve"> </w:t>
      </w:r>
      <w:r w:rsidRPr="004B16F9">
        <w:rPr>
          <w:rFonts w:asciiTheme="majorHAnsi" w:hAnsiTheme="majorHAnsi" w:cs="OpenSans-Regular"/>
          <w:color w:val="auto"/>
          <w:sz w:val="16"/>
          <w:szCs w:val="16"/>
          <w:lang w:val="es-ES"/>
        </w:rPr>
        <w:t xml:space="preserve">Corte IDH. Caso Hilaire, </w:t>
      </w:r>
      <w:proofErr w:type="spellStart"/>
      <w:r w:rsidRPr="004B16F9">
        <w:rPr>
          <w:rFonts w:asciiTheme="majorHAnsi" w:hAnsiTheme="majorHAnsi" w:cs="OpenSans-Regular"/>
          <w:color w:val="auto"/>
          <w:sz w:val="16"/>
          <w:szCs w:val="16"/>
          <w:lang w:val="es-ES"/>
        </w:rPr>
        <w:t>Constantine</w:t>
      </w:r>
      <w:proofErr w:type="spellEnd"/>
      <w:r w:rsidRPr="004B16F9">
        <w:rPr>
          <w:rFonts w:asciiTheme="majorHAnsi" w:hAnsiTheme="majorHAnsi" w:cs="OpenSans-Regular"/>
          <w:color w:val="auto"/>
          <w:sz w:val="16"/>
          <w:szCs w:val="16"/>
          <w:lang w:val="es-ES"/>
        </w:rPr>
        <w:t xml:space="preserve"> y </w:t>
      </w:r>
      <w:proofErr w:type="spellStart"/>
      <w:r w:rsidRPr="004B16F9">
        <w:rPr>
          <w:rFonts w:asciiTheme="majorHAnsi" w:hAnsiTheme="majorHAnsi" w:cs="OpenSans-Regular"/>
          <w:color w:val="auto"/>
          <w:sz w:val="16"/>
          <w:szCs w:val="16"/>
          <w:lang w:val="es-ES"/>
        </w:rPr>
        <w:t>Benjamin</w:t>
      </w:r>
      <w:proofErr w:type="spellEnd"/>
      <w:r w:rsidRPr="004B16F9">
        <w:rPr>
          <w:rFonts w:asciiTheme="majorHAnsi" w:hAnsiTheme="majorHAnsi" w:cs="OpenSans-Regular"/>
          <w:color w:val="auto"/>
          <w:sz w:val="16"/>
          <w:szCs w:val="16"/>
          <w:lang w:val="es-ES"/>
        </w:rPr>
        <w:t xml:space="preserve"> y otros Vs. Trinidad y Tobago. Fondo, Reparaciones y Costas. </w:t>
      </w:r>
      <w:r w:rsidRPr="00E36893">
        <w:rPr>
          <w:rFonts w:asciiTheme="majorHAnsi" w:hAnsiTheme="majorHAnsi" w:cs="OpenSans-Regular"/>
          <w:color w:val="auto"/>
          <w:sz w:val="16"/>
          <w:szCs w:val="16"/>
          <w:lang w:val="es-ES"/>
        </w:rPr>
        <w:t xml:space="preserve">Sentencia de 21 de junio de 2002. Serie C No. 94, </w:t>
      </w:r>
      <w:r w:rsidR="00C34A87" w:rsidRPr="00E36893">
        <w:rPr>
          <w:rFonts w:asciiTheme="majorHAnsi" w:hAnsiTheme="majorHAnsi" w:cs="OpenSans-Regular"/>
          <w:color w:val="auto"/>
          <w:sz w:val="16"/>
          <w:szCs w:val="16"/>
          <w:lang w:val="es-ES"/>
        </w:rPr>
        <w:t>párr.</w:t>
      </w:r>
      <w:r w:rsidRPr="00E36893">
        <w:rPr>
          <w:rFonts w:asciiTheme="majorHAnsi" w:hAnsiTheme="majorHAnsi" w:cs="OpenSans-Regular"/>
          <w:color w:val="auto"/>
          <w:sz w:val="16"/>
          <w:szCs w:val="16"/>
          <w:lang w:val="es-ES"/>
        </w:rPr>
        <w:t xml:space="preserve"> 188. </w:t>
      </w:r>
    </w:p>
  </w:footnote>
  <w:footnote w:id="42">
    <w:p w14:paraId="3C10A38F" w14:textId="77777777" w:rsidR="00873D49" w:rsidRPr="00E36893" w:rsidRDefault="00873D49" w:rsidP="004B16F9">
      <w:pPr>
        <w:pStyle w:val="FootnoteText"/>
        <w:jc w:val="both"/>
        <w:rPr>
          <w:rFonts w:asciiTheme="majorHAnsi" w:eastAsia="Times New Roman" w:hAnsiTheme="majorHAnsi" w:cs="Times New Roman"/>
          <w:color w:val="auto"/>
          <w:sz w:val="16"/>
          <w:szCs w:val="16"/>
          <w:bdr w:val="none" w:sz="0" w:space="0" w:color="auto"/>
          <w:lang w:val="es-ES" w:eastAsia="en-US"/>
        </w:rPr>
      </w:pPr>
      <w:r w:rsidRPr="004A0895">
        <w:rPr>
          <w:rStyle w:val="FootnoteReference"/>
          <w:rFonts w:asciiTheme="majorHAnsi" w:hAnsiTheme="majorHAnsi"/>
          <w:color w:val="auto"/>
          <w:sz w:val="16"/>
          <w:szCs w:val="16"/>
        </w:rPr>
        <w:footnoteRef/>
      </w:r>
      <w:r w:rsidRPr="00B343BE">
        <w:rPr>
          <w:rFonts w:asciiTheme="majorHAnsi" w:hAnsiTheme="majorHAnsi"/>
          <w:color w:val="auto"/>
          <w:sz w:val="16"/>
          <w:szCs w:val="16"/>
          <w:lang w:val="es-ES"/>
        </w:rPr>
        <w:t xml:space="preserve"> Comité de Derechos Humanos de Naciones Unidas. Observaciones finales del Comité de Derechos Humanos: Guatemala</w:t>
      </w:r>
      <w:r w:rsidRPr="00B343BE">
        <w:rPr>
          <w:rFonts w:asciiTheme="majorHAnsi" w:eastAsia="Times New Roman" w:hAnsiTheme="majorHAnsi" w:cs="Times New Roman"/>
          <w:color w:val="auto"/>
          <w:sz w:val="16"/>
          <w:szCs w:val="16"/>
          <w:bdr w:val="none" w:sz="0" w:space="0" w:color="auto"/>
          <w:lang w:val="es-ES" w:eastAsia="en-US"/>
        </w:rPr>
        <w:t xml:space="preserve">. 72º período de </w:t>
      </w:r>
      <w:proofErr w:type="spellStart"/>
      <w:r w:rsidRPr="00B343BE">
        <w:rPr>
          <w:rFonts w:asciiTheme="majorHAnsi" w:eastAsia="Times New Roman" w:hAnsiTheme="majorHAnsi" w:cs="Times New Roman"/>
          <w:color w:val="auto"/>
          <w:sz w:val="16"/>
          <w:szCs w:val="16"/>
          <w:bdr w:val="none" w:sz="0" w:space="0" w:color="auto"/>
          <w:lang w:val="es-ES" w:eastAsia="en-US"/>
        </w:rPr>
        <w:t>sesions</w:t>
      </w:r>
      <w:proofErr w:type="spellEnd"/>
      <w:r w:rsidRPr="00B343BE">
        <w:rPr>
          <w:rFonts w:asciiTheme="majorHAnsi" w:eastAsia="Times New Roman" w:hAnsiTheme="majorHAnsi" w:cs="Times New Roman"/>
          <w:color w:val="auto"/>
          <w:sz w:val="16"/>
          <w:szCs w:val="16"/>
          <w:bdr w:val="none" w:sz="0" w:space="0" w:color="auto"/>
          <w:lang w:val="es-ES" w:eastAsia="en-US"/>
        </w:rPr>
        <w:t xml:space="preserve">, 27 de </w:t>
      </w:r>
      <w:r>
        <w:rPr>
          <w:rFonts w:asciiTheme="majorHAnsi" w:eastAsia="Times New Roman" w:hAnsiTheme="majorHAnsi" w:cs="Times New Roman"/>
          <w:color w:val="auto"/>
          <w:sz w:val="16"/>
          <w:szCs w:val="16"/>
          <w:bdr w:val="none" w:sz="0" w:space="0" w:color="auto"/>
          <w:lang w:val="es-ES" w:eastAsia="en-US"/>
        </w:rPr>
        <w:t>a</w:t>
      </w:r>
      <w:r w:rsidRPr="00B343BE">
        <w:rPr>
          <w:rFonts w:asciiTheme="majorHAnsi" w:eastAsia="Times New Roman" w:hAnsiTheme="majorHAnsi" w:cs="Times New Roman"/>
          <w:color w:val="auto"/>
          <w:sz w:val="16"/>
          <w:szCs w:val="16"/>
          <w:bdr w:val="none" w:sz="0" w:space="0" w:color="auto"/>
          <w:lang w:val="es-ES" w:eastAsia="en-US"/>
        </w:rPr>
        <w:t xml:space="preserve">gosto de 2001, CCPR/CO/72/GTM, </w:t>
      </w:r>
      <w:proofErr w:type="spellStart"/>
      <w:r w:rsidRPr="00B343BE">
        <w:rPr>
          <w:rFonts w:asciiTheme="majorHAnsi" w:eastAsia="Times New Roman" w:hAnsiTheme="majorHAnsi" w:cs="Times New Roman"/>
          <w:color w:val="auto"/>
          <w:sz w:val="16"/>
          <w:szCs w:val="16"/>
          <w:bdr w:val="none" w:sz="0" w:space="0" w:color="auto"/>
          <w:lang w:val="es-ES" w:eastAsia="en-US"/>
        </w:rPr>
        <w:t>par</w:t>
      </w:r>
      <w:r>
        <w:rPr>
          <w:rFonts w:asciiTheme="majorHAnsi" w:eastAsia="Times New Roman" w:hAnsiTheme="majorHAnsi" w:cs="Times New Roman"/>
          <w:color w:val="auto"/>
          <w:sz w:val="16"/>
          <w:szCs w:val="16"/>
          <w:bdr w:val="none" w:sz="0" w:space="0" w:color="auto"/>
          <w:lang w:val="es-ES" w:eastAsia="en-US"/>
        </w:rPr>
        <w:t>r</w:t>
      </w:r>
      <w:proofErr w:type="spellEnd"/>
      <w:r w:rsidRPr="00B343BE">
        <w:rPr>
          <w:rFonts w:asciiTheme="majorHAnsi" w:eastAsia="Times New Roman" w:hAnsiTheme="majorHAnsi" w:cs="Times New Roman"/>
          <w:color w:val="auto"/>
          <w:sz w:val="16"/>
          <w:szCs w:val="16"/>
          <w:bdr w:val="none" w:sz="0" w:space="0" w:color="auto"/>
          <w:lang w:val="es-ES" w:eastAsia="en-US"/>
        </w:rPr>
        <w:t xml:space="preserve">. </w:t>
      </w:r>
      <w:r w:rsidRPr="00E36893">
        <w:rPr>
          <w:rFonts w:asciiTheme="majorHAnsi" w:eastAsia="Times New Roman" w:hAnsiTheme="majorHAnsi" w:cs="Times New Roman"/>
          <w:color w:val="auto"/>
          <w:sz w:val="16"/>
          <w:szCs w:val="16"/>
          <w:bdr w:val="none" w:sz="0" w:space="0" w:color="auto"/>
          <w:lang w:val="es-ES" w:eastAsia="en-US"/>
        </w:rPr>
        <w:t>18.</w:t>
      </w:r>
    </w:p>
  </w:footnote>
  <w:footnote w:id="43">
    <w:p w14:paraId="655F8861" w14:textId="77777777" w:rsidR="00873D49" w:rsidRPr="00B343BE" w:rsidRDefault="00873D49" w:rsidP="004B16F9">
      <w:pPr>
        <w:pStyle w:val="FootnoteText"/>
        <w:jc w:val="both"/>
        <w:rPr>
          <w:rFonts w:asciiTheme="majorHAnsi" w:hAnsiTheme="majorHAnsi"/>
          <w:sz w:val="16"/>
          <w:szCs w:val="16"/>
          <w:lang w:val="es-ES"/>
        </w:rPr>
      </w:pPr>
      <w:r w:rsidRPr="004A0895">
        <w:rPr>
          <w:rStyle w:val="FootnoteReference"/>
          <w:rFonts w:asciiTheme="majorHAnsi" w:hAnsiTheme="majorHAnsi"/>
          <w:color w:val="auto"/>
          <w:sz w:val="16"/>
          <w:szCs w:val="16"/>
        </w:rPr>
        <w:footnoteRef/>
      </w:r>
      <w:r w:rsidRPr="00B343BE">
        <w:rPr>
          <w:rStyle w:val="FootnoteReference"/>
          <w:rFonts w:asciiTheme="majorHAnsi" w:hAnsiTheme="majorHAnsi"/>
          <w:color w:val="auto"/>
          <w:sz w:val="16"/>
          <w:szCs w:val="16"/>
          <w:lang w:val="es-ES"/>
        </w:rPr>
        <w:t xml:space="preserve"> </w:t>
      </w:r>
      <w:r w:rsidRPr="00B343BE">
        <w:rPr>
          <w:rFonts w:asciiTheme="majorHAnsi" w:hAnsiTheme="majorHAnsi"/>
          <w:color w:val="auto"/>
          <w:sz w:val="16"/>
          <w:szCs w:val="16"/>
          <w:lang w:val="es-ES"/>
        </w:rPr>
        <w:t xml:space="preserve">El Artículo XI de la Declaración Americana establece: </w:t>
      </w:r>
      <w:r>
        <w:rPr>
          <w:rFonts w:asciiTheme="majorHAnsi" w:hAnsiTheme="majorHAnsi"/>
          <w:color w:val="auto"/>
          <w:sz w:val="16"/>
          <w:szCs w:val="16"/>
          <w:lang w:val="es-ES"/>
        </w:rPr>
        <w:t>“</w:t>
      </w:r>
      <w:r w:rsidRPr="006E3733">
        <w:rPr>
          <w:rFonts w:asciiTheme="majorHAnsi" w:hAnsiTheme="majorHAnsi"/>
          <w:sz w:val="16"/>
          <w:szCs w:val="16"/>
          <w:lang w:val="es-US"/>
        </w:rPr>
        <w:t>Toda persona tiene derecho a que su salud sea preservada por medidas sanitarias y sociales, relativas a la alimentación, el vestido, la vivienda y la asistencia médica, correspondientes al nivel que permitan los recursos públicos y los de la comunidad.</w:t>
      </w:r>
      <w:r>
        <w:rPr>
          <w:rFonts w:asciiTheme="majorHAnsi" w:hAnsiTheme="majorHAnsi"/>
          <w:sz w:val="16"/>
          <w:szCs w:val="16"/>
          <w:lang w:val="es-ES"/>
        </w:rPr>
        <w:t>”</w:t>
      </w:r>
    </w:p>
  </w:footnote>
  <w:footnote w:id="44">
    <w:p w14:paraId="1CFFCC81" w14:textId="2ECE6DAE" w:rsidR="00873D49" w:rsidRPr="00B343BE" w:rsidRDefault="00873D49" w:rsidP="004A0895">
      <w:pPr>
        <w:pStyle w:val="FootnoteText"/>
        <w:jc w:val="both"/>
        <w:rPr>
          <w:rFonts w:asciiTheme="majorHAnsi" w:hAnsiTheme="majorHAnsi"/>
          <w:color w:val="auto"/>
          <w:sz w:val="16"/>
          <w:szCs w:val="16"/>
          <w:lang w:val="es-ES"/>
        </w:rPr>
      </w:pPr>
      <w:r w:rsidRPr="004A0895">
        <w:rPr>
          <w:rStyle w:val="FootnoteReference"/>
          <w:rFonts w:asciiTheme="majorHAnsi" w:hAnsiTheme="majorHAnsi"/>
          <w:color w:val="auto"/>
          <w:sz w:val="16"/>
          <w:szCs w:val="16"/>
        </w:rPr>
        <w:footnoteRef/>
      </w:r>
      <w:r w:rsidRPr="00B343BE">
        <w:rPr>
          <w:rStyle w:val="FootnoteReference"/>
          <w:rFonts w:asciiTheme="majorHAnsi" w:hAnsiTheme="majorHAnsi"/>
          <w:color w:val="auto"/>
          <w:sz w:val="16"/>
          <w:szCs w:val="16"/>
          <w:lang w:val="es-ES"/>
        </w:rPr>
        <w:t xml:space="preserve"> </w:t>
      </w:r>
      <w:r w:rsidRPr="00B343BE">
        <w:rPr>
          <w:rFonts w:asciiTheme="majorHAnsi" w:hAnsiTheme="majorHAnsi"/>
          <w:color w:val="auto"/>
          <w:sz w:val="16"/>
          <w:szCs w:val="16"/>
          <w:lang w:val="es-ES"/>
        </w:rPr>
        <w:t xml:space="preserve">CIDH, Informe No. 71/18, Caso 12.958. Fondo. </w:t>
      </w:r>
      <w:r w:rsidRPr="00E36893">
        <w:rPr>
          <w:rFonts w:asciiTheme="majorHAnsi" w:hAnsiTheme="majorHAnsi"/>
          <w:color w:val="auto"/>
          <w:sz w:val="16"/>
          <w:szCs w:val="16"/>
          <w:lang w:val="es-ES"/>
        </w:rPr>
        <w:t xml:space="preserve">Russell </w:t>
      </w:r>
      <w:proofErr w:type="spellStart"/>
      <w:r w:rsidRPr="00E36893">
        <w:rPr>
          <w:rFonts w:asciiTheme="majorHAnsi" w:hAnsiTheme="majorHAnsi"/>
          <w:color w:val="auto"/>
          <w:sz w:val="16"/>
          <w:szCs w:val="16"/>
          <w:lang w:val="es-ES"/>
        </w:rPr>
        <w:t>Bucklew</w:t>
      </w:r>
      <w:proofErr w:type="spellEnd"/>
      <w:r w:rsidRPr="00E36893">
        <w:rPr>
          <w:rFonts w:asciiTheme="majorHAnsi" w:hAnsiTheme="majorHAnsi"/>
          <w:color w:val="auto"/>
          <w:sz w:val="16"/>
          <w:szCs w:val="16"/>
          <w:lang w:val="es-ES"/>
        </w:rPr>
        <w:t xml:space="preserve">. </w:t>
      </w:r>
      <w:r w:rsidRPr="00B343BE">
        <w:rPr>
          <w:rFonts w:asciiTheme="majorHAnsi" w:hAnsiTheme="majorHAnsi"/>
          <w:color w:val="auto"/>
          <w:sz w:val="16"/>
          <w:szCs w:val="16"/>
          <w:lang w:val="es-ES"/>
        </w:rPr>
        <w:t xml:space="preserve">Estados Unidos, 10 de mayo de 2018, </w:t>
      </w:r>
      <w:proofErr w:type="spellStart"/>
      <w:r w:rsidRPr="00B343BE">
        <w:rPr>
          <w:rFonts w:asciiTheme="majorHAnsi" w:hAnsiTheme="majorHAnsi"/>
          <w:color w:val="auto"/>
          <w:sz w:val="16"/>
          <w:szCs w:val="16"/>
          <w:lang w:val="es-ES"/>
        </w:rPr>
        <w:t>p</w:t>
      </w:r>
      <w:r w:rsidR="00C34A87">
        <w:rPr>
          <w:rFonts w:asciiTheme="majorHAnsi" w:hAnsiTheme="majorHAnsi"/>
          <w:color w:val="auto"/>
          <w:sz w:val="16"/>
          <w:szCs w:val="16"/>
          <w:lang w:val="es-ES"/>
        </w:rPr>
        <w:t>á</w:t>
      </w:r>
      <w:r w:rsidRPr="00B343BE">
        <w:rPr>
          <w:rFonts w:asciiTheme="majorHAnsi" w:hAnsiTheme="majorHAnsi"/>
          <w:color w:val="auto"/>
          <w:sz w:val="16"/>
          <w:szCs w:val="16"/>
          <w:lang w:val="es-ES"/>
        </w:rPr>
        <w:t>r</w:t>
      </w:r>
      <w:r>
        <w:rPr>
          <w:rFonts w:asciiTheme="majorHAnsi" w:hAnsiTheme="majorHAnsi"/>
          <w:color w:val="auto"/>
          <w:sz w:val="16"/>
          <w:szCs w:val="16"/>
          <w:lang w:val="es-ES"/>
        </w:rPr>
        <w:t>r</w:t>
      </w:r>
      <w:r w:rsidRPr="00B343BE">
        <w:rPr>
          <w:rFonts w:asciiTheme="majorHAnsi" w:hAnsiTheme="majorHAnsi"/>
          <w:color w:val="auto"/>
          <w:sz w:val="16"/>
          <w:szCs w:val="16"/>
          <w:lang w:val="es-ES"/>
        </w:rPr>
        <w:t>s</w:t>
      </w:r>
      <w:proofErr w:type="spellEnd"/>
      <w:r w:rsidRPr="00B343BE">
        <w:rPr>
          <w:rFonts w:asciiTheme="majorHAnsi" w:hAnsiTheme="majorHAnsi"/>
          <w:color w:val="auto"/>
          <w:sz w:val="16"/>
          <w:szCs w:val="16"/>
          <w:lang w:val="es-ES"/>
        </w:rPr>
        <w:t xml:space="preserve">. </w:t>
      </w:r>
      <w:r w:rsidRPr="00E36893">
        <w:rPr>
          <w:rFonts w:asciiTheme="majorHAnsi" w:hAnsiTheme="majorHAnsi"/>
          <w:color w:val="auto"/>
          <w:sz w:val="16"/>
          <w:szCs w:val="16"/>
          <w:lang w:val="es-ES"/>
        </w:rPr>
        <w:t xml:space="preserve">86-90. </w:t>
      </w:r>
      <w:r w:rsidRPr="00B343BE">
        <w:rPr>
          <w:rFonts w:asciiTheme="majorHAnsi" w:hAnsiTheme="majorHAnsi"/>
          <w:color w:val="auto"/>
          <w:sz w:val="16"/>
          <w:szCs w:val="16"/>
          <w:lang w:val="es-ES"/>
        </w:rPr>
        <w:t>En este informe la Comisión ha citado un conjunto de de</w:t>
      </w:r>
      <w:r>
        <w:rPr>
          <w:rFonts w:asciiTheme="majorHAnsi" w:hAnsiTheme="majorHAnsi"/>
          <w:color w:val="auto"/>
          <w:sz w:val="16"/>
          <w:szCs w:val="16"/>
          <w:lang w:val="es-ES"/>
        </w:rPr>
        <w:t>sarrollos del sistema Interamericano y otros sistemas de protección, incluyendo sistemas regionales y el sistema de Naciones Unidas</w:t>
      </w:r>
    </w:p>
  </w:footnote>
  <w:footnote w:id="45">
    <w:p w14:paraId="1C552D7C" w14:textId="55BA10A5" w:rsidR="00873D49" w:rsidRPr="00B343BE" w:rsidRDefault="00873D49" w:rsidP="00AC31F6">
      <w:pPr>
        <w:pStyle w:val="FootnoteText"/>
        <w:tabs>
          <w:tab w:val="right" w:pos="0"/>
          <w:tab w:val="left" w:pos="180"/>
          <w:tab w:val="left" w:pos="900"/>
        </w:tabs>
        <w:jc w:val="both"/>
        <w:rPr>
          <w:rFonts w:ascii="Cambria" w:hAnsi="Cambria"/>
          <w:color w:val="auto"/>
          <w:sz w:val="16"/>
          <w:szCs w:val="16"/>
        </w:rPr>
      </w:pPr>
      <w:r w:rsidRPr="004A0895">
        <w:rPr>
          <w:rStyle w:val="FootnoteReference"/>
          <w:rFonts w:asciiTheme="majorHAnsi" w:hAnsiTheme="majorHAnsi"/>
          <w:color w:val="auto"/>
          <w:sz w:val="16"/>
          <w:szCs w:val="16"/>
        </w:rPr>
        <w:footnoteRef/>
      </w:r>
      <w:r w:rsidRPr="00B343BE">
        <w:rPr>
          <w:rFonts w:asciiTheme="majorHAnsi" w:hAnsiTheme="majorHAnsi"/>
          <w:color w:val="auto"/>
          <w:sz w:val="16"/>
          <w:szCs w:val="16"/>
          <w:lang w:val="es-ES"/>
        </w:rPr>
        <w:t xml:space="preserve"> Naciones Unidas. Informe provisional del Relator Especial </w:t>
      </w:r>
      <w:r>
        <w:rPr>
          <w:rFonts w:asciiTheme="majorHAnsi" w:hAnsiTheme="majorHAnsi"/>
          <w:color w:val="auto"/>
          <w:sz w:val="16"/>
          <w:szCs w:val="16"/>
          <w:lang w:val="es-ES"/>
        </w:rPr>
        <w:t>sobre la tortura y otros tratos o penas crueles, inhumanos o degradantes</w:t>
      </w:r>
      <w:r w:rsidRPr="00B343BE">
        <w:rPr>
          <w:rFonts w:asciiTheme="majorHAnsi" w:hAnsiTheme="majorHAnsi"/>
          <w:color w:val="auto"/>
          <w:sz w:val="16"/>
          <w:szCs w:val="16"/>
          <w:lang w:val="es-ES"/>
        </w:rPr>
        <w:t xml:space="preserve">. </w:t>
      </w:r>
      <w:r w:rsidRPr="00B343BE">
        <w:rPr>
          <w:rFonts w:asciiTheme="majorHAnsi" w:hAnsiTheme="majorHAnsi"/>
          <w:color w:val="auto"/>
          <w:sz w:val="16"/>
          <w:szCs w:val="16"/>
        </w:rPr>
        <w:t xml:space="preserve">9 de </w:t>
      </w:r>
      <w:proofErr w:type="spellStart"/>
      <w:r w:rsidRPr="00B343BE">
        <w:rPr>
          <w:rFonts w:asciiTheme="majorHAnsi" w:hAnsiTheme="majorHAnsi"/>
          <w:color w:val="auto"/>
          <w:sz w:val="16"/>
          <w:szCs w:val="16"/>
        </w:rPr>
        <w:t>agosto</w:t>
      </w:r>
      <w:proofErr w:type="spellEnd"/>
      <w:r w:rsidRPr="00B343BE">
        <w:rPr>
          <w:rFonts w:asciiTheme="majorHAnsi" w:hAnsiTheme="majorHAnsi"/>
          <w:color w:val="auto"/>
          <w:sz w:val="16"/>
          <w:szCs w:val="16"/>
        </w:rPr>
        <w:t xml:space="preserve"> de 2012</w:t>
      </w:r>
      <w:r w:rsidRPr="00B343BE">
        <w:rPr>
          <w:rFonts w:ascii="Cambria" w:hAnsi="Cambria"/>
          <w:color w:val="auto"/>
          <w:sz w:val="16"/>
          <w:szCs w:val="16"/>
        </w:rPr>
        <w:t xml:space="preserve">. A/67/279, </w:t>
      </w:r>
      <w:proofErr w:type="spellStart"/>
      <w:r w:rsidRPr="00B343BE">
        <w:rPr>
          <w:rFonts w:ascii="Cambria" w:hAnsi="Cambria"/>
          <w:color w:val="auto"/>
          <w:sz w:val="16"/>
          <w:szCs w:val="16"/>
        </w:rPr>
        <w:t>p</w:t>
      </w:r>
      <w:r w:rsidR="00C34A87">
        <w:rPr>
          <w:rFonts w:ascii="Cambria" w:hAnsi="Cambria"/>
          <w:color w:val="auto"/>
          <w:sz w:val="16"/>
          <w:szCs w:val="16"/>
        </w:rPr>
        <w:t>á</w:t>
      </w:r>
      <w:r w:rsidRPr="00B343BE">
        <w:rPr>
          <w:rFonts w:ascii="Cambria" w:hAnsi="Cambria"/>
          <w:color w:val="auto"/>
          <w:sz w:val="16"/>
          <w:szCs w:val="16"/>
        </w:rPr>
        <w:t>r</w:t>
      </w:r>
      <w:r>
        <w:rPr>
          <w:rFonts w:ascii="Cambria" w:hAnsi="Cambria"/>
          <w:color w:val="auto"/>
          <w:sz w:val="16"/>
          <w:szCs w:val="16"/>
        </w:rPr>
        <w:t>r</w:t>
      </w:r>
      <w:proofErr w:type="spellEnd"/>
      <w:r w:rsidR="00C34A87">
        <w:rPr>
          <w:rFonts w:ascii="Cambria" w:hAnsi="Cambria"/>
          <w:color w:val="auto"/>
          <w:sz w:val="16"/>
          <w:szCs w:val="16"/>
        </w:rPr>
        <w:t>.</w:t>
      </w:r>
      <w:r w:rsidRPr="00B343BE">
        <w:rPr>
          <w:rFonts w:ascii="Cambria" w:hAnsi="Cambria"/>
          <w:color w:val="auto"/>
          <w:sz w:val="16"/>
          <w:szCs w:val="16"/>
        </w:rPr>
        <w:t xml:space="preserve"> 42. </w:t>
      </w:r>
      <w:proofErr w:type="spellStart"/>
      <w:r w:rsidRPr="00B343BE">
        <w:rPr>
          <w:rFonts w:ascii="Cambria" w:hAnsi="Cambria"/>
          <w:color w:val="auto"/>
          <w:sz w:val="16"/>
          <w:szCs w:val="16"/>
        </w:rPr>
        <w:t>Cit</w:t>
      </w:r>
      <w:r>
        <w:rPr>
          <w:rFonts w:ascii="Cambria" w:hAnsi="Cambria"/>
          <w:color w:val="auto"/>
          <w:sz w:val="16"/>
          <w:szCs w:val="16"/>
        </w:rPr>
        <w:t>ando</w:t>
      </w:r>
      <w:proofErr w:type="spellEnd"/>
      <w:r w:rsidRPr="00B343BE">
        <w:rPr>
          <w:rFonts w:ascii="Cambria" w:hAnsi="Cambria"/>
          <w:color w:val="auto"/>
          <w:sz w:val="16"/>
          <w:szCs w:val="16"/>
        </w:rPr>
        <w:t xml:space="preserve">: Patrick Hudson, “Does the death row phenomenon violate a prisoner’s rights under international law?”, </w:t>
      </w:r>
      <w:r w:rsidRPr="00B343BE">
        <w:rPr>
          <w:rFonts w:ascii="Cambria" w:hAnsi="Cambria"/>
          <w:i/>
          <w:color w:val="auto"/>
          <w:sz w:val="16"/>
          <w:szCs w:val="16"/>
        </w:rPr>
        <w:t>European Journal of International Law</w:t>
      </w:r>
      <w:r w:rsidRPr="00B343BE">
        <w:rPr>
          <w:rFonts w:ascii="Cambria" w:hAnsi="Cambria"/>
          <w:color w:val="auto"/>
          <w:sz w:val="16"/>
          <w:szCs w:val="16"/>
        </w:rPr>
        <w:t>, vol. 11, No. 4 (2000), pp. 834-837.</w:t>
      </w:r>
    </w:p>
  </w:footnote>
  <w:footnote w:id="46">
    <w:p w14:paraId="0ABE9F81" w14:textId="3765C16C" w:rsidR="00873D49" w:rsidRPr="00B343BE" w:rsidRDefault="00873D49" w:rsidP="007F51EF">
      <w:pPr>
        <w:pStyle w:val="FootnoteText"/>
        <w:jc w:val="both"/>
        <w:rPr>
          <w:rFonts w:ascii="Cambria" w:hAnsi="Cambria"/>
          <w:sz w:val="16"/>
          <w:szCs w:val="16"/>
          <w:lang w:val="es-ES"/>
        </w:rPr>
      </w:pPr>
      <w:r w:rsidRPr="00B343BE">
        <w:rPr>
          <w:rStyle w:val="FootnoteReference"/>
          <w:rFonts w:ascii="Cambria" w:hAnsi="Cambria"/>
          <w:sz w:val="16"/>
          <w:szCs w:val="16"/>
        </w:rPr>
        <w:footnoteRef/>
      </w:r>
      <w:r w:rsidRPr="00B343BE">
        <w:rPr>
          <w:rFonts w:ascii="Cambria" w:hAnsi="Cambria"/>
          <w:sz w:val="16"/>
          <w:szCs w:val="16"/>
          <w:lang w:val="es-ES"/>
        </w:rPr>
        <w:t xml:space="preserve"> </w:t>
      </w:r>
      <w:r w:rsidRPr="00B343BE">
        <w:rPr>
          <w:rFonts w:asciiTheme="majorHAnsi" w:hAnsiTheme="majorHAnsi"/>
          <w:color w:val="auto"/>
          <w:sz w:val="16"/>
          <w:szCs w:val="16"/>
          <w:lang w:val="es-ES"/>
        </w:rPr>
        <w:t xml:space="preserve">Naciones Unidas. Informe provisional del Relator Especial </w:t>
      </w:r>
      <w:r>
        <w:rPr>
          <w:rFonts w:asciiTheme="majorHAnsi" w:hAnsiTheme="majorHAnsi"/>
          <w:color w:val="auto"/>
          <w:sz w:val="16"/>
          <w:szCs w:val="16"/>
          <w:lang w:val="es-ES"/>
        </w:rPr>
        <w:t>sobre la tortura y otros tratos o penas crueles, inhumanos o degradantes</w:t>
      </w:r>
      <w:r w:rsidRPr="00B343BE">
        <w:rPr>
          <w:rFonts w:asciiTheme="majorHAnsi" w:hAnsiTheme="majorHAnsi"/>
          <w:color w:val="auto"/>
          <w:sz w:val="16"/>
          <w:szCs w:val="16"/>
          <w:lang w:val="es-ES"/>
        </w:rPr>
        <w:t xml:space="preserve">. </w:t>
      </w:r>
      <w:r w:rsidRPr="007F51EF">
        <w:rPr>
          <w:rFonts w:asciiTheme="majorHAnsi" w:hAnsiTheme="majorHAnsi"/>
          <w:color w:val="auto"/>
          <w:sz w:val="16"/>
          <w:szCs w:val="16"/>
          <w:lang w:val="es-ES"/>
        </w:rPr>
        <w:t>9 de agosto de 2012</w:t>
      </w:r>
      <w:r w:rsidRPr="007F51EF">
        <w:rPr>
          <w:rFonts w:ascii="Cambria" w:hAnsi="Cambria"/>
          <w:color w:val="auto"/>
          <w:sz w:val="16"/>
          <w:szCs w:val="16"/>
          <w:lang w:val="es-ES"/>
        </w:rPr>
        <w:t xml:space="preserve">. A/67/279, </w:t>
      </w:r>
      <w:r w:rsidR="00C34A87" w:rsidRPr="007F51EF">
        <w:rPr>
          <w:rFonts w:ascii="Cambria" w:hAnsi="Cambria"/>
          <w:color w:val="auto"/>
          <w:sz w:val="16"/>
          <w:szCs w:val="16"/>
          <w:lang w:val="es-ES"/>
        </w:rPr>
        <w:t>párr.</w:t>
      </w:r>
      <w:r w:rsidRPr="007F51EF">
        <w:rPr>
          <w:rFonts w:ascii="Cambria" w:hAnsi="Cambria"/>
          <w:color w:val="auto"/>
          <w:sz w:val="16"/>
          <w:szCs w:val="16"/>
          <w:lang w:val="es-ES"/>
        </w:rPr>
        <w:t xml:space="preserve"> 42.</w:t>
      </w:r>
    </w:p>
  </w:footnote>
  <w:footnote w:id="47">
    <w:p w14:paraId="4DF9C6D8" w14:textId="27D4CBEA" w:rsidR="00873D49" w:rsidRPr="00E36893" w:rsidRDefault="00873D49" w:rsidP="007F51EF">
      <w:pPr>
        <w:pStyle w:val="FootnoteText"/>
        <w:tabs>
          <w:tab w:val="right" w:pos="540"/>
          <w:tab w:val="left" w:pos="900"/>
        </w:tabs>
        <w:jc w:val="both"/>
        <w:rPr>
          <w:rFonts w:ascii="Cambria" w:hAnsi="Cambria"/>
          <w:color w:val="auto"/>
          <w:sz w:val="16"/>
          <w:szCs w:val="16"/>
          <w:lang w:val="es-ES"/>
        </w:rPr>
      </w:pPr>
      <w:r w:rsidRPr="00B343BE">
        <w:rPr>
          <w:rStyle w:val="FootnoteReference"/>
          <w:rFonts w:ascii="Cambria" w:hAnsi="Cambria"/>
          <w:color w:val="auto"/>
          <w:sz w:val="16"/>
          <w:szCs w:val="16"/>
        </w:rPr>
        <w:footnoteRef/>
      </w:r>
      <w:r w:rsidRPr="007F51EF">
        <w:rPr>
          <w:rFonts w:ascii="Cambria" w:hAnsi="Cambria"/>
          <w:color w:val="auto"/>
          <w:sz w:val="16"/>
          <w:szCs w:val="16"/>
          <w:lang w:val="es-ES"/>
        </w:rPr>
        <w:t xml:space="preserve"> TEDH. Cas</w:t>
      </w:r>
      <w:r>
        <w:rPr>
          <w:rFonts w:ascii="Cambria" w:hAnsi="Cambria"/>
          <w:color w:val="auto"/>
          <w:sz w:val="16"/>
          <w:szCs w:val="16"/>
          <w:lang w:val="es-ES"/>
        </w:rPr>
        <w:t>o</w:t>
      </w:r>
      <w:r w:rsidRPr="007F51EF">
        <w:rPr>
          <w:rFonts w:ascii="Cambria" w:hAnsi="Cambria"/>
          <w:color w:val="auto"/>
          <w:sz w:val="16"/>
          <w:szCs w:val="16"/>
          <w:lang w:val="es-ES"/>
        </w:rPr>
        <w:t xml:space="preserve"> de </w:t>
      </w:r>
      <w:proofErr w:type="spellStart"/>
      <w:r w:rsidRPr="007F51EF">
        <w:rPr>
          <w:rFonts w:ascii="Cambria" w:hAnsi="Cambria"/>
          <w:color w:val="auto"/>
          <w:sz w:val="16"/>
          <w:szCs w:val="16"/>
          <w:lang w:val="es-ES"/>
        </w:rPr>
        <w:t>Soering</w:t>
      </w:r>
      <w:proofErr w:type="spellEnd"/>
      <w:r w:rsidRPr="007F51EF">
        <w:rPr>
          <w:rFonts w:ascii="Cambria" w:hAnsi="Cambria"/>
          <w:color w:val="auto"/>
          <w:sz w:val="16"/>
          <w:szCs w:val="16"/>
          <w:lang w:val="es-ES"/>
        </w:rPr>
        <w:t xml:space="preserve"> contra Reino Unido. Informe No. 14038/88. Sentencia, 7 de julio de 1989, </w:t>
      </w:r>
      <w:r w:rsidR="00C34A87" w:rsidRPr="007F51EF">
        <w:rPr>
          <w:rFonts w:ascii="Cambria" w:hAnsi="Cambria"/>
          <w:color w:val="auto"/>
          <w:sz w:val="16"/>
          <w:szCs w:val="16"/>
          <w:lang w:val="es-ES"/>
        </w:rPr>
        <w:t>párr.</w:t>
      </w:r>
      <w:r w:rsidRPr="007F51EF">
        <w:rPr>
          <w:rFonts w:ascii="Cambria" w:hAnsi="Cambria"/>
          <w:color w:val="auto"/>
          <w:sz w:val="16"/>
          <w:szCs w:val="16"/>
          <w:lang w:val="es-ES"/>
        </w:rPr>
        <w:t xml:space="preserve"> </w:t>
      </w:r>
      <w:r w:rsidRPr="00E36893">
        <w:rPr>
          <w:rFonts w:ascii="Cambria" w:hAnsi="Cambria"/>
          <w:color w:val="auto"/>
          <w:sz w:val="16"/>
          <w:szCs w:val="16"/>
          <w:lang w:val="es-ES"/>
        </w:rPr>
        <w:t>104.</w:t>
      </w:r>
    </w:p>
  </w:footnote>
  <w:footnote w:id="48">
    <w:p w14:paraId="024E220A" w14:textId="6C88E3E8" w:rsidR="00873D49" w:rsidRPr="007F51EF" w:rsidRDefault="00873D49" w:rsidP="007F51EF">
      <w:pPr>
        <w:pStyle w:val="FootnoteText"/>
        <w:jc w:val="both"/>
        <w:rPr>
          <w:rFonts w:asciiTheme="majorHAnsi" w:hAnsiTheme="majorHAnsi"/>
          <w:color w:val="auto"/>
          <w:sz w:val="16"/>
          <w:szCs w:val="16"/>
          <w:lang w:val="es-ES"/>
        </w:rPr>
      </w:pPr>
      <w:r w:rsidRPr="00B343BE">
        <w:rPr>
          <w:rStyle w:val="FootnoteReference"/>
          <w:rFonts w:ascii="Cambria" w:hAnsi="Cambria"/>
          <w:color w:val="auto"/>
          <w:sz w:val="16"/>
          <w:szCs w:val="16"/>
        </w:rPr>
        <w:footnoteRef/>
      </w:r>
      <w:r w:rsidRPr="007F51EF">
        <w:rPr>
          <w:rFonts w:ascii="Cambria" w:hAnsi="Cambria"/>
          <w:color w:val="auto"/>
          <w:sz w:val="16"/>
          <w:szCs w:val="16"/>
          <w:lang w:val="es-ES"/>
        </w:rPr>
        <w:t xml:space="preserve"> TEDH, </w:t>
      </w:r>
      <w:proofErr w:type="spellStart"/>
      <w:r w:rsidRPr="007F51EF">
        <w:rPr>
          <w:rFonts w:ascii="Cambria" w:hAnsi="Cambria"/>
          <w:color w:val="auto"/>
          <w:sz w:val="16"/>
          <w:szCs w:val="16"/>
          <w:lang w:val="es-ES"/>
        </w:rPr>
        <w:t>Soering</w:t>
      </w:r>
      <w:proofErr w:type="spellEnd"/>
      <w:r w:rsidRPr="007F51EF">
        <w:rPr>
          <w:rFonts w:ascii="Cambria" w:hAnsi="Cambria"/>
          <w:color w:val="auto"/>
          <w:sz w:val="16"/>
          <w:szCs w:val="16"/>
          <w:lang w:val="es-ES"/>
        </w:rPr>
        <w:t xml:space="preserve"> contra Reino Unido. Sentencia del 7 de julio de 1989. Serie A, Vol. 161. Asimismo, la Corte Suprema de los Estados </w:t>
      </w:r>
      <w:r>
        <w:rPr>
          <w:rFonts w:ascii="Cambria" w:hAnsi="Cambria"/>
          <w:color w:val="auto"/>
          <w:sz w:val="16"/>
          <w:szCs w:val="16"/>
          <w:lang w:val="es-ES"/>
        </w:rPr>
        <w:t xml:space="preserve">Unidos de América reconoció en Furman v. Georgia que el tiempo transcurrido en espera de la ejecución de una pena de muerte destruye el espíritu humano y constituye una tortura psicológica que a menudo conduce a la </w:t>
      </w:r>
      <w:r w:rsidR="00C34A87">
        <w:rPr>
          <w:rFonts w:ascii="Cambria" w:hAnsi="Cambria"/>
          <w:color w:val="auto"/>
          <w:sz w:val="16"/>
          <w:szCs w:val="16"/>
          <w:lang w:val="es-ES"/>
        </w:rPr>
        <w:t>insania</w:t>
      </w:r>
      <w:r>
        <w:rPr>
          <w:rFonts w:ascii="Cambria" w:hAnsi="Cambria"/>
          <w:color w:val="auto"/>
          <w:sz w:val="16"/>
          <w:szCs w:val="16"/>
          <w:lang w:val="es-ES"/>
        </w:rPr>
        <w:t>.</w:t>
      </w:r>
      <w:r w:rsidRPr="007F51EF">
        <w:rPr>
          <w:rFonts w:asciiTheme="majorHAnsi" w:hAnsiTheme="majorHAnsi"/>
          <w:color w:val="auto"/>
          <w:sz w:val="16"/>
          <w:szCs w:val="16"/>
          <w:lang w:val="es-ES"/>
        </w:rPr>
        <w:t xml:space="preserve"> Cf. Furman</w:t>
      </w:r>
      <w:r w:rsidR="00C34A87">
        <w:rPr>
          <w:rFonts w:asciiTheme="majorHAnsi" w:hAnsiTheme="majorHAnsi"/>
          <w:color w:val="auto"/>
          <w:sz w:val="16"/>
          <w:szCs w:val="16"/>
          <w:lang w:val="es-ES"/>
        </w:rPr>
        <w:t xml:space="preserve"> </w:t>
      </w:r>
      <w:r w:rsidRPr="007F51EF">
        <w:rPr>
          <w:rFonts w:asciiTheme="majorHAnsi" w:hAnsiTheme="majorHAnsi"/>
          <w:color w:val="auto"/>
          <w:sz w:val="16"/>
          <w:szCs w:val="16"/>
          <w:lang w:val="es-ES"/>
        </w:rPr>
        <w:t>v.</w:t>
      </w:r>
      <w:r w:rsidR="00C34A87">
        <w:rPr>
          <w:rFonts w:asciiTheme="majorHAnsi" w:hAnsiTheme="majorHAnsi"/>
          <w:color w:val="auto"/>
          <w:sz w:val="16"/>
          <w:szCs w:val="16"/>
          <w:lang w:val="es-ES"/>
        </w:rPr>
        <w:t xml:space="preserve"> </w:t>
      </w:r>
      <w:r w:rsidRPr="007F51EF">
        <w:rPr>
          <w:rFonts w:asciiTheme="majorHAnsi" w:hAnsiTheme="majorHAnsi"/>
          <w:color w:val="auto"/>
          <w:sz w:val="16"/>
          <w:szCs w:val="16"/>
          <w:lang w:val="es-ES"/>
        </w:rPr>
        <w:t>Georgia,</w:t>
      </w:r>
      <w:r w:rsidR="00C34A87">
        <w:rPr>
          <w:rFonts w:asciiTheme="majorHAnsi" w:hAnsiTheme="majorHAnsi"/>
          <w:color w:val="auto"/>
          <w:sz w:val="16"/>
          <w:szCs w:val="16"/>
          <w:lang w:val="es-ES"/>
        </w:rPr>
        <w:t xml:space="preserve"> </w:t>
      </w:r>
      <w:r w:rsidRPr="007F51EF">
        <w:rPr>
          <w:rFonts w:asciiTheme="majorHAnsi" w:hAnsiTheme="majorHAnsi"/>
          <w:color w:val="auto"/>
          <w:sz w:val="16"/>
          <w:szCs w:val="16"/>
          <w:lang w:val="es-ES"/>
        </w:rPr>
        <w:t>408</w:t>
      </w:r>
      <w:r w:rsidR="00C34A87">
        <w:rPr>
          <w:rFonts w:asciiTheme="majorHAnsi" w:hAnsiTheme="majorHAnsi"/>
          <w:color w:val="auto"/>
          <w:sz w:val="16"/>
          <w:szCs w:val="16"/>
          <w:lang w:val="es-ES"/>
        </w:rPr>
        <w:t xml:space="preserve"> </w:t>
      </w:r>
      <w:r w:rsidRPr="007F51EF">
        <w:rPr>
          <w:rFonts w:asciiTheme="majorHAnsi" w:hAnsiTheme="majorHAnsi"/>
          <w:color w:val="auto"/>
          <w:sz w:val="16"/>
          <w:szCs w:val="16"/>
          <w:lang w:val="es-ES"/>
        </w:rPr>
        <w:t>U.S.</w:t>
      </w:r>
      <w:r w:rsidR="00C34A87">
        <w:rPr>
          <w:rFonts w:asciiTheme="majorHAnsi" w:hAnsiTheme="majorHAnsi"/>
          <w:color w:val="auto"/>
          <w:sz w:val="16"/>
          <w:szCs w:val="16"/>
          <w:lang w:val="es-ES"/>
        </w:rPr>
        <w:t xml:space="preserve"> </w:t>
      </w:r>
      <w:r w:rsidRPr="007F51EF">
        <w:rPr>
          <w:rFonts w:asciiTheme="majorHAnsi" w:hAnsiTheme="majorHAnsi"/>
          <w:color w:val="auto"/>
          <w:sz w:val="16"/>
          <w:szCs w:val="16"/>
          <w:lang w:val="es-ES"/>
        </w:rPr>
        <w:t>238, 287‐288 (197). </w:t>
      </w:r>
    </w:p>
  </w:footnote>
  <w:footnote w:id="49">
    <w:p w14:paraId="0A7C9DBF" w14:textId="34A083ED" w:rsidR="00873D49" w:rsidRPr="007F51EF" w:rsidRDefault="00873D49" w:rsidP="004A0895">
      <w:pPr>
        <w:pStyle w:val="FootnoteText"/>
        <w:tabs>
          <w:tab w:val="right" w:pos="540"/>
          <w:tab w:val="left" w:pos="900"/>
        </w:tabs>
        <w:jc w:val="both"/>
        <w:rPr>
          <w:rFonts w:asciiTheme="majorHAnsi" w:hAnsiTheme="majorHAnsi"/>
          <w:color w:val="auto"/>
          <w:sz w:val="16"/>
          <w:szCs w:val="16"/>
          <w:lang w:val="es-ES"/>
        </w:rPr>
      </w:pPr>
      <w:r w:rsidRPr="004A0895">
        <w:rPr>
          <w:rStyle w:val="FootnoteReference"/>
          <w:rFonts w:asciiTheme="majorHAnsi" w:hAnsiTheme="majorHAnsi"/>
          <w:color w:val="auto"/>
          <w:sz w:val="16"/>
          <w:szCs w:val="16"/>
        </w:rPr>
        <w:footnoteRef/>
      </w:r>
      <w:r w:rsidRPr="007F51EF">
        <w:rPr>
          <w:rFonts w:asciiTheme="majorHAnsi" w:hAnsiTheme="majorHAnsi"/>
          <w:color w:val="auto"/>
          <w:sz w:val="16"/>
          <w:szCs w:val="16"/>
          <w:lang w:val="es-ES"/>
        </w:rPr>
        <w:t xml:space="preserve"> </w:t>
      </w:r>
      <w:r w:rsidRPr="007F51EF">
        <w:rPr>
          <w:rFonts w:ascii="Cambria" w:hAnsi="Cambria"/>
          <w:color w:val="auto"/>
          <w:sz w:val="16"/>
          <w:szCs w:val="16"/>
          <w:lang w:val="es-ES"/>
        </w:rPr>
        <w:t>TEDH. Cas</w:t>
      </w:r>
      <w:r>
        <w:rPr>
          <w:rFonts w:ascii="Cambria" w:hAnsi="Cambria"/>
          <w:color w:val="auto"/>
          <w:sz w:val="16"/>
          <w:szCs w:val="16"/>
          <w:lang w:val="es-ES"/>
        </w:rPr>
        <w:t>o</w:t>
      </w:r>
      <w:r w:rsidRPr="007F51EF">
        <w:rPr>
          <w:rFonts w:ascii="Cambria" w:hAnsi="Cambria"/>
          <w:color w:val="auto"/>
          <w:sz w:val="16"/>
          <w:szCs w:val="16"/>
          <w:lang w:val="es-ES"/>
        </w:rPr>
        <w:t xml:space="preserve"> de </w:t>
      </w:r>
      <w:proofErr w:type="spellStart"/>
      <w:r w:rsidRPr="007F51EF">
        <w:rPr>
          <w:rFonts w:ascii="Cambria" w:hAnsi="Cambria"/>
          <w:color w:val="auto"/>
          <w:sz w:val="16"/>
          <w:szCs w:val="16"/>
          <w:lang w:val="es-ES"/>
        </w:rPr>
        <w:t>Soering</w:t>
      </w:r>
      <w:proofErr w:type="spellEnd"/>
      <w:r w:rsidRPr="007F51EF">
        <w:rPr>
          <w:rFonts w:ascii="Cambria" w:hAnsi="Cambria"/>
          <w:color w:val="auto"/>
          <w:sz w:val="16"/>
          <w:szCs w:val="16"/>
          <w:lang w:val="es-ES"/>
        </w:rPr>
        <w:t xml:space="preserve"> contra Reino Unido. Informe No. 14038/88. Sentencia, 7 de julio de 1989, </w:t>
      </w:r>
      <w:r w:rsidR="00C34A87" w:rsidRPr="007F51EF">
        <w:rPr>
          <w:rFonts w:ascii="Cambria" w:hAnsi="Cambria"/>
          <w:color w:val="auto"/>
          <w:sz w:val="16"/>
          <w:szCs w:val="16"/>
          <w:lang w:val="es-ES"/>
        </w:rPr>
        <w:t>párr.</w:t>
      </w:r>
      <w:r w:rsidRPr="007F51EF">
        <w:rPr>
          <w:rFonts w:ascii="Cambria" w:hAnsi="Cambria"/>
          <w:color w:val="auto"/>
          <w:sz w:val="16"/>
          <w:szCs w:val="16"/>
          <w:lang w:val="es-ES"/>
        </w:rPr>
        <w:t xml:space="preserve"> </w:t>
      </w:r>
      <w:r w:rsidRPr="007F51EF">
        <w:rPr>
          <w:rFonts w:asciiTheme="majorHAnsi" w:hAnsiTheme="majorHAnsi"/>
          <w:color w:val="auto"/>
          <w:sz w:val="16"/>
          <w:szCs w:val="16"/>
          <w:lang w:val="es-ES"/>
        </w:rPr>
        <w:t>106.</w:t>
      </w:r>
    </w:p>
  </w:footnote>
  <w:footnote w:id="50">
    <w:p w14:paraId="69BC6022" w14:textId="3A0F0432" w:rsidR="00873D49" w:rsidRPr="004A0895" w:rsidRDefault="00873D49" w:rsidP="004A0895">
      <w:pPr>
        <w:pStyle w:val="FootnoteText"/>
        <w:tabs>
          <w:tab w:val="right" w:pos="540"/>
          <w:tab w:val="left" w:pos="900"/>
        </w:tabs>
        <w:jc w:val="both"/>
        <w:rPr>
          <w:rFonts w:asciiTheme="majorHAnsi" w:hAnsiTheme="majorHAnsi"/>
          <w:color w:val="auto"/>
          <w:sz w:val="16"/>
          <w:szCs w:val="16"/>
          <w:highlight w:val="yellow"/>
        </w:rPr>
      </w:pPr>
      <w:r w:rsidRPr="004A0895">
        <w:rPr>
          <w:rStyle w:val="FootnoteReference"/>
          <w:rFonts w:asciiTheme="majorHAnsi" w:hAnsiTheme="majorHAnsi"/>
          <w:color w:val="auto"/>
          <w:sz w:val="16"/>
          <w:szCs w:val="16"/>
        </w:rPr>
        <w:footnoteRef/>
      </w:r>
      <w:r w:rsidRPr="007F51EF">
        <w:rPr>
          <w:rFonts w:asciiTheme="majorHAnsi" w:hAnsiTheme="majorHAnsi"/>
          <w:color w:val="auto"/>
          <w:sz w:val="16"/>
          <w:szCs w:val="16"/>
          <w:lang w:val="es-ES"/>
        </w:rPr>
        <w:t xml:space="preserve"> </w:t>
      </w:r>
      <w:r w:rsidRPr="007F51EF">
        <w:rPr>
          <w:rFonts w:ascii="Cambria" w:hAnsi="Cambria"/>
          <w:color w:val="auto"/>
          <w:sz w:val="16"/>
          <w:szCs w:val="16"/>
          <w:lang w:val="es-ES"/>
        </w:rPr>
        <w:t>TEDH. Cas</w:t>
      </w:r>
      <w:r>
        <w:rPr>
          <w:rFonts w:ascii="Cambria" w:hAnsi="Cambria"/>
          <w:color w:val="auto"/>
          <w:sz w:val="16"/>
          <w:szCs w:val="16"/>
          <w:lang w:val="es-ES"/>
        </w:rPr>
        <w:t>o</w:t>
      </w:r>
      <w:r w:rsidRPr="007F51EF">
        <w:rPr>
          <w:rFonts w:ascii="Cambria" w:hAnsi="Cambria"/>
          <w:color w:val="auto"/>
          <w:sz w:val="16"/>
          <w:szCs w:val="16"/>
          <w:lang w:val="es-ES"/>
        </w:rPr>
        <w:t xml:space="preserve"> de </w:t>
      </w:r>
      <w:proofErr w:type="spellStart"/>
      <w:r w:rsidRPr="007F51EF">
        <w:rPr>
          <w:rFonts w:ascii="Cambria" w:hAnsi="Cambria"/>
          <w:color w:val="auto"/>
          <w:sz w:val="16"/>
          <w:szCs w:val="16"/>
          <w:lang w:val="es-ES"/>
        </w:rPr>
        <w:t>Soering</w:t>
      </w:r>
      <w:proofErr w:type="spellEnd"/>
      <w:r w:rsidRPr="007F51EF">
        <w:rPr>
          <w:rFonts w:ascii="Cambria" w:hAnsi="Cambria"/>
          <w:color w:val="auto"/>
          <w:sz w:val="16"/>
          <w:szCs w:val="16"/>
          <w:lang w:val="es-ES"/>
        </w:rPr>
        <w:t xml:space="preserve"> contra Reino Unido. Informe No. 14038/88. Sentencia, 7 de julio de 1989, </w:t>
      </w:r>
      <w:r w:rsidR="00C34A87" w:rsidRPr="007F51EF">
        <w:rPr>
          <w:rFonts w:ascii="Cambria" w:hAnsi="Cambria"/>
          <w:color w:val="auto"/>
          <w:sz w:val="16"/>
          <w:szCs w:val="16"/>
          <w:lang w:val="es-ES"/>
        </w:rPr>
        <w:t>párr.</w:t>
      </w:r>
      <w:r w:rsidRPr="007F51EF">
        <w:rPr>
          <w:rFonts w:ascii="Cambria" w:hAnsi="Cambria"/>
          <w:color w:val="auto"/>
          <w:sz w:val="16"/>
          <w:szCs w:val="16"/>
          <w:lang w:val="es-ES"/>
        </w:rPr>
        <w:t xml:space="preserve"> </w:t>
      </w:r>
      <w:r w:rsidRPr="004A0895">
        <w:rPr>
          <w:rFonts w:asciiTheme="majorHAnsi" w:hAnsiTheme="majorHAnsi"/>
          <w:color w:val="auto"/>
          <w:sz w:val="16"/>
          <w:szCs w:val="16"/>
        </w:rPr>
        <w:t>111.</w:t>
      </w:r>
    </w:p>
  </w:footnote>
  <w:footnote w:id="51">
    <w:p w14:paraId="7AC0EE93" w14:textId="3F7D000C" w:rsidR="00873D49" w:rsidRPr="007F51EF" w:rsidRDefault="00873D49" w:rsidP="004A0895">
      <w:pPr>
        <w:widowControl w:val="0"/>
        <w:autoSpaceDE w:val="0"/>
        <w:autoSpaceDN w:val="0"/>
        <w:adjustRightInd w:val="0"/>
        <w:jc w:val="both"/>
        <w:rPr>
          <w:rFonts w:asciiTheme="majorHAnsi" w:hAnsiTheme="majorHAnsi" w:cs="Arial"/>
          <w:bCs/>
          <w:sz w:val="16"/>
          <w:szCs w:val="16"/>
          <w:lang w:val="es-ES"/>
        </w:rPr>
      </w:pPr>
      <w:r w:rsidRPr="004A0895">
        <w:rPr>
          <w:rStyle w:val="FootnoteReference"/>
          <w:rFonts w:asciiTheme="majorHAnsi" w:hAnsiTheme="majorHAnsi"/>
          <w:sz w:val="16"/>
          <w:szCs w:val="16"/>
        </w:rPr>
        <w:footnoteRef/>
      </w:r>
      <w:r w:rsidRPr="004A0895">
        <w:rPr>
          <w:rFonts w:asciiTheme="majorHAnsi" w:hAnsiTheme="majorHAnsi"/>
          <w:sz w:val="16"/>
          <w:szCs w:val="16"/>
        </w:rPr>
        <w:t xml:space="preserve"> Pratt and Morgan v. The Attorney General for Jamaica and another (Jamaica) [1993] UKPC 1 (</w:t>
      </w:r>
      <w:r>
        <w:rPr>
          <w:rFonts w:asciiTheme="majorHAnsi" w:hAnsiTheme="majorHAnsi"/>
          <w:sz w:val="16"/>
          <w:szCs w:val="16"/>
        </w:rPr>
        <w:t xml:space="preserve">2 de </w:t>
      </w:r>
      <w:proofErr w:type="spellStart"/>
      <w:r>
        <w:rPr>
          <w:rFonts w:asciiTheme="majorHAnsi" w:hAnsiTheme="majorHAnsi"/>
          <w:sz w:val="16"/>
          <w:szCs w:val="16"/>
        </w:rPr>
        <w:t>noviembre</w:t>
      </w:r>
      <w:proofErr w:type="spellEnd"/>
      <w:r>
        <w:rPr>
          <w:rFonts w:asciiTheme="majorHAnsi" w:hAnsiTheme="majorHAnsi"/>
          <w:sz w:val="16"/>
          <w:szCs w:val="16"/>
        </w:rPr>
        <w:t xml:space="preserve"> de </w:t>
      </w:r>
      <w:r w:rsidRPr="004A0895">
        <w:rPr>
          <w:rFonts w:asciiTheme="majorHAnsi" w:hAnsiTheme="majorHAnsi"/>
          <w:sz w:val="16"/>
          <w:szCs w:val="16"/>
        </w:rPr>
        <w:t>1993), par</w:t>
      </w:r>
      <w:r>
        <w:rPr>
          <w:rFonts w:asciiTheme="majorHAnsi" w:hAnsiTheme="majorHAnsi"/>
          <w:sz w:val="16"/>
          <w:szCs w:val="16"/>
        </w:rPr>
        <w:t>r</w:t>
      </w:r>
      <w:r w:rsidRPr="004A0895">
        <w:rPr>
          <w:rFonts w:asciiTheme="majorHAnsi" w:hAnsiTheme="majorHAnsi"/>
          <w:sz w:val="16"/>
          <w:szCs w:val="16"/>
        </w:rPr>
        <w:t xml:space="preserve">s. </w:t>
      </w:r>
      <w:r w:rsidRPr="007F51EF">
        <w:rPr>
          <w:rFonts w:asciiTheme="majorHAnsi" w:hAnsiTheme="majorHAnsi"/>
          <w:sz w:val="16"/>
          <w:szCs w:val="16"/>
          <w:lang w:val="es-ES"/>
        </w:rPr>
        <w:t xml:space="preserve">73-75 y 84. </w:t>
      </w:r>
    </w:p>
  </w:footnote>
  <w:footnote w:id="52">
    <w:p w14:paraId="568D8672" w14:textId="77777777" w:rsidR="00873D49" w:rsidRPr="007F51EF" w:rsidRDefault="00873D49" w:rsidP="00EA66A2">
      <w:pPr>
        <w:pStyle w:val="FootnoteText"/>
        <w:jc w:val="both"/>
        <w:rPr>
          <w:rFonts w:asciiTheme="majorHAnsi" w:hAnsiTheme="majorHAnsi"/>
          <w:color w:val="auto"/>
          <w:sz w:val="16"/>
          <w:szCs w:val="16"/>
          <w:lang w:val="es-ES"/>
        </w:rPr>
      </w:pPr>
      <w:r w:rsidRPr="004A0895">
        <w:rPr>
          <w:rStyle w:val="FootnoteReference"/>
          <w:rFonts w:asciiTheme="majorHAnsi" w:hAnsiTheme="majorHAnsi"/>
          <w:color w:val="auto"/>
          <w:sz w:val="16"/>
          <w:szCs w:val="16"/>
        </w:rPr>
        <w:footnoteRef/>
      </w:r>
      <w:r w:rsidRPr="007F51EF">
        <w:rPr>
          <w:rFonts w:asciiTheme="majorHAnsi" w:hAnsiTheme="majorHAnsi"/>
          <w:color w:val="auto"/>
          <w:sz w:val="16"/>
          <w:szCs w:val="16"/>
          <w:lang w:val="es-ES"/>
        </w:rPr>
        <w:t xml:space="preserve"> Corte Suprema de Uganda, </w:t>
      </w:r>
      <w:proofErr w:type="spellStart"/>
      <w:r w:rsidRPr="007F51EF">
        <w:rPr>
          <w:rFonts w:asciiTheme="majorHAnsi" w:hAnsiTheme="majorHAnsi"/>
          <w:i/>
          <w:color w:val="auto"/>
          <w:sz w:val="16"/>
          <w:szCs w:val="16"/>
          <w:lang w:val="es-ES"/>
        </w:rPr>
        <w:t>Attorney</w:t>
      </w:r>
      <w:proofErr w:type="spellEnd"/>
      <w:r w:rsidRPr="007F51EF">
        <w:rPr>
          <w:rFonts w:asciiTheme="majorHAnsi" w:hAnsiTheme="majorHAnsi"/>
          <w:i/>
          <w:color w:val="auto"/>
          <w:sz w:val="16"/>
          <w:szCs w:val="16"/>
          <w:lang w:val="es-ES"/>
        </w:rPr>
        <w:t xml:space="preserve"> General v. Susan </w:t>
      </w:r>
      <w:proofErr w:type="spellStart"/>
      <w:r w:rsidRPr="007F51EF">
        <w:rPr>
          <w:rFonts w:asciiTheme="majorHAnsi" w:hAnsiTheme="majorHAnsi"/>
          <w:i/>
          <w:color w:val="auto"/>
          <w:sz w:val="16"/>
          <w:szCs w:val="16"/>
          <w:lang w:val="es-ES"/>
        </w:rPr>
        <w:t>Kigula</w:t>
      </w:r>
      <w:proofErr w:type="spellEnd"/>
      <w:r>
        <w:rPr>
          <w:rFonts w:asciiTheme="majorHAnsi" w:hAnsiTheme="majorHAnsi"/>
          <w:i/>
          <w:color w:val="auto"/>
          <w:sz w:val="16"/>
          <w:szCs w:val="16"/>
          <w:lang w:val="es-ES"/>
        </w:rPr>
        <w:t xml:space="preserve"> </w:t>
      </w:r>
      <w:r>
        <w:rPr>
          <w:rFonts w:asciiTheme="majorHAnsi" w:hAnsiTheme="majorHAnsi"/>
          <w:iCs/>
          <w:color w:val="auto"/>
          <w:sz w:val="16"/>
          <w:szCs w:val="16"/>
          <w:lang w:val="es-ES"/>
        </w:rPr>
        <w:t>y otros 417 (Apelación Constitucional No. 3 de 2006), 2009</w:t>
      </w:r>
      <w:r w:rsidRPr="007F51EF">
        <w:rPr>
          <w:rFonts w:asciiTheme="majorHAnsi" w:hAnsiTheme="majorHAnsi"/>
          <w:color w:val="auto"/>
          <w:sz w:val="16"/>
          <w:szCs w:val="16"/>
          <w:lang w:val="es-ES"/>
        </w:rPr>
        <w:t>.</w:t>
      </w:r>
    </w:p>
  </w:footnote>
  <w:footnote w:id="53">
    <w:p w14:paraId="0E6BA5CC" w14:textId="77777777" w:rsidR="00873D49" w:rsidRPr="007F51EF" w:rsidRDefault="00873D49" w:rsidP="00EA66A2">
      <w:pPr>
        <w:pStyle w:val="FootnoteText"/>
        <w:jc w:val="both"/>
        <w:rPr>
          <w:rFonts w:asciiTheme="majorHAnsi" w:hAnsiTheme="majorHAnsi"/>
          <w:color w:val="auto"/>
          <w:sz w:val="16"/>
          <w:szCs w:val="16"/>
          <w:lang w:val="es-ES"/>
        </w:rPr>
      </w:pPr>
      <w:r w:rsidRPr="004A0895">
        <w:rPr>
          <w:rStyle w:val="FootnoteReference"/>
          <w:rFonts w:asciiTheme="majorHAnsi" w:hAnsiTheme="majorHAnsi"/>
          <w:color w:val="auto"/>
          <w:sz w:val="16"/>
          <w:szCs w:val="16"/>
        </w:rPr>
        <w:footnoteRef/>
      </w:r>
      <w:r w:rsidRPr="007F51EF">
        <w:rPr>
          <w:rFonts w:asciiTheme="majorHAnsi" w:hAnsiTheme="majorHAnsi"/>
          <w:color w:val="auto"/>
          <w:sz w:val="16"/>
          <w:szCs w:val="16"/>
          <w:lang w:val="es-ES"/>
        </w:rPr>
        <w:t xml:space="preserve"> Sentencia de la Corte Suprema de </w:t>
      </w:r>
      <w:proofErr w:type="spellStart"/>
      <w:r>
        <w:rPr>
          <w:rFonts w:asciiTheme="majorHAnsi" w:hAnsiTheme="majorHAnsi"/>
          <w:color w:val="auto"/>
          <w:sz w:val="16"/>
          <w:szCs w:val="16"/>
          <w:lang w:val="es-ES"/>
        </w:rPr>
        <w:t>Zimbabwe</w:t>
      </w:r>
      <w:proofErr w:type="spellEnd"/>
      <w:r>
        <w:rPr>
          <w:rFonts w:asciiTheme="majorHAnsi" w:hAnsiTheme="majorHAnsi"/>
          <w:color w:val="auto"/>
          <w:sz w:val="16"/>
          <w:szCs w:val="16"/>
          <w:lang w:val="es-ES"/>
        </w:rPr>
        <w:t xml:space="preserve"> del 24 de junio de 1993 en el caso </w:t>
      </w:r>
      <w:proofErr w:type="spellStart"/>
      <w:r w:rsidRPr="007F51EF">
        <w:rPr>
          <w:rFonts w:asciiTheme="majorHAnsi" w:hAnsiTheme="majorHAnsi"/>
          <w:i/>
          <w:color w:val="auto"/>
          <w:sz w:val="16"/>
          <w:szCs w:val="16"/>
          <w:lang w:val="es-ES"/>
        </w:rPr>
        <w:t>Catholic</w:t>
      </w:r>
      <w:proofErr w:type="spellEnd"/>
      <w:r w:rsidRPr="007F51EF">
        <w:rPr>
          <w:rFonts w:asciiTheme="majorHAnsi" w:hAnsiTheme="majorHAnsi"/>
          <w:i/>
          <w:color w:val="auto"/>
          <w:sz w:val="16"/>
          <w:szCs w:val="16"/>
          <w:lang w:val="es-ES"/>
        </w:rPr>
        <w:t xml:space="preserve"> </w:t>
      </w:r>
      <w:proofErr w:type="spellStart"/>
      <w:r w:rsidRPr="007F51EF">
        <w:rPr>
          <w:rFonts w:asciiTheme="majorHAnsi" w:hAnsiTheme="majorHAnsi"/>
          <w:i/>
          <w:color w:val="auto"/>
          <w:sz w:val="16"/>
          <w:szCs w:val="16"/>
          <w:lang w:val="es-ES"/>
        </w:rPr>
        <w:t>Commissioner</w:t>
      </w:r>
      <w:proofErr w:type="spellEnd"/>
      <w:r w:rsidRPr="007F51EF">
        <w:rPr>
          <w:rFonts w:asciiTheme="majorHAnsi" w:hAnsiTheme="majorHAnsi"/>
          <w:i/>
          <w:color w:val="auto"/>
          <w:sz w:val="16"/>
          <w:szCs w:val="16"/>
          <w:lang w:val="es-ES"/>
        </w:rPr>
        <w:t xml:space="preserve"> </w:t>
      </w:r>
      <w:proofErr w:type="spellStart"/>
      <w:r w:rsidRPr="007F51EF">
        <w:rPr>
          <w:rFonts w:asciiTheme="majorHAnsi" w:hAnsiTheme="majorHAnsi"/>
          <w:i/>
          <w:color w:val="auto"/>
          <w:sz w:val="16"/>
          <w:szCs w:val="16"/>
          <w:lang w:val="es-ES"/>
        </w:rPr>
        <w:t>for</w:t>
      </w:r>
      <w:proofErr w:type="spellEnd"/>
      <w:r w:rsidRPr="007F51EF">
        <w:rPr>
          <w:rFonts w:asciiTheme="majorHAnsi" w:hAnsiTheme="majorHAnsi"/>
          <w:i/>
          <w:color w:val="auto"/>
          <w:sz w:val="16"/>
          <w:szCs w:val="16"/>
          <w:lang w:val="es-ES"/>
        </w:rPr>
        <w:t xml:space="preserve"> </w:t>
      </w:r>
      <w:proofErr w:type="spellStart"/>
      <w:r w:rsidRPr="007F51EF">
        <w:rPr>
          <w:rFonts w:asciiTheme="majorHAnsi" w:hAnsiTheme="majorHAnsi"/>
          <w:i/>
          <w:color w:val="auto"/>
          <w:sz w:val="16"/>
          <w:szCs w:val="16"/>
          <w:lang w:val="es-ES"/>
        </w:rPr>
        <w:t>Justice</w:t>
      </w:r>
      <w:proofErr w:type="spellEnd"/>
      <w:r w:rsidRPr="007F51EF">
        <w:rPr>
          <w:rFonts w:asciiTheme="majorHAnsi" w:hAnsiTheme="majorHAnsi"/>
          <w:i/>
          <w:color w:val="auto"/>
          <w:sz w:val="16"/>
          <w:szCs w:val="16"/>
          <w:lang w:val="es-ES"/>
        </w:rPr>
        <w:t xml:space="preserve"> and </w:t>
      </w:r>
      <w:proofErr w:type="spellStart"/>
      <w:r w:rsidRPr="007F51EF">
        <w:rPr>
          <w:rFonts w:asciiTheme="majorHAnsi" w:hAnsiTheme="majorHAnsi"/>
          <w:i/>
          <w:color w:val="auto"/>
          <w:sz w:val="16"/>
          <w:szCs w:val="16"/>
          <w:lang w:val="es-ES"/>
        </w:rPr>
        <w:t>Peace</w:t>
      </w:r>
      <w:proofErr w:type="spellEnd"/>
      <w:r w:rsidRPr="007F51EF">
        <w:rPr>
          <w:rFonts w:asciiTheme="majorHAnsi" w:hAnsiTheme="majorHAnsi"/>
          <w:i/>
          <w:color w:val="auto"/>
          <w:sz w:val="16"/>
          <w:szCs w:val="16"/>
          <w:lang w:val="es-ES"/>
        </w:rPr>
        <w:t xml:space="preserve"> in </w:t>
      </w:r>
      <w:proofErr w:type="spellStart"/>
      <w:r w:rsidRPr="007F51EF">
        <w:rPr>
          <w:rFonts w:asciiTheme="majorHAnsi" w:hAnsiTheme="majorHAnsi"/>
          <w:i/>
          <w:color w:val="auto"/>
          <w:sz w:val="16"/>
          <w:szCs w:val="16"/>
          <w:lang w:val="es-ES"/>
        </w:rPr>
        <w:t>Zimbabwe</w:t>
      </w:r>
      <w:proofErr w:type="spellEnd"/>
      <w:r w:rsidRPr="007F51EF">
        <w:rPr>
          <w:rFonts w:asciiTheme="majorHAnsi" w:hAnsiTheme="majorHAnsi"/>
          <w:i/>
          <w:color w:val="auto"/>
          <w:sz w:val="16"/>
          <w:szCs w:val="16"/>
          <w:lang w:val="es-ES"/>
        </w:rPr>
        <w:t xml:space="preserve"> v. </w:t>
      </w:r>
      <w:proofErr w:type="spellStart"/>
      <w:r w:rsidRPr="007F51EF">
        <w:rPr>
          <w:rFonts w:asciiTheme="majorHAnsi" w:hAnsiTheme="majorHAnsi"/>
          <w:i/>
          <w:color w:val="auto"/>
          <w:sz w:val="16"/>
          <w:szCs w:val="16"/>
          <w:lang w:val="es-ES"/>
        </w:rPr>
        <w:t>Attorney</w:t>
      </w:r>
      <w:proofErr w:type="spellEnd"/>
      <w:r w:rsidRPr="007F51EF">
        <w:rPr>
          <w:rFonts w:asciiTheme="majorHAnsi" w:hAnsiTheme="majorHAnsi"/>
          <w:i/>
          <w:color w:val="auto"/>
          <w:sz w:val="16"/>
          <w:szCs w:val="16"/>
          <w:lang w:val="es-ES"/>
        </w:rPr>
        <w:t xml:space="preserve"> General</w:t>
      </w:r>
      <w:r w:rsidRPr="007F51EF">
        <w:rPr>
          <w:rFonts w:asciiTheme="majorHAnsi" w:hAnsiTheme="majorHAnsi"/>
          <w:color w:val="auto"/>
          <w:sz w:val="16"/>
          <w:szCs w:val="16"/>
          <w:lang w:val="es-ES"/>
        </w:rPr>
        <w:t xml:space="preserve"> (4) SA 239 (ZS).</w:t>
      </w:r>
    </w:p>
  </w:footnote>
  <w:footnote w:id="54">
    <w:p w14:paraId="52C4498B" w14:textId="77777777" w:rsidR="00873D49" w:rsidRPr="00C303FD" w:rsidRDefault="00873D49" w:rsidP="00C303FD">
      <w:pPr>
        <w:pStyle w:val="NormalWeb"/>
        <w:spacing w:before="0" w:beforeAutospacing="0" w:after="0" w:afterAutospacing="0"/>
        <w:jc w:val="both"/>
        <w:rPr>
          <w:rFonts w:asciiTheme="majorHAnsi" w:hAnsiTheme="majorHAnsi"/>
          <w:sz w:val="16"/>
          <w:szCs w:val="16"/>
          <w:lang w:val="es-ES"/>
        </w:rPr>
      </w:pPr>
      <w:r w:rsidRPr="004A0895">
        <w:rPr>
          <w:rStyle w:val="FootnoteReference"/>
          <w:rFonts w:asciiTheme="majorHAnsi" w:hAnsiTheme="majorHAnsi"/>
          <w:sz w:val="16"/>
          <w:szCs w:val="16"/>
        </w:rPr>
        <w:footnoteRef/>
      </w:r>
      <w:r w:rsidRPr="007F51EF">
        <w:rPr>
          <w:rFonts w:asciiTheme="majorHAnsi" w:hAnsiTheme="majorHAnsi"/>
          <w:sz w:val="16"/>
          <w:szCs w:val="16"/>
          <w:lang w:val="es-ES"/>
        </w:rPr>
        <w:t xml:space="preserve"> En tal sentido, la directriz </w:t>
      </w:r>
      <w:proofErr w:type="spellStart"/>
      <w:r w:rsidRPr="007F51EF">
        <w:rPr>
          <w:rFonts w:asciiTheme="majorHAnsi" w:hAnsiTheme="majorHAnsi"/>
          <w:sz w:val="16"/>
          <w:szCs w:val="16"/>
          <w:lang w:val="es-ES"/>
        </w:rPr>
        <w:t>xi</w:t>
      </w:r>
      <w:r>
        <w:rPr>
          <w:rFonts w:asciiTheme="majorHAnsi" w:hAnsiTheme="majorHAnsi"/>
          <w:sz w:val="16"/>
          <w:szCs w:val="16"/>
          <w:lang w:val="es-ES"/>
        </w:rPr>
        <w:t>v</w:t>
      </w:r>
      <w:proofErr w:type="spellEnd"/>
      <w:r w:rsidRPr="007F51EF">
        <w:rPr>
          <w:rFonts w:asciiTheme="majorHAnsi" w:hAnsiTheme="majorHAnsi"/>
          <w:sz w:val="16"/>
          <w:szCs w:val="16"/>
          <w:lang w:val="es-ES"/>
        </w:rPr>
        <w:t>) de las “</w:t>
      </w:r>
      <w:r>
        <w:rPr>
          <w:rFonts w:asciiTheme="majorHAnsi" w:hAnsiTheme="majorHAnsi"/>
          <w:sz w:val="16"/>
          <w:szCs w:val="16"/>
          <w:lang w:val="es-ES"/>
        </w:rPr>
        <w:t>Directrices de la Unión Europea sobre Pena de Muerte” establece que “</w:t>
      </w:r>
      <w:r w:rsidRPr="00C303FD">
        <w:rPr>
          <w:rFonts w:asciiTheme="majorHAnsi" w:hAnsiTheme="majorHAnsi"/>
          <w:sz w:val="16"/>
          <w:szCs w:val="16"/>
          <w:lang w:val="es-ES"/>
        </w:rPr>
        <w:t>Cuando se aplique la pena capital a pesar de los esfuerzos desplegados por la UE para evitarla, ésta únicamente se ejecutará de modo que cause el menor sufrimiento posible. No podrá ejecutarse en público ni de ninguna otra forma que suponga una degradación de la persona condenada.</w:t>
      </w:r>
      <w:r>
        <w:rPr>
          <w:rFonts w:asciiTheme="majorHAnsi" w:hAnsiTheme="majorHAnsi"/>
          <w:sz w:val="16"/>
          <w:szCs w:val="16"/>
          <w:lang w:val="es-ES"/>
        </w:rPr>
        <w:t>”</w:t>
      </w:r>
    </w:p>
  </w:footnote>
  <w:footnote w:id="55">
    <w:p w14:paraId="4F462972" w14:textId="77777777" w:rsidR="00873D49" w:rsidRPr="00C303FD" w:rsidRDefault="00873D49" w:rsidP="00C303FD">
      <w:pPr>
        <w:pStyle w:val="NormalWeb"/>
        <w:spacing w:before="0" w:beforeAutospacing="0" w:after="0" w:afterAutospacing="0"/>
        <w:jc w:val="both"/>
        <w:rPr>
          <w:rFonts w:asciiTheme="majorHAnsi" w:eastAsia="Arial Unicode MS" w:hAnsiTheme="majorHAnsi"/>
          <w:sz w:val="16"/>
          <w:szCs w:val="16"/>
          <w:lang w:val="es-ES"/>
        </w:rPr>
      </w:pPr>
      <w:r w:rsidRPr="004A0895">
        <w:rPr>
          <w:rStyle w:val="FootnoteReference"/>
          <w:rFonts w:asciiTheme="majorHAnsi" w:hAnsiTheme="majorHAnsi"/>
          <w:sz w:val="16"/>
          <w:szCs w:val="16"/>
        </w:rPr>
        <w:footnoteRef/>
      </w:r>
      <w:r w:rsidRPr="00C303FD">
        <w:rPr>
          <w:rFonts w:asciiTheme="majorHAnsi" w:hAnsiTheme="majorHAnsi"/>
          <w:sz w:val="16"/>
          <w:szCs w:val="16"/>
          <w:lang w:val="es-ES"/>
        </w:rPr>
        <w:t xml:space="preserve"> Consejo Económico y Social, Salva</w:t>
      </w:r>
      <w:r>
        <w:rPr>
          <w:rFonts w:asciiTheme="majorHAnsi" w:hAnsiTheme="majorHAnsi"/>
          <w:sz w:val="16"/>
          <w:szCs w:val="16"/>
          <w:lang w:val="es-ES"/>
        </w:rPr>
        <w:t>guardas para garantizar la protección de los derechos de los condenados a pena de muerte</w:t>
      </w:r>
      <w:r w:rsidRPr="00C303FD">
        <w:rPr>
          <w:rFonts w:asciiTheme="majorHAnsi" w:eastAsia="Arial Unicode MS" w:hAnsiTheme="majorHAnsi"/>
          <w:sz w:val="16"/>
          <w:szCs w:val="16"/>
          <w:lang w:val="es-ES"/>
        </w:rPr>
        <w:t xml:space="preserve">. </w:t>
      </w:r>
    </w:p>
  </w:footnote>
  <w:footnote w:id="56">
    <w:p w14:paraId="51B0CCFC" w14:textId="752F9186" w:rsidR="00873D49" w:rsidRPr="00C303FD" w:rsidRDefault="00873D49" w:rsidP="00C303FD">
      <w:pPr>
        <w:pStyle w:val="NormalWeb"/>
        <w:spacing w:before="0" w:beforeAutospacing="0" w:after="0" w:afterAutospacing="0"/>
        <w:jc w:val="both"/>
        <w:rPr>
          <w:rFonts w:asciiTheme="majorHAnsi" w:eastAsia="Arial Unicode MS" w:hAnsiTheme="majorHAnsi"/>
          <w:sz w:val="16"/>
          <w:szCs w:val="16"/>
          <w:lang w:val="es-ES"/>
        </w:rPr>
      </w:pPr>
      <w:r w:rsidRPr="004A0895">
        <w:rPr>
          <w:rStyle w:val="FootnoteReference"/>
          <w:rFonts w:asciiTheme="majorHAnsi" w:hAnsiTheme="majorHAnsi"/>
          <w:sz w:val="16"/>
          <w:szCs w:val="16"/>
        </w:rPr>
        <w:footnoteRef/>
      </w:r>
      <w:r w:rsidRPr="00C303FD">
        <w:rPr>
          <w:rFonts w:asciiTheme="majorHAnsi" w:hAnsiTheme="majorHAnsi"/>
          <w:sz w:val="16"/>
          <w:szCs w:val="16"/>
          <w:lang w:val="es-ES"/>
        </w:rPr>
        <w:t xml:space="preserve"> </w:t>
      </w:r>
      <w:r w:rsidRPr="00C303FD">
        <w:rPr>
          <w:rFonts w:asciiTheme="majorHAnsi" w:eastAsia="Arial Unicode MS" w:hAnsiTheme="majorHAnsi"/>
          <w:sz w:val="16"/>
          <w:szCs w:val="16"/>
          <w:lang w:val="es-ES"/>
        </w:rPr>
        <w:t>A/HRC/30/18, Consejo de Derechos H</w:t>
      </w:r>
      <w:r>
        <w:rPr>
          <w:rFonts w:asciiTheme="majorHAnsi" w:eastAsia="Arial Unicode MS" w:hAnsiTheme="majorHAnsi"/>
          <w:sz w:val="16"/>
          <w:szCs w:val="16"/>
          <w:lang w:val="es-ES"/>
        </w:rPr>
        <w:t xml:space="preserve">umanos, </w:t>
      </w:r>
      <w:r w:rsidRPr="00C303FD">
        <w:rPr>
          <w:rFonts w:asciiTheme="majorHAnsi" w:eastAsia="Arial Unicode MS" w:hAnsiTheme="majorHAnsi"/>
          <w:sz w:val="16"/>
          <w:szCs w:val="16"/>
          <w:lang w:val="es-ES"/>
        </w:rPr>
        <w:t>La pena capital y la aplicación de las salvaguardias para garantizar la protección de los derechos de los condenados a la pena de muerte</w:t>
      </w:r>
      <w:r>
        <w:rPr>
          <w:rFonts w:asciiTheme="majorHAnsi" w:eastAsia="Arial Unicode MS" w:hAnsiTheme="majorHAnsi"/>
          <w:sz w:val="16"/>
          <w:szCs w:val="16"/>
          <w:lang w:val="es-ES"/>
        </w:rPr>
        <w:t xml:space="preserve">, </w:t>
      </w:r>
      <w:r w:rsidRPr="00C303FD">
        <w:rPr>
          <w:rFonts w:asciiTheme="majorHAnsi" w:eastAsia="Arial Unicode MS" w:hAnsiTheme="majorHAnsi"/>
          <w:sz w:val="16"/>
          <w:szCs w:val="16"/>
          <w:lang w:val="es-ES"/>
        </w:rPr>
        <w:t xml:space="preserve">Suplemento anual del </w:t>
      </w:r>
      <w:proofErr w:type="gramStart"/>
      <w:r w:rsidRPr="00C303FD">
        <w:rPr>
          <w:rFonts w:asciiTheme="majorHAnsi" w:eastAsia="Arial Unicode MS" w:hAnsiTheme="majorHAnsi"/>
          <w:sz w:val="16"/>
          <w:szCs w:val="16"/>
          <w:lang w:val="es-ES"/>
        </w:rPr>
        <w:t>Secretario General</w:t>
      </w:r>
      <w:proofErr w:type="gramEnd"/>
      <w:r w:rsidRPr="00C303FD">
        <w:rPr>
          <w:rFonts w:asciiTheme="majorHAnsi" w:eastAsia="Arial Unicode MS" w:hAnsiTheme="majorHAnsi"/>
          <w:sz w:val="16"/>
          <w:szCs w:val="16"/>
          <w:lang w:val="es-ES"/>
        </w:rPr>
        <w:t xml:space="preserve"> de su informe quinquenal sobre la pena capital, p</w:t>
      </w:r>
      <w:r>
        <w:rPr>
          <w:rFonts w:asciiTheme="majorHAnsi" w:eastAsia="Arial Unicode MS" w:hAnsiTheme="majorHAnsi"/>
          <w:sz w:val="16"/>
          <w:szCs w:val="16"/>
          <w:lang w:val="es-ES"/>
        </w:rPr>
        <w:t>á</w:t>
      </w:r>
      <w:r w:rsidRPr="00C303FD">
        <w:rPr>
          <w:rFonts w:asciiTheme="majorHAnsi" w:eastAsia="Arial Unicode MS" w:hAnsiTheme="majorHAnsi"/>
          <w:sz w:val="16"/>
          <w:szCs w:val="16"/>
          <w:lang w:val="es-ES"/>
        </w:rPr>
        <w:t>r</w:t>
      </w:r>
      <w:r>
        <w:rPr>
          <w:rFonts w:asciiTheme="majorHAnsi" w:eastAsia="Arial Unicode MS" w:hAnsiTheme="majorHAnsi"/>
          <w:sz w:val="16"/>
          <w:szCs w:val="16"/>
          <w:lang w:val="es-ES"/>
        </w:rPr>
        <w:t>r</w:t>
      </w:r>
      <w:r w:rsidRPr="00C303FD">
        <w:rPr>
          <w:rFonts w:asciiTheme="majorHAnsi" w:eastAsia="Arial Unicode MS" w:hAnsiTheme="majorHAnsi"/>
          <w:sz w:val="16"/>
          <w:szCs w:val="16"/>
          <w:lang w:val="es-ES"/>
        </w:rPr>
        <w:t>.</w:t>
      </w:r>
      <w:r>
        <w:rPr>
          <w:rFonts w:asciiTheme="majorHAnsi" w:eastAsia="Arial Unicode MS" w:hAnsiTheme="majorHAnsi"/>
          <w:sz w:val="16"/>
          <w:szCs w:val="16"/>
          <w:lang w:val="es-ES"/>
        </w:rPr>
        <w:t xml:space="preserve"> </w:t>
      </w:r>
      <w:r w:rsidRPr="00C303FD">
        <w:rPr>
          <w:rFonts w:asciiTheme="majorHAnsi" w:eastAsia="Arial Unicode MS" w:hAnsiTheme="majorHAnsi"/>
          <w:sz w:val="16"/>
          <w:szCs w:val="16"/>
          <w:lang w:val="es-ES"/>
        </w:rPr>
        <w:t xml:space="preserve">32; </w:t>
      </w:r>
      <w:r>
        <w:rPr>
          <w:rFonts w:asciiTheme="majorHAnsi" w:eastAsia="Arial Unicode MS" w:hAnsiTheme="majorHAnsi"/>
          <w:sz w:val="16"/>
          <w:szCs w:val="16"/>
          <w:lang w:val="es-ES"/>
        </w:rPr>
        <w:t>véase también</w:t>
      </w:r>
      <w:r w:rsidRPr="00C303FD">
        <w:rPr>
          <w:rFonts w:asciiTheme="majorHAnsi" w:eastAsia="Arial Unicode MS" w:hAnsiTheme="majorHAnsi"/>
          <w:sz w:val="16"/>
          <w:szCs w:val="16"/>
          <w:lang w:val="es-ES"/>
        </w:rPr>
        <w:t>:</w:t>
      </w:r>
      <w:r>
        <w:rPr>
          <w:rFonts w:asciiTheme="majorHAnsi" w:eastAsia="Arial Unicode MS" w:hAnsiTheme="majorHAnsi"/>
          <w:sz w:val="16"/>
          <w:szCs w:val="16"/>
          <w:lang w:val="es-ES"/>
        </w:rPr>
        <w:t xml:space="preserve"> Oficina del Alto Comisionados de Derechos Humanos</w:t>
      </w:r>
      <w:r w:rsidRPr="00C303FD">
        <w:rPr>
          <w:rFonts w:asciiTheme="majorHAnsi" w:eastAsia="Arial Unicode MS" w:hAnsiTheme="majorHAnsi"/>
          <w:sz w:val="16"/>
          <w:szCs w:val="16"/>
          <w:lang w:val="es-ES"/>
        </w:rPr>
        <w:t xml:space="preserve"> “</w:t>
      </w:r>
      <w:proofErr w:type="spellStart"/>
      <w:r w:rsidRPr="00C303FD">
        <w:rPr>
          <w:rFonts w:asciiTheme="majorHAnsi" w:eastAsia="Arial Unicode MS" w:hAnsiTheme="majorHAnsi"/>
          <w:sz w:val="16"/>
          <w:szCs w:val="16"/>
          <w:lang w:val="es-ES"/>
        </w:rPr>
        <w:t>Despite</w:t>
      </w:r>
      <w:proofErr w:type="spellEnd"/>
      <w:r w:rsidRPr="00C303FD">
        <w:rPr>
          <w:rFonts w:asciiTheme="majorHAnsi" w:eastAsia="Arial Unicode MS" w:hAnsiTheme="majorHAnsi"/>
          <w:sz w:val="16"/>
          <w:szCs w:val="16"/>
          <w:lang w:val="es-ES"/>
        </w:rPr>
        <w:t xml:space="preserve"> </w:t>
      </w:r>
      <w:proofErr w:type="spellStart"/>
      <w:r w:rsidRPr="00C303FD">
        <w:rPr>
          <w:rFonts w:asciiTheme="majorHAnsi" w:eastAsia="Arial Unicode MS" w:hAnsiTheme="majorHAnsi"/>
          <w:sz w:val="16"/>
          <w:szCs w:val="16"/>
          <w:lang w:val="es-ES"/>
        </w:rPr>
        <w:t>progress</w:t>
      </w:r>
      <w:proofErr w:type="spellEnd"/>
      <w:r w:rsidRPr="00C303FD">
        <w:rPr>
          <w:rFonts w:asciiTheme="majorHAnsi" w:eastAsia="Arial Unicode MS" w:hAnsiTheme="majorHAnsi"/>
          <w:sz w:val="16"/>
          <w:szCs w:val="16"/>
          <w:lang w:val="es-ES"/>
        </w:rPr>
        <w:t xml:space="preserve"> in </w:t>
      </w:r>
      <w:proofErr w:type="spellStart"/>
      <w:r w:rsidRPr="00C303FD">
        <w:rPr>
          <w:rFonts w:asciiTheme="majorHAnsi" w:eastAsia="Arial Unicode MS" w:hAnsiTheme="majorHAnsi"/>
          <w:sz w:val="16"/>
          <w:szCs w:val="16"/>
          <w:lang w:val="es-ES"/>
        </w:rPr>
        <w:t>abolishing</w:t>
      </w:r>
      <w:proofErr w:type="spellEnd"/>
      <w:r w:rsidRPr="00C303FD">
        <w:rPr>
          <w:rFonts w:asciiTheme="majorHAnsi" w:eastAsia="Arial Unicode MS" w:hAnsiTheme="majorHAnsi"/>
          <w:sz w:val="16"/>
          <w:szCs w:val="16"/>
          <w:lang w:val="es-ES"/>
        </w:rPr>
        <w:t xml:space="preserve"> </w:t>
      </w:r>
      <w:proofErr w:type="spellStart"/>
      <w:r w:rsidRPr="00C303FD">
        <w:rPr>
          <w:rFonts w:asciiTheme="majorHAnsi" w:eastAsia="Arial Unicode MS" w:hAnsiTheme="majorHAnsi"/>
          <w:sz w:val="16"/>
          <w:szCs w:val="16"/>
          <w:lang w:val="es-ES"/>
        </w:rPr>
        <w:t>the</w:t>
      </w:r>
      <w:proofErr w:type="spellEnd"/>
      <w:r w:rsidRPr="00C303FD">
        <w:rPr>
          <w:rFonts w:asciiTheme="majorHAnsi" w:eastAsia="Arial Unicode MS" w:hAnsiTheme="majorHAnsi"/>
          <w:sz w:val="16"/>
          <w:szCs w:val="16"/>
          <w:lang w:val="es-ES"/>
        </w:rPr>
        <w:t xml:space="preserve"> </w:t>
      </w:r>
      <w:proofErr w:type="spellStart"/>
      <w:r w:rsidRPr="00C303FD">
        <w:rPr>
          <w:rFonts w:asciiTheme="majorHAnsi" w:eastAsia="Arial Unicode MS" w:hAnsiTheme="majorHAnsi"/>
          <w:sz w:val="16"/>
          <w:szCs w:val="16"/>
          <w:lang w:val="es-ES"/>
        </w:rPr>
        <w:t>death</w:t>
      </w:r>
      <w:proofErr w:type="spellEnd"/>
      <w:r w:rsidRPr="00C303FD">
        <w:rPr>
          <w:rFonts w:asciiTheme="majorHAnsi" w:eastAsia="Arial Unicode MS" w:hAnsiTheme="majorHAnsi"/>
          <w:sz w:val="16"/>
          <w:szCs w:val="16"/>
          <w:lang w:val="es-ES"/>
        </w:rPr>
        <w:t xml:space="preserve"> </w:t>
      </w:r>
      <w:proofErr w:type="spellStart"/>
      <w:r w:rsidRPr="00C303FD">
        <w:rPr>
          <w:rFonts w:asciiTheme="majorHAnsi" w:eastAsia="Arial Unicode MS" w:hAnsiTheme="majorHAnsi"/>
          <w:sz w:val="16"/>
          <w:szCs w:val="16"/>
          <w:lang w:val="es-ES"/>
        </w:rPr>
        <w:t>penalty</w:t>
      </w:r>
      <w:proofErr w:type="spellEnd"/>
      <w:r w:rsidRPr="00C303FD">
        <w:rPr>
          <w:rFonts w:asciiTheme="majorHAnsi" w:eastAsia="Arial Unicode MS" w:hAnsiTheme="majorHAnsi"/>
          <w:sz w:val="16"/>
          <w:szCs w:val="16"/>
          <w:lang w:val="es-ES"/>
        </w:rPr>
        <w:t xml:space="preserve">, </w:t>
      </w:r>
      <w:proofErr w:type="spellStart"/>
      <w:r w:rsidRPr="00C303FD">
        <w:rPr>
          <w:rFonts w:asciiTheme="majorHAnsi" w:eastAsia="Arial Unicode MS" w:hAnsiTheme="majorHAnsi"/>
          <w:sz w:val="16"/>
          <w:szCs w:val="16"/>
          <w:lang w:val="es-ES"/>
        </w:rPr>
        <w:t>thousands</w:t>
      </w:r>
      <w:proofErr w:type="spellEnd"/>
      <w:r w:rsidRPr="00C303FD">
        <w:rPr>
          <w:rFonts w:asciiTheme="majorHAnsi" w:eastAsia="Arial Unicode MS" w:hAnsiTheme="majorHAnsi"/>
          <w:sz w:val="16"/>
          <w:szCs w:val="16"/>
          <w:lang w:val="es-ES"/>
        </w:rPr>
        <w:t xml:space="preserve"> </w:t>
      </w:r>
      <w:proofErr w:type="spellStart"/>
      <w:r w:rsidRPr="00C303FD">
        <w:rPr>
          <w:rFonts w:asciiTheme="majorHAnsi" w:eastAsia="Arial Unicode MS" w:hAnsiTheme="majorHAnsi"/>
          <w:sz w:val="16"/>
          <w:szCs w:val="16"/>
          <w:lang w:val="es-ES"/>
        </w:rPr>
        <w:t>remain</w:t>
      </w:r>
      <w:proofErr w:type="spellEnd"/>
      <w:r w:rsidRPr="00C303FD">
        <w:rPr>
          <w:rFonts w:asciiTheme="majorHAnsi" w:eastAsia="Arial Unicode MS" w:hAnsiTheme="majorHAnsi"/>
          <w:sz w:val="16"/>
          <w:szCs w:val="16"/>
          <w:lang w:val="es-ES"/>
        </w:rPr>
        <w:t xml:space="preserve"> </w:t>
      </w:r>
      <w:proofErr w:type="spellStart"/>
      <w:r w:rsidRPr="00C303FD">
        <w:rPr>
          <w:rFonts w:asciiTheme="majorHAnsi" w:eastAsia="Arial Unicode MS" w:hAnsiTheme="majorHAnsi"/>
          <w:sz w:val="16"/>
          <w:szCs w:val="16"/>
          <w:lang w:val="es-ES"/>
        </w:rPr>
        <w:t>on</w:t>
      </w:r>
      <w:proofErr w:type="spellEnd"/>
      <w:r w:rsidRPr="00C303FD">
        <w:rPr>
          <w:rFonts w:asciiTheme="majorHAnsi" w:eastAsia="Arial Unicode MS" w:hAnsiTheme="majorHAnsi"/>
          <w:sz w:val="16"/>
          <w:szCs w:val="16"/>
          <w:lang w:val="es-ES"/>
        </w:rPr>
        <w:t xml:space="preserve"> </w:t>
      </w:r>
      <w:proofErr w:type="spellStart"/>
      <w:r w:rsidRPr="00C303FD">
        <w:rPr>
          <w:rFonts w:asciiTheme="majorHAnsi" w:eastAsia="Arial Unicode MS" w:hAnsiTheme="majorHAnsi"/>
          <w:sz w:val="16"/>
          <w:szCs w:val="16"/>
          <w:lang w:val="es-ES"/>
        </w:rPr>
        <w:t>death</w:t>
      </w:r>
      <w:proofErr w:type="spellEnd"/>
      <w:r w:rsidRPr="00C303FD">
        <w:rPr>
          <w:rFonts w:asciiTheme="majorHAnsi" w:eastAsia="Arial Unicode MS" w:hAnsiTheme="majorHAnsi"/>
          <w:sz w:val="16"/>
          <w:szCs w:val="16"/>
          <w:lang w:val="es-ES"/>
        </w:rPr>
        <w:t xml:space="preserve"> </w:t>
      </w:r>
      <w:proofErr w:type="spellStart"/>
      <w:r w:rsidRPr="00C303FD">
        <w:rPr>
          <w:rFonts w:asciiTheme="majorHAnsi" w:eastAsia="Arial Unicode MS" w:hAnsiTheme="majorHAnsi"/>
          <w:sz w:val="16"/>
          <w:szCs w:val="16"/>
          <w:lang w:val="es-ES"/>
        </w:rPr>
        <w:t>row</w:t>
      </w:r>
      <w:proofErr w:type="spellEnd"/>
      <w:r>
        <w:rPr>
          <w:rFonts w:asciiTheme="majorHAnsi" w:eastAsia="Arial Unicode MS" w:hAnsiTheme="majorHAnsi"/>
          <w:sz w:val="16"/>
          <w:szCs w:val="16"/>
          <w:lang w:val="es-ES"/>
        </w:rPr>
        <w:t>”.</w:t>
      </w:r>
    </w:p>
  </w:footnote>
  <w:footnote w:id="57">
    <w:p w14:paraId="06B4BFD5" w14:textId="0A00521E" w:rsidR="00873D49" w:rsidRPr="00E36893" w:rsidRDefault="00873D49" w:rsidP="004A0895">
      <w:pPr>
        <w:pStyle w:val="NormalWeb"/>
        <w:spacing w:before="0" w:beforeAutospacing="0" w:after="0" w:afterAutospacing="0"/>
        <w:jc w:val="both"/>
        <w:rPr>
          <w:rFonts w:asciiTheme="majorHAnsi" w:eastAsia="Arial Unicode MS" w:hAnsiTheme="majorHAnsi"/>
          <w:sz w:val="16"/>
          <w:szCs w:val="16"/>
          <w:lang w:val="es-ES"/>
        </w:rPr>
      </w:pPr>
      <w:r w:rsidRPr="004A0895">
        <w:rPr>
          <w:rStyle w:val="FootnoteReference"/>
          <w:rFonts w:asciiTheme="majorHAnsi" w:hAnsiTheme="majorHAnsi"/>
          <w:sz w:val="16"/>
          <w:szCs w:val="16"/>
        </w:rPr>
        <w:footnoteRef/>
      </w:r>
      <w:r w:rsidRPr="00C303FD">
        <w:rPr>
          <w:rFonts w:asciiTheme="majorHAnsi" w:hAnsiTheme="majorHAnsi"/>
          <w:sz w:val="16"/>
          <w:szCs w:val="16"/>
          <w:lang w:val="es-ES"/>
        </w:rPr>
        <w:t xml:space="preserve"> </w:t>
      </w:r>
      <w:r w:rsidRPr="00C303FD">
        <w:rPr>
          <w:rFonts w:asciiTheme="majorHAnsi" w:eastAsia="Arial Unicode MS" w:hAnsiTheme="majorHAnsi"/>
          <w:sz w:val="16"/>
          <w:szCs w:val="16"/>
          <w:lang w:val="es-ES"/>
        </w:rPr>
        <w:t>A/HRC/30/18, Consejo de Derechos H</w:t>
      </w:r>
      <w:r>
        <w:rPr>
          <w:rFonts w:asciiTheme="majorHAnsi" w:eastAsia="Arial Unicode MS" w:hAnsiTheme="majorHAnsi"/>
          <w:sz w:val="16"/>
          <w:szCs w:val="16"/>
          <w:lang w:val="es-ES"/>
        </w:rPr>
        <w:t xml:space="preserve">umanos, </w:t>
      </w:r>
      <w:r w:rsidRPr="00C303FD">
        <w:rPr>
          <w:rFonts w:asciiTheme="majorHAnsi" w:eastAsia="Arial Unicode MS" w:hAnsiTheme="majorHAnsi"/>
          <w:sz w:val="16"/>
          <w:szCs w:val="16"/>
          <w:lang w:val="es-ES"/>
        </w:rPr>
        <w:t>La pena capital y la aplicación de las salvaguardias para garantizar la protección de los derechos de los condenados a la pena de muerte</w:t>
      </w:r>
      <w:r>
        <w:rPr>
          <w:rFonts w:asciiTheme="majorHAnsi" w:eastAsia="Arial Unicode MS" w:hAnsiTheme="majorHAnsi"/>
          <w:sz w:val="16"/>
          <w:szCs w:val="16"/>
          <w:lang w:val="es-ES"/>
        </w:rPr>
        <w:t xml:space="preserve">, </w:t>
      </w:r>
      <w:r w:rsidRPr="00C303FD">
        <w:rPr>
          <w:rFonts w:asciiTheme="majorHAnsi" w:eastAsia="Arial Unicode MS" w:hAnsiTheme="majorHAnsi"/>
          <w:sz w:val="16"/>
          <w:szCs w:val="16"/>
          <w:lang w:val="es-ES"/>
        </w:rPr>
        <w:t xml:space="preserve">Suplemento anual del </w:t>
      </w:r>
      <w:proofErr w:type="gramStart"/>
      <w:r w:rsidRPr="00C303FD">
        <w:rPr>
          <w:rFonts w:asciiTheme="majorHAnsi" w:eastAsia="Arial Unicode MS" w:hAnsiTheme="majorHAnsi"/>
          <w:sz w:val="16"/>
          <w:szCs w:val="16"/>
          <w:lang w:val="es-ES"/>
        </w:rPr>
        <w:t>Secretario General</w:t>
      </w:r>
      <w:proofErr w:type="gramEnd"/>
      <w:r w:rsidRPr="00C303FD">
        <w:rPr>
          <w:rFonts w:asciiTheme="majorHAnsi" w:eastAsia="Arial Unicode MS" w:hAnsiTheme="majorHAnsi"/>
          <w:sz w:val="16"/>
          <w:szCs w:val="16"/>
          <w:lang w:val="es-ES"/>
        </w:rPr>
        <w:t xml:space="preserve"> de su informe quinquenal sobre la pena capital, párr. </w:t>
      </w:r>
      <w:r w:rsidRPr="00E36893">
        <w:rPr>
          <w:rFonts w:asciiTheme="majorHAnsi" w:eastAsia="Arial Unicode MS" w:hAnsiTheme="majorHAnsi"/>
          <w:sz w:val="16"/>
          <w:szCs w:val="16"/>
          <w:lang w:val="es-ES"/>
        </w:rPr>
        <w:t xml:space="preserve">50. </w:t>
      </w:r>
    </w:p>
  </w:footnote>
  <w:footnote w:id="58">
    <w:p w14:paraId="5F301183" w14:textId="101593EF" w:rsidR="00873D49" w:rsidRPr="00E36893" w:rsidRDefault="00873D49" w:rsidP="004A0895">
      <w:pPr>
        <w:pStyle w:val="FootnoteText"/>
        <w:jc w:val="both"/>
        <w:rPr>
          <w:rFonts w:asciiTheme="majorHAnsi" w:hAnsiTheme="majorHAnsi"/>
          <w:color w:val="auto"/>
          <w:sz w:val="16"/>
          <w:szCs w:val="16"/>
          <w:lang w:val="es-ES"/>
        </w:rPr>
      </w:pPr>
      <w:r w:rsidRPr="004A0895">
        <w:rPr>
          <w:rStyle w:val="FootnoteReference"/>
          <w:rFonts w:asciiTheme="majorHAnsi" w:hAnsiTheme="majorHAnsi"/>
          <w:color w:val="auto"/>
          <w:sz w:val="16"/>
          <w:szCs w:val="16"/>
        </w:rPr>
        <w:footnoteRef/>
      </w:r>
      <w:r w:rsidRPr="00C303FD">
        <w:rPr>
          <w:rFonts w:asciiTheme="majorHAnsi" w:hAnsiTheme="majorHAnsi"/>
          <w:color w:val="auto"/>
          <w:sz w:val="16"/>
          <w:szCs w:val="16"/>
          <w:lang w:val="es-ES"/>
        </w:rPr>
        <w:t xml:space="preserve"> </w:t>
      </w:r>
      <w:r w:rsidRPr="00C303FD">
        <w:rPr>
          <w:rFonts w:asciiTheme="majorHAnsi" w:hAnsiTheme="majorHAnsi"/>
          <w:color w:val="auto"/>
          <w:sz w:val="16"/>
          <w:szCs w:val="16"/>
          <w:bdr w:val="none" w:sz="0" w:space="0" w:color="auto"/>
          <w:lang w:val="es-ES"/>
        </w:rPr>
        <w:t xml:space="preserve">CIDH, Informe No. 11/15, Caso 12.833, Fondo (Publicación), Félix Rocha Díaz, </w:t>
      </w:r>
      <w:r>
        <w:rPr>
          <w:rFonts w:asciiTheme="majorHAnsi" w:hAnsiTheme="majorHAnsi"/>
          <w:color w:val="auto"/>
          <w:sz w:val="16"/>
          <w:szCs w:val="16"/>
          <w:bdr w:val="none" w:sz="0" w:space="0" w:color="auto"/>
          <w:lang w:val="es-ES"/>
        </w:rPr>
        <w:t>Estados Unidos</w:t>
      </w:r>
      <w:r w:rsidRPr="00C303FD">
        <w:rPr>
          <w:rFonts w:asciiTheme="majorHAnsi" w:hAnsiTheme="majorHAnsi"/>
          <w:color w:val="auto"/>
          <w:sz w:val="16"/>
          <w:szCs w:val="16"/>
          <w:bdr w:val="none" w:sz="0" w:space="0" w:color="auto"/>
          <w:lang w:val="es-ES"/>
        </w:rPr>
        <w:t>,</w:t>
      </w:r>
      <w:r>
        <w:rPr>
          <w:rFonts w:asciiTheme="majorHAnsi" w:hAnsiTheme="majorHAnsi"/>
          <w:color w:val="auto"/>
          <w:sz w:val="16"/>
          <w:szCs w:val="16"/>
          <w:bdr w:val="none" w:sz="0" w:space="0" w:color="auto"/>
          <w:lang w:val="es-ES"/>
        </w:rPr>
        <w:t xml:space="preserve"> 23 de marzo de 2015, </w:t>
      </w:r>
      <w:r w:rsidRPr="00C303FD">
        <w:rPr>
          <w:rFonts w:asciiTheme="majorHAnsi" w:hAnsiTheme="majorHAnsi"/>
          <w:color w:val="auto"/>
          <w:sz w:val="16"/>
          <w:szCs w:val="16"/>
          <w:bdr w:val="none" w:sz="0" w:space="0" w:color="auto"/>
          <w:lang w:val="es-ES"/>
        </w:rPr>
        <w:t>pár</w:t>
      </w:r>
      <w:r>
        <w:rPr>
          <w:rFonts w:asciiTheme="majorHAnsi" w:hAnsiTheme="majorHAnsi"/>
          <w:color w:val="auto"/>
          <w:sz w:val="16"/>
          <w:szCs w:val="16"/>
          <w:bdr w:val="none" w:sz="0" w:space="0" w:color="auto"/>
          <w:lang w:val="es-ES"/>
        </w:rPr>
        <w:t>r</w:t>
      </w:r>
      <w:r w:rsidRPr="00C303FD">
        <w:rPr>
          <w:rFonts w:asciiTheme="majorHAnsi" w:hAnsiTheme="majorHAnsi"/>
          <w:color w:val="auto"/>
          <w:sz w:val="16"/>
          <w:szCs w:val="16"/>
          <w:bdr w:val="none" w:sz="0" w:space="0" w:color="auto"/>
          <w:lang w:val="es-ES"/>
        </w:rPr>
        <w:t xml:space="preserve">. </w:t>
      </w:r>
      <w:r w:rsidRPr="00E36893">
        <w:rPr>
          <w:rFonts w:asciiTheme="majorHAnsi" w:hAnsiTheme="majorHAnsi"/>
          <w:color w:val="auto"/>
          <w:sz w:val="16"/>
          <w:szCs w:val="16"/>
          <w:bdr w:val="none" w:sz="0" w:space="0" w:color="auto"/>
          <w:lang w:val="es-ES"/>
        </w:rPr>
        <w:t>84</w:t>
      </w:r>
    </w:p>
  </w:footnote>
  <w:footnote w:id="59">
    <w:p w14:paraId="521CC533" w14:textId="6DC4583E" w:rsidR="00873D49" w:rsidRPr="00E36893" w:rsidRDefault="00873D49" w:rsidP="00B92AA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16"/>
          <w:szCs w:val="16"/>
          <w:bdr w:val="none" w:sz="0" w:space="0" w:color="auto"/>
          <w:lang w:val="es-ES"/>
        </w:rPr>
      </w:pPr>
      <w:r w:rsidRPr="004A0895">
        <w:rPr>
          <w:rStyle w:val="FootnoteReference"/>
          <w:rFonts w:asciiTheme="majorHAnsi" w:hAnsiTheme="majorHAnsi"/>
          <w:sz w:val="16"/>
          <w:szCs w:val="16"/>
        </w:rPr>
        <w:footnoteRef/>
      </w:r>
      <w:r w:rsidRPr="00C303FD">
        <w:rPr>
          <w:rFonts w:asciiTheme="majorHAnsi" w:hAnsiTheme="majorHAnsi"/>
          <w:sz w:val="16"/>
          <w:szCs w:val="16"/>
          <w:lang w:val="es-ES"/>
        </w:rPr>
        <w:t xml:space="preserve"> </w:t>
      </w:r>
      <w:r w:rsidRPr="00C303FD">
        <w:rPr>
          <w:rFonts w:asciiTheme="majorHAnsi" w:hAnsiTheme="majorHAnsi"/>
          <w:sz w:val="16"/>
          <w:szCs w:val="16"/>
          <w:bdr w:val="none" w:sz="0" w:space="0" w:color="auto"/>
          <w:lang w:val="es-ES"/>
        </w:rPr>
        <w:t xml:space="preserve">CIDH, Informe No. 53/13, Caso 12.864, Fondo (Publicación), Iván </w:t>
      </w:r>
      <w:proofErr w:type="spellStart"/>
      <w:r w:rsidRPr="00C303FD">
        <w:rPr>
          <w:rFonts w:asciiTheme="majorHAnsi" w:hAnsiTheme="majorHAnsi"/>
          <w:sz w:val="16"/>
          <w:szCs w:val="16"/>
          <w:bdr w:val="none" w:sz="0" w:space="0" w:color="auto"/>
          <w:lang w:val="es-ES"/>
        </w:rPr>
        <w:t>Teleguz</w:t>
      </w:r>
      <w:proofErr w:type="spellEnd"/>
      <w:r w:rsidRPr="00C303FD">
        <w:rPr>
          <w:rFonts w:asciiTheme="majorHAnsi" w:hAnsiTheme="majorHAnsi"/>
          <w:sz w:val="16"/>
          <w:szCs w:val="16"/>
          <w:bdr w:val="none" w:sz="0" w:space="0" w:color="auto"/>
          <w:lang w:val="es-ES"/>
        </w:rPr>
        <w:t>, Estados Unidos</w:t>
      </w:r>
      <w:r>
        <w:rPr>
          <w:rFonts w:asciiTheme="majorHAnsi" w:hAnsiTheme="majorHAnsi"/>
          <w:sz w:val="16"/>
          <w:szCs w:val="16"/>
          <w:bdr w:val="none" w:sz="0" w:space="0" w:color="auto"/>
          <w:lang w:val="es-ES"/>
        </w:rPr>
        <w:t>, 15 de julio de 2013</w:t>
      </w:r>
      <w:r w:rsidRPr="00C303FD">
        <w:rPr>
          <w:rFonts w:asciiTheme="majorHAnsi" w:hAnsiTheme="majorHAnsi"/>
          <w:sz w:val="16"/>
          <w:szCs w:val="16"/>
          <w:bdr w:val="none" w:sz="0" w:space="0" w:color="auto"/>
          <w:lang w:val="es-ES"/>
        </w:rPr>
        <w:t>, pár</w:t>
      </w:r>
      <w:r>
        <w:rPr>
          <w:rFonts w:asciiTheme="majorHAnsi" w:hAnsiTheme="majorHAnsi"/>
          <w:sz w:val="16"/>
          <w:szCs w:val="16"/>
          <w:bdr w:val="none" w:sz="0" w:space="0" w:color="auto"/>
          <w:lang w:val="es-ES"/>
        </w:rPr>
        <w:t>r</w:t>
      </w:r>
      <w:r w:rsidRPr="00C303FD">
        <w:rPr>
          <w:rFonts w:asciiTheme="majorHAnsi" w:hAnsiTheme="majorHAnsi"/>
          <w:sz w:val="16"/>
          <w:szCs w:val="16"/>
          <w:bdr w:val="none" w:sz="0" w:space="0" w:color="auto"/>
          <w:lang w:val="es-ES"/>
        </w:rPr>
        <w:t xml:space="preserve">. </w:t>
      </w:r>
      <w:r w:rsidRPr="00E36893">
        <w:rPr>
          <w:rFonts w:asciiTheme="majorHAnsi" w:hAnsiTheme="majorHAnsi"/>
          <w:sz w:val="16"/>
          <w:szCs w:val="16"/>
          <w:bdr w:val="none" w:sz="0" w:space="0" w:color="auto"/>
          <w:lang w:val="es-ES"/>
        </w:rPr>
        <w:t>123.</w:t>
      </w:r>
    </w:p>
  </w:footnote>
  <w:footnote w:id="60">
    <w:p w14:paraId="34C623F9" w14:textId="590781C0" w:rsidR="00873D49" w:rsidRPr="00C303FD" w:rsidRDefault="00873D49" w:rsidP="00C303FD">
      <w:pPr>
        <w:pStyle w:val="FootnoteText"/>
        <w:jc w:val="both"/>
        <w:rPr>
          <w:rFonts w:asciiTheme="majorHAnsi" w:hAnsiTheme="majorHAnsi"/>
          <w:color w:val="auto"/>
          <w:sz w:val="16"/>
          <w:szCs w:val="16"/>
          <w:lang w:val="es-ES"/>
        </w:rPr>
      </w:pPr>
      <w:r w:rsidRPr="004A0895">
        <w:rPr>
          <w:rStyle w:val="FootnoteReference"/>
          <w:rFonts w:asciiTheme="majorHAnsi" w:hAnsiTheme="majorHAnsi"/>
          <w:color w:val="auto"/>
          <w:sz w:val="16"/>
          <w:szCs w:val="16"/>
        </w:rPr>
        <w:footnoteRef/>
      </w:r>
      <w:r w:rsidRPr="00C303FD">
        <w:rPr>
          <w:rFonts w:asciiTheme="majorHAnsi" w:hAnsiTheme="majorHAnsi"/>
          <w:color w:val="auto"/>
          <w:sz w:val="16"/>
          <w:szCs w:val="16"/>
          <w:lang w:val="es-ES"/>
        </w:rPr>
        <w:t xml:space="preserve"> Comité contra la Tortura, Examen</w:t>
      </w:r>
      <w:r>
        <w:rPr>
          <w:rFonts w:asciiTheme="majorHAnsi" w:hAnsiTheme="majorHAnsi"/>
          <w:color w:val="auto"/>
          <w:sz w:val="16"/>
          <w:szCs w:val="16"/>
          <w:lang w:val="es-ES"/>
        </w:rPr>
        <w:t xml:space="preserve"> de los Informes presentados por los </w:t>
      </w:r>
      <w:proofErr w:type="gramStart"/>
      <w:r>
        <w:rPr>
          <w:rFonts w:asciiTheme="majorHAnsi" w:hAnsiTheme="majorHAnsi"/>
          <w:color w:val="auto"/>
          <w:sz w:val="16"/>
          <w:szCs w:val="16"/>
          <w:lang w:val="es-ES"/>
        </w:rPr>
        <w:t>Estados Partes</w:t>
      </w:r>
      <w:proofErr w:type="gramEnd"/>
      <w:r>
        <w:rPr>
          <w:rFonts w:asciiTheme="majorHAnsi" w:hAnsiTheme="majorHAnsi"/>
          <w:color w:val="auto"/>
          <w:sz w:val="16"/>
          <w:szCs w:val="16"/>
          <w:lang w:val="es-ES"/>
        </w:rPr>
        <w:t xml:space="preserve"> en virtud del </w:t>
      </w:r>
      <w:proofErr w:type="spellStart"/>
      <w:r>
        <w:rPr>
          <w:rFonts w:asciiTheme="majorHAnsi" w:hAnsiTheme="majorHAnsi"/>
          <w:color w:val="auto"/>
          <w:sz w:val="16"/>
          <w:szCs w:val="16"/>
          <w:lang w:val="es-ES"/>
        </w:rPr>
        <w:t>Articulo</w:t>
      </w:r>
      <w:proofErr w:type="spellEnd"/>
      <w:r>
        <w:rPr>
          <w:rFonts w:asciiTheme="majorHAnsi" w:hAnsiTheme="majorHAnsi"/>
          <w:color w:val="auto"/>
          <w:sz w:val="16"/>
          <w:szCs w:val="16"/>
          <w:lang w:val="es-ES"/>
        </w:rPr>
        <w:t xml:space="preserve"> 19° de la Convención, Estados Unidos</w:t>
      </w:r>
      <w:r w:rsidRPr="00C303FD">
        <w:rPr>
          <w:rFonts w:asciiTheme="majorHAnsi" w:hAnsiTheme="majorHAnsi"/>
          <w:color w:val="auto"/>
          <w:sz w:val="16"/>
          <w:szCs w:val="16"/>
          <w:lang w:val="es-ES"/>
        </w:rPr>
        <w:t>,</w:t>
      </w:r>
      <w:r>
        <w:rPr>
          <w:rFonts w:asciiTheme="majorHAnsi" w:hAnsiTheme="majorHAnsi"/>
          <w:color w:val="auto"/>
          <w:sz w:val="16"/>
          <w:szCs w:val="16"/>
          <w:lang w:val="es-ES"/>
        </w:rPr>
        <w:t xml:space="preserve"> </w:t>
      </w:r>
      <w:r w:rsidRPr="00C303FD">
        <w:rPr>
          <w:rFonts w:asciiTheme="majorHAnsi" w:hAnsiTheme="majorHAnsi"/>
          <w:color w:val="auto"/>
          <w:sz w:val="16"/>
          <w:szCs w:val="16"/>
          <w:lang w:val="es-ES"/>
        </w:rPr>
        <w:t xml:space="preserve">CAT/C/USA/CO/2, </w:t>
      </w:r>
      <w:r>
        <w:rPr>
          <w:rFonts w:asciiTheme="majorHAnsi" w:hAnsiTheme="majorHAnsi"/>
          <w:color w:val="auto"/>
          <w:sz w:val="16"/>
          <w:szCs w:val="16"/>
          <w:lang w:val="es-ES"/>
        </w:rPr>
        <w:t>25 de julio de 2006</w:t>
      </w:r>
      <w:r w:rsidRPr="00C303FD">
        <w:rPr>
          <w:rFonts w:asciiTheme="majorHAnsi" w:hAnsiTheme="majorHAnsi"/>
          <w:color w:val="auto"/>
          <w:sz w:val="16"/>
          <w:szCs w:val="16"/>
          <w:lang w:val="es-ES"/>
        </w:rPr>
        <w:t>, pár</w:t>
      </w:r>
      <w:r>
        <w:rPr>
          <w:rFonts w:asciiTheme="majorHAnsi" w:hAnsiTheme="majorHAnsi"/>
          <w:color w:val="auto"/>
          <w:sz w:val="16"/>
          <w:szCs w:val="16"/>
          <w:lang w:val="es-ES"/>
        </w:rPr>
        <w:t>r.</w:t>
      </w:r>
      <w:r w:rsidRPr="00C303FD">
        <w:rPr>
          <w:rFonts w:asciiTheme="majorHAnsi" w:hAnsiTheme="majorHAnsi"/>
          <w:color w:val="auto"/>
          <w:sz w:val="16"/>
          <w:szCs w:val="16"/>
          <w:lang w:val="es-ES"/>
        </w:rPr>
        <w:t xml:space="preserve"> 31</w:t>
      </w:r>
      <w:r w:rsidR="00C34A87">
        <w:rPr>
          <w:rFonts w:asciiTheme="majorHAnsi" w:hAnsiTheme="majorHAnsi"/>
          <w:color w:val="auto"/>
          <w:sz w:val="16"/>
          <w:szCs w:val="16"/>
          <w:lang w:val="es-ES"/>
        </w:rPr>
        <w:t>.</w:t>
      </w:r>
    </w:p>
  </w:footnote>
  <w:footnote w:id="61">
    <w:p w14:paraId="305ED742" w14:textId="77777777" w:rsidR="00873D49" w:rsidRPr="006E3733" w:rsidRDefault="00873D49" w:rsidP="004A0895">
      <w:pPr>
        <w:pStyle w:val="Body"/>
        <w:jc w:val="both"/>
        <w:rPr>
          <w:rFonts w:asciiTheme="majorHAnsi" w:hAnsiTheme="majorHAnsi"/>
          <w:color w:val="auto"/>
          <w:sz w:val="16"/>
          <w:szCs w:val="16"/>
          <w:lang w:val="es-US"/>
        </w:rPr>
      </w:pPr>
      <w:r w:rsidRPr="004A0895">
        <w:rPr>
          <w:rStyle w:val="FootnoteReference"/>
          <w:rFonts w:asciiTheme="majorHAnsi" w:hAnsiTheme="majorHAnsi"/>
          <w:color w:val="auto"/>
          <w:sz w:val="16"/>
          <w:szCs w:val="16"/>
        </w:rPr>
        <w:footnoteRef/>
      </w:r>
      <w:r w:rsidRPr="00537BF9">
        <w:rPr>
          <w:rStyle w:val="FootnoteReference"/>
          <w:rFonts w:asciiTheme="majorHAnsi" w:hAnsiTheme="majorHAnsi"/>
          <w:color w:val="auto"/>
          <w:sz w:val="16"/>
          <w:szCs w:val="16"/>
          <w:lang w:val="es-ES"/>
        </w:rPr>
        <w:t xml:space="preserve"> </w:t>
      </w:r>
      <w:r w:rsidRPr="00537BF9">
        <w:rPr>
          <w:rFonts w:asciiTheme="majorHAnsi" w:hAnsiTheme="majorHAnsi"/>
          <w:color w:val="auto"/>
          <w:sz w:val="16"/>
          <w:szCs w:val="16"/>
          <w:lang w:val="es-ES"/>
        </w:rPr>
        <w:t>El Artículo XXIV de la Declaración Americana establece: Toda persona tiene derecho de presentar peticiones respetuosas a cualquiera autoridad competente, ya sea por motivo de interés general, ya de interés particular, y el de obtener pronta resolución.”</w:t>
      </w:r>
    </w:p>
  </w:footnote>
  <w:footnote w:id="62">
    <w:p w14:paraId="4174C39C" w14:textId="1FA0248C" w:rsidR="00873D49" w:rsidRPr="00E36893" w:rsidRDefault="00873D49" w:rsidP="004A0895">
      <w:pPr>
        <w:pStyle w:val="FootnoteText"/>
        <w:jc w:val="both"/>
        <w:rPr>
          <w:rFonts w:asciiTheme="majorHAnsi" w:hAnsiTheme="majorHAnsi"/>
          <w:color w:val="auto"/>
          <w:sz w:val="16"/>
          <w:szCs w:val="16"/>
          <w:lang w:val="es-ES"/>
        </w:rPr>
      </w:pPr>
      <w:r w:rsidRPr="004A0895">
        <w:rPr>
          <w:rStyle w:val="FootnoteReference"/>
          <w:rFonts w:asciiTheme="majorHAnsi" w:hAnsiTheme="majorHAnsi"/>
          <w:color w:val="auto"/>
          <w:sz w:val="16"/>
          <w:szCs w:val="16"/>
        </w:rPr>
        <w:footnoteRef/>
      </w:r>
      <w:r w:rsidRPr="00537BF9">
        <w:rPr>
          <w:rFonts w:asciiTheme="majorHAnsi" w:hAnsiTheme="majorHAnsi"/>
          <w:color w:val="auto"/>
          <w:sz w:val="16"/>
          <w:szCs w:val="16"/>
          <w:lang w:val="es-ES"/>
        </w:rPr>
        <w:t xml:space="preserve"> </w:t>
      </w:r>
      <w:r w:rsidRPr="00537BF9">
        <w:rPr>
          <w:rFonts w:asciiTheme="majorHAnsi" w:eastAsia="Times New Roman" w:hAnsiTheme="majorHAnsi" w:cs="Times New Roman"/>
          <w:color w:val="auto"/>
          <w:sz w:val="16"/>
          <w:szCs w:val="16"/>
          <w:lang w:val="es-ES"/>
        </w:rPr>
        <w:t xml:space="preserve">Caso 12.243, Informe 52/01, Juan Raúl Garza c. </w:t>
      </w:r>
      <w:r>
        <w:rPr>
          <w:rFonts w:asciiTheme="majorHAnsi" w:eastAsia="Times New Roman" w:hAnsiTheme="majorHAnsi" w:cs="Times New Roman"/>
          <w:color w:val="auto"/>
          <w:sz w:val="16"/>
          <w:szCs w:val="16"/>
          <w:lang w:val="es-ES"/>
        </w:rPr>
        <w:t>Estados Unidos</w:t>
      </w:r>
      <w:r w:rsidRPr="00537BF9">
        <w:rPr>
          <w:rFonts w:asciiTheme="majorHAnsi" w:eastAsia="Times New Roman" w:hAnsiTheme="majorHAnsi" w:cs="Times New Roman"/>
          <w:color w:val="auto"/>
          <w:sz w:val="16"/>
          <w:szCs w:val="16"/>
          <w:lang w:val="es-ES"/>
        </w:rPr>
        <w:t xml:space="preserve">, Informe Anual 2000 de la CIDH, </w:t>
      </w:r>
      <w:r w:rsidR="00C34A87" w:rsidRPr="00537BF9">
        <w:rPr>
          <w:rFonts w:asciiTheme="majorHAnsi" w:eastAsia="Times New Roman" w:hAnsiTheme="majorHAnsi" w:cs="Times New Roman"/>
          <w:color w:val="auto"/>
          <w:sz w:val="16"/>
          <w:szCs w:val="16"/>
          <w:lang w:val="es-ES"/>
        </w:rPr>
        <w:t>párr.</w:t>
      </w:r>
      <w:r w:rsidRPr="00537BF9">
        <w:rPr>
          <w:rFonts w:asciiTheme="majorHAnsi" w:eastAsia="Times New Roman" w:hAnsiTheme="majorHAnsi" w:cs="Times New Roman"/>
          <w:color w:val="auto"/>
          <w:sz w:val="16"/>
          <w:szCs w:val="16"/>
          <w:lang w:val="es-ES"/>
        </w:rPr>
        <w:t xml:space="preserve"> 117. Véase en un sentido similar:</w:t>
      </w:r>
      <w:r w:rsidRPr="00537BF9">
        <w:rPr>
          <w:rFonts w:asciiTheme="majorHAnsi" w:eastAsia="Times New Roman" w:hAnsiTheme="majorHAnsi" w:cs="Times New Roman"/>
          <w:i/>
          <w:iCs/>
          <w:color w:val="auto"/>
          <w:sz w:val="16"/>
          <w:szCs w:val="16"/>
          <w:lang w:val="es-ES"/>
        </w:rPr>
        <w:t xml:space="preserve"> </w:t>
      </w:r>
      <w:r w:rsidRPr="00537BF9">
        <w:rPr>
          <w:rFonts w:asciiTheme="majorHAnsi" w:eastAsia="Times New Roman" w:hAnsiTheme="majorHAnsi" w:cs="Times New Roman"/>
          <w:color w:val="auto"/>
          <w:sz w:val="16"/>
          <w:szCs w:val="16"/>
          <w:lang w:val="es-ES"/>
        </w:rPr>
        <w:t xml:space="preserve">CIDH, Quinto Informe sobre la Situación de los Derechos Humanos en Guatemala, Doc. </w:t>
      </w:r>
      <w:r w:rsidRPr="00E36893">
        <w:rPr>
          <w:rFonts w:asciiTheme="majorHAnsi" w:eastAsia="Times New Roman" w:hAnsiTheme="majorHAnsi" w:cs="Times New Roman"/>
          <w:color w:val="auto"/>
          <w:sz w:val="16"/>
          <w:szCs w:val="16"/>
          <w:lang w:val="es-ES"/>
        </w:rPr>
        <w:t>OEA/</w:t>
      </w:r>
      <w:proofErr w:type="spellStart"/>
      <w:r w:rsidRPr="00E36893">
        <w:rPr>
          <w:rFonts w:asciiTheme="majorHAnsi" w:eastAsia="Times New Roman" w:hAnsiTheme="majorHAnsi" w:cs="Times New Roman"/>
          <w:color w:val="auto"/>
          <w:sz w:val="16"/>
          <w:szCs w:val="16"/>
          <w:lang w:val="es-ES"/>
        </w:rPr>
        <w:t>Ser.L</w:t>
      </w:r>
      <w:proofErr w:type="spellEnd"/>
      <w:r w:rsidRPr="00E36893">
        <w:rPr>
          <w:rFonts w:asciiTheme="majorHAnsi" w:eastAsia="Times New Roman" w:hAnsiTheme="majorHAnsi" w:cs="Times New Roman"/>
          <w:color w:val="auto"/>
          <w:sz w:val="16"/>
          <w:szCs w:val="16"/>
          <w:lang w:val="es-ES"/>
        </w:rPr>
        <w:t>/V/II.111 doc.</w:t>
      </w:r>
      <w:r>
        <w:rPr>
          <w:rFonts w:asciiTheme="majorHAnsi" w:eastAsia="Times New Roman" w:hAnsiTheme="majorHAnsi" w:cs="Times New Roman"/>
          <w:color w:val="auto"/>
          <w:sz w:val="16"/>
          <w:szCs w:val="16"/>
          <w:lang w:val="es-ES"/>
        </w:rPr>
        <w:t xml:space="preserve"> </w:t>
      </w:r>
      <w:r w:rsidRPr="00E36893">
        <w:rPr>
          <w:rFonts w:asciiTheme="majorHAnsi" w:eastAsia="Times New Roman" w:hAnsiTheme="majorHAnsi" w:cs="Times New Roman"/>
          <w:color w:val="auto"/>
          <w:sz w:val="16"/>
          <w:szCs w:val="16"/>
          <w:lang w:val="es-ES"/>
        </w:rPr>
        <w:t xml:space="preserve">21 </w:t>
      </w:r>
      <w:proofErr w:type="spellStart"/>
      <w:r w:rsidRPr="00E36893">
        <w:rPr>
          <w:rFonts w:asciiTheme="majorHAnsi" w:eastAsia="Times New Roman" w:hAnsiTheme="majorHAnsi" w:cs="Times New Roman"/>
          <w:color w:val="auto"/>
          <w:sz w:val="16"/>
          <w:szCs w:val="16"/>
          <w:lang w:val="es-ES"/>
        </w:rPr>
        <w:t>rev.</w:t>
      </w:r>
      <w:proofErr w:type="spellEnd"/>
      <w:r w:rsidRPr="00E36893">
        <w:rPr>
          <w:rFonts w:asciiTheme="majorHAnsi" w:eastAsia="Times New Roman" w:hAnsiTheme="majorHAnsi" w:cs="Times New Roman"/>
          <w:color w:val="auto"/>
          <w:sz w:val="16"/>
          <w:szCs w:val="16"/>
          <w:lang w:val="es-ES"/>
        </w:rPr>
        <w:t xml:space="preserve"> (6 de abril de 2001), </w:t>
      </w:r>
      <w:proofErr w:type="spellStart"/>
      <w:r w:rsidRPr="00E36893">
        <w:rPr>
          <w:rFonts w:asciiTheme="majorHAnsi" w:eastAsia="Times New Roman" w:hAnsiTheme="majorHAnsi" w:cs="Times New Roman"/>
          <w:color w:val="auto"/>
          <w:sz w:val="16"/>
          <w:szCs w:val="16"/>
          <w:lang w:val="es-ES"/>
        </w:rPr>
        <w:t>p</w:t>
      </w:r>
      <w:r w:rsidR="00C34A87">
        <w:rPr>
          <w:rFonts w:asciiTheme="majorHAnsi" w:eastAsia="Times New Roman" w:hAnsiTheme="majorHAnsi" w:cs="Times New Roman"/>
          <w:color w:val="auto"/>
          <w:sz w:val="16"/>
          <w:szCs w:val="16"/>
          <w:lang w:val="es-ES"/>
        </w:rPr>
        <w:t>á</w:t>
      </w:r>
      <w:r w:rsidRPr="00E36893">
        <w:rPr>
          <w:rFonts w:asciiTheme="majorHAnsi" w:eastAsia="Times New Roman" w:hAnsiTheme="majorHAnsi" w:cs="Times New Roman"/>
          <w:color w:val="auto"/>
          <w:sz w:val="16"/>
          <w:szCs w:val="16"/>
          <w:lang w:val="es-ES"/>
        </w:rPr>
        <w:t>rrs</w:t>
      </w:r>
      <w:proofErr w:type="spellEnd"/>
      <w:r w:rsidRPr="00E36893">
        <w:rPr>
          <w:rFonts w:asciiTheme="majorHAnsi" w:eastAsia="Times New Roman" w:hAnsiTheme="majorHAnsi" w:cs="Times New Roman"/>
          <w:color w:val="auto"/>
          <w:sz w:val="16"/>
          <w:szCs w:val="16"/>
          <w:lang w:val="es-ES"/>
        </w:rPr>
        <w:t>. 71, 72.</w:t>
      </w:r>
    </w:p>
  </w:footnote>
  <w:footnote w:id="63">
    <w:p w14:paraId="37812033" w14:textId="4144B8EA" w:rsidR="00873D49" w:rsidRPr="00E36893" w:rsidRDefault="00873D49" w:rsidP="005B2F88">
      <w:pPr>
        <w:pStyle w:val="FootnoteText"/>
        <w:jc w:val="both"/>
        <w:rPr>
          <w:rFonts w:asciiTheme="majorHAnsi" w:hAnsiTheme="majorHAnsi"/>
          <w:color w:val="auto"/>
          <w:sz w:val="16"/>
          <w:szCs w:val="16"/>
          <w:lang w:val="es-ES"/>
        </w:rPr>
      </w:pPr>
      <w:r w:rsidRPr="004A0895">
        <w:rPr>
          <w:rStyle w:val="FootnoteReference"/>
          <w:rFonts w:asciiTheme="majorHAnsi" w:hAnsiTheme="majorHAnsi"/>
          <w:color w:val="auto"/>
          <w:sz w:val="16"/>
          <w:szCs w:val="16"/>
        </w:rPr>
        <w:footnoteRef/>
      </w:r>
      <w:r w:rsidRPr="00537BF9">
        <w:rPr>
          <w:rFonts w:asciiTheme="majorHAnsi" w:hAnsiTheme="majorHAnsi"/>
          <w:color w:val="auto"/>
          <w:sz w:val="16"/>
          <w:szCs w:val="16"/>
          <w:lang w:val="es-ES"/>
        </w:rPr>
        <w:t xml:space="preserve"> </w:t>
      </w:r>
      <w:r w:rsidRPr="00537BF9">
        <w:rPr>
          <w:rFonts w:asciiTheme="majorHAnsi" w:eastAsia="Times New Roman" w:hAnsiTheme="majorHAnsi" w:cs="Times New Roman"/>
          <w:color w:val="auto"/>
          <w:sz w:val="16"/>
          <w:szCs w:val="16"/>
          <w:lang w:val="es-ES"/>
        </w:rPr>
        <w:t xml:space="preserve">Caso 12.243, Informe 52/01, Juan </w:t>
      </w:r>
      <w:r w:rsidR="00C34A87" w:rsidRPr="00537BF9">
        <w:rPr>
          <w:rFonts w:asciiTheme="majorHAnsi" w:eastAsia="Times New Roman" w:hAnsiTheme="majorHAnsi" w:cs="Times New Roman"/>
          <w:color w:val="auto"/>
          <w:sz w:val="16"/>
          <w:szCs w:val="16"/>
          <w:lang w:val="es-ES"/>
        </w:rPr>
        <w:t>Raúl</w:t>
      </w:r>
      <w:r w:rsidRPr="00537BF9">
        <w:rPr>
          <w:rFonts w:asciiTheme="majorHAnsi" w:eastAsia="Times New Roman" w:hAnsiTheme="majorHAnsi" w:cs="Times New Roman"/>
          <w:color w:val="auto"/>
          <w:sz w:val="16"/>
          <w:szCs w:val="16"/>
          <w:lang w:val="es-ES"/>
        </w:rPr>
        <w:t xml:space="preserve"> Garza c. </w:t>
      </w:r>
      <w:proofErr w:type="spellStart"/>
      <w:r>
        <w:rPr>
          <w:rFonts w:asciiTheme="majorHAnsi" w:eastAsia="Times New Roman" w:hAnsiTheme="majorHAnsi" w:cs="Times New Roman"/>
          <w:color w:val="auto"/>
          <w:sz w:val="16"/>
          <w:szCs w:val="16"/>
          <w:lang w:val="es-ES"/>
        </w:rPr>
        <w:t>Estadis</w:t>
      </w:r>
      <w:proofErr w:type="spellEnd"/>
      <w:r>
        <w:rPr>
          <w:rFonts w:asciiTheme="majorHAnsi" w:eastAsia="Times New Roman" w:hAnsiTheme="majorHAnsi" w:cs="Times New Roman"/>
          <w:color w:val="auto"/>
          <w:sz w:val="16"/>
          <w:szCs w:val="16"/>
          <w:lang w:val="es-ES"/>
        </w:rPr>
        <w:t xml:space="preserve"> Unidos</w:t>
      </w:r>
      <w:r w:rsidRPr="00537BF9">
        <w:rPr>
          <w:rFonts w:asciiTheme="majorHAnsi" w:eastAsia="Times New Roman" w:hAnsiTheme="majorHAnsi" w:cs="Times New Roman"/>
          <w:color w:val="auto"/>
          <w:sz w:val="16"/>
          <w:szCs w:val="16"/>
          <w:lang w:val="es-ES"/>
        </w:rPr>
        <w:t>, Informe Anual 2000 de la CIDH, p</w:t>
      </w:r>
      <w:r>
        <w:rPr>
          <w:rFonts w:asciiTheme="majorHAnsi" w:eastAsia="Times New Roman" w:hAnsiTheme="majorHAnsi" w:cs="Times New Roman"/>
          <w:color w:val="auto"/>
          <w:sz w:val="16"/>
          <w:szCs w:val="16"/>
          <w:lang w:val="es-ES"/>
        </w:rPr>
        <w:t>á</w:t>
      </w:r>
      <w:r w:rsidRPr="00537BF9">
        <w:rPr>
          <w:rFonts w:asciiTheme="majorHAnsi" w:eastAsia="Times New Roman" w:hAnsiTheme="majorHAnsi" w:cs="Times New Roman"/>
          <w:color w:val="auto"/>
          <w:sz w:val="16"/>
          <w:szCs w:val="16"/>
          <w:lang w:val="es-ES"/>
        </w:rPr>
        <w:t>rr. 117. Véase en un sentido similar:</w:t>
      </w:r>
      <w:r w:rsidRPr="00537BF9">
        <w:rPr>
          <w:rFonts w:asciiTheme="majorHAnsi" w:eastAsia="Times New Roman" w:hAnsiTheme="majorHAnsi" w:cs="Times New Roman"/>
          <w:i/>
          <w:iCs/>
          <w:color w:val="auto"/>
          <w:sz w:val="16"/>
          <w:szCs w:val="16"/>
          <w:lang w:val="es-ES"/>
        </w:rPr>
        <w:t xml:space="preserve"> </w:t>
      </w:r>
      <w:r w:rsidRPr="00537BF9">
        <w:rPr>
          <w:rFonts w:asciiTheme="majorHAnsi" w:eastAsia="Times New Roman" w:hAnsiTheme="majorHAnsi" w:cs="Times New Roman"/>
          <w:color w:val="auto"/>
          <w:sz w:val="16"/>
          <w:szCs w:val="16"/>
          <w:lang w:val="es-ES"/>
        </w:rPr>
        <w:t>CIDH, Quinto Informe sobre la Situación de los Derechos Humanos en Guatemala, Doc. OEA/</w:t>
      </w:r>
      <w:proofErr w:type="spellStart"/>
      <w:r w:rsidRPr="00537BF9">
        <w:rPr>
          <w:rFonts w:asciiTheme="majorHAnsi" w:eastAsia="Times New Roman" w:hAnsiTheme="majorHAnsi" w:cs="Times New Roman"/>
          <w:color w:val="auto"/>
          <w:sz w:val="16"/>
          <w:szCs w:val="16"/>
          <w:lang w:val="es-ES"/>
        </w:rPr>
        <w:t>Ser.L</w:t>
      </w:r>
      <w:proofErr w:type="spellEnd"/>
      <w:r w:rsidRPr="00537BF9">
        <w:rPr>
          <w:rFonts w:asciiTheme="majorHAnsi" w:eastAsia="Times New Roman" w:hAnsiTheme="majorHAnsi" w:cs="Times New Roman"/>
          <w:color w:val="auto"/>
          <w:sz w:val="16"/>
          <w:szCs w:val="16"/>
          <w:lang w:val="es-ES"/>
        </w:rPr>
        <w:t xml:space="preserve">/V/II.111 doc.21 </w:t>
      </w:r>
      <w:proofErr w:type="spellStart"/>
      <w:r w:rsidRPr="00537BF9">
        <w:rPr>
          <w:rFonts w:asciiTheme="majorHAnsi" w:eastAsia="Times New Roman" w:hAnsiTheme="majorHAnsi" w:cs="Times New Roman"/>
          <w:color w:val="auto"/>
          <w:sz w:val="16"/>
          <w:szCs w:val="16"/>
          <w:lang w:val="es-ES"/>
        </w:rPr>
        <w:t>rev.</w:t>
      </w:r>
      <w:proofErr w:type="spellEnd"/>
      <w:r w:rsidRPr="00537BF9">
        <w:rPr>
          <w:rFonts w:asciiTheme="majorHAnsi" w:eastAsia="Times New Roman" w:hAnsiTheme="majorHAnsi" w:cs="Times New Roman"/>
          <w:color w:val="auto"/>
          <w:sz w:val="16"/>
          <w:szCs w:val="16"/>
          <w:lang w:val="es-ES"/>
        </w:rPr>
        <w:t xml:space="preserve"> (6 de abril de 2001), </w:t>
      </w:r>
      <w:proofErr w:type="spellStart"/>
      <w:r w:rsidRPr="00537BF9">
        <w:rPr>
          <w:rFonts w:asciiTheme="majorHAnsi" w:eastAsia="Times New Roman" w:hAnsiTheme="majorHAnsi" w:cs="Times New Roman"/>
          <w:color w:val="auto"/>
          <w:sz w:val="16"/>
          <w:szCs w:val="16"/>
          <w:lang w:val="es-ES"/>
        </w:rPr>
        <w:t>p</w:t>
      </w:r>
      <w:r w:rsidR="00C34A87">
        <w:rPr>
          <w:rFonts w:asciiTheme="majorHAnsi" w:eastAsia="Times New Roman" w:hAnsiTheme="majorHAnsi" w:cs="Times New Roman"/>
          <w:color w:val="auto"/>
          <w:sz w:val="16"/>
          <w:szCs w:val="16"/>
          <w:lang w:val="es-ES"/>
        </w:rPr>
        <w:t>á</w:t>
      </w:r>
      <w:r w:rsidRPr="00537BF9">
        <w:rPr>
          <w:rFonts w:asciiTheme="majorHAnsi" w:eastAsia="Times New Roman" w:hAnsiTheme="majorHAnsi" w:cs="Times New Roman"/>
          <w:color w:val="auto"/>
          <w:sz w:val="16"/>
          <w:szCs w:val="16"/>
          <w:lang w:val="es-ES"/>
        </w:rPr>
        <w:t>rrs</w:t>
      </w:r>
      <w:proofErr w:type="spellEnd"/>
      <w:r w:rsidRPr="00537BF9">
        <w:rPr>
          <w:rFonts w:asciiTheme="majorHAnsi" w:eastAsia="Times New Roman" w:hAnsiTheme="majorHAnsi" w:cs="Times New Roman"/>
          <w:color w:val="auto"/>
          <w:sz w:val="16"/>
          <w:szCs w:val="16"/>
          <w:lang w:val="es-ES"/>
        </w:rPr>
        <w:t xml:space="preserve">. </w:t>
      </w:r>
      <w:r w:rsidRPr="00E36893">
        <w:rPr>
          <w:rFonts w:asciiTheme="majorHAnsi" w:eastAsia="Times New Roman" w:hAnsiTheme="majorHAnsi" w:cs="Times New Roman"/>
          <w:color w:val="auto"/>
          <w:sz w:val="16"/>
          <w:szCs w:val="16"/>
          <w:lang w:val="es-ES"/>
        </w:rPr>
        <w:t>71, 72.</w:t>
      </w:r>
    </w:p>
  </w:footnote>
  <w:footnote w:id="64">
    <w:p w14:paraId="6FBD06E9" w14:textId="5AC1D4A4" w:rsidR="00873D49" w:rsidRPr="00E36893" w:rsidRDefault="00873D49" w:rsidP="00537BF9">
      <w:pPr>
        <w:pStyle w:val="FootnoteText"/>
        <w:jc w:val="both"/>
        <w:rPr>
          <w:rFonts w:asciiTheme="majorHAnsi" w:hAnsiTheme="majorHAnsi"/>
          <w:color w:val="auto"/>
          <w:sz w:val="16"/>
          <w:szCs w:val="16"/>
          <w:lang w:val="es-ES"/>
        </w:rPr>
      </w:pPr>
      <w:r w:rsidRPr="004A0895">
        <w:rPr>
          <w:rStyle w:val="FootnoteReference"/>
          <w:rFonts w:asciiTheme="majorHAnsi" w:hAnsiTheme="majorHAnsi"/>
          <w:color w:val="auto"/>
          <w:sz w:val="16"/>
          <w:szCs w:val="16"/>
        </w:rPr>
        <w:footnoteRef/>
      </w:r>
      <w:r w:rsidRPr="00537BF9">
        <w:rPr>
          <w:rFonts w:asciiTheme="majorHAnsi" w:hAnsiTheme="majorHAnsi"/>
          <w:color w:val="auto"/>
          <w:sz w:val="16"/>
          <w:szCs w:val="16"/>
          <w:lang w:val="es-ES"/>
        </w:rPr>
        <w:t xml:space="preserve"> </w:t>
      </w:r>
      <w:r w:rsidRPr="00537BF9">
        <w:rPr>
          <w:rFonts w:asciiTheme="majorHAnsi" w:eastAsia="Times New Roman" w:hAnsiTheme="majorHAnsi" w:cs="Times New Roman"/>
          <w:color w:val="auto"/>
          <w:sz w:val="16"/>
          <w:szCs w:val="16"/>
          <w:lang w:val="es-ES"/>
        </w:rPr>
        <w:t xml:space="preserve">Caso 12.243, Informe 52/01, Juan </w:t>
      </w:r>
      <w:r w:rsidR="00C34A87" w:rsidRPr="00537BF9">
        <w:rPr>
          <w:rFonts w:asciiTheme="majorHAnsi" w:eastAsia="Times New Roman" w:hAnsiTheme="majorHAnsi" w:cs="Times New Roman"/>
          <w:color w:val="auto"/>
          <w:sz w:val="16"/>
          <w:szCs w:val="16"/>
          <w:lang w:val="es-ES"/>
        </w:rPr>
        <w:t>Raúl</w:t>
      </w:r>
      <w:r w:rsidRPr="00537BF9">
        <w:rPr>
          <w:rFonts w:asciiTheme="majorHAnsi" w:eastAsia="Times New Roman" w:hAnsiTheme="majorHAnsi" w:cs="Times New Roman"/>
          <w:color w:val="auto"/>
          <w:sz w:val="16"/>
          <w:szCs w:val="16"/>
          <w:lang w:val="es-ES"/>
        </w:rPr>
        <w:t xml:space="preserve"> Garza c. </w:t>
      </w:r>
      <w:r>
        <w:rPr>
          <w:rFonts w:asciiTheme="majorHAnsi" w:eastAsia="Times New Roman" w:hAnsiTheme="majorHAnsi" w:cs="Times New Roman"/>
          <w:color w:val="auto"/>
          <w:sz w:val="16"/>
          <w:szCs w:val="16"/>
          <w:lang w:val="es-ES"/>
        </w:rPr>
        <w:t>Estados Unidos</w:t>
      </w:r>
      <w:r w:rsidRPr="00537BF9">
        <w:rPr>
          <w:rFonts w:asciiTheme="majorHAnsi" w:eastAsia="Times New Roman" w:hAnsiTheme="majorHAnsi" w:cs="Times New Roman"/>
          <w:color w:val="auto"/>
          <w:sz w:val="16"/>
          <w:szCs w:val="16"/>
          <w:lang w:val="es-ES"/>
        </w:rPr>
        <w:t>, Informe Anual 2000 de la CIDH, p</w:t>
      </w:r>
      <w:r>
        <w:rPr>
          <w:rFonts w:asciiTheme="majorHAnsi" w:eastAsia="Times New Roman" w:hAnsiTheme="majorHAnsi" w:cs="Times New Roman"/>
          <w:color w:val="auto"/>
          <w:sz w:val="16"/>
          <w:szCs w:val="16"/>
          <w:lang w:val="es-ES"/>
        </w:rPr>
        <w:t>á</w:t>
      </w:r>
      <w:r w:rsidRPr="00537BF9">
        <w:rPr>
          <w:rFonts w:asciiTheme="majorHAnsi" w:eastAsia="Times New Roman" w:hAnsiTheme="majorHAnsi" w:cs="Times New Roman"/>
          <w:color w:val="auto"/>
          <w:sz w:val="16"/>
          <w:szCs w:val="16"/>
          <w:lang w:val="es-ES"/>
        </w:rPr>
        <w:t>rr. 117. Véase en un sentido similar:</w:t>
      </w:r>
      <w:r w:rsidRPr="00537BF9">
        <w:rPr>
          <w:rFonts w:asciiTheme="majorHAnsi" w:eastAsia="Times New Roman" w:hAnsiTheme="majorHAnsi" w:cs="Times New Roman"/>
          <w:i/>
          <w:iCs/>
          <w:color w:val="auto"/>
          <w:sz w:val="16"/>
          <w:szCs w:val="16"/>
          <w:lang w:val="es-ES"/>
        </w:rPr>
        <w:t xml:space="preserve"> </w:t>
      </w:r>
      <w:r w:rsidRPr="00537BF9">
        <w:rPr>
          <w:rFonts w:asciiTheme="majorHAnsi" w:eastAsia="Times New Roman" w:hAnsiTheme="majorHAnsi" w:cs="Times New Roman"/>
          <w:color w:val="auto"/>
          <w:sz w:val="16"/>
          <w:szCs w:val="16"/>
          <w:lang w:val="es-ES"/>
        </w:rPr>
        <w:t>CIDH, Quinto Informe sobre la Situación de los Derechos Humanos en Guatemala, Doc. OEA/</w:t>
      </w:r>
      <w:proofErr w:type="spellStart"/>
      <w:r w:rsidRPr="00537BF9">
        <w:rPr>
          <w:rFonts w:asciiTheme="majorHAnsi" w:eastAsia="Times New Roman" w:hAnsiTheme="majorHAnsi" w:cs="Times New Roman"/>
          <w:color w:val="auto"/>
          <w:sz w:val="16"/>
          <w:szCs w:val="16"/>
          <w:lang w:val="es-ES"/>
        </w:rPr>
        <w:t>Ser.L</w:t>
      </w:r>
      <w:proofErr w:type="spellEnd"/>
      <w:r w:rsidRPr="00537BF9">
        <w:rPr>
          <w:rFonts w:asciiTheme="majorHAnsi" w:eastAsia="Times New Roman" w:hAnsiTheme="majorHAnsi" w:cs="Times New Roman"/>
          <w:color w:val="auto"/>
          <w:sz w:val="16"/>
          <w:szCs w:val="16"/>
          <w:lang w:val="es-ES"/>
        </w:rPr>
        <w:t xml:space="preserve">/V/II.111 doc.21 </w:t>
      </w:r>
      <w:proofErr w:type="spellStart"/>
      <w:r w:rsidRPr="00537BF9">
        <w:rPr>
          <w:rFonts w:asciiTheme="majorHAnsi" w:eastAsia="Times New Roman" w:hAnsiTheme="majorHAnsi" w:cs="Times New Roman"/>
          <w:color w:val="auto"/>
          <w:sz w:val="16"/>
          <w:szCs w:val="16"/>
          <w:lang w:val="es-ES"/>
        </w:rPr>
        <w:t>rev.</w:t>
      </w:r>
      <w:proofErr w:type="spellEnd"/>
      <w:r w:rsidRPr="00537BF9">
        <w:rPr>
          <w:rFonts w:asciiTheme="majorHAnsi" w:eastAsia="Times New Roman" w:hAnsiTheme="majorHAnsi" w:cs="Times New Roman"/>
          <w:color w:val="auto"/>
          <w:sz w:val="16"/>
          <w:szCs w:val="16"/>
          <w:lang w:val="es-ES"/>
        </w:rPr>
        <w:t xml:space="preserve"> (6 de abril de 2001), </w:t>
      </w:r>
      <w:proofErr w:type="spellStart"/>
      <w:r w:rsidRPr="00537BF9">
        <w:rPr>
          <w:rFonts w:asciiTheme="majorHAnsi" w:eastAsia="Times New Roman" w:hAnsiTheme="majorHAnsi" w:cs="Times New Roman"/>
          <w:color w:val="auto"/>
          <w:sz w:val="16"/>
          <w:szCs w:val="16"/>
          <w:lang w:val="es-ES"/>
        </w:rPr>
        <w:t>p</w:t>
      </w:r>
      <w:r w:rsidR="00C34A87">
        <w:rPr>
          <w:rFonts w:asciiTheme="majorHAnsi" w:eastAsia="Times New Roman" w:hAnsiTheme="majorHAnsi" w:cs="Times New Roman"/>
          <w:color w:val="auto"/>
          <w:sz w:val="16"/>
          <w:szCs w:val="16"/>
          <w:lang w:val="es-ES"/>
        </w:rPr>
        <w:t>á</w:t>
      </w:r>
      <w:r w:rsidRPr="00537BF9">
        <w:rPr>
          <w:rFonts w:asciiTheme="majorHAnsi" w:eastAsia="Times New Roman" w:hAnsiTheme="majorHAnsi" w:cs="Times New Roman"/>
          <w:color w:val="auto"/>
          <w:sz w:val="16"/>
          <w:szCs w:val="16"/>
          <w:lang w:val="es-ES"/>
        </w:rPr>
        <w:t>rrs</w:t>
      </w:r>
      <w:proofErr w:type="spellEnd"/>
      <w:r w:rsidRPr="00537BF9">
        <w:rPr>
          <w:rFonts w:asciiTheme="majorHAnsi" w:eastAsia="Times New Roman" w:hAnsiTheme="majorHAnsi" w:cs="Times New Roman"/>
          <w:color w:val="auto"/>
          <w:sz w:val="16"/>
          <w:szCs w:val="16"/>
          <w:lang w:val="es-ES"/>
        </w:rPr>
        <w:t>. 71, 72</w:t>
      </w:r>
      <w:r w:rsidRPr="00537BF9">
        <w:rPr>
          <w:rFonts w:asciiTheme="majorHAnsi" w:eastAsia="Times New Roman" w:hAnsiTheme="majorHAnsi"/>
          <w:color w:val="auto"/>
          <w:sz w:val="16"/>
          <w:szCs w:val="16"/>
          <w:lang w:val="es-ES"/>
        </w:rPr>
        <w:t>., citando Corte Internacional de Justicia, Caso Relativo a la C</w:t>
      </w:r>
      <w:r>
        <w:rPr>
          <w:rFonts w:asciiTheme="majorHAnsi" w:eastAsia="Times New Roman" w:hAnsiTheme="majorHAnsi"/>
          <w:color w:val="auto"/>
          <w:sz w:val="16"/>
          <w:szCs w:val="16"/>
          <w:lang w:val="es-ES"/>
        </w:rPr>
        <w:t>onvención de Viena sobre Relaciones Consulares (Alemania c. Estados Unidos de América), Solicitud de Indicación de Medidas Provisionales, Orden del 3 de marzo de 1999</w:t>
      </w:r>
      <w:r w:rsidRPr="00537BF9">
        <w:rPr>
          <w:rFonts w:asciiTheme="majorHAnsi" w:eastAsia="Times New Roman" w:hAnsiTheme="majorHAnsi"/>
          <w:color w:val="auto"/>
          <w:sz w:val="16"/>
          <w:szCs w:val="16"/>
          <w:lang w:val="es-ES"/>
        </w:rPr>
        <w:t xml:space="preserve">, I.C.J. General </w:t>
      </w:r>
      <w:proofErr w:type="spellStart"/>
      <w:r w:rsidRPr="00537BF9">
        <w:rPr>
          <w:rFonts w:asciiTheme="majorHAnsi" w:eastAsia="Times New Roman" w:hAnsiTheme="majorHAnsi"/>
          <w:color w:val="auto"/>
          <w:sz w:val="16"/>
          <w:szCs w:val="16"/>
          <w:lang w:val="es-ES"/>
        </w:rPr>
        <w:t>List</w:t>
      </w:r>
      <w:proofErr w:type="spellEnd"/>
      <w:r w:rsidRPr="00537BF9">
        <w:rPr>
          <w:rFonts w:asciiTheme="majorHAnsi" w:eastAsia="Times New Roman" w:hAnsiTheme="majorHAnsi"/>
          <w:color w:val="auto"/>
          <w:sz w:val="16"/>
          <w:szCs w:val="16"/>
          <w:lang w:val="es-ES"/>
        </w:rPr>
        <w:t xml:space="preserve">, </w:t>
      </w:r>
      <w:proofErr w:type="spellStart"/>
      <w:r w:rsidRPr="00537BF9">
        <w:rPr>
          <w:rFonts w:asciiTheme="majorHAnsi" w:eastAsia="Times New Roman" w:hAnsiTheme="majorHAnsi"/>
          <w:color w:val="auto"/>
          <w:sz w:val="16"/>
          <w:szCs w:val="16"/>
          <w:lang w:val="es-ES"/>
        </w:rPr>
        <w:t>Nº</w:t>
      </w:r>
      <w:proofErr w:type="spellEnd"/>
      <w:r w:rsidRPr="00537BF9">
        <w:rPr>
          <w:rFonts w:asciiTheme="majorHAnsi" w:eastAsia="Times New Roman" w:hAnsiTheme="majorHAnsi"/>
          <w:color w:val="auto"/>
          <w:sz w:val="16"/>
          <w:szCs w:val="16"/>
          <w:lang w:val="es-ES"/>
        </w:rPr>
        <w:t xml:space="preserve"> 104, </w:t>
      </w:r>
      <w:proofErr w:type="spellStart"/>
      <w:r w:rsidRPr="00537BF9">
        <w:rPr>
          <w:rFonts w:asciiTheme="majorHAnsi" w:eastAsia="Times New Roman" w:hAnsiTheme="majorHAnsi"/>
          <w:color w:val="auto"/>
          <w:sz w:val="16"/>
          <w:szCs w:val="16"/>
          <w:lang w:val="es-ES"/>
        </w:rPr>
        <w:t>p</w:t>
      </w:r>
      <w:r w:rsidR="00C34A87">
        <w:rPr>
          <w:rFonts w:asciiTheme="majorHAnsi" w:eastAsia="Times New Roman" w:hAnsiTheme="majorHAnsi"/>
          <w:color w:val="auto"/>
          <w:sz w:val="16"/>
          <w:szCs w:val="16"/>
          <w:lang w:val="es-ES"/>
        </w:rPr>
        <w:t>á</w:t>
      </w:r>
      <w:r w:rsidRPr="00537BF9">
        <w:rPr>
          <w:rFonts w:asciiTheme="majorHAnsi" w:eastAsia="Times New Roman" w:hAnsiTheme="majorHAnsi"/>
          <w:color w:val="auto"/>
          <w:sz w:val="16"/>
          <w:szCs w:val="16"/>
          <w:lang w:val="es-ES"/>
        </w:rPr>
        <w:t>rrs</w:t>
      </w:r>
      <w:proofErr w:type="spellEnd"/>
      <w:r w:rsidRPr="00537BF9">
        <w:rPr>
          <w:rFonts w:asciiTheme="majorHAnsi" w:eastAsia="Times New Roman" w:hAnsiTheme="majorHAnsi"/>
          <w:color w:val="auto"/>
          <w:sz w:val="16"/>
          <w:szCs w:val="16"/>
          <w:lang w:val="es-ES"/>
        </w:rPr>
        <w:t xml:space="preserve">. 22-28; Comité de Derechos Humanos de Naciones Unidas, Dante </w:t>
      </w:r>
      <w:proofErr w:type="spellStart"/>
      <w:r w:rsidRPr="00537BF9">
        <w:rPr>
          <w:rFonts w:asciiTheme="majorHAnsi" w:eastAsia="Times New Roman" w:hAnsiTheme="majorHAnsi"/>
          <w:color w:val="auto"/>
          <w:sz w:val="16"/>
          <w:szCs w:val="16"/>
          <w:lang w:val="es-ES"/>
        </w:rPr>
        <w:t>Piandiong</w:t>
      </w:r>
      <w:proofErr w:type="spellEnd"/>
      <w:r w:rsidRPr="00537BF9">
        <w:rPr>
          <w:rFonts w:asciiTheme="majorHAnsi" w:eastAsia="Times New Roman" w:hAnsiTheme="majorHAnsi"/>
          <w:color w:val="auto"/>
          <w:sz w:val="16"/>
          <w:szCs w:val="16"/>
          <w:lang w:val="es-ES"/>
        </w:rPr>
        <w:t xml:space="preserve"> y otros c. </w:t>
      </w:r>
      <w:r>
        <w:rPr>
          <w:rFonts w:asciiTheme="majorHAnsi" w:eastAsia="Times New Roman" w:hAnsiTheme="majorHAnsi"/>
          <w:color w:val="auto"/>
          <w:sz w:val="16"/>
          <w:szCs w:val="16"/>
          <w:lang w:val="es-ES"/>
        </w:rPr>
        <w:t xml:space="preserve">Filipinas, Comunicación </w:t>
      </w:r>
      <w:proofErr w:type="spellStart"/>
      <w:r w:rsidRPr="00537BF9">
        <w:rPr>
          <w:rFonts w:asciiTheme="majorHAnsi" w:eastAsia="Times New Roman" w:hAnsiTheme="majorHAnsi"/>
          <w:color w:val="auto"/>
          <w:sz w:val="16"/>
          <w:szCs w:val="16"/>
          <w:lang w:val="es-ES"/>
        </w:rPr>
        <w:t>Nº</w:t>
      </w:r>
      <w:proofErr w:type="spellEnd"/>
      <w:r w:rsidRPr="00537BF9">
        <w:rPr>
          <w:rFonts w:asciiTheme="majorHAnsi" w:eastAsia="Times New Roman" w:hAnsiTheme="majorHAnsi"/>
          <w:color w:val="auto"/>
          <w:sz w:val="16"/>
          <w:szCs w:val="16"/>
          <w:lang w:val="es-ES"/>
        </w:rPr>
        <w:t xml:space="preserve"> 869/1999, U.N. Doc. CCPR/C/70/D/869.1999 (19 de octubre de 1999), </w:t>
      </w:r>
      <w:proofErr w:type="spellStart"/>
      <w:r w:rsidRPr="00537BF9">
        <w:rPr>
          <w:rFonts w:asciiTheme="majorHAnsi" w:eastAsia="Times New Roman" w:hAnsiTheme="majorHAnsi"/>
          <w:color w:val="auto"/>
          <w:sz w:val="16"/>
          <w:szCs w:val="16"/>
          <w:lang w:val="es-ES"/>
        </w:rPr>
        <w:t>p</w:t>
      </w:r>
      <w:r>
        <w:rPr>
          <w:rFonts w:asciiTheme="majorHAnsi" w:eastAsia="Times New Roman" w:hAnsiTheme="majorHAnsi"/>
          <w:color w:val="auto"/>
          <w:sz w:val="16"/>
          <w:szCs w:val="16"/>
          <w:lang w:val="es-ES"/>
        </w:rPr>
        <w:t>á</w:t>
      </w:r>
      <w:r w:rsidRPr="00537BF9">
        <w:rPr>
          <w:rFonts w:asciiTheme="majorHAnsi" w:eastAsia="Times New Roman" w:hAnsiTheme="majorHAnsi"/>
          <w:color w:val="auto"/>
          <w:sz w:val="16"/>
          <w:szCs w:val="16"/>
          <w:lang w:val="es-ES"/>
        </w:rPr>
        <w:t>rrs</w:t>
      </w:r>
      <w:proofErr w:type="spellEnd"/>
      <w:r w:rsidRPr="00537BF9">
        <w:rPr>
          <w:rFonts w:asciiTheme="majorHAnsi" w:eastAsia="Times New Roman" w:hAnsiTheme="majorHAnsi"/>
          <w:color w:val="auto"/>
          <w:sz w:val="16"/>
          <w:szCs w:val="16"/>
          <w:lang w:val="es-ES"/>
        </w:rPr>
        <w:t xml:space="preserve">. 5.1-5.4; TEDH, Caso </w:t>
      </w:r>
      <w:proofErr w:type="spellStart"/>
      <w:r w:rsidRPr="00537BF9">
        <w:rPr>
          <w:rFonts w:asciiTheme="majorHAnsi" w:eastAsia="Times New Roman" w:hAnsiTheme="majorHAnsi"/>
          <w:color w:val="auto"/>
          <w:sz w:val="16"/>
          <w:szCs w:val="16"/>
          <w:lang w:val="es-ES"/>
        </w:rPr>
        <w:t>Mamatkulov</w:t>
      </w:r>
      <w:proofErr w:type="spellEnd"/>
      <w:r w:rsidRPr="00537BF9">
        <w:rPr>
          <w:rFonts w:asciiTheme="majorHAnsi" w:eastAsia="Times New Roman" w:hAnsiTheme="majorHAnsi"/>
          <w:color w:val="auto"/>
          <w:sz w:val="16"/>
          <w:szCs w:val="16"/>
          <w:lang w:val="es-ES"/>
        </w:rPr>
        <w:t xml:space="preserve"> </w:t>
      </w:r>
      <w:r>
        <w:rPr>
          <w:rFonts w:asciiTheme="majorHAnsi" w:eastAsia="Times New Roman" w:hAnsiTheme="majorHAnsi"/>
          <w:color w:val="auto"/>
          <w:sz w:val="16"/>
          <w:szCs w:val="16"/>
          <w:lang w:val="es-ES"/>
        </w:rPr>
        <w:t>y</w:t>
      </w:r>
      <w:r w:rsidRPr="00537BF9">
        <w:rPr>
          <w:rFonts w:asciiTheme="majorHAnsi" w:eastAsia="Times New Roman" w:hAnsiTheme="majorHAnsi"/>
          <w:color w:val="auto"/>
          <w:sz w:val="16"/>
          <w:szCs w:val="16"/>
          <w:lang w:val="es-ES"/>
        </w:rPr>
        <w:t xml:space="preserve"> </w:t>
      </w:r>
      <w:proofErr w:type="spellStart"/>
      <w:r w:rsidRPr="00537BF9">
        <w:rPr>
          <w:rFonts w:asciiTheme="majorHAnsi" w:eastAsia="Times New Roman" w:hAnsiTheme="majorHAnsi"/>
          <w:color w:val="auto"/>
          <w:sz w:val="16"/>
          <w:szCs w:val="16"/>
          <w:lang w:val="es-ES"/>
        </w:rPr>
        <w:t>Abdurasulovic</w:t>
      </w:r>
      <w:proofErr w:type="spellEnd"/>
      <w:r w:rsidRPr="00537BF9">
        <w:rPr>
          <w:rFonts w:asciiTheme="majorHAnsi" w:eastAsia="Times New Roman" w:hAnsiTheme="majorHAnsi"/>
          <w:color w:val="auto"/>
          <w:sz w:val="16"/>
          <w:szCs w:val="16"/>
          <w:lang w:val="es-ES"/>
        </w:rPr>
        <w:t xml:space="preserve"> c. Tur</w:t>
      </w:r>
      <w:r>
        <w:rPr>
          <w:rFonts w:asciiTheme="majorHAnsi" w:eastAsia="Times New Roman" w:hAnsiTheme="majorHAnsi"/>
          <w:color w:val="auto"/>
          <w:sz w:val="16"/>
          <w:szCs w:val="16"/>
          <w:lang w:val="es-ES"/>
        </w:rPr>
        <w:t>quía</w:t>
      </w:r>
      <w:r w:rsidRPr="00537BF9">
        <w:rPr>
          <w:rFonts w:asciiTheme="majorHAnsi" w:eastAsia="Times New Roman" w:hAnsiTheme="majorHAnsi"/>
          <w:color w:val="auto"/>
          <w:sz w:val="16"/>
          <w:szCs w:val="16"/>
          <w:lang w:val="es-ES"/>
        </w:rPr>
        <w:t xml:space="preserve">, </w:t>
      </w:r>
      <w:proofErr w:type="spellStart"/>
      <w:r w:rsidRPr="00537BF9">
        <w:rPr>
          <w:rFonts w:asciiTheme="majorHAnsi" w:eastAsia="Times New Roman" w:hAnsiTheme="majorHAnsi"/>
          <w:color w:val="auto"/>
          <w:sz w:val="16"/>
          <w:szCs w:val="16"/>
          <w:lang w:val="es-ES"/>
        </w:rPr>
        <w:t>Reqs</w:t>
      </w:r>
      <w:proofErr w:type="spellEnd"/>
      <w:r w:rsidRPr="00537BF9">
        <w:rPr>
          <w:rFonts w:asciiTheme="majorHAnsi" w:eastAsia="Times New Roman" w:hAnsiTheme="majorHAnsi"/>
          <w:color w:val="auto"/>
          <w:sz w:val="16"/>
          <w:szCs w:val="16"/>
          <w:lang w:val="es-ES"/>
        </w:rPr>
        <w:t xml:space="preserve">. Nos. 46827/99, 46951/99 (6 </w:t>
      </w:r>
      <w:r>
        <w:rPr>
          <w:rFonts w:asciiTheme="majorHAnsi" w:eastAsia="Times New Roman" w:hAnsiTheme="majorHAnsi"/>
          <w:color w:val="auto"/>
          <w:sz w:val="16"/>
          <w:szCs w:val="16"/>
          <w:lang w:val="es-ES"/>
        </w:rPr>
        <w:t>de febrero de</w:t>
      </w:r>
      <w:r w:rsidRPr="00537BF9">
        <w:rPr>
          <w:rFonts w:asciiTheme="majorHAnsi" w:eastAsia="Times New Roman" w:hAnsiTheme="majorHAnsi"/>
          <w:color w:val="auto"/>
          <w:sz w:val="16"/>
          <w:szCs w:val="16"/>
          <w:lang w:val="es-ES"/>
        </w:rPr>
        <w:t xml:space="preserve"> 2003), </w:t>
      </w:r>
      <w:proofErr w:type="spellStart"/>
      <w:r w:rsidRPr="00537BF9">
        <w:rPr>
          <w:rFonts w:asciiTheme="majorHAnsi" w:eastAsia="Times New Roman" w:hAnsiTheme="majorHAnsi"/>
          <w:color w:val="auto"/>
          <w:sz w:val="16"/>
          <w:szCs w:val="16"/>
          <w:lang w:val="es-ES"/>
        </w:rPr>
        <w:t>p</w:t>
      </w:r>
      <w:r>
        <w:rPr>
          <w:rFonts w:asciiTheme="majorHAnsi" w:eastAsia="Times New Roman" w:hAnsiTheme="majorHAnsi"/>
          <w:color w:val="auto"/>
          <w:sz w:val="16"/>
          <w:szCs w:val="16"/>
          <w:lang w:val="es-ES"/>
        </w:rPr>
        <w:t>á</w:t>
      </w:r>
      <w:r w:rsidRPr="00537BF9">
        <w:rPr>
          <w:rFonts w:asciiTheme="majorHAnsi" w:eastAsia="Times New Roman" w:hAnsiTheme="majorHAnsi"/>
          <w:color w:val="auto"/>
          <w:sz w:val="16"/>
          <w:szCs w:val="16"/>
          <w:lang w:val="es-ES"/>
        </w:rPr>
        <w:t>r</w:t>
      </w:r>
      <w:r>
        <w:rPr>
          <w:rFonts w:asciiTheme="majorHAnsi" w:eastAsia="Times New Roman" w:hAnsiTheme="majorHAnsi"/>
          <w:color w:val="auto"/>
          <w:sz w:val="16"/>
          <w:szCs w:val="16"/>
          <w:lang w:val="es-ES"/>
        </w:rPr>
        <w:t>r</w:t>
      </w:r>
      <w:r w:rsidRPr="00537BF9">
        <w:rPr>
          <w:rFonts w:asciiTheme="majorHAnsi" w:eastAsia="Times New Roman" w:hAnsiTheme="majorHAnsi"/>
          <w:color w:val="auto"/>
          <w:sz w:val="16"/>
          <w:szCs w:val="16"/>
          <w:lang w:val="es-ES"/>
        </w:rPr>
        <w:t>s</w:t>
      </w:r>
      <w:proofErr w:type="spellEnd"/>
      <w:r w:rsidRPr="00537BF9">
        <w:rPr>
          <w:rFonts w:asciiTheme="majorHAnsi" w:eastAsia="Times New Roman" w:hAnsiTheme="majorHAnsi"/>
          <w:color w:val="auto"/>
          <w:sz w:val="16"/>
          <w:szCs w:val="16"/>
          <w:lang w:val="es-ES"/>
        </w:rPr>
        <w:t xml:space="preserve">. </w:t>
      </w:r>
      <w:r w:rsidRPr="00E36893">
        <w:rPr>
          <w:rFonts w:asciiTheme="majorHAnsi" w:eastAsia="Times New Roman" w:hAnsiTheme="majorHAnsi"/>
          <w:color w:val="auto"/>
          <w:sz w:val="16"/>
          <w:szCs w:val="16"/>
          <w:lang w:val="es-ES"/>
        </w:rPr>
        <w:t xml:space="preserve">104-107. </w:t>
      </w:r>
    </w:p>
  </w:footnote>
  <w:footnote w:id="65">
    <w:p w14:paraId="41BF164D" w14:textId="4D4CC5C1" w:rsidR="00873D49" w:rsidRPr="00E36893" w:rsidRDefault="00873D49" w:rsidP="004A0895">
      <w:pPr>
        <w:pStyle w:val="NormalWeb"/>
        <w:spacing w:before="0" w:beforeAutospacing="0" w:after="0" w:afterAutospacing="0"/>
        <w:jc w:val="both"/>
        <w:rPr>
          <w:rFonts w:asciiTheme="majorHAnsi" w:hAnsiTheme="majorHAnsi"/>
          <w:sz w:val="16"/>
          <w:szCs w:val="16"/>
          <w:lang w:val="es-ES"/>
        </w:rPr>
      </w:pPr>
      <w:r w:rsidRPr="004A0895">
        <w:rPr>
          <w:rFonts w:asciiTheme="majorHAnsi" w:eastAsia="Calibri" w:hAnsiTheme="majorHAnsi" w:cs="Calibri"/>
          <w:sz w:val="16"/>
          <w:szCs w:val="16"/>
          <w:vertAlign w:val="superscript"/>
        </w:rPr>
        <w:footnoteRef/>
      </w:r>
      <w:r w:rsidRPr="00537BF9">
        <w:rPr>
          <w:rFonts w:asciiTheme="majorHAnsi" w:hAnsiTheme="majorHAnsi"/>
          <w:sz w:val="16"/>
          <w:szCs w:val="16"/>
          <w:lang w:val="es-ES"/>
        </w:rPr>
        <w:t xml:space="preserve"> Corte IDH. El derecho a la información sobre la asistencia consular en el marco de las garantías del debido proceso legal. </w:t>
      </w:r>
      <w:r w:rsidRPr="00E36893">
        <w:rPr>
          <w:rFonts w:asciiTheme="majorHAnsi" w:hAnsiTheme="majorHAnsi"/>
          <w:sz w:val="16"/>
          <w:szCs w:val="16"/>
          <w:lang w:val="es-ES"/>
        </w:rPr>
        <w:t>Opinión Consultiva OC-16/99 de 1 de octubre de 1999. Serie A No. 16,</w:t>
      </w:r>
      <w:r w:rsidRPr="00E36893">
        <w:rPr>
          <w:rFonts w:asciiTheme="majorHAnsi" w:eastAsia="Calibri" w:hAnsiTheme="majorHAnsi" w:cs="Calibri"/>
          <w:sz w:val="16"/>
          <w:szCs w:val="16"/>
          <w:lang w:val="es-ES"/>
        </w:rPr>
        <w:t xml:space="preserve"> p</w:t>
      </w:r>
      <w:r>
        <w:rPr>
          <w:rFonts w:asciiTheme="majorHAnsi" w:eastAsia="Calibri" w:hAnsiTheme="majorHAnsi" w:cs="Calibri"/>
          <w:sz w:val="16"/>
          <w:szCs w:val="16"/>
          <w:lang w:val="es-ES"/>
        </w:rPr>
        <w:t>á</w:t>
      </w:r>
      <w:r w:rsidRPr="00E36893">
        <w:rPr>
          <w:rFonts w:asciiTheme="majorHAnsi" w:eastAsia="Calibri" w:hAnsiTheme="majorHAnsi" w:cs="Calibri"/>
          <w:sz w:val="16"/>
          <w:szCs w:val="16"/>
          <w:lang w:val="es-ES"/>
        </w:rPr>
        <w:t xml:space="preserve">rr. 136. </w:t>
      </w:r>
    </w:p>
  </w:footnote>
  <w:footnote w:id="66">
    <w:p w14:paraId="5AC752F9" w14:textId="77777777" w:rsidR="00873D49" w:rsidRPr="00537BF9" w:rsidRDefault="00873D49" w:rsidP="004A0895">
      <w:pPr>
        <w:pStyle w:val="FootnoteText"/>
        <w:jc w:val="both"/>
        <w:rPr>
          <w:rFonts w:asciiTheme="majorHAnsi" w:hAnsiTheme="majorHAnsi"/>
          <w:color w:val="auto"/>
          <w:sz w:val="16"/>
          <w:szCs w:val="16"/>
          <w:lang w:val="es-ES"/>
        </w:rPr>
      </w:pPr>
      <w:r w:rsidRPr="004A0895">
        <w:rPr>
          <w:rStyle w:val="FootnoteReference"/>
          <w:rFonts w:asciiTheme="majorHAnsi" w:hAnsiTheme="majorHAnsi"/>
          <w:color w:val="auto"/>
          <w:sz w:val="16"/>
          <w:szCs w:val="16"/>
        </w:rPr>
        <w:footnoteRef/>
      </w:r>
      <w:r w:rsidRPr="00537BF9">
        <w:rPr>
          <w:rStyle w:val="FootnoteReference"/>
          <w:rFonts w:asciiTheme="majorHAnsi" w:hAnsiTheme="majorHAnsi"/>
          <w:color w:val="auto"/>
          <w:sz w:val="16"/>
          <w:szCs w:val="16"/>
          <w:lang w:val="es-ES"/>
        </w:rPr>
        <w:t xml:space="preserve"> </w:t>
      </w:r>
      <w:r w:rsidRPr="00537BF9">
        <w:rPr>
          <w:rFonts w:asciiTheme="majorHAnsi" w:hAnsiTheme="majorHAnsi"/>
          <w:color w:val="auto"/>
          <w:sz w:val="16"/>
          <w:szCs w:val="16"/>
          <w:lang w:val="es-ES"/>
        </w:rPr>
        <w:t xml:space="preserve">El Artículo I de la Declaración Americana </w:t>
      </w:r>
      <w:r>
        <w:rPr>
          <w:rFonts w:asciiTheme="majorHAnsi" w:hAnsiTheme="majorHAnsi"/>
          <w:color w:val="auto"/>
          <w:sz w:val="16"/>
          <w:szCs w:val="16"/>
          <w:lang w:val="es-ES"/>
        </w:rPr>
        <w:t>dispone: “</w:t>
      </w:r>
      <w:r w:rsidRPr="006E3733">
        <w:rPr>
          <w:rFonts w:asciiTheme="majorHAnsi" w:hAnsiTheme="majorHAnsi"/>
          <w:sz w:val="16"/>
          <w:szCs w:val="16"/>
          <w:lang w:val="es-US"/>
        </w:rPr>
        <w:t>Todo ser humano tiene derecho a la vida, a la libertad y a la seguridad de su persona.</w:t>
      </w:r>
      <w:r>
        <w:rPr>
          <w:rFonts w:asciiTheme="majorHAnsi" w:hAnsiTheme="majorHAnsi"/>
          <w:sz w:val="16"/>
          <w:szCs w:val="16"/>
          <w:lang w:val="es-ES"/>
        </w:rPr>
        <w:t>”</w:t>
      </w:r>
    </w:p>
  </w:footnote>
  <w:footnote w:id="67">
    <w:p w14:paraId="2BC713D8" w14:textId="6BB12BE9" w:rsidR="00873D49" w:rsidRPr="00E36893" w:rsidRDefault="00873D49" w:rsidP="004A0895">
      <w:pPr>
        <w:pStyle w:val="FootnoteText"/>
        <w:jc w:val="both"/>
        <w:rPr>
          <w:rFonts w:asciiTheme="majorHAnsi" w:hAnsiTheme="majorHAnsi"/>
          <w:color w:val="auto"/>
          <w:sz w:val="16"/>
          <w:szCs w:val="16"/>
          <w:lang w:val="es-ES"/>
        </w:rPr>
      </w:pPr>
      <w:r w:rsidRPr="004A0895">
        <w:rPr>
          <w:rStyle w:val="FootnoteReference"/>
          <w:rFonts w:asciiTheme="majorHAnsi" w:hAnsiTheme="majorHAnsi"/>
          <w:color w:val="auto"/>
          <w:sz w:val="16"/>
          <w:szCs w:val="16"/>
        </w:rPr>
        <w:footnoteRef/>
      </w:r>
      <w:r w:rsidRPr="00537BF9">
        <w:rPr>
          <w:rFonts w:asciiTheme="majorHAnsi" w:hAnsiTheme="majorHAnsi"/>
          <w:color w:val="auto"/>
          <w:sz w:val="16"/>
          <w:szCs w:val="16"/>
          <w:lang w:val="es-ES"/>
        </w:rPr>
        <w:t xml:space="preserve"> CIDH, Informe No. 53/13, Caso 12.864, Fondo (Publicación), </w:t>
      </w:r>
      <w:proofErr w:type="spellStart"/>
      <w:r w:rsidRPr="00537BF9">
        <w:rPr>
          <w:rFonts w:asciiTheme="majorHAnsi" w:hAnsiTheme="majorHAnsi"/>
          <w:color w:val="auto"/>
          <w:sz w:val="16"/>
          <w:szCs w:val="16"/>
          <w:lang w:val="es-ES"/>
        </w:rPr>
        <w:t>Ivan</w:t>
      </w:r>
      <w:proofErr w:type="spellEnd"/>
      <w:r w:rsidRPr="00537BF9">
        <w:rPr>
          <w:rFonts w:asciiTheme="majorHAnsi" w:hAnsiTheme="majorHAnsi"/>
          <w:color w:val="auto"/>
          <w:sz w:val="16"/>
          <w:szCs w:val="16"/>
          <w:lang w:val="es-ES"/>
        </w:rPr>
        <w:t xml:space="preserve"> </w:t>
      </w:r>
      <w:proofErr w:type="spellStart"/>
      <w:r w:rsidRPr="00537BF9">
        <w:rPr>
          <w:rFonts w:asciiTheme="majorHAnsi" w:hAnsiTheme="majorHAnsi"/>
          <w:color w:val="auto"/>
          <w:sz w:val="16"/>
          <w:szCs w:val="16"/>
          <w:lang w:val="es-ES"/>
        </w:rPr>
        <w:t>Teleguz</w:t>
      </w:r>
      <w:proofErr w:type="spellEnd"/>
      <w:r w:rsidRPr="00537BF9">
        <w:rPr>
          <w:rFonts w:asciiTheme="majorHAnsi" w:hAnsiTheme="majorHAnsi"/>
          <w:color w:val="auto"/>
          <w:sz w:val="16"/>
          <w:szCs w:val="16"/>
          <w:lang w:val="es-ES"/>
        </w:rPr>
        <w:t>, Esta</w:t>
      </w:r>
      <w:r>
        <w:rPr>
          <w:rFonts w:asciiTheme="majorHAnsi" w:hAnsiTheme="majorHAnsi"/>
          <w:color w:val="auto"/>
          <w:sz w:val="16"/>
          <w:szCs w:val="16"/>
          <w:lang w:val="es-ES"/>
        </w:rPr>
        <w:t>dos Unidos, 15 de julio de 2013</w:t>
      </w:r>
      <w:r w:rsidRPr="00537BF9">
        <w:rPr>
          <w:rFonts w:asciiTheme="majorHAnsi" w:hAnsiTheme="majorHAnsi"/>
          <w:color w:val="auto"/>
          <w:sz w:val="16"/>
          <w:szCs w:val="16"/>
          <w:lang w:val="es-ES"/>
        </w:rPr>
        <w:t>, p</w:t>
      </w:r>
      <w:r>
        <w:rPr>
          <w:rFonts w:asciiTheme="majorHAnsi" w:hAnsiTheme="majorHAnsi"/>
          <w:color w:val="auto"/>
          <w:sz w:val="16"/>
          <w:szCs w:val="16"/>
          <w:lang w:val="es-ES"/>
        </w:rPr>
        <w:t>á</w:t>
      </w:r>
      <w:r w:rsidRPr="00537BF9">
        <w:rPr>
          <w:rFonts w:asciiTheme="majorHAnsi" w:hAnsiTheme="majorHAnsi"/>
          <w:color w:val="auto"/>
          <w:sz w:val="16"/>
          <w:szCs w:val="16"/>
          <w:lang w:val="es-ES"/>
        </w:rPr>
        <w:t>r</w:t>
      </w:r>
      <w:r>
        <w:rPr>
          <w:rFonts w:asciiTheme="majorHAnsi" w:hAnsiTheme="majorHAnsi"/>
          <w:color w:val="auto"/>
          <w:sz w:val="16"/>
          <w:szCs w:val="16"/>
          <w:lang w:val="es-ES"/>
        </w:rPr>
        <w:t>r</w:t>
      </w:r>
      <w:r w:rsidRPr="00537BF9">
        <w:rPr>
          <w:rFonts w:asciiTheme="majorHAnsi" w:hAnsiTheme="majorHAnsi"/>
          <w:color w:val="auto"/>
          <w:sz w:val="16"/>
          <w:szCs w:val="16"/>
          <w:lang w:val="es-ES"/>
        </w:rPr>
        <w:t xml:space="preserve">. </w:t>
      </w:r>
      <w:r w:rsidRPr="00E36893">
        <w:rPr>
          <w:rFonts w:asciiTheme="majorHAnsi" w:hAnsiTheme="majorHAnsi"/>
          <w:color w:val="auto"/>
          <w:sz w:val="16"/>
          <w:szCs w:val="16"/>
          <w:lang w:val="es-ES"/>
        </w:rPr>
        <w:t>129.</w:t>
      </w:r>
    </w:p>
  </w:footnote>
  <w:footnote w:id="68">
    <w:p w14:paraId="5DB09608" w14:textId="2BE2E0CD" w:rsidR="00873D49" w:rsidRPr="00FF3E59" w:rsidRDefault="00873D49" w:rsidP="00FF3E59">
      <w:pPr>
        <w:pStyle w:val="FootnoteText"/>
        <w:jc w:val="both"/>
        <w:rPr>
          <w:rFonts w:asciiTheme="majorHAnsi" w:hAnsiTheme="majorHAnsi"/>
          <w:color w:val="auto"/>
          <w:sz w:val="16"/>
          <w:szCs w:val="16"/>
          <w:lang w:val="es-ES_tradnl"/>
        </w:rPr>
      </w:pPr>
      <w:r w:rsidRPr="00FF3E59">
        <w:rPr>
          <w:rStyle w:val="FootnoteReference"/>
          <w:rFonts w:asciiTheme="majorHAnsi" w:hAnsiTheme="majorHAnsi"/>
          <w:color w:val="auto"/>
          <w:sz w:val="16"/>
          <w:szCs w:val="16"/>
          <w:lang w:val="es-ES_tradnl"/>
        </w:rPr>
        <w:footnoteRef/>
      </w:r>
      <w:r w:rsidRPr="00FF3E59">
        <w:rPr>
          <w:rFonts w:asciiTheme="majorHAnsi" w:hAnsiTheme="majorHAnsi"/>
          <w:color w:val="auto"/>
          <w:sz w:val="16"/>
          <w:szCs w:val="16"/>
          <w:lang w:val="es-ES_tradnl"/>
        </w:rPr>
        <w:t xml:space="preserve"> CIDH, I</w:t>
      </w:r>
      <w:r>
        <w:rPr>
          <w:rFonts w:asciiTheme="majorHAnsi" w:hAnsiTheme="majorHAnsi"/>
          <w:color w:val="auto"/>
          <w:sz w:val="16"/>
          <w:szCs w:val="16"/>
          <w:lang w:val="es-ES_tradnl"/>
        </w:rPr>
        <w:t>n</w:t>
      </w:r>
      <w:r w:rsidRPr="00FF3E59">
        <w:rPr>
          <w:rFonts w:asciiTheme="majorHAnsi" w:hAnsiTheme="majorHAnsi"/>
          <w:color w:val="auto"/>
          <w:sz w:val="16"/>
          <w:szCs w:val="16"/>
          <w:lang w:val="es-ES_tradnl"/>
        </w:rPr>
        <w:t xml:space="preserve">forme No. 11/15, Caso 12.833, </w:t>
      </w:r>
      <w:r>
        <w:rPr>
          <w:rFonts w:asciiTheme="majorHAnsi" w:hAnsiTheme="majorHAnsi"/>
          <w:color w:val="auto"/>
          <w:sz w:val="16"/>
          <w:szCs w:val="16"/>
          <w:lang w:val="es-ES_tradnl"/>
        </w:rPr>
        <w:t>Fondo</w:t>
      </w:r>
      <w:r w:rsidRPr="00FF3E59">
        <w:rPr>
          <w:rFonts w:asciiTheme="majorHAnsi" w:hAnsiTheme="majorHAnsi"/>
          <w:color w:val="auto"/>
          <w:sz w:val="16"/>
          <w:szCs w:val="16"/>
          <w:lang w:val="es-ES_tradnl"/>
        </w:rPr>
        <w:t xml:space="preserve"> (Publicación), Félix Rocha Díaz, Estados Unidos, 23 de marzo de 2015, párr. 106.</w:t>
      </w:r>
    </w:p>
  </w:footnote>
  <w:footnote w:id="69">
    <w:p w14:paraId="31953C60" w14:textId="77777777" w:rsidR="00873D49" w:rsidRPr="00537BF9" w:rsidRDefault="00873D49" w:rsidP="000932C2">
      <w:pPr>
        <w:pStyle w:val="FootnoteText"/>
        <w:jc w:val="both"/>
        <w:rPr>
          <w:rFonts w:asciiTheme="majorHAnsi" w:hAnsiTheme="majorHAnsi"/>
          <w:color w:val="auto"/>
          <w:sz w:val="16"/>
          <w:szCs w:val="16"/>
          <w:bdr w:val="none" w:sz="0" w:space="0" w:color="auto"/>
          <w:lang w:val="es-ES"/>
        </w:rPr>
      </w:pPr>
      <w:r w:rsidRPr="004A0895">
        <w:rPr>
          <w:rStyle w:val="FootnoteReference"/>
          <w:rFonts w:asciiTheme="majorHAnsi" w:hAnsiTheme="majorHAnsi"/>
          <w:color w:val="auto"/>
          <w:sz w:val="16"/>
          <w:szCs w:val="16"/>
        </w:rPr>
        <w:footnoteRef/>
      </w:r>
      <w:r w:rsidRPr="00537BF9">
        <w:rPr>
          <w:rFonts w:asciiTheme="majorHAnsi" w:hAnsiTheme="majorHAnsi"/>
          <w:color w:val="auto"/>
          <w:sz w:val="16"/>
          <w:szCs w:val="16"/>
          <w:lang w:val="es-ES"/>
        </w:rPr>
        <w:t xml:space="preserve"> Véase, sobre este punto, CIDH,</w:t>
      </w:r>
      <w:r w:rsidRPr="00537BF9">
        <w:rPr>
          <w:rFonts w:asciiTheme="majorHAnsi" w:hAnsiTheme="majorHAnsi"/>
          <w:sz w:val="16"/>
          <w:szCs w:val="16"/>
          <w:lang w:val="es-ES"/>
        </w:rPr>
        <w:t xml:space="preserve"> </w:t>
      </w:r>
      <w:r w:rsidRPr="004621D7">
        <w:rPr>
          <w:rFonts w:asciiTheme="majorHAnsi" w:hAnsiTheme="majorHAnsi"/>
          <w:sz w:val="16"/>
          <w:szCs w:val="16"/>
          <w:lang w:val="es-ES"/>
        </w:rPr>
        <w:t>La pena de muerte en el Sistema Interamericano de Derechos Huma</w:t>
      </w:r>
      <w:r>
        <w:rPr>
          <w:rFonts w:asciiTheme="majorHAnsi" w:hAnsiTheme="majorHAnsi"/>
          <w:sz w:val="16"/>
          <w:szCs w:val="16"/>
          <w:lang w:val="es-ES"/>
        </w:rPr>
        <w:t>nos: de restricciones a abolición</w:t>
      </w:r>
      <w:r w:rsidRPr="004621D7">
        <w:rPr>
          <w:rFonts w:asciiTheme="majorHAnsi" w:hAnsiTheme="majorHAnsi"/>
          <w:sz w:val="16"/>
          <w:szCs w:val="16"/>
          <w:lang w:val="es-ES"/>
        </w:rPr>
        <w:t>, OEA/</w:t>
      </w:r>
      <w:proofErr w:type="spellStart"/>
      <w:r w:rsidRPr="004621D7">
        <w:rPr>
          <w:rFonts w:asciiTheme="majorHAnsi" w:hAnsiTheme="majorHAnsi"/>
          <w:sz w:val="16"/>
          <w:szCs w:val="16"/>
          <w:lang w:val="es-ES"/>
        </w:rPr>
        <w:t>Ser.L</w:t>
      </w:r>
      <w:proofErr w:type="spellEnd"/>
      <w:r w:rsidRPr="004621D7">
        <w:rPr>
          <w:rFonts w:asciiTheme="majorHAnsi" w:hAnsiTheme="majorHAnsi"/>
          <w:sz w:val="16"/>
          <w:szCs w:val="16"/>
          <w:lang w:val="es-ES"/>
        </w:rPr>
        <w:t xml:space="preserve">/V/II.Doc. 68, </w:t>
      </w:r>
      <w:r>
        <w:rPr>
          <w:rFonts w:asciiTheme="majorHAnsi" w:hAnsiTheme="majorHAnsi"/>
          <w:sz w:val="16"/>
          <w:szCs w:val="16"/>
          <w:lang w:val="es-ES"/>
        </w:rPr>
        <w:t>31 de diciembre de 2011</w:t>
      </w:r>
      <w:r w:rsidRPr="00537BF9">
        <w:rPr>
          <w:rFonts w:asciiTheme="majorHAnsi" w:hAnsiTheme="majorHAnsi"/>
          <w:color w:val="auto"/>
          <w:sz w:val="16"/>
          <w:szCs w:val="16"/>
          <w:lang w:val="es-ES"/>
        </w:rPr>
        <w:t>.</w:t>
      </w:r>
    </w:p>
  </w:footnote>
  <w:footnote w:id="70">
    <w:p w14:paraId="0F5102D7" w14:textId="77777777" w:rsidR="00873D49" w:rsidRPr="00537BF9" w:rsidRDefault="00873D49" w:rsidP="005B2F88">
      <w:pPr>
        <w:pStyle w:val="FootnoteText"/>
        <w:jc w:val="both"/>
        <w:rPr>
          <w:rFonts w:asciiTheme="majorHAnsi" w:hAnsiTheme="majorHAnsi"/>
          <w:color w:val="auto"/>
          <w:sz w:val="16"/>
          <w:szCs w:val="16"/>
          <w:bdr w:val="none" w:sz="0" w:space="0" w:color="auto"/>
          <w:lang w:val="es-ES"/>
        </w:rPr>
      </w:pPr>
      <w:r w:rsidRPr="004A0895">
        <w:rPr>
          <w:rStyle w:val="FootnoteReference"/>
          <w:rFonts w:asciiTheme="majorHAnsi" w:hAnsiTheme="majorHAnsi"/>
          <w:color w:val="auto"/>
          <w:sz w:val="16"/>
          <w:szCs w:val="16"/>
        </w:rPr>
        <w:footnoteRef/>
      </w:r>
      <w:r w:rsidRPr="00537BF9">
        <w:rPr>
          <w:rFonts w:asciiTheme="majorHAnsi" w:hAnsiTheme="majorHAnsi"/>
          <w:color w:val="auto"/>
          <w:sz w:val="16"/>
          <w:szCs w:val="16"/>
          <w:lang w:val="es-ES"/>
        </w:rPr>
        <w:t xml:space="preserve"> Véase, sobre este punto, CIDH,</w:t>
      </w:r>
      <w:r w:rsidRPr="00537BF9">
        <w:rPr>
          <w:rFonts w:asciiTheme="majorHAnsi" w:hAnsiTheme="majorHAnsi"/>
          <w:sz w:val="16"/>
          <w:szCs w:val="16"/>
          <w:lang w:val="es-ES"/>
        </w:rPr>
        <w:t xml:space="preserve"> </w:t>
      </w:r>
      <w:r w:rsidRPr="004621D7">
        <w:rPr>
          <w:rFonts w:asciiTheme="majorHAnsi" w:hAnsiTheme="majorHAnsi"/>
          <w:sz w:val="16"/>
          <w:szCs w:val="16"/>
          <w:lang w:val="es-ES"/>
        </w:rPr>
        <w:t>La pena de muerte en el Sistema Interamericano de Derechos Huma</w:t>
      </w:r>
      <w:r>
        <w:rPr>
          <w:rFonts w:asciiTheme="majorHAnsi" w:hAnsiTheme="majorHAnsi"/>
          <w:sz w:val="16"/>
          <w:szCs w:val="16"/>
          <w:lang w:val="es-ES"/>
        </w:rPr>
        <w:t>nos: de restricciones a abolición</w:t>
      </w:r>
      <w:r w:rsidRPr="004621D7">
        <w:rPr>
          <w:rFonts w:asciiTheme="majorHAnsi" w:hAnsiTheme="majorHAnsi"/>
          <w:sz w:val="16"/>
          <w:szCs w:val="16"/>
          <w:lang w:val="es-ES"/>
        </w:rPr>
        <w:t>, OEA/</w:t>
      </w:r>
      <w:proofErr w:type="spellStart"/>
      <w:r w:rsidRPr="004621D7">
        <w:rPr>
          <w:rFonts w:asciiTheme="majorHAnsi" w:hAnsiTheme="majorHAnsi"/>
          <w:sz w:val="16"/>
          <w:szCs w:val="16"/>
          <w:lang w:val="es-ES"/>
        </w:rPr>
        <w:t>Ser.L</w:t>
      </w:r>
      <w:proofErr w:type="spellEnd"/>
      <w:r w:rsidRPr="004621D7">
        <w:rPr>
          <w:rFonts w:asciiTheme="majorHAnsi" w:hAnsiTheme="majorHAnsi"/>
          <w:sz w:val="16"/>
          <w:szCs w:val="16"/>
          <w:lang w:val="es-ES"/>
        </w:rPr>
        <w:t xml:space="preserve">/V/II.Doc. 68, </w:t>
      </w:r>
      <w:r>
        <w:rPr>
          <w:rFonts w:asciiTheme="majorHAnsi" w:hAnsiTheme="majorHAnsi"/>
          <w:sz w:val="16"/>
          <w:szCs w:val="16"/>
          <w:lang w:val="es-ES"/>
        </w:rPr>
        <w:t>31 de diciembre de 2011</w:t>
      </w:r>
      <w:r w:rsidRPr="00537BF9">
        <w:rPr>
          <w:rFonts w:asciiTheme="majorHAnsi" w:hAnsiTheme="majorHAnsi"/>
          <w:color w:val="auto"/>
          <w:sz w:val="16"/>
          <w:szCs w:val="16"/>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A8E31" w14:textId="77777777" w:rsidR="00873D49" w:rsidRDefault="00873D49" w:rsidP="00C14701">
    <w:pPr>
      <w:pStyle w:val="Header"/>
      <w:framePr w:wrap="around" w:vAnchor="text" w:hAnchor="margin" w:xAlign="center" w:y="1"/>
      <w:rPr>
        <w:rStyle w:val="PageNumber"/>
        <w:rFonts w:ascii="Times New Roman" w:eastAsia="Arial Unicode MS" w:hAnsi="Times New Roman" w:cs="Times New Roman"/>
        <w:bdr w:val="nil"/>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26DC0E5" w14:textId="77777777" w:rsidR="00873D49" w:rsidRDefault="00873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5267B" w14:textId="77777777" w:rsidR="00873D49" w:rsidRDefault="00873D49" w:rsidP="002C1641">
    <w:pPr>
      <w:pStyle w:val="Header"/>
      <w:tabs>
        <w:tab w:val="clear" w:pos="4320"/>
        <w:tab w:val="clear" w:pos="8640"/>
      </w:tabs>
      <w:jc w:val="center"/>
      <w:rPr>
        <w:sz w:val="22"/>
        <w:szCs w:val="22"/>
      </w:rPr>
    </w:pPr>
    <w:r>
      <w:rPr>
        <w:noProof/>
        <w:sz w:val="22"/>
        <w:szCs w:val="22"/>
      </w:rPr>
      <w:drawing>
        <wp:inline distT="0" distB="0" distL="0" distR="0" wp14:anchorId="2FB34ED7" wp14:editId="0CE46912">
          <wp:extent cx="1972237" cy="104775"/>
          <wp:effectExtent l="0" t="0" r="9525" b="0"/>
          <wp:docPr id="9" name="Picture 9"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69A20FA1" w14:textId="77777777" w:rsidR="00873D49" w:rsidRPr="00EC7D62" w:rsidRDefault="000F4996" w:rsidP="002C1641">
    <w:pPr>
      <w:pStyle w:val="Header"/>
      <w:tabs>
        <w:tab w:val="clear" w:pos="4320"/>
        <w:tab w:val="clear" w:pos="8640"/>
      </w:tabs>
      <w:jc w:val="center"/>
      <w:rPr>
        <w:sz w:val="22"/>
        <w:szCs w:val="22"/>
      </w:rPr>
    </w:pPr>
    <w:r>
      <w:rPr>
        <w:noProof/>
        <w:sz w:val="22"/>
        <w:szCs w:val="22"/>
        <w:bdr w:val="nil"/>
      </w:rPr>
      <w:pict w14:anchorId="3E692039">
        <v:rect id="_x0000_i1028"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Univers"/>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Univer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Univers"/>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Univers"/>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Univers"/>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Univers"/>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Univers"/>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Univers"/>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Univers"/>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Univer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Univer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Univer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Univers"/>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Univer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Univer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Univer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Univers"/>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Univers"/>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Univer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Univers"/>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Univers"/>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Univers"/>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Univers"/>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Univers"/>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Univers"/>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Univers"/>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Univers"/>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Univer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11" w15:restartNumberingAfterBreak="0">
    <w:nsid w:val="21E86F0F"/>
    <w:multiLevelType w:val="hybridMultilevel"/>
    <w:tmpl w:val="D39828EA"/>
    <w:styleLink w:val="ImportedStyle6"/>
    <w:lvl w:ilvl="0" w:tplc="1F008A38">
      <w:start w:val="1"/>
      <w:numFmt w:val="decimal"/>
      <w:lvlText w:val="%1."/>
      <w:lvlJc w:val="left"/>
      <w:pPr>
        <w:tabs>
          <w:tab w:val="num" w:pos="1500"/>
        </w:tabs>
        <w:ind w:left="780" w:hanging="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FBB4C0FE">
      <w:start w:val="1"/>
      <w:numFmt w:val="lowerLetter"/>
      <w:lvlText w:val="%2."/>
      <w:lvlJc w:val="left"/>
      <w:pPr>
        <w:tabs>
          <w:tab w:val="num" w:pos="1095"/>
          <w:tab w:val="left" w:pos="1500"/>
        </w:tabs>
        <w:ind w:left="375" w:firstLine="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70D8AD98">
      <w:start w:val="1"/>
      <w:numFmt w:val="lowerRoman"/>
      <w:lvlText w:val="%3."/>
      <w:lvlJc w:val="left"/>
      <w:pPr>
        <w:tabs>
          <w:tab w:val="left" w:pos="1500"/>
          <w:tab w:val="num" w:pos="1755"/>
        </w:tabs>
        <w:ind w:left="1035"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40A8B96E">
      <w:start w:val="1"/>
      <w:numFmt w:val="upperLetter"/>
      <w:lvlText w:val="%4."/>
      <w:lvlJc w:val="left"/>
      <w:pPr>
        <w:tabs>
          <w:tab w:val="left" w:pos="1500"/>
          <w:tab w:val="num" w:pos="2835"/>
        </w:tabs>
        <w:ind w:left="2115" w:hanging="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4DC85C6C">
      <w:start w:val="1"/>
      <w:numFmt w:val="upperRoman"/>
      <w:lvlText w:val="%5."/>
      <w:lvlJc w:val="left"/>
      <w:pPr>
        <w:tabs>
          <w:tab w:val="left" w:pos="1500"/>
          <w:tab w:val="num" w:pos="3555"/>
        </w:tabs>
        <w:ind w:left="2835" w:hanging="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AE27590">
      <w:start w:val="1"/>
      <w:numFmt w:val="lowerRoman"/>
      <w:lvlText w:val="%6."/>
      <w:lvlJc w:val="left"/>
      <w:pPr>
        <w:tabs>
          <w:tab w:val="left" w:pos="1500"/>
          <w:tab w:val="num" w:pos="3915"/>
        </w:tabs>
        <w:ind w:left="3195"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8862A242">
      <w:start w:val="1"/>
      <w:numFmt w:val="decimal"/>
      <w:lvlText w:val="%7."/>
      <w:lvlJc w:val="left"/>
      <w:pPr>
        <w:tabs>
          <w:tab w:val="left" w:pos="1500"/>
          <w:tab w:val="num" w:pos="4635"/>
        </w:tabs>
        <w:ind w:left="3915" w:firstLine="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41C683C">
      <w:start w:val="1"/>
      <w:numFmt w:val="lowerLetter"/>
      <w:lvlText w:val="%8."/>
      <w:lvlJc w:val="left"/>
      <w:pPr>
        <w:tabs>
          <w:tab w:val="left" w:pos="1500"/>
          <w:tab w:val="num" w:pos="5355"/>
        </w:tabs>
        <w:ind w:left="4635" w:firstLine="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6B65770">
      <w:start w:val="1"/>
      <w:numFmt w:val="lowerRoman"/>
      <w:lvlText w:val="%9."/>
      <w:lvlJc w:val="left"/>
      <w:pPr>
        <w:tabs>
          <w:tab w:val="left" w:pos="1500"/>
          <w:tab w:val="num" w:pos="6075"/>
        </w:tabs>
        <w:ind w:left="5355"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Univer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Univer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Univer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Univers"/>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Univer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Univer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Univer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Univers"/>
        <w:color w:val="000000"/>
        <w:position w:val="0"/>
        <w:sz w:val="22"/>
        <w:szCs w:val="22"/>
        <w:u w:color="000000"/>
        <w:lang w:val="es-ES_tradnl"/>
      </w:rPr>
    </w:lvl>
  </w:abstractNum>
  <w:abstractNum w:abstractNumId="26" w15:restartNumberingAfterBreak="0">
    <w:nsid w:val="3A35477D"/>
    <w:multiLevelType w:val="hybridMultilevel"/>
    <w:tmpl w:val="73727A48"/>
    <w:styleLink w:val="ImportedStyle5"/>
    <w:lvl w:ilvl="0" w:tplc="8B888242">
      <w:start w:val="1"/>
      <w:numFmt w:val="decimal"/>
      <w:lvlText w:val="%1."/>
      <w:lvlJc w:val="left"/>
      <w:pPr>
        <w:tabs>
          <w:tab w:val="num" w:pos="1500"/>
        </w:tabs>
        <w:ind w:left="780" w:hanging="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B7361202">
      <w:start w:val="1"/>
      <w:numFmt w:val="lowerLetter"/>
      <w:lvlText w:val="%2."/>
      <w:lvlJc w:val="left"/>
      <w:pPr>
        <w:tabs>
          <w:tab w:val="num" w:pos="1095"/>
          <w:tab w:val="left" w:pos="1500"/>
        </w:tabs>
        <w:ind w:left="375" w:firstLine="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5486038E">
      <w:start w:val="1"/>
      <w:numFmt w:val="lowerRoman"/>
      <w:lvlText w:val="%3."/>
      <w:lvlJc w:val="left"/>
      <w:pPr>
        <w:tabs>
          <w:tab w:val="left" w:pos="1500"/>
          <w:tab w:val="num" w:pos="1755"/>
        </w:tabs>
        <w:ind w:left="1035"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D5407FD4">
      <w:start w:val="1"/>
      <w:numFmt w:val="upperLetter"/>
      <w:lvlText w:val="%4."/>
      <w:lvlJc w:val="left"/>
      <w:pPr>
        <w:tabs>
          <w:tab w:val="left" w:pos="1500"/>
          <w:tab w:val="num" w:pos="2835"/>
        </w:tabs>
        <w:ind w:left="2115" w:hanging="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59EE6B6A">
      <w:start w:val="1"/>
      <w:numFmt w:val="upperRoman"/>
      <w:lvlText w:val="%5."/>
      <w:lvlJc w:val="left"/>
      <w:pPr>
        <w:tabs>
          <w:tab w:val="left" w:pos="1500"/>
          <w:tab w:val="num" w:pos="3555"/>
        </w:tabs>
        <w:ind w:left="2835" w:hanging="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523AF742">
      <w:start w:val="1"/>
      <w:numFmt w:val="lowerRoman"/>
      <w:lvlText w:val="%6."/>
      <w:lvlJc w:val="left"/>
      <w:pPr>
        <w:tabs>
          <w:tab w:val="left" w:pos="1500"/>
          <w:tab w:val="num" w:pos="3915"/>
        </w:tabs>
        <w:ind w:left="3195"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1F3A4A12">
      <w:start w:val="1"/>
      <w:numFmt w:val="decimal"/>
      <w:lvlText w:val="%7."/>
      <w:lvlJc w:val="left"/>
      <w:pPr>
        <w:tabs>
          <w:tab w:val="left" w:pos="1500"/>
          <w:tab w:val="num" w:pos="4635"/>
        </w:tabs>
        <w:ind w:left="3915" w:firstLine="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155CD5B0">
      <w:start w:val="1"/>
      <w:numFmt w:val="lowerLetter"/>
      <w:lvlText w:val="%8."/>
      <w:lvlJc w:val="left"/>
      <w:pPr>
        <w:tabs>
          <w:tab w:val="left" w:pos="1500"/>
          <w:tab w:val="num" w:pos="5355"/>
        </w:tabs>
        <w:ind w:left="4635" w:firstLine="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841E64">
      <w:start w:val="1"/>
      <w:numFmt w:val="lowerRoman"/>
      <w:lvlText w:val="%9."/>
      <w:lvlJc w:val="left"/>
      <w:pPr>
        <w:tabs>
          <w:tab w:val="left" w:pos="1500"/>
          <w:tab w:val="num" w:pos="6075"/>
        </w:tabs>
        <w:ind w:left="5355"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Univer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Univer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Univers"/>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Univers"/>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Univers"/>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Univers"/>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Univers"/>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Univers"/>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Univers"/>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Univers"/>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Univer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Univers"/>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Univers"/>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Univer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Univers"/>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Univers"/>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Univers"/>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Univers"/>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Univers"/>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3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Univer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b/>
        <w:bCs/>
        <w:color w:val="000000"/>
        <w:position w:val="0"/>
        <w:sz w:val="22"/>
        <w:szCs w:val="22"/>
        <w:u w:color="000000"/>
        <w:lang w:val="es-ES_tradnl"/>
      </w:rPr>
    </w:lvl>
  </w:abstractNum>
  <w:abstractNum w:abstractNumId="40" w15:restartNumberingAfterBreak="0">
    <w:nsid w:val="51EB7415"/>
    <w:multiLevelType w:val="hybridMultilevel"/>
    <w:tmpl w:val="CD1AEBEA"/>
    <w:lvl w:ilvl="0" w:tplc="2BA82C8E">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24A2B98"/>
    <w:multiLevelType w:val="hybridMultilevel"/>
    <w:tmpl w:val="F76477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4063FFC"/>
    <w:multiLevelType w:val="hybridMultilevel"/>
    <w:tmpl w:val="BB6A699E"/>
    <w:styleLink w:val="ImportedStyle4"/>
    <w:lvl w:ilvl="0" w:tplc="4D38D32A">
      <w:start w:val="1"/>
      <w:numFmt w:val="decimal"/>
      <w:lvlText w:val="%1."/>
      <w:lvlJc w:val="left"/>
      <w:pPr>
        <w:tabs>
          <w:tab w:val="num" w:pos="1440"/>
        </w:tabs>
        <w:ind w:left="705" w:firstLine="3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B45499D0">
      <w:start w:val="1"/>
      <w:numFmt w:val="lowerLetter"/>
      <w:lvlText w:val="%2."/>
      <w:lvlJc w:val="left"/>
      <w:pPr>
        <w:tabs>
          <w:tab w:val="num" w:pos="1095"/>
        </w:tabs>
        <w:ind w:left="360" w:firstLine="37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6EAA06A2">
      <w:start w:val="1"/>
      <w:numFmt w:val="lowerRoman"/>
      <w:lvlText w:val="%3."/>
      <w:lvlJc w:val="left"/>
      <w:pPr>
        <w:tabs>
          <w:tab w:val="num" w:pos="1770"/>
        </w:tabs>
        <w:ind w:left="1035" w:firstLine="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B64ABDBE">
      <w:start w:val="1"/>
      <w:numFmt w:val="upperLetter"/>
      <w:lvlText w:val="%4."/>
      <w:lvlJc w:val="left"/>
      <w:pPr>
        <w:tabs>
          <w:tab w:val="num" w:pos="2850"/>
        </w:tabs>
        <w:ind w:left="2115" w:firstLine="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AB2059AA">
      <w:start w:val="1"/>
      <w:numFmt w:val="upperRoman"/>
      <w:lvlText w:val="%5."/>
      <w:lvlJc w:val="left"/>
      <w:pPr>
        <w:tabs>
          <w:tab w:val="num" w:pos="3570"/>
        </w:tabs>
        <w:ind w:left="2835" w:firstLine="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29E490CC">
      <w:start w:val="1"/>
      <w:numFmt w:val="lowerRoman"/>
      <w:lvlText w:val="%6."/>
      <w:lvlJc w:val="left"/>
      <w:pPr>
        <w:tabs>
          <w:tab w:val="num" w:pos="3930"/>
        </w:tabs>
        <w:ind w:left="3195" w:firstLine="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5286372">
      <w:start w:val="1"/>
      <w:numFmt w:val="decimal"/>
      <w:lvlText w:val="%7."/>
      <w:lvlJc w:val="left"/>
      <w:pPr>
        <w:tabs>
          <w:tab w:val="num" w:pos="4650"/>
        </w:tabs>
        <w:ind w:left="3915" w:firstLine="37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88CA4DA4">
      <w:start w:val="1"/>
      <w:numFmt w:val="lowerLetter"/>
      <w:lvlText w:val="%8."/>
      <w:lvlJc w:val="left"/>
      <w:pPr>
        <w:tabs>
          <w:tab w:val="num" w:pos="5370"/>
        </w:tabs>
        <w:ind w:left="4635" w:firstLine="37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440353E">
      <w:start w:val="1"/>
      <w:numFmt w:val="lowerRoman"/>
      <w:lvlText w:val="%9."/>
      <w:lvlJc w:val="left"/>
      <w:pPr>
        <w:tabs>
          <w:tab w:val="num" w:pos="6090"/>
        </w:tabs>
        <w:ind w:left="5355" w:firstLine="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Univer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b/>
        <w:bCs/>
        <w:color w:val="000000"/>
        <w:position w:val="0"/>
        <w:sz w:val="22"/>
        <w:szCs w:val="22"/>
        <w:u w:color="000000"/>
        <w:lang w:val="es-ES_tradnl"/>
      </w:rPr>
    </w:lvl>
  </w:abstractNum>
  <w:abstractNum w:abstractNumId="44" w15:restartNumberingAfterBreak="0">
    <w:nsid w:val="5A681F10"/>
    <w:multiLevelType w:val="hybridMultilevel"/>
    <w:tmpl w:val="41F4A2C8"/>
    <w:lvl w:ilvl="0" w:tplc="529A4590">
      <w:start w:val="1"/>
      <w:numFmt w:val="decimal"/>
      <w:lvlText w:val="%1."/>
      <w:lvlJc w:val="left"/>
      <w:pPr>
        <w:ind w:left="1425" w:hanging="705"/>
      </w:pPr>
      <w:rPr>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Univer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Univers"/>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Univers"/>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Univer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Univers"/>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Univers"/>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Univers"/>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Univers"/>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Univers"/>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Univer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b/>
        <w:bCs/>
        <w:color w:val="000000"/>
        <w:position w:val="0"/>
        <w:sz w:val="22"/>
        <w:szCs w:val="22"/>
        <w:u w:color="000000"/>
        <w:lang w:val="es-ES_tradnl"/>
      </w:rPr>
    </w:lvl>
  </w:abstractNum>
  <w:abstractNum w:abstractNumId="47" w15:restartNumberingAfterBreak="0">
    <w:nsid w:val="5C5E459A"/>
    <w:multiLevelType w:val="hybridMultilevel"/>
    <w:tmpl w:val="DFA2DF36"/>
    <w:styleLink w:val="ImportedStyle8"/>
    <w:lvl w:ilvl="0" w:tplc="AD90ED56">
      <w:start w:val="1"/>
      <w:numFmt w:val="decimal"/>
      <w:lvlText w:val="%1."/>
      <w:lvlJc w:val="left"/>
      <w:pPr>
        <w:ind w:left="1500" w:hanging="7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9014B632">
      <w:start w:val="1"/>
      <w:numFmt w:val="lowerLetter"/>
      <w:lvlText w:val="%2."/>
      <w:lvlJc w:val="left"/>
      <w:pPr>
        <w:tabs>
          <w:tab w:val="left" w:pos="1500"/>
        </w:tabs>
        <w:ind w:left="181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2A58011E">
      <w:start w:val="1"/>
      <w:numFmt w:val="lowerRoman"/>
      <w:lvlText w:val="%3."/>
      <w:lvlJc w:val="left"/>
      <w:pPr>
        <w:tabs>
          <w:tab w:val="left" w:pos="1500"/>
        </w:tabs>
        <w:ind w:left="2535"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2DE2ADB6">
      <w:start w:val="1"/>
      <w:numFmt w:val="upperLetter"/>
      <w:lvlText w:val="%4."/>
      <w:lvlJc w:val="left"/>
      <w:pPr>
        <w:tabs>
          <w:tab w:val="left" w:pos="1500"/>
        </w:tabs>
        <w:ind w:left="3615"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C52CB328">
      <w:start w:val="1"/>
      <w:numFmt w:val="upperRoman"/>
      <w:lvlText w:val="%5."/>
      <w:lvlJc w:val="left"/>
      <w:pPr>
        <w:tabs>
          <w:tab w:val="left" w:pos="1500"/>
        </w:tabs>
        <w:ind w:left="4335"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9E88C54">
      <w:start w:val="1"/>
      <w:numFmt w:val="lowerRoman"/>
      <w:lvlText w:val="%6."/>
      <w:lvlJc w:val="left"/>
      <w:pPr>
        <w:tabs>
          <w:tab w:val="left" w:pos="1500"/>
        </w:tabs>
        <w:ind w:left="4695"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9405738">
      <w:start w:val="1"/>
      <w:numFmt w:val="decimal"/>
      <w:lvlText w:val="%7."/>
      <w:lvlJc w:val="left"/>
      <w:pPr>
        <w:tabs>
          <w:tab w:val="left" w:pos="1500"/>
        </w:tabs>
        <w:ind w:left="541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8070B0D0">
      <w:start w:val="1"/>
      <w:numFmt w:val="lowerLetter"/>
      <w:lvlText w:val="%8."/>
      <w:lvlJc w:val="left"/>
      <w:pPr>
        <w:tabs>
          <w:tab w:val="left" w:pos="1500"/>
        </w:tabs>
        <w:ind w:left="613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AA88B4D8">
      <w:start w:val="1"/>
      <w:numFmt w:val="lowerRoman"/>
      <w:lvlText w:val="%9."/>
      <w:lvlJc w:val="left"/>
      <w:pPr>
        <w:tabs>
          <w:tab w:val="left" w:pos="1500"/>
        </w:tabs>
        <w:ind w:left="6855"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48" w15:restartNumberingAfterBreak="0">
    <w:nsid w:val="5D7D4B9D"/>
    <w:multiLevelType w:val="hybridMultilevel"/>
    <w:tmpl w:val="B2BEA4E0"/>
    <w:lvl w:ilvl="0" w:tplc="5830BC58">
      <w:start w:val="1"/>
      <w:numFmt w:val="decimal"/>
      <w:lvlText w:val="%1."/>
      <w:lvlJc w:val="left"/>
      <w:pPr>
        <w:ind w:left="720" w:hanging="360"/>
      </w:pPr>
      <w:rPr>
        <w:rFonts w:ascii="Cambria" w:hAnsi="Cambri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DF261FE"/>
    <w:multiLevelType w:val="hybridMultilevel"/>
    <w:tmpl w:val="FDEC0620"/>
    <w:lvl w:ilvl="0" w:tplc="5DAE459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Univer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b/>
        <w:bCs/>
        <w:color w:val="000000"/>
        <w:position w:val="0"/>
        <w:sz w:val="22"/>
        <w:szCs w:val="22"/>
        <w:u w:color="000000"/>
        <w:lang w:val="es-ES_tradnl"/>
      </w:rPr>
    </w:lvl>
  </w:abstractNum>
  <w:abstractNum w:abstractNumId="52" w15:restartNumberingAfterBreak="0">
    <w:nsid w:val="67CC5AD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Univers"/>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Univer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Univers"/>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Univers"/>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Univers"/>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Univers"/>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Univers"/>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Univers"/>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Univers"/>
        <w:b/>
        <w:bCs/>
        <w:color w:val="000000"/>
        <w:position w:val="0"/>
        <w:sz w:val="22"/>
        <w:szCs w:val="22"/>
        <w:u w:val="single" w:color="000000"/>
        <w:lang w:val="es-ES_tradnl"/>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55" w15:restartNumberingAfterBreak="0">
    <w:nsid w:val="70786ED7"/>
    <w:multiLevelType w:val="hybridMultilevel"/>
    <w:tmpl w:val="073A8A9E"/>
    <w:lvl w:ilvl="0" w:tplc="69020C3E">
      <w:start w:val="1"/>
      <w:numFmt w:val="upperRoman"/>
      <w:pStyle w:val="Heading1"/>
      <w:lvlText w:val="%1."/>
      <w:lvlJc w:val="left"/>
      <w:pPr>
        <w:ind w:left="720" w:hanging="360"/>
      </w:pPr>
      <w:rPr>
        <w:rFonts w:hint="default"/>
      </w:rPr>
    </w:lvl>
    <w:lvl w:ilvl="1" w:tplc="677C583C">
      <w:start w:val="1"/>
      <w:numFmt w:val="decimal"/>
      <w:lvlText w:val="%2."/>
      <w:lvlJc w:val="left"/>
      <w:pPr>
        <w:ind w:left="1530" w:hanging="360"/>
      </w:pPr>
      <w:rPr>
        <w:rFonts w:hint="default"/>
      </w:rPr>
    </w:lvl>
    <w:lvl w:ilvl="2" w:tplc="0409001B">
      <w:start w:val="1"/>
      <w:numFmt w:val="lowerRoman"/>
      <w:lvlText w:val="%3."/>
      <w:lvlJc w:val="right"/>
      <w:pPr>
        <w:ind w:left="2160" w:hanging="180"/>
      </w:pPr>
    </w:lvl>
    <w:lvl w:ilvl="3" w:tplc="7BB669AE">
      <w:start w:val="1"/>
      <w:numFmt w:val="decimal"/>
      <w:lvlText w:val="%4."/>
      <w:lvlJc w:val="left"/>
      <w:pPr>
        <w:ind w:left="2880" w:hanging="360"/>
      </w:pPr>
      <w:rPr>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471F5F"/>
    <w:multiLevelType w:val="hybridMultilevel"/>
    <w:tmpl w:val="81E83EEA"/>
    <w:lvl w:ilvl="0" w:tplc="1FFEA4DE">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58" w15:restartNumberingAfterBreak="0">
    <w:nsid w:val="7745554A"/>
    <w:multiLevelType w:val="hybridMultilevel"/>
    <w:tmpl w:val="73D87E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Univer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Univers"/>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Univers"/>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Univers"/>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Univers"/>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Univers"/>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Univers"/>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Univers"/>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Univers"/>
        <w:b/>
        <w:bCs/>
        <w:color w:val="000000"/>
        <w:position w:val="0"/>
        <w:sz w:val="22"/>
        <w:szCs w:val="22"/>
        <w:u w:color="000000"/>
        <w:lang w:val="es-ES_tradnl"/>
      </w:rPr>
    </w:lvl>
  </w:abstractNum>
  <w:abstractNum w:abstractNumId="61" w15:restartNumberingAfterBreak="0">
    <w:nsid w:val="7994649A"/>
    <w:multiLevelType w:val="hybridMultilevel"/>
    <w:tmpl w:val="107CE37A"/>
    <w:lvl w:ilvl="0" w:tplc="C6FEA962">
      <w:start w:val="1"/>
      <w:numFmt w:val="upperLetter"/>
      <w:lvlText w:val="%1."/>
      <w:lvlJc w:val="left"/>
      <w:pPr>
        <w:ind w:left="360" w:hanging="360"/>
      </w:pPr>
      <w:rPr>
        <w:rFonts w:hint="default"/>
        <w:color w:val="auto"/>
      </w:rPr>
    </w:lvl>
    <w:lvl w:ilvl="1" w:tplc="5B9AA624">
      <w:start w:val="1"/>
      <w:numFmt w:val="decimal"/>
      <w:lvlText w:val="%2."/>
      <w:lvlJc w:val="left"/>
      <w:pPr>
        <w:ind w:left="757" w:hanging="37"/>
      </w:pPr>
      <w:rPr>
        <w:rFonts w:hint="default"/>
        <w:color w:val="auto"/>
      </w:rPr>
    </w:lvl>
    <w:lvl w:ilvl="2" w:tplc="0409001B">
      <w:start w:val="1"/>
      <w:numFmt w:val="lowerRoman"/>
      <w:lvlText w:val="%3."/>
      <w:lvlJc w:val="right"/>
      <w:pPr>
        <w:ind w:left="1800" w:hanging="180"/>
      </w:pPr>
    </w:lvl>
    <w:lvl w:ilvl="3" w:tplc="6B5AD0B8">
      <w:start w:val="4"/>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63" w15:restartNumberingAfterBreak="0">
    <w:nsid w:val="7C051419"/>
    <w:multiLevelType w:val="hybridMultilevel"/>
    <w:tmpl w:val="66148FEE"/>
    <w:styleLink w:val="ImportedStyle3"/>
    <w:lvl w:ilvl="0" w:tplc="15D02884">
      <w:start w:val="1"/>
      <w:numFmt w:val="decimal"/>
      <w:lvlText w:val="%1."/>
      <w:lvlJc w:val="left"/>
      <w:pPr>
        <w:tabs>
          <w:tab w:val="num" w:pos="1260"/>
          <w:tab w:val="left" w:pos="1440"/>
          <w:tab w:val="left" w:pos="2040"/>
        </w:tabs>
        <w:ind w:left="540" w:firstLine="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B1DCCBF6">
      <w:start w:val="1"/>
      <w:numFmt w:val="lowerLetter"/>
      <w:lvlText w:val="%2."/>
      <w:lvlJc w:val="left"/>
      <w:pPr>
        <w:tabs>
          <w:tab w:val="num" w:pos="1260"/>
          <w:tab w:val="left" w:pos="1440"/>
          <w:tab w:val="left" w:pos="2040"/>
        </w:tabs>
        <w:ind w:left="540" w:firstLine="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29A4F8BC">
      <w:start w:val="1"/>
      <w:numFmt w:val="lowerRoman"/>
      <w:lvlText w:val="%3."/>
      <w:lvlJc w:val="left"/>
      <w:pPr>
        <w:tabs>
          <w:tab w:val="left" w:pos="1260"/>
          <w:tab w:val="num" w:pos="1620"/>
          <w:tab w:val="left" w:pos="2040"/>
        </w:tabs>
        <w:ind w:left="900" w:firstLine="3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A443A76">
      <w:start w:val="1"/>
      <w:numFmt w:val="decimal"/>
      <w:lvlText w:val="%4."/>
      <w:lvlJc w:val="left"/>
      <w:pPr>
        <w:tabs>
          <w:tab w:val="left" w:pos="1260"/>
          <w:tab w:val="left" w:pos="1440"/>
          <w:tab w:val="num" w:pos="2340"/>
        </w:tabs>
        <w:ind w:left="1620" w:firstLine="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2D267004">
      <w:start w:val="1"/>
      <w:numFmt w:val="lowerLetter"/>
      <w:lvlText w:val="%5."/>
      <w:lvlJc w:val="left"/>
      <w:pPr>
        <w:tabs>
          <w:tab w:val="left" w:pos="1260"/>
          <w:tab w:val="left" w:pos="1440"/>
          <w:tab w:val="left" w:pos="2040"/>
          <w:tab w:val="num" w:pos="3060"/>
        </w:tabs>
        <w:ind w:left="2340" w:firstLine="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EAFEA3FC">
      <w:start w:val="1"/>
      <w:numFmt w:val="lowerRoman"/>
      <w:lvlText w:val="%6."/>
      <w:lvlJc w:val="left"/>
      <w:pPr>
        <w:tabs>
          <w:tab w:val="left" w:pos="1260"/>
          <w:tab w:val="left" w:pos="1440"/>
          <w:tab w:val="left" w:pos="2040"/>
          <w:tab w:val="num" w:pos="3780"/>
        </w:tabs>
        <w:ind w:left="3060" w:firstLine="2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8062C94E">
      <w:start w:val="1"/>
      <w:numFmt w:val="decimal"/>
      <w:lvlText w:val="%7."/>
      <w:lvlJc w:val="left"/>
      <w:pPr>
        <w:tabs>
          <w:tab w:val="left" w:pos="1260"/>
          <w:tab w:val="left" w:pos="1440"/>
          <w:tab w:val="left" w:pos="2040"/>
          <w:tab w:val="num" w:pos="4500"/>
        </w:tabs>
        <w:ind w:left="3780" w:firstLine="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2DB87126">
      <w:start w:val="1"/>
      <w:numFmt w:val="lowerLetter"/>
      <w:lvlText w:val="%8."/>
      <w:lvlJc w:val="left"/>
      <w:pPr>
        <w:tabs>
          <w:tab w:val="left" w:pos="1260"/>
          <w:tab w:val="left" w:pos="1440"/>
          <w:tab w:val="left" w:pos="2040"/>
          <w:tab w:val="num" w:pos="5220"/>
        </w:tabs>
        <w:ind w:left="4500" w:firstLine="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3CAD92A">
      <w:start w:val="1"/>
      <w:numFmt w:val="lowerRoman"/>
      <w:lvlText w:val="%9."/>
      <w:lvlJc w:val="left"/>
      <w:pPr>
        <w:tabs>
          <w:tab w:val="left" w:pos="1260"/>
          <w:tab w:val="left" w:pos="1440"/>
          <w:tab w:val="left" w:pos="2040"/>
          <w:tab w:val="num" w:pos="5940"/>
        </w:tabs>
        <w:ind w:left="5220" w:firstLine="2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Univer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Univers"/>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Univers"/>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Univer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Univers"/>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Univers"/>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Univers"/>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Univers"/>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Univers"/>
        <w:b/>
        <w:bCs/>
        <w:color w:val="000000"/>
        <w:position w:val="0"/>
        <w:sz w:val="22"/>
        <w:szCs w:val="22"/>
        <w:u w:val="single" w:color="000000"/>
        <w:lang w:val="es-ES_tradnl"/>
      </w:rPr>
    </w:lvl>
  </w:abstractNum>
  <w:num w:numId="1">
    <w:abstractNumId w:val="3"/>
  </w:num>
  <w:num w:numId="2">
    <w:abstractNumId w:val="4"/>
  </w:num>
  <w:num w:numId="3">
    <w:abstractNumId w:val="60"/>
  </w:num>
  <w:num w:numId="4">
    <w:abstractNumId w:val="20"/>
  </w:num>
  <w:num w:numId="5">
    <w:abstractNumId w:val="51"/>
  </w:num>
  <w:num w:numId="6">
    <w:abstractNumId w:val="25"/>
  </w:num>
  <w:num w:numId="7">
    <w:abstractNumId w:val="5"/>
  </w:num>
  <w:num w:numId="8">
    <w:abstractNumId w:val="16"/>
  </w:num>
  <w:num w:numId="9">
    <w:abstractNumId w:val="43"/>
  </w:num>
  <w:num w:numId="10">
    <w:abstractNumId w:val="0"/>
  </w:num>
  <w:num w:numId="11">
    <w:abstractNumId w:val="35"/>
  </w:num>
  <w:num w:numId="12">
    <w:abstractNumId w:val="36"/>
  </w:num>
  <w:num w:numId="13">
    <w:abstractNumId w:val="45"/>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50"/>
  </w:num>
  <w:num w:numId="42">
    <w:abstractNumId w:val="53"/>
  </w:num>
  <w:num w:numId="43">
    <w:abstractNumId w:val="54"/>
  </w:num>
  <w:num w:numId="44">
    <w:abstractNumId w:val="57"/>
  </w:num>
  <w:num w:numId="45">
    <w:abstractNumId w:val="59"/>
  </w:num>
  <w:num w:numId="46">
    <w:abstractNumId w:val="62"/>
  </w:num>
  <w:num w:numId="47">
    <w:abstractNumId w:val="64"/>
  </w:num>
  <w:num w:numId="48">
    <w:abstractNumId w:val="65"/>
  </w:num>
  <w:num w:numId="49">
    <w:abstractNumId w:val="66"/>
  </w:num>
  <w:num w:numId="50">
    <w:abstractNumId w:val="67"/>
  </w:num>
  <w:num w:numId="51">
    <w:abstractNumId w:val="19"/>
  </w:num>
  <w:num w:numId="52">
    <w:abstractNumId w:val="39"/>
  </w:num>
  <w:num w:numId="53">
    <w:abstractNumId w:val="55"/>
  </w:num>
  <w:num w:numId="54">
    <w:abstractNumId w:val="46"/>
  </w:num>
  <w:num w:numId="55">
    <w:abstractNumId w:val="48"/>
  </w:num>
  <w:num w:numId="56">
    <w:abstractNumId w:val="52"/>
  </w:num>
  <w:num w:numId="57">
    <w:abstractNumId w:val="41"/>
  </w:num>
  <w:num w:numId="58">
    <w:abstractNumId w:val="58"/>
  </w:num>
  <w:num w:numId="59">
    <w:abstractNumId w:val="56"/>
    <w:lvlOverride w:ilvl="0">
      <w:startOverride w:val="1"/>
    </w:lvlOverride>
  </w:num>
  <w:num w:numId="60">
    <w:abstractNumId w:val="56"/>
  </w:num>
  <w:num w:numId="61">
    <w:abstractNumId w:val="40"/>
  </w:num>
  <w:num w:numId="6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3"/>
  </w:num>
  <w:num w:numId="64">
    <w:abstractNumId w:val="42"/>
  </w:num>
  <w:num w:numId="65">
    <w:abstractNumId w:val="26"/>
  </w:num>
  <w:num w:numId="66">
    <w:abstractNumId w:val="11"/>
  </w:num>
  <w:num w:numId="67">
    <w:abstractNumId w:val="47"/>
  </w:num>
  <w:num w:numId="68">
    <w:abstractNumId w:val="61"/>
  </w:num>
  <w:num w:numId="69">
    <w:abstractNumId w:val="49"/>
  </w:num>
  <w:num w:numId="70">
    <w:abstractNumId w:val="55"/>
  </w:num>
  <w:num w:numId="71">
    <w:abstractNumId w:val="55"/>
  </w:num>
  <w:num w:numId="72">
    <w:abstractNumId w:val="5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1132"/>
    <w:rsid w:val="0000197A"/>
    <w:rsid w:val="00001B5B"/>
    <w:rsid w:val="00002328"/>
    <w:rsid w:val="00003AC1"/>
    <w:rsid w:val="00003EC6"/>
    <w:rsid w:val="00004013"/>
    <w:rsid w:val="000050CC"/>
    <w:rsid w:val="00005BF3"/>
    <w:rsid w:val="00005E59"/>
    <w:rsid w:val="000060AC"/>
    <w:rsid w:val="00006693"/>
    <w:rsid w:val="00006DD7"/>
    <w:rsid w:val="00006E50"/>
    <w:rsid w:val="00006EDD"/>
    <w:rsid w:val="000070D7"/>
    <w:rsid w:val="00007690"/>
    <w:rsid w:val="00007A99"/>
    <w:rsid w:val="00007B4D"/>
    <w:rsid w:val="00007BD1"/>
    <w:rsid w:val="00010600"/>
    <w:rsid w:val="00010877"/>
    <w:rsid w:val="00010A7E"/>
    <w:rsid w:val="00011132"/>
    <w:rsid w:val="000111A1"/>
    <w:rsid w:val="000111A8"/>
    <w:rsid w:val="00011D57"/>
    <w:rsid w:val="00011E4C"/>
    <w:rsid w:val="00011EB8"/>
    <w:rsid w:val="00012267"/>
    <w:rsid w:val="00012470"/>
    <w:rsid w:val="00012683"/>
    <w:rsid w:val="00012ADD"/>
    <w:rsid w:val="00012C65"/>
    <w:rsid w:val="00012E4F"/>
    <w:rsid w:val="00013BDD"/>
    <w:rsid w:val="00013F78"/>
    <w:rsid w:val="00014FBC"/>
    <w:rsid w:val="00015472"/>
    <w:rsid w:val="00015F42"/>
    <w:rsid w:val="000169CA"/>
    <w:rsid w:val="00016B44"/>
    <w:rsid w:val="00017552"/>
    <w:rsid w:val="0001788C"/>
    <w:rsid w:val="00020925"/>
    <w:rsid w:val="00021201"/>
    <w:rsid w:val="00021557"/>
    <w:rsid w:val="00022424"/>
    <w:rsid w:val="00022F55"/>
    <w:rsid w:val="0002357A"/>
    <w:rsid w:val="00024428"/>
    <w:rsid w:val="00024730"/>
    <w:rsid w:val="00024818"/>
    <w:rsid w:val="000249D7"/>
    <w:rsid w:val="00024BB7"/>
    <w:rsid w:val="000265CB"/>
    <w:rsid w:val="0002681D"/>
    <w:rsid w:val="0003022F"/>
    <w:rsid w:val="00030834"/>
    <w:rsid w:val="00031189"/>
    <w:rsid w:val="000319B1"/>
    <w:rsid w:val="00031A82"/>
    <w:rsid w:val="0003262C"/>
    <w:rsid w:val="00032BDA"/>
    <w:rsid w:val="0003324D"/>
    <w:rsid w:val="000332F4"/>
    <w:rsid w:val="00034456"/>
    <w:rsid w:val="00034BF9"/>
    <w:rsid w:val="00035616"/>
    <w:rsid w:val="00035E22"/>
    <w:rsid w:val="00035ECA"/>
    <w:rsid w:val="00036A8A"/>
    <w:rsid w:val="00036BE0"/>
    <w:rsid w:val="00037633"/>
    <w:rsid w:val="000378D5"/>
    <w:rsid w:val="0004051B"/>
    <w:rsid w:val="00040A05"/>
    <w:rsid w:val="00040C3A"/>
    <w:rsid w:val="000414D2"/>
    <w:rsid w:val="00041B79"/>
    <w:rsid w:val="000427EE"/>
    <w:rsid w:val="00042A17"/>
    <w:rsid w:val="00042B2A"/>
    <w:rsid w:val="0004390C"/>
    <w:rsid w:val="00045601"/>
    <w:rsid w:val="000459E0"/>
    <w:rsid w:val="0004681B"/>
    <w:rsid w:val="00046D40"/>
    <w:rsid w:val="00046D41"/>
    <w:rsid w:val="0004761C"/>
    <w:rsid w:val="00047621"/>
    <w:rsid w:val="00047AF6"/>
    <w:rsid w:val="00047DA5"/>
    <w:rsid w:val="00047F35"/>
    <w:rsid w:val="000516F4"/>
    <w:rsid w:val="0005170B"/>
    <w:rsid w:val="000517B2"/>
    <w:rsid w:val="00051DB2"/>
    <w:rsid w:val="00051EB4"/>
    <w:rsid w:val="00052075"/>
    <w:rsid w:val="000520FB"/>
    <w:rsid w:val="00052C1E"/>
    <w:rsid w:val="00052D20"/>
    <w:rsid w:val="00053172"/>
    <w:rsid w:val="00053B2F"/>
    <w:rsid w:val="0005416F"/>
    <w:rsid w:val="00054A5F"/>
    <w:rsid w:val="00054E1B"/>
    <w:rsid w:val="000550C0"/>
    <w:rsid w:val="000552C7"/>
    <w:rsid w:val="00056205"/>
    <w:rsid w:val="000564E1"/>
    <w:rsid w:val="00056C0E"/>
    <w:rsid w:val="000576AA"/>
    <w:rsid w:val="00057789"/>
    <w:rsid w:val="00057843"/>
    <w:rsid w:val="00057D4F"/>
    <w:rsid w:val="00057EDB"/>
    <w:rsid w:val="00060666"/>
    <w:rsid w:val="0006096A"/>
    <w:rsid w:val="0006097A"/>
    <w:rsid w:val="0006100F"/>
    <w:rsid w:val="000611E2"/>
    <w:rsid w:val="00062269"/>
    <w:rsid w:val="00062C0F"/>
    <w:rsid w:val="00062FEC"/>
    <w:rsid w:val="000630E1"/>
    <w:rsid w:val="000639C0"/>
    <w:rsid w:val="00064F12"/>
    <w:rsid w:val="000657E1"/>
    <w:rsid w:val="00065FBA"/>
    <w:rsid w:val="00066108"/>
    <w:rsid w:val="00066378"/>
    <w:rsid w:val="000679BC"/>
    <w:rsid w:val="00070187"/>
    <w:rsid w:val="00070B9D"/>
    <w:rsid w:val="00070F3A"/>
    <w:rsid w:val="0007127E"/>
    <w:rsid w:val="000716C5"/>
    <w:rsid w:val="00071A9D"/>
    <w:rsid w:val="00071E45"/>
    <w:rsid w:val="000728CA"/>
    <w:rsid w:val="00072B03"/>
    <w:rsid w:val="00073C65"/>
    <w:rsid w:val="00074669"/>
    <w:rsid w:val="000756B4"/>
    <w:rsid w:val="00075E23"/>
    <w:rsid w:val="00075E4E"/>
    <w:rsid w:val="000764E3"/>
    <w:rsid w:val="00076BDB"/>
    <w:rsid w:val="0007716F"/>
    <w:rsid w:val="00077A87"/>
    <w:rsid w:val="00080249"/>
    <w:rsid w:val="00080357"/>
    <w:rsid w:val="00081EC3"/>
    <w:rsid w:val="000823DA"/>
    <w:rsid w:val="00082CBB"/>
    <w:rsid w:val="000830D5"/>
    <w:rsid w:val="0008366A"/>
    <w:rsid w:val="00083BF4"/>
    <w:rsid w:val="00084A11"/>
    <w:rsid w:val="00084C5B"/>
    <w:rsid w:val="00085519"/>
    <w:rsid w:val="00085DDF"/>
    <w:rsid w:val="00085F60"/>
    <w:rsid w:val="00085F65"/>
    <w:rsid w:val="000864A6"/>
    <w:rsid w:val="0008675E"/>
    <w:rsid w:val="00086BFA"/>
    <w:rsid w:val="00087231"/>
    <w:rsid w:val="0008733D"/>
    <w:rsid w:val="000901D7"/>
    <w:rsid w:val="00090720"/>
    <w:rsid w:val="00090E48"/>
    <w:rsid w:val="00090E82"/>
    <w:rsid w:val="00091707"/>
    <w:rsid w:val="00091ED5"/>
    <w:rsid w:val="000922C5"/>
    <w:rsid w:val="00092817"/>
    <w:rsid w:val="000929D9"/>
    <w:rsid w:val="00092F32"/>
    <w:rsid w:val="00093055"/>
    <w:rsid w:val="000932C2"/>
    <w:rsid w:val="0009344A"/>
    <w:rsid w:val="000942E8"/>
    <w:rsid w:val="0009454E"/>
    <w:rsid w:val="00094AFA"/>
    <w:rsid w:val="0009533B"/>
    <w:rsid w:val="00095575"/>
    <w:rsid w:val="0009575D"/>
    <w:rsid w:val="00095BFB"/>
    <w:rsid w:val="000966E9"/>
    <w:rsid w:val="000973C5"/>
    <w:rsid w:val="000A0948"/>
    <w:rsid w:val="000A0BA7"/>
    <w:rsid w:val="000A0EF3"/>
    <w:rsid w:val="000A16DB"/>
    <w:rsid w:val="000A1E84"/>
    <w:rsid w:val="000A2085"/>
    <w:rsid w:val="000A2229"/>
    <w:rsid w:val="000A254B"/>
    <w:rsid w:val="000A25B1"/>
    <w:rsid w:val="000A3276"/>
    <w:rsid w:val="000A393C"/>
    <w:rsid w:val="000A3E84"/>
    <w:rsid w:val="000A4138"/>
    <w:rsid w:val="000A4481"/>
    <w:rsid w:val="000A4DDD"/>
    <w:rsid w:val="000A5152"/>
    <w:rsid w:val="000A51D4"/>
    <w:rsid w:val="000A5214"/>
    <w:rsid w:val="000A5517"/>
    <w:rsid w:val="000A575F"/>
    <w:rsid w:val="000A584B"/>
    <w:rsid w:val="000A5B0F"/>
    <w:rsid w:val="000A62C0"/>
    <w:rsid w:val="000A650D"/>
    <w:rsid w:val="000A68B6"/>
    <w:rsid w:val="000A6BA2"/>
    <w:rsid w:val="000A6C50"/>
    <w:rsid w:val="000A73C0"/>
    <w:rsid w:val="000A76B0"/>
    <w:rsid w:val="000A7A76"/>
    <w:rsid w:val="000A7DBA"/>
    <w:rsid w:val="000A7FB8"/>
    <w:rsid w:val="000B040F"/>
    <w:rsid w:val="000B06AC"/>
    <w:rsid w:val="000B094A"/>
    <w:rsid w:val="000B25B8"/>
    <w:rsid w:val="000B25FC"/>
    <w:rsid w:val="000B276D"/>
    <w:rsid w:val="000B2EF7"/>
    <w:rsid w:val="000B3198"/>
    <w:rsid w:val="000B3441"/>
    <w:rsid w:val="000B39B4"/>
    <w:rsid w:val="000B418A"/>
    <w:rsid w:val="000B478D"/>
    <w:rsid w:val="000B4DAF"/>
    <w:rsid w:val="000B4EAA"/>
    <w:rsid w:val="000B50C3"/>
    <w:rsid w:val="000C0092"/>
    <w:rsid w:val="000C0149"/>
    <w:rsid w:val="000C04CF"/>
    <w:rsid w:val="000C0DC6"/>
    <w:rsid w:val="000C1094"/>
    <w:rsid w:val="000C1324"/>
    <w:rsid w:val="000C1B5A"/>
    <w:rsid w:val="000C1C2F"/>
    <w:rsid w:val="000C1E67"/>
    <w:rsid w:val="000C24CD"/>
    <w:rsid w:val="000C2751"/>
    <w:rsid w:val="000C2C82"/>
    <w:rsid w:val="000C3514"/>
    <w:rsid w:val="000C3705"/>
    <w:rsid w:val="000C45C3"/>
    <w:rsid w:val="000C5219"/>
    <w:rsid w:val="000C556C"/>
    <w:rsid w:val="000C55CE"/>
    <w:rsid w:val="000C59A4"/>
    <w:rsid w:val="000C5DEE"/>
    <w:rsid w:val="000C6B04"/>
    <w:rsid w:val="000C6E20"/>
    <w:rsid w:val="000C6FFD"/>
    <w:rsid w:val="000C7F55"/>
    <w:rsid w:val="000D0A5D"/>
    <w:rsid w:val="000D0BD2"/>
    <w:rsid w:val="000D10DB"/>
    <w:rsid w:val="000D1FC7"/>
    <w:rsid w:val="000D32CB"/>
    <w:rsid w:val="000D3921"/>
    <w:rsid w:val="000D3B27"/>
    <w:rsid w:val="000D43E0"/>
    <w:rsid w:val="000D5691"/>
    <w:rsid w:val="000D5AAB"/>
    <w:rsid w:val="000D600D"/>
    <w:rsid w:val="000D6817"/>
    <w:rsid w:val="000D68F4"/>
    <w:rsid w:val="000D6EEF"/>
    <w:rsid w:val="000E0392"/>
    <w:rsid w:val="000E07F7"/>
    <w:rsid w:val="000E0F8F"/>
    <w:rsid w:val="000E0FB5"/>
    <w:rsid w:val="000E1356"/>
    <w:rsid w:val="000E22B6"/>
    <w:rsid w:val="000E24D2"/>
    <w:rsid w:val="000E3937"/>
    <w:rsid w:val="000E43DA"/>
    <w:rsid w:val="000E44C7"/>
    <w:rsid w:val="000E56C3"/>
    <w:rsid w:val="000E69B3"/>
    <w:rsid w:val="000E6A5E"/>
    <w:rsid w:val="000E6EDD"/>
    <w:rsid w:val="000E6F7E"/>
    <w:rsid w:val="000E7140"/>
    <w:rsid w:val="000E7636"/>
    <w:rsid w:val="000E7ED0"/>
    <w:rsid w:val="000E7F69"/>
    <w:rsid w:val="000F0A25"/>
    <w:rsid w:val="000F0C58"/>
    <w:rsid w:val="000F0EEC"/>
    <w:rsid w:val="000F10C4"/>
    <w:rsid w:val="000F3499"/>
    <w:rsid w:val="000F4547"/>
    <w:rsid w:val="000F4996"/>
    <w:rsid w:val="000F4D36"/>
    <w:rsid w:val="000F51DA"/>
    <w:rsid w:val="000F5BCA"/>
    <w:rsid w:val="000F5D64"/>
    <w:rsid w:val="000F7409"/>
    <w:rsid w:val="00100FB7"/>
    <w:rsid w:val="00101553"/>
    <w:rsid w:val="001024E3"/>
    <w:rsid w:val="001025B1"/>
    <w:rsid w:val="00102742"/>
    <w:rsid w:val="0010275F"/>
    <w:rsid w:val="001032AB"/>
    <w:rsid w:val="00103331"/>
    <w:rsid w:val="00103526"/>
    <w:rsid w:val="00103ABE"/>
    <w:rsid w:val="00104889"/>
    <w:rsid w:val="00104896"/>
    <w:rsid w:val="00104B11"/>
    <w:rsid w:val="00104C50"/>
    <w:rsid w:val="00104CA5"/>
    <w:rsid w:val="00105599"/>
    <w:rsid w:val="0010592A"/>
    <w:rsid w:val="00105C96"/>
    <w:rsid w:val="0010625B"/>
    <w:rsid w:val="001063FA"/>
    <w:rsid w:val="0010643D"/>
    <w:rsid w:val="00106990"/>
    <w:rsid w:val="00107FBC"/>
    <w:rsid w:val="001110DA"/>
    <w:rsid w:val="00111D3C"/>
    <w:rsid w:val="00112617"/>
    <w:rsid w:val="001126EB"/>
    <w:rsid w:val="001128E0"/>
    <w:rsid w:val="00112956"/>
    <w:rsid w:val="00113149"/>
    <w:rsid w:val="001131EC"/>
    <w:rsid w:val="00113ACF"/>
    <w:rsid w:val="001142FE"/>
    <w:rsid w:val="00114527"/>
    <w:rsid w:val="00114A02"/>
    <w:rsid w:val="00115009"/>
    <w:rsid w:val="00115CB1"/>
    <w:rsid w:val="001171CF"/>
    <w:rsid w:val="00122709"/>
    <w:rsid w:val="00122DF4"/>
    <w:rsid w:val="00122F98"/>
    <w:rsid w:val="00123ECD"/>
    <w:rsid w:val="00125C97"/>
    <w:rsid w:val="00125D3B"/>
    <w:rsid w:val="0012610A"/>
    <w:rsid w:val="001263B8"/>
    <w:rsid w:val="00126557"/>
    <w:rsid w:val="001267FB"/>
    <w:rsid w:val="00126BC6"/>
    <w:rsid w:val="00126CA5"/>
    <w:rsid w:val="00126F3B"/>
    <w:rsid w:val="00126FD8"/>
    <w:rsid w:val="00127AE1"/>
    <w:rsid w:val="00130A27"/>
    <w:rsid w:val="00130DE9"/>
    <w:rsid w:val="00131042"/>
    <w:rsid w:val="0013104F"/>
    <w:rsid w:val="0013178F"/>
    <w:rsid w:val="00131B01"/>
    <w:rsid w:val="00131B9D"/>
    <w:rsid w:val="00133465"/>
    <w:rsid w:val="0013403C"/>
    <w:rsid w:val="001347D8"/>
    <w:rsid w:val="00134A7E"/>
    <w:rsid w:val="00134FD9"/>
    <w:rsid w:val="00134FF0"/>
    <w:rsid w:val="001357AD"/>
    <w:rsid w:val="00135988"/>
    <w:rsid w:val="001365B6"/>
    <w:rsid w:val="00136CB7"/>
    <w:rsid w:val="00136D3B"/>
    <w:rsid w:val="00137EBA"/>
    <w:rsid w:val="00140380"/>
    <w:rsid w:val="0014051C"/>
    <w:rsid w:val="001405A0"/>
    <w:rsid w:val="00140921"/>
    <w:rsid w:val="00140FF3"/>
    <w:rsid w:val="00141DEA"/>
    <w:rsid w:val="00142A56"/>
    <w:rsid w:val="00142AE8"/>
    <w:rsid w:val="00142FA1"/>
    <w:rsid w:val="0014320C"/>
    <w:rsid w:val="00143E4B"/>
    <w:rsid w:val="00143EB9"/>
    <w:rsid w:val="0014445A"/>
    <w:rsid w:val="001447D2"/>
    <w:rsid w:val="00145EDC"/>
    <w:rsid w:val="00147723"/>
    <w:rsid w:val="00147DC5"/>
    <w:rsid w:val="00150054"/>
    <w:rsid w:val="001503E0"/>
    <w:rsid w:val="00150DD0"/>
    <w:rsid w:val="00152085"/>
    <w:rsid w:val="00152829"/>
    <w:rsid w:val="00152944"/>
    <w:rsid w:val="0015335C"/>
    <w:rsid w:val="00154179"/>
    <w:rsid w:val="001558D7"/>
    <w:rsid w:val="0015592F"/>
    <w:rsid w:val="00155EEE"/>
    <w:rsid w:val="00155F1D"/>
    <w:rsid w:val="001571B9"/>
    <w:rsid w:val="00157341"/>
    <w:rsid w:val="001577B2"/>
    <w:rsid w:val="00157A9F"/>
    <w:rsid w:val="00157AAB"/>
    <w:rsid w:val="00157CE4"/>
    <w:rsid w:val="001600A4"/>
    <w:rsid w:val="001603B5"/>
    <w:rsid w:val="001604B8"/>
    <w:rsid w:val="0016108B"/>
    <w:rsid w:val="00161150"/>
    <w:rsid w:val="0016235F"/>
    <w:rsid w:val="00162778"/>
    <w:rsid w:val="00162AAD"/>
    <w:rsid w:val="00162CEF"/>
    <w:rsid w:val="0016356D"/>
    <w:rsid w:val="00163742"/>
    <w:rsid w:val="001638DF"/>
    <w:rsid w:val="0016411C"/>
    <w:rsid w:val="0016440B"/>
    <w:rsid w:val="00164449"/>
    <w:rsid w:val="0016465A"/>
    <w:rsid w:val="0016499F"/>
    <w:rsid w:val="00165F52"/>
    <w:rsid w:val="00166496"/>
    <w:rsid w:val="00166F26"/>
    <w:rsid w:val="00166F35"/>
    <w:rsid w:val="00167A34"/>
    <w:rsid w:val="00167E2C"/>
    <w:rsid w:val="00170952"/>
    <w:rsid w:val="00170976"/>
    <w:rsid w:val="001710D1"/>
    <w:rsid w:val="00171725"/>
    <w:rsid w:val="0017269A"/>
    <w:rsid w:val="00172A98"/>
    <w:rsid w:val="001733D5"/>
    <w:rsid w:val="0017348C"/>
    <w:rsid w:val="001739DA"/>
    <w:rsid w:val="001739F5"/>
    <w:rsid w:val="001747B4"/>
    <w:rsid w:val="00174911"/>
    <w:rsid w:val="001749B0"/>
    <w:rsid w:val="00174F72"/>
    <w:rsid w:val="00175827"/>
    <w:rsid w:val="0017642E"/>
    <w:rsid w:val="0017695A"/>
    <w:rsid w:val="00176967"/>
    <w:rsid w:val="00176DEE"/>
    <w:rsid w:val="001773AE"/>
    <w:rsid w:val="00180064"/>
    <w:rsid w:val="0018009D"/>
    <w:rsid w:val="00180166"/>
    <w:rsid w:val="0018037F"/>
    <w:rsid w:val="001805B4"/>
    <w:rsid w:val="00180C0F"/>
    <w:rsid w:val="00180D3C"/>
    <w:rsid w:val="00180E3B"/>
    <w:rsid w:val="001819A8"/>
    <w:rsid w:val="00182F27"/>
    <w:rsid w:val="00183113"/>
    <w:rsid w:val="001836BA"/>
    <w:rsid w:val="00183937"/>
    <w:rsid w:val="00183D04"/>
    <w:rsid w:val="00184083"/>
    <w:rsid w:val="0018495E"/>
    <w:rsid w:val="00184C6F"/>
    <w:rsid w:val="00185513"/>
    <w:rsid w:val="00186608"/>
    <w:rsid w:val="00187268"/>
    <w:rsid w:val="00190214"/>
    <w:rsid w:val="00190E99"/>
    <w:rsid w:val="00190F48"/>
    <w:rsid w:val="0019136D"/>
    <w:rsid w:val="001913E1"/>
    <w:rsid w:val="001917D9"/>
    <w:rsid w:val="00192FD4"/>
    <w:rsid w:val="0019332D"/>
    <w:rsid w:val="001937A5"/>
    <w:rsid w:val="001940F0"/>
    <w:rsid w:val="001947BA"/>
    <w:rsid w:val="00194D8A"/>
    <w:rsid w:val="0019569B"/>
    <w:rsid w:val="00196280"/>
    <w:rsid w:val="001965CC"/>
    <w:rsid w:val="00196728"/>
    <w:rsid w:val="001970F2"/>
    <w:rsid w:val="0019748D"/>
    <w:rsid w:val="001A013D"/>
    <w:rsid w:val="001A0782"/>
    <w:rsid w:val="001A0B42"/>
    <w:rsid w:val="001A1A51"/>
    <w:rsid w:val="001A1B32"/>
    <w:rsid w:val="001A1FD8"/>
    <w:rsid w:val="001A2434"/>
    <w:rsid w:val="001A25F1"/>
    <w:rsid w:val="001A306B"/>
    <w:rsid w:val="001A39CF"/>
    <w:rsid w:val="001A4221"/>
    <w:rsid w:val="001A45C1"/>
    <w:rsid w:val="001A4B7F"/>
    <w:rsid w:val="001A5F27"/>
    <w:rsid w:val="001A6423"/>
    <w:rsid w:val="001A64EB"/>
    <w:rsid w:val="001A7439"/>
    <w:rsid w:val="001A7870"/>
    <w:rsid w:val="001A7D5B"/>
    <w:rsid w:val="001A7EDC"/>
    <w:rsid w:val="001B02A6"/>
    <w:rsid w:val="001B17B9"/>
    <w:rsid w:val="001B2FCD"/>
    <w:rsid w:val="001B30F7"/>
    <w:rsid w:val="001B3279"/>
    <w:rsid w:val="001B413D"/>
    <w:rsid w:val="001B4593"/>
    <w:rsid w:val="001B4974"/>
    <w:rsid w:val="001B4E52"/>
    <w:rsid w:val="001B54FA"/>
    <w:rsid w:val="001B56BC"/>
    <w:rsid w:val="001B5F45"/>
    <w:rsid w:val="001B60FE"/>
    <w:rsid w:val="001B6216"/>
    <w:rsid w:val="001B658D"/>
    <w:rsid w:val="001B77F0"/>
    <w:rsid w:val="001B7BA1"/>
    <w:rsid w:val="001C04BF"/>
    <w:rsid w:val="001C0710"/>
    <w:rsid w:val="001C1241"/>
    <w:rsid w:val="001C14CB"/>
    <w:rsid w:val="001C1B41"/>
    <w:rsid w:val="001C2003"/>
    <w:rsid w:val="001C2173"/>
    <w:rsid w:val="001C217B"/>
    <w:rsid w:val="001C29C2"/>
    <w:rsid w:val="001C2A75"/>
    <w:rsid w:val="001C2F45"/>
    <w:rsid w:val="001C3032"/>
    <w:rsid w:val="001C311D"/>
    <w:rsid w:val="001C38BC"/>
    <w:rsid w:val="001C3B2D"/>
    <w:rsid w:val="001C3FE4"/>
    <w:rsid w:val="001C4006"/>
    <w:rsid w:val="001C460D"/>
    <w:rsid w:val="001C48AF"/>
    <w:rsid w:val="001C4ADD"/>
    <w:rsid w:val="001C50DC"/>
    <w:rsid w:val="001C52AF"/>
    <w:rsid w:val="001C5D79"/>
    <w:rsid w:val="001C6025"/>
    <w:rsid w:val="001C66D3"/>
    <w:rsid w:val="001C68E7"/>
    <w:rsid w:val="001C6C1E"/>
    <w:rsid w:val="001C6E0E"/>
    <w:rsid w:val="001C6F52"/>
    <w:rsid w:val="001D02D5"/>
    <w:rsid w:val="001D12B7"/>
    <w:rsid w:val="001D1343"/>
    <w:rsid w:val="001D1A17"/>
    <w:rsid w:val="001D1FC1"/>
    <w:rsid w:val="001D3218"/>
    <w:rsid w:val="001D3CD0"/>
    <w:rsid w:val="001D41F0"/>
    <w:rsid w:val="001D42A6"/>
    <w:rsid w:val="001D475E"/>
    <w:rsid w:val="001D4D75"/>
    <w:rsid w:val="001D59B1"/>
    <w:rsid w:val="001D5FB5"/>
    <w:rsid w:val="001D652F"/>
    <w:rsid w:val="001D68D0"/>
    <w:rsid w:val="001D6BA1"/>
    <w:rsid w:val="001D6D5D"/>
    <w:rsid w:val="001D75F2"/>
    <w:rsid w:val="001D7B45"/>
    <w:rsid w:val="001D7D96"/>
    <w:rsid w:val="001E0270"/>
    <w:rsid w:val="001E0808"/>
    <w:rsid w:val="001E1061"/>
    <w:rsid w:val="001E10CA"/>
    <w:rsid w:val="001E2867"/>
    <w:rsid w:val="001E2D48"/>
    <w:rsid w:val="001E3030"/>
    <w:rsid w:val="001E3060"/>
    <w:rsid w:val="001E31D4"/>
    <w:rsid w:val="001E3F3E"/>
    <w:rsid w:val="001E477E"/>
    <w:rsid w:val="001E4D7D"/>
    <w:rsid w:val="001E53FB"/>
    <w:rsid w:val="001E59A9"/>
    <w:rsid w:val="001E5A1A"/>
    <w:rsid w:val="001E5F04"/>
    <w:rsid w:val="001E699E"/>
    <w:rsid w:val="001E6C29"/>
    <w:rsid w:val="001E6C37"/>
    <w:rsid w:val="001F094C"/>
    <w:rsid w:val="001F0B72"/>
    <w:rsid w:val="001F1143"/>
    <w:rsid w:val="001F3B00"/>
    <w:rsid w:val="001F4A4B"/>
    <w:rsid w:val="001F4DB8"/>
    <w:rsid w:val="001F5C23"/>
    <w:rsid w:val="001F5DD2"/>
    <w:rsid w:val="001F62D9"/>
    <w:rsid w:val="001F65E5"/>
    <w:rsid w:val="001F6E7F"/>
    <w:rsid w:val="001F7AE0"/>
    <w:rsid w:val="00200D2E"/>
    <w:rsid w:val="002018AF"/>
    <w:rsid w:val="002027D1"/>
    <w:rsid w:val="00202A19"/>
    <w:rsid w:val="00203841"/>
    <w:rsid w:val="00203AEE"/>
    <w:rsid w:val="00204924"/>
    <w:rsid w:val="00204DFD"/>
    <w:rsid w:val="002056C8"/>
    <w:rsid w:val="00206728"/>
    <w:rsid w:val="002067F4"/>
    <w:rsid w:val="00207544"/>
    <w:rsid w:val="0021055A"/>
    <w:rsid w:val="00210E0E"/>
    <w:rsid w:val="002111AE"/>
    <w:rsid w:val="002112A5"/>
    <w:rsid w:val="00211891"/>
    <w:rsid w:val="00211F19"/>
    <w:rsid w:val="00211F3B"/>
    <w:rsid w:val="002131D3"/>
    <w:rsid w:val="00213A2F"/>
    <w:rsid w:val="0021485B"/>
    <w:rsid w:val="00214962"/>
    <w:rsid w:val="002152E5"/>
    <w:rsid w:val="0021591D"/>
    <w:rsid w:val="00215CE2"/>
    <w:rsid w:val="00217555"/>
    <w:rsid w:val="00217D6A"/>
    <w:rsid w:val="00220F56"/>
    <w:rsid w:val="0022169F"/>
    <w:rsid w:val="00221704"/>
    <w:rsid w:val="002218FD"/>
    <w:rsid w:val="00222050"/>
    <w:rsid w:val="002222EF"/>
    <w:rsid w:val="00222647"/>
    <w:rsid w:val="002226AA"/>
    <w:rsid w:val="00223245"/>
    <w:rsid w:val="002232BE"/>
    <w:rsid w:val="002237F3"/>
    <w:rsid w:val="00223AA5"/>
    <w:rsid w:val="00224AA7"/>
    <w:rsid w:val="00224CA5"/>
    <w:rsid w:val="00224E5F"/>
    <w:rsid w:val="00225375"/>
    <w:rsid w:val="002256AE"/>
    <w:rsid w:val="00225D07"/>
    <w:rsid w:val="00227020"/>
    <w:rsid w:val="002277C3"/>
    <w:rsid w:val="0023061B"/>
    <w:rsid w:val="00231242"/>
    <w:rsid w:val="00231CD1"/>
    <w:rsid w:val="00232A3C"/>
    <w:rsid w:val="00233353"/>
    <w:rsid w:val="00234BE7"/>
    <w:rsid w:val="00234DE9"/>
    <w:rsid w:val="002351E7"/>
    <w:rsid w:val="0023660F"/>
    <w:rsid w:val="002368C5"/>
    <w:rsid w:val="00236FA5"/>
    <w:rsid w:val="002374C5"/>
    <w:rsid w:val="0024070A"/>
    <w:rsid w:val="002411A1"/>
    <w:rsid w:val="00241B9E"/>
    <w:rsid w:val="00241D97"/>
    <w:rsid w:val="00241F98"/>
    <w:rsid w:val="0024247E"/>
    <w:rsid w:val="0024379B"/>
    <w:rsid w:val="00244E7D"/>
    <w:rsid w:val="00245446"/>
    <w:rsid w:val="00245452"/>
    <w:rsid w:val="00245F40"/>
    <w:rsid w:val="002461CD"/>
    <w:rsid w:val="00246859"/>
    <w:rsid w:val="00246E7D"/>
    <w:rsid w:val="00247019"/>
    <w:rsid w:val="00247403"/>
    <w:rsid w:val="00247542"/>
    <w:rsid w:val="00247592"/>
    <w:rsid w:val="00247E0E"/>
    <w:rsid w:val="00250662"/>
    <w:rsid w:val="00250B61"/>
    <w:rsid w:val="00250F0E"/>
    <w:rsid w:val="00250F42"/>
    <w:rsid w:val="0025100E"/>
    <w:rsid w:val="0025135E"/>
    <w:rsid w:val="002520C0"/>
    <w:rsid w:val="00253609"/>
    <w:rsid w:val="00253DE5"/>
    <w:rsid w:val="00253E5E"/>
    <w:rsid w:val="00253F1B"/>
    <w:rsid w:val="00254210"/>
    <w:rsid w:val="00254856"/>
    <w:rsid w:val="00255140"/>
    <w:rsid w:val="002552DF"/>
    <w:rsid w:val="0025532E"/>
    <w:rsid w:val="00255475"/>
    <w:rsid w:val="00255759"/>
    <w:rsid w:val="00255BE3"/>
    <w:rsid w:val="002560C3"/>
    <w:rsid w:val="00256813"/>
    <w:rsid w:val="00256D45"/>
    <w:rsid w:val="0025711C"/>
    <w:rsid w:val="0025726B"/>
    <w:rsid w:val="0025755D"/>
    <w:rsid w:val="00257893"/>
    <w:rsid w:val="00260C70"/>
    <w:rsid w:val="0026109F"/>
    <w:rsid w:val="0026124E"/>
    <w:rsid w:val="0026154C"/>
    <w:rsid w:val="00261C06"/>
    <w:rsid w:val="002626A2"/>
    <w:rsid w:val="002626F5"/>
    <w:rsid w:val="00262C41"/>
    <w:rsid w:val="00262ECA"/>
    <w:rsid w:val="00262FF2"/>
    <w:rsid w:val="00263B2B"/>
    <w:rsid w:val="00264033"/>
    <w:rsid w:val="00264870"/>
    <w:rsid w:val="00264944"/>
    <w:rsid w:val="00264998"/>
    <w:rsid w:val="00264A11"/>
    <w:rsid w:val="00264E59"/>
    <w:rsid w:val="00265031"/>
    <w:rsid w:val="00266092"/>
    <w:rsid w:val="00266B61"/>
    <w:rsid w:val="0026712A"/>
    <w:rsid w:val="00267891"/>
    <w:rsid w:val="00267EF0"/>
    <w:rsid w:val="0027004C"/>
    <w:rsid w:val="002701A7"/>
    <w:rsid w:val="002704DB"/>
    <w:rsid w:val="002704E0"/>
    <w:rsid w:val="002706E4"/>
    <w:rsid w:val="00270C7A"/>
    <w:rsid w:val="00271104"/>
    <w:rsid w:val="00271175"/>
    <w:rsid w:val="0027128E"/>
    <w:rsid w:val="00272570"/>
    <w:rsid w:val="00272596"/>
    <w:rsid w:val="00272854"/>
    <w:rsid w:val="00272A02"/>
    <w:rsid w:val="00272DEF"/>
    <w:rsid w:val="00272F7D"/>
    <w:rsid w:val="00273032"/>
    <w:rsid w:val="002730F6"/>
    <w:rsid w:val="00273854"/>
    <w:rsid w:val="00273DE2"/>
    <w:rsid w:val="00274F86"/>
    <w:rsid w:val="002758EF"/>
    <w:rsid w:val="00275FC9"/>
    <w:rsid w:val="0027671E"/>
    <w:rsid w:val="00276C31"/>
    <w:rsid w:val="002772E3"/>
    <w:rsid w:val="002809AC"/>
    <w:rsid w:val="0028111A"/>
    <w:rsid w:val="00281829"/>
    <w:rsid w:val="00283909"/>
    <w:rsid w:val="0028392E"/>
    <w:rsid w:val="002840B2"/>
    <w:rsid w:val="00284130"/>
    <w:rsid w:val="00284173"/>
    <w:rsid w:val="00284E86"/>
    <w:rsid w:val="002869C6"/>
    <w:rsid w:val="00287642"/>
    <w:rsid w:val="00287B22"/>
    <w:rsid w:val="00290094"/>
    <w:rsid w:val="0029089D"/>
    <w:rsid w:val="00291C7D"/>
    <w:rsid w:val="00292239"/>
    <w:rsid w:val="0029275D"/>
    <w:rsid w:val="00292CEC"/>
    <w:rsid w:val="00293513"/>
    <w:rsid w:val="0029354F"/>
    <w:rsid w:val="0029397E"/>
    <w:rsid w:val="00293AEB"/>
    <w:rsid w:val="00293B75"/>
    <w:rsid w:val="00293CA2"/>
    <w:rsid w:val="0029466E"/>
    <w:rsid w:val="00294727"/>
    <w:rsid w:val="00294B4A"/>
    <w:rsid w:val="00294FA9"/>
    <w:rsid w:val="002955D3"/>
    <w:rsid w:val="002957D7"/>
    <w:rsid w:val="00295C76"/>
    <w:rsid w:val="0029615A"/>
    <w:rsid w:val="002963E4"/>
    <w:rsid w:val="00296BE8"/>
    <w:rsid w:val="0029715B"/>
    <w:rsid w:val="00297288"/>
    <w:rsid w:val="0029754B"/>
    <w:rsid w:val="00297B6C"/>
    <w:rsid w:val="002A00C2"/>
    <w:rsid w:val="002A036F"/>
    <w:rsid w:val="002A05B1"/>
    <w:rsid w:val="002A1564"/>
    <w:rsid w:val="002A1C6E"/>
    <w:rsid w:val="002A1D6A"/>
    <w:rsid w:val="002A1EF3"/>
    <w:rsid w:val="002A24D4"/>
    <w:rsid w:val="002A2593"/>
    <w:rsid w:val="002A2720"/>
    <w:rsid w:val="002A2BEB"/>
    <w:rsid w:val="002A353A"/>
    <w:rsid w:val="002A3CD5"/>
    <w:rsid w:val="002A4B4A"/>
    <w:rsid w:val="002A5150"/>
    <w:rsid w:val="002A5269"/>
    <w:rsid w:val="002A6EAD"/>
    <w:rsid w:val="002A733A"/>
    <w:rsid w:val="002A78CC"/>
    <w:rsid w:val="002A7925"/>
    <w:rsid w:val="002A7A01"/>
    <w:rsid w:val="002B008D"/>
    <w:rsid w:val="002B0BE7"/>
    <w:rsid w:val="002B0C15"/>
    <w:rsid w:val="002B110C"/>
    <w:rsid w:val="002B1184"/>
    <w:rsid w:val="002B1D55"/>
    <w:rsid w:val="002B29F1"/>
    <w:rsid w:val="002B2AB5"/>
    <w:rsid w:val="002B30E6"/>
    <w:rsid w:val="002B33F6"/>
    <w:rsid w:val="002B3A2B"/>
    <w:rsid w:val="002B3CCF"/>
    <w:rsid w:val="002B4417"/>
    <w:rsid w:val="002B4B61"/>
    <w:rsid w:val="002B5794"/>
    <w:rsid w:val="002B5AF9"/>
    <w:rsid w:val="002B5F8A"/>
    <w:rsid w:val="002B6002"/>
    <w:rsid w:val="002B6682"/>
    <w:rsid w:val="002B7448"/>
    <w:rsid w:val="002C0B64"/>
    <w:rsid w:val="002C10D7"/>
    <w:rsid w:val="002C1641"/>
    <w:rsid w:val="002C1EB3"/>
    <w:rsid w:val="002C1F13"/>
    <w:rsid w:val="002C2792"/>
    <w:rsid w:val="002C2FB9"/>
    <w:rsid w:val="002C3312"/>
    <w:rsid w:val="002C3671"/>
    <w:rsid w:val="002C37C7"/>
    <w:rsid w:val="002C3D66"/>
    <w:rsid w:val="002C4070"/>
    <w:rsid w:val="002C440D"/>
    <w:rsid w:val="002C527E"/>
    <w:rsid w:val="002C58D2"/>
    <w:rsid w:val="002C5A89"/>
    <w:rsid w:val="002C5BCE"/>
    <w:rsid w:val="002C5DC6"/>
    <w:rsid w:val="002C5EC4"/>
    <w:rsid w:val="002C6557"/>
    <w:rsid w:val="002C6C33"/>
    <w:rsid w:val="002D0295"/>
    <w:rsid w:val="002D033F"/>
    <w:rsid w:val="002D064D"/>
    <w:rsid w:val="002D12CF"/>
    <w:rsid w:val="002D1B85"/>
    <w:rsid w:val="002D1CFA"/>
    <w:rsid w:val="002D33B3"/>
    <w:rsid w:val="002D40D8"/>
    <w:rsid w:val="002D41C9"/>
    <w:rsid w:val="002D45C2"/>
    <w:rsid w:val="002D4CA0"/>
    <w:rsid w:val="002D5514"/>
    <w:rsid w:val="002D5D4E"/>
    <w:rsid w:val="002D628F"/>
    <w:rsid w:val="002D6E69"/>
    <w:rsid w:val="002D7148"/>
    <w:rsid w:val="002D7DC4"/>
    <w:rsid w:val="002D7EA2"/>
    <w:rsid w:val="002E03A4"/>
    <w:rsid w:val="002E10CD"/>
    <w:rsid w:val="002E10DC"/>
    <w:rsid w:val="002E15DF"/>
    <w:rsid w:val="002E16E8"/>
    <w:rsid w:val="002E187C"/>
    <w:rsid w:val="002E18E3"/>
    <w:rsid w:val="002E1CDE"/>
    <w:rsid w:val="002E2267"/>
    <w:rsid w:val="002E2779"/>
    <w:rsid w:val="002E349E"/>
    <w:rsid w:val="002E35D7"/>
    <w:rsid w:val="002E3921"/>
    <w:rsid w:val="002E3C15"/>
    <w:rsid w:val="002E42B5"/>
    <w:rsid w:val="002E432F"/>
    <w:rsid w:val="002E4F0A"/>
    <w:rsid w:val="002E5A58"/>
    <w:rsid w:val="002E61E7"/>
    <w:rsid w:val="002E620F"/>
    <w:rsid w:val="002E6267"/>
    <w:rsid w:val="002E6663"/>
    <w:rsid w:val="002E6B47"/>
    <w:rsid w:val="002E6E57"/>
    <w:rsid w:val="002E70EC"/>
    <w:rsid w:val="002E755E"/>
    <w:rsid w:val="002E7736"/>
    <w:rsid w:val="002E78C1"/>
    <w:rsid w:val="002E7E79"/>
    <w:rsid w:val="002F0138"/>
    <w:rsid w:val="002F023D"/>
    <w:rsid w:val="002F097A"/>
    <w:rsid w:val="002F17C9"/>
    <w:rsid w:val="002F1B00"/>
    <w:rsid w:val="002F1B4A"/>
    <w:rsid w:val="002F2358"/>
    <w:rsid w:val="002F2430"/>
    <w:rsid w:val="002F2D41"/>
    <w:rsid w:val="002F2FCB"/>
    <w:rsid w:val="002F30A3"/>
    <w:rsid w:val="002F3202"/>
    <w:rsid w:val="002F3554"/>
    <w:rsid w:val="002F3598"/>
    <w:rsid w:val="002F35CB"/>
    <w:rsid w:val="002F3D27"/>
    <w:rsid w:val="002F3E55"/>
    <w:rsid w:val="002F414B"/>
    <w:rsid w:val="002F443F"/>
    <w:rsid w:val="002F4FE5"/>
    <w:rsid w:val="002F503E"/>
    <w:rsid w:val="002F5686"/>
    <w:rsid w:val="002F5941"/>
    <w:rsid w:val="002F5E45"/>
    <w:rsid w:val="002F6201"/>
    <w:rsid w:val="002F63D9"/>
    <w:rsid w:val="002F64D5"/>
    <w:rsid w:val="002F6C1E"/>
    <w:rsid w:val="002F6ECD"/>
    <w:rsid w:val="002F7B0F"/>
    <w:rsid w:val="00300F96"/>
    <w:rsid w:val="00301075"/>
    <w:rsid w:val="00301990"/>
    <w:rsid w:val="00301B3D"/>
    <w:rsid w:val="00301F71"/>
    <w:rsid w:val="00302733"/>
    <w:rsid w:val="003035DD"/>
    <w:rsid w:val="00303B04"/>
    <w:rsid w:val="00303D2D"/>
    <w:rsid w:val="00304182"/>
    <w:rsid w:val="0030446B"/>
    <w:rsid w:val="00304EED"/>
    <w:rsid w:val="003058E3"/>
    <w:rsid w:val="0030600F"/>
    <w:rsid w:val="00306012"/>
    <w:rsid w:val="00306C30"/>
    <w:rsid w:val="00306D2A"/>
    <w:rsid w:val="003070DE"/>
    <w:rsid w:val="003070EA"/>
    <w:rsid w:val="00307577"/>
    <w:rsid w:val="00307C8D"/>
    <w:rsid w:val="00307DF7"/>
    <w:rsid w:val="00310A00"/>
    <w:rsid w:val="00310EFD"/>
    <w:rsid w:val="003112C6"/>
    <w:rsid w:val="00311628"/>
    <w:rsid w:val="00311A4F"/>
    <w:rsid w:val="00313332"/>
    <w:rsid w:val="00313519"/>
    <w:rsid w:val="00313D9B"/>
    <w:rsid w:val="00314078"/>
    <w:rsid w:val="00315905"/>
    <w:rsid w:val="00316026"/>
    <w:rsid w:val="00316559"/>
    <w:rsid w:val="003166CB"/>
    <w:rsid w:val="003169FA"/>
    <w:rsid w:val="0031724D"/>
    <w:rsid w:val="00317255"/>
    <w:rsid w:val="00317E8A"/>
    <w:rsid w:val="00317FC6"/>
    <w:rsid w:val="003201AA"/>
    <w:rsid w:val="00320402"/>
    <w:rsid w:val="00320A64"/>
    <w:rsid w:val="00320AB6"/>
    <w:rsid w:val="00320D26"/>
    <w:rsid w:val="003215F2"/>
    <w:rsid w:val="003218DF"/>
    <w:rsid w:val="00321A96"/>
    <w:rsid w:val="00322398"/>
    <w:rsid w:val="00322450"/>
    <w:rsid w:val="0032360D"/>
    <w:rsid w:val="00323860"/>
    <w:rsid w:val="003241CF"/>
    <w:rsid w:val="003242B1"/>
    <w:rsid w:val="003245A7"/>
    <w:rsid w:val="003246B5"/>
    <w:rsid w:val="00324882"/>
    <w:rsid w:val="003249CF"/>
    <w:rsid w:val="003267B5"/>
    <w:rsid w:val="00327501"/>
    <w:rsid w:val="00327AC5"/>
    <w:rsid w:val="00330196"/>
    <w:rsid w:val="00330450"/>
    <w:rsid w:val="0033054B"/>
    <w:rsid w:val="00330DB1"/>
    <w:rsid w:val="00330E0E"/>
    <w:rsid w:val="0033161A"/>
    <w:rsid w:val="00331687"/>
    <w:rsid w:val="0033169F"/>
    <w:rsid w:val="00331F29"/>
    <w:rsid w:val="00332045"/>
    <w:rsid w:val="00332152"/>
    <w:rsid w:val="003326C2"/>
    <w:rsid w:val="00332A4D"/>
    <w:rsid w:val="003330D2"/>
    <w:rsid w:val="00333FDB"/>
    <w:rsid w:val="003343F1"/>
    <w:rsid w:val="00334B00"/>
    <w:rsid w:val="00336085"/>
    <w:rsid w:val="00337546"/>
    <w:rsid w:val="003378E0"/>
    <w:rsid w:val="00337961"/>
    <w:rsid w:val="00337C43"/>
    <w:rsid w:val="003407E0"/>
    <w:rsid w:val="00340A95"/>
    <w:rsid w:val="003410A6"/>
    <w:rsid w:val="003414AC"/>
    <w:rsid w:val="003414E6"/>
    <w:rsid w:val="00341F71"/>
    <w:rsid w:val="00342070"/>
    <w:rsid w:val="003427EA"/>
    <w:rsid w:val="00342FA8"/>
    <w:rsid w:val="00343330"/>
    <w:rsid w:val="003447BB"/>
    <w:rsid w:val="003447DA"/>
    <w:rsid w:val="00344B38"/>
    <w:rsid w:val="0034569F"/>
    <w:rsid w:val="00345AEC"/>
    <w:rsid w:val="00346D16"/>
    <w:rsid w:val="00347742"/>
    <w:rsid w:val="00351655"/>
    <w:rsid w:val="003520F3"/>
    <w:rsid w:val="0035485A"/>
    <w:rsid w:val="00354D5D"/>
    <w:rsid w:val="00355079"/>
    <w:rsid w:val="00355351"/>
    <w:rsid w:val="00355779"/>
    <w:rsid w:val="00356185"/>
    <w:rsid w:val="003567C7"/>
    <w:rsid w:val="00357206"/>
    <w:rsid w:val="00357961"/>
    <w:rsid w:val="00357C4D"/>
    <w:rsid w:val="00357D78"/>
    <w:rsid w:val="00360380"/>
    <w:rsid w:val="0036056F"/>
    <w:rsid w:val="0036137D"/>
    <w:rsid w:val="00361EB7"/>
    <w:rsid w:val="00362872"/>
    <w:rsid w:val="00362FE0"/>
    <w:rsid w:val="0036346A"/>
    <w:rsid w:val="00363954"/>
    <w:rsid w:val="003642D6"/>
    <w:rsid w:val="00364B6E"/>
    <w:rsid w:val="003659F2"/>
    <w:rsid w:val="00365D52"/>
    <w:rsid w:val="00366182"/>
    <w:rsid w:val="00366DBE"/>
    <w:rsid w:val="00367444"/>
    <w:rsid w:val="003675B8"/>
    <w:rsid w:val="003676F1"/>
    <w:rsid w:val="0036775E"/>
    <w:rsid w:val="00367CD6"/>
    <w:rsid w:val="00367EDD"/>
    <w:rsid w:val="00370DD4"/>
    <w:rsid w:val="0037116B"/>
    <w:rsid w:val="003712A0"/>
    <w:rsid w:val="003712A7"/>
    <w:rsid w:val="00371EFD"/>
    <w:rsid w:val="003729BF"/>
    <w:rsid w:val="00372AD5"/>
    <w:rsid w:val="00372B13"/>
    <w:rsid w:val="00372F8E"/>
    <w:rsid w:val="00373790"/>
    <w:rsid w:val="003741EF"/>
    <w:rsid w:val="003745F9"/>
    <w:rsid w:val="00374940"/>
    <w:rsid w:val="003750C8"/>
    <w:rsid w:val="003759D2"/>
    <w:rsid w:val="00375D88"/>
    <w:rsid w:val="00376244"/>
    <w:rsid w:val="00376462"/>
    <w:rsid w:val="00376CCB"/>
    <w:rsid w:val="00377614"/>
    <w:rsid w:val="00377ACE"/>
    <w:rsid w:val="00377AD8"/>
    <w:rsid w:val="00380645"/>
    <w:rsid w:val="00380831"/>
    <w:rsid w:val="00380A1D"/>
    <w:rsid w:val="00380AC1"/>
    <w:rsid w:val="00380B68"/>
    <w:rsid w:val="00380ECF"/>
    <w:rsid w:val="00381A63"/>
    <w:rsid w:val="0038209A"/>
    <w:rsid w:val="0038245A"/>
    <w:rsid w:val="00382598"/>
    <w:rsid w:val="0038262B"/>
    <w:rsid w:val="00382CE7"/>
    <w:rsid w:val="003832D9"/>
    <w:rsid w:val="0038330F"/>
    <w:rsid w:val="00383440"/>
    <w:rsid w:val="00383691"/>
    <w:rsid w:val="00384072"/>
    <w:rsid w:val="0038421B"/>
    <w:rsid w:val="00384BAF"/>
    <w:rsid w:val="0038559B"/>
    <w:rsid w:val="00385B08"/>
    <w:rsid w:val="00386CF0"/>
    <w:rsid w:val="00386F39"/>
    <w:rsid w:val="00386FEA"/>
    <w:rsid w:val="003877F8"/>
    <w:rsid w:val="00390045"/>
    <w:rsid w:val="003902B2"/>
    <w:rsid w:val="00390397"/>
    <w:rsid w:val="0039061F"/>
    <w:rsid w:val="00390D19"/>
    <w:rsid w:val="00391056"/>
    <w:rsid w:val="00391B88"/>
    <w:rsid w:val="00391CD8"/>
    <w:rsid w:val="00392748"/>
    <w:rsid w:val="003937BC"/>
    <w:rsid w:val="00393C8E"/>
    <w:rsid w:val="00394608"/>
    <w:rsid w:val="0039471C"/>
    <w:rsid w:val="00394A5D"/>
    <w:rsid w:val="00395C89"/>
    <w:rsid w:val="00396106"/>
    <w:rsid w:val="003963B7"/>
    <w:rsid w:val="003964BF"/>
    <w:rsid w:val="003A187E"/>
    <w:rsid w:val="003A18F4"/>
    <w:rsid w:val="003A1AE3"/>
    <w:rsid w:val="003A27F4"/>
    <w:rsid w:val="003A2DC1"/>
    <w:rsid w:val="003A33F8"/>
    <w:rsid w:val="003A348D"/>
    <w:rsid w:val="003A3C43"/>
    <w:rsid w:val="003A430F"/>
    <w:rsid w:val="003A4790"/>
    <w:rsid w:val="003A485E"/>
    <w:rsid w:val="003A4B42"/>
    <w:rsid w:val="003A527A"/>
    <w:rsid w:val="003A54CE"/>
    <w:rsid w:val="003A565C"/>
    <w:rsid w:val="003A5CAF"/>
    <w:rsid w:val="003A5DB5"/>
    <w:rsid w:val="003A5E9B"/>
    <w:rsid w:val="003A6019"/>
    <w:rsid w:val="003A632E"/>
    <w:rsid w:val="003A7118"/>
    <w:rsid w:val="003A71F1"/>
    <w:rsid w:val="003A789A"/>
    <w:rsid w:val="003A7BFE"/>
    <w:rsid w:val="003B0978"/>
    <w:rsid w:val="003B1BD7"/>
    <w:rsid w:val="003B1D61"/>
    <w:rsid w:val="003B268A"/>
    <w:rsid w:val="003B27EA"/>
    <w:rsid w:val="003B2C86"/>
    <w:rsid w:val="003B349D"/>
    <w:rsid w:val="003B3E27"/>
    <w:rsid w:val="003B3E94"/>
    <w:rsid w:val="003B408A"/>
    <w:rsid w:val="003B4AB3"/>
    <w:rsid w:val="003B4B47"/>
    <w:rsid w:val="003B4DEB"/>
    <w:rsid w:val="003B5191"/>
    <w:rsid w:val="003B5C8C"/>
    <w:rsid w:val="003B63A0"/>
    <w:rsid w:val="003B640E"/>
    <w:rsid w:val="003B6423"/>
    <w:rsid w:val="003B66DC"/>
    <w:rsid w:val="003B6950"/>
    <w:rsid w:val="003C1A36"/>
    <w:rsid w:val="003C21BD"/>
    <w:rsid w:val="003C240D"/>
    <w:rsid w:val="003C269F"/>
    <w:rsid w:val="003C32BC"/>
    <w:rsid w:val="003C3722"/>
    <w:rsid w:val="003C3ABB"/>
    <w:rsid w:val="003C42CB"/>
    <w:rsid w:val="003C49F4"/>
    <w:rsid w:val="003C4BC0"/>
    <w:rsid w:val="003C4F69"/>
    <w:rsid w:val="003C54AD"/>
    <w:rsid w:val="003C57E7"/>
    <w:rsid w:val="003C6480"/>
    <w:rsid w:val="003C7061"/>
    <w:rsid w:val="003C789A"/>
    <w:rsid w:val="003C7C3D"/>
    <w:rsid w:val="003D007D"/>
    <w:rsid w:val="003D0C05"/>
    <w:rsid w:val="003D0D3E"/>
    <w:rsid w:val="003D1D4D"/>
    <w:rsid w:val="003D1E49"/>
    <w:rsid w:val="003D2871"/>
    <w:rsid w:val="003D2C7F"/>
    <w:rsid w:val="003D3279"/>
    <w:rsid w:val="003D3435"/>
    <w:rsid w:val="003D3507"/>
    <w:rsid w:val="003D3CAC"/>
    <w:rsid w:val="003D3E1C"/>
    <w:rsid w:val="003D3F3F"/>
    <w:rsid w:val="003D40A7"/>
    <w:rsid w:val="003D45DE"/>
    <w:rsid w:val="003D4A67"/>
    <w:rsid w:val="003D51A2"/>
    <w:rsid w:val="003D5263"/>
    <w:rsid w:val="003D56C2"/>
    <w:rsid w:val="003D598B"/>
    <w:rsid w:val="003D5A38"/>
    <w:rsid w:val="003D5C6C"/>
    <w:rsid w:val="003D5CD7"/>
    <w:rsid w:val="003D5F18"/>
    <w:rsid w:val="003D684D"/>
    <w:rsid w:val="003D79BC"/>
    <w:rsid w:val="003D7CCF"/>
    <w:rsid w:val="003E06A3"/>
    <w:rsid w:val="003E0852"/>
    <w:rsid w:val="003E0ABC"/>
    <w:rsid w:val="003E14B0"/>
    <w:rsid w:val="003E1FEC"/>
    <w:rsid w:val="003E2564"/>
    <w:rsid w:val="003E2DFE"/>
    <w:rsid w:val="003E366F"/>
    <w:rsid w:val="003E3AD6"/>
    <w:rsid w:val="003E475D"/>
    <w:rsid w:val="003E4D93"/>
    <w:rsid w:val="003E4E8A"/>
    <w:rsid w:val="003E520F"/>
    <w:rsid w:val="003E60B8"/>
    <w:rsid w:val="003E65E7"/>
    <w:rsid w:val="003E68BB"/>
    <w:rsid w:val="003E6D7E"/>
    <w:rsid w:val="003E6FB6"/>
    <w:rsid w:val="003E70A6"/>
    <w:rsid w:val="003E7291"/>
    <w:rsid w:val="003E7380"/>
    <w:rsid w:val="003E752C"/>
    <w:rsid w:val="003E7F11"/>
    <w:rsid w:val="003F0153"/>
    <w:rsid w:val="003F03FA"/>
    <w:rsid w:val="003F06FB"/>
    <w:rsid w:val="003F0B2B"/>
    <w:rsid w:val="003F0EFF"/>
    <w:rsid w:val="003F1230"/>
    <w:rsid w:val="003F19D4"/>
    <w:rsid w:val="003F1BBF"/>
    <w:rsid w:val="003F1CFA"/>
    <w:rsid w:val="003F2D46"/>
    <w:rsid w:val="003F42A8"/>
    <w:rsid w:val="003F572E"/>
    <w:rsid w:val="003F57C9"/>
    <w:rsid w:val="003F5C67"/>
    <w:rsid w:val="003F6707"/>
    <w:rsid w:val="003F7001"/>
    <w:rsid w:val="003F7161"/>
    <w:rsid w:val="00400B9A"/>
    <w:rsid w:val="00400C14"/>
    <w:rsid w:val="00400E6B"/>
    <w:rsid w:val="00400EA4"/>
    <w:rsid w:val="00400FDE"/>
    <w:rsid w:val="00400FF0"/>
    <w:rsid w:val="004010E9"/>
    <w:rsid w:val="0040128B"/>
    <w:rsid w:val="004022E4"/>
    <w:rsid w:val="004023A0"/>
    <w:rsid w:val="00402B6C"/>
    <w:rsid w:val="00403306"/>
    <w:rsid w:val="00404333"/>
    <w:rsid w:val="00404A51"/>
    <w:rsid w:val="00404EFC"/>
    <w:rsid w:val="00404F22"/>
    <w:rsid w:val="00405991"/>
    <w:rsid w:val="00405F19"/>
    <w:rsid w:val="00406721"/>
    <w:rsid w:val="00406CB6"/>
    <w:rsid w:val="0040735D"/>
    <w:rsid w:val="0040759C"/>
    <w:rsid w:val="00407E1A"/>
    <w:rsid w:val="00407F3D"/>
    <w:rsid w:val="004106DD"/>
    <w:rsid w:val="00410840"/>
    <w:rsid w:val="00410925"/>
    <w:rsid w:val="00410E41"/>
    <w:rsid w:val="00411459"/>
    <w:rsid w:val="00411E9E"/>
    <w:rsid w:val="0041204B"/>
    <w:rsid w:val="004122AE"/>
    <w:rsid w:val="00412AF2"/>
    <w:rsid w:val="00413779"/>
    <w:rsid w:val="0041384F"/>
    <w:rsid w:val="00413B37"/>
    <w:rsid w:val="004142F6"/>
    <w:rsid w:val="0041459D"/>
    <w:rsid w:val="00414A54"/>
    <w:rsid w:val="00414D3F"/>
    <w:rsid w:val="004150D2"/>
    <w:rsid w:val="004154F4"/>
    <w:rsid w:val="00415BAE"/>
    <w:rsid w:val="00416443"/>
    <w:rsid w:val="004165C2"/>
    <w:rsid w:val="00416614"/>
    <w:rsid w:val="00416AD8"/>
    <w:rsid w:val="00416BC5"/>
    <w:rsid w:val="00416CB3"/>
    <w:rsid w:val="00417263"/>
    <w:rsid w:val="004172CB"/>
    <w:rsid w:val="00417356"/>
    <w:rsid w:val="0041749E"/>
    <w:rsid w:val="0041797E"/>
    <w:rsid w:val="00420486"/>
    <w:rsid w:val="00421966"/>
    <w:rsid w:val="00421D29"/>
    <w:rsid w:val="00422536"/>
    <w:rsid w:val="00422543"/>
    <w:rsid w:val="00422E3D"/>
    <w:rsid w:val="00423240"/>
    <w:rsid w:val="00423909"/>
    <w:rsid w:val="00423E69"/>
    <w:rsid w:val="004250D6"/>
    <w:rsid w:val="004262BB"/>
    <w:rsid w:val="004264FA"/>
    <w:rsid w:val="00426A93"/>
    <w:rsid w:val="00426DB7"/>
    <w:rsid w:val="00427406"/>
    <w:rsid w:val="0042749C"/>
    <w:rsid w:val="00427737"/>
    <w:rsid w:val="00427A53"/>
    <w:rsid w:val="00430052"/>
    <w:rsid w:val="00430AB4"/>
    <w:rsid w:val="00430F9F"/>
    <w:rsid w:val="00431085"/>
    <w:rsid w:val="0043193E"/>
    <w:rsid w:val="00432731"/>
    <w:rsid w:val="004332C3"/>
    <w:rsid w:val="004337C0"/>
    <w:rsid w:val="004343C8"/>
    <w:rsid w:val="00435A67"/>
    <w:rsid w:val="00435DF5"/>
    <w:rsid w:val="00436653"/>
    <w:rsid w:val="00436C66"/>
    <w:rsid w:val="004375C9"/>
    <w:rsid w:val="00437A98"/>
    <w:rsid w:val="004401E5"/>
    <w:rsid w:val="00440CD9"/>
    <w:rsid w:val="00440DB6"/>
    <w:rsid w:val="00440E90"/>
    <w:rsid w:val="004413C0"/>
    <w:rsid w:val="00441D48"/>
    <w:rsid w:val="00443C71"/>
    <w:rsid w:val="004443A8"/>
    <w:rsid w:val="00444596"/>
    <w:rsid w:val="00445183"/>
    <w:rsid w:val="00445C74"/>
    <w:rsid w:val="00445DAD"/>
    <w:rsid w:val="0044650B"/>
    <w:rsid w:val="004467BD"/>
    <w:rsid w:val="00446F15"/>
    <w:rsid w:val="0044706E"/>
    <w:rsid w:val="00447468"/>
    <w:rsid w:val="00447B8F"/>
    <w:rsid w:val="00447CE2"/>
    <w:rsid w:val="00447D9D"/>
    <w:rsid w:val="0045037E"/>
    <w:rsid w:val="00450A4A"/>
    <w:rsid w:val="00450D96"/>
    <w:rsid w:val="004520C7"/>
    <w:rsid w:val="00453466"/>
    <w:rsid w:val="00454345"/>
    <w:rsid w:val="00454492"/>
    <w:rsid w:val="0045481D"/>
    <w:rsid w:val="00455165"/>
    <w:rsid w:val="0045524E"/>
    <w:rsid w:val="004563B1"/>
    <w:rsid w:val="00456608"/>
    <w:rsid w:val="0045672D"/>
    <w:rsid w:val="00456CCD"/>
    <w:rsid w:val="00456D70"/>
    <w:rsid w:val="00456FF9"/>
    <w:rsid w:val="00457228"/>
    <w:rsid w:val="00457974"/>
    <w:rsid w:val="00457B89"/>
    <w:rsid w:val="004600B6"/>
    <w:rsid w:val="004602DB"/>
    <w:rsid w:val="0046041C"/>
    <w:rsid w:val="004606C0"/>
    <w:rsid w:val="0046072C"/>
    <w:rsid w:val="00460794"/>
    <w:rsid w:val="00461E19"/>
    <w:rsid w:val="0046208F"/>
    <w:rsid w:val="004621BE"/>
    <w:rsid w:val="004621D7"/>
    <w:rsid w:val="00462248"/>
    <w:rsid w:val="00462781"/>
    <w:rsid w:val="004628BB"/>
    <w:rsid w:val="00462C41"/>
    <w:rsid w:val="00462F9A"/>
    <w:rsid w:val="004642EF"/>
    <w:rsid w:val="0046488C"/>
    <w:rsid w:val="0046574C"/>
    <w:rsid w:val="0046583A"/>
    <w:rsid w:val="004662B0"/>
    <w:rsid w:val="004666FB"/>
    <w:rsid w:val="0046682E"/>
    <w:rsid w:val="00466A6B"/>
    <w:rsid w:val="00466F19"/>
    <w:rsid w:val="00467542"/>
    <w:rsid w:val="00467B7E"/>
    <w:rsid w:val="00467CF1"/>
    <w:rsid w:val="0047006D"/>
    <w:rsid w:val="004702E9"/>
    <w:rsid w:val="00470FD7"/>
    <w:rsid w:val="004715B7"/>
    <w:rsid w:val="00471BC8"/>
    <w:rsid w:val="00471ED1"/>
    <w:rsid w:val="00472B0E"/>
    <w:rsid w:val="004730AF"/>
    <w:rsid w:val="00473197"/>
    <w:rsid w:val="0047327D"/>
    <w:rsid w:val="00475C62"/>
    <w:rsid w:val="00475DDB"/>
    <w:rsid w:val="004761C6"/>
    <w:rsid w:val="00476B10"/>
    <w:rsid w:val="004773D3"/>
    <w:rsid w:val="00477BE3"/>
    <w:rsid w:val="00477D29"/>
    <w:rsid w:val="00477F5C"/>
    <w:rsid w:val="00480045"/>
    <w:rsid w:val="004804D4"/>
    <w:rsid w:val="00480502"/>
    <w:rsid w:val="00480B24"/>
    <w:rsid w:val="00480FC3"/>
    <w:rsid w:val="004810B3"/>
    <w:rsid w:val="0048119E"/>
    <w:rsid w:val="004817BD"/>
    <w:rsid w:val="00481C1F"/>
    <w:rsid w:val="00482208"/>
    <w:rsid w:val="00482528"/>
    <w:rsid w:val="00482644"/>
    <w:rsid w:val="00483146"/>
    <w:rsid w:val="00483697"/>
    <w:rsid w:val="00483974"/>
    <w:rsid w:val="00483D9E"/>
    <w:rsid w:val="00484B2F"/>
    <w:rsid w:val="00484EA7"/>
    <w:rsid w:val="00484F80"/>
    <w:rsid w:val="004850C2"/>
    <w:rsid w:val="00485C07"/>
    <w:rsid w:val="00486A15"/>
    <w:rsid w:val="0048701C"/>
    <w:rsid w:val="004907E1"/>
    <w:rsid w:val="00490BE7"/>
    <w:rsid w:val="00490C98"/>
    <w:rsid w:val="0049419D"/>
    <w:rsid w:val="004949AA"/>
    <w:rsid w:val="00494ACB"/>
    <w:rsid w:val="00494BFF"/>
    <w:rsid w:val="00495029"/>
    <w:rsid w:val="00495396"/>
    <w:rsid w:val="00495BFC"/>
    <w:rsid w:val="00495CD7"/>
    <w:rsid w:val="004962B8"/>
    <w:rsid w:val="00496687"/>
    <w:rsid w:val="00496C69"/>
    <w:rsid w:val="00496DBC"/>
    <w:rsid w:val="00497493"/>
    <w:rsid w:val="0049749D"/>
    <w:rsid w:val="004977D3"/>
    <w:rsid w:val="00497D68"/>
    <w:rsid w:val="004A0895"/>
    <w:rsid w:val="004A0977"/>
    <w:rsid w:val="004A1588"/>
    <w:rsid w:val="004A17A5"/>
    <w:rsid w:val="004A1B3A"/>
    <w:rsid w:val="004A1B66"/>
    <w:rsid w:val="004A1EEA"/>
    <w:rsid w:val="004A2B9D"/>
    <w:rsid w:val="004A37A5"/>
    <w:rsid w:val="004A3806"/>
    <w:rsid w:val="004A38DF"/>
    <w:rsid w:val="004A3DC4"/>
    <w:rsid w:val="004A3E0F"/>
    <w:rsid w:val="004A423C"/>
    <w:rsid w:val="004A4400"/>
    <w:rsid w:val="004A4A3E"/>
    <w:rsid w:val="004A4DB0"/>
    <w:rsid w:val="004A514F"/>
    <w:rsid w:val="004A53E7"/>
    <w:rsid w:val="004A5614"/>
    <w:rsid w:val="004A5A1D"/>
    <w:rsid w:val="004A5E29"/>
    <w:rsid w:val="004A6298"/>
    <w:rsid w:val="004A6629"/>
    <w:rsid w:val="004A6C43"/>
    <w:rsid w:val="004B0A49"/>
    <w:rsid w:val="004B13D0"/>
    <w:rsid w:val="004B16F9"/>
    <w:rsid w:val="004B1A98"/>
    <w:rsid w:val="004B1BD9"/>
    <w:rsid w:val="004B23FB"/>
    <w:rsid w:val="004B2429"/>
    <w:rsid w:val="004B2762"/>
    <w:rsid w:val="004B2DE8"/>
    <w:rsid w:val="004B31F9"/>
    <w:rsid w:val="004B388C"/>
    <w:rsid w:val="004B40A9"/>
    <w:rsid w:val="004B45B7"/>
    <w:rsid w:val="004B4611"/>
    <w:rsid w:val="004B4E6F"/>
    <w:rsid w:val="004B62CE"/>
    <w:rsid w:val="004B62D2"/>
    <w:rsid w:val="004B634D"/>
    <w:rsid w:val="004B6691"/>
    <w:rsid w:val="004B7D4C"/>
    <w:rsid w:val="004B7EB6"/>
    <w:rsid w:val="004C0FE4"/>
    <w:rsid w:val="004C14B0"/>
    <w:rsid w:val="004C17B4"/>
    <w:rsid w:val="004C2235"/>
    <w:rsid w:val="004C427F"/>
    <w:rsid w:val="004C4B62"/>
    <w:rsid w:val="004C5505"/>
    <w:rsid w:val="004C599D"/>
    <w:rsid w:val="004C68B8"/>
    <w:rsid w:val="004C7257"/>
    <w:rsid w:val="004C758F"/>
    <w:rsid w:val="004C77DC"/>
    <w:rsid w:val="004C7B18"/>
    <w:rsid w:val="004C7EE2"/>
    <w:rsid w:val="004C7EF0"/>
    <w:rsid w:val="004D0229"/>
    <w:rsid w:val="004D15C2"/>
    <w:rsid w:val="004D37B1"/>
    <w:rsid w:val="004D45F7"/>
    <w:rsid w:val="004D46A5"/>
    <w:rsid w:val="004D4782"/>
    <w:rsid w:val="004D4A6A"/>
    <w:rsid w:val="004D4D1B"/>
    <w:rsid w:val="004D4E01"/>
    <w:rsid w:val="004D5FA1"/>
    <w:rsid w:val="004D6025"/>
    <w:rsid w:val="004D61E8"/>
    <w:rsid w:val="004D657F"/>
    <w:rsid w:val="004D6A97"/>
    <w:rsid w:val="004D715B"/>
    <w:rsid w:val="004D72BC"/>
    <w:rsid w:val="004D78B4"/>
    <w:rsid w:val="004E021C"/>
    <w:rsid w:val="004E13F5"/>
    <w:rsid w:val="004E2452"/>
    <w:rsid w:val="004E2FE2"/>
    <w:rsid w:val="004E3A16"/>
    <w:rsid w:val="004E4761"/>
    <w:rsid w:val="004E4C6B"/>
    <w:rsid w:val="004E4E84"/>
    <w:rsid w:val="004E662D"/>
    <w:rsid w:val="004E6C9C"/>
    <w:rsid w:val="004E7578"/>
    <w:rsid w:val="004F04A5"/>
    <w:rsid w:val="004F07A6"/>
    <w:rsid w:val="004F0842"/>
    <w:rsid w:val="004F0928"/>
    <w:rsid w:val="004F0B52"/>
    <w:rsid w:val="004F15C4"/>
    <w:rsid w:val="004F16E8"/>
    <w:rsid w:val="004F173D"/>
    <w:rsid w:val="004F1DAD"/>
    <w:rsid w:val="004F2694"/>
    <w:rsid w:val="004F2FC4"/>
    <w:rsid w:val="004F302F"/>
    <w:rsid w:val="004F37CA"/>
    <w:rsid w:val="004F38E0"/>
    <w:rsid w:val="004F3905"/>
    <w:rsid w:val="004F441A"/>
    <w:rsid w:val="004F48CC"/>
    <w:rsid w:val="004F4C1C"/>
    <w:rsid w:val="004F530D"/>
    <w:rsid w:val="004F5466"/>
    <w:rsid w:val="004F5EE6"/>
    <w:rsid w:val="004F6949"/>
    <w:rsid w:val="004F69EA"/>
    <w:rsid w:val="004F69ED"/>
    <w:rsid w:val="004F6D1E"/>
    <w:rsid w:val="004F7707"/>
    <w:rsid w:val="004F7B86"/>
    <w:rsid w:val="0050076E"/>
    <w:rsid w:val="005008C7"/>
    <w:rsid w:val="00501399"/>
    <w:rsid w:val="00501CF1"/>
    <w:rsid w:val="00501D2A"/>
    <w:rsid w:val="00501D6B"/>
    <w:rsid w:val="00501DFB"/>
    <w:rsid w:val="005022A2"/>
    <w:rsid w:val="00502E35"/>
    <w:rsid w:val="00503834"/>
    <w:rsid w:val="00503C4C"/>
    <w:rsid w:val="0050536C"/>
    <w:rsid w:val="005057A5"/>
    <w:rsid w:val="005057C7"/>
    <w:rsid w:val="00505B63"/>
    <w:rsid w:val="005066A4"/>
    <w:rsid w:val="005068B0"/>
    <w:rsid w:val="00507534"/>
    <w:rsid w:val="005076FD"/>
    <w:rsid w:val="00507B5A"/>
    <w:rsid w:val="00507BC4"/>
    <w:rsid w:val="00507C24"/>
    <w:rsid w:val="00510142"/>
    <w:rsid w:val="00510311"/>
    <w:rsid w:val="00510327"/>
    <w:rsid w:val="0051113F"/>
    <w:rsid w:val="00511E3F"/>
    <w:rsid w:val="005128E4"/>
    <w:rsid w:val="00512A35"/>
    <w:rsid w:val="00513229"/>
    <w:rsid w:val="00513A45"/>
    <w:rsid w:val="00513B84"/>
    <w:rsid w:val="005140FC"/>
    <w:rsid w:val="005142E0"/>
    <w:rsid w:val="005152B7"/>
    <w:rsid w:val="00516035"/>
    <w:rsid w:val="00516196"/>
    <w:rsid w:val="00516BBE"/>
    <w:rsid w:val="00520095"/>
    <w:rsid w:val="00520369"/>
    <w:rsid w:val="00520FB9"/>
    <w:rsid w:val="00521895"/>
    <w:rsid w:val="00521909"/>
    <w:rsid w:val="005223AF"/>
    <w:rsid w:val="00522646"/>
    <w:rsid w:val="005234E7"/>
    <w:rsid w:val="00523977"/>
    <w:rsid w:val="00524268"/>
    <w:rsid w:val="00524748"/>
    <w:rsid w:val="00524EB4"/>
    <w:rsid w:val="00525278"/>
    <w:rsid w:val="00525560"/>
    <w:rsid w:val="00525C32"/>
    <w:rsid w:val="00525F05"/>
    <w:rsid w:val="00526204"/>
    <w:rsid w:val="00526492"/>
    <w:rsid w:val="005267AC"/>
    <w:rsid w:val="00526EF8"/>
    <w:rsid w:val="0052719A"/>
    <w:rsid w:val="00527461"/>
    <w:rsid w:val="00527E0A"/>
    <w:rsid w:val="00530295"/>
    <w:rsid w:val="00530B2B"/>
    <w:rsid w:val="00531008"/>
    <w:rsid w:val="0053134C"/>
    <w:rsid w:val="005313DA"/>
    <w:rsid w:val="00531517"/>
    <w:rsid w:val="0053187E"/>
    <w:rsid w:val="005325F6"/>
    <w:rsid w:val="005343C0"/>
    <w:rsid w:val="005346E1"/>
    <w:rsid w:val="00535135"/>
    <w:rsid w:val="005357A6"/>
    <w:rsid w:val="0053592E"/>
    <w:rsid w:val="00535D22"/>
    <w:rsid w:val="00535F3F"/>
    <w:rsid w:val="00535FF9"/>
    <w:rsid w:val="005366E5"/>
    <w:rsid w:val="005367D0"/>
    <w:rsid w:val="00536848"/>
    <w:rsid w:val="005369AE"/>
    <w:rsid w:val="00536ADF"/>
    <w:rsid w:val="00536B9E"/>
    <w:rsid w:val="00537159"/>
    <w:rsid w:val="00537BF9"/>
    <w:rsid w:val="005401F2"/>
    <w:rsid w:val="00540472"/>
    <w:rsid w:val="00540853"/>
    <w:rsid w:val="00540AEC"/>
    <w:rsid w:val="00541B01"/>
    <w:rsid w:val="005422EF"/>
    <w:rsid w:val="00542375"/>
    <w:rsid w:val="005430A6"/>
    <w:rsid w:val="00543705"/>
    <w:rsid w:val="005439C3"/>
    <w:rsid w:val="00544C49"/>
    <w:rsid w:val="0054561F"/>
    <w:rsid w:val="005456B2"/>
    <w:rsid w:val="00545886"/>
    <w:rsid w:val="005458F3"/>
    <w:rsid w:val="0054591A"/>
    <w:rsid w:val="00546C7A"/>
    <w:rsid w:val="00547EB7"/>
    <w:rsid w:val="00550141"/>
    <w:rsid w:val="00550FAA"/>
    <w:rsid w:val="005514A9"/>
    <w:rsid w:val="0055160C"/>
    <w:rsid w:val="00552510"/>
    <w:rsid w:val="005531BB"/>
    <w:rsid w:val="00553A04"/>
    <w:rsid w:val="00553EC6"/>
    <w:rsid w:val="00554BAB"/>
    <w:rsid w:val="00554D3A"/>
    <w:rsid w:val="00555492"/>
    <w:rsid w:val="00555780"/>
    <w:rsid w:val="005557F2"/>
    <w:rsid w:val="00555A6E"/>
    <w:rsid w:val="00555C6B"/>
    <w:rsid w:val="00555E95"/>
    <w:rsid w:val="0055667E"/>
    <w:rsid w:val="00557C07"/>
    <w:rsid w:val="00560563"/>
    <w:rsid w:val="005613AC"/>
    <w:rsid w:val="00561869"/>
    <w:rsid w:val="00562460"/>
    <w:rsid w:val="005627FD"/>
    <w:rsid w:val="00562E4A"/>
    <w:rsid w:val="00563167"/>
    <w:rsid w:val="0056330F"/>
    <w:rsid w:val="00563314"/>
    <w:rsid w:val="005633E7"/>
    <w:rsid w:val="00563C47"/>
    <w:rsid w:val="00563F04"/>
    <w:rsid w:val="0056432A"/>
    <w:rsid w:val="005650AC"/>
    <w:rsid w:val="005653D5"/>
    <w:rsid w:val="0056549F"/>
    <w:rsid w:val="005656C4"/>
    <w:rsid w:val="00565B4B"/>
    <w:rsid w:val="00565C1A"/>
    <w:rsid w:val="00566AEA"/>
    <w:rsid w:val="00566FD0"/>
    <w:rsid w:val="00567533"/>
    <w:rsid w:val="00567A47"/>
    <w:rsid w:val="00570699"/>
    <w:rsid w:val="005706EF"/>
    <w:rsid w:val="00570AF2"/>
    <w:rsid w:val="00571247"/>
    <w:rsid w:val="005713C7"/>
    <w:rsid w:val="00571425"/>
    <w:rsid w:val="00571713"/>
    <w:rsid w:val="00572315"/>
    <w:rsid w:val="00572495"/>
    <w:rsid w:val="0057276F"/>
    <w:rsid w:val="00573925"/>
    <w:rsid w:val="00573EB3"/>
    <w:rsid w:val="0057402A"/>
    <w:rsid w:val="00574148"/>
    <w:rsid w:val="005744A4"/>
    <w:rsid w:val="00574D8E"/>
    <w:rsid w:val="0057516B"/>
    <w:rsid w:val="005755D5"/>
    <w:rsid w:val="005761DA"/>
    <w:rsid w:val="005764DD"/>
    <w:rsid w:val="00576832"/>
    <w:rsid w:val="005771D0"/>
    <w:rsid w:val="00577336"/>
    <w:rsid w:val="00577B42"/>
    <w:rsid w:val="0058022B"/>
    <w:rsid w:val="00580E28"/>
    <w:rsid w:val="00580EE0"/>
    <w:rsid w:val="005820ED"/>
    <w:rsid w:val="005826EA"/>
    <w:rsid w:val="00582750"/>
    <w:rsid w:val="00582D0D"/>
    <w:rsid w:val="0058343A"/>
    <w:rsid w:val="00583C2B"/>
    <w:rsid w:val="005840B2"/>
    <w:rsid w:val="0058497E"/>
    <w:rsid w:val="00584C28"/>
    <w:rsid w:val="00584F43"/>
    <w:rsid w:val="00585DED"/>
    <w:rsid w:val="0058751B"/>
    <w:rsid w:val="00587964"/>
    <w:rsid w:val="00590239"/>
    <w:rsid w:val="005902A3"/>
    <w:rsid w:val="0059066D"/>
    <w:rsid w:val="00590872"/>
    <w:rsid w:val="00590A3C"/>
    <w:rsid w:val="00590A78"/>
    <w:rsid w:val="00590BF3"/>
    <w:rsid w:val="00590C43"/>
    <w:rsid w:val="00590C5B"/>
    <w:rsid w:val="00590E8E"/>
    <w:rsid w:val="005910C0"/>
    <w:rsid w:val="005916E2"/>
    <w:rsid w:val="005916F8"/>
    <w:rsid w:val="0059191A"/>
    <w:rsid w:val="00591B96"/>
    <w:rsid w:val="00591F60"/>
    <w:rsid w:val="005921FF"/>
    <w:rsid w:val="00592299"/>
    <w:rsid w:val="00592A6D"/>
    <w:rsid w:val="00592EDC"/>
    <w:rsid w:val="0059318E"/>
    <w:rsid w:val="005937E2"/>
    <w:rsid w:val="005946FF"/>
    <w:rsid w:val="00594772"/>
    <w:rsid w:val="00594CE1"/>
    <w:rsid w:val="00595766"/>
    <w:rsid w:val="005959C4"/>
    <w:rsid w:val="00595EDB"/>
    <w:rsid w:val="00596514"/>
    <w:rsid w:val="0059670F"/>
    <w:rsid w:val="00596AB5"/>
    <w:rsid w:val="00596ABE"/>
    <w:rsid w:val="00596AD3"/>
    <w:rsid w:val="00596B97"/>
    <w:rsid w:val="00596F42"/>
    <w:rsid w:val="00597162"/>
    <w:rsid w:val="0059770B"/>
    <w:rsid w:val="00597C8A"/>
    <w:rsid w:val="005A01B6"/>
    <w:rsid w:val="005A0410"/>
    <w:rsid w:val="005A0B5A"/>
    <w:rsid w:val="005A10C2"/>
    <w:rsid w:val="005A1832"/>
    <w:rsid w:val="005A2E9B"/>
    <w:rsid w:val="005A3704"/>
    <w:rsid w:val="005A37BB"/>
    <w:rsid w:val="005A482E"/>
    <w:rsid w:val="005A4B8E"/>
    <w:rsid w:val="005A58AF"/>
    <w:rsid w:val="005A6205"/>
    <w:rsid w:val="005A6A13"/>
    <w:rsid w:val="005A6D0E"/>
    <w:rsid w:val="005A6E50"/>
    <w:rsid w:val="005A6E68"/>
    <w:rsid w:val="005A734E"/>
    <w:rsid w:val="005B0001"/>
    <w:rsid w:val="005B0676"/>
    <w:rsid w:val="005B0C41"/>
    <w:rsid w:val="005B12C2"/>
    <w:rsid w:val="005B1DBA"/>
    <w:rsid w:val="005B222D"/>
    <w:rsid w:val="005B222E"/>
    <w:rsid w:val="005B245E"/>
    <w:rsid w:val="005B28A7"/>
    <w:rsid w:val="005B2F88"/>
    <w:rsid w:val="005B3609"/>
    <w:rsid w:val="005B3795"/>
    <w:rsid w:val="005B3A12"/>
    <w:rsid w:val="005B3DEC"/>
    <w:rsid w:val="005B3EF2"/>
    <w:rsid w:val="005B52B0"/>
    <w:rsid w:val="005B65AF"/>
    <w:rsid w:val="005B67DE"/>
    <w:rsid w:val="005B6806"/>
    <w:rsid w:val="005B711D"/>
    <w:rsid w:val="005B7EDC"/>
    <w:rsid w:val="005C00AF"/>
    <w:rsid w:val="005C00F9"/>
    <w:rsid w:val="005C0100"/>
    <w:rsid w:val="005C05FA"/>
    <w:rsid w:val="005C164F"/>
    <w:rsid w:val="005C16CF"/>
    <w:rsid w:val="005C1853"/>
    <w:rsid w:val="005C1A8D"/>
    <w:rsid w:val="005C1D8E"/>
    <w:rsid w:val="005C207A"/>
    <w:rsid w:val="005C23BD"/>
    <w:rsid w:val="005C2B10"/>
    <w:rsid w:val="005C2BA2"/>
    <w:rsid w:val="005C2E02"/>
    <w:rsid w:val="005C3149"/>
    <w:rsid w:val="005C34BB"/>
    <w:rsid w:val="005C3944"/>
    <w:rsid w:val="005C3DAB"/>
    <w:rsid w:val="005C3E22"/>
    <w:rsid w:val="005C4011"/>
    <w:rsid w:val="005C4225"/>
    <w:rsid w:val="005C44DE"/>
    <w:rsid w:val="005C4541"/>
    <w:rsid w:val="005C456D"/>
    <w:rsid w:val="005C4AF4"/>
    <w:rsid w:val="005C566A"/>
    <w:rsid w:val="005C5F93"/>
    <w:rsid w:val="005C6248"/>
    <w:rsid w:val="005C6674"/>
    <w:rsid w:val="005C6A11"/>
    <w:rsid w:val="005C6F09"/>
    <w:rsid w:val="005D05F4"/>
    <w:rsid w:val="005D0AC5"/>
    <w:rsid w:val="005D0FBF"/>
    <w:rsid w:val="005D1076"/>
    <w:rsid w:val="005D1128"/>
    <w:rsid w:val="005D1CBA"/>
    <w:rsid w:val="005D1D34"/>
    <w:rsid w:val="005D2B93"/>
    <w:rsid w:val="005D2E13"/>
    <w:rsid w:val="005D3E9A"/>
    <w:rsid w:val="005D447F"/>
    <w:rsid w:val="005D489C"/>
    <w:rsid w:val="005D50AD"/>
    <w:rsid w:val="005D55A5"/>
    <w:rsid w:val="005D5A45"/>
    <w:rsid w:val="005D5A94"/>
    <w:rsid w:val="005D5C54"/>
    <w:rsid w:val="005D5DED"/>
    <w:rsid w:val="005D6891"/>
    <w:rsid w:val="005D6A03"/>
    <w:rsid w:val="005D6A17"/>
    <w:rsid w:val="005D6AC4"/>
    <w:rsid w:val="005D6B2C"/>
    <w:rsid w:val="005D7191"/>
    <w:rsid w:val="005D7280"/>
    <w:rsid w:val="005E04BC"/>
    <w:rsid w:val="005E065C"/>
    <w:rsid w:val="005E09BC"/>
    <w:rsid w:val="005E0B92"/>
    <w:rsid w:val="005E0FC3"/>
    <w:rsid w:val="005E1D4B"/>
    <w:rsid w:val="005E22BD"/>
    <w:rsid w:val="005E2BDE"/>
    <w:rsid w:val="005E4013"/>
    <w:rsid w:val="005E47E8"/>
    <w:rsid w:val="005E4A95"/>
    <w:rsid w:val="005E4CF1"/>
    <w:rsid w:val="005E5196"/>
    <w:rsid w:val="005E5258"/>
    <w:rsid w:val="005E5419"/>
    <w:rsid w:val="005E5E0D"/>
    <w:rsid w:val="005E6203"/>
    <w:rsid w:val="005E63CE"/>
    <w:rsid w:val="005E6C0C"/>
    <w:rsid w:val="005E6EE3"/>
    <w:rsid w:val="005E74C5"/>
    <w:rsid w:val="005E7539"/>
    <w:rsid w:val="005E7642"/>
    <w:rsid w:val="005F03C7"/>
    <w:rsid w:val="005F063A"/>
    <w:rsid w:val="005F094B"/>
    <w:rsid w:val="005F0F33"/>
    <w:rsid w:val="005F1C54"/>
    <w:rsid w:val="005F1F31"/>
    <w:rsid w:val="005F2A0D"/>
    <w:rsid w:val="005F32A0"/>
    <w:rsid w:val="005F3F11"/>
    <w:rsid w:val="005F5456"/>
    <w:rsid w:val="005F55DC"/>
    <w:rsid w:val="005F57C1"/>
    <w:rsid w:val="005F7C35"/>
    <w:rsid w:val="00600384"/>
    <w:rsid w:val="0060040E"/>
    <w:rsid w:val="006005C1"/>
    <w:rsid w:val="00600A96"/>
    <w:rsid w:val="00600DEB"/>
    <w:rsid w:val="00600EE3"/>
    <w:rsid w:val="0060181F"/>
    <w:rsid w:val="00602146"/>
    <w:rsid w:val="006021D4"/>
    <w:rsid w:val="0060270A"/>
    <w:rsid w:val="00602B9B"/>
    <w:rsid w:val="00603CB6"/>
    <w:rsid w:val="00603D6F"/>
    <w:rsid w:val="006041C5"/>
    <w:rsid w:val="006045A7"/>
    <w:rsid w:val="006049BD"/>
    <w:rsid w:val="006049EC"/>
    <w:rsid w:val="006049F6"/>
    <w:rsid w:val="00604B83"/>
    <w:rsid w:val="00604BEF"/>
    <w:rsid w:val="006059FA"/>
    <w:rsid w:val="00606B40"/>
    <w:rsid w:val="00607325"/>
    <w:rsid w:val="00607F83"/>
    <w:rsid w:val="006104FA"/>
    <w:rsid w:val="006112EF"/>
    <w:rsid w:val="00612B39"/>
    <w:rsid w:val="00613027"/>
    <w:rsid w:val="00613120"/>
    <w:rsid w:val="00613A08"/>
    <w:rsid w:val="0061412F"/>
    <w:rsid w:val="00614153"/>
    <w:rsid w:val="00614248"/>
    <w:rsid w:val="006146AC"/>
    <w:rsid w:val="00614AE8"/>
    <w:rsid w:val="00615073"/>
    <w:rsid w:val="0061546B"/>
    <w:rsid w:val="00615B67"/>
    <w:rsid w:val="00615F46"/>
    <w:rsid w:val="00616320"/>
    <w:rsid w:val="00617156"/>
    <w:rsid w:val="006176BF"/>
    <w:rsid w:val="00617842"/>
    <w:rsid w:val="006206FF"/>
    <w:rsid w:val="00620A30"/>
    <w:rsid w:val="00620A65"/>
    <w:rsid w:val="00620B75"/>
    <w:rsid w:val="00621B67"/>
    <w:rsid w:val="006220E5"/>
    <w:rsid w:val="006225B7"/>
    <w:rsid w:val="00623324"/>
    <w:rsid w:val="006238CB"/>
    <w:rsid w:val="00624716"/>
    <w:rsid w:val="006247DB"/>
    <w:rsid w:val="00624E66"/>
    <w:rsid w:val="006250EE"/>
    <w:rsid w:val="00625577"/>
    <w:rsid w:val="00625585"/>
    <w:rsid w:val="00625980"/>
    <w:rsid w:val="006260B6"/>
    <w:rsid w:val="00626360"/>
    <w:rsid w:val="006263C9"/>
    <w:rsid w:val="006263CE"/>
    <w:rsid w:val="00626A1D"/>
    <w:rsid w:val="00626FB3"/>
    <w:rsid w:val="006271AD"/>
    <w:rsid w:val="006272AD"/>
    <w:rsid w:val="00627A51"/>
    <w:rsid w:val="00627C9F"/>
    <w:rsid w:val="0063009E"/>
    <w:rsid w:val="006307DF"/>
    <w:rsid w:val="00630A0E"/>
    <w:rsid w:val="00630B42"/>
    <w:rsid w:val="00630C75"/>
    <w:rsid w:val="00630F01"/>
    <w:rsid w:val="00630F7D"/>
    <w:rsid w:val="006311DA"/>
    <w:rsid w:val="006311E9"/>
    <w:rsid w:val="00631FE8"/>
    <w:rsid w:val="006322B9"/>
    <w:rsid w:val="00632354"/>
    <w:rsid w:val="00632429"/>
    <w:rsid w:val="0063262B"/>
    <w:rsid w:val="00632BF2"/>
    <w:rsid w:val="00633261"/>
    <w:rsid w:val="00634FA0"/>
    <w:rsid w:val="006354CD"/>
    <w:rsid w:val="0063586E"/>
    <w:rsid w:val="006360C4"/>
    <w:rsid w:val="00636406"/>
    <w:rsid w:val="00636E0C"/>
    <w:rsid w:val="00636F4A"/>
    <w:rsid w:val="00637539"/>
    <w:rsid w:val="00637B7B"/>
    <w:rsid w:val="00637E84"/>
    <w:rsid w:val="00637EDA"/>
    <w:rsid w:val="00640173"/>
    <w:rsid w:val="0064172A"/>
    <w:rsid w:val="006418C1"/>
    <w:rsid w:val="006420B7"/>
    <w:rsid w:val="00642573"/>
    <w:rsid w:val="00642810"/>
    <w:rsid w:val="00642EBB"/>
    <w:rsid w:val="00643F66"/>
    <w:rsid w:val="006455AC"/>
    <w:rsid w:val="006458AD"/>
    <w:rsid w:val="00646251"/>
    <w:rsid w:val="00647033"/>
    <w:rsid w:val="0064712F"/>
    <w:rsid w:val="006475B4"/>
    <w:rsid w:val="0064793C"/>
    <w:rsid w:val="00650422"/>
    <w:rsid w:val="006504D5"/>
    <w:rsid w:val="00650AA9"/>
    <w:rsid w:val="00650FA3"/>
    <w:rsid w:val="0065154E"/>
    <w:rsid w:val="006516A0"/>
    <w:rsid w:val="006516A4"/>
    <w:rsid w:val="006516FE"/>
    <w:rsid w:val="00651D04"/>
    <w:rsid w:val="00651D1D"/>
    <w:rsid w:val="00652333"/>
    <w:rsid w:val="00652F1B"/>
    <w:rsid w:val="00653FB1"/>
    <w:rsid w:val="006549A4"/>
    <w:rsid w:val="00656085"/>
    <w:rsid w:val="00656FE7"/>
    <w:rsid w:val="0065723A"/>
    <w:rsid w:val="0065765B"/>
    <w:rsid w:val="006605AC"/>
    <w:rsid w:val="006609DD"/>
    <w:rsid w:val="00661E36"/>
    <w:rsid w:val="006625CE"/>
    <w:rsid w:val="00662E23"/>
    <w:rsid w:val="00662F5D"/>
    <w:rsid w:val="006634C1"/>
    <w:rsid w:val="00663536"/>
    <w:rsid w:val="006635A6"/>
    <w:rsid w:val="00663FCB"/>
    <w:rsid w:val="00664C08"/>
    <w:rsid w:val="00664DDE"/>
    <w:rsid w:val="0066584C"/>
    <w:rsid w:val="00666382"/>
    <w:rsid w:val="006663C5"/>
    <w:rsid w:val="00666536"/>
    <w:rsid w:val="0066666B"/>
    <w:rsid w:val="00666AEF"/>
    <w:rsid w:val="0066797D"/>
    <w:rsid w:val="006705A7"/>
    <w:rsid w:val="00670B3D"/>
    <w:rsid w:val="006716B8"/>
    <w:rsid w:val="0067329C"/>
    <w:rsid w:val="00673523"/>
    <w:rsid w:val="00674465"/>
    <w:rsid w:val="0067472A"/>
    <w:rsid w:val="00674C6A"/>
    <w:rsid w:val="006754CD"/>
    <w:rsid w:val="00676888"/>
    <w:rsid w:val="00676ED0"/>
    <w:rsid w:val="00677938"/>
    <w:rsid w:val="00677DA7"/>
    <w:rsid w:val="0068009E"/>
    <w:rsid w:val="00680A71"/>
    <w:rsid w:val="00680AC6"/>
    <w:rsid w:val="00681A6B"/>
    <w:rsid w:val="00681BA6"/>
    <w:rsid w:val="00681ED3"/>
    <w:rsid w:val="00682CC9"/>
    <w:rsid w:val="00682D35"/>
    <w:rsid w:val="006831D4"/>
    <w:rsid w:val="00683305"/>
    <w:rsid w:val="00684434"/>
    <w:rsid w:val="006847BC"/>
    <w:rsid w:val="006849BF"/>
    <w:rsid w:val="00684EFB"/>
    <w:rsid w:val="00685184"/>
    <w:rsid w:val="0068579A"/>
    <w:rsid w:val="006865D7"/>
    <w:rsid w:val="006869EF"/>
    <w:rsid w:val="00686D22"/>
    <w:rsid w:val="00687432"/>
    <w:rsid w:val="006874B7"/>
    <w:rsid w:val="00687725"/>
    <w:rsid w:val="006901ED"/>
    <w:rsid w:val="006912EE"/>
    <w:rsid w:val="00691C6D"/>
    <w:rsid w:val="00691DE4"/>
    <w:rsid w:val="0069244C"/>
    <w:rsid w:val="00692996"/>
    <w:rsid w:val="00692A55"/>
    <w:rsid w:val="00692F79"/>
    <w:rsid w:val="006951BB"/>
    <w:rsid w:val="0069578C"/>
    <w:rsid w:val="00695EAA"/>
    <w:rsid w:val="00696944"/>
    <w:rsid w:val="00696F6F"/>
    <w:rsid w:val="006972FB"/>
    <w:rsid w:val="00697B2C"/>
    <w:rsid w:val="006A0548"/>
    <w:rsid w:val="006A074F"/>
    <w:rsid w:val="006A078D"/>
    <w:rsid w:val="006A0F00"/>
    <w:rsid w:val="006A0F77"/>
    <w:rsid w:val="006A11FD"/>
    <w:rsid w:val="006A15B5"/>
    <w:rsid w:val="006A17D2"/>
    <w:rsid w:val="006A2490"/>
    <w:rsid w:val="006A288E"/>
    <w:rsid w:val="006A3B33"/>
    <w:rsid w:val="006A3EE1"/>
    <w:rsid w:val="006A4B8C"/>
    <w:rsid w:val="006A508B"/>
    <w:rsid w:val="006A538E"/>
    <w:rsid w:val="006A5570"/>
    <w:rsid w:val="006A58D1"/>
    <w:rsid w:val="006A6DB8"/>
    <w:rsid w:val="006A6E1A"/>
    <w:rsid w:val="006A70B4"/>
    <w:rsid w:val="006A73E6"/>
    <w:rsid w:val="006A7408"/>
    <w:rsid w:val="006A7764"/>
    <w:rsid w:val="006B00DA"/>
    <w:rsid w:val="006B0169"/>
    <w:rsid w:val="006B05D1"/>
    <w:rsid w:val="006B0F2E"/>
    <w:rsid w:val="006B130C"/>
    <w:rsid w:val="006B17B3"/>
    <w:rsid w:val="006B22C0"/>
    <w:rsid w:val="006B231D"/>
    <w:rsid w:val="006B248C"/>
    <w:rsid w:val="006B2623"/>
    <w:rsid w:val="006B265D"/>
    <w:rsid w:val="006B295E"/>
    <w:rsid w:val="006B2D5C"/>
    <w:rsid w:val="006B37DA"/>
    <w:rsid w:val="006B3BC7"/>
    <w:rsid w:val="006B4324"/>
    <w:rsid w:val="006B50D6"/>
    <w:rsid w:val="006B544B"/>
    <w:rsid w:val="006B5C2E"/>
    <w:rsid w:val="006B5FBA"/>
    <w:rsid w:val="006B6D64"/>
    <w:rsid w:val="006B6FFA"/>
    <w:rsid w:val="006B7AD6"/>
    <w:rsid w:val="006C030E"/>
    <w:rsid w:val="006C0F5D"/>
    <w:rsid w:val="006C0F95"/>
    <w:rsid w:val="006C116A"/>
    <w:rsid w:val="006C11E8"/>
    <w:rsid w:val="006C1815"/>
    <w:rsid w:val="006C2346"/>
    <w:rsid w:val="006C2B38"/>
    <w:rsid w:val="006C3179"/>
    <w:rsid w:val="006C4233"/>
    <w:rsid w:val="006C448A"/>
    <w:rsid w:val="006C4596"/>
    <w:rsid w:val="006C4D48"/>
    <w:rsid w:val="006C4EB1"/>
    <w:rsid w:val="006C523B"/>
    <w:rsid w:val="006C555D"/>
    <w:rsid w:val="006C6E31"/>
    <w:rsid w:val="006C73ED"/>
    <w:rsid w:val="006C7E62"/>
    <w:rsid w:val="006D0195"/>
    <w:rsid w:val="006D01E3"/>
    <w:rsid w:val="006D0424"/>
    <w:rsid w:val="006D070F"/>
    <w:rsid w:val="006D0A9A"/>
    <w:rsid w:val="006D0B44"/>
    <w:rsid w:val="006D0F86"/>
    <w:rsid w:val="006D12A5"/>
    <w:rsid w:val="006D1A3C"/>
    <w:rsid w:val="006D1D69"/>
    <w:rsid w:val="006D2C28"/>
    <w:rsid w:val="006D2CC2"/>
    <w:rsid w:val="006D2D13"/>
    <w:rsid w:val="006D48BB"/>
    <w:rsid w:val="006D52FC"/>
    <w:rsid w:val="006D562F"/>
    <w:rsid w:val="006D5D5D"/>
    <w:rsid w:val="006D605A"/>
    <w:rsid w:val="006D6E36"/>
    <w:rsid w:val="006D6FD5"/>
    <w:rsid w:val="006D7976"/>
    <w:rsid w:val="006D7A08"/>
    <w:rsid w:val="006E00AB"/>
    <w:rsid w:val="006E0166"/>
    <w:rsid w:val="006E0404"/>
    <w:rsid w:val="006E0DF6"/>
    <w:rsid w:val="006E0F9B"/>
    <w:rsid w:val="006E0FB2"/>
    <w:rsid w:val="006E1163"/>
    <w:rsid w:val="006E1407"/>
    <w:rsid w:val="006E18B8"/>
    <w:rsid w:val="006E2E6B"/>
    <w:rsid w:val="006E309F"/>
    <w:rsid w:val="006E30DB"/>
    <w:rsid w:val="006E35A0"/>
    <w:rsid w:val="006E3733"/>
    <w:rsid w:val="006E37D3"/>
    <w:rsid w:val="006E4B61"/>
    <w:rsid w:val="006E4CCE"/>
    <w:rsid w:val="006E5C58"/>
    <w:rsid w:val="006E6048"/>
    <w:rsid w:val="006E67F6"/>
    <w:rsid w:val="006E6945"/>
    <w:rsid w:val="006E6C78"/>
    <w:rsid w:val="006E6F1E"/>
    <w:rsid w:val="006E7B34"/>
    <w:rsid w:val="006E7EA4"/>
    <w:rsid w:val="006F157C"/>
    <w:rsid w:val="006F1601"/>
    <w:rsid w:val="006F1716"/>
    <w:rsid w:val="006F2155"/>
    <w:rsid w:val="006F2580"/>
    <w:rsid w:val="006F3590"/>
    <w:rsid w:val="006F3597"/>
    <w:rsid w:val="006F374D"/>
    <w:rsid w:val="006F41F1"/>
    <w:rsid w:val="006F5590"/>
    <w:rsid w:val="006F5723"/>
    <w:rsid w:val="006F57AE"/>
    <w:rsid w:val="006F672E"/>
    <w:rsid w:val="006F6BFD"/>
    <w:rsid w:val="006F6DFD"/>
    <w:rsid w:val="006F6EE6"/>
    <w:rsid w:val="006F7488"/>
    <w:rsid w:val="0070045F"/>
    <w:rsid w:val="00700471"/>
    <w:rsid w:val="00700940"/>
    <w:rsid w:val="00700BCA"/>
    <w:rsid w:val="00700C65"/>
    <w:rsid w:val="00700E42"/>
    <w:rsid w:val="00701487"/>
    <w:rsid w:val="007015C1"/>
    <w:rsid w:val="00701610"/>
    <w:rsid w:val="007016FE"/>
    <w:rsid w:val="00701B24"/>
    <w:rsid w:val="00702565"/>
    <w:rsid w:val="007025EB"/>
    <w:rsid w:val="0070267B"/>
    <w:rsid w:val="00702A7C"/>
    <w:rsid w:val="00702CC5"/>
    <w:rsid w:val="00702CD7"/>
    <w:rsid w:val="00702DE6"/>
    <w:rsid w:val="00702EA5"/>
    <w:rsid w:val="00703320"/>
    <w:rsid w:val="00703F16"/>
    <w:rsid w:val="00703F90"/>
    <w:rsid w:val="0070404E"/>
    <w:rsid w:val="00704098"/>
    <w:rsid w:val="0070456C"/>
    <w:rsid w:val="00704B18"/>
    <w:rsid w:val="00704B88"/>
    <w:rsid w:val="007059E7"/>
    <w:rsid w:val="00705FAC"/>
    <w:rsid w:val="0070603C"/>
    <w:rsid w:val="00706347"/>
    <w:rsid w:val="00706591"/>
    <w:rsid w:val="00706698"/>
    <w:rsid w:val="00706D7E"/>
    <w:rsid w:val="00707486"/>
    <w:rsid w:val="00707A5C"/>
    <w:rsid w:val="00707BAF"/>
    <w:rsid w:val="00707E8E"/>
    <w:rsid w:val="00710376"/>
    <w:rsid w:val="00710ED5"/>
    <w:rsid w:val="00711137"/>
    <w:rsid w:val="00711F7B"/>
    <w:rsid w:val="00713759"/>
    <w:rsid w:val="007140C0"/>
    <w:rsid w:val="00714711"/>
    <w:rsid w:val="00715928"/>
    <w:rsid w:val="00716A38"/>
    <w:rsid w:val="00716BEC"/>
    <w:rsid w:val="00716D62"/>
    <w:rsid w:val="0071747A"/>
    <w:rsid w:val="00717B70"/>
    <w:rsid w:val="0072003B"/>
    <w:rsid w:val="007201F0"/>
    <w:rsid w:val="0072130B"/>
    <w:rsid w:val="00721ABD"/>
    <w:rsid w:val="00721AC2"/>
    <w:rsid w:val="00722293"/>
    <w:rsid w:val="0072287B"/>
    <w:rsid w:val="00722990"/>
    <w:rsid w:val="00722EC5"/>
    <w:rsid w:val="0072335A"/>
    <w:rsid w:val="007237C3"/>
    <w:rsid w:val="0072472F"/>
    <w:rsid w:val="007247E2"/>
    <w:rsid w:val="007258C2"/>
    <w:rsid w:val="00725D2B"/>
    <w:rsid w:val="00727D80"/>
    <w:rsid w:val="00730731"/>
    <w:rsid w:val="0073104E"/>
    <w:rsid w:val="00731457"/>
    <w:rsid w:val="00731DA0"/>
    <w:rsid w:val="00733573"/>
    <w:rsid w:val="00733C24"/>
    <w:rsid w:val="007354E7"/>
    <w:rsid w:val="007359CB"/>
    <w:rsid w:val="00736389"/>
    <w:rsid w:val="00737421"/>
    <w:rsid w:val="00737A15"/>
    <w:rsid w:val="00737D1C"/>
    <w:rsid w:val="007400D8"/>
    <w:rsid w:val="00741346"/>
    <w:rsid w:val="0074145C"/>
    <w:rsid w:val="00741D4C"/>
    <w:rsid w:val="0074296A"/>
    <w:rsid w:val="007433B0"/>
    <w:rsid w:val="0074342D"/>
    <w:rsid w:val="0074375D"/>
    <w:rsid w:val="007451C8"/>
    <w:rsid w:val="0074535C"/>
    <w:rsid w:val="0074572F"/>
    <w:rsid w:val="0074581C"/>
    <w:rsid w:val="00745899"/>
    <w:rsid w:val="00745BEA"/>
    <w:rsid w:val="007472CA"/>
    <w:rsid w:val="007475F5"/>
    <w:rsid w:val="00750078"/>
    <w:rsid w:val="00750568"/>
    <w:rsid w:val="0075074D"/>
    <w:rsid w:val="00750BB6"/>
    <w:rsid w:val="00750E1A"/>
    <w:rsid w:val="007510D4"/>
    <w:rsid w:val="00751379"/>
    <w:rsid w:val="0075164B"/>
    <w:rsid w:val="00752604"/>
    <w:rsid w:val="0075274A"/>
    <w:rsid w:val="00752844"/>
    <w:rsid w:val="0075330C"/>
    <w:rsid w:val="00753374"/>
    <w:rsid w:val="007538FC"/>
    <w:rsid w:val="00754A2A"/>
    <w:rsid w:val="00754E95"/>
    <w:rsid w:val="007552CC"/>
    <w:rsid w:val="00755F05"/>
    <w:rsid w:val="007561AD"/>
    <w:rsid w:val="007569B0"/>
    <w:rsid w:val="00756D00"/>
    <w:rsid w:val="007570FA"/>
    <w:rsid w:val="00757D5A"/>
    <w:rsid w:val="00757F66"/>
    <w:rsid w:val="007603A3"/>
    <w:rsid w:val="007605EC"/>
    <w:rsid w:val="007607C4"/>
    <w:rsid w:val="007607EC"/>
    <w:rsid w:val="007611A5"/>
    <w:rsid w:val="00761A58"/>
    <w:rsid w:val="00761AA5"/>
    <w:rsid w:val="00761FA1"/>
    <w:rsid w:val="007628EE"/>
    <w:rsid w:val="00762A2F"/>
    <w:rsid w:val="00762BA9"/>
    <w:rsid w:val="0076408D"/>
    <w:rsid w:val="00764470"/>
    <w:rsid w:val="00764912"/>
    <w:rsid w:val="0076495F"/>
    <w:rsid w:val="007649AF"/>
    <w:rsid w:val="00764B3B"/>
    <w:rsid w:val="00765584"/>
    <w:rsid w:val="00765CB7"/>
    <w:rsid w:val="0076643F"/>
    <w:rsid w:val="007676F5"/>
    <w:rsid w:val="007707B4"/>
    <w:rsid w:val="00770D4B"/>
    <w:rsid w:val="00771045"/>
    <w:rsid w:val="0077118F"/>
    <w:rsid w:val="00771205"/>
    <w:rsid w:val="00771730"/>
    <w:rsid w:val="00771B62"/>
    <w:rsid w:val="00773C5A"/>
    <w:rsid w:val="00774375"/>
    <w:rsid w:val="007744CC"/>
    <w:rsid w:val="0077454A"/>
    <w:rsid w:val="00774C36"/>
    <w:rsid w:val="00775B53"/>
    <w:rsid w:val="00776561"/>
    <w:rsid w:val="007769BE"/>
    <w:rsid w:val="007771C5"/>
    <w:rsid w:val="007775C0"/>
    <w:rsid w:val="007776FF"/>
    <w:rsid w:val="00777846"/>
    <w:rsid w:val="0078069F"/>
    <w:rsid w:val="007809DA"/>
    <w:rsid w:val="00780BCB"/>
    <w:rsid w:val="00780ED7"/>
    <w:rsid w:val="00781C89"/>
    <w:rsid w:val="007820A7"/>
    <w:rsid w:val="007820BB"/>
    <w:rsid w:val="00782E68"/>
    <w:rsid w:val="0078426B"/>
    <w:rsid w:val="00784600"/>
    <w:rsid w:val="00784694"/>
    <w:rsid w:val="00784DE5"/>
    <w:rsid w:val="00784FEC"/>
    <w:rsid w:val="00785522"/>
    <w:rsid w:val="007855C3"/>
    <w:rsid w:val="0078587E"/>
    <w:rsid w:val="0078595F"/>
    <w:rsid w:val="00785EE3"/>
    <w:rsid w:val="00785F8D"/>
    <w:rsid w:val="00786501"/>
    <w:rsid w:val="007870A2"/>
    <w:rsid w:val="0078761D"/>
    <w:rsid w:val="00787CDF"/>
    <w:rsid w:val="00787D57"/>
    <w:rsid w:val="00790499"/>
    <w:rsid w:val="00791124"/>
    <w:rsid w:val="007913F7"/>
    <w:rsid w:val="00791BF2"/>
    <w:rsid w:val="00792021"/>
    <w:rsid w:val="007928DA"/>
    <w:rsid w:val="00792EA6"/>
    <w:rsid w:val="00793A12"/>
    <w:rsid w:val="0079416E"/>
    <w:rsid w:val="00794415"/>
    <w:rsid w:val="00794A4E"/>
    <w:rsid w:val="00794E14"/>
    <w:rsid w:val="0079513F"/>
    <w:rsid w:val="00795940"/>
    <w:rsid w:val="00795B5E"/>
    <w:rsid w:val="00795E01"/>
    <w:rsid w:val="00796E7A"/>
    <w:rsid w:val="007977A5"/>
    <w:rsid w:val="00797969"/>
    <w:rsid w:val="00797AE7"/>
    <w:rsid w:val="007A13D7"/>
    <w:rsid w:val="007A17C8"/>
    <w:rsid w:val="007A18EB"/>
    <w:rsid w:val="007A1B40"/>
    <w:rsid w:val="007A22A0"/>
    <w:rsid w:val="007A2423"/>
    <w:rsid w:val="007A281C"/>
    <w:rsid w:val="007A2BD9"/>
    <w:rsid w:val="007A2EC7"/>
    <w:rsid w:val="007A2F70"/>
    <w:rsid w:val="007A3293"/>
    <w:rsid w:val="007A329D"/>
    <w:rsid w:val="007A3478"/>
    <w:rsid w:val="007A4240"/>
    <w:rsid w:val="007A4760"/>
    <w:rsid w:val="007A4980"/>
    <w:rsid w:val="007A5158"/>
    <w:rsid w:val="007A51E3"/>
    <w:rsid w:val="007A52E1"/>
    <w:rsid w:val="007A57A6"/>
    <w:rsid w:val="007A5893"/>
    <w:rsid w:val="007A5E25"/>
    <w:rsid w:val="007A5F7F"/>
    <w:rsid w:val="007A636F"/>
    <w:rsid w:val="007A6385"/>
    <w:rsid w:val="007A6474"/>
    <w:rsid w:val="007A7F31"/>
    <w:rsid w:val="007B030C"/>
    <w:rsid w:val="007B04BF"/>
    <w:rsid w:val="007B0DBB"/>
    <w:rsid w:val="007B1494"/>
    <w:rsid w:val="007B186C"/>
    <w:rsid w:val="007B19A1"/>
    <w:rsid w:val="007B19FE"/>
    <w:rsid w:val="007B1A01"/>
    <w:rsid w:val="007B1B6A"/>
    <w:rsid w:val="007B1BD2"/>
    <w:rsid w:val="007B1D1B"/>
    <w:rsid w:val="007B24E8"/>
    <w:rsid w:val="007B2769"/>
    <w:rsid w:val="007B3C72"/>
    <w:rsid w:val="007B430B"/>
    <w:rsid w:val="007B4826"/>
    <w:rsid w:val="007B499F"/>
    <w:rsid w:val="007B4C00"/>
    <w:rsid w:val="007B54BA"/>
    <w:rsid w:val="007B5867"/>
    <w:rsid w:val="007B6279"/>
    <w:rsid w:val="007B6C22"/>
    <w:rsid w:val="007B6EC4"/>
    <w:rsid w:val="007B762A"/>
    <w:rsid w:val="007B794F"/>
    <w:rsid w:val="007C0F3E"/>
    <w:rsid w:val="007C10AC"/>
    <w:rsid w:val="007C16AB"/>
    <w:rsid w:val="007C1BDE"/>
    <w:rsid w:val="007C1D74"/>
    <w:rsid w:val="007C22DF"/>
    <w:rsid w:val="007C2B7D"/>
    <w:rsid w:val="007C2C3C"/>
    <w:rsid w:val="007C3334"/>
    <w:rsid w:val="007C3481"/>
    <w:rsid w:val="007C3734"/>
    <w:rsid w:val="007C42D5"/>
    <w:rsid w:val="007C4478"/>
    <w:rsid w:val="007C4F1C"/>
    <w:rsid w:val="007C50F6"/>
    <w:rsid w:val="007C52BB"/>
    <w:rsid w:val="007C52EB"/>
    <w:rsid w:val="007C5476"/>
    <w:rsid w:val="007C58E8"/>
    <w:rsid w:val="007C6630"/>
    <w:rsid w:val="007C664F"/>
    <w:rsid w:val="007C7402"/>
    <w:rsid w:val="007C757E"/>
    <w:rsid w:val="007C769E"/>
    <w:rsid w:val="007C798F"/>
    <w:rsid w:val="007C7B95"/>
    <w:rsid w:val="007D0207"/>
    <w:rsid w:val="007D0309"/>
    <w:rsid w:val="007D06CB"/>
    <w:rsid w:val="007D071A"/>
    <w:rsid w:val="007D08BD"/>
    <w:rsid w:val="007D105B"/>
    <w:rsid w:val="007D19F0"/>
    <w:rsid w:val="007D20CF"/>
    <w:rsid w:val="007D278F"/>
    <w:rsid w:val="007D2B98"/>
    <w:rsid w:val="007D2FEE"/>
    <w:rsid w:val="007D33BE"/>
    <w:rsid w:val="007D362A"/>
    <w:rsid w:val="007D3E9B"/>
    <w:rsid w:val="007D4A55"/>
    <w:rsid w:val="007D4C93"/>
    <w:rsid w:val="007D4CD9"/>
    <w:rsid w:val="007D4FA5"/>
    <w:rsid w:val="007D5671"/>
    <w:rsid w:val="007D5A45"/>
    <w:rsid w:val="007D69AC"/>
    <w:rsid w:val="007D7C72"/>
    <w:rsid w:val="007D7E06"/>
    <w:rsid w:val="007E048D"/>
    <w:rsid w:val="007E13CE"/>
    <w:rsid w:val="007E160F"/>
    <w:rsid w:val="007E1856"/>
    <w:rsid w:val="007E2569"/>
    <w:rsid w:val="007E271D"/>
    <w:rsid w:val="007E2AC2"/>
    <w:rsid w:val="007E2C05"/>
    <w:rsid w:val="007E2CB3"/>
    <w:rsid w:val="007E33C3"/>
    <w:rsid w:val="007E350C"/>
    <w:rsid w:val="007E42C4"/>
    <w:rsid w:val="007E5338"/>
    <w:rsid w:val="007E59F7"/>
    <w:rsid w:val="007E5CC7"/>
    <w:rsid w:val="007E5EEF"/>
    <w:rsid w:val="007E6DAC"/>
    <w:rsid w:val="007E6E64"/>
    <w:rsid w:val="007E715E"/>
    <w:rsid w:val="007E783F"/>
    <w:rsid w:val="007F05E6"/>
    <w:rsid w:val="007F074A"/>
    <w:rsid w:val="007F1641"/>
    <w:rsid w:val="007F210C"/>
    <w:rsid w:val="007F39A0"/>
    <w:rsid w:val="007F410D"/>
    <w:rsid w:val="007F4167"/>
    <w:rsid w:val="007F42BF"/>
    <w:rsid w:val="007F4652"/>
    <w:rsid w:val="007F4A54"/>
    <w:rsid w:val="007F4B82"/>
    <w:rsid w:val="007F4F2C"/>
    <w:rsid w:val="007F4FE2"/>
    <w:rsid w:val="007F51EF"/>
    <w:rsid w:val="007F5CD1"/>
    <w:rsid w:val="007F6BB0"/>
    <w:rsid w:val="007F701E"/>
    <w:rsid w:val="008007AE"/>
    <w:rsid w:val="00800983"/>
    <w:rsid w:val="00800C25"/>
    <w:rsid w:val="00800E57"/>
    <w:rsid w:val="00800F71"/>
    <w:rsid w:val="00801880"/>
    <w:rsid w:val="00801B96"/>
    <w:rsid w:val="00801C7F"/>
    <w:rsid w:val="00802A23"/>
    <w:rsid w:val="00802DDA"/>
    <w:rsid w:val="0080393B"/>
    <w:rsid w:val="00803C4E"/>
    <w:rsid w:val="00803F1C"/>
    <w:rsid w:val="00804686"/>
    <w:rsid w:val="008053D5"/>
    <w:rsid w:val="0080600E"/>
    <w:rsid w:val="00806658"/>
    <w:rsid w:val="0080677A"/>
    <w:rsid w:val="00807549"/>
    <w:rsid w:val="008101A8"/>
    <w:rsid w:val="0081181A"/>
    <w:rsid w:val="0081256B"/>
    <w:rsid w:val="00812C8D"/>
    <w:rsid w:val="00812EAF"/>
    <w:rsid w:val="0081365E"/>
    <w:rsid w:val="00814843"/>
    <w:rsid w:val="008150B2"/>
    <w:rsid w:val="00816E06"/>
    <w:rsid w:val="0081728E"/>
    <w:rsid w:val="00817612"/>
    <w:rsid w:val="00817884"/>
    <w:rsid w:val="00817967"/>
    <w:rsid w:val="00817D2F"/>
    <w:rsid w:val="00820334"/>
    <w:rsid w:val="008204AE"/>
    <w:rsid w:val="00820573"/>
    <w:rsid w:val="00820D73"/>
    <w:rsid w:val="008215C0"/>
    <w:rsid w:val="008218A2"/>
    <w:rsid w:val="00821F4B"/>
    <w:rsid w:val="00823A91"/>
    <w:rsid w:val="008245AD"/>
    <w:rsid w:val="00824ACC"/>
    <w:rsid w:val="00824B62"/>
    <w:rsid w:val="00825952"/>
    <w:rsid w:val="00825B7F"/>
    <w:rsid w:val="008277A8"/>
    <w:rsid w:val="00827DB7"/>
    <w:rsid w:val="00830C92"/>
    <w:rsid w:val="00830E88"/>
    <w:rsid w:val="008315C5"/>
    <w:rsid w:val="008316A7"/>
    <w:rsid w:val="008317DA"/>
    <w:rsid w:val="00831D65"/>
    <w:rsid w:val="00831E89"/>
    <w:rsid w:val="00832398"/>
    <w:rsid w:val="00834FC9"/>
    <w:rsid w:val="008357F6"/>
    <w:rsid w:val="00835A28"/>
    <w:rsid w:val="00835BDD"/>
    <w:rsid w:val="00835F5A"/>
    <w:rsid w:val="00836223"/>
    <w:rsid w:val="00836E5C"/>
    <w:rsid w:val="0083716D"/>
    <w:rsid w:val="008373B6"/>
    <w:rsid w:val="008379F8"/>
    <w:rsid w:val="00837A50"/>
    <w:rsid w:val="00837C45"/>
    <w:rsid w:val="00837EDD"/>
    <w:rsid w:val="0084043E"/>
    <w:rsid w:val="00840923"/>
    <w:rsid w:val="008414A3"/>
    <w:rsid w:val="008417E4"/>
    <w:rsid w:val="008422DA"/>
    <w:rsid w:val="00842441"/>
    <w:rsid w:val="008426FE"/>
    <w:rsid w:val="0084302E"/>
    <w:rsid w:val="00843C1B"/>
    <w:rsid w:val="00843E8C"/>
    <w:rsid w:val="008448B4"/>
    <w:rsid w:val="0084554C"/>
    <w:rsid w:val="008456F3"/>
    <w:rsid w:val="008459C2"/>
    <w:rsid w:val="00845C1A"/>
    <w:rsid w:val="0084649B"/>
    <w:rsid w:val="00846865"/>
    <w:rsid w:val="00846B2C"/>
    <w:rsid w:val="00846D39"/>
    <w:rsid w:val="008472FB"/>
    <w:rsid w:val="008473B2"/>
    <w:rsid w:val="00847431"/>
    <w:rsid w:val="00847A8B"/>
    <w:rsid w:val="00847B26"/>
    <w:rsid w:val="0085016E"/>
    <w:rsid w:val="00850933"/>
    <w:rsid w:val="008509CC"/>
    <w:rsid w:val="008514E9"/>
    <w:rsid w:val="0085268D"/>
    <w:rsid w:val="00852C3A"/>
    <w:rsid w:val="00852C75"/>
    <w:rsid w:val="0085323F"/>
    <w:rsid w:val="00853419"/>
    <w:rsid w:val="00853512"/>
    <w:rsid w:val="008536EC"/>
    <w:rsid w:val="00853A23"/>
    <w:rsid w:val="00853F53"/>
    <w:rsid w:val="00854FE3"/>
    <w:rsid w:val="00855876"/>
    <w:rsid w:val="008560E1"/>
    <w:rsid w:val="00856256"/>
    <w:rsid w:val="008573A3"/>
    <w:rsid w:val="00860233"/>
    <w:rsid w:val="00860A02"/>
    <w:rsid w:val="00860C50"/>
    <w:rsid w:val="00861437"/>
    <w:rsid w:val="0086147D"/>
    <w:rsid w:val="00861972"/>
    <w:rsid w:val="00861D01"/>
    <w:rsid w:val="00861E51"/>
    <w:rsid w:val="00861EC2"/>
    <w:rsid w:val="00861F6D"/>
    <w:rsid w:val="008628FD"/>
    <w:rsid w:val="00863229"/>
    <w:rsid w:val="00863E9F"/>
    <w:rsid w:val="00864785"/>
    <w:rsid w:val="00865279"/>
    <w:rsid w:val="00865368"/>
    <w:rsid w:val="00865379"/>
    <w:rsid w:val="0086581A"/>
    <w:rsid w:val="00865C9B"/>
    <w:rsid w:val="0086628D"/>
    <w:rsid w:val="008665EC"/>
    <w:rsid w:val="008669E2"/>
    <w:rsid w:val="00866D7E"/>
    <w:rsid w:val="008676D3"/>
    <w:rsid w:val="008678EF"/>
    <w:rsid w:val="00867B70"/>
    <w:rsid w:val="00867DA3"/>
    <w:rsid w:val="0087014C"/>
    <w:rsid w:val="00871372"/>
    <w:rsid w:val="00871656"/>
    <w:rsid w:val="00871EBE"/>
    <w:rsid w:val="00873D49"/>
    <w:rsid w:val="008741A2"/>
    <w:rsid w:val="008745BF"/>
    <w:rsid w:val="00874BEE"/>
    <w:rsid w:val="00875128"/>
    <w:rsid w:val="00875ABB"/>
    <w:rsid w:val="00875EC6"/>
    <w:rsid w:val="00876085"/>
    <w:rsid w:val="00877E1B"/>
    <w:rsid w:val="0088011F"/>
    <w:rsid w:val="00880395"/>
    <w:rsid w:val="00880B21"/>
    <w:rsid w:val="00880F95"/>
    <w:rsid w:val="0088253F"/>
    <w:rsid w:val="00882952"/>
    <w:rsid w:val="00882C32"/>
    <w:rsid w:val="0088373B"/>
    <w:rsid w:val="00883E89"/>
    <w:rsid w:val="00883EA4"/>
    <w:rsid w:val="00884270"/>
    <w:rsid w:val="00885063"/>
    <w:rsid w:val="008869BA"/>
    <w:rsid w:val="00886C29"/>
    <w:rsid w:val="00887B7D"/>
    <w:rsid w:val="00887E8A"/>
    <w:rsid w:val="008903D5"/>
    <w:rsid w:val="0089156D"/>
    <w:rsid w:val="008917C2"/>
    <w:rsid w:val="00892E68"/>
    <w:rsid w:val="00893298"/>
    <w:rsid w:val="00893A3F"/>
    <w:rsid w:val="00893E24"/>
    <w:rsid w:val="00893E44"/>
    <w:rsid w:val="008945B4"/>
    <w:rsid w:val="008950C5"/>
    <w:rsid w:val="0089514B"/>
    <w:rsid w:val="00895C72"/>
    <w:rsid w:val="008969D3"/>
    <w:rsid w:val="00896EC2"/>
    <w:rsid w:val="008971D8"/>
    <w:rsid w:val="00897A3D"/>
    <w:rsid w:val="00897E12"/>
    <w:rsid w:val="008A065A"/>
    <w:rsid w:val="008A0A23"/>
    <w:rsid w:val="008A1C4B"/>
    <w:rsid w:val="008A2C74"/>
    <w:rsid w:val="008A3434"/>
    <w:rsid w:val="008A36FA"/>
    <w:rsid w:val="008A4FAC"/>
    <w:rsid w:val="008A5A80"/>
    <w:rsid w:val="008A5BF4"/>
    <w:rsid w:val="008A5F54"/>
    <w:rsid w:val="008A6043"/>
    <w:rsid w:val="008A6435"/>
    <w:rsid w:val="008A645F"/>
    <w:rsid w:val="008A67CF"/>
    <w:rsid w:val="008A694A"/>
    <w:rsid w:val="008A6DA2"/>
    <w:rsid w:val="008A7460"/>
    <w:rsid w:val="008A7E83"/>
    <w:rsid w:val="008A7F97"/>
    <w:rsid w:val="008A7FC7"/>
    <w:rsid w:val="008B01DF"/>
    <w:rsid w:val="008B03ED"/>
    <w:rsid w:val="008B0E6D"/>
    <w:rsid w:val="008B0EE7"/>
    <w:rsid w:val="008B14CB"/>
    <w:rsid w:val="008B1CA7"/>
    <w:rsid w:val="008B1EF4"/>
    <w:rsid w:val="008B24D5"/>
    <w:rsid w:val="008B25FC"/>
    <w:rsid w:val="008B2DA9"/>
    <w:rsid w:val="008B3466"/>
    <w:rsid w:val="008B44C5"/>
    <w:rsid w:val="008B4CBD"/>
    <w:rsid w:val="008B5124"/>
    <w:rsid w:val="008B768E"/>
    <w:rsid w:val="008B7B3C"/>
    <w:rsid w:val="008C00EE"/>
    <w:rsid w:val="008C05DD"/>
    <w:rsid w:val="008C067C"/>
    <w:rsid w:val="008C2789"/>
    <w:rsid w:val="008C2DF6"/>
    <w:rsid w:val="008C3182"/>
    <w:rsid w:val="008C3B28"/>
    <w:rsid w:val="008C4234"/>
    <w:rsid w:val="008C5978"/>
    <w:rsid w:val="008C606A"/>
    <w:rsid w:val="008C698C"/>
    <w:rsid w:val="008C6F82"/>
    <w:rsid w:val="008C6FC4"/>
    <w:rsid w:val="008C7564"/>
    <w:rsid w:val="008C7643"/>
    <w:rsid w:val="008D02D4"/>
    <w:rsid w:val="008D0556"/>
    <w:rsid w:val="008D07D4"/>
    <w:rsid w:val="008D0D4E"/>
    <w:rsid w:val="008D0DD0"/>
    <w:rsid w:val="008D1734"/>
    <w:rsid w:val="008D2272"/>
    <w:rsid w:val="008D287A"/>
    <w:rsid w:val="008D2EA5"/>
    <w:rsid w:val="008D307A"/>
    <w:rsid w:val="008D33C9"/>
    <w:rsid w:val="008D344B"/>
    <w:rsid w:val="008D3D62"/>
    <w:rsid w:val="008D3D6F"/>
    <w:rsid w:val="008D3DF6"/>
    <w:rsid w:val="008D4228"/>
    <w:rsid w:val="008D43BA"/>
    <w:rsid w:val="008D4651"/>
    <w:rsid w:val="008D4F11"/>
    <w:rsid w:val="008D6086"/>
    <w:rsid w:val="008D61F5"/>
    <w:rsid w:val="008D6249"/>
    <w:rsid w:val="008D7317"/>
    <w:rsid w:val="008D7623"/>
    <w:rsid w:val="008D7DF4"/>
    <w:rsid w:val="008E06C9"/>
    <w:rsid w:val="008E0A77"/>
    <w:rsid w:val="008E10AE"/>
    <w:rsid w:val="008E164D"/>
    <w:rsid w:val="008E168D"/>
    <w:rsid w:val="008E211D"/>
    <w:rsid w:val="008E33FB"/>
    <w:rsid w:val="008E3759"/>
    <w:rsid w:val="008E3EE8"/>
    <w:rsid w:val="008E45EF"/>
    <w:rsid w:val="008E53E4"/>
    <w:rsid w:val="008E5615"/>
    <w:rsid w:val="008E57D1"/>
    <w:rsid w:val="008E6153"/>
    <w:rsid w:val="008E62A4"/>
    <w:rsid w:val="008E71E6"/>
    <w:rsid w:val="008F166D"/>
    <w:rsid w:val="008F2796"/>
    <w:rsid w:val="008F298E"/>
    <w:rsid w:val="008F2A35"/>
    <w:rsid w:val="008F2A73"/>
    <w:rsid w:val="008F2E03"/>
    <w:rsid w:val="008F2E1C"/>
    <w:rsid w:val="008F3B12"/>
    <w:rsid w:val="008F3BF9"/>
    <w:rsid w:val="008F3C7F"/>
    <w:rsid w:val="008F3E4A"/>
    <w:rsid w:val="008F4101"/>
    <w:rsid w:val="008F4522"/>
    <w:rsid w:val="008F49E6"/>
    <w:rsid w:val="008F4A17"/>
    <w:rsid w:val="008F4A4D"/>
    <w:rsid w:val="008F559D"/>
    <w:rsid w:val="008F575C"/>
    <w:rsid w:val="008F6014"/>
    <w:rsid w:val="008F60C5"/>
    <w:rsid w:val="008F7B4C"/>
    <w:rsid w:val="008F7D51"/>
    <w:rsid w:val="008F7F3F"/>
    <w:rsid w:val="00900365"/>
    <w:rsid w:val="00900729"/>
    <w:rsid w:val="00900D01"/>
    <w:rsid w:val="00900D86"/>
    <w:rsid w:val="009021D6"/>
    <w:rsid w:val="00902C3B"/>
    <w:rsid w:val="00902D58"/>
    <w:rsid w:val="009039DC"/>
    <w:rsid w:val="00903BE6"/>
    <w:rsid w:val="009041DC"/>
    <w:rsid w:val="009043CE"/>
    <w:rsid w:val="009047EE"/>
    <w:rsid w:val="00904B4B"/>
    <w:rsid w:val="009062C5"/>
    <w:rsid w:val="0090640F"/>
    <w:rsid w:val="009065A1"/>
    <w:rsid w:val="00906679"/>
    <w:rsid w:val="0090668D"/>
    <w:rsid w:val="009104B4"/>
    <w:rsid w:val="009110B9"/>
    <w:rsid w:val="009111FF"/>
    <w:rsid w:val="00912171"/>
    <w:rsid w:val="00912195"/>
    <w:rsid w:val="00912523"/>
    <w:rsid w:val="00912642"/>
    <w:rsid w:val="00913018"/>
    <w:rsid w:val="00913B6D"/>
    <w:rsid w:val="0091418E"/>
    <w:rsid w:val="00915CDE"/>
    <w:rsid w:val="00915FDE"/>
    <w:rsid w:val="0091627C"/>
    <w:rsid w:val="0091677E"/>
    <w:rsid w:val="0091728F"/>
    <w:rsid w:val="0091789D"/>
    <w:rsid w:val="00917F4B"/>
    <w:rsid w:val="00920A6E"/>
    <w:rsid w:val="00921023"/>
    <w:rsid w:val="009214A7"/>
    <w:rsid w:val="009214C8"/>
    <w:rsid w:val="00921DC6"/>
    <w:rsid w:val="00922A9F"/>
    <w:rsid w:val="00922B74"/>
    <w:rsid w:val="00922E4D"/>
    <w:rsid w:val="0092346B"/>
    <w:rsid w:val="00923561"/>
    <w:rsid w:val="00923920"/>
    <w:rsid w:val="00923E54"/>
    <w:rsid w:val="00923EA6"/>
    <w:rsid w:val="00924F0A"/>
    <w:rsid w:val="00925FCD"/>
    <w:rsid w:val="00927B0B"/>
    <w:rsid w:val="00927B93"/>
    <w:rsid w:val="009300A7"/>
    <w:rsid w:val="0093035E"/>
    <w:rsid w:val="00930A5D"/>
    <w:rsid w:val="00930ED0"/>
    <w:rsid w:val="009315CD"/>
    <w:rsid w:val="009320F5"/>
    <w:rsid w:val="009322FE"/>
    <w:rsid w:val="009327B8"/>
    <w:rsid w:val="00932B67"/>
    <w:rsid w:val="009330E1"/>
    <w:rsid w:val="00933441"/>
    <w:rsid w:val="00933621"/>
    <w:rsid w:val="0093441A"/>
    <w:rsid w:val="00934829"/>
    <w:rsid w:val="00935244"/>
    <w:rsid w:val="009356F2"/>
    <w:rsid w:val="00935735"/>
    <w:rsid w:val="009359E3"/>
    <w:rsid w:val="00935A29"/>
    <w:rsid w:val="00936C4F"/>
    <w:rsid w:val="0093721A"/>
    <w:rsid w:val="00937CFA"/>
    <w:rsid w:val="00940D0A"/>
    <w:rsid w:val="009412E0"/>
    <w:rsid w:val="00941393"/>
    <w:rsid w:val="0094199B"/>
    <w:rsid w:val="00942138"/>
    <w:rsid w:val="009424BD"/>
    <w:rsid w:val="0094253B"/>
    <w:rsid w:val="00942AA6"/>
    <w:rsid w:val="00942AF8"/>
    <w:rsid w:val="00942BBC"/>
    <w:rsid w:val="009435DC"/>
    <w:rsid w:val="00943E51"/>
    <w:rsid w:val="00944486"/>
    <w:rsid w:val="0094598C"/>
    <w:rsid w:val="00945F51"/>
    <w:rsid w:val="00946729"/>
    <w:rsid w:val="00946C8B"/>
    <w:rsid w:val="0094702E"/>
    <w:rsid w:val="00947215"/>
    <w:rsid w:val="00947306"/>
    <w:rsid w:val="00947B86"/>
    <w:rsid w:val="00950120"/>
    <w:rsid w:val="00950D77"/>
    <w:rsid w:val="00951A16"/>
    <w:rsid w:val="00952323"/>
    <w:rsid w:val="00952CAA"/>
    <w:rsid w:val="00952DC4"/>
    <w:rsid w:val="00953A8F"/>
    <w:rsid w:val="00953E5D"/>
    <w:rsid w:val="009544AF"/>
    <w:rsid w:val="0095466D"/>
    <w:rsid w:val="00954BF7"/>
    <w:rsid w:val="00955093"/>
    <w:rsid w:val="009552DA"/>
    <w:rsid w:val="009554F0"/>
    <w:rsid w:val="00955C06"/>
    <w:rsid w:val="00955CB9"/>
    <w:rsid w:val="00955EA3"/>
    <w:rsid w:val="0095641C"/>
    <w:rsid w:val="00956868"/>
    <w:rsid w:val="00956AAD"/>
    <w:rsid w:val="00956D1D"/>
    <w:rsid w:val="0095713F"/>
    <w:rsid w:val="009579D8"/>
    <w:rsid w:val="00957A32"/>
    <w:rsid w:val="00960555"/>
    <w:rsid w:val="00962F1A"/>
    <w:rsid w:val="00963233"/>
    <w:rsid w:val="00964917"/>
    <w:rsid w:val="00964BC4"/>
    <w:rsid w:val="00964E5C"/>
    <w:rsid w:val="00965000"/>
    <w:rsid w:val="009653A0"/>
    <w:rsid w:val="00965F42"/>
    <w:rsid w:val="009661DF"/>
    <w:rsid w:val="009668D9"/>
    <w:rsid w:val="009668E5"/>
    <w:rsid w:val="0096706E"/>
    <w:rsid w:val="00967150"/>
    <w:rsid w:val="009678C3"/>
    <w:rsid w:val="00967987"/>
    <w:rsid w:val="00967996"/>
    <w:rsid w:val="00967ECF"/>
    <w:rsid w:val="00970813"/>
    <w:rsid w:val="00970FD7"/>
    <w:rsid w:val="009714F6"/>
    <w:rsid w:val="009724C3"/>
    <w:rsid w:val="0097261D"/>
    <w:rsid w:val="009729C9"/>
    <w:rsid w:val="00972F48"/>
    <w:rsid w:val="00973675"/>
    <w:rsid w:val="00973798"/>
    <w:rsid w:val="00973E1D"/>
    <w:rsid w:val="009740BE"/>
    <w:rsid w:val="00974B7D"/>
    <w:rsid w:val="009753D7"/>
    <w:rsid w:val="009757D0"/>
    <w:rsid w:val="00976295"/>
    <w:rsid w:val="0097691D"/>
    <w:rsid w:val="00976A35"/>
    <w:rsid w:val="00976D29"/>
    <w:rsid w:val="00976E74"/>
    <w:rsid w:val="0097748D"/>
    <w:rsid w:val="009803A4"/>
    <w:rsid w:val="00981FBA"/>
    <w:rsid w:val="00982E24"/>
    <w:rsid w:val="00983AF6"/>
    <w:rsid w:val="00983D6A"/>
    <w:rsid w:val="00983F8C"/>
    <w:rsid w:val="009843A2"/>
    <w:rsid w:val="0098528B"/>
    <w:rsid w:val="009856D7"/>
    <w:rsid w:val="00985A4B"/>
    <w:rsid w:val="00986129"/>
    <w:rsid w:val="00986662"/>
    <w:rsid w:val="009869B3"/>
    <w:rsid w:val="00986AEE"/>
    <w:rsid w:val="00986FC1"/>
    <w:rsid w:val="009879D3"/>
    <w:rsid w:val="00992B3E"/>
    <w:rsid w:val="00992D3D"/>
    <w:rsid w:val="009937A7"/>
    <w:rsid w:val="00994ECF"/>
    <w:rsid w:val="0099538C"/>
    <w:rsid w:val="009967AF"/>
    <w:rsid w:val="0099714E"/>
    <w:rsid w:val="009974BF"/>
    <w:rsid w:val="009978F5"/>
    <w:rsid w:val="00997C4E"/>
    <w:rsid w:val="00997E99"/>
    <w:rsid w:val="009A01D8"/>
    <w:rsid w:val="009A03E7"/>
    <w:rsid w:val="009A0816"/>
    <w:rsid w:val="009A0B09"/>
    <w:rsid w:val="009A0F04"/>
    <w:rsid w:val="009A1A5D"/>
    <w:rsid w:val="009A1D2A"/>
    <w:rsid w:val="009A28FA"/>
    <w:rsid w:val="009A2A95"/>
    <w:rsid w:val="009A30CA"/>
    <w:rsid w:val="009A3D51"/>
    <w:rsid w:val="009A5765"/>
    <w:rsid w:val="009A6130"/>
    <w:rsid w:val="009A700D"/>
    <w:rsid w:val="009A7953"/>
    <w:rsid w:val="009A7F2B"/>
    <w:rsid w:val="009B074C"/>
    <w:rsid w:val="009B07BE"/>
    <w:rsid w:val="009B0A1C"/>
    <w:rsid w:val="009B1206"/>
    <w:rsid w:val="009B1525"/>
    <w:rsid w:val="009B18E1"/>
    <w:rsid w:val="009B26C8"/>
    <w:rsid w:val="009B2F9E"/>
    <w:rsid w:val="009B351F"/>
    <w:rsid w:val="009B381B"/>
    <w:rsid w:val="009B4705"/>
    <w:rsid w:val="009B4FCA"/>
    <w:rsid w:val="009B5129"/>
    <w:rsid w:val="009B541A"/>
    <w:rsid w:val="009B5D32"/>
    <w:rsid w:val="009B5E0C"/>
    <w:rsid w:val="009B61B2"/>
    <w:rsid w:val="009B6619"/>
    <w:rsid w:val="009B71D5"/>
    <w:rsid w:val="009B74A4"/>
    <w:rsid w:val="009B76BF"/>
    <w:rsid w:val="009B7794"/>
    <w:rsid w:val="009C03AE"/>
    <w:rsid w:val="009C047F"/>
    <w:rsid w:val="009C14DA"/>
    <w:rsid w:val="009C1615"/>
    <w:rsid w:val="009C1691"/>
    <w:rsid w:val="009C180C"/>
    <w:rsid w:val="009C1877"/>
    <w:rsid w:val="009C1D8B"/>
    <w:rsid w:val="009C2F75"/>
    <w:rsid w:val="009C2F9F"/>
    <w:rsid w:val="009C458A"/>
    <w:rsid w:val="009C4893"/>
    <w:rsid w:val="009C4D68"/>
    <w:rsid w:val="009C5559"/>
    <w:rsid w:val="009C59D3"/>
    <w:rsid w:val="009C6457"/>
    <w:rsid w:val="009C70F6"/>
    <w:rsid w:val="009C799E"/>
    <w:rsid w:val="009D0012"/>
    <w:rsid w:val="009D0946"/>
    <w:rsid w:val="009D0DEE"/>
    <w:rsid w:val="009D15C7"/>
    <w:rsid w:val="009D16D3"/>
    <w:rsid w:val="009D173B"/>
    <w:rsid w:val="009D2342"/>
    <w:rsid w:val="009D241E"/>
    <w:rsid w:val="009D280B"/>
    <w:rsid w:val="009D28C4"/>
    <w:rsid w:val="009D2A12"/>
    <w:rsid w:val="009D2BBE"/>
    <w:rsid w:val="009D3728"/>
    <w:rsid w:val="009D44D1"/>
    <w:rsid w:val="009D45F5"/>
    <w:rsid w:val="009D4AFD"/>
    <w:rsid w:val="009D4CF8"/>
    <w:rsid w:val="009D561E"/>
    <w:rsid w:val="009D6116"/>
    <w:rsid w:val="009D62CD"/>
    <w:rsid w:val="009D6CE9"/>
    <w:rsid w:val="009D7611"/>
    <w:rsid w:val="009E075C"/>
    <w:rsid w:val="009E13FA"/>
    <w:rsid w:val="009E15DB"/>
    <w:rsid w:val="009E25B3"/>
    <w:rsid w:val="009E27A9"/>
    <w:rsid w:val="009E3162"/>
    <w:rsid w:val="009E3488"/>
    <w:rsid w:val="009E374A"/>
    <w:rsid w:val="009E3762"/>
    <w:rsid w:val="009E3A41"/>
    <w:rsid w:val="009E3ABD"/>
    <w:rsid w:val="009E3C23"/>
    <w:rsid w:val="009E3F7C"/>
    <w:rsid w:val="009E41B3"/>
    <w:rsid w:val="009E4906"/>
    <w:rsid w:val="009E53DE"/>
    <w:rsid w:val="009E6FD9"/>
    <w:rsid w:val="009E77F0"/>
    <w:rsid w:val="009F0AED"/>
    <w:rsid w:val="009F0D8A"/>
    <w:rsid w:val="009F114F"/>
    <w:rsid w:val="009F1ED5"/>
    <w:rsid w:val="009F229C"/>
    <w:rsid w:val="009F2349"/>
    <w:rsid w:val="009F24AF"/>
    <w:rsid w:val="009F24FF"/>
    <w:rsid w:val="009F297A"/>
    <w:rsid w:val="009F2CC4"/>
    <w:rsid w:val="009F382B"/>
    <w:rsid w:val="009F4877"/>
    <w:rsid w:val="009F5BEF"/>
    <w:rsid w:val="009F6069"/>
    <w:rsid w:val="009F7113"/>
    <w:rsid w:val="009F76DF"/>
    <w:rsid w:val="009F76E5"/>
    <w:rsid w:val="009F7E41"/>
    <w:rsid w:val="009F7EDD"/>
    <w:rsid w:val="00A01453"/>
    <w:rsid w:val="00A014DA"/>
    <w:rsid w:val="00A02FFE"/>
    <w:rsid w:val="00A03056"/>
    <w:rsid w:val="00A03222"/>
    <w:rsid w:val="00A03342"/>
    <w:rsid w:val="00A0345B"/>
    <w:rsid w:val="00A03579"/>
    <w:rsid w:val="00A036B7"/>
    <w:rsid w:val="00A0370F"/>
    <w:rsid w:val="00A03B6C"/>
    <w:rsid w:val="00A03DA5"/>
    <w:rsid w:val="00A04910"/>
    <w:rsid w:val="00A050D8"/>
    <w:rsid w:val="00A05601"/>
    <w:rsid w:val="00A057B8"/>
    <w:rsid w:val="00A05C64"/>
    <w:rsid w:val="00A062DD"/>
    <w:rsid w:val="00A0645D"/>
    <w:rsid w:val="00A06FEB"/>
    <w:rsid w:val="00A07134"/>
    <w:rsid w:val="00A07809"/>
    <w:rsid w:val="00A10246"/>
    <w:rsid w:val="00A10403"/>
    <w:rsid w:val="00A10450"/>
    <w:rsid w:val="00A10C01"/>
    <w:rsid w:val="00A10CCC"/>
    <w:rsid w:val="00A1131F"/>
    <w:rsid w:val="00A12196"/>
    <w:rsid w:val="00A12250"/>
    <w:rsid w:val="00A12773"/>
    <w:rsid w:val="00A13A94"/>
    <w:rsid w:val="00A14317"/>
    <w:rsid w:val="00A14D37"/>
    <w:rsid w:val="00A158BA"/>
    <w:rsid w:val="00A15A9B"/>
    <w:rsid w:val="00A15C9A"/>
    <w:rsid w:val="00A163A4"/>
    <w:rsid w:val="00A1688B"/>
    <w:rsid w:val="00A16943"/>
    <w:rsid w:val="00A17625"/>
    <w:rsid w:val="00A1788C"/>
    <w:rsid w:val="00A17E82"/>
    <w:rsid w:val="00A2015A"/>
    <w:rsid w:val="00A2089E"/>
    <w:rsid w:val="00A20B65"/>
    <w:rsid w:val="00A20BD9"/>
    <w:rsid w:val="00A20F5F"/>
    <w:rsid w:val="00A2130F"/>
    <w:rsid w:val="00A21930"/>
    <w:rsid w:val="00A21BFD"/>
    <w:rsid w:val="00A2232B"/>
    <w:rsid w:val="00A22AE8"/>
    <w:rsid w:val="00A22B7B"/>
    <w:rsid w:val="00A23100"/>
    <w:rsid w:val="00A238D4"/>
    <w:rsid w:val="00A23924"/>
    <w:rsid w:val="00A23AFA"/>
    <w:rsid w:val="00A23BD2"/>
    <w:rsid w:val="00A23E45"/>
    <w:rsid w:val="00A24082"/>
    <w:rsid w:val="00A24331"/>
    <w:rsid w:val="00A243E5"/>
    <w:rsid w:val="00A2456A"/>
    <w:rsid w:val="00A249A8"/>
    <w:rsid w:val="00A255BD"/>
    <w:rsid w:val="00A26545"/>
    <w:rsid w:val="00A269C8"/>
    <w:rsid w:val="00A27314"/>
    <w:rsid w:val="00A274BD"/>
    <w:rsid w:val="00A27C5A"/>
    <w:rsid w:val="00A3014C"/>
    <w:rsid w:val="00A3072C"/>
    <w:rsid w:val="00A30FDD"/>
    <w:rsid w:val="00A31451"/>
    <w:rsid w:val="00A31CB0"/>
    <w:rsid w:val="00A31F51"/>
    <w:rsid w:val="00A321C2"/>
    <w:rsid w:val="00A3286C"/>
    <w:rsid w:val="00A32B22"/>
    <w:rsid w:val="00A32D38"/>
    <w:rsid w:val="00A33219"/>
    <w:rsid w:val="00A33DB9"/>
    <w:rsid w:val="00A34273"/>
    <w:rsid w:val="00A359C5"/>
    <w:rsid w:val="00A36168"/>
    <w:rsid w:val="00A36C33"/>
    <w:rsid w:val="00A36E16"/>
    <w:rsid w:val="00A37DA9"/>
    <w:rsid w:val="00A40463"/>
    <w:rsid w:val="00A40C4A"/>
    <w:rsid w:val="00A40CED"/>
    <w:rsid w:val="00A42803"/>
    <w:rsid w:val="00A43458"/>
    <w:rsid w:val="00A438C4"/>
    <w:rsid w:val="00A438F6"/>
    <w:rsid w:val="00A43E87"/>
    <w:rsid w:val="00A43EF8"/>
    <w:rsid w:val="00A444C4"/>
    <w:rsid w:val="00A445B3"/>
    <w:rsid w:val="00A447CD"/>
    <w:rsid w:val="00A4561B"/>
    <w:rsid w:val="00A47174"/>
    <w:rsid w:val="00A473E3"/>
    <w:rsid w:val="00A47406"/>
    <w:rsid w:val="00A47D0B"/>
    <w:rsid w:val="00A500DA"/>
    <w:rsid w:val="00A50201"/>
    <w:rsid w:val="00A5028C"/>
    <w:rsid w:val="00A50581"/>
    <w:rsid w:val="00A50CF2"/>
    <w:rsid w:val="00A51D32"/>
    <w:rsid w:val="00A52375"/>
    <w:rsid w:val="00A5251F"/>
    <w:rsid w:val="00A527E1"/>
    <w:rsid w:val="00A52876"/>
    <w:rsid w:val="00A528D1"/>
    <w:rsid w:val="00A52D39"/>
    <w:rsid w:val="00A53B54"/>
    <w:rsid w:val="00A53D23"/>
    <w:rsid w:val="00A542D1"/>
    <w:rsid w:val="00A547A8"/>
    <w:rsid w:val="00A54BD3"/>
    <w:rsid w:val="00A54E22"/>
    <w:rsid w:val="00A55776"/>
    <w:rsid w:val="00A55BB2"/>
    <w:rsid w:val="00A55ED2"/>
    <w:rsid w:val="00A57058"/>
    <w:rsid w:val="00A57A0D"/>
    <w:rsid w:val="00A60093"/>
    <w:rsid w:val="00A60198"/>
    <w:rsid w:val="00A60A32"/>
    <w:rsid w:val="00A60F07"/>
    <w:rsid w:val="00A6269C"/>
    <w:rsid w:val="00A6287A"/>
    <w:rsid w:val="00A628AE"/>
    <w:rsid w:val="00A6386E"/>
    <w:rsid w:val="00A63958"/>
    <w:rsid w:val="00A642B6"/>
    <w:rsid w:val="00A6472C"/>
    <w:rsid w:val="00A647EB"/>
    <w:rsid w:val="00A649AE"/>
    <w:rsid w:val="00A64D06"/>
    <w:rsid w:val="00A64DA8"/>
    <w:rsid w:val="00A64EE8"/>
    <w:rsid w:val="00A64F5F"/>
    <w:rsid w:val="00A650D1"/>
    <w:rsid w:val="00A6588A"/>
    <w:rsid w:val="00A659E8"/>
    <w:rsid w:val="00A669C6"/>
    <w:rsid w:val="00A66BE5"/>
    <w:rsid w:val="00A67461"/>
    <w:rsid w:val="00A67539"/>
    <w:rsid w:val="00A709DB"/>
    <w:rsid w:val="00A70FA6"/>
    <w:rsid w:val="00A71D99"/>
    <w:rsid w:val="00A73439"/>
    <w:rsid w:val="00A734B2"/>
    <w:rsid w:val="00A73772"/>
    <w:rsid w:val="00A75A39"/>
    <w:rsid w:val="00A7605D"/>
    <w:rsid w:val="00A7718F"/>
    <w:rsid w:val="00A7730C"/>
    <w:rsid w:val="00A774E2"/>
    <w:rsid w:val="00A77818"/>
    <w:rsid w:val="00A77A1F"/>
    <w:rsid w:val="00A77E82"/>
    <w:rsid w:val="00A80079"/>
    <w:rsid w:val="00A80C1E"/>
    <w:rsid w:val="00A8162B"/>
    <w:rsid w:val="00A81A9A"/>
    <w:rsid w:val="00A81D28"/>
    <w:rsid w:val="00A823ED"/>
    <w:rsid w:val="00A8335C"/>
    <w:rsid w:val="00A83588"/>
    <w:rsid w:val="00A845BE"/>
    <w:rsid w:val="00A84A45"/>
    <w:rsid w:val="00A84A53"/>
    <w:rsid w:val="00A84B01"/>
    <w:rsid w:val="00A8653E"/>
    <w:rsid w:val="00A86646"/>
    <w:rsid w:val="00A86CF8"/>
    <w:rsid w:val="00A871CA"/>
    <w:rsid w:val="00A87FF5"/>
    <w:rsid w:val="00A91578"/>
    <w:rsid w:val="00A91614"/>
    <w:rsid w:val="00A91C87"/>
    <w:rsid w:val="00A91ED0"/>
    <w:rsid w:val="00A91F89"/>
    <w:rsid w:val="00A92714"/>
    <w:rsid w:val="00A92DCA"/>
    <w:rsid w:val="00A9304C"/>
    <w:rsid w:val="00A947C6"/>
    <w:rsid w:val="00A94BBB"/>
    <w:rsid w:val="00A94DF1"/>
    <w:rsid w:val="00A95F1A"/>
    <w:rsid w:val="00A9641B"/>
    <w:rsid w:val="00A96B68"/>
    <w:rsid w:val="00A96D18"/>
    <w:rsid w:val="00A96F96"/>
    <w:rsid w:val="00A97366"/>
    <w:rsid w:val="00A978E7"/>
    <w:rsid w:val="00A979CE"/>
    <w:rsid w:val="00A97CDE"/>
    <w:rsid w:val="00AA07DC"/>
    <w:rsid w:val="00AA109D"/>
    <w:rsid w:val="00AA23D3"/>
    <w:rsid w:val="00AA33AF"/>
    <w:rsid w:val="00AA3C9F"/>
    <w:rsid w:val="00AA4746"/>
    <w:rsid w:val="00AA4D70"/>
    <w:rsid w:val="00AA4DF0"/>
    <w:rsid w:val="00AA5C88"/>
    <w:rsid w:val="00AA6DCB"/>
    <w:rsid w:val="00AA792C"/>
    <w:rsid w:val="00AA7A2C"/>
    <w:rsid w:val="00AA7A53"/>
    <w:rsid w:val="00AA7AD9"/>
    <w:rsid w:val="00AA7E8A"/>
    <w:rsid w:val="00AB0745"/>
    <w:rsid w:val="00AB097B"/>
    <w:rsid w:val="00AB160E"/>
    <w:rsid w:val="00AB19E9"/>
    <w:rsid w:val="00AB2ECE"/>
    <w:rsid w:val="00AB3118"/>
    <w:rsid w:val="00AB3712"/>
    <w:rsid w:val="00AB45A1"/>
    <w:rsid w:val="00AB55B8"/>
    <w:rsid w:val="00AB6166"/>
    <w:rsid w:val="00AB6D53"/>
    <w:rsid w:val="00AB6F62"/>
    <w:rsid w:val="00AB7EE1"/>
    <w:rsid w:val="00AC00EA"/>
    <w:rsid w:val="00AC0531"/>
    <w:rsid w:val="00AC0F5B"/>
    <w:rsid w:val="00AC1A24"/>
    <w:rsid w:val="00AC2C44"/>
    <w:rsid w:val="00AC30C7"/>
    <w:rsid w:val="00AC313B"/>
    <w:rsid w:val="00AC31F6"/>
    <w:rsid w:val="00AC388E"/>
    <w:rsid w:val="00AC3AAE"/>
    <w:rsid w:val="00AC3B78"/>
    <w:rsid w:val="00AC3EE2"/>
    <w:rsid w:val="00AC4106"/>
    <w:rsid w:val="00AC4350"/>
    <w:rsid w:val="00AC4B75"/>
    <w:rsid w:val="00AC4B90"/>
    <w:rsid w:val="00AC4E50"/>
    <w:rsid w:val="00AC4F7C"/>
    <w:rsid w:val="00AC53DA"/>
    <w:rsid w:val="00AC5728"/>
    <w:rsid w:val="00AC644A"/>
    <w:rsid w:val="00AC6AE6"/>
    <w:rsid w:val="00AC703A"/>
    <w:rsid w:val="00AC72BD"/>
    <w:rsid w:val="00AC740E"/>
    <w:rsid w:val="00AC75FB"/>
    <w:rsid w:val="00AC78C4"/>
    <w:rsid w:val="00AC7969"/>
    <w:rsid w:val="00AC7AC6"/>
    <w:rsid w:val="00AC7F4D"/>
    <w:rsid w:val="00AD08D1"/>
    <w:rsid w:val="00AD0D8F"/>
    <w:rsid w:val="00AD0E15"/>
    <w:rsid w:val="00AD1293"/>
    <w:rsid w:val="00AD1317"/>
    <w:rsid w:val="00AD1E27"/>
    <w:rsid w:val="00AD2957"/>
    <w:rsid w:val="00AD29F5"/>
    <w:rsid w:val="00AD34D9"/>
    <w:rsid w:val="00AD37C1"/>
    <w:rsid w:val="00AD38E9"/>
    <w:rsid w:val="00AD4435"/>
    <w:rsid w:val="00AD452E"/>
    <w:rsid w:val="00AD4A7C"/>
    <w:rsid w:val="00AD4C43"/>
    <w:rsid w:val="00AD4CD7"/>
    <w:rsid w:val="00AD4E05"/>
    <w:rsid w:val="00AD5EB5"/>
    <w:rsid w:val="00AD72AC"/>
    <w:rsid w:val="00AD73A3"/>
    <w:rsid w:val="00AD7A33"/>
    <w:rsid w:val="00AE04AD"/>
    <w:rsid w:val="00AE078A"/>
    <w:rsid w:val="00AE0DEC"/>
    <w:rsid w:val="00AE15A9"/>
    <w:rsid w:val="00AE1852"/>
    <w:rsid w:val="00AE1A08"/>
    <w:rsid w:val="00AE1A2D"/>
    <w:rsid w:val="00AE1F0C"/>
    <w:rsid w:val="00AE2A5A"/>
    <w:rsid w:val="00AE2C24"/>
    <w:rsid w:val="00AE3F3C"/>
    <w:rsid w:val="00AE4C05"/>
    <w:rsid w:val="00AE4C43"/>
    <w:rsid w:val="00AE501F"/>
    <w:rsid w:val="00AE61D8"/>
    <w:rsid w:val="00AE6271"/>
    <w:rsid w:val="00AE653F"/>
    <w:rsid w:val="00AE66EC"/>
    <w:rsid w:val="00AE6AE5"/>
    <w:rsid w:val="00AE6F91"/>
    <w:rsid w:val="00AF010B"/>
    <w:rsid w:val="00AF020C"/>
    <w:rsid w:val="00AF0440"/>
    <w:rsid w:val="00AF0F61"/>
    <w:rsid w:val="00AF0FB6"/>
    <w:rsid w:val="00AF10BC"/>
    <w:rsid w:val="00AF14A6"/>
    <w:rsid w:val="00AF18F9"/>
    <w:rsid w:val="00AF22CE"/>
    <w:rsid w:val="00AF2782"/>
    <w:rsid w:val="00AF29D4"/>
    <w:rsid w:val="00AF3344"/>
    <w:rsid w:val="00AF4085"/>
    <w:rsid w:val="00AF40A7"/>
    <w:rsid w:val="00AF4AC5"/>
    <w:rsid w:val="00AF511A"/>
    <w:rsid w:val="00AF5571"/>
    <w:rsid w:val="00AF5B3F"/>
    <w:rsid w:val="00AF7526"/>
    <w:rsid w:val="00AF79FA"/>
    <w:rsid w:val="00B00604"/>
    <w:rsid w:val="00B00CBD"/>
    <w:rsid w:val="00B015CD"/>
    <w:rsid w:val="00B016BF"/>
    <w:rsid w:val="00B016EF"/>
    <w:rsid w:val="00B018F6"/>
    <w:rsid w:val="00B01D8D"/>
    <w:rsid w:val="00B0207D"/>
    <w:rsid w:val="00B033E8"/>
    <w:rsid w:val="00B0350E"/>
    <w:rsid w:val="00B0379A"/>
    <w:rsid w:val="00B05B2D"/>
    <w:rsid w:val="00B06114"/>
    <w:rsid w:val="00B0667E"/>
    <w:rsid w:val="00B06BF4"/>
    <w:rsid w:val="00B07033"/>
    <w:rsid w:val="00B07227"/>
    <w:rsid w:val="00B07607"/>
    <w:rsid w:val="00B11C6F"/>
    <w:rsid w:val="00B11E55"/>
    <w:rsid w:val="00B11F9A"/>
    <w:rsid w:val="00B124E6"/>
    <w:rsid w:val="00B12638"/>
    <w:rsid w:val="00B13ABA"/>
    <w:rsid w:val="00B14837"/>
    <w:rsid w:val="00B15204"/>
    <w:rsid w:val="00B160A4"/>
    <w:rsid w:val="00B167E9"/>
    <w:rsid w:val="00B16FF4"/>
    <w:rsid w:val="00B1724A"/>
    <w:rsid w:val="00B17640"/>
    <w:rsid w:val="00B207F5"/>
    <w:rsid w:val="00B20B83"/>
    <w:rsid w:val="00B21064"/>
    <w:rsid w:val="00B21794"/>
    <w:rsid w:val="00B21BC5"/>
    <w:rsid w:val="00B22C40"/>
    <w:rsid w:val="00B23A86"/>
    <w:rsid w:val="00B24509"/>
    <w:rsid w:val="00B24749"/>
    <w:rsid w:val="00B24A00"/>
    <w:rsid w:val="00B270C2"/>
    <w:rsid w:val="00B27127"/>
    <w:rsid w:val="00B2728E"/>
    <w:rsid w:val="00B301E8"/>
    <w:rsid w:val="00B30278"/>
    <w:rsid w:val="00B31391"/>
    <w:rsid w:val="00B314DB"/>
    <w:rsid w:val="00B316A7"/>
    <w:rsid w:val="00B3171A"/>
    <w:rsid w:val="00B31EBE"/>
    <w:rsid w:val="00B324F0"/>
    <w:rsid w:val="00B3401D"/>
    <w:rsid w:val="00B343BE"/>
    <w:rsid w:val="00B3465D"/>
    <w:rsid w:val="00B34D82"/>
    <w:rsid w:val="00B34E2B"/>
    <w:rsid w:val="00B34F8C"/>
    <w:rsid w:val="00B367B1"/>
    <w:rsid w:val="00B36E37"/>
    <w:rsid w:val="00B37047"/>
    <w:rsid w:val="00B3718B"/>
    <w:rsid w:val="00B37584"/>
    <w:rsid w:val="00B37C3B"/>
    <w:rsid w:val="00B37E8E"/>
    <w:rsid w:val="00B37F73"/>
    <w:rsid w:val="00B40F7F"/>
    <w:rsid w:val="00B41104"/>
    <w:rsid w:val="00B41A5D"/>
    <w:rsid w:val="00B41A5F"/>
    <w:rsid w:val="00B41AAC"/>
    <w:rsid w:val="00B41B62"/>
    <w:rsid w:val="00B42254"/>
    <w:rsid w:val="00B424CD"/>
    <w:rsid w:val="00B42ABC"/>
    <w:rsid w:val="00B432D6"/>
    <w:rsid w:val="00B441B9"/>
    <w:rsid w:val="00B443C8"/>
    <w:rsid w:val="00B44448"/>
    <w:rsid w:val="00B44F4C"/>
    <w:rsid w:val="00B45BE7"/>
    <w:rsid w:val="00B45ECD"/>
    <w:rsid w:val="00B46033"/>
    <w:rsid w:val="00B46313"/>
    <w:rsid w:val="00B4632A"/>
    <w:rsid w:val="00B46600"/>
    <w:rsid w:val="00B46771"/>
    <w:rsid w:val="00B46F0A"/>
    <w:rsid w:val="00B478B1"/>
    <w:rsid w:val="00B478C4"/>
    <w:rsid w:val="00B506F8"/>
    <w:rsid w:val="00B50B18"/>
    <w:rsid w:val="00B50DB9"/>
    <w:rsid w:val="00B5149E"/>
    <w:rsid w:val="00B515A8"/>
    <w:rsid w:val="00B52BB8"/>
    <w:rsid w:val="00B540E8"/>
    <w:rsid w:val="00B54DF4"/>
    <w:rsid w:val="00B550D3"/>
    <w:rsid w:val="00B552E7"/>
    <w:rsid w:val="00B55402"/>
    <w:rsid w:val="00B55E95"/>
    <w:rsid w:val="00B55F23"/>
    <w:rsid w:val="00B56929"/>
    <w:rsid w:val="00B5746F"/>
    <w:rsid w:val="00B574A0"/>
    <w:rsid w:val="00B574EE"/>
    <w:rsid w:val="00B575D6"/>
    <w:rsid w:val="00B57C17"/>
    <w:rsid w:val="00B57C7D"/>
    <w:rsid w:val="00B6077E"/>
    <w:rsid w:val="00B60E25"/>
    <w:rsid w:val="00B62894"/>
    <w:rsid w:val="00B62BC0"/>
    <w:rsid w:val="00B63572"/>
    <w:rsid w:val="00B63577"/>
    <w:rsid w:val="00B6408B"/>
    <w:rsid w:val="00B642BF"/>
    <w:rsid w:val="00B64CF2"/>
    <w:rsid w:val="00B66B51"/>
    <w:rsid w:val="00B67053"/>
    <w:rsid w:val="00B673F4"/>
    <w:rsid w:val="00B67B19"/>
    <w:rsid w:val="00B67B9B"/>
    <w:rsid w:val="00B70040"/>
    <w:rsid w:val="00B70462"/>
    <w:rsid w:val="00B70902"/>
    <w:rsid w:val="00B713DC"/>
    <w:rsid w:val="00B71CEC"/>
    <w:rsid w:val="00B72E00"/>
    <w:rsid w:val="00B72F71"/>
    <w:rsid w:val="00B74BBA"/>
    <w:rsid w:val="00B74DAF"/>
    <w:rsid w:val="00B75D57"/>
    <w:rsid w:val="00B7650A"/>
    <w:rsid w:val="00B765F1"/>
    <w:rsid w:val="00B766A1"/>
    <w:rsid w:val="00B76BE8"/>
    <w:rsid w:val="00B777B0"/>
    <w:rsid w:val="00B77B09"/>
    <w:rsid w:val="00B801CB"/>
    <w:rsid w:val="00B80F60"/>
    <w:rsid w:val="00B82710"/>
    <w:rsid w:val="00B82D01"/>
    <w:rsid w:val="00B83D79"/>
    <w:rsid w:val="00B8475C"/>
    <w:rsid w:val="00B849A5"/>
    <w:rsid w:val="00B84FC7"/>
    <w:rsid w:val="00B8596A"/>
    <w:rsid w:val="00B85B6B"/>
    <w:rsid w:val="00B8646F"/>
    <w:rsid w:val="00B86577"/>
    <w:rsid w:val="00B8664E"/>
    <w:rsid w:val="00B868A4"/>
    <w:rsid w:val="00B86D99"/>
    <w:rsid w:val="00B8724D"/>
    <w:rsid w:val="00B8786D"/>
    <w:rsid w:val="00B90178"/>
    <w:rsid w:val="00B90496"/>
    <w:rsid w:val="00B920B7"/>
    <w:rsid w:val="00B92546"/>
    <w:rsid w:val="00B926B1"/>
    <w:rsid w:val="00B92AA7"/>
    <w:rsid w:val="00B92DC9"/>
    <w:rsid w:val="00B933E4"/>
    <w:rsid w:val="00B93E70"/>
    <w:rsid w:val="00B93EF7"/>
    <w:rsid w:val="00B96FE9"/>
    <w:rsid w:val="00B97838"/>
    <w:rsid w:val="00B979E4"/>
    <w:rsid w:val="00BA0E3E"/>
    <w:rsid w:val="00BA10D9"/>
    <w:rsid w:val="00BA11D2"/>
    <w:rsid w:val="00BA198F"/>
    <w:rsid w:val="00BA1D41"/>
    <w:rsid w:val="00BA276C"/>
    <w:rsid w:val="00BA2988"/>
    <w:rsid w:val="00BA3099"/>
    <w:rsid w:val="00BA3133"/>
    <w:rsid w:val="00BA31DF"/>
    <w:rsid w:val="00BA3DCF"/>
    <w:rsid w:val="00BA4BCF"/>
    <w:rsid w:val="00BA542F"/>
    <w:rsid w:val="00BA64E3"/>
    <w:rsid w:val="00BA6FFA"/>
    <w:rsid w:val="00BA7984"/>
    <w:rsid w:val="00BB151F"/>
    <w:rsid w:val="00BB17B3"/>
    <w:rsid w:val="00BB285D"/>
    <w:rsid w:val="00BB2AFE"/>
    <w:rsid w:val="00BB3066"/>
    <w:rsid w:val="00BB306F"/>
    <w:rsid w:val="00BB3466"/>
    <w:rsid w:val="00BB356D"/>
    <w:rsid w:val="00BB36D4"/>
    <w:rsid w:val="00BB3E94"/>
    <w:rsid w:val="00BB4212"/>
    <w:rsid w:val="00BB521F"/>
    <w:rsid w:val="00BB53AD"/>
    <w:rsid w:val="00BB59AB"/>
    <w:rsid w:val="00BB5A59"/>
    <w:rsid w:val="00BB645E"/>
    <w:rsid w:val="00BB6D82"/>
    <w:rsid w:val="00BB6D96"/>
    <w:rsid w:val="00BB7163"/>
    <w:rsid w:val="00BB76B9"/>
    <w:rsid w:val="00BB78FE"/>
    <w:rsid w:val="00BB7B0A"/>
    <w:rsid w:val="00BB7C52"/>
    <w:rsid w:val="00BC04F8"/>
    <w:rsid w:val="00BC1521"/>
    <w:rsid w:val="00BC2154"/>
    <w:rsid w:val="00BC243A"/>
    <w:rsid w:val="00BC26AE"/>
    <w:rsid w:val="00BC35EB"/>
    <w:rsid w:val="00BC397C"/>
    <w:rsid w:val="00BC5766"/>
    <w:rsid w:val="00BC5D20"/>
    <w:rsid w:val="00BC6714"/>
    <w:rsid w:val="00BC68ED"/>
    <w:rsid w:val="00BC6DA1"/>
    <w:rsid w:val="00BC6FB1"/>
    <w:rsid w:val="00BC71C5"/>
    <w:rsid w:val="00BC73B5"/>
    <w:rsid w:val="00BD10AC"/>
    <w:rsid w:val="00BD11DC"/>
    <w:rsid w:val="00BD232B"/>
    <w:rsid w:val="00BD2C5B"/>
    <w:rsid w:val="00BD3469"/>
    <w:rsid w:val="00BD393F"/>
    <w:rsid w:val="00BD4B89"/>
    <w:rsid w:val="00BD520D"/>
    <w:rsid w:val="00BD5B66"/>
    <w:rsid w:val="00BD5CCE"/>
    <w:rsid w:val="00BD5E83"/>
    <w:rsid w:val="00BD5F0C"/>
    <w:rsid w:val="00BD63B7"/>
    <w:rsid w:val="00BD6AF8"/>
    <w:rsid w:val="00BD7B08"/>
    <w:rsid w:val="00BD7F14"/>
    <w:rsid w:val="00BE0098"/>
    <w:rsid w:val="00BE014C"/>
    <w:rsid w:val="00BE118B"/>
    <w:rsid w:val="00BE1438"/>
    <w:rsid w:val="00BE1B74"/>
    <w:rsid w:val="00BE201A"/>
    <w:rsid w:val="00BE3185"/>
    <w:rsid w:val="00BE34C6"/>
    <w:rsid w:val="00BE3560"/>
    <w:rsid w:val="00BE35D9"/>
    <w:rsid w:val="00BE36D7"/>
    <w:rsid w:val="00BE3967"/>
    <w:rsid w:val="00BE4872"/>
    <w:rsid w:val="00BE4C89"/>
    <w:rsid w:val="00BE4DCA"/>
    <w:rsid w:val="00BE5AD0"/>
    <w:rsid w:val="00BE60A3"/>
    <w:rsid w:val="00BE6182"/>
    <w:rsid w:val="00BE66B0"/>
    <w:rsid w:val="00BE6B74"/>
    <w:rsid w:val="00BE6FDB"/>
    <w:rsid w:val="00BE7E23"/>
    <w:rsid w:val="00BF0063"/>
    <w:rsid w:val="00BF08CB"/>
    <w:rsid w:val="00BF0EAA"/>
    <w:rsid w:val="00BF1F10"/>
    <w:rsid w:val="00BF206B"/>
    <w:rsid w:val="00BF2523"/>
    <w:rsid w:val="00BF2939"/>
    <w:rsid w:val="00BF2EA8"/>
    <w:rsid w:val="00BF3BF0"/>
    <w:rsid w:val="00BF40C6"/>
    <w:rsid w:val="00BF4600"/>
    <w:rsid w:val="00BF4865"/>
    <w:rsid w:val="00BF4871"/>
    <w:rsid w:val="00BF4994"/>
    <w:rsid w:val="00BF4AF7"/>
    <w:rsid w:val="00BF5F11"/>
    <w:rsid w:val="00BF61E9"/>
    <w:rsid w:val="00BF649B"/>
    <w:rsid w:val="00BF65BD"/>
    <w:rsid w:val="00BF6BE9"/>
    <w:rsid w:val="00BF7B54"/>
    <w:rsid w:val="00BF7C42"/>
    <w:rsid w:val="00C0028D"/>
    <w:rsid w:val="00C01142"/>
    <w:rsid w:val="00C01451"/>
    <w:rsid w:val="00C01882"/>
    <w:rsid w:val="00C018FF"/>
    <w:rsid w:val="00C01A81"/>
    <w:rsid w:val="00C028C4"/>
    <w:rsid w:val="00C02A78"/>
    <w:rsid w:val="00C03059"/>
    <w:rsid w:val="00C0391B"/>
    <w:rsid w:val="00C03A29"/>
    <w:rsid w:val="00C04473"/>
    <w:rsid w:val="00C04FA3"/>
    <w:rsid w:val="00C05169"/>
    <w:rsid w:val="00C0546D"/>
    <w:rsid w:val="00C05820"/>
    <w:rsid w:val="00C06128"/>
    <w:rsid w:val="00C070BA"/>
    <w:rsid w:val="00C07884"/>
    <w:rsid w:val="00C07B4D"/>
    <w:rsid w:val="00C07BB8"/>
    <w:rsid w:val="00C101BC"/>
    <w:rsid w:val="00C10283"/>
    <w:rsid w:val="00C10EA4"/>
    <w:rsid w:val="00C136FB"/>
    <w:rsid w:val="00C144E7"/>
    <w:rsid w:val="00C14557"/>
    <w:rsid w:val="00C14701"/>
    <w:rsid w:val="00C14A51"/>
    <w:rsid w:val="00C14CE0"/>
    <w:rsid w:val="00C14F39"/>
    <w:rsid w:val="00C1525C"/>
    <w:rsid w:val="00C153DE"/>
    <w:rsid w:val="00C15824"/>
    <w:rsid w:val="00C16D95"/>
    <w:rsid w:val="00C17BAA"/>
    <w:rsid w:val="00C20667"/>
    <w:rsid w:val="00C2077E"/>
    <w:rsid w:val="00C21375"/>
    <w:rsid w:val="00C2142B"/>
    <w:rsid w:val="00C21701"/>
    <w:rsid w:val="00C21762"/>
    <w:rsid w:val="00C21AE2"/>
    <w:rsid w:val="00C21EFD"/>
    <w:rsid w:val="00C224DF"/>
    <w:rsid w:val="00C22723"/>
    <w:rsid w:val="00C22DD6"/>
    <w:rsid w:val="00C23BA8"/>
    <w:rsid w:val="00C23DC3"/>
    <w:rsid w:val="00C24049"/>
    <w:rsid w:val="00C24543"/>
    <w:rsid w:val="00C251B1"/>
    <w:rsid w:val="00C256A2"/>
    <w:rsid w:val="00C25804"/>
    <w:rsid w:val="00C25808"/>
    <w:rsid w:val="00C258A0"/>
    <w:rsid w:val="00C25B0D"/>
    <w:rsid w:val="00C26350"/>
    <w:rsid w:val="00C26A69"/>
    <w:rsid w:val="00C270EB"/>
    <w:rsid w:val="00C303FD"/>
    <w:rsid w:val="00C31497"/>
    <w:rsid w:val="00C31770"/>
    <w:rsid w:val="00C3238A"/>
    <w:rsid w:val="00C32415"/>
    <w:rsid w:val="00C32A61"/>
    <w:rsid w:val="00C338B0"/>
    <w:rsid w:val="00C33EB0"/>
    <w:rsid w:val="00C340DC"/>
    <w:rsid w:val="00C344B0"/>
    <w:rsid w:val="00C3492D"/>
    <w:rsid w:val="00C34973"/>
    <w:rsid w:val="00C34A87"/>
    <w:rsid w:val="00C34F68"/>
    <w:rsid w:val="00C35423"/>
    <w:rsid w:val="00C354BF"/>
    <w:rsid w:val="00C3629F"/>
    <w:rsid w:val="00C36568"/>
    <w:rsid w:val="00C36E35"/>
    <w:rsid w:val="00C4068A"/>
    <w:rsid w:val="00C41AB9"/>
    <w:rsid w:val="00C420AF"/>
    <w:rsid w:val="00C42196"/>
    <w:rsid w:val="00C4237D"/>
    <w:rsid w:val="00C423E4"/>
    <w:rsid w:val="00C432D8"/>
    <w:rsid w:val="00C43943"/>
    <w:rsid w:val="00C43FC7"/>
    <w:rsid w:val="00C443E8"/>
    <w:rsid w:val="00C44886"/>
    <w:rsid w:val="00C44ECB"/>
    <w:rsid w:val="00C45555"/>
    <w:rsid w:val="00C45976"/>
    <w:rsid w:val="00C45A93"/>
    <w:rsid w:val="00C4696E"/>
    <w:rsid w:val="00C46A80"/>
    <w:rsid w:val="00C4716E"/>
    <w:rsid w:val="00C47791"/>
    <w:rsid w:val="00C4793D"/>
    <w:rsid w:val="00C47B6D"/>
    <w:rsid w:val="00C47E39"/>
    <w:rsid w:val="00C506EB"/>
    <w:rsid w:val="00C50C1E"/>
    <w:rsid w:val="00C51166"/>
    <w:rsid w:val="00C51C98"/>
    <w:rsid w:val="00C5237D"/>
    <w:rsid w:val="00C535F1"/>
    <w:rsid w:val="00C53F60"/>
    <w:rsid w:val="00C546AB"/>
    <w:rsid w:val="00C5474E"/>
    <w:rsid w:val="00C548F2"/>
    <w:rsid w:val="00C548FA"/>
    <w:rsid w:val="00C55378"/>
    <w:rsid w:val="00C55560"/>
    <w:rsid w:val="00C55AA8"/>
    <w:rsid w:val="00C55C6F"/>
    <w:rsid w:val="00C56511"/>
    <w:rsid w:val="00C568F9"/>
    <w:rsid w:val="00C57994"/>
    <w:rsid w:val="00C57D17"/>
    <w:rsid w:val="00C60644"/>
    <w:rsid w:val="00C60AB3"/>
    <w:rsid w:val="00C61095"/>
    <w:rsid w:val="00C614A9"/>
    <w:rsid w:val="00C618A0"/>
    <w:rsid w:val="00C61956"/>
    <w:rsid w:val="00C61997"/>
    <w:rsid w:val="00C62393"/>
    <w:rsid w:val="00C6257E"/>
    <w:rsid w:val="00C6293A"/>
    <w:rsid w:val="00C62BF4"/>
    <w:rsid w:val="00C6323C"/>
    <w:rsid w:val="00C634B4"/>
    <w:rsid w:val="00C63576"/>
    <w:rsid w:val="00C63585"/>
    <w:rsid w:val="00C63B6F"/>
    <w:rsid w:val="00C64686"/>
    <w:rsid w:val="00C65998"/>
    <w:rsid w:val="00C669C1"/>
    <w:rsid w:val="00C66B72"/>
    <w:rsid w:val="00C674CD"/>
    <w:rsid w:val="00C67F18"/>
    <w:rsid w:val="00C703DF"/>
    <w:rsid w:val="00C71254"/>
    <w:rsid w:val="00C714BB"/>
    <w:rsid w:val="00C7275B"/>
    <w:rsid w:val="00C7281A"/>
    <w:rsid w:val="00C735F1"/>
    <w:rsid w:val="00C73738"/>
    <w:rsid w:val="00C7377E"/>
    <w:rsid w:val="00C73BAE"/>
    <w:rsid w:val="00C748D8"/>
    <w:rsid w:val="00C74AAA"/>
    <w:rsid w:val="00C74C37"/>
    <w:rsid w:val="00C7513A"/>
    <w:rsid w:val="00C7526E"/>
    <w:rsid w:val="00C759BE"/>
    <w:rsid w:val="00C75A4F"/>
    <w:rsid w:val="00C75E68"/>
    <w:rsid w:val="00C76135"/>
    <w:rsid w:val="00C768EA"/>
    <w:rsid w:val="00C76C96"/>
    <w:rsid w:val="00C77013"/>
    <w:rsid w:val="00C77B21"/>
    <w:rsid w:val="00C77F47"/>
    <w:rsid w:val="00C804FA"/>
    <w:rsid w:val="00C80A54"/>
    <w:rsid w:val="00C811BA"/>
    <w:rsid w:val="00C81339"/>
    <w:rsid w:val="00C81FBE"/>
    <w:rsid w:val="00C8212F"/>
    <w:rsid w:val="00C82791"/>
    <w:rsid w:val="00C82B0B"/>
    <w:rsid w:val="00C831C7"/>
    <w:rsid w:val="00C83A33"/>
    <w:rsid w:val="00C83A40"/>
    <w:rsid w:val="00C84604"/>
    <w:rsid w:val="00C84B0E"/>
    <w:rsid w:val="00C84E16"/>
    <w:rsid w:val="00C850FD"/>
    <w:rsid w:val="00C857A1"/>
    <w:rsid w:val="00C85897"/>
    <w:rsid w:val="00C85CF6"/>
    <w:rsid w:val="00C85DDE"/>
    <w:rsid w:val="00C86C06"/>
    <w:rsid w:val="00C8734C"/>
    <w:rsid w:val="00C8737F"/>
    <w:rsid w:val="00C87A0C"/>
    <w:rsid w:val="00C87B2C"/>
    <w:rsid w:val="00C9055F"/>
    <w:rsid w:val="00C91645"/>
    <w:rsid w:val="00C916AD"/>
    <w:rsid w:val="00C92987"/>
    <w:rsid w:val="00C92CF7"/>
    <w:rsid w:val="00C936C3"/>
    <w:rsid w:val="00C93DCE"/>
    <w:rsid w:val="00C949E2"/>
    <w:rsid w:val="00C94BF5"/>
    <w:rsid w:val="00C9567A"/>
    <w:rsid w:val="00C957E5"/>
    <w:rsid w:val="00C95B20"/>
    <w:rsid w:val="00C95BF6"/>
    <w:rsid w:val="00C965D3"/>
    <w:rsid w:val="00C9670F"/>
    <w:rsid w:val="00C96AF3"/>
    <w:rsid w:val="00C96BFF"/>
    <w:rsid w:val="00C97B52"/>
    <w:rsid w:val="00CA0428"/>
    <w:rsid w:val="00CA06E5"/>
    <w:rsid w:val="00CA0730"/>
    <w:rsid w:val="00CA0E2F"/>
    <w:rsid w:val="00CA164C"/>
    <w:rsid w:val="00CA16AD"/>
    <w:rsid w:val="00CA1D19"/>
    <w:rsid w:val="00CA2199"/>
    <w:rsid w:val="00CA223F"/>
    <w:rsid w:val="00CA249C"/>
    <w:rsid w:val="00CA28C5"/>
    <w:rsid w:val="00CA2DE7"/>
    <w:rsid w:val="00CA3B1D"/>
    <w:rsid w:val="00CA4160"/>
    <w:rsid w:val="00CA44E8"/>
    <w:rsid w:val="00CA4BE3"/>
    <w:rsid w:val="00CA53D1"/>
    <w:rsid w:val="00CA5B5E"/>
    <w:rsid w:val="00CA61E3"/>
    <w:rsid w:val="00CA6219"/>
    <w:rsid w:val="00CA65F1"/>
    <w:rsid w:val="00CA6E49"/>
    <w:rsid w:val="00CA6EE1"/>
    <w:rsid w:val="00CB02CB"/>
    <w:rsid w:val="00CB08A1"/>
    <w:rsid w:val="00CB13BC"/>
    <w:rsid w:val="00CB17C1"/>
    <w:rsid w:val="00CB2422"/>
    <w:rsid w:val="00CB2660"/>
    <w:rsid w:val="00CB2A1A"/>
    <w:rsid w:val="00CB320F"/>
    <w:rsid w:val="00CB3418"/>
    <w:rsid w:val="00CB36CE"/>
    <w:rsid w:val="00CB3738"/>
    <w:rsid w:val="00CB3827"/>
    <w:rsid w:val="00CB3A1A"/>
    <w:rsid w:val="00CB4965"/>
    <w:rsid w:val="00CB4BF9"/>
    <w:rsid w:val="00CB4C01"/>
    <w:rsid w:val="00CB5334"/>
    <w:rsid w:val="00CB5E44"/>
    <w:rsid w:val="00CB712B"/>
    <w:rsid w:val="00CB7805"/>
    <w:rsid w:val="00CB7A42"/>
    <w:rsid w:val="00CB7D6F"/>
    <w:rsid w:val="00CC012E"/>
    <w:rsid w:val="00CC06F6"/>
    <w:rsid w:val="00CC0E8C"/>
    <w:rsid w:val="00CC0F64"/>
    <w:rsid w:val="00CC1B33"/>
    <w:rsid w:val="00CC1DF2"/>
    <w:rsid w:val="00CC232B"/>
    <w:rsid w:val="00CC25A6"/>
    <w:rsid w:val="00CC30E5"/>
    <w:rsid w:val="00CC3970"/>
    <w:rsid w:val="00CC44ED"/>
    <w:rsid w:val="00CC4BB7"/>
    <w:rsid w:val="00CC5639"/>
    <w:rsid w:val="00CC5E13"/>
    <w:rsid w:val="00CC5E90"/>
    <w:rsid w:val="00CC72FB"/>
    <w:rsid w:val="00CD046C"/>
    <w:rsid w:val="00CD0979"/>
    <w:rsid w:val="00CD1893"/>
    <w:rsid w:val="00CD36BA"/>
    <w:rsid w:val="00CD38C8"/>
    <w:rsid w:val="00CD3EDF"/>
    <w:rsid w:val="00CD403E"/>
    <w:rsid w:val="00CD58F8"/>
    <w:rsid w:val="00CD6BCF"/>
    <w:rsid w:val="00CD7BBE"/>
    <w:rsid w:val="00CE0052"/>
    <w:rsid w:val="00CE1390"/>
    <w:rsid w:val="00CE1E71"/>
    <w:rsid w:val="00CE2A6C"/>
    <w:rsid w:val="00CE47A5"/>
    <w:rsid w:val="00CE4868"/>
    <w:rsid w:val="00CE4999"/>
    <w:rsid w:val="00CE5199"/>
    <w:rsid w:val="00CE66D5"/>
    <w:rsid w:val="00CE66E4"/>
    <w:rsid w:val="00CF07C3"/>
    <w:rsid w:val="00CF0A29"/>
    <w:rsid w:val="00CF0AD5"/>
    <w:rsid w:val="00CF12C1"/>
    <w:rsid w:val="00CF1E94"/>
    <w:rsid w:val="00CF1FF5"/>
    <w:rsid w:val="00CF273B"/>
    <w:rsid w:val="00CF2824"/>
    <w:rsid w:val="00CF396A"/>
    <w:rsid w:val="00CF3EBB"/>
    <w:rsid w:val="00CF4138"/>
    <w:rsid w:val="00CF439C"/>
    <w:rsid w:val="00CF4B16"/>
    <w:rsid w:val="00CF5539"/>
    <w:rsid w:val="00CF634E"/>
    <w:rsid w:val="00CF63BF"/>
    <w:rsid w:val="00CF6754"/>
    <w:rsid w:val="00CF768E"/>
    <w:rsid w:val="00D0028E"/>
    <w:rsid w:val="00D002FC"/>
    <w:rsid w:val="00D01E81"/>
    <w:rsid w:val="00D01F78"/>
    <w:rsid w:val="00D01FAC"/>
    <w:rsid w:val="00D0228D"/>
    <w:rsid w:val="00D02E9F"/>
    <w:rsid w:val="00D03633"/>
    <w:rsid w:val="00D03C39"/>
    <w:rsid w:val="00D04137"/>
    <w:rsid w:val="00D04674"/>
    <w:rsid w:val="00D05066"/>
    <w:rsid w:val="00D065A9"/>
    <w:rsid w:val="00D06AE0"/>
    <w:rsid w:val="00D06D0A"/>
    <w:rsid w:val="00D070D7"/>
    <w:rsid w:val="00D07439"/>
    <w:rsid w:val="00D0799B"/>
    <w:rsid w:val="00D07A1B"/>
    <w:rsid w:val="00D10D00"/>
    <w:rsid w:val="00D10FF4"/>
    <w:rsid w:val="00D11349"/>
    <w:rsid w:val="00D1134B"/>
    <w:rsid w:val="00D1169D"/>
    <w:rsid w:val="00D11888"/>
    <w:rsid w:val="00D118CF"/>
    <w:rsid w:val="00D12883"/>
    <w:rsid w:val="00D12B8D"/>
    <w:rsid w:val="00D12D6C"/>
    <w:rsid w:val="00D12F97"/>
    <w:rsid w:val="00D13FAB"/>
    <w:rsid w:val="00D14582"/>
    <w:rsid w:val="00D14B21"/>
    <w:rsid w:val="00D1539E"/>
    <w:rsid w:val="00D15858"/>
    <w:rsid w:val="00D15ABB"/>
    <w:rsid w:val="00D15E54"/>
    <w:rsid w:val="00D16299"/>
    <w:rsid w:val="00D162B0"/>
    <w:rsid w:val="00D16C41"/>
    <w:rsid w:val="00D16ED9"/>
    <w:rsid w:val="00D2095A"/>
    <w:rsid w:val="00D209B8"/>
    <w:rsid w:val="00D20BFA"/>
    <w:rsid w:val="00D20CB3"/>
    <w:rsid w:val="00D20D54"/>
    <w:rsid w:val="00D210F8"/>
    <w:rsid w:val="00D211D9"/>
    <w:rsid w:val="00D2131F"/>
    <w:rsid w:val="00D21D95"/>
    <w:rsid w:val="00D21DA2"/>
    <w:rsid w:val="00D2250C"/>
    <w:rsid w:val="00D22F94"/>
    <w:rsid w:val="00D2345D"/>
    <w:rsid w:val="00D23567"/>
    <w:rsid w:val="00D23785"/>
    <w:rsid w:val="00D23A91"/>
    <w:rsid w:val="00D2426A"/>
    <w:rsid w:val="00D24291"/>
    <w:rsid w:val="00D2456B"/>
    <w:rsid w:val="00D2565C"/>
    <w:rsid w:val="00D25889"/>
    <w:rsid w:val="00D25C75"/>
    <w:rsid w:val="00D25FCD"/>
    <w:rsid w:val="00D2617B"/>
    <w:rsid w:val="00D275B4"/>
    <w:rsid w:val="00D27F0D"/>
    <w:rsid w:val="00D27FBF"/>
    <w:rsid w:val="00D31199"/>
    <w:rsid w:val="00D31472"/>
    <w:rsid w:val="00D31511"/>
    <w:rsid w:val="00D31A13"/>
    <w:rsid w:val="00D31A84"/>
    <w:rsid w:val="00D32BCF"/>
    <w:rsid w:val="00D32D94"/>
    <w:rsid w:val="00D330A7"/>
    <w:rsid w:val="00D3350E"/>
    <w:rsid w:val="00D340AA"/>
    <w:rsid w:val="00D34786"/>
    <w:rsid w:val="00D34C1A"/>
    <w:rsid w:val="00D35609"/>
    <w:rsid w:val="00D35A0A"/>
    <w:rsid w:val="00D35A72"/>
    <w:rsid w:val="00D35CFB"/>
    <w:rsid w:val="00D35D47"/>
    <w:rsid w:val="00D36696"/>
    <w:rsid w:val="00D36A2C"/>
    <w:rsid w:val="00D37539"/>
    <w:rsid w:val="00D37557"/>
    <w:rsid w:val="00D4040F"/>
    <w:rsid w:val="00D40A1E"/>
    <w:rsid w:val="00D41308"/>
    <w:rsid w:val="00D42007"/>
    <w:rsid w:val="00D42A76"/>
    <w:rsid w:val="00D42BAB"/>
    <w:rsid w:val="00D43C78"/>
    <w:rsid w:val="00D43D02"/>
    <w:rsid w:val="00D44328"/>
    <w:rsid w:val="00D443A5"/>
    <w:rsid w:val="00D44A80"/>
    <w:rsid w:val="00D44B04"/>
    <w:rsid w:val="00D44BDF"/>
    <w:rsid w:val="00D44F7A"/>
    <w:rsid w:val="00D45150"/>
    <w:rsid w:val="00D45500"/>
    <w:rsid w:val="00D4644B"/>
    <w:rsid w:val="00D4662C"/>
    <w:rsid w:val="00D46696"/>
    <w:rsid w:val="00D46CDC"/>
    <w:rsid w:val="00D46FBE"/>
    <w:rsid w:val="00D47631"/>
    <w:rsid w:val="00D47E97"/>
    <w:rsid w:val="00D47F4D"/>
    <w:rsid w:val="00D5025B"/>
    <w:rsid w:val="00D50AFF"/>
    <w:rsid w:val="00D50CBE"/>
    <w:rsid w:val="00D512DC"/>
    <w:rsid w:val="00D523C3"/>
    <w:rsid w:val="00D52434"/>
    <w:rsid w:val="00D52B5B"/>
    <w:rsid w:val="00D52C14"/>
    <w:rsid w:val="00D537DA"/>
    <w:rsid w:val="00D53960"/>
    <w:rsid w:val="00D539A6"/>
    <w:rsid w:val="00D53DF6"/>
    <w:rsid w:val="00D53F3D"/>
    <w:rsid w:val="00D54537"/>
    <w:rsid w:val="00D54FD9"/>
    <w:rsid w:val="00D558C4"/>
    <w:rsid w:val="00D55D01"/>
    <w:rsid w:val="00D55EC8"/>
    <w:rsid w:val="00D568A0"/>
    <w:rsid w:val="00D56E33"/>
    <w:rsid w:val="00D57019"/>
    <w:rsid w:val="00D57833"/>
    <w:rsid w:val="00D57BA3"/>
    <w:rsid w:val="00D6069C"/>
    <w:rsid w:val="00D606AC"/>
    <w:rsid w:val="00D6092C"/>
    <w:rsid w:val="00D60BBD"/>
    <w:rsid w:val="00D60D42"/>
    <w:rsid w:val="00D61163"/>
    <w:rsid w:val="00D611FB"/>
    <w:rsid w:val="00D6144B"/>
    <w:rsid w:val="00D620D2"/>
    <w:rsid w:val="00D62108"/>
    <w:rsid w:val="00D6211E"/>
    <w:rsid w:val="00D62894"/>
    <w:rsid w:val="00D62BD0"/>
    <w:rsid w:val="00D62F66"/>
    <w:rsid w:val="00D62FB8"/>
    <w:rsid w:val="00D63033"/>
    <w:rsid w:val="00D63233"/>
    <w:rsid w:val="00D64AAD"/>
    <w:rsid w:val="00D65E4F"/>
    <w:rsid w:val="00D6603B"/>
    <w:rsid w:val="00D66F60"/>
    <w:rsid w:val="00D671D3"/>
    <w:rsid w:val="00D677D5"/>
    <w:rsid w:val="00D70778"/>
    <w:rsid w:val="00D70D74"/>
    <w:rsid w:val="00D70EFB"/>
    <w:rsid w:val="00D712B9"/>
    <w:rsid w:val="00D712D3"/>
    <w:rsid w:val="00D71422"/>
    <w:rsid w:val="00D7145E"/>
    <w:rsid w:val="00D72789"/>
    <w:rsid w:val="00D72985"/>
    <w:rsid w:val="00D73376"/>
    <w:rsid w:val="00D73946"/>
    <w:rsid w:val="00D73D78"/>
    <w:rsid w:val="00D73E27"/>
    <w:rsid w:val="00D74A1F"/>
    <w:rsid w:val="00D74B5B"/>
    <w:rsid w:val="00D74C93"/>
    <w:rsid w:val="00D74E82"/>
    <w:rsid w:val="00D74F68"/>
    <w:rsid w:val="00D7514B"/>
    <w:rsid w:val="00D7558D"/>
    <w:rsid w:val="00D76232"/>
    <w:rsid w:val="00D7649A"/>
    <w:rsid w:val="00D76A3D"/>
    <w:rsid w:val="00D7762E"/>
    <w:rsid w:val="00D77A99"/>
    <w:rsid w:val="00D77B2C"/>
    <w:rsid w:val="00D77BCE"/>
    <w:rsid w:val="00D80250"/>
    <w:rsid w:val="00D80440"/>
    <w:rsid w:val="00D80C85"/>
    <w:rsid w:val="00D80FAB"/>
    <w:rsid w:val="00D811FF"/>
    <w:rsid w:val="00D81C90"/>
    <w:rsid w:val="00D81D92"/>
    <w:rsid w:val="00D81F73"/>
    <w:rsid w:val="00D826A0"/>
    <w:rsid w:val="00D82760"/>
    <w:rsid w:val="00D82876"/>
    <w:rsid w:val="00D82EA8"/>
    <w:rsid w:val="00D838BE"/>
    <w:rsid w:val="00D83DD3"/>
    <w:rsid w:val="00D83FFE"/>
    <w:rsid w:val="00D86110"/>
    <w:rsid w:val="00D86402"/>
    <w:rsid w:val="00D86569"/>
    <w:rsid w:val="00D865A2"/>
    <w:rsid w:val="00D87416"/>
    <w:rsid w:val="00D87567"/>
    <w:rsid w:val="00D8763F"/>
    <w:rsid w:val="00D876B2"/>
    <w:rsid w:val="00D877E9"/>
    <w:rsid w:val="00D878CA"/>
    <w:rsid w:val="00D9040B"/>
    <w:rsid w:val="00D9087A"/>
    <w:rsid w:val="00D91047"/>
    <w:rsid w:val="00D912A6"/>
    <w:rsid w:val="00D9141D"/>
    <w:rsid w:val="00D915AB"/>
    <w:rsid w:val="00D91B1E"/>
    <w:rsid w:val="00D91D59"/>
    <w:rsid w:val="00D92374"/>
    <w:rsid w:val="00D9253C"/>
    <w:rsid w:val="00D93446"/>
    <w:rsid w:val="00D9382D"/>
    <w:rsid w:val="00D946AA"/>
    <w:rsid w:val="00D94D1C"/>
    <w:rsid w:val="00D94F44"/>
    <w:rsid w:val="00D9539C"/>
    <w:rsid w:val="00D95402"/>
    <w:rsid w:val="00D96245"/>
    <w:rsid w:val="00D9657F"/>
    <w:rsid w:val="00D975F8"/>
    <w:rsid w:val="00D978E5"/>
    <w:rsid w:val="00DA062D"/>
    <w:rsid w:val="00DA0F27"/>
    <w:rsid w:val="00DA1520"/>
    <w:rsid w:val="00DA1F9E"/>
    <w:rsid w:val="00DA21AB"/>
    <w:rsid w:val="00DA249D"/>
    <w:rsid w:val="00DA2A7C"/>
    <w:rsid w:val="00DA3005"/>
    <w:rsid w:val="00DA300A"/>
    <w:rsid w:val="00DA312D"/>
    <w:rsid w:val="00DA36AE"/>
    <w:rsid w:val="00DA3E52"/>
    <w:rsid w:val="00DA40CF"/>
    <w:rsid w:val="00DA4E4E"/>
    <w:rsid w:val="00DA5DEA"/>
    <w:rsid w:val="00DA5ECF"/>
    <w:rsid w:val="00DA6812"/>
    <w:rsid w:val="00DA6AB3"/>
    <w:rsid w:val="00DA7151"/>
    <w:rsid w:val="00DA755B"/>
    <w:rsid w:val="00DA77AA"/>
    <w:rsid w:val="00DA7982"/>
    <w:rsid w:val="00DA79D0"/>
    <w:rsid w:val="00DA7B5F"/>
    <w:rsid w:val="00DB18A8"/>
    <w:rsid w:val="00DB1D14"/>
    <w:rsid w:val="00DB202B"/>
    <w:rsid w:val="00DB3050"/>
    <w:rsid w:val="00DB30EC"/>
    <w:rsid w:val="00DB3374"/>
    <w:rsid w:val="00DB3D31"/>
    <w:rsid w:val="00DB3ED4"/>
    <w:rsid w:val="00DB4A1E"/>
    <w:rsid w:val="00DB4D80"/>
    <w:rsid w:val="00DB5429"/>
    <w:rsid w:val="00DB5C3C"/>
    <w:rsid w:val="00DB6C6C"/>
    <w:rsid w:val="00DB6D0E"/>
    <w:rsid w:val="00DB7CA0"/>
    <w:rsid w:val="00DC043A"/>
    <w:rsid w:val="00DC07A4"/>
    <w:rsid w:val="00DC12A5"/>
    <w:rsid w:val="00DC174D"/>
    <w:rsid w:val="00DC190C"/>
    <w:rsid w:val="00DC2858"/>
    <w:rsid w:val="00DC28C0"/>
    <w:rsid w:val="00DC28DD"/>
    <w:rsid w:val="00DC2FF2"/>
    <w:rsid w:val="00DC3121"/>
    <w:rsid w:val="00DC4238"/>
    <w:rsid w:val="00DC42BF"/>
    <w:rsid w:val="00DC4839"/>
    <w:rsid w:val="00DC5FD6"/>
    <w:rsid w:val="00DC6453"/>
    <w:rsid w:val="00DC6D2C"/>
    <w:rsid w:val="00DC7597"/>
    <w:rsid w:val="00DC7693"/>
    <w:rsid w:val="00DC7C8C"/>
    <w:rsid w:val="00DD045E"/>
    <w:rsid w:val="00DD1E65"/>
    <w:rsid w:val="00DD2032"/>
    <w:rsid w:val="00DD2635"/>
    <w:rsid w:val="00DD2BE4"/>
    <w:rsid w:val="00DD2C54"/>
    <w:rsid w:val="00DD3FE1"/>
    <w:rsid w:val="00DD4B5B"/>
    <w:rsid w:val="00DD5501"/>
    <w:rsid w:val="00DD6D8F"/>
    <w:rsid w:val="00DD6DEF"/>
    <w:rsid w:val="00DD6E25"/>
    <w:rsid w:val="00DD6F04"/>
    <w:rsid w:val="00DD759E"/>
    <w:rsid w:val="00DD7F29"/>
    <w:rsid w:val="00DE01CB"/>
    <w:rsid w:val="00DE0266"/>
    <w:rsid w:val="00DE0893"/>
    <w:rsid w:val="00DE1546"/>
    <w:rsid w:val="00DE16C3"/>
    <w:rsid w:val="00DE181C"/>
    <w:rsid w:val="00DE26A2"/>
    <w:rsid w:val="00DE2792"/>
    <w:rsid w:val="00DE343D"/>
    <w:rsid w:val="00DE3B4F"/>
    <w:rsid w:val="00DE3E14"/>
    <w:rsid w:val="00DE4E10"/>
    <w:rsid w:val="00DE6249"/>
    <w:rsid w:val="00DE62F2"/>
    <w:rsid w:val="00DE735D"/>
    <w:rsid w:val="00DE7417"/>
    <w:rsid w:val="00DE7624"/>
    <w:rsid w:val="00DE783D"/>
    <w:rsid w:val="00DE7D2E"/>
    <w:rsid w:val="00DF1907"/>
    <w:rsid w:val="00DF1CDD"/>
    <w:rsid w:val="00DF1DF9"/>
    <w:rsid w:val="00DF2C26"/>
    <w:rsid w:val="00DF2FDC"/>
    <w:rsid w:val="00DF3130"/>
    <w:rsid w:val="00DF3A3C"/>
    <w:rsid w:val="00DF42A0"/>
    <w:rsid w:val="00DF472F"/>
    <w:rsid w:val="00DF4BDE"/>
    <w:rsid w:val="00DF5077"/>
    <w:rsid w:val="00DF56EC"/>
    <w:rsid w:val="00DF7793"/>
    <w:rsid w:val="00E0059C"/>
    <w:rsid w:val="00E01798"/>
    <w:rsid w:val="00E018BA"/>
    <w:rsid w:val="00E01B40"/>
    <w:rsid w:val="00E02360"/>
    <w:rsid w:val="00E023DF"/>
    <w:rsid w:val="00E04CC5"/>
    <w:rsid w:val="00E052B0"/>
    <w:rsid w:val="00E05E02"/>
    <w:rsid w:val="00E06730"/>
    <w:rsid w:val="00E067A6"/>
    <w:rsid w:val="00E068E0"/>
    <w:rsid w:val="00E06B5A"/>
    <w:rsid w:val="00E06BAE"/>
    <w:rsid w:val="00E06D84"/>
    <w:rsid w:val="00E06DDE"/>
    <w:rsid w:val="00E0702F"/>
    <w:rsid w:val="00E070DA"/>
    <w:rsid w:val="00E07187"/>
    <w:rsid w:val="00E0734B"/>
    <w:rsid w:val="00E0740A"/>
    <w:rsid w:val="00E07618"/>
    <w:rsid w:val="00E078E6"/>
    <w:rsid w:val="00E079D8"/>
    <w:rsid w:val="00E11392"/>
    <w:rsid w:val="00E114A7"/>
    <w:rsid w:val="00E121DA"/>
    <w:rsid w:val="00E137B4"/>
    <w:rsid w:val="00E13D70"/>
    <w:rsid w:val="00E1451D"/>
    <w:rsid w:val="00E15130"/>
    <w:rsid w:val="00E15217"/>
    <w:rsid w:val="00E1542A"/>
    <w:rsid w:val="00E1542D"/>
    <w:rsid w:val="00E15626"/>
    <w:rsid w:val="00E1578C"/>
    <w:rsid w:val="00E15F82"/>
    <w:rsid w:val="00E15FBA"/>
    <w:rsid w:val="00E16F9D"/>
    <w:rsid w:val="00E17683"/>
    <w:rsid w:val="00E2121C"/>
    <w:rsid w:val="00E215E9"/>
    <w:rsid w:val="00E215EF"/>
    <w:rsid w:val="00E22278"/>
    <w:rsid w:val="00E2284A"/>
    <w:rsid w:val="00E230FD"/>
    <w:rsid w:val="00E236F1"/>
    <w:rsid w:val="00E23718"/>
    <w:rsid w:val="00E2398E"/>
    <w:rsid w:val="00E23A98"/>
    <w:rsid w:val="00E25486"/>
    <w:rsid w:val="00E2586D"/>
    <w:rsid w:val="00E25A41"/>
    <w:rsid w:val="00E25A6B"/>
    <w:rsid w:val="00E25BE4"/>
    <w:rsid w:val="00E2673A"/>
    <w:rsid w:val="00E26AC8"/>
    <w:rsid w:val="00E26F97"/>
    <w:rsid w:val="00E26FCD"/>
    <w:rsid w:val="00E272A4"/>
    <w:rsid w:val="00E27AA4"/>
    <w:rsid w:val="00E30281"/>
    <w:rsid w:val="00E30994"/>
    <w:rsid w:val="00E30DB9"/>
    <w:rsid w:val="00E314FA"/>
    <w:rsid w:val="00E31AAE"/>
    <w:rsid w:val="00E32FE3"/>
    <w:rsid w:val="00E3317B"/>
    <w:rsid w:val="00E337D9"/>
    <w:rsid w:val="00E3386F"/>
    <w:rsid w:val="00E33E64"/>
    <w:rsid w:val="00E3533B"/>
    <w:rsid w:val="00E3622A"/>
    <w:rsid w:val="00E364C4"/>
    <w:rsid w:val="00E36893"/>
    <w:rsid w:val="00E36993"/>
    <w:rsid w:val="00E369D6"/>
    <w:rsid w:val="00E37292"/>
    <w:rsid w:val="00E3757F"/>
    <w:rsid w:val="00E377C8"/>
    <w:rsid w:val="00E37980"/>
    <w:rsid w:val="00E40AEA"/>
    <w:rsid w:val="00E41133"/>
    <w:rsid w:val="00E412F2"/>
    <w:rsid w:val="00E41E9F"/>
    <w:rsid w:val="00E42994"/>
    <w:rsid w:val="00E42C74"/>
    <w:rsid w:val="00E43157"/>
    <w:rsid w:val="00E43212"/>
    <w:rsid w:val="00E4390D"/>
    <w:rsid w:val="00E43C54"/>
    <w:rsid w:val="00E43C96"/>
    <w:rsid w:val="00E43E39"/>
    <w:rsid w:val="00E44853"/>
    <w:rsid w:val="00E44961"/>
    <w:rsid w:val="00E45D29"/>
    <w:rsid w:val="00E461F9"/>
    <w:rsid w:val="00E46307"/>
    <w:rsid w:val="00E477E8"/>
    <w:rsid w:val="00E4781D"/>
    <w:rsid w:val="00E47E00"/>
    <w:rsid w:val="00E50136"/>
    <w:rsid w:val="00E50E66"/>
    <w:rsid w:val="00E51067"/>
    <w:rsid w:val="00E52427"/>
    <w:rsid w:val="00E524D4"/>
    <w:rsid w:val="00E533FF"/>
    <w:rsid w:val="00E53BD8"/>
    <w:rsid w:val="00E53DC6"/>
    <w:rsid w:val="00E53E5E"/>
    <w:rsid w:val="00E54100"/>
    <w:rsid w:val="00E54BF5"/>
    <w:rsid w:val="00E54CE4"/>
    <w:rsid w:val="00E54EF8"/>
    <w:rsid w:val="00E56125"/>
    <w:rsid w:val="00E56477"/>
    <w:rsid w:val="00E56D15"/>
    <w:rsid w:val="00E56EB8"/>
    <w:rsid w:val="00E57833"/>
    <w:rsid w:val="00E57AC6"/>
    <w:rsid w:val="00E57B6B"/>
    <w:rsid w:val="00E57ECF"/>
    <w:rsid w:val="00E60063"/>
    <w:rsid w:val="00E608CA"/>
    <w:rsid w:val="00E61067"/>
    <w:rsid w:val="00E61127"/>
    <w:rsid w:val="00E61DC3"/>
    <w:rsid w:val="00E61F91"/>
    <w:rsid w:val="00E61FC3"/>
    <w:rsid w:val="00E62965"/>
    <w:rsid w:val="00E62BF1"/>
    <w:rsid w:val="00E6356C"/>
    <w:rsid w:val="00E6364D"/>
    <w:rsid w:val="00E63B98"/>
    <w:rsid w:val="00E64645"/>
    <w:rsid w:val="00E64863"/>
    <w:rsid w:val="00E648F3"/>
    <w:rsid w:val="00E64AF6"/>
    <w:rsid w:val="00E64E6F"/>
    <w:rsid w:val="00E64FF5"/>
    <w:rsid w:val="00E651FD"/>
    <w:rsid w:val="00E654A2"/>
    <w:rsid w:val="00E65CB4"/>
    <w:rsid w:val="00E661FD"/>
    <w:rsid w:val="00E6703B"/>
    <w:rsid w:val="00E6788B"/>
    <w:rsid w:val="00E67CBA"/>
    <w:rsid w:val="00E67E23"/>
    <w:rsid w:val="00E709B3"/>
    <w:rsid w:val="00E70B54"/>
    <w:rsid w:val="00E711AB"/>
    <w:rsid w:val="00E7126F"/>
    <w:rsid w:val="00E71410"/>
    <w:rsid w:val="00E7193A"/>
    <w:rsid w:val="00E71E57"/>
    <w:rsid w:val="00E71E89"/>
    <w:rsid w:val="00E71FD7"/>
    <w:rsid w:val="00E72FFF"/>
    <w:rsid w:val="00E73D6A"/>
    <w:rsid w:val="00E74123"/>
    <w:rsid w:val="00E74177"/>
    <w:rsid w:val="00E74D7C"/>
    <w:rsid w:val="00E75229"/>
    <w:rsid w:val="00E753FA"/>
    <w:rsid w:val="00E75440"/>
    <w:rsid w:val="00E75F13"/>
    <w:rsid w:val="00E7676B"/>
    <w:rsid w:val="00E767BD"/>
    <w:rsid w:val="00E76C84"/>
    <w:rsid w:val="00E76CBC"/>
    <w:rsid w:val="00E7739E"/>
    <w:rsid w:val="00E774E4"/>
    <w:rsid w:val="00E807AA"/>
    <w:rsid w:val="00E80E83"/>
    <w:rsid w:val="00E81771"/>
    <w:rsid w:val="00E81A3E"/>
    <w:rsid w:val="00E82CCD"/>
    <w:rsid w:val="00E82F32"/>
    <w:rsid w:val="00E830CC"/>
    <w:rsid w:val="00E833E9"/>
    <w:rsid w:val="00E833FA"/>
    <w:rsid w:val="00E83848"/>
    <w:rsid w:val="00E85038"/>
    <w:rsid w:val="00E855B5"/>
    <w:rsid w:val="00E8617F"/>
    <w:rsid w:val="00E86541"/>
    <w:rsid w:val="00E86761"/>
    <w:rsid w:val="00E86ABD"/>
    <w:rsid w:val="00E86C3A"/>
    <w:rsid w:val="00E86DAF"/>
    <w:rsid w:val="00E86E84"/>
    <w:rsid w:val="00E86EAF"/>
    <w:rsid w:val="00E87515"/>
    <w:rsid w:val="00E8789F"/>
    <w:rsid w:val="00E90530"/>
    <w:rsid w:val="00E9068B"/>
    <w:rsid w:val="00E908CF"/>
    <w:rsid w:val="00E90F4C"/>
    <w:rsid w:val="00E91BE2"/>
    <w:rsid w:val="00E91CFF"/>
    <w:rsid w:val="00E920D0"/>
    <w:rsid w:val="00E92215"/>
    <w:rsid w:val="00E92993"/>
    <w:rsid w:val="00E92E80"/>
    <w:rsid w:val="00E9316D"/>
    <w:rsid w:val="00E93BDB"/>
    <w:rsid w:val="00E94203"/>
    <w:rsid w:val="00E947D7"/>
    <w:rsid w:val="00E94D19"/>
    <w:rsid w:val="00E94E3D"/>
    <w:rsid w:val="00E95F0A"/>
    <w:rsid w:val="00E961D0"/>
    <w:rsid w:val="00E96942"/>
    <w:rsid w:val="00E978C5"/>
    <w:rsid w:val="00E97B71"/>
    <w:rsid w:val="00EA01E7"/>
    <w:rsid w:val="00EA077D"/>
    <w:rsid w:val="00EA0836"/>
    <w:rsid w:val="00EA0FBB"/>
    <w:rsid w:val="00EA1283"/>
    <w:rsid w:val="00EA1D9B"/>
    <w:rsid w:val="00EA26BA"/>
    <w:rsid w:val="00EA27CF"/>
    <w:rsid w:val="00EA48EC"/>
    <w:rsid w:val="00EA4EB1"/>
    <w:rsid w:val="00EA4F82"/>
    <w:rsid w:val="00EA5A04"/>
    <w:rsid w:val="00EA5FE2"/>
    <w:rsid w:val="00EA603E"/>
    <w:rsid w:val="00EA66A2"/>
    <w:rsid w:val="00EA6A6E"/>
    <w:rsid w:val="00EA70E0"/>
    <w:rsid w:val="00EA7131"/>
    <w:rsid w:val="00EA7378"/>
    <w:rsid w:val="00EA7448"/>
    <w:rsid w:val="00EA78CC"/>
    <w:rsid w:val="00EA7F95"/>
    <w:rsid w:val="00EB01F4"/>
    <w:rsid w:val="00EB0252"/>
    <w:rsid w:val="00EB0BBC"/>
    <w:rsid w:val="00EB15FF"/>
    <w:rsid w:val="00EB18F6"/>
    <w:rsid w:val="00EB1CAE"/>
    <w:rsid w:val="00EB1D83"/>
    <w:rsid w:val="00EB21A5"/>
    <w:rsid w:val="00EB22B0"/>
    <w:rsid w:val="00EB24D7"/>
    <w:rsid w:val="00EB2ED9"/>
    <w:rsid w:val="00EB315A"/>
    <w:rsid w:val="00EB394F"/>
    <w:rsid w:val="00EB3B99"/>
    <w:rsid w:val="00EB4080"/>
    <w:rsid w:val="00EB4249"/>
    <w:rsid w:val="00EB454D"/>
    <w:rsid w:val="00EB454F"/>
    <w:rsid w:val="00EB4B7E"/>
    <w:rsid w:val="00EB51DC"/>
    <w:rsid w:val="00EB51EA"/>
    <w:rsid w:val="00EB55C1"/>
    <w:rsid w:val="00EB6170"/>
    <w:rsid w:val="00EB62D9"/>
    <w:rsid w:val="00EB64EF"/>
    <w:rsid w:val="00EB696C"/>
    <w:rsid w:val="00EB6B06"/>
    <w:rsid w:val="00EB7A72"/>
    <w:rsid w:val="00EB7F0A"/>
    <w:rsid w:val="00EC091F"/>
    <w:rsid w:val="00EC0BA4"/>
    <w:rsid w:val="00EC112E"/>
    <w:rsid w:val="00EC1674"/>
    <w:rsid w:val="00EC192C"/>
    <w:rsid w:val="00EC20C2"/>
    <w:rsid w:val="00EC2AAD"/>
    <w:rsid w:val="00EC311A"/>
    <w:rsid w:val="00EC31F9"/>
    <w:rsid w:val="00EC36F6"/>
    <w:rsid w:val="00EC437D"/>
    <w:rsid w:val="00EC440C"/>
    <w:rsid w:val="00EC45C1"/>
    <w:rsid w:val="00EC4738"/>
    <w:rsid w:val="00EC5123"/>
    <w:rsid w:val="00EC514D"/>
    <w:rsid w:val="00EC5570"/>
    <w:rsid w:val="00EC55EA"/>
    <w:rsid w:val="00EC59D9"/>
    <w:rsid w:val="00EC68B2"/>
    <w:rsid w:val="00EC6931"/>
    <w:rsid w:val="00EC6F2B"/>
    <w:rsid w:val="00EC714E"/>
    <w:rsid w:val="00EC74EB"/>
    <w:rsid w:val="00EC7C31"/>
    <w:rsid w:val="00EC7F2E"/>
    <w:rsid w:val="00ED0268"/>
    <w:rsid w:val="00ED03BE"/>
    <w:rsid w:val="00ED04F8"/>
    <w:rsid w:val="00ED0E31"/>
    <w:rsid w:val="00ED0F40"/>
    <w:rsid w:val="00ED1405"/>
    <w:rsid w:val="00ED144B"/>
    <w:rsid w:val="00ED147C"/>
    <w:rsid w:val="00ED18FD"/>
    <w:rsid w:val="00ED19E9"/>
    <w:rsid w:val="00ED2D1D"/>
    <w:rsid w:val="00ED3A8E"/>
    <w:rsid w:val="00ED3AB2"/>
    <w:rsid w:val="00ED404F"/>
    <w:rsid w:val="00ED52B0"/>
    <w:rsid w:val="00ED56AB"/>
    <w:rsid w:val="00ED5BE1"/>
    <w:rsid w:val="00ED7CC1"/>
    <w:rsid w:val="00EE04C1"/>
    <w:rsid w:val="00EE0ACC"/>
    <w:rsid w:val="00EE0BA9"/>
    <w:rsid w:val="00EE0D3E"/>
    <w:rsid w:val="00EE0F6B"/>
    <w:rsid w:val="00EE140F"/>
    <w:rsid w:val="00EE22E3"/>
    <w:rsid w:val="00EE2931"/>
    <w:rsid w:val="00EE2BD2"/>
    <w:rsid w:val="00EE3522"/>
    <w:rsid w:val="00EE36D7"/>
    <w:rsid w:val="00EE39AD"/>
    <w:rsid w:val="00EE4E4B"/>
    <w:rsid w:val="00EE504E"/>
    <w:rsid w:val="00EE5C5E"/>
    <w:rsid w:val="00EE5D7E"/>
    <w:rsid w:val="00EE5E58"/>
    <w:rsid w:val="00EE61AB"/>
    <w:rsid w:val="00EE7188"/>
    <w:rsid w:val="00EE7718"/>
    <w:rsid w:val="00EF04A0"/>
    <w:rsid w:val="00EF0CB9"/>
    <w:rsid w:val="00EF0CEF"/>
    <w:rsid w:val="00EF1B3F"/>
    <w:rsid w:val="00EF2493"/>
    <w:rsid w:val="00EF2BCD"/>
    <w:rsid w:val="00EF36AC"/>
    <w:rsid w:val="00EF4804"/>
    <w:rsid w:val="00EF4866"/>
    <w:rsid w:val="00EF49F0"/>
    <w:rsid w:val="00EF4C4E"/>
    <w:rsid w:val="00EF4EC3"/>
    <w:rsid w:val="00EF56CE"/>
    <w:rsid w:val="00EF5839"/>
    <w:rsid w:val="00EF5AA9"/>
    <w:rsid w:val="00EF619B"/>
    <w:rsid w:val="00EF620A"/>
    <w:rsid w:val="00EF6972"/>
    <w:rsid w:val="00EF7231"/>
    <w:rsid w:val="00EF78C3"/>
    <w:rsid w:val="00F001CA"/>
    <w:rsid w:val="00F005EE"/>
    <w:rsid w:val="00F00B55"/>
    <w:rsid w:val="00F012D6"/>
    <w:rsid w:val="00F0235E"/>
    <w:rsid w:val="00F02586"/>
    <w:rsid w:val="00F037C6"/>
    <w:rsid w:val="00F04AFE"/>
    <w:rsid w:val="00F059CF"/>
    <w:rsid w:val="00F06961"/>
    <w:rsid w:val="00F1005F"/>
    <w:rsid w:val="00F10CE6"/>
    <w:rsid w:val="00F11242"/>
    <w:rsid w:val="00F1129E"/>
    <w:rsid w:val="00F1188B"/>
    <w:rsid w:val="00F11EF1"/>
    <w:rsid w:val="00F1380F"/>
    <w:rsid w:val="00F14F0E"/>
    <w:rsid w:val="00F14F98"/>
    <w:rsid w:val="00F15799"/>
    <w:rsid w:val="00F15B6A"/>
    <w:rsid w:val="00F16AD4"/>
    <w:rsid w:val="00F16F8E"/>
    <w:rsid w:val="00F175ED"/>
    <w:rsid w:val="00F1763D"/>
    <w:rsid w:val="00F17799"/>
    <w:rsid w:val="00F17D5E"/>
    <w:rsid w:val="00F20236"/>
    <w:rsid w:val="00F2059E"/>
    <w:rsid w:val="00F20D2B"/>
    <w:rsid w:val="00F21553"/>
    <w:rsid w:val="00F21703"/>
    <w:rsid w:val="00F227E6"/>
    <w:rsid w:val="00F2328B"/>
    <w:rsid w:val="00F24AB2"/>
    <w:rsid w:val="00F24C29"/>
    <w:rsid w:val="00F253CC"/>
    <w:rsid w:val="00F25C31"/>
    <w:rsid w:val="00F267BE"/>
    <w:rsid w:val="00F267E4"/>
    <w:rsid w:val="00F26B0B"/>
    <w:rsid w:val="00F27458"/>
    <w:rsid w:val="00F277DB"/>
    <w:rsid w:val="00F27ACD"/>
    <w:rsid w:val="00F27CD8"/>
    <w:rsid w:val="00F27CFD"/>
    <w:rsid w:val="00F27F00"/>
    <w:rsid w:val="00F311E2"/>
    <w:rsid w:val="00F31814"/>
    <w:rsid w:val="00F32262"/>
    <w:rsid w:val="00F3282B"/>
    <w:rsid w:val="00F3379A"/>
    <w:rsid w:val="00F34265"/>
    <w:rsid w:val="00F34430"/>
    <w:rsid w:val="00F345AF"/>
    <w:rsid w:val="00F352AF"/>
    <w:rsid w:val="00F35C2A"/>
    <w:rsid w:val="00F35E2A"/>
    <w:rsid w:val="00F36C33"/>
    <w:rsid w:val="00F36D40"/>
    <w:rsid w:val="00F36F27"/>
    <w:rsid w:val="00F37481"/>
    <w:rsid w:val="00F377BE"/>
    <w:rsid w:val="00F37F99"/>
    <w:rsid w:val="00F40B92"/>
    <w:rsid w:val="00F40F3F"/>
    <w:rsid w:val="00F4139C"/>
    <w:rsid w:val="00F41A44"/>
    <w:rsid w:val="00F41F32"/>
    <w:rsid w:val="00F427D9"/>
    <w:rsid w:val="00F427E6"/>
    <w:rsid w:val="00F42943"/>
    <w:rsid w:val="00F4316F"/>
    <w:rsid w:val="00F434F9"/>
    <w:rsid w:val="00F438CD"/>
    <w:rsid w:val="00F441B9"/>
    <w:rsid w:val="00F4424F"/>
    <w:rsid w:val="00F44C31"/>
    <w:rsid w:val="00F45817"/>
    <w:rsid w:val="00F45EBF"/>
    <w:rsid w:val="00F46107"/>
    <w:rsid w:val="00F46498"/>
    <w:rsid w:val="00F4796B"/>
    <w:rsid w:val="00F47B79"/>
    <w:rsid w:val="00F503B5"/>
    <w:rsid w:val="00F5080C"/>
    <w:rsid w:val="00F50844"/>
    <w:rsid w:val="00F50CCD"/>
    <w:rsid w:val="00F50E6B"/>
    <w:rsid w:val="00F516D3"/>
    <w:rsid w:val="00F51F0D"/>
    <w:rsid w:val="00F51F28"/>
    <w:rsid w:val="00F545AC"/>
    <w:rsid w:val="00F547B5"/>
    <w:rsid w:val="00F54873"/>
    <w:rsid w:val="00F548A6"/>
    <w:rsid w:val="00F5497B"/>
    <w:rsid w:val="00F54F56"/>
    <w:rsid w:val="00F55507"/>
    <w:rsid w:val="00F55AB7"/>
    <w:rsid w:val="00F55F3B"/>
    <w:rsid w:val="00F55FC4"/>
    <w:rsid w:val="00F566C6"/>
    <w:rsid w:val="00F5694D"/>
    <w:rsid w:val="00F56A40"/>
    <w:rsid w:val="00F56BA5"/>
    <w:rsid w:val="00F56BE1"/>
    <w:rsid w:val="00F56D59"/>
    <w:rsid w:val="00F56EC5"/>
    <w:rsid w:val="00F56F31"/>
    <w:rsid w:val="00F572A5"/>
    <w:rsid w:val="00F57538"/>
    <w:rsid w:val="00F57731"/>
    <w:rsid w:val="00F6022A"/>
    <w:rsid w:val="00F60E01"/>
    <w:rsid w:val="00F61053"/>
    <w:rsid w:val="00F6108F"/>
    <w:rsid w:val="00F61379"/>
    <w:rsid w:val="00F6140C"/>
    <w:rsid w:val="00F6160F"/>
    <w:rsid w:val="00F61B4C"/>
    <w:rsid w:val="00F61BE4"/>
    <w:rsid w:val="00F62179"/>
    <w:rsid w:val="00F6255A"/>
    <w:rsid w:val="00F62641"/>
    <w:rsid w:val="00F626BF"/>
    <w:rsid w:val="00F629C7"/>
    <w:rsid w:val="00F62C42"/>
    <w:rsid w:val="00F6351B"/>
    <w:rsid w:val="00F637BF"/>
    <w:rsid w:val="00F644E6"/>
    <w:rsid w:val="00F652F0"/>
    <w:rsid w:val="00F6589A"/>
    <w:rsid w:val="00F6657C"/>
    <w:rsid w:val="00F666B5"/>
    <w:rsid w:val="00F669EC"/>
    <w:rsid w:val="00F66BDC"/>
    <w:rsid w:val="00F70342"/>
    <w:rsid w:val="00F703D1"/>
    <w:rsid w:val="00F7144F"/>
    <w:rsid w:val="00F71643"/>
    <w:rsid w:val="00F71982"/>
    <w:rsid w:val="00F71F53"/>
    <w:rsid w:val="00F724F3"/>
    <w:rsid w:val="00F725D1"/>
    <w:rsid w:val="00F72B58"/>
    <w:rsid w:val="00F737D9"/>
    <w:rsid w:val="00F7392C"/>
    <w:rsid w:val="00F746CA"/>
    <w:rsid w:val="00F74834"/>
    <w:rsid w:val="00F74B0B"/>
    <w:rsid w:val="00F74F0B"/>
    <w:rsid w:val="00F769C7"/>
    <w:rsid w:val="00F76ADB"/>
    <w:rsid w:val="00F7730A"/>
    <w:rsid w:val="00F7784C"/>
    <w:rsid w:val="00F77995"/>
    <w:rsid w:val="00F77BFA"/>
    <w:rsid w:val="00F77E6F"/>
    <w:rsid w:val="00F810EB"/>
    <w:rsid w:val="00F8194C"/>
    <w:rsid w:val="00F81B3F"/>
    <w:rsid w:val="00F820EF"/>
    <w:rsid w:val="00F8244B"/>
    <w:rsid w:val="00F82683"/>
    <w:rsid w:val="00F82B9D"/>
    <w:rsid w:val="00F83617"/>
    <w:rsid w:val="00F83D11"/>
    <w:rsid w:val="00F849BF"/>
    <w:rsid w:val="00F84B63"/>
    <w:rsid w:val="00F857F6"/>
    <w:rsid w:val="00F867F6"/>
    <w:rsid w:val="00F86CC8"/>
    <w:rsid w:val="00F86E36"/>
    <w:rsid w:val="00F86EE8"/>
    <w:rsid w:val="00F87A9A"/>
    <w:rsid w:val="00F902BF"/>
    <w:rsid w:val="00F90D42"/>
    <w:rsid w:val="00F91540"/>
    <w:rsid w:val="00F916AC"/>
    <w:rsid w:val="00F91A4B"/>
    <w:rsid w:val="00F929C3"/>
    <w:rsid w:val="00F92CA1"/>
    <w:rsid w:val="00F93826"/>
    <w:rsid w:val="00F9453D"/>
    <w:rsid w:val="00F9491E"/>
    <w:rsid w:val="00F94D4F"/>
    <w:rsid w:val="00F9653B"/>
    <w:rsid w:val="00F968E0"/>
    <w:rsid w:val="00F968E5"/>
    <w:rsid w:val="00F96DEE"/>
    <w:rsid w:val="00F977ED"/>
    <w:rsid w:val="00F97B89"/>
    <w:rsid w:val="00F97D53"/>
    <w:rsid w:val="00FA01C8"/>
    <w:rsid w:val="00FA081A"/>
    <w:rsid w:val="00FA083B"/>
    <w:rsid w:val="00FA1759"/>
    <w:rsid w:val="00FA1ADA"/>
    <w:rsid w:val="00FA1C6B"/>
    <w:rsid w:val="00FA21FC"/>
    <w:rsid w:val="00FA2245"/>
    <w:rsid w:val="00FA2B95"/>
    <w:rsid w:val="00FA2C02"/>
    <w:rsid w:val="00FA2C1D"/>
    <w:rsid w:val="00FA30B0"/>
    <w:rsid w:val="00FA310E"/>
    <w:rsid w:val="00FA33B5"/>
    <w:rsid w:val="00FA359A"/>
    <w:rsid w:val="00FA3A17"/>
    <w:rsid w:val="00FA3BDF"/>
    <w:rsid w:val="00FA476F"/>
    <w:rsid w:val="00FA5112"/>
    <w:rsid w:val="00FA5E83"/>
    <w:rsid w:val="00FA5FCF"/>
    <w:rsid w:val="00FA63CD"/>
    <w:rsid w:val="00FA6873"/>
    <w:rsid w:val="00FA73EB"/>
    <w:rsid w:val="00FA773D"/>
    <w:rsid w:val="00FA7982"/>
    <w:rsid w:val="00FA7A5D"/>
    <w:rsid w:val="00FA7CCD"/>
    <w:rsid w:val="00FB0135"/>
    <w:rsid w:val="00FB0E27"/>
    <w:rsid w:val="00FB0F8C"/>
    <w:rsid w:val="00FB0F94"/>
    <w:rsid w:val="00FB1A16"/>
    <w:rsid w:val="00FB1A3C"/>
    <w:rsid w:val="00FB2597"/>
    <w:rsid w:val="00FB37A2"/>
    <w:rsid w:val="00FB3991"/>
    <w:rsid w:val="00FB3C92"/>
    <w:rsid w:val="00FB3F0E"/>
    <w:rsid w:val="00FB49E0"/>
    <w:rsid w:val="00FB4EE9"/>
    <w:rsid w:val="00FB5B57"/>
    <w:rsid w:val="00FB62CF"/>
    <w:rsid w:val="00FB74A8"/>
    <w:rsid w:val="00FC052E"/>
    <w:rsid w:val="00FC06C3"/>
    <w:rsid w:val="00FC084F"/>
    <w:rsid w:val="00FC1154"/>
    <w:rsid w:val="00FC13F0"/>
    <w:rsid w:val="00FC1D53"/>
    <w:rsid w:val="00FC1E3D"/>
    <w:rsid w:val="00FC240A"/>
    <w:rsid w:val="00FC2B57"/>
    <w:rsid w:val="00FC2B76"/>
    <w:rsid w:val="00FC3262"/>
    <w:rsid w:val="00FC3283"/>
    <w:rsid w:val="00FC3C01"/>
    <w:rsid w:val="00FC3E0A"/>
    <w:rsid w:val="00FC3EB4"/>
    <w:rsid w:val="00FC41AB"/>
    <w:rsid w:val="00FC4AB2"/>
    <w:rsid w:val="00FC544A"/>
    <w:rsid w:val="00FC5458"/>
    <w:rsid w:val="00FC6C58"/>
    <w:rsid w:val="00FC70D7"/>
    <w:rsid w:val="00FC774A"/>
    <w:rsid w:val="00FC77D2"/>
    <w:rsid w:val="00FC78B0"/>
    <w:rsid w:val="00FD11C7"/>
    <w:rsid w:val="00FD1863"/>
    <w:rsid w:val="00FD1BA1"/>
    <w:rsid w:val="00FD1C8A"/>
    <w:rsid w:val="00FD1DD0"/>
    <w:rsid w:val="00FD24A9"/>
    <w:rsid w:val="00FD279F"/>
    <w:rsid w:val="00FD3996"/>
    <w:rsid w:val="00FD3BD1"/>
    <w:rsid w:val="00FD3E3D"/>
    <w:rsid w:val="00FD50E1"/>
    <w:rsid w:val="00FD5518"/>
    <w:rsid w:val="00FD56CC"/>
    <w:rsid w:val="00FD635E"/>
    <w:rsid w:val="00FD6B02"/>
    <w:rsid w:val="00FD706D"/>
    <w:rsid w:val="00FD71F0"/>
    <w:rsid w:val="00FD746F"/>
    <w:rsid w:val="00FD7A58"/>
    <w:rsid w:val="00FE09CA"/>
    <w:rsid w:val="00FE144F"/>
    <w:rsid w:val="00FE157F"/>
    <w:rsid w:val="00FE1B1C"/>
    <w:rsid w:val="00FE1C4E"/>
    <w:rsid w:val="00FE1EAD"/>
    <w:rsid w:val="00FE21AB"/>
    <w:rsid w:val="00FE24E6"/>
    <w:rsid w:val="00FE25F4"/>
    <w:rsid w:val="00FE276D"/>
    <w:rsid w:val="00FE3CC4"/>
    <w:rsid w:val="00FE3CEC"/>
    <w:rsid w:val="00FE40DE"/>
    <w:rsid w:val="00FE459C"/>
    <w:rsid w:val="00FE48DC"/>
    <w:rsid w:val="00FE4BF7"/>
    <w:rsid w:val="00FE4DAB"/>
    <w:rsid w:val="00FE514A"/>
    <w:rsid w:val="00FE5494"/>
    <w:rsid w:val="00FE5C4B"/>
    <w:rsid w:val="00FE6030"/>
    <w:rsid w:val="00FE65A5"/>
    <w:rsid w:val="00FE6A5A"/>
    <w:rsid w:val="00FE6B45"/>
    <w:rsid w:val="00FE6B58"/>
    <w:rsid w:val="00FE6EBC"/>
    <w:rsid w:val="00FE6F98"/>
    <w:rsid w:val="00FE7303"/>
    <w:rsid w:val="00FE769E"/>
    <w:rsid w:val="00FF03FB"/>
    <w:rsid w:val="00FF05BC"/>
    <w:rsid w:val="00FF0651"/>
    <w:rsid w:val="00FF19BA"/>
    <w:rsid w:val="00FF19E2"/>
    <w:rsid w:val="00FF1B45"/>
    <w:rsid w:val="00FF1B5F"/>
    <w:rsid w:val="00FF1C0D"/>
    <w:rsid w:val="00FF1C1C"/>
    <w:rsid w:val="00FF2A07"/>
    <w:rsid w:val="00FF2F9E"/>
    <w:rsid w:val="00FF3563"/>
    <w:rsid w:val="00FF379A"/>
    <w:rsid w:val="00FF3E59"/>
    <w:rsid w:val="00FF3FB7"/>
    <w:rsid w:val="00FF49B4"/>
    <w:rsid w:val="00FF4B22"/>
    <w:rsid w:val="00FF5724"/>
    <w:rsid w:val="00FF5851"/>
    <w:rsid w:val="00FF6A1A"/>
    <w:rsid w:val="00FF6B34"/>
    <w:rsid w:val="00FF6C89"/>
    <w:rsid w:val="00FF7145"/>
    <w:rsid w:val="00FF7650"/>
    <w:rsid w:val="00FF7B79"/>
  </w:rsids>
  <m:mathPr>
    <m:mathFont m:val="Cambria Math"/>
    <m:brkBin m:val="before"/>
    <m:brkBinSub m:val="--"/>
    <m:smallFrac/>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7E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4"/>
        <w:szCs w:val="24"/>
        <w:bdr w:val="nil"/>
        <w:lang w:val="es-ES" w:eastAsia="es-ES" w:bidi="ar-SA"/>
      </w:rPr>
    </w:rPrDefault>
    <w:pPrDefault>
      <w:pPr>
        <w:pBdr>
          <w:top w:val="nil"/>
          <w:left w:val="nil"/>
          <w:bottom w:val="nil"/>
          <w:right w:val="nil"/>
          <w:between w:val="nil"/>
          <w:bar w:val="nil"/>
        </w:pBdr>
      </w:pPr>
    </w:pPrDefault>
  </w:docDefaults>
  <w:latentStyles w:defLockedState="0" w:defUIPriority="0" w:defSemiHidden="0" w:defUnhideWhenUsed="0" w:defQFormat="0" w:count="376">
    <w:lsdException w:name="heading 1" w:uiPriority="9" w:qFormat="1"/>
    <w:lsdException w:name="heading 2" w:uiPriority="9" w:qFormat="1"/>
    <w:lsdException w:name="heading 5"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F0CEF"/>
    <w:rPr>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54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541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A36AE"/>
    <w:rPr>
      <w:u w:val="single"/>
    </w:rPr>
  </w:style>
  <w:style w:type="paragraph" w:customStyle="1" w:styleId="Cabeceraypie">
    <w:name w:val="Cabecera y pie"/>
    <w:rsid w:val="00DA36AE"/>
    <w:pPr>
      <w:tabs>
        <w:tab w:val="right" w:pos="9020"/>
      </w:tabs>
    </w:pPr>
    <w:rPr>
      <w:rFonts w:ascii="Helvetica" w:hAnsi="Arial Unicode MS" w:cs="Arial Unicode MS"/>
      <w:color w:val="000000"/>
    </w:rPr>
  </w:style>
  <w:style w:type="paragraph" w:styleId="Footer">
    <w:name w:val="footer"/>
    <w:link w:val="FooterChar"/>
    <w:uiPriority w:val="99"/>
    <w:rsid w:val="00DA36AE"/>
    <w:pPr>
      <w:tabs>
        <w:tab w:val="center" w:pos="4513"/>
        <w:tab w:val="right" w:pos="9026"/>
      </w:tabs>
    </w:pPr>
    <w:rPr>
      <w:rFonts w:ascii="Cambria" w:eastAsia="Cambria" w:hAnsi="Cambria" w:cs="Cambria"/>
      <w:color w:val="000000"/>
      <w:u w:color="000000"/>
      <w:lang w:val="en-US"/>
    </w:rPr>
  </w:style>
  <w:style w:type="paragraph" w:customStyle="1" w:styleId="Cuerpo">
    <w:name w:val="Cuerpo"/>
    <w:rsid w:val="00DA36AE"/>
    <w:rPr>
      <w:rFonts w:ascii="Cambria" w:eastAsia="Cambria" w:hAnsi="Cambria" w:cs="Cambria"/>
      <w:color w:val="000000"/>
      <w:u w:color="000000"/>
    </w:rPr>
  </w:style>
  <w:style w:type="paragraph" w:styleId="BodyTextIndent">
    <w:name w:val="Body Text Indent"/>
    <w:rsid w:val="00DA36AE"/>
    <w:pPr>
      <w:ind w:left="2160" w:hanging="720"/>
    </w:pPr>
    <w:rPr>
      <w:rFonts w:eastAsia="Times New Roman"/>
      <w:color w:val="000000"/>
      <w:u w:color="000000"/>
      <w:lang w:val="es-ES_tradnl"/>
    </w:rPr>
  </w:style>
  <w:style w:type="paragraph" w:styleId="ListParagraph">
    <w:name w:val="List Paragraph"/>
    <w:aliases w:val="Párrafo de lista1,List Paragraph1,Colorful List - Accent 11,List Paragraph11,List Paragraph2,Lista vistosa - Énfasis 11"/>
    <w:link w:val="ListParagraphChar"/>
    <w:qFormat/>
    <w:rsid w:val="00DA36AE"/>
    <w:pPr>
      <w:ind w:left="720"/>
    </w:pPr>
    <w:rPr>
      <w:rFonts w:ascii="Cambria" w:eastAsia="Cambria" w:hAnsi="Cambria" w:cs="Cambria"/>
      <w:color w:val="000000"/>
      <w:u w:color="000000"/>
      <w:lang w:val="en-US"/>
    </w:rPr>
  </w:style>
  <w:style w:type="numbering" w:customStyle="1" w:styleId="List0">
    <w:name w:val="List 0"/>
    <w:basedOn w:val="Estiloimportado1"/>
    <w:rsid w:val="00DA36AE"/>
    <w:pPr>
      <w:numPr>
        <w:numId w:val="31"/>
      </w:numPr>
    </w:pPr>
  </w:style>
  <w:style w:type="numbering" w:customStyle="1" w:styleId="Estiloimportado1">
    <w:name w:val="Estilo importado 1"/>
    <w:rsid w:val="00DA36AE"/>
  </w:style>
  <w:style w:type="numbering" w:customStyle="1" w:styleId="List1">
    <w:name w:val="List 1"/>
    <w:basedOn w:val="Estiloimportado2"/>
    <w:rsid w:val="00DA36AE"/>
    <w:pPr>
      <w:numPr>
        <w:numId w:val="1"/>
      </w:numPr>
    </w:pPr>
  </w:style>
  <w:style w:type="numbering" w:customStyle="1" w:styleId="Estiloimportado2">
    <w:name w:val="Estilo importado 2"/>
    <w:rsid w:val="00DA36AE"/>
  </w:style>
  <w:style w:type="numbering" w:customStyle="1" w:styleId="List210">
    <w:name w:val="List 21"/>
    <w:basedOn w:val="Estiloimportado3"/>
    <w:rsid w:val="00DA36AE"/>
    <w:pPr>
      <w:numPr>
        <w:numId w:val="52"/>
      </w:numPr>
    </w:pPr>
  </w:style>
  <w:style w:type="numbering" w:customStyle="1" w:styleId="Estiloimportado3">
    <w:name w:val="Estilo importado 3"/>
    <w:rsid w:val="00DA36AE"/>
  </w:style>
  <w:style w:type="numbering" w:customStyle="1" w:styleId="List31">
    <w:name w:val="List 31"/>
    <w:basedOn w:val="Estiloimportado4"/>
    <w:rsid w:val="00DA36AE"/>
    <w:pPr>
      <w:numPr>
        <w:numId w:val="51"/>
      </w:numPr>
    </w:pPr>
  </w:style>
  <w:style w:type="numbering" w:customStyle="1" w:styleId="Estiloimportado4">
    <w:name w:val="Estilo importado 4"/>
    <w:rsid w:val="00DA36AE"/>
  </w:style>
  <w:style w:type="numbering" w:customStyle="1" w:styleId="List41">
    <w:name w:val="List 41"/>
    <w:basedOn w:val="Estiloimportado5"/>
    <w:rsid w:val="00DA36AE"/>
    <w:pPr>
      <w:numPr>
        <w:numId w:val="2"/>
      </w:numPr>
    </w:pPr>
  </w:style>
  <w:style w:type="numbering" w:customStyle="1" w:styleId="Estiloimportado5">
    <w:name w:val="Estilo importado 5"/>
    <w:rsid w:val="00DA36AE"/>
  </w:style>
  <w:style w:type="numbering" w:customStyle="1" w:styleId="List510">
    <w:name w:val="List 51"/>
    <w:basedOn w:val="Estiloimportado6"/>
    <w:rsid w:val="00DA36AE"/>
    <w:pPr>
      <w:numPr>
        <w:numId w:val="54"/>
      </w:numPr>
    </w:pPr>
  </w:style>
  <w:style w:type="numbering" w:customStyle="1" w:styleId="Estiloimportado6">
    <w:name w:val="Estilo importado 6"/>
    <w:rsid w:val="00DA36AE"/>
  </w:style>
  <w:style w:type="numbering" w:customStyle="1" w:styleId="List6">
    <w:name w:val="List 6"/>
    <w:basedOn w:val="Estiloimportado7"/>
    <w:rsid w:val="00DA36AE"/>
    <w:pPr>
      <w:numPr>
        <w:numId w:val="3"/>
      </w:numPr>
    </w:pPr>
  </w:style>
  <w:style w:type="numbering" w:customStyle="1" w:styleId="Estiloimportado7">
    <w:name w:val="Estilo importado 7"/>
    <w:rsid w:val="00DA36AE"/>
  </w:style>
  <w:style w:type="numbering" w:customStyle="1" w:styleId="List7">
    <w:name w:val="List 7"/>
    <w:basedOn w:val="Estiloimportado8"/>
    <w:rsid w:val="00DA36AE"/>
    <w:pPr>
      <w:numPr>
        <w:numId w:val="4"/>
      </w:numPr>
    </w:pPr>
  </w:style>
  <w:style w:type="numbering" w:customStyle="1" w:styleId="Estiloimportado8">
    <w:name w:val="Estilo importado 8"/>
    <w:rsid w:val="00DA36AE"/>
  </w:style>
  <w:style w:type="numbering" w:customStyle="1" w:styleId="List8">
    <w:name w:val="List 8"/>
    <w:basedOn w:val="Estiloimportado9"/>
    <w:rsid w:val="00DA36AE"/>
    <w:pPr>
      <w:numPr>
        <w:numId w:val="5"/>
      </w:numPr>
    </w:pPr>
  </w:style>
  <w:style w:type="numbering" w:customStyle="1" w:styleId="Estiloimportado9">
    <w:name w:val="Estilo importado 9"/>
    <w:rsid w:val="00DA36AE"/>
  </w:style>
  <w:style w:type="numbering" w:customStyle="1" w:styleId="List9">
    <w:name w:val="List 9"/>
    <w:basedOn w:val="Estiloimportado10"/>
    <w:rsid w:val="00DA36AE"/>
    <w:pPr>
      <w:numPr>
        <w:numId w:val="22"/>
      </w:numPr>
    </w:pPr>
  </w:style>
  <w:style w:type="numbering" w:customStyle="1" w:styleId="Estiloimportado10">
    <w:name w:val="Estilo importado 10"/>
    <w:rsid w:val="00DA36AE"/>
  </w:style>
  <w:style w:type="numbering" w:customStyle="1" w:styleId="List10">
    <w:name w:val="List 10"/>
    <w:basedOn w:val="Estiloimportado11"/>
    <w:rsid w:val="00DA36AE"/>
    <w:pPr>
      <w:numPr>
        <w:numId w:val="6"/>
      </w:numPr>
    </w:pPr>
  </w:style>
  <w:style w:type="numbering" w:customStyle="1" w:styleId="Estiloimportado11">
    <w:name w:val="Estilo importado 11"/>
    <w:rsid w:val="00DA36AE"/>
  </w:style>
  <w:style w:type="numbering" w:customStyle="1" w:styleId="List11">
    <w:name w:val="List 11"/>
    <w:basedOn w:val="Estiloimportado12"/>
    <w:rsid w:val="00DA36AE"/>
    <w:pPr>
      <w:numPr>
        <w:numId w:val="7"/>
      </w:numPr>
    </w:pPr>
  </w:style>
  <w:style w:type="numbering" w:customStyle="1" w:styleId="Estiloimportado12">
    <w:name w:val="Estilo importado 12"/>
    <w:rsid w:val="00DA36AE"/>
  </w:style>
  <w:style w:type="numbering" w:customStyle="1" w:styleId="List12">
    <w:name w:val="List 12"/>
    <w:basedOn w:val="Estiloimportado13"/>
    <w:rsid w:val="00DA36AE"/>
    <w:pPr>
      <w:numPr>
        <w:numId w:val="36"/>
      </w:numPr>
    </w:pPr>
  </w:style>
  <w:style w:type="numbering" w:customStyle="1" w:styleId="Estiloimportado13">
    <w:name w:val="Estilo importado 13"/>
    <w:rsid w:val="00DA36AE"/>
  </w:style>
  <w:style w:type="numbering" w:customStyle="1" w:styleId="List13">
    <w:name w:val="List 13"/>
    <w:basedOn w:val="Estiloimportado14"/>
    <w:rsid w:val="00DA36AE"/>
    <w:pPr>
      <w:numPr>
        <w:numId w:val="42"/>
      </w:numPr>
    </w:pPr>
  </w:style>
  <w:style w:type="numbering" w:customStyle="1" w:styleId="Estiloimportado14">
    <w:name w:val="Estilo importado 14"/>
    <w:rsid w:val="00DA36AE"/>
  </w:style>
  <w:style w:type="numbering" w:customStyle="1" w:styleId="List14">
    <w:name w:val="List 14"/>
    <w:basedOn w:val="Estiloimportado15"/>
    <w:rsid w:val="00DA36AE"/>
    <w:pPr>
      <w:numPr>
        <w:numId w:val="17"/>
      </w:numPr>
    </w:pPr>
  </w:style>
  <w:style w:type="numbering" w:customStyle="1" w:styleId="Estiloimportado15">
    <w:name w:val="Estilo importado 15"/>
    <w:rsid w:val="00DA36AE"/>
  </w:style>
  <w:style w:type="numbering" w:customStyle="1" w:styleId="List15">
    <w:name w:val="List 15"/>
    <w:basedOn w:val="Estiloimportado16"/>
    <w:rsid w:val="00DA36AE"/>
    <w:pPr>
      <w:numPr>
        <w:numId w:val="16"/>
      </w:numPr>
    </w:pPr>
  </w:style>
  <w:style w:type="numbering" w:customStyle="1" w:styleId="Estiloimportado16">
    <w:name w:val="Estilo importado 16"/>
    <w:rsid w:val="00DA36AE"/>
  </w:style>
  <w:style w:type="numbering" w:customStyle="1" w:styleId="List16">
    <w:name w:val="List 16"/>
    <w:basedOn w:val="Estiloimportado16"/>
    <w:rsid w:val="00DA36AE"/>
    <w:pPr>
      <w:numPr>
        <w:numId w:val="10"/>
      </w:numPr>
    </w:pPr>
  </w:style>
  <w:style w:type="numbering" w:customStyle="1" w:styleId="List17">
    <w:name w:val="List 17"/>
    <w:basedOn w:val="Estiloimportado17"/>
    <w:rsid w:val="00DA36AE"/>
    <w:pPr>
      <w:numPr>
        <w:numId w:val="25"/>
      </w:numPr>
    </w:pPr>
  </w:style>
  <w:style w:type="numbering" w:customStyle="1" w:styleId="Estiloimportado17">
    <w:name w:val="Estilo importado 17"/>
    <w:rsid w:val="00DA36AE"/>
  </w:style>
  <w:style w:type="numbering" w:customStyle="1" w:styleId="List18">
    <w:name w:val="List 18"/>
    <w:basedOn w:val="Estiloimportado18"/>
    <w:rsid w:val="00DA36AE"/>
    <w:pPr>
      <w:numPr>
        <w:numId w:val="27"/>
      </w:numPr>
    </w:pPr>
  </w:style>
  <w:style w:type="numbering" w:customStyle="1" w:styleId="Estiloimportado18">
    <w:name w:val="Estilo importado 18"/>
    <w:rsid w:val="00DA36AE"/>
  </w:style>
  <w:style w:type="numbering" w:customStyle="1" w:styleId="List19">
    <w:name w:val="List 19"/>
    <w:basedOn w:val="Estiloimportado10"/>
    <w:rsid w:val="00DA36AE"/>
    <w:pPr>
      <w:numPr>
        <w:numId w:val="19"/>
      </w:numPr>
    </w:pPr>
  </w:style>
  <w:style w:type="numbering" w:customStyle="1" w:styleId="List20">
    <w:name w:val="List 20"/>
    <w:basedOn w:val="Estiloimportado12"/>
    <w:rsid w:val="00DA36AE"/>
    <w:pPr>
      <w:numPr>
        <w:numId w:val="43"/>
      </w:numPr>
    </w:pPr>
  </w:style>
  <w:style w:type="numbering" w:customStyle="1" w:styleId="List21">
    <w:name w:val="List 21"/>
    <w:basedOn w:val="Estiloimportado19"/>
    <w:rsid w:val="00DA36AE"/>
    <w:pPr>
      <w:numPr>
        <w:numId w:val="38"/>
      </w:numPr>
    </w:pPr>
  </w:style>
  <w:style w:type="numbering" w:customStyle="1" w:styleId="Estiloimportado19">
    <w:name w:val="Estilo importado 19"/>
    <w:rsid w:val="00DA36AE"/>
  </w:style>
  <w:style w:type="numbering" w:customStyle="1" w:styleId="List22">
    <w:name w:val="List 22"/>
    <w:basedOn w:val="Estiloimportado19"/>
    <w:rsid w:val="00DA36AE"/>
    <w:pPr>
      <w:numPr>
        <w:numId w:val="28"/>
      </w:numPr>
    </w:pPr>
  </w:style>
  <w:style w:type="numbering" w:customStyle="1" w:styleId="List23">
    <w:name w:val="List 23"/>
    <w:basedOn w:val="Estiloimportado19"/>
    <w:rsid w:val="00DA36AE"/>
    <w:pPr>
      <w:numPr>
        <w:numId w:val="18"/>
      </w:numPr>
    </w:pPr>
  </w:style>
  <w:style w:type="numbering" w:customStyle="1" w:styleId="List24">
    <w:name w:val="List 24"/>
    <w:basedOn w:val="Estiloimportado20"/>
    <w:rsid w:val="00DA36AE"/>
    <w:pPr>
      <w:numPr>
        <w:numId w:val="13"/>
      </w:numPr>
    </w:pPr>
  </w:style>
  <w:style w:type="numbering" w:customStyle="1" w:styleId="Estiloimportado20">
    <w:name w:val="Estilo importado 20"/>
    <w:rsid w:val="00DA36AE"/>
  </w:style>
  <w:style w:type="numbering" w:customStyle="1" w:styleId="List25">
    <w:name w:val="List 25"/>
    <w:basedOn w:val="Estiloimportado21"/>
    <w:rsid w:val="00DA36AE"/>
    <w:pPr>
      <w:numPr>
        <w:numId w:val="15"/>
      </w:numPr>
    </w:pPr>
  </w:style>
  <w:style w:type="numbering" w:customStyle="1" w:styleId="Estiloimportado21">
    <w:name w:val="Estilo importado 21"/>
    <w:rsid w:val="00DA36AE"/>
  </w:style>
  <w:style w:type="numbering" w:customStyle="1" w:styleId="List26">
    <w:name w:val="List 26"/>
    <w:basedOn w:val="Estiloimportado22"/>
    <w:rsid w:val="00DA36AE"/>
    <w:pPr>
      <w:numPr>
        <w:numId w:val="49"/>
      </w:numPr>
    </w:pPr>
  </w:style>
  <w:style w:type="numbering" w:customStyle="1" w:styleId="Estiloimportado22">
    <w:name w:val="Estilo importado 22"/>
    <w:rsid w:val="00DA36AE"/>
  </w:style>
  <w:style w:type="numbering" w:customStyle="1" w:styleId="List27">
    <w:name w:val="List 27"/>
    <w:basedOn w:val="Estiloimportado23"/>
    <w:rsid w:val="00DA36AE"/>
    <w:pPr>
      <w:numPr>
        <w:numId w:val="41"/>
      </w:numPr>
    </w:pPr>
  </w:style>
  <w:style w:type="numbering" w:customStyle="1" w:styleId="Estiloimportado23">
    <w:name w:val="Estilo importado 23"/>
    <w:rsid w:val="00DA36AE"/>
  </w:style>
  <w:style w:type="numbering" w:customStyle="1" w:styleId="List28">
    <w:name w:val="List 28"/>
    <w:basedOn w:val="Estiloimportado24"/>
    <w:rsid w:val="00DA36AE"/>
    <w:pPr>
      <w:numPr>
        <w:numId w:val="30"/>
      </w:numPr>
    </w:pPr>
  </w:style>
  <w:style w:type="numbering" w:customStyle="1" w:styleId="Estiloimportado24">
    <w:name w:val="Estilo importado 24"/>
    <w:rsid w:val="00DA36AE"/>
  </w:style>
  <w:style w:type="numbering" w:customStyle="1" w:styleId="List29">
    <w:name w:val="List 29"/>
    <w:basedOn w:val="Estiloimportado25"/>
    <w:rsid w:val="00DA36AE"/>
    <w:pPr>
      <w:numPr>
        <w:numId w:val="34"/>
      </w:numPr>
    </w:pPr>
  </w:style>
  <w:style w:type="numbering" w:customStyle="1" w:styleId="Estiloimportado25">
    <w:name w:val="Estilo importado 25"/>
    <w:rsid w:val="00DA36AE"/>
  </w:style>
  <w:style w:type="numbering" w:customStyle="1" w:styleId="List30">
    <w:name w:val="List 30"/>
    <w:basedOn w:val="Estiloimportado26"/>
    <w:rsid w:val="00DA36AE"/>
    <w:pPr>
      <w:numPr>
        <w:numId w:val="32"/>
      </w:numPr>
    </w:pPr>
  </w:style>
  <w:style w:type="numbering" w:customStyle="1" w:styleId="Estiloimportado26">
    <w:name w:val="Estilo importado 26"/>
    <w:rsid w:val="00DA36AE"/>
  </w:style>
  <w:style w:type="numbering" w:customStyle="1" w:styleId="List310">
    <w:name w:val="List 31"/>
    <w:basedOn w:val="Estiloimportado27"/>
    <w:rsid w:val="00DA36AE"/>
    <w:pPr>
      <w:numPr>
        <w:numId w:val="45"/>
      </w:numPr>
    </w:pPr>
  </w:style>
  <w:style w:type="numbering" w:customStyle="1" w:styleId="Estiloimportado27">
    <w:name w:val="Estilo importado 27"/>
    <w:rsid w:val="00DA36AE"/>
  </w:style>
  <w:style w:type="numbering" w:customStyle="1" w:styleId="List32">
    <w:name w:val="List 32"/>
    <w:basedOn w:val="Estiloimportado28"/>
    <w:rsid w:val="00DA36AE"/>
    <w:pPr>
      <w:numPr>
        <w:numId w:val="48"/>
      </w:numPr>
    </w:pPr>
  </w:style>
  <w:style w:type="numbering" w:customStyle="1" w:styleId="Estiloimportado28">
    <w:name w:val="Estilo importado 28"/>
    <w:rsid w:val="00DA36AE"/>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sid w:val="00DA36AE"/>
    <w:rPr>
      <w:rFonts w:ascii="Calibri" w:eastAsia="Calibri" w:hAnsi="Calibri" w:cs="Calibri"/>
      <w:color w:val="000000"/>
      <w:u w:color="000000"/>
      <w:lang w:val="en-US"/>
    </w:rPr>
  </w:style>
  <w:style w:type="numbering" w:customStyle="1" w:styleId="List33">
    <w:name w:val="List 33"/>
    <w:basedOn w:val="Estiloimportado29"/>
    <w:rsid w:val="00DA36AE"/>
    <w:pPr>
      <w:numPr>
        <w:numId w:val="26"/>
      </w:numPr>
    </w:pPr>
  </w:style>
  <w:style w:type="numbering" w:customStyle="1" w:styleId="Estiloimportado29">
    <w:name w:val="Estilo importado 29"/>
    <w:rsid w:val="00DA36AE"/>
  </w:style>
  <w:style w:type="numbering" w:customStyle="1" w:styleId="List34">
    <w:name w:val="List 34"/>
    <w:basedOn w:val="Estiloimportado30"/>
    <w:rsid w:val="00DA36AE"/>
    <w:pPr>
      <w:numPr>
        <w:numId w:val="11"/>
      </w:numPr>
    </w:pPr>
  </w:style>
  <w:style w:type="numbering" w:customStyle="1" w:styleId="Estiloimportado30">
    <w:name w:val="Estilo importado 30"/>
    <w:rsid w:val="00DA36AE"/>
  </w:style>
  <w:style w:type="numbering" w:customStyle="1" w:styleId="List35">
    <w:name w:val="List 35"/>
    <w:basedOn w:val="Estiloimportado31"/>
    <w:rsid w:val="00DA36AE"/>
    <w:pPr>
      <w:numPr>
        <w:numId w:val="8"/>
      </w:numPr>
    </w:pPr>
  </w:style>
  <w:style w:type="numbering" w:customStyle="1" w:styleId="Estiloimportado31">
    <w:name w:val="Estilo importado 31"/>
    <w:rsid w:val="00DA36AE"/>
  </w:style>
  <w:style w:type="numbering" w:customStyle="1" w:styleId="List36">
    <w:name w:val="List 36"/>
    <w:basedOn w:val="Estiloimportado32"/>
    <w:rsid w:val="00DA36AE"/>
    <w:pPr>
      <w:numPr>
        <w:numId w:val="14"/>
      </w:numPr>
    </w:pPr>
  </w:style>
  <w:style w:type="numbering" w:customStyle="1" w:styleId="Estiloimportado32">
    <w:name w:val="Estilo importado 32"/>
    <w:rsid w:val="00DA36AE"/>
  </w:style>
  <w:style w:type="numbering" w:customStyle="1" w:styleId="List37">
    <w:name w:val="List 37"/>
    <w:basedOn w:val="Estiloimportado33"/>
    <w:rsid w:val="00DA36AE"/>
    <w:pPr>
      <w:numPr>
        <w:numId w:val="47"/>
      </w:numPr>
    </w:pPr>
  </w:style>
  <w:style w:type="numbering" w:customStyle="1" w:styleId="Estiloimportado33">
    <w:name w:val="Estilo importado 33"/>
    <w:rsid w:val="00DA36AE"/>
  </w:style>
  <w:style w:type="numbering" w:customStyle="1" w:styleId="List38">
    <w:name w:val="List 38"/>
    <w:basedOn w:val="Estiloimportado34"/>
    <w:rsid w:val="00DA36AE"/>
    <w:pPr>
      <w:numPr>
        <w:numId w:val="35"/>
      </w:numPr>
    </w:pPr>
  </w:style>
  <w:style w:type="numbering" w:customStyle="1" w:styleId="Estiloimportado34">
    <w:name w:val="Estilo importado 34"/>
    <w:rsid w:val="00DA36AE"/>
  </w:style>
  <w:style w:type="numbering" w:customStyle="1" w:styleId="List39">
    <w:name w:val="List 39"/>
    <w:basedOn w:val="Estiloimportado35"/>
    <w:rsid w:val="00DA36AE"/>
    <w:pPr>
      <w:numPr>
        <w:numId w:val="46"/>
      </w:numPr>
    </w:pPr>
  </w:style>
  <w:style w:type="numbering" w:customStyle="1" w:styleId="Estiloimportado35">
    <w:name w:val="Estilo importado 35"/>
    <w:rsid w:val="00DA36AE"/>
  </w:style>
  <w:style w:type="numbering" w:customStyle="1" w:styleId="List40">
    <w:name w:val="List 40"/>
    <w:basedOn w:val="Estiloimportado36"/>
    <w:rsid w:val="00DA36AE"/>
    <w:pPr>
      <w:numPr>
        <w:numId w:val="21"/>
      </w:numPr>
    </w:pPr>
  </w:style>
  <w:style w:type="numbering" w:customStyle="1" w:styleId="Estiloimportado36">
    <w:name w:val="Estilo importado 36"/>
    <w:rsid w:val="00DA36AE"/>
  </w:style>
  <w:style w:type="numbering" w:customStyle="1" w:styleId="List410">
    <w:name w:val="List 41"/>
    <w:basedOn w:val="Estiloimportado37"/>
    <w:rsid w:val="00DA36AE"/>
    <w:pPr>
      <w:numPr>
        <w:numId w:val="44"/>
      </w:numPr>
    </w:pPr>
  </w:style>
  <w:style w:type="numbering" w:customStyle="1" w:styleId="Estiloimportado37">
    <w:name w:val="Estilo importado 37"/>
    <w:rsid w:val="00DA36AE"/>
  </w:style>
  <w:style w:type="numbering" w:customStyle="1" w:styleId="List42">
    <w:name w:val="List 42"/>
    <w:basedOn w:val="Estiloimportado12"/>
    <w:rsid w:val="00DA36AE"/>
    <w:pPr>
      <w:numPr>
        <w:numId w:val="12"/>
      </w:numPr>
    </w:pPr>
  </w:style>
  <w:style w:type="numbering" w:customStyle="1" w:styleId="List43">
    <w:name w:val="List 43"/>
    <w:basedOn w:val="Estiloimportado38"/>
    <w:rsid w:val="00DA36AE"/>
    <w:pPr>
      <w:numPr>
        <w:numId w:val="23"/>
      </w:numPr>
    </w:pPr>
  </w:style>
  <w:style w:type="numbering" w:customStyle="1" w:styleId="Estiloimportado38">
    <w:name w:val="Estilo importado 38"/>
    <w:rsid w:val="00DA36AE"/>
  </w:style>
  <w:style w:type="numbering" w:customStyle="1" w:styleId="List44">
    <w:name w:val="List 44"/>
    <w:basedOn w:val="Estiloimportado39"/>
    <w:rsid w:val="00DA36AE"/>
    <w:pPr>
      <w:numPr>
        <w:numId w:val="40"/>
      </w:numPr>
    </w:pPr>
  </w:style>
  <w:style w:type="numbering" w:customStyle="1" w:styleId="Estiloimportado39">
    <w:name w:val="Estilo importado 39"/>
    <w:rsid w:val="00DA36AE"/>
  </w:style>
  <w:style w:type="numbering" w:customStyle="1" w:styleId="List45">
    <w:name w:val="List 45"/>
    <w:basedOn w:val="Estiloimportado40"/>
    <w:rsid w:val="00DA36AE"/>
    <w:pPr>
      <w:numPr>
        <w:numId w:val="20"/>
      </w:numPr>
    </w:pPr>
  </w:style>
  <w:style w:type="numbering" w:customStyle="1" w:styleId="Estiloimportado40">
    <w:name w:val="Estilo importado 40"/>
    <w:rsid w:val="00DA36AE"/>
  </w:style>
  <w:style w:type="numbering" w:customStyle="1" w:styleId="List46">
    <w:name w:val="List 46"/>
    <w:basedOn w:val="Estiloimportado41"/>
    <w:rsid w:val="00DA36AE"/>
    <w:pPr>
      <w:numPr>
        <w:numId w:val="24"/>
      </w:numPr>
    </w:pPr>
  </w:style>
  <w:style w:type="numbering" w:customStyle="1" w:styleId="Estiloimportado41">
    <w:name w:val="Estilo importado 41"/>
    <w:rsid w:val="00DA36AE"/>
  </w:style>
  <w:style w:type="numbering" w:customStyle="1" w:styleId="List47">
    <w:name w:val="List 47"/>
    <w:basedOn w:val="Estiloimportado42"/>
    <w:rsid w:val="00DA36AE"/>
    <w:pPr>
      <w:numPr>
        <w:numId w:val="29"/>
      </w:numPr>
    </w:pPr>
  </w:style>
  <w:style w:type="numbering" w:customStyle="1" w:styleId="Estiloimportado42">
    <w:name w:val="Estilo importado 42"/>
    <w:rsid w:val="00DA36AE"/>
  </w:style>
  <w:style w:type="numbering" w:customStyle="1" w:styleId="List48">
    <w:name w:val="List 48"/>
    <w:basedOn w:val="Estiloimportado43"/>
    <w:rsid w:val="00DA36AE"/>
    <w:pPr>
      <w:numPr>
        <w:numId w:val="50"/>
      </w:numPr>
    </w:pPr>
  </w:style>
  <w:style w:type="numbering" w:customStyle="1" w:styleId="Estiloimportado43">
    <w:name w:val="Estilo importado 43"/>
    <w:rsid w:val="00DA36AE"/>
  </w:style>
  <w:style w:type="numbering" w:customStyle="1" w:styleId="List49">
    <w:name w:val="List 49"/>
    <w:basedOn w:val="Estiloimportado44"/>
    <w:rsid w:val="00DA36AE"/>
    <w:pPr>
      <w:numPr>
        <w:numId w:val="39"/>
      </w:numPr>
    </w:pPr>
  </w:style>
  <w:style w:type="numbering" w:customStyle="1" w:styleId="Estiloimportado44">
    <w:name w:val="Estilo importado 44"/>
    <w:rsid w:val="00DA36AE"/>
  </w:style>
  <w:style w:type="numbering" w:customStyle="1" w:styleId="List50">
    <w:name w:val="List 50"/>
    <w:basedOn w:val="Estiloimportado45"/>
    <w:rsid w:val="00DA36AE"/>
    <w:pPr>
      <w:numPr>
        <w:numId w:val="37"/>
      </w:numPr>
    </w:pPr>
  </w:style>
  <w:style w:type="numbering" w:customStyle="1" w:styleId="Estiloimportado45">
    <w:name w:val="Estilo importado 45"/>
    <w:rsid w:val="00DA36AE"/>
  </w:style>
  <w:style w:type="numbering" w:customStyle="1" w:styleId="List51">
    <w:name w:val="List 51"/>
    <w:basedOn w:val="Estiloimportado46"/>
    <w:rsid w:val="00DA36AE"/>
    <w:pPr>
      <w:numPr>
        <w:numId w:val="33"/>
      </w:numPr>
    </w:pPr>
  </w:style>
  <w:style w:type="numbering" w:customStyle="1" w:styleId="Estiloimportado46">
    <w:name w:val="Estilo importado 46"/>
    <w:rsid w:val="00DA36AE"/>
  </w:style>
  <w:style w:type="numbering" w:customStyle="1" w:styleId="List52">
    <w:name w:val="List 52"/>
    <w:basedOn w:val="Estiloimportado1"/>
    <w:rsid w:val="00DA36AE"/>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D3350E"/>
    <w:pPr>
      <w:tabs>
        <w:tab w:val="left" w:pos="1440"/>
        <w:tab w:val="right" w:leader="dot" w:pos="9350"/>
      </w:tabs>
      <w:spacing w:after="100"/>
      <w:ind w:left="1440" w:hanging="360"/>
    </w:pPr>
    <w:rPr>
      <w:noProof/>
    </w:rPr>
  </w:style>
  <w:style w:type="paragraph" w:styleId="TOC1">
    <w:name w:val="toc 1"/>
    <w:basedOn w:val="Normal"/>
    <w:next w:val="Normal"/>
    <w:autoRedefine/>
    <w:uiPriority w:val="39"/>
    <w:unhideWhenUsed/>
    <w:rsid w:val="00232A3C"/>
    <w:pPr>
      <w:tabs>
        <w:tab w:val="left" w:pos="1440"/>
        <w:tab w:val="right" w:leader="dot" w:pos="9350"/>
      </w:tabs>
      <w:spacing w:after="100"/>
      <w:ind w:left="720"/>
    </w:pPr>
    <w:rPr>
      <w:rFonts w:asciiTheme="majorHAnsi" w:hAnsiTheme="majorHAnsi"/>
      <w:b/>
      <w:noProof/>
      <w:sz w:val="20"/>
      <w:szCs w:val="20"/>
      <w:lang w:val="es-ES_tradnl"/>
    </w:rPr>
  </w:style>
  <w:style w:type="paragraph" w:styleId="TOC3">
    <w:name w:val="toc 3"/>
    <w:basedOn w:val="Normal"/>
    <w:next w:val="Normal"/>
    <w:autoRedefine/>
    <w:uiPriority w:val="39"/>
    <w:unhideWhenUsed/>
    <w:rsid w:val="00864785"/>
    <w:pPr>
      <w:tabs>
        <w:tab w:val="left" w:pos="880"/>
        <w:tab w:val="left" w:pos="180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unhideWhenUsed/>
    <w:rsid w:val="00036A8A"/>
    <w:pPr>
      <w:spacing w:after="120"/>
    </w:pPr>
  </w:style>
  <w:style w:type="character" w:customStyle="1" w:styleId="BodyTextChar">
    <w:name w:val="Body Text Char"/>
    <w:basedOn w:val="DefaultParagraphFont"/>
    <w:link w:val="BodyText"/>
    <w:uiPriority w:val="99"/>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
    <w:link w:val="FootnotesrefssChar1Char"/>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036A8A"/>
    <w:rPr>
      <w:rFonts w:ascii="Calibri" w:eastAsia="Calibri" w:hAnsi="Calibri" w:cs="Calibri"/>
      <w:color w:val="000000"/>
      <w:u w:color="000000"/>
      <w:lang w:val="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F45EBF"/>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locked/>
    <w:rsid w:val="00F45EBF"/>
    <w:rPr>
      <w:rFonts w:ascii="Cambria" w:eastAsia="Cambria" w:hAnsi="Cambria" w:cs="Cambria"/>
      <w:color w:val="000000"/>
      <w:sz w:val="24"/>
      <w:szCs w:val="24"/>
      <w:u w:color="000000"/>
      <w:lang w:val="en-US"/>
    </w:rPr>
  </w:style>
  <w:style w:type="paragraph" w:customStyle="1" w:styleId="indent">
    <w:name w:val="indent"/>
    <w:basedOn w:val="Normal"/>
    <w:rsid w:val="00D8741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um">
    <w:name w:val="num"/>
    <w:basedOn w:val="DefaultParagraphFont"/>
    <w:rsid w:val="00D87416"/>
  </w:style>
  <w:style w:type="paragraph" w:styleId="NormalWeb">
    <w:name w:val="Normal (Web)"/>
    <w:basedOn w:val="Normal"/>
    <w:uiPriority w:val="99"/>
    <w:unhideWhenUsed/>
    <w:rsid w:val="0050753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Style1Char">
    <w:name w:val="Style1 Char"/>
    <w:link w:val="Style1"/>
    <w:locked/>
    <w:rsid w:val="007D2FEE"/>
    <w:rPr>
      <w:rFonts w:ascii="Cambria" w:eastAsia="Times New Roman" w:hAnsi="Cambria"/>
      <w:b/>
      <w:bCs/>
      <w:bdr w:val="none" w:sz="0" w:space="0" w:color="auto" w:frame="1"/>
      <w:lang w:val="es-ES_tradnl" w:eastAsia="en-US"/>
    </w:rPr>
  </w:style>
  <w:style w:type="paragraph" w:customStyle="1" w:styleId="Style1">
    <w:name w:val="Style1"/>
    <w:basedOn w:val="Normal"/>
    <w:link w:val="Style1Char"/>
    <w:qFormat/>
    <w:rsid w:val="007D2FE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ascii="Cambria" w:eastAsia="Times New Roman" w:hAnsi="Cambria"/>
      <w:b/>
      <w:bCs/>
      <w:sz w:val="20"/>
      <w:szCs w:val="20"/>
      <w:bdr w:val="none" w:sz="0" w:space="0" w:color="auto" w:frame="1"/>
      <w:lang w:val="es-ES_tradnl"/>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9D15C7"/>
    <w:rPr>
      <w:rFonts w:ascii="Calibri" w:hAnsi="Calibri"/>
      <w:color w:val="000000"/>
      <w:u w:color="000000"/>
    </w:rPr>
  </w:style>
  <w:style w:type="paragraph" w:customStyle="1" w:styleId="Footnotes">
    <w:name w:val="Footnotes"/>
    <w:basedOn w:val="FootnoteText"/>
    <w:qFormat/>
    <w:rsid w:val="000332F4"/>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pPr>
    <w:rPr>
      <w:rFonts w:ascii="Cambria" w:hAnsi="Cambria" w:cs="Times New Roman"/>
      <w:color w:val="auto"/>
      <w:sz w:val="18"/>
      <w:szCs w:val="18"/>
      <w:bdr w:val="none" w:sz="0" w:space="0" w:color="auto"/>
      <w:lang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1937A5"/>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Theme="minorHAnsi" w:eastAsiaTheme="minorEastAsia" w:hAnsiTheme="minorHAnsi" w:cstheme="minorBidi"/>
      <w:bdr w:val="none" w:sz="0" w:space="0" w:color="auto"/>
      <w:vertAlign w:val="superscript"/>
      <w:lang w:val="es-ES_tradnl" w:eastAsia="es-ES"/>
    </w:rPr>
  </w:style>
  <w:style w:type="character" w:customStyle="1" w:styleId="apple-converted-space">
    <w:name w:val="apple-converted-space"/>
    <w:rsid w:val="007607EC"/>
  </w:style>
  <w:style w:type="character" w:customStyle="1" w:styleId="apple-style-span">
    <w:name w:val="apple-style-span"/>
    <w:basedOn w:val="DefaultParagraphFont"/>
    <w:rsid w:val="00095575"/>
    <w:rPr>
      <w:rFonts w:cs="Times New Roman"/>
    </w:rPr>
  </w:style>
  <w:style w:type="character" w:customStyle="1" w:styleId="Heading2Char">
    <w:name w:val="Heading 2 Char"/>
    <w:basedOn w:val="DefaultParagraphFont"/>
    <w:link w:val="Heading2"/>
    <w:uiPriority w:val="9"/>
    <w:rsid w:val="009B541A"/>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9B541A"/>
    <w:rPr>
      <w:rFonts w:asciiTheme="majorHAnsi" w:eastAsiaTheme="majorEastAsia" w:hAnsiTheme="majorHAnsi" w:cstheme="majorBidi"/>
      <w:b/>
      <w:bCs/>
      <w:color w:val="4F81BD" w:themeColor="accent1"/>
      <w:sz w:val="24"/>
      <w:szCs w:val="24"/>
      <w:lang w:val="en-US" w:eastAsia="en-US"/>
    </w:rPr>
  </w:style>
  <w:style w:type="paragraph" w:customStyle="1" w:styleId="Default">
    <w:name w:val="Default"/>
    <w:rsid w:val="009B54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HAnsi"/>
      <w:color w:val="000000"/>
      <w:bdr w:val="none" w:sz="0" w:space="0" w:color="auto"/>
      <w:lang w:val="en-GB" w:eastAsia="en-US"/>
    </w:rPr>
  </w:style>
  <w:style w:type="character" w:customStyle="1" w:styleId="sb8d990e2">
    <w:name w:val="sb8d990e2"/>
    <w:rsid w:val="00E43C54"/>
  </w:style>
  <w:style w:type="numbering" w:styleId="111111">
    <w:name w:val="Outline List 2"/>
    <w:basedOn w:val="NoList"/>
    <w:uiPriority w:val="99"/>
    <w:semiHidden/>
    <w:unhideWhenUsed/>
    <w:rsid w:val="00ED56AB"/>
    <w:pPr>
      <w:numPr>
        <w:numId w:val="56"/>
      </w:numPr>
    </w:pPr>
  </w:style>
  <w:style w:type="character" w:styleId="CommentReference">
    <w:name w:val="annotation reference"/>
    <w:basedOn w:val="DefaultParagraphFont"/>
    <w:uiPriority w:val="99"/>
    <w:semiHidden/>
    <w:unhideWhenUsed/>
    <w:rsid w:val="00EA6A6E"/>
    <w:rPr>
      <w:sz w:val="16"/>
      <w:szCs w:val="16"/>
    </w:rPr>
  </w:style>
  <w:style w:type="paragraph" w:styleId="CommentText">
    <w:name w:val="annotation text"/>
    <w:basedOn w:val="Normal"/>
    <w:link w:val="CommentTextChar"/>
    <w:uiPriority w:val="99"/>
    <w:unhideWhenUsed/>
    <w:rsid w:val="00EA6A6E"/>
    <w:rPr>
      <w:sz w:val="20"/>
      <w:szCs w:val="20"/>
    </w:rPr>
  </w:style>
  <w:style w:type="character" w:customStyle="1" w:styleId="CommentTextChar">
    <w:name w:val="Comment Text Char"/>
    <w:basedOn w:val="DefaultParagraphFont"/>
    <w:link w:val="CommentText"/>
    <w:uiPriority w:val="99"/>
    <w:rsid w:val="00EA6A6E"/>
    <w:rPr>
      <w:lang w:val="en-US" w:eastAsia="en-US"/>
    </w:rPr>
  </w:style>
  <w:style w:type="paragraph" w:styleId="CommentSubject">
    <w:name w:val="annotation subject"/>
    <w:basedOn w:val="CommentText"/>
    <w:next w:val="CommentText"/>
    <w:link w:val="CommentSubjectChar"/>
    <w:uiPriority w:val="99"/>
    <w:semiHidden/>
    <w:unhideWhenUsed/>
    <w:rsid w:val="00EA6A6E"/>
    <w:rPr>
      <w:b/>
      <w:bCs/>
    </w:rPr>
  </w:style>
  <w:style w:type="character" w:customStyle="1" w:styleId="CommentSubjectChar">
    <w:name w:val="Comment Subject Char"/>
    <w:basedOn w:val="CommentTextChar"/>
    <w:link w:val="CommentSubject"/>
    <w:uiPriority w:val="99"/>
    <w:semiHidden/>
    <w:rsid w:val="00EA6A6E"/>
    <w:rPr>
      <w:b/>
      <w:bCs/>
      <w:lang w:val="en-US" w:eastAsia="en-US"/>
    </w:rPr>
  </w:style>
  <w:style w:type="paragraph" w:styleId="Revision">
    <w:name w:val="Revision"/>
    <w:hidden/>
    <w:uiPriority w:val="99"/>
    <w:semiHidden/>
    <w:rsid w:val="006C1815"/>
    <w:pPr>
      <w:pBdr>
        <w:top w:val="none" w:sz="0" w:space="0" w:color="auto"/>
        <w:left w:val="none" w:sz="0" w:space="0" w:color="auto"/>
        <w:bottom w:val="none" w:sz="0" w:space="0" w:color="auto"/>
        <w:right w:val="none" w:sz="0" w:space="0" w:color="auto"/>
        <w:between w:val="none" w:sz="0" w:space="0" w:color="auto"/>
        <w:bar w:val="none" w:sz="0" w:color="auto"/>
      </w:pBdr>
    </w:pPr>
    <w:rPr>
      <w:lang w:val="en-US" w:eastAsia="en-US"/>
    </w:rPr>
  </w:style>
  <w:style w:type="character" w:styleId="Strong">
    <w:name w:val="Strong"/>
    <w:basedOn w:val="DefaultParagraphFont"/>
    <w:uiPriority w:val="22"/>
    <w:qFormat/>
    <w:rsid w:val="006A538E"/>
    <w:rPr>
      <w:b/>
      <w:bCs/>
    </w:rPr>
  </w:style>
  <w:style w:type="table" w:styleId="TableGrid">
    <w:name w:val="Table Grid"/>
    <w:basedOn w:val="TableNormal"/>
    <w:uiPriority w:val="59"/>
    <w:rsid w:val="00947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nhideWhenUsed/>
    <w:rsid w:val="00B67053"/>
    <w:rPr>
      <w:color w:val="800080" w:themeColor="followedHyperlink"/>
      <w:u w:val="single"/>
    </w:rPr>
  </w:style>
  <w:style w:type="paragraph" w:customStyle="1" w:styleId="parrafos">
    <w:name w:val="parrafos"/>
    <w:basedOn w:val="Normal"/>
    <w:link w:val="parrafosChar"/>
    <w:qFormat/>
    <w:rsid w:val="00FB0135"/>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720" w:hanging="360"/>
      <w:jc w:val="both"/>
    </w:pPr>
    <w:rPr>
      <w:rFonts w:asciiTheme="majorHAnsi" w:hAnsiTheme="majorHAnsi"/>
      <w:color w:val="000000" w:themeColor="text1"/>
      <w:sz w:val="20"/>
      <w:szCs w:val="20"/>
    </w:rPr>
  </w:style>
  <w:style w:type="character" w:customStyle="1" w:styleId="parrafosChar">
    <w:name w:val="parrafos Char"/>
    <w:basedOn w:val="DefaultParagraphFont"/>
    <w:link w:val="parrafos"/>
    <w:rsid w:val="00FB0135"/>
    <w:rPr>
      <w:rFonts w:asciiTheme="majorHAnsi" w:hAnsiTheme="majorHAnsi"/>
      <w:color w:val="000000" w:themeColor="text1"/>
      <w:lang w:val="en-US" w:eastAsia="en-US"/>
    </w:rPr>
  </w:style>
  <w:style w:type="character" w:customStyle="1" w:styleId="jurisdiction">
    <w:name w:val="jurisdiction"/>
    <w:basedOn w:val="DefaultParagraphFont"/>
    <w:rsid w:val="0045037E"/>
  </w:style>
  <w:style w:type="character" w:customStyle="1" w:styleId="decide-date">
    <w:name w:val="decide-date"/>
    <w:basedOn w:val="DefaultParagraphFont"/>
    <w:rsid w:val="0045037E"/>
  </w:style>
  <w:style w:type="character" w:customStyle="1" w:styleId="citation">
    <w:name w:val="citation"/>
    <w:basedOn w:val="DefaultParagraphFont"/>
    <w:rsid w:val="0045037E"/>
  </w:style>
  <w:style w:type="paragraph" w:customStyle="1" w:styleId="paragraph">
    <w:name w:val="paragraph"/>
    <w:basedOn w:val="Normal"/>
    <w:rsid w:val="003642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TOC5">
    <w:name w:val="toc 5"/>
    <w:basedOn w:val="Normal"/>
    <w:next w:val="Normal"/>
    <w:autoRedefine/>
    <w:uiPriority w:val="39"/>
    <w:unhideWhenUsed/>
    <w:rsid w:val="005959C4"/>
    <w:pPr>
      <w:pBdr>
        <w:top w:val="none" w:sz="0" w:space="0" w:color="auto"/>
        <w:left w:val="none" w:sz="0" w:space="0" w:color="auto"/>
        <w:bottom w:val="none" w:sz="0" w:space="0" w:color="auto"/>
        <w:right w:val="none" w:sz="0" w:space="0" w:color="auto"/>
        <w:between w:val="none" w:sz="0" w:space="0" w:color="auto"/>
        <w:bar w:val="none" w:sz="0" w:color="auto"/>
      </w:pBdr>
      <w:spacing w:after="100"/>
      <w:ind w:left="960"/>
    </w:pPr>
    <w:rPr>
      <w:rFonts w:asciiTheme="minorHAnsi" w:eastAsiaTheme="minorEastAsia" w:hAnsiTheme="minorHAnsi" w:cstheme="minorBidi"/>
      <w:bdr w:val="none" w:sz="0" w:space="0" w:color="auto"/>
    </w:rPr>
  </w:style>
  <w:style w:type="paragraph" w:styleId="TOC6">
    <w:name w:val="toc 6"/>
    <w:basedOn w:val="Normal"/>
    <w:next w:val="Normal"/>
    <w:autoRedefine/>
    <w:uiPriority w:val="39"/>
    <w:unhideWhenUsed/>
    <w:rsid w:val="005959C4"/>
    <w:pPr>
      <w:pBdr>
        <w:top w:val="none" w:sz="0" w:space="0" w:color="auto"/>
        <w:left w:val="none" w:sz="0" w:space="0" w:color="auto"/>
        <w:bottom w:val="none" w:sz="0" w:space="0" w:color="auto"/>
        <w:right w:val="none" w:sz="0" w:space="0" w:color="auto"/>
        <w:between w:val="none" w:sz="0" w:space="0" w:color="auto"/>
        <w:bar w:val="none" w:sz="0" w:color="auto"/>
      </w:pBdr>
      <w:spacing w:after="100"/>
      <w:ind w:left="1200"/>
    </w:pPr>
    <w:rPr>
      <w:rFonts w:asciiTheme="minorHAnsi" w:eastAsiaTheme="minorEastAsia" w:hAnsiTheme="minorHAnsi" w:cstheme="minorBidi"/>
      <w:bdr w:val="none" w:sz="0" w:space="0" w:color="auto"/>
    </w:rPr>
  </w:style>
  <w:style w:type="paragraph" w:styleId="TOC7">
    <w:name w:val="toc 7"/>
    <w:basedOn w:val="Normal"/>
    <w:next w:val="Normal"/>
    <w:autoRedefine/>
    <w:uiPriority w:val="39"/>
    <w:unhideWhenUsed/>
    <w:rsid w:val="005959C4"/>
    <w:pPr>
      <w:pBdr>
        <w:top w:val="none" w:sz="0" w:space="0" w:color="auto"/>
        <w:left w:val="none" w:sz="0" w:space="0" w:color="auto"/>
        <w:bottom w:val="none" w:sz="0" w:space="0" w:color="auto"/>
        <w:right w:val="none" w:sz="0" w:space="0" w:color="auto"/>
        <w:between w:val="none" w:sz="0" w:space="0" w:color="auto"/>
        <w:bar w:val="none" w:sz="0" w:color="auto"/>
      </w:pBdr>
      <w:spacing w:after="100"/>
      <w:ind w:left="1440"/>
    </w:pPr>
    <w:rPr>
      <w:rFonts w:asciiTheme="minorHAnsi" w:eastAsiaTheme="minorEastAsia" w:hAnsiTheme="minorHAnsi" w:cstheme="minorBidi"/>
      <w:bdr w:val="none" w:sz="0" w:space="0" w:color="auto"/>
    </w:rPr>
  </w:style>
  <w:style w:type="paragraph" w:styleId="TOC8">
    <w:name w:val="toc 8"/>
    <w:basedOn w:val="Normal"/>
    <w:next w:val="Normal"/>
    <w:autoRedefine/>
    <w:uiPriority w:val="39"/>
    <w:unhideWhenUsed/>
    <w:rsid w:val="005959C4"/>
    <w:pPr>
      <w:pBdr>
        <w:top w:val="none" w:sz="0" w:space="0" w:color="auto"/>
        <w:left w:val="none" w:sz="0" w:space="0" w:color="auto"/>
        <w:bottom w:val="none" w:sz="0" w:space="0" w:color="auto"/>
        <w:right w:val="none" w:sz="0" w:space="0" w:color="auto"/>
        <w:between w:val="none" w:sz="0" w:space="0" w:color="auto"/>
        <w:bar w:val="none" w:sz="0" w:color="auto"/>
      </w:pBdr>
      <w:spacing w:after="100"/>
      <w:ind w:left="1680"/>
    </w:pPr>
    <w:rPr>
      <w:rFonts w:asciiTheme="minorHAnsi" w:eastAsiaTheme="minorEastAsia" w:hAnsiTheme="minorHAnsi" w:cstheme="minorBidi"/>
      <w:bdr w:val="none" w:sz="0" w:space="0" w:color="auto"/>
    </w:rPr>
  </w:style>
  <w:style w:type="paragraph" w:styleId="TOC9">
    <w:name w:val="toc 9"/>
    <w:basedOn w:val="Normal"/>
    <w:next w:val="Normal"/>
    <w:autoRedefine/>
    <w:uiPriority w:val="39"/>
    <w:unhideWhenUsed/>
    <w:rsid w:val="005959C4"/>
    <w:pPr>
      <w:pBdr>
        <w:top w:val="none" w:sz="0" w:space="0" w:color="auto"/>
        <w:left w:val="none" w:sz="0" w:space="0" w:color="auto"/>
        <w:bottom w:val="none" w:sz="0" w:space="0" w:color="auto"/>
        <w:right w:val="none" w:sz="0" w:space="0" w:color="auto"/>
        <w:between w:val="none" w:sz="0" w:space="0" w:color="auto"/>
        <w:bar w:val="none" w:sz="0" w:color="auto"/>
      </w:pBdr>
      <w:spacing w:after="100"/>
      <w:ind w:left="1920"/>
    </w:pPr>
    <w:rPr>
      <w:rFonts w:asciiTheme="minorHAnsi" w:eastAsiaTheme="minorEastAsia" w:hAnsiTheme="minorHAnsi" w:cstheme="minorBidi"/>
      <w:bdr w:val="none" w:sz="0" w:space="0" w:color="auto"/>
    </w:rPr>
  </w:style>
  <w:style w:type="character" w:customStyle="1" w:styleId="sectionnumber">
    <w:name w:val="sectionnumber"/>
    <w:basedOn w:val="DefaultParagraphFont"/>
    <w:rsid w:val="00B46600"/>
  </w:style>
  <w:style w:type="character" w:customStyle="1" w:styleId="catchlinetext">
    <w:name w:val="catchlinetext"/>
    <w:basedOn w:val="DefaultParagraphFont"/>
    <w:rsid w:val="00B46600"/>
  </w:style>
  <w:style w:type="character" w:customStyle="1" w:styleId="emdash">
    <w:name w:val="emdash"/>
    <w:basedOn w:val="DefaultParagraphFont"/>
    <w:rsid w:val="00B46600"/>
  </w:style>
  <w:style w:type="character" w:customStyle="1" w:styleId="sectionbody">
    <w:name w:val="sectionbody"/>
    <w:basedOn w:val="DefaultParagraphFont"/>
    <w:rsid w:val="00B46600"/>
  </w:style>
  <w:style w:type="character" w:customStyle="1" w:styleId="id">
    <w:name w:val="id"/>
    <w:basedOn w:val="DefaultParagraphFont"/>
    <w:rsid w:val="00B46600"/>
  </w:style>
  <w:style w:type="character" w:customStyle="1" w:styleId="textintrojustify">
    <w:name w:val="text intro justify"/>
    <w:basedOn w:val="DefaultParagraphFont"/>
    <w:rsid w:val="00B46600"/>
  </w:style>
  <w:style w:type="paragraph" w:customStyle="1" w:styleId="Body">
    <w:name w:val="Body"/>
    <w:uiPriority w:val="99"/>
    <w:rsid w:val="0050076E"/>
    <w:rPr>
      <w:rFonts w:cs="Arial Unicode MS"/>
      <w:color w:val="000000"/>
      <w:u w:color="000000"/>
      <w:lang w:val="en-US" w:eastAsia="en-US"/>
    </w:rPr>
  </w:style>
  <w:style w:type="numbering" w:customStyle="1" w:styleId="ImportedStyle3">
    <w:name w:val="Imported Style 3"/>
    <w:rsid w:val="0050076E"/>
    <w:pPr>
      <w:numPr>
        <w:numId w:val="63"/>
      </w:numPr>
    </w:pPr>
  </w:style>
  <w:style w:type="numbering" w:customStyle="1" w:styleId="ImportedStyle4">
    <w:name w:val="Imported Style 4"/>
    <w:rsid w:val="0050076E"/>
    <w:pPr>
      <w:numPr>
        <w:numId w:val="64"/>
      </w:numPr>
    </w:pPr>
  </w:style>
  <w:style w:type="numbering" w:customStyle="1" w:styleId="ImportedStyle5">
    <w:name w:val="Imported Style 5"/>
    <w:rsid w:val="0050076E"/>
    <w:pPr>
      <w:numPr>
        <w:numId w:val="65"/>
      </w:numPr>
    </w:pPr>
  </w:style>
  <w:style w:type="numbering" w:customStyle="1" w:styleId="ImportedStyle6">
    <w:name w:val="Imported Style 6"/>
    <w:rsid w:val="0050076E"/>
    <w:pPr>
      <w:numPr>
        <w:numId w:val="66"/>
      </w:numPr>
    </w:pPr>
  </w:style>
  <w:style w:type="numbering" w:customStyle="1" w:styleId="ImportedStyle8">
    <w:name w:val="Imported Style 8"/>
    <w:rsid w:val="0050076E"/>
    <w:pPr>
      <w:numPr>
        <w:numId w:val="67"/>
      </w:numPr>
    </w:pPr>
  </w:style>
  <w:style w:type="character" w:customStyle="1" w:styleId="Hyperlink0">
    <w:name w:val="Hyperlink.0"/>
    <w:basedOn w:val="DefaultParagraphFont"/>
    <w:rsid w:val="0050076E"/>
    <w:rPr>
      <w:rFonts w:ascii="Cambria" w:eastAsia="Cambria" w:hAnsi="Cambria" w:cs="Cambria"/>
      <w:color w:val="0000FF"/>
      <w:sz w:val="16"/>
      <w:szCs w:val="16"/>
      <w:u w:val="single" w:color="0000FF"/>
    </w:rPr>
  </w:style>
  <w:style w:type="paragraph" w:styleId="Index1">
    <w:name w:val="index 1"/>
    <w:basedOn w:val="Normal"/>
    <w:next w:val="Normal"/>
    <w:autoRedefine/>
    <w:uiPriority w:val="99"/>
    <w:unhideWhenUsed/>
    <w:rsid w:val="0050076E"/>
    <w:pPr>
      <w:ind w:left="240" w:hanging="240"/>
    </w:pPr>
  </w:style>
  <w:style w:type="paragraph" w:styleId="Index2">
    <w:name w:val="index 2"/>
    <w:basedOn w:val="Normal"/>
    <w:next w:val="Normal"/>
    <w:autoRedefine/>
    <w:uiPriority w:val="99"/>
    <w:unhideWhenUsed/>
    <w:rsid w:val="0050076E"/>
    <w:pPr>
      <w:ind w:left="480" w:hanging="240"/>
    </w:pPr>
  </w:style>
  <w:style w:type="paragraph" w:styleId="Index3">
    <w:name w:val="index 3"/>
    <w:basedOn w:val="Normal"/>
    <w:next w:val="Normal"/>
    <w:autoRedefine/>
    <w:uiPriority w:val="99"/>
    <w:unhideWhenUsed/>
    <w:rsid w:val="0050076E"/>
    <w:pPr>
      <w:ind w:left="720" w:hanging="240"/>
    </w:pPr>
  </w:style>
  <w:style w:type="paragraph" w:styleId="Index4">
    <w:name w:val="index 4"/>
    <w:basedOn w:val="Normal"/>
    <w:next w:val="Normal"/>
    <w:autoRedefine/>
    <w:uiPriority w:val="99"/>
    <w:unhideWhenUsed/>
    <w:rsid w:val="0050076E"/>
    <w:pPr>
      <w:ind w:left="960" w:hanging="240"/>
    </w:pPr>
  </w:style>
  <w:style w:type="paragraph" w:styleId="Index5">
    <w:name w:val="index 5"/>
    <w:basedOn w:val="Normal"/>
    <w:next w:val="Normal"/>
    <w:autoRedefine/>
    <w:uiPriority w:val="99"/>
    <w:unhideWhenUsed/>
    <w:rsid w:val="0050076E"/>
    <w:pPr>
      <w:ind w:left="1200" w:hanging="240"/>
    </w:pPr>
  </w:style>
  <w:style w:type="paragraph" w:styleId="Index6">
    <w:name w:val="index 6"/>
    <w:basedOn w:val="Normal"/>
    <w:next w:val="Normal"/>
    <w:autoRedefine/>
    <w:uiPriority w:val="99"/>
    <w:unhideWhenUsed/>
    <w:rsid w:val="0050076E"/>
    <w:pPr>
      <w:ind w:left="1440" w:hanging="240"/>
    </w:pPr>
  </w:style>
  <w:style w:type="paragraph" w:styleId="Index7">
    <w:name w:val="index 7"/>
    <w:basedOn w:val="Normal"/>
    <w:next w:val="Normal"/>
    <w:autoRedefine/>
    <w:uiPriority w:val="99"/>
    <w:unhideWhenUsed/>
    <w:rsid w:val="0050076E"/>
    <w:pPr>
      <w:ind w:left="1680" w:hanging="240"/>
    </w:pPr>
  </w:style>
  <w:style w:type="paragraph" w:styleId="Index8">
    <w:name w:val="index 8"/>
    <w:basedOn w:val="Normal"/>
    <w:next w:val="Normal"/>
    <w:autoRedefine/>
    <w:uiPriority w:val="99"/>
    <w:unhideWhenUsed/>
    <w:rsid w:val="0050076E"/>
    <w:pPr>
      <w:ind w:left="1920" w:hanging="240"/>
    </w:pPr>
  </w:style>
  <w:style w:type="paragraph" w:styleId="Index9">
    <w:name w:val="index 9"/>
    <w:basedOn w:val="Normal"/>
    <w:next w:val="Normal"/>
    <w:autoRedefine/>
    <w:uiPriority w:val="99"/>
    <w:unhideWhenUsed/>
    <w:rsid w:val="0050076E"/>
    <w:pPr>
      <w:ind w:left="2160" w:hanging="240"/>
    </w:pPr>
  </w:style>
  <w:style w:type="paragraph" w:styleId="IndexHeading">
    <w:name w:val="index heading"/>
    <w:basedOn w:val="Normal"/>
    <w:next w:val="Index1"/>
    <w:uiPriority w:val="99"/>
    <w:unhideWhenUsed/>
    <w:rsid w:val="0050076E"/>
  </w:style>
  <w:style w:type="character" w:customStyle="1" w:styleId="dfrq">
    <w:name w:val="df_rq"/>
    <w:basedOn w:val="DefaultParagraphFont"/>
    <w:rsid w:val="0050076E"/>
  </w:style>
  <w:style w:type="paragraph" w:styleId="BodyText3">
    <w:name w:val="Body Text 3"/>
    <w:basedOn w:val="Normal"/>
    <w:link w:val="BodyText3Char"/>
    <w:unhideWhenUsed/>
    <w:rsid w:val="0050076E"/>
    <w:pPr>
      <w:spacing w:after="120"/>
    </w:pPr>
    <w:rPr>
      <w:sz w:val="16"/>
      <w:szCs w:val="16"/>
    </w:rPr>
  </w:style>
  <w:style w:type="character" w:customStyle="1" w:styleId="BodyText3Char">
    <w:name w:val="Body Text 3 Char"/>
    <w:basedOn w:val="DefaultParagraphFont"/>
    <w:link w:val="BodyText3"/>
    <w:rsid w:val="0050076E"/>
    <w:rPr>
      <w:sz w:val="16"/>
      <w:szCs w:val="16"/>
      <w:lang w:val="en-US" w:eastAsia="en-US"/>
    </w:rPr>
  </w:style>
  <w:style w:type="character" w:styleId="Emphasis">
    <w:name w:val="Emphasis"/>
    <w:basedOn w:val="DefaultParagraphFont"/>
    <w:uiPriority w:val="20"/>
    <w:qFormat/>
    <w:rsid w:val="00590239"/>
    <w:rPr>
      <w:b/>
      <w:bCs/>
      <w:i w:val="0"/>
      <w:iCs w:val="0"/>
    </w:rPr>
  </w:style>
  <w:style w:type="character" w:customStyle="1" w:styleId="st1">
    <w:name w:val="st1"/>
    <w:basedOn w:val="DefaultParagraphFont"/>
    <w:rsid w:val="00590239"/>
  </w:style>
  <w:style w:type="paragraph" w:customStyle="1" w:styleId="xmsonormal">
    <w:name w:val="x_msonormal"/>
    <w:basedOn w:val="Normal"/>
    <w:rsid w:val="009F7E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US" w:eastAsia="zh-CN"/>
    </w:rPr>
  </w:style>
  <w:style w:type="paragraph" w:customStyle="1" w:styleId="xparrafos">
    <w:name w:val="x_parrafos"/>
    <w:basedOn w:val="Normal"/>
    <w:rsid w:val="009F7E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7233">
      <w:bodyDiv w:val="1"/>
      <w:marLeft w:val="0"/>
      <w:marRight w:val="0"/>
      <w:marTop w:val="0"/>
      <w:marBottom w:val="0"/>
      <w:divBdr>
        <w:top w:val="none" w:sz="0" w:space="0" w:color="auto"/>
        <w:left w:val="none" w:sz="0" w:space="0" w:color="auto"/>
        <w:bottom w:val="none" w:sz="0" w:space="0" w:color="auto"/>
        <w:right w:val="none" w:sz="0" w:space="0" w:color="auto"/>
      </w:divBdr>
    </w:div>
    <w:div w:id="41752012">
      <w:bodyDiv w:val="1"/>
      <w:marLeft w:val="0"/>
      <w:marRight w:val="0"/>
      <w:marTop w:val="0"/>
      <w:marBottom w:val="0"/>
      <w:divBdr>
        <w:top w:val="none" w:sz="0" w:space="0" w:color="auto"/>
        <w:left w:val="none" w:sz="0" w:space="0" w:color="auto"/>
        <w:bottom w:val="none" w:sz="0" w:space="0" w:color="auto"/>
        <w:right w:val="none" w:sz="0" w:space="0" w:color="auto"/>
      </w:divBdr>
    </w:div>
    <w:div w:id="45833967">
      <w:bodyDiv w:val="1"/>
      <w:marLeft w:val="0"/>
      <w:marRight w:val="0"/>
      <w:marTop w:val="0"/>
      <w:marBottom w:val="0"/>
      <w:divBdr>
        <w:top w:val="none" w:sz="0" w:space="0" w:color="auto"/>
        <w:left w:val="none" w:sz="0" w:space="0" w:color="auto"/>
        <w:bottom w:val="none" w:sz="0" w:space="0" w:color="auto"/>
        <w:right w:val="none" w:sz="0" w:space="0" w:color="auto"/>
      </w:divBdr>
      <w:divsChild>
        <w:div w:id="304430074">
          <w:marLeft w:val="0"/>
          <w:marRight w:val="0"/>
          <w:marTop w:val="0"/>
          <w:marBottom w:val="0"/>
          <w:divBdr>
            <w:top w:val="none" w:sz="0" w:space="0" w:color="auto"/>
            <w:left w:val="none" w:sz="0" w:space="0" w:color="auto"/>
            <w:bottom w:val="none" w:sz="0" w:space="0" w:color="auto"/>
            <w:right w:val="none" w:sz="0" w:space="0" w:color="auto"/>
          </w:divBdr>
          <w:divsChild>
            <w:div w:id="1554999831">
              <w:marLeft w:val="0"/>
              <w:marRight w:val="0"/>
              <w:marTop w:val="0"/>
              <w:marBottom w:val="0"/>
              <w:divBdr>
                <w:top w:val="none" w:sz="0" w:space="0" w:color="auto"/>
                <w:left w:val="none" w:sz="0" w:space="0" w:color="auto"/>
                <w:bottom w:val="none" w:sz="0" w:space="0" w:color="auto"/>
                <w:right w:val="none" w:sz="0" w:space="0" w:color="auto"/>
              </w:divBdr>
              <w:divsChild>
                <w:div w:id="82405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2755">
      <w:bodyDiv w:val="1"/>
      <w:marLeft w:val="0"/>
      <w:marRight w:val="0"/>
      <w:marTop w:val="0"/>
      <w:marBottom w:val="0"/>
      <w:divBdr>
        <w:top w:val="none" w:sz="0" w:space="0" w:color="auto"/>
        <w:left w:val="none" w:sz="0" w:space="0" w:color="auto"/>
        <w:bottom w:val="none" w:sz="0" w:space="0" w:color="auto"/>
        <w:right w:val="none" w:sz="0" w:space="0" w:color="auto"/>
      </w:divBdr>
    </w:div>
    <w:div w:id="109279037">
      <w:bodyDiv w:val="1"/>
      <w:marLeft w:val="0"/>
      <w:marRight w:val="0"/>
      <w:marTop w:val="0"/>
      <w:marBottom w:val="0"/>
      <w:divBdr>
        <w:top w:val="none" w:sz="0" w:space="0" w:color="auto"/>
        <w:left w:val="none" w:sz="0" w:space="0" w:color="auto"/>
        <w:bottom w:val="none" w:sz="0" w:space="0" w:color="auto"/>
        <w:right w:val="none" w:sz="0" w:space="0" w:color="auto"/>
      </w:divBdr>
      <w:divsChild>
        <w:div w:id="1963999440">
          <w:marLeft w:val="0"/>
          <w:marRight w:val="0"/>
          <w:marTop w:val="0"/>
          <w:marBottom w:val="0"/>
          <w:divBdr>
            <w:top w:val="none" w:sz="0" w:space="0" w:color="auto"/>
            <w:left w:val="none" w:sz="0" w:space="0" w:color="auto"/>
            <w:bottom w:val="none" w:sz="0" w:space="0" w:color="auto"/>
            <w:right w:val="none" w:sz="0" w:space="0" w:color="auto"/>
          </w:divBdr>
          <w:divsChild>
            <w:div w:id="1811090849">
              <w:marLeft w:val="0"/>
              <w:marRight w:val="0"/>
              <w:marTop w:val="0"/>
              <w:marBottom w:val="0"/>
              <w:divBdr>
                <w:top w:val="none" w:sz="0" w:space="0" w:color="auto"/>
                <w:left w:val="none" w:sz="0" w:space="0" w:color="auto"/>
                <w:bottom w:val="none" w:sz="0" w:space="0" w:color="auto"/>
                <w:right w:val="none" w:sz="0" w:space="0" w:color="auto"/>
              </w:divBdr>
              <w:divsChild>
                <w:div w:id="134463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5970">
      <w:bodyDiv w:val="1"/>
      <w:marLeft w:val="0"/>
      <w:marRight w:val="0"/>
      <w:marTop w:val="0"/>
      <w:marBottom w:val="0"/>
      <w:divBdr>
        <w:top w:val="none" w:sz="0" w:space="0" w:color="auto"/>
        <w:left w:val="none" w:sz="0" w:space="0" w:color="auto"/>
        <w:bottom w:val="none" w:sz="0" w:space="0" w:color="auto"/>
        <w:right w:val="none" w:sz="0" w:space="0" w:color="auto"/>
      </w:divBdr>
      <w:divsChild>
        <w:div w:id="122505111">
          <w:marLeft w:val="0"/>
          <w:marRight w:val="0"/>
          <w:marTop w:val="0"/>
          <w:marBottom w:val="0"/>
          <w:divBdr>
            <w:top w:val="none" w:sz="0" w:space="0" w:color="auto"/>
            <w:left w:val="none" w:sz="0" w:space="0" w:color="auto"/>
            <w:bottom w:val="none" w:sz="0" w:space="0" w:color="auto"/>
            <w:right w:val="none" w:sz="0" w:space="0" w:color="auto"/>
          </w:divBdr>
          <w:divsChild>
            <w:div w:id="1451900515">
              <w:marLeft w:val="0"/>
              <w:marRight w:val="0"/>
              <w:marTop w:val="0"/>
              <w:marBottom w:val="0"/>
              <w:divBdr>
                <w:top w:val="none" w:sz="0" w:space="0" w:color="auto"/>
                <w:left w:val="none" w:sz="0" w:space="0" w:color="auto"/>
                <w:bottom w:val="none" w:sz="0" w:space="0" w:color="auto"/>
                <w:right w:val="none" w:sz="0" w:space="0" w:color="auto"/>
              </w:divBdr>
              <w:divsChild>
                <w:div w:id="128255539">
                  <w:marLeft w:val="0"/>
                  <w:marRight w:val="0"/>
                  <w:marTop w:val="0"/>
                  <w:marBottom w:val="0"/>
                  <w:divBdr>
                    <w:top w:val="none" w:sz="0" w:space="0" w:color="auto"/>
                    <w:left w:val="none" w:sz="0" w:space="0" w:color="auto"/>
                    <w:bottom w:val="none" w:sz="0" w:space="0" w:color="auto"/>
                    <w:right w:val="none" w:sz="0" w:space="0" w:color="auto"/>
                  </w:divBdr>
                  <w:divsChild>
                    <w:div w:id="9139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99505">
      <w:bodyDiv w:val="1"/>
      <w:marLeft w:val="0"/>
      <w:marRight w:val="0"/>
      <w:marTop w:val="0"/>
      <w:marBottom w:val="0"/>
      <w:divBdr>
        <w:top w:val="none" w:sz="0" w:space="0" w:color="auto"/>
        <w:left w:val="none" w:sz="0" w:space="0" w:color="auto"/>
        <w:bottom w:val="none" w:sz="0" w:space="0" w:color="auto"/>
        <w:right w:val="none" w:sz="0" w:space="0" w:color="auto"/>
      </w:divBdr>
      <w:divsChild>
        <w:div w:id="541789862">
          <w:marLeft w:val="0"/>
          <w:marRight w:val="0"/>
          <w:marTop w:val="0"/>
          <w:marBottom w:val="0"/>
          <w:divBdr>
            <w:top w:val="none" w:sz="0" w:space="0" w:color="auto"/>
            <w:left w:val="none" w:sz="0" w:space="0" w:color="auto"/>
            <w:bottom w:val="none" w:sz="0" w:space="0" w:color="auto"/>
            <w:right w:val="none" w:sz="0" w:space="0" w:color="auto"/>
          </w:divBdr>
          <w:divsChild>
            <w:div w:id="1563828744">
              <w:marLeft w:val="0"/>
              <w:marRight w:val="0"/>
              <w:marTop w:val="0"/>
              <w:marBottom w:val="0"/>
              <w:divBdr>
                <w:top w:val="none" w:sz="0" w:space="0" w:color="auto"/>
                <w:left w:val="none" w:sz="0" w:space="0" w:color="auto"/>
                <w:bottom w:val="none" w:sz="0" w:space="0" w:color="auto"/>
                <w:right w:val="none" w:sz="0" w:space="0" w:color="auto"/>
              </w:divBdr>
              <w:divsChild>
                <w:div w:id="43471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48267">
      <w:bodyDiv w:val="1"/>
      <w:marLeft w:val="0"/>
      <w:marRight w:val="0"/>
      <w:marTop w:val="0"/>
      <w:marBottom w:val="0"/>
      <w:divBdr>
        <w:top w:val="none" w:sz="0" w:space="0" w:color="auto"/>
        <w:left w:val="none" w:sz="0" w:space="0" w:color="auto"/>
        <w:bottom w:val="none" w:sz="0" w:space="0" w:color="auto"/>
        <w:right w:val="none" w:sz="0" w:space="0" w:color="auto"/>
      </w:divBdr>
    </w:div>
    <w:div w:id="144661268">
      <w:bodyDiv w:val="1"/>
      <w:marLeft w:val="0"/>
      <w:marRight w:val="0"/>
      <w:marTop w:val="0"/>
      <w:marBottom w:val="0"/>
      <w:divBdr>
        <w:top w:val="none" w:sz="0" w:space="0" w:color="auto"/>
        <w:left w:val="none" w:sz="0" w:space="0" w:color="auto"/>
        <w:bottom w:val="none" w:sz="0" w:space="0" w:color="auto"/>
        <w:right w:val="none" w:sz="0" w:space="0" w:color="auto"/>
      </w:divBdr>
      <w:divsChild>
        <w:div w:id="438986559">
          <w:marLeft w:val="0"/>
          <w:marRight w:val="0"/>
          <w:marTop w:val="0"/>
          <w:marBottom w:val="0"/>
          <w:divBdr>
            <w:top w:val="none" w:sz="0" w:space="0" w:color="auto"/>
            <w:left w:val="none" w:sz="0" w:space="0" w:color="auto"/>
            <w:bottom w:val="none" w:sz="0" w:space="0" w:color="auto"/>
            <w:right w:val="none" w:sz="0" w:space="0" w:color="auto"/>
          </w:divBdr>
          <w:divsChild>
            <w:div w:id="586115857">
              <w:marLeft w:val="0"/>
              <w:marRight w:val="0"/>
              <w:marTop w:val="0"/>
              <w:marBottom w:val="0"/>
              <w:divBdr>
                <w:top w:val="none" w:sz="0" w:space="0" w:color="auto"/>
                <w:left w:val="none" w:sz="0" w:space="0" w:color="auto"/>
                <w:bottom w:val="none" w:sz="0" w:space="0" w:color="auto"/>
                <w:right w:val="none" w:sz="0" w:space="0" w:color="auto"/>
              </w:divBdr>
              <w:divsChild>
                <w:div w:id="172421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4588">
      <w:bodyDiv w:val="1"/>
      <w:marLeft w:val="0"/>
      <w:marRight w:val="0"/>
      <w:marTop w:val="0"/>
      <w:marBottom w:val="0"/>
      <w:divBdr>
        <w:top w:val="none" w:sz="0" w:space="0" w:color="auto"/>
        <w:left w:val="none" w:sz="0" w:space="0" w:color="auto"/>
        <w:bottom w:val="none" w:sz="0" w:space="0" w:color="auto"/>
        <w:right w:val="none" w:sz="0" w:space="0" w:color="auto"/>
      </w:divBdr>
    </w:div>
    <w:div w:id="194271308">
      <w:bodyDiv w:val="1"/>
      <w:marLeft w:val="0"/>
      <w:marRight w:val="0"/>
      <w:marTop w:val="0"/>
      <w:marBottom w:val="0"/>
      <w:divBdr>
        <w:top w:val="none" w:sz="0" w:space="0" w:color="auto"/>
        <w:left w:val="none" w:sz="0" w:space="0" w:color="auto"/>
        <w:bottom w:val="none" w:sz="0" w:space="0" w:color="auto"/>
        <w:right w:val="none" w:sz="0" w:space="0" w:color="auto"/>
      </w:divBdr>
      <w:divsChild>
        <w:div w:id="1203322251">
          <w:marLeft w:val="0"/>
          <w:marRight w:val="0"/>
          <w:marTop w:val="0"/>
          <w:marBottom w:val="0"/>
          <w:divBdr>
            <w:top w:val="none" w:sz="0" w:space="0" w:color="auto"/>
            <w:left w:val="none" w:sz="0" w:space="0" w:color="auto"/>
            <w:bottom w:val="none" w:sz="0" w:space="0" w:color="auto"/>
            <w:right w:val="none" w:sz="0" w:space="0" w:color="auto"/>
          </w:divBdr>
          <w:divsChild>
            <w:div w:id="1713653426">
              <w:marLeft w:val="0"/>
              <w:marRight w:val="0"/>
              <w:marTop w:val="0"/>
              <w:marBottom w:val="0"/>
              <w:divBdr>
                <w:top w:val="none" w:sz="0" w:space="0" w:color="auto"/>
                <w:left w:val="none" w:sz="0" w:space="0" w:color="auto"/>
                <w:bottom w:val="none" w:sz="0" w:space="0" w:color="auto"/>
                <w:right w:val="none" w:sz="0" w:space="0" w:color="auto"/>
              </w:divBdr>
              <w:divsChild>
                <w:div w:id="836772265">
                  <w:marLeft w:val="0"/>
                  <w:marRight w:val="0"/>
                  <w:marTop w:val="0"/>
                  <w:marBottom w:val="0"/>
                  <w:divBdr>
                    <w:top w:val="none" w:sz="0" w:space="0" w:color="auto"/>
                    <w:left w:val="none" w:sz="0" w:space="0" w:color="auto"/>
                    <w:bottom w:val="none" w:sz="0" w:space="0" w:color="auto"/>
                    <w:right w:val="none" w:sz="0" w:space="0" w:color="auto"/>
                  </w:divBdr>
                  <w:divsChild>
                    <w:div w:id="43332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31100">
      <w:bodyDiv w:val="1"/>
      <w:marLeft w:val="0"/>
      <w:marRight w:val="0"/>
      <w:marTop w:val="0"/>
      <w:marBottom w:val="0"/>
      <w:divBdr>
        <w:top w:val="none" w:sz="0" w:space="0" w:color="auto"/>
        <w:left w:val="none" w:sz="0" w:space="0" w:color="auto"/>
        <w:bottom w:val="none" w:sz="0" w:space="0" w:color="auto"/>
        <w:right w:val="none" w:sz="0" w:space="0" w:color="auto"/>
      </w:divBdr>
      <w:divsChild>
        <w:div w:id="555433108">
          <w:marLeft w:val="0"/>
          <w:marRight w:val="0"/>
          <w:marTop w:val="0"/>
          <w:marBottom w:val="0"/>
          <w:divBdr>
            <w:top w:val="none" w:sz="0" w:space="0" w:color="auto"/>
            <w:left w:val="none" w:sz="0" w:space="0" w:color="auto"/>
            <w:bottom w:val="none" w:sz="0" w:space="0" w:color="auto"/>
            <w:right w:val="none" w:sz="0" w:space="0" w:color="auto"/>
          </w:divBdr>
          <w:divsChild>
            <w:div w:id="193929072">
              <w:marLeft w:val="0"/>
              <w:marRight w:val="0"/>
              <w:marTop w:val="0"/>
              <w:marBottom w:val="0"/>
              <w:divBdr>
                <w:top w:val="none" w:sz="0" w:space="0" w:color="auto"/>
                <w:left w:val="none" w:sz="0" w:space="0" w:color="auto"/>
                <w:bottom w:val="none" w:sz="0" w:space="0" w:color="auto"/>
                <w:right w:val="none" w:sz="0" w:space="0" w:color="auto"/>
              </w:divBdr>
              <w:divsChild>
                <w:div w:id="922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8146">
      <w:bodyDiv w:val="1"/>
      <w:marLeft w:val="0"/>
      <w:marRight w:val="0"/>
      <w:marTop w:val="0"/>
      <w:marBottom w:val="0"/>
      <w:divBdr>
        <w:top w:val="none" w:sz="0" w:space="0" w:color="auto"/>
        <w:left w:val="none" w:sz="0" w:space="0" w:color="auto"/>
        <w:bottom w:val="none" w:sz="0" w:space="0" w:color="auto"/>
        <w:right w:val="none" w:sz="0" w:space="0" w:color="auto"/>
      </w:divBdr>
    </w:div>
    <w:div w:id="214700394">
      <w:bodyDiv w:val="1"/>
      <w:marLeft w:val="0"/>
      <w:marRight w:val="0"/>
      <w:marTop w:val="0"/>
      <w:marBottom w:val="0"/>
      <w:divBdr>
        <w:top w:val="none" w:sz="0" w:space="0" w:color="auto"/>
        <w:left w:val="none" w:sz="0" w:space="0" w:color="auto"/>
        <w:bottom w:val="none" w:sz="0" w:space="0" w:color="auto"/>
        <w:right w:val="none" w:sz="0" w:space="0" w:color="auto"/>
      </w:divBdr>
      <w:divsChild>
        <w:div w:id="119108520">
          <w:marLeft w:val="0"/>
          <w:marRight w:val="0"/>
          <w:marTop w:val="0"/>
          <w:marBottom w:val="0"/>
          <w:divBdr>
            <w:top w:val="none" w:sz="0" w:space="0" w:color="auto"/>
            <w:left w:val="none" w:sz="0" w:space="0" w:color="auto"/>
            <w:bottom w:val="none" w:sz="0" w:space="0" w:color="auto"/>
            <w:right w:val="none" w:sz="0" w:space="0" w:color="auto"/>
          </w:divBdr>
          <w:divsChild>
            <w:div w:id="85005070">
              <w:marLeft w:val="0"/>
              <w:marRight w:val="0"/>
              <w:marTop w:val="0"/>
              <w:marBottom w:val="0"/>
              <w:divBdr>
                <w:top w:val="none" w:sz="0" w:space="0" w:color="auto"/>
                <w:left w:val="none" w:sz="0" w:space="0" w:color="auto"/>
                <w:bottom w:val="none" w:sz="0" w:space="0" w:color="auto"/>
                <w:right w:val="none" w:sz="0" w:space="0" w:color="auto"/>
              </w:divBdr>
              <w:divsChild>
                <w:div w:id="19507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074026">
      <w:bodyDiv w:val="1"/>
      <w:marLeft w:val="0"/>
      <w:marRight w:val="0"/>
      <w:marTop w:val="0"/>
      <w:marBottom w:val="0"/>
      <w:divBdr>
        <w:top w:val="none" w:sz="0" w:space="0" w:color="auto"/>
        <w:left w:val="none" w:sz="0" w:space="0" w:color="auto"/>
        <w:bottom w:val="none" w:sz="0" w:space="0" w:color="auto"/>
        <w:right w:val="none" w:sz="0" w:space="0" w:color="auto"/>
      </w:divBdr>
      <w:divsChild>
        <w:div w:id="1975478883">
          <w:marLeft w:val="0"/>
          <w:marRight w:val="0"/>
          <w:marTop w:val="0"/>
          <w:marBottom w:val="0"/>
          <w:divBdr>
            <w:top w:val="none" w:sz="0" w:space="0" w:color="auto"/>
            <w:left w:val="none" w:sz="0" w:space="0" w:color="auto"/>
            <w:bottom w:val="none" w:sz="0" w:space="0" w:color="auto"/>
            <w:right w:val="none" w:sz="0" w:space="0" w:color="auto"/>
          </w:divBdr>
          <w:divsChild>
            <w:div w:id="1400009269">
              <w:marLeft w:val="0"/>
              <w:marRight w:val="0"/>
              <w:marTop w:val="0"/>
              <w:marBottom w:val="0"/>
              <w:divBdr>
                <w:top w:val="none" w:sz="0" w:space="0" w:color="auto"/>
                <w:left w:val="none" w:sz="0" w:space="0" w:color="auto"/>
                <w:bottom w:val="none" w:sz="0" w:space="0" w:color="auto"/>
                <w:right w:val="none" w:sz="0" w:space="0" w:color="auto"/>
              </w:divBdr>
              <w:divsChild>
                <w:div w:id="798299683">
                  <w:marLeft w:val="0"/>
                  <w:marRight w:val="0"/>
                  <w:marTop w:val="0"/>
                  <w:marBottom w:val="0"/>
                  <w:divBdr>
                    <w:top w:val="none" w:sz="0" w:space="0" w:color="auto"/>
                    <w:left w:val="none" w:sz="0" w:space="0" w:color="auto"/>
                    <w:bottom w:val="none" w:sz="0" w:space="0" w:color="auto"/>
                    <w:right w:val="none" w:sz="0" w:space="0" w:color="auto"/>
                  </w:divBdr>
                  <w:divsChild>
                    <w:div w:id="152573708">
                      <w:marLeft w:val="0"/>
                      <w:marRight w:val="0"/>
                      <w:marTop w:val="0"/>
                      <w:marBottom w:val="0"/>
                      <w:divBdr>
                        <w:top w:val="none" w:sz="0" w:space="0" w:color="auto"/>
                        <w:left w:val="none" w:sz="0" w:space="0" w:color="auto"/>
                        <w:bottom w:val="none" w:sz="0" w:space="0" w:color="auto"/>
                        <w:right w:val="none" w:sz="0" w:space="0" w:color="auto"/>
                      </w:divBdr>
                      <w:divsChild>
                        <w:div w:id="1884057718">
                          <w:marLeft w:val="0"/>
                          <w:marRight w:val="0"/>
                          <w:marTop w:val="0"/>
                          <w:marBottom w:val="0"/>
                          <w:divBdr>
                            <w:top w:val="none" w:sz="0" w:space="0" w:color="auto"/>
                            <w:left w:val="none" w:sz="0" w:space="0" w:color="auto"/>
                            <w:bottom w:val="none" w:sz="0" w:space="0" w:color="auto"/>
                            <w:right w:val="none" w:sz="0" w:space="0" w:color="auto"/>
                          </w:divBdr>
                          <w:divsChild>
                            <w:div w:id="160700384">
                              <w:marLeft w:val="0"/>
                              <w:marRight w:val="0"/>
                              <w:marTop w:val="0"/>
                              <w:marBottom w:val="0"/>
                              <w:divBdr>
                                <w:top w:val="none" w:sz="0" w:space="0" w:color="auto"/>
                                <w:left w:val="none" w:sz="0" w:space="0" w:color="auto"/>
                                <w:bottom w:val="none" w:sz="0" w:space="0" w:color="auto"/>
                                <w:right w:val="none" w:sz="0" w:space="0" w:color="auto"/>
                              </w:divBdr>
                              <w:divsChild>
                                <w:div w:id="16741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913947">
      <w:bodyDiv w:val="1"/>
      <w:marLeft w:val="0"/>
      <w:marRight w:val="0"/>
      <w:marTop w:val="0"/>
      <w:marBottom w:val="0"/>
      <w:divBdr>
        <w:top w:val="none" w:sz="0" w:space="0" w:color="auto"/>
        <w:left w:val="none" w:sz="0" w:space="0" w:color="auto"/>
        <w:bottom w:val="none" w:sz="0" w:space="0" w:color="auto"/>
        <w:right w:val="none" w:sz="0" w:space="0" w:color="auto"/>
      </w:divBdr>
      <w:divsChild>
        <w:div w:id="98448241">
          <w:marLeft w:val="0"/>
          <w:marRight w:val="0"/>
          <w:marTop w:val="0"/>
          <w:marBottom w:val="0"/>
          <w:divBdr>
            <w:top w:val="none" w:sz="0" w:space="0" w:color="auto"/>
            <w:left w:val="none" w:sz="0" w:space="0" w:color="auto"/>
            <w:bottom w:val="none" w:sz="0" w:space="0" w:color="auto"/>
            <w:right w:val="none" w:sz="0" w:space="0" w:color="auto"/>
          </w:divBdr>
          <w:divsChild>
            <w:div w:id="1768308530">
              <w:marLeft w:val="0"/>
              <w:marRight w:val="0"/>
              <w:marTop w:val="0"/>
              <w:marBottom w:val="0"/>
              <w:divBdr>
                <w:top w:val="none" w:sz="0" w:space="0" w:color="auto"/>
                <w:left w:val="none" w:sz="0" w:space="0" w:color="auto"/>
                <w:bottom w:val="none" w:sz="0" w:space="0" w:color="auto"/>
                <w:right w:val="none" w:sz="0" w:space="0" w:color="auto"/>
              </w:divBdr>
              <w:divsChild>
                <w:div w:id="9957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85902">
      <w:bodyDiv w:val="1"/>
      <w:marLeft w:val="0"/>
      <w:marRight w:val="0"/>
      <w:marTop w:val="0"/>
      <w:marBottom w:val="0"/>
      <w:divBdr>
        <w:top w:val="none" w:sz="0" w:space="0" w:color="auto"/>
        <w:left w:val="none" w:sz="0" w:space="0" w:color="auto"/>
        <w:bottom w:val="none" w:sz="0" w:space="0" w:color="auto"/>
        <w:right w:val="none" w:sz="0" w:space="0" w:color="auto"/>
      </w:divBdr>
      <w:divsChild>
        <w:div w:id="1917277721">
          <w:marLeft w:val="0"/>
          <w:marRight w:val="0"/>
          <w:marTop w:val="0"/>
          <w:marBottom w:val="0"/>
          <w:divBdr>
            <w:top w:val="none" w:sz="0" w:space="0" w:color="auto"/>
            <w:left w:val="none" w:sz="0" w:space="0" w:color="auto"/>
            <w:bottom w:val="none" w:sz="0" w:space="0" w:color="auto"/>
            <w:right w:val="none" w:sz="0" w:space="0" w:color="auto"/>
          </w:divBdr>
          <w:divsChild>
            <w:div w:id="2144225611">
              <w:marLeft w:val="0"/>
              <w:marRight w:val="0"/>
              <w:marTop w:val="0"/>
              <w:marBottom w:val="0"/>
              <w:divBdr>
                <w:top w:val="none" w:sz="0" w:space="0" w:color="auto"/>
                <w:left w:val="none" w:sz="0" w:space="0" w:color="auto"/>
                <w:bottom w:val="none" w:sz="0" w:space="0" w:color="auto"/>
                <w:right w:val="none" w:sz="0" w:space="0" w:color="auto"/>
              </w:divBdr>
              <w:divsChild>
                <w:div w:id="159871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735968">
      <w:bodyDiv w:val="1"/>
      <w:marLeft w:val="0"/>
      <w:marRight w:val="0"/>
      <w:marTop w:val="0"/>
      <w:marBottom w:val="0"/>
      <w:divBdr>
        <w:top w:val="none" w:sz="0" w:space="0" w:color="auto"/>
        <w:left w:val="none" w:sz="0" w:space="0" w:color="auto"/>
        <w:bottom w:val="none" w:sz="0" w:space="0" w:color="auto"/>
        <w:right w:val="none" w:sz="0" w:space="0" w:color="auto"/>
      </w:divBdr>
      <w:divsChild>
        <w:div w:id="832643165">
          <w:marLeft w:val="0"/>
          <w:marRight w:val="0"/>
          <w:marTop w:val="0"/>
          <w:marBottom w:val="0"/>
          <w:divBdr>
            <w:top w:val="none" w:sz="0" w:space="0" w:color="auto"/>
            <w:left w:val="none" w:sz="0" w:space="0" w:color="auto"/>
            <w:bottom w:val="none" w:sz="0" w:space="0" w:color="auto"/>
            <w:right w:val="none" w:sz="0" w:space="0" w:color="auto"/>
          </w:divBdr>
          <w:divsChild>
            <w:div w:id="1865826423">
              <w:marLeft w:val="0"/>
              <w:marRight w:val="0"/>
              <w:marTop w:val="0"/>
              <w:marBottom w:val="0"/>
              <w:divBdr>
                <w:top w:val="none" w:sz="0" w:space="0" w:color="auto"/>
                <w:left w:val="none" w:sz="0" w:space="0" w:color="auto"/>
                <w:bottom w:val="none" w:sz="0" w:space="0" w:color="auto"/>
                <w:right w:val="none" w:sz="0" w:space="0" w:color="auto"/>
              </w:divBdr>
              <w:divsChild>
                <w:div w:id="38294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779910">
      <w:bodyDiv w:val="1"/>
      <w:marLeft w:val="0"/>
      <w:marRight w:val="0"/>
      <w:marTop w:val="0"/>
      <w:marBottom w:val="0"/>
      <w:divBdr>
        <w:top w:val="none" w:sz="0" w:space="0" w:color="auto"/>
        <w:left w:val="none" w:sz="0" w:space="0" w:color="auto"/>
        <w:bottom w:val="none" w:sz="0" w:space="0" w:color="auto"/>
        <w:right w:val="none" w:sz="0" w:space="0" w:color="auto"/>
      </w:divBdr>
      <w:divsChild>
        <w:div w:id="969365187">
          <w:marLeft w:val="0"/>
          <w:marRight w:val="0"/>
          <w:marTop w:val="0"/>
          <w:marBottom w:val="0"/>
          <w:divBdr>
            <w:top w:val="none" w:sz="0" w:space="0" w:color="auto"/>
            <w:left w:val="none" w:sz="0" w:space="0" w:color="auto"/>
            <w:bottom w:val="none" w:sz="0" w:space="0" w:color="auto"/>
            <w:right w:val="none" w:sz="0" w:space="0" w:color="auto"/>
          </w:divBdr>
          <w:divsChild>
            <w:div w:id="2130657365">
              <w:marLeft w:val="0"/>
              <w:marRight w:val="0"/>
              <w:marTop w:val="0"/>
              <w:marBottom w:val="0"/>
              <w:divBdr>
                <w:top w:val="none" w:sz="0" w:space="0" w:color="auto"/>
                <w:left w:val="none" w:sz="0" w:space="0" w:color="auto"/>
                <w:bottom w:val="none" w:sz="0" w:space="0" w:color="auto"/>
                <w:right w:val="none" w:sz="0" w:space="0" w:color="auto"/>
              </w:divBdr>
              <w:divsChild>
                <w:div w:id="122773470">
                  <w:marLeft w:val="0"/>
                  <w:marRight w:val="0"/>
                  <w:marTop w:val="0"/>
                  <w:marBottom w:val="0"/>
                  <w:divBdr>
                    <w:top w:val="none" w:sz="0" w:space="0" w:color="auto"/>
                    <w:left w:val="none" w:sz="0" w:space="0" w:color="auto"/>
                    <w:bottom w:val="none" w:sz="0" w:space="0" w:color="auto"/>
                    <w:right w:val="none" w:sz="0" w:space="0" w:color="auto"/>
                  </w:divBdr>
                </w:div>
              </w:divsChild>
            </w:div>
            <w:div w:id="929195614">
              <w:marLeft w:val="0"/>
              <w:marRight w:val="0"/>
              <w:marTop w:val="0"/>
              <w:marBottom w:val="0"/>
              <w:divBdr>
                <w:top w:val="none" w:sz="0" w:space="0" w:color="auto"/>
                <w:left w:val="none" w:sz="0" w:space="0" w:color="auto"/>
                <w:bottom w:val="none" w:sz="0" w:space="0" w:color="auto"/>
                <w:right w:val="none" w:sz="0" w:space="0" w:color="auto"/>
              </w:divBdr>
              <w:divsChild>
                <w:div w:id="352654419">
                  <w:marLeft w:val="0"/>
                  <w:marRight w:val="0"/>
                  <w:marTop w:val="0"/>
                  <w:marBottom w:val="0"/>
                  <w:divBdr>
                    <w:top w:val="none" w:sz="0" w:space="0" w:color="auto"/>
                    <w:left w:val="none" w:sz="0" w:space="0" w:color="auto"/>
                    <w:bottom w:val="none" w:sz="0" w:space="0" w:color="auto"/>
                    <w:right w:val="none" w:sz="0" w:space="0" w:color="auto"/>
                  </w:divBdr>
                </w:div>
              </w:divsChild>
            </w:div>
            <w:div w:id="1704860393">
              <w:marLeft w:val="0"/>
              <w:marRight w:val="0"/>
              <w:marTop w:val="0"/>
              <w:marBottom w:val="0"/>
              <w:divBdr>
                <w:top w:val="none" w:sz="0" w:space="0" w:color="auto"/>
                <w:left w:val="none" w:sz="0" w:space="0" w:color="auto"/>
                <w:bottom w:val="none" w:sz="0" w:space="0" w:color="auto"/>
                <w:right w:val="none" w:sz="0" w:space="0" w:color="auto"/>
              </w:divBdr>
              <w:divsChild>
                <w:div w:id="1066993857">
                  <w:marLeft w:val="0"/>
                  <w:marRight w:val="0"/>
                  <w:marTop w:val="0"/>
                  <w:marBottom w:val="0"/>
                  <w:divBdr>
                    <w:top w:val="none" w:sz="0" w:space="0" w:color="auto"/>
                    <w:left w:val="none" w:sz="0" w:space="0" w:color="auto"/>
                    <w:bottom w:val="none" w:sz="0" w:space="0" w:color="auto"/>
                    <w:right w:val="none" w:sz="0" w:space="0" w:color="auto"/>
                  </w:divBdr>
                </w:div>
              </w:divsChild>
            </w:div>
            <w:div w:id="1624265191">
              <w:marLeft w:val="0"/>
              <w:marRight w:val="0"/>
              <w:marTop w:val="0"/>
              <w:marBottom w:val="0"/>
              <w:divBdr>
                <w:top w:val="none" w:sz="0" w:space="0" w:color="auto"/>
                <w:left w:val="none" w:sz="0" w:space="0" w:color="auto"/>
                <w:bottom w:val="none" w:sz="0" w:space="0" w:color="auto"/>
                <w:right w:val="none" w:sz="0" w:space="0" w:color="auto"/>
              </w:divBdr>
              <w:divsChild>
                <w:div w:id="180862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10197">
      <w:bodyDiv w:val="1"/>
      <w:marLeft w:val="0"/>
      <w:marRight w:val="0"/>
      <w:marTop w:val="0"/>
      <w:marBottom w:val="0"/>
      <w:divBdr>
        <w:top w:val="none" w:sz="0" w:space="0" w:color="auto"/>
        <w:left w:val="none" w:sz="0" w:space="0" w:color="auto"/>
        <w:bottom w:val="none" w:sz="0" w:space="0" w:color="auto"/>
        <w:right w:val="none" w:sz="0" w:space="0" w:color="auto"/>
      </w:divBdr>
    </w:div>
    <w:div w:id="298925157">
      <w:bodyDiv w:val="1"/>
      <w:marLeft w:val="0"/>
      <w:marRight w:val="0"/>
      <w:marTop w:val="0"/>
      <w:marBottom w:val="0"/>
      <w:divBdr>
        <w:top w:val="none" w:sz="0" w:space="0" w:color="auto"/>
        <w:left w:val="none" w:sz="0" w:space="0" w:color="auto"/>
        <w:bottom w:val="none" w:sz="0" w:space="0" w:color="auto"/>
        <w:right w:val="none" w:sz="0" w:space="0" w:color="auto"/>
      </w:divBdr>
      <w:divsChild>
        <w:div w:id="1951425683">
          <w:marLeft w:val="0"/>
          <w:marRight w:val="0"/>
          <w:marTop w:val="0"/>
          <w:marBottom w:val="0"/>
          <w:divBdr>
            <w:top w:val="none" w:sz="0" w:space="0" w:color="auto"/>
            <w:left w:val="none" w:sz="0" w:space="0" w:color="auto"/>
            <w:bottom w:val="none" w:sz="0" w:space="0" w:color="auto"/>
            <w:right w:val="none" w:sz="0" w:space="0" w:color="auto"/>
          </w:divBdr>
          <w:divsChild>
            <w:div w:id="823743704">
              <w:marLeft w:val="0"/>
              <w:marRight w:val="0"/>
              <w:marTop w:val="0"/>
              <w:marBottom w:val="0"/>
              <w:divBdr>
                <w:top w:val="none" w:sz="0" w:space="0" w:color="auto"/>
                <w:left w:val="none" w:sz="0" w:space="0" w:color="auto"/>
                <w:bottom w:val="none" w:sz="0" w:space="0" w:color="auto"/>
                <w:right w:val="none" w:sz="0" w:space="0" w:color="auto"/>
              </w:divBdr>
              <w:divsChild>
                <w:div w:id="186929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598512">
      <w:bodyDiv w:val="1"/>
      <w:marLeft w:val="0"/>
      <w:marRight w:val="0"/>
      <w:marTop w:val="0"/>
      <w:marBottom w:val="0"/>
      <w:divBdr>
        <w:top w:val="none" w:sz="0" w:space="0" w:color="auto"/>
        <w:left w:val="none" w:sz="0" w:space="0" w:color="auto"/>
        <w:bottom w:val="none" w:sz="0" w:space="0" w:color="auto"/>
        <w:right w:val="none" w:sz="0" w:space="0" w:color="auto"/>
      </w:divBdr>
      <w:divsChild>
        <w:div w:id="1659115972">
          <w:marLeft w:val="0"/>
          <w:marRight w:val="0"/>
          <w:marTop w:val="0"/>
          <w:marBottom w:val="0"/>
          <w:divBdr>
            <w:top w:val="none" w:sz="0" w:space="0" w:color="auto"/>
            <w:left w:val="none" w:sz="0" w:space="0" w:color="auto"/>
            <w:bottom w:val="none" w:sz="0" w:space="0" w:color="auto"/>
            <w:right w:val="none" w:sz="0" w:space="0" w:color="auto"/>
          </w:divBdr>
          <w:divsChild>
            <w:div w:id="1487864928">
              <w:marLeft w:val="0"/>
              <w:marRight w:val="0"/>
              <w:marTop w:val="0"/>
              <w:marBottom w:val="0"/>
              <w:divBdr>
                <w:top w:val="none" w:sz="0" w:space="0" w:color="auto"/>
                <w:left w:val="none" w:sz="0" w:space="0" w:color="auto"/>
                <w:bottom w:val="none" w:sz="0" w:space="0" w:color="auto"/>
                <w:right w:val="none" w:sz="0" w:space="0" w:color="auto"/>
              </w:divBdr>
              <w:divsChild>
                <w:div w:id="181013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271413">
      <w:bodyDiv w:val="1"/>
      <w:marLeft w:val="0"/>
      <w:marRight w:val="0"/>
      <w:marTop w:val="0"/>
      <w:marBottom w:val="0"/>
      <w:divBdr>
        <w:top w:val="none" w:sz="0" w:space="0" w:color="auto"/>
        <w:left w:val="none" w:sz="0" w:space="0" w:color="auto"/>
        <w:bottom w:val="none" w:sz="0" w:space="0" w:color="auto"/>
        <w:right w:val="none" w:sz="0" w:space="0" w:color="auto"/>
      </w:divBdr>
    </w:div>
    <w:div w:id="355473771">
      <w:bodyDiv w:val="1"/>
      <w:marLeft w:val="0"/>
      <w:marRight w:val="0"/>
      <w:marTop w:val="0"/>
      <w:marBottom w:val="0"/>
      <w:divBdr>
        <w:top w:val="none" w:sz="0" w:space="0" w:color="auto"/>
        <w:left w:val="none" w:sz="0" w:space="0" w:color="auto"/>
        <w:bottom w:val="none" w:sz="0" w:space="0" w:color="auto"/>
        <w:right w:val="none" w:sz="0" w:space="0" w:color="auto"/>
      </w:divBdr>
    </w:div>
    <w:div w:id="393091193">
      <w:bodyDiv w:val="1"/>
      <w:marLeft w:val="0"/>
      <w:marRight w:val="0"/>
      <w:marTop w:val="0"/>
      <w:marBottom w:val="0"/>
      <w:divBdr>
        <w:top w:val="none" w:sz="0" w:space="0" w:color="auto"/>
        <w:left w:val="none" w:sz="0" w:space="0" w:color="auto"/>
        <w:bottom w:val="none" w:sz="0" w:space="0" w:color="auto"/>
        <w:right w:val="none" w:sz="0" w:space="0" w:color="auto"/>
      </w:divBdr>
      <w:divsChild>
        <w:div w:id="1649627225">
          <w:marLeft w:val="0"/>
          <w:marRight w:val="0"/>
          <w:marTop w:val="0"/>
          <w:marBottom w:val="0"/>
          <w:divBdr>
            <w:top w:val="none" w:sz="0" w:space="0" w:color="auto"/>
            <w:left w:val="none" w:sz="0" w:space="0" w:color="auto"/>
            <w:bottom w:val="none" w:sz="0" w:space="0" w:color="auto"/>
            <w:right w:val="none" w:sz="0" w:space="0" w:color="auto"/>
          </w:divBdr>
          <w:divsChild>
            <w:div w:id="4017487">
              <w:marLeft w:val="0"/>
              <w:marRight w:val="0"/>
              <w:marTop w:val="0"/>
              <w:marBottom w:val="0"/>
              <w:divBdr>
                <w:top w:val="none" w:sz="0" w:space="0" w:color="auto"/>
                <w:left w:val="none" w:sz="0" w:space="0" w:color="auto"/>
                <w:bottom w:val="none" w:sz="0" w:space="0" w:color="auto"/>
                <w:right w:val="none" w:sz="0" w:space="0" w:color="auto"/>
              </w:divBdr>
              <w:divsChild>
                <w:div w:id="1291277351">
                  <w:marLeft w:val="0"/>
                  <w:marRight w:val="0"/>
                  <w:marTop w:val="0"/>
                  <w:marBottom w:val="0"/>
                  <w:divBdr>
                    <w:top w:val="none" w:sz="0" w:space="0" w:color="auto"/>
                    <w:left w:val="none" w:sz="0" w:space="0" w:color="auto"/>
                    <w:bottom w:val="none" w:sz="0" w:space="0" w:color="auto"/>
                    <w:right w:val="none" w:sz="0" w:space="0" w:color="auto"/>
                  </w:divBdr>
                  <w:divsChild>
                    <w:div w:id="782266758">
                      <w:marLeft w:val="0"/>
                      <w:marRight w:val="0"/>
                      <w:marTop w:val="0"/>
                      <w:marBottom w:val="0"/>
                      <w:divBdr>
                        <w:top w:val="none" w:sz="0" w:space="0" w:color="auto"/>
                        <w:left w:val="none" w:sz="0" w:space="0" w:color="auto"/>
                        <w:bottom w:val="none" w:sz="0" w:space="0" w:color="auto"/>
                        <w:right w:val="none" w:sz="0" w:space="0" w:color="auto"/>
                      </w:divBdr>
                      <w:divsChild>
                        <w:div w:id="1929073658">
                          <w:marLeft w:val="0"/>
                          <w:marRight w:val="0"/>
                          <w:marTop w:val="0"/>
                          <w:marBottom w:val="0"/>
                          <w:divBdr>
                            <w:top w:val="none" w:sz="0" w:space="0" w:color="auto"/>
                            <w:left w:val="none" w:sz="0" w:space="0" w:color="auto"/>
                            <w:bottom w:val="none" w:sz="0" w:space="0" w:color="auto"/>
                            <w:right w:val="none" w:sz="0" w:space="0" w:color="auto"/>
                          </w:divBdr>
                          <w:divsChild>
                            <w:div w:id="1106317059">
                              <w:marLeft w:val="0"/>
                              <w:marRight w:val="0"/>
                              <w:marTop w:val="0"/>
                              <w:marBottom w:val="0"/>
                              <w:divBdr>
                                <w:top w:val="none" w:sz="0" w:space="0" w:color="auto"/>
                                <w:left w:val="none" w:sz="0" w:space="0" w:color="auto"/>
                                <w:bottom w:val="none" w:sz="0" w:space="0" w:color="auto"/>
                                <w:right w:val="none" w:sz="0" w:space="0" w:color="auto"/>
                              </w:divBdr>
                              <w:divsChild>
                                <w:div w:id="6854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305015">
      <w:bodyDiv w:val="1"/>
      <w:marLeft w:val="0"/>
      <w:marRight w:val="0"/>
      <w:marTop w:val="0"/>
      <w:marBottom w:val="0"/>
      <w:divBdr>
        <w:top w:val="none" w:sz="0" w:space="0" w:color="auto"/>
        <w:left w:val="none" w:sz="0" w:space="0" w:color="auto"/>
        <w:bottom w:val="none" w:sz="0" w:space="0" w:color="auto"/>
        <w:right w:val="none" w:sz="0" w:space="0" w:color="auto"/>
      </w:divBdr>
      <w:divsChild>
        <w:div w:id="617612796">
          <w:marLeft w:val="0"/>
          <w:marRight w:val="0"/>
          <w:marTop w:val="0"/>
          <w:marBottom w:val="0"/>
          <w:divBdr>
            <w:top w:val="none" w:sz="0" w:space="0" w:color="auto"/>
            <w:left w:val="none" w:sz="0" w:space="0" w:color="auto"/>
            <w:bottom w:val="none" w:sz="0" w:space="0" w:color="auto"/>
            <w:right w:val="none" w:sz="0" w:space="0" w:color="auto"/>
          </w:divBdr>
          <w:divsChild>
            <w:div w:id="1703901750">
              <w:marLeft w:val="0"/>
              <w:marRight w:val="0"/>
              <w:marTop w:val="0"/>
              <w:marBottom w:val="0"/>
              <w:divBdr>
                <w:top w:val="none" w:sz="0" w:space="0" w:color="auto"/>
                <w:left w:val="none" w:sz="0" w:space="0" w:color="auto"/>
                <w:bottom w:val="none" w:sz="0" w:space="0" w:color="auto"/>
                <w:right w:val="none" w:sz="0" w:space="0" w:color="auto"/>
              </w:divBdr>
              <w:divsChild>
                <w:div w:id="97630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17314">
      <w:bodyDiv w:val="1"/>
      <w:marLeft w:val="0"/>
      <w:marRight w:val="0"/>
      <w:marTop w:val="0"/>
      <w:marBottom w:val="0"/>
      <w:divBdr>
        <w:top w:val="none" w:sz="0" w:space="0" w:color="auto"/>
        <w:left w:val="none" w:sz="0" w:space="0" w:color="auto"/>
        <w:bottom w:val="none" w:sz="0" w:space="0" w:color="auto"/>
        <w:right w:val="none" w:sz="0" w:space="0" w:color="auto"/>
      </w:divBdr>
      <w:divsChild>
        <w:div w:id="1289897646">
          <w:marLeft w:val="0"/>
          <w:marRight w:val="0"/>
          <w:marTop w:val="0"/>
          <w:marBottom w:val="0"/>
          <w:divBdr>
            <w:top w:val="none" w:sz="0" w:space="0" w:color="auto"/>
            <w:left w:val="none" w:sz="0" w:space="0" w:color="auto"/>
            <w:bottom w:val="none" w:sz="0" w:space="0" w:color="auto"/>
            <w:right w:val="none" w:sz="0" w:space="0" w:color="auto"/>
          </w:divBdr>
          <w:divsChild>
            <w:div w:id="1049845048">
              <w:marLeft w:val="0"/>
              <w:marRight w:val="0"/>
              <w:marTop w:val="0"/>
              <w:marBottom w:val="0"/>
              <w:divBdr>
                <w:top w:val="none" w:sz="0" w:space="0" w:color="auto"/>
                <w:left w:val="none" w:sz="0" w:space="0" w:color="auto"/>
                <w:bottom w:val="none" w:sz="0" w:space="0" w:color="auto"/>
                <w:right w:val="none" w:sz="0" w:space="0" w:color="auto"/>
              </w:divBdr>
              <w:divsChild>
                <w:div w:id="2957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859559">
      <w:bodyDiv w:val="1"/>
      <w:marLeft w:val="0"/>
      <w:marRight w:val="0"/>
      <w:marTop w:val="0"/>
      <w:marBottom w:val="0"/>
      <w:divBdr>
        <w:top w:val="none" w:sz="0" w:space="0" w:color="auto"/>
        <w:left w:val="none" w:sz="0" w:space="0" w:color="auto"/>
        <w:bottom w:val="none" w:sz="0" w:space="0" w:color="auto"/>
        <w:right w:val="none" w:sz="0" w:space="0" w:color="auto"/>
      </w:divBdr>
    </w:div>
    <w:div w:id="479271033">
      <w:bodyDiv w:val="1"/>
      <w:marLeft w:val="0"/>
      <w:marRight w:val="0"/>
      <w:marTop w:val="0"/>
      <w:marBottom w:val="0"/>
      <w:divBdr>
        <w:top w:val="none" w:sz="0" w:space="0" w:color="auto"/>
        <w:left w:val="none" w:sz="0" w:space="0" w:color="auto"/>
        <w:bottom w:val="none" w:sz="0" w:space="0" w:color="auto"/>
        <w:right w:val="none" w:sz="0" w:space="0" w:color="auto"/>
      </w:divBdr>
      <w:divsChild>
        <w:div w:id="2111470321">
          <w:marLeft w:val="0"/>
          <w:marRight w:val="0"/>
          <w:marTop w:val="0"/>
          <w:marBottom w:val="0"/>
          <w:divBdr>
            <w:top w:val="none" w:sz="0" w:space="0" w:color="auto"/>
            <w:left w:val="none" w:sz="0" w:space="0" w:color="auto"/>
            <w:bottom w:val="none" w:sz="0" w:space="0" w:color="auto"/>
            <w:right w:val="none" w:sz="0" w:space="0" w:color="auto"/>
          </w:divBdr>
          <w:divsChild>
            <w:div w:id="318851724">
              <w:marLeft w:val="0"/>
              <w:marRight w:val="0"/>
              <w:marTop w:val="0"/>
              <w:marBottom w:val="0"/>
              <w:divBdr>
                <w:top w:val="none" w:sz="0" w:space="0" w:color="auto"/>
                <w:left w:val="none" w:sz="0" w:space="0" w:color="auto"/>
                <w:bottom w:val="none" w:sz="0" w:space="0" w:color="auto"/>
                <w:right w:val="none" w:sz="0" w:space="0" w:color="auto"/>
              </w:divBdr>
              <w:divsChild>
                <w:div w:id="78854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371865">
      <w:bodyDiv w:val="1"/>
      <w:marLeft w:val="0"/>
      <w:marRight w:val="0"/>
      <w:marTop w:val="0"/>
      <w:marBottom w:val="0"/>
      <w:divBdr>
        <w:top w:val="none" w:sz="0" w:space="0" w:color="auto"/>
        <w:left w:val="none" w:sz="0" w:space="0" w:color="auto"/>
        <w:bottom w:val="none" w:sz="0" w:space="0" w:color="auto"/>
        <w:right w:val="none" w:sz="0" w:space="0" w:color="auto"/>
      </w:divBdr>
      <w:divsChild>
        <w:div w:id="1739404252">
          <w:marLeft w:val="0"/>
          <w:marRight w:val="0"/>
          <w:marTop w:val="0"/>
          <w:marBottom w:val="0"/>
          <w:divBdr>
            <w:top w:val="none" w:sz="0" w:space="0" w:color="auto"/>
            <w:left w:val="none" w:sz="0" w:space="0" w:color="auto"/>
            <w:bottom w:val="none" w:sz="0" w:space="0" w:color="auto"/>
            <w:right w:val="none" w:sz="0" w:space="0" w:color="auto"/>
          </w:divBdr>
          <w:divsChild>
            <w:div w:id="172691340">
              <w:marLeft w:val="0"/>
              <w:marRight w:val="0"/>
              <w:marTop w:val="0"/>
              <w:marBottom w:val="0"/>
              <w:divBdr>
                <w:top w:val="none" w:sz="0" w:space="0" w:color="auto"/>
                <w:left w:val="none" w:sz="0" w:space="0" w:color="auto"/>
                <w:bottom w:val="none" w:sz="0" w:space="0" w:color="auto"/>
                <w:right w:val="none" w:sz="0" w:space="0" w:color="auto"/>
              </w:divBdr>
              <w:divsChild>
                <w:div w:id="187206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979538">
      <w:bodyDiv w:val="1"/>
      <w:marLeft w:val="0"/>
      <w:marRight w:val="0"/>
      <w:marTop w:val="0"/>
      <w:marBottom w:val="0"/>
      <w:divBdr>
        <w:top w:val="none" w:sz="0" w:space="0" w:color="auto"/>
        <w:left w:val="none" w:sz="0" w:space="0" w:color="auto"/>
        <w:bottom w:val="none" w:sz="0" w:space="0" w:color="auto"/>
        <w:right w:val="none" w:sz="0" w:space="0" w:color="auto"/>
      </w:divBdr>
      <w:divsChild>
        <w:div w:id="1795513171">
          <w:marLeft w:val="0"/>
          <w:marRight w:val="0"/>
          <w:marTop w:val="0"/>
          <w:marBottom w:val="0"/>
          <w:divBdr>
            <w:top w:val="none" w:sz="0" w:space="0" w:color="auto"/>
            <w:left w:val="none" w:sz="0" w:space="0" w:color="auto"/>
            <w:bottom w:val="none" w:sz="0" w:space="0" w:color="auto"/>
            <w:right w:val="none" w:sz="0" w:space="0" w:color="auto"/>
          </w:divBdr>
        </w:div>
      </w:divsChild>
    </w:div>
    <w:div w:id="566841561">
      <w:bodyDiv w:val="1"/>
      <w:marLeft w:val="0"/>
      <w:marRight w:val="0"/>
      <w:marTop w:val="0"/>
      <w:marBottom w:val="0"/>
      <w:divBdr>
        <w:top w:val="none" w:sz="0" w:space="0" w:color="auto"/>
        <w:left w:val="none" w:sz="0" w:space="0" w:color="auto"/>
        <w:bottom w:val="none" w:sz="0" w:space="0" w:color="auto"/>
        <w:right w:val="none" w:sz="0" w:space="0" w:color="auto"/>
      </w:divBdr>
    </w:div>
    <w:div w:id="577833381">
      <w:bodyDiv w:val="1"/>
      <w:marLeft w:val="0"/>
      <w:marRight w:val="0"/>
      <w:marTop w:val="0"/>
      <w:marBottom w:val="0"/>
      <w:divBdr>
        <w:top w:val="none" w:sz="0" w:space="0" w:color="auto"/>
        <w:left w:val="none" w:sz="0" w:space="0" w:color="auto"/>
        <w:bottom w:val="none" w:sz="0" w:space="0" w:color="auto"/>
        <w:right w:val="none" w:sz="0" w:space="0" w:color="auto"/>
      </w:divBdr>
      <w:divsChild>
        <w:div w:id="372191727">
          <w:marLeft w:val="0"/>
          <w:marRight w:val="0"/>
          <w:marTop w:val="0"/>
          <w:marBottom w:val="0"/>
          <w:divBdr>
            <w:top w:val="none" w:sz="0" w:space="0" w:color="auto"/>
            <w:left w:val="none" w:sz="0" w:space="0" w:color="auto"/>
            <w:bottom w:val="none" w:sz="0" w:space="0" w:color="auto"/>
            <w:right w:val="none" w:sz="0" w:space="0" w:color="auto"/>
          </w:divBdr>
          <w:divsChild>
            <w:div w:id="804663507">
              <w:marLeft w:val="0"/>
              <w:marRight w:val="0"/>
              <w:marTop w:val="0"/>
              <w:marBottom w:val="0"/>
              <w:divBdr>
                <w:top w:val="none" w:sz="0" w:space="0" w:color="auto"/>
                <w:left w:val="none" w:sz="0" w:space="0" w:color="auto"/>
                <w:bottom w:val="none" w:sz="0" w:space="0" w:color="auto"/>
                <w:right w:val="none" w:sz="0" w:space="0" w:color="auto"/>
              </w:divBdr>
              <w:divsChild>
                <w:div w:id="128594101">
                  <w:marLeft w:val="0"/>
                  <w:marRight w:val="0"/>
                  <w:marTop w:val="0"/>
                  <w:marBottom w:val="0"/>
                  <w:divBdr>
                    <w:top w:val="none" w:sz="0" w:space="0" w:color="auto"/>
                    <w:left w:val="none" w:sz="0" w:space="0" w:color="auto"/>
                    <w:bottom w:val="none" w:sz="0" w:space="0" w:color="auto"/>
                    <w:right w:val="none" w:sz="0" w:space="0" w:color="auto"/>
                  </w:divBdr>
                  <w:divsChild>
                    <w:div w:id="153499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631155">
      <w:bodyDiv w:val="1"/>
      <w:marLeft w:val="0"/>
      <w:marRight w:val="0"/>
      <w:marTop w:val="0"/>
      <w:marBottom w:val="0"/>
      <w:divBdr>
        <w:top w:val="none" w:sz="0" w:space="0" w:color="auto"/>
        <w:left w:val="none" w:sz="0" w:space="0" w:color="auto"/>
        <w:bottom w:val="none" w:sz="0" w:space="0" w:color="auto"/>
        <w:right w:val="none" w:sz="0" w:space="0" w:color="auto"/>
      </w:divBdr>
    </w:div>
    <w:div w:id="596400994">
      <w:bodyDiv w:val="1"/>
      <w:marLeft w:val="0"/>
      <w:marRight w:val="0"/>
      <w:marTop w:val="0"/>
      <w:marBottom w:val="0"/>
      <w:divBdr>
        <w:top w:val="none" w:sz="0" w:space="0" w:color="auto"/>
        <w:left w:val="none" w:sz="0" w:space="0" w:color="auto"/>
        <w:bottom w:val="none" w:sz="0" w:space="0" w:color="auto"/>
        <w:right w:val="none" w:sz="0" w:space="0" w:color="auto"/>
      </w:divBdr>
    </w:div>
    <w:div w:id="626014000">
      <w:bodyDiv w:val="1"/>
      <w:marLeft w:val="0"/>
      <w:marRight w:val="0"/>
      <w:marTop w:val="0"/>
      <w:marBottom w:val="0"/>
      <w:divBdr>
        <w:top w:val="none" w:sz="0" w:space="0" w:color="auto"/>
        <w:left w:val="none" w:sz="0" w:space="0" w:color="auto"/>
        <w:bottom w:val="none" w:sz="0" w:space="0" w:color="auto"/>
        <w:right w:val="none" w:sz="0" w:space="0" w:color="auto"/>
      </w:divBdr>
    </w:div>
    <w:div w:id="634873443">
      <w:bodyDiv w:val="1"/>
      <w:marLeft w:val="0"/>
      <w:marRight w:val="0"/>
      <w:marTop w:val="0"/>
      <w:marBottom w:val="0"/>
      <w:divBdr>
        <w:top w:val="none" w:sz="0" w:space="0" w:color="auto"/>
        <w:left w:val="none" w:sz="0" w:space="0" w:color="auto"/>
        <w:bottom w:val="none" w:sz="0" w:space="0" w:color="auto"/>
        <w:right w:val="none" w:sz="0" w:space="0" w:color="auto"/>
      </w:divBdr>
      <w:divsChild>
        <w:div w:id="1025912436">
          <w:marLeft w:val="0"/>
          <w:marRight w:val="0"/>
          <w:marTop w:val="0"/>
          <w:marBottom w:val="0"/>
          <w:divBdr>
            <w:top w:val="none" w:sz="0" w:space="0" w:color="auto"/>
            <w:left w:val="none" w:sz="0" w:space="0" w:color="auto"/>
            <w:bottom w:val="none" w:sz="0" w:space="0" w:color="auto"/>
            <w:right w:val="none" w:sz="0" w:space="0" w:color="auto"/>
          </w:divBdr>
          <w:divsChild>
            <w:div w:id="1840539910">
              <w:marLeft w:val="0"/>
              <w:marRight w:val="0"/>
              <w:marTop w:val="0"/>
              <w:marBottom w:val="0"/>
              <w:divBdr>
                <w:top w:val="none" w:sz="0" w:space="0" w:color="auto"/>
                <w:left w:val="none" w:sz="0" w:space="0" w:color="auto"/>
                <w:bottom w:val="none" w:sz="0" w:space="0" w:color="auto"/>
                <w:right w:val="none" w:sz="0" w:space="0" w:color="auto"/>
              </w:divBdr>
              <w:divsChild>
                <w:div w:id="5881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772692">
      <w:bodyDiv w:val="1"/>
      <w:marLeft w:val="0"/>
      <w:marRight w:val="0"/>
      <w:marTop w:val="0"/>
      <w:marBottom w:val="0"/>
      <w:divBdr>
        <w:top w:val="none" w:sz="0" w:space="0" w:color="auto"/>
        <w:left w:val="none" w:sz="0" w:space="0" w:color="auto"/>
        <w:bottom w:val="none" w:sz="0" w:space="0" w:color="auto"/>
        <w:right w:val="none" w:sz="0" w:space="0" w:color="auto"/>
      </w:divBdr>
    </w:div>
    <w:div w:id="660701105">
      <w:bodyDiv w:val="1"/>
      <w:marLeft w:val="0"/>
      <w:marRight w:val="0"/>
      <w:marTop w:val="0"/>
      <w:marBottom w:val="0"/>
      <w:divBdr>
        <w:top w:val="none" w:sz="0" w:space="0" w:color="auto"/>
        <w:left w:val="none" w:sz="0" w:space="0" w:color="auto"/>
        <w:bottom w:val="none" w:sz="0" w:space="0" w:color="auto"/>
        <w:right w:val="none" w:sz="0" w:space="0" w:color="auto"/>
      </w:divBdr>
      <w:divsChild>
        <w:div w:id="1317149522">
          <w:marLeft w:val="0"/>
          <w:marRight w:val="0"/>
          <w:marTop w:val="0"/>
          <w:marBottom w:val="0"/>
          <w:divBdr>
            <w:top w:val="none" w:sz="0" w:space="0" w:color="auto"/>
            <w:left w:val="none" w:sz="0" w:space="0" w:color="auto"/>
            <w:bottom w:val="none" w:sz="0" w:space="0" w:color="auto"/>
            <w:right w:val="none" w:sz="0" w:space="0" w:color="auto"/>
          </w:divBdr>
          <w:divsChild>
            <w:div w:id="1283998538">
              <w:marLeft w:val="0"/>
              <w:marRight w:val="0"/>
              <w:marTop w:val="0"/>
              <w:marBottom w:val="0"/>
              <w:divBdr>
                <w:top w:val="none" w:sz="0" w:space="0" w:color="auto"/>
                <w:left w:val="none" w:sz="0" w:space="0" w:color="auto"/>
                <w:bottom w:val="none" w:sz="0" w:space="0" w:color="auto"/>
                <w:right w:val="none" w:sz="0" w:space="0" w:color="auto"/>
              </w:divBdr>
              <w:divsChild>
                <w:div w:id="385228277">
                  <w:marLeft w:val="0"/>
                  <w:marRight w:val="0"/>
                  <w:marTop w:val="0"/>
                  <w:marBottom w:val="0"/>
                  <w:divBdr>
                    <w:top w:val="none" w:sz="0" w:space="0" w:color="auto"/>
                    <w:left w:val="none" w:sz="0" w:space="0" w:color="auto"/>
                    <w:bottom w:val="none" w:sz="0" w:space="0" w:color="auto"/>
                    <w:right w:val="none" w:sz="0" w:space="0" w:color="auto"/>
                  </w:divBdr>
                </w:div>
              </w:divsChild>
            </w:div>
            <w:div w:id="120998390">
              <w:marLeft w:val="0"/>
              <w:marRight w:val="0"/>
              <w:marTop w:val="0"/>
              <w:marBottom w:val="0"/>
              <w:divBdr>
                <w:top w:val="none" w:sz="0" w:space="0" w:color="auto"/>
                <w:left w:val="none" w:sz="0" w:space="0" w:color="auto"/>
                <w:bottom w:val="none" w:sz="0" w:space="0" w:color="auto"/>
                <w:right w:val="none" w:sz="0" w:space="0" w:color="auto"/>
              </w:divBdr>
              <w:divsChild>
                <w:div w:id="237251407">
                  <w:marLeft w:val="0"/>
                  <w:marRight w:val="0"/>
                  <w:marTop w:val="0"/>
                  <w:marBottom w:val="0"/>
                  <w:divBdr>
                    <w:top w:val="none" w:sz="0" w:space="0" w:color="auto"/>
                    <w:left w:val="none" w:sz="0" w:space="0" w:color="auto"/>
                    <w:bottom w:val="none" w:sz="0" w:space="0" w:color="auto"/>
                    <w:right w:val="none" w:sz="0" w:space="0" w:color="auto"/>
                  </w:divBdr>
                  <w:divsChild>
                    <w:div w:id="4307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0506">
              <w:marLeft w:val="0"/>
              <w:marRight w:val="0"/>
              <w:marTop w:val="0"/>
              <w:marBottom w:val="0"/>
              <w:divBdr>
                <w:top w:val="none" w:sz="0" w:space="0" w:color="auto"/>
                <w:left w:val="none" w:sz="0" w:space="0" w:color="auto"/>
                <w:bottom w:val="none" w:sz="0" w:space="0" w:color="auto"/>
                <w:right w:val="none" w:sz="0" w:space="0" w:color="auto"/>
              </w:divBdr>
              <w:divsChild>
                <w:div w:id="190483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1685">
      <w:bodyDiv w:val="1"/>
      <w:marLeft w:val="0"/>
      <w:marRight w:val="0"/>
      <w:marTop w:val="0"/>
      <w:marBottom w:val="0"/>
      <w:divBdr>
        <w:top w:val="none" w:sz="0" w:space="0" w:color="auto"/>
        <w:left w:val="none" w:sz="0" w:space="0" w:color="auto"/>
        <w:bottom w:val="none" w:sz="0" w:space="0" w:color="auto"/>
        <w:right w:val="none" w:sz="0" w:space="0" w:color="auto"/>
      </w:divBdr>
      <w:divsChild>
        <w:div w:id="1927112612">
          <w:marLeft w:val="0"/>
          <w:marRight w:val="0"/>
          <w:marTop w:val="0"/>
          <w:marBottom w:val="0"/>
          <w:divBdr>
            <w:top w:val="none" w:sz="0" w:space="0" w:color="auto"/>
            <w:left w:val="none" w:sz="0" w:space="0" w:color="auto"/>
            <w:bottom w:val="none" w:sz="0" w:space="0" w:color="auto"/>
            <w:right w:val="none" w:sz="0" w:space="0" w:color="auto"/>
          </w:divBdr>
          <w:divsChild>
            <w:div w:id="544945138">
              <w:marLeft w:val="0"/>
              <w:marRight w:val="0"/>
              <w:marTop w:val="0"/>
              <w:marBottom w:val="0"/>
              <w:divBdr>
                <w:top w:val="none" w:sz="0" w:space="0" w:color="auto"/>
                <w:left w:val="none" w:sz="0" w:space="0" w:color="auto"/>
                <w:bottom w:val="none" w:sz="0" w:space="0" w:color="auto"/>
                <w:right w:val="none" w:sz="0" w:space="0" w:color="auto"/>
              </w:divBdr>
              <w:divsChild>
                <w:div w:id="150655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16719">
      <w:bodyDiv w:val="1"/>
      <w:marLeft w:val="0"/>
      <w:marRight w:val="0"/>
      <w:marTop w:val="0"/>
      <w:marBottom w:val="0"/>
      <w:divBdr>
        <w:top w:val="none" w:sz="0" w:space="0" w:color="auto"/>
        <w:left w:val="none" w:sz="0" w:space="0" w:color="auto"/>
        <w:bottom w:val="none" w:sz="0" w:space="0" w:color="auto"/>
        <w:right w:val="none" w:sz="0" w:space="0" w:color="auto"/>
      </w:divBdr>
      <w:divsChild>
        <w:div w:id="614407064">
          <w:marLeft w:val="0"/>
          <w:marRight w:val="0"/>
          <w:marTop w:val="0"/>
          <w:marBottom w:val="0"/>
          <w:divBdr>
            <w:top w:val="none" w:sz="0" w:space="0" w:color="auto"/>
            <w:left w:val="none" w:sz="0" w:space="0" w:color="auto"/>
            <w:bottom w:val="none" w:sz="0" w:space="0" w:color="auto"/>
            <w:right w:val="none" w:sz="0" w:space="0" w:color="auto"/>
          </w:divBdr>
          <w:divsChild>
            <w:div w:id="1976638166">
              <w:marLeft w:val="0"/>
              <w:marRight w:val="0"/>
              <w:marTop w:val="0"/>
              <w:marBottom w:val="0"/>
              <w:divBdr>
                <w:top w:val="none" w:sz="0" w:space="0" w:color="auto"/>
                <w:left w:val="none" w:sz="0" w:space="0" w:color="auto"/>
                <w:bottom w:val="none" w:sz="0" w:space="0" w:color="auto"/>
                <w:right w:val="none" w:sz="0" w:space="0" w:color="auto"/>
              </w:divBdr>
              <w:divsChild>
                <w:div w:id="174321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644265">
      <w:bodyDiv w:val="1"/>
      <w:marLeft w:val="0"/>
      <w:marRight w:val="0"/>
      <w:marTop w:val="0"/>
      <w:marBottom w:val="0"/>
      <w:divBdr>
        <w:top w:val="none" w:sz="0" w:space="0" w:color="auto"/>
        <w:left w:val="none" w:sz="0" w:space="0" w:color="auto"/>
        <w:bottom w:val="none" w:sz="0" w:space="0" w:color="auto"/>
        <w:right w:val="none" w:sz="0" w:space="0" w:color="auto"/>
      </w:divBdr>
      <w:divsChild>
        <w:div w:id="1747920413">
          <w:marLeft w:val="0"/>
          <w:marRight w:val="0"/>
          <w:marTop w:val="0"/>
          <w:marBottom w:val="0"/>
          <w:divBdr>
            <w:top w:val="none" w:sz="0" w:space="0" w:color="auto"/>
            <w:left w:val="none" w:sz="0" w:space="0" w:color="auto"/>
            <w:bottom w:val="none" w:sz="0" w:space="0" w:color="auto"/>
            <w:right w:val="none" w:sz="0" w:space="0" w:color="auto"/>
          </w:divBdr>
          <w:divsChild>
            <w:div w:id="681051899">
              <w:marLeft w:val="0"/>
              <w:marRight w:val="0"/>
              <w:marTop w:val="0"/>
              <w:marBottom w:val="0"/>
              <w:divBdr>
                <w:top w:val="none" w:sz="0" w:space="0" w:color="auto"/>
                <w:left w:val="none" w:sz="0" w:space="0" w:color="auto"/>
                <w:bottom w:val="none" w:sz="0" w:space="0" w:color="auto"/>
                <w:right w:val="none" w:sz="0" w:space="0" w:color="auto"/>
              </w:divBdr>
              <w:divsChild>
                <w:div w:id="159574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800827">
      <w:bodyDiv w:val="1"/>
      <w:marLeft w:val="0"/>
      <w:marRight w:val="0"/>
      <w:marTop w:val="0"/>
      <w:marBottom w:val="0"/>
      <w:divBdr>
        <w:top w:val="none" w:sz="0" w:space="0" w:color="auto"/>
        <w:left w:val="none" w:sz="0" w:space="0" w:color="auto"/>
        <w:bottom w:val="none" w:sz="0" w:space="0" w:color="auto"/>
        <w:right w:val="none" w:sz="0" w:space="0" w:color="auto"/>
      </w:divBdr>
    </w:div>
    <w:div w:id="790439445">
      <w:bodyDiv w:val="1"/>
      <w:marLeft w:val="0"/>
      <w:marRight w:val="0"/>
      <w:marTop w:val="0"/>
      <w:marBottom w:val="0"/>
      <w:divBdr>
        <w:top w:val="none" w:sz="0" w:space="0" w:color="auto"/>
        <w:left w:val="none" w:sz="0" w:space="0" w:color="auto"/>
        <w:bottom w:val="none" w:sz="0" w:space="0" w:color="auto"/>
        <w:right w:val="none" w:sz="0" w:space="0" w:color="auto"/>
      </w:divBdr>
    </w:div>
    <w:div w:id="797989693">
      <w:bodyDiv w:val="1"/>
      <w:marLeft w:val="0"/>
      <w:marRight w:val="0"/>
      <w:marTop w:val="0"/>
      <w:marBottom w:val="0"/>
      <w:divBdr>
        <w:top w:val="none" w:sz="0" w:space="0" w:color="auto"/>
        <w:left w:val="none" w:sz="0" w:space="0" w:color="auto"/>
        <w:bottom w:val="none" w:sz="0" w:space="0" w:color="auto"/>
        <w:right w:val="none" w:sz="0" w:space="0" w:color="auto"/>
      </w:divBdr>
    </w:div>
    <w:div w:id="805007196">
      <w:bodyDiv w:val="1"/>
      <w:marLeft w:val="0"/>
      <w:marRight w:val="0"/>
      <w:marTop w:val="0"/>
      <w:marBottom w:val="0"/>
      <w:divBdr>
        <w:top w:val="none" w:sz="0" w:space="0" w:color="auto"/>
        <w:left w:val="none" w:sz="0" w:space="0" w:color="auto"/>
        <w:bottom w:val="none" w:sz="0" w:space="0" w:color="auto"/>
        <w:right w:val="none" w:sz="0" w:space="0" w:color="auto"/>
      </w:divBdr>
      <w:divsChild>
        <w:div w:id="1906601">
          <w:marLeft w:val="0"/>
          <w:marRight w:val="0"/>
          <w:marTop w:val="0"/>
          <w:marBottom w:val="0"/>
          <w:divBdr>
            <w:top w:val="none" w:sz="0" w:space="0" w:color="auto"/>
            <w:left w:val="none" w:sz="0" w:space="0" w:color="auto"/>
            <w:bottom w:val="none" w:sz="0" w:space="0" w:color="auto"/>
            <w:right w:val="none" w:sz="0" w:space="0" w:color="auto"/>
          </w:divBdr>
          <w:divsChild>
            <w:div w:id="916397411">
              <w:marLeft w:val="0"/>
              <w:marRight w:val="0"/>
              <w:marTop w:val="0"/>
              <w:marBottom w:val="0"/>
              <w:divBdr>
                <w:top w:val="none" w:sz="0" w:space="0" w:color="auto"/>
                <w:left w:val="none" w:sz="0" w:space="0" w:color="auto"/>
                <w:bottom w:val="none" w:sz="0" w:space="0" w:color="auto"/>
                <w:right w:val="none" w:sz="0" w:space="0" w:color="auto"/>
              </w:divBdr>
              <w:divsChild>
                <w:div w:id="69498713">
                  <w:marLeft w:val="0"/>
                  <w:marRight w:val="0"/>
                  <w:marTop w:val="0"/>
                  <w:marBottom w:val="0"/>
                  <w:divBdr>
                    <w:top w:val="none" w:sz="0" w:space="0" w:color="auto"/>
                    <w:left w:val="none" w:sz="0" w:space="0" w:color="auto"/>
                    <w:bottom w:val="none" w:sz="0" w:space="0" w:color="auto"/>
                    <w:right w:val="none" w:sz="0" w:space="0" w:color="auto"/>
                  </w:divBdr>
                  <w:divsChild>
                    <w:div w:id="130627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12868">
      <w:bodyDiv w:val="1"/>
      <w:marLeft w:val="0"/>
      <w:marRight w:val="0"/>
      <w:marTop w:val="0"/>
      <w:marBottom w:val="0"/>
      <w:divBdr>
        <w:top w:val="none" w:sz="0" w:space="0" w:color="auto"/>
        <w:left w:val="none" w:sz="0" w:space="0" w:color="auto"/>
        <w:bottom w:val="none" w:sz="0" w:space="0" w:color="auto"/>
        <w:right w:val="none" w:sz="0" w:space="0" w:color="auto"/>
      </w:divBdr>
    </w:div>
    <w:div w:id="980425425">
      <w:bodyDiv w:val="1"/>
      <w:marLeft w:val="0"/>
      <w:marRight w:val="0"/>
      <w:marTop w:val="0"/>
      <w:marBottom w:val="0"/>
      <w:divBdr>
        <w:top w:val="none" w:sz="0" w:space="0" w:color="auto"/>
        <w:left w:val="none" w:sz="0" w:space="0" w:color="auto"/>
        <w:bottom w:val="none" w:sz="0" w:space="0" w:color="auto"/>
        <w:right w:val="none" w:sz="0" w:space="0" w:color="auto"/>
      </w:divBdr>
    </w:div>
    <w:div w:id="982924564">
      <w:bodyDiv w:val="1"/>
      <w:marLeft w:val="0"/>
      <w:marRight w:val="0"/>
      <w:marTop w:val="0"/>
      <w:marBottom w:val="0"/>
      <w:divBdr>
        <w:top w:val="none" w:sz="0" w:space="0" w:color="auto"/>
        <w:left w:val="none" w:sz="0" w:space="0" w:color="auto"/>
        <w:bottom w:val="none" w:sz="0" w:space="0" w:color="auto"/>
        <w:right w:val="none" w:sz="0" w:space="0" w:color="auto"/>
      </w:divBdr>
    </w:div>
    <w:div w:id="999578087">
      <w:bodyDiv w:val="1"/>
      <w:marLeft w:val="0"/>
      <w:marRight w:val="0"/>
      <w:marTop w:val="0"/>
      <w:marBottom w:val="0"/>
      <w:divBdr>
        <w:top w:val="none" w:sz="0" w:space="0" w:color="auto"/>
        <w:left w:val="none" w:sz="0" w:space="0" w:color="auto"/>
        <w:bottom w:val="none" w:sz="0" w:space="0" w:color="auto"/>
        <w:right w:val="none" w:sz="0" w:space="0" w:color="auto"/>
      </w:divBdr>
      <w:divsChild>
        <w:div w:id="898394024">
          <w:marLeft w:val="0"/>
          <w:marRight w:val="0"/>
          <w:marTop w:val="0"/>
          <w:marBottom w:val="0"/>
          <w:divBdr>
            <w:top w:val="none" w:sz="0" w:space="0" w:color="auto"/>
            <w:left w:val="none" w:sz="0" w:space="0" w:color="auto"/>
            <w:bottom w:val="none" w:sz="0" w:space="0" w:color="auto"/>
            <w:right w:val="none" w:sz="0" w:space="0" w:color="auto"/>
          </w:divBdr>
          <w:divsChild>
            <w:div w:id="1578325890">
              <w:marLeft w:val="0"/>
              <w:marRight w:val="0"/>
              <w:marTop w:val="0"/>
              <w:marBottom w:val="0"/>
              <w:divBdr>
                <w:top w:val="none" w:sz="0" w:space="0" w:color="auto"/>
                <w:left w:val="none" w:sz="0" w:space="0" w:color="auto"/>
                <w:bottom w:val="none" w:sz="0" w:space="0" w:color="auto"/>
                <w:right w:val="none" w:sz="0" w:space="0" w:color="auto"/>
              </w:divBdr>
              <w:divsChild>
                <w:div w:id="162850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781278">
      <w:bodyDiv w:val="1"/>
      <w:marLeft w:val="0"/>
      <w:marRight w:val="0"/>
      <w:marTop w:val="0"/>
      <w:marBottom w:val="0"/>
      <w:divBdr>
        <w:top w:val="none" w:sz="0" w:space="0" w:color="auto"/>
        <w:left w:val="none" w:sz="0" w:space="0" w:color="auto"/>
        <w:bottom w:val="none" w:sz="0" w:space="0" w:color="auto"/>
        <w:right w:val="none" w:sz="0" w:space="0" w:color="auto"/>
      </w:divBdr>
    </w:div>
    <w:div w:id="1007027173">
      <w:bodyDiv w:val="1"/>
      <w:marLeft w:val="0"/>
      <w:marRight w:val="0"/>
      <w:marTop w:val="0"/>
      <w:marBottom w:val="0"/>
      <w:divBdr>
        <w:top w:val="none" w:sz="0" w:space="0" w:color="auto"/>
        <w:left w:val="none" w:sz="0" w:space="0" w:color="auto"/>
        <w:bottom w:val="none" w:sz="0" w:space="0" w:color="auto"/>
        <w:right w:val="none" w:sz="0" w:space="0" w:color="auto"/>
      </w:divBdr>
    </w:div>
    <w:div w:id="1017468732">
      <w:bodyDiv w:val="1"/>
      <w:marLeft w:val="0"/>
      <w:marRight w:val="0"/>
      <w:marTop w:val="0"/>
      <w:marBottom w:val="0"/>
      <w:divBdr>
        <w:top w:val="none" w:sz="0" w:space="0" w:color="auto"/>
        <w:left w:val="none" w:sz="0" w:space="0" w:color="auto"/>
        <w:bottom w:val="none" w:sz="0" w:space="0" w:color="auto"/>
        <w:right w:val="none" w:sz="0" w:space="0" w:color="auto"/>
      </w:divBdr>
    </w:div>
    <w:div w:id="1022780711">
      <w:bodyDiv w:val="1"/>
      <w:marLeft w:val="0"/>
      <w:marRight w:val="0"/>
      <w:marTop w:val="0"/>
      <w:marBottom w:val="0"/>
      <w:divBdr>
        <w:top w:val="none" w:sz="0" w:space="0" w:color="auto"/>
        <w:left w:val="none" w:sz="0" w:space="0" w:color="auto"/>
        <w:bottom w:val="none" w:sz="0" w:space="0" w:color="auto"/>
        <w:right w:val="none" w:sz="0" w:space="0" w:color="auto"/>
      </w:divBdr>
      <w:divsChild>
        <w:div w:id="2090468757">
          <w:marLeft w:val="0"/>
          <w:marRight w:val="0"/>
          <w:marTop w:val="0"/>
          <w:marBottom w:val="0"/>
          <w:divBdr>
            <w:top w:val="none" w:sz="0" w:space="0" w:color="auto"/>
            <w:left w:val="none" w:sz="0" w:space="0" w:color="auto"/>
            <w:bottom w:val="none" w:sz="0" w:space="0" w:color="auto"/>
            <w:right w:val="none" w:sz="0" w:space="0" w:color="auto"/>
          </w:divBdr>
          <w:divsChild>
            <w:div w:id="947547113">
              <w:marLeft w:val="0"/>
              <w:marRight w:val="0"/>
              <w:marTop w:val="0"/>
              <w:marBottom w:val="0"/>
              <w:divBdr>
                <w:top w:val="none" w:sz="0" w:space="0" w:color="auto"/>
                <w:left w:val="none" w:sz="0" w:space="0" w:color="auto"/>
                <w:bottom w:val="none" w:sz="0" w:space="0" w:color="auto"/>
                <w:right w:val="none" w:sz="0" w:space="0" w:color="auto"/>
              </w:divBdr>
              <w:divsChild>
                <w:div w:id="21163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45621">
      <w:bodyDiv w:val="1"/>
      <w:marLeft w:val="0"/>
      <w:marRight w:val="0"/>
      <w:marTop w:val="0"/>
      <w:marBottom w:val="0"/>
      <w:divBdr>
        <w:top w:val="none" w:sz="0" w:space="0" w:color="auto"/>
        <w:left w:val="none" w:sz="0" w:space="0" w:color="auto"/>
        <w:bottom w:val="none" w:sz="0" w:space="0" w:color="auto"/>
        <w:right w:val="none" w:sz="0" w:space="0" w:color="auto"/>
      </w:divBdr>
    </w:div>
    <w:div w:id="1047995389">
      <w:bodyDiv w:val="1"/>
      <w:marLeft w:val="0"/>
      <w:marRight w:val="0"/>
      <w:marTop w:val="0"/>
      <w:marBottom w:val="0"/>
      <w:divBdr>
        <w:top w:val="none" w:sz="0" w:space="0" w:color="auto"/>
        <w:left w:val="none" w:sz="0" w:space="0" w:color="auto"/>
        <w:bottom w:val="none" w:sz="0" w:space="0" w:color="auto"/>
        <w:right w:val="none" w:sz="0" w:space="0" w:color="auto"/>
      </w:divBdr>
      <w:divsChild>
        <w:div w:id="870731186">
          <w:marLeft w:val="0"/>
          <w:marRight w:val="0"/>
          <w:marTop w:val="0"/>
          <w:marBottom w:val="0"/>
          <w:divBdr>
            <w:top w:val="none" w:sz="0" w:space="0" w:color="auto"/>
            <w:left w:val="none" w:sz="0" w:space="0" w:color="auto"/>
            <w:bottom w:val="none" w:sz="0" w:space="0" w:color="auto"/>
            <w:right w:val="none" w:sz="0" w:space="0" w:color="auto"/>
          </w:divBdr>
          <w:divsChild>
            <w:div w:id="1799297194">
              <w:marLeft w:val="0"/>
              <w:marRight w:val="0"/>
              <w:marTop w:val="0"/>
              <w:marBottom w:val="0"/>
              <w:divBdr>
                <w:top w:val="none" w:sz="0" w:space="0" w:color="auto"/>
                <w:left w:val="none" w:sz="0" w:space="0" w:color="auto"/>
                <w:bottom w:val="none" w:sz="0" w:space="0" w:color="auto"/>
                <w:right w:val="none" w:sz="0" w:space="0" w:color="auto"/>
              </w:divBdr>
              <w:divsChild>
                <w:div w:id="90814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667373">
      <w:bodyDiv w:val="1"/>
      <w:marLeft w:val="0"/>
      <w:marRight w:val="0"/>
      <w:marTop w:val="0"/>
      <w:marBottom w:val="0"/>
      <w:divBdr>
        <w:top w:val="none" w:sz="0" w:space="0" w:color="auto"/>
        <w:left w:val="none" w:sz="0" w:space="0" w:color="auto"/>
        <w:bottom w:val="none" w:sz="0" w:space="0" w:color="auto"/>
        <w:right w:val="none" w:sz="0" w:space="0" w:color="auto"/>
      </w:divBdr>
    </w:div>
    <w:div w:id="1062479971">
      <w:bodyDiv w:val="1"/>
      <w:marLeft w:val="0"/>
      <w:marRight w:val="0"/>
      <w:marTop w:val="0"/>
      <w:marBottom w:val="0"/>
      <w:divBdr>
        <w:top w:val="none" w:sz="0" w:space="0" w:color="auto"/>
        <w:left w:val="none" w:sz="0" w:space="0" w:color="auto"/>
        <w:bottom w:val="none" w:sz="0" w:space="0" w:color="auto"/>
        <w:right w:val="none" w:sz="0" w:space="0" w:color="auto"/>
      </w:divBdr>
      <w:divsChild>
        <w:div w:id="135999263">
          <w:marLeft w:val="0"/>
          <w:marRight w:val="0"/>
          <w:marTop w:val="0"/>
          <w:marBottom w:val="0"/>
          <w:divBdr>
            <w:top w:val="none" w:sz="0" w:space="0" w:color="auto"/>
            <w:left w:val="none" w:sz="0" w:space="0" w:color="auto"/>
            <w:bottom w:val="none" w:sz="0" w:space="0" w:color="auto"/>
            <w:right w:val="none" w:sz="0" w:space="0" w:color="auto"/>
          </w:divBdr>
          <w:divsChild>
            <w:div w:id="1080518373">
              <w:marLeft w:val="0"/>
              <w:marRight w:val="0"/>
              <w:marTop w:val="0"/>
              <w:marBottom w:val="0"/>
              <w:divBdr>
                <w:top w:val="none" w:sz="0" w:space="0" w:color="auto"/>
                <w:left w:val="none" w:sz="0" w:space="0" w:color="auto"/>
                <w:bottom w:val="none" w:sz="0" w:space="0" w:color="auto"/>
                <w:right w:val="none" w:sz="0" w:space="0" w:color="auto"/>
              </w:divBdr>
              <w:divsChild>
                <w:div w:id="12396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33636">
      <w:bodyDiv w:val="1"/>
      <w:marLeft w:val="0"/>
      <w:marRight w:val="0"/>
      <w:marTop w:val="0"/>
      <w:marBottom w:val="0"/>
      <w:divBdr>
        <w:top w:val="none" w:sz="0" w:space="0" w:color="auto"/>
        <w:left w:val="none" w:sz="0" w:space="0" w:color="auto"/>
        <w:bottom w:val="none" w:sz="0" w:space="0" w:color="auto"/>
        <w:right w:val="none" w:sz="0" w:space="0" w:color="auto"/>
      </w:divBdr>
      <w:divsChild>
        <w:div w:id="126045878">
          <w:marLeft w:val="0"/>
          <w:marRight w:val="0"/>
          <w:marTop w:val="0"/>
          <w:marBottom w:val="0"/>
          <w:divBdr>
            <w:top w:val="none" w:sz="0" w:space="0" w:color="auto"/>
            <w:left w:val="none" w:sz="0" w:space="0" w:color="auto"/>
            <w:bottom w:val="none" w:sz="0" w:space="0" w:color="auto"/>
            <w:right w:val="none" w:sz="0" w:space="0" w:color="auto"/>
          </w:divBdr>
          <w:divsChild>
            <w:div w:id="489561043">
              <w:marLeft w:val="0"/>
              <w:marRight w:val="0"/>
              <w:marTop w:val="0"/>
              <w:marBottom w:val="0"/>
              <w:divBdr>
                <w:top w:val="none" w:sz="0" w:space="0" w:color="auto"/>
                <w:left w:val="none" w:sz="0" w:space="0" w:color="auto"/>
                <w:bottom w:val="none" w:sz="0" w:space="0" w:color="auto"/>
                <w:right w:val="none" w:sz="0" w:space="0" w:color="auto"/>
              </w:divBdr>
              <w:divsChild>
                <w:div w:id="114990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221393">
      <w:bodyDiv w:val="1"/>
      <w:marLeft w:val="0"/>
      <w:marRight w:val="0"/>
      <w:marTop w:val="0"/>
      <w:marBottom w:val="0"/>
      <w:divBdr>
        <w:top w:val="none" w:sz="0" w:space="0" w:color="auto"/>
        <w:left w:val="none" w:sz="0" w:space="0" w:color="auto"/>
        <w:bottom w:val="none" w:sz="0" w:space="0" w:color="auto"/>
        <w:right w:val="none" w:sz="0" w:space="0" w:color="auto"/>
      </w:divBdr>
      <w:divsChild>
        <w:div w:id="391008457">
          <w:marLeft w:val="0"/>
          <w:marRight w:val="0"/>
          <w:marTop w:val="0"/>
          <w:marBottom w:val="0"/>
          <w:divBdr>
            <w:top w:val="none" w:sz="0" w:space="0" w:color="auto"/>
            <w:left w:val="none" w:sz="0" w:space="0" w:color="auto"/>
            <w:bottom w:val="none" w:sz="0" w:space="0" w:color="auto"/>
            <w:right w:val="none" w:sz="0" w:space="0" w:color="auto"/>
          </w:divBdr>
          <w:divsChild>
            <w:div w:id="2101440824">
              <w:marLeft w:val="0"/>
              <w:marRight w:val="0"/>
              <w:marTop w:val="0"/>
              <w:marBottom w:val="0"/>
              <w:divBdr>
                <w:top w:val="none" w:sz="0" w:space="0" w:color="auto"/>
                <w:left w:val="none" w:sz="0" w:space="0" w:color="auto"/>
                <w:bottom w:val="none" w:sz="0" w:space="0" w:color="auto"/>
                <w:right w:val="none" w:sz="0" w:space="0" w:color="auto"/>
              </w:divBdr>
              <w:divsChild>
                <w:div w:id="101195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92252">
      <w:bodyDiv w:val="1"/>
      <w:marLeft w:val="0"/>
      <w:marRight w:val="0"/>
      <w:marTop w:val="0"/>
      <w:marBottom w:val="0"/>
      <w:divBdr>
        <w:top w:val="none" w:sz="0" w:space="0" w:color="auto"/>
        <w:left w:val="none" w:sz="0" w:space="0" w:color="auto"/>
        <w:bottom w:val="none" w:sz="0" w:space="0" w:color="auto"/>
        <w:right w:val="none" w:sz="0" w:space="0" w:color="auto"/>
      </w:divBdr>
      <w:divsChild>
        <w:div w:id="427845711">
          <w:marLeft w:val="0"/>
          <w:marRight w:val="0"/>
          <w:marTop w:val="0"/>
          <w:marBottom w:val="0"/>
          <w:divBdr>
            <w:top w:val="none" w:sz="0" w:space="0" w:color="auto"/>
            <w:left w:val="none" w:sz="0" w:space="0" w:color="auto"/>
            <w:bottom w:val="none" w:sz="0" w:space="0" w:color="auto"/>
            <w:right w:val="none" w:sz="0" w:space="0" w:color="auto"/>
          </w:divBdr>
        </w:div>
        <w:div w:id="940603055">
          <w:marLeft w:val="0"/>
          <w:marRight w:val="0"/>
          <w:marTop w:val="0"/>
          <w:marBottom w:val="0"/>
          <w:divBdr>
            <w:top w:val="none" w:sz="0" w:space="0" w:color="auto"/>
            <w:left w:val="none" w:sz="0" w:space="0" w:color="auto"/>
            <w:bottom w:val="none" w:sz="0" w:space="0" w:color="auto"/>
            <w:right w:val="none" w:sz="0" w:space="0" w:color="auto"/>
          </w:divBdr>
        </w:div>
        <w:div w:id="1268385183">
          <w:marLeft w:val="0"/>
          <w:marRight w:val="0"/>
          <w:marTop w:val="0"/>
          <w:marBottom w:val="0"/>
          <w:divBdr>
            <w:top w:val="none" w:sz="0" w:space="0" w:color="auto"/>
            <w:left w:val="none" w:sz="0" w:space="0" w:color="auto"/>
            <w:bottom w:val="none" w:sz="0" w:space="0" w:color="auto"/>
            <w:right w:val="none" w:sz="0" w:space="0" w:color="auto"/>
          </w:divBdr>
        </w:div>
      </w:divsChild>
    </w:div>
    <w:div w:id="1099327233">
      <w:bodyDiv w:val="1"/>
      <w:marLeft w:val="0"/>
      <w:marRight w:val="0"/>
      <w:marTop w:val="0"/>
      <w:marBottom w:val="0"/>
      <w:divBdr>
        <w:top w:val="none" w:sz="0" w:space="0" w:color="auto"/>
        <w:left w:val="none" w:sz="0" w:space="0" w:color="auto"/>
        <w:bottom w:val="none" w:sz="0" w:space="0" w:color="auto"/>
        <w:right w:val="none" w:sz="0" w:space="0" w:color="auto"/>
      </w:divBdr>
      <w:divsChild>
        <w:div w:id="20785627">
          <w:marLeft w:val="0"/>
          <w:marRight w:val="0"/>
          <w:marTop w:val="0"/>
          <w:marBottom w:val="0"/>
          <w:divBdr>
            <w:top w:val="none" w:sz="0" w:space="0" w:color="auto"/>
            <w:left w:val="none" w:sz="0" w:space="0" w:color="auto"/>
            <w:bottom w:val="none" w:sz="0" w:space="0" w:color="auto"/>
            <w:right w:val="none" w:sz="0" w:space="0" w:color="auto"/>
          </w:divBdr>
          <w:divsChild>
            <w:div w:id="848447052">
              <w:marLeft w:val="0"/>
              <w:marRight w:val="0"/>
              <w:marTop w:val="0"/>
              <w:marBottom w:val="0"/>
              <w:divBdr>
                <w:top w:val="none" w:sz="0" w:space="0" w:color="auto"/>
                <w:left w:val="none" w:sz="0" w:space="0" w:color="auto"/>
                <w:bottom w:val="none" w:sz="0" w:space="0" w:color="auto"/>
                <w:right w:val="none" w:sz="0" w:space="0" w:color="auto"/>
              </w:divBdr>
              <w:divsChild>
                <w:div w:id="1049576731">
                  <w:marLeft w:val="0"/>
                  <w:marRight w:val="0"/>
                  <w:marTop w:val="0"/>
                  <w:marBottom w:val="0"/>
                  <w:divBdr>
                    <w:top w:val="none" w:sz="0" w:space="0" w:color="auto"/>
                    <w:left w:val="none" w:sz="0" w:space="0" w:color="auto"/>
                    <w:bottom w:val="none" w:sz="0" w:space="0" w:color="auto"/>
                    <w:right w:val="none" w:sz="0" w:space="0" w:color="auto"/>
                  </w:divBdr>
                  <w:divsChild>
                    <w:div w:id="1333803344">
                      <w:marLeft w:val="0"/>
                      <w:marRight w:val="0"/>
                      <w:marTop w:val="0"/>
                      <w:marBottom w:val="0"/>
                      <w:divBdr>
                        <w:top w:val="none" w:sz="0" w:space="0" w:color="auto"/>
                        <w:left w:val="none" w:sz="0" w:space="0" w:color="auto"/>
                        <w:bottom w:val="none" w:sz="0" w:space="0" w:color="auto"/>
                        <w:right w:val="none" w:sz="0" w:space="0" w:color="auto"/>
                      </w:divBdr>
                      <w:divsChild>
                        <w:div w:id="19431084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842958">
      <w:bodyDiv w:val="1"/>
      <w:marLeft w:val="0"/>
      <w:marRight w:val="0"/>
      <w:marTop w:val="0"/>
      <w:marBottom w:val="0"/>
      <w:divBdr>
        <w:top w:val="none" w:sz="0" w:space="0" w:color="auto"/>
        <w:left w:val="none" w:sz="0" w:space="0" w:color="auto"/>
        <w:bottom w:val="none" w:sz="0" w:space="0" w:color="auto"/>
        <w:right w:val="none" w:sz="0" w:space="0" w:color="auto"/>
      </w:divBdr>
      <w:divsChild>
        <w:div w:id="1807619332">
          <w:marLeft w:val="0"/>
          <w:marRight w:val="0"/>
          <w:marTop w:val="0"/>
          <w:marBottom w:val="0"/>
          <w:divBdr>
            <w:top w:val="none" w:sz="0" w:space="0" w:color="auto"/>
            <w:left w:val="none" w:sz="0" w:space="0" w:color="auto"/>
            <w:bottom w:val="none" w:sz="0" w:space="0" w:color="auto"/>
            <w:right w:val="none" w:sz="0" w:space="0" w:color="auto"/>
          </w:divBdr>
          <w:divsChild>
            <w:div w:id="571547816">
              <w:marLeft w:val="0"/>
              <w:marRight w:val="0"/>
              <w:marTop w:val="0"/>
              <w:marBottom w:val="0"/>
              <w:divBdr>
                <w:top w:val="none" w:sz="0" w:space="0" w:color="auto"/>
                <w:left w:val="none" w:sz="0" w:space="0" w:color="auto"/>
                <w:bottom w:val="none" w:sz="0" w:space="0" w:color="auto"/>
                <w:right w:val="none" w:sz="0" w:space="0" w:color="auto"/>
              </w:divBdr>
              <w:divsChild>
                <w:div w:id="1018626426">
                  <w:marLeft w:val="0"/>
                  <w:marRight w:val="0"/>
                  <w:marTop w:val="0"/>
                  <w:marBottom w:val="0"/>
                  <w:divBdr>
                    <w:top w:val="none" w:sz="0" w:space="0" w:color="auto"/>
                    <w:left w:val="none" w:sz="0" w:space="0" w:color="auto"/>
                    <w:bottom w:val="none" w:sz="0" w:space="0" w:color="auto"/>
                    <w:right w:val="none" w:sz="0" w:space="0" w:color="auto"/>
                  </w:divBdr>
                  <w:divsChild>
                    <w:div w:id="148793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90396">
      <w:bodyDiv w:val="1"/>
      <w:marLeft w:val="0"/>
      <w:marRight w:val="0"/>
      <w:marTop w:val="0"/>
      <w:marBottom w:val="0"/>
      <w:divBdr>
        <w:top w:val="none" w:sz="0" w:space="0" w:color="auto"/>
        <w:left w:val="none" w:sz="0" w:space="0" w:color="auto"/>
        <w:bottom w:val="none" w:sz="0" w:space="0" w:color="auto"/>
        <w:right w:val="none" w:sz="0" w:space="0" w:color="auto"/>
      </w:divBdr>
    </w:div>
    <w:div w:id="1132796398">
      <w:bodyDiv w:val="1"/>
      <w:marLeft w:val="0"/>
      <w:marRight w:val="0"/>
      <w:marTop w:val="0"/>
      <w:marBottom w:val="0"/>
      <w:divBdr>
        <w:top w:val="none" w:sz="0" w:space="0" w:color="auto"/>
        <w:left w:val="none" w:sz="0" w:space="0" w:color="auto"/>
        <w:bottom w:val="none" w:sz="0" w:space="0" w:color="auto"/>
        <w:right w:val="none" w:sz="0" w:space="0" w:color="auto"/>
      </w:divBdr>
      <w:divsChild>
        <w:div w:id="266037991">
          <w:marLeft w:val="0"/>
          <w:marRight w:val="0"/>
          <w:marTop w:val="0"/>
          <w:marBottom w:val="0"/>
          <w:divBdr>
            <w:top w:val="none" w:sz="0" w:space="0" w:color="auto"/>
            <w:left w:val="none" w:sz="0" w:space="0" w:color="auto"/>
            <w:bottom w:val="none" w:sz="0" w:space="0" w:color="auto"/>
            <w:right w:val="none" w:sz="0" w:space="0" w:color="auto"/>
          </w:divBdr>
          <w:divsChild>
            <w:div w:id="274600501">
              <w:marLeft w:val="0"/>
              <w:marRight w:val="0"/>
              <w:marTop w:val="0"/>
              <w:marBottom w:val="0"/>
              <w:divBdr>
                <w:top w:val="none" w:sz="0" w:space="0" w:color="auto"/>
                <w:left w:val="none" w:sz="0" w:space="0" w:color="auto"/>
                <w:bottom w:val="none" w:sz="0" w:space="0" w:color="auto"/>
                <w:right w:val="none" w:sz="0" w:space="0" w:color="auto"/>
              </w:divBdr>
              <w:divsChild>
                <w:div w:id="13491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794881">
      <w:bodyDiv w:val="1"/>
      <w:marLeft w:val="0"/>
      <w:marRight w:val="0"/>
      <w:marTop w:val="0"/>
      <w:marBottom w:val="0"/>
      <w:divBdr>
        <w:top w:val="none" w:sz="0" w:space="0" w:color="auto"/>
        <w:left w:val="none" w:sz="0" w:space="0" w:color="auto"/>
        <w:bottom w:val="none" w:sz="0" w:space="0" w:color="auto"/>
        <w:right w:val="none" w:sz="0" w:space="0" w:color="auto"/>
      </w:divBdr>
      <w:divsChild>
        <w:div w:id="1611014222">
          <w:marLeft w:val="0"/>
          <w:marRight w:val="0"/>
          <w:marTop w:val="0"/>
          <w:marBottom w:val="0"/>
          <w:divBdr>
            <w:top w:val="none" w:sz="0" w:space="0" w:color="auto"/>
            <w:left w:val="none" w:sz="0" w:space="0" w:color="auto"/>
            <w:bottom w:val="none" w:sz="0" w:space="0" w:color="auto"/>
            <w:right w:val="none" w:sz="0" w:space="0" w:color="auto"/>
          </w:divBdr>
        </w:div>
        <w:div w:id="1793983833">
          <w:marLeft w:val="0"/>
          <w:marRight w:val="0"/>
          <w:marTop w:val="0"/>
          <w:marBottom w:val="0"/>
          <w:divBdr>
            <w:top w:val="none" w:sz="0" w:space="0" w:color="auto"/>
            <w:left w:val="none" w:sz="0" w:space="0" w:color="auto"/>
            <w:bottom w:val="none" w:sz="0" w:space="0" w:color="auto"/>
            <w:right w:val="none" w:sz="0" w:space="0" w:color="auto"/>
          </w:divBdr>
        </w:div>
        <w:div w:id="806245953">
          <w:marLeft w:val="0"/>
          <w:marRight w:val="0"/>
          <w:marTop w:val="0"/>
          <w:marBottom w:val="0"/>
          <w:divBdr>
            <w:top w:val="none" w:sz="0" w:space="0" w:color="auto"/>
            <w:left w:val="none" w:sz="0" w:space="0" w:color="auto"/>
            <w:bottom w:val="none" w:sz="0" w:space="0" w:color="auto"/>
            <w:right w:val="none" w:sz="0" w:space="0" w:color="auto"/>
          </w:divBdr>
        </w:div>
        <w:div w:id="526989778">
          <w:marLeft w:val="0"/>
          <w:marRight w:val="0"/>
          <w:marTop w:val="0"/>
          <w:marBottom w:val="0"/>
          <w:divBdr>
            <w:top w:val="none" w:sz="0" w:space="0" w:color="auto"/>
            <w:left w:val="none" w:sz="0" w:space="0" w:color="auto"/>
            <w:bottom w:val="none" w:sz="0" w:space="0" w:color="auto"/>
            <w:right w:val="none" w:sz="0" w:space="0" w:color="auto"/>
          </w:divBdr>
        </w:div>
      </w:divsChild>
    </w:div>
    <w:div w:id="1174807074">
      <w:bodyDiv w:val="1"/>
      <w:marLeft w:val="0"/>
      <w:marRight w:val="0"/>
      <w:marTop w:val="0"/>
      <w:marBottom w:val="0"/>
      <w:divBdr>
        <w:top w:val="none" w:sz="0" w:space="0" w:color="auto"/>
        <w:left w:val="none" w:sz="0" w:space="0" w:color="auto"/>
        <w:bottom w:val="none" w:sz="0" w:space="0" w:color="auto"/>
        <w:right w:val="none" w:sz="0" w:space="0" w:color="auto"/>
      </w:divBdr>
    </w:div>
    <w:div w:id="1220630699">
      <w:bodyDiv w:val="1"/>
      <w:marLeft w:val="0"/>
      <w:marRight w:val="0"/>
      <w:marTop w:val="0"/>
      <w:marBottom w:val="0"/>
      <w:divBdr>
        <w:top w:val="none" w:sz="0" w:space="0" w:color="auto"/>
        <w:left w:val="none" w:sz="0" w:space="0" w:color="auto"/>
        <w:bottom w:val="none" w:sz="0" w:space="0" w:color="auto"/>
        <w:right w:val="none" w:sz="0" w:space="0" w:color="auto"/>
      </w:divBdr>
    </w:div>
    <w:div w:id="1229730842">
      <w:bodyDiv w:val="1"/>
      <w:marLeft w:val="0"/>
      <w:marRight w:val="0"/>
      <w:marTop w:val="0"/>
      <w:marBottom w:val="0"/>
      <w:divBdr>
        <w:top w:val="none" w:sz="0" w:space="0" w:color="auto"/>
        <w:left w:val="none" w:sz="0" w:space="0" w:color="auto"/>
        <w:bottom w:val="none" w:sz="0" w:space="0" w:color="auto"/>
        <w:right w:val="none" w:sz="0" w:space="0" w:color="auto"/>
      </w:divBdr>
    </w:div>
    <w:div w:id="1240137861">
      <w:bodyDiv w:val="1"/>
      <w:marLeft w:val="0"/>
      <w:marRight w:val="0"/>
      <w:marTop w:val="0"/>
      <w:marBottom w:val="0"/>
      <w:divBdr>
        <w:top w:val="none" w:sz="0" w:space="0" w:color="auto"/>
        <w:left w:val="none" w:sz="0" w:space="0" w:color="auto"/>
        <w:bottom w:val="none" w:sz="0" w:space="0" w:color="auto"/>
        <w:right w:val="none" w:sz="0" w:space="0" w:color="auto"/>
      </w:divBdr>
      <w:divsChild>
        <w:div w:id="1585185547">
          <w:marLeft w:val="0"/>
          <w:marRight w:val="0"/>
          <w:marTop w:val="0"/>
          <w:marBottom w:val="0"/>
          <w:divBdr>
            <w:top w:val="none" w:sz="0" w:space="0" w:color="auto"/>
            <w:left w:val="none" w:sz="0" w:space="0" w:color="auto"/>
            <w:bottom w:val="none" w:sz="0" w:space="0" w:color="auto"/>
            <w:right w:val="none" w:sz="0" w:space="0" w:color="auto"/>
          </w:divBdr>
          <w:divsChild>
            <w:div w:id="2088572715">
              <w:marLeft w:val="0"/>
              <w:marRight w:val="0"/>
              <w:marTop w:val="0"/>
              <w:marBottom w:val="0"/>
              <w:divBdr>
                <w:top w:val="single" w:sz="6" w:space="0" w:color="CCCCCC"/>
                <w:left w:val="single" w:sz="6" w:space="0" w:color="CCCCCC"/>
                <w:bottom w:val="single" w:sz="6" w:space="0" w:color="CCCCCC"/>
                <w:right w:val="single" w:sz="6" w:space="0" w:color="CCCCCC"/>
              </w:divBdr>
              <w:divsChild>
                <w:div w:id="1099329160">
                  <w:marLeft w:val="0"/>
                  <w:marRight w:val="0"/>
                  <w:marTop w:val="0"/>
                  <w:marBottom w:val="0"/>
                  <w:divBdr>
                    <w:top w:val="none" w:sz="0" w:space="0" w:color="auto"/>
                    <w:left w:val="none" w:sz="0" w:space="0" w:color="auto"/>
                    <w:bottom w:val="none" w:sz="0" w:space="0" w:color="auto"/>
                    <w:right w:val="none" w:sz="0" w:space="0" w:color="auto"/>
                  </w:divBdr>
                  <w:divsChild>
                    <w:div w:id="1194071810">
                      <w:marLeft w:val="0"/>
                      <w:marRight w:val="0"/>
                      <w:marTop w:val="0"/>
                      <w:marBottom w:val="0"/>
                      <w:divBdr>
                        <w:top w:val="none" w:sz="0" w:space="0" w:color="auto"/>
                        <w:left w:val="none" w:sz="0" w:space="0" w:color="auto"/>
                        <w:bottom w:val="none" w:sz="0" w:space="0" w:color="auto"/>
                        <w:right w:val="none" w:sz="0" w:space="0" w:color="auto"/>
                      </w:divBdr>
                      <w:divsChild>
                        <w:div w:id="1103498750">
                          <w:marLeft w:val="120"/>
                          <w:marRight w:val="120"/>
                          <w:marTop w:val="60"/>
                          <w:marBottom w:val="60"/>
                          <w:divBdr>
                            <w:top w:val="none" w:sz="0" w:space="0" w:color="auto"/>
                            <w:left w:val="none" w:sz="0" w:space="0" w:color="auto"/>
                            <w:bottom w:val="none" w:sz="0" w:space="0" w:color="auto"/>
                            <w:right w:val="none" w:sz="0" w:space="0" w:color="auto"/>
                          </w:divBdr>
                          <w:divsChild>
                            <w:div w:id="367722524">
                              <w:marLeft w:val="0"/>
                              <w:marRight w:val="0"/>
                              <w:marTop w:val="0"/>
                              <w:marBottom w:val="0"/>
                              <w:divBdr>
                                <w:top w:val="none" w:sz="0" w:space="0" w:color="auto"/>
                                <w:left w:val="none" w:sz="0" w:space="0" w:color="auto"/>
                                <w:bottom w:val="none" w:sz="0" w:space="0" w:color="auto"/>
                                <w:right w:val="none" w:sz="0" w:space="0" w:color="auto"/>
                              </w:divBdr>
                              <w:divsChild>
                                <w:div w:id="622005663">
                                  <w:marLeft w:val="0"/>
                                  <w:marRight w:val="0"/>
                                  <w:marTop w:val="0"/>
                                  <w:marBottom w:val="0"/>
                                  <w:divBdr>
                                    <w:top w:val="none" w:sz="0" w:space="0" w:color="auto"/>
                                    <w:left w:val="none" w:sz="0" w:space="0" w:color="auto"/>
                                    <w:bottom w:val="none" w:sz="0" w:space="0" w:color="auto"/>
                                    <w:right w:val="none" w:sz="0" w:space="0" w:color="auto"/>
                                  </w:divBdr>
                                  <w:divsChild>
                                    <w:div w:id="859204787">
                                      <w:marLeft w:val="0"/>
                                      <w:marRight w:val="0"/>
                                      <w:marTop w:val="0"/>
                                      <w:marBottom w:val="0"/>
                                      <w:divBdr>
                                        <w:top w:val="none" w:sz="0" w:space="0" w:color="auto"/>
                                        <w:left w:val="none" w:sz="0" w:space="0" w:color="auto"/>
                                        <w:bottom w:val="none" w:sz="0" w:space="0" w:color="auto"/>
                                        <w:right w:val="none" w:sz="0" w:space="0" w:color="auto"/>
                                      </w:divBdr>
                                      <w:divsChild>
                                        <w:div w:id="11076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9998075">
      <w:bodyDiv w:val="1"/>
      <w:marLeft w:val="0"/>
      <w:marRight w:val="0"/>
      <w:marTop w:val="0"/>
      <w:marBottom w:val="0"/>
      <w:divBdr>
        <w:top w:val="none" w:sz="0" w:space="0" w:color="auto"/>
        <w:left w:val="none" w:sz="0" w:space="0" w:color="auto"/>
        <w:bottom w:val="none" w:sz="0" w:space="0" w:color="auto"/>
        <w:right w:val="none" w:sz="0" w:space="0" w:color="auto"/>
      </w:divBdr>
      <w:divsChild>
        <w:div w:id="1441102495">
          <w:marLeft w:val="0"/>
          <w:marRight w:val="0"/>
          <w:marTop w:val="0"/>
          <w:marBottom w:val="0"/>
          <w:divBdr>
            <w:top w:val="none" w:sz="0" w:space="0" w:color="auto"/>
            <w:left w:val="none" w:sz="0" w:space="0" w:color="auto"/>
            <w:bottom w:val="none" w:sz="0" w:space="0" w:color="auto"/>
            <w:right w:val="none" w:sz="0" w:space="0" w:color="auto"/>
          </w:divBdr>
          <w:divsChild>
            <w:div w:id="202715011">
              <w:marLeft w:val="0"/>
              <w:marRight w:val="0"/>
              <w:marTop w:val="0"/>
              <w:marBottom w:val="0"/>
              <w:divBdr>
                <w:top w:val="none" w:sz="0" w:space="0" w:color="auto"/>
                <w:left w:val="none" w:sz="0" w:space="0" w:color="auto"/>
                <w:bottom w:val="none" w:sz="0" w:space="0" w:color="auto"/>
                <w:right w:val="none" w:sz="0" w:space="0" w:color="auto"/>
              </w:divBdr>
              <w:divsChild>
                <w:div w:id="182689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966101">
      <w:bodyDiv w:val="1"/>
      <w:marLeft w:val="0"/>
      <w:marRight w:val="0"/>
      <w:marTop w:val="0"/>
      <w:marBottom w:val="0"/>
      <w:divBdr>
        <w:top w:val="none" w:sz="0" w:space="0" w:color="auto"/>
        <w:left w:val="none" w:sz="0" w:space="0" w:color="auto"/>
        <w:bottom w:val="none" w:sz="0" w:space="0" w:color="auto"/>
        <w:right w:val="none" w:sz="0" w:space="0" w:color="auto"/>
      </w:divBdr>
      <w:divsChild>
        <w:div w:id="990789702">
          <w:marLeft w:val="0"/>
          <w:marRight w:val="0"/>
          <w:marTop w:val="0"/>
          <w:marBottom w:val="0"/>
          <w:divBdr>
            <w:top w:val="none" w:sz="0" w:space="0" w:color="auto"/>
            <w:left w:val="none" w:sz="0" w:space="0" w:color="auto"/>
            <w:bottom w:val="none" w:sz="0" w:space="0" w:color="auto"/>
            <w:right w:val="none" w:sz="0" w:space="0" w:color="auto"/>
          </w:divBdr>
          <w:divsChild>
            <w:div w:id="1059355475">
              <w:marLeft w:val="0"/>
              <w:marRight w:val="0"/>
              <w:marTop w:val="0"/>
              <w:marBottom w:val="0"/>
              <w:divBdr>
                <w:top w:val="none" w:sz="0" w:space="0" w:color="auto"/>
                <w:left w:val="none" w:sz="0" w:space="0" w:color="auto"/>
                <w:bottom w:val="none" w:sz="0" w:space="0" w:color="auto"/>
                <w:right w:val="none" w:sz="0" w:space="0" w:color="auto"/>
              </w:divBdr>
              <w:divsChild>
                <w:div w:id="7632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96877">
      <w:bodyDiv w:val="1"/>
      <w:marLeft w:val="0"/>
      <w:marRight w:val="0"/>
      <w:marTop w:val="0"/>
      <w:marBottom w:val="0"/>
      <w:divBdr>
        <w:top w:val="none" w:sz="0" w:space="0" w:color="auto"/>
        <w:left w:val="none" w:sz="0" w:space="0" w:color="auto"/>
        <w:bottom w:val="none" w:sz="0" w:space="0" w:color="auto"/>
        <w:right w:val="none" w:sz="0" w:space="0" w:color="auto"/>
      </w:divBdr>
      <w:divsChild>
        <w:div w:id="1414549825">
          <w:marLeft w:val="0"/>
          <w:marRight w:val="0"/>
          <w:marTop w:val="0"/>
          <w:marBottom w:val="0"/>
          <w:divBdr>
            <w:top w:val="none" w:sz="0" w:space="0" w:color="auto"/>
            <w:left w:val="none" w:sz="0" w:space="0" w:color="auto"/>
            <w:bottom w:val="none" w:sz="0" w:space="0" w:color="auto"/>
            <w:right w:val="none" w:sz="0" w:space="0" w:color="auto"/>
          </w:divBdr>
          <w:divsChild>
            <w:div w:id="381295727">
              <w:marLeft w:val="0"/>
              <w:marRight w:val="0"/>
              <w:marTop w:val="0"/>
              <w:marBottom w:val="0"/>
              <w:divBdr>
                <w:top w:val="none" w:sz="0" w:space="0" w:color="auto"/>
                <w:left w:val="none" w:sz="0" w:space="0" w:color="auto"/>
                <w:bottom w:val="none" w:sz="0" w:space="0" w:color="auto"/>
                <w:right w:val="none" w:sz="0" w:space="0" w:color="auto"/>
              </w:divBdr>
              <w:divsChild>
                <w:div w:id="1083642782">
                  <w:marLeft w:val="0"/>
                  <w:marRight w:val="0"/>
                  <w:marTop w:val="0"/>
                  <w:marBottom w:val="0"/>
                  <w:divBdr>
                    <w:top w:val="none" w:sz="0" w:space="0" w:color="auto"/>
                    <w:left w:val="none" w:sz="0" w:space="0" w:color="auto"/>
                    <w:bottom w:val="none" w:sz="0" w:space="0" w:color="auto"/>
                    <w:right w:val="none" w:sz="0" w:space="0" w:color="auto"/>
                  </w:divBdr>
                  <w:divsChild>
                    <w:div w:id="10377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574359">
      <w:bodyDiv w:val="1"/>
      <w:marLeft w:val="0"/>
      <w:marRight w:val="0"/>
      <w:marTop w:val="0"/>
      <w:marBottom w:val="0"/>
      <w:divBdr>
        <w:top w:val="none" w:sz="0" w:space="0" w:color="auto"/>
        <w:left w:val="none" w:sz="0" w:space="0" w:color="auto"/>
        <w:bottom w:val="none" w:sz="0" w:space="0" w:color="auto"/>
        <w:right w:val="none" w:sz="0" w:space="0" w:color="auto"/>
      </w:divBdr>
    </w:div>
    <w:div w:id="1338386776">
      <w:bodyDiv w:val="1"/>
      <w:marLeft w:val="0"/>
      <w:marRight w:val="0"/>
      <w:marTop w:val="0"/>
      <w:marBottom w:val="0"/>
      <w:divBdr>
        <w:top w:val="none" w:sz="0" w:space="0" w:color="auto"/>
        <w:left w:val="none" w:sz="0" w:space="0" w:color="auto"/>
        <w:bottom w:val="none" w:sz="0" w:space="0" w:color="auto"/>
        <w:right w:val="none" w:sz="0" w:space="0" w:color="auto"/>
      </w:divBdr>
    </w:div>
    <w:div w:id="1357653825">
      <w:bodyDiv w:val="1"/>
      <w:marLeft w:val="0"/>
      <w:marRight w:val="0"/>
      <w:marTop w:val="0"/>
      <w:marBottom w:val="0"/>
      <w:divBdr>
        <w:top w:val="none" w:sz="0" w:space="0" w:color="auto"/>
        <w:left w:val="none" w:sz="0" w:space="0" w:color="auto"/>
        <w:bottom w:val="none" w:sz="0" w:space="0" w:color="auto"/>
        <w:right w:val="none" w:sz="0" w:space="0" w:color="auto"/>
      </w:divBdr>
    </w:div>
    <w:div w:id="1373192945">
      <w:bodyDiv w:val="1"/>
      <w:marLeft w:val="0"/>
      <w:marRight w:val="0"/>
      <w:marTop w:val="0"/>
      <w:marBottom w:val="0"/>
      <w:divBdr>
        <w:top w:val="none" w:sz="0" w:space="0" w:color="auto"/>
        <w:left w:val="none" w:sz="0" w:space="0" w:color="auto"/>
        <w:bottom w:val="none" w:sz="0" w:space="0" w:color="auto"/>
        <w:right w:val="none" w:sz="0" w:space="0" w:color="auto"/>
      </w:divBdr>
    </w:div>
    <w:div w:id="1383098725">
      <w:bodyDiv w:val="1"/>
      <w:marLeft w:val="0"/>
      <w:marRight w:val="0"/>
      <w:marTop w:val="0"/>
      <w:marBottom w:val="0"/>
      <w:divBdr>
        <w:top w:val="none" w:sz="0" w:space="0" w:color="auto"/>
        <w:left w:val="none" w:sz="0" w:space="0" w:color="auto"/>
        <w:bottom w:val="none" w:sz="0" w:space="0" w:color="auto"/>
        <w:right w:val="none" w:sz="0" w:space="0" w:color="auto"/>
      </w:divBdr>
    </w:div>
    <w:div w:id="1404136879">
      <w:bodyDiv w:val="1"/>
      <w:marLeft w:val="0"/>
      <w:marRight w:val="0"/>
      <w:marTop w:val="0"/>
      <w:marBottom w:val="0"/>
      <w:divBdr>
        <w:top w:val="none" w:sz="0" w:space="0" w:color="auto"/>
        <w:left w:val="none" w:sz="0" w:space="0" w:color="auto"/>
        <w:bottom w:val="none" w:sz="0" w:space="0" w:color="auto"/>
        <w:right w:val="none" w:sz="0" w:space="0" w:color="auto"/>
      </w:divBdr>
      <w:divsChild>
        <w:div w:id="461969969">
          <w:marLeft w:val="0"/>
          <w:marRight w:val="0"/>
          <w:marTop w:val="0"/>
          <w:marBottom w:val="0"/>
          <w:divBdr>
            <w:top w:val="none" w:sz="0" w:space="0" w:color="auto"/>
            <w:left w:val="none" w:sz="0" w:space="0" w:color="auto"/>
            <w:bottom w:val="none" w:sz="0" w:space="0" w:color="auto"/>
            <w:right w:val="none" w:sz="0" w:space="0" w:color="auto"/>
          </w:divBdr>
          <w:divsChild>
            <w:div w:id="442697345">
              <w:marLeft w:val="0"/>
              <w:marRight w:val="0"/>
              <w:marTop w:val="0"/>
              <w:marBottom w:val="0"/>
              <w:divBdr>
                <w:top w:val="none" w:sz="0" w:space="0" w:color="auto"/>
                <w:left w:val="none" w:sz="0" w:space="0" w:color="auto"/>
                <w:bottom w:val="none" w:sz="0" w:space="0" w:color="auto"/>
                <w:right w:val="none" w:sz="0" w:space="0" w:color="auto"/>
              </w:divBdr>
              <w:divsChild>
                <w:div w:id="4280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17521">
      <w:bodyDiv w:val="1"/>
      <w:marLeft w:val="0"/>
      <w:marRight w:val="0"/>
      <w:marTop w:val="0"/>
      <w:marBottom w:val="0"/>
      <w:divBdr>
        <w:top w:val="none" w:sz="0" w:space="0" w:color="auto"/>
        <w:left w:val="none" w:sz="0" w:space="0" w:color="auto"/>
        <w:bottom w:val="none" w:sz="0" w:space="0" w:color="auto"/>
        <w:right w:val="none" w:sz="0" w:space="0" w:color="auto"/>
      </w:divBdr>
      <w:divsChild>
        <w:div w:id="755520567">
          <w:marLeft w:val="0"/>
          <w:marRight w:val="0"/>
          <w:marTop w:val="0"/>
          <w:marBottom w:val="0"/>
          <w:divBdr>
            <w:top w:val="none" w:sz="0" w:space="0" w:color="auto"/>
            <w:left w:val="none" w:sz="0" w:space="0" w:color="auto"/>
            <w:bottom w:val="none" w:sz="0" w:space="0" w:color="auto"/>
            <w:right w:val="none" w:sz="0" w:space="0" w:color="auto"/>
          </w:divBdr>
          <w:divsChild>
            <w:div w:id="1760364989">
              <w:marLeft w:val="0"/>
              <w:marRight w:val="0"/>
              <w:marTop w:val="0"/>
              <w:marBottom w:val="0"/>
              <w:divBdr>
                <w:top w:val="none" w:sz="0" w:space="0" w:color="auto"/>
                <w:left w:val="none" w:sz="0" w:space="0" w:color="auto"/>
                <w:bottom w:val="none" w:sz="0" w:space="0" w:color="auto"/>
                <w:right w:val="none" w:sz="0" w:space="0" w:color="auto"/>
              </w:divBdr>
              <w:divsChild>
                <w:div w:id="1827435207">
                  <w:marLeft w:val="0"/>
                  <w:marRight w:val="0"/>
                  <w:marTop w:val="0"/>
                  <w:marBottom w:val="0"/>
                  <w:divBdr>
                    <w:top w:val="none" w:sz="0" w:space="0" w:color="auto"/>
                    <w:left w:val="none" w:sz="0" w:space="0" w:color="auto"/>
                    <w:bottom w:val="none" w:sz="0" w:space="0" w:color="auto"/>
                    <w:right w:val="none" w:sz="0" w:space="0" w:color="auto"/>
                  </w:divBdr>
                  <w:divsChild>
                    <w:div w:id="211786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933387">
      <w:bodyDiv w:val="1"/>
      <w:marLeft w:val="0"/>
      <w:marRight w:val="0"/>
      <w:marTop w:val="0"/>
      <w:marBottom w:val="0"/>
      <w:divBdr>
        <w:top w:val="none" w:sz="0" w:space="0" w:color="auto"/>
        <w:left w:val="none" w:sz="0" w:space="0" w:color="auto"/>
        <w:bottom w:val="none" w:sz="0" w:space="0" w:color="auto"/>
        <w:right w:val="none" w:sz="0" w:space="0" w:color="auto"/>
      </w:divBdr>
      <w:divsChild>
        <w:div w:id="1700543815">
          <w:marLeft w:val="0"/>
          <w:marRight w:val="0"/>
          <w:marTop w:val="0"/>
          <w:marBottom w:val="0"/>
          <w:divBdr>
            <w:top w:val="none" w:sz="0" w:space="0" w:color="auto"/>
            <w:left w:val="none" w:sz="0" w:space="0" w:color="auto"/>
            <w:bottom w:val="none" w:sz="0" w:space="0" w:color="auto"/>
            <w:right w:val="none" w:sz="0" w:space="0" w:color="auto"/>
          </w:divBdr>
          <w:divsChild>
            <w:div w:id="1469473451">
              <w:marLeft w:val="0"/>
              <w:marRight w:val="0"/>
              <w:marTop w:val="0"/>
              <w:marBottom w:val="0"/>
              <w:divBdr>
                <w:top w:val="none" w:sz="0" w:space="0" w:color="auto"/>
                <w:left w:val="none" w:sz="0" w:space="0" w:color="auto"/>
                <w:bottom w:val="none" w:sz="0" w:space="0" w:color="auto"/>
                <w:right w:val="none" w:sz="0" w:space="0" w:color="auto"/>
              </w:divBdr>
              <w:divsChild>
                <w:div w:id="20480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25047">
      <w:bodyDiv w:val="1"/>
      <w:marLeft w:val="0"/>
      <w:marRight w:val="0"/>
      <w:marTop w:val="0"/>
      <w:marBottom w:val="0"/>
      <w:divBdr>
        <w:top w:val="none" w:sz="0" w:space="0" w:color="auto"/>
        <w:left w:val="none" w:sz="0" w:space="0" w:color="auto"/>
        <w:bottom w:val="none" w:sz="0" w:space="0" w:color="auto"/>
        <w:right w:val="none" w:sz="0" w:space="0" w:color="auto"/>
      </w:divBdr>
      <w:divsChild>
        <w:div w:id="3216561">
          <w:marLeft w:val="0"/>
          <w:marRight w:val="0"/>
          <w:marTop w:val="0"/>
          <w:marBottom w:val="0"/>
          <w:divBdr>
            <w:top w:val="none" w:sz="0" w:space="0" w:color="auto"/>
            <w:left w:val="none" w:sz="0" w:space="0" w:color="auto"/>
            <w:bottom w:val="none" w:sz="0" w:space="0" w:color="auto"/>
            <w:right w:val="none" w:sz="0" w:space="0" w:color="auto"/>
          </w:divBdr>
          <w:divsChild>
            <w:div w:id="549657466">
              <w:marLeft w:val="0"/>
              <w:marRight w:val="0"/>
              <w:marTop w:val="0"/>
              <w:marBottom w:val="0"/>
              <w:divBdr>
                <w:top w:val="none" w:sz="0" w:space="0" w:color="auto"/>
                <w:left w:val="none" w:sz="0" w:space="0" w:color="auto"/>
                <w:bottom w:val="none" w:sz="0" w:space="0" w:color="auto"/>
                <w:right w:val="none" w:sz="0" w:space="0" w:color="auto"/>
              </w:divBdr>
              <w:divsChild>
                <w:div w:id="1642886196">
                  <w:marLeft w:val="0"/>
                  <w:marRight w:val="0"/>
                  <w:marTop w:val="0"/>
                  <w:marBottom w:val="0"/>
                  <w:divBdr>
                    <w:top w:val="none" w:sz="0" w:space="0" w:color="auto"/>
                    <w:left w:val="none" w:sz="0" w:space="0" w:color="auto"/>
                    <w:bottom w:val="none" w:sz="0" w:space="0" w:color="auto"/>
                    <w:right w:val="none" w:sz="0" w:space="0" w:color="auto"/>
                  </w:divBdr>
                </w:div>
              </w:divsChild>
            </w:div>
            <w:div w:id="1770195071">
              <w:marLeft w:val="0"/>
              <w:marRight w:val="0"/>
              <w:marTop w:val="0"/>
              <w:marBottom w:val="0"/>
              <w:divBdr>
                <w:top w:val="none" w:sz="0" w:space="0" w:color="auto"/>
                <w:left w:val="none" w:sz="0" w:space="0" w:color="auto"/>
                <w:bottom w:val="none" w:sz="0" w:space="0" w:color="auto"/>
                <w:right w:val="none" w:sz="0" w:space="0" w:color="auto"/>
              </w:divBdr>
              <w:divsChild>
                <w:div w:id="7276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77607">
      <w:bodyDiv w:val="1"/>
      <w:marLeft w:val="0"/>
      <w:marRight w:val="0"/>
      <w:marTop w:val="0"/>
      <w:marBottom w:val="0"/>
      <w:divBdr>
        <w:top w:val="none" w:sz="0" w:space="0" w:color="auto"/>
        <w:left w:val="none" w:sz="0" w:space="0" w:color="auto"/>
        <w:bottom w:val="none" w:sz="0" w:space="0" w:color="auto"/>
        <w:right w:val="none" w:sz="0" w:space="0" w:color="auto"/>
      </w:divBdr>
      <w:divsChild>
        <w:div w:id="1589925443">
          <w:marLeft w:val="0"/>
          <w:marRight w:val="0"/>
          <w:marTop w:val="0"/>
          <w:marBottom w:val="0"/>
          <w:divBdr>
            <w:top w:val="none" w:sz="0" w:space="0" w:color="auto"/>
            <w:left w:val="none" w:sz="0" w:space="0" w:color="auto"/>
            <w:bottom w:val="none" w:sz="0" w:space="0" w:color="auto"/>
            <w:right w:val="none" w:sz="0" w:space="0" w:color="auto"/>
          </w:divBdr>
          <w:divsChild>
            <w:div w:id="993527217">
              <w:marLeft w:val="0"/>
              <w:marRight w:val="0"/>
              <w:marTop w:val="0"/>
              <w:marBottom w:val="0"/>
              <w:divBdr>
                <w:top w:val="none" w:sz="0" w:space="0" w:color="auto"/>
                <w:left w:val="none" w:sz="0" w:space="0" w:color="auto"/>
                <w:bottom w:val="none" w:sz="0" w:space="0" w:color="auto"/>
                <w:right w:val="none" w:sz="0" w:space="0" w:color="auto"/>
              </w:divBdr>
              <w:divsChild>
                <w:div w:id="507714316">
                  <w:marLeft w:val="0"/>
                  <w:marRight w:val="0"/>
                  <w:marTop w:val="0"/>
                  <w:marBottom w:val="0"/>
                  <w:divBdr>
                    <w:top w:val="none" w:sz="0" w:space="0" w:color="auto"/>
                    <w:left w:val="none" w:sz="0" w:space="0" w:color="auto"/>
                    <w:bottom w:val="none" w:sz="0" w:space="0" w:color="auto"/>
                    <w:right w:val="none" w:sz="0" w:space="0" w:color="auto"/>
                  </w:divBdr>
                  <w:divsChild>
                    <w:div w:id="50282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568850">
      <w:bodyDiv w:val="1"/>
      <w:marLeft w:val="0"/>
      <w:marRight w:val="0"/>
      <w:marTop w:val="0"/>
      <w:marBottom w:val="0"/>
      <w:divBdr>
        <w:top w:val="none" w:sz="0" w:space="0" w:color="auto"/>
        <w:left w:val="none" w:sz="0" w:space="0" w:color="auto"/>
        <w:bottom w:val="none" w:sz="0" w:space="0" w:color="auto"/>
        <w:right w:val="none" w:sz="0" w:space="0" w:color="auto"/>
      </w:divBdr>
      <w:divsChild>
        <w:div w:id="1168210541">
          <w:marLeft w:val="0"/>
          <w:marRight w:val="0"/>
          <w:marTop w:val="0"/>
          <w:marBottom w:val="0"/>
          <w:divBdr>
            <w:top w:val="none" w:sz="0" w:space="0" w:color="auto"/>
            <w:left w:val="none" w:sz="0" w:space="0" w:color="auto"/>
            <w:bottom w:val="none" w:sz="0" w:space="0" w:color="auto"/>
            <w:right w:val="none" w:sz="0" w:space="0" w:color="auto"/>
          </w:divBdr>
          <w:divsChild>
            <w:div w:id="1893998085">
              <w:marLeft w:val="0"/>
              <w:marRight w:val="0"/>
              <w:marTop w:val="0"/>
              <w:marBottom w:val="0"/>
              <w:divBdr>
                <w:top w:val="none" w:sz="0" w:space="0" w:color="auto"/>
                <w:left w:val="none" w:sz="0" w:space="0" w:color="auto"/>
                <w:bottom w:val="none" w:sz="0" w:space="0" w:color="auto"/>
                <w:right w:val="none" w:sz="0" w:space="0" w:color="auto"/>
              </w:divBdr>
              <w:divsChild>
                <w:div w:id="268321583">
                  <w:marLeft w:val="0"/>
                  <w:marRight w:val="0"/>
                  <w:marTop w:val="0"/>
                  <w:marBottom w:val="0"/>
                  <w:divBdr>
                    <w:top w:val="none" w:sz="0" w:space="0" w:color="auto"/>
                    <w:left w:val="none" w:sz="0" w:space="0" w:color="auto"/>
                    <w:bottom w:val="none" w:sz="0" w:space="0" w:color="auto"/>
                    <w:right w:val="none" w:sz="0" w:space="0" w:color="auto"/>
                  </w:divBdr>
                  <w:divsChild>
                    <w:div w:id="645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468569">
      <w:bodyDiv w:val="1"/>
      <w:marLeft w:val="0"/>
      <w:marRight w:val="0"/>
      <w:marTop w:val="0"/>
      <w:marBottom w:val="0"/>
      <w:divBdr>
        <w:top w:val="none" w:sz="0" w:space="0" w:color="auto"/>
        <w:left w:val="none" w:sz="0" w:space="0" w:color="auto"/>
        <w:bottom w:val="none" w:sz="0" w:space="0" w:color="auto"/>
        <w:right w:val="none" w:sz="0" w:space="0" w:color="auto"/>
      </w:divBdr>
    </w:div>
    <w:div w:id="1629898747">
      <w:bodyDiv w:val="1"/>
      <w:marLeft w:val="0"/>
      <w:marRight w:val="0"/>
      <w:marTop w:val="0"/>
      <w:marBottom w:val="0"/>
      <w:divBdr>
        <w:top w:val="none" w:sz="0" w:space="0" w:color="auto"/>
        <w:left w:val="none" w:sz="0" w:space="0" w:color="auto"/>
        <w:bottom w:val="none" w:sz="0" w:space="0" w:color="auto"/>
        <w:right w:val="none" w:sz="0" w:space="0" w:color="auto"/>
      </w:divBdr>
    </w:div>
    <w:div w:id="1646351925">
      <w:bodyDiv w:val="1"/>
      <w:marLeft w:val="0"/>
      <w:marRight w:val="0"/>
      <w:marTop w:val="0"/>
      <w:marBottom w:val="0"/>
      <w:divBdr>
        <w:top w:val="none" w:sz="0" w:space="0" w:color="auto"/>
        <w:left w:val="none" w:sz="0" w:space="0" w:color="auto"/>
        <w:bottom w:val="none" w:sz="0" w:space="0" w:color="auto"/>
        <w:right w:val="none" w:sz="0" w:space="0" w:color="auto"/>
      </w:divBdr>
    </w:div>
    <w:div w:id="1654216773">
      <w:bodyDiv w:val="1"/>
      <w:marLeft w:val="0"/>
      <w:marRight w:val="0"/>
      <w:marTop w:val="0"/>
      <w:marBottom w:val="0"/>
      <w:divBdr>
        <w:top w:val="none" w:sz="0" w:space="0" w:color="auto"/>
        <w:left w:val="none" w:sz="0" w:space="0" w:color="auto"/>
        <w:bottom w:val="none" w:sz="0" w:space="0" w:color="auto"/>
        <w:right w:val="none" w:sz="0" w:space="0" w:color="auto"/>
      </w:divBdr>
      <w:divsChild>
        <w:div w:id="960646125">
          <w:marLeft w:val="0"/>
          <w:marRight w:val="0"/>
          <w:marTop w:val="0"/>
          <w:marBottom w:val="0"/>
          <w:divBdr>
            <w:top w:val="none" w:sz="0" w:space="0" w:color="auto"/>
            <w:left w:val="none" w:sz="0" w:space="0" w:color="auto"/>
            <w:bottom w:val="none" w:sz="0" w:space="0" w:color="auto"/>
            <w:right w:val="none" w:sz="0" w:space="0" w:color="auto"/>
          </w:divBdr>
          <w:divsChild>
            <w:div w:id="2103185380">
              <w:marLeft w:val="0"/>
              <w:marRight w:val="0"/>
              <w:marTop w:val="0"/>
              <w:marBottom w:val="0"/>
              <w:divBdr>
                <w:top w:val="none" w:sz="0" w:space="0" w:color="auto"/>
                <w:left w:val="none" w:sz="0" w:space="0" w:color="auto"/>
                <w:bottom w:val="none" w:sz="0" w:space="0" w:color="auto"/>
                <w:right w:val="none" w:sz="0" w:space="0" w:color="auto"/>
              </w:divBdr>
              <w:divsChild>
                <w:div w:id="138413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09584">
      <w:bodyDiv w:val="1"/>
      <w:marLeft w:val="0"/>
      <w:marRight w:val="0"/>
      <w:marTop w:val="0"/>
      <w:marBottom w:val="0"/>
      <w:divBdr>
        <w:top w:val="none" w:sz="0" w:space="0" w:color="auto"/>
        <w:left w:val="none" w:sz="0" w:space="0" w:color="auto"/>
        <w:bottom w:val="none" w:sz="0" w:space="0" w:color="auto"/>
        <w:right w:val="none" w:sz="0" w:space="0" w:color="auto"/>
      </w:divBdr>
      <w:divsChild>
        <w:div w:id="321860214">
          <w:marLeft w:val="0"/>
          <w:marRight w:val="0"/>
          <w:marTop w:val="0"/>
          <w:marBottom w:val="0"/>
          <w:divBdr>
            <w:top w:val="none" w:sz="0" w:space="0" w:color="auto"/>
            <w:left w:val="none" w:sz="0" w:space="0" w:color="auto"/>
            <w:bottom w:val="none" w:sz="0" w:space="0" w:color="auto"/>
            <w:right w:val="none" w:sz="0" w:space="0" w:color="auto"/>
          </w:divBdr>
          <w:divsChild>
            <w:div w:id="865562202">
              <w:marLeft w:val="0"/>
              <w:marRight w:val="0"/>
              <w:marTop w:val="0"/>
              <w:marBottom w:val="0"/>
              <w:divBdr>
                <w:top w:val="none" w:sz="0" w:space="0" w:color="auto"/>
                <w:left w:val="none" w:sz="0" w:space="0" w:color="auto"/>
                <w:bottom w:val="none" w:sz="0" w:space="0" w:color="auto"/>
                <w:right w:val="none" w:sz="0" w:space="0" w:color="auto"/>
              </w:divBdr>
              <w:divsChild>
                <w:div w:id="77090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983883">
      <w:bodyDiv w:val="1"/>
      <w:marLeft w:val="0"/>
      <w:marRight w:val="0"/>
      <w:marTop w:val="0"/>
      <w:marBottom w:val="0"/>
      <w:divBdr>
        <w:top w:val="none" w:sz="0" w:space="0" w:color="auto"/>
        <w:left w:val="none" w:sz="0" w:space="0" w:color="auto"/>
        <w:bottom w:val="none" w:sz="0" w:space="0" w:color="auto"/>
        <w:right w:val="none" w:sz="0" w:space="0" w:color="auto"/>
      </w:divBdr>
    </w:div>
    <w:div w:id="1767115561">
      <w:bodyDiv w:val="1"/>
      <w:marLeft w:val="0"/>
      <w:marRight w:val="0"/>
      <w:marTop w:val="0"/>
      <w:marBottom w:val="0"/>
      <w:divBdr>
        <w:top w:val="none" w:sz="0" w:space="0" w:color="auto"/>
        <w:left w:val="none" w:sz="0" w:space="0" w:color="auto"/>
        <w:bottom w:val="none" w:sz="0" w:space="0" w:color="auto"/>
        <w:right w:val="none" w:sz="0" w:space="0" w:color="auto"/>
      </w:divBdr>
      <w:divsChild>
        <w:div w:id="800224010">
          <w:marLeft w:val="0"/>
          <w:marRight w:val="0"/>
          <w:marTop w:val="0"/>
          <w:marBottom w:val="0"/>
          <w:divBdr>
            <w:top w:val="none" w:sz="0" w:space="0" w:color="auto"/>
            <w:left w:val="none" w:sz="0" w:space="0" w:color="auto"/>
            <w:bottom w:val="none" w:sz="0" w:space="0" w:color="auto"/>
            <w:right w:val="none" w:sz="0" w:space="0" w:color="auto"/>
          </w:divBdr>
          <w:divsChild>
            <w:div w:id="853302913">
              <w:marLeft w:val="0"/>
              <w:marRight w:val="0"/>
              <w:marTop w:val="0"/>
              <w:marBottom w:val="0"/>
              <w:divBdr>
                <w:top w:val="none" w:sz="0" w:space="0" w:color="auto"/>
                <w:left w:val="none" w:sz="0" w:space="0" w:color="auto"/>
                <w:bottom w:val="none" w:sz="0" w:space="0" w:color="auto"/>
                <w:right w:val="none" w:sz="0" w:space="0" w:color="auto"/>
              </w:divBdr>
              <w:divsChild>
                <w:div w:id="2116435530">
                  <w:marLeft w:val="0"/>
                  <w:marRight w:val="0"/>
                  <w:marTop w:val="0"/>
                  <w:marBottom w:val="0"/>
                  <w:divBdr>
                    <w:top w:val="none" w:sz="0" w:space="0" w:color="auto"/>
                    <w:left w:val="none" w:sz="0" w:space="0" w:color="auto"/>
                    <w:bottom w:val="none" w:sz="0" w:space="0" w:color="auto"/>
                    <w:right w:val="none" w:sz="0" w:space="0" w:color="auto"/>
                  </w:divBdr>
                  <w:divsChild>
                    <w:div w:id="18521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0003743">
      <w:bodyDiv w:val="1"/>
      <w:marLeft w:val="0"/>
      <w:marRight w:val="0"/>
      <w:marTop w:val="0"/>
      <w:marBottom w:val="0"/>
      <w:divBdr>
        <w:top w:val="none" w:sz="0" w:space="0" w:color="auto"/>
        <w:left w:val="none" w:sz="0" w:space="0" w:color="auto"/>
        <w:bottom w:val="none" w:sz="0" w:space="0" w:color="auto"/>
        <w:right w:val="none" w:sz="0" w:space="0" w:color="auto"/>
      </w:divBdr>
      <w:divsChild>
        <w:div w:id="767655073">
          <w:marLeft w:val="0"/>
          <w:marRight w:val="0"/>
          <w:marTop w:val="0"/>
          <w:marBottom w:val="0"/>
          <w:divBdr>
            <w:top w:val="none" w:sz="0" w:space="0" w:color="auto"/>
            <w:left w:val="none" w:sz="0" w:space="0" w:color="auto"/>
            <w:bottom w:val="none" w:sz="0" w:space="0" w:color="auto"/>
            <w:right w:val="none" w:sz="0" w:space="0" w:color="auto"/>
          </w:divBdr>
        </w:div>
        <w:div w:id="1626814703">
          <w:marLeft w:val="0"/>
          <w:marRight w:val="0"/>
          <w:marTop w:val="0"/>
          <w:marBottom w:val="0"/>
          <w:divBdr>
            <w:top w:val="none" w:sz="0" w:space="0" w:color="auto"/>
            <w:left w:val="none" w:sz="0" w:space="0" w:color="auto"/>
            <w:bottom w:val="none" w:sz="0" w:space="0" w:color="auto"/>
            <w:right w:val="none" w:sz="0" w:space="0" w:color="auto"/>
          </w:divBdr>
        </w:div>
        <w:div w:id="1134443401">
          <w:marLeft w:val="0"/>
          <w:marRight w:val="0"/>
          <w:marTop w:val="0"/>
          <w:marBottom w:val="0"/>
          <w:divBdr>
            <w:top w:val="none" w:sz="0" w:space="0" w:color="auto"/>
            <w:left w:val="none" w:sz="0" w:space="0" w:color="auto"/>
            <w:bottom w:val="none" w:sz="0" w:space="0" w:color="auto"/>
            <w:right w:val="none" w:sz="0" w:space="0" w:color="auto"/>
          </w:divBdr>
        </w:div>
        <w:div w:id="228153966">
          <w:marLeft w:val="0"/>
          <w:marRight w:val="0"/>
          <w:marTop w:val="0"/>
          <w:marBottom w:val="0"/>
          <w:divBdr>
            <w:top w:val="none" w:sz="0" w:space="0" w:color="auto"/>
            <w:left w:val="none" w:sz="0" w:space="0" w:color="auto"/>
            <w:bottom w:val="none" w:sz="0" w:space="0" w:color="auto"/>
            <w:right w:val="none" w:sz="0" w:space="0" w:color="auto"/>
          </w:divBdr>
        </w:div>
        <w:div w:id="1658072371">
          <w:marLeft w:val="0"/>
          <w:marRight w:val="0"/>
          <w:marTop w:val="0"/>
          <w:marBottom w:val="0"/>
          <w:divBdr>
            <w:top w:val="none" w:sz="0" w:space="0" w:color="auto"/>
            <w:left w:val="none" w:sz="0" w:space="0" w:color="auto"/>
            <w:bottom w:val="none" w:sz="0" w:space="0" w:color="auto"/>
            <w:right w:val="none" w:sz="0" w:space="0" w:color="auto"/>
          </w:divBdr>
        </w:div>
        <w:div w:id="627473343">
          <w:marLeft w:val="0"/>
          <w:marRight w:val="0"/>
          <w:marTop w:val="0"/>
          <w:marBottom w:val="0"/>
          <w:divBdr>
            <w:top w:val="none" w:sz="0" w:space="0" w:color="auto"/>
            <w:left w:val="none" w:sz="0" w:space="0" w:color="auto"/>
            <w:bottom w:val="none" w:sz="0" w:space="0" w:color="auto"/>
            <w:right w:val="none" w:sz="0" w:space="0" w:color="auto"/>
          </w:divBdr>
        </w:div>
      </w:divsChild>
    </w:div>
    <w:div w:id="1836145564">
      <w:bodyDiv w:val="1"/>
      <w:marLeft w:val="0"/>
      <w:marRight w:val="0"/>
      <w:marTop w:val="0"/>
      <w:marBottom w:val="0"/>
      <w:divBdr>
        <w:top w:val="none" w:sz="0" w:space="0" w:color="auto"/>
        <w:left w:val="none" w:sz="0" w:space="0" w:color="auto"/>
        <w:bottom w:val="none" w:sz="0" w:space="0" w:color="auto"/>
        <w:right w:val="none" w:sz="0" w:space="0" w:color="auto"/>
      </w:divBdr>
    </w:div>
    <w:div w:id="1840461630">
      <w:bodyDiv w:val="1"/>
      <w:marLeft w:val="0"/>
      <w:marRight w:val="0"/>
      <w:marTop w:val="0"/>
      <w:marBottom w:val="0"/>
      <w:divBdr>
        <w:top w:val="none" w:sz="0" w:space="0" w:color="auto"/>
        <w:left w:val="none" w:sz="0" w:space="0" w:color="auto"/>
        <w:bottom w:val="none" w:sz="0" w:space="0" w:color="auto"/>
        <w:right w:val="none" w:sz="0" w:space="0" w:color="auto"/>
      </w:divBdr>
      <w:divsChild>
        <w:div w:id="687751939">
          <w:marLeft w:val="0"/>
          <w:marRight w:val="0"/>
          <w:marTop w:val="0"/>
          <w:marBottom w:val="0"/>
          <w:divBdr>
            <w:top w:val="none" w:sz="0" w:space="0" w:color="auto"/>
            <w:left w:val="none" w:sz="0" w:space="0" w:color="auto"/>
            <w:bottom w:val="none" w:sz="0" w:space="0" w:color="auto"/>
            <w:right w:val="none" w:sz="0" w:space="0" w:color="auto"/>
          </w:divBdr>
          <w:divsChild>
            <w:div w:id="11878165">
              <w:marLeft w:val="0"/>
              <w:marRight w:val="0"/>
              <w:marTop w:val="0"/>
              <w:marBottom w:val="0"/>
              <w:divBdr>
                <w:top w:val="none" w:sz="0" w:space="0" w:color="auto"/>
                <w:left w:val="none" w:sz="0" w:space="0" w:color="auto"/>
                <w:bottom w:val="none" w:sz="0" w:space="0" w:color="auto"/>
                <w:right w:val="none" w:sz="0" w:space="0" w:color="auto"/>
              </w:divBdr>
              <w:divsChild>
                <w:div w:id="214241428">
                  <w:marLeft w:val="0"/>
                  <w:marRight w:val="0"/>
                  <w:marTop w:val="0"/>
                  <w:marBottom w:val="0"/>
                  <w:divBdr>
                    <w:top w:val="none" w:sz="0" w:space="0" w:color="auto"/>
                    <w:left w:val="none" w:sz="0" w:space="0" w:color="auto"/>
                    <w:bottom w:val="none" w:sz="0" w:space="0" w:color="auto"/>
                    <w:right w:val="none" w:sz="0" w:space="0" w:color="auto"/>
                  </w:divBdr>
                  <w:divsChild>
                    <w:div w:id="174452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317021">
      <w:bodyDiv w:val="1"/>
      <w:marLeft w:val="0"/>
      <w:marRight w:val="0"/>
      <w:marTop w:val="0"/>
      <w:marBottom w:val="0"/>
      <w:divBdr>
        <w:top w:val="none" w:sz="0" w:space="0" w:color="auto"/>
        <w:left w:val="none" w:sz="0" w:space="0" w:color="auto"/>
        <w:bottom w:val="none" w:sz="0" w:space="0" w:color="auto"/>
        <w:right w:val="none" w:sz="0" w:space="0" w:color="auto"/>
      </w:divBdr>
      <w:divsChild>
        <w:div w:id="845945857">
          <w:marLeft w:val="0"/>
          <w:marRight w:val="0"/>
          <w:marTop w:val="0"/>
          <w:marBottom w:val="0"/>
          <w:divBdr>
            <w:top w:val="none" w:sz="0" w:space="0" w:color="auto"/>
            <w:left w:val="none" w:sz="0" w:space="0" w:color="auto"/>
            <w:bottom w:val="none" w:sz="0" w:space="0" w:color="auto"/>
            <w:right w:val="none" w:sz="0" w:space="0" w:color="auto"/>
          </w:divBdr>
          <w:divsChild>
            <w:div w:id="1229459028">
              <w:marLeft w:val="0"/>
              <w:marRight w:val="0"/>
              <w:marTop w:val="0"/>
              <w:marBottom w:val="0"/>
              <w:divBdr>
                <w:top w:val="none" w:sz="0" w:space="0" w:color="auto"/>
                <w:left w:val="none" w:sz="0" w:space="0" w:color="auto"/>
                <w:bottom w:val="none" w:sz="0" w:space="0" w:color="auto"/>
                <w:right w:val="none" w:sz="0" w:space="0" w:color="auto"/>
              </w:divBdr>
              <w:divsChild>
                <w:div w:id="222181015">
                  <w:marLeft w:val="0"/>
                  <w:marRight w:val="0"/>
                  <w:marTop w:val="0"/>
                  <w:marBottom w:val="0"/>
                  <w:divBdr>
                    <w:top w:val="none" w:sz="0" w:space="0" w:color="auto"/>
                    <w:left w:val="none" w:sz="0" w:space="0" w:color="auto"/>
                    <w:bottom w:val="none" w:sz="0" w:space="0" w:color="auto"/>
                    <w:right w:val="none" w:sz="0" w:space="0" w:color="auto"/>
                  </w:divBdr>
                  <w:divsChild>
                    <w:div w:id="14599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635541">
      <w:bodyDiv w:val="1"/>
      <w:marLeft w:val="0"/>
      <w:marRight w:val="0"/>
      <w:marTop w:val="0"/>
      <w:marBottom w:val="0"/>
      <w:divBdr>
        <w:top w:val="none" w:sz="0" w:space="0" w:color="auto"/>
        <w:left w:val="none" w:sz="0" w:space="0" w:color="auto"/>
        <w:bottom w:val="none" w:sz="0" w:space="0" w:color="auto"/>
        <w:right w:val="none" w:sz="0" w:space="0" w:color="auto"/>
      </w:divBdr>
      <w:divsChild>
        <w:div w:id="656811691">
          <w:marLeft w:val="0"/>
          <w:marRight w:val="0"/>
          <w:marTop w:val="0"/>
          <w:marBottom w:val="0"/>
          <w:divBdr>
            <w:top w:val="none" w:sz="0" w:space="0" w:color="auto"/>
            <w:left w:val="none" w:sz="0" w:space="0" w:color="auto"/>
            <w:bottom w:val="none" w:sz="0" w:space="0" w:color="auto"/>
            <w:right w:val="none" w:sz="0" w:space="0" w:color="auto"/>
          </w:divBdr>
          <w:divsChild>
            <w:div w:id="627511008">
              <w:marLeft w:val="0"/>
              <w:marRight w:val="0"/>
              <w:marTop w:val="0"/>
              <w:marBottom w:val="0"/>
              <w:divBdr>
                <w:top w:val="none" w:sz="0" w:space="0" w:color="auto"/>
                <w:left w:val="none" w:sz="0" w:space="0" w:color="auto"/>
                <w:bottom w:val="none" w:sz="0" w:space="0" w:color="auto"/>
                <w:right w:val="none" w:sz="0" w:space="0" w:color="auto"/>
              </w:divBdr>
              <w:divsChild>
                <w:div w:id="189897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641917">
      <w:bodyDiv w:val="1"/>
      <w:marLeft w:val="0"/>
      <w:marRight w:val="0"/>
      <w:marTop w:val="0"/>
      <w:marBottom w:val="0"/>
      <w:divBdr>
        <w:top w:val="none" w:sz="0" w:space="0" w:color="auto"/>
        <w:left w:val="none" w:sz="0" w:space="0" w:color="auto"/>
        <w:bottom w:val="none" w:sz="0" w:space="0" w:color="auto"/>
        <w:right w:val="none" w:sz="0" w:space="0" w:color="auto"/>
      </w:divBdr>
      <w:divsChild>
        <w:div w:id="190460614">
          <w:marLeft w:val="0"/>
          <w:marRight w:val="0"/>
          <w:marTop w:val="0"/>
          <w:marBottom w:val="0"/>
          <w:divBdr>
            <w:top w:val="none" w:sz="0" w:space="0" w:color="auto"/>
            <w:left w:val="none" w:sz="0" w:space="0" w:color="auto"/>
            <w:bottom w:val="none" w:sz="0" w:space="0" w:color="auto"/>
            <w:right w:val="none" w:sz="0" w:space="0" w:color="auto"/>
          </w:divBdr>
          <w:divsChild>
            <w:div w:id="1879464162">
              <w:marLeft w:val="0"/>
              <w:marRight w:val="0"/>
              <w:marTop w:val="0"/>
              <w:marBottom w:val="0"/>
              <w:divBdr>
                <w:top w:val="none" w:sz="0" w:space="0" w:color="auto"/>
                <w:left w:val="none" w:sz="0" w:space="0" w:color="auto"/>
                <w:bottom w:val="none" w:sz="0" w:space="0" w:color="auto"/>
                <w:right w:val="none" w:sz="0" w:space="0" w:color="auto"/>
              </w:divBdr>
              <w:divsChild>
                <w:div w:id="143714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960237">
      <w:bodyDiv w:val="1"/>
      <w:marLeft w:val="0"/>
      <w:marRight w:val="0"/>
      <w:marTop w:val="0"/>
      <w:marBottom w:val="0"/>
      <w:divBdr>
        <w:top w:val="none" w:sz="0" w:space="0" w:color="auto"/>
        <w:left w:val="none" w:sz="0" w:space="0" w:color="auto"/>
        <w:bottom w:val="none" w:sz="0" w:space="0" w:color="auto"/>
        <w:right w:val="none" w:sz="0" w:space="0" w:color="auto"/>
      </w:divBdr>
    </w:div>
    <w:div w:id="1995717951">
      <w:bodyDiv w:val="1"/>
      <w:marLeft w:val="0"/>
      <w:marRight w:val="0"/>
      <w:marTop w:val="0"/>
      <w:marBottom w:val="0"/>
      <w:divBdr>
        <w:top w:val="none" w:sz="0" w:space="0" w:color="auto"/>
        <w:left w:val="none" w:sz="0" w:space="0" w:color="auto"/>
        <w:bottom w:val="none" w:sz="0" w:space="0" w:color="auto"/>
        <w:right w:val="none" w:sz="0" w:space="0" w:color="auto"/>
      </w:divBdr>
    </w:div>
    <w:div w:id="2016690686">
      <w:bodyDiv w:val="1"/>
      <w:marLeft w:val="0"/>
      <w:marRight w:val="0"/>
      <w:marTop w:val="0"/>
      <w:marBottom w:val="0"/>
      <w:divBdr>
        <w:top w:val="none" w:sz="0" w:space="0" w:color="auto"/>
        <w:left w:val="none" w:sz="0" w:space="0" w:color="auto"/>
        <w:bottom w:val="none" w:sz="0" w:space="0" w:color="auto"/>
        <w:right w:val="none" w:sz="0" w:space="0" w:color="auto"/>
      </w:divBdr>
      <w:divsChild>
        <w:div w:id="131100830">
          <w:marLeft w:val="0"/>
          <w:marRight w:val="0"/>
          <w:marTop w:val="0"/>
          <w:marBottom w:val="0"/>
          <w:divBdr>
            <w:top w:val="none" w:sz="0" w:space="0" w:color="auto"/>
            <w:left w:val="none" w:sz="0" w:space="0" w:color="auto"/>
            <w:bottom w:val="none" w:sz="0" w:space="0" w:color="auto"/>
            <w:right w:val="none" w:sz="0" w:space="0" w:color="auto"/>
          </w:divBdr>
          <w:divsChild>
            <w:div w:id="860051332">
              <w:marLeft w:val="0"/>
              <w:marRight w:val="0"/>
              <w:marTop w:val="0"/>
              <w:marBottom w:val="0"/>
              <w:divBdr>
                <w:top w:val="none" w:sz="0" w:space="0" w:color="auto"/>
                <w:left w:val="none" w:sz="0" w:space="0" w:color="auto"/>
                <w:bottom w:val="none" w:sz="0" w:space="0" w:color="auto"/>
                <w:right w:val="none" w:sz="0" w:space="0" w:color="auto"/>
              </w:divBdr>
              <w:divsChild>
                <w:div w:id="203457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230406">
      <w:bodyDiv w:val="1"/>
      <w:marLeft w:val="0"/>
      <w:marRight w:val="0"/>
      <w:marTop w:val="0"/>
      <w:marBottom w:val="0"/>
      <w:divBdr>
        <w:top w:val="none" w:sz="0" w:space="0" w:color="auto"/>
        <w:left w:val="none" w:sz="0" w:space="0" w:color="auto"/>
        <w:bottom w:val="none" w:sz="0" w:space="0" w:color="auto"/>
        <w:right w:val="none" w:sz="0" w:space="0" w:color="auto"/>
      </w:divBdr>
      <w:divsChild>
        <w:div w:id="402800147">
          <w:marLeft w:val="0"/>
          <w:marRight w:val="0"/>
          <w:marTop w:val="0"/>
          <w:marBottom w:val="0"/>
          <w:divBdr>
            <w:top w:val="none" w:sz="0" w:space="0" w:color="auto"/>
            <w:left w:val="none" w:sz="0" w:space="0" w:color="auto"/>
            <w:bottom w:val="none" w:sz="0" w:space="0" w:color="auto"/>
            <w:right w:val="none" w:sz="0" w:space="0" w:color="auto"/>
          </w:divBdr>
          <w:divsChild>
            <w:div w:id="2136630176">
              <w:marLeft w:val="0"/>
              <w:marRight w:val="0"/>
              <w:marTop w:val="0"/>
              <w:marBottom w:val="0"/>
              <w:divBdr>
                <w:top w:val="none" w:sz="0" w:space="0" w:color="auto"/>
                <w:left w:val="none" w:sz="0" w:space="0" w:color="auto"/>
                <w:bottom w:val="none" w:sz="0" w:space="0" w:color="auto"/>
                <w:right w:val="none" w:sz="0" w:space="0" w:color="auto"/>
              </w:divBdr>
              <w:divsChild>
                <w:div w:id="152374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26897">
      <w:bodyDiv w:val="1"/>
      <w:marLeft w:val="0"/>
      <w:marRight w:val="0"/>
      <w:marTop w:val="0"/>
      <w:marBottom w:val="0"/>
      <w:divBdr>
        <w:top w:val="none" w:sz="0" w:space="0" w:color="auto"/>
        <w:left w:val="none" w:sz="0" w:space="0" w:color="auto"/>
        <w:bottom w:val="none" w:sz="0" w:space="0" w:color="auto"/>
        <w:right w:val="none" w:sz="0" w:space="0" w:color="auto"/>
      </w:divBdr>
    </w:div>
    <w:div w:id="2032221718">
      <w:bodyDiv w:val="1"/>
      <w:marLeft w:val="0"/>
      <w:marRight w:val="0"/>
      <w:marTop w:val="0"/>
      <w:marBottom w:val="0"/>
      <w:divBdr>
        <w:top w:val="none" w:sz="0" w:space="0" w:color="auto"/>
        <w:left w:val="none" w:sz="0" w:space="0" w:color="auto"/>
        <w:bottom w:val="none" w:sz="0" w:space="0" w:color="auto"/>
        <w:right w:val="none" w:sz="0" w:space="0" w:color="auto"/>
      </w:divBdr>
    </w:div>
    <w:div w:id="2036035279">
      <w:bodyDiv w:val="1"/>
      <w:marLeft w:val="0"/>
      <w:marRight w:val="0"/>
      <w:marTop w:val="0"/>
      <w:marBottom w:val="0"/>
      <w:divBdr>
        <w:top w:val="none" w:sz="0" w:space="0" w:color="auto"/>
        <w:left w:val="none" w:sz="0" w:space="0" w:color="auto"/>
        <w:bottom w:val="none" w:sz="0" w:space="0" w:color="auto"/>
        <w:right w:val="none" w:sz="0" w:space="0" w:color="auto"/>
      </w:divBdr>
    </w:div>
    <w:div w:id="2071801762">
      <w:bodyDiv w:val="1"/>
      <w:marLeft w:val="0"/>
      <w:marRight w:val="0"/>
      <w:marTop w:val="0"/>
      <w:marBottom w:val="0"/>
      <w:divBdr>
        <w:top w:val="none" w:sz="0" w:space="0" w:color="auto"/>
        <w:left w:val="none" w:sz="0" w:space="0" w:color="auto"/>
        <w:bottom w:val="none" w:sz="0" w:space="0" w:color="auto"/>
        <w:right w:val="none" w:sz="0" w:space="0" w:color="auto"/>
      </w:divBdr>
      <w:divsChild>
        <w:div w:id="90784913">
          <w:marLeft w:val="0"/>
          <w:marRight w:val="0"/>
          <w:marTop w:val="0"/>
          <w:marBottom w:val="0"/>
          <w:divBdr>
            <w:top w:val="none" w:sz="0" w:space="0" w:color="auto"/>
            <w:left w:val="none" w:sz="0" w:space="0" w:color="auto"/>
            <w:bottom w:val="none" w:sz="0" w:space="0" w:color="auto"/>
            <w:right w:val="none" w:sz="0" w:space="0" w:color="auto"/>
          </w:divBdr>
          <w:divsChild>
            <w:div w:id="1639142116">
              <w:marLeft w:val="0"/>
              <w:marRight w:val="0"/>
              <w:marTop w:val="0"/>
              <w:marBottom w:val="0"/>
              <w:divBdr>
                <w:top w:val="none" w:sz="0" w:space="0" w:color="auto"/>
                <w:left w:val="none" w:sz="0" w:space="0" w:color="auto"/>
                <w:bottom w:val="none" w:sz="0" w:space="0" w:color="auto"/>
                <w:right w:val="none" w:sz="0" w:space="0" w:color="auto"/>
              </w:divBdr>
              <w:divsChild>
                <w:div w:id="121932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888621">
      <w:bodyDiv w:val="1"/>
      <w:marLeft w:val="0"/>
      <w:marRight w:val="0"/>
      <w:marTop w:val="0"/>
      <w:marBottom w:val="0"/>
      <w:divBdr>
        <w:top w:val="none" w:sz="0" w:space="0" w:color="auto"/>
        <w:left w:val="none" w:sz="0" w:space="0" w:color="auto"/>
        <w:bottom w:val="none" w:sz="0" w:space="0" w:color="auto"/>
        <w:right w:val="none" w:sz="0" w:space="0" w:color="auto"/>
      </w:divBdr>
      <w:divsChild>
        <w:div w:id="46345105">
          <w:marLeft w:val="0"/>
          <w:marRight w:val="0"/>
          <w:marTop w:val="0"/>
          <w:marBottom w:val="0"/>
          <w:divBdr>
            <w:top w:val="none" w:sz="0" w:space="0" w:color="auto"/>
            <w:left w:val="none" w:sz="0" w:space="0" w:color="auto"/>
            <w:bottom w:val="none" w:sz="0" w:space="0" w:color="auto"/>
            <w:right w:val="none" w:sz="0" w:space="0" w:color="auto"/>
          </w:divBdr>
          <w:divsChild>
            <w:div w:id="437719795">
              <w:marLeft w:val="0"/>
              <w:marRight w:val="0"/>
              <w:marTop w:val="0"/>
              <w:marBottom w:val="0"/>
              <w:divBdr>
                <w:top w:val="none" w:sz="0" w:space="0" w:color="auto"/>
                <w:left w:val="none" w:sz="0" w:space="0" w:color="auto"/>
                <w:bottom w:val="none" w:sz="0" w:space="0" w:color="auto"/>
                <w:right w:val="none" w:sz="0" w:space="0" w:color="auto"/>
              </w:divBdr>
              <w:divsChild>
                <w:div w:id="659429271">
                  <w:marLeft w:val="0"/>
                  <w:marRight w:val="0"/>
                  <w:marTop w:val="0"/>
                  <w:marBottom w:val="0"/>
                  <w:divBdr>
                    <w:top w:val="none" w:sz="0" w:space="0" w:color="auto"/>
                    <w:left w:val="none" w:sz="0" w:space="0" w:color="auto"/>
                    <w:bottom w:val="none" w:sz="0" w:space="0" w:color="auto"/>
                    <w:right w:val="none" w:sz="0" w:space="0" w:color="auto"/>
                  </w:divBdr>
                  <w:divsChild>
                    <w:div w:id="86864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160282">
      <w:bodyDiv w:val="1"/>
      <w:marLeft w:val="0"/>
      <w:marRight w:val="0"/>
      <w:marTop w:val="0"/>
      <w:marBottom w:val="0"/>
      <w:divBdr>
        <w:top w:val="none" w:sz="0" w:space="0" w:color="auto"/>
        <w:left w:val="none" w:sz="0" w:space="0" w:color="auto"/>
        <w:bottom w:val="none" w:sz="0" w:space="0" w:color="auto"/>
        <w:right w:val="none" w:sz="0" w:space="0" w:color="auto"/>
      </w:divBdr>
    </w:div>
    <w:div w:id="2078087724">
      <w:bodyDiv w:val="1"/>
      <w:marLeft w:val="0"/>
      <w:marRight w:val="0"/>
      <w:marTop w:val="0"/>
      <w:marBottom w:val="0"/>
      <w:divBdr>
        <w:top w:val="none" w:sz="0" w:space="0" w:color="auto"/>
        <w:left w:val="none" w:sz="0" w:space="0" w:color="auto"/>
        <w:bottom w:val="none" w:sz="0" w:space="0" w:color="auto"/>
        <w:right w:val="none" w:sz="0" w:space="0" w:color="auto"/>
      </w:divBdr>
      <w:divsChild>
        <w:div w:id="1175077155">
          <w:marLeft w:val="0"/>
          <w:marRight w:val="0"/>
          <w:marTop w:val="0"/>
          <w:marBottom w:val="0"/>
          <w:divBdr>
            <w:top w:val="none" w:sz="0" w:space="0" w:color="auto"/>
            <w:left w:val="none" w:sz="0" w:space="0" w:color="auto"/>
            <w:bottom w:val="none" w:sz="0" w:space="0" w:color="auto"/>
            <w:right w:val="none" w:sz="0" w:space="0" w:color="auto"/>
          </w:divBdr>
          <w:divsChild>
            <w:div w:id="604462252">
              <w:marLeft w:val="0"/>
              <w:marRight w:val="0"/>
              <w:marTop w:val="0"/>
              <w:marBottom w:val="0"/>
              <w:divBdr>
                <w:top w:val="none" w:sz="0" w:space="0" w:color="auto"/>
                <w:left w:val="none" w:sz="0" w:space="0" w:color="auto"/>
                <w:bottom w:val="none" w:sz="0" w:space="0" w:color="auto"/>
                <w:right w:val="none" w:sz="0" w:space="0" w:color="auto"/>
              </w:divBdr>
              <w:divsChild>
                <w:div w:id="102428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14749">
      <w:bodyDiv w:val="1"/>
      <w:marLeft w:val="0"/>
      <w:marRight w:val="0"/>
      <w:marTop w:val="0"/>
      <w:marBottom w:val="0"/>
      <w:divBdr>
        <w:top w:val="none" w:sz="0" w:space="0" w:color="auto"/>
        <w:left w:val="none" w:sz="0" w:space="0" w:color="auto"/>
        <w:bottom w:val="none" w:sz="0" w:space="0" w:color="auto"/>
        <w:right w:val="none" w:sz="0" w:space="0" w:color="auto"/>
      </w:divBdr>
      <w:divsChild>
        <w:div w:id="834608156">
          <w:marLeft w:val="0"/>
          <w:marRight w:val="0"/>
          <w:marTop w:val="0"/>
          <w:marBottom w:val="0"/>
          <w:divBdr>
            <w:top w:val="none" w:sz="0" w:space="0" w:color="auto"/>
            <w:left w:val="none" w:sz="0" w:space="0" w:color="auto"/>
            <w:bottom w:val="none" w:sz="0" w:space="0" w:color="auto"/>
            <w:right w:val="none" w:sz="0" w:space="0" w:color="auto"/>
          </w:divBdr>
          <w:divsChild>
            <w:div w:id="1165393610">
              <w:marLeft w:val="0"/>
              <w:marRight w:val="0"/>
              <w:marTop w:val="0"/>
              <w:marBottom w:val="0"/>
              <w:divBdr>
                <w:top w:val="none" w:sz="0" w:space="0" w:color="auto"/>
                <w:left w:val="none" w:sz="0" w:space="0" w:color="auto"/>
                <w:bottom w:val="none" w:sz="0" w:space="0" w:color="auto"/>
                <w:right w:val="none" w:sz="0" w:space="0" w:color="auto"/>
              </w:divBdr>
              <w:divsChild>
                <w:div w:id="4649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204613">
      <w:bodyDiv w:val="1"/>
      <w:marLeft w:val="0"/>
      <w:marRight w:val="0"/>
      <w:marTop w:val="0"/>
      <w:marBottom w:val="0"/>
      <w:divBdr>
        <w:top w:val="none" w:sz="0" w:space="0" w:color="auto"/>
        <w:left w:val="none" w:sz="0" w:space="0" w:color="auto"/>
        <w:bottom w:val="none" w:sz="0" w:space="0" w:color="auto"/>
        <w:right w:val="none" w:sz="0" w:space="0" w:color="auto"/>
      </w:divBdr>
      <w:divsChild>
        <w:div w:id="1123844061">
          <w:marLeft w:val="0"/>
          <w:marRight w:val="0"/>
          <w:marTop w:val="0"/>
          <w:marBottom w:val="0"/>
          <w:divBdr>
            <w:top w:val="none" w:sz="0" w:space="0" w:color="auto"/>
            <w:left w:val="none" w:sz="0" w:space="0" w:color="auto"/>
            <w:bottom w:val="none" w:sz="0" w:space="0" w:color="auto"/>
            <w:right w:val="none" w:sz="0" w:space="0" w:color="auto"/>
          </w:divBdr>
          <w:divsChild>
            <w:div w:id="380638621">
              <w:marLeft w:val="0"/>
              <w:marRight w:val="0"/>
              <w:marTop w:val="0"/>
              <w:marBottom w:val="0"/>
              <w:divBdr>
                <w:top w:val="none" w:sz="0" w:space="0" w:color="auto"/>
                <w:left w:val="none" w:sz="0" w:space="0" w:color="auto"/>
                <w:bottom w:val="none" w:sz="0" w:space="0" w:color="auto"/>
                <w:right w:val="none" w:sz="0" w:space="0" w:color="auto"/>
              </w:divBdr>
              <w:divsChild>
                <w:div w:id="4520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669261">
      <w:bodyDiv w:val="1"/>
      <w:marLeft w:val="0"/>
      <w:marRight w:val="0"/>
      <w:marTop w:val="0"/>
      <w:marBottom w:val="0"/>
      <w:divBdr>
        <w:top w:val="none" w:sz="0" w:space="0" w:color="auto"/>
        <w:left w:val="none" w:sz="0" w:space="0" w:color="auto"/>
        <w:bottom w:val="none" w:sz="0" w:space="0" w:color="auto"/>
        <w:right w:val="none" w:sz="0" w:space="0" w:color="auto"/>
      </w:divBdr>
    </w:div>
    <w:div w:id="2106148263">
      <w:bodyDiv w:val="1"/>
      <w:marLeft w:val="0"/>
      <w:marRight w:val="0"/>
      <w:marTop w:val="0"/>
      <w:marBottom w:val="0"/>
      <w:divBdr>
        <w:top w:val="none" w:sz="0" w:space="0" w:color="auto"/>
        <w:left w:val="none" w:sz="0" w:space="0" w:color="auto"/>
        <w:bottom w:val="none" w:sz="0" w:space="0" w:color="auto"/>
        <w:right w:val="none" w:sz="0" w:space="0" w:color="auto"/>
      </w:divBdr>
    </w:div>
    <w:div w:id="2110469921">
      <w:bodyDiv w:val="1"/>
      <w:marLeft w:val="0"/>
      <w:marRight w:val="0"/>
      <w:marTop w:val="0"/>
      <w:marBottom w:val="0"/>
      <w:divBdr>
        <w:top w:val="none" w:sz="0" w:space="0" w:color="auto"/>
        <w:left w:val="none" w:sz="0" w:space="0" w:color="auto"/>
        <w:bottom w:val="none" w:sz="0" w:space="0" w:color="auto"/>
        <w:right w:val="none" w:sz="0" w:space="0" w:color="auto"/>
      </w:divBdr>
    </w:div>
    <w:div w:id="2138259004">
      <w:bodyDiv w:val="1"/>
      <w:marLeft w:val="0"/>
      <w:marRight w:val="0"/>
      <w:marTop w:val="0"/>
      <w:marBottom w:val="0"/>
      <w:divBdr>
        <w:top w:val="none" w:sz="0" w:space="0" w:color="auto"/>
        <w:left w:val="none" w:sz="0" w:space="0" w:color="auto"/>
        <w:bottom w:val="none" w:sz="0" w:space="0" w:color="auto"/>
        <w:right w:val="none" w:sz="0" w:space="0" w:color="auto"/>
      </w:divBdr>
      <w:divsChild>
        <w:div w:id="1180506621">
          <w:marLeft w:val="0"/>
          <w:marRight w:val="0"/>
          <w:marTop w:val="0"/>
          <w:marBottom w:val="0"/>
          <w:divBdr>
            <w:top w:val="none" w:sz="0" w:space="0" w:color="auto"/>
            <w:left w:val="none" w:sz="0" w:space="0" w:color="auto"/>
            <w:bottom w:val="none" w:sz="0" w:space="0" w:color="auto"/>
            <w:right w:val="none" w:sz="0" w:space="0" w:color="auto"/>
          </w:divBdr>
          <w:divsChild>
            <w:div w:id="1203177988">
              <w:marLeft w:val="0"/>
              <w:marRight w:val="0"/>
              <w:marTop w:val="0"/>
              <w:marBottom w:val="0"/>
              <w:divBdr>
                <w:top w:val="none" w:sz="0" w:space="0" w:color="auto"/>
                <w:left w:val="none" w:sz="0" w:space="0" w:color="auto"/>
                <w:bottom w:val="none" w:sz="0" w:space="0" w:color="auto"/>
                <w:right w:val="none" w:sz="0" w:space="0" w:color="auto"/>
              </w:divBdr>
              <w:divsChild>
                <w:div w:id="202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254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1D149-EACF-5D45-9B4E-917E41330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9842</Words>
  <Characters>51971</Characters>
  <Application>Microsoft Office Word</Application>
  <DocSecurity>0</DocSecurity>
  <Lines>911</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453/21</dc:title>
  <dc:creator/>
  <cp:lastModifiedBy/>
  <cp:revision>1</cp:revision>
  <dcterms:created xsi:type="dcterms:W3CDTF">2022-04-04T17:00:00Z</dcterms:created>
  <dcterms:modified xsi:type="dcterms:W3CDTF">2022-04-04T17:00:00Z</dcterms:modified>
</cp:coreProperties>
</file>