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4E58FA" w:rsidRDefault="00D306D1" w:rsidP="00E30EC0">
      <w:pPr>
        <w:jc w:val="both"/>
        <w:rPr>
          <w:rFonts w:asciiTheme="majorHAnsi" w:hAnsiTheme="majorHAnsi" w:cs="Univers"/>
          <w:b/>
          <w:bCs/>
          <w:sz w:val="20"/>
          <w:szCs w:val="20"/>
          <w:lang w:val="es-ES_tradnl"/>
        </w:rPr>
      </w:pPr>
      <w:r w:rsidRPr="004E58FA">
        <w:rPr>
          <w:rFonts w:asciiTheme="majorHAnsi" w:hAnsiTheme="majorHAnsi"/>
          <w:noProof/>
          <w:sz w:val="20"/>
          <w:szCs w:val="20"/>
          <w:lang w:val="en-US" w:eastAsia="en-US"/>
        </w:rPr>
        <mc:AlternateContent>
          <mc:Choice Requires="wps">
            <w:drawing>
              <wp:anchor distT="0" distB="0" distL="114300" distR="114300" simplePos="0" relativeHeight="251661311" behindDoc="0" locked="0" layoutInCell="1" allowOverlap="1" wp14:anchorId="7B5909B6" wp14:editId="21D6880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A1B78F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E58FA">
        <w:rPr>
          <w:rFonts w:asciiTheme="majorHAnsi" w:hAnsiTheme="majorHAnsi"/>
          <w:noProof/>
          <w:sz w:val="20"/>
          <w:szCs w:val="20"/>
          <w:lang w:val="en-US" w:eastAsia="en-US"/>
        </w:rPr>
        <mc:AlternateContent>
          <mc:Choice Requires="wps">
            <w:drawing>
              <wp:anchor distT="0" distB="0" distL="114300" distR="114300" simplePos="0" relativeHeight="251673600" behindDoc="0" locked="0" layoutInCell="1" allowOverlap="1" wp14:anchorId="3E2D203A" wp14:editId="643A26F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2701" w:rsidRDefault="00DB2701" w:rsidP="00AE5488">
                            <w:r>
                              <w:rPr>
                                <w:noProof/>
                                <w:lang w:val="en-US" w:eastAsia="en-US"/>
                              </w:rPr>
                              <w:drawing>
                                <wp:inline distT="0" distB="0" distL="0" distR="0" wp14:anchorId="52159EA7" wp14:editId="22743D9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2D203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B2701" w:rsidRDefault="00DB2701" w:rsidP="00AE5488">
                      <w:r>
                        <w:rPr>
                          <w:noProof/>
                          <w:lang w:val="en-US" w:eastAsia="en-US"/>
                        </w:rPr>
                        <w:drawing>
                          <wp:inline distT="0" distB="0" distL="0" distR="0" wp14:anchorId="52159EA7" wp14:editId="22743D9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4E58FA" w:rsidRDefault="00040C3A" w:rsidP="00E30EC0">
      <w:pPr>
        <w:tabs>
          <w:tab w:val="center" w:pos="5400"/>
        </w:tabs>
        <w:suppressAutoHyphens/>
        <w:jc w:val="both"/>
        <w:rPr>
          <w:rFonts w:asciiTheme="majorHAnsi" w:hAnsiTheme="majorHAnsi"/>
          <w:sz w:val="20"/>
          <w:szCs w:val="20"/>
          <w:lang w:val="es-ES"/>
        </w:rPr>
      </w:pPr>
    </w:p>
    <w:p w:rsidR="00040C3A" w:rsidRPr="004E58FA" w:rsidRDefault="00040C3A" w:rsidP="00E30EC0">
      <w:pPr>
        <w:tabs>
          <w:tab w:val="center" w:pos="5400"/>
        </w:tabs>
        <w:suppressAutoHyphens/>
        <w:jc w:val="both"/>
        <w:rPr>
          <w:rFonts w:asciiTheme="majorHAnsi" w:hAnsiTheme="majorHAnsi"/>
          <w:sz w:val="20"/>
          <w:szCs w:val="20"/>
          <w:lang w:val="es-ES"/>
        </w:rPr>
      </w:pPr>
    </w:p>
    <w:p w:rsidR="005128E4" w:rsidRPr="004E58FA" w:rsidRDefault="005128E4" w:rsidP="00E30EC0">
      <w:pPr>
        <w:tabs>
          <w:tab w:val="center" w:pos="5400"/>
        </w:tabs>
        <w:suppressAutoHyphens/>
        <w:rPr>
          <w:rFonts w:asciiTheme="majorHAnsi" w:hAnsiTheme="majorHAnsi"/>
          <w:sz w:val="20"/>
          <w:szCs w:val="20"/>
          <w:lang w:val="es-ES_tradnl"/>
        </w:rPr>
      </w:pPr>
    </w:p>
    <w:p w:rsidR="005128E4" w:rsidRPr="004E58FA" w:rsidRDefault="005128E4" w:rsidP="00E30EC0">
      <w:pPr>
        <w:tabs>
          <w:tab w:val="center" w:pos="5400"/>
        </w:tabs>
        <w:suppressAutoHyphens/>
        <w:rPr>
          <w:rFonts w:asciiTheme="majorHAnsi" w:hAnsiTheme="majorHAnsi"/>
          <w:sz w:val="20"/>
          <w:szCs w:val="20"/>
          <w:lang w:val="es-ES_tradnl"/>
        </w:rPr>
      </w:pPr>
    </w:p>
    <w:p w:rsidR="005128E4" w:rsidRPr="004E58FA" w:rsidRDefault="005128E4" w:rsidP="00E30EC0">
      <w:pPr>
        <w:tabs>
          <w:tab w:val="center" w:pos="5400"/>
        </w:tabs>
        <w:suppressAutoHyphens/>
        <w:rPr>
          <w:rFonts w:asciiTheme="majorHAnsi" w:hAnsiTheme="majorHAnsi"/>
          <w:sz w:val="20"/>
          <w:szCs w:val="20"/>
          <w:lang w:val="es-ES_tradnl"/>
        </w:rPr>
      </w:pPr>
    </w:p>
    <w:p w:rsidR="00040C3A" w:rsidRPr="004E58FA" w:rsidRDefault="00040C3A" w:rsidP="00E30EC0">
      <w:pPr>
        <w:tabs>
          <w:tab w:val="center" w:pos="5400"/>
        </w:tabs>
        <w:suppressAutoHyphens/>
        <w:jc w:val="center"/>
        <w:rPr>
          <w:rFonts w:asciiTheme="majorHAnsi" w:hAnsiTheme="majorHAnsi"/>
          <w:sz w:val="20"/>
          <w:szCs w:val="20"/>
          <w:lang w:val="es-ES_tradnl"/>
        </w:rPr>
      </w:pPr>
    </w:p>
    <w:p w:rsidR="00040C3A" w:rsidRPr="004E58FA" w:rsidRDefault="00040C3A" w:rsidP="00E30EC0">
      <w:pPr>
        <w:tabs>
          <w:tab w:val="center" w:pos="5400"/>
        </w:tabs>
        <w:suppressAutoHyphens/>
        <w:jc w:val="center"/>
        <w:rPr>
          <w:rFonts w:asciiTheme="majorHAnsi" w:hAnsiTheme="majorHAnsi"/>
          <w:sz w:val="20"/>
          <w:szCs w:val="20"/>
          <w:lang w:val="es-ES_tradnl"/>
        </w:rPr>
      </w:pPr>
    </w:p>
    <w:p w:rsidR="005B52B0" w:rsidRPr="004E58FA" w:rsidRDefault="005B52B0" w:rsidP="00E30EC0">
      <w:pPr>
        <w:tabs>
          <w:tab w:val="center" w:pos="5400"/>
        </w:tabs>
        <w:suppressAutoHyphens/>
        <w:jc w:val="center"/>
        <w:rPr>
          <w:rFonts w:asciiTheme="majorHAnsi" w:hAnsiTheme="majorHAnsi"/>
          <w:sz w:val="20"/>
          <w:szCs w:val="20"/>
          <w:lang w:val="es-ES_tradnl"/>
        </w:rPr>
      </w:pPr>
    </w:p>
    <w:p w:rsidR="005B52B0" w:rsidRPr="004E58FA" w:rsidRDefault="005B52B0" w:rsidP="00E30EC0">
      <w:pPr>
        <w:tabs>
          <w:tab w:val="center" w:pos="5400"/>
        </w:tabs>
        <w:suppressAutoHyphens/>
        <w:jc w:val="center"/>
        <w:rPr>
          <w:rFonts w:asciiTheme="majorHAnsi" w:hAnsiTheme="majorHAnsi"/>
          <w:sz w:val="20"/>
          <w:szCs w:val="20"/>
          <w:lang w:val="es-ES_tradnl"/>
        </w:rPr>
      </w:pPr>
    </w:p>
    <w:p w:rsidR="005B52B0" w:rsidRPr="004E58FA" w:rsidRDefault="005B52B0" w:rsidP="00E30EC0">
      <w:pPr>
        <w:tabs>
          <w:tab w:val="center" w:pos="5400"/>
        </w:tabs>
        <w:suppressAutoHyphens/>
        <w:jc w:val="center"/>
        <w:rPr>
          <w:rFonts w:asciiTheme="majorHAnsi" w:hAnsiTheme="majorHAnsi"/>
          <w:sz w:val="20"/>
          <w:szCs w:val="20"/>
          <w:lang w:val="es-ES_tradnl"/>
        </w:rPr>
      </w:pPr>
    </w:p>
    <w:p w:rsidR="00040C3A" w:rsidRPr="004E58FA" w:rsidRDefault="00040C3A" w:rsidP="00E30EC0">
      <w:pPr>
        <w:tabs>
          <w:tab w:val="center" w:pos="5400"/>
        </w:tabs>
        <w:suppressAutoHyphens/>
        <w:jc w:val="center"/>
        <w:rPr>
          <w:rFonts w:asciiTheme="majorHAnsi" w:hAnsiTheme="majorHAnsi"/>
          <w:sz w:val="20"/>
          <w:szCs w:val="20"/>
          <w:lang w:val="es-ES_tradnl"/>
        </w:rPr>
      </w:pPr>
    </w:p>
    <w:p w:rsidR="00040C3A" w:rsidRPr="004E58FA" w:rsidRDefault="00040C3A" w:rsidP="00E30EC0">
      <w:pPr>
        <w:tabs>
          <w:tab w:val="center" w:pos="5400"/>
        </w:tabs>
        <w:suppressAutoHyphens/>
        <w:jc w:val="center"/>
        <w:rPr>
          <w:rFonts w:asciiTheme="majorHAnsi" w:hAnsiTheme="majorHAnsi"/>
          <w:sz w:val="20"/>
          <w:szCs w:val="20"/>
          <w:lang w:val="es-ES_tradnl"/>
        </w:rPr>
      </w:pPr>
    </w:p>
    <w:p w:rsidR="00040C3A" w:rsidRPr="004E58FA" w:rsidRDefault="003D3BC2" w:rsidP="00E30EC0">
      <w:pPr>
        <w:tabs>
          <w:tab w:val="center" w:pos="5400"/>
        </w:tabs>
        <w:suppressAutoHyphens/>
        <w:jc w:val="center"/>
        <w:rPr>
          <w:rFonts w:asciiTheme="majorHAnsi" w:hAnsiTheme="majorHAnsi"/>
          <w:sz w:val="20"/>
          <w:szCs w:val="20"/>
          <w:lang w:val="es-ES_tradnl"/>
        </w:rPr>
      </w:pPr>
      <w:r w:rsidRPr="004E58FA">
        <w:rPr>
          <w:rFonts w:asciiTheme="majorHAnsi" w:hAnsiTheme="majorHAnsi"/>
          <w:noProof/>
          <w:sz w:val="20"/>
          <w:szCs w:val="20"/>
          <w:lang w:val="en-US" w:eastAsia="en-US"/>
        </w:rPr>
        <mc:AlternateContent>
          <mc:Choice Requires="wps">
            <w:drawing>
              <wp:anchor distT="0" distB="0" distL="114300" distR="114300" simplePos="0" relativeHeight="251669504" behindDoc="0" locked="0" layoutInCell="1" allowOverlap="1" wp14:anchorId="25F4A52C" wp14:editId="3571569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2701" w:rsidRPr="004E2649" w:rsidRDefault="00DB270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55ECF">
                              <w:rPr>
                                <w:rFonts w:asciiTheme="majorHAnsi" w:hAnsiTheme="majorHAnsi" w:cs="Arial"/>
                                <w:b/>
                                <w:bCs/>
                                <w:color w:val="0D0D0D" w:themeColor="text1" w:themeTint="F2"/>
                                <w:sz w:val="36"/>
                                <w:szCs w:val="22"/>
                                <w:lang w:val="es-ES_tradnl"/>
                              </w:rPr>
                              <w:t>38</w:t>
                            </w:r>
                            <w:r>
                              <w:rPr>
                                <w:rFonts w:asciiTheme="majorHAnsi" w:hAnsiTheme="majorHAnsi" w:cs="Arial"/>
                                <w:b/>
                                <w:bCs/>
                                <w:color w:val="0D0D0D" w:themeColor="text1" w:themeTint="F2"/>
                                <w:sz w:val="36"/>
                                <w:szCs w:val="22"/>
                                <w:lang w:val="es-ES_tradnl"/>
                              </w:rPr>
                              <w:t>/21</w:t>
                            </w:r>
                          </w:p>
                          <w:p w:rsidR="00DB2701" w:rsidRDefault="00DB270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1534-08</w:t>
                            </w:r>
                            <w:r w:rsidRPr="004E2649">
                              <w:rPr>
                                <w:rFonts w:asciiTheme="majorHAnsi" w:hAnsiTheme="majorHAnsi" w:cs="Arial"/>
                                <w:b/>
                                <w:color w:val="0D0D0D" w:themeColor="text1" w:themeTint="F2"/>
                                <w:sz w:val="36"/>
                                <w:szCs w:val="22"/>
                                <w:lang w:val="es-ES_tradnl"/>
                              </w:rPr>
                              <w:t xml:space="preserve"> </w:t>
                            </w:r>
                          </w:p>
                          <w:p w:rsidR="00DB2701" w:rsidRPr="0010736F" w:rsidRDefault="00DB270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DB2701" w:rsidRPr="0010736F" w:rsidRDefault="00DB2701" w:rsidP="00997BC5">
                            <w:pPr>
                              <w:spacing w:line="276" w:lineRule="auto"/>
                              <w:rPr>
                                <w:rFonts w:asciiTheme="majorHAnsi" w:hAnsiTheme="majorHAnsi" w:cs="Arial"/>
                                <w:color w:val="0D0D0D" w:themeColor="text1" w:themeTint="F2"/>
                                <w:szCs w:val="22"/>
                                <w:lang w:val="es-ES_tradnl"/>
                              </w:rPr>
                            </w:pPr>
                            <w:bookmarkStart w:id="1" w:name="_ftnref1"/>
                          </w:p>
                          <w:p w:rsidR="00DB2701" w:rsidRPr="0010736F" w:rsidRDefault="00DB270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SEGUNDO LEOVIGILDO YOPLAC REQUEJO Y OTROS</w:t>
                            </w:r>
                          </w:p>
                          <w:bookmarkEnd w:id="1"/>
                          <w:p w:rsidR="00DB2701" w:rsidRPr="0010736F" w:rsidRDefault="00DB270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PERÚ </w:t>
                            </w:r>
                          </w:p>
                          <w:p w:rsidR="00DB2701" w:rsidRPr="00AE5488" w:rsidRDefault="00DB270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5F4A52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B2701" w:rsidRPr="004E2649" w:rsidRDefault="00DB270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55ECF">
                        <w:rPr>
                          <w:rFonts w:asciiTheme="majorHAnsi" w:hAnsiTheme="majorHAnsi" w:cs="Arial"/>
                          <w:b/>
                          <w:bCs/>
                          <w:color w:val="0D0D0D" w:themeColor="text1" w:themeTint="F2"/>
                          <w:sz w:val="36"/>
                          <w:szCs w:val="22"/>
                          <w:lang w:val="es-ES_tradnl"/>
                        </w:rPr>
                        <w:t>38</w:t>
                      </w:r>
                      <w:r>
                        <w:rPr>
                          <w:rFonts w:asciiTheme="majorHAnsi" w:hAnsiTheme="majorHAnsi" w:cs="Arial"/>
                          <w:b/>
                          <w:bCs/>
                          <w:color w:val="0D0D0D" w:themeColor="text1" w:themeTint="F2"/>
                          <w:sz w:val="36"/>
                          <w:szCs w:val="22"/>
                          <w:lang w:val="es-ES_tradnl"/>
                        </w:rPr>
                        <w:t>/21</w:t>
                      </w:r>
                    </w:p>
                    <w:p w:rsidR="00DB2701" w:rsidRDefault="00DB270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1534-08</w:t>
                      </w:r>
                      <w:r w:rsidRPr="004E2649">
                        <w:rPr>
                          <w:rFonts w:asciiTheme="majorHAnsi" w:hAnsiTheme="majorHAnsi" w:cs="Arial"/>
                          <w:b/>
                          <w:color w:val="0D0D0D" w:themeColor="text1" w:themeTint="F2"/>
                          <w:sz w:val="36"/>
                          <w:szCs w:val="22"/>
                          <w:lang w:val="es-ES_tradnl"/>
                        </w:rPr>
                        <w:t xml:space="preserve"> </w:t>
                      </w:r>
                    </w:p>
                    <w:p w:rsidR="00DB2701" w:rsidRPr="0010736F" w:rsidRDefault="00DB270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DB2701" w:rsidRPr="0010736F" w:rsidRDefault="00DB2701" w:rsidP="00997BC5">
                      <w:pPr>
                        <w:spacing w:line="276" w:lineRule="auto"/>
                        <w:rPr>
                          <w:rFonts w:asciiTheme="majorHAnsi" w:hAnsiTheme="majorHAnsi" w:cs="Arial"/>
                          <w:color w:val="0D0D0D" w:themeColor="text1" w:themeTint="F2"/>
                          <w:szCs w:val="22"/>
                          <w:lang w:val="es-ES_tradnl"/>
                        </w:rPr>
                      </w:pPr>
                      <w:bookmarkStart w:id="1" w:name="_ftnref1"/>
                    </w:p>
                    <w:p w:rsidR="00DB2701" w:rsidRPr="0010736F" w:rsidRDefault="00DB270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SEGUNDO LEOVIGILDO YOPLAC REQUEJO Y OTROS</w:t>
                      </w:r>
                    </w:p>
                    <w:bookmarkEnd w:id="1"/>
                    <w:p w:rsidR="00DB2701" w:rsidRPr="0010736F" w:rsidRDefault="00DB270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PERÚ </w:t>
                      </w:r>
                    </w:p>
                    <w:p w:rsidR="00DB2701" w:rsidRPr="00AE5488" w:rsidRDefault="00DB2701" w:rsidP="007A5817">
                      <w:pPr>
                        <w:rPr>
                          <w:color w:val="0D0D0D" w:themeColor="text1" w:themeTint="F2"/>
                          <w:lang w:val="es-ES_tradnl"/>
                        </w:rPr>
                      </w:pPr>
                    </w:p>
                  </w:txbxContent>
                </v:textbox>
              </v:shape>
            </w:pict>
          </mc:Fallback>
        </mc:AlternateContent>
      </w:r>
      <w:r w:rsidR="004E2649" w:rsidRPr="004E58FA">
        <w:rPr>
          <w:rFonts w:asciiTheme="majorHAnsi" w:hAnsiTheme="majorHAnsi"/>
          <w:noProof/>
          <w:sz w:val="20"/>
          <w:szCs w:val="20"/>
          <w:lang w:val="en-US" w:eastAsia="en-US"/>
        </w:rPr>
        <mc:AlternateContent>
          <mc:Choice Requires="wps">
            <w:drawing>
              <wp:anchor distT="0" distB="0" distL="114300" distR="114300" simplePos="0" relativeHeight="251671552" behindDoc="0" locked="0" layoutInCell="1" allowOverlap="1" wp14:anchorId="58147F67" wp14:editId="25687F5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2701" w:rsidRPr="00355ECF" w:rsidRDefault="00355ECF" w:rsidP="007A5817">
                            <w:pPr>
                              <w:spacing w:line="276" w:lineRule="auto"/>
                              <w:jc w:val="right"/>
                              <w:rPr>
                                <w:rFonts w:asciiTheme="minorHAnsi" w:hAnsiTheme="minorHAnsi"/>
                                <w:color w:val="FFFFFF" w:themeColor="background1"/>
                                <w:sz w:val="22"/>
                                <w:lang w:val="es-419"/>
                              </w:rPr>
                            </w:pPr>
                            <w:r w:rsidRPr="00355ECF">
                              <w:rPr>
                                <w:rFonts w:asciiTheme="minorHAnsi" w:hAnsiTheme="minorHAnsi"/>
                                <w:color w:val="FFFFFF" w:themeColor="background1"/>
                                <w:sz w:val="22"/>
                                <w:lang w:val="es-419"/>
                              </w:rPr>
                              <w:t>OEA/</w:t>
                            </w:r>
                            <w:proofErr w:type="spellStart"/>
                            <w:r w:rsidRPr="00355ECF">
                              <w:rPr>
                                <w:rFonts w:asciiTheme="minorHAnsi" w:hAnsiTheme="minorHAnsi"/>
                                <w:color w:val="FFFFFF" w:themeColor="background1"/>
                                <w:sz w:val="22"/>
                                <w:lang w:val="es-419"/>
                              </w:rPr>
                              <w:t>Ser.L</w:t>
                            </w:r>
                            <w:proofErr w:type="spellEnd"/>
                            <w:r w:rsidRPr="00355ECF">
                              <w:rPr>
                                <w:rFonts w:asciiTheme="minorHAnsi" w:hAnsiTheme="minorHAnsi"/>
                                <w:color w:val="FFFFFF" w:themeColor="background1"/>
                                <w:sz w:val="22"/>
                                <w:lang w:val="es-419"/>
                              </w:rPr>
                              <w:t>/V/II</w:t>
                            </w:r>
                          </w:p>
                          <w:p w:rsidR="00DB2701" w:rsidRPr="00355ECF" w:rsidRDefault="00355ECF" w:rsidP="007A5817">
                            <w:pPr>
                              <w:spacing w:line="276" w:lineRule="auto"/>
                              <w:jc w:val="right"/>
                              <w:rPr>
                                <w:rFonts w:asciiTheme="minorHAnsi" w:hAnsiTheme="minorHAnsi"/>
                                <w:color w:val="FFFFFF" w:themeColor="background1"/>
                                <w:sz w:val="22"/>
                                <w:lang w:val="es-419"/>
                              </w:rPr>
                            </w:pPr>
                            <w:r w:rsidRPr="00355ECF">
                              <w:rPr>
                                <w:rFonts w:asciiTheme="minorHAnsi" w:hAnsiTheme="minorHAnsi"/>
                                <w:color w:val="FFFFFF" w:themeColor="background1"/>
                                <w:sz w:val="22"/>
                                <w:lang w:val="es-419"/>
                              </w:rPr>
                              <w:t>Doc. 42</w:t>
                            </w:r>
                          </w:p>
                          <w:p w:rsidR="00DB2701" w:rsidRPr="0081645A" w:rsidRDefault="00355EC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 marzo</w:t>
                            </w:r>
                            <w:r w:rsidR="00DB2701" w:rsidRPr="0081645A">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21</w:t>
                            </w:r>
                          </w:p>
                          <w:p w:rsidR="00DB2701" w:rsidRPr="0081645A" w:rsidRDefault="00DB2701" w:rsidP="007A5817">
                            <w:pPr>
                              <w:spacing w:line="276" w:lineRule="auto"/>
                              <w:jc w:val="right"/>
                              <w:rPr>
                                <w:rFonts w:asciiTheme="minorHAnsi" w:hAnsiTheme="minorHAnsi"/>
                                <w:color w:val="FFFFFF" w:themeColor="background1"/>
                                <w:sz w:val="22"/>
                                <w:lang w:val="es-US"/>
                              </w:rPr>
                            </w:pPr>
                            <w:r w:rsidRPr="0081645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8147F6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B2701" w:rsidRPr="00355ECF" w:rsidRDefault="00355ECF" w:rsidP="007A5817">
                      <w:pPr>
                        <w:spacing w:line="276" w:lineRule="auto"/>
                        <w:jc w:val="right"/>
                        <w:rPr>
                          <w:rFonts w:asciiTheme="minorHAnsi" w:hAnsiTheme="minorHAnsi"/>
                          <w:color w:val="FFFFFF" w:themeColor="background1"/>
                          <w:sz w:val="22"/>
                          <w:lang w:val="es-419"/>
                        </w:rPr>
                      </w:pPr>
                      <w:r w:rsidRPr="00355ECF">
                        <w:rPr>
                          <w:rFonts w:asciiTheme="minorHAnsi" w:hAnsiTheme="minorHAnsi"/>
                          <w:color w:val="FFFFFF" w:themeColor="background1"/>
                          <w:sz w:val="22"/>
                          <w:lang w:val="es-419"/>
                        </w:rPr>
                        <w:t>OEA/</w:t>
                      </w:r>
                      <w:proofErr w:type="spellStart"/>
                      <w:r w:rsidRPr="00355ECF">
                        <w:rPr>
                          <w:rFonts w:asciiTheme="minorHAnsi" w:hAnsiTheme="minorHAnsi"/>
                          <w:color w:val="FFFFFF" w:themeColor="background1"/>
                          <w:sz w:val="22"/>
                          <w:lang w:val="es-419"/>
                        </w:rPr>
                        <w:t>Ser.L</w:t>
                      </w:r>
                      <w:proofErr w:type="spellEnd"/>
                      <w:r w:rsidRPr="00355ECF">
                        <w:rPr>
                          <w:rFonts w:asciiTheme="minorHAnsi" w:hAnsiTheme="minorHAnsi"/>
                          <w:color w:val="FFFFFF" w:themeColor="background1"/>
                          <w:sz w:val="22"/>
                          <w:lang w:val="es-419"/>
                        </w:rPr>
                        <w:t>/V/II</w:t>
                      </w:r>
                    </w:p>
                    <w:p w:rsidR="00DB2701" w:rsidRPr="00355ECF" w:rsidRDefault="00355ECF" w:rsidP="007A5817">
                      <w:pPr>
                        <w:spacing w:line="276" w:lineRule="auto"/>
                        <w:jc w:val="right"/>
                        <w:rPr>
                          <w:rFonts w:asciiTheme="minorHAnsi" w:hAnsiTheme="minorHAnsi"/>
                          <w:color w:val="FFFFFF" w:themeColor="background1"/>
                          <w:sz w:val="22"/>
                          <w:lang w:val="es-419"/>
                        </w:rPr>
                      </w:pPr>
                      <w:r w:rsidRPr="00355ECF">
                        <w:rPr>
                          <w:rFonts w:asciiTheme="minorHAnsi" w:hAnsiTheme="minorHAnsi"/>
                          <w:color w:val="FFFFFF" w:themeColor="background1"/>
                          <w:sz w:val="22"/>
                          <w:lang w:val="es-419"/>
                        </w:rPr>
                        <w:t>Doc. 42</w:t>
                      </w:r>
                    </w:p>
                    <w:p w:rsidR="00DB2701" w:rsidRPr="0081645A" w:rsidRDefault="00355ECF"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 marzo</w:t>
                      </w:r>
                      <w:r w:rsidR="00DB2701" w:rsidRPr="0081645A">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21</w:t>
                      </w:r>
                    </w:p>
                    <w:p w:rsidR="00DB2701" w:rsidRPr="0081645A" w:rsidRDefault="00DB2701" w:rsidP="007A5817">
                      <w:pPr>
                        <w:spacing w:line="276" w:lineRule="auto"/>
                        <w:jc w:val="right"/>
                        <w:rPr>
                          <w:rFonts w:asciiTheme="minorHAnsi" w:hAnsiTheme="minorHAnsi"/>
                          <w:color w:val="FFFFFF" w:themeColor="background1"/>
                          <w:sz w:val="22"/>
                          <w:lang w:val="es-US"/>
                        </w:rPr>
                      </w:pPr>
                      <w:r w:rsidRPr="0081645A">
                        <w:rPr>
                          <w:rFonts w:asciiTheme="minorHAnsi" w:hAnsiTheme="minorHAnsi"/>
                          <w:color w:val="FFFFFF" w:themeColor="background1"/>
                          <w:sz w:val="22"/>
                          <w:lang w:val="es-US"/>
                        </w:rPr>
                        <w:t>Original: español</w:t>
                      </w:r>
                    </w:p>
                  </w:txbxContent>
                </v:textbox>
              </v:shape>
            </w:pict>
          </mc:Fallback>
        </mc:AlternateContent>
      </w:r>
    </w:p>
    <w:p w:rsidR="00040C3A" w:rsidRPr="004E58FA" w:rsidRDefault="00040C3A" w:rsidP="00E30EC0">
      <w:pPr>
        <w:tabs>
          <w:tab w:val="center" w:pos="5400"/>
        </w:tabs>
        <w:suppressAutoHyphens/>
        <w:jc w:val="center"/>
        <w:rPr>
          <w:rFonts w:asciiTheme="majorHAnsi" w:hAnsiTheme="majorHAnsi"/>
          <w:sz w:val="20"/>
          <w:szCs w:val="20"/>
          <w:lang w:val="es-ES_tradnl"/>
        </w:rPr>
      </w:pPr>
    </w:p>
    <w:p w:rsidR="00040C3A" w:rsidRPr="004E58FA" w:rsidRDefault="00040C3A" w:rsidP="00E30EC0">
      <w:pPr>
        <w:tabs>
          <w:tab w:val="center" w:pos="5400"/>
        </w:tabs>
        <w:suppressAutoHyphens/>
        <w:jc w:val="center"/>
        <w:rPr>
          <w:rFonts w:asciiTheme="majorHAnsi" w:hAnsiTheme="majorHAnsi"/>
          <w:sz w:val="20"/>
          <w:szCs w:val="20"/>
          <w:lang w:val="es-ES_tradnl"/>
        </w:rPr>
      </w:pPr>
    </w:p>
    <w:p w:rsidR="00040C3A" w:rsidRPr="004E58FA" w:rsidRDefault="00040C3A" w:rsidP="00E30EC0">
      <w:pPr>
        <w:tabs>
          <w:tab w:val="center" w:pos="5400"/>
        </w:tabs>
        <w:suppressAutoHyphens/>
        <w:jc w:val="center"/>
        <w:rPr>
          <w:rFonts w:asciiTheme="majorHAnsi" w:hAnsiTheme="majorHAnsi" w:cs="Arial"/>
          <w:sz w:val="20"/>
          <w:szCs w:val="20"/>
          <w:lang w:val="es-ES_tradnl"/>
        </w:rPr>
      </w:pPr>
    </w:p>
    <w:p w:rsidR="00040C3A" w:rsidRPr="004E58FA" w:rsidRDefault="00040C3A" w:rsidP="00E30EC0">
      <w:pPr>
        <w:tabs>
          <w:tab w:val="center" w:pos="5400"/>
        </w:tabs>
        <w:suppressAutoHyphens/>
        <w:jc w:val="center"/>
        <w:rPr>
          <w:rFonts w:asciiTheme="majorHAnsi" w:hAnsiTheme="majorHAnsi"/>
          <w:sz w:val="20"/>
          <w:szCs w:val="20"/>
          <w:lang w:val="es-ES_tradnl"/>
        </w:rPr>
      </w:pPr>
    </w:p>
    <w:p w:rsidR="00040C3A" w:rsidRPr="004E58FA" w:rsidRDefault="00040C3A" w:rsidP="00E30EC0">
      <w:pPr>
        <w:tabs>
          <w:tab w:val="center" w:pos="5400"/>
        </w:tabs>
        <w:suppressAutoHyphens/>
        <w:jc w:val="center"/>
        <w:rPr>
          <w:rFonts w:asciiTheme="majorHAnsi" w:hAnsiTheme="majorHAnsi"/>
          <w:sz w:val="20"/>
          <w:szCs w:val="20"/>
          <w:lang w:val="es-ES_tradnl"/>
        </w:rPr>
      </w:pPr>
    </w:p>
    <w:p w:rsidR="00040C3A" w:rsidRPr="004E58FA" w:rsidRDefault="00040C3A" w:rsidP="00E30EC0">
      <w:pPr>
        <w:tabs>
          <w:tab w:val="center" w:pos="5400"/>
        </w:tabs>
        <w:suppressAutoHyphens/>
        <w:jc w:val="center"/>
        <w:rPr>
          <w:rFonts w:asciiTheme="majorHAnsi" w:hAnsiTheme="majorHAnsi"/>
          <w:sz w:val="20"/>
          <w:szCs w:val="20"/>
          <w:lang w:val="es-ES_tradnl"/>
        </w:rPr>
      </w:pPr>
    </w:p>
    <w:p w:rsidR="00040C3A" w:rsidRPr="004E58FA" w:rsidRDefault="00040C3A" w:rsidP="00E30EC0">
      <w:pPr>
        <w:tabs>
          <w:tab w:val="center" w:pos="5400"/>
        </w:tabs>
        <w:suppressAutoHyphens/>
        <w:jc w:val="center"/>
        <w:rPr>
          <w:rFonts w:asciiTheme="majorHAnsi" w:hAnsiTheme="majorHAnsi"/>
          <w:sz w:val="20"/>
          <w:szCs w:val="20"/>
          <w:lang w:val="es-ES_tradnl"/>
        </w:rPr>
      </w:pPr>
    </w:p>
    <w:p w:rsidR="005128E4" w:rsidRPr="004E58FA" w:rsidRDefault="005128E4" w:rsidP="00E30EC0">
      <w:pPr>
        <w:tabs>
          <w:tab w:val="center" w:pos="5400"/>
        </w:tabs>
        <w:suppressAutoHyphens/>
        <w:jc w:val="center"/>
        <w:rPr>
          <w:rFonts w:asciiTheme="majorHAnsi" w:hAnsiTheme="majorHAnsi"/>
          <w:sz w:val="20"/>
          <w:szCs w:val="20"/>
          <w:lang w:val="es-ES_tradnl"/>
        </w:rPr>
      </w:pPr>
    </w:p>
    <w:p w:rsidR="00040C3A" w:rsidRPr="004E58FA" w:rsidRDefault="00040C3A" w:rsidP="00E30EC0">
      <w:pPr>
        <w:tabs>
          <w:tab w:val="center" w:pos="5400"/>
        </w:tabs>
        <w:suppressAutoHyphens/>
        <w:jc w:val="center"/>
        <w:rPr>
          <w:rFonts w:asciiTheme="majorHAnsi" w:hAnsiTheme="majorHAnsi"/>
          <w:sz w:val="20"/>
          <w:szCs w:val="20"/>
          <w:lang w:val="es-ES_tradnl"/>
        </w:rPr>
      </w:pPr>
    </w:p>
    <w:p w:rsidR="005128E4" w:rsidRPr="004E58FA" w:rsidRDefault="005128E4" w:rsidP="00E30EC0">
      <w:pPr>
        <w:tabs>
          <w:tab w:val="center" w:pos="5400"/>
        </w:tabs>
        <w:suppressAutoHyphens/>
        <w:jc w:val="center"/>
        <w:rPr>
          <w:rFonts w:asciiTheme="majorHAnsi" w:hAnsiTheme="majorHAnsi"/>
          <w:sz w:val="20"/>
          <w:szCs w:val="20"/>
          <w:lang w:val="es-ES_tradnl"/>
        </w:rPr>
      </w:pPr>
    </w:p>
    <w:p w:rsidR="005128E4" w:rsidRPr="004E58FA" w:rsidRDefault="005128E4" w:rsidP="00E30EC0">
      <w:pPr>
        <w:tabs>
          <w:tab w:val="center" w:pos="5400"/>
        </w:tabs>
        <w:suppressAutoHyphens/>
        <w:jc w:val="center"/>
        <w:rPr>
          <w:rFonts w:asciiTheme="majorHAnsi" w:hAnsiTheme="majorHAnsi"/>
          <w:sz w:val="20"/>
          <w:szCs w:val="20"/>
          <w:lang w:val="es-ES_tradnl"/>
        </w:rPr>
      </w:pPr>
    </w:p>
    <w:p w:rsidR="005128E4" w:rsidRPr="004E58FA" w:rsidRDefault="005128E4" w:rsidP="00E30EC0">
      <w:pPr>
        <w:tabs>
          <w:tab w:val="center" w:pos="5400"/>
        </w:tabs>
        <w:suppressAutoHyphens/>
        <w:jc w:val="center"/>
        <w:rPr>
          <w:rFonts w:asciiTheme="majorHAnsi" w:hAnsiTheme="majorHAnsi"/>
          <w:sz w:val="20"/>
          <w:szCs w:val="20"/>
          <w:lang w:val="es-ES_tradnl"/>
        </w:rPr>
      </w:pPr>
    </w:p>
    <w:p w:rsidR="00040C3A" w:rsidRPr="004E58FA" w:rsidRDefault="00040C3A" w:rsidP="00E30EC0">
      <w:pPr>
        <w:tabs>
          <w:tab w:val="center" w:pos="5400"/>
        </w:tabs>
        <w:suppressAutoHyphens/>
        <w:jc w:val="center"/>
        <w:rPr>
          <w:rFonts w:asciiTheme="majorHAnsi" w:hAnsiTheme="majorHAnsi"/>
          <w:sz w:val="20"/>
          <w:szCs w:val="20"/>
          <w:lang w:val="es-ES_tradnl"/>
        </w:rPr>
      </w:pPr>
    </w:p>
    <w:p w:rsidR="00040C3A" w:rsidRPr="004E58FA" w:rsidRDefault="00040C3A" w:rsidP="00E30EC0">
      <w:pPr>
        <w:tabs>
          <w:tab w:val="center" w:pos="5400"/>
        </w:tabs>
        <w:suppressAutoHyphens/>
        <w:jc w:val="center"/>
        <w:rPr>
          <w:rFonts w:asciiTheme="majorHAnsi" w:hAnsiTheme="majorHAnsi"/>
          <w:sz w:val="20"/>
          <w:szCs w:val="20"/>
          <w:lang w:val="es-ES_tradnl"/>
        </w:rPr>
      </w:pP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4E58FA" w:rsidRDefault="0090270B" w:rsidP="00E30EC0">
      <w:pPr>
        <w:tabs>
          <w:tab w:val="center" w:pos="5400"/>
        </w:tabs>
        <w:suppressAutoHyphens/>
        <w:jc w:val="center"/>
        <w:rPr>
          <w:rFonts w:asciiTheme="majorHAnsi" w:hAnsiTheme="majorHAnsi"/>
          <w:sz w:val="20"/>
          <w:szCs w:val="20"/>
          <w:lang w:val="es-ES_tradnl"/>
        </w:rPr>
      </w:pPr>
      <w:r w:rsidRPr="004E58FA">
        <w:rPr>
          <w:rFonts w:asciiTheme="majorHAnsi" w:hAnsiTheme="majorHAnsi"/>
          <w:noProof/>
          <w:sz w:val="20"/>
          <w:szCs w:val="20"/>
          <w:lang w:val="en-US" w:eastAsia="en-US"/>
        </w:rPr>
        <mc:AlternateContent>
          <mc:Choice Requires="wps">
            <w:drawing>
              <wp:anchor distT="0" distB="0" distL="114300" distR="114300" simplePos="0" relativeHeight="251670528" behindDoc="0" locked="0" layoutInCell="1" allowOverlap="1" wp14:anchorId="34EAF0AC" wp14:editId="341FC0D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2701" w:rsidRPr="00890650" w:rsidRDefault="00DB270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55ECF">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355ECF">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355ECF">
                              <w:rPr>
                                <w:rFonts w:asciiTheme="majorHAnsi" w:hAnsiTheme="majorHAnsi"/>
                                <w:color w:val="0D0D0D" w:themeColor="text1" w:themeTint="F2"/>
                                <w:sz w:val="18"/>
                                <w:szCs w:val="22"/>
                                <w:lang w:val="es-ES"/>
                              </w:rPr>
                              <w:t>1</w:t>
                            </w:r>
                            <w:r w:rsidR="006439F4">
                              <w:rPr>
                                <w:rFonts w:asciiTheme="majorHAnsi" w:hAnsiTheme="majorHAnsi"/>
                                <w:color w:val="0D0D0D" w:themeColor="text1" w:themeTint="F2"/>
                                <w:sz w:val="18"/>
                                <w:szCs w:val="22"/>
                                <w:lang w:val="es-ES"/>
                              </w:rPr>
                              <w:t>.</w:t>
                            </w:r>
                          </w:p>
                          <w:p w:rsidR="00DB2701" w:rsidRPr="007A5817" w:rsidRDefault="00DB2701" w:rsidP="00247403">
                            <w:pPr>
                              <w:tabs>
                                <w:tab w:val="center" w:pos="5400"/>
                              </w:tabs>
                              <w:suppressAutoHyphens/>
                              <w:spacing w:before="60"/>
                              <w:rPr>
                                <w:rFonts w:asciiTheme="minorHAnsi" w:hAnsiTheme="minorHAnsi" w:cs="Univers"/>
                                <w:color w:val="0D0D0D" w:themeColor="text1" w:themeTint="F2"/>
                                <w:sz w:val="20"/>
                                <w:szCs w:val="20"/>
                                <w:lang w:val="es-ES"/>
                              </w:rPr>
                            </w:pPr>
                          </w:p>
                          <w:p w:rsidR="00DB2701" w:rsidRPr="00167A34" w:rsidRDefault="00DB270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AF0AC"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B2701" w:rsidRPr="00890650" w:rsidRDefault="00DB270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55ECF">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355ECF">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355ECF">
                        <w:rPr>
                          <w:rFonts w:asciiTheme="majorHAnsi" w:hAnsiTheme="majorHAnsi"/>
                          <w:color w:val="0D0D0D" w:themeColor="text1" w:themeTint="F2"/>
                          <w:sz w:val="18"/>
                          <w:szCs w:val="22"/>
                          <w:lang w:val="es-ES"/>
                        </w:rPr>
                        <w:t>1</w:t>
                      </w:r>
                      <w:r w:rsidR="006439F4">
                        <w:rPr>
                          <w:rFonts w:asciiTheme="majorHAnsi" w:hAnsiTheme="majorHAnsi"/>
                          <w:color w:val="0D0D0D" w:themeColor="text1" w:themeTint="F2"/>
                          <w:sz w:val="18"/>
                          <w:szCs w:val="22"/>
                          <w:lang w:val="es-ES"/>
                        </w:rPr>
                        <w:t>.</w:t>
                      </w:r>
                    </w:p>
                    <w:p w:rsidR="00DB2701" w:rsidRPr="007A5817" w:rsidRDefault="00DB2701" w:rsidP="00247403">
                      <w:pPr>
                        <w:tabs>
                          <w:tab w:val="center" w:pos="5400"/>
                        </w:tabs>
                        <w:suppressAutoHyphens/>
                        <w:spacing w:before="60"/>
                        <w:rPr>
                          <w:rFonts w:asciiTheme="minorHAnsi" w:hAnsiTheme="minorHAnsi" w:cs="Univers"/>
                          <w:color w:val="0D0D0D" w:themeColor="text1" w:themeTint="F2"/>
                          <w:sz w:val="20"/>
                          <w:szCs w:val="20"/>
                          <w:lang w:val="es-ES"/>
                        </w:rPr>
                      </w:pPr>
                    </w:p>
                    <w:p w:rsidR="00DB2701" w:rsidRPr="00167A34" w:rsidRDefault="00DB270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4E58FA" w:rsidRDefault="00A50FCF" w:rsidP="00E30EC0">
      <w:pPr>
        <w:tabs>
          <w:tab w:val="center" w:pos="5400"/>
        </w:tabs>
        <w:suppressAutoHyphens/>
        <w:jc w:val="center"/>
        <w:rPr>
          <w:rFonts w:asciiTheme="majorHAnsi" w:hAnsiTheme="majorHAnsi"/>
          <w:sz w:val="20"/>
          <w:szCs w:val="20"/>
          <w:lang w:val="es-ES_tradnl"/>
        </w:rPr>
      </w:pPr>
    </w:p>
    <w:p w:rsidR="00A50FCF" w:rsidRPr="00C21237" w:rsidRDefault="0090270B" w:rsidP="00E30EC0">
      <w:pPr>
        <w:tabs>
          <w:tab w:val="center" w:pos="5400"/>
        </w:tabs>
        <w:suppressAutoHyphens/>
        <w:jc w:val="center"/>
        <w:rPr>
          <w:rFonts w:asciiTheme="majorHAnsi" w:hAnsiTheme="majorHAnsi"/>
          <w:sz w:val="20"/>
          <w:szCs w:val="20"/>
          <w:lang w:val="es-ES_tradnl"/>
        </w:rPr>
      </w:pPr>
      <w:r w:rsidRPr="00C21237">
        <w:rPr>
          <w:rFonts w:asciiTheme="majorHAnsi" w:hAnsiTheme="majorHAnsi"/>
          <w:noProof/>
          <w:sz w:val="20"/>
          <w:szCs w:val="20"/>
          <w:lang w:val="en-US" w:eastAsia="en-US"/>
        </w:rPr>
        <mc:AlternateContent>
          <mc:Choice Requires="wps">
            <w:drawing>
              <wp:anchor distT="0" distB="0" distL="114300" distR="114300" simplePos="0" relativeHeight="251678720" behindDoc="0" locked="0" layoutInCell="1" allowOverlap="1" wp14:anchorId="4134CC98" wp14:editId="2199C5A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2701" w:rsidRPr="007B05C4" w:rsidRDefault="00DB270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55ECF" w:rsidRPr="00355ECF">
                              <w:rPr>
                                <w:rFonts w:asciiTheme="majorHAnsi" w:hAnsiTheme="majorHAnsi"/>
                                <w:color w:val="595959" w:themeColor="text1" w:themeTint="A6"/>
                                <w:sz w:val="18"/>
                                <w:szCs w:val="18"/>
                                <w:lang w:val="pt-BR"/>
                              </w:rPr>
                              <w:t>38</w:t>
                            </w:r>
                            <w:r w:rsidRPr="00355ECF">
                              <w:rPr>
                                <w:rFonts w:asciiTheme="majorHAnsi" w:hAnsiTheme="majorHAnsi"/>
                                <w:color w:val="595959" w:themeColor="text1" w:themeTint="A6"/>
                                <w:sz w:val="18"/>
                                <w:szCs w:val="18"/>
                                <w:lang w:val="pt-BR"/>
                              </w:rPr>
                              <w:t>/</w:t>
                            </w:r>
                            <w:r w:rsidR="00355ECF" w:rsidRPr="00355ECF">
                              <w:rPr>
                                <w:rFonts w:asciiTheme="majorHAnsi" w:hAnsiTheme="majorHAnsi"/>
                                <w:color w:val="595959" w:themeColor="text1" w:themeTint="A6"/>
                                <w:sz w:val="18"/>
                                <w:szCs w:val="18"/>
                                <w:lang w:val="pt-BR"/>
                              </w:rPr>
                              <w:t>21</w:t>
                            </w:r>
                            <w:r w:rsidRPr="00355ECF">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355ECF">
                              <w:rPr>
                                <w:rFonts w:asciiTheme="majorHAnsi" w:hAnsiTheme="majorHAnsi"/>
                                <w:color w:val="595959" w:themeColor="text1" w:themeTint="A6"/>
                                <w:sz w:val="18"/>
                                <w:szCs w:val="18"/>
                                <w:lang w:val="es-ES"/>
                              </w:rPr>
                              <w:t>1534</w:t>
                            </w:r>
                            <w:r>
                              <w:rPr>
                                <w:rFonts w:asciiTheme="majorHAnsi" w:hAnsiTheme="majorHAnsi"/>
                                <w:color w:val="595959" w:themeColor="text1" w:themeTint="A6"/>
                                <w:sz w:val="18"/>
                                <w:szCs w:val="18"/>
                                <w:lang w:val="es-ES"/>
                              </w:rPr>
                              <w:t>-</w:t>
                            </w:r>
                            <w:r w:rsidR="00355ECF">
                              <w:rPr>
                                <w:rFonts w:asciiTheme="majorHAnsi" w:hAnsiTheme="majorHAnsi"/>
                                <w:color w:val="595959" w:themeColor="text1" w:themeTint="A6"/>
                                <w:sz w:val="18"/>
                                <w:szCs w:val="18"/>
                                <w:lang w:val="es-ES"/>
                              </w:rPr>
                              <w:t>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55ECF">
                              <w:rPr>
                                <w:rFonts w:asciiTheme="majorHAnsi" w:hAnsiTheme="majorHAnsi"/>
                                <w:color w:val="595959" w:themeColor="text1" w:themeTint="A6"/>
                                <w:sz w:val="18"/>
                                <w:szCs w:val="18"/>
                                <w:lang w:val="es-ES_tradnl"/>
                              </w:rPr>
                              <w:t xml:space="preserve">Segundo Leovigildo </w:t>
                            </w:r>
                            <w:proofErr w:type="spellStart"/>
                            <w:r w:rsidR="00355ECF">
                              <w:rPr>
                                <w:rFonts w:asciiTheme="majorHAnsi" w:hAnsiTheme="majorHAnsi"/>
                                <w:color w:val="595959" w:themeColor="text1" w:themeTint="A6"/>
                                <w:sz w:val="18"/>
                                <w:szCs w:val="18"/>
                                <w:lang w:val="es-ES_tradnl"/>
                              </w:rPr>
                              <w:t>Yoplac</w:t>
                            </w:r>
                            <w:proofErr w:type="spellEnd"/>
                            <w:r w:rsidR="00355ECF">
                              <w:rPr>
                                <w:rFonts w:asciiTheme="majorHAnsi" w:hAnsiTheme="majorHAnsi"/>
                                <w:color w:val="595959" w:themeColor="text1" w:themeTint="A6"/>
                                <w:sz w:val="18"/>
                                <w:szCs w:val="18"/>
                                <w:lang w:val="es-ES_tradnl"/>
                              </w:rPr>
                              <w:t xml:space="preserve"> </w:t>
                            </w:r>
                            <w:proofErr w:type="spellStart"/>
                            <w:r w:rsidR="00355ECF">
                              <w:rPr>
                                <w:rFonts w:asciiTheme="majorHAnsi" w:hAnsiTheme="majorHAnsi"/>
                                <w:color w:val="595959" w:themeColor="text1" w:themeTint="A6"/>
                                <w:sz w:val="18"/>
                                <w:szCs w:val="18"/>
                                <w:lang w:val="es-ES_tradnl"/>
                              </w:rPr>
                              <w:t>Requejo</w:t>
                            </w:r>
                            <w:proofErr w:type="spellEnd"/>
                            <w:r w:rsidR="00355ECF">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355ECF">
                              <w:rPr>
                                <w:rFonts w:asciiTheme="majorHAnsi" w:hAnsiTheme="majorHAnsi"/>
                                <w:color w:val="595959" w:themeColor="text1" w:themeTint="A6"/>
                                <w:sz w:val="18"/>
                                <w:szCs w:val="18"/>
                                <w:lang w:val="es-ES_tradnl"/>
                              </w:rPr>
                              <w:t>Per</w:t>
                            </w:r>
                            <w:r w:rsidR="00355ECF">
                              <w:rPr>
                                <w:rFonts w:asciiTheme="majorHAnsi" w:hAnsiTheme="majorHAnsi"/>
                                <w:color w:val="595959" w:themeColor="text1" w:themeTint="A6"/>
                                <w:sz w:val="18"/>
                                <w:szCs w:val="18"/>
                                <w:lang w:val="en-US"/>
                              </w:rPr>
                              <w:t>ú.</w:t>
                            </w:r>
                            <w:r w:rsidRPr="00890650">
                              <w:rPr>
                                <w:rFonts w:asciiTheme="majorHAnsi" w:hAnsiTheme="majorHAnsi"/>
                                <w:color w:val="595959" w:themeColor="text1" w:themeTint="A6"/>
                                <w:sz w:val="18"/>
                                <w:szCs w:val="18"/>
                                <w:lang w:val="es-ES_tradnl"/>
                              </w:rPr>
                              <w:t xml:space="preserve"> </w:t>
                            </w:r>
                            <w:r w:rsidR="00355ECF">
                              <w:rPr>
                                <w:rFonts w:asciiTheme="majorHAnsi" w:hAnsiTheme="majorHAnsi"/>
                                <w:color w:val="595959" w:themeColor="text1" w:themeTint="A6"/>
                                <w:sz w:val="18"/>
                                <w:szCs w:val="18"/>
                                <w:lang w:val="es-ES"/>
                              </w:rPr>
                              <w:t>2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34CC98"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B2701" w:rsidRPr="007B05C4" w:rsidRDefault="00DB270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55ECF" w:rsidRPr="00355ECF">
                        <w:rPr>
                          <w:rFonts w:asciiTheme="majorHAnsi" w:hAnsiTheme="majorHAnsi"/>
                          <w:color w:val="595959" w:themeColor="text1" w:themeTint="A6"/>
                          <w:sz w:val="18"/>
                          <w:szCs w:val="18"/>
                          <w:lang w:val="pt-BR"/>
                        </w:rPr>
                        <w:t>38</w:t>
                      </w:r>
                      <w:r w:rsidRPr="00355ECF">
                        <w:rPr>
                          <w:rFonts w:asciiTheme="majorHAnsi" w:hAnsiTheme="majorHAnsi"/>
                          <w:color w:val="595959" w:themeColor="text1" w:themeTint="A6"/>
                          <w:sz w:val="18"/>
                          <w:szCs w:val="18"/>
                          <w:lang w:val="pt-BR"/>
                        </w:rPr>
                        <w:t>/</w:t>
                      </w:r>
                      <w:r w:rsidR="00355ECF" w:rsidRPr="00355ECF">
                        <w:rPr>
                          <w:rFonts w:asciiTheme="majorHAnsi" w:hAnsiTheme="majorHAnsi"/>
                          <w:color w:val="595959" w:themeColor="text1" w:themeTint="A6"/>
                          <w:sz w:val="18"/>
                          <w:szCs w:val="18"/>
                          <w:lang w:val="pt-BR"/>
                        </w:rPr>
                        <w:t>21</w:t>
                      </w:r>
                      <w:r w:rsidRPr="00355ECF">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355ECF">
                        <w:rPr>
                          <w:rFonts w:asciiTheme="majorHAnsi" w:hAnsiTheme="majorHAnsi"/>
                          <w:color w:val="595959" w:themeColor="text1" w:themeTint="A6"/>
                          <w:sz w:val="18"/>
                          <w:szCs w:val="18"/>
                          <w:lang w:val="es-ES"/>
                        </w:rPr>
                        <w:t>1534</w:t>
                      </w:r>
                      <w:r>
                        <w:rPr>
                          <w:rFonts w:asciiTheme="majorHAnsi" w:hAnsiTheme="majorHAnsi"/>
                          <w:color w:val="595959" w:themeColor="text1" w:themeTint="A6"/>
                          <w:sz w:val="18"/>
                          <w:szCs w:val="18"/>
                          <w:lang w:val="es-ES"/>
                        </w:rPr>
                        <w:t>-</w:t>
                      </w:r>
                      <w:r w:rsidR="00355ECF">
                        <w:rPr>
                          <w:rFonts w:asciiTheme="majorHAnsi" w:hAnsiTheme="majorHAnsi"/>
                          <w:color w:val="595959" w:themeColor="text1" w:themeTint="A6"/>
                          <w:sz w:val="18"/>
                          <w:szCs w:val="18"/>
                          <w:lang w:val="es-ES"/>
                        </w:rPr>
                        <w:t>08</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55ECF">
                        <w:rPr>
                          <w:rFonts w:asciiTheme="majorHAnsi" w:hAnsiTheme="majorHAnsi"/>
                          <w:color w:val="595959" w:themeColor="text1" w:themeTint="A6"/>
                          <w:sz w:val="18"/>
                          <w:szCs w:val="18"/>
                          <w:lang w:val="es-ES_tradnl"/>
                        </w:rPr>
                        <w:t xml:space="preserve">Segundo Leovigildo </w:t>
                      </w:r>
                      <w:proofErr w:type="spellStart"/>
                      <w:r w:rsidR="00355ECF">
                        <w:rPr>
                          <w:rFonts w:asciiTheme="majorHAnsi" w:hAnsiTheme="majorHAnsi"/>
                          <w:color w:val="595959" w:themeColor="text1" w:themeTint="A6"/>
                          <w:sz w:val="18"/>
                          <w:szCs w:val="18"/>
                          <w:lang w:val="es-ES_tradnl"/>
                        </w:rPr>
                        <w:t>Yoplac</w:t>
                      </w:r>
                      <w:proofErr w:type="spellEnd"/>
                      <w:r w:rsidR="00355ECF">
                        <w:rPr>
                          <w:rFonts w:asciiTheme="majorHAnsi" w:hAnsiTheme="majorHAnsi"/>
                          <w:color w:val="595959" w:themeColor="text1" w:themeTint="A6"/>
                          <w:sz w:val="18"/>
                          <w:szCs w:val="18"/>
                          <w:lang w:val="es-ES_tradnl"/>
                        </w:rPr>
                        <w:t xml:space="preserve"> </w:t>
                      </w:r>
                      <w:proofErr w:type="spellStart"/>
                      <w:r w:rsidR="00355ECF">
                        <w:rPr>
                          <w:rFonts w:asciiTheme="majorHAnsi" w:hAnsiTheme="majorHAnsi"/>
                          <w:color w:val="595959" w:themeColor="text1" w:themeTint="A6"/>
                          <w:sz w:val="18"/>
                          <w:szCs w:val="18"/>
                          <w:lang w:val="es-ES_tradnl"/>
                        </w:rPr>
                        <w:t>Requejo</w:t>
                      </w:r>
                      <w:proofErr w:type="spellEnd"/>
                      <w:r w:rsidR="00355ECF">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355ECF">
                        <w:rPr>
                          <w:rFonts w:asciiTheme="majorHAnsi" w:hAnsiTheme="majorHAnsi"/>
                          <w:color w:val="595959" w:themeColor="text1" w:themeTint="A6"/>
                          <w:sz w:val="18"/>
                          <w:szCs w:val="18"/>
                          <w:lang w:val="es-ES_tradnl"/>
                        </w:rPr>
                        <w:t>Per</w:t>
                      </w:r>
                      <w:r w:rsidR="00355ECF">
                        <w:rPr>
                          <w:rFonts w:asciiTheme="majorHAnsi" w:hAnsiTheme="majorHAnsi"/>
                          <w:color w:val="595959" w:themeColor="text1" w:themeTint="A6"/>
                          <w:sz w:val="18"/>
                          <w:szCs w:val="18"/>
                          <w:lang w:val="en-US"/>
                        </w:rPr>
                        <w:t>ú.</w:t>
                      </w:r>
                      <w:r w:rsidRPr="00890650">
                        <w:rPr>
                          <w:rFonts w:asciiTheme="majorHAnsi" w:hAnsiTheme="majorHAnsi"/>
                          <w:color w:val="595959" w:themeColor="text1" w:themeTint="A6"/>
                          <w:sz w:val="18"/>
                          <w:szCs w:val="18"/>
                          <w:lang w:val="es-ES_tradnl"/>
                        </w:rPr>
                        <w:t xml:space="preserve"> </w:t>
                      </w:r>
                      <w:r w:rsidR="00355ECF">
                        <w:rPr>
                          <w:rFonts w:asciiTheme="majorHAnsi" w:hAnsiTheme="majorHAnsi"/>
                          <w:color w:val="595959" w:themeColor="text1" w:themeTint="A6"/>
                          <w:sz w:val="18"/>
                          <w:szCs w:val="18"/>
                          <w:lang w:val="es-ES"/>
                        </w:rPr>
                        <w:t>2 de marzo de 2021</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C21237" w:rsidRDefault="00A50FCF" w:rsidP="00E30EC0">
      <w:pPr>
        <w:tabs>
          <w:tab w:val="center" w:pos="5400"/>
        </w:tabs>
        <w:suppressAutoHyphens/>
        <w:jc w:val="center"/>
        <w:rPr>
          <w:rFonts w:asciiTheme="majorHAnsi" w:hAnsiTheme="majorHAnsi"/>
          <w:sz w:val="20"/>
          <w:szCs w:val="20"/>
          <w:lang w:val="es-ES_tradnl"/>
        </w:rPr>
      </w:pPr>
    </w:p>
    <w:p w:rsidR="0090270B" w:rsidRPr="00C21237" w:rsidRDefault="00D306D1" w:rsidP="00E30EC0">
      <w:pPr>
        <w:tabs>
          <w:tab w:val="center" w:pos="5400"/>
        </w:tabs>
        <w:suppressAutoHyphens/>
        <w:jc w:val="center"/>
        <w:rPr>
          <w:rFonts w:asciiTheme="majorHAnsi" w:hAnsiTheme="majorHAnsi"/>
          <w:b/>
          <w:sz w:val="20"/>
          <w:szCs w:val="20"/>
          <w:lang w:val="es-ES_tradnl"/>
        </w:rPr>
      </w:pPr>
      <w:r w:rsidRPr="00C21237">
        <w:rPr>
          <w:rFonts w:asciiTheme="majorHAnsi" w:hAnsiTheme="majorHAnsi"/>
          <w:noProof/>
          <w:sz w:val="20"/>
          <w:szCs w:val="20"/>
          <w:lang w:val="en-US" w:eastAsia="en-US"/>
        </w:rPr>
        <mc:AlternateContent>
          <mc:Choice Requires="wps">
            <w:drawing>
              <wp:anchor distT="0" distB="0" distL="114300" distR="114300" simplePos="0" relativeHeight="251680768" behindDoc="0" locked="0" layoutInCell="1" allowOverlap="1" wp14:anchorId="23414B40" wp14:editId="1AF0A21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2701" w:rsidRPr="00D72DC6" w:rsidRDefault="006D7480" w:rsidP="00F02AD1">
                            <w:pPr>
                              <w:rPr>
                                <w:color w:val="FFFFFF" w:themeColor="background1"/>
                                <w14:textFill>
                                  <w14:noFill/>
                                </w14:textFill>
                              </w:rPr>
                            </w:pPr>
                            <w:r>
                              <w:rPr>
                                <w:noProof/>
                                <w:color w:val="FFFFFF" w:themeColor="background1"/>
                                <w:lang w:val="en-US"/>
                              </w:rPr>
                              <w:drawing>
                                <wp:inline distT="0" distB="0" distL="0" distR="0" wp14:anchorId="6DA08FDD" wp14:editId="43BC1010">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14B40"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B2701" w:rsidRPr="00D72DC6" w:rsidRDefault="006D7480" w:rsidP="00F02AD1">
                      <w:pPr>
                        <w:rPr>
                          <w:color w:val="FFFFFF" w:themeColor="background1"/>
                          <w14:textFill>
                            <w14:noFill/>
                          </w14:textFill>
                        </w:rPr>
                      </w:pPr>
                      <w:r>
                        <w:rPr>
                          <w:noProof/>
                          <w:color w:val="FFFFFF" w:themeColor="background1"/>
                          <w:lang w:val="en-US"/>
                        </w:rPr>
                        <w:drawing>
                          <wp:inline distT="0" distB="0" distL="0" distR="0" wp14:anchorId="6DA08FDD" wp14:editId="43BC1010">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C21237">
        <w:rPr>
          <w:rFonts w:asciiTheme="majorHAnsi" w:hAnsiTheme="majorHAnsi"/>
          <w:noProof/>
          <w:sz w:val="20"/>
          <w:szCs w:val="20"/>
          <w:lang w:val="en-US" w:eastAsia="en-US"/>
        </w:rPr>
        <mc:AlternateContent>
          <mc:Choice Requires="wps">
            <w:drawing>
              <wp:anchor distT="0" distB="0" distL="114300" distR="114300" simplePos="0" relativeHeight="251682816" behindDoc="0" locked="0" layoutInCell="1" allowOverlap="1" wp14:anchorId="1C86AC37" wp14:editId="7589706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2701" w:rsidRPr="004B7EB6" w:rsidRDefault="00DB270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C86AC3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B2701" w:rsidRPr="004B7EB6" w:rsidRDefault="00DB270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C21237" w:rsidRDefault="004A6A54" w:rsidP="00E30EC0">
      <w:pPr>
        <w:tabs>
          <w:tab w:val="center" w:pos="5400"/>
        </w:tabs>
        <w:suppressAutoHyphens/>
        <w:jc w:val="center"/>
        <w:rPr>
          <w:rFonts w:asciiTheme="majorHAnsi" w:hAnsiTheme="majorHAnsi"/>
          <w:b/>
          <w:sz w:val="20"/>
          <w:szCs w:val="20"/>
          <w:lang w:val="es-ES_tradnl"/>
        </w:rPr>
        <w:sectPr w:rsidR="0070697F" w:rsidRPr="00C21237"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C21237">
        <w:rPr>
          <w:rFonts w:asciiTheme="majorHAnsi" w:hAnsiTheme="majorHAnsi"/>
          <w:b/>
          <w:sz w:val="20"/>
          <w:szCs w:val="20"/>
          <w:lang w:val="es-ES_tradnl"/>
        </w:rPr>
        <w:tab/>
      </w:r>
    </w:p>
    <w:p w:rsidR="003239B8" w:rsidRPr="00C21237" w:rsidRDefault="003239B8" w:rsidP="00E30EC0">
      <w:pPr>
        <w:ind w:firstLine="720"/>
        <w:jc w:val="both"/>
        <w:rPr>
          <w:rFonts w:asciiTheme="majorHAnsi" w:hAnsiTheme="majorHAnsi"/>
          <w:b/>
          <w:bCs/>
          <w:sz w:val="20"/>
          <w:szCs w:val="20"/>
          <w:lang w:val="es-ES"/>
        </w:rPr>
      </w:pPr>
      <w:r w:rsidRPr="00C21237">
        <w:rPr>
          <w:rFonts w:asciiTheme="majorHAnsi" w:hAnsiTheme="majorHAnsi"/>
          <w:b/>
          <w:bCs/>
          <w:sz w:val="20"/>
          <w:szCs w:val="20"/>
          <w:lang w:val="es-ES"/>
        </w:rPr>
        <w:lastRenderedPageBreak/>
        <w:t>I.</w:t>
      </w:r>
      <w:r w:rsidRPr="00C21237">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83275" w:rsidTr="004A6A54">
        <w:tc>
          <w:tcPr>
            <w:tcW w:w="3600" w:type="dxa"/>
            <w:tcBorders>
              <w:top w:val="single" w:sz="4" w:space="0" w:color="auto"/>
              <w:bottom w:val="single" w:sz="6" w:space="0" w:color="auto"/>
            </w:tcBorders>
            <w:shd w:val="clear" w:color="auto" w:fill="386294"/>
            <w:vAlign w:val="center"/>
          </w:tcPr>
          <w:p w:rsidR="003239B8" w:rsidRPr="00C21237" w:rsidRDefault="000A0E3F" w:rsidP="00E30EC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 xml:space="preserve">  </w:t>
            </w:r>
            <w:r w:rsidR="00900268">
              <w:rPr>
                <w:rFonts w:asciiTheme="majorHAnsi" w:hAnsiTheme="majorHAnsi"/>
                <w:b/>
                <w:bCs/>
                <w:color w:val="FFFFFF" w:themeColor="background1"/>
                <w:sz w:val="20"/>
                <w:szCs w:val="20"/>
              </w:rPr>
              <w:t xml:space="preserve">Parte </w:t>
            </w:r>
            <w:proofErr w:type="spellStart"/>
            <w:r w:rsidR="00900268">
              <w:rPr>
                <w:rFonts w:asciiTheme="majorHAnsi" w:hAnsiTheme="majorHAnsi"/>
                <w:b/>
                <w:bCs/>
                <w:color w:val="FFFFFF" w:themeColor="background1"/>
                <w:sz w:val="20"/>
                <w:szCs w:val="20"/>
              </w:rPr>
              <w:t>peticionaria</w:t>
            </w:r>
            <w:proofErr w:type="spellEnd"/>
          </w:p>
        </w:tc>
        <w:tc>
          <w:tcPr>
            <w:tcW w:w="5760" w:type="dxa"/>
            <w:vAlign w:val="center"/>
          </w:tcPr>
          <w:p w:rsidR="003239B8" w:rsidRPr="00C21237" w:rsidRDefault="002524F6" w:rsidP="00E30EC0">
            <w:pPr>
              <w:jc w:val="both"/>
              <w:rPr>
                <w:rFonts w:asciiTheme="majorHAnsi" w:hAnsiTheme="majorHAnsi"/>
                <w:bCs/>
                <w:sz w:val="20"/>
                <w:szCs w:val="20"/>
                <w:lang w:val="es-AR"/>
              </w:rPr>
            </w:pPr>
            <w:r w:rsidRPr="002524F6">
              <w:rPr>
                <w:rFonts w:asciiTheme="majorHAnsi" w:hAnsiTheme="majorHAnsi"/>
                <w:bCs/>
                <w:sz w:val="20"/>
                <w:szCs w:val="20"/>
                <w:lang w:val="es-US"/>
              </w:rPr>
              <w:t>A</w:t>
            </w:r>
            <w:r>
              <w:rPr>
                <w:rFonts w:asciiTheme="majorHAnsi" w:hAnsiTheme="majorHAnsi"/>
                <w:bCs/>
                <w:sz w:val="20"/>
                <w:szCs w:val="20"/>
                <w:lang w:val="es-US"/>
              </w:rPr>
              <w:t>sociación Refle</w:t>
            </w:r>
            <w:r w:rsidR="00C249BE">
              <w:rPr>
                <w:rFonts w:asciiTheme="majorHAnsi" w:hAnsiTheme="majorHAnsi"/>
                <w:bCs/>
                <w:sz w:val="20"/>
                <w:szCs w:val="20"/>
                <w:lang w:val="es-US"/>
              </w:rPr>
              <w:t>xión de Inocentes Liberados</w:t>
            </w:r>
          </w:p>
        </w:tc>
      </w:tr>
      <w:tr w:rsidR="003239B8" w:rsidRPr="00583275" w:rsidTr="004A6A54">
        <w:tc>
          <w:tcPr>
            <w:tcW w:w="3600" w:type="dxa"/>
            <w:tcBorders>
              <w:top w:val="single" w:sz="6" w:space="0" w:color="auto"/>
              <w:bottom w:val="single" w:sz="6" w:space="0" w:color="auto"/>
            </w:tcBorders>
            <w:shd w:val="clear" w:color="auto" w:fill="386294"/>
            <w:vAlign w:val="center"/>
          </w:tcPr>
          <w:p w:rsidR="003239B8" w:rsidRPr="00C21237" w:rsidRDefault="001161B9" w:rsidP="00E30EC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C770C" w:rsidRPr="00C21237">
                  <w:rPr>
                    <w:rFonts w:asciiTheme="majorHAnsi" w:hAnsiTheme="majorHAnsi"/>
                    <w:b/>
                    <w:bCs/>
                    <w:color w:val="FFFFFF" w:themeColor="background1"/>
                    <w:sz w:val="20"/>
                    <w:szCs w:val="20"/>
                  </w:rPr>
                  <w:t>Presunta víctima</w:t>
                </w:r>
              </w:sdtContent>
            </w:sdt>
          </w:p>
        </w:tc>
        <w:tc>
          <w:tcPr>
            <w:tcW w:w="5760" w:type="dxa"/>
            <w:vAlign w:val="center"/>
          </w:tcPr>
          <w:p w:rsidR="003239B8" w:rsidRPr="00C21237" w:rsidRDefault="00166066" w:rsidP="00E30EC0">
            <w:pPr>
              <w:jc w:val="both"/>
              <w:rPr>
                <w:rFonts w:asciiTheme="majorHAnsi" w:hAnsiTheme="majorHAnsi"/>
                <w:bCs/>
                <w:sz w:val="20"/>
                <w:szCs w:val="20"/>
                <w:lang w:val="es-ES"/>
              </w:rPr>
            </w:pPr>
            <w:r>
              <w:rPr>
                <w:rFonts w:asciiTheme="majorHAnsi" w:hAnsiTheme="majorHAnsi"/>
                <w:bCs/>
                <w:sz w:val="20"/>
                <w:szCs w:val="20"/>
                <w:lang w:val="es-US"/>
              </w:rPr>
              <w:t xml:space="preserve">Segundo Leovigildo </w:t>
            </w:r>
            <w:proofErr w:type="spellStart"/>
            <w:r>
              <w:rPr>
                <w:rFonts w:asciiTheme="majorHAnsi" w:hAnsiTheme="majorHAnsi"/>
                <w:bCs/>
                <w:sz w:val="20"/>
                <w:szCs w:val="20"/>
                <w:lang w:val="es-US"/>
              </w:rPr>
              <w:t>Yóplac</w:t>
            </w:r>
            <w:proofErr w:type="spellEnd"/>
            <w:r>
              <w:rPr>
                <w:rFonts w:asciiTheme="majorHAnsi" w:hAnsiTheme="majorHAnsi"/>
                <w:bCs/>
                <w:sz w:val="20"/>
                <w:szCs w:val="20"/>
                <w:lang w:val="es-US"/>
              </w:rPr>
              <w:t xml:space="preserve"> </w:t>
            </w:r>
            <w:proofErr w:type="spellStart"/>
            <w:r>
              <w:rPr>
                <w:rFonts w:asciiTheme="majorHAnsi" w:hAnsiTheme="majorHAnsi"/>
                <w:bCs/>
                <w:sz w:val="20"/>
                <w:szCs w:val="20"/>
                <w:lang w:val="es-US"/>
              </w:rPr>
              <w:t>Requejo</w:t>
            </w:r>
            <w:proofErr w:type="spellEnd"/>
            <w:r>
              <w:rPr>
                <w:rFonts w:asciiTheme="majorHAnsi" w:hAnsiTheme="majorHAnsi"/>
                <w:bCs/>
                <w:sz w:val="20"/>
                <w:szCs w:val="20"/>
                <w:lang w:val="es-US"/>
              </w:rPr>
              <w:t xml:space="preserve"> y otros</w:t>
            </w:r>
            <w:r w:rsidR="002524F6" w:rsidRPr="00C21237">
              <w:rPr>
                <w:rStyle w:val="FootnoteReference"/>
                <w:rFonts w:asciiTheme="majorHAnsi" w:hAnsiTheme="majorHAnsi"/>
                <w:bCs/>
                <w:sz w:val="20"/>
                <w:szCs w:val="20"/>
              </w:rPr>
              <w:footnoteReference w:id="2"/>
            </w:r>
          </w:p>
        </w:tc>
      </w:tr>
      <w:tr w:rsidR="003239B8" w:rsidRPr="00C21237" w:rsidTr="004A6A54">
        <w:tc>
          <w:tcPr>
            <w:tcW w:w="3600" w:type="dxa"/>
            <w:tcBorders>
              <w:top w:val="single" w:sz="6" w:space="0" w:color="auto"/>
              <w:bottom w:val="single" w:sz="6" w:space="0" w:color="auto"/>
            </w:tcBorders>
            <w:shd w:val="clear" w:color="auto" w:fill="386294"/>
            <w:vAlign w:val="center"/>
          </w:tcPr>
          <w:p w:rsidR="003239B8" w:rsidRPr="00C21237" w:rsidRDefault="000A0E3F" w:rsidP="00E30EC0">
            <w:pPr>
              <w:jc w:val="center"/>
              <w:rPr>
                <w:rFonts w:asciiTheme="majorHAnsi" w:hAnsiTheme="majorHAnsi"/>
                <w:b/>
                <w:bCs/>
                <w:color w:val="FFFFFF" w:themeColor="background1"/>
                <w:sz w:val="20"/>
                <w:szCs w:val="20"/>
              </w:rPr>
            </w:pPr>
            <w:r w:rsidRPr="00467815">
              <w:rPr>
                <w:rFonts w:asciiTheme="majorHAnsi" w:hAnsiTheme="majorHAnsi"/>
                <w:b/>
                <w:bCs/>
                <w:color w:val="FFFFFF" w:themeColor="background1"/>
                <w:sz w:val="20"/>
                <w:szCs w:val="20"/>
                <w:lang w:val="es-US"/>
              </w:rPr>
              <w:t xml:space="preserve">   </w:t>
            </w:r>
            <w:proofErr w:type="spellStart"/>
            <w:r w:rsidR="00900268">
              <w:rPr>
                <w:rFonts w:asciiTheme="majorHAnsi" w:hAnsiTheme="majorHAnsi"/>
                <w:b/>
                <w:bCs/>
                <w:color w:val="FFFFFF" w:themeColor="background1"/>
                <w:sz w:val="20"/>
                <w:szCs w:val="20"/>
              </w:rPr>
              <w:t>Estado</w:t>
            </w:r>
            <w:proofErr w:type="spellEnd"/>
            <w:r w:rsidR="00900268">
              <w:rPr>
                <w:rFonts w:asciiTheme="majorHAnsi" w:hAnsiTheme="majorHAnsi"/>
                <w:b/>
                <w:bCs/>
                <w:color w:val="FFFFFF" w:themeColor="background1"/>
                <w:sz w:val="20"/>
                <w:szCs w:val="20"/>
              </w:rPr>
              <w:t xml:space="preserve"> </w:t>
            </w:r>
            <w:proofErr w:type="spellStart"/>
            <w:r w:rsidR="00900268">
              <w:rPr>
                <w:rFonts w:asciiTheme="majorHAnsi" w:hAnsiTheme="majorHAnsi"/>
                <w:b/>
                <w:bCs/>
                <w:color w:val="FFFFFF" w:themeColor="background1"/>
                <w:sz w:val="20"/>
                <w:szCs w:val="20"/>
              </w:rPr>
              <w:t>denunciado</w:t>
            </w:r>
            <w:proofErr w:type="spellEnd"/>
          </w:p>
        </w:tc>
        <w:tc>
          <w:tcPr>
            <w:tcW w:w="5760" w:type="dxa"/>
            <w:vAlign w:val="center"/>
          </w:tcPr>
          <w:p w:rsidR="003239B8" w:rsidRPr="00C21237" w:rsidRDefault="008D5BA9" w:rsidP="00E30EC0">
            <w:pPr>
              <w:jc w:val="both"/>
              <w:rPr>
                <w:rFonts w:asciiTheme="majorHAnsi" w:hAnsiTheme="majorHAnsi"/>
                <w:bCs/>
                <w:sz w:val="20"/>
                <w:szCs w:val="20"/>
              </w:rPr>
            </w:pPr>
            <w:proofErr w:type="spellStart"/>
            <w:r w:rsidRPr="00C21237">
              <w:rPr>
                <w:rFonts w:asciiTheme="majorHAnsi" w:hAnsiTheme="majorHAnsi"/>
                <w:bCs/>
                <w:sz w:val="20"/>
                <w:szCs w:val="20"/>
              </w:rPr>
              <w:t>Perú</w:t>
            </w:r>
            <w:proofErr w:type="spellEnd"/>
            <w:r w:rsidR="00355ECF">
              <w:rPr>
                <w:rStyle w:val="FootnoteReference"/>
                <w:rFonts w:asciiTheme="majorHAnsi" w:hAnsiTheme="majorHAnsi"/>
                <w:bCs/>
                <w:sz w:val="20"/>
                <w:szCs w:val="20"/>
              </w:rPr>
              <w:footnoteReference w:id="3"/>
            </w:r>
          </w:p>
        </w:tc>
      </w:tr>
      <w:tr w:rsidR="00881DC3" w:rsidRPr="00583275" w:rsidTr="004A6A54">
        <w:tc>
          <w:tcPr>
            <w:tcW w:w="3600" w:type="dxa"/>
            <w:tcBorders>
              <w:top w:val="single" w:sz="6" w:space="0" w:color="auto"/>
              <w:bottom w:val="single" w:sz="6" w:space="0" w:color="auto"/>
            </w:tcBorders>
            <w:shd w:val="clear" w:color="auto" w:fill="386294"/>
            <w:vAlign w:val="center"/>
          </w:tcPr>
          <w:p w:rsidR="00881DC3" w:rsidRPr="00C21237" w:rsidRDefault="00881DC3" w:rsidP="00E30EC0">
            <w:pPr>
              <w:jc w:val="center"/>
              <w:rPr>
                <w:rFonts w:asciiTheme="majorHAnsi" w:hAnsiTheme="majorHAnsi"/>
                <w:b/>
                <w:bCs/>
                <w:color w:val="FFFFFF" w:themeColor="background1"/>
                <w:sz w:val="20"/>
                <w:szCs w:val="20"/>
              </w:rPr>
            </w:pPr>
            <w:r>
              <w:rPr>
                <w:rFonts w:asciiTheme="majorHAnsi" w:hAnsiTheme="majorHAnsi"/>
                <w:b/>
                <w:bCs/>
                <w:color w:val="FFFFFF" w:themeColor="background1"/>
                <w:sz w:val="20"/>
                <w:szCs w:val="20"/>
              </w:rPr>
              <w:t xml:space="preserve">    </w:t>
            </w:r>
            <w:proofErr w:type="spellStart"/>
            <w:r w:rsidRPr="00C21237">
              <w:rPr>
                <w:rFonts w:asciiTheme="majorHAnsi" w:hAnsiTheme="majorHAnsi"/>
                <w:b/>
                <w:bCs/>
                <w:color w:val="FFFFFF" w:themeColor="background1"/>
                <w:sz w:val="20"/>
                <w:szCs w:val="20"/>
              </w:rPr>
              <w:t>Derechos</w:t>
            </w:r>
            <w:proofErr w:type="spellEnd"/>
            <w:r w:rsidRPr="00C21237">
              <w:rPr>
                <w:rFonts w:asciiTheme="majorHAnsi" w:hAnsiTheme="majorHAnsi"/>
                <w:b/>
                <w:bCs/>
                <w:color w:val="FFFFFF" w:themeColor="background1"/>
                <w:sz w:val="20"/>
                <w:szCs w:val="20"/>
              </w:rPr>
              <w:t xml:space="preserve"> </w:t>
            </w:r>
            <w:proofErr w:type="spellStart"/>
            <w:r w:rsidRPr="00C21237">
              <w:rPr>
                <w:rFonts w:asciiTheme="majorHAnsi" w:hAnsiTheme="majorHAnsi"/>
                <w:b/>
                <w:bCs/>
                <w:color w:val="FFFFFF" w:themeColor="background1"/>
                <w:sz w:val="20"/>
                <w:szCs w:val="20"/>
              </w:rPr>
              <w:t>invocados</w:t>
            </w:r>
            <w:proofErr w:type="spellEnd"/>
          </w:p>
        </w:tc>
        <w:tc>
          <w:tcPr>
            <w:tcW w:w="5760" w:type="dxa"/>
            <w:vAlign w:val="center"/>
          </w:tcPr>
          <w:p w:rsidR="00881DC3" w:rsidRPr="002827CA" w:rsidRDefault="00881DC3" w:rsidP="00E30EC0">
            <w:pPr>
              <w:jc w:val="both"/>
              <w:rPr>
                <w:rFonts w:asciiTheme="majorHAnsi" w:hAnsiTheme="majorHAnsi"/>
                <w:bCs/>
                <w:sz w:val="20"/>
                <w:szCs w:val="20"/>
                <w:lang w:val="es-CO"/>
              </w:rPr>
            </w:pPr>
            <w:r w:rsidRPr="00C21237">
              <w:rPr>
                <w:rFonts w:asciiTheme="majorHAnsi" w:hAnsiTheme="majorHAnsi"/>
                <w:bCs/>
                <w:sz w:val="20"/>
                <w:szCs w:val="20"/>
                <w:lang w:val="es-AR"/>
              </w:rPr>
              <w:t>Artí</w:t>
            </w:r>
            <w:r>
              <w:rPr>
                <w:rFonts w:asciiTheme="majorHAnsi" w:hAnsiTheme="majorHAnsi"/>
                <w:bCs/>
                <w:sz w:val="20"/>
                <w:szCs w:val="20"/>
                <w:lang w:val="es-AR"/>
              </w:rPr>
              <w:t xml:space="preserve">culos 5 (integridad personal), 7 (libertad personal), </w:t>
            </w:r>
            <w:r w:rsidRPr="00F76D66">
              <w:rPr>
                <w:rFonts w:asciiTheme="majorHAnsi" w:hAnsiTheme="majorHAnsi" w:cs="Univers"/>
                <w:color w:val="0D0D0D" w:themeColor="text1" w:themeTint="F2"/>
                <w:sz w:val="20"/>
                <w:szCs w:val="20"/>
                <w:lang w:val="es-ES_tradnl"/>
              </w:rPr>
              <w:t xml:space="preserve">8 (garantías judiciales), </w:t>
            </w:r>
            <w:r>
              <w:rPr>
                <w:rFonts w:asciiTheme="majorHAnsi" w:hAnsiTheme="majorHAnsi"/>
                <w:bCs/>
                <w:sz w:val="20"/>
                <w:szCs w:val="20"/>
                <w:lang w:val="es-AR"/>
              </w:rPr>
              <w:t>10 (indemnización), 25 (protección judicial)</w:t>
            </w:r>
            <w:r w:rsidRPr="00F76D66">
              <w:rPr>
                <w:rFonts w:asciiTheme="majorHAnsi" w:hAnsiTheme="majorHAnsi" w:cs="Univers"/>
                <w:color w:val="0D0D0D" w:themeColor="text1" w:themeTint="F2"/>
                <w:sz w:val="20"/>
                <w:szCs w:val="20"/>
                <w:lang w:val="es-ES_tradnl"/>
              </w:rPr>
              <w:t xml:space="preserve"> de la Convención Americana sobre Derechos Humanos</w:t>
            </w:r>
            <w:r w:rsidRPr="00F76D66">
              <w:rPr>
                <w:rStyle w:val="FootnoteReference"/>
                <w:rFonts w:ascii="Cambria" w:hAnsi="Cambria"/>
                <w:bCs/>
                <w:sz w:val="20"/>
                <w:szCs w:val="20"/>
              </w:rPr>
              <w:footnoteReference w:id="4"/>
            </w:r>
            <w:r w:rsidRPr="00F76D66">
              <w:rPr>
                <w:rFonts w:asciiTheme="majorHAnsi" w:hAnsiTheme="majorHAnsi" w:cs="Univers"/>
                <w:color w:val="0D0D0D" w:themeColor="text1" w:themeTint="F2"/>
                <w:sz w:val="20"/>
                <w:szCs w:val="20"/>
                <w:lang w:val="es-ES_tradnl"/>
              </w:rPr>
              <w:t xml:space="preserve">, en relación con </w:t>
            </w:r>
            <w:r w:rsidR="005A0D18" w:rsidRPr="00F76D66">
              <w:rPr>
                <w:rFonts w:asciiTheme="majorHAnsi" w:hAnsiTheme="majorHAnsi" w:cs="Univers"/>
                <w:color w:val="0D0D0D" w:themeColor="text1" w:themeTint="F2"/>
                <w:sz w:val="20"/>
                <w:szCs w:val="20"/>
                <w:lang w:val="es-ES_tradnl"/>
              </w:rPr>
              <w:t>su</w:t>
            </w:r>
            <w:r w:rsidR="005A0D18">
              <w:rPr>
                <w:rFonts w:asciiTheme="majorHAnsi" w:hAnsiTheme="majorHAnsi" w:cs="Univers"/>
                <w:color w:val="0D0D0D" w:themeColor="text1" w:themeTint="F2"/>
                <w:sz w:val="20"/>
                <w:szCs w:val="20"/>
                <w:lang w:val="es-ES_tradnl"/>
              </w:rPr>
              <w:t>s</w:t>
            </w:r>
            <w:r w:rsidRPr="00F76D66">
              <w:rPr>
                <w:rFonts w:asciiTheme="majorHAnsi" w:hAnsiTheme="majorHAnsi" w:cs="Univers"/>
                <w:color w:val="0D0D0D" w:themeColor="text1" w:themeTint="F2"/>
                <w:sz w:val="20"/>
                <w:szCs w:val="20"/>
                <w:lang w:val="es-ES_tradnl"/>
              </w:rPr>
              <w:t xml:space="preserve"> </w:t>
            </w:r>
            <w:r w:rsidR="005A0D18" w:rsidRPr="00F76D66">
              <w:rPr>
                <w:rFonts w:asciiTheme="majorHAnsi" w:hAnsiTheme="majorHAnsi" w:cs="Univers"/>
                <w:color w:val="0D0D0D" w:themeColor="text1" w:themeTint="F2"/>
                <w:sz w:val="20"/>
                <w:szCs w:val="20"/>
                <w:lang w:val="es-ES_tradnl"/>
              </w:rPr>
              <w:t>artículo</w:t>
            </w:r>
            <w:r w:rsidR="005A0D18">
              <w:rPr>
                <w:rFonts w:asciiTheme="majorHAnsi" w:hAnsiTheme="majorHAnsi" w:cs="Univers"/>
                <w:color w:val="0D0D0D" w:themeColor="text1" w:themeTint="F2"/>
                <w:sz w:val="20"/>
                <w:szCs w:val="20"/>
                <w:lang w:val="es-ES_tradnl"/>
              </w:rPr>
              <w:t>s</w:t>
            </w:r>
            <w:r w:rsidRPr="00F76D66">
              <w:rPr>
                <w:rFonts w:asciiTheme="majorHAnsi" w:hAnsiTheme="majorHAnsi" w:cs="Univers"/>
                <w:color w:val="0D0D0D" w:themeColor="text1" w:themeTint="F2"/>
                <w:sz w:val="20"/>
                <w:szCs w:val="20"/>
                <w:lang w:val="es-ES_tradnl"/>
              </w:rPr>
              <w:t xml:space="preserve"> 1.1 (obligación  de respetar los derechos) </w:t>
            </w:r>
            <w:r w:rsidRPr="00C21237">
              <w:rPr>
                <w:rFonts w:asciiTheme="majorHAnsi" w:hAnsiTheme="majorHAnsi"/>
                <w:bCs/>
                <w:sz w:val="20"/>
                <w:szCs w:val="20"/>
                <w:lang w:val="es-AR"/>
              </w:rPr>
              <w:t>y 2 (deber de adoptar disposiciones de derecho interno)</w:t>
            </w:r>
            <w:r w:rsidR="005A0D18">
              <w:rPr>
                <w:rFonts w:asciiTheme="majorHAnsi" w:hAnsiTheme="majorHAnsi"/>
                <w:bCs/>
                <w:sz w:val="20"/>
                <w:szCs w:val="20"/>
                <w:lang w:val="es-AR"/>
              </w:rPr>
              <w:t>;</w:t>
            </w:r>
            <w:r w:rsidRPr="00F76D66">
              <w:rPr>
                <w:rFonts w:asciiTheme="majorHAnsi" w:hAnsiTheme="majorHAnsi" w:cs="Univers"/>
                <w:color w:val="0D0D0D" w:themeColor="text1" w:themeTint="F2"/>
                <w:sz w:val="20"/>
                <w:szCs w:val="20"/>
                <w:lang w:val="es-ES_tradnl"/>
              </w:rPr>
              <w:t xml:space="preserve"> </w:t>
            </w:r>
            <w:r w:rsidR="005A0D18">
              <w:rPr>
                <w:rFonts w:asciiTheme="majorHAnsi" w:hAnsiTheme="majorHAnsi" w:cs="Univers"/>
                <w:color w:val="0D0D0D" w:themeColor="text1" w:themeTint="F2"/>
                <w:sz w:val="20"/>
                <w:szCs w:val="20"/>
                <w:lang w:val="es-ES_tradnl"/>
              </w:rPr>
              <w:t>a</w:t>
            </w:r>
            <w:proofErr w:type="spellStart"/>
            <w:r>
              <w:rPr>
                <w:rFonts w:asciiTheme="majorHAnsi" w:hAnsiTheme="majorHAnsi"/>
                <w:bCs/>
                <w:sz w:val="20"/>
                <w:szCs w:val="20"/>
                <w:lang w:val="es-AR"/>
              </w:rPr>
              <w:t>rt</w:t>
            </w:r>
            <w:r w:rsidR="005A0D18">
              <w:rPr>
                <w:rFonts w:asciiTheme="majorHAnsi" w:hAnsiTheme="majorHAnsi"/>
                <w:bCs/>
                <w:sz w:val="20"/>
                <w:szCs w:val="20"/>
                <w:lang w:val="es-AR"/>
              </w:rPr>
              <w:t>ículo</w:t>
            </w:r>
            <w:proofErr w:type="spellEnd"/>
            <w:r>
              <w:rPr>
                <w:rFonts w:asciiTheme="majorHAnsi" w:hAnsiTheme="majorHAnsi"/>
                <w:bCs/>
                <w:sz w:val="20"/>
                <w:szCs w:val="20"/>
                <w:lang w:val="es-AR"/>
              </w:rPr>
              <w:t xml:space="preserve"> 2 de la Convención Interamericana para Prevenir y Erradicar la Tortura</w:t>
            </w:r>
            <w:r w:rsidR="005A0D18">
              <w:rPr>
                <w:rFonts w:asciiTheme="majorHAnsi" w:hAnsiTheme="majorHAnsi"/>
                <w:bCs/>
                <w:sz w:val="20"/>
                <w:szCs w:val="20"/>
                <w:lang w:val="es-AR"/>
              </w:rPr>
              <w:t>,</w:t>
            </w:r>
            <w:r>
              <w:rPr>
                <w:rFonts w:asciiTheme="majorHAnsi" w:hAnsiTheme="majorHAnsi"/>
                <w:bCs/>
                <w:sz w:val="20"/>
                <w:szCs w:val="20"/>
                <w:lang w:val="es-AR"/>
              </w:rPr>
              <w:t xml:space="preserve"> </w:t>
            </w:r>
            <w:r w:rsidR="00067324">
              <w:rPr>
                <w:rFonts w:asciiTheme="majorHAnsi" w:hAnsiTheme="majorHAnsi" w:cs="Univers"/>
                <w:color w:val="0D0D0D" w:themeColor="text1" w:themeTint="F2"/>
                <w:sz w:val="20"/>
                <w:szCs w:val="20"/>
                <w:lang w:val="es-ES_tradnl"/>
              </w:rPr>
              <w:t>y otros tratados</w:t>
            </w:r>
            <w:r w:rsidRPr="00F76D66">
              <w:rPr>
                <w:rFonts w:asciiTheme="majorHAnsi" w:hAnsiTheme="majorHAnsi" w:cs="Univers"/>
                <w:color w:val="0D0D0D" w:themeColor="text1" w:themeTint="F2"/>
                <w:sz w:val="20"/>
                <w:szCs w:val="20"/>
                <w:lang w:val="es-ES_tradnl"/>
              </w:rPr>
              <w:t xml:space="preserve"> internacionales</w:t>
            </w:r>
            <w:r w:rsidRPr="00F76D66">
              <w:rPr>
                <w:rStyle w:val="FootnoteReference"/>
                <w:rFonts w:ascii="Cambria" w:hAnsi="Cambria"/>
                <w:bCs/>
                <w:sz w:val="20"/>
                <w:szCs w:val="20"/>
                <w:lang w:val="es-CO"/>
              </w:rPr>
              <w:footnoteReference w:id="5"/>
            </w:r>
          </w:p>
        </w:tc>
      </w:tr>
    </w:tbl>
    <w:p w:rsidR="003239B8" w:rsidRPr="00C21237" w:rsidRDefault="003239B8" w:rsidP="00E30EC0">
      <w:pPr>
        <w:ind w:firstLine="720"/>
        <w:jc w:val="both"/>
        <w:rPr>
          <w:rFonts w:asciiTheme="majorHAnsi" w:hAnsiTheme="majorHAnsi"/>
          <w:b/>
          <w:bCs/>
          <w:sz w:val="20"/>
          <w:szCs w:val="20"/>
          <w:lang w:val="es-ES"/>
        </w:rPr>
      </w:pPr>
      <w:r w:rsidRPr="00C21237">
        <w:rPr>
          <w:rFonts w:asciiTheme="majorHAnsi" w:hAnsiTheme="majorHAnsi"/>
          <w:b/>
          <w:bCs/>
          <w:sz w:val="20"/>
          <w:szCs w:val="20"/>
          <w:lang w:val="es-ES"/>
        </w:rPr>
        <w:t>II.</w:t>
      </w:r>
      <w:r w:rsidRPr="00C21237">
        <w:rPr>
          <w:rFonts w:asciiTheme="majorHAnsi" w:hAnsiTheme="majorHAnsi"/>
          <w:b/>
          <w:bCs/>
          <w:sz w:val="20"/>
          <w:szCs w:val="20"/>
          <w:lang w:val="es-ES"/>
        </w:rPr>
        <w:tab/>
        <w:t>TRÁMITE ANTE LA CIDH</w:t>
      </w:r>
      <w:r w:rsidR="00BC1CDE">
        <w:rPr>
          <w:rFonts w:asciiTheme="majorHAnsi" w:hAnsiTheme="majorHAnsi"/>
          <w:b/>
          <w:bCs/>
          <w:sz w:val="20"/>
          <w:szCs w:val="20"/>
          <w:vertAlign w:val="superscript"/>
          <w:lang w:val="es-ES"/>
        </w:rPr>
        <w:t>4</w:t>
      </w:r>
      <w:r w:rsidR="008E3BFE" w:rsidRPr="00C21237">
        <w:rPr>
          <w:rStyle w:val="FootnoteReference"/>
          <w:rFonts w:asciiTheme="majorHAnsi" w:hAnsiTheme="majorHAnsi"/>
          <w:b/>
          <w:color w:val="FFFFFF" w:themeColor="background1"/>
          <w:sz w:val="20"/>
          <w:szCs w:val="20"/>
          <w:vertAlign w:val="baseline"/>
        </w:rPr>
        <w:footnoteReference w:id="6"/>
      </w:r>
    </w:p>
    <w:tbl>
      <w:tblPr>
        <w:tblStyle w:val="TableGrid"/>
        <w:tblW w:w="9291" w:type="dxa"/>
        <w:tblInd w:w="108" w:type="dxa"/>
        <w:tblBorders>
          <w:insideH w:val="single" w:sz="6" w:space="0" w:color="auto"/>
          <w:insideV w:val="single" w:sz="6" w:space="0" w:color="auto"/>
        </w:tblBorders>
        <w:tblLook w:val="04A0" w:firstRow="1" w:lastRow="0" w:firstColumn="1" w:lastColumn="0" w:noHBand="0" w:noVBand="1"/>
      </w:tblPr>
      <w:tblGrid>
        <w:gridCol w:w="3573"/>
        <w:gridCol w:w="5718"/>
      </w:tblGrid>
      <w:tr w:rsidR="004C2312" w:rsidRPr="00D4407E" w:rsidTr="0081645A">
        <w:trPr>
          <w:trHeight w:val="186"/>
        </w:trPr>
        <w:tc>
          <w:tcPr>
            <w:tcW w:w="3573" w:type="dxa"/>
            <w:tcBorders>
              <w:top w:val="single" w:sz="6" w:space="0" w:color="auto"/>
              <w:bottom w:val="single" w:sz="6" w:space="0" w:color="auto"/>
            </w:tcBorders>
            <w:shd w:val="clear" w:color="auto" w:fill="386294"/>
            <w:vAlign w:val="center"/>
          </w:tcPr>
          <w:p w:rsidR="004C2312" w:rsidRPr="00C21237" w:rsidRDefault="001B4405" w:rsidP="00E30EC0">
            <w:pPr>
              <w:jc w:val="center"/>
              <w:rPr>
                <w:rFonts w:asciiTheme="majorHAnsi" w:hAnsiTheme="majorHAnsi"/>
                <w:b/>
                <w:bCs/>
                <w:color w:val="FFFFFF" w:themeColor="background1"/>
                <w:sz w:val="20"/>
                <w:szCs w:val="20"/>
                <w:lang w:val="es-ES"/>
              </w:rPr>
            </w:pPr>
            <w:r>
              <w:rPr>
                <w:rFonts w:asciiTheme="majorHAnsi" w:hAnsiTheme="majorHAnsi"/>
                <w:b/>
                <w:bCs/>
                <w:color w:val="FFFFFF" w:themeColor="background1"/>
                <w:sz w:val="20"/>
                <w:szCs w:val="20"/>
                <w:lang w:val="es-ES"/>
              </w:rPr>
              <w:t>Presentación</w:t>
            </w:r>
            <w:r w:rsidR="00900268">
              <w:rPr>
                <w:rFonts w:asciiTheme="majorHAnsi" w:hAnsiTheme="majorHAnsi"/>
                <w:b/>
                <w:bCs/>
                <w:color w:val="FFFFFF" w:themeColor="background1"/>
                <w:sz w:val="20"/>
                <w:szCs w:val="20"/>
                <w:lang w:val="es-ES"/>
              </w:rPr>
              <w:t xml:space="preserve"> de la petición</w:t>
            </w:r>
          </w:p>
        </w:tc>
        <w:tc>
          <w:tcPr>
            <w:tcW w:w="5718" w:type="dxa"/>
            <w:vAlign w:val="center"/>
          </w:tcPr>
          <w:p w:rsidR="004C2312" w:rsidRPr="00C21237" w:rsidRDefault="00152BD4" w:rsidP="00E30EC0">
            <w:pPr>
              <w:jc w:val="both"/>
              <w:rPr>
                <w:rFonts w:asciiTheme="majorHAnsi" w:hAnsiTheme="majorHAnsi"/>
                <w:bCs/>
                <w:sz w:val="20"/>
                <w:szCs w:val="20"/>
                <w:lang w:val="es-ES"/>
              </w:rPr>
            </w:pPr>
            <w:r>
              <w:rPr>
                <w:rFonts w:asciiTheme="majorHAnsi" w:hAnsiTheme="majorHAnsi"/>
                <w:bCs/>
                <w:sz w:val="20"/>
                <w:szCs w:val="20"/>
                <w:lang w:val="es-ES"/>
              </w:rPr>
              <w:t>26</w:t>
            </w:r>
            <w:r w:rsidR="001B4405">
              <w:rPr>
                <w:rFonts w:asciiTheme="majorHAnsi" w:hAnsiTheme="majorHAnsi"/>
                <w:bCs/>
                <w:sz w:val="20"/>
                <w:szCs w:val="20"/>
                <w:lang w:val="es-ES"/>
              </w:rPr>
              <w:t xml:space="preserve"> de </w:t>
            </w:r>
            <w:r>
              <w:rPr>
                <w:rFonts w:asciiTheme="majorHAnsi" w:hAnsiTheme="majorHAnsi"/>
                <w:bCs/>
                <w:sz w:val="20"/>
                <w:szCs w:val="20"/>
                <w:lang w:val="es-ES"/>
              </w:rPr>
              <w:t>diciembre de 2008</w:t>
            </w:r>
          </w:p>
        </w:tc>
      </w:tr>
      <w:tr w:rsidR="001E49E7" w:rsidRPr="002524F6" w:rsidTr="0081645A">
        <w:trPr>
          <w:trHeight w:val="383"/>
        </w:trPr>
        <w:tc>
          <w:tcPr>
            <w:tcW w:w="3573" w:type="dxa"/>
            <w:tcBorders>
              <w:top w:val="single" w:sz="6" w:space="0" w:color="auto"/>
              <w:bottom w:val="single" w:sz="6" w:space="0" w:color="auto"/>
            </w:tcBorders>
            <w:shd w:val="clear" w:color="auto" w:fill="386294"/>
            <w:vAlign w:val="center"/>
          </w:tcPr>
          <w:p w:rsidR="001E49E7" w:rsidRPr="00C21237" w:rsidRDefault="001E49E7" w:rsidP="00E30EC0">
            <w:pPr>
              <w:jc w:val="center"/>
              <w:rPr>
                <w:rFonts w:asciiTheme="majorHAnsi" w:hAnsiTheme="majorHAnsi"/>
                <w:b/>
                <w:bCs/>
                <w:color w:val="FFFFFF" w:themeColor="background1"/>
                <w:sz w:val="20"/>
                <w:szCs w:val="20"/>
                <w:lang w:val="es-ES"/>
              </w:rPr>
            </w:pPr>
            <w:r w:rsidRPr="00C21237">
              <w:rPr>
                <w:rFonts w:asciiTheme="majorHAnsi" w:hAnsiTheme="majorHAnsi"/>
                <w:b/>
                <w:bCs/>
                <w:color w:val="FFFFFF" w:themeColor="background1"/>
                <w:sz w:val="20"/>
                <w:szCs w:val="20"/>
                <w:lang w:val="es-ES"/>
              </w:rPr>
              <w:t xml:space="preserve">Información adicional recibida </w:t>
            </w:r>
            <w:r w:rsidR="00900268">
              <w:rPr>
                <w:rFonts w:asciiTheme="majorHAnsi" w:hAnsiTheme="majorHAnsi"/>
                <w:b/>
                <w:bCs/>
                <w:color w:val="FFFFFF" w:themeColor="background1"/>
                <w:sz w:val="20"/>
                <w:szCs w:val="20"/>
                <w:lang w:val="es-ES"/>
              </w:rPr>
              <w:t>en la etapa de estudio</w:t>
            </w:r>
          </w:p>
        </w:tc>
        <w:tc>
          <w:tcPr>
            <w:tcW w:w="5718" w:type="dxa"/>
            <w:vAlign w:val="center"/>
          </w:tcPr>
          <w:p w:rsidR="001E49E7" w:rsidRPr="00C21237" w:rsidRDefault="00F35EB2" w:rsidP="00E30EC0">
            <w:pPr>
              <w:rPr>
                <w:rFonts w:asciiTheme="majorHAnsi" w:hAnsiTheme="majorHAnsi"/>
                <w:bCs/>
                <w:color w:val="FFFFFF" w:themeColor="background1"/>
                <w:sz w:val="20"/>
                <w:szCs w:val="20"/>
                <w:lang w:val="es-AR"/>
              </w:rPr>
            </w:pPr>
            <w:r>
              <w:rPr>
                <w:rFonts w:asciiTheme="majorHAnsi" w:hAnsiTheme="majorHAnsi"/>
                <w:bCs/>
                <w:sz w:val="20"/>
                <w:szCs w:val="20"/>
                <w:lang w:val="es-AR"/>
              </w:rPr>
              <w:t>28 de noviembre de 2012</w:t>
            </w:r>
          </w:p>
        </w:tc>
      </w:tr>
      <w:tr w:rsidR="004C2312" w:rsidRPr="00C21237" w:rsidTr="0081645A">
        <w:trPr>
          <w:trHeight w:val="186"/>
        </w:trPr>
        <w:tc>
          <w:tcPr>
            <w:tcW w:w="3573" w:type="dxa"/>
            <w:tcBorders>
              <w:top w:val="single" w:sz="6" w:space="0" w:color="auto"/>
              <w:bottom w:val="single" w:sz="6" w:space="0" w:color="auto"/>
            </w:tcBorders>
            <w:shd w:val="clear" w:color="auto" w:fill="386294"/>
            <w:vAlign w:val="center"/>
          </w:tcPr>
          <w:p w:rsidR="004C2312" w:rsidRPr="00C21237" w:rsidRDefault="004A6A54" w:rsidP="00E30EC0">
            <w:pPr>
              <w:jc w:val="center"/>
              <w:rPr>
                <w:rFonts w:asciiTheme="majorHAnsi" w:hAnsiTheme="majorHAnsi"/>
                <w:b/>
                <w:bCs/>
                <w:color w:val="FFFFFF" w:themeColor="background1"/>
                <w:sz w:val="20"/>
                <w:szCs w:val="20"/>
                <w:lang w:val="es-ES"/>
              </w:rPr>
            </w:pPr>
            <w:r w:rsidRPr="00C21237">
              <w:rPr>
                <w:rFonts w:asciiTheme="majorHAnsi" w:hAnsiTheme="majorHAnsi"/>
                <w:b/>
                <w:color w:val="FFFFFF" w:themeColor="background1"/>
                <w:sz w:val="20"/>
                <w:szCs w:val="20"/>
                <w:lang w:val="es-ES"/>
              </w:rPr>
              <w:t>N</w:t>
            </w:r>
            <w:r w:rsidR="004C2312" w:rsidRPr="00C21237">
              <w:rPr>
                <w:rFonts w:asciiTheme="majorHAnsi" w:hAnsiTheme="majorHAnsi"/>
                <w:b/>
                <w:color w:val="FFFFFF" w:themeColor="background1"/>
                <w:sz w:val="20"/>
                <w:szCs w:val="20"/>
                <w:lang w:val="es-ES"/>
              </w:rPr>
              <w:t>otifi</w:t>
            </w:r>
            <w:r w:rsidR="00900268">
              <w:rPr>
                <w:rFonts w:asciiTheme="majorHAnsi" w:hAnsiTheme="majorHAnsi"/>
                <w:b/>
                <w:color w:val="FFFFFF" w:themeColor="background1"/>
                <w:sz w:val="20"/>
                <w:szCs w:val="20"/>
                <w:lang w:val="es-ES"/>
              </w:rPr>
              <w:t>cación de la petición</w:t>
            </w:r>
            <w:r w:rsidR="00152BD4">
              <w:rPr>
                <w:rFonts w:asciiTheme="majorHAnsi" w:hAnsiTheme="majorHAnsi"/>
                <w:b/>
                <w:color w:val="FFFFFF" w:themeColor="background1"/>
                <w:sz w:val="20"/>
                <w:szCs w:val="20"/>
                <w:lang w:val="es-ES"/>
              </w:rPr>
              <w:t xml:space="preserve"> al Estado</w:t>
            </w:r>
          </w:p>
        </w:tc>
        <w:tc>
          <w:tcPr>
            <w:tcW w:w="5718" w:type="dxa"/>
            <w:vAlign w:val="center"/>
          </w:tcPr>
          <w:p w:rsidR="004C2312" w:rsidRPr="00C21237" w:rsidRDefault="00A76625" w:rsidP="00E30EC0">
            <w:pPr>
              <w:jc w:val="both"/>
              <w:rPr>
                <w:rFonts w:asciiTheme="majorHAnsi" w:hAnsiTheme="majorHAnsi"/>
                <w:bCs/>
                <w:sz w:val="20"/>
                <w:szCs w:val="20"/>
                <w:lang w:val="es-ES"/>
              </w:rPr>
            </w:pPr>
            <w:r>
              <w:rPr>
                <w:rFonts w:asciiTheme="majorHAnsi" w:hAnsiTheme="majorHAnsi"/>
                <w:bCs/>
                <w:sz w:val="20"/>
                <w:szCs w:val="20"/>
                <w:lang w:val="es-ES"/>
              </w:rPr>
              <w:t>30 de diciembre de 2014</w:t>
            </w:r>
          </w:p>
        </w:tc>
      </w:tr>
      <w:tr w:rsidR="004C2312" w:rsidRPr="00C21237" w:rsidTr="0081645A">
        <w:trPr>
          <w:trHeight w:val="196"/>
        </w:trPr>
        <w:tc>
          <w:tcPr>
            <w:tcW w:w="3573" w:type="dxa"/>
            <w:tcBorders>
              <w:top w:val="single" w:sz="6" w:space="0" w:color="auto"/>
              <w:bottom w:val="single" w:sz="6" w:space="0" w:color="auto"/>
            </w:tcBorders>
            <w:shd w:val="clear" w:color="auto" w:fill="386294"/>
            <w:vAlign w:val="center"/>
          </w:tcPr>
          <w:p w:rsidR="004C2312" w:rsidRPr="00C21237" w:rsidRDefault="004A6A54" w:rsidP="00E30EC0">
            <w:pPr>
              <w:jc w:val="center"/>
              <w:rPr>
                <w:rFonts w:asciiTheme="majorHAnsi" w:hAnsiTheme="majorHAnsi"/>
                <w:b/>
                <w:bCs/>
                <w:color w:val="FFFFFF" w:themeColor="background1"/>
                <w:sz w:val="20"/>
                <w:szCs w:val="20"/>
                <w:lang w:val="es-ES"/>
              </w:rPr>
            </w:pPr>
            <w:r w:rsidRPr="00C21237">
              <w:rPr>
                <w:rFonts w:asciiTheme="majorHAnsi" w:hAnsiTheme="majorHAnsi"/>
                <w:b/>
                <w:color w:val="FFFFFF" w:themeColor="background1"/>
                <w:sz w:val="20"/>
                <w:szCs w:val="20"/>
                <w:lang w:val="es-ES"/>
              </w:rPr>
              <w:t>P</w:t>
            </w:r>
            <w:r w:rsidR="004C2312" w:rsidRPr="00C21237">
              <w:rPr>
                <w:rFonts w:asciiTheme="majorHAnsi" w:hAnsiTheme="majorHAnsi"/>
                <w:b/>
                <w:color w:val="FFFFFF" w:themeColor="background1"/>
                <w:sz w:val="20"/>
                <w:szCs w:val="20"/>
                <w:lang w:val="es-ES"/>
              </w:rPr>
              <w:t xml:space="preserve">rimera respuesta </w:t>
            </w:r>
            <w:r w:rsidR="00900268">
              <w:rPr>
                <w:rFonts w:asciiTheme="majorHAnsi" w:hAnsiTheme="majorHAnsi"/>
                <w:b/>
                <w:color w:val="FFFFFF" w:themeColor="background1"/>
                <w:sz w:val="20"/>
                <w:szCs w:val="20"/>
                <w:lang w:val="es-ES"/>
              </w:rPr>
              <w:t>del Estado</w:t>
            </w:r>
          </w:p>
        </w:tc>
        <w:tc>
          <w:tcPr>
            <w:tcW w:w="5718" w:type="dxa"/>
            <w:vAlign w:val="center"/>
          </w:tcPr>
          <w:p w:rsidR="004C2312" w:rsidRPr="00C21237" w:rsidRDefault="00207FA1" w:rsidP="00E30EC0">
            <w:pPr>
              <w:jc w:val="both"/>
              <w:rPr>
                <w:rFonts w:asciiTheme="majorHAnsi" w:hAnsiTheme="majorHAnsi"/>
                <w:bCs/>
                <w:sz w:val="20"/>
                <w:szCs w:val="20"/>
                <w:lang w:val="es-ES"/>
              </w:rPr>
            </w:pPr>
            <w:r>
              <w:rPr>
                <w:rFonts w:asciiTheme="majorHAnsi" w:hAnsiTheme="majorHAnsi"/>
                <w:bCs/>
                <w:sz w:val="20"/>
                <w:szCs w:val="20"/>
                <w:lang w:val="es-ES"/>
              </w:rPr>
              <w:t>8</w:t>
            </w:r>
            <w:r w:rsidR="00A76625">
              <w:rPr>
                <w:rFonts w:asciiTheme="majorHAnsi" w:hAnsiTheme="majorHAnsi"/>
                <w:bCs/>
                <w:sz w:val="20"/>
                <w:szCs w:val="20"/>
                <w:lang w:val="es-ES"/>
              </w:rPr>
              <w:t xml:space="preserve"> de abril de 2015</w:t>
            </w:r>
          </w:p>
        </w:tc>
      </w:tr>
      <w:tr w:rsidR="000A0E3F" w:rsidRPr="00025E07" w:rsidTr="0081645A">
        <w:trPr>
          <w:trHeight w:val="186"/>
        </w:trPr>
        <w:tc>
          <w:tcPr>
            <w:tcW w:w="3573" w:type="dxa"/>
            <w:tcBorders>
              <w:top w:val="single" w:sz="6" w:space="0" w:color="auto"/>
              <w:bottom w:val="single" w:sz="6" w:space="0" w:color="auto"/>
            </w:tcBorders>
            <w:shd w:val="clear" w:color="auto" w:fill="386294"/>
            <w:vAlign w:val="center"/>
          </w:tcPr>
          <w:p w:rsidR="000A0E3F" w:rsidRPr="00C21237" w:rsidRDefault="00025E07" w:rsidP="00E30EC0">
            <w:pPr>
              <w:jc w:val="center"/>
              <w:rPr>
                <w:rFonts w:asciiTheme="majorHAnsi" w:hAnsiTheme="majorHAnsi"/>
                <w:b/>
                <w:bCs/>
                <w:color w:val="FFFFFF" w:themeColor="background1"/>
                <w:sz w:val="20"/>
                <w:szCs w:val="20"/>
                <w:lang w:val="es-ES"/>
              </w:rPr>
            </w:pPr>
            <w:r>
              <w:rPr>
                <w:rFonts w:asciiTheme="majorHAnsi" w:hAnsiTheme="majorHAnsi"/>
                <w:b/>
                <w:bCs/>
                <w:color w:val="FFFFFF" w:themeColor="background1"/>
                <w:sz w:val="20"/>
                <w:szCs w:val="20"/>
                <w:lang w:val="es-ES"/>
              </w:rPr>
              <w:t>Solicitud de archivo del Estado</w:t>
            </w:r>
          </w:p>
        </w:tc>
        <w:tc>
          <w:tcPr>
            <w:tcW w:w="5718" w:type="dxa"/>
            <w:vAlign w:val="center"/>
          </w:tcPr>
          <w:p w:rsidR="000A0E3F" w:rsidRPr="00C21237" w:rsidRDefault="00025E07" w:rsidP="00E30EC0">
            <w:pPr>
              <w:jc w:val="both"/>
              <w:rPr>
                <w:rFonts w:asciiTheme="majorHAnsi" w:hAnsiTheme="majorHAnsi"/>
                <w:bCs/>
                <w:sz w:val="20"/>
                <w:szCs w:val="20"/>
                <w:lang w:val="es-ES"/>
              </w:rPr>
            </w:pPr>
            <w:r>
              <w:rPr>
                <w:rFonts w:asciiTheme="majorHAnsi" w:hAnsiTheme="majorHAnsi"/>
                <w:bCs/>
                <w:sz w:val="20"/>
                <w:szCs w:val="20"/>
                <w:lang w:val="es-ES"/>
              </w:rPr>
              <w:t>18 de octubre de 2019</w:t>
            </w:r>
          </w:p>
        </w:tc>
      </w:tr>
      <w:tr w:rsidR="0039792A" w:rsidRPr="00C21237" w:rsidTr="0081645A">
        <w:trPr>
          <w:trHeight w:val="186"/>
        </w:trPr>
        <w:tc>
          <w:tcPr>
            <w:tcW w:w="3573" w:type="dxa"/>
            <w:tcBorders>
              <w:top w:val="single" w:sz="6" w:space="0" w:color="auto"/>
              <w:bottom w:val="single" w:sz="6" w:space="0" w:color="auto"/>
            </w:tcBorders>
            <w:shd w:val="clear" w:color="auto" w:fill="386294"/>
            <w:vAlign w:val="center"/>
          </w:tcPr>
          <w:p w:rsidR="0039792A" w:rsidRPr="00C21237" w:rsidDel="000B5897" w:rsidRDefault="00F55786" w:rsidP="00E30EC0">
            <w:pPr>
              <w:jc w:val="center"/>
              <w:rPr>
                <w:rFonts w:asciiTheme="majorHAnsi" w:hAnsiTheme="majorHAnsi"/>
                <w:b/>
                <w:bCs/>
                <w:color w:val="FFFFFF" w:themeColor="background1"/>
                <w:sz w:val="20"/>
                <w:szCs w:val="20"/>
                <w:lang w:val="es-US"/>
              </w:rPr>
            </w:pPr>
            <w:r>
              <w:rPr>
                <w:rFonts w:asciiTheme="majorHAnsi" w:hAnsiTheme="majorHAnsi"/>
                <w:b/>
                <w:bCs/>
                <w:color w:val="FFFFFF" w:themeColor="background1"/>
                <w:sz w:val="20"/>
                <w:szCs w:val="20"/>
                <w:lang w:val="es-ES"/>
              </w:rPr>
              <w:t>Observaciones adicionales de la parte peticionaria</w:t>
            </w:r>
          </w:p>
        </w:tc>
        <w:tc>
          <w:tcPr>
            <w:tcW w:w="5718" w:type="dxa"/>
            <w:vAlign w:val="center"/>
          </w:tcPr>
          <w:p w:rsidR="0039792A" w:rsidRPr="00C21237" w:rsidRDefault="000A0E3F" w:rsidP="00E30EC0">
            <w:pPr>
              <w:jc w:val="both"/>
              <w:rPr>
                <w:rFonts w:asciiTheme="majorHAnsi" w:hAnsiTheme="majorHAnsi"/>
                <w:bCs/>
                <w:sz w:val="20"/>
                <w:szCs w:val="20"/>
                <w:lang w:val="es-ES"/>
              </w:rPr>
            </w:pPr>
            <w:r>
              <w:rPr>
                <w:rFonts w:asciiTheme="majorHAnsi" w:hAnsiTheme="majorHAnsi"/>
                <w:bCs/>
                <w:sz w:val="20"/>
                <w:szCs w:val="20"/>
                <w:lang w:val="es-US"/>
              </w:rPr>
              <w:t>22 de noviembre de 2019</w:t>
            </w:r>
          </w:p>
        </w:tc>
      </w:tr>
    </w:tbl>
    <w:p w:rsidR="003239B8" w:rsidRPr="00C21237" w:rsidRDefault="003239B8" w:rsidP="00E30EC0">
      <w:pPr>
        <w:ind w:firstLine="720"/>
        <w:jc w:val="both"/>
        <w:rPr>
          <w:rFonts w:asciiTheme="majorHAnsi" w:hAnsiTheme="majorHAnsi"/>
          <w:b/>
          <w:bCs/>
          <w:sz w:val="20"/>
          <w:szCs w:val="20"/>
          <w:lang w:val="es-ES"/>
        </w:rPr>
      </w:pPr>
      <w:r w:rsidRPr="00C21237">
        <w:rPr>
          <w:rFonts w:asciiTheme="majorHAnsi" w:hAnsiTheme="majorHAnsi"/>
          <w:b/>
          <w:bCs/>
          <w:sz w:val="20"/>
          <w:szCs w:val="20"/>
          <w:lang w:val="es-ES"/>
        </w:rPr>
        <w:t xml:space="preserve">III. </w:t>
      </w:r>
      <w:r w:rsidRPr="00C21237">
        <w:rPr>
          <w:rFonts w:asciiTheme="majorHAnsi" w:hAnsiTheme="majorHAnsi"/>
          <w:b/>
          <w:bCs/>
          <w:sz w:val="20"/>
          <w:szCs w:val="20"/>
          <w:lang w:val="es-ES"/>
        </w:rPr>
        <w:tab/>
        <w:t>COMPETENCIA</w:t>
      </w:r>
      <w:r w:rsidR="00EE00E9" w:rsidRPr="00C2123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56"/>
        <w:gridCol w:w="5686"/>
      </w:tblGrid>
      <w:tr w:rsidR="003239B8" w:rsidRPr="002524F6" w:rsidTr="004A6A54">
        <w:trPr>
          <w:cantSplit/>
        </w:trPr>
        <w:tc>
          <w:tcPr>
            <w:tcW w:w="3600" w:type="dxa"/>
            <w:tcBorders>
              <w:top w:val="single" w:sz="4" w:space="0" w:color="auto"/>
              <w:bottom w:val="single" w:sz="6" w:space="0" w:color="auto"/>
            </w:tcBorders>
            <w:shd w:val="clear" w:color="auto" w:fill="386294"/>
            <w:vAlign w:val="center"/>
          </w:tcPr>
          <w:p w:rsidR="003239B8" w:rsidRPr="00C21237" w:rsidRDefault="00A70BC9" w:rsidP="00E30EC0">
            <w:pPr>
              <w:jc w:val="center"/>
              <w:rPr>
                <w:rFonts w:asciiTheme="majorHAnsi" w:hAnsiTheme="majorHAnsi"/>
                <w:b/>
                <w:bCs/>
                <w:i/>
                <w:color w:val="FFFFFF" w:themeColor="background1"/>
                <w:sz w:val="20"/>
                <w:szCs w:val="20"/>
              </w:rPr>
            </w:pPr>
            <w:proofErr w:type="spellStart"/>
            <w:r>
              <w:rPr>
                <w:rFonts w:asciiTheme="majorHAnsi" w:hAnsiTheme="majorHAnsi"/>
                <w:b/>
                <w:bCs/>
                <w:i/>
                <w:color w:val="FFFFFF" w:themeColor="background1"/>
                <w:sz w:val="20"/>
                <w:szCs w:val="20"/>
              </w:rPr>
              <w:t>Ratione</w:t>
            </w:r>
            <w:proofErr w:type="spellEnd"/>
            <w:r>
              <w:rPr>
                <w:rFonts w:asciiTheme="majorHAnsi" w:hAnsiTheme="majorHAnsi"/>
                <w:b/>
                <w:bCs/>
                <w:i/>
                <w:color w:val="FFFFFF" w:themeColor="background1"/>
                <w:sz w:val="20"/>
                <w:szCs w:val="20"/>
              </w:rPr>
              <w:t xml:space="preserve"> personae</w:t>
            </w:r>
          </w:p>
        </w:tc>
        <w:tc>
          <w:tcPr>
            <w:tcW w:w="5760" w:type="dxa"/>
            <w:vAlign w:val="center"/>
          </w:tcPr>
          <w:p w:rsidR="003239B8" w:rsidRPr="00C21237" w:rsidRDefault="00A53CBB" w:rsidP="00E30EC0">
            <w:pPr>
              <w:rPr>
                <w:rFonts w:asciiTheme="majorHAnsi" w:hAnsiTheme="majorHAnsi"/>
                <w:bCs/>
                <w:sz w:val="20"/>
                <w:szCs w:val="20"/>
                <w:lang w:val="es-AR"/>
              </w:rPr>
            </w:pPr>
            <w:r w:rsidRPr="00C21237">
              <w:rPr>
                <w:rFonts w:asciiTheme="majorHAnsi" w:hAnsiTheme="majorHAnsi"/>
                <w:bCs/>
                <w:sz w:val="20"/>
                <w:szCs w:val="20"/>
                <w:lang w:val="es-AR"/>
              </w:rPr>
              <w:t>Sí</w:t>
            </w:r>
          </w:p>
        </w:tc>
      </w:tr>
      <w:tr w:rsidR="003239B8" w:rsidRPr="00C21237" w:rsidTr="004A6A54">
        <w:trPr>
          <w:cantSplit/>
        </w:trPr>
        <w:tc>
          <w:tcPr>
            <w:tcW w:w="3600" w:type="dxa"/>
            <w:tcBorders>
              <w:top w:val="single" w:sz="6" w:space="0" w:color="auto"/>
              <w:bottom w:val="single" w:sz="6" w:space="0" w:color="auto"/>
            </w:tcBorders>
            <w:shd w:val="clear" w:color="auto" w:fill="386294"/>
            <w:vAlign w:val="center"/>
          </w:tcPr>
          <w:p w:rsidR="003239B8" w:rsidRPr="00C21237" w:rsidRDefault="003239B8" w:rsidP="00E30EC0">
            <w:pPr>
              <w:jc w:val="center"/>
              <w:rPr>
                <w:rFonts w:asciiTheme="majorHAnsi" w:hAnsiTheme="majorHAnsi"/>
                <w:b/>
                <w:bCs/>
                <w:color w:val="FFFFFF" w:themeColor="background1"/>
                <w:sz w:val="20"/>
                <w:szCs w:val="20"/>
                <w:lang w:val="es-AR"/>
              </w:rPr>
            </w:pPr>
            <w:proofErr w:type="spellStart"/>
            <w:r w:rsidRPr="00C21237">
              <w:rPr>
                <w:rFonts w:asciiTheme="majorHAnsi" w:hAnsiTheme="majorHAnsi"/>
                <w:b/>
                <w:bCs/>
                <w:i/>
                <w:color w:val="FFFFFF" w:themeColor="background1"/>
                <w:sz w:val="20"/>
                <w:szCs w:val="20"/>
                <w:lang w:val="es-AR"/>
              </w:rPr>
              <w:t>Ratione</w:t>
            </w:r>
            <w:proofErr w:type="spellEnd"/>
            <w:r w:rsidRPr="00C21237">
              <w:rPr>
                <w:rFonts w:asciiTheme="majorHAnsi" w:hAnsiTheme="majorHAnsi"/>
                <w:b/>
                <w:bCs/>
                <w:i/>
                <w:color w:val="FFFFFF" w:themeColor="background1"/>
                <w:sz w:val="20"/>
                <w:szCs w:val="20"/>
                <w:lang w:val="es-AR"/>
              </w:rPr>
              <w:t xml:space="preserve"> </w:t>
            </w:r>
            <w:proofErr w:type="spellStart"/>
            <w:r w:rsidRPr="00C21237">
              <w:rPr>
                <w:rFonts w:asciiTheme="majorHAnsi" w:hAnsiTheme="majorHAnsi"/>
                <w:b/>
                <w:bCs/>
                <w:i/>
                <w:color w:val="FFFFFF" w:themeColor="background1"/>
                <w:sz w:val="20"/>
                <w:szCs w:val="20"/>
                <w:lang w:val="es-AR"/>
              </w:rPr>
              <w:t>loci</w:t>
            </w:r>
            <w:proofErr w:type="spellEnd"/>
          </w:p>
        </w:tc>
        <w:tc>
          <w:tcPr>
            <w:tcW w:w="5760" w:type="dxa"/>
            <w:vAlign w:val="center"/>
          </w:tcPr>
          <w:p w:rsidR="003239B8" w:rsidRPr="00C21237" w:rsidRDefault="00A53CBB" w:rsidP="00E30EC0">
            <w:pPr>
              <w:rPr>
                <w:rFonts w:asciiTheme="majorHAnsi" w:hAnsiTheme="majorHAnsi"/>
                <w:bCs/>
                <w:sz w:val="20"/>
                <w:szCs w:val="20"/>
                <w:lang w:val="es-AR"/>
              </w:rPr>
            </w:pPr>
            <w:r w:rsidRPr="00C21237">
              <w:rPr>
                <w:rFonts w:asciiTheme="majorHAnsi" w:hAnsiTheme="majorHAnsi"/>
                <w:bCs/>
                <w:sz w:val="20"/>
                <w:szCs w:val="20"/>
                <w:lang w:val="es-AR"/>
              </w:rPr>
              <w:t>Sí</w:t>
            </w:r>
          </w:p>
        </w:tc>
      </w:tr>
      <w:tr w:rsidR="003239B8" w:rsidRPr="00C21237" w:rsidTr="004A6A54">
        <w:trPr>
          <w:cantSplit/>
        </w:trPr>
        <w:tc>
          <w:tcPr>
            <w:tcW w:w="3600" w:type="dxa"/>
            <w:tcBorders>
              <w:top w:val="single" w:sz="6" w:space="0" w:color="auto"/>
              <w:bottom w:val="single" w:sz="6" w:space="0" w:color="auto"/>
            </w:tcBorders>
            <w:shd w:val="clear" w:color="auto" w:fill="386294"/>
            <w:vAlign w:val="center"/>
          </w:tcPr>
          <w:p w:rsidR="003239B8" w:rsidRPr="00C21237" w:rsidRDefault="003239B8" w:rsidP="00E30EC0">
            <w:pPr>
              <w:jc w:val="center"/>
              <w:rPr>
                <w:rFonts w:asciiTheme="majorHAnsi" w:hAnsiTheme="majorHAnsi"/>
                <w:b/>
                <w:bCs/>
                <w:color w:val="FFFFFF" w:themeColor="background1"/>
                <w:sz w:val="20"/>
                <w:szCs w:val="20"/>
                <w:lang w:val="es-AR"/>
              </w:rPr>
            </w:pPr>
            <w:proofErr w:type="spellStart"/>
            <w:r w:rsidRPr="00C21237">
              <w:rPr>
                <w:rFonts w:asciiTheme="majorHAnsi" w:hAnsiTheme="majorHAnsi"/>
                <w:b/>
                <w:bCs/>
                <w:i/>
                <w:color w:val="FFFFFF" w:themeColor="background1"/>
                <w:sz w:val="20"/>
                <w:szCs w:val="20"/>
                <w:lang w:val="es-AR"/>
              </w:rPr>
              <w:t>Ratione</w:t>
            </w:r>
            <w:proofErr w:type="spellEnd"/>
            <w:r w:rsidRPr="00C21237">
              <w:rPr>
                <w:rFonts w:asciiTheme="majorHAnsi" w:hAnsiTheme="majorHAnsi"/>
                <w:b/>
                <w:bCs/>
                <w:i/>
                <w:color w:val="FFFFFF" w:themeColor="background1"/>
                <w:sz w:val="20"/>
                <w:szCs w:val="20"/>
                <w:lang w:val="es-AR"/>
              </w:rPr>
              <w:t xml:space="preserve"> </w:t>
            </w:r>
            <w:proofErr w:type="spellStart"/>
            <w:r w:rsidRPr="00C21237">
              <w:rPr>
                <w:rFonts w:asciiTheme="majorHAnsi" w:hAnsiTheme="majorHAnsi"/>
                <w:b/>
                <w:bCs/>
                <w:i/>
                <w:color w:val="FFFFFF" w:themeColor="background1"/>
                <w:sz w:val="20"/>
                <w:szCs w:val="20"/>
                <w:lang w:val="es-AR"/>
              </w:rPr>
              <w:t>temporis</w:t>
            </w:r>
            <w:proofErr w:type="spellEnd"/>
          </w:p>
        </w:tc>
        <w:tc>
          <w:tcPr>
            <w:tcW w:w="5760" w:type="dxa"/>
            <w:vAlign w:val="center"/>
          </w:tcPr>
          <w:p w:rsidR="003239B8" w:rsidRPr="00C21237" w:rsidRDefault="00A53CBB" w:rsidP="00E30EC0">
            <w:pPr>
              <w:rPr>
                <w:rFonts w:asciiTheme="majorHAnsi" w:hAnsiTheme="majorHAnsi"/>
                <w:bCs/>
                <w:sz w:val="20"/>
                <w:szCs w:val="20"/>
                <w:lang w:val="es-AR"/>
              </w:rPr>
            </w:pPr>
            <w:r w:rsidRPr="00C21237">
              <w:rPr>
                <w:rFonts w:asciiTheme="majorHAnsi" w:hAnsiTheme="majorHAnsi"/>
                <w:bCs/>
                <w:sz w:val="20"/>
                <w:szCs w:val="20"/>
                <w:lang w:val="es-AR"/>
              </w:rPr>
              <w:t>Sí</w:t>
            </w:r>
          </w:p>
        </w:tc>
      </w:tr>
      <w:tr w:rsidR="003239B8" w:rsidRPr="00583275" w:rsidTr="004A6A54">
        <w:trPr>
          <w:cantSplit/>
        </w:trPr>
        <w:tc>
          <w:tcPr>
            <w:tcW w:w="3600" w:type="dxa"/>
            <w:tcBorders>
              <w:top w:val="single" w:sz="6" w:space="0" w:color="auto"/>
              <w:bottom w:val="single" w:sz="6" w:space="0" w:color="auto"/>
            </w:tcBorders>
            <w:shd w:val="clear" w:color="auto" w:fill="386294"/>
            <w:vAlign w:val="center"/>
          </w:tcPr>
          <w:p w:rsidR="003239B8" w:rsidRPr="00C21237" w:rsidRDefault="003239B8" w:rsidP="00E30EC0">
            <w:pPr>
              <w:jc w:val="center"/>
              <w:rPr>
                <w:rFonts w:asciiTheme="majorHAnsi" w:hAnsiTheme="majorHAnsi"/>
                <w:b/>
                <w:bCs/>
                <w:color w:val="FFFFFF" w:themeColor="background1"/>
                <w:sz w:val="20"/>
                <w:szCs w:val="20"/>
                <w:lang w:val="es-AR"/>
              </w:rPr>
            </w:pPr>
            <w:proofErr w:type="spellStart"/>
            <w:r w:rsidRPr="00C21237">
              <w:rPr>
                <w:rFonts w:asciiTheme="majorHAnsi" w:hAnsiTheme="majorHAnsi"/>
                <w:b/>
                <w:bCs/>
                <w:i/>
                <w:color w:val="FFFFFF" w:themeColor="background1"/>
                <w:sz w:val="20"/>
                <w:szCs w:val="20"/>
                <w:lang w:val="es-AR"/>
              </w:rPr>
              <w:t>Ratione</w:t>
            </w:r>
            <w:proofErr w:type="spellEnd"/>
            <w:r w:rsidRPr="00C21237">
              <w:rPr>
                <w:rFonts w:asciiTheme="majorHAnsi" w:hAnsiTheme="majorHAnsi"/>
                <w:b/>
                <w:bCs/>
                <w:i/>
                <w:color w:val="FFFFFF" w:themeColor="background1"/>
                <w:sz w:val="20"/>
                <w:szCs w:val="20"/>
                <w:lang w:val="es-AR"/>
              </w:rPr>
              <w:t xml:space="preserve"> </w:t>
            </w:r>
            <w:proofErr w:type="spellStart"/>
            <w:r w:rsidRPr="00C21237">
              <w:rPr>
                <w:rFonts w:asciiTheme="majorHAnsi" w:hAnsiTheme="majorHAnsi"/>
                <w:b/>
                <w:bCs/>
                <w:i/>
                <w:color w:val="FFFFFF" w:themeColor="background1"/>
                <w:sz w:val="20"/>
                <w:szCs w:val="20"/>
                <w:lang w:val="es-AR"/>
              </w:rPr>
              <w:t>materia</w:t>
            </w:r>
            <w:r w:rsidR="00EE00E9" w:rsidRPr="00C21237">
              <w:rPr>
                <w:rFonts w:asciiTheme="majorHAnsi" w:hAnsiTheme="majorHAnsi"/>
                <w:b/>
                <w:bCs/>
                <w:i/>
                <w:color w:val="FFFFFF" w:themeColor="background1"/>
                <w:sz w:val="20"/>
                <w:szCs w:val="20"/>
                <w:lang w:val="es-AR"/>
              </w:rPr>
              <w:t>e</w:t>
            </w:r>
            <w:proofErr w:type="spellEnd"/>
          </w:p>
        </w:tc>
        <w:tc>
          <w:tcPr>
            <w:tcW w:w="5760" w:type="dxa"/>
            <w:vAlign w:val="center"/>
          </w:tcPr>
          <w:p w:rsidR="003239B8" w:rsidRPr="00C21237" w:rsidRDefault="00A53CBB" w:rsidP="00E30EC0">
            <w:pPr>
              <w:jc w:val="both"/>
              <w:rPr>
                <w:rFonts w:asciiTheme="majorHAnsi" w:hAnsiTheme="majorHAnsi"/>
                <w:bCs/>
                <w:sz w:val="20"/>
                <w:szCs w:val="20"/>
                <w:lang w:val="es-ES"/>
              </w:rPr>
            </w:pPr>
            <w:r w:rsidRPr="00C21237">
              <w:rPr>
                <w:rFonts w:asciiTheme="majorHAnsi" w:hAnsiTheme="majorHAnsi"/>
                <w:bCs/>
                <w:sz w:val="20"/>
                <w:szCs w:val="20"/>
                <w:lang w:val="es-ES"/>
              </w:rPr>
              <w:t>S</w:t>
            </w:r>
            <w:r w:rsidR="00474519" w:rsidRPr="00C21237">
              <w:rPr>
                <w:rFonts w:asciiTheme="majorHAnsi" w:hAnsiTheme="majorHAnsi"/>
                <w:bCs/>
                <w:sz w:val="20"/>
                <w:szCs w:val="20"/>
                <w:lang w:val="es-ES"/>
              </w:rPr>
              <w:t>í, Convención Americana (depósito de instrumento de ratificación realizado el 28 de julio de 1978)</w:t>
            </w:r>
            <w:r w:rsidR="005A0D18">
              <w:rPr>
                <w:rFonts w:asciiTheme="majorHAnsi" w:hAnsiTheme="majorHAnsi"/>
                <w:bCs/>
                <w:sz w:val="20"/>
                <w:szCs w:val="20"/>
                <w:lang w:val="es-ES"/>
              </w:rPr>
              <w:t>;</w:t>
            </w:r>
            <w:r w:rsidR="00BC1CDE">
              <w:rPr>
                <w:rFonts w:asciiTheme="majorHAnsi" w:hAnsiTheme="majorHAnsi"/>
                <w:bCs/>
                <w:sz w:val="20"/>
                <w:szCs w:val="20"/>
                <w:lang w:val="es-AR"/>
              </w:rPr>
              <w:t xml:space="preserve"> Convención Interamericana para Prevenir y Erradicar la Tortura (depósito de instrumento de ratificación realizado el 28 de marzo de 1991)</w:t>
            </w:r>
          </w:p>
        </w:tc>
      </w:tr>
    </w:tbl>
    <w:p w:rsidR="003239B8" w:rsidRPr="00C21237" w:rsidRDefault="003239B8" w:rsidP="00E30EC0">
      <w:pPr>
        <w:ind w:firstLine="720"/>
        <w:jc w:val="both"/>
        <w:rPr>
          <w:rFonts w:asciiTheme="majorHAnsi" w:hAnsiTheme="majorHAnsi"/>
          <w:b/>
          <w:bCs/>
          <w:sz w:val="20"/>
          <w:szCs w:val="20"/>
          <w:lang w:val="es-ES"/>
        </w:rPr>
      </w:pPr>
      <w:r w:rsidRPr="00C21237">
        <w:rPr>
          <w:rFonts w:asciiTheme="majorHAnsi" w:hAnsiTheme="majorHAnsi"/>
          <w:b/>
          <w:bCs/>
          <w:sz w:val="20"/>
          <w:szCs w:val="20"/>
          <w:lang w:val="es-ES"/>
        </w:rPr>
        <w:t xml:space="preserve">IV. </w:t>
      </w:r>
      <w:r w:rsidRPr="00C21237">
        <w:rPr>
          <w:rFonts w:asciiTheme="majorHAnsi" w:hAnsiTheme="majorHAnsi"/>
          <w:b/>
          <w:bCs/>
          <w:sz w:val="20"/>
          <w:szCs w:val="20"/>
          <w:lang w:val="es-ES"/>
        </w:rPr>
        <w:tab/>
      </w:r>
      <w:r w:rsidR="00EE00E9" w:rsidRPr="00C21237">
        <w:rPr>
          <w:rFonts w:asciiTheme="majorHAnsi" w:hAnsiTheme="majorHAnsi"/>
          <w:b/>
          <w:bCs/>
          <w:sz w:val="20"/>
          <w:szCs w:val="20"/>
          <w:lang w:val="es-ES"/>
        </w:rPr>
        <w:t>DUPLICACIÓN</w:t>
      </w:r>
      <w:r w:rsidR="00EE00E9" w:rsidRPr="00C21237">
        <w:rPr>
          <w:rFonts w:asciiTheme="majorHAnsi" w:hAnsiTheme="majorHAnsi"/>
          <w:b/>
          <w:bCs/>
          <w:color w:val="FFFFFF" w:themeColor="background1"/>
          <w:sz w:val="20"/>
          <w:szCs w:val="20"/>
          <w:lang w:val="es-ES"/>
        </w:rPr>
        <w:t xml:space="preserve"> </w:t>
      </w:r>
      <w:r w:rsidR="00EE00E9" w:rsidRPr="00C21237">
        <w:rPr>
          <w:rFonts w:asciiTheme="majorHAnsi" w:hAnsiTheme="majorHAnsi"/>
          <w:b/>
          <w:bCs/>
          <w:sz w:val="20"/>
          <w:szCs w:val="20"/>
          <w:lang w:val="es-ES"/>
        </w:rPr>
        <w:t>DE PROCEDIMIENTOS Y COSA JUZGADA</w:t>
      </w:r>
      <w:r w:rsidR="00EE00E9" w:rsidRPr="00C21237">
        <w:rPr>
          <w:rFonts w:asciiTheme="majorHAnsi" w:hAnsiTheme="majorHAnsi"/>
          <w:b/>
          <w:bCs/>
          <w:i/>
          <w:sz w:val="20"/>
          <w:szCs w:val="20"/>
          <w:lang w:val="es-ES"/>
        </w:rPr>
        <w:t xml:space="preserve"> </w:t>
      </w:r>
      <w:r w:rsidR="002663F0" w:rsidRPr="00C21237">
        <w:rPr>
          <w:rFonts w:asciiTheme="majorHAnsi" w:hAnsiTheme="majorHAnsi"/>
          <w:b/>
          <w:bCs/>
          <w:sz w:val="20"/>
          <w:szCs w:val="20"/>
          <w:lang w:val="es-ES"/>
        </w:rPr>
        <w:t>INTERNACIONAL, CARACTERIZACIÓN</w:t>
      </w:r>
      <w:r w:rsidRPr="00C21237">
        <w:rPr>
          <w:rFonts w:asciiTheme="majorHAnsi" w:hAnsiTheme="majorHAnsi"/>
          <w:b/>
          <w:bCs/>
          <w:sz w:val="20"/>
          <w:szCs w:val="20"/>
          <w:lang w:val="es-ES"/>
        </w:rPr>
        <w:t xml:space="preserve">, </w:t>
      </w:r>
      <w:r w:rsidRPr="00C2123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C21237" w:rsidTr="004A6A54">
        <w:trPr>
          <w:cantSplit/>
        </w:trPr>
        <w:tc>
          <w:tcPr>
            <w:tcW w:w="3600" w:type="dxa"/>
            <w:tcBorders>
              <w:top w:val="single" w:sz="4" w:space="0" w:color="auto"/>
              <w:bottom w:val="single" w:sz="6" w:space="0" w:color="auto"/>
            </w:tcBorders>
            <w:shd w:val="clear" w:color="auto" w:fill="386294"/>
            <w:vAlign w:val="center"/>
          </w:tcPr>
          <w:p w:rsidR="00EE00E9" w:rsidRPr="00C21237" w:rsidRDefault="00EE00E9" w:rsidP="00E30EC0">
            <w:pPr>
              <w:jc w:val="center"/>
              <w:rPr>
                <w:rFonts w:asciiTheme="majorHAnsi" w:hAnsiTheme="majorHAnsi"/>
                <w:b/>
                <w:bCs/>
                <w:color w:val="FFFFFF" w:themeColor="background1"/>
                <w:sz w:val="20"/>
                <w:szCs w:val="20"/>
                <w:lang w:val="es-ES"/>
              </w:rPr>
            </w:pPr>
            <w:r w:rsidRPr="00C21237">
              <w:rPr>
                <w:rFonts w:asciiTheme="majorHAnsi" w:hAnsiTheme="majorHAnsi"/>
                <w:b/>
                <w:bCs/>
                <w:color w:val="FFFFFF" w:themeColor="background1"/>
                <w:sz w:val="20"/>
                <w:szCs w:val="20"/>
                <w:lang w:val="es-ES"/>
              </w:rPr>
              <w:t>Duplicación de procedimient</w:t>
            </w:r>
            <w:r w:rsidR="00467815">
              <w:rPr>
                <w:rFonts w:asciiTheme="majorHAnsi" w:hAnsiTheme="majorHAnsi"/>
                <w:b/>
                <w:bCs/>
                <w:color w:val="FFFFFF" w:themeColor="background1"/>
                <w:sz w:val="20"/>
                <w:szCs w:val="20"/>
                <w:lang w:val="es-ES"/>
              </w:rPr>
              <w:t>os y cosa juzgada internacional</w:t>
            </w:r>
          </w:p>
        </w:tc>
        <w:tc>
          <w:tcPr>
            <w:tcW w:w="5760" w:type="dxa"/>
            <w:vAlign w:val="center"/>
          </w:tcPr>
          <w:p w:rsidR="00EE00E9" w:rsidRPr="00C21237" w:rsidRDefault="00474519" w:rsidP="00E30EC0">
            <w:pPr>
              <w:jc w:val="both"/>
              <w:rPr>
                <w:rFonts w:asciiTheme="majorHAnsi" w:hAnsiTheme="majorHAnsi"/>
                <w:bCs/>
                <w:sz w:val="20"/>
                <w:szCs w:val="20"/>
                <w:lang w:val="es-ES"/>
              </w:rPr>
            </w:pPr>
            <w:r w:rsidRPr="00C21237">
              <w:rPr>
                <w:rFonts w:asciiTheme="majorHAnsi" w:hAnsiTheme="majorHAnsi"/>
                <w:bCs/>
                <w:sz w:val="20"/>
                <w:szCs w:val="20"/>
                <w:lang w:val="es-ES"/>
              </w:rPr>
              <w:t xml:space="preserve">No </w:t>
            </w:r>
          </w:p>
        </w:tc>
      </w:tr>
      <w:tr w:rsidR="003239B8" w:rsidRPr="00583275" w:rsidTr="004A6A54">
        <w:trPr>
          <w:cantSplit/>
        </w:trPr>
        <w:tc>
          <w:tcPr>
            <w:tcW w:w="3600" w:type="dxa"/>
            <w:tcBorders>
              <w:top w:val="single" w:sz="4" w:space="0" w:color="auto"/>
              <w:bottom w:val="single" w:sz="6" w:space="0" w:color="auto"/>
            </w:tcBorders>
            <w:shd w:val="clear" w:color="auto" w:fill="386294"/>
            <w:vAlign w:val="center"/>
          </w:tcPr>
          <w:p w:rsidR="003239B8" w:rsidRPr="00C21237" w:rsidRDefault="003239B8" w:rsidP="00E30EC0">
            <w:pPr>
              <w:jc w:val="center"/>
              <w:rPr>
                <w:rFonts w:asciiTheme="majorHAnsi" w:hAnsiTheme="majorHAnsi"/>
                <w:b/>
                <w:bCs/>
                <w:i/>
                <w:color w:val="FFFFFF" w:themeColor="background1"/>
                <w:sz w:val="20"/>
                <w:szCs w:val="20"/>
              </w:rPr>
            </w:pPr>
            <w:proofErr w:type="spellStart"/>
            <w:r w:rsidRPr="00C21237">
              <w:rPr>
                <w:rFonts w:asciiTheme="majorHAnsi" w:hAnsiTheme="majorHAnsi"/>
                <w:b/>
                <w:bCs/>
                <w:color w:val="FFFFFF" w:themeColor="background1"/>
                <w:sz w:val="20"/>
                <w:szCs w:val="20"/>
              </w:rPr>
              <w:t>Derechos</w:t>
            </w:r>
            <w:proofErr w:type="spellEnd"/>
            <w:r w:rsidRPr="00C21237">
              <w:rPr>
                <w:rFonts w:asciiTheme="majorHAnsi" w:hAnsiTheme="majorHAnsi"/>
                <w:b/>
                <w:bCs/>
                <w:color w:val="FFFFFF" w:themeColor="background1"/>
                <w:sz w:val="20"/>
                <w:szCs w:val="20"/>
              </w:rPr>
              <w:t xml:space="preserve"> </w:t>
            </w:r>
            <w:proofErr w:type="spellStart"/>
            <w:r w:rsidRPr="00C21237">
              <w:rPr>
                <w:rFonts w:asciiTheme="majorHAnsi" w:hAnsiTheme="majorHAnsi"/>
                <w:b/>
                <w:bCs/>
                <w:color w:val="FFFFFF" w:themeColor="background1"/>
                <w:sz w:val="20"/>
                <w:szCs w:val="20"/>
              </w:rPr>
              <w:t>declarados</w:t>
            </w:r>
            <w:proofErr w:type="spellEnd"/>
            <w:r w:rsidRPr="00C21237">
              <w:rPr>
                <w:rFonts w:asciiTheme="majorHAnsi" w:hAnsiTheme="majorHAnsi"/>
                <w:b/>
                <w:bCs/>
                <w:color w:val="FFFFFF" w:themeColor="background1"/>
                <w:sz w:val="20"/>
                <w:szCs w:val="20"/>
              </w:rPr>
              <w:t xml:space="preserve"> </w:t>
            </w:r>
            <w:proofErr w:type="spellStart"/>
            <w:r w:rsidRPr="00C21237">
              <w:rPr>
                <w:rFonts w:asciiTheme="majorHAnsi" w:hAnsiTheme="majorHAnsi"/>
                <w:b/>
                <w:bCs/>
                <w:color w:val="FFFFFF" w:themeColor="background1"/>
                <w:sz w:val="20"/>
                <w:szCs w:val="20"/>
              </w:rPr>
              <w:t>admisibles</w:t>
            </w:r>
            <w:proofErr w:type="spellEnd"/>
          </w:p>
        </w:tc>
        <w:tc>
          <w:tcPr>
            <w:tcW w:w="5760" w:type="dxa"/>
            <w:vAlign w:val="center"/>
          </w:tcPr>
          <w:p w:rsidR="003239B8" w:rsidRPr="004E58FA" w:rsidRDefault="00BB6120" w:rsidP="00E30EC0">
            <w:pPr>
              <w:jc w:val="both"/>
              <w:rPr>
                <w:rFonts w:asciiTheme="majorHAnsi" w:hAnsiTheme="majorHAnsi"/>
                <w:bCs/>
                <w:sz w:val="20"/>
                <w:szCs w:val="20"/>
                <w:lang w:val="es-AR"/>
              </w:rPr>
            </w:pPr>
            <w:r w:rsidRPr="00C21237">
              <w:rPr>
                <w:rFonts w:asciiTheme="majorHAnsi" w:hAnsiTheme="majorHAnsi"/>
                <w:bCs/>
                <w:sz w:val="20"/>
                <w:szCs w:val="20"/>
                <w:lang w:val="es-AR"/>
              </w:rPr>
              <w:t>Artí</w:t>
            </w:r>
            <w:r>
              <w:rPr>
                <w:rFonts w:asciiTheme="majorHAnsi" w:hAnsiTheme="majorHAnsi"/>
                <w:bCs/>
                <w:sz w:val="20"/>
                <w:szCs w:val="20"/>
                <w:lang w:val="es-AR"/>
              </w:rPr>
              <w:t xml:space="preserve">culos 5 (integridad personal), </w:t>
            </w:r>
            <w:r w:rsidRPr="00B1398E">
              <w:rPr>
                <w:rFonts w:asciiTheme="majorHAnsi" w:hAnsiTheme="majorHAnsi"/>
                <w:bCs/>
                <w:sz w:val="20"/>
                <w:szCs w:val="20"/>
                <w:lang w:val="es-AR"/>
              </w:rPr>
              <w:t>7 (libertad personal</w:t>
            </w:r>
            <w:r>
              <w:rPr>
                <w:rFonts w:asciiTheme="majorHAnsi" w:hAnsiTheme="majorHAnsi"/>
                <w:bCs/>
                <w:sz w:val="20"/>
                <w:szCs w:val="20"/>
                <w:lang w:val="es-AR"/>
              </w:rPr>
              <w:t>)</w:t>
            </w:r>
            <w:r w:rsidR="00AE05E3" w:rsidRPr="00227448">
              <w:rPr>
                <w:rFonts w:asciiTheme="majorHAnsi" w:hAnsiTheme="majorHAnsi"/>
                <w:bCs/>
                <w:sz w:val="20"/>
                <w:szCs w:val="20"/>
                <w:lang w:val="es-AR"/>
              </w:rPr>
              <w:t xml:space="preserve"> </w:t>
            </w:r>
            <w:r w:rsidR="00AE05E3">
              <w:rPr>
                <w:rFonts w:asciiTheme="majorHAnsi" w:hAnsiTheme="majorHAnsi"/>
                <w:bCs/>
                <w:sz w:val="20"/>
                <w:szCs w:val="20"/>
                <w:lang w:val="es-AR"/>
              </w:rPr>
              <w:t xml:space="preserve">8 (garantías judiciales), </w:t>
            </w:r>
            <w:r w:rsidR="00AE05E3" w:rsidRPr="00AD0265">
              <w:rPr>
                <w:rFonts w:asciiTheme="majorHAnsi" w:hAnsiTheme="majorHAnsi"/>
                <w:bCs/>
                <w:sz w:val="20"/>
                <w:szCs w:val="20"/>
                <w:lang w:val="es-AR"/>
              </w:rPr>
              <w:t>10 (indemnización),</w:t>
            </w:r>
            <w:r w:rsidR="00AE05E3">
              <w:rPr>
                <w:rFonts w:asciiTheme="majorHAnsi" w:hAnsiTheme="majorHAnsi"/>
                <w:bCs/>
                <w:sz w:val="20"/>
                <w:szCs w:val="20"/>
                <w:lang w:val="es-AR"/>
              </w:rPr>
              <w:t xml:space="preserve"> 25 (protección judicial) </w:t>
            </w:r>
            <w:r w:rsidR="00AE05E3" w:rsidRPr="00C21237">
              <w:rPr>
                <w:rFonts w:asciiTheme="majorHAnsi" w:hAnsiTheme="majorHAnsi"/>
                <w:bCs/>
                <w:sz w:val="20"/>
                <w:szCs w:val="20"/>
                <w:lang w:val="es-AR"/>
              </w:rPr>
              <w:t>de la Convención Americana sobre Derechos Humanos</w:t>
            </w:r>
            <w:r w:rsidR="00AE05E3" w:rsidRPr="00C21237">
              <w:rPr>
                <w:rFonts w:asciiTheme="majorHAnsi" w:hAnsiTheme="majorHAnsi"/>
                <w:bCs/>
                <w:sz w:val="20"/>
                <w:szCs w:val="20"/>
                <w:vertAlign w:val="superscript"/>
                <w:lang w:val="es-AR"/>
              </w:rPr>
              <w:t xml:space="preserve">2 </w:t>
            </w:r>
            <w:r w:rsidR="00AE05E3" w:rsidRPr="00C21237">
              <w:rPr>
                <w:rFonts w:asciiTheme="majorHAnsi" w:hAnsiTheme="majorHAnsi"/>
                <w:bCs/>
                <w:sz w:val="20"/>
                <w:szCs w:val="20"/>
                <w:lang w:val="es-AR"/>
              </w:rPr>
              <w:t>en relación con sus artículos 1.1 (obligación de respetar los derechos</w:t>
            </w:r>
            <w:r w:rsidR="00AE05E3">
              <w:rPr>
                <w:rFonts w:asciiTheme="majorHAnsi" w:hAnsiTheme="majorHAnsi"/>
                <w:bCs/>
                <w:sz w:val="20"/>
                <w:szCs w:val="20"/>
                <w:lang w:val="es-AR"/>
              </w:rPr>
              <w:t>)</w:t>
            </w:r>
            <w:r w:rsidR="00AE05E3" w:rsidRPr="00C21237">
              <w:rPr>
                <w:rFonts w:asciiTheme="majorHAnsi" w:hAnsiTheme="majorHAnsi"/>
                <w:bCs/>
                <w:sz w:val="20"/>
                <w:szCs w:val="20"/>
                <w:lang w:val="es-AR"/>
              </w:rPr>
              <w:t xml:space="preserve"> y 2 (deber de adoptar disposiciones de derecho interno)</w:t>
            </w:r>
            <w:r w:rsidR="00AE05E3">
              <w:rPr>
                <w:rFonts w:asciiTheme="majorHAnsi" w:hAnsiTheme="majorHAnsi"/>
                <w:bCs/>
                <w:sz w:val="20"/>
                <w:szCs w:val="20"/>
                <w:lang w:val="es-AR"/>
              </w:rPr>
              <w:t xml:space="preserve"> del mismo instrumento</w:t>
            </w:r>
            <w:r w:rsidR="00067324">
              <w:rPr>
                <w:rFonts w:asciiTheme="majorHAnsi" w:hAnsiTheme="majorHAnsi"/>
                <w:bCs/>
                <w:sz w:val="20"/>
                <w:szCs w:val="20"/>
                <w:lang w:val="es-AR"/>
              </w:rPr>
              <w:t>. Art. 2 de la Convención Interamericana para Prevenir y Erradicar la Tortura</w:t>
            </w:r>
          </w:p>
        </w:tc>
      </w:tr>
      <w:tr w:rsidR="003239B8" w:rsidRPr="00583275" w:rsidTr="004A6A54">
        <w:trPr>
          <w:cantSplit/>
        </w:trPr>
        <w:tc>
          <w:tcPr>
            <w:tcW w:w="3600" w:type="dxa"/>
            <w:tcBorders>
              <w:top w:val="single" w:sz="6" w:space="0" w:color="auto"/>
              <w:bottom w:val="single" w:sz="6" w:space="0" w:color="auto"/>
            </w:tcBorders>
            <w:shd w:val="clear" w:color="auto" w:fill="386294"/>
            <w:vAlign w:val="center"/>
          </w:tcPr>
          <w:p w:rsidR="003239B8" w:rsidRPr="004E58FA" w:rsidRDefault="003239B8" w:rsidP="00E30EC0">
            <w:pPr>
              <w:jc w:val="center"/>
              <w:rPr>
                <w:rFonts w:asciiTheme="majorHAnsi" w:hAnsiTheme="majorHAnsi"/>
                <w:b/>
                <w:bCs/>
                <w:color w:val="FFFFFF" w:themeColor="background1"/>
                <w:sz w:val="20"/>
                <w:szCs w:val="20"/>
                <w:lang w:val="es-ES"/>
              </w:rPr>
            </w:pPr>
            <w:r w:rsidRPr="004E58FA">
              <w:rPr>
                <w:rFonts w:asciiTheme="majorHAnsi" w:hAnsiTheme="majorHAnsi"/>
                <w:b/>
                <w:bCs/>
                <w:color w:val="FFFFFF" w:themeColor="background1"/>
                <w:sz w:val="20"/>
                <w:szCs w:val="20"/>
                <w:lang w:val="es-ES"/>
              </w:rPr>
              <w:t>Agotamiento de recursos internos</w:t>
            </w:r>
            <w:r w:rsidR="00EE00E9" w:rsidRPr="004E58FA">
              <w:rPr>
                <w:rFonts w:asciiTheme="majorHAnsi" w:hAnsiTheme="majorHAnsi"/>
                <w:b/>
                <w:bCs/>
                <w:color w:val="FFFFFF" w:themeColor="background1"/>
                <w:sz w:val="20"/>
                <w:szCs w:val="20"/>
                <w:lang w:val="es-ES"/>
              </w:rPr>
              <w:t xml:space="preserve"> o procedencia de una excepción</w:t>
            </w:r>
          </w:p>
        </w:tc>
        <w:tc>
          <w:tcPr>
            <w:tcW w:w="5760" w:type="dxa"/>
            <w:vAlign w:val="center"/>
          </w:tcPr>
          <w:p w:rsidR="003239B8" w:rsidRPr="004E58FA" w:rsidRDefault="00AB37E2" w:rsidP="00E30EC0">
            <w:pPr>
              <w:rPr>
                <w:rFonts w:asciiTheme="majorHAnsi" w:hAnsiTheme="majorHAnsi"/>
                <w:bCs/>
                <w:sz w:val="20"/>
                <w:szCs w:val="20"/>
                <w:lang w:val="es-ES"/>
              </w:rPr>
            </w:pPr>
            <w:r>
              <w:rPr>
                <w:rFonts w:asciiTheme="majorHAnsi" w:hAnsiTheme="majorHAnsi"/>
                <w:bCs/>
                <w:sz w:val="20"/>
                <w:szCs w:val="20"/>
                <w:lang w:val="es-ES"/>
              </w:rPr>
              <w:t>Si, en los términos de la sección VI</w:t>
            </w:r>
          </w:p>
        </w:tc>
      </w:tr>
      <w:tr w:rsidR="003239B8" w:rsidRPr="00583275" w:rsidTr="004A6A54">
        <w:trPr>
          <w:cantSplit/>
        </w:trPr>
        <w:tc>
          <w:tcPr>
            <w:tcW w:w="3600" w:type="dxa"/>
            <w:tcBorders>
              <w:top w:val="single" w:sz="6" w:space="0" w:color="auto"/>
              <w:bottom w:val="single" w:sz="6" w:space="0" w:color="auto"/>
            </w:tcBorders>
            <w:shd w:val="clear" w:color="auto" w:fill="386294"/>
            <w:vAlign w:val="center"/>
          </w:tcPr>
          <w:p w:rsidR="003239B8" w:rsidRPr="004E58FA" w:rsidRDefault="00467815" w:rsidP="00E30EC0">
            <w:pPr>
              <w:jc w:val="center"/>
              <w:rPr>
                <w:rFonts w:asciiTheme="majorHAnsi" w:hAnsiTheme="majorHAnsi"/>
                <w:b/>
                <w:bCs/>
                <w:color w:val="FFFFFF" w:themeColor="background1"/>
                <w:sz w:val="20"/>
                <w:szCs w:val="20"/>
              </w:rPr>
            </w:pPr>
            <w:r w:rsidRPr="00067324">
              <w:rPr>
                <w:rFonts w:asciiTheme="majorHAnsi" w:hAnsiTheme="majorHAnsi"/>
                <w:b/>
                <w:bCs/>
                <w:color w:val="FFFFFF" w:themeColor="background1"/>
                <w:sz w:val="20"/>
                <w:szCs w:val="20"/>
                <w:lang w:val="es-US"/>
              </w:rPr>
              <w:t xml:space="preserve">Presentación dentro de </w:t>
            </w:r>
            <w:proofErr w:type="spellStart"/>
            <w:r>
              <w:rPr>
                <w:rFonts w:asciiTheme="majorHAnsi" w:hAnsiTheme="majorHAnsi"/>
                <w:b/>
                <w:bCs/>
                <w:color w:val="FFFFFF" w:themeColor="background1"/>
                <w:sz w:val="20"/>
                <w:szCs w:val="20"/>
              </w:rPr>
              <w:t>plazo</w:t>
            </w:r>
            <w:proofErr w:type="spellEnd"/>
          </w:p>
        </w:tc>
        <w:tc>
          <w:tcPr>
            <w:tcW w:w="5760" w:type="dxa"/>
            <w:vAlign w:val="center"/>
          </w:tcPr>
          <w:p w:rsidR="003239B8" w:rsidRPr="004E58FA" w:rsidRDefault="00A83206" w:rsidP="00E30EC0">
            <w:pPr>
              <w:rPr>
                <w:rFonts w:asciiTheme="majorHAnsi" w:hAnsiTheme="majorHAnsi"/>
                <w:bCs/>
                <w:sz w:val="20"/>
                <w:szCs w:val="20"/>
                <w:lang w:val="es-AR"/>
              </w:rPr>
            </w:pPr>
            <w:r>
              <w:rPr>
                <w:rFonts w:asciiTheme="majorHAnsi" w:hAnsiTheme="majorHAnsi"/>
                <w:bCs/>
                <w:sz w:val="20"/>
                <w:szCs w:val="20"/>
                <w:lang w:val="es-AR"/>
              </w:rPr>
              <w:t xml:space="preserve">Si, </w:t>
            </w:r>
            <w:r w:rsidR="00881DC3">
              <w:rPr>
                <w:rFonts w:asciiTheme="majorHAnsi" w:hAnsiTheme="majorHAnsi"/>
                <w:bCs/>
                <w:sz w:val="20"/>
                <w:szCs w:val="20"/>
                <w:lang w:val="es-ES"/>
              </w:rPr>
              <w:t>en los términos de la sección VI</w:t>
            </w:r>
          </w:p>
        </w:tc>
      </w:tr>
    </w:tbl>
    <w:p w:rsidR="00E30EC0" w:rsidRDefault="00E30EC0" w:rsidP="00E30EC0">
      <w:pPr>
        <w:ind w:firstLine="720"/>
        <w:jc w:val="both"/>
        <w:rPr>
          <w:rFonts w:asciiTheme="majorHAnsi" w:hAnsiTheme="majorHAnsi"/>
          <w:b/>
          <w:sz w:val="20"/>
          <w:szCs w:val="20"/>
          <w:lang w:val="es-UY"/>
        </w:rPr>
      </w:pPr>
    </w:p>
    <w:p w:rsidR="00E30EC0" w:rsidRDefault="00E30EC0" w:rsidP="00E30EC0">
      <w:pPr>
        <w:ind w:firstLine="720"/>
        <w:jc w:val="both"/>
        <w:rPr>
          <w:rFonts w:asciiTheme="majorHAnsi" w:hAnsiTheme="majorHAnsi"/>
          <w:b/>
          <w:sz w:val="20"/>
          <w:szCs w:val="20"/>
          <w:lang w:val="es-UY"/>
        </w:rPr>
      </w:pPr>
    </w:p>
    <w:p w:rsidR="00E30EC0" w:rsidRDefault="00E30EC0" w:rsidP="00E30EC0">
      <w:pPr>
        <w:ind w:firstLine="720"/>
        <w:jc w:val="both"/>
        <w:rPr>
          <w:rFonts w:asciiTheme="majorHAnsi" w:hAnsiTheme="majorHAnsi"/>
          <w:b/>
          <w:sz w:val="20"/>
          <w:szCs w:val="20"/>
          <w:lang w:val="es-UY"/>
        </w:rPr>
      </w:pPr>
    </w:p>
    <w:p w:rsidR="00E30EC0" w:rsidRDefault="00E30EC0" w:rsidP="00E30EC0">
      <w:pPr>
        <w:ind w:firstLine="720"/>
        <w:jc w:val="both"/>
        <w:rPr>
          <w:rFonts w:asciiTheme="majorHAnsi" w:hAnsiTheme="majorHAnsi"/>
          <w:b/>
          <w:sz w:val="20"/>
          <w:szCs w:val="20"/>
          <w:lang w:val="es-UY"/>
        </w:rPr>
      </w:pPr>
    </w:p>
    <w:p w:rsidR="003239B8" w:rsidRDefault="00223A29" w:rsidP="00E30EC0">
      <w:pPr>
        <w:ind w:firstLine="720"/>
        <w:jc w:val="both"/>
        <w:rPr>
          <w:rFonts w:asciiTheme="majorHAnsi" w:hAnsiTheme="majorHAnsi"/>
          <w:b/>
          <w:sz w:val="20"/>
          <w:szCs w:val="20"/>
          <w:lang w:val="es-UY"/>
        </w:rPr>
      </w:pPr>
      <w:r w:rsidRPr="004E58FA">
        <w:rPr>
          <w:rFonts w:asciiTheme="majorHAnsi" w:hAnsiTheme="majorHAnsi"/>
          <w:b/>
          <w:sz w:val="20"/>
          <w:szCs w:val="20"/>
          <w:lang w:val="es-UY"/>
        </w:rPr>
        <w:t xml:space="preserve">V. </w:t>
      </w:r>
      <w:r w:rsidRPr="004E58FA">
        <w:rPr>
          <w:rFonts w:asciiTheme="majorHAnsi" w:hAnsiTheme="majorHAnsi"/>
          <w:b/>
          <w:sz w:val="20"/>
          <w:szCs w:val="20"/>
          <w:lang w:val="es-UY"/>
        </w:rPr>
        <w:tab/>
      </w:r>
      <w:r w:rsidR="003239B8" w:rsidRPr="004E58FA">
        <w:rPr>
          <w:rFonts w:asciiTheme="majorHAnsi" w:hAnsiTheme="majorHAnsi"/>
          <w:b/>
          <w:sz w:val="20"/>
          <w:szCs w:val="20"/>
          <w:lang w:val="es-UY"/>
        </w:rPr>
        <w:t xml:space="preserve">HECHOS ALEGADOS </w:t>
      </w:r>
    </w:p>
    <w:p w:rsidR="00E30EC0" w:rsidRPr="00E30EC0" w:rsidRDefault="00E30EC0" w:rsidP="00E30EC0">
      <w:pPr>
        <w:suppressAutoHyphens/>
        <w:jc w:val="both"/>
        <w:rPr>
          <w:rFonts w:asciiTheme="majorHAnsi" w:hAnsiTheme="majorHAnsi"/>
          <w:sz w:val="20"/>
          <w:szCs w:val="20"/>
          <w:lang w:val="es-AR"/>
        </w:rPr>
      </w:pPr>
    </w:p>
    <w:p w:rsidR="005B170F" w:rsidRPr="00E30EC0" w:rsidRDefault="00317723" w:rsidP="00E30EC0">
      <w:pPr>
        <w:numPr>
          <w:ilvl w:val="0"/>
          <w:numId w:val="55"/>
        </w:numPr>
        <w:suppressAutoHyphens/>
        <w:jc w:val="both"/>
        <w:rPr>
          <w:rFonts w:asciiTheme="majorHAnsi" w:hAnsiTheme="majorHAnsi"/>
          <w:sz w:val="20"/>
          <w:szCs w:val="20"/>
          <w:lang w:val="es-AR"/>
        </w:rPr>
      </w:pPr>
      <w:r w:rsidRPr="00317723">
        <w:rPr>
          <w:rFonts w:ascii="Cambria" w:hAnsi="Cambria"/>
          <w:bCs/>
          <w:sz w:val="20"/>
          <w:szCs w:val="20"/>
          <w:lang w:val="es-AR"/>
        </w:rPr>
        <w:t xml:space="preserve">La parte peticionaria alega que </w:t>
      </w:r>
      <w:r w:rsidRPr="00317723">
        <w:rPr>
          <w:rFonts w:asciiTheme="majorHAnsi" w:hAnsiTheme="majorHAnsi"/>
          <w:bCs/>
          <w:sz w:val="20"/>
          <w:szCs w:val="20"/>
          <w:lang w:val="es-US"/>
        </w:rPr>
        <w:t xml:space="preserve">Segundo Leovigildo </w:t>
      </w:r>
      <w:proofErr w:type="spellStart"/>
      <w:r w:rsidRPr="00317723">
        <w:rPr>
          <w:rFonts w:asciiTheme="majorHAnsi" w:hAnsiTheme="majorHAnsi"/>
          <w:bCs/>
          <w:sz w:val="20"/>
          <w:szCs w:val="20"/>
          <w:lang w:val="es-US"/>
        </w:rPr>
        <w:t>Yóplac</w:t>
      </w:r>
      <w:proofErr w:type="spellEnd"/>
      <w:r w:rsidRPr="00317723">
        <w:rPr>
          <w:rFonts w:asciiTheme="majorHAnsi" w:hAnsiTheme="majorHAnsi"/>
          <w:bCs/>
          <w:sz w:val="20"/>
          <w:szCs w:val="20"/>
          <w:lang w:val="es-US"/>
        </w:rPr>
        <w:t xml:space="preserve"> </w:t>
      </w:r>
      <w:proofErr w:type="spellStart"/>
      <w:r w:rsidRPr="00317723">
        <w:rPr>
          <w:rFonts w:asciiTheme="majorHAnsi" w:hAnsiTheme="majorHAnsi"/>
          <w:bCs/>
          <w:sz w:val="20"/>
          <w:szCs w:val="20"/>
          <w:lang w:val="es-US"/>
        </w:rPr>
        <w:t>Requejo</w:t>
      </w:r>
      <w:proofErr w:type="spellEnd"/>
      <w:r w:rsidRPr="00317723">
        <w:rPr>
          <w:rFonts w:asciiTheme="majorHAnsi" w:hAnsiTheme="majorHAnsi"/>
          <w:bCs/>
          <w:sz w:val="20"/>
          <w:szCs w:val="20"/>
          <w:lang w:val="es-US"/>
        </w:rPr>
        <w:t xml:space="preserve"> </w:t>
      </w:r>
      <w:r w:rsidR="005A0D18">
        <w:rPr>
          <w:rFonts w:asciiTheme="majorHAnsi" w:hAnsiTheme="majorHAnsi"/>
          <w:bCs/>
          <w:sz w:val="20"/>
          <w:szCs w:val="20"/>
          <w:lang w:val="es-US"/>
        </w:rPr>
        <w:t>y</w:t>
      </w:r>
      <w:r w:rsidRPr="00317723">
        <w:rPr>
          <w:rFonts w:asciiTheme="majorHAnsi" w:hAnsiTheme="majorHAnsi"/>
          <w:bCs/>
          <w:sz w:val="20"/>
          <w:szCs w:val="20"/>
          <w:lang w:val="es-US"/>
        </w:rPr>
        <w:t xml:space="preserve"> otras 86 </w:t>
      </w:r>
      <w:r w:rsidRPr="00317723">
        <w:rPr>
          <w:rFonts w:ascii="Cambria" w:hAnsi="Cambria"/>
          <w:bCs/>
          <w:sz w:val="20"/>
          <w:szCs w:val="20"/>
          <w:lang w:val="es-AR"/>
        </w:rPr>
        <w:t>personas</w:t>
      </w:r>
      <w:r w:rsidR="00DE166E">
        <w:rPr>
          <w:rFonts w:ascii="Cambria" w:hAnsi="Cambria"/>
          <w:bCs/>
          <w:sz w:val="20"/>
          <w:szCs w:val="20"/>
          <w:lang w:val="es-AR"/>
        </w:rPr>
        <w:t xml:space="preserve"> (en adelante ‘’las presuntas víctimas’’)</w:t>
      </w:r>
      <w:r w:rsidRPr="00317723">
        <w:rPr>
          <w:rFonts w:ascii="Cambria" w:hAnsi="Cambria"/>
          <w:bCs/>
          <w:sz w:val="20"/>
          <w:szCs w:val="20"/>
          <w:lang w:val="es-AR"/>
        </w:rPr>
        <w:t xml:space="preserve"> fueron detenidos</w:t>
      </w:r>
      <w:r w:rsidR="005B170F">
        <w:rPr>
          <w:rFonts w:ascii="Cambria" w:hAnsi="Cambria"/>
          <w:bCs/>
          <w:sz w:val="20"/>
          <w:szCs w:val="20"/>
          <w:lang w:val="es-AR"/>
        </w:rPr>
        <w:t xml:space="preserve"> injusta y arbitrariamente</w:t>
      </w:r>
      <w:r w:rsidRPr="00317723">
        <w:rPr>
          <w:rFonts w:ascii="Cambria" w:hAnsi="Cambria"/>
          <w:bCs/>
          <w:sz w:val="20"/>
          <w:szCs w:val="20"/>
          <w:lang w:val="es-AR"/>
        </w:rPr>
        <w:t xml:space="preserve">, </w:t>
      </w:r>
      <w:r w:rsidR="005B170F">
        <w:rPr>
          <w:rFonts w:ascii="Cambria" w:hAnsi="Cambria"/>
          <w:bCs/>
          <w:sz w:val="20"/>
          <w:szCs w:val="20"/>
          <w:lang w:val="es-AR"/>
        </w:rPr>
        <w:t>torturados y sometidos a tratos crueles, i</w:t>
      </w:r>
      <w:r w:rsidR="00D419DC">
        <w:rPr>
          <w:rFonts w:ascii="Cambria" w:hAnsi="Cambria"/>
          <w:bCs/>
          <w:sz w:val="20"/>
          <w:szCs w:val="20"/>
          <w:lang w:val="es-AR"/>
        </w:rPr>
        <w:t>nhumanos y degradantes,</w:t>
      </w:r>
      <w:r w:rsidR="005B170F">
        <w:rPr>
          <w:rFonts w:ascii="Cambria" w:hAnsi="Cambria"/>
          <w:bCs/>
          <w:sz w:val="20"/>
          <w:szCs w:val="20"/>
          <w:lang w:val="es-AR"/>
        </w:rPr>
        <w:t xml:space="preserve"> procesados y condenados </w:t>
      </w:r>
      <w:r w:rsidRPr="00317723">
        <w:rPr>
          <w:rFonts w:ascii="Cambria" w:hAnsi="Cambria"/>
          <w:bCs/>
          <w:sz w:val="20"/>
          <w:szCs w:val="20"/>
          <w:lang w:val="es-AR"/>
        </w:rPr>
        <w:t xml:space="preserve">por los delitos de </w:t>
      </w:r>
      <w:r w:rsidR="005B170F">
        <w:rPr>
          <w:rFonts w:ascii="Cambria" w:hAnsi="Cambria"/>
          <w:bCs/>
          <w:sz w:val="20"/>
          <w:szCs w:val="20"/>
          <w:lang w:val="es-AR"/>
        </w:rPr>
        <w:t xml:space="preserve">terrorismo </w:t>
      </w:r>
      <w:r w:rsidRPr="00317723">
        <w:rPr>
          <w:rFonts w:ascii="Cambria" w:hAnsi="Cambria"/>
          <w:bCs/>
          <w:sz w:val="20"/>
          <w:szCs w:val="20"/>
          <w:lang w:val="es-AR"/>
        </w:rPr>
        <w:t xml:space="preserve">o traición a la patria, </w:t>
      </w:r>
      <w:r w:rsidR="004B77A7">
        <w:rPr>
          <w:rFonts w:ascii="Cambria" w:hAnsi="Cambria"/>
          <w:bCs/>
          <w:sz w:val="20"/>
          <w:szCs w:val="20"/>
          <w:lang w:val="es-AR"/>
        </w:rPr>
        <w:t>con</w:t>
      </w:r>
      <w:r w:rsidR="005B170F">
        <w:rPr>
          <w:rFonts w:ascii="Cambria" w:hAnsi="Cambria"/>
          <w:bCs/>
          <w:sz w:val="20"/>
          <w:szCs w:val="20"/>
          <w:lang w:val="es-AR"/>
        </w:rPr>
        <w:t xml:space="preserve"> violación de garantías judiciales y el debido proceso; y </w:t>
      </w:r>
      <w:r w:rsidR="005A0D18">
        <w:rPr>
          <w:rFonts w:ascii="Cambria" w:hAnsi="Cambria"/>
          <w:bCs/>
          <w:sz w:val="20"/>
          <w:szCs w:val="20"/>
          <w:lang w:val="es-AR"/>
        </w:rPr>
        <w:t xml:space="preserve">que </w:t>
      </w:r>
      <w:r w:rsidR="005B170F">
        <w:rPr>
          <w:rFonts w:ascii="Cambria" w:hAnsi="Cambria"/>
          <w:bCs/>
          <w:sz w:val="20"/>
          <w:szCs w:val="20"/>
          <w:lang w:val="es-AR"/>
        </w:rPr>
        <w:t>posteriormente</w:t>
      </w:r>
      <w:r w:rsidR="005A0D18">
        <w:rPr>
          <w:rFonts w:ascii="Cambria" w:hAnsi="Cambria"/>
          <w:bCs/>
          <w:sz w:val="20"/>
          <w:szCs w:val="20"/>
          <w:lang w:val="es-AR"/>
        </w:rPr>
        <w:t xml:space="preserve"> fueron</w:t>
      </w:r>
      <w:r w:rsidR="005B170F">
        <w:rPr>
          <w:rFonts w:ascii="Cambria" w:hAnsi="Cambria"/>
          <w:bCs/>
          <w:sz w:val="20"/>
          <w:szCs w:val="20"/>
          <w:lang w:val="es-AR"/>
        </w:rPr>
        <w:t xml:space="preserve"> indultados en razón de su inocencia. Sin embar</w:t>
      </w:r>
      <w:r w:rsidR="00061D40">
        <w:rPr>
          <w:rFonts w:ascii="Cambria" w:hAnsi="Cambria"/>
          <w:bCs/>
          <w:sz w:val="20"/>
          <w:szCs w:val="20"/>
          <w:lang w:val="es-AR"/>
        </w:rPr>
        <w:t xml:space="preserve">go, </w:t>
      </w:r>
      <w:r w:rsidR="005A0D18">
        <w:rPr>
          <w:rFonts w:ascii="Cambria" w:hAnsi="Cambria"/>
          <w:bCs/>
          <w:sz w:val="20"/>
          <w:szCs w:val="20"/>
          <w:lang w:val="es-AR"/>
        </w:rPr>
        <w:t xml:space="preserve">dichas personas </w:t>
      </w:r>
      <w:r w:rsidR="00061D40">
        <w:rPr>
          <w:rFonts w:ascii="Cambria" w:hAnsi="Cambria"/>
          <w:bCs/>
          <w:sz w:val="20"/>
          <w:szCs w:val="20"/>
          <w:lang w:val="es-AR"/>
        </w:rPr>
        <w:t xml:space="preserve">no han recibido </w:t>
      </w:r>
      <w:r w:rsidR="00AD0265">
        <w:rPr>
          <w:rFonts w:ascii="Cambria" w:hAnsi="Cambria"/>
          <w:bCs/>
          <w:sz w:val="20"/>
          <w:szCs w:val="20"/>
          <w:lang w:val="es-AR"/>
        </w:rPr>
        <w:t xml:space="preserve">una </w:t>
      </w:r>
      <w:r w:rsidR="00061D40">
        <w:rPr>
          <w:rFonts w:ascii="Cambria" w:hAnsi="Cambria"/>
          <w:bCs/>
          <w:sz w:val="20"/>
          <w:szCs w:val="20"/>
          <w:lang w:val="es-AR"/>
        </w:rPr>
        <w:t>reparación justa y adecuada</w:t>
      </w:r>
      <w:r w:rsidR="00A52B70">
        <w:rPr>
          <w:rFonts w:ascii="Cambria" w:hAnsi="Cambria"/>
          <w:bCs/>
          <w:sz w:val="20"/>
          <w:szCs w:val="20"/>
          <w:lang w:val="es-AR"/>
        </w:rPr>
        <w:t>.</w:t>
      </w:r>
      <w:r w:rsidR="005B170F">
        <w:rPr>
          <w:rFonts w:ascii="Cambria" w:hAnsi="Cambria"/>
          <w:bCs/>
          <w:sz w:val="20"/>
          <w:szCs w:val="20"/>
          <w:lang w:val="es-AR"/>
        </w:rPr>
        <w:t xml:space="preserve"> </w:t>
      </w:r>
      <w:r w:rsidR="005A0D18">
        <w:rPr>
          <w:rFonts w:ascii="Cambria" w:hAnsi="Cambria"/>
          <w:bCs/>
          <w:sz w:val="20"/>
          <w:szCs w:val="20"/>
          <w:lang w:val="es-AR"/>
        </w:rPr>
        <w:t>La parte peticionaria a</w:t>
      </w:r>
      <w:r w:rsidR="00067324">
        <w:rPr>
          <w:rFonts w:ascii="Cambria" w:hAnsi="Cambria"/>
          <w:bCs/>
          <w:sz w:val="20"/>
          <w:szCs w:val="20"/>
          <w:lang w:val="es-AR"/>
        </w:rPr>
        <w:t xml:space="preserve">lega </w:t>
      </w:r>
      <w:r w:rsidR="00067324" w:rsidRPr="00F55AA9">
        <w:rPr>
          <w:rFonts w:ascii="Cambria" w:hAnsi="Cambria"/>
          <w:sz w:val="20"/>
          <w:szCs w:val="20"/>
          <w:lang w:val="es-AR"/>
        </w:rPr>
        <w:t xml:space="preserve">responsabilidad del Estado </w:t>
      </w:r>
      <w:r w:rsidR="00067324" w:rsidRPr="00802835">
        <w:rPr>
          <w:rFonts w:asciiTheme="majorHAnsi" w:hAnsiTheme="majorHAnsi"/>
          <w:sz w:val="20"/>
          <w:szCs w:val="20"/>
          <w:lang w:val="es-AR"/>
        </w:rPr>
        <w:t xml:space="preserve">por violación </w:t>
      </w:r>
      <w:r w:rsidR="005A0D18">
        <w:rPr>
          <w:rFonts w:asciiTheme="majorHAnsi" w:hAnsiTheme="majorHAnsi"/>
          <w:sz w:val="20"/>
          <w:szCs w:val="20"/>
          <w:lang w:val="es-AR"/>
        </w:rPr>
        <w:t xml:space="preserve">de los derechos </w:t>
      </w:r>
      <w:r w:rsidR="00067324" w:rsidRPr="00802835">
        <w:rPr>
          <w:rFonts w:asciiTheme="majorHAnsi" w:hAnsiTheme="majorHAnsi"/>
          <w:sz w:val="20"/>
          <w:szCs w:val="20"/>
          <w:lang w:val="es-AR"/>
        </w:rPr>
        <w:t xml:space="preserve">a la integridad y </w:t>
      </w:r>
      <w:r w:rsidR="005A0D18">
        <w:rPr>
          <w:rFonts w:asciiTheme="majorHAnsi" w:hAnsiTheme="majorHAnsi"/>
          <w:sz w:val="20"/>
          <w:szCs w:val="20"/>
          <w:lang w:val="es-AR"/>
        </w:rPr>
        <w:t xml:space="preserve">a la </w:t>
      </w:r>
      <w:r w:rsidR="00067324" w:rsidRPr="00802835">
        <w:rPr>
          <w:rFonts w:asciiTheme="majorHAnsi" w:hAnsiTheme="majorHAnsi"/>
          <w:sz w:val="20"/>
          <w:szCs w:val="20"/>
          <w:lang w:val="es-AR"/>
        </w:rPr>
        <w:t>libertad personal de las presuntas víctimas</w:t>
      </w:r>
      <w:r w:rsidR="005A0D18">
        <w:rPr>
          <w:rFonts w:asciiTheme="majorHAnsi" w:hAnsiTheme="majorHAnsi"/>
          <w:sz w:val="20"/>
          <w:szCs w:val="20"/>
          <w:lang w:val="es-AR"/>
        </w:rPr>
        <w:t>,</w:t>
      </w:r>
      <w:r w:rsidR="00067324" w:rsidRPr="00802835">
        <w:rPr>
          <w:rFonts w:asciiTheme="majorHAnsi" w:hAnsiTheme="majorHAnsi"/>
          <w:sz w:val="20"/>
          <w:szCs w:val="20"/>
          <w:lang w:val="es-AR"/>
        </w:rPr>
        <w:t xml:space="preserve"> y por no garantizar un recurso adecuado y efectivo que </w:t>
      </w:r>
      <w:r w:rsidR="00067324">
        <w:rPr>
          <w:rFonts w:asciiTheme="majorHAnsi" w:hAnsiTheme="majorHAnsi"/>
          <w:sz w:val="20"/>
          <w:szCs w:val="20"/>
          <w:lang w:val="es-AR"/>
        </w:rPr>
        <w:t xml:space="preserve">les </w:t>
      </w:r>
      <w:r w:rsidR="00067324" w:rsidRPr="00802835">
        <w:rPr>
          <w:rFonts w:asciiTheme="majorHAnsi" w:hAnsiTheme="majorHAnsi"/>
          <w:sz w:val="20"/>
          <w:szCs w:val="20"/>
          <w:lang w:val="es-AR"/>
        </w:rPr>
        <w:t xml:space="preserve">permita reclamar una reparación integra y adecuada </w:t>
      </w:r>
      <w:r w:rsidR="005A0D18">
        <w:rPr>
          <w:rFonts w:asciiTheme="majorHAnsi" w:hAnsiTheme="majorHAnsi"/>
          <w:sz w:val="20"/>
          <w:szCs w:val="20"/>
          <w:lang w:val="es-AR"/>
        </w:rPr>
        <w:t xml:space="preserve">por las </w:t>
      </w:r>
      <w:r w:rsidR="00067324">
        <w:rPr>
          <w:rFonts w:ascii="Cambria" w:hAnsi="Cambria"/>
          <w:sz w:val="20"/>
          <w:szCs w:val="20"/>
          <w:lang w:val="es-AR"/>
        </w:rPr>
        <w:t xml:space="preserve">detenciones arbitrarias y errores judiciales </w:t>
      </w:r>
      <w:r w:rsidR="005A0D18">
        <w:rPr>
          <w:rFonts w:ascii="Cambria" w:hAnsi="Cambria"/>
          <w:sz w:val="20"/>
          <w:szCs w:val="20"/>
          <w:lang w:val="es-AR"/>
        </w:rPr>
        <w:t>que tuvieron lugar</w:t>
      </w:r>
      <w:r w:rsidR="00067324">
        <w:rPr>
          <w:rFonts w:ascii="Cambria" w:hAnsi="Cambria"/>
          <w:sz w:val="20"/>
          <w:szCs w:val="20"/>
          <w:lang w:val="es-AR"/>
        </w:rPr>
        <w:t xml:space="preserve"> durante </w:t>
      </w:r>
      <w:r w:rsidR="005A0D18">
        <w:rPr>
          <w:rFonts w:ascii="Cambria" w:hAnsi="Cambria"/>
          <w:sz w:val="20"/>
          <w:szCs w:val="20"/>
          <w:lang w:val="es-AR"/>
        </w:rPr>
        <w:t xml:space="preserve">un </w:t>
      </w:r>
      <w:r w:rsidR="00067324">
        <w:rPr>
          <w:rFonts w:ascii="Cambria" w:hAnsi="Cambria"/>
          <w:sz w:val="20"/>
          <w:szCs w:val="20"/>
          <w:lang w:val="es-AR"/>
        </w:rPr>
        <w:t>período de violaciones masivas de derechos humanos.</w:t>
      </w:r>
      <w:r w:rsidR="00067324" w:rsidRPr="00F55AA9">
        <w:rPr>
          <w:rFonts w:ascii="Cambria" w:hAnsi="Cambria"/>
          <w:sz w:val="20"/>
          <w:szCs w:val="20"/>
          <w:lang w:val="es-AR"/>
        </w:rPr>
        <w:t xml:space="preserve"> </w:t>
      </w:r>
    </w:p>
    <w:p w:rsidR="00E30EC0" w:rsidRPr="00067324" w:rsidRDefault="00E30EC0" w:rsidP="00E30EC0">
      <w:pPr>
        <w:suppressAutoHyphens/>
        <w:ind w:left="720"/>
        <w:jc w:val="both"/>
        <w:rPr>
          <w:rFonts w:asciiTheme="majorHAnsi" w:hAnsiTheme="majorHAnsi"/>
          <w:sz w:val="20"/>
          <w:szCs w:val="20"/>
          <w:lang w:val="es-AR"/>
        </w:rPr>
      </w:pPr>
    </w:p>
    <w:p w:rsidR="00067324" w:rsidRPr="00F62931" w:rsidRDefault="005B170F" w:rsidP="00E30EC0">
      <w:pPr>
        <w:numPr>
          <w:ilvl w:val="0"/>
          <w:numId w:val="55"/>
        </w:numPr>
        <w:suppressAutoHyphens/>
        <w:jc w:val="both"/>
        <w:rPr>
          <w:rFonts w:ascii="Cambria" w:hAnsi="Cambria"/>
          <w:sz w:val="20"/>
          <w:szCs w:val="20"/>
          <w:lang w:val="es-AR"/>
        </w:rPr>
      </w:pPr>
      <w:r w:rsidRPr="005B170F">
        <w:rPr>
          <w:rFonts w:ascii="Cambria" w:hAnsi="Cambria"/>
          <w:sz w:val="20"/>
          <w:szCs w:val="20"/>
          <w:lang w:val="es-AR"/>
        </w:rPr>
        <w:t xml:space="preserve">Señala </w:t>
      </w:r>
      <w:r w:rsidR="005A0D18">
        <w:rPr>
          <w:rFonts w:ascii="Cambria" w:hAnsi="Cambria"/>
          <w:sz w:val="20"/>
          <w:szCs w:val="20"/>
          <w:lang w:val="es-AR"/>
        </w:rPr>
        <w:t xml:space="preserve">la peticionaria </w:t>
      </w:r>
      <w:r w:rsidRPr="005B170F">
        <w:rPr>
          <w:rFonts w:ascii="Cambria" w:hAnsi="Cambria"/>
          <w:sz w:val="20"/>
          <w:szCs w:val="20"/>
          <w:lang w:val="es-AR"/>
        </w:rPr>
        <w:t>que Perú vivió un clima de violencia política y de conflicto armado interno</w:t>
      </w:r>
      <w:r w:rsidR="005A0D18" w:rsidRPr="005A0D18">
        <w:rPr>
          <w:rFonts w:ascii="Cambria" w:hAnsi="Cambria"/>
          <w:sz w:val="20"/>
          <w:szCs w:val="20"/>
          <w:lang w:val="es-AR"/>
        </w:rPr>
        <w:t xml:space="preserve"> </w:t>
      </w:r>
      <w:r w:rsidR="005A0D18" w:rsidRPr="005B170F">
        <w:rPr>
          <w:rFonts w:ascii="Cambria" w:hAnsi="Cambria"/>
          <w:sz w:val="20"/>
          <w:szCs w:val="20"/>
          <w:lang w:val="es-AR"/>
        </w:rPr>
        <w:t>entre 1980 y 2000</w:t>
      </w:r>
      <w:r w:rsidRPr="005B170F">
        <w:rPr>
          <w:rFonts w:ascii="Cambria" w:hAnsi="Cambria"/>
          <w:sz w:val="20"/>
          <w:szCs w:val="20"/>
          <w:lang w:val="es-AR"/>
        </w:rPr>
        <w:t xml:space="preserve">, y </w:t>
      </w:r>
      <w:r w:rsidR="005A0D18">
        <w:rPr>
          <w:rFonts w:ascii="Cambria" w:hAnsi="Cambria"/>
          <w:sz w:val="20"/>
          <w:szCs w:val="20"/>
          <w:lang w:val="es-AR"/>
        </w:rPr>
        <w:t xml:space="preserve">que en dicho periodo </w:t>
      </w:r>
      <w:r w:rsidRPr="005B170F">
        <w:rPr>
          <w:rFonts w:ascii="Cambria" w:hAnsi="Cambria"/>
          <w:sz w:val="20"/>
          <w:szCs w:val="20"/>
          <w:lang w:val="es-AR"/>
        </w:rPr>
        <w:t>se dictó legislación de emergencia</w:t>
      </w:r>
      <w:r w:rsidR="005A0D18">
        <w:rPr>
          <w:rFonts w:ascii="Cambria" w:hAnsi="Cambria"/>
          <w:sz w:val="20"/>
          <w:szCs w:val="20"/>
          <w:lang w:val="es-AR"/>
        </w:rPr>
        <w:t>. Alega al respecto que los Decretos Leyes</w:t>
      </w:r>
      <w:r w:rsidRPr="005B170F">
        <w:rPr>
          <w:rFonts w:ascii="Cambria" w:hAnsi="Cambria"/>
          <w:sz w:val="20"/>
          <w:szCs w:val="20"/>
          <w:lang w:val="es-AR"/>
        </w:rPr>
        <w:t xml:space="preserve"> 25</w:t>
      </w:r>
      <w:r w:rsidR="004822F2">
        <w:rPr>
          <w:rFonts w:ascii="Cambria" w:hAnsi="Cambria"/>
          <w:sz w:val="20"/>
          <w:szCs w:val="20"/>
          <w:lang w:val="es-AR"/>
        </w:rPr>
        <w:t>.</w:t>
      </w:r>
      <w:r w:rsidRPr="005B170F">
        <w:rPr>
          <w:rFonts w:ascii="Cambria" w:hAnsi="Cambria"/>
          <w:sz w:val="20"/>
          <w:szCs w:val="20"/>
          <w:lang w:val="es-AR"/>
        </w:rPr>
        <w:t>475 y 25</w:t>
      </w:r>
      <w:r w:rsidR="004822F2">
        <w:rPr>
          <w:rFonts w:ascii="Cambria" w:hAnsi="Cambria"/>
          <w:sz w:val="20"/>
          <w:szCs w:val="20"/>
          <w:lang w:val="es-AR"/>
        </w:rPr>
        <w:t>.</w:t>
      </w:r>
      <w:r w:rsidRPr="005B170F">
        <w:rPr>
          <w:rFonts w:ascii="Cambria" w:hAnsi="Cambria"/>
          <w:sz w:val="20"/>
          <w:szCs w:val="20"/>
          <w:lang w:val="es-AR"/>
        </w:rPr>
        <w:t xml:space="preserve">659 </w:t>
      </w:r>
      <w:r w:rsidR="005A0D18">
        <w:rPr>
          <w:rFonts w:ascii="Cambria" w:hAnsi="Cambria"/>
          <w:sz w:val="20"/>
          <w:szCs w:val="20"/>
          <w:lang w:val="es-AR"/>
        </w:rPr>
        <w:t xml:space="preserve">promulgados en 1992 </w:t>
      </w:r>
      <w:r w:rsidRPr="005B170F">
        <w:rPr>
          <w:rFonts w:ascii="Cambria" w:hAnsi="Cambria"/>
          <w:sz w:val="20"/>
          <w:szCs w:val="20"/>
          <w:lang w:val="es-AR"/>
        </w:rPr>
        <w:t xml:space="preserve">para perseguir, juzgar y sancionar a los responsables de los delitos de terrorismo y traición a la patria </w:t>
      </w:r>
      <w:r w:rsidR="005A0D18">
        <w:rPr>
          <w:rFonts w:ascii="Cambria" w:hAnsi="Cambria"/>
          <w:sz w:val="20"/>
          <w:szCs w:val="20"/>
          <w:lang w:val="es-AR"/>
        </w:rPr>
        <w:t xml:space="preserve">son violatorias del derecho a </w:t>
      </w:r>
      <w:r w:rsidRPr="005B170F">
        <w:rPr>
          <w:rFonts w:ascii="Cambria" w:hAnsi="Cambria"/>
          <w:sz w:val="20"/>
          <w:szCs w:val="20"/>
          <w:lang w:val="es-AR"/>
        </w:rPr>
        <w:t xml:space="preserve">las garantías judiciales. </w:t>
      </w:r>
      <w:r w:rsidR="00317723" w:rsidRPr="005B170F">
        <w:rPr>
          <w:rFonts w:ascii="Cambria" w:hAnsi="Cambria"/>
          <w:sz w:val="20"/>
          <w:szCs w:val="20"/>
          <w:lang w:val="es-AR"/>
        </w:rPr>
        <w:t xml:space="preserve">En </w:t>
      </w:r>
      <w:r w:rsidR="00315F1C">
        <w:rPr>
          <w:rFonts w:ascii="Cambria" w:hAnsi="Cambria"/>
          <w:sz w:val="20"/>
          <w:szCs w:val="20"/>
          <w:lang w:val="es-AR"/>
        </w:rPr>
        <w:t>el período comprendido entre 1992 y 2001</w:t>
      </w:r>
      <w:r w:rsidR="00300C60">
        <w:rPr>
          <w:rFonts w:ascii="Cambria" w:hAnsi="Cambria"/>
          <w:sz w:val="20"/>
          <w:szCs w:val="20"/>
          <w:lang w:val="es-AR"/>
        </w:rPr>
        <w:t xml:space="preserve">, </w:t>
      </w:r>
      <w:r w:rsidR="00315F1C">
        <w:rPr>
          <w:rFonts w:ascii="Cambria" w:hAnsi="Cambria"/>
          <w:sz w:val="20"/>
          <w:szCs w:val="20"/>
          <w:lang w:val="es-AR"/>
        </w:rPr>
        <w:t xml:space="preserve">se afirma que </w:t>
      </w:r>
      <w:r w:rsidR="00317723" w:rsidRPr="005B170F">
        <w:rPr>
          <w:rFonts w:ascii="Cambria" w:hAnsi="Cambria"/>
          <w:sz w:val="20"/>
          <w:szCs w:val="20"/>
          <w:lang w:val="es-AR"/>
        </w:rPr>
        <w:t xml:space="preserve">las presuntas víctimas </w:t>
      </w:r>
      <w:r w:rsidR="0012023A" w:rsidRPr="005B170F">
        <w:rPr>
          <w:rFonts w:ascii="Cambria" w:hAnsi="Cambria"/>
          <w:sz w:val="20"/>
          <w:szCs w:val="20"/>
          <w:lang w:val="es-AR"/>
        </w:rPr>
        <w:t>sufrieron conden</w:t>
      </w:r>
      <w:r w:rsidR="00317723" w:rsidRPr="005B170F">
        <w:rPr>
          <w:rFonts w:ascii="Cambria" w:hAnsi="Cambria"/>
          <w:sz w:val="20"/>
          <w:szCs w:val="20"/>
          <w:lang w:val="es-AR"/>
        </w:rPr>
        <w:t xml:space="preserve">as </w:t>
      </w:r>
      <w:r w:rsidR="00315F1C">
        <w:rPr>
          <w:rFonts w:ascii="Cambria" w:hAnsi="Cambria"/>
          <w:sz w:val="20"/>
          <w:szCs w:val="20"/>
          <w:lang w:val="es-AR"/>
        </w:rPr>
        <w:t>de</w:t>
      </w:r>
      <w:r w:rsidR="00317723" w:rsidRPr="005B170F">
        <w:rPr>
          <w:rFonts w:ascii="Cambria" w:hAnsi="Cambria"/>
          <w:sz w:val="20"/>
          <w:szCs w:val="20"/>
          <w:lang w:val="es-AR"/>
        </w:rPr>
        <w:t xml:space="preserve"> entre </w:t>
      </w:r>
      <w:r w:rsidR="0012023A" w:rsidRPr="005B170F">
        <w:rPr>
          <w:rFonts w:ascii="Cambria" w:hAnsi="Cambria"/>
          <w:sz w:val="20"/>
          <w:szCs w:val="20"/>
          <w:lang w:val="es-AR"/>
        </w:rPr>
        <w:t xml:space="preserve">6 años de prisión </w:t>
      </w:r>
      <w:r w:rsidR="00315F1C">
        <w:rPr>
          <w:rFonts w:ascii="Cambria" w:hAnsi="Cambria"/>
          <w:sz w:val="20"/>
          <w:szCs w:val="20"/>
          <w:lang w:val="es-AR"/>
        </w:rPr>
        <w:t>y</w:t>
      </w:r>
      <w:r w:rsidR="0012023A" w:rsidRPr="005B170F">
        <w:rPr>
          <w:rFonts w:ascii="Cambria" w:hAnsi="Cambria"/>
          <w:sz w:val="20"/>
          <w:szCs w:val="20"/>
          <w:lang w:val="es-AR"/>
        </w:rPr>
        <w:t xml:space="preserve"> cadena perpetua</w:t>
      </w:r>
      <w:r w:rsidR="00315F1C">
        <w:rPr>
          <w:rFonts w:ascii="Cambria" w:hAnsi="Cambria"/>
          <w:sz w:val="20"/>
          <w:szCs w:val="20"/>
          <w:lang w:val="es-AR"/>
        </w:rPr>
        <w:t>;</w:t>
      </w:r>
      <w:r w:rsidR="0012023A" w:rsidRPr="005B170F">
        <w:rPr>
          <w:rFonts w:ascii="Cambria" w:hAnsi="Cambria"/>
          <w:sz w:val="20"/>
          <w:szCs w:val="20"/>
          <w:lang w:val="es-AR"/>
        </w:rPr>
        <w:t xml:space="preserve"> </w:t>
      </w:r>
      <w:r w:rsidR="00315F1C">
        <w:rPr>
          <w:rFonts w:ascii="Cambria" w:hAnsi="Cambria"/>
          <w:sz w:val="20"/>
          <w:szCs w:val="20"/>
          <w:lang w:val="es-AR"/>
        </w:rPr>
        <w:t xml:space="preserve">y que estuvieron </w:t>
      </w:r>
      <w:r w:rsidR="0012023A" w:rsidRPr="005B170F">
        <w:rPr>
          <w:rFonts w:ascii="Cambria" w:hAnsi="Cambria"/>
          <w:sz w:val="20"/>
          <w:szCs w:val="20"/>
          <w:lang w:val="es-AR"/>
        </w:rPr>
        <w:t xml:space="preserve">privados de libertad entre 12 </w:t>
      </w:r>
      <w:r w:rsidR="00315F1C">
        <w:rPr>
          <w:rFonts w:ascii="Cambria" w:hAnsi="Cambria"/>
          <w:sz w:val="20"/>
          <w:szCs w:val="20"/>
          <w:lang w:val="es-AR"/>
        </w:rPr>
        <w:t>y</w:t>
      </w:r>
      <w:r w:rsidR="0012023A" w:rsidRPr="005B170F">
        <w:rPr>
          <w:rFonts w:ascii="Cambria" w:hAnsi="Cambria"/>
          <w:sz w:val="20"/>
          <w:szCs w:val="20"/>
          <w:lang w:val="es-AR"/>
        </w:rPr>
        <w:t xml:space="preserve"> 144 meses</w:t>
      </w:r>
      <w:r w:rsidR="00315F1C">
        <w:rPr>
          <w:rFonts w:ascii="Cambria" w:hAnsi="Cambria"/>
          <w:sz w:val="20"/>
          <w:szCs w:val="20"/>
          <w:lang w:val="es-AR"/>
        </w:rPr>
        <w:t xml:space="preserve"> (</w:t>
      </w:r>
      <w:r w:rsidR="0012023A" w:rsidRPr="005B170F">
        <w:rPr>
          <w:rFonts w:ascii="Cambria" w:hAnsi="Cambria"/>
          <w:sz w:val="20"/>
          <w:szCs w:val="20"/>
          <w:lang w:val="es-AR"/>
        </w:rPr>
        <w:t xml:space="preserve">61 </w:t>
      </w:r>
      <w:r w:rsidR="00B83A21">
        <w:rPr>
          <w:rFonts w:ascii="Cambria" w:hAnsi="Cambria"/>
          <w:sz w:val="20"/>
          <w:szCs w:val="20"/>
          <w:lang w:val="es-AR"/>
        </w:rPr>
        <w:t>meses</w:t>
      </w:r>
      <w:r w:rsidR="00315F1C">
        <w:rPr>
          <w:rFonts w:ascii="Cambria" w:hAnsi="Cambria"/>
          <w:sz w:val="20"/>
          <w:szCs w:val="20"/>
          <w:lang w:val="es-AR"/>
        </w:rPr>
        <w:t xml:space="preserve"> en promedio)</w:t>
      </w:r>
      <w:r w:rsidR="00B83A21">
        <w:rPr>
          <w:rFonts w:ascii="Cambria" w:hAnsi="Cambria"/>
          <w:sz w:val="20"/>
          <w:szCs w:val="20"/>
          <w:lang w:val="es-AR"/>
        </w:rPr>
        <w:t xml:space="preserve">. </w:t>
      </w:r>
      <w:r w:rsidR="00067324">
        <w:rPr>
          <w:rFonts w:ascii="Cambria" w:hAnsi="Cambria"/>
          <w:sz w:val="20"/>
          <w:szCs w:val="20"/>
          <w:lang w:val="es-AR"/>
        </w:rPr>
        <w:t>Refiere</w:t>
      </w:r>
      <w:r w:rsidR="00067324" w:rsidRPr="00F62931">
        <w:rPr>
          <w:rFonts w:ascii="Cambria" w:hAnsi="Cambria"/>
          <w:sz w:val="20"/>
          <w:szCs w:val="20"/>
          <w:lang w:val="es-AR"/>
        </w:rPr>
        <w:t xml:space="preserve"> </w:t>
      </w:r>
      <w:r w:rsidR="00315F1C">
        <w:rPr>
          <w:rFonts w:ascii="Cambria" w:hAnsi="Cambria"/>
          <w:sz w:val="20"/>
          <w:szCs w:val="20"/>
          <w:lang w:val="es-AR"/>
        </w:rPr>
        <w:t xml:space="preserve">la peticionaria </w:t>
      </w:r>
      <w:r w:rsidR="00067324" w:rsidRPr="00F62931">
        <w:rPr>
          <w:rFonts w:ascii="Cambria" w:hAnsi="Cambria"/>
          <w:sz w:val="20"/>
          <w:szCs w:val="20"/>
          <w:lang w:val="es-AR"/>
        </w:rPr>
        <w:t xml:space="preserve">que dichas detenciones </w:t>
      </w:r>
      <w:r w:rsidR="00315F1C" w:rsidRPr="00F62931">
        <w:rPr>
          <w:rFonts w:ascii="Cambria" w:hAnsi="Cambria"/>
          <w:sz w:val="20"/>
          <w:szCs w:val="20"/>
          <w:lang w:val="es-AR"/>
        </w:rPr>
        <w:t>injustas y arbitraria</w:t>
      </w:r>
      <w:r w:rsidR="00315F1C">
        <w:rPr>
          <w:rFonts w:ascii="Cambria" w:hAnsi="Cambria"/>
          <w:sz w:val="20"/>
          <w:szCs w:val="20"/>
          <w:lang w:val="es-AR"/>
        </w:rPr>
        <w:t>s fueron aplicadas con infracciones de debido proceso</w:t>
      </w:r>
      <w:r w:rsidR="00315F1C" w:rsidRPr="00F62931">
        <w:rPr>
          <w:rFonts w:ascii="Cambria" w:hAnsi="Cambria"/>
          <w:sz w:val="20"/>
          <w:szCs w:val="20"/>
          <w:lang w:val="es-AR"/>
        </w:rPr>
        <w:t xml:space="preserve"> </w:t>
      </w:r>
      <w:r w:rsidR="00315F1C">
        <w:rPr>
          <w:rFonts w:ascii="Cambria" w:hAnsi="Cambria"/>
          <w:sz w:val="20"/>
          <w:szCs w:val="20"/>
          <w:lang w:val="es-AR"/>
        </w:rPr>
        <w:t xml:space="preserve">y </w:t>
      </w:r>
      <w:r w:rsidR="00067324" w:rsidRPr="00F62931">
        <w:rPr>
          <w:rFonts w:ascii="Cambria" w:hAnsi="Cambria"/>
          <w:sz w:val="20"/>
          <w:szCs w:val="20"/>
          <w:lang w:val="es-AR"/>
        </w:rPr>
        <w:t xml:space="preserve">ejecutadas en </w:t>
      </w:r>
      <w:r w:rsidR="00315F1C">
        <w:rPr>
          <w:rFonts w:ascii="Cambria" w:hAnsi="Cambria"/>
          <w:sz w:val="20"/>
          <w:szCs w:val="20"/>
          <w:lang w:val="es-AR"/>
        </w:rPr>
        <w:t>p</w:t>
      </w:r>
      <w:r w:rsidR="00067324" w:rsidRPr="00F62931">
        <w:rPr>
          <w:rFonts w:ascii="Cambria" w:hAnsi="Cambria"/>
          <w:sz w:val="20"/>
          <w:szCs w:val="20"/>
          <w:lang w:val="es-AR"/>
        </w:rPr>
        <w:t xml:space="preserve">enales de </w:t>
      </w:r>
      <w:r w:rsidR="00315F1C">
        <w:rPr>
          <w:rFonts w:ascii="Cambria" w:hAnsi="Cambria"/>
          <w:sz w:val="20"/>
          <w:szCs w:val="20"/>
          <w:lang w:val="es-AR"/>
        </w:rPr>
        <w:t>m</w:t>
      </w:r>
      <w:r w:rsidR="00067324" w:rsidRPr="00F62931">
        <w:rPr>
          <w:rFonts w:ascii="Cambria" w:hAnsi="Cambria"/>
          <w:sz w:val="20"/>
          <w:szCs w:val="20"/>
          <w:lang w:val="es-AR"/>
        </w:rPr>
        <w:t xml:space="preserve">áxima </w:t>
      </w:r>
      <w:r w:rsidR="00315F1C">
        <w:rPr>
          <w:rFonts w:ascii="Cambria" w:hAnsi="Cambria"/>
          <w:sz w:val="20"/>
          <w:szCs w:val="20"/>
          <w:lang w:val="es-AR"/>
        </w:rPr>
        <w:t>s</w:t>
      </w:r>
      <w:r w:rsidR="00067324" w:rsidRPr="00F62931">
        <w:rPr>
          <w:rFonts w:ascii="Cambria" w:hAnsi="Cambria"/>
          <w:sz w:val="20"/>
          <w:szCs w:val="20"/>
          <w:lang w:val="es-AR"/>
        </w:rPr>
        <w:t>eguridad</w:t>
      </w:r>
      <w:r w:rsidR="00315F1C">
        <w:rPr>
          <w:rFonts w:ascii="Cambria" w:hAnsi="Cambria"/>
          <w:sz w:val="20"/>
          <w:szCs w:val="20"/>
          <w:lang w:val="es-AR"/>
        </w:rPr>
        <w:t>,</w:t>
      </w:r>
      <w:r w:rsidR="00067324">
        <w:rPr>
          <w:rFonts w:ascii="Cambria" w:hAnsi="Cambria"/>
          <w:sz w:val="20"/>
          <w:szCs w:val="20"/>
          <w:lang w:val="es-AR"/>
        </w:rPr>
        <w:t xml:space="preserve"> y </w:t>
      </w:r>
      <w:r w:rsidR="00315F1C">
        <w:rPr>
          <w:rFonts w:ascii="Cambria" w:hAnsi="Cambria"/>
          <w:sz w:val="20"/>
          <w:szCs w:val="20"/>
          <w:lang w:val="es-AR"/>
        </w:rPr>
        <w:t xml:space="preserve">que </w:t>
      </w:r>
      <w:r w:rsidR="00067324">
        <w:rPr>
          <w:rFonts w:ascii="Cambria" w:hAnsi="Cambria"/>
          <w:sz w:val="20"/>
          <w:szCs w:val="20"/>
          <w:lang w:val="es-AR"/>
        </w:rPr>
        <w:t xml:space="preserve">las presuntas víctimas </w:t>
      </w:r>
      <w:r w:rsidR="00067324" w:rsidRPr="00F62931">
        <w:rPr>
          <w:rFonts w:ascii="Cambria" w:hAnsi="Cambria"/>
          <w:sz w:val="20"/>
          <w:szCs w:val="20"/>
          <w:lang w:val="es-AR"/>
        </w:rPr>
        <w:t>sufrieron</w:t>
      </w:r>
      <w:r w:rsidR="00067324">
        <w:rPr>
          <w:rFonts w:ascii="Cambria" w:hAnsi="Cambria"/>
          <w:sz w:val="20"/>
          <w:szCs w:val="20"/>
          <w:lang w:val="es-AR"/>
        </w:rPr>
        <w:t xml:space="preserve"> torturas y malos tratos</w:t>
      </w:r>
      <w:r w:rsidR="00315F1C">
        <w:rPr>
          <w:rFonts w:ascii="Cambria" w:hAnsi="Cambria"/>
          <w:sz w:val="20"/>
          <w:szCs w:val="20"/>
          <w:lang w:val="es-AR"/>
        </w:rPr>
        <w:t xml:space="preserve"> mientras se hallaban en tal situación</w:t>
      </w:r>
      <w:r w:rsidR="00067324">
        <w:rPr>
          <w:rFonts w:ascii="Cambria" w:hAnsi="Cambria"/>
          <w:sz w:val="20"/>
          <w:szCs w:val="20"/>
          <w:lang w:val="es-AR"/>
        </w:rPr>
        <w:t xml:space="preserve">. Indica que </w:t>
      </w:r>
      <w:r w:rsidR="004822F2">
        <w:rPr>
          <w:rFonts w:ascii="Cambria" w:hAnsi="Cambria"/>
          <w:sz w:val="20"/>
          <w:szCs w:val="20"/>
          <w:lang w:val="es-AR"/>
        </w:rPr>
        <w:t xml:space="preserve">tanto la CIDH </w:t>
      </w:r>
      <w:r w:rsidR="00315F1C">
        <w:rPr>
          <w:rFonts w:ascii="Cambria" w:hAnsi="Cambria"/>
          <w:sz w:val="20"/>
          <w:szCs w:val="20"/>
          <w:lang w:val="es-AR"/>
        </w:rPr>
        <w:t>como la Corte Interamericana de Derechos Humanos han reiterado que dicha legislación antiterrorista privó de garantías de debido proceso</w:t>
      </w:r>
      <w:r w:rsidR="00315F1C" w:rsidRPr="00315F1C">
        <w:rPr>
          <w:rFonts w:ascii="Cambria" w:hAnsi="Cambria"/>
          <w:sz w:val="20"/>
          <w:szCs w:val="20"/>
          <w:lang w:val="es-AR"/>
        </w:rPr>
        <w:t xml:space="preserve"> </w:t>
      </w:r>
      <w:r w:rsidR="00315F1C">
        <w:rPr>
          <w:rFonts w:ascii="Cambria" w:hAnsi="Cambria"/>
          <w:sz w:val="20"/>
          <w:szCs w:val="20"/>
          <w:lang w:val="es-AR"/>
        </w:rPr>
        <w:t xml:space="preserve">a las personas a las que fue aplicada, por que alega que </w:t>
      </w:r>
      <w:r w:rsidR="00067324">
        <w:rPr>
          <w:rFonts w:ascii="Cambria" w:hAnsi="Cambria"/>
          <w:sz w:val="20"/>
          <w:szCs w:val="20"/>
          <w:lang w:val="es-AR"/>
        </w:rPr>
        <w:t xml:space="preserve">la </w:t>
      </w:r>
      <w:r w:rsidR="00315F1C">
        <w:rPr>
          <w:rFonts w:ascii="Cambria" w:hAnsi="Cambria"/>
          <w:sz w:val="20"/>
          <w:szCs w:val="20"/>
          <w:lang w:val="es-AR"/>
        </w:rPr>
        <w:t xml:space="preserve">utilización de tales normas </w:t>
      </w:r>
      <w:r w:rsidR="00067324">
        <w:rPr>
          <w:rFonts w:ascii="Cambria" w:hAnsi="Cambria"/>
          <w:sz w:val="20"/>
          <w:szCs w:val="20"/>
          <w:lang w:val="es-AR"/>
        </w:rPr>
        <w:t xml:space="preserve">constituye en sí misma una violación </w:t>
      </w:r>
      <w:r w:rsidR="00315F1C">
        <w:rPr>
          <w:rFonts w:ascii="Cambria" w:hAnsi="Cambria"/>
          <w:sz w:val="20"/>
          <w:szCs w:val="20"/>
          <w:lang w:val="es-AR"/>
        </w:rPr>
        <w:t>de</w:t>
      </w:r>
      <w:r w:rsidR="00067324">
        <w:rPr>
          <w:rFonts w:ascii="Cambria" w:hAnsi="Cambria"/>
          <w:sz w:val="20"/>
          <w:szCs w:val="20"/>
          <w:lang w:val="es-AR"/>
        </w:rPr>
        <w:t xml:space="preserve"> los derechos de las presuntas víctimas</w:t>
      </w:r>
      <w:r w:rsidR="00315F1C">
        <w:rPr>
          <w:rFonts w:ascii="Cambria" w:hAnsi="Cambria"/>
          <w:sz w:val="20"/>
          <w:szCs w:val="20"/>
          <w:lang w:val="es-AR"/>
        </w:rPr>
        <w:t>.</w:t>
      </w:r>
      <w:r w:rsidR="00067324">
        <w:rPr>
          <w:rFonts w:ascii="Cambria" w:hAnsi="Cambria"/>
          <w:sz w:val="20"/>
          <w:szCs w:val="20"/>
          <w:lang w:val="es-AR"/>
        </w:rPr>
        <w:t xml:space="preserve"> </w:t>
      </w:r>
      <w:r w:rsidR="00315F1C">
        <w:rPr>
          <w:rFonts w:ascii="Cambria" w:hAnsi="Cambria"/>
          <w:sz w:val="20"/>
          <w:szCs w:val="20"/>
          <w:lang w:val="es-AR"/>
        </w:rPr>
        <w:t xml:space="preserve">Asimismo, alega que </w:t>
      </w:r>
      <w:r w:rsidR="00067324">
        <w:rPr>
          <w:rFonts w:ascii="Cambria" w:hAnsi="Cambria"/>
          <w:sz w:val="20"/>
          <w:szCs w:val="20"/>
          <w:lang w:val="es-AR"/>
        </w:rPr>
        <w:t>los excesivos e irrazonables per</w:t>
      </w:r>
      <w:r w:rsidR="00067324">
        <w:rPr>
          <w:rFonts w:ascii="Cambria" w:hAnsi="Cambria"/>
          <w:sz w:val="20"/>
          <w:szCs w:val="20"/>
          <w:lang w:val="es-US"/>
        </w:rPr>
        <w:t>iodos de detención arbitraria deben considerarse como un mecanismo de tortura y</w:t>
      </w:r>
      <w:r w:rsidR="00315F1C">
        <w:rPr>
          <w:rFonts w:ascii="Cambria" w:hAnsi="Cambria"/>
          <w:sz w:val="20"/>
          <w:szCs w:val="20"/>
          <w:lang w:val="es-US"/>
        </w:rPr>
        <w:t>,</w:t>
      </w:r>
      <w:r w:rsidR="00067324">
        <w:rPr>
          <w:rFonts w:ascii="Cambria" w:hAnsi="Cambria"/>
          <w:sz w:val="20"/>
          <w:szCs w:val="20"/>
          <w:lang w:val="es-US"/>
        </w:rPr>
        <w:t xml:space="preserve"> por tanto, una violación </w:t>
      </w:r>
      <w:r w:rsidR="00315F1C">
        <w:rPr>
          <w:rFonts w:ascii="Cambria" w:hAnsi="Cambria"/>
          <w:sz w:val="20"/>
          <w:szCs w:val="20"/>
          <w:lang w:val="es-US"/>
        </w:rPr>
        <w:t xml:space="preserve">del </w:t>
      </w:r>
      <w:r w:rsidR="00067324">
        <w:rPr>
          <w:rFonts w:ascii="Cambria" w:hAnsi="Cambria"/>
          <w:sz w:val="20"/>
          <w:szCs w:val="20"/>
          <w:lang w:val="es-US"/>
        </w:rPr>
        <w:t>derecho a la integridad física y psicológica</w:t>
      </w:r>
      <w:r w:rsidR="00315F1C">
        <w:rPr>
          <w:rFonts w:ascii="Cambria" w:hAnsi="Cambria"/>
          <w:sz w:val="20"/>
          <w:szCs w:val="20"/>
          <w:lang w:val="es-US"/>
        </w:rPr>
        <w:t xml:space="preserve"> de las personas afectadas</w:t>
      </w:r>
      <w:r w:rsidR="00067324">
        <w:rPr>
          <w:rFonts w:ascii="Cambria" w:hAnsi="Cambria"/>
          <w:sz w:val="20"/>
          <w:szCs w:val="20"/>
          <w:lang w:val="es-US"/>
        </w:rPr>
        <w:t>.</w:t>
      </w:r>
    </w:p>
    <w:p w:rsidR="00E30EC0" w:rsidRDefault="00E30EC0" w:rsidP="00E30EC0">
      <w:pPr>
        <w:suppressAutoHyphens/>
        <w:ind w:left="720"/>
        <w:jc w:val="both"/>
        <w:rPr>
          <w:rFonts w:ascii="Cambria" w:hAnsi="Cambria"/>
          <w:sz w:val="20"/>
          <w:szCs w:val="20"/>
          <w:lang w:val="es-AR"/>
        </w:rPr>
      </w:pPr>
    </w:p>
    <w:p w:rsidR="0012023A" w:rsidRDefault="004822F2" w:rsidP="00E30EC0">
      <w:pPr>
        <w:numPr>
          <w:ilvl w:val="0"/>
          <w:numId w:val="55"/>
        </w:numPr>
        <w:suppressAutoHyphens/>
        <w:jc w:val="both"/>
        <w:rPr>
          <w:rFonts w:ascii="Cambria" w:hAnsi="Cambria"/>
          <w:sz w:val="20"/>
          <w:szCs w:val="20"/>
          <w:lang w:val="es-AR"/>
        </w:rPr>
      </w:pPr>
      <w:r>
        <w:rPr>
          <w:rFonts w:ascii="Cambria" w:hAnsi="Cambria"/>
          <w:sz w:val="20"/>
          <w:szCs w:val="20"/>
          <w:lang w:val="es-AR"/>
        </w:rPr>
        <w:t xml:space="preserve">La parte peticionaria sostiene que, debido a </w:t>
      </w:r>
      <w:r w:rsidR="0012023A">
        <w:rPr>
          <w:rFonts w:ascii="Cambria" w:hAnsi="Cambria"/>
          <w:sz w:val="20"/>
          <w:szCs w:val="20"/>
          <w:lang w:val="es-AR"/>
        </w:rPr>
        <w:t xml:space="preserve">la presión internacional, se dictó </w:t>
      </w:r>
      <w:r>
        <w:rPr>
          <w:rFonts w:ascii="Cambria" w:hAnsi="Cambria"/>
          <w:sz w:val="20"/>
          <w:szCs w:val="20"/>
          <w:lang w:val="es-AR"/>
        </w:rPr>
        <w:t xml:space="preserve">posteriormente </w:t>
      </w:r>
      <w:r w:rsidR="0012023A">
        <w:rPr>
          <w:rFonts w:ascii="Cambria" w:hAnsi="Cambria"/>
          <w:sz w:val="20"/>
          <w:szCs w:val="20"/>
          <w:lang w:val="es-AR"/>
        </w:rPr>
        <w:t xml:space="preserve">la </w:t>
      </w:r>
      <w:r w:rsidR="0012023A" w:rsidRPr="00371E1B">
        <w:rPr>
          <w:rFonts w:ascii="Cambria" w:hAnsi="Cambria"/>
          <w:sz w:val="20"/>
          <w:szCs w:val="20"/>
          <w:lang w:val="es-AR"/>
        </w:rPr>
        <w:t xml:space="preserve">Ley No 26.655 </w:t>
      </w:r>
      <w:r w:rsidR="00371E1B" w:rsidRPr="00371E1B">
        <w:rPr>
          <w:rFonts w:ascii="Cambria" w:hAnsi="Cambria"/>
          <w:sz w:val="20"/>
          <w:szCs w:val="20"/>
          <w:lang w:val="es-AR"/>
        </w:rPr>
        <w:t>de 17</w:t>
      </w:r>
      <w:r w:rsidR="00F830F9" w:rsidRPr="00371E1B">
        <w:rPr>
          <w:rFonts w:ascii="Cambria" w:hAnsi="Cambria"/>
          <w:sz w:val="20"/>
          <w:szCs w:val="20"/>
          <w:lang w:val="es-AR"/>
        </w:rPr>
        <w:t xml:space="preserve"> de agosto de 1996</w:t>
      </w:r>
      <w:r w:rsidR="00DE166E">
        <w:rPr>
          <w:rFonts w:ascii="Cambria" w:hAnsi="Cambria"/>
          <w:sz w:val="20"/>
          <w:szCs w:val="20"/>
          <w:lang w:val="es-AR"/>
        </w:rPr>
        <w:t xml:space="preserve"> </w:t>
      </w:r>
      <w:r w:rsidR="0012023A">
        <w:rPr>
          <w:rFonts w:ascii="Cambria" w:hAnsi="Cambria"/>
          <w:sz w:val="20"/>
          <w:szCs w:val="20"/>
          <w:lang w:val="es-AR"/>
        </w:rPr>
        <w:t>que creó una Comisión Ad-Hoc encargada de proponer al Presidente de la República la concesión de indultos para condenados por delitos de terrorismo o traición a la patria</w:t>
      </w:r>
      <w:r>
        <w:rPr>
          <w:rFonts w:ascii="Cambria" w:hAnsi="Cambria"/>
          <w:sz w:val="20"/>
          <w:szCs w:val="20"/>
          <w:lang w:val="es-AR"/>
        </w:rPr>
        <w:t>.</w:t>
      </w:r>
      <w:r w:rsidR="0012023A">
        <w:rPr>
          <w:rFonts w:ascii="Cambria" w:hAnsi="Cambria"/>
          <w:sz w:val="20"/>
          <w:szCs w:val="20"/>
          <w:lang w:val="es-AR"/>
        </w:rPr>
        <w:t xml:space="preserve"> </w:t>
      </w:r>
      <w:r>
        <w:rPr>
          <w:rFonts w:ascii="Cambria" w:hAnsi="Cambria"/>
          <w:sz w:val="20"/>
          <w:szCs w:val="20"/>
          <w:lang w:val="es-AR"/>
        </w:rPr>
        <w:t xml:space="preserve">Las propuestas de indulto se realizaban respecto de personas condenadas con </w:t>
      </w:r>
      <w:r w:rsidR="0012023A">
        <w:rPr>
          <w:rFonts w:ascii="Cambria" w:hAnsi="Cambria"/>
          <w:sz w:val="20"/>
          <w:szCs w:val="20"/>
          <w:lang w:val="es-AR"/>
        </w:rPr>
        <w:t xml:space="preserve">base </w:t>
      </w:r>
      <w:r>
        <w:rPr>
          <w:rFonts w:ascii="Cambria" w:hAnsi="Cambria"/>
          <w:sz w:val="20"/>
          <w:szCs w:val="20"/>
          <w:lang w:val="es-AR"/>
        </w:rPr>
        <w:t>en</w:t>
      </w:r>
      <w:r w:rsidR="0012023A">
        <w:rPr>
          <w:rFonts w:ascii="Cambria" w:hAnsi="Cambria"/>
          <w:sz w:val="20"/>
          <w:szCs w:val="20"/>
          <w:lang w:val="es-AR"/>
        </w:rPr>
        <w:t xml:space="preserve"> elementos probat</w:t>
      </w:r>
      <w:r w:rsidR="00CE377E">
        <w:rPr>
          <w:rFonts w:ascii="Cambria" w:hAnsi="Cambria"/>
          <w:sz w:val="20"/>
          <w:szCs w:val="20"/>
          <w:lang w:val="es-AR"/>
        </w:rPr>
        <w:t>orios insuficientes</w:t>
      </w:r>
      <w:r>
        <w:rPr>
          <w:rFonts w:ascii="Cambria" w:hAnsi="Cambria"/>
          <w:sz w:val="20"/>
          <w:szCs w:val="20"/>
          <w:lang w:val="es-AR"/>
        </w:rPr>
        <w:t xml:space="preserve">, </w:t>
      </w:r>
      <w:r w:rsidR="00CE377E">
        <w:rPr>
          <w:rFonts w:ascii="Cambria" w:hAnsi="Cambria"/>
          <w:sz w:val="20"/>
          <w:szCs w:val="20"/>
          <w:lang w:val="es-AR"/>
        </w:rPr>
        <w:t>que permitieran</w:t>
      </w:r>
      <w:r w:rsidR="0012023A">
        <w:rPr>
          <w:rFonts w:ascii="Cambria" w:hAnsi="Cambria"/>
          <w:sz w:val="20"/>
          <w:szCs w:val="20"/>
          <w:lang w:val="es-AR"/>
        </w:rPr>
        <w:t xml:space="preserve"> presumir razonablemente</w:t>
      </w:r>
      <w:r w:rsidR="00046067">
        <w:rPr>
          <w:rFonts w:ascii="Cambria" w:hAnsi="Cambria"/>
          <w:sz w:val="20"/>
          <w:szCs w:val="20"/>
          <w:lang w:val="es-AR"/>
        </w:rPr>
        <w:t xml:space="preserve"> a la Comisión</w:t>
      </w:r>
      <w:r w:rsidR="0012023A">
        <w:rPr>
          <w:rFonts w:ascii="Cambria" w:hAnsi="Cambria"/>
          <w:sz w:val="20"/>
          <w:szCs w:val="20"/>
          <w:lang w:val="es-AR"/>
        </w:rPr>
        <w:t xml:space="preserve"> </w:t>
      </w:r>
      <w:r>
        <w:rPr>
          <w:rFonts w:ascii="Cambria" w:hAnsi="Cambria"/>
          <w:sz w:val="20"/>
          <w:szCs w:val="20"/>
          <w:lang w:val="es-AR"/>
        </w:rPr>
        <w:t xml:space="preserve">Ad-Hoc </w:t>
      </w:r>
      <w:r w:rsidR="0012023A">
        <w:rPr>
          <w:rFonts w:ascii="Cambria" w:hAnsi="Cambria"/>
          <w:sz w:val="20"/>
          <w:szCs w:val="20"/>
          <w:lang w:val="es-AR"/>
        </w:rPr>
        <w:t xml:space="preserve">que no habrían tenido vinculación </w:t>
      </w:r>
      <w:r>
        <w:rPr>
          <w:rFonts w:ascii="Cambria" w:hAnsi="Cambria"/>
          <w:sz w:val="20"/>
          <w:szCs w:val="20"/>
          <w:lang w:val="es-AR"/>
        </w:rPr>
        <w:t xml:space="preserve">alguna </w:t>
      </w:r>
      <w:r w:rsidR="0012023A">
        <w:rPr>
          <w:rFonts w:ascii="Cambria" w:hAnsi="Cambria"/>
          <w:sz w:val="20"/>
          <w:szCs w:val="20"/>
          <w:lang w:val="es-AR"/>
        </w:rPr>
        <w:t>con elementos, actividades u organizaciones terrorista</w:t>
      </w:r>
      <w:r>
        <w:rPr>
          <w:rFonts w:ascii="Cambria" w:hAnsi="Cambria"/>
          <w:sz w:val="20"/>
          <w:szCs w:val="20"/>
          <w:lang w:val="es-AR"/>
        </w:rPr>
        <w:t>s</w:t>
      </w:r>
      <w:r w:rsidR="0012023A">
        <w:rPr>
          <w:rFonts w:ascii="Cambria" w:hAnsi="Cambria"/>
          <w:sz w:val="20"/>
          <w:szCs w:val="20"/>
          <w:lang w:val="es-AR"/>
        </w:rPr>
        <w:t xml:space="preserve">. </w:t>
      </w:r>
      <w:r>
        <w:rPr>
          <w:rFonts w:ascii="Cambria" w:hAnsi="Cambria"/>
          <w:sz w:val="20"/>
          <w:szCs w:val="20"/>
          <w:lang w:val="es-AR"/>
        </w:rPr>
        <w:t xml:space="preserve">La peticionaria indica que las </w:t>
      </w:r>
      <w:r w:rsidR="0012023A" w:rsidRPr="0012023A">
        <w:rPr>
          <w:rFonts w:ascii="Cambria" w:hAnsi="Cambria"/>
          <w:sz w:val="20"/>
          <w:szCs w:val="20"/>
          <w:lang w:val="es-AR"/>
        </w:rPr>
        <w:t xml:space="preserve">presuntas víctimas fueron </w:t>
      </w:r>
      <w:r>
        <w:rPr>
          <w:rFonts w:ascii="Cambria" w:hAnsi="Cambria"/>
          <w:sz w:val="20"/>
          <w:szCs w:val="20"/>
          <w:lang w:val="es-AR"/>
        </w:rPr>
        <w:t xml:space="preserve">indultadas </w:t>
      </w:r>
      <w:r w:rsidR="00043DFD" w:rsidRPr="0012023A">
        <w:rPr>
          <w:rFonts w:ascii="Cambria" w:hAnsi="Cambria"/>
          <w:sz w:val="20"/>
          <w:szCs w:val="20"/>
          <w:lang w:val="es-AR"/>
        </w:rPr>
        <w:t xml:space="preserve">en virtud de decretos </w:t>
      </w:r>
      <w:r w:rsidR="00043DFD">
        <w:rPr>
          <w:rFonts w:ascii="Cambria" w:hAnsi="Cambria"/>
          <w:sz w:val="20"/>
          <w:szCs w:val="20"/>
          <w:lang w:val="es-AR"/>
        </w:rPr>
        <w:t xml:space="preserve">dictados entre </w:t>
      </w:r>
      <w:r w:rsidR="00043DFD" w:rsidRPr="0012023A">
        <w:rPr>
          <w:rFonts w:ascii="Cambria" w:hAnsi="Cambria"/>
          <w:sz w:val="20"/>
          <w:szCs w:val="20"/>
          <w:lang w:val="es-AR"/>
        </w:rPr>
        <w:t xml:space="preserve">1996 </w:t>
      </w:r>
      <w:r w:rsidR="00043DFD">
        <w:rPr>
          <w:rFonts w:ascii="Cambria" w:hAnsi="Cambria"/>
          <w:sz w:val="20"/>
          <w:szCs w:val="20"/>
          <w:lang w:val="es-AR"/>
        </w:rPr>
        <w:t>y</w:t>
      </w:r>
      <w:r w:rsidR="00043DFD" w:rsidRPr="0012023A">
        <w:rPr>
          <w:rFonts w:ascii="Cambria" w:hAnsi="Cambria"/>
          <w:sz w:val="20"/>
          <w:szCs w:val="20"/>
          <w:lang w:val="es-AR"/>
        </w:rPr>
        <w:t xml:space="preserve"> 2001</w:t>
      </w:r>
      <w:r>
        <w:rPr>
          <w:rFonts w:ascii="Cambria" w:hAnsi="Cambria"/>
          <w:sz w:val="20"/>
          <w:szCs w:val="20"/>
          <w:lang w:val="es-AR"/>
        </w:rPr>
        <w:t>c</w:t>
      </w:r>
      <w:r w:rsidRPr="0012023A">
        <w:rPr>
          <w:rFonts w:ascii="Cambria" w:hAnsi="Cambria"/>
          <w:sz w:val="20"/>
          <w:szCs w:val="20"/>
          <w:lang w:val="es-AR"/>
        </w:rPr>
        <w:t xml:space="preserve">onforme a dicha </w:t>
      </w:r>
      <w:r w:rsidR="00043DFD">
        <w:rPr>
          <w:rFonts w:ascii="Cambria" w:hAnsi="Cambria"/>
          <w:sz w:val="20"/>
          <w:szCs w:val="20"/>
          <w:lang w:val="es-AR"/>
        </w:rPr>
        <w:t>l</w:t>
      </w:r>
      <w:r w:rsidRPr="0012023A">
        <w:rPr>
          <w:rFonts w:ascii="Cambria" w:hAnsi="Cambria"/>
          <w:sz w:val="20"/>
          <w:szCs w:val="20"/>
          <w:lang w:val="es-AR"/>
        </w:rPr>
        <w:t>ey</w:t>
      </w:r>
      <w:r w:rsidR="0012023A" w:rsidRPr="0012023A">
        <w:rPr>
          <w:rFonts w:ascii="Cambria" w:hAnsi="Cambria"/>
          <w:sz w:val="20"/>
          <w:szCs w:val="20"/>
          <w:lang w:val="es-AR"/>
        </w:rPr>
        <w:t>.</w:t>
      </w:r>
    </w:p>
    <w:p w:rsidR="00E30EC0" w:rsidRPr="00E30EC0" w:rsidRDefault="00E30EC0" w:rsidP="00E30EC0">
      <w:pPr>
        <w:pStyle w:val="ListParagraph"/>
        <w:jc w:val="both"/>
        <w:rPr>
          <w:rFonts w:asciiTheme="majorHAnsi" w:eastAsia="Arial Unicode MS" w:hAnsiTheme="majorHAnsi"/>
          <w:sz w:val="20"/>
          <w:szCs w:val="20"/>
          <w:lang w:val="es-AR" w:eastAsia="en-US"/>
        </w:rPr>
      </w:pPr>
    </w:p>
    <w:p w:rsidR="00F32A96" w:rsidRPr="00F32A96" w:rsidRDefault="00043DFD" w:rsidP="00E30EC0">
      <w:pPr>
        <w:pStyle w:val="ListParagraph"/>
        <w:numPr>
          <w:ilvl w:val="0"/>
          <w:numId w:val="55"/>
        </w:numPr>
        <w:jc w:val="both"/>
        <w:rPr>
          <w:rFonts w:asciiTheme="majorHAnsi" w:eastAsia="Arial Unicode MS" w:hAnsiTheme="majorHAnsi"/>
          <w:sz w:val="20"/>
          <w:szCs w:val="20"/>
          <w:lang w:val="es-AR" w:eastAsia="en-US"/>
        </w:rPr>
      </w:pPr>
      <w:r>
        <w:rPr>
          <w:sz w:val="20"/>
          <w:szCs w:val="20"/>
          <w:lang w:val="es-AR"/>
        </w:rPr>
        <w:t>El artículo 139 No 7 de l</w:t>
      </w:r>
      <w:r w:rsidR="00F32A96">
        <w:rPr>
          <w:sz w:val="20"/>
          <w:szCs w:val="20"/>
          <w:lang w:val="es-AR"/>
        </w:rPr>
        <w:t xml:space="preserve">a Constitución Política de Perú contempla el derecho a la indemnización </w:t>
      </w:r>
      <w:r>
        <w:rPr>
          <w:sz w:val="20"/>
          <w:szCs w:val="20"/>
          <w:lang w:val="es-AR"/>
        </w:rPr>
        <w:t>ante</w:t>
      </w:r>
      <w:r w:rsidR="00F32A96">
        <w:rPr>
          <w:sz w:val="20"/>
          <w:szCs w:val="20"/>
          <w:lang w:val="es-AR"/>
        </w:rPr>
        <w:t xml:space="preserve"> errores judici</w:t>
      </w:r>
      <w:r w:rsidR="00AB75BF">
        <w:rPr>
          <w:sz w:val="20"/>
          <w:szCs w:val="20"/>
          <w:lang w:val="es-AR"/>
        </w:rPr>
        <w:t>ales y detenciones arbitrarias</w:t>
      </w:r>
      <w:r>
        <w:rPr>
          <w:sz w:val="20"/>
          <w:szCs w:val="20"/>
          <w:lang w:val="es-AR"/>
        </w:rPr>
        <w:t>;</w:t>
      </w:r>
      <w:r w:rsidR="00F32A96">
        <w:rPr>
          <w:sz w:val="20"/>
          <w:szCs w:val="20"/>
          <w:lang w:val="es-AR"/>
        </w:rPr>
        <w:t xml:space="preserve"> y la Ley No 24.973 promulgada en 1988 regula formalmente el procedimiento para reclamarla. </w:t>
      </w:r>
      <w:r>
        <w:rPr>
          <w:sz w:val="20"/>
          <w:szCs w:val="20"/>
          <w:lang w:val="es-AR"/>
        </w:rPr>
        <w:t xml:space="preserve">Al respecto, </w:t>
      </w:r>
      <w:r w:rsidRPr="00631A7B">
        <w:rPr>
          <w:sz w:val="20"/>
          <w:szCs w:val="20"/>
          <w:lang w:val="es-AR"/>
        </w:rPr>
        <w:t>mediante fallo No 1277-99 de fecha 13 de julio de 2000</w:t>
      </w:r>
      <w:r>
        <w:rPr>
          <w:sz w:val="20"/>
          <w:szCs w:val="20"/>
          <w:lang w:val="es-AR"/>
        </w:rPr>
        <w:t xml:space="preserve"> el </w:t>
      </w:r>
      <w:r w:rsidR="00B83A21">
        <w:rPr>
          <w:sz w:val="20"/>
          <w:szCs w:val="20"/>
          <w:lang w:val="es-AR"/>
        </w:rPr>
        <w:t>Tribunal Constitucional de</w:t>
      </w:r>
      <w:r w:rsidR="00F32A96" w:rsidRPr="00631A7B">
        <w:rPr>
          <w:sz w:val="20"/>
          <w:szCs w:val="20"/>
          <w:lang w:val="es-AR"/>
        </w:rPr>
        <w:t xml:space="preserve"> Perú reconoció el derecho de los indultados de ser reparados por el Estado, en virtud del artículo </w:t>
      </w:r>
      <w:r w:rsidR="00F32A96" w:rsidRPr="00631A7B">
        <w:rPr>
          <w:rFonts w:asciiTheme="majorHAnsi" w:hAnsiTheme="majorHAnsi"/>
          <w:sz w:val="20"/>
          <w:szCs w:val="20"/>
          <w:lang w:val="es-US"/>
        </w:rPr>
        <w:t>14.6 del Pacto Internacional de Derechos Civiles y Políticos</w:t>
      </w:r>
      <w:r w:rsidR="00F32A96">
        <w:rPr>
          <w:rStyle w:val="FootnoteReference"/>
          <w:rFonts w:asciiTheme="majorHAnsi" w:hAnsiTheme="majorHAnsi"/>
          <w:sz w:val="20"/>
          <w:szCs w:val="20"/>
          <w:lang w:val="es-US"/>
        </w:rPr>
        <w:footnoteReference w:id="7"/>
      </w:r>
      <w:r w:rsidR="00F32A96">
        <w:rPr>
          <w:rFonts w:asciiTheme="majorHAnsi" w:hAnsiTheme="majorHAnsi"/>
          <w:sz w:val="20"/>
          <w:szCs w:val="20"/>
          <w:lang w:val="es-US"/>
        </w:rPr>
        <w:t>.</w:t>
      </w:r>
      <w:r w:rsidR="00F32A96" w:rsidRPr="00631A7B">
        <w:rPr>
          <w:rFonts w:asciiTheme="majorHAnsi" w:hAnsiTheme="majorHAnsi"/>
          <w:sz w:val="20"/>
          <w:szCs w:val="20"/>
          <w:lang w:val="es-US"/>
        </w:rPr>
        <w:t xml:space="preserve"> </w:t>
      </w:r>
      <w:r w:rsidR="00F32A96">
        <w:rPr>
          <w:rFonts w:asciiTheme="majorHAnsi" w:hAnsiTheme="majorHAnsi"/>
          <w:sz w:val="20"/>
          <w:szCs w:val="20"/>
          <w:lang w:val="es-US"/>
        </w:rPr>
        <w:t xml:space="preserve">En el referido fallo se señaló que </w:t>
      </w:r>
      <w:r>
        <w:rPr>
          <w:sz w:val="20"/>
          <w:szCs w:val="20"/>
          <w:lang w:val="es-AR"/>
        </w:rPr>
        <w:t>el</w:t>
      </w:r>
      <w:r>
        <w:rPr>
          <w:rFonts w:asciiTheme="majorHAnsi" w:hAnsiTheme="majorHAnsi"/>
          <w:sz w:val="20"/>
          <w:szCs w:val="20"/>
          <w:lang w:val="es-US"/>
        </w:rPr>
        <w:t xml:space="preserve"> indulto especial o razonado previsto en</w:t>
      </w:r>
      <w:r w:rsidRPr="00313748">
        <w:rPr>
          <w:rFonts w:asciiTheme="majorHAnsi" w:hAnsiTheme="majorHAnsi"/>
          <w:sz w:val="20"/>
          <w:szCs w:val="20"/>
          <w:lang w:val="es-US"/>
        </w:rPr>
        <w:t xml:space="preserve"> </w:t>
      </w:r>
      <w:r w:rsidR="00F32A96" w:rsidRPr="00313748">
        <w:rPr>
          <w:rFonts w:asciiTheme="majorHAnsi" w:hAnsiTheme="majorHAnsi"/>
          <w:sz w:val="20"/>
          <w:szCs w:val="20"/>
          <w:lang w:val="es-US"/>
        </w:rPr>
        <w:t xml:space="preserve">la </w:t>
      </w:r>
      <w:r w:rsidR="00F32A96" w:rsidRPr="00313748">
        <w:rPr>
          <w:sz w:val="20"/>
          <w:szCs w:val="20"/>
          <w:lang w:val="es-AR"/>
        </w:rPr>
        <w:t>Ley No 26.655</w:t>
      </w:r>
      <w:r w:rsidR="00F32A96">
        <w:rPr>
          <w:rFonts w:asciiTheme="majorHAnsi" w:hAnsiTheme="majorHAnsi"/>
          <w:sz w:val="20"/>
          <w:szCs w:val="20"/>
          <w:lang w:val="es-US"/>
        </w:rPr>
        <w:t xml:space="preserve"> debe entenderse como como una forma de reconocimiento de un error judicial</w:t>
      </w:r>
      <w:r>
        <w:rPr>
          <w:rFonts w:asciiTheme="majorHAnsi" w:hAnsiTheme="majorHAnsi"/>
          <w:sz w:val="20"/>
          <w:szCs w:val="20"/>
          <w:lang w:val="es-US"/>
        </w:rPr>
        <w:t>,</w:t>
      </w:r>
      <w:r w:rsidR="00F32A96">
        <w:rPr>
          <w:rFonts w:asciiTheme="majorHAnsi" w:hAnsiTheme="majorHAnsi"/>
          <w:sz w:val="20"/>
          <w:szCs w:val="20"/>
          <w:lang w:val="es-US"/>
        </w:rPr>
        <w:t xml:space="preserve"> que tiene como lógica consecuencia el derecho a indemnización</w:t>
      </w:r>
      <w:r w:rsidR="00F32A96">
        <w:rPr>
          <w:rStyle w:val="FootnoteReference"/>
          <w:sz w:val="20"/>
          <w:szCs w:val="20"/>
          <w:lang w:val="es-AR"/>
        </w:rPr>
        <w:footnoteReference w:id="8"/>
      </w:r>
      <w:r w:rsidR="00F32A96">
        <w:rPr>
          <w:rFonts w:asciiTheme="majorHAnsi" w:hAnsiTheme="majorHAnsi"/>
          <w:sz w:val="20"/>
          <w:szCs w:val="20"/>
          <w:lang w:val="es-AR"/>
        </w:rPr>
        <w:t>.</w:t>
      </w:r>
    </w:p>
    <w:p w:rsidR="00F32A96" w:rsidRPr="00F32A96" w:rsidRDefault="00F32A96" w:rsidP="00E30EC0">
      <w:pPr>
        <w:pStyle w:val="ListParagraph"/>
        <w:jc w:val="both"/>
        <w:rPr>
          <w:rFonts w:asciiTheme="majorHAnsi" w:eastAsia="Arial Unicode MS" w:hAnsiTheme="majorHAnsi"/>
          <w:sz w:val="20"/>
          <w:szCs w:val="20"/>
          <w:lang w:val="es-AR" w:eastAsia="en-US"/>
        </w:rPr>
      </w:pPr>
    </w:p>
    <w:p w:rsidR="00E22C2D" w:rsidRDefault="008263D9" w:rsidP="00E30EC0">
      <w:pPr>
        <w:numPr>
          <w:ilvl w:val="0"/>
          <w:numId w:val="55"/>
        </w:numPr>
        <w:suppressAutoHyphens/>
        <w:jc w:val="both"/>
        <w:rPr>
          <w:rFonts w:ascii="Cambria" w:hAnsi="Cambria"/>
          <w:sz w:val="20"/>
          <w:szCs w:val="20"/>
          <w:lang w:val="es-AR"/>
        </w:rPr>
      </w:pPr>
      <w:r>
        <w:rPr>
          <w:rFonts w:ascii="Cambria" w:hAnsi="Cambria"/>
          <w:sz w:val="20"/>
          <w:szCs w:val="20"/>
          <w:lang w:val="es-AR"/>
        </w:rPr>
        <w:lastRenderedPageBreak/>
        <w:t>El 7 de enero de 2004</w:t>
      </w:r>
      <w:r w:rsidR="00F32A96">
        <w:rPr>
          <w:rFonts w:ascii="Cambria" w:hAnsi="Cambria"/>
          <w:sz w:val="20"/>
          <w:szCs w:val="20"/>
          <w:lang w:val="es-AR"/>
        </w:rPr>
        <w:t xml:space="preserve">, </w:t>
      </w:r>
      <w:r>
        <w:rPr>
          <w:rFonts w:ascii="Cambria" w:hAnsi="Cambria"/>
          <w:sz w:val="20"/>
          <w:szCs w:val="20"/>
          <w:lang w:val="es-AR"/>
        </w:rPr>
        <w:t>conforme</w:t>
      </w:r>
      <w:r w:rsidR="00CB60B8">
        <w:rPr>
          <w:rFonts w:ascii="Cambria" w:hAnsi="Cambria"/>
          <w:sz w:val="20"/>
          <w:szCs w:val="20"/>
          <w:lang w:val="es-AR"/>
        </w:rPr>
        <w:t xml:space="preserve"> </w:t>
      </w:r>
      <w:r w:rsidR="00072063">
        <w:rPr>
          <w:rFonts w:ascii="Cambria" w:hAnsi="Cambria"/>
          <w:sz w:val="20"/>
          <w:szCs w:val="20"/>
          <w:lang w:val="es-AR"/>
        </w:rPr>
        <w:t>a la Ley No 24.973</w:t>
      </w:r>
      <w:r w:rsidR="00E724B3">
        <w:rPr>
          <w:rFonts w:ascii="Cambria" w:hAnsi="Cambria"/>
          <w:sz w:val="20"/>
          <w:szCs w:val="20"/>
          <w:lang w:val="es-AR"/>
        </w:rPr>
        <w:t xml:space="preserve">, </w:t>
      </w:r>
      <w:r w:rsidR="006D78B1">
        <w:rPr>
          <w:rFonts w:ascii="Cambria" w:hAnsi="Cambria"/>
          <w:sz w:val="20"/>
          <w:szCs w:val="20"/>
          <w:lang w:val="es-AR"/>
        </w:rPr>
        <w:t xml:space="preserve">27 </w:t>
      </w:r>
      <w:r w:rsidR="00E724B3">
        <w:rPr>
          <w:rFonts w:ascii="Cambria" w:hAnsi="Cambria"/>
          <w:sz w:val="20"/>
          <w:szCs w:val="20"/>
          <w:lang w:val="es-AR"/>
        </w:rPr>
        <w:t>de las presuntas víctim</w:t>
      </w:r>
      <w:r w:rsidR="00ED197E">
        <w:rPr>
          <w:rFonts w:ascii="Cambria" w:hAnsi="Cambria"/>
          <w:sz w:val="20"/>
          <w:szCs w:val="20"/>
          <w:lang w:val="es-AR"/>
        </w:rPr>
        <w:t xml:space="preserve">as demandaron colectivamente </w:t>
      </w:r>
      <w:r w:rsidR="00D12C1B">
        <w:rPr>
          <w:rFonts w:ascii="Cambria" w:hAnsi="Cambria"/>
          <w:sz w:val="20"/>
          <w:szCs w:val="20"/>
          <w:lang w:val="es-AR"/>
        </w:rPr>
        <w:t xml:space="preserve">de </w:t>
      </w:r>
      <w:r w:rsidR="00E724B3">
        <w:rPr>
          <w:rFonts w:ascii="Cambria" w:hAnsi="Cambria"/>
          <w:sz w:val="20"/>
          <w:szCs w:val="20"/>
          <w:lang w:val="es-AR"/>
        </w:rPr>
        <w:t>indemnización</w:t>
      </w:r>
      <w:r w:rsidR="00AD0265">
        <w:rPr>
          <w:rFonts w:ascii="Cambria" w:hAnsi="Cambria"/>
          <w:sz w:val="20"/>
          <w:szCs w:val="20"/>
          <w:lang w:val="es-AR"/>
        </w:rPr>
        <w:t xml:space="preserve"> </w:t>
      </w:r>
      <w:r w:rsidR="00E724B3">
        <w:rPr>
          <w:rFonts w:ascii="Cambria" w:hAnsi="Cambria"/>
          <w:sz w:val="20"/>
          <w:szCs w:val="20"/>
          <w:lang w:val="es-AR"/>
        </w:rPr>
        <w:t xml:space="preserve">ante </w:t>
      </w:r>
      <w:r w:rsidR="00D12C1B">
        <w:rPr>
          <w:rFonts w:ascii="Cambria" w:hAnsi="Cambria"/>
          <w:sz w:val="20"/>
          <w:szCs w:val="20"/>
          <w:lang w:val="es-AR"/>
        </w:rPr>
        <w:t>el 10 Juzgado Civil de Lima</w:t>
      </w:r>
      <w:r w:rsidR="00B83A21">
        <w:rPr>
          <w:rFonts w:ascii="Cambria" w:hAnsi="Cambria"/>
          <w:sz w:val="20"/>
          <w:szCs w:val="20"/>
          <w:lang w:val="es-AR"/>
        </w:rPr>
        <w:t xml:space="preserve"> </w:t>
      </w:r>
      <w:r>
        <w:rPr>
          <w:rFonts w:ascii="Cambria" w:hAnsi="Cambria"/>
          <w:sz w:val="20"/>
          <w:szCs w:val="20"/>
          <w:lang w:val="es-AR"/>
        </w:rPr>
        <w:t>(</w:t>
      </w:r>
      <w:r w:rsidR="00B83A21">
        <w:rPr>
          <w:rFonts w:ascii="Cambria" w:hAnsi="Cambria"/>
          <w:sz w:val="20"/>
          <w:szCs w:val="20"/>
          <w:lang w:val="es-AR"/>
        </w:rPr>
        <w:t>Expediente No 822-2004-10)</w:t>
      </w:r>
      <w:r>
        <w:rPr>
          <w:rFonts w:ascii="Cambria" w:hAnsi="Cambria"/>
          <w:sz w:val="20"/>
          <w:szCs w:val="20"/>
          <w:lang w:val="es-AR"/>
        </w:rPr>
        <w:t>.</w:t>
      </w:r>
      <w:r w:rsidR="00E724B3">
        <w:rPr>
          <w:rFonts w:ascii="Cambria" w:hAnsi="Cambria"/>
          <w:sz w:val="20"/>
          <w:szCs w:val="20"/>
          <w:lang w:val="es-AR"/>
        </w:rPr>
        <w:t xml:space="preserve"> </w:t>
      </w:r>
      <w:r>
        <w:rPr>
          <w:rFonts w:ascii="Cambria" w:hAnsi="Cambria"/>
          <w:sz w:val="20"/>
          <w:szCs w:val="20"/>
          <w:lang w:val="es-AR"/>
        </w:rPr>
        <w:t xml:space="preserve">El 13 de enero del mismo año la </w:t>
      </w:r>
      <w:r w:rsidR="00E724B3">
        <w:rPr>
          <w:rFonts w:ascii="Cambria" w:hAnsi="Cambria"/>
          <w:sz w:val="20"/>
          <w:szCs w:val="20"/>
          <w:lang w:val="es-AR"/>
        </w:rPr>
        <w:t xml:space="preserve">demanda fue </w:t>
      </w:r>
      <w:r w:rsidR="00FD3C0D">
        <w:rPr>
          <w:rFonts w:ascii="Cambria" w:hAnsi="Cambria"/>
          <w:sz w:val="20"/>
          <w:szCs w:val="20"/>
          <w:lang w:val="es-AR"/>
        </w:rPr>
        <w:t>declarada improcedente</w:t>
      </w:r>
      <w:r w:rsidR="00E724B3">
        <w:rPr>
          <w:rFonts w:ascii="Cambria" w:hAnsi="Cambria"/>
          <w:sz w:val="20"/>
          <w:szCs w:val="20"/>
          <w:lang w:val="es-AR"/>
        </w:rPr>
        <w:t xml:space="preserve"> por acumulación indebida de pretensiones. </w:t>
      </w:r>
      <w:r w:rsidR="00DE166E">
        <w:rPr>
          <w:rFonts w:ascii="Cambria" w:hAnsi="Cambria"/>
          <w:sz w:val="20"/>
          <w:szCs w:val="20"/>
          <w:lang w:val="es-AR"/>
        </w:rPr>
        <w:t>Con fecha 9 de febrero de 2004, las</w:t>
      </w:r>
      <w:r w:rsidR="00E22C2D">
        <w:rPr>
          <w:rFonts w:ascii="Cambria" w:hAnsi="Cambria"/>
          <w:sz w:val="20"/>
          <w:szCs w:val="20"/>
          <w:lang w:val="es-AR"/>
        </w:rPr>
        <w:t xml:space="preserve"> pr</w:t>
      </w:r>
      <w:r w:rsidR="00AD0265">
        <w:rPr>
          <w:rFonts w:ascii="Cambria" w:hAnsi="Cambria"/>
          <w:sz w:val="20"/>
          <w:szCs w:val="20"/>
          <w:lang w:val="es-AR"/>
        </w:rPr>
        <w:t xml:space="preserve">esuntas víctimas apelaron </w:t>
      </w:r>
      <w:r>
        <w:rPr>
          <w:rFonts w:ascii="Cambria" w:hAnsi="Cambria"/>
          <w:sz w:val="20"/>
          <w:szCs w:val="20"/>
          <w:lang w:val="es-AR"/>
        </w:rPr>
        <w:t xml:space="preserve">dicha decisión; </w:t>
      </w:r>
      <w:r w:rsidR="00AD0265">
        <w:rPr>
          <w:rFonts w:ascii="Cambria" w:hAnsi="Cambria"/>
          <w:sz w:val="20"/>
          <w:szCs w:val="20"/>
          <w:lang w:val="es-AR"/>
        </w:rPr>
        <w:t>el 30</w:t>
      </w:r>
      <w:r w:rsidR="00E22C2D">
        <w:rPr>
          <w:rFonts w:ascii="Cambria" w:hAnsi="Cambria"/>
          <w:sz w:val="20"/>
          <w:szCs w:val="20"/>
          <w:lang w:val="es-AR"/>
        </w:rPr>
        <w:t xml:space="preserve"> de </w:t>
      </w:r>
      <w:r w:rsidR="00AD0265">
        <w:rPr>
          <w:rFonts w:ascii="Cambria" w:hAnsi="Cambria"/>
          <w:sz w:val="20"/>
          <w:szCs w:val="20"/>
          <w:lang w:val="es-AR"/>
        </w:rPr>
        <w:t>noviembre de 2004</w:t>
      </w:r>
      <w:r w:rsidR="00E22C2D">
        <w:rPr>
          <w:rFonts w:ascii="Cambria" w:hAnsi="Cambria"/>
          <w:sz w:val="20"/>
          <w:szCs w:val="20"/>
          <w:lang w:val="es-AR"/>
        </w:rPr>
        <w:t xml:space="preserve"> </w:t>
      </w:r>
      <w:r w:rsidR="00FD3C0D">
        <w:rPr>
          <w:rFonts w:ascii="Cambria" w:hAnsi="Cambria"/>
          <w:sz w:val="20"/>
          <w:szCs w:val="20"/>
          <w:lang w:val="es-AR"/>
        </w:rPr>
        <w:t xml:space="preserve">la </w:t>
      </w:r>
      <w:r>
        <w:rPr>
          <w:rFonts w:ascii="Cambria" w:hAnsi="Cambria"/>
          <w:sz w:val="20"/>
          <w:szCs w:val="20"/>
          <w:lang w:val="es-AR"/>
        </w:rPr>
        <w:t>Segunda</w:t>
      </w:r>
      <w:r w:rsidR="00FD3C0D">
        <w:rPr>
          <w:rFonts w:ascii="Cambria" w:hAnsi="Cambria"/>
          <w:sz w:val="20"/>
          <w:szCs w:val="20"/>
          <w:lang w:val="es-AR"/>
        </w:rPr>
        <w:t xml:space="preserve"> Sala Civil de la Corte Superior de Justicia de Lima</w:t>
      </w:r>
      <w:r w:rsidR="00E22C2D">
        <w:rPr>
          <w:rFonts w:ascii="Cambria" w:hAnsi="Cambria"/>
          <w:sz w:val="20"/>
          <w:szCs w:val="20"/>
          <w:lang w:val="es-AR"/>
        </w:rPr>
        <w:t xml:space="preserve"> </w:t>
      </w:r>
      <w:r w:rsidR="001D0FD1">
        <w:rPr>
          <w:rFonts w:ascii="Cambria" w:hAnsi="Cambria"/>
          <w:sz w:val="20"/>
          <w:szCs w:val="20"/>
          <w:lang w:val="es-AR"/>
        </w:rPr>
        <w:t xml:space="preserve">acogió la apelación, </w:t>
      </w:r>
      <w:r w:rsidR="00E22C2D">
        <w:rPr>
          <w:rFonts w:ascii="Cambria" w:hAnsi="Cambria"/>
          <w:sz w:val="20"/>
          <w:szCs w:val="20"/>
          <w:lang w:val="es-AR"/>
        </w:rPr>
        <w:t>declaró nula la resolución que declaró improcedente la demanda y ordenó</w:t>
      </w:r>
      <w:r w:rsidR="00FD3C0D">
        <w:rPr>
          <w:rFonts w:ascii="Cambria" w:hAnsi="Cambria"/>
          <w:sz w:val="20"/>
          <w:szCs w:val="20"/>
          <w:lang w:val="es-AR"/>
        </w:rPr>
        <w:t xml:space="preserve"> que el juez renovara</w:t>
      </w:r>
      <w:r w:rsidR="00E22C2D">
        <w:rPr>
          <w:rFonts w:ascii="Cambria" w:hAnsi="Cambria"/>
          <w:sz w:val="20"/>
          <w:szCs w:val="20"/>
          <w:lang w:val="es-AR"/>
        </w:rPr>
        <w:t xml:space="preserve"> el acto procesal viciado por considerar atendible la petición. </w:t>
      </w:r>
      <w:r>
        <w:rPr>
          <w:rFonts w:ascii="Cambria" w:hAnsi="Cambria"/>
          <w:sz w:val="20"/>
          <w:szCs w:val="20"/>
          <w:lang w:val="es-AR"/>
        </w:rPr>
        <w:t xml:space="preserve">El </w:t>
      </w:r>
      <w:r w:rsidR="00E22C2D">
        <w:rPr>
          <w:rFonts w:ascii="Cambria" w:hAnsi="Cambria"/>
          <w:sz w:val="20"/>
          <w:szCs w:val="20"/>
          <w:lang w:val="es-AR"/>
        </w:rPr>
        <w:t>7 de septiembre de 2005 los demandantes solicitaron celeridad procesal y pronunciamiento a la judicatura civil, pero no recibi</w:t>
      </w:r>
      <w:r>
        <w:rPr>
          <w:rFonts w:ascii="Cambria" w:hAnsi="Cambria"/>
          <w:sz w:val="20"/>
          <w:szCs w:val="20"/>
          <w:lang w:val="es-AR"/>
        </w:rPr>
        <w:t xml:space="preserve">eron </w:t>
      </w:r>
      <w:r w:rsidR="00E22C2D">
        <w:rPr>
          <w:rFonts w:ascii="Cambria" w:hAnsi="Cambria"/>
          <w:sz w:val="20"/>
          <w:szCs w:val="20"/>
          <w:lang w:val="es-AR"/>
        </w:rPr>
        <w:t>respuesta</w:t>
      </w:r>
      <w:r>
        <w:rPr>
          <w:rFonts w:ascii="Cambria" w:hAnsi="Cambria"/>
          <w:sz w:val="20"/>
          <w:szCs w:val="20"/>
          <w:lang w:val="es-AR"/>
        </w:rPr>
        <w:t xml:space="preserve"> hasta la fecha del presente informe</w:t>
      </w:r>
      <w:r w:rsidR="00E22C2D">
        <w:rPr>
          <w:rFonts w:ascii="Cambria" w:hAnsi="Cambria"/>
          <w:sz w:val="20"/>
          <w:szCs w:val="20"/>
          <w:lang w:val="es-AR"/>
        </w:rPr>
        <w:t>.</w:t>
      </w:r>
      <w:r w:rsidR="00E22C2D" w:rsidRPr="00E22C2D">
        <w:rPr>
          <w:rFonts w:ascii="Cambria" w:hAnsi="Cambria"/>
          <w:sz w:val="20"/>
          <w:szCs w:val="20"/>
          <w:lang w:val="es-AR"/>
        </w:rPr>
        <w:t xml:space="preserve"> </w:t>
      </w:r>
      <w:r>
        <w:rPr>
          <w:rFonts w:ascii="Cambria" w:hAnsi="Cambria"/>
          <w:sz w:val="20"/>
          <w:szCs w:val="20"/>
          <w:lang w:val="es-AR"/>
        </w:rPr>
        <w:t>La peticionaria r</w:t>
      </w:r>
      <w:r w:rsidR="00E22C2D">
        <w:rPr>
          <w:rFonts w:ascii="Cambria" w:hAnsi="Cambria"/>
          <w:sz w:val="20"/>
          <w:szCs w:val="20"/>
          <w:lang w:val="es-AR"/>
        </w:rPr>
        <w:t xml:space="preserve">efiere que </w:t>
      </w:r>
      <w:r>
        <w:rPr>
          <w:rFonts w:ascii="Cambria" w:hAnsi="Cambria"/>
          <w:sz w:val="20"/>
          <w:szCs w:val="20"/>
          <w:lang w:val="es-AR"/>
        </w:rPr>
        <w:t xml:space="preserve">las presuntas víctimas </w:t>
      </w:r>
      <w:r w:rsidR="00E22C2D">
        <w:rPr>
          <w:rFonts w:ascii="Cambria" w:hAnsi="Cambria"/>
          <w:sz w:val="20"/>
          <w:szCs w:val="20"/>
          <w:lang w:val="es-AR"/>
        </w:rPr>
        <w:t>demandaron colectivamente por la estrechez económica en la que se en</w:t>
      </w:r>
      <w:r w:rsidR="00631A7B">
        <w:rPr>
          <w:rFonts w:ascii="Cambria" w:hAnsi="Cambria"/>
          <w:sz w:val="20"/>
          <w:szCs w:val="20"/>
          <w:lang w:val="es-AR"/>
        </w:rPr>
        <w:t>contraban</w:t>
      </w:r>
      <w:r w:rsidR="00E22C2D">
        <w:rPr>
          <w:rFonts w:ascii="Cambria" w:hAnsi="Cambria"/>
          <w:sz w:val="20"/>
          <w:szCs w:val="20"/>
          <w:lang w:val="es-AR"/>
        </w:rPr>
        <w:t>, proveniente de las detenciones prolongadas que sufrieron.</w:t>
      </w:r>
    </w:p>
    <w:p w:rsidR="00E30EC0" w:rsidRPr="00E30EC0" w:rsidRDefault="00E30EC0" w:rsidP="00E30EC0">
      <w:pPr>
        <w:suppressAutoHyphens/>
        <w:ind w:left="720"/>
        <w:jc w:val="both"/>
        <w:rPr>
          <w:rFonts w:asciiTheme="majorHAnsi" w:hAnsiTheme="majorHAnsi"/>
          <w:sz w:val="20"/>
          <w:szCs w:val="20"/>
          <w:lang w:val="es-AR"/>
        </w:rPr>
      </w:pPr>
    </w:p>
    <w:p w:rsidR="00AB6151" w:rsidRPr="00E30EC0" w:rsidRDefault="006D78B1" w:rsidP="00E30EC0">
      <w:pPr>
        <w:numPr>
          <w:ilvl w:val="0"/>
          <w:numId w:val="55"/>
        </w:numPr>
        <w:suppressAutoHyphens/>
        <w:jc w:val="both"/>
        <w:rPr>
          <w:rFonts w:asciiTheme="majorHAnsi" w:hAnsiTheme="majorHAnsi"/>
          <w:sz w:val="20"/>
          <w:szCs w:val="20"/>
          <w:lang w:val="es-AR"/>
        </w:rPr>
      </w:pPr>
      <w:r>
        <w:rPr>
          <w:rFonts w:ascii="Cambria" w:hAnsi="Cambria"/>
          <w:sz w:val="20"/>
          <w:szCs w:val="20"/>
          <w:lang w:val="es-AR"/>
        </w:rPr>
        <w:t>La</w:t>
      </w:r>
      <w:r w:rsidR="008263D9">
        <w:rPr>
          <w:rFonts w:ascii="Cambria" w:hAnsi="Cambria"/>
          <w:sz w:val="20"/>
          <w:szCs w:val="20"/>
          <w:lang w:val="es-AR"/>
        </w:rPr>
        <w:t xml:space="preserve"> peticionaria señala que la</w:t>
      </w:r>
      <w:r>
        <w:rPr>
          <w:rFonts w:ascii="Cambria" w:hAnsi="Cambria"/>
          <w:sz w:val="20"/>
          <w:szCs w:val="20"/>
          <w:lang w:val="es-AR"/>
        </w:rPr>
        <w:t>s demás</w:t>
      </w:r>
      <w:r w:rsidR="00E22C2D">
        <w:rPr>
          <w:rFonts w:ascii="Cambria" w:hAnsi="Cambria"/>
          <w:sz w:val="20"/>
          <w:szCs w:val="20"/>
          <w:lang w:val="es-AR"/>
        </w:rPr>
        <w:t xml:space="preserve"> presuntas víctimas no presentaron</w:t>
      </w:r>
      <w:r w:rsidR="00631A7B">
        <w:rPr>
          <w:rFonts w:ascii="Cambria" w:hAnsi="Cambria"/>
          <w:sz w:val="20"/>
          <w:szCs w:val="20"/>
          <w:lang w:val="es-AR"/>
        </w:rPr>
        <w:t xml:space="preserve"> </w:t>
      </w:r>
      <w:r w:rsidR="008263D9">
        <w:rPr>
          <w:rFonts w:ascii="Cambria" w:hAnsi="Cambria"/>
          <w:sz w:val="20"/>
          <w:szCs w:val="20"/>
          <w:lang w:val="es-AR"/>
        </w:rPr>
        <w:t xml:space="preserve">una </w:t>
      </w:r>
      <w:r w:rsidR="00631A7B">
        <w:rPr>
          <w:rFonts w:ascii="Cambria" w:hAnsi="Cambria"/>
          <w:sz w:val="20"/>
          <w:szCs w:val="20"/>
          <w:lang w:val="es-AR"/>
        </w:rPr>
        <w:t>dema</w:t>
      </w:r>
      <w:r w:rsidR="0059279B">
        <w:rPr>
          <w:rFonts w:ascii="Cambria" w:hAnsi="Cambria"/>
          <w:sz w:val="20"/>
          <w:szCs w:val="20"/>
          <w:lang w:val="es-AR"/>
        </w:rPr>
        <w:t>nda judicial por</w:t>
      </w:r>
      <w:r w:rsidR="008263D9">
        <w:rPr>
          <w:rFonts w:ascii="Cambria" w:hAnsi="Cambria"/>
          <w:sz w:val="20"/>
          <w:szCs w:val="20"/>
          <w:lang w:val="es-AR"/>
        </w:rPr>
        <w:t xml:space="preserve"> tratarse</w:t>
      </w:r>
      <w:r w:rsidR="0059279B">
        <w:rPr>
          <w:rFonts w:ascii="Cambria" w:hAnsi="Cambria"/>
          <w:sz w:val="20"/>
          <w:szCs w:val="20"/>
          <w:lang w:val="es-AR"/>
        </w:rPr>
        <w:t xml:space="preserve"> </w:t>
      </w:r>
      <w:r w:rsidR="008263D9">
        <w:rPr>
          <w:rFonts w:ascii="Cambria" w:hAnsi="Cambria"/>
          <w:sz w:val="20"/>
          <w:szCs w:val="20"/>
          <w:lang w:val="es-AR"/>
        </w:rPr>
        <w:t>de</w:t>
      </w:r>
      <w:r w:rsidR="0059279B">
        <w:rPr>
          <w:rFonts w:ascii="Cambria" w:hAnsi="Cambria"/>
          <w:sz w:val="20"/>
          <w:szCs w:val="20"/>
          <w:lang w:val="es-AR"/>
        </w:rPr>
        <w:t xml:space="preserve"> </w:t>
      </w:r>
      <w:r w:rsidR="00E22C2D">
        <w:rPr>
          <w:rFonts w:ascii="Cambria" w:hAnsi="Cambria"/>
          <w:sz w:val="20"/>
          <w:szCs w:val="20"/>
          <w:lang w:val="es-AR"/>
        </w:rPr>
        <w:t xml:space="preserve">personas indigentes </w:t>
      </w:r>
      <w:r w:rsidR="00BD714C">
        <w:rPr>
          <w:rFonts w:ascii="Cambria" w:hAnsi="Cambria"/>
          <w:sz w:val="20"/>
          <w:szCs w:val="20"/>
          <w:lang w:val="es-AR"/>
        </w:rPr>
        <w:t>como resultado directo de la</w:t>
      </w:r>
      <w:r w:rsidR="00793DA7">
        <w:rPr>
          <w:rFonts w:ascii="Cambria" w:hAnsi="Cambria"/>
          <w:sz w:val="20"/>
          <w:szCs w:val="20"/>
          <w:lang w:val="es-AR"/>
        </w:rPr>
        <w:t xml:space="preserve"> encarcelación prolongada que les ha dejado en una situación precaria</w:t>
      </w:r>
      <w:r w:rsidR="008263D9">
        <w:rPr>
          <w:rFonts w:ascii="Cambria" w:hAnsi="Cambria"/>
          <w:sz w:val="20"/>
          <w:szCs w:val="20"/>
          <w:lang w:val="es-AR"/>
        </w:rPr>
        <w:t>. Dicha circunstancia le</w:t>
      </w:r>
      <w:r w:rsidR="00E30EC0">
        <w:rPr>
          <w:rFonts w:ascii="Cambria" w:hAnsi="Cambria"/>
          <w:sz w:val="20"/>
          <w:szCs w:val="20"/>
          <w:lang w:val="es-AR"/>
        </w:rPr>
        <w:t>s</w:t>
      </w:r>
      <w:r w:rsidR="008263D9">
        <w:rPr>
          <w:rFonts w:ascii="Cambria" w:hAnsi="Cambria"/>
          <w:sz w:val="20"/>
          <w:szCs w:val="20"/>
          <w:lang w:val="es-AR"/>
        </w:rPr>
        <w:t xml:space="preserve"> impidió </w:t>
      </w:r>
      <w:r w:rsidR="00E22C2D">
        <w:rPr>
          <w:rFonts w:ascii="Cambria" w:hAnsi="Cambria"/>
          <w:sz w:val="20"/>
          <w:szCs w:val="20"/>
          <w:lang w:val="es-AR"/>
        </w:rPr>
        <w:t xml:space="preserve">solventar </w:t>
      </w:r>
      <w:r w:rsidR="009630BE">
        <w:rPr>
          <w:rFonts w:ascii="Cambria" w:hAnsi="Cambria"/>
          <w:sz w:val="20"/>
          <w:szCs w:val="20"/>
          <w:lang w:val="es-AR"/>
        </w:rPr>
        <w:t xml:space="preserve">el </w:t>
      </w:r>
      <w:r w:rsidR="00E22C2D">
        <w:rPr>
          <w:rFonts w:ascii="Cambria" w:hAnsi="Cambria"/>
          <w:sz w:val="20"/>
          <w:szCs w:val="20"/>
          <w:lang w:val="es-AR"/>
        </w:rPr>
        <w:t>asesoramiento</w:t>
      </w:r>
      <w:r w:rsidR="00793DA7">
        <w:rPr>
          <w:rFonts w:ascii="Cambria" w:hAnsi="Cambria"/>
          <w:sz w:val="20"/>
          <w:szCs w:val="20"/>
          <w:lang w:val="es-AR"/>
        </w:rPr>
        <w:t xml:space="preserve"> legal</w:t>
      </w:r>
      <w:r w:rsidR="00BD714C">
        <w:rPr>
          <w:rFonts w:ascii="Cambria" w:hAnsi="Cambria"/>
          <w:sz w:val="20"/>
          <w:szCs w:val="20"/>
          <w:lang w:val="es-AR"/>
        </w:rPr>
        <w:t xml:space="preserve"> y</w:t>
      </w:r>
      <w:r w:rsidR="00E22C2D">
        <w:rPr>
          <w:rFonts w:ascii="Cambria" w:hAnsi="Cambria"/>
          <w:sz w:val="20"/>
          <w:szCs w:val="20"/>
          <w:lang w:val="es-AR"/>
        </w:rPr>
        <w:t xml:space="preserve"> las</w:t>
      </w:r>
      <w:r w:rsidR="00D419DC">
        <w:rPr>
          <w:rFonts w:ascii="Cambria" w:hAnsi="Cambria"/>
          <w:sz w:val="20"/>
          <w:szCs w:val="20"/>
          <w:lang w:val="es-AR"/>
        </w:rPr>
        <w:t xml:space="preserve"> tasas judiciales para demandar</w:t>
      </w:r>
      <w:r w:rsidR="009630BE">
        <w:rPr>
          <w:rFonts w:ascii="Cambria" w:hAnsi="Cambria"/>
          <w:sz w:val="20"/>
          <w:szCs w:val="20"/>
          <w:lang w:val="es-AR"/>
        </w:rPr>
        <w:t>;</w:t>
      </w:r>
      <w:r w:rsidR="00072063" w:rsidRPr="00802835">
        <w:rPr>
          <w:rFonts w:asciiTheme="majorHAnsi" w:hAnsiTheme="majorHAnsi"/>
          <w:sz w:val="20"/>
          <w:szCs w:val="20"/>
          <w:lang w:val="es-AR"/>
        </w:rPr>
        <w:t xml:space="preserve"> y</w:t>
      </w:r>
      <w:r w:rsidR="00E30EC0">
        <w:rPr>
          <w:rFonts w:asciiTheme="majorHAnsi" w:hAnsiTheme="majorHAnsi"/>
          <w:sz w:val="20"/>
          <w:szCs w:val="20"/>
          <w:lang w:val="es-AR"/>
        </w:rPr>
        <w:t>,</w:t>
      </w:r>
      <w:r w:rsidR="00072063" w:rsidRPr="00802835">
        <w:rPr>
          <w:rFonts w:asciiTheme="majorHAnsi" w:hAnsiTheme="majorHAnsi"/>
          <w:sz w:val="20"/>
          <w:szCs w:val="20"/>
          <w:lang w:val="es-AR"/>
        </w:rPr>
        <w:t xml:space="preserve"> por </w:t>
      </w:r>
      <w:r w:rsidR="009630BE">
        <w:rPr>
          <w:rFonts w:asciiTheme="majorHAnsi" w:hAnsiTheme="majorHAnsi"/>
          <w:sz w:val="20"/>
          <w:szCs w:val="20"/>
          <w:lang w:val="es-AR"/>
        </w:rPr>
        <w:t xml:space="preserve">otra parte, </w:t>
      </w:r>
      <w:r w:rsidR="00E30EC0">
        <w:rPr>
          <w:rFonts w:asciiTheme="majorHAnsi" w:hAnsiTheme="majorHAnsi"/>
          <w:sz w:val="20"/>
          <w:szCs w:val="20"/>
          <w:lang w:val="es-AR"/>
        </w:rPr>
        <w:t xml:space="preserve">la peticionaria </w:t>
      </w:r>
      <w:r w:rsidR="00072063" w:rsidRPr="00802835">
        <w:rPr>
          <w:rFonts w:asciiTheme="majorHAnsi" w:hAnsiTheme="majorHAnsi"/>
          <w:sz w:val="20"/>
          <w:szCs w:val="20"/>
          <w:lang w:val="es-AR"/>
        </w:rPr>
        <w:t xml:space="preserve">estima que no </w:t>
      </w:r>
      <w:r w:rsidR="009630BE">
        <w:rPr>
          <w:rFonts w:asciiTheme="majorHAnsi" w:hAnsiTheme="majorHAnsi"/>
          <w:sz w:val="20"/>
          <w:szCs w:val="20"/>
          <w:lang w:val="es-AR"/>
        </w:rPr>
        <w:t xml:space="preserve">hay </w:t>
      </w:r>
      <w:r w:rsidR="00072063" w:rsidRPr="00802835">
        <w:rPr>
          <w:rFonts w:asciiTheme="majorHAnsi" w:hAnsiTheme="majorHAnsi"/>
          <w:sz w:val="20"/>
          <w:szCs w:val="20"/>
          <w:lang w:val="es-AR"/>
        </w:rPr>
        <w:t>un recurso adecuado y efectivo que les permita la protección de sus derechos en materia de reparación</w:t>
      </w:r>
      <w:r w:rsidR="00D419DC" w:rsidRPr="00072063">
        <w:rPr>
          <w:rFonts w:ascii="Cambria" w:hAnsi="Cambria"/>
          <w:sz w:val="20"/>
          <w:szCs w:val="20"/>
          <w:lang w:val="es-AR"/>
        </w:rPr>
        <w:t>.</w:t>
      </w:r>
    </w:p>
    <w:p w:rsidR="00E30EC0" w:rsidRPr="00072063" w:rsidRDefault="00E30EC0" w:rsidP="00E30EC0">
      <w:pPr>
        <w:suppressAutoHyphens/>
        <w:jc w:val="both"/>
        <w:rPr>
          <w:rFonts w:asciiTheme="majorHAnsi" w:hAnsiTheme="majorHAnsi"/>
          <w:sz w:val="20"/>
          <w:szCs w:val="20"/>
          <w:lang w:val="es-AR"/>
        </w:rPr>
      </w:pPr>
    </w:p>
    <w:p w:rsidR="00313748" w:rsidRPr="00F32A96" w:rsidRDefault="009630BE" w:rsidP="00E30EC0">
      <w:pPr>
        <w:numPr>
          <w:ilvl w:val="0"/>
          <w:numId w:val="55"/>
        </w:numPr>
        <w:suppressAutoHyphens/>
        <w:jc w:val="both"/>
        <w:rPr>
          <w:rFonts w:ascii="Cambria" w:hAnsi="Cambria"/>
          <w:sz w:val="20"/>
          <w:szCs w:val="20"/>
          <w:lang w:val="es-AR"/>
        </w:rPr>
      </w:pPr>
      <w:r>
        <w:rPr>
          <w:rFonts w:ascii="Cambria" w:hAnsi="Cambria"/>
          <w:sz w:val="20"/>
          <w:szCs w:val="20"/>
          <w:lang w:val="es-AR"/>
        </w:rPr>
        <w:t xml:space="preserve">Se alega igualmente que </w:t>
      </w:r>
      <w:r w:rsidR="00317723">
        <w:rPr>
          <w:rFonts w:ascii="Cambria" w:hAnsi="Cambria"/>
          <w:sz w:val="20"/>
          <w:szCs w:val="20"/>
          <w:lang w:val="es-AR"/>
        </w:rPr>
        <w:t xml:space="preserve">el Estado peruano se ha negado a reparar a las víctimas de la violencia y violaciones </w:t>
      </w:r>
      <w:r>
        <w:rPr>
          <w:rFonts w:ascii="Cambria" w:hAnsi="Cambria"/>
          <w:sz w:val="20"/>
          <w:szCs w:val="20"/>
          <w:lang w:val="es-AR"/>
        </w:rPr>
        <w:t>de</w:t>
      </w:r>
      <w:r w:rsidR="00317723">
        <w:rPr>
          <w:rFonts w:ascii="Cambria" w:hAnsi="Cambria"/>
          <w:sz w:val="20"/>
          <w:szCs w:val="20"/>
          <w:lang w:val="es-AR"/>
        </w:rPr>
        <w:t xml:space="preserve"> derechos humanos ocurridos durante </w:t>
      </w:r>
      <w:r>
        <w:rPr>
          <w:rFonts w:ascii="Cambria" w:hAnsi="Cambria"/>
          <w:sz w:val="20"/>
          <w:szCs w:val="20"/>
          <w:lang w:val="es-AR"/>
        </w:rPr>
        <w:t>el periodo referido</w:t>
      </w:r>
      <w:r w:rsidR="00317723">
        <w:rPr>
          <w:rFonts w:ascii="Cambria" w:hAnsi="Cambria"/>
          <w:sz w:val="20"/>
          <w:szCs w:val="20"/>
          <w:lang w:val="es-AR"/>
        </w:rPr>
        <w:t xml:space="preserve">, </w:t>
      </w:r>
      <w:r>
        <w:rPr>
          <w:rFonts w:ascii="Cambria" w:hAnsi="Cambria"/>
          <w:sz w:val="20"/>
          <w:szCs w:val="20"/>
          <w:lang w:val="es-AR"/>
        </w:rPr>
        <w:t xml:space="preserve">y que sus </w:t>
      </w:r>
      <w:r w:rsidR="00317723">
        <w:rPr>
          <w:rFonts w:ascii="Cambria" w:hAnsi="Cambria"/>
          <w:sz w:val="20"/>
          <w:szCs w:val="20"/>
          <w:lang w:val="es-AR"/>
        </w:rPr>
        <w:t>demandas</w:t>
      </w:r>
      <w:r>
        <w:rPr>
          <w:rFonts w:ascii="Cambria" w:hAnsi="Cambria"/>
          <w:sz w:val="20"/>
          <w:szCs w:val="20"/>
          <w:lang w:val="es-AR"/>
        </w:rPr>
        <w:t xml:space="preserve"> fueron rechazadas</w:t>
      </w:r>
      <w:r w:rsidR="00317723">
        <w:rPr>
          <w:rFonts w:ascii="Cambria" w:hAnsi="Cambria"/>
          <w:sz w:val="20"/>
          <w:szCs w:val="20"/>
          <w:lang w:val="es-AR"/>
        </w:rPr>
        <w:t xml:space="preserve"> </w:t>
      </w:r>
      <w:r w:rsidR="00AB75BF">
        <w:rPr>
          <w:rFonts w:ascii="Cambria" w:hAnsi="Cambria"/>
          <w:sz w:val="20"/>
          <w:szCs w:val="20"/>
          <w:lang w:val="es-AR"/>
        </w:rPr>
        <w:t xml:space="preserve">por </w:t>
      </w:r>
      <w:r>
        <w:rPr>
          <w:rFonts w:ascii="Cambria" w:hAnsi="Cambria"/>
          <w:sz w:val="20"/>
          <w:szCs w:val="20"/>
          <w:lang w:val="es-AR"/>
        </w:rPr>
        <w:t xml:space="preserve">las siguientes </w:t>
      </w:r>
      <w:r w:rsidR="00AB75BF">
        <w:rPr>
          <w:rFonts w:ascii="Cambria" w:hAnsi="Cambria"/>
          <w:sz w:val="20"/>
          <w:szCs w:val="20"/>
          <w:lang w:val="es-AR"/>
        </w:rPr>
        <w:t>razones</w:t>
      </w:r>
      <w:r>
        <w:rPr>
          <w:rFonts w:ascii="Cambria" w:hAnsi="Cambria"/>
          <w:sz w:val="20"/>
          <w:szCs w:val="20"/>
          <w:lang w:val="es-AR"/>
        </w:rPr>
        <w:t>:</w:t>
      </w:r>
      <w:r w:rsidR="00067324" w:rsidRPr="00067324">
        <w:rPr>
          <w:rFonts w:ascii="Cambria" w:hAnsi="Cambria"/>
          <w:sz w:val="20"/>
          <w:szCs w:val="20"/>
          <w:lang w:val="es-AR"/>
        </w:rPr>
        <w:t xml:space="preserve"> </w:t>
      </w:r>
      <w:r>
        <w:rPr>
          <w:rFonts w:ascii="Cambria" w:hAnsi="Cambria"/>
          <w:sz w:val="20"/>
          <w:szCs w:val="20"/>
          <w:lang w:val="es-AR"/>
        </w:rPr>
        <w:t>la exigencia de</w:t>
      </w:r>
      <w:r w:rsidR="00067324">
        <w:rPr>
          <w:rFonts w:ascii="Cambria" w:hAnsi="Cambria"/>
          <w:sz w:val="20"/>
          <w:szCs w:val="20"/>
          <w:lang w:val="es-AR"/>
        </w:rPr>
        <w:t xml:space="preserve"> tasas arancelarias imposibles de solventar por su situación de indigencia</w:t>
      </w:r>
      <w:r>
        <w:rPr>
          <w:rFonts w:ascii="Cambria" w:hAnsi="Cambria"/>
          <w:sz w:val="20"/>
          <w:szCs w:val="20"/>
          <w:lang w:val="es-AR"/>
        </w:rPr>
        <w:t>;</w:t>
      </w:r>
      <w:r w:rsidR="00067324">
        <w:rPr>
          <w:rFonts w:ascii="Cambria" w:hAnsi="Cambria"/>
          <w:sz w:val="20"/>
          <w:szCs w:val="20"/>
          <w:lang w:val="es-AR"/>
        </w:rPr>
        <w:t xml:space="preserve"> </w:t>
      </w:r>
      <w:r>
        <w:rPr>
          <w:rFonts w:ascii="Cambria" w:hAnsi="Cambria"/>
          <w:sz w:val="20"/>
          <w:szCs w:val="20"/>
          <w:lang w:val="es-AR"/>
        </w:rPr>
        <w:t>el archivo de las</w:t>
      </w:r>
      <w:r w:rsidR="00067324">
        <w:rPr>
          <w:rFonts w:ascii="Cambria" w:hAnsi="Cambria"/>
          <w:sz w:val="20"/>
          <w:szCs w:val="20"/>
          <w:lang w:val="es-AR"/>
        </w:rPr>
        <w:t xml:space="preserve"> causas </w:t>
      </w:r>
      <w:r>
        <w:rPr>
          <w:rFonts w:ascii="Cambria" w:hAnsi="Cambria"/>
          <w:sz w:val="20"/>
          <w:szCs w:val="20"/>
          <w:lang w:val="es-AR"/>
        </w:rPr>
        <w:t>por</w:t>
      </w:r>
      <w:r w:rsidR="00067324">
        <w:rPr>
          <w:rFonts w:ascii="Cambria" w:hAnsi="Cambria"/>
          <w:sz w:val="20"/>
          <w:szCs w:val="20"/>
          <w:lang w:val="es-AR"/>
        </w:rPr>
        <w:t xml:space="preserve"> indebida acumulación de pretensiones</w:t>
      </w:r>
      <w:r>
        <w:rPr>
          <w:rFonts w:ascii="Cambria" w:hAnsi="Cambria"/>
          <w:sz w:val="20"/>
          <w:szCs w:val="20"/>
          <w:lang w:val="es-AR"/>
        </w:rPr>
        <w:t>;</w:t>
      </w:r>
      <w:r w:rsidR="00067324">
        <w:rPr>
          <w:rFonts w:ascii="Cambria" w:hAnsi="Cambria"/>
          <w:sz w:val="20"/>
          <w:szCs w:val="20"/>
          <w:lang w:val="es-AR"/>
        </w:rPr>
        <w:t xml:space="preserve"> </w:t>
      </w:r>
      <w:r>
        <w:rPr>
          <w:rFonts w:ascii="Cambria" w:hAnsi="Cambria"/>
          <w:sz w:val="20"/>
          <w:szCs w:val="20"/>
          <w:lang w:val="es-AR"/>
        </w:rPr>
        <w:t>y el</w:t>
      </w:r>
      <w:r w:rsidR="00067324">
        <w:rPr>
          <w:rFonts w:ascii="Cambria" w:hAnsi="Cambria"/>
          <w:sz w:val="20"/>
          <w:szCs w:val="20"/>
          <w:lang w:val="es-AR"/>
        </w:rPr>
        <w:t xml:space="preserve"> retardo injustificad</w:t>
      </w:r>
      <w:r>
        <w:rPr>
          <w:rFonts w:ascii="Cambria" w:hAnsi="Cambria"/>
          <w:sz w:val="20"/>
          <w:szCs w:val="20"/>
          <w:lang w:val="es-AR"/>
        </w:rPr>
        <w:t xml:space="preserve">o de los recursos interpuestos. Todo lo anterior ha </w:t>
      </w:r>
      <w:r w:rsidR="00067324">
        <w:rPr>
          <w:rFonts w:ascii="Cambria" w:hAnsi="Cambria"/>
          <w:sz w:val="20"/>
          <w:szCs w:val="20"/>
          <w:lang w:val="es-AR"/>
        </w:rPr>
        <w:t>imp</w:t>
      </w:r>
      <w:r>
        <w:rPr>
          <w:rFonts w:ascii="Cambria" w:hAnsi="Cambria"/>
          <w:sz w:val="20"/>
          <w:szCs w:val="20"/>
          <w:lang w:val="es-AR"/>
        </w:rPr>
        <w:t xml:space="preserve">edido que </w:t>
      </w:r>
      <w:r w:rsidR="00067324">
        <w:rPr>
          <w:rFonts w:ascii="Cambria" w:hAnsi="Cambria"/>
          <w:sz w:val="20"/>
          <w:szCs w:val="20"/>
          <w:lang w:val="es-AR"/>
        </w:rPr>
        <w:t>los</w:t>
      </w:r>
      <w:r w:rsidR="00317723">
        <w:rPr>
          <w:rFonts w:ascii="Cambria" w:hAnsi="Cambria"/>
          <w:sz w:val="20"/>
          <w:szCs w:val="20"/>
          <w:lang w:val="es-AR"/>
        </w:rPr>
        <w:t xml:space="preserve"> afectados </w:t>
      </w:r>
      <w:r>
        <w:rPr>
          <w:rFonts w:ascii="Cambria" w:hAnsi="Cambria"/>
          <w:sz w:val="20"/>
          <w:szCs w:val="20"/>
          <w:lang w:val="es-AR"/>
        </w:rPr>
        <w:t xml:space="preserve">fueran </w:t>
      </w:r>
      <w:r w:rsidR="00317723">
        <w:rPr>
          <w:rFonts w:ascii="Cambria" w:hAnsi="Cambria"/>
          <w:sz w:val="20"/>
          <w:szCs w:val="20"/>
          <w:lang w:val="es-AR"/>
        </w:rPr>
        <w:t xml:space="preserve">oídos y </w:t>
      </w:r>
      <w:r>
        <w:rPr>
          <w:rFonts w:ascii="Cambria" w:hAnsi="Cambria"/>
          <w:sz w:val="20"/>
          <w:szCs w:val="20"/>
          <w:lang w:val="es-AR"/>
        </w:rPr>
        <w:t>que accedie</w:t>
      </w:r>
      <w:r w:rsidR="00317723">
        <w:rPr>
          <w:rFonts w:ascii="Cambria" w:hAnsi="Cambria"/>
          <w:sz w:val="20"/>
          <w:szCs w:val="20"/>
          <w:lang w:val="es-AR"/>
        </w:rPr>
        <w:t>r</w:t>
      </w:r>
      <w:r>
        <w:rPr>
          <w:rFonts w:ascii="Cambria" w:hAnsi="Cambria"/>
          <w:sz w:val="20"/>
          <w:szCs w:val="20"/>
          <w:lang w:val="es-AR"/>
        </w:rPr>
        <w:t>an</w:t>
      </w:r>
      <w:r w:rsidR="00317723">
        <w:rPr>
          <w:rFonts w:ascii="Cambria" w:hAnsi="Cambria"/>
          <w:sz w:val="20"/>
          <w:szCs w:val="20"/>
          <w:lang w:val="es-AR"/>
        </w:rPr>
        <w:t xml:space="preserve"> a un recurso sencillo para acreditar los hechos que dan lugar a la indemnización. </w:t>
      </w:r>
      <w:r>
        <w:rPr>
          <w:rFonts w:ascii="Cambria" w:hAnsi="Cambria"/>
          <w:sz w:val="20"/>
          <w:szCs w:val="20"/>
          <w:lang w:val="es-AR"/>
        </w:rPr>
        <w:t xml:space="preserve">La peticionaria destaca por otra parte que </w:t>
      </w:r>
      <w:r w:rsidR="00317723">
        <w:rPr>
          <w:rFonts w:ascii="Cambria" w:hAnsi="Cambria"/>
          <w:sz w:val="20"/>
          <w:szCs w:val="20"/>
          <w:lang w:val="es-AR"/>
        </w:rPr>
        <w:t xml:space="preserve">el </w:t>
      </w:r>
      <w:r w:rsidR="00F32A96">
        <w:rPr>
          <w:rFonts w:ascii="Cambria" w:hAnsi="Cambria"/>
          <w:sz w:val="20"/>
          <w:szCs w:val="20"/>
          <w:lang w:val="es-AR"/>
        </w:rPr>
        <w:t>fondo creado por la L</w:t>
      </w:r>
      <w:r w:rsidR="008E4AE5">
        <w:rPr>
          <w:rFonts w:ascii="Cambria" w:hAnsi="Cambria"/>
          <w:sz w:val="20"/>
          <w:szCs w:val="20"/>
          <w:lang w:val="es-AR"/>
        </w:rPr>
        <w:t>ey</w:t>
      </w:r>
      <w:r w:rsidR="00317723">
        <w:rPr>
          <w:rFonts w:ascii="Cambria" w:hAnsi="Cambria"/>
          <w:sz w:val="20"/>
          <w:szCs w:val="20"/>
          <w:lang w:val="es-AR"/>
        </w:rPr>
        <w:t xml:space="preserve"> </w:t>
      </w:r>
      <w:r w:rsidR="00F32A96">
        <w:rPr>
          <w:rFonts w:ascii="Cambria" w:hAnsi="Cambria"/>
          <w:sz w:val="20"/>
          <w:szCs w:val="20"/>
          <w:lang w:val="es-AR"/>
        </w:rPr>
        <w:t xml:space="preserve">No 24.973 </w:t>
      </w:r>
      <w:r w:rsidR="00317723">
        <w:rPr>
          <w:rFonts w:ascii="Cambria" w:hAnsi="Cambria"/>
          <w:sz w:val="20"/>
          <w:szCs w:val="20"/>
          <w:lang w:val="es-AR"/>
        </w:rPr>
        <w:t xml:space="preserve">para indemnizar </w:t>
      </w:r>
      <w:r w:rsidR="008E4AE5">
        <w:rPr>
          <w:rFonts w:ascii="Cambria" w:hAnsi="Cambria"/>
          <w:sz w:val="20"/>
          <w:szCs w:val="20"/>
          <w:lang w:val="es-AR"/>
        </w:rPr>
        <w:t>a las víctimas nunca h</w:t>
      </w:r>
      <w:r w:rsidR="00AE74DB">
        <w:rPr>
          <w:rFonts w:ascii="Cambria" w:hAnsi="Cambria"/>
          <w:sz w:val="20"/>
          <w:szCs w:val="20"/>
          <w:lang w:val="es-AR"/>
        </w:rPr>
        <w:t xml:space="preserve">a contado con </w:t>
      </w:r>
      <w:r>
        <w:rPr>
          <w:rFonts w:ascii="Cambria" w:hAnsi="Cambria"/>
          <w:sz w:val="20"/>
          <w:szCs w:val="20"/>
          <w:lang w:val="es-AR"/>
        </w:rPr>
        <w:t xml:space="preserve">recursos </w:t>
      </w:r>
      <w:r w:rsidR="00AE74DB">
        <w:rPr>
          <w:rFonts w:ascii="Cambria" w:hAnsi="Cambria"/>
          <w:sz w:val="20"/>
          <w:szCs w:val="20"/>
          <w:lang w:val="es-AR"/>
        </w:rPr>
        <w:t>presupuest</w:t>
      </w:r>
      <w:r>
        <w:rPr>
          <w:rFonts w:ascii="Cambria" w:hAnsi="Cambria"/>
          <w:sz w:val="20"/>
          <w:szCs w:val="20"/>
          <w:lang w:val="es-AR"/>
        </w:rPr>
        <w:t>arios</w:t>
      </w:r>
      <w:r w:rsidR="008E4AE5">
        <w:rPr>
          <w:rFonts w:ascii="Cambria" w:hAnsi="Cambria"/>
          <w:sz w:val="20"/>
          <w:szCs w:val="20"/>
          <w:lang w:val="es-AR"/>
        </w:rPr>
        <w:t xml:space="preserve">; </w:t>
      </w:r>
      <w:r>
        <w:rPr>
          <w:rFonts w:ascii="Cambria" w:hAnsi="Cambria"/>
          <w:sz w:val="20"/>
          <w:szCs w:val="20"/>
          <w:lang w:val="es-AR"/>
        </w:rPr>
        <w:t xml:space="preserve">y que lo mismo es cierto del </w:t>
      </w:r>
      <w:r w:rsidR="008E4AE5">
        <w:rPr>
          <w:rFonts w:ascii="Cambria" w:hAnsi="Cambria"/>
          <w:sz w:val="20"/>
          <w:szCs w:val="20"/>
          <w:lang w:val="es-AR"/>
        </w:rPr>
        <w:t xml:space="preserve">Fondo Especial </w:t>
      </w:r>
      <w:r w:rsidR="00D660BC">
        <w:rPr>
          <w:rFonts w:ascii="Cambria" w:hAnsi="Cambria"/>
          <w:sz w:val="20"/>
          <w:szCs w:val="20"/>
          <w:lang w:val="es-AR"/>
        </w:rPr>
        <w:t>de Administración del dinero obtenido ilícitamente en perjuicio del Es</w:t>
      </w:r>
      <w:r w:rsidR="002D14A0">
        <w:rPr>
          <w:rFonts w:ascii="Cambria" w:hAnsi="Cambria"/>
          <w:sz w:val="20"/>
          <w:szCs w:val="20"/>
          <w:lang w:val="es-AR"/>
        </w:rPr>
        <w:t>tado (FEDADOI)</w:t>
      </w:r>
      <w:r>
        <w:rPr>
          <w:rFonts w:ascii="Cambria" w:hAnsi="Cambria"/>
          <w:sz w:val="20"/>
          <w:szCs w:val="20"/>
          <w:lang w:val="es-AR"/>
        </w:rPr>
        <w:t>,</w:t>
      </w:r>
      <w:r w:rsidR="002D14A0">
        <w:rPr>
          <w:rFonts w:ascii="Cambria" w:hAnsi="Cambria"/>
          <w:sz w:val="20"/>
          <w:szCs w:val="20"/>
          <w:lang w:val="es-AR"/>
        </w:rPr>
        <w:t xml:space="preserve"> cuya finalidad era</w:t>
      </w:r>
      <w:r w:rsidR="00D660BC">
        <w:rPr>
          <w:rFonts w:ascii="Cambria" w:hAnsi="Cambria"/>
          <w:sz w:val="20"/>
          <w:szCs w:val="20"/>
          <w:lang w:val="es-AR"/>
        </w:rPr>
        <w:t xml:space="preserve"> reparar a los indultados</w:t>
      </w:r>
      <w:r w:rsidR="00317723">
        <w:rPr>
          <w:rFonts w:ascii="Cambria" w:hAnsi="Cambria"/>
          <w:sz w:val="20"/>
          <w:szCs w:val="20"/>
          <w:lang w:val="es-AR"/>
        </w:rPr>
        <w:t>.</w:t>
      </w:r>
      <w:r w:rsidR="00317723" w:rsidRPr="000C3356">
        <w:rPr>
          <w:rFonts w:ascii="Cambria" w:hAnsi="Cambria"/>
          <w:sz w:val="20"/>
          <w:szCs w:val="20"/>
          <w:highlight w:val="yellow"/>
          <w:lang w:val="es-AR"/>
        </w:rPr>
        <w:t xml:space="preserve"> </w:t>
      </w:r>
    </w:p>
    <w:p w:rsidR="00AB1F21" w:rsidRPr="00AB1F21" w:rsidRDefault="00AB1F21" w:rsidP="00AB1F21">
      <w:pPr>
        <w:pStyle w:val="ListParagraph"/>
        <w:jc w:val="both"/>
        <w:rPr>
          <w:rFonts w:eastAsia="Arial Unicode MS"/>
          <w:lang w:val="es-AR" w:eastAsia="en-US"/>
        </w:rPr>
      </w:pPr>
    </w:p>
    <w:p w:rsidR="00631A7B" w:rsidRPr="00631A7B" w:rsidRDefault="00384492" w:rsidP="00E30EC0">
      <w:pPr>
        <w:pStyle w:val="ListParagraph"/>
        <w:numPr>
          <w:ilvl w:val="0"/>
          <w:numId w:val="55"/>
        </w:numPr>
        <w:jc w:val="both"/>
        <w:rPr>
          <w:rFonts w:eastAsia="Arial Unicode MS"/>
          <w:lang w:val="es-AR" w:eastAsia="en-US"/>
        </w:rPr>
      </w:pPr>
      <w:r>
        <w:rPr>
          <w:sz w:val="20"/>
          <w:szCs w:val="20"/>
          <w:lang w:val="es-AR"/>
        </w:rPr>
        <w:t xml:space="preserve">El </w:t>
      </w:r>
      <w:r w:rsidR="005B74E4">
        <w:rPr>
          <w:sz w:val="20"/>
          <w:szCs w:val="20"/>
          <w:lang w:val="es-AR"/>
        </w:rPr>
        <w:t xml:space="preserve">14 de enero de 2002 </w:t>
      </w:r>
      <w:r>
        <w:rPr>
          <w:sz w:val="20"/>
          <w:szCs w:val="20"/>
          <w:lang w:val="es-AR"/>
        </w:rPr>
        <w:t>se dictó el Decreto Supremo No</w:t>
      </w:r>
      <w:r w:rsidR="005B74E4">
        <w:rPr>
          <w:sz w:val="20"/>
          <w:szCs w:val="20"/>
          <w:lang w:val="es-AR"/>
        </w:rPr>
        <w:t>.</w:t>
      </w:r>
      <w:r>
        <w:rPr>
          <w:sz w:val="20"/>
          <w:szCs w:val="20"/>
          <w:lang w:val="es-AR"/>
        </w:rPr>
        <w:t xml:space="preserve"> 002-2002-JUS, que creó </w:t>
      </w:r>
      <w:r w:rsidR="005B74E4">
        <w:rPr>
          <w:sz w:val="20"/>
          <w:szCs w:val="20"/>
          <w:lang w:val="es-AR"/>
        </w:rPr>
        <w:t>l</w:t>
      </w:r>
      <w:r>
        <w:rPr>
          <w:sz w:val="20"/>
          <w:szCs w:val="20"/>
          <w:lang w:val="es-AR"/>
        </w:rPr>
        <w:t>a Comisión Especial de Asistencia a los Indultados Inocentes (CEAII</w:t>
      </w:r>
      <w:r w:rsidR="005B74E4">
        <w:rPr>
          <w:sz w:val="20"/>
          <w:szCs w:val="20"/>
          <w:lang w:val="es-AR"/>
        </w:rPr>
        <w:t>)</w:t>
      </w:r>
      <w:r>
        <w:rPr>
          <w:sz w:val="20"/>
          <w:szCs w:val="20"/>
          <w:lang w:val="es-AR"/>
        </w:rPr>
        <w:t xml:space="preserve"> encargada de diseñar y poner en práctica un </w:t>
      </w:r>
      <w:r w:rsidR="005B74E4">
        <w:rPr>
          <w:sz w:val="20"/>
          <w:szCs w:val="20"/>
          <w:lang w:val="es-AR"/>
        </w:rPr>
        <w:t>p</w:t>
      </w:r>
      <w:r>
        <w:rPr>
          <w:sz w:val="20"/>
          <w:szCs w:val="20"/>
          <w:lang w:val="es-AR"/>
        </w:rPr>
        <w:t xml:space="preserve">rograma </w:t>
      </w:r>
      <w:r w:rsidR="005B74E4">
        <w:rPr>
          <w:sz w:val="20"/>
          <w:szCs w:val="20"/>
          <w:lang w:val="es-AR"/>
        </w:rPr>
        <w:t>i</w:t>
      </w:r>
      <w:r>
        <w:rPr>
          <w:sz w:val="20"/>
          <w:szCs w:val="20"/>
          <w:lang w:val="es-AR"/>
        </w:rPr>
        <w:t xml:space="preserve">ntegral de </w:t>
      </w:r>
      <w:r w:rsidR="005B74E4">
        <w:rPr>
          <w:sz w:val="20"/>
          <w:szCs w:val="20"/>
          <w:lang w:val="es-AR"/>
        </w:rPr>
        <w:t>r</w:t>
      </w:r>
      <w:r>
        <w:rPr>
          <w:sz w:val="20"/>
          <w:szCs w:val="20"/>
          <w:lang w:val="es-AR"/>
        </w:rPr>
        <w:t xml:space="preserve">eparaciones no dinerarias a favor de los indultados y sus familias. Sin embargo, hasta la fecha el Estado no ha cumplido con las recomendaciones de la </w:t>
      </w:r>
      <w:r w:rsidR="005B74E4">
        <w:rPr>
          <w:sz w:val="20"/>
          <w:szCs w:val="20"/>
          <w:lang w:val="es-AR"/>
        </w:rPr>
        <w:t>CEAII</w:t>
      </w:r>
      <w:r>
        <w:rPr>
          <w:sz w:val="20"/>
          <w:szCs w:val="20"/>
          <w:lang w:val="es-AR"/>
        </w:rPr>
        <w:t xml:space="preserve"> en cuanto al empleo</w:t>
      </w:r>
      <w:r w:rsidR="005B74E4">
        <w:rPr>
          <w:sz w:val="20"/>
          <w:szCs w:val="20"/>
          <w:lang w:val="es-AR"/>
        </w:rPr>
        <w:t xml:space="preserve"> y</w:t>
      </w:r>
      <w:r>
        <w:rPr>
          <w:sz w:val="20"/>
          <w:szCs w:val="20"/>
          <w:lang w:val="es-AR"/>
        </w:rPr>
        <w:t xml:space="preserve"> la educación para los indultados</w:t>
      </w:r>
      <w:r w:rsidR="005B74E4">
        <w:rPr>
          <w:sz w:val="20"/>
          <w:szCs w:val="20"/>
          <w:lang w:val="es-AR"/>
        </w:rPr>
        <w:t>;</w:t>
      </w:r>
      <w:r w:rsidR="00207FA1">
        <w:rPr>
          <w:sz w:val="20"/>
          <w:szCs w:val="20"/>
          <w:lang w:val="es-AR"/>
        </w:rPr>
        <w:t xml:space="preserve"> </w:t>
      </w:r>
      <w:r w:rsidR="00E30EC0">
        <w:rPr>
          <w:sz w:val="20"/>
          <w:szCs w:val="20"/>
          <w:lang w:val="es-AR"/>
        </w:rPr>
        <w:t>y,</w:t>
      </w:r>
      <w:r w:rsidR="00207FA1">
        <w:rPr>
          <w:sz w:val="20"/>
          <w:szCs w:val="20"/>
          <w:lang w:val="es-AR"/>
        </w:rPr>
        <w:t xml:space="preserve"> </w:t>
      </w:r>
      <w:r w:rsidR="005B74E4">
        <w:rPr>
          <w:sz w:val="20"/>
          <w:szCs w:val="20"/>
          <w:lang w:val="es-AR"/>
        </w:rPr>
        <w:t xml:space="preserve">por otra parte, </w:t>
      </w:r>
      <w:r w:rsidR="00207FA1">
        <w:rPr>
          <w:sz w:val="20"/>
          <w:szCs w:val="20"/>
          <w:lang w:val="es-AR"/>
        </w:rPr>
        <w:t>ha previsto sólo parcialmente y en forma insatisfactoria lo relativo a vivienda y salud</w:t>
      </w:r>
      <w:r w:rsidR="005B74E4">
        <w:rPr>
          <w:sz w:val="20"/>
          <w:szCs w:val="20"/>
          <w:lang w:val="es-AR"/>
        </w:rPr>
        <w:t>.</w:t>
      </w:r>
    </w:p>
    <w:p w:rsidR="00631A7B" w:rsidRPr="00631A7B" w:rsidRDefault="00631A7B" w:rsidP="00E30EC0">
      <w:pPr>
        <w:pStyle w:val="ListParagraph"/>
        <w:jc w:val="both"/>
        <w:rPr>
          <w:rFonts w:eastAsia="Arial Unicode MS"/>
          <w:lang w:val="es-AR" w:eastAsia="en-US"/>
        </w:rPr>
      </w:pPr>
    </w:p>
    <w:p w:rsidR="00317723" w:rsidRPr="00155147" w:rsidRDefault="005B74E4" w:rsidP="00E30EC0">
      <w:pPr>
        <w:pStyle w:val="ListParagraph"/>
        <w:numPr>
          <w:ilvl w:val="0"/>
          <w:numId w:val="55"/>
        </w:numPr>
        <w:jc w:val="both"/>
        <w:rPr>
          <w:rFonts w:eastAsia="Arial Unicode MS"/>
          <w:lang w:val="es-AR" w:eastAsia="en-US"/>
        </w:rPr>
      </w:pPr>
      <w:r>
        <w:rPr>
          <w:sz w:val="20"/>
          <w:szCs w:val="20"/>
          <w:lang w:val="es-AR"/>
        </w:rPr>
        <w:t xml:space="preserve">Asimismo, el </w:t>
      </w:r>
      <w:r>
        <w:rPr>
          <w:rFonts w:eastAsia="Arial Unicode MS"/>
          <w:sz w:val="20"/>
          <w:szCs w:val="20"/>
          <w:lang w:val="es-AR" w:eastAsia="en-US"/>
        </w:rPr>
        <w:t xml:space="preserve">29 de julio de 2005 se </w:t>
      </w:r>
      <w:r w:rsidR="00317723">
        <w:rPr>
          <w:sz w:val="20"/>
          <w:szCs w:val="20"/>
          <w:lang w:val="es-AR"/>
        </w:rPr>
        <w:t xml:space="preserve">dictó </w:t>
      </w:r>
      <w:r w:rsidR="00317723">
        <w:rPr>
          <w:rFonts w:eastAsia="Arial Unicode MS"/>
          <w:sz w:val="20"/>
          <w:szCs w:val="20"/>
          <w:lang w:val="es-AR" w:eastAsia="en-US"/>
        </w:rPr>
        <w:t xml:space="preserve">la Ley No 28.592 </w:t>
      </w:r>
      <w:r>
        <w:rPr>
          <w:rFonts w:eastAsia="Arial Unicode MS"/>
          <w:sz w:val="20"/>
          <w:szCs w:val="20"/>
          <w:lang w:val="es-AR" w:eastAsia="en-US"/>
        </w:rPr>
        <w:t xml:space="preserve">con la </w:t>
      </w:r>
      <w:r w:rsidR="00317723">
        <w:rPr>
          <w:rFonts w:eastAsia="Arial Unicode MS"/>
          <w:sz w:val="20"/>
          <w:szCs w:val="20"/>
          <w:lang w:val="es-AR" w:eastAsia="en-US"/>
        </w:rPr>
        <w:t xml:space="preserve">finalidad </w:t>
      </w:r>
      <w:r>
        <w:rPr>
          <w:rFonts w:eastAsia="Arial Unicode MS"/>
          <w:sz w:val="20"/>
          <w:szCs w:val="20"/>
          <w:lang w:val="es-AR" w:eastAsia="en-US"/>
        </w:rPr>
        <w:t>de</w:t>
      </w:r>
      <w:r w:rsidR="00317723">
        <w:rPr>
          <w:rFonts w:eastAsia="Arial Unicode MS"/>
          <w:sz w:val="20"/>
          <w:szCs w:val="20"/>
          <w:lang w:val="es-AR" w:eastAsia="en-US"/>
        </w:rPr>
        <w:t xml:space="preserve"> establecer el marco normativo del Plan Integral de Reparaciones (PIR) para las víctimas de la violencia ocurrida durante el período de mayo de 1980 a noviembre de 2000, conforme a las conclusiones y recomendaciones del Informe de Comisión de Verdad y Reconciliación del Perú. Sin embargo, </w:t>
      </w:r>
      <w:r w:rsidR="0081143D">
        <w:rPr>
          <w:rFonts w:eastAsia="Arial Unicode MS"/>
          <w:sz w:val="20"/>
          <w:szCs w:val="20"/>
          <w:lang w:val="es-AR" w:eastAsia="en-US"/>
        </w:rPr>
        <w:t xml:space="preserve">las personas indultadas </w:t>
      </w:r>
      <w:r w:rsidR="00877F3B">
        <w:rPr>
          <w:rFonts w:eastAsia="Arial Unicode MS"/>
          <w:sz w:val="20"/>
          <w:szCs w:val="20"/>
          <w:lang w:val="es-AR" w:eastAsia="en-US"/>
        </w:rPr>
        <w:t>quedaron excluida</w:t>
      </w:r>
      <w:r w:rsidR="00317723">
        <w:rPr>
          <w:rFonts w:eastAsia="Arial Unicode MS"/>
          <w:sz w:val="20"/>
          <w:szCs w:val="20"/>
          <w:lang w:val="es-AR" w:eastAsia="en-US"/>
        </w:rPr>
        <w:t xml:space="preserve">s de las reparaciones económicas </w:t>
      </w:r>
      <w:r>
        <w:rPr>
          <w:rFonts w:eastAsia="Arial Unicode MS"/>
          <w:sz w:val="20"/>
          <w:szCs w:val="20"/>
          <w:lang w:val="es-AR" w:eastAsia="en-US"/>
        </w:rPr>
        <w:t>de</w:t>
      </w:r>
      <w:r w:rsidR="0081143D">
        <w:rPr>
          <w:rFonts w:eastAsia="Arial Unicode MS"/>
          <w:sz w:val="20"/>
          <w:szCs w:val="20"/>
          <w:lang w:val="es-AR" w:eastAsia="en-US"/>
        </w:rPr>
        <w:t xml:space="preserve"> dicho</w:t>
      </w:r>
      <w:r w:rsidR="00317723">
        <w:rPr>
          <w:rFonts w:eastAsia="Arial Unicode MS"/>
          <w:sz w:val="20"/>
          <w:szCs w:val="20"/>
          <w:lang w:val="es-AR" w:eastAsia="en-US"/>
        </w:rPr>
        <w:t xml:space="preserve"> Plan.</w:t>
      </w:r>
    </w:p>
    <w:p w:rsidR="00317723" w:rsidRPr="00155147" w:rsidRDefault="00317723" w:rsidP="00E30EC0">
      <w:pPr>
        <w:pStyle w:val="ListParagraph"/>
        <w:jc w:val="both"/>
        <w:rPr>
          <w:rFonts w:eastAsia="Arial Unicode MS"/>
          <w:lang w:val="es-AR" w:eastAsia="en-US"/>
        </w:rPr>
      </w:pPr>
    </w:p>
    <w:p w:rsidR="0002124A" w:rsidRPr="0002124A" w:rsidRDefault="0052646B" w:rsidP="00E30EC0">
      <w:pPr>
        <w:pStyle w:val="ListParagraph"/>
        <w:numPr>
          <w:ilvl w:val="0"/>
          <w:numId w:val="55"/>
        </w:numPr>
        <w:jc w:val="both"/>
        <w:rPr>
          <w:rFonts w:eastAsia="Arial Unicode MS"/>
          <w:lang w:val="es-AR" w:eastAsia="en-US"/>
        </w:rPr>
      </w:pPr>
      <w:r>
        <w:rPr>
          <w:sz w:val="20"/>
          <w:szCs w:val="20"/>
          <w:lang w:val="es-AR"/>
        </w:rPr>
        <w:t>El Estado solicita</w:t>
      </w:r>
      <w:r w:rsidR="005B74E4">
        <w:rPr>
          <w:sz w:val="20"/>
          <w:szCs w:val="20"/>
          <w:lang w:val="es-AR"/>
        </w:rPr>
        <w:t>, por su parte, que la CIDH</w:t>
      </w:r>
      <w:r w:rsidR="00D660BC">
        <w:rPr>
          <w:sz w:val="20"/>
          <w:szCs w:val="20"/>
          <w:lang w:val="es-AR"/>
        </w:rPr>
        <w:t xml:space="preserve"> declare inadmisible</w:t>
      </w:r>
      <w:r>
        <w:rPr>
          <w:sz w:val="20"/>
          <w:szCs w:val="20"/>
          <w:lang w:val="es-AR"/>
        </w:rPr>
        <w:t xml:space="preserve"> la petición</w:t>
      </w:r>
      <w:r w:rsidR="00D660BC">
        <w:rPr>
          <w:sz w:val="20"/>
          <w:szCs w:val="20"/>
          <w:lang w:val="es-AR"/>
        </w:rPr>
        <w:t xml:space="preserve"> por </w:t>
      </w:r>
      <w:r>
        <w:rPr>
          <w:sz w:val="20"/>
          <w:szCs w:val="20"/>
          <w:lang w:val="es-AR"/>
        </w:rPr>
        <w:t>falta de agotamiento de los recursos internos</w:t>
      </w:r>
      <w:r w:rsidR="00B4073D">
        <w:rPr>
          <w:sz w:val="20"/>
          <w:szCs w:val="20"/>
          <w:lang w:val="es-AR"/>
        </w:rPr>
        <w:t>; y porque los hechos no caracterizan una violación a la Convención</w:t>
      </w:r>
      <w:r w:rsidR="005B74E4">
        <w:rPr>
          <w:sz w:val="20"/>
          <w:szCs w:val="20"/>
          <w:lang w:val="es-AR"/>
        </w:rPr>
        <w:t xml:space="preserve"> Americana. Sobre este segundo punto, sostiene que </w:t>
      </w:r>
      <w:r w:rsidR="00D660BC">
        <w:rPr>
          <w:rFonts w:eastAsia="Arial Unicode MS"/>
          <w:sz w:val="20"/>
          <w:szCs w:val="20"/>
          <w:lang w:val="es-AR" w:eastAsia="en-US"/>
        </w:rPr>
        <w:t xml:space="preserve">no se puede hablar de detención arbitraria </w:t>
      </w:r>
      <w:r w:rsidR="0002124A">
        <w:rPr>
          <w:rFonts w:eastAsia="Arial Unicode MS"/>
          <w:sz w:val="20"/>
          <w:szCs w:val="20"/>
          <w:lang w:val="es-AR" w:eastAsia="en-US"/>
        </w:rPr>
        <w:t xml:space="preserve">por el solo hecho de haber sufrido una </w:t>
      </w:r>
      <w:r>
        <w:rPr>
          <w:rFonts w:eastAsia="Arial Unicode MS"/>
          <w:sz w:val="20"/>
          <w:szCs w:val="20"/>
          <w:lang w:val="es-AR" w:eastAsia="en-US"/>
        </w:rPr>
        <w:t>detención preventiva</w:t>
      </w:r>
      <w:r w:rsidR="005B74E4">
        <w:rPr>
          <w:rFonts w:eastAsia="Arial Unicode MS"/>
          <w:sz w:val="20"/>
          <w:szCs w:val="20"/>
          <w:lang w:val="es-AR" w:eastAsia="en-US"/>
        </w:rPr>
        <w:t>;</w:t>
      </w:r>
      <w:r w:rsidR="00AB75BF">
        <w:rPr>
          <w:rFonts w:eastAsia="Arial Unicode MS"/>
          <w:sz w:val="20"/>
          <w:szCs w:val="20"/>
          <w:lang w:val="es-AR" w:eastAsia="en-US"/>
        </w:rPr>
        <w:t xml:space="preserve"> y </w:t>
      </w:r>
      <w:r w:rsidR="005B74E4">
        <w:rPr>
          <w:rFonts w:eastAsia="Arial Unicode MS"/>
          <w:sz w:val="20"/>
          <w:szCs w:val="20"/>
          <w:lang w:val="es-AR" w:eastAsia="en-US"/>
        </w:rPr>
        <w:t xml:space="preserve">que </w:t>
      </w:r>
      <w:r w:rsidR="004A3A01">
        <w:rPr>
          <w:rFonts w:eastAsia="Arial Unicode MS"/>
          <w:sz w:val="20"/>
          <w:szCs w:val="20"/>
          <w:lang w:val="es-AR" w:eastAsia="en-US"/>
        </w:rPr>
        <w:t xml:space="preserve">en el presente </w:t>
      </w:r>
      <w:r w:rsidR="005B74E4">
        <w:rPr>
          <w:rFonts w:eastAsia="Arial Unicode MS"/>
          <w:sz w:val="20"/>
          <w:szCs w:val="20"/>
          <w:lang w:val="es-AR" w:eastAsia="en-US"/>
        </w:rPr>
        <w:t>asunto</w:t>
      </w:r>
      <w:r w:rsidR="004A3A01">
        <w:rPr>
          <w:rFonts w:eastAsia="Arial Unicode MS"/>
          <w:sz w:val="20"/>
          <w:szCs w:val="20"/>
          <w:lang w:val="es-AR" w:eastAsia="en-US"/>
        </w:rPr>
        <w:t xml:space="preserve"> </w:t>
      </w:r>
      <w:r w:rsidR="005B74E4">
        <w:rPr>
          <w:rFonts w:eastAsia="Arial Unicode MS"/>
          <w:sz w:val="20"/>
          <w:szCs w:val="20"/>
          <w:lang w:val="es-AR" w:eastAsia="en-US"/>
        </w:rPr>
        <w:t xml:space="preserve">las presuntas víctimas </w:t>
      </w:r>
      <w:r w:rsidR="004A3A01">
        <w:rPr>
          <w:rFonts w:eastAsia="Arial Unicode MS"/>
          <w:sz w:val="20"/>
          <w:szCs w:val="20"/>
          <w:lang w:val="es-AR" w:eastAsia="en-US"/>
        </w:rPr>
        <w:t>fueron absuelt</w:t>
      </w:r>
      <w:r w:rsidR="005B74E4">
        <w:rPr>
          <w:rFonts w:eastAsia="Arial Unicode MS"/>
          <w:sz w:val="20"/>
          <w:szCs w:val="20"/>
          <w:lang w:val="es-AR" w:eastAsia="en-US"/>
        </w:rPr>
        <w:t>a</w:t>
      </w:r>
      <w:r w:rsidR="004A3A01">
        <w:rPr>
          <w:rFonts w:eastAsia="Arial Unicode MS"/>
          <w:sz w:val="20"/>
          <w:szCs w:val="20"/>
          <w:lang w:val="es-AR" w:eastAsia="en-US"/>
        </w:rPr>
        <w:t>s bajo el principio de presunción de inocencia</w:t>
      </w:r>
      <w:r w:rsidR="0002124A">
        <w:rPr>
          <w:rFonts w:eastAsia="Arial Unicode MS"/>
          <w:sz w:val="20"/>
          <w:szCs w:val="20"/>
          <w:lang w:val="es-AR" w:eastAsia="en-US"/>
        </w:rPr>
        <w:t xml:space="preserve">. </w:t>
      </w:r>
      <w:r w:rsidR="00A458C9">
        <w:rPr>
          <w:rFonts w:eastAsia="Arial Unicode MS"/>
          <w:sz w:val="20"/>
          <w:szCs w:val="20"/>
          <w:lang w:val="es-AR" w:eastAsia="en-US"/>
        </w:rPr>
        <w:t>Alega asimismo que</w:t>
      </w:r>
      <w:r w:rsidR="008F5F77">
        <w:rPr>
          <w:rFonts w:eastAsia="Arial Unicode MS"/>
          <w:sz w:val="20"/>
          <w:szCs w:val="20"/>
          <w:lang w:val="es-AR" w:eastAsia="en-US"/>
        </w:rPr>
        <w:t xml:space="preserve"> no es efectivo q</w:t>
      </w:r>
      <w:r w:rsidR="008F3796">
        <w:rPr>
          <w:rFonts w:eastAsia="Arial Unicode MS"/>
          <w:sz w:val="20"/>
          <w:szCs w:val="20"/>
          <w:lang w:val="es-AR" w:eastAsia="en-US"/>
        </w:rPr>
        <w:t>ue las presuntas víctimas no h</w:t>
      </w:r>
      <w:r w:rsidR="00A458C9">
        <w:rPr>
          <w:rFonts w:eastAsia="Arial Unicode MS"/>
          <w:sz w:val="20"/>
          <w:szCs w:val="20"/>
          <w:lang w:val="es-AR" w:eastAsia="en-US"/>
        </w:rPr>
        <w:t xml:space="preserve">ubieran </w:t>
      </w:r>
      <w:r w:rsidR="008F5F77">
        <w:rPr>
          <w:rFonts w:eastAsia="Arial Unicode MS"/>
          <w:sz w:val="20"/>
          <w:szCs w:val="20"/>
          <w:lang w:val="es-AR" w:eastAsia="en-US"/>
        </w:rPr>
        <w:t>recibido reparación alguna, pues</w:t>
      </w:r>
      <w:r w:rsidR="00A458C9">
        <w:rPr>
          <w:rFonts w:eastAsia="Arial Unicode MS"/>
          <w:sz w:val="20"/>
          <w:szCs w:val="20"/>
          <w:lang w:val="es-AR" w:eastAsia="en-US"/>
        </w:rPr>
        <w:t xml:space="preserve"> una parte importante --</w:t>
      </w:r>
      <w:r w:rsidR="008F5F77">
        <w:rPr>
          <w:rFonts w:eastAsia="Arial Unicode MS"/>
          <w:sz w:val="20"/>
          <w:szCs w:val="20"/>
          <w:lang w:val="es-AR" w:eastAsia="en-US"/>
        </w:rPr>
        <w:t>69 de ellas</w:t>
      </w:r>
      <w:r w:rsidR="00A458C9">
        <w:rPr>
          <w:rFonts w:eastAsia="Arial Unicode MS"/>
          <w:sz w:val="20"/>
          <w:szCs w:val="20"/>
          <w:lang w:val="es-AR" w:eastAsia="en-US"/>
        </w:rPr>
        <w:t>--</w:t>
      </w:r>
      <w:r w:rsidR="008F5F77">
        <w:rPr>
          <w:rFonts w:eastAsia="Arial Unicode MS"/>
          <w:sz w:val="20"/>
          <w:szCs w:val="20"/>
          <w:lang w:val="es-AR" w:eastAsia="en-US"/>
        </w:rPr>
        <w:t xml:space="preserve"> tiene</w:t>
      </w:r>
      <w:r w:rsidR="00904D69">
        <w:rPr>
          <w:rFonts w:eastAsia="Arial Unicode MS"/>
          <w:sz w:val="20"/>
          <w:szCs w:val="20"/>
          <w:lang w:val="es-AR" w:eastAsia="en-US"/>
        </w:rPr>
        <w:t>n</w:t>
      </w:r>
      <w:r w:rsidR="008F5F77">
        <w:rPr>
          <w:rFonts w:eastAsia="Arial Unicode MS"/>
          <w:sz w:val="20"/>
          <w:szCs w:val="20"/>
          <w:lang w:val="es-AR" w:eastAsia="en-US"/>
        </w:rPr>
        <w:t xml:space="preserve"> una inscripción vigente</w:t>
      </w:r>
      <w:r w:rsidR="0002124A">
        <w:rPr>
          <w:rFonts w:eastAsia="Arial Unicode MS"/>
          <w:sz w:val="20"/>
          <w:szCs w:val="20"/>
          <w:lang w:val="es-AR" w:eastAsia="en-US"/>
        </w:rPr>
        <w:t xml:space="preserve"> en el Registro Único de Víctimas</w:t>
      </w:r>
      <w:r w:rsidR="00F55786">
        <w:rPr>
          <w:rFonts w:eastAsia="Arial Unicode MS"/>
          <w:sz w:val="20"/>
          <w:szCs w:val="20"/>
          <w:lang w:val="es-AR" w:eastAsia="en-US"/>
        </w:rPr>
        <w:t xml:space="preserve"> (RUV) creado por la Ley No 29.592</w:t>
      </w:r>
      <w:r w:rsidR="0002124A">
        <w:rPr>
          <w:rFonts w:eastAsia="Arial Unicode MS"/>
          <w:sz w:val="20"/>
          <w:szCs w:val="20"/>
          <w:lang w:val="es-AR" w:eastAsia="en-US"/>
        </w:rPr>
        <w:t>, lo que les convierte en beneficiarios de alguna modalidad de reparación; est</w:t>
      </w:r>
      <w:r w:rsidR="00A458C9">
        <w:rPr>
          <w:rFonts w:eastAsia="Arial Unicode MS"/>
          <w:sz w:val="20"/>
          <w:szCs w:val="20"/>
          <w:lang w:val="es-AR" w:eastAsia="en-US"/>
        </w:rPr>
        <w:t>e</w:t>
      </w:r>
      <w:r w:rsidR="0002124A">
        <w:rPr>
          <w:rFonts w:eastAsia="Arial Unicode MS"/>
          <w:sz w:val="20"/>
          <w:szCs w:val="20"/>
          <w:lang w:val="es-AR" w:eastAsia="en-US"/>
        </w:rPr>
        <w:t xml:space="preserve"> s</w:t>
      </w:r>
      <w:r w:rsidR="00A458C9">
        <w:rPr>
          <w:rFonts w:eastAsia="Arial Unicode MS"/>
          <w:sz w:val="20"/>
          <w:szCs w:val="20"/>
          <w:lang w:val="es-AR" w:eastAsia="en-US"/>
        </w:rPr>
        <w:t>e</w:t>
      </w:r>
      <w:r w:rsidR="0002124A">
        <w:rPr>
          <w:rFonts w:eastAsia="Arial Unicode MS"/>
          <w:sz w:val="20"/>
          <w:szCs w:val="20"/>
          <w:lang w:val="es-AR" w:eastAsia="en-US"/>
        </w:rPr>
        <w:t xml:space="preserve">ría </w:t>
      </w:r>
      <w:r w:rsidR="00A458C9">
        <w:rPr>
          <w:rFonts w:eastAsia="Arial Unicode MS"/>
          <w:sz w:val="20"/>
          <w:szCs w:val="20"/>
          <w:lang w:val="es-AR" w:eastAsia="en-US"/>
        </w:rPr>
        <w:t xml:space="preserve">el motivo de </w:t>
      </w:r>
      <w:r w:rsidR="0002124A">
        <w:rPr>
          <w:rFonts w:eastAsia="Arial Unicode MS"/>
          <w:sz w:val="20"/>
          <w:szCs w:val="20"/>
          <w:lang w:val="es-AR" w:eastAsia="en-US"/>
        </w:rPr>
        <w:t>su exclusión del programa de reparacion</w:t>
      </w:r>
      <w:r w:rsidR="0017328B">
        <w:rPr>
          <w:rFonts w:eastAsia="Arial Unicode MS"/>
          <w:sz w:val="20"/>
          <w:szCs w:val="20"/>
          <w:lang w:val="es-AR" w:eastAsia="en-US"/>
        </w:rPr>
        <w:t>es económicas</w:t>
      </w:r>
      <w:r w:rsidR="00A458C9">
        <w:rPr>
          <w:rFonts w:eastAsia="Arial Unicode MS"/>
          <w:sz w:val="20"/>
          <w:szCs w:val="20"/>
          <w:lang w:val="es-AR" w:eastAsia="en-US"/>
        </w:rPr>
        <w:t xml:space="preserve"> </w:t>
      </w:r>
      <w:r w:rsidR="0017328B">
        <w:rPr>
          <w:rFonts w:eastAsia="Arial Unicode MS"/>
          <w:sz w:val="20"/>
          <w:szCs w:val="20"/>
          <w:lang w:val="es-AR" w:eastAsia="en-US"/>
        </w:rPr>
        <w:t>del PIR</w:t>
      </w:r>
      <w:r w:rsidR="0002124A">
        <w:rPr>
          <w:rFonts w:eastAsia="Arial Unicode MS"/>
          <w:sz w:val="20"/>
          <w:szCs w:val="20"/>
          <w:lang w:val="es-AR" w:eastAsia="en-US"/>
        </w:rPr>
        <w:t xml:space="preserve">. </w:t>
      </w:r>
      <w:r w:rsidR="00A458C9">
        <w:rPr>
          <w:rFonts w:eastAsia="Arial Unicode MS"/>
          <w:sz w:val="20"/>
          <w:szCs w:val="20"/>
          <w:lang w:val="es-AR" w:eastAsia="en-US"/>
        </w:rPr>
        <w:t>Finalmente, el Estado afirma</w:t>
      </w:r>
      <w:r w:rsidR="0002124A">
        <w:rPr>
          <w:rFonts w:eastAsia="Arial Unicode MS"/>
          <w:sz w:val="20"/>
          <w:szCs w:val="20"/>
          <w:lang w:val="es-AR" w:eastAsia="en-US"/>
        </w:rPr>
        <w:t xml:space="preserve"> que </w:t>
      </w:r>
      <w:r w:rsidR="00A458C9">
        <w:rPr>
          <w:rFonts w:eastAsia="Arial Unicode MS"/>
          <w:sz w:val="20"/>
          <w:szCs w:val="20"/>
          <w:lang w:val="es-AR" w:eastAsia="en-US"/>
        </w:rPr>
        <w:t xml:space="preserve">la Comisión Multisectorial de Alto Nivel (CMAN) </w:t>
      </w:r>
      <w:r w:rsidR="0002124A">
        <w:rPr>
          <w:rFonts w:eastAsia="Arial Unicode MS"/>
          <w:sz w:val="20"/>
          <w:szCs w:val="20"/>
          <w:lang w:val="es-AR" w:eastAsia="en-US"/>
        </w:rPr>
        <w:t xml:space="preserve">se encuentra </w:t>
      </w:r>
      <w:r w:rsidR="00A458C9">
        <w:rPr>
          <w:rFonts w:eastAsia="Arial Unicode MS"/>
          <w:sz w:val="20"/>
          <w:szCs w:val="20"/>
          <w:lang w:val="es-AR" w:eastAsia="en-US"/>
        </w:rPr>
        <w:t xml:space="preserve">trabajando en la </w:t>
      </w:r>
      <w:r w:rsidR="0002124A">
        <w:rPr>
          <w:rFonts w:eastAsia="Arial Unicode MS"/>
          <w:sz w:val="20"/>
          <w:szCs w:val="20"/>
          <w:lang w:val="es-AR" w:eastAsia="en-US"/>
        </w:rPr>
        <w:t xml:space="preserve">suscripción de las correspondientes minutas y escrituras públicas de transferencia de dominio, así como </w:t>
      </w:r>
      <w:r w:rsidR="00A458C9">
        <w:rPr>
          <w:rFonts w:eastAsia="Arial Unicode MS"/>
          <w:sz w:val="20"/>
          <w:szCs w:val="20"/>
          <w:lang w:val="es-AR" w:eastAsia="en-US"/>
        </w:rPr>
        <w:t>de</w:t>
      </w:r>
      <w:r w:rsidR="0002124A">
        <w:rPr>
          <w:rFonts w:eastAsia="Arial Unicode MS"/>
          <w:sz w:val="20"/>
          <w:szCs w:val="20"/>
          <w:lang w:val="es-AR" w:eastAsia="en-US"/>
        </w:rPr>
        <w:t xml:space="preserve"> los documentos administrativos relativos al perfeccionamiento de la transferencia de los lotes del terreno ubicado en la localidad de </w:t>
      </w:r>
      <w:proofErr w:type="spellStart"/>
      <w:r w:rsidR="0002124A">
        <w:rPr>
          <w:rFonts w:eastAsia="Arial Unicode MS"/>
          <w:sz w:val="20"/>
          <w:szCs w:val="20"/>
          <w:lang w:val="es-AR" w:eastAsia="en-US"/>
        </w:rPr>
        <w:t>Huachipa</w:t>
      </w:r>
      <w:proofErr w:type="spellEnd"/>
      <w:r w:rsidR="0002124A">
        <w:rPr>
          <w:rFonts w:eastAsia="Arial Unicode MS"/>
          <w:sz w:val="20"/>
          <w:szCs w:val="20"/>
          <w:lang w:val="es-AR" w:eastAsia="en-US"/>
        </w:rPr>
        <w:t>, Lima</w:t>
      </w:r>
      <w:r w:rsidR="00D12C1B">
        <w:rPr>
          <w:rFonts w:eastAsia="Arial Unicode MS"/>
          <w:sz w:val="20"/>
          <w:szCs w:val="20"/>
          <w:lang w:val="es-AR" w:eastAsia="en-US"/>
        </w:rPr>
        <w:t>, en favor de algunas de las presuntas víctimas</w:t>
      </w:r>
      <w:r w:rsidR="0002124A">
        <w:rPr>
          <w:rFonts w:eastAsia="Arial Unicode MS"/>
          <w:sz w:val="20"/>
          <w:szCs w:val="20"/>
          <w:lang w:val="es-AR" w:eastAsia="en-US"/>
        </w:rPr>
        <w:t>.</w:t>
      </w:r>
    </w:p>
    <w:p w:rsidR="0002124A" w:rsidRDefault="0002124A" w:rsidP="00E30EC0">
      <w:pPr>
        <w:rPr>
          <w:rFonts w:eastAsia="Arial Unicode MS"/>
          <w:sz w:val="20"/>
          <w:szCs w:val="20"/>
          <w:lang w:val="es-AR" w:eastAsia="en-US"/>
        </w:rPr>
      </w:pPr>
    </w:p>
    <w:p w:rsidR="00AB1F21" w:rsidRDefault="00AB1F21" w:rsidP="00E30EC0">
      <w:pPr>
        <w:rPr>
          <w:rFonts w:eastAsia="Arial Unicode MS"/>
          <w:sz w:val="20"/>
          <w:szCs w:val="20"/>
          <w:lang w:val="es-AR" w:eastAsia="en-US"/>
        </w:rPr>
      </w:pPr>
    </w:p>
    <w:p w:rsidR="00AB1F21" w:rsidRDefault="00AB1F21" w:rsidP="00E30EC0">
      <w:pPr>
        <w:rPr>
          <w:rFonts w:eastAsia="Arial Unicode MS"/>
          <w:sz w:val="20"/>
          <w:szCs w:val="20"/>
          <w:lang w:val="es-AR" w:eastAsia="en-US"/>
        </w:rPr>
      </w:pPr>
    </w:p>
    <w:p w:rsidR="00AB1F21" w:rsidRPr="00A458C9" w:rsidRDefault="00AB1F21" w:rsidP="00E30EC0">
      <w:pPr>
        <w:rPr>
          <w:rFonts w:eastAsia="Arial Unicode MS"/>
          <w:sz w:val="20"/>
          <w:szCs w:val="20"/>
          <w:lang w:val="es-AR" w:eastAsia="en-US"/>
        </w:rPr>
      </w:pPr>
    </w:p>
    <w:p w:rsidR="008B67EE" w:rsidRPr="00006B74" w:rsidRDefault="008B67EE" w:rsidP="00E30EC0">
      <w:pPr>
        <w:pStyle w:val="ListParagraph"/>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rsidR="00AB1F21" w:rsidRDefault="00AB1F21" w:rsidP="00AB1F2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S"/>
        </w:rPr>
      </w:pPr>
    </w:p>
    <w:p w:rsidR="00D921AF" w:rsidRPr="00AB75BF" w:rsidRDefault="00E07E9C" w:rsidP="00E30E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US"/>
        </w:rPr>
      </w:pPr>
      <w:r>
        <w:rPr>
          <w:rFonts w:asciiTheme="majorHAnsi" w:hAnsiTheme="majorHAnsi"/>
          <w:sz w:val="20"/>
          <w:szCs w:val="20"/>
          <w:lang w:val="es-US"/>
        </w:rPr>
        <w:t xml:space="preserve">La Comisión Interamericana observa </w:t>
      </w:r>
      <w:r w:rsidR="00D921AF" w:rsidRPr="00AB75BF">
        <w:rPr>
          <w:rFonts w:asciiTheme="majorHAnsi" w:hAnsiTheme="majorHAnsi"/>
          <w:sz w:val="20"/>
          <w:szCs w:val="20"/>
          <w:lang w:val="es-US"/>
        </w:rPr>
        <w:t xml:space="preserve">que el Estado sólo ha </w:t>
      </w:r>
      <w:r>
        <w:rPr>
          <w:rFonts w:asciiTheme="majorHAnsi" w:hAnsiTheme="majorHAnsi"/>
          <w:sz w:val="20"/>
          <w:szCs w:val="20"/>
          <w:lang w:val="es-US"/>
        </w:rPr>
        <w:t xml:space="preserve">objetado </w:t>
      </w:r>
      <w:r w:rsidR="00D921AF" w:rsidRPr="00AB75BF">
        <w:rPr>
          <w:rFonts w:asciiTheme="majorHAnsi" w:hAnsiTheme="majorHAnsi"/>
          <w:sz w:val="20"/>
          <w:szCs w:val="20"/>
          <w:lang w:val="es-US"/>
        </w:rPr>
        <w:t>la falta de agotamiento de los recursos internos y el cumplimiento del plazo de presentación de la petición en relación al reclamo de la indemnización derivada de la detención arbitraria y error judicial</w:t>
      </w:r>
      <w:r>
        <w:rPr>
          <w:rFonts w:asciiTheme="majorHAnsi" w:hAnsiTheme="majorHAnsi"/>
          <w:sz w:val="20"/>
          <w:szCs w:val="20"/>
          <w:lang w:val="es-US"/>
        </w:rPr>
        <w:t>.</w:t>
      </w:r>
      <w:r w:rsidR="00D921AF" w:rsidRPr="00AB75BF">
        <w:rPr>
          <w:rFonts w:asciiTheme="majorHAnsi" w:hAnsiTheme="majorHAnsi"/>
          <w:sz w:val="20"/>
          <w:szCs w:val="20"/>
          <w:lang w:val="es-US"/>
        </w:rPr>
        <w:t xml:space="preserve"> </w:t>
      </w:r>
      <w:r>
        <w:rPr>
          <w:rFonts w:asciiTheme="majorHAnsi" w:hAnsiTheme="majorHAnsi"/>
          <w:sz w:val="20"/>
          <w:szCs w:val="20"/>
          <w:lang w:val="es-US"/>
        </w:rPr>
        <w:t xml:space="preserve">No ha opuesto tal </w:t>
      </w:r>
      <w:r w:rsidR="00DB2701">
        <w:rPr>
          <w:rFonts w:asciiTheme="majorHAnsi" w:hAnsiTheme="majorHAnsi"/>
          <w:sz w:val="20"/>
          <w:szCs w:val="20"/>
          <w:lang w:val="es-US"/>
        </w:rPr>
        <w:t xml:space="preserve">objeción </w:t>
      </w:r>
      <w:r>
        <w:rPr>
          <w:rFonts w:asciiTheme="majorHAnsi" w:hAnsiTheme="majorHAnsi"/>
          <w:sz w:val="20"/>
          <w:szCs w:val="20"/>
          <w:lang w:val="es-US"/>
        </w:rPr>
        <w:t xml:space="preserve">respecto a </w:t>
      </w:r>
      <w:r w:rsidR="00D921AF" w:rsidRPr="00AB75BF">
        <w:rPr>
          <w:rFonts w:asciiTheme="majorHAnsi" w:hAnsiTheme="majorHAnsi"/>
          <w:sz w:val="20"/>
          <w:szCs w:val="20"/>
          <w:lang w:val="es-US"/>
        </w:rPr>
        <w:t>la</w:t>
      </w:r>
      <w:r>
        <w:rPr>
          <w:rFonts w:asciiTheme="majorHAnsi" w:hAnsiTheme="majorHAnsi"/>
          <w:sz w:val="20"/>
          <w:szCs w:val="20"/>
          <w:lang w:val="es-US"/>
        </w:rPr>
        <w:t>s</w:t>
      </w:r>
      <w:r w:rsidR="00D921AF" w:rsidRPr="00AB75BF">
        <w:rPr>
          <w:rFonts w:asciiTheme="majorHAnsi" w:hAnsiTheme="majorHAnsi"/>
          <w:sz w:val="20"/>
          <w:szCs w:val="20"/>
          <w:lang w:val="es-US"/>
        </w:rPr>
        <w:t xml:space="preserve"> </w:t>
      </w:r>
      <w:r>
        <w:rPr>
          <w:rFonts w:asciiTheme="majorHAnsi" w:hAnsiTheme="majorHAnsi"/>
          <w:sz w:val="20"/>
          <w:szCs w:val="20"/>
          <w:lang w:val="es-US"/>
        </w:rPr>
        <w:t xml:space="preserve">supuestas </w:t>
      </w:r>
      <w:r w:rsidR="00D921AF" w:rsidRPr="00AB75BF">
        <w:rPr>
          <w:rFonts w:asciiTheme="majorHAnsi" w:hAnsiTheme="majorHAnsi"/>
          <w:sz w:val="20"/>
          <w:szCs w:val="20"/>
          <w:lang w:val="es-US"/>
        </w:rPr>
        <w:t>violaci</w:t>
      </w:r>
      <w:r>
        <w:rPr>
          <w:rFonts w:asciiTheme="majorHAnsi" w:hAnsiTheme="majorHAnsi"/>
          <w:sz w:val="20"/>
          <w:szCs w:val="20"/>
          <w:lang w:val="es-US"/>
        </w:rPr>
        <w:t>ones</w:t>
      </w:r>
      <w:r w:rsidR="00D921AF" w:rsidRPr="00AB75BF">
        <w:rPr>
          <w:rFonts w:asciiTheme="majorHAnsi" w:hAnsiTheme="majorHAnsi"/>
          <w:sz w:val="20"/>
          <w:szCs w:val="20"/>
          <w:lang w:val="es-US"/>
        </w:rPr>
        <w:t xml:space="preserve"> </w:t>
      </w:r>
      <w:r>
        <w:rPr>
          <w:rFonts w:asciiTheme="majorHAnsi" w:hAnsiTheme="majorHAnsi"/>
          <w:sz w:val="20"/>
          <w:szCs w:val="20"/>
          <w:lang w:val="es-US"/>
        </w:rPr>
        <w:t xml:space="preserve">de </w:t>
      </w:r>
      <w:r w:rsidRPr="00AB75BF">
        <w:rPr>
          <w:rFonts w:asciiTheme="majorHAnsi" w:hAnsiTheme="majorHAnsi"/>
          <w:sz w:val="20"/>
          <w:szCs w:val="20"/>
          <w:lang w:val="es-US"/>
        </w:rPr>
        <w:t xml:space="preserve">la libertad e integridad personal </w:t>
      </w:r>
      <w:r>
        <w:rPr>
          <w:rFonts w:asciiTheme="majorHAnsi" w:hAnsiTheme="majorHAnsi"/>
          <w:sz w:val="20"/>
          <w:szCs w:val="20"/>
          <w:lang w:val="es-US"/>
        </w:rPr>
        <w:t>de</w:t>
      </w:r>
      <w:r w:rsidR="00D921AF" w:rsidRPr="00AB75BF">
        <w:rPr>
          <w:rFonts w:asciiTheme="majorHAnsi" w:hAnsiTheme="majorHAnsi"/>
          <w:sz w:val="20"/>
          <w:szCs w:val="20"/>
          <w:lang w:val="es-US"/>
        </w:rPr>
        <w:t xml:space="preserve"> las presuntas víctimas.</w:t>
      </w:r>
    </w:p>
    <w:p w:rsidR="00AB1F21" w:rsidRPr="00AB1F21" w:rsidRDefault="00AB1F21" w:rsidP="00AB1F21">
      <w:pPr>
        <w:suppressAutoHyphens/>
        <w:ind w:left="720"/>
        <w:jc w:val="both"/>
        <w:rPr>
          <w:rFonts w:asciiTheme="majorHAnsi" w:hAnsiTheme="majorHAnsi"/>
          <w:sz w:val="20"/>
          <w:szCs w:val="20"/>
          <w:lang w:val="es-ES"/>
        </w:rPr>
      </w:pPr>
    </w:p>
    <w:p w:rsidR="00D921AF" w:rsidRPr="00DB2701" w:rsidRDefault="00C84899" w:rsidP="00DB2701">
      <w:pPr>
        <w:numPr>
          <w:ilvl w:val="0"/>
          <w:numId w:val="55"/>
        </w:numPr>
        <w:suppressAutoHyphens/>
        <w:jc w:val="both"/>
        <w:rPr>
          <w:rFonts w:asciiTheme="majorHAnsi" w:hAnsiTheme="majorHAnsi"/>
          <w:sz w:val="20"/>
          <w:szCs w:val="20"/>
          <w:lang w:val="es-ES"/>
        </w:rPr>
      </w:pPr>
      <w:r w:rsidRPr="00DB2701">
        <w:rPr>
          <w:rFonts w:asciiTheme="majorHAnsi" w:hAnsiTheme="majorHAnsi"/>
          <w:sz w:val="20"/>
          <w:szCs w:val="20"/>
          <w:lang w:val="es-US"/>
        </w:rPr>
        <w:t xml:space="preserve">La propia </w:t>
      </w:r>
      <w:r w:rsidR="00521654" w:rsidRPr="00DB2701">
        <w:rPr>
          <w:rFonts w:asciiTheme="majorHAnsi" w:hAnsiTheme="majorHAnsi"/>
          <w:sz w:val="20"/>
          <w:szCs w:val="20"/>
          <w:lang w:val="es-AR"/>
        </w:rPr>
        <w:t xml:space="preserve">peticionaria reconoce que no todas las presuntas víctimas acudieron a la vía legal interna; </w:t>
      </w:r>
      <w:r w:rsidR="00DB2701" w:rsidRPr="00DB2701">
        <w:rPr>
          <w:rFonts w:asciiTheme="majorHAnsi" w:hAnsiTheme="majorHAnsi"/>
          <w:sz w:val="20"/>
          <w:szCs w:val="20"/>
          <w:lang w:val="es-AR"/>
        </w:rPr>
        <w:t xml:space="preserve">respecto a </w:t>
      </w:r>
      <w:r w:rsidR="00521654" w:rsidRPr="00DB2701">
        <w:rPr>
          <w:rFonts w:asciiTheme="majorHAnsi" w:hAnsiTheme="majorHAnsi"/>
          <w:sz w:val="20"/>
          <w:szCs w:val="20"/>
          <w:lang w:val="es-AR"/>
        </w:rPr>
        <w:t xml:space="preserve">aquellas que </w:t>
      </w:r>
      <w:r w:rsidR="00DB2701" w:rsidRPr="00DB2701">
        <w:rPr>
          <w:rFonts w:asciiTheme="majorHAnsi" w:hAnsiTheme="majorHAnsi"/>
          <w:sz w:val="20"/>
          <w:szCs w:val="20"/>
          <w:lang w:val="es-AR"/>
        </w:rPr>
        <w:t xml:space="preserve">sí </w:t>
      </w:r>
      <w:r w:rsidR="00521654" w:rsidRPr="00DB2701">
        <w:rPr>
          <w:rFonts w:asciiTheme="majorHAnsi" w:hAnsiTheme="majorHAnsi"/>
          <w:sz w:val="20"/>
          <w:szCs w:val="20"/>
          <w:lang w:val="es-AR"/>
        </w:rPr>
        <w:t>lo hicieron, el Estado</w:t>
      </w:r>
      <w:r w:rsidR="00DB2701" w:rsidRPr="00DB2701">
        <w:rPr>
          <w:rFonts w:asciiTheme="majorHAnsi" w:hAnsiTheme="majorHAnsi"/>
          <w:sz w:val="20"/>
          <w:szCs w:val="20"/>
          <w:lang w:val="es-AR"/>
        </w:rPr>
        <w:t xml:space="preserve"> alega </w:t>
      </w:r>
      <w:r w:rsidR="00521654" w:rsidRPr="00DB2701">
        <w:rPr>
          <w:rFonts w:asciiTheme="majorHAnsi" w:hAnsiTheme="majorHAnsi"/>
          <w:sz w:val="20"/>
          <w:szCs w:val="20"/>
          <w:lang w:val="es-AR"/>
        </w:rPr>
        <w:t xml:space="preserve">que no </w:t>
      </w:r>
      <w:r w:rsidR="00DB2701" w:rsidRPr="00DB2701">
        <w:rPr>
          <w:rFonts w:asciiTheme="majorHAnsi" w:hAnsiTheme="majorHAnsi"/>
          <w:sz w:val="20"/>
          <w:szCs w:val="20"/>
          <w:lang w:val="es-AR"/>
        </w:rPr>
        <w:t xml:space="preserve">hubo agotamiento, </w:t>
      </w:r>
      <w:r w:rsidR="00521654" w:rsidRPr="00DB2701">
        <w:rPr>
          <w:rFonts w:asciiTheme="majorHAnsi" w:hAnsiTheme="majorHAnsi"/>
          <w:sz w:val="20"/>
          <w:szCs w:val="20"/>
          <w:lang w:val="es-AR"/>
        </w:rPr>
        <w:t xml:space="preserve">ya que </w:t>
      </w:r>
      <w:r w:rsidR="00DB2701" w:rsidRPr="00DB2701">
        <w:rPr>
          <w:rFonts w:asciiTheme="majorHAnsi" w:hAnsiTheme="majorHAnsi"/>
          <w:sz w:val="20"/>
          <w:szCs w:val="20"/>
          <w:lang w:val="es-AR"/>
        </w:rPr>
        <w:t xml:space="preserve">los respectivos </w:t>
      </w:r>
      <w:r w:rsidR="00521654" w:rsidRPr="00DB2701">
        <w:rPr>
          <w:rFonts w:asciiTheme="majorHAnsi" w:hAnsiTheme="majorHAnsi"/>
          <w:sz w:val="20"/>
          <w:szCs w:val="20"/>
          <w:lang w:val="es-AR"/>
        </w:rPr>
        <w:t xml:space="preserve">escritos </w:t>
      </w:r>
      <w:r w:rsidR="00DB2701" w:rsidRPr="00DB2701">
        <w:rPr>
          <w:rFonts w:asciiTheme="majorHAnsi" w:hAnsiTheme="majorHAnsi"/>
          <w:sz w:val="20"/>
          <w:szCs w:val="20"/>
          <w:lang w:val="es-AR"/>
        </w:rPr>
        <w:t xml:space="preserve">no habrían cumplido con </w:t>
      </w:r>
      <w:r w:rsidR="00521654" w:rsidRPr="00DB2701">
        <w:rPr>
          <w:rFonts w:asciiTheme="majorHAnsi" w:hAnsiTheme="majorHAnsi"/>
          <w:sz w:val="20"/>
          <w:szCs w:val="20"/>
          <w:lang w:val="es-AR"/>
        </w:rPr>
        <w:t xml:space="preserve">los requisitos formales </w:t>
      </w:r>
      <w:r w:rsidR="00DB2701" w:rsidRPr="00DB2701">
        <w:rPr>
          <w:rFonts w:asciiTheme="majorHAnsi" w:hAnsiTheme="majorHAnsi"/>
          <w:sz w:val="20"/>
          <w:szCs w:val="20"/>
          <w:lang w:val="es-AR"/>
        </w:rPr>
        <w:t>y sustantivos</w:t>
      </w:r>
      <w:r w:rsidR="00521654" w:rsidRPr="00DB2701">
        <w:rPr>
          <w:rFonts w:asciiTheme="majorHAnsi" w:hAnsiTheme="majorHAnsi"/>
          <w:sz w:val="20"/>
          <w:szCs w:val="20"/>
          <w:lang w:val="es-AR"/>
        </w:rPr>
        <w:t xml:space="preserve">. </w:t>
      </w:r>
      <w:r w:rsidR="00DB2701" w:rsidRPr="00DB2701">
        <w:rPr>
          <w:rFonts w:asciiTheme="majorHAnsi" w:hAnsiTheme="majorHAnsi"/>
          <w:sz w:val="20"/>
          <w:szCs w:val="20"/>
          <w:lang w:val="es-ES"/>
        </w:rPr>
        <w:t>Sin embargo, l</w:t>
      </w:r>
      <w:r w:rsidR="00485FDA" w:rsidRPr="00DB2701">
        <w:rPr>
          <w:rFonts w:asciiTheme="majorHAnsi" w:hAnsiTheme="majorHAnsi"/>
          <w:sz w:val="20"/>
          <w:szCs w:val="20"/>
          <w:lang w:val="es-ES"/>
        </w:rPr>
        <w:t xml:space="preserve">a parte peticionaria </w:t>
      </w:r>
      <w:r w:rsidRPr="00DB2701">
        <w:rPr>
          <w:rFonts w:asciiTheme="majorHAnsi" w:hAnsiTheme="majorHAnsi"/>
          <w:sz w:val="20"/>
          <w:szCs w:val="20"/>
          <w:lang w:val="es-ES"/>
        </w:rPr>
        <w:t>alega</w:t>
      </w:r>
      <w:r w:rsidR="00485FDA" w:rsidRPr="00DB2701">
        <w:rPr>
          <w:rFonts w:asciiTheme="majorHAnsi" w:hAnsiTheme="majorHAnsi"/>
          <w:sz w:val="20"/>
          <w:szCs w:val="20"/>
          <w:lang w:val="es-ES"/>
        </w:rPr>
        <w:t xml:space="preserve"> que </w:t>
      </w:r>
      <w:r w:rsidRPr="00DB2701">
        <w:rPr>
          <w:rFonts w:asciiTheme="majorHAnsi" w:hAnsiTheme="majorHAnsi"/>
          <w:sz w:val="20"/>
          <w:szCs w:val="20"/>
          <w:lang w:val="es-ES"/>
        </w:rPr>
        <w:t xml:space="preserve">resulta aplicable </w:t>
      </w:r>
      <w:r w:rsidR="00485FDA" w:rsidRPr="00DB2701">
        <w:rPr>
          <w:rFonts w:asciiTheme="majorHAnsi" w:hAnsiTheme="majorHAnsi"/>
          <w:sz w:val="20"/>
          <w:szCs w:val="20"/>
          <w:lang w:val="es-ES"/>
        </w:rPr>
        <w:t xml:space="preserve">la excepción </w:t>
      </w:r>
      <w:r w:rsidRPr="00DB2701">
        <w:rPr>
          <w:rFonts w:asciiTheme="majorHAnsi" w:hAnsiTheme="majorHAnsi"/>
          <w:sz w:val="20"/>
          <w:szCs w:val="20"/>
          <w:lang w:val="es-ES"/>
        </w:rPr>
        <w:t>a</w:t>
      </w:r>
      <w:r w:rsidR="00485FDA" w:rsidRPr="00DB2701">
        <w:rPr>
          <w:rFonts w:asciiTheme="majorHAnsi" w:hAnsiTheme="majorHAnsi"/>
          <w:sz w:val="20"/>
          <w:szCs w:val="20"/>
          <w:lang w:val="es-ES"/>
        </w:rPr>
        <w:t xml:space="preserve">l requisito del agotamiento </w:t>
      </w:r>
      <w:r w:rsidR="007E3D9D" w:rsidRPr="00DB2701">
        <w:rPr>
          <w:rFonts w:asciiTheme="majorHAnsi" w:hAnsiTheme="majorHAnsi"/>
          <w:sz w:val="20"/>
          <w:szCs w:val="20"/>
          <w:lang w:val="es-ES"/>
        </w:rPr>
        <w:t>contemplad</w:t>
      </w:r>
      <w:r w:rsidRPr="00DB2701">
        <w:rPr>
          <w:rFonts w:asciiTheme="majorHAnsi" w:hAnsiTheme="majorHAnsi"/>
          <w:sz w:val="20"/>
          <w:szCs w:val="20"/>
          <w:lang w:val="es-ES"/>
        </w:rPr>
        <w:t>a</w:t>
      </w:r>
      <w:r w:rsidR="007E3D9D" w:rsidRPr="00DB2701">
        <w:rPr>
          <w:rFonts w:asciiTheme="majorHAnsi" w:hAnsiTheme="majorHAnsi"/>
          <w:sz w:val="20"/>
          <w:szCs w:val="20"/>
          <w:lang w:val="es-ES"/>
        </w:rPr>
        <w:t xml:space="preserve"> en el</w:t>
      </w:r>
      <w:r w:rsidR="00485FDA" w:rsidRPr="00DB2701">
        <w:rPr>
          <w:rFonts w:asciiTheme="majorHAnsi" w:hAnsiTheme="majorHAnsi"/>
          <w:sz w:val="20"/>
          <w:szCs w:val="20"/>
          <w:lang w:val="es-ES"/>
        </w:rPr>
        <w:t xml:space="preserve"> artículo 46.2 de la Convención Americana</w:t>
      </w:r>
      <w:r w:rsidRPr="00DB2701">
        <w:rPr>
          <w:rFonts w:asciiTheme="majorHAnsi" w:hAnsiTheme="majorHAnsi"/>
          <w:sz w:val="20"/>
          <w:szCs w:val="20"/>
          <w:lang w:val="es-ES"/>
        </w:rPr>
        <w:t xml:space="preserve"> respecto a las presuntas víctimas que demandaron internamente, ya que no recibieron respuesta y ha transcurrido un retardo injustificado en la decisión sobre los respectivos recursos. Respecto a las presuntas víctimas</w:t>
      </w:r>
      <w:r w:rsidR="007E3D9D" w:rsidRPr="00DB2701">
        <w:rPr>
          <w:rFonts w:asciiTheme="majorHAnsi" w:hAnsiTheme="majorHAnsi"/>
          <w:sz w:val="20"/>
          <w:szCs w:val="20"/>
          <w:lang w:val="es-ES"/>
        </w:rPr>
        <w:t xml:space="preserve"> que no demandaron internamente</w:t>
      </w:r>
      <w:r w:rsidRPr="00DB2701">
        <w:rPr>
          <w:rFonts w:asciiTheme="majorHAnsi" w:hAnsiTheme="majorHAnsi"/>
          <w:sz w:val="20"/>
          <w:szCs w:val="20"/>
          <w:lang w:val="es-ES"/>
        </w:rPr>
        <w:t xml:space="preserve">, sostiene que su </w:t>
      </w:r>
      <w:r w:rsidR="00D921AF" w:rsidRPr="00DB2701">
        <w:rPr>
          <w:rFonts w:asciiTheme="majorHAnsi" w:hAnsiTheme="majorHAnsi"/>
          <w:sz w:val="20"/>
          <w:szCs w:val="20"/>
          <w:lang w:val="es-ES"/>
        </w:rPr>
        <w:t xml:space="preserve">situación de indigencia hizo </w:t>
      </w:r>
      <w:r w:rsidRPr="00DB2701">
        <w:rPr>
          <w:rFonts w:asciiTheme="majorHAnsi" w:hAnsiTheme="majorHAnsi"/>
          <w:sz w:val="20"/>
          <w:szCs w:val="20"/>
          <w:lang w:val="es-ES"/>
        </w:rPr>
        <w:t xml:space="preserve">que </w:t>
      </w:r>
      <w:r w:rsidR="00D921AF" w:rsidRPr="00DB2701">
        <w:rPr>
          <w:rFonts w:asciiTheme="majorHAnsi" w:hAnsiTheme="majorHAnsi"/>
          <w:sz w:val="20"/>
          <w:szCs w:val="20"/>
          <w:lang w:val="es-ES"/>
        </w:rPr>
        <w:t xml:space="preserve">los recursos internos </w:t>
      </w:r>
      <w:r w:rsidRPr="00DB2701">
        <w:rPr>
          <w:rFonts w:asciiTheme="majorHAnsi" w:hAnsiTheme="majorHAnsi"/>
          <w:sz w:val="20"/>
          <w:szCs w:val="20"/>
          <w:lang w:val="es-ES"/>
        </w:rPr>
        <w:t>no estuvieran a su alcance</w:t>
      </w:r>
      <w:r w:rsidR="00D921AF" w:rsidRPr="00DB2701">
        <w:rPr>
          <w:rFonts w:asciiTheme="majorHAnsi" w:hAnsiTheme="majorHAnsi"/>
          <w:sz w:val="20"/>
          <w:szCs w:val="20"/>
          <w:lang w:val="es-ES"/>
        </w:rPr>
        <w:t>.</w:t>
      </w:r>
      <w:r w:rsidR="00D921AF" w:rsidRPr="00DB2701">
        <w:rPr>
          <w:rFonts w:asciiTheme="majorHAnsi" w:hAnsiTheme="majorHAnsi"/>
          <w:sz w:val="20"/>
          <w:szCs w:val="20"/>
          <w:lang w:val="es-AR"/>
        </w:rPr>
        <w:t xml:space="preserve"> </w:t>
      </w:r>
    </w:p>
    <w:p w:rsidR="00AB1F21" w:rsidRPr="00AB1F21" w:rsidRDefault="00AB1F21" w:rsidP="00AB1F2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cs="Calibri"/>
          <w:color w:val="000000" w:themeColor="text1"/>
          <w:sz w:val="20"/>
          <w:szCs w:val="20"/>
          <w:lang w:val="es-ES_tradnl"/>
        </w:rPr>
      </w:pPr>
    </w:p>
    <w:p w:rsidR="004354AD" w:rsidRPr="007B129A" w:rsidRDefault="00DB2701" w:rsidP="00E30E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cs="Calibri"/>
          <w:color w:val="000000" w:themeColor="text1"/>
          <w:sz w:val="20"/>
          <w:szCs w:val="20"/>
          <w:lang w:val="es-ES_tradnl"/>
        </w:rPr>
      </w:pPr>
      <w:r>
        <w:rPr>
          <w:rFonts w:asciiTheme="majorHAnsi" w:hAnsiTheme="majorHAnsi"/>
          <w:color w:val="000000" w:themeColor="text1"/>
          <w:sz w:val="20"/>
          <w:szCs w:val="20"/>
          <w:lang w:val="es-US"/>
        </w:rPr>
        <w:t>La CIDH</w:t>
      </w:r>
      <w:r w:rsidR="00911265" w:rsidRPr="007B129A">
        <w:rPr>
          <w:rFonts w:asciiTheme="majorHAnsi" w:hAnsiTheme="majorHAnsi" w:cs="Calibri"/>
          <w:color w:val="000000" w:themeColor="text1"/>
          <w:sz w:val="20"/>
          <w:szCs w:val="20"/>
          <w:lang w:val="es-ES"/>
        </w:rPr>
        <w:t xml:space="preserve"> nota </w:t>
      </w:r>
      <w:r w:rsidR="00AB75BF" w:rsidRPr="007B129A">
        <w:rPr>
          <w:rFonts w:asciiTheme="majorHAnsi" w:hAnsiTheme="majorHAnsi" w:cs="Calibri"/>
          <w:color w:val="000000" w:themeColor="text1"/>
          <w:sz w:val="20"/>
          <w:szCs w:val="20"/>
          <w:lang w:val="es-ES"/>
        </w:rPr>
        <w:t xml:space="preserve">que </w:t>
      </w:r>
      <w:r w:rsidR="004354AD" w:rsidRPr="007B129A">
        <w:rPr>
          <w:rFonts w:asciiTheme="majorHAnsi" w:hAnsiTheme="majorHAnsi" w:cs="Calibri"/>
          <w:color w:val="000000" w:themeColor="text1"/>
          <w:sz w:val="20"/>
          <w:szCs w:val="20"/>
          <w:lang w:val="es-ES"/>
        </w:rPr>
        <w:t xml:space="preserve">la demanda de indemnización colectiva </w:t>
      </w:r>
      <w:r>
        <w:rPr>
          <w:rFonts w:asciiTheme="majorHAnsi" w:hAnsiTheme="majorHAnsi" w:cs="Calibri"/>
          <w:color w:val="000000" w:themeColor="text1"/>
          <w:sz w:val="20"/>
          <w:szCs w:val="20"/>
          <w:lang w:val="es-ES"/>
        </w:rPr>
        <w:t xml:space="preserve">fue </w:t>
      </w:r>
      <w:r w:rsidRPr="007B129A">
        <w:rPr>
          <w:rFonts w:asciiTheme="majorHAnsi" w:hAnsiTheme="majorHAnsi" w:cs="Calibri"/>
          <w:color w:val="000000" w:themeColor="text1"/>
          <w:sz w:val="20"/>
          <w:szCs w:val="20"/>
          <w:lang w:val="es-ES"/>
        </w:rPr>
        <w:t>declara</w:t>
      </w:r>
      <w:r>
        <w:rPr>
          <w:rFonts w:asciiTheme="majorHAnsi" w:hAnsiTheme="majorHAnsi" w:cs="Calibri"/>
          <w:color w:val="000000" w:themeColor="text1"/>
          <w:sz w:val="20"/>
          <w:szCs w:val="20"/>
          <w:lang w:val="es-ES"/>
        </w:rPr>
        <w:t>da</w:t>
      </w:r>
      <w:r w:rsidRPr="007B129A">
        <w:rPr>
          <w:rFonts w:asciiTheme="majorHAnsi" w:hAnsiTheme="majorHAnsi" w:cs="Calibri"/>
          <w:color w:val="000000" w:themeColor="text1"/>
          <w:sz w:val="20"/>
          <w:szCs w:val="20"/>
          <w:lang w:val="es-ES"/>
        </w:rPr>
        <w:t xml:space="preserve"> improcedente</w:t>
      </w:r>
      <w:r w:rsidR="00F321E1">
        <w:rPr>
          <w:rFonts w:asciiTheme="majorHAnsi" w:hAnsiTheme="majorHAnsi" w:cs="Calibri"/>
          <w:color w:val="000000" w:themeColor="text1"/>
          <w:sz w:val="20"/>
          <w:szCs w:val="20"/>
          <w:lang w:val="es-ES"/>
        </w:rPr>
        <w:t>,</w:t>
      </w:r>
      <w:r w:rsidRPr="007B129A">
        <w:rPr>
          <w:rFonts w:asciiTheme="majorHAnsi" w:hAnsiTheme="majorHAnsi" w:cs="Calibri"/>
          <w:color w:val="000000" w:themeColor="text1"/>
          <w:sz w:val="20"/>
          <w:szCs w:val="20"/>
          <w:lang w:val="es-ES"/>
        </w:rPr>
        <w:t xml:space="preserve"> </w:t>
      </w:r>
      <w:r w:rsidR="004354AD" w:rsidRPr="007B129A">
        <w:rPr>
          <w:rFonts w:asciiTheme="majorHAnsi" w:hAnsiTheme="majorHAnsi" w:cs="Calibri"/>
          <w:color w:val="000000" w:themeColor="text1"/>
          <w:sz w:val="20"/>
          <w:szCs w:val="20"/>
          <w:lang w:val="es-ES"/>
        </w:rPr>
        <w:t xml:space="preserve">y </w:t>
      </w:r>
      <w:r w:rsidR="00F321E1">
        <w:rPr>
          <w:rFonts w:asciiTheme="majorHAnsi" w:hAnsiTheme="majorHAnsi" w:cs="Calibri"/>
          <w:color w:val="000000" w:themeColor="text1"/>
          <w:sz w:val="20"/>
          <w:szCs w:val="20"/>
          <w:lang w:val="es-ES"/>
        </w:rPr>
        <w:t xml:space="preserve">que </w:t>
      </w:r>
      <w:r w:rsidR="004354AD" w:rsidRPr="007B129A">
        <w:rPr>
          <w:rFonts w:asciiTheme="majorHAnsi" w:hAnsiTheme="majorHAnsi" w:cs="Calibri"/>
          <w:color w:val="000000" w:themeColor="text1"/>
          <w:sz w:val="20"/>
          <w:szCs w:val="20"/>
          <w:lang w:val="es-ES"/>
        </w:rPr>
        <w:t xml:space="preserve">luego </w:t>
      </w:r>
      <w:r w:rsidR="00F321E1">
        <w:rPr>
          <w:rFonts w:asciiTheme="majorHAnsi" w:hAnsiTheme="majorHAnsi" w:cs="Calibri"/>
          <w:color w:val="000000" w:themeColor="text1"/>
          <w:sz w:val="20"/>
          <w:szCs w:val="20"/>
          <w:lang w:val="es-ES"/>
        </w:rPr>
        <w:t xml:space="preserve">se acogió </w:t>
      </w:r>
      <w:r w:rsidR="004354AD" w:rsidRPr="007B129A">
        <w:rPr>
          <w:rFonts w:asciiTheme="majorHAnsi" w:hAnsiTheme="majorHAnsi" w:cs="Calibri"/>
          <w:color w:val="000000" w:themeColor="text1"/>
          <w:sz w:val="20"/>
          <w:szCs w:val="20"/>
          <w:lang w:val="es-ES"/>
        </w:rPr>
        <w:t xml:space="preserve">el recurso de apelación contra dicha </w:t>
      </w:r>
      <w:r w:rsidR="00F321E1">
        <w:rPr>
          <w:rFonts w:asciiTheme="majorHAnsi" w:hAnsiTheme="majorHAnsi" w:cs="Calibri"/>
          <w:color w:val="000000" w:themeColor="text1"/>
          <w:sz w:val="20"/>
          <w:szCs w:val="20"/>
          <w:lang w:val="es-ES"/>
        </w:rPr>
        <w:t xml:space="preserve">decisión. Sin embargo, la respuesta no fue </w:t>
      </w:r>
      <w:r w:rsidR="00521654" w:rsidRPr="007B129A">
        <w:rPr>
          <w:rFonts w:asciiTheme="majorHAnsi" w:hAnsiTheme="majorHAnsi" w:cs="Calibri"/>
          <w:color w:val="000000" w:themeColor="text1"/>
          <w:sz w:val="20"/>
          <w:szCs w:val="20"/>
          <w:lang w:val="es-ES"/>
        </w:rPr>
        <w:t>entrega</w:t>
      </w:r>
      <w:r w:rsidR="00F321E1">
        <w:rPr>
          <w:rFonts w:asciiTheme="majorHAnsi" w:hAnsiTheme="majorHAnsi" w:cs="Calibri"/>
          <w:color w:val="000000" w:themeColor="text1"/>
          <w:sz w:val="20"/>
          <w:szCs w:val="20"/>
          <w:lang w:val="es-ES"/>
        </w:rPr>
        <w:t>da</w:t>
      </w:r>
      <w:r w:rsidR="00911265" w:rsidRPr="007B129A">
        <w:rPr>
          <w:rFonts w:asciiTheme="majorHAnsi" w:hAnsiTheme="majorHAnsi" w:cs="Calibri"/>
          <w:color w:val="000000" w:themeColor="text1"/>
          <w:sz w:val="20"/>
          <w:szCs w:val="20"/>
          <w:lang w:val="es-ES"/>
        </w:rPr>
        <w:t xml:space="preserve"> </w:t>
      </w:r>
      <w:r w:rsidR="00F321E1">
        <w:rPr>
          <w:rFonts w:asciiTheme="majorHAnsi" w:hAnsiTheme="majorHAnsi" w:cs="Calibri"/>
          <w:color w:val="000000" w:themeColor="text1"/>
          <w:sz w:val="20"/>
          <w:szCs w:val="20"/>
          <w:lang w:val="es-ES"/>
        </w:rPr>
        <w:t xml:space="preserve">sino </w:t>
      </w:r>
      <w:r w:rsidR="00911265" w:rsidRPr="007B129A">
        <w:rPr>
          <w:rFonts w:asciiTheme="majorHAnsi" w:hAnsiTheme="majorHAnsi" w:cs="Calibri"/>
          <w:color w:val="000000" w:themeColor="text1"/>
          <w:sz w:val="20"/>
          <w:szCs w:val="20"/>
          <w:lang w:val="es-ES"/>
        </w:rPr>
        <w:t xml:space="preserve">hasta el momento de presentación de la petición, </w:t>
      </w:r>
      <w:r w:rsidR="00F321E1">
        <w:rPr>
          <w:rFonts w:asciiTheme="majorHAnsi" w:hAnsiTheme="majorHAnsi" w:cs="Calibri"/>
          <w:color w:val="000000" w:themeColor="text1"/>
          <w:sz w:val="20"/>
          <w:szCs w:val="20"/>
          <w:lang w:val="es-ES"/>
        </w:rPr>
        <w:t xml:space="preserve">por lo que se configura </w:t>
      </w:r>
      <w:r w:rsidR="00F321E1" w:rsidRPr="007B129A">
        <w:rPr>
          <w:rFonts w:asciiTheme="majorHAnsi" w:hAnsiTheme="majorHAnsi" w:cs="Calibri"/>
          <w:color w:val="000000" w:themeColor="text1"/>
          <w:sz w:val="20"/>
          <w:szCs w:val="20"/>
          <w:lang w:val="es-ES"/>
        </w:rPr>
        <w:t>en un retardo injustificado en la decisión de los recursos internos</w:t>
      </w:r>
      <w:r w:rsidR="00F321E1">
        <w:rPr>
          <w:rFonts w:asciiTheme="majorHAnsi" w:hAnsiTheme="majorHAnsi" w:cs="Calibri"/>
          <w:color w:val="000000" w:themeColor="text1"/>
          <w:sz w:val="20"/>
          <w:szCs w:val="20"/>
          <w:lang w:val="es-ES"/>
        </w:rPr>
        <w:t xml:space="preserve">, y resulta </w:t>
      </w:r>
      <w:r w:rsidR="00ED5368" w:rsidRPr="007B129A">
        <w:rPr>
          <w:rFonts w:asciiTheme="majorHAnsi" w:hAnsiTheme="majorHAnsi" w:cs="Calibri"/>
          <w:color w:val="000000" w:themeColor="text1"/>
          <w:sz w:val="20"/>
          <w:szCs w:val="20"/>
          <w:lang w:val="es-ES"/>
        </w:rPr>
        <w:t>aplica</w:t>
      </w:r>
      <w:r w:rsidR="00F321E1">
        <w:rPr>
          <w:rFonts w:asciiTheme="majorHAnsi" w:hAnsiTheme="majorHAnsi" w:cs="Calibri"/>
          <w:color w:val="000000" w:themeColor="text1"/>
          <w:sz w:val="20"/>
          <w:szCs w:val="20"/>
          <w:lang w:val="es-ES"/>
        </w:rPr>
        <w:t>ble</w:t>
      </w:r>
      <w:r w:rsidR="00ED5368" w:rsidRPr="007B129A">
        <w:rPr>
          <w:rFonts w:asciiTheme="majorHAnsi" w:hAnsiTheme="majorHAnsi" w:cs="Calibri"/>
          <w:color w:val="000000" w:themeColor="text1"/>
          <w:sz w:val="20"/>
          <w:szCs w:val="20"/>
          <w:lang w:val="es-ES"/>
        </w:rPr>
        <w:t xml:space="preserve"> la excepción prevista </w:t>
      </w:r>
      <w:r w:rsidR="00733E08">
        <w:rPr>
          <w:rFonts w:asciiTheme="majorHAnsi" w:hAnsiTheme="majorHAnsi" w:cs="Calibri"/>
          <w:color w:val="000000" w:themeColor="text1"/>
          <w:sz w:val="20"/>
          <w:szCs w:val="20"/>
          <w:lang w:val="es-ES"/>
        </w:rPr>
        <w:t xml:space="preserve">a tal efecto </w:t>
      </w:r>
      <w:r w:rsidR="00ED5368" w:rsidRPr="007B129A">
        <w:rPr>
          <w:rFonts w:asciiTheme="majorHAnsi" w:hAnsiTheme="majorHAnsi" w:cs="Calibri"/>
          <w:color w:val="000000" w:themeColor="text1"/>
          <w:sz w:val="20"/>
          <w:szCs w:val="20"/>
          <w:lang w:val="es-ES"/>
        </w:rPr>
        <w:t xml:space="preserve">en el artículo 46.2.c de la Convención </w:t>
      </w:r>
      <w:r w:rsidR="00F321E1">
        <w:rPr>
          <w:rFonts w:asciiTheme="majorHAnsi" w:hAnsiTheme="majorHAnsi" w:cs="Calibri"/>
          <w:color w:val="000000" w:themeColor="text1"/>
          <w:sz w:val="20"/>
          <w:szCs w:val="20"/>
          <w:lang w:val="es-ES"/>
        </w:rPr>
        <w:t>Americana</w:t>
      </w:r>
      <w:r w:rsidR="00911265" w:rsidRPr="007B129A">
        <w:rPr>
          <w:rFonts w:asciiTheme="majorHAnsi" w:hAnsiTheme="majorHAnsi" w:cs="Calibri"/>
          <w:color w:val="000000" w:themeColor="text1"/>
          <w:sz w:val="20"/>
          <w:szCs w:val="20"/>
          <w:lang w:val="es-ES"/>
        </w:rPr>
        <w:t>.</w:t>
      </w:r>
    </w:p>
    <w:p w:rsidR="00AB1F21" w:rsidRPr="00AB1F21" w:rsidRDefault="00AB1F21" w:rsidP="00AB1F2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cs="Calibri"/>
          <w:color w:val="000000" w:themeColor="text1"/>
          <w:sz w:val="20"/>
          <w:szCs w:val="20"/>
          <w:lang w:val="es-ES_tradnl"/>
        </w:rPr>
      </w:pPr>
    </w:p>
    <w:p w:rsidR="004354AD" w:rsidRPr="007B129A" w:rsidRDefault="00911265" w:rsidP="00E30E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Times New Roman" w:hAnsiTheme="majorHAnsi" w:cs="Calibri"/>
          <w:color w:val="000000" w:themeColor="text1"/>
          <w:sz w:val="20"/>
          <w:szCs w:val="20"/>
          <w:lang w:val="es-ES_tradnl"/>
        </w:rPr>
      </w:pPr>
      <w:r w:rsidRPr="007B129A">
        <w:rPr>
          <w:rFonts w:asciiTheme="majorHAnsi" w:hAnsiTheme="majorHAnsi" w:cs="Calibri"/>
          <w:sz w:val="20"/>
          <w:szCs w:val="20"/>
          <w:lang w:val="es-ES_tradnl"/>
        </w:rPr>
        <w:t>En relación a l</w:t>
      </w:r>
      <w:r w:rsidR="00733E08">
        <w:rPr>
          <w:rFonts w:asciiTheme="majorHAnsi" w:hAnsiTheme="majorHAnsi" w:cs="Calibri"/>
          <w:sz w:val="20"/>
          <w:szCs w:val="20"/>
          <w:lang w:val="es-ES_tradnl"/>
        </w:rPr>
        <w:t>as presuntas v</w:t>
      </w:r>
      <w:proofErr w:type="spellStart"/>
      <w:r w:rsidR="00733E08">
        <w:rPr>
          <w:rFonts w:asciiTheme="majorHAnsi" w:hAnsiTheme="majorHAnsi" w:cs="Calibri"/>
          <w:sz w:val="20"/>
          <w:szCs w:val="20"/>
          <w:lang w:val="es-ES"/>
        </w:rPr>
        <w:t>íctimas</w:t>
      </w:r>
      <w:proofErr w:type="spellEnd"/>
      <w:r w:rsidR="00733E08">
        <w:rPr>
          <w:rFonts w:asciiTheme="majorHAnsi" w:hAnsiTheme="majorHAnsi" w:cs="Calibri"/>
          <w:sz w:val="20"/>
          <w:szCs w:val="20"/>
          <w:lang w:val="es-ES"/>
        </w:rPr>
        <w:t xml:space="preserve"> </w:t>
      </w:r>
      <w:r w:rsidRPr="007B129A">
        <w:rPr>
          <w:rFonts w:asciiTheme="majorHAnsi" w:hAnsiTheme="majorHAnsi" w:cs="Calibri"/>
          <w:sz w:val="20"/>
          <w:szCs w:val="20"/>
          <w:lang w:val="es-ES_tradnl"/>
        </w:rPr>
        <w:t>que no presentaron demanda</w:t>
      </w:r>
      <w:r w:rsidR="00904D69" w:rsidRPr="007B129A">
        <w:rPr>
          <w:rFonts w:asciiTheme="majorHAnsi" w:hAnsiTheme="majorHAnsi" w:cs="Calibri"/>
          <w:sz w:val="20"/>
          <w:szCs w:val="20"/>
          <w:lang w:val="es-ES_tradnl"/>
        </w:rPr>
        <w:t xml:space="preserve"> en el ámbito interno</w:t>
      </w:r>
      <w:r w:rsidR="00733E08" w:rsidRPr="007B129A">
        <w:rPr>
          <w:rFonts w:asciiTheme="majorHAnsi" w:hAnsiTheme="majorHAnsi" w:cs="Calibri"/>
          <w:color w:val="000000" w:themeColor="text1"/>
          <w:sz w:val="20"/>
          <w:szCs w:val="20"/>
          <w:lang w:val="es-ES"/>
        </w:rPr>
        <w:t>,</w:t>
      </w:r>
      <w:r w:rsidR="00733E08" w:rsidRPr="007B129A">
        <w:rPr>
          <w:rFonts w:asciiTheme="majorHAnsi" w:hAnsiTheme="majorHAnsi" w:cs="Calibri"/>
          <w:sz w:val="20"/>
          <w:szCs w:val="20"/>
          <w:lang w:val="es-ES_tradnl"/>
        </w:rPr>
        <w:t xml:space="preserve"> la Comisión </w:t>
      </w:r>
      <w:r w:rsidR="00733E08">
        <w:rPr>
          <w:rFonts w:asciiTheme="majorHAnsi" w:hAnsiTheme="majorHAnsi" w:cs="Calibri"/>
          <w:sz w:val="20"/>
          <w:szCs w:val="20"/>
          <w:lang w:val="es-ES_tradnl"/>
        </w:rPr>
        <w:t xml:space="preserve">Interamericana valora el alegato sobre </w:t>
      </w:r>
      <w:r w:rsidRPr="007B129A">
        <w:rPr>
          <w:rFonts w:asciiTheme="majorHAnsi" w:hAnsiTheme="majorHAnsi" w:cs="Calibri"/>
          <w:sz w:val="20"/>
          <w:szCs w:val="20"/>
          <w:lang w:val="es-ES_tradnl"/>
        </w:rPr>
        <w:t xml:space="preserve">los costos de la justicia y </w:t>
      </w:r>
      <w:r w:rsidR="00733E08">
        <w:rPr>
          <w:rFonts w:asciiTheme="majorHAnsi" w:hAnsiTheme="majorHAnsi" w:cs="Calibri"/>
          <w:sz w:val="20"/>
          <w:szCs w:val="20"/>
          <w:lang w:val="es-ES_tradnl"/>
        </w:rPr>
        <w:t>la</w:t>
      </w:r>
      <w:r w:rsidRPr="007B129A">
        <w:rPr>
          <w:rFonts w:asciiTheme="majorHAnsi" w:hAnsiTheme="majorHAnsi" w:cs="Calibri"/>
          <w:sz w:val="20"/>
          <w:szCs w:val="20"/>
          <w:lang w:val="es-ES_tradnl"/>
        </w:rPr>
        <w:t xml:space="preserve"> p</w:t>
      </w:r>
      <w:r w:rsidR="00B83A21" w:rsidRPr="007B129A">
        <w:rPr>
          <w:rFonts w:asciiTheme="majorHAnsi" w:hAnsiTheme="majorHAnsi" w:cs="Calibri"/>
          <w:sz w:val="20"/>
          <w:szCs w:val="20"/>
          <w:lang w:val="es-ES_tradnl"/>
        </w:rPr>
        <w:t>resunta situación de indigencia derivada de la</w:t>
      </w:r>
      <w:r w:rsidRPr="007B129A">
        <w:rPr>
          <w:rFonts w:asciiTheme="majorHAnsi" w:hAnsiTheme="majorHAnsi" w:cs="Calibri"/>
          <w:sz w:val="20"/>
          <w:szCs w:val="20"/>
          <w:lang w:val="es-ES_tradnl"/>
        </w:rPr>
        <w:t xml:space="preserve"> </w:t>
      </w:r>
      <w:r w:rsidR="00B83A21" w:rsidRPr="007B129A">
        <w:rPr>
          <w:rFonts w:asciiTheme="majorHAnsi" w:hAnsiTheme="majorHAnsi" w:cs="Calibri"/>
          <w:color w:val="000000" w:themeColor="text1"/>
          <w:sz w:val="20"/>
          <w:szCs w:val="20"/>
          <w:lang w:val="es-ES"/>
        </w:rPr>
        <w:t>prolongada privación de libertad a que se vieron expuestos</w:t>
      </w:r>
      <w:r w:rsidR="00733E08">
        <w:rPr>
          <w:rFonts w:asciiTheme="majorHAnsi" w:hAnsiTheme="majorHAnsi" w:cs="Calibri"/>
          <w:color w:val="000000" w:themeColor="text1"/>
          <w:sz w:val="20"/>
          <w:szCs w:val="20"/>
          <w:lang w:val="es-ES"/>
        </w:rPr>
        <w:t>,</w:t>
      </w:r>
      <w:r w:rsidR="00B83A21" w:rsidRPr="007B129A">
        <w:rPr>
          <w:rFonts w:asciiTheme="majorHAnsi" w:hAnsiTheme="majorHAnsi" w:cs="Calibri"/>
          <w:color w:val="000000" w:themeColor="text1"/>
          <w:sz w:val="20"/>
          <w:szCs w:val="20"/>
          <w:lang w:val="es-ES"/>
        </w:rPr>
        <w:t xml:space="preserve"> que se e</w:t>
      </w:r>
      <w:r w:rsidR="00733E08">
        <w:rPr>
          <w:rFonts w:asciiTheme="majorHAnsi" w:hAnsiTheme="majorHAnsi" w:cs="Calibri"/>
          <w:color w:val="000000" w:themeColor="text1"/>
          <w:sz w:val="20"/>
          <w:szCs w:val="20"/>
          <w:lang w:val="es-ES"/>
        </w:rPr>
        <w:t>x</w:t>
      </w:r>
      <w:r w:rsidR="00B83A21" w:rsidRPr="007B129A">
        <w:rPr>
          <w:rFonts w:asciiTheme="majorHAnsi" w:hAnsiTheme="majorHAnsi" w:cs="Calibri"/>
          <w:color w:val="000000" w:themeColor="text1"/>
          <w:sz w:val="20"/>
          <w:szCs w:val="20"/>
          <w:lang w:val="es-ES"/>
        </w:rPr>
        <w:t>tendió en algunos casos hasta 144 meses</w:t>
      </w:r>
      <w:r w:rsidR="00733E08">
        <w:rPr>
          <w:rFonts w:asciiTheme="majorHAnsi" w:hAnsiTheme="majorHAnsi" w:cs="Calibri"/>
          <w:color w:val="000000" w:themeColor="text1"/>
          <w:sz w:val="20"/>
          <w:szCs w:val="20"/>
          <w:lang w:val="es-ES"/>
        </w:rPr>
        <w:t>.</w:t>
      </w:r>
      <w:r w:rsidR="00ED5368" w:rsidRPr="007B129A">
        <w:rPr>
          <w:rFonts w:asciiTheme="majorHAnsi" w:hAnsiTheme="majorHAnsi" w:cs="Calibri"/>
          <w:sz w:val="20"/>
          <w:szCs w:val="20"/>
          <w:lang w:val="es-ES_tradnl"/>
        </w:rPr>
        <w:t xml:space="preserve"> </w:t>
      </w:r>
      <w:r w:rsidR="00733E08">
        <w:rPr>
          <w:rFonts w:asciiTheme="majorHAnsi" w:hAnsiTheme="majorHAnsi" w:cs="Calibri"/>
          <w:sz w:val="20"/>
          <w:szCs w:val="20"/>
          <w:lang w:val="es-ES_tradnl"/>
        </w:rPr>
        <w:t>La CIDH se ha pronunciado en decisiones anteriores de admisibilidad sobre el efecto de los gastos de litigio como barrera para el acceso a la justicia</w:t>
      </w:r>
      <w:r w:rsidR="00733E08" w:rsidRPr="00AB75BF">
        <w:rPr>
          <w:rStyle w:val="FootnoteReference"/>
          <w:rFonts w:asciiTheme="majorHAnsi" w:eastAsia="Trebuchet MS" w:hAnsiTheme="majorHAnsi" w:cs="Calibri"/>
          <w:sz w:val="20"/>
          <w:szCs w:val="20"/>
        </w:rPr>
        <w:footnoteReference w:id="9"/>
      </w:r>
      <w:r w:rsidR="00733E08">
        <w:rPr>
          <w:rFonts w:asciiTheme="majorHAnsi" w:hAnsiTheme="majorHAnsi" w:cs="Calibri"/>
          <w:sz w:val="20"/>
          <w:szCs w:val="20"/>
          <w:lang w:val="es-ES_tradnl"/>
        </w:rPr>
        <w:t xml:space="preserve">; asimismo, ha seguido el criterio de la Corte Interamericana en cuanto a que </w:t>
      </w:r>
      <w:r w:rsidR="003B4963">
        <w:rPr>
          <w:rFonts w:asciiTheme="majorHAnsi" w:hAnsiTheme="majorHAnsi" w:cs="Calibri"/>
          <w:sz w:val="20"/>
          <w:szCs w:val="20"/>
          <w:lang w:val="es-ES_tradnl"/>
        </w:rPr>
        <w:t>“</w:t>
      </w:r>
      <w:r w:rsidR="003B4963" w:rsidRPr="003B4963">
        <w:rPr>
          <w:rFonts w:asciiTheme="majorHAnsi" w:hAnsiTheme="majorHAnsi" w:cs="Calibri"/>
          <w:sz w:val="20"/>
          <w:szCs w:val="20"/>
          <w:lang w:val="es-ES_tradnl"/>
        </w:rPr>
        <w:t>el Estado que no provea gratuitamente asistencia legal cuando se trata de un indigente, no podrá argüir luego que dicho proceso existe pero no fue agotado</w:t>
      </w:r>
      <w:r w:rsidR="003B4963" w:rsidRPr="00AB75BF">
        <w:rPr>
          <w:rStyle w:val="FootnoteReference"/>
          <w:rFonts w:asciiTheme="majorHAnsi" w:eastAsia="Trebuchet MS" w:hAnsiTheme="majorHAnsi" w:cs="Calibri"/>
          <w:sz w:val="20"/>
          <w:szCs w:val="20"/>
        </w:rPr>
        <w:footnoteReference w:id="10"/>
      </w:r>
      <w:r w:rsidR="003B4963">
        <w:rPr>
          <w:rFonts w:asciiTheme="majorHAnsi" w:hAnsiTheme="majorHAnsi" w:cs="Calibri"/>
          <w:sz w:val="20"/>
          <w:szCs w:val="20"/>
          <w:lang w:val="es-ES_tradnl"/>
        </w:rPr>
        <w:t>”</w:t>
      </w:r>
      <w:r w:rsidR="00733E08">
        <w:rPr>
          <w:rFonts w:asciiTheme="majorHAnsi" w:hAnsiTheme="majorHAnsi" w:cs="Calibri"/>
          <w:sz w:val="20"/>
          <w:szCs w:val="20"/>
          <w:lang w:val="es-ES_tradnl"/>
        </w:rPr>
        <w:t xml:space="preserve"> </w:t>
      </w:r>
      <w:r w:rsidR="00733E08" w:rsidRPr="00AB75BF">
        <w:rPr>
          <w:rFonts w:asciiTheme="majorHAnsi" w:hAnsiTheme="majorHAnsi" w:cs="Calibri"/>
          <w:sz w:val="20"/>
          <w:szCs w:val="20"/>
          <w:lang w:val="es-ES_tradnl"/>
        </w:rPr>
        <w:t>.</w:t>
      </w:r>
      <w:r w:rsidR="00733E08">
        <w:rPr>
          <w:rFonts w:asciiTheme="majorHAnsi" w:hAnsiTheme="majorHAnsi" w:cs="Calibri"/>
          <w:sz w:val="20"/>
          <w:szCs w:val="20"/>
          <w:lang w:val="es-ES_tradnl"/>
        </w:rPr>
        <w:t xml:space="preserve"> En consecuencia de todo lo anterior, la Comisión Interamericana decide </w:t>
      </w:r>
      <w:r w:rsidR="00ED5368" w:rsidRPr="007B129A">
        <w:rPr>
          <w:rFonts w:asciiTheme="majorHAnsi" w:hAnsiTheme="majorHAnsi" w:cs="Calibri"/>
          <w:color w:val="000000" w:themeColor="text1"/>
          <w:sz w:val="20"/>
          <w:szCs w:val="20"/>
          <w:lang w:val="es-ES"/>
        </w:rPr>
        <w:t>aplica</w:t>
      </w:r>
      <w:r w:rsidR="00733E08">
        <w:rPr>
          <w:rFonts w:asciiTheme="majorHAnsi" w:hAnsiTheme="majorHAnsi" w:cs="Calibri"/>
          <w:color w:val="000000" w:themeColor="text1"/>
          <w:sz w:val="20"/>
          <w:szCs w:val="20"/>
          <w:lang w:val="es-ES"/>
        </w:rPr>
        <w:t>r</w:t>
      </w:r>
      <w:r w:rsidR="00ED5368" w:rsidRPr="007B129A">
        <w:rPr>
          <w:rFonts w:asciiTheme="majorHAnsi" w:hAnsiTheme="majorHAnsi" w:cs="Calibri"/>
          <w:color w:val="000000" w:themeColor="text1"/>
          <w:sz w:val="20"/>
          <w:szCs w:val="20"/>
          <w:lang w:val="es-ES"/>
        </w:rPr>
        <w:t xml:space="preserve"> </w:t>
      </w:r>
      <w:r w:rsidR="00733E08">
        <w:rPr>
          <w:rFonts w:asciiTheme="majorHAnsi" w:hAnsiTheme="majorHAnsi" w:cs="Calibri"/>
          <w:color w:val="000000" w:themeColor="text1"/>
          <w:sz w:val="20"/>
          <w:szCs w:val="20"/>
          <w:lang w:val="es-ES"/>
        </w:rPr>
        <w:t xml:space="preserve">al presente asunto </w:t>
      </w:r>
      <w:r w:rsidR="00ED5368" w:rsidRPr="007B129A">
        <w:rPr>
          <w:rFonts w:asciiTheme="majorHAnsi" w:hAnsiTheme="majorHAnsi" w:cs="Calibri"/>
          <w:color w:val="000000" w:themeColor="text1"/>
          <w:sz w:val="20"/>
          <w:szCs w:val="20"/>
          <w:lang w:val="es-ES"/>
        </w:rPr>
        <w:t xml:space="preserve">la excepción prevista en el artículo 46.2.b de la Convención </w:t>
      </w:r>
      <w:r w:rsidR="00733E08">
        <w:rPr>
          <w:rFonts w:asciiTheme="majorHAnsi" w:hAnsiTheme="majorHAnsi" w:cs="Calibri"/>
          <w:color w:val="000000" w:themeColor="text1"/>
          <w:sz w:val="20"/>
          <w:szCs w:val="20"/>
          <w:lang w:val="es-ES"/>
        </w:rPr>
        <w:t>Americana respecto a las presuntas víctimas que no activaron la jurisdicción interna.</w:t>
      </w:r>
    </w:p>
    <w:p w:rsidR="00AB1F21" w:rsidRPr="00AB1F21" w:rsidRDefault="00AB1F21" w:rsidP="00AB1F2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Theme="majorHAnsi" w:hAnsiTheme="majorHAnsi" w:cs="Calibri"/>
          <w:sz w:val="20"/>
          <w:szCs w:val="20"/>
          <w:lang w:val="es-ES_tradnl"/>
        </w:rPr>
      </w:pPr>
    </w:p>
    <w:p w:rsidR="00D921AF" w:rsidRPr="00AB75BF" w:rsidRDefault="003B4963" w:rsidP="00E30EC0">
      <w:pPr>
        <w:numPr>
          <w:ilvl w:val="0"/>
          <w:numId w:val="55"/>
        </w:numPr>
        <w:suppressAutoHyphens/>
        <w:contextualSpacing/>
        <w:jc w:val="both"/>
        <w:rPr>
          <w:rFonts w:asciiTheme="majorHAnsi" w:hAnsiTheme="majorHAnsi" w:cs="Calibri"/>
          <w:sz w:val="20"/>
          <w:szCs w:val="20"/>
          <w:lang w:val="es-ES_tradnl"/>
        </w:rPr>
      </w:pPr>
      <w:r>
        <w:rPr>
          <w:rFonts w:asciiTheme="majorHAnsi" w:hAnsiTheme="majorHAnsi"/>
          <w:sz w:val="20"/>
          <w:szCs w:val="20"/>
          <w:lang w:val="es-US"/>
        </w:rPr>
        <w:t xml:space="preserve">Por otra parte, aunque </w:t>
      </w:r>
      <w:r w:rsidRPr="00AB75BF">
        <w:rPr>
          <w:rFonts w:asciiTheme="majorHAnsi" w:hAnsiTheme="majorHAnsi"/>
          <w:sz w:val="20"/>
          <w:szCs w:val="20"/>
          <w:lang w:val="es-US"/>
        </w:rPr>
        <w:t xml:space="preserve">el Estado </w:t>
      </w:r>
      <w:r>
        <w:rPr>
          <w:rFonts w:asciiTheme="majorHAnsi" w:hAnsiTheme="majorHAnsi"/>
          <w:sz w:val="20"/>
          <w:szCs w:val="20"/>
          <w:lang w:val="es-US"/>
        </w:rPr>
        <w:t xml:space="preserve">no hubiera </w:t>
      </w:r>
      <w:r w:rsidRPr="00AB75BF">
        <w:rPr>
          <w:rFonts w:asciiTheme="majorHAnsi" w:hAnsiTheme="majorHAnsi"/>
          <w:sz w:val="20"/>
          <w:szCs w:val="20"/>
          <w:lang w:val="es-US"/>
        </w:rPr>
        <w:t xml:space="preserve">efectuado alegatos sobre el agotamiento de los recursos internos </w:t>
      </w:r>
      <w:r w:rsidR="004354AD" w:rsidRPr="00AB75BF">
        <w:rPr>
          <w:rFonts w:asciiTheme="majorHAnsi" w:hAnsiTheme="majorHAnsi"/>
          <w:sz w:val="20"/>
          <w:szCs w:val="20"/>
          <w:lang w:val="es-US"/>
        </w:rPr>
        <w:t>en</w:t>
      </w:r>
      <w:r w:rsidR="00D921AF" w:rsidRPr="00AB75BF">
        <w:rPr>
          <w:rFonts w:asciiTheme="majorHAnsi" w:hAnsiTheme="majorHAnsi"/>
          <w:sz w:val="20"/>
          <w:szCs w:val="20"/>
          <w:lang w:val="es-US"/>
        </w:rPr>
        <w:t xml:space="preserve"> cuanto a las violaciones a la libertad e integridad personal de las presuntas víctimas, la C</w:t>
      </w:r>
      <w:r>
        <w:rPr>
          <w:rFonts w:asciiTheme="majorHAnsi" w:hAnsiTheme="majorHAnsi"/>
          <w:sz w:val="20"/>
          <w:szCs w:val="20"/>
          <w:lang w:val="es-US"/>
        </w:rPr>
        <w:t>IDH</w:t>
      </w:r>
      <w:r w:rsidR="00D921AF" w:rsidRPr="00AB75BF">
        <w:rPr>
          <w:rFonts w:asciiTheme="majorHAnsi" w:hAnsiTheme="majorHAnsi"/>
          <w:sz w:val="20"/>
          <w:szCs w:val="20"/>
          <w:lang w:val="es-US"/>
        </w:rPr>
        <w:t xml:space="preserve"> nota que </w:t>
      </w:r>
      <w:r>
        <w:rPr>
          <w:rFonts w:asciiTheme="majorHAnsi" w:hAnsiTheme="majorHAnsi"/>
          <w:sz w:val="20"/>
          <w:szCs w:val="20"/>
          <w:lang w:val="es-US"/>
        </w:rPr>
        <w:t>algunas de las presuntas víctimas</w:t>
      </w:r>
      <w:r w:rsidRPr="00AB75BF">
        <w:rPr>
          <w:rFonts w:asciiTheme="majorHAnsi" w:hAnsiTheme="majorHAnsi"/>
          <w:sz w:val="20"/>
          <w:szCs w:val="20"/>
          <w:lang w:val="es-US"/>
        </w:rPr>
        <w:t xml:space="preserve"> </w:t>
      </w:r>
      <w:r>
        <w:rPr>
          <w:rFonts w:asciiTheme="majorHAnsi" w:hAnsiTheme="majorHAnsi"/>
          <w:sz w:val="20"/>
          <w:szCs w:val="20"/>
          <w:lang w:val="es-US"/>
        </w:rPr>
        <w:t xml:space="preserve">denunciaron los hechos de </w:t>
      </w:r>
      <w:r w:rsidR="00D921AF" w:rsidRPr="00AB75BF">
        <w:rPr>
          <w:rFonts w:asciiTheme="majorHAnsi" w:hAnsiTheme="majorHAnsi"/>
          <w:sz w:val="20"/>
          <w:szCs w:val="20"/>
          <w:lang w:val="es-US"/>
        </w:rPr>
        <w:t>tortura y</w:t>
      </w:r>
      <w:r w:rsidR="00D921AF" w:rsidRPr="00AB75BF">
        <w:rPr>
          <w:rFonts w:asciiTheme="majorHAnsi" w:hAnsiTheme="majorHAnsi"/>
          <w:bCs/>
          <w:sz w:val="20"/>
          <w:szCs w:val="20"/>
          <w:lang w:val="es-AR"/>
        </w:rPr>
        <w:t xml:space="preserve"> tratos crueles, inhumanos y degradantes</w:t>
      </w:r>
      <w:r>
        <w:rPr>
          <w:rFonts w:asciiTheme="majorHAnsi" w:hAnsiTheme="majorHAnsi"/>
          <w:bCs/>
          <w:sz w:val="20"/>
          <w:szCs w:val="20"/>
          <w:lang w:val="es-AR"/>
        </w:rPr>
        <w:t xml:space="preserve">, así como las </w:t>
      </w:r>
      <w:r w:rsidR="00D921AF" w:rsidRPr="00AB75BF">
        <w:rPr>
          <w:rFonts w:asciiTheme="majorHAnsi" w:hAnsiTheme="majorHAnsi"/>
          <w:sz w:val="20"/>
          <w:szCs w:val="20"/>
          <w:lang w:val="es-US"/>
        </w:rPr>
        <w:t>detenciones arbitrarias e ilegales</w:t>
      </w:r>
      <w:r>
        <w:rPr>
          <w:rFonts w:asciiTheme="majorHAnsi" w:hAnsiTheme="majorHAnsi"/>
          <w:sz w:val="20"/>
          <w:szCs w:val="20"/>
          <w:lang w:val="es-US"/>
        </w:rPr>
        <w:t>. Además, el contexto en el que habrían sucedido tales hechos fue</w:t>
      </w:r>
      <w:r w:rsidR="00215B33">
        <w:rPr>
          <w:rFonts w:asciiTheme="majorHAnsi" w:hAnsiTheme="majorHAnsi"/>
          <w:sz w:val="20"/>
          <w:szCs w:val="20"/>
          <w:lang w:val="es-US"/>
        </w:rPr>
        <w:t xml:space="preserve"> </w:t>
      </w:r>
      <w:r>
        <w:rPr>
          <w:rFonts w:asciiTheme="majorHAnsi" w:hAnsiTheme="majorHAnsi"/>
          <w:sz w:val="20"/>
          <w:szCs w:val="20"/>
          <w:lang w:val="es-US"/>
        </w:rPr>
        <w:t xml:space="preserve">sin </w:t>
      </w:r>
      <w:r w:rsidR="00215B33">
        <w:rPr>
          <w:rFonts w:asciiTheme="majorHAnsi" w:hAnsiTheme="majorHAnsi"/>
          <w:sz w:val="20"/>
          <w:szCs w:val="20"/>
          <w:lang w:val="es-US"/>
        </w:rPr>
        <w:t>duda</w:t>
      </w:r>
      <w:r w:rsidR="00D921AF" w:rsidRPr="00AB75BF">
        <w:rPr>
          <w:rFonts w:asciiTheme="majorHAnsi" w:hAnsiTheme="majorHAnsi"/>
          <w:sz w:val="20"/>
          <w:szCs w:val="20"/>
          <w:lang w:val="es-US"/>
        </w:rPr>
        <w:t xml:space="preserve"> reconocid</w:t>
      </w:r>
      <w:r>
        <w:rPr>
          <w:rFonts w:asciiTheme="majorHAnsi" w:hAnsiTheme="majorHAnsi"/>
          <w:sz w:val="20"/>
          <w:szCs w:val="20"/>
          <w:lang w:val="es-US"/>
        </w:rPr>
        <w:t xml:space="preserve">o y establecido </w:t>
      </w:r>
      <w:r w:rsidR="00D921AF" w:rsidRPr="00AB75BF">
        <w:rPr>
          <w:rFonts w:asciiTheme="majorHAnsi" w:hAnsiTheme="majorHAnsi"/>
          <w:sz w:val="20"/>
          <w:szCs w:val="20"/>
          <w:lang w:val="es-US"/>
        </w:rPr>
        <w:t>por el sistema interamericano</w:t>
      </w:r>
      <w:r w:rsidR="00D921AF" w:rsidRPr="00AB75BF">
        <w:rPr>
          <w:rStyle w:val="FootnoteReference"/>
          <w:rFonts w:asciiTheme="majorHAnsi" w:hAnsiTheme="majorHAnsi"/>
          <w:sz w:val="20"/>
          <w:szCs w:val="20"/>
          <w:lang w:val="es-US"/>
        </w:rPr>
        <w:footnoteReference w:id="11"/>
      </w:r>
      <w:r w:rsidR="00D921AF" w:rsidRPr="00AB75BF">
        <w:rPr>
          <w:rFonts w:asciiTheme="majorHAnsi" w:hAnsiTheme="majorHAnsi"/>
          <w:sz w:val="20"/>
          <w:szCs w:val="20"/>
          <w:lang w:val="es-US"/>
        </w:rPr>
        <w:t xml:space="preserve">, </w:t>
      </w:r>
      <w:r>
        <w:rPr>
          <w:rFonts w:asciiTheme="majorHAnsi" w:hAnsiTheme="majorHAnsi"/>
          <w:sz w:val="20"/>
          <w:szCs w:val="20"/>
          <w:lang w:val="es-US"/>
        </w:rPr>
        <w:t xml:space="preserve">e </w:t>
      </w:r>
      <w:r w:rsidR="00D921AF" w:rsidRPr="00AB75BF">
        <w:rPr>
          <w:rFonts w:asciiTheme="majorHAnsi" w:hAnsiTheme="majorHAnsi"/>
          <w:sz w:val="20"/>
          <w:szCs w:val="20"/>
          <w:lang w:val="es-US"/>
        </w:rPr>
        <w:t xml:space="preserve">incluso por la propia Comisión de Verdad y Reconciliación del Perú </w:t>
      </w:r>
      <w:r>
        <w:rPr>
          <w:rFonts w:asciiTheme="majorHAnsi" w:hAnsiTheme="majorHAnsi"/>
          <w:sz w:val="20"/>
          <w:szCs w:val="20"/>
          <w:lang w:val="es-US"/>
        </w:rPr>
        <w:t xml:space="preserve">en su Informe Final </w:t>
      </w:r>
      <w:r w:rsidR="00D921AF" w:rsidRPr="00AB75BF">
        <w:rPr>
          <w:rFonts w:asciiTheme="majorHAnsi" w:hAnsiTheme="majorHAnsi"/>
          <w:sz w:val="20"/>
          <w:szCs w:val="20"/>
          <w:lang w:val="es-US"/>
        </w:rPr>
        <w:t>de 2003</w:t>
      </w:r>
      <w:r w:rsidR="00D921AF" w:rsidRPr="00AB75BF">
        <w:rPr>
          <w:rStyle w:val="FootnoteReference"/>
          <w:rFonts w:asciiTheme="majorHAnsi" w:hAnsiTheme="majorHAnsi"/>
          <w:sz w:val="20"/>
          <w:szCs w:val="20"/>
          <w:lang w:val="es-US"/>
        </w:rPr>
        <w:footnoteReference w:id="12"/>
      </w:r>
      <w:r w:rsidR="00D921AF" w:rsidRPr="00AB75BF">
        <w:rPr>
          <w:rFonts w:asciiTheme="majorHAnsi" w:hAnsiTheme="majorHAnsi"/>
          <w:sz w:val="20"/>
          <w:szCs w:val="20"/>
          <w:lang w:val="es-US"/>
        </w:rPr>
        <w:t>.</w:t>
      </w:r>
      <w:r w:rsidR="00D921AF" w:rsidRPr="00AB75BF">
        <w:rPr>
          <w:rFonts w:asciiTheme="majorHAnsi" w:hAnsiTheme="majorHAnsi"/>
          <w:sz w:val="20"/>
          <w:szCs w:val="20"/>
          <w:lang w:val="es-ES"/>
        </w:rPr>
        <w:t xml:space="preserve"> </w:t>
      </w:r>
      <w:r>
        <w:rPr>
          <w:rFonts w:asciiTheme="majorHAnsi" w:hAnsiTheme="majorHAnsi"/>
          <w:sz w:val="20"/>
          <w:szCs w:val="20"/>
          <w:lang w:val="es-ES"/>
        </w:rPr>
        <w:t>Sin perjuicio de todo lo anterior, por tratarse</w:t>
      </w:r>
      <w:r w:rsidR="00D921AF" w:rsidRPr="00AB75BF">
        <w:rPr>
          <w:rFonts w:asciiTheme="majorHAnsi" w:hAnsiTheme="majorHAnsi"/>
          <w:sz w:val="20"/>
          <w:szCs w:val="20"/>
          <w:lang w:val="es-ES"/>
        </w:rPr>
        <w:t xml:space="preserve"> de </w:t>
      </w:r>
      <w:r w:rsidR="00D921AF" w:rsidRPr="00AB75BF">
        <w:rPr>
          <w:rFonts w:asciiTheme="majorHAnsi" w:hAnsiTheme="majorHAnsi" w:cs="Arial"/>
          <w:sz w:val="20"/>
          <w:szCs w:val="20"/>
          <w:lang w:val="es-ES"/>
        </w:rPr>
        <w:t xml:space="preserve">posibles violaciones </w:t>
      </w:r>
      <w:r>
        <w:rPr>
          <w:rFonts w:asciiTheme="majorHAnsi" w:hAnsiTheme="majorHAnsi" w:cs="Arial"/>
          <w:sz w:val="20"/>
          <w:szCs w:val="20"/>
          <w:lang w:val="es-ES"/>
        </w:rPr>
        <w:t>de</w:t>
      </w:r>
      <w:r w:rsidR="00D921AF" w:rsidRPr="00AB75BF">
        <w:rPr>
          <w:rFonts w:asciiTheme="majorHAnsi" w:hAnsiTheme="majorHAnsi" w:cs="Arial"/>
          <w:sz w:val="20"/>
          <w:szCs w:val="20"/>
          <w:lang w:val="es-ES"/>
        </w:rPr>
        <w:t xml:space="preserve"> derechos humanos</w:t>
      </w:r>
      <w:r>
        <w:rPr>
          <w:rFonts w:asciiTheme="majorHAnsi" w:hAnsiTheme="majorHAnsi" w:cs="Arial"/>
          <w:sz w:val="20"/>
          <w:szCs w:val="20"/>
          <w:lang w:val="es-ES"/>
        </w:rPr>
        <w:t xml:space="preserve"> en que estaban señalados agentes del Estado</w:t>
      </w:r>
      <w:r w:rsidR="00D921AF" w:rsidRPr="00AB75BF">
        <w:rPr>
          <w:rFonts w:asciiTheme="majorHAnsi" w:hAnsiTheme="majorHAnsi" w:cs="Arial"/>
          <w:sz w:val="20"/>
          <w:szCs w:val="20"/>
          <w:lang w:val="es-ES"/>
        </w:rPr>
        <w:t xml:space="preserve">, </w:t>
      </w:r>
      <w:r>
        <w:rPr>
          <w:rFonts w:asciiTheme="majorHAnsi" w:hAnsiTheme="majorHAnsi" w:cs="Arial"/>
          <w:sz w:val="20"/>
          <w:szCs w:val="20"/>
          <w:lang w:val="es-ES"/>
        </w:rPr>
        <w:t>son</w:t>
      </w:r>
      <w:r w:rsidR="00D921AF" w:rsidRPr="00AB75BF">
        <w:rPr>
          <w:rFonts w:asciiTheme="majorHAnsi" w:hAnsiTheme="majorHAnsi" w:cs="Arial"/>
          <w:sz w:val="20"/>
          <w:szCs w:val="20"/>
          <w:lang w:val="es-ES"/>
        </w:rPr>
        <w:t xml:space="preserve"> perseguibles de oficio </w:t>
      </w:r>
      <w:r>
        <w:rPr>
          <w:rFonts w:asciiTheme="majorHAnsi" w:hAnsiTheme="majorHAnsi" w:cs="Arial"/>
          <w:sz w:val="20"/>
          <w:szCs w:val="20"/>
          <w:lang w:val="es-ES"/>
        </w:rPr>
        <w:t xml:space="preserve">y </w:t>
      </w:r>
      <w:r w:rsidR="00D921AF" w:rsidRPr="00AB75BF">
        <w:rPr>
          <w:rFonts w:asciiTheme="majorHAnsi" w:hAnsiTheme="majorHAnsi" w:cs="Arial"/>
          <w:sz w:val="20"/>
          <w:szCs w:val="20"/>
          <w:lang w:val="es-ES"/>
        </w:rPr>
        <w:t>éste tiene la obligación de investigarlos. Esta carga debe ser asumida por el Estado como un deber jurídico propio, y no como una gestión de intereses de particulares o que dependa de la iniciativa de éstos o de la aportación de pruebas por parte de los mismos</w:t>
      </w:r>
      <w:r w:rsidR="00D921AF" w:rsidRPr="00AB75BF">
        <w:rPr>
          <w:rFonts w:asciiTheme="majorHAnsi" w:hAnsiTheme="majorHAnsi" w:cs="Arial"/>
          <w:sz w:val="20"/>
          <w:szCs w:val="20"/>
          <w:vertAlign w:val="superscript"/>
          <w:lang w:val="es-ES"/>
        </w:rPr>
        <w:footnoteReference w:id="13"/>
      </w:r>
      <w:r w:rsidR="00D921AF" w:rsidRPr="00AB75BF">
        <w:rPr>
          <w:rFonts w:asciiTheme="majorHAnsi" w:hAnsiTheme="majorHAnsi"/>
          <w:sz w:val="20"/>
          <w:szCs w:val="20"/>
          <w:bdr w:val="none" w:sz="0" w:space="0" w:color="auto" w:frame="1"/>
          <w:lang w:val="es-AR"/>
        </w:rPr>
        <w:t xml:space="preserve">. </w:t>
      </w:r>
      <w:r w:rsidR="00D921AF" w:rsidRPr="00AB75BF">
        <w:rPr>
          <w:rFonts w:asciiTheme="majorHAnsi" w:hAnsiTheme="majorHAnsi" w:cs="Arial"/>
          <w:sz w:val="20"/>
          <w:szCs w:val="20"/>
          <w:lang w:val="es-ES"/>
        </w:rPr>
        <w:t>De la información disponible</w:t>
      </w:r>
      <w:r>
        <w:rPr>
          <w:rFonts w:asciiTheme="majorHAnsi" w:hAnsiTheme="majorHAnsi" w:cs="Arial"/>
          <w:sz w:val="20"/>
          <w:szCs w:val="20"/>
          <w:lang w:val="es-ES"/>
        </w:rPr>
        <w:t>,</w:t>
      </w:r>
      <w:r w:rsidR="00D921AF" w:rsidRPr="00AB75BF">
        <w:rPr>
          <w:rFonts w:asciiTheme="majorHAnsi" w:hAnsiTheme="majorHAnsi" w:cs="Arial"/>
          <w:sz w:val="20"/>
          <w:szCs w:val="20"/>
          <w:lang w:val="es-ES"/>
        </w:rPr>
        <w:t xml:space="preserve"> la Comisión </w:t>
      </w:r>
      <w:r>
        <w:rPr>
          <w:rFonts w:asciiTheme="majorHAnsi" w:hAnsiTheme="majorHAnsi" w:cs="Arial"/>
          <w:sz w:val="20"/>
          <w:szCs w:val="20"/>
          <w:lang w:val="es-ES"/>
        </w:rPr>
        <w:t xml:space="preserve">Interamericana </w:t>
      </w:r>
      <w:r w:rsidR="00D921AF" w:rsidRPr="00AB75BF">
        <w:rPr>
          <w:rFonts w:asciiTheme="majorHAnsi" w:hAnsiTheme="majorHAnsi" w:cs="Arial"/>
          <w:sz w:val="20"/>
          <w:szCs w:val="20"/>
          <w:lang w:val="es-ES"/>
        </w:rPr>
        <w:t>observa que, a más de 20 años de lo sucedido, no se han iniciado investigaciones con el fin de esclarecer los hechos ni sancionar a sus responsables. En consecuencia, la C</w:t>
      </w:r>
      <w:r>
        <w:rPr>
          <w:rFonts w:asciiTheme="majorHAnsi" w:hAnsiTheme="majorHAnsi" w:cs="Arial"/>
          <w:sz w:val="20"/>
          <w:szCs w:val="20"/>
          <w:lang w:val="es-ES"/>
        </w:rPr>
        <w:t xml:space="preserve">omisión Interamericana </w:t>
      </w:r>
      <w:r w:rsidR="00D921AF" w:rsidRPr="00AB75BF">
        <w:rPr>
          <w:rFonts w:asciiTheme="majorHAnsi" w:hAnsiTheme="majorHAnsi" w:cs="Arial"/>
          <w:sz w:val="20"/>
          <w:szCs w:val="20"/>
          <w:lang w:val="es-ES"/>
        </w:rPr>
        <w:t xml:space="preserve">considera </w:t>
      </w:r>
      <w:r w:rsidRPr="00AB75BF">
        <w:rPr>
          <w:rFonts w:asciiTheme="majorHAnsi" w:hAnsiTheme="majorHAnsi" w:cs="Arial"/>
          <w:sz w:val="20"/>
          <w:szCs w:val="20"/>
          <w:lang w:val="es-ES"/>
        </w:rPr>
        <w:lastRenderedPageBreak/>
        <w:t>que,</w:t>
      </w:r>
      <w:r w:rsidR="00D921AF" w:rsidRPr="00AB75BF">
        <w:rPr>
          <w:rFonts w:asciiTheme="majorHAnsi" w:hAnsiTheme="majorHAnsi" w:cs="Arial"/>
          <w:sz w:val="20"/>
          <w:szCs w:val="20"/>
          <w:lang w:val="es-ES"/>
        </w:rPr>
        <w:t xml:space="preserve"> respecto</w:t>
      </w:r>
      <w:r>
        <w:rPr>
          <w:rFonts w:asciiTheme="majorHAnsi" w:hAnsiTheme="majorHAnsi" w:cs="Arial"/>
          <w:sz w:val="20"/>
          <w:szCs w:val="20"/>
          <w:lang w:val="es-ES"/>
        </w:rPr>
        <w:t xml:space="preserve"> a tales alegatos</w:t>
      </w:r>
      <w:r w:rsidR="00D921AF" w:rsidRPr="00AB75BF">
        <w:rPr>
          <w:rFonts w:asciiTheme="majorHAnsi" w:hAnsiTheme="majorHAnsi" w:cs="Arial"/>
          <w:sz w:val="20"/>
          <w:szCs w:val="20"/>
          <w:lang w:val="es-ES"/>
        </w:rPr>
        <w:t>, resulta aplicable la excepció</w:t>
      </w:r>
      <w:r w:rsidR="00583275">
        <w:rPr>
          <w:rFonts w:asciiTheme="majorHAnsi" w:hAnsiTheme="majorHAnsi" w:cs="Arial"/>
          <w:sz w:val="20"/>
          <w:szCs w:val="20"/>
          <w:lang w:val="es-ES"/>
        </w:rPr>
        <w:t>n prevista en el artículo 46.2</w:t>
      </w:r>
      <w:r w:rsidR="00D921AF" w:rsidRPr="00AB75BF">
        <w:rPr>
          <w:rFonts w:asciiTheme="majorHAnsi" w:hAnsiTheme="majorHAnsi" w:cs="Arial"/>
          <w:sz w:val="20"/>
          <w:szCs w:val="20"/>
          <w:lang w:val="es-ES"/>
        </w:rPr>
        <w:t xml:space="preserve"> de la Convención</w:t>
      </w:r>
      <w:r>
        <w:rPr>
          <w:rFonts w:asciiTheme="majorHAnsi" w:hAnsiTheme="majorHAnsi" w:cs="Arial"/>
          <w:sz w:val="20"/>
          <w:szCs w:val="20"/>
          <w:lang w:val="es-ES"/>
        </w:rPr>
        <w:t xml:space="preserve"> Americana</w:t>
      </w:r>
      <w:r w:rsidR="00D921AF" w:rsidRPr="00AB75BF">
        <w:rPr>
          <w:rFonts w:asciiTheme="majorHAnsi" w:hAnsiTheme="majorHAnsi" w:cs="Arial"/>
          <w:sz w:val="20"/>
          <w:szCs w:val="20"/>
          <w:lang w:val="es-ES"/>
        </w:rPr>
        <w:t>.</w:t>
      </w:r>
      <w:r w:rsidR="00D921AF" w:rsidRPr="00AB75BF">
        <w:rPr>
          <w:rFonts w:asciiTheme="majorHAnsi" w:hAnsiTheme="majorHAnsi" w:cs="Arial"/>
          <w:sz w:val="20"/>
          <w:szCs w:val="20"/>
          <w:highlight w:val="yellow"/>
          <w:lang w:val="es-ES"/>
        </w:rPr>
        <w:t xml:space="preserve"> </w:t>
      </w:r>
    </w:p>
    <w:p w:rsidR="00AB1F21" w:rsidRPr="00AB1F21" w:rsidRDefault="00AB1F21" w:rsidP="00AB1F2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Theme="majorHAnsi" w:hAnsiTheme="majorHAnsi" w:cs="Calibri"/>
          <w:sz w:val="20"/>
          <w:szCs w:val="20"/>
          <w:lang w:val="es-ES_tradnl"/>
        </w:rPr>
      </w:pPr>
    </w:p>
    <w:p w:rsidR="00911265" w:rsidRPr="00AB75BF" w:rsidRDefault="00633BE1" w:rsidP="00E30EC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asciiTheme="majorHAnsi" w:hAnsiTheme="majorHAnsi" w:cs="Calibri"/>
          <w:sz w:val="20"/>
          <w:szCs w:val="20"/>
          <w:lang w:val="es-ES_tradnl"/>
        </w:rPr>
      </w:pPr>
      <w:r>
        <w:rPr>
          <w:rFonts w:asciiTheme="majorHAnsi" w:hAnsiTheme="majorHAnsi"/>
          <w:sz w:val="20"/>
          <w:szCs w:val="20"/>
          <w:lang w:val="es-ES"/>
        </w:rPr>
        <w:t>En</w:t>
      </w:r>
      <w:r w:rsidR="00D921AF" w:rsidRPr="00AB75BF">
        <w:rPr>
          <w:rFonts w:asciiTheme="majorHAnsi" w:hAnsiTheme="majorHAnsi"/>
          <w:sz w:val="20"/>
          <w:szCs w:val="20"/>
          <w:lang w:val="es-ES"/>
        </w:rPr>
        <w:t xml:space="preserve"> vista de las características del presente </w:t>
      </w:r>
      <w:r>
        <w:rPr>
          <w:rFonts w:asciiTheme="majorHAnsi" w:hAnsiTheme="majorHAnsi"/>
          <w:sz w:val="20"/>
          <w:szCs w:val="20"/>
          <w:lang w:val="es-ES"/>
        </w:rPr>
        <w:t>asunto</w:t>
      </w:r>
      <w:r w:rsidR="00D921AF" w:rsidRPr="00AB75BF">
        <w:rPr>
          <w:rFonts w:asciiTheme="majorHAnsi" w:hAnsiTheme="majorHAnsi"/>
          <w:sz w:val="20"/>
          <w:szCs w:val="20"/>
          <w:lang w:val="es-ES"/>
        </w:rPr>
        <w:t>, la C</w:t>
      </w:r>
      <w:r>
        <w:rPr>
          <w:rFonts w:asciiTheme="majorHAnsi" w:hAnsiTheme="majorHAnsi"/>
          <w:sz w:val="20"/>
          <w:szCs w:val="20"/>
          <w:lang w:val="es-ES"/>
        </w:rPr>
        <w:t>IDH</w:t>
      </w:r>
      <w:r w:rsidR="00D921AF" w:rsidRPr="00AB75BF">
        <w:rPr>
          <w:rFonts w:asciiTheme="majorHAnsi" w:hAnsiTheme="majorHAnsi"/>
          <w:sz w:val="20"/>
          <w:szCs w:val="20"/>
          <w:lang w:val="es-ES"/>
        </w:rPr>
        <w:t xml:space="preserve"> considera que la petición fue presentada dentro de un plazo razonable y que debe darse por satisfecho el </w:t>
      </w:r>
      <w:r>
        <w:rPr>
          <w:rFonts w:asciiTheme="majorHAnsi" w:hAnsiTheme="majorHAnsi"/>
          <w:sz w:val="20"/>
          <w:szCs w:val="20"/>
          <w:lang w:val="es-ES"/>
        </w:rPr>
        <w:t xml:space="preserve">respectivo </w:t>
      </w:r>
      <w:r w:rsidR="00D921AF" w:rsidRPr="00AB75BF">
        <w:rPr>
          <w:rFonts w:asciiTheme="majorHAnsi" w:hAnsiTheme="majorHAnsi"/>
          <w:sz w:val="20"/>
          <w:szCs w:val="20"/>
          <w:lang w:val="es-ES"/>
        </w:rPr>
        <w:t>requisito de admisibilidad.</w:t>
      </w:r>
    </w:p>
    <w:p w:rsidR="004354AD" w:rsidRPr="00B4073D" w:rsidRDefault="004354AD" w:rsidP="00E30EC0">
      <w:pPr>
        <w:pStyle w:val="ListParagraph"/>
        <w:jc w:val="both"/>
        <w:rPr>
          <w:rFonts w:asciiTheme="majorHAnsi" w:hAnsiTheme="majorHAnsi"/>
          <w:b/>
          <w:bCs/>
          <w:sz w:val="20"/>
          <w:szCs w:val="20"/>
          <w:lang w:val="es-ES_tradnl"/>
        </w:rPr>
      </w:pPr>
    </w:p>
    <w:p w:rsidR="008B67EE" w:rsidRDefault="008B67EE" w:rsidP="00E30EC0">
      <w:pPr>
        <w:pStyle w:val="ListParagraph"/>
        <w:jc w:val="both"/>
        <w:rPr>
          <w:rFonts w:asciiTheme="majorHAnsi" w:hAnsiTheme="majorHAnsi"/>
          <w:b/>
          <w:bCs/>
          <w:sz w:val="20"/>
          <w:szCs w:val="20"/>
          <w:lang w:val="es-ES"/>
        </w:rPr>
      </w:pPr>
      <w:r w:rsidRPr="00006B74">
        <w:rPr>
          <w:rFonts w:asciiTheme="majorHAnsi" w:hAnsiTheme="majorHAnsi"/>
          <w:b/>
          <w:bCs/>
          <w:sz w:val="20"/>
          <w:szCs w:val="20"/>
          <w:lang w:val="es-ES"/>
        </w:rPr>
        <w:t xml:space="preserve">VII. </w:t>
      </w:r>
      <w:r w:rsidRPr="00006B74">
        <w:rPr>
          <w:rFonts w:asciiTheme="majorHAnsi" w:hAnsiTheme="majorHAnsi"/>
          <w:b/>
          <w:bCs/>
          <w:sz w:val="20"/>
          <w:szCs w:val="20"/>
          <w:lang w:val="es-ES"/>
        </w:rPr>
        <w:tab/>
        <w:t>CARACTERIZACIÓN</w:t>
      </w:r>
    </w:p>
    <w:p w:rsidR="00AB1F21" w:rsidRDefault="00AB1F21" w:rsidP="00AB1F21">
      <w:pPr>
        <w:pStyle w:val="ListParagraph"/>
        <w:suppressAutoHyphens/>
        <w:jc w:val="both"/>
        <w:rPr>
          <w:color w:val="000000" w:themeColor="text1"/>
          <w:sz w:val="20"/>
          <w:szCs w:val="20"/>
          <w:lang w:val="es-US"/>
        </w:rPr>
      </w:pPr>
    </w:p>
    <w:p w:rsidR="00964425" w:rsidRPr="00964425" w:rsidRDefault="002F7CF1" w:rsidP="00E03D8D">
      <w:pPr>
        <w:pStyle w:val="ListParagraph"/>
        <w:numPr>
          <w:ilvl w:val="0"/>
          <w:numId w:val="55"/>
        </w:numPr>
        <w:suppressAutoHyphens/>
        <w:jc w:val="both"/>
        <w:rPr>
          <w:sz w:val="20"/>
          <w:szCs w:val="20"/>
          <w:lang w:val="es-AR"/>
        </w:rPr>
      </w:pPr>
      <w:r w:rsidRPr="00964425">
        <w:rPr>
          <w:color w:val="000000" w:themeColor="text1"/>
          <w:sz w:val="20"/>
          <w:szCs w:val="20"/>
          <w:lang w:val="es-US"/>
        </w:rPr>
        <w:t xml:space="preserve">La presente petición incluye alegatos </w:t>
      </w:r>
      <w:r w:rsidR="00133869" w:rsidRPr="00964425">
        <w:rPr>
          <w:color w:val="000000" w:themeColor="text1"/>
          <w:sz w:val="20"/>
          <w:szCs w:val="20"/>
          <w:lang w:val="es-US"/>
        </w:rPr>
        <w:t>sobre</w:t>
      </w:r>
      <w:r w:rsidRPr="00964425">
        <w:rPr>
          <w:color w:val="000000" w:themeColor="text1"/>
          <w:sz w:val="20"/>
          <w:szCs w:val="20"/>
          <w:lang w:val="es-US"/>
        </w:rPr>
        <w:t xml:space="preserve"> detenciones injustas y arbitrarias, torturas y tratos crueles, inhumanos y degradantes, a propósito del procesamiento y condena de las presuntas víctimas por terrorismo y traición a la patria, con violación de garantías judiciales y debido proceso</w:t>
      </w:r>
      <w:r w:rsidR="00133869" w:rsidRPr="00964425">
        <w:rPr>
          <w:color w:val="000000" w:themeColor="text1"/>
          <w:sz w:val="20"/>
          <w:szCs w:val="20"/>
          <w:lang w:val="es-US"/>
        </w:rPr>
        <w:t>.</w:t>
      </w:r>
      <w:r w:rsidRPr="00964425">
        <w:rPr>
          <w:color w:val="000000" w:themeColor="text1"/>
          <w:sz w:val="20"/>
          <w:szCs w:val="20"/>
          <w:lang w:val="es-US"/>
        </w:rPr>
        <w:t xml:space="preserve"> </w:t>
      </w:r>
      <w:r w:rsidR="00133869" w:rsidRPr="00964425">
        <w:rPr>
          <w:color w:val="000000" w:themeColor="text1"/>
          <w:sz w:val="20"/>
          <w:szCs w:val="20"/>
          <w:lang w:val="es-US"/>
        </w:rPr>
        <w:t xml:space="preserve">Asimismo, la peticionaria sostiene que no hubo </w:t>
      </w:r>
      <w:r w:rsidRPr="00964425">
        <w:rPr>
          <w:color w:val="000000" w:themeColor="text1"/>
          <w:sz w:val="20"/>
          <w:szCs w:val="20"/>
          <w:lang w:val="es-US"/>
        </w:rPr>
        <w:t xml:space="preserve">un recurso adecuado </w:t>
      </w:r>
      <w:r w:rsidR="00133869" w:rsidRPr="00964425">
        <w:rPr>
          <w:color w:val="000000" w:themeColor="text1"/>
          <w:sz w:val="20"/>
          <w:szCs w:val="20"/>
          <w:lang w:val="es-US"/>
        </w:rPr>
        <w:t>ni</w:t>
      </w:r>
      <w:r w:rsidRPr="00964425">
        <w:rPr>
          <w:color w:val="000000" w:themeColor="text1"/>
          <w:sz w:val="20"/>
          <w:szCs w:val="20"/>
          <w:lang w:val="es-US"/>
        </w:rPr>
        <w:t xml:space="preserve"> efectivo que permit</w:t>
      </w:r>
      <w:r w:rsidR="00133869" w:rsidRPr="00964425">
        <w:rPr>
          <w:color w:val="000000" w:themeColor="text1"/>
          <w:sz w:val="20"/>
          <w:szCs w:val="20"/>
          <w:lang w:val="es-US"/>
        </w:rPr>
        <w:t>ier</w:t>
      </w:r>
      <w:r w:rsidRPr="00964425">
        <w:rPr>
          <w:color w:val="000000" w:themeColor="text1"/>
          <w:sz w:val="20"/>
          <w:szCs w:val="20"/>
          <w:lang w:val="es-US"/>
        </w:rPr>
        <w:t>a</w:t>
      </w:r>
      <w:r w:rsidRPr="00964425">
        <w:rPr>
          <w:rFonts w:asciiTheme="majorHAnsi" w:eastAsia="Arial Unicode MS" w:hAnsiTheme="majorHAnsi" w:cstheme="minorHAnsi"/>
          <w:sz w:val="20"/>
          <w:szCs w:val="20"/>
          <w:lang w:val="es-AR" w:eastAsia="en-US"/>
        </w:rPr>
        <w:t xml:space="preserve"> reclamar </w:t>
      </w:r>
      <w:r w:rsidR="00964425" w:rsidRPr="00964425">
        <w:rPr>
          <w:rFonts w:asciiTheme="majorHAnsi" w:eastAsia="Arial Unicode MS" w:hAnsiTheme="majorHAnsi" w:cstheme="minorHAnsi"/>
          <w:sz w:val="20"/>
          <w:szCs w:val="20"/>
          <w:lang w:val="es-AR" w:eastAsia="en-US"/>
        </w:rPr>
        <w:t>una reparación í</w:t>
      </w:r>
      <w:r w:rsidRPr="00964425">
        <w:rPr>
          <w:rFonts w:asciiTheme="majorHAnsi" w:eastAsia="Arial Unicode MS" w:hAnsiTheme="majorHAnsi" w:cstheme="minorHAnsi"/>
          <w:sz w:val="20"/>
          <w:szCs w:val="20"/>
          <w:lang w:val="es-AR" w:eastAsia="en-US"/>
        </w:rPr>
        <w:t xml:space="preserve">ntegra </w:t>
      </w:r>
      <w:r w:rsidR="00133869" w:rsidRPr="00964425">
        <w:rPr>
          <w:rFonts w:asciiTheme="majorHAnsi" w:eastAsia="Arial Unicode MS" w:hAnsiTheme="majorHAnsi" w:cstheme="minorHAnsi"/>
          <w:sz w:val="20"/>
          <w:szCs w:val="20"/>
          <w:lang w:val="es-AR" w:eastAsia="en-US"/>
        </w:rPr>
        <w:t>por las violaciones alegadas</w:t>
      </w:r>
      <w:r w:rsidRPr="00964425">
        <w:rPr>
          <w:color w:val="000000" w:themeColor="text1"/>
          <w:sz w:val="20"/>
          <w:szCs w:val="20"/>
          <w:lang w:val="es-US"/>
        </w:rPr>
        <w:t xml:space="preserve">. </w:t>
      </w:r>
      <w:r w:rsidR="00964425" w:rsidRPr="00964425">
        <w:rPr>
          <w:rFonts w:asciiTheme="majorHAnsi" w:hAnsiTheme="majorHAnsi"/>
          <w:sz w:val="20"/>
          <w:szCs w:val="20"/>
          <w:lang w:val="es-AR"/>
        </w:rPr>
        <w:t xml:space="preserve">Al respecto, es necesario </w:t>
      </w:r>
      <w:r w:rsidR="00964425" w:rsidRPr="00964425">
        <w:rPr>
          <w:rFonts w:asciiTheme="majorHAnsi" w:hAnsiTheme="majorHAnsi"/>
          <w:sz w:val="20"/>
          <w:szCs w:val="20"/>
          <w:lang w:val="es-ES"/>
        </w:rPr>
        <w:t>considerar el contexto histórico en que se produjeron las detenciones y procesamiento de las presuntas víctimas, que tanto la CIDH</w:t>
      </w:r>
      <w:r w:rsidR="00964425" w:rsidRPr="00980195">
        <w:rPr>
          <w:rStyle w:val="FootnoteReference"/>
          <w:rFonts w:asciiTheme="majorHAnsi" w:hAnsiTheme="majorHAnsi"/>
          <w:sz w:val="20"/>
          <w:szCs w:val="20"/>
          <w:lang w:val="es-ES"/>
        </w:rPr>
        <w:footnoteReference w:id="14"/>
      </w:r>
      <w:r w:rsidR="00964425" w:rsidRPr="00964425">
        <w:rPr>
          <w:rFonts w:asciiTheme="majorHAnsi" w:hAnsiTheme="majorHAnsi"/>
          <w:sz w:val="20"/>
          <w:szCs w:val="20"/>
          <w:lang w:val="es-ES"/>
        </w:rPr>
        <w:t xml:space="preserve"> como la Corte Interamericana</w:t>
      </w:r>
      <w:r w:rsidR="00964425" w:rsidRPr="00964425">
        <w:rPr>
          <w:rStyle w:val="FootnoteReference"/>
          <w:color w:val="000000" w:themeColor="text1"/>
          <w:sz w:val="20"/>
          <w:szCs w:val="20"/>
          <w:lang w:val="es-US"/>
        </w:rPr>
        <w:footnoteReference w:id="15"/>
      </w:r>
      <w:r w:rsidR="00964425" w:rsidRPr="00964425">
        <w:rPr>
          <w:rFonts w:asciiTheme="majorHAnsi" w:hAnsiTheme="majorHAnsi"/>
          <w:sz w:val="20"/>
          <w:szCs w:val="20"/>
          <w:lang w:val="es-ES"/>
        </w:rPr>
        <w:t xml:space="preserve"> han determinado como de graves violaciones de derechos humanos. </w:t>
      </w:r>
    </w:p>
    <w:p w:rsidR="00964425" w:rsidRPr="00964425" w:rsidRDefault="00964425" w:rsidP="00964425">
      <w:pPr>
        <w:suppressAutoHyphens/>
        <w:jc w:val="both"/>
        <w:rPr>
          <w:sz w:val="20"/>
          <w:szCs w:val="20"/>
          <w:lang w:val="es-AR"/>
        </w:rPr>
      </w:pPr>
    </w:p>
    <w:p w:rsidR="00964425" w:rsidRPr="00964425" w:rsidRDefault="00964425" w:rsidP="00091301">
      <w:pPr>
        <w:pStyle w:val="ListParagraph"/>
        <w:numPr>
          <w:ilvl w:val="0"/>
          <w:numId w:val="55"/>
        </w:numPr>
        <w:suppressAutoHyphens/>
        <w:jc w:val="both"/>
        <w:rPr>
          <w:sz w:val="20"/>
          <w:szCs w:val="20"/>
          <w:lang w:val="es-ES"/>
        </w:rPr>
      </w:pPr>
      <w:r w:rsidRPr="00964425">
        <w:rPr>
          <w:color w:val="000000" w:themeColor="text1"/>
          <w:sz w:val="20"/>
          <w:szCs w:val="20"/>
          <w:lang w:val="es-US"/>
        </w:rPr>
        <w:t xml:space="preserve">Por otra parte, debe tenerse en cuenta el carácter excepcional </w:t>
      </w:r>
      <w:r>
        <w:rPr>
          <w:color w:val="000000" w:themeColor="text1"/>
          <w:sz w:val="20"/>
          <w:szCs w:val="20"/>
          <w:lang w:val="es-US"/>
        </w:rPr>
        <w:t>de</w:t>
      </w:r>
      <w:r w:rsidRPr="00964425">
        <w:rPr>
          <w:color w:val="000000" w:themeColor="text1"/>
          <w:sz w:val="20"/>
          <w:szCs w:val="20"/>
          <w:lang w:val="es-US"/>
        </w:rPr>
        <w:t xml:space="preserve"> la prisión preventiva</w:t>
      </w:r>
      <w:r>
        <w:rPr>
          <w:rStyle w:val="FootnoteReference"/>
          <w:color w:val="000000" w:themeColor="text1"/>
          <w:sz w:val="20"/>
          <w:szCs w:val="20"/>
          <w:lang w:val="es-US"/>
        </w:rPr>
        <w:footnoteReference w:id="16"/>
      </w:r>
      <w:r w:rsidRPr="00964425">
        <w:rPr>
          <w:color w:val="000000" w:themeColor="text1"/>
          <w:sz w:val="20"/>
          <w:szCs w:val="20"/>
          <w:lang w:val="es-US"/>
        </w:rPr>
        <w:t xml:space="preserve"> </w:t>
      </w:r>
      <w:r>
        <w:rPr>
          <w:color w:val="000000" w:themeColor="text1"/>
          <w:sz w:val="20"/>
          <w:szCs w:val="20"/>
          <w:lang w:val="es-US"/>
        </w:rPr>
        <w:t>, cuya</w:t>
      </w:r>
      <w:r w:rsidRPr="00964425">
        <w:rPr>
          <w:rFonts w:asciiTheme="majorHAnsi" w:hAnsiTheme="majorHAnsi"/>
          <w:sz w:val="20"/>
          <w:szCs w:val="20"/>
          <w:lang w:val="es-ES"/>
        </w:rPr>
        <w:t xml:space="preserve"> aplicación indebida </w:t>
      </w:r>
      <w:r>
        <w:rPr>
          <w:rFonts w:asciiTheme="majorHAnsi" w:hAnsiTheme="majorHAnsi"/>
          <w:sz w:val="20"/>
          <w:szCs w:val="20"/>
          <w:lang w:val="es-ES"/>
        </w:rPr>
        <w:t xml:space="preserve">genera </w:t>
      </w:r>
      <w:r w:rsidRPr="00964425">
        <w:rPr>
          <w:rFonts w:asciiTheme="majorHAnsi" w:hAnsiTheme="majorHAnsi"/>
          <w:sz w:val="20"/>
          <w:szCs w:val="20"/>
          <w:lang w:val="es-ES"/>
        </w:rPr>
        <w:t xml:space="preserve">el derecho </w:t>
      </w:r>
      <w:r>
        <w:rPr>
          <w:rFonts w:asciiTheme="majorHAnsi" w:hAnsiTheme="majorHAnsi"/>
          <w:sz w:val="20"/>
          <w:szCs w:val="20"/>
          <w:lang w:val="es-ES"/>
        </w:rPr>
        <w:t xml:space="preserve">a una </w:t>
      </w:r>
      <w:r w:rsidRPr="00964425">
        <w:rPr>
          <w:rFonts w:asciiTheme="majorHAnsi" w:hAnsiTheme="majorHAnsi"/>
          <w:sz w:val="20"/>
          <w:szCs w:val="20"/>
          <w:lang w:val="es-ES"/>
        </w:rPr>
        <w:t>reparación</w:t>
      </w:r>
      <w:r>
        <w:rPr>
          <w:rStyle w:val="FootnoteReference"/>
          <w:rFonts w:asciiTheme="majorHAnsi" w:hAnsiTheme="majorHAnsi"/>
          <w:sz w:val="20"/>
          <w:szCs w:val="20"/>
          <w:lang w:val="es-ES"/>
        </w:rPr>
        <w:footnoteReference w:id="17"/>
      </w:r>
      <w:r w:rsidRPr="00964425">
        <w:rPr>
          <w:rFonts w:asciiTheme="majorHAnsi" w:hAnsiTheme="majorHAnsi"/>
          <w:sz w:val="20"/>
          <w:szCs w:val="20"/>
          <w:lang w:val="es-ES"/>
        </w:rPr>
        <w:t xml:space="preserve">. La Comisión </w:t>
      </w:r>
      <w:r>
        <w:rPr>
          <w:rFonts w:asciiTheme="majorHAnsi" w:hAnsiTheme="majorHAnsi"/>
          <w:sz w:val="20"/>
          <w:szCs w:val="20"/>
          <w:lang w:val="es-ES"/>
        </w:rPr>
        <w:t>Interamericana</w:t>
      </w:r>
      <w:r w:rsidRPr="00964425">
        <w:rPr>
          <w:rFonts w:asciiTheme="majorHAnsi" w:hAnsiTheme="majorHAnsi"/>
          <w:sz w:val="20"/>
          <w:szCs w:val="20"/>
          <w:lang w:val="es-ES"/>
        </w:rPr>
        <w:t xml:space="preserve"> subraya que, en efecto, la sola liberación de una persona que ha sido privada de su libertad ilegal o arbitrariamente, no es una medida de reparación suficiente cuando se ha producido un daño concreto derivado de este hecho</w:t>
      </w:r>
      <w:r>
        <w:rPr>
          <w:rStyle w:val="FootnoteReference"/>
          <w:rFonts w:asciiTheme="majorHAnsi" w:hAnsiTheme="majorHAnsi"/>
          <w:sz w:val="20"/>
          <w:szCs w:val="20"/>
          <w:lang w:val="es-ES"/>
        </w:rPr>
        <w:footnoteReference w:id="18"/>
      </w:r>
      <w:r w:rsidRPr="00964425">
        <w:rPr>
          <w:rFonts w:asciiTheme="majorHAnsi" w:hAnsiTheme="majorHAnsi"/>
          <w:sz w:val="20"/>
          <w:szCs w:val="20"/>
          <w:lang w:val="es-ES"/>
        </w:rPr>
        <w:t xml:space="preserve">. </w:t>
      </w:r>
      <w:r w:rsidRPr="00964425">
        <w:rPr>
          <w:color w:val="000000" w:themeColor="text1"/>
          <w:sz w:val="20"/>
          <w:szCs w:val="20"/>
          <w:lang w:val="es-US"/>
        </w:rPr>
        <w:t xml:space="preserve">Asimismo, deben considerarse </w:t>
      </w:r>
      <w:r w:rsidRPr="00964425">
        <w:rPr>
          <w:rFonts w:asciiTheme="majorHAnsi" w:hAnsiTheme="majorHAnsi"/>
          <w:sz w:val="20"/>
          <w:szCs w:val="20"/>
          <w:lang w:val="es-ES"/>
        </w:rPr>
        <w:t xml:space="preserve">los lineamientos de una política integral de reparaciones para víctimas de violaciones graves de derechos humanos recomendados por el </w:t>
      </w:r>
      <w:r>
        <w:rPr>
          <w:rFonts w:asciiTheme="majorHAnsi" w:hAnsiTheme="majorHAnsi"/>
          <w:sz w:val="20"/>
          <w:szCs w:val="20"/>
          <w:lang w:val="es-ES"/>
        </w:rPr>
        <w:t>s</w:t>
      </w:r>
      <w:r w:rsidRPr="00964425">
        <w:rPr>
          <w:rFonts w:asciiTheme="majorHAnsi" w:hAnsiTheme="majorHAnsi"/>
          <w:sz w:val="20"/>
          <w:szCs w:val="20"/>
          <w:lang w:val="es-ES"/>
        </w:rPr>
        <w:t xml:space="preserve">istema </w:t>
      </w:r>
      <w:r>
        <w:rPr>
          <w:rFonts w:asciiTheme="majorHAnsi" w:hAnsiTheme="majorHAnsi"/>
          <w:sz w:val="20"/>
          <w:szCs w:val="20"/>
          <w:lang w:val="es-ES"/>
        </w:rPr>
        <w:t>i</w:t>
      </w:r>
      <w:r w:rsidRPr="00964425">
        <w:rPr>
          <w:rFonts w:asciiTheme="majorHAnsi" w:hAnsiTheme="majorHAnsi"/>
          <w:sz w:val="20"/>
          <w:szCs w:val="20"/>
          <w:lang w:val="es-ES"/>
        </w:rPr>
        <w:t>nteramericano</w:t>
      </w:r>
      <w:r>
        <w:rPr>
          <w:rStyle w:val="FootnoteReference"/>
          <w:rFonts w:asciiTheme="majorHAnsi" w:hAnsiTheme="majorHAnsi"/>
          <w:sz w:val="20"/>
          <w:szCs w:val="20"/>
          <w:lang w:val="es-ES"/>
        </w:rPr>
        <w:footnoteReference w:id="19"/>
      </w:r>
      <w:r w:rsidRPr="00964425">
        <w:rPr>
          <w:rFonts w:asciiTheme="majorHAnsi" w:hAnsiTheme="majorHAnsi"/>
          <w:sz w:val="20"/>
          <w:szCs w:val="20"/>
          <w:lang w:val="es-ES"/>
        </w:rPr>
        <w:t xml:space="preserve"> y por la Asamblea General de las Naciones Unidas</w:t>
      </w:r>
      <w:r>
        <w:rPr>
          <w:rStyle w:val="FootnoteReference"/>
          <w:rFonts w:asciiTheme="majorHAnsi" w:hAnsiTheme="majorHAnsi"/>
          <w:sz w:val="20"/>
          <w:szCs w:val="20"/>
          <w:lang w:val="es-ES"/>
        </w:rPr>
        <w:footnoteReference w:id="20"/>
      </w:r>
      <w:r w:rsidRPr="00964425">
        <w:rPr>
          <w:rFonts w:asciiTheme="majorHAnsi" w:hAnsiTheme="majorHAnsi"/>
          <w:sz w:val="20"/>
          <w:szCs w:val="20"/>
          <w:lang w:val="es-ES"/>
        </w:rPr>
        <w:t xml:space="preserve">. </w:t>
      </w:r>
    </w:p>
    <w:p w:rsidR="00964425" w:rsidRPr="00964425" w:rsidRDefault="00964425" w:rsidP="00964425">
      <w:pPr>
        <w:suppressAutoHyphens/>
        <w:jc w:val="both"/>
        <w:rPr>
          <w:sz w:val="20"/>
          <w:szCs w:val="20"/>
          <w:lang w:val="es-ES"/>
        </w:rPr>
      </w:pPr>
    </w:p>
    <w:p w:rsidR="002F7CF1" w:rsidRPr="00DB3D78" w:rsidRDefault="002F7CF1" w:rsidP="00E30EC0">
      <w:pPr>
        <w:pStyle w:val="ListParagraph"/>
        <w:numPr>
          <w:ilvl w:val="0"/>
          <w:numId w:val="55"/>
        </w:numPr>
        <w:suppressAutoHyphens/>
        <w:jc w:val="both"/>
        <w:rPr>
          <w:color w:val="000000" w:themeColor="text1"/>
          <w:sz w:val="20"/>
          <w:szCs w:val="20"/>
          <w:lang w:val="es-US"/>
        </w:rPr>
      </w:pPr>
      <w:r w:rsidRPr="00DB3D78">
        <w:rPr>
          <w:color w:val="000000" w:themeColor="text1"/>
          <w:sz w:val="20"/>
          <w:szCs w:val="20"/>
          <w:lang w:val="es-US"/>
        </w:rPr>
        <w:t xml:space="preserve">En atención a estas consideraciones y tras examinar los elementos de hecho y de derecho expuestos por las partes, la Comisión </w:t>
      </w:r>
      <w:r w:rsidR="00BB66B2">
        <w:rPr>
          <w:color w:val="000000" w:themeColor="text1"/>
          <w:sz w:val="20"/>
          <w:szCs w:val="20"/>
          <w:lang w:val="es-US"/>
        </w:rPr>
        <w:t xml:space="preserve">Interamericana </w:t>
      </w:r>
      <w:r w:rsidRPr="00DB3D78">
        <w:rPr>
          <w:color w:val="000000" w:themeColor="text1"/>
          <w:sz w:val="20"/>
          <w:szCs w:val="20"/>
          <w:lang w:val="es-US"/>
        </w:rPr>
        <w:t>estima que los alegatos de la peticionaria no resultan manifiestamente infundad</w:t>
      </w:r>
      <w:r w:rsidR="00964425">
        <w:rPr>
          <w:color w:val="000000" w:themeColor="text1"/>
          <w:sz w:val="20"/>
          <w:szCs w:val="20"/>
          <w:lang w:val="es-US"/>
        </w:rPr>
        <w:t>o</w:t>
      </w:r>
      <w:r w:rsidRPr="00DB3D78">
        <w:rPr>
          <w:color w:val="000000" w:themeColor="text1"/>
          <w:sz w:val="20"/>
          <w:szCs w:val="20"/>
          <w:lang w:val="es-US"/>
        </w:rPr>
        <w:t>s y requieren un estudio de fondo pues</w:t>
      </w:r>
      <w:r w:rsidR="00964425">
        <w:rPr>
          <w:color w:val="000000" w:themeColor="text1"/>
          <w:sz w:val="20"/>
          <w:szCs w:val="20"/>
          <w:lang w:val="es-US"/>
        </w:rPr>
        <w:t>,</w:t>
      </w:r>
      <w:r w:rsidRPr="00DB3D78">
        <w:rPr>
          <w:color w:val="000000" w:themeColor="text1"/>
          <w:sz w:val="20"/>
          <w:szCs w:val="20"/>
          <w:lang w:val="es-US"/>
        </w:rPr>
        <w:t xml:space="preserve"> de corroborarse como ciertos</w:t>
      </w:r>
      <w:r w:rsidR="00964425">
        <w:rPr>
          <w:color w:val="000000" w:themeColor="text1"/>
          <w:sz w:val="20"/>
          <w:szCs w:val="20"/>
          <w:lang w:val="es-US"/>
        </w:rPr>
        <w:t>,</w:t>
      </w:r>
      <w:r w:rsidRPr="00DB3D78">
        <w:rPr>
          <w:color w:val="000000" w:themeColor="text1"/>
          <w:sz w:val="20"/>
          <w:szCs w:val="20"/>
          <w:lang w:val="es-US"/>
        </w:rPr>
        <w:t xml:space="preserve"> podrían </w:t>
      </w:r>
      <w:r w:rsidR="00964425">
        <w:rPr>
          <w:color w:val="000000" w:themeColor="text1"/>
          <w:sz w:val="20"/>
          <w:szCs w:val="20"/>
          <w:lang w:val="es-US"/>
        </w:rPr>
        <w:t xml:space="preserve">constituir </w:t>
      </w:r>
      <w:r w:rsidRPr="00DB3D78">
        <w:rPr>
          <w:color w:val="000000" w:themeColor="text1"/>
          <w:sz w:val="20"/>
          <w:szCs w:val="20"/>
          <w:lang w:val="es-US"/>
        </w:rPr>
        <w:t xml:space="preserve">violaciones </w:t>
      </w:r>
      <w:r w:rsidR="00964425">
        <w:rPr>
          <w:color w:val="000000" w:themeColor="text1"/>
          <w:sz w:val="20"/>
          <w:szCs w:val="20"/>
          <w:lang w:val="es-US"/>
        </w:rPr>
        <w:t>de</w:t>
      </w:r>
      <w:r w:rsidRPr="00DB3D78">
        <w:rPr>
          <w:color w:val="000000" w:themeColor="text1"/>
          <w:sz w:val="20"/>
          <w:szCs w:val="20"/>
          <w:lang w:val="es-US"/>
        </w:rPr>
        <w:t xml:space="preserve"> los </w:t>
      </w:r>
      <w:r w:rsidR="00964425">
        <w:rPr>
          <w:color w:val="000000" w:themeColor="text1"/>
          <w:sz w:val="20"/>
          <w:szCs w:val="20"/>
          <w:lang w:val="es-US"/>
        </w:rPr>
        <w:t xml:space="preserve">derechos reconocidos en los </w:t>
      </w:r>
      <w:r w:rsidRPr="00DB3D78">
        <w:rPr>
          <w:color w:val="000000" w:themeColor="text1"/>
          <w:sz w:val="20"/>
          <w:szCs w:val="20"/>
          <w:lang w:val="es-US"/>
        </w:rPr>
        <w:t xml:space="preserve">artículos </w:t>
      </w:r>
      <w:r w:rsidRPr="00DB3D78">
        <w:rPr>
          <w:rFonts w:asciiTheme="majorHAnsi" w:hAnsiTheme="majorHAnsi"/>
          <w:bCs/>
          <w:sz w:val="20"/>
          <w:szCs w:val="20"/>
          <w:lang w:val="es-AR"/>
        </w:rPr>
        <w:t>5 (integridad personal), 7 (libertad personal), 8 (garantías judiciales), 10 (indemnización), 25 (protección judicial) de la Convención</w:t>
      </w:r>
      <w:r w:rsidR="00964425">
        <w:rPr>
          <w:rFonts w:asciiTheme="majorHAnsi" w:hAnsiTheme="majorHAnsi"/>
          <w:bCs/>
          <w:sz w:val="20"/>
          <w:szCs w:val="20"/>
          <w:lang w:val="es-AR"/>
        </w:rPr>
        <w:t xml:space="preserve"> Americana</w:t>
      </w:r>
      <w:r w:rsidRPr="00DB3D78">
        <w:rPr>
          <w:rFonts w:asciiTheme="majorHAnsi" w:hAnsiTheme="majorHAnsi"/>
          <w:bCs/>
          <w:sz w:val="20"/>
          <w:szCs w:val="20"/>
          <w:lang w:val="es-AR"/>
        </w:rPr>
        <w:t xml:space="preserve">, </w:t>
      </w:r>
      <w:r w:rsidR="00964425">
        <w:rPr>
          <w:rFonts w:asciiTheme="majorHAnsi" w:hAnsiTheme="majorHAnsi"/>
          <w:bCs/>
          <w:sz w:val="20"/>
          <w:szCs w:val="20"/>
          <w:lang w:val="es-AR"/>
        </w:rPr>
        <w:t>con</w:t>
      </w:r>
      <w:r w:rsidRPr="00DB3D78">
        <w:rPr>
          <w:rFonts w:asciiTheme="majorHAnsi" w:hAnsiTheme="majorHAnsi"/>
          <w:bCs/>
          <w:sz w:val="20"/>
          <w:szCs w:val="20"/>
          <w:lang w:val="es-AR"/>
        </w:rPr>
        <w:t xml:space="preserve"> relación </w:t>
      </w:r>
      <w:r w:rsidR="00964425">
        <w:rPr>
          <w:rFonts w:asciiTheme="majorHAnsi" w:hAnsiTheme="majorHAnsi"/>
          <w:bCs/>
          <w:sz w:val="20"/>
          <w:szCs w:val="20"/>
          <w:lang w:val="es-AR"/>
        </w:rPr>
        <w:t>a</w:t>
      </w:r>
      <w:r w:rsidRPr="00DB3D78">
        <w:rPr>
          <w:rFonts w:asciiTheme="majorHAnsi" w:hAnsiTheme="majorHAnsi"/>
          <w:bCs/>
          <w:sz w:val="20"/>
          <w:szCs w:val="20"/>
          <w:lang w:val="es-AR"/>
        </w:rPr>
        <w:t xml:space="preserve"> sus artículos 1.1 (obligación de respetar los derechos) y 2 (deber de adoptar disposiciones de derecho inter</w:t>
      </w:r>
      <w:r>
        <w:rPr>
          <w:rFonts w:asciiTheme="majorHAnsi" w:hAnsiTheme="majorHAnsi"/>
          <w:bCs/>
          <w:sz w:val="20"/>
          <w:szCs w:val="20"/>
          <w:lang w:val="es-AR"/>
        </w:rPr>
        <w:t>no)</w:t>
      </w:r>
      <w:r w:rsidR="00300C60">
        <w:rPr>
          <w:rFonts w:asciiTheme="majorHAnsi" w:hAnsiTheme="majorHAnsi"/>
          <w:bCs/>
          <w:sz w:val="20"/>
          <w:szCs w:val="20"/>
          <w:lang w:val="es-AR"/>
        </w:rPr>
        <w:t xml:space="preserve">; y </w:t>
      </w:r>
      <w:r w:rsidR="00964425">
        <w:rPr>
          <w:rFonts w:asciiTheme="majorHAnsi" w:hAnsiTheme="majorHAnsi"/>
          <w:bCs/>
          <w:sz w:val="20"/>
          <w:szCs w:val="20"/>
          <w:lang w:val="es-AR"/>
        </w:rPr>
        <w:t xml:space="preserve">del </w:t>
      </w:r>
      <w:r w:rsidR="00300C60">
        <w:rPr>
          <w:rFonts w:asciiTheme="majorHAnsi" w:hAnsiTheme="majorHAnsi"/>
          <w:bCs/>
          <w:sz w:val="20"/>
          <w:szCs w:val="20"/>
          <w:lang w:val="es-AR"/>
        </w:rPr>
        <w:t>artículo 2</w:t>
      </w:r>
      <w:r w:rsidR="00300C60" w:rsidRPr="00300C60">
        <w:rPr>
          <w:rFonts w:asciiTheme="majorHAnsi" w:hAnsiTheme="majorHAnsi"/>
          <w:bCs/>
          <w:sz w:val="20"/>
          <w:szCs w:val="20"/>
          <w:lang w:val="es-AR"/>
        </w:rPr>
        <w:t xml:space="preserve"> </w:t>
      </w:r>
      <w:r w:rsidR="00300C60">
        <w:rPr>
          <w:rFonts w:asciiTheme="majorHAnsi" w:hAnsiTheme="majorHAnsi"/>
          <w:bCs/>
          <w:sz w:val="20"/>
          <w:szCs w:val="20"/>
          <w:lang w:val="es-AR"/>
        </w:rPr>
        <w:t>de la Convención Interamericana para Prevenir y Erradicar la Tortura .</w:t>
      </w:r>
    </w:p>
    <w:p w:rsidR="00AB1F21" w:rsidRPr="00AB1F21" w:rsidRDefault="00AB1F21" w:rsidP="00AB1F21">
      <w:pPr>
        <w:pStyle w:val="ListParagraph"/>
        <w:suppressAutoHyphens/>
        <w:jc w:val="both"/>
        <w:rPr>
          <w:sz w:val="20"/>
          <w:szCs w:val="20"/>
          <w:lang w:val="es-AR"/>
        </w:rPr>
      </w:pPr>
    </w:p>
    <w:p w:rsidR="00AB1F21" w:rsidRPr="00AB1F21" w:rsidRDefault="00AB1F21" w:rsidP="00AB1F21">
      <w:pPr>
        <w:pStyle w:val="ListParagraph"/>
        <w:contextualSpacing/>
        <w:jc w:val="both"/>
        <w:rPr>
          <w:rFonts w:cs="Calibri"/>
          <w:sz w:val="20"/>
          <w:szCs w:val="20"/>
          <w:lang w:val="es-ES_tradnl"/>
        </w:rPr>
      </w:pPr>
    </w:p>
    <w:p w:rsidR="00300C60" w:rsidRPr="00E672EE" w:rsidRDefault="00300C60" w:rsidP="00E30EC0">
      <w:pPr>
        <w:pStyle w:val="ListParagraph"/>
        <w:numPr>
          <w:ilvl w:val="0"/>
          <w:numId w:val="55"/>
        </w:numPr>
        <w:contextualSpacing/>
        <w:jc w:val="both"/>
        <w:rPr>
          <w:rFonts w:cs="Calibri"/>
          <w:sz w:val="20"/>
          <w:szCs w:val="20"/>
          <w:lang w:val="es-ES_tradnl"/>
        </w:rPr>
      </w:pPr>
      <w:r w:rsidRPr="00414875">
        <w:rPr>
          <w:rFonts w:cs="Calibri"/>
          <w:sz w:val="20"/>
          <w:szCs w:val="20"/>
          <w:lang w:val="es-ES"/>
        </w:rPr>
        <w:t>E</w:t>
      </w:r>
      <w:r w:rsidRPr="00414875">
        <w:rPr>
          <w:rFonts w:cs="Calibri"/>
          <w:sz w:val="20"/>
          <w:szCs w:val="20"/>
          <w:lang w:val="es-ES_tradnl"/>
        </w:rPr>
        <w:t>n relación con el Pacto Internacional de Derechos Civiles y Políticos</w:t>
      </w:r>
      <w:r>
        <w:rPr>
          <w:rFonts w:cs="Calibri"/>
          <w:sz w:val="20"/>
          <w:szCs w:val="20"/>
          <w:lang w:val="es-ES_tradnl"/>
        </w:rPr>
        <w:t xml:space="preserve"> y los </w:t>
      </w:r>
      <w:r>
        <w:rPr>
          <w:rFonts w:asciiTheme="majorHAnsi" w:hAnsiTheme="majorHAnsi"/>
          <w:sz w:val="20"/>
          <w:szCs w:val="20"/>
          <w:lang w:val="es-ES"/>
        </w:rPr>
        <w:t xml:space="preserve">Principios </w:t>
      </w:r>
      <w:r w:rsidR="00964425">
        <w:rPr>
          <w:rFonts w:asciiTheme="majorHAnsi" w:hAnsiTheme="majorHAnsi"/>
          <w:sz w:val="20"/>
          <w:szCs w:val="20"/>
          <w:lang w:val="es-ES"/>
        </w:rPr>
        <w:t>sobre</w:t>
      </w:r>
      <w:r>
        <w:rPr>
          <w:rFonts w:asciiTheme="majorHAnsi" w:hAnsiTheme="majorHAnsi"/>
          <w:sz w:val="20"/>
          <w:szCs w:val="20"/>
          <w:lang w:val="es-ES"/>
        </w:rPr>
        <w:t xml:space="preserve"> reparaciones adoptad</w:t>
      </w:r>
      <w:r w:rsidR="00964425">
        <w:rPr>
          <w:rFonts w:asciiTheme="majorHAnsi" w:hAnsiTheme="majorHAnsi"/>
          <w:sz w:val="20"/>
          <w:szCs w:val="20"/>
          <w:lang w:val="es-ES"/>
        </w:rPr>
        <w:t>os</w:t>
      </w:r>
      <w:r>
        <w:rPr>
          <w:rFonts w:asciiTheme="majorHAnsi" w:hAnsiTheme="majorHAnsi"/>
          <w:sz w:val="20"/>
          <w:szCs w:val="20"/>
          <w:lang w:val="es-ES"/>
        </w:rPr>
        <w:t xml:space="preserve"> por las Naciones Unidas</w:t>
      </w:r>
      <w:r w:rsidRPr="00414875">
        <w:rPr>
          <w:rFonts w:cs="Calibri"/>
          <w:sz w:val="20"/>
          <w:szCs w:val="20"/>
          <w:lang w:val="es-ES_tradnl"/>
        </w:rPr>
        <w:t xml:space="preserve">, la Comisión carece de competencia para establecer violaciones </w:t>
      </w:r>
      <w:r w:rsidR="00294DE5">
        <w:rPr>
          <w:rFonts w:cs="Calibri"/>
          <w:sz w:val="20"/>
          <w:szCs w:val="20"/>
          <w:lang w:val="es-ES_tradnl"/>
        </w:rPr>
        <w:t xml:space="preserve">de tales </w:t>
      </w:r>
      <w:r w:rsidRPr="00414875">
        <w:rPr>
          <w:rFonts w:cs="Calibri"/>
          <w:sz w:val="20"/>
          <w:szCs w:val="20"/>
          <w:lang w:val="es-ES_tradnl"/>
        </w:rPr>
        <w:t>dicho</w:t>
      </w:r>
      <w:r>
        <w:rPr>
          <w:rFonts w:cs="Calibri"/>
          <w:sz w:val="20"/>
          <w:szCs w:val="20"/>
          <w:lang w:val="es-ES_tradnl"/>
        </w:rPr>
        <w:t>s instrumentos</w:t>
      </w:r>
      <w:r w:rsidRPr="00414875">
        <w:rPr>
          <w:rFonts w:cs="Calibri"/>
          <w:sz w:val="20"/>
          <w:szCs w:val="20"/>
          <w:lang w:val="es-ES_tradnl"/>
        </w:rPr>
        <w:t>, sin perjuicio de lo cual podrá tomarlo</w:t>
      </w:r>
      <w:r w:rsidR="00294DE5">
        <w:rPr>
          <w:rFonts w:cs="Calibri"/>
          <w:sz w:val="20"/>
          <w:szCs w:val="20"/>
          <w:lang w:val="es-ES_tradnl"/>
        </w:rPr>
        <w:t>s</w:t>
      </w:r>
      <w:r w:rsidRPr="00414875">
        <w:rPr>
          <w:rFonts w:cs="Calibri"/>
          <w:sz w:val="20"/>
          <w:szCs w:val="20"/>
          <w:lang w:val="es-ES_tradnl"/>
        </w:rPr>
        <w:t xml:space="preserve"> en cuenta como parte de su ejercicio interpretativo de las normas de la Convención Americana en la etapa de fondo del presente caso, en los términos del artículo 29 de la Convención</w:t>
      </w:r>
      <w:r w:rsidR="00294DE5">
        <w:rPr>
          <w:rFonts w:cs="Calibri"/>
          <w:sz w:val="20"/>
          <w:szCs w:val="20"/>
          <w:lang w:val="es-ES_tradnl"/>
        </w:rPr>
        <w:t xml:space="preserve"> Americana</w:t>
      </w:r>
      <w:r w:rsidRPr="00414875">
        <w:rPr>
          <w:rStyle w:val="FootnoteReference"/>
          <w:rFonts w:cs="Calibri"/>
          <w:sz w:val="20"/>
          <w:szCs w:val="20"/>
        </w:rPr>
        <w:footnoteReference w:id="21"/>
      </w:r>
      <w:r w:rsidRPr="00414875">
        <w:rPr>
          <w:rFonts w:cs="Calibri"/>
          <w:sz w:val="20"/>
          <w:szCs w:val="20"/>
          <w:lang w:val="es-ES_tradnl"/>
        </w:rPr>
        <w:t>.</w:t>
      </w:r>
    </w:p>
    <w:p w:rsidR="00043328" w:rsidRPr="00AB1F21" w:rsidRDefault="00043328" w:rsidP="00E30EC0">
      <w:pPr>
        <w:suppressAutoHyphens/>
        <w:ind w:left="720"/>
        <w:jc w:val="both"/>
        <w:rPr>
          <w:rFonts w:asciiTheme="majorHAnsi" w:hAnsiTheme="majorHAnsi"/>
          <w:b/>
          <w:bCs/>
          <w:sz w:val="20"/>
          <w:szCs w:val="20"/>
          <w:lang w:val="es-ES_tradnl"/>
        </w:rPr>
      </w:pPr>
    </w:p>
    <w:p w:rsidR="00355ECF" w:rsidRDefault="00355ECF" w:rsidP="00E30EC0">
      <w:pPr>
        <w:suppressAutoHyphens/>
        <w:ind w:left="720"/>
        <w:jc w:val="both"/>
        <w:rPr>
          <w:rFonts w:asciiTheme="majorHAnsi" w:hAnsiTheme="majorHAnsi"/>
          <w:b/>
          <w:bCs/>
          <w:sz w:val="20"/>
          <w:szCs w:val="20"/>
          <w:lang w:val="es-ES"/>
        </w:rPr>
      </w:pPr>
    </w:p>
    <w:p w:rsidR="00355ECF" w:rsidRDefault="00355ECF" w:rsidP="00E30EC0">
      <w:pPr>
        <w:suppressAutoHyphens/>
        <w:ind w:left="720"/>
        <w:jc w:val="both"/>
        <w:rPr>
          <w:rFonts w:asciiTheme="majorHAnsi" w:hAnsiTheme="majorHAnsi"/>
          <w:b/>
          <w:bCs/>
          <w:sz w:val="20"/>
          <w:szCs w:val="20"/>
          <w:lang w:val="es-ES"/>
        </w:rPr>
      </w:pPr>
    </w:p>
    <w:p w:rsidR="008B67EE" w:rsidRDefault="008B67EE" w:rsidP="00E30EC0">
      <w:pPr>
        <w:suppressAutoHyphens/>
        <w:ind w:left="7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VIII. </w:t>
      </w:r>
      <w:r w:rsidRPr="00006B74">
        <w:rPr>
          <w:rFonts w:asciiTheme="majorHAnsi" w:hAnsiTheme="majorHAnsi"/>
          <w:b/>
          <w:bCs/>
          <w:sz w:val="20"/>
          <w:szCs w:val="20"/>
          <w:lang w:val="es-ES"/>
        </w:rPr>
        <w:tab/>
        <w:t>DECISIÓN</w:t>
      </w:r>
    </w:p>
    <w:p w:rsidR="00AB1F21" w:rsidRDefault="00AB1F21" w:rsidP="00AB1F21">
      <w:pPr>
        <w:suppressAutoHyphens/>
        <w:ind w:left="720"/>
        <w:jc w:val="both"/>
        <w:rPr>
          <w:rFonts w:ascii="Cambria" w:hAnsi="Cambria"/>
          <w:sz w:val="20"/>
          <w:szCs w:val="20"/>
          <w:lang w:val="es-US"/>
        </w:rPr>
      </w:pPr>
    </w:p>
    <w:p w:rsidR="002F7CF1" w:rsidRDefault="002F7CF1" w:rsidP="00E30EC0">
      <w:pPr>
        <w:numPr>
          <w:ilvl w:val="0"/>
          <w:numId w:val="56"/>
        </w:numPr>
        <w:suppressAutoHyphens/>
        <w:jc w:val="both"/>
        <w:rPr>
          <w:rFonts w:ascii="Cambria" w:hAnsi="Cambria"/>
          <w:sz w:val="20"/>
          <w:szCs w:val="20"/>
          <w:lang w:val="es-US"/>
        </w:rPr>
      </w:pPr>
      <w:r w:rsidRPr="00F55AA9">
        <w:rPr>
          <w:rFonts w:ascii="Cambria" w:hAnsi="Cambria"/>
          <w:sz w:val="20"/>
          <w:szCs w:val="20"/>
          <w:lang w:val="es-US"/>
        </w:rPr>
        <w:t xml:space="preserve">Declarar admisible la presente petición en relación con los artículos </w:t>
      </w:r>
      <w:r>
        <w:rPr>
          <w:rFonts w:ascii="Cambria" w:hAnsi="Cambria"/>
          <w:sz w:val="20"/>
          <w:szCs w:val="20"/>
          <w:lang w:val="es-US"/>
        </w:rPr>
        <w:t>5, 7, 8, 10 y 25</w:t>
      </w:r>
      <w:r w:rsidRPr="00F55AA9">
        <w:rPr>
          <w:rFonts w:ascii="Cambria" w:hAnsi="Cambria"/>
          <w:sz w:val="20"/>
          <w:szCs w:val="20"/>
          <w:lang w:val="es-US"/>
        </w:rPr>
        <w:t xml:space="preserve"> de la Convención Americana, en concordancia con lo</w:t>
      </w:r>
      <w:r>
        <w:rPr>
          <w:rFonts w:ascii="Cambria" w:hAnsi="Cambria"/>
          <w:sz w:val="20"/>
          <w:szCs w:val="20"/>
          <w:lang w:val="es-US"/>
        </w:rPr>
        <w:t xml:space="preserve">s artículos 1.1 y 2 de la misma; y artículo 2 de la </w:t>
      </w:r>
      <w:r>
        <w:rPr>
          <w:rFonts w:asciiTheme="majorHAnsi" w:hAnsiTheme="majorHAnsi"/>
          <w:bCs/>
          <w:sz w:val="20"/>
          <w:szCs w:val="20"/>
          <w:lang w:val="es-AR"/>
        </w:rPr>
        <w:t>Convención Interamericana para Prevenir y Erradicar la Tortura.</w:t>
      </w:r>
    </w:p>
    <w:p w:rsidR="00AB1F21" w:rsidRDefault="00AB1F21" w:rsidP="00AB1F21">
      <w:pPr>
        <w:suppressAutoHyphens/>
        <w:jc w:val="both"/>
        <w:rPr>
          <w:rFonts w:ascii="Cambria" w:hAnsi="Cambria"/>
          <w:sz w:val="20"/>
          <w:szCs w:val="20"/>
          <w:lang w:val="es-US"/>
        </w:rPr>
      </w:pPr>
    </w:p>
    <w:p w:rsidR="002F7CF1" w:rsidRPr="00F55AA9" w:rsidRDefault="002F7CF1" w:rsidP="00E30EC0">
      <w:pPr>
        <w:numPr>
          <w:ilvl w:val="0"/>
          <w:numId w:val="56"/>
        </w:numPr>
        <w:suppressAutoHyphens/>
        <w:jc w:val="both"/>
        <w:rPr>
          <w:rFonts w:ascii="Cambria" w:hAnsi="Cambria"/>
          <w:sz w:val="20"/>
          <w:szCs w:val="20"/>
          <w:lang w:val="es-US"/>
        </w:rPr>
      </w:pPr>
      <w:r w:rsidRPr="00F55AA9">
        <w:rPr>
          <w:rFonts w:ascii="Cambria" w:hAnsi="Cambria"/>
          <w:sz w:val="20"/>
          <w:szCs w:val="20"/>
          <w:lang w:val="es-US"/>
        </w:rPr>
        <w:t>Notificar a las partes la presente decisión; continuar con el análisis del fondo de la cuestión; y publicar esta decisión e incluirla en su Informe Anual a la Asamblea General de la Organización de los Estados Americanos.</w:t>
      </w:r>
    </w:p>
    <w:p w:rsidR="002F7CF1" w:rsidRDefault="002F7CF1" w:rsidP="00E30EC0">
      <w:pPr>
        <w:pStyle w:val="ListParagraph"/>
        <w:jc w:val="both"/>
        <w:rPr>
          <w:sz w:val="20"/>
          <w:szCs w:val="20"/>
          <w:lang w:val="es-AR"/>
        </w:rPr>
      </w:pPr>
    </w:p>
    <w:p w:rsidR="00355ECF" w:rsidRPr="00A37B82" w:rsidRDefault="00355ECF" w:rsidP="00355EC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sidR="0098023D">
        <w:rPr>
          <w:rFonts w:asciiTheme="majorHAnsi" w:hAnsiTheme="majorHAnsi" w:cs="Arial"/>
          <w:noProof/>
          <w:spacing w:val="-2"/>
          <w:sz w:val="20"/>
          <w:szCs w:val="20"/>
          <w:lang w:val="es-CL"/>
        </w:rPr>
        <w:t>2</w:t>
      </w:r>
      <w:r w:rsidRPr="00A37B82">
        <w:rPr>
          <w:rFonts w:asciiTheme="majorHAnsi" w:hAnsiTheme="majorHAnsi" w:cs="Arial"/>
          <w:noProof/>
          <w:spacing w:val="-2"/>
          <w:sz w:val="20"/>
          <w:szCs w:val="20"/>
          <w:lang w:val="es-CL"/>
        </w:rPr>
        <w:t xml:space="preserve"> días del mes de </w:t>
      </w:r>
      <w:r w:rsidR="0098023D">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sidR="0098023D">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355ECF" w:rsidRPr="00A37B82"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B17875" w16cid:durableId="2163215D"/>
  <w16cid:commentId w16cid:paraId="136713D2" w16cid:durableId="21632144"/>
  <w16cid:commentId w16cid:paraId="747027AB" w16cid:durableId="216321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1B9" w:rsidRDefault="001161B9">
      <w:r>
        <w:separator/>
      </w:r>
    </w:p>
  </w:endnote>
  <w:endnote w:type="continuationSeparator" w:id="0">
    <w:p w:rsidR="001161B9" w:rsidRDefault="0011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19F" w:rsidRDefault="000D21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79766"/>
      <w:docPartObj>
        <w:docPartGallery w:val="Page Numbers (Bottom of Page)"/>
        <w:docPartUnique/>
      </w:docPartObj>
    </w:sdtPr>
    <w:sdtEndPr>
      <w:rPr>
        <w:noProof/>
        <w:sz w:val="16"/>
        <w:szCs w:val="16"/>
      </w:rPr>
    </w:sdtEndPr>
    <w:sdtContent>
      <w:p w:rsidR="00DB2701" w:rsidRPr="00830045" w:rsidRDefault="00DB2701">
        <w:pPr>
          <w:pStyle w:val="Footer"/>
          <w:jc w:val="center"/>
          <w:rPr>
            <w:sz w:val="16"/>
            <w:szCs w:val="16"/>
          </w:rPr>
        </w:pPr>
        <w:r w:rsidRPr="00830045">
          <w:rPr>
            <w:sz w:val="16"/>
            <w:szCs w:val="16"/>
          </w:rPr>
          <w:fldChar w:fldCharType="begin"/>
        </w:r>
        <w:r w:rsidRPr="00830045">
          <w:rPr>
            <w:sz w:val="16"/>
            <w:szCs w:val="16"/>
          </w:rPr>
          <w:instrText xml:space="preserve"> PAGE   \* MERGEFORMAT </w:instrText>
        </w:r>
        <w:r w:rsidRPr="00830045">
          <w:rPr>
            <w:sz w:val="16"/>
            <w:szCs w:val="16"/>
          </w:rPr>
          <w:fldChar w:fldCharType="separate"/>
        </w:r>
        <w:r w:rsidR="000D219F">
          <w:rPr>
            <w:noProof/>
            <w:sz w:val="16"/>
            <w:szCs w:val="16"/>
          </w:rPr>
          <w:t>3</w:t>
        </w:r>
        <w:r w:rsidRPr="00830045">
          <w:rPr>
            <w:noProof/>
            <w:sz w:val="16"/>
            <w:szCs w:val="16"/>
          </w:rPr>
          <w:fldChar w:fldCharType="end"/>
        </w:r>
      </w:p>
    </w:sdtContent>
  </w:sdt>
  <w:p w:rsidR="00DB2701" w:rsidRDefault="00DB27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01" w:rsidRPr="00934A2C" w:rsidRDefault="00DB2701">
    <w:pPr>
      <w:pStyle w:val="Footer"/>
      <w:jc w:val="center"/>
      <w:rPr>
        <w:sz w:val="16"/>
        <w:szCs w:val="22"/>
      </w:rPr>
    </w:pPr>
  </w:p>
  <w:p w:rsidR="00DB2701" w:rsidRDefault="00DB2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1B9" w:rsidRPr="000F35ED" w:rsidRDefault="001161B9">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161B9" w:rsidRPr="000F35ED" w:rsidRDefault="001161B9" w:rsidP="000F35ED">
      <w:pPr>
        <w:rPr>
          <w:rFonts w:asciiTheme="majorHAnsi" w:hAnsiTheme="majorHAnsi"/>
          <w:sz w:val="16"/>
          <w:szCs w:val="16"/>
        </w:rPr>
      </w:pPr>
      <w:r w:rsidRPr="000F35ED">
        <w:rPr>
          <w:rFonts w:asciiTheme="majorHAnsi" w:hAnsiTheme="majorHAnsi"/>
          <w:sz w:val="16"/>
          <w:szCs w:val="16"/>
        </w:rPr>
        <w:separator/>
      </w:r>
    </w:p>
    <w:p w:rsidR="001161B9" w:rsidRPr="000F35ED" w:rsidRDefault="001161B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1161B9" w:rsidRPr="000F35ED" w:rsidRDefault="001161B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DB2701" w:rsidRPr="005A0D18" w:rsidRDefault="00355ECF" w:rsidP="005A0D18">
      <w:pPr>
        <w:pStyle w:val="FootnoteText"/>
        <w:jc w:val="both"/>
        <w:rPr>
          <w:rFonts w:asciiTheme="majorHAnsi" w:hAnsiTheme="majorHAnsi"/>
          <w:sz w:val="16"/>
          <w:szCs w:val="16"/>
          <w:lang w:val="es-ES"/>
        </w:rPr>
      </w:pPr>
      <w:r>
        <w:rPr>
          <w:rFonts w:asciiTheme="majorHAnsi" w:hAnsiTheme="majorHAnsi"/>
          <w:sz w:val="16"/>
          <w:szCs w:val="16"/>
          <w:lang w:val="es-ES"/>
        </w:rPr>
        <w:tab/>
      </w:r>
      <w:r w:rsidR="00DB2701" w:rsidRPr="005A0D18">
        <w:rPr>
          <w:rStyle w:val="FootnoteReference"/>
          <w:rFonts w:asciiTheme="majorHAnsi" w:hAnsiTheme="majorHAnsi"/>
          <w:sz w:val="16"/>
          <w:szCs w:val="16"/>
        </w:rPr>
        <w:footnoteRef/>
      </w:r>
      <w:r w:rsidR="00DB2701" w:rsidRPr="005A0D18">
        <w:rPr>
          <w:rFonts w:asciiTheme="majorHAnsi" w:hAnsiTheme="majorHAnsi"/>
          <w:sz w:val="16"/>
          <w:szCs w:val="16"/>
          <w:lang w:val="es-ES"/>
        </w:rPr>
        <w:t xml:space="preserve"> La petición refiere a presuntas víctimas que se individualizan mediante documento anexo.</w:t>
      </w:r>
    </w:p>
    <w:p w:rsidR="00DB2701" w:rsidRPr="005A0D18" w:rsidRDefault="00355ECF" w:rsidP="005A0D18">
      <w:pPr>
        <w:pStyle w:val="FootnoteText"/>
        <w:jc w:val="both"/>
        <w:rPr>
          <w:rFonts w:asciiTheme="majorHAnsi" w:hAnsiTheme="majorHAnsi"/>
          <w:sz w:val="16"/>
          <w:szCs w:val="16"/>
          <w:lang w:val="es-ES"/>
        </w:rPr>
      </w:pPr>
      <w:r>
        <w:rPr>
          <w:rFonts w:asciiTheme="majorHAnsi" w:hAnsiTheme="majorHAnsi"/>
          <w:sz w:val="16"/>
          <w:szCs w:val="16"/>
          <w:vertAlign w:val="superscript"/>
          <w:lang w:val="es-ES"/>
        </w:rPr>
        <w:tab/>
      </w:r>
      <w:r w:rsidR="00DB2701" w:rsidRPr="005A0D18">
        <w:rPr>
          <w:rFonts w:asciiTheme="majorHAnsi" w:hAnsiTheme="majorHAnsi"/>
          <w:sz w:val="16"/>
          <w:szCs w:val="16"/>
          <w:vertAlign w:val="superscript"/>
          <w:lang w:val="es-ES"/>
        </w:rPr>
        <w:t xml:space="preserve">2 </w:t>
      </w:r>
      <w:r w:rsidR="00235E18">
        <w:rPr>
          <w:rFonts w:asciiTheme="majorHAnsi" w:hAnsiTheme="majorHAnsi"/>
          <w:sz w:val="16"/>
          <w:szCs w:val="16"/>
          <w:vertAlign w:val="superscript"/>
          <w:lang w:val="es-ES"/>
        </w:rPr>
        <w:t xml:space="preserve">  </w:t>
      </w:r>
      <w:r w:rsidR="00DB2701" w:rsidRPr="005A0D18">
        <w:rPr>
          <w:rFonts w:asciiTheme="majorHAnsi" w:hAnsiTheme="majorHAnsi"/>
          <w:sz w:val="16"/>
          <w:szCs w:val="16"/>
          <w:lang w:val="es-ES"/>
        </w:rPr>
        <w:t>En adelante “Convención” o “Convención Americana”</w:t>
      </w:r>
      <w:r w:rsidR="00DB2701">
        <w:rPr>
          <w:rFonts w:asciiTheme="majorHAnsi" w:hAnsiTheme="majorHAnsi"/>
          <w:sz w:val="16"/>
          <w:szCs w:val="16"/>
          <w:lang w:val="es-ES"/>
        </w:rPr>
        <w:t>.</w:t>
      </w:r>
    </w:p>
  </w:footnote>
  <w:footnote w:id="3">
    <w:p w:rsidR="00355ECF" w:rsidRPr="00235E18" w:rsidRDefault="00235E18" w:rsidP="00355ECF">
      <w:pPr>
        <w:pStyle w:val="FootnoteText"/>
        <w:jc w:val="both"/>
        <w:rPr>
          <w:rFonts w:asciiTheme="majorHAnsi" w:hAnsiTheme="majorHAnsi"/>
          <w:sz w:val="16"/>
          <w:szCs w:val="16"/>
          <w:lang w:val="es-419"/>
        </w:rPr>
      </w:pPr>
      <w:r w:rsidRPr="00235E18">
        <w:rPr>
          <w:rFonts w:asciiTheme="majorHAnsi" w:hAnsiTheme="majorHAnsi"/>
          <w:sz w:val="16"/>
          <w:szCs w:val="16"/>
          <w:lang w:val="es-ES"/>
        </w:rPr>
        <w:tab/>
      </w:r>
      <w:r w:rsidRPr="00235E18">
        <w:rPr>
          <w:rFonts w:asciiTheme="majorHAnsi" w:hAnsiTheme="majorHAnsi"/>
          <w:sz w:val="16"/>
          <w:szCs w:val="16"/>
          <w:vertAlign w:val="superscript"/>
          <w:lang w:val="es-ES"/>
        </w:rPr>
        <w:t>3</w:t>
      </w:r>
      <w:r w:rsidRPr="00235E18">
        <w:rPr>
          <w:rFonts w:asciiTheme="majorHAnsi" w:hAnsiTheme="majorHAnsi"/>
          <w:sz w:val="16"/>
          <w:szCs w:val="16"/>
          <w:lang w:val="es-ES"/>
        </w:rPr>
        <w:t xml:space="preserve"> </w:t>
      </w:r>
      <w:r w:rsidR="00355ECF" w:rsidRPr="00235E18">
        <w:rPr>
          <w:rFonts w:asciiTheme="majorHAnsi" w:hAnsiTheme="majorHAnsi"/>
          <w:sz w:val="16"/>
          <w:szCs w:val="16"/>
          <w:lang w:val="es-ES"/>
        </w:rPr>
        <w:t>Conforme a lo dispuesto en el artículo 17.2.a del Reglamento de la Comisión, la comisionada Julissa Mantilla Falcón, de nacionalidad peruana, no participó en el debate ni en la decisión del presente asunto.</w:t>
      </w:r>
      <w:r w:rsidR="00355ECF" w:rsidRPr="00235E18">
        <w:rPr>
          <w:rFonts w:asciiTheme="majorHAnsi" w:hAnsiTheme="majorHAnsi"/>
          <w:sz w:val="16"/>
          <w:szCs w:val="16"/>
          <w:lang w:val="es-ES"/>
        </w:rPr>
        <w:tab/>
        <w:t xml:space="preserve"> </w:t>
      </w:r>
    </w:p>
  </w:footnote>
  <w:footnote w:id="4">
    <w:p w:rsidR="00DB2701" w:rsidRPr="00355ECF" w:rsidRDefault="00DB2701" w:rsidP="004822F2">
      <w:pPr>
        <w:pStyle w:val="FootnoteText"/>
        <w:tabs>
          <w:tab w:val="left" w:pos="3117"/>
        </w:tabs>
        <w:jc w:val="both"/>
        <w:rPr>
          <w:rFonts w:asciiTheme="majorHAnsi" w:hAnsiTheme="majorHAnsi"/>
          <w:sz w:val="2"/>
          <w:szCs w:val="2"/>
          <w:lang w:val="es-ES"/>
        </w:rPr>
      </w:pPr>
    </w:p>
  </w:footnote>
  <w:footnote w:id="5">
    <w:p w:rsidR="00DB2701" w:rsidRPr="005A0D18" w:rsidRDefault="00355ECF" w:rsidP="005A0D18">
      <w:pPr>
        <w:pStyle w:val="FootnoteText"/>
        <w:jc w:val="both"/>
        <w:rPr>
          <w:rFonts w:ascii="Cambria" w:hAnsi="Cambria"/>
          <w:sz w:val="16"/>
          <w:szCs w:val="16"/>
          <w:lang w:val="es-ES"/>
        </w:rPr>
      </w:pPr>
      <w:r>
        <w:rPr>
          <w:rStyle w:val="FootnoteReference"/>
          <w:rFonts w:asciiTheme="majorHAnsi" w:hAnsiTheme="majorHAnsi"/>
          <w:sz w:val="16"/>
          <w:szCs w:val="16"/>
          <w:lang w:val="es-ES"/>
        </w:rPr>
        <w:tab/>
      </w:r>
      <w:r w:rsidR="00DB2701" w:rsidRPr="005A0D18">
        <w:rPr>
          <w:rStyle w:val="FootnoteReference"/>
          <w:rFonts w:asciiTheme="majorHAnsi" w:hAnsiTheme="majorHAnsi"/>
          <w:sz w:val="16"/>
          <w:szCs w:val="16"/>
        </w:rPr>
        <w:footnoteRef/>
      </w:r>
      <w:r w:rsidR="00DB2701" w:rsidRPr="005A0D18">
        <w:rPr>
          <w:rStyle w:val="FootnoteReference"/>
          <w:rFonts w:asciiTheme="majorHAnsi" w:hAnsiTheme="majorHAnsi"/>
          <w:sz w:val="16"/>
          <w:szCs w:val="16"/>
          <w:lang w:val="es-ES"/>
        </w:rPr>
        <w:t xml:space="preserve"> </w:t>
      </w:r>
      <w:r w:rsidR="00DB2701" w:rsidRPr="005A0D18">
        <w:rPr>
          <w:rFonts w:asciiTheme="majorHAnsi" w:hAnsiTheme="majorHAnsi"/>
          <w:sz w:val="16"/>
          <w:szCs w:val="16"/>
          <w:lang w:val="es-ES"/>
        </w:rPr>
        <w:t>Artículos 2.3.a), 2.3.b), 9.5 y 14.6</w:t>
      </w:r>
      <w:r w:rsidR="00DB2701" w:rsidRPr="005A0D18">
        <w:rPr>
          <w:rFonts w:ascii="Cambria" w:hAnsi="Cambria"/>
          <w:sz w:val="16"/>
          <w:szCs w:val="16"/>
          <w:lang w:val="es-ES"/>
        </w:rPr>
        <w:t xml:space="preserve"> del Pacto Internacional de Derechos Civiles y Políticos</w:t>
      </w:r>
      <w:r w:rsidR="00DB2701">
        <w:rPr>
          <w:rFonts w:ascii="Cambria" w:hAnsi="Cambria"/>
          <w:sz w:val="16"/>
          <w:szCs w:val="16"/>
          <w:lang w:val="es-ES"/>
        </w:rPr>
        <w:t xml:space="preserve">; </w:t>
      </w:r>
      <w:r w:rsidR="00DB2701" w:rsidRPr="005A0D18">
        <w:rPr>
          <w:rFonts w:asciiTheme="majorHAnsi" w:hAnsiTheme="majorHAnsi"/>
          <w:sz w:val="16"/>
          <w:szCs w:val="16"/>
          <w:lang w:val="es-ES"/>
        </w:rPr>
        <w:t>Principio VI de los Principios y directrices básicos sobre el derecho de las víctimas de violaciones manifiestas de las normas internacionales de derechos humanos y de violaciones graves del derecho internacional humanitario a interponer recursos y obtener reparaciones aprobada el 16 de diciembre de 2005</w:t>
      </w:r>
      <w:r w:rsidR="00DB2701">
        <w:rPr>
          <w:rFonts w:asciiTheme="majorHAnsi" w:hAnsiTheme="majorHAnsi"/>
          <w:sz w:val="16"/>
          <w:szCs w:val="16"/>
          <w:lang w:val="es-ES"/>
        </w:rPr>
        <w:t xml:space="preserve"> </w:t>
      </w:r>
      <w:r w:rsidR="00DB2701" w:rsidRPr="005A0D18">
        <w:rPr>
          <w:rFonts w:asciiTheme="majorHAnsi" w:hAnsiTheme="majorHAnsi"/>
          <w:sz w:val="16"/>
          <w:szCs w:val="16"/>
          <w:lang w:val="es-ES"/>
        </w:rPr>
        <w:t xml:space="preserve">por la Resolución 60/147 </w:t>
      </w:r>
      <w:r w:rsidR="00DB2701">
        <w:rPr>
          <w:rFonts w:asciiTheme="majorHAnsi" w:hAnsiTheme="majorHAnsi"/>
          <w:sz w:val="16"/>
          <w:szCs w:val="16"/>
          <w:lang w:val="es-ES"/>
        </w:rPr>
        <w:t>de</w:t>
      </w:r>
      <w:r w:rsidR="00DB2701" w:rsidRPr="005A0D18">
        <w:rPr>
          <w:rFonts w:asciiTheme="majorHAnsi" w:hAnsiTheme="majorHAnsi"/>
          <w:sz w:val="16"/>
          <w:szCs w:val="16"/>
          <w:lang w:val="es-ES"/>
        </w:rPr>
        <w:t xml:space="preserve"> la Asamblea General de las Naciones Unidas</w:t>
      </w:r>
      <w:r w:rsidR="00DB2701">
        <w:rPr>
          <w:rFonts w:asciiTheme="majorHAnsi" w:hAnsiTheme="majorHAnsi"/>
          <w:sz w:val="16"/>
          <w:szCs w:val="16"/>
          <w:lang w:val="es-ES"/>
        </w:rPr>
        <w:t>.</w:t>
      </w:r>
      <w:r w:rsidR="00DB2701" w:rsidRPr="005A0D18">
        <w:rPr>
          <w:rFonts w:asciiTheme="majorHAnsi" w:hAnsiTheme="majorHAnsi"/>
          <w:sz w:val="16"/>
          <w:szCs w:val="16"/>
          <w:lang w:val="es-ES"/>
        </w:rPr>
        <w:t xml:space="preserve"> </w:t>
      </w:r>
    </w:p>
  </w:footnote>
  <w:footnote w:id="6">
    <w:p w:rsidR="00DB2701" w:rsidRPr="005A0D18" w:rsidRDefault="00235E18" w:rsidP="005A0D18">
      <w:pPr>
        <w:pStyle w:val="FootnoteText"/>
        <w:jc w:val="both"/>
        <w:rPr>
          <w:rFonts w:ascii="Cambria" w:hAnsi="Cambria"/>
          <w:sz w:val="16"/>
          <w:szCs w:val="16"/>
          <w:lang w:val="es-ES"/>
        </w:rPr>
      </w:pPr>
      <w:r>
        <w:rPr>
          <w:rStyle w:val="FootnoteReference"/>
          <w:lang w:val="es-419"/>
        </w:rPr>
        <w:tab/>
      </w:r>
      <w:r w:rsidRPr="00235E18">
        <w:rPr>
          <w:rStyle w:val="FootnoteReference"/>
          <w:sz w:val="16"/>
          <w:szCs w:val="16"/>
          <w:lang w:val="es-419"/>
        </w:rPr>
        <w:t>5</w:t>
      </w:r>
      <w:r>
        <w:rPr>
          <w:lang w:val="es-419"/>
        </w:rPr>
        <w:t xml:space="preserve"> </w:t>
      </w:r>
      <w:r w:rsidR="00DB2701" w:rsidRPr="005A0D18">
        <w:rPr>
          <w:rFonts w:asciiTheme="majorHAnsi" w:hAnsiTheme="majorHAnsi"/>
          <w:sz w:val="16"/>
          <w:szCs w:val="16"/>
          <w:lang w:val="es-ES"/>
        </w:rPr>
        <w:t>Las observaciones de cada parte fueron debidamente trasladadas a la parte contraria.</w:t>
      </w:r>
    </w:p>
  </w:footnote>
  <w:footnote w:id="7">
    <w:p w:rsidR="00DB2701" w:rsidRPr="00043DFD" w:rsidRDefault="00355ECF" w:rsidP="00043DFD">
      <w:pPr>
        <w:jc w:val="both"/>
        <w:rPr>
          <w:sz w:val="16"/>
          <w:szCs w:val="16"/>
          <w:lang w:val="es-AR"/>
        </w:rPr>
      </w:pPr>
      <w:r>
        <w:rPr>
          <w:rFonts w:asciiTheme="majorHAnsi" w:hAnsiTheme="majorHAnsi"/>
          <w:sz w:val="16"/>
          <w:szCs w:val="16"/>
          <w:lang w:val="es-AR"/>
        </w:rPr>
        <w:tab/>
      </w:r>
      <w:r w:rsidR="00DB2701" w:rsidRPr="005A0D18">
        <w:rPr>
          <w:rStyle w:val="FootnoteReference"/>
          <w:rFonts w:asciiTheme="majorHAnsi" w:hAnsiTheme="majorHAnsi"/>
          <w:sz w:val="16"/>
          <w:szCs w:val="16"/>
        </w:rPr>
        <w:footnoteRef/>
      </w:r>
      <w:r w:rsidR="00DB2701" w:rsidRPr="005A0D18">
        <w:rPr>
          <w:rFonts w:asciiTheme="majorHAnsi" w:hAnsiTheme="majorHAnsi"/>
          <w:sz w:val="16"/>
          <w:szCs w:val="16"/>
          <w:lang w:val="es-AR"/>
        </w:rPr>
        <w:t xml:space="preserve"> El artículo </w:t>
      </w:r>
      <w:r w:rsidR="00DB2701" w:rsidRPr="005A0D18">
        <w:rPr>
          <w:rFonts w:asciiTheme="majorHAnsi" w:hAnsiTheme="majorHAnsi"/>
          <w:sz w:val="16"/>
          <w:szCs w:val="16"/>
          <w:lang w:val="es-US"/>
        </w:rPr>
        <w:t>14.6 del Pacto Internacional de Derechos Civiles y Políticos señala</w:t>
      </w:r>
      <w:r w:rsidR="00DB2701">
        <w:rPr>
          <w:rFonts w:asciiTheme="majorHAnsi" w:hAnsiTheme="majorHAnsi"/>
          <w:sz w:val="16"/>
          <w:szCs w:val="16"/>
          <w:lang w:val="es-US"/>
        </w:rPr>
        <w:t xml:space="preserve"> que “c</w:t>
      </w:r>
      <w:r w:rsidR="00DB2701" w:rsidRPr="00043DFD">
        <w:rPr>
          <w:rFonts w:asciiTheme="majorHAnsi" w:hAnsiTheme="majorHAnsi"/>
          <w:sz w:val="16"/>
          <w:szCs w:val="16"/>
          <w:lang w:val="es-US"/>
        </w:rPr>
        <w:t>uando una sentencia condenatoria firme haya sido ulteriormente revocada o el condenado haya sido indultado por haberse producido o descubierto un hecho plenamente probatorio de la comisión de un error judicial, la persona que haya sufrido una pena como resultado de tal sentencia, deberá ser indemnizada, conforme a la ley…</w:t>
      </w:r>
      <w:r w:rsidR="00DB2701">
        <w:rPr>
          <w:rFonts w:asciiTheme="majorHAnsi" w:hAnsiTheme="majorHAnsi"/>
          <w:sz w:val="16"/>
          <w:szCs w:val="16"/>
          <w:lang w:val="es-US"/>
        </w:rPr>
        <w:t>”</w:t>
      </w:r>
    </w:p>
  </w:footnote>
  <w:footnote w:id="8">
    <w:p w:rsidR="00DB2701" w:rsidRPr="00043DFD" w:rsidRDefault="00355ECF" w:rsidP="005A0D18">
      <w:pPr>
        <w:pStyle w:val="FootnoteText"/>
        <w:jc w:val="both"/>
        <w:rPr>
          <w:sz w:val="16"/>
          <w:szCs w:val="16"/>
          <w:lang w:val="es-US"/>
        </w:rPr>
      </w:pPr>
      <w:r>
        <w:rPr>
          <w:sz w:val="16"/>
          <w:szCs w:val="16"/>
          <w:lang w:val="es-US"/>
        </w:rPr>
        <w:tab/>
      </w:r>
      <w:r w:rsidR="00DB2701" w:rsidRPr="005A0D18">
        <w:rPr>
          <w:rStyle w:val="FootnoteReference"/>
          <w:sz w:val="16"/>
          <w:szCs w:val="16"/>
        </w:rPr>
        <w:footnoteRef/>
      </w:r>
      <w:r w:rsidR="00DB2701" w:rsidRPr="005A0D18">
        <w:rPr>
          <w:sz w:val="16"/>
          <w:szCs w:val="16"/>
          <w:lang w:val="es-US"/>
        </w:rPr>
        <w:t xml:space="preserve"> </w:t>
      </w:r>
      <w:r w:rsidR="00DB2701" w:rsidRPr="00043DFD">
        <w:rPr>
          <w:rFonts w:asciiTheme="majorHAnsi" w:hAnsiTheme="majorHAnsi"/>
          <w:sz w:val="16"/>
          <w:szCs w:val="16"/>
          <w:lang w:val="es-US"/>
        </w:rPr>
        <w:t>E</w:t>
      </w:r>
      <w:r w:rsidR="00DB2701">
        <w:rPr>
          <w:rFonts w:asciiTheme="majorHAnsi" w:hAnsiTheme="majorHAnsi"/>
          <w:sz w:val="16"/>
          <w:szCs w:val="16"/>
          <w:lang w:val="es-US"/>
        </w:rPr>
        <w:t>n e</w:t>
      </w:r>
      <w:r w:rsidR="00DB2701" w:rsidRPr="00043DFD">
        <w:rPr>
          <w:rFonts w:asciiTheme="majorHAnsi" w:hAnsiTheme="majorHAnsi"/>
          <w:sz w:val="16"/>
          <w:szCs w:val="16"/>
          <w:lang w:val="es-US"/>
        </w:rPr>
        <w:t xml:space="preserve">l párrafo </w:t>
      </w:r>
      <w:r w:rsidR="00DB2701" w:rsidRPr="00043DFD">
        <w:rPr>
          <w:rFonts w:asciiTheme="majorHAnsi" w:hAnsiTheme="majorHAnsi"/>
          <w:sz w:val="16"/>
          <w:szCs w:val="16"/>
          <w:lang w:val="es-AR"/>
        </w:rPr>
        <w:t xml:space="preserve">11 </w:t>
      </w:r>
      <w:r w:rsidR="00DB2701">
        <w:rPr>
          <w:rFonts w:asciiTheme="majorHAnsi" w:hAnsiTheme="majorHAnsi"/>
          <w:sz w:val="16"/>
          <w:szCs w:val="16"/>
          <w:lang w:val="es-AR"/>
        </w:rPr>
        <w:t xml:space="preserve">del </w:t>
      </w:r>
      <w:r w:rsidR="00DB2701" w:rsidRPr="00043DFD">
        <w:rPr>
          <w:rFonts w:asciiTheme="majorHAnsi" w:hAnsiTheme="majorHAnsi"/>
          <w:sz w:val="16"/>
          <w:szCs w:val="16"/>
          <w:lang w:val="es-US"/>
        </w:rPr>
        <w:t xml:space="preserve">referido fallo </w:t>
      </w:r>
      <w:r w:rsidR="00DB2701">
        <w:rPr>
          <w:rFonts w:asciiTheme="majorHAnsi" w:hAnsiTheme="majorHAnsi"/>
          <w:sz w:val="16"/>
          <w:szCs w:val="16"/>
          <w:lang w:val="es-AR"/>
        </w:rPr>
        <w:t xml:space="preserve">el Tribunal </w:t>
      </w:r>
      <w:r w:rsidR="00DB2701" w:rsidRPr="00043DFD">
        <w:rPr>
          <w:rFonts w:asciiTheme="majorHAnsi" w:hAnsiTheme="majorHAnsi"/>
          <w:sz w:val="16"/>
          <w:szCs w:val="16"/>
          <w:lang w:val="es-US"/>
        </w:rPr>
        <w:t xml:space="preserve">dispuso </w:t>
      </w:r>
      <w:r w:rsidR="00DB2701">
        <w:rPr>
          <w:rFonts w:asciiTheme="majorHAnsi" w:hAnsiTheme="majorHAnsi"/>
          <w:sz w:val="16"/>
          <w:szCs w:val="16"/>
          <w:lang w:val="es-AR"/>
        </w:rPr>
        <w:t xml:space="preserve">que </w:t>
      </w:r>
      <w:r w:rsidR="00DB2701" w:rsidRPr="00043DFD">
        <w:rPr>
          <w:rFonts w:asciiTheme="majorHAnsi" w:hAnsiTheme="majorHAnsi"/>
          <w:sz w:val="16"/>
          <w:szCs w:val="16"/>
          <w:lang w:val="es-AR"/>
        </w:rPr>
        <w:t xml:space="preserve">el indulto especial o razonado “no se trata de un indulto común o general, que como lo define la doctrina, es un beneficio que supone la condonación de la pena respecto de quien efectivamente ha cometido un delito y por tal motivo ha sido sancionado, sino de un tipo </w:t>
      </w:r>
      <w:r w:rsidR="00DB2701" w:rsidRPr="008263D9">
        <w:rPr>
          <w:rFonts w:asciiTheme="majorHAnsi" w:hAnsiTheme="majorHAnsi"/>
          <w:i/>
          <w:sz w:val="16"/>
          <w:szCs w:val="16"/>
          <w:lang w:val="es-AR"/>
        </w:rPr>
        <w:t>sui generis</w:t>
      </w:r>
      <w:r w:rsidR="00DB2701" w:rsidRPr="00043DFD">
        <w:rPr>
          <w:rFonts w:asciiTheme="majorHAnsi" w:hAnsiTheme="majorHAnsi"/>
          <w:sz w:val="16"/>
          <w:szCs w:val="16"/>
          <w:lang w:val="es-AR"/>
        </w:rPr>
        <w:t xml:space="preserve"> de beneficio, procedente exclusivamente respecto de los casos en que se ha condenado a una persona inocente o respecto de quien se le presume como tal”</w:t>
      </w:r>
      <w:r w:rsidR="00DB2701">
        <w:rPr>
          <w:rFonts w:asciiTheme="majorHAnsi" w:hAnsiTheme="majorHAnsi"/>
          <w:sz w:val="16"/>
          <w:szCs w:val="16"/>
          <w:lang w:val="es-AR"/>
        </w:rPr>
        <w:t>.</w:t>
      </w:r>
      <w:r w:rsidR="00DB2701" w:rsidRPr="00043DFD">
        <w:rPr>
          <w:rFonts w:asciiTheme="majorHAnsi" w:hAnsiTheme="majorHAnsi"/>
          <w:sz w:val="16"/>
          <w:szCs w:val="16"/>
          <w:lang w:val="es-AR"/>
        </w:rPr>
        <w:t xml:space="preserve"> </w:t>
      </w:r>
      <w:r w:rsidR="00DB2701">
        <w:rPr>
          <w:rFonts w:asciiTheme="majorHAnsi" w:hAnsiTheme="majorHAnsi"/>
          <w:sz w:val="16"/>
          <w:szCs w:val="16"/>
          <w:lang w:val="es-AR"/>
        </w:rPr>
        <w:t xml:space="preserve">En el párrafo </w:t>
      </w:r>
      <w:r w:rsidR="00DB2701" w:rsidRPr="00043DFD">
        <w:rPr>
          <w:rFonts w:asciiTheme="majorHAnsi" w:hAnsiTheme="majorHAnsi"/>
          <w:sz w:val="16"/>
          <w:szCs w:val="16"/>
          <w:lang w:val="es-AR"/>
        </w:rPr>
        <w:t xml:space="preserve">12 </w:t>
      </w:r>
      <w:r w:rsidR="00DB2701">
        <w:rPr>
          <w:rFonts w:asciiTheme="majorHAnsi" w:hAnsiTheme="majorHAnsi"/>
          <w:sz w:val="16"/>
          <w:szCs w:val="16"/>
          <w:lang w:val="es-AR"/>
        </w:rPr>
        <w:t>determinó que “</w:t>
      </w:r>
      <w:r w:rsidR="00DB2701" w:rsidRPr="00043DFD">
        <w:rPr>
          <w:rFonts w:asciiTheme="majorHAnsi" w:hAnsiTheme="majorHAnsi"/>
          <w:sz w:val="16"/>
          <w:szCs w:val="16"/>
          <w:lang w:val="es-AR"/>
        </w:rPr>
        <w:t>no puede existir la menor duda, que a la adopción del indulto razonado sustentada en una norma jurídica con antecedentes como los que aquí se han descrito, le acompaña como lógica consecuencia y por un mandato expreso de la Constitución y legislación internacional, el derecho a una específica indemnización”.</w:t>
      </w:r>
    </w:p>
  </w:footnote>
  <w:footnote w:id="9">
    <w:p w:rsidR="00733E08" w:rsidRPr="005A0D18" w:rsidRDefault="00355ECF" w:rsidP="00733E08">
      <w:pPr>
        <w:pStyle w:val="FootnoteText"/>
        <w:jc w:val="both"/>
        <w:rPr>
          <w:rFonts w:ascii="Cambria" w:hAnsi="Cambria"/>
          <w:sz w:val="16"/>
          <w:szCs w:val="16"/>
          <w:lang w:val="es-ES_tradnl"/>
        </w:rPr>
      </w:pPr>
      <w:r>
        <w:rPr>
          <w:rFonts w:ascii="Cambria" w:hAnsi="Cambria"/>
          <w:sz w:val="16"/>
          <w:szCs w:val="16"/>
          <w:lang w:val="es-ES"/>
        </w:rPr>
        <w:tab/>
      </w:r>
      <w:r w:rsidR="00733E08" w:rsidRPr="005A0D18">
        <w:rPr>
          <w:rStyle w:val="FootnoteReference"/>
          <w:rFonts w:ascii="Cambria" w:hAnsi="Cambria"/>
          <w:sz w:val="16"/>
          <w:szCs w:val="16"/>
        </w:rPr>
        <w:footnoteRef/>
      </w:r>
      <w:r w:rsidR="00733E08" w:rsidRPr="005A0D18">
        <w:rPr>
          <w:rFonts w:ascii="Cambria" w:hAnsi="Cambria"/>
          <w:sz w:val="16"/>
          <w:szCs w:val="16"/>
          <w:lang w:val="es-ES"/>
        </w:rPr>
        <w:t xml:space="preserve"> CIDH, Informe No. 125/17, Petición 1477-08. Admisibilidad. Henry Torres y otros. Colombia. 7 de septiembre de 2017, párr. 10.</w:t>
      </w:r>
    </w:p>
  </w:footnote>
  <w:footnote w:id="10">
    <w:p w:rsidR="003B4963" w:rsidRPr="005A0D18" w:rsidRDefault="00355ECF" w:rsidP="003B4963">
      <w:pPr>
        <w:pStyle w:val="FootnoteText"/>
        <w:jc w:val="both"/>
        <w:rPr>
          <w:rFonts w:ascii="Cambria" w:hAnsi="Cambria"/>
          <w:sz w:val="16"/>
          <w:szCs w:val="16"/>
          <w:lang w:val="es-ES"/>
        </w:rPr>
      </w:pPr>
      <w:r>
        <w:rPr>
          <w:rFonts w:ascii="Cambria" w:hAnsi="Cambria"/>
          <w:sz w:val="16"/>
          <w:szCs w:val="16"/>
          <w:lang w:val="es-ES"/>
        </w:rPr>
        <w:tab/>
      </w:r>
      <w:r w:rsidR="003B4963" w:rsidRPr="005A0D18">
        <w:rPr>
          <w:rStyle w:val="FootnoteReference"/>
          <w:rFonts w:ascii="Cambria" w:hAnsi="Cambria"/>
          <w:sz w:val="16"/>
          <w:szCs w:val="16"/>
        </w:rPr>
        <w:footnoteRef/>
      </w:r>
      <w:r w:rsidR="003B4963" w:rsidRPr="005A0D18">
        <w:rPr>
          <w:rFonts w:ascii="Cambria" w:hAnsi="Cambria"/>
          <w:sz w:val="16"/>
          <w:szCs w:val="16"/>
          <w:lang w:val="es-ES"/>
        </w:rPr>
        <w:t xml:space="preserve"> CIDH, Informe No. 95/06, Petición 92-04. Admisibilidad. Jesús Tranquilino Vélez Loor. Panamá. 23 de octubre de 2006, </w:t>
      </w:r>
      <w:proofErr w:type="spellStart"/>
      <w:r w:rsidR="003B4963" w:rsidRPr="005A0D18">
        <w:rPr>
          <w:rFonts w:ascii="Cambria" w:hAnsi="Cambria"/>
          <w:sz w:val="16"/>
          <w:szCs w:val="16"/>
          <w:lang w:val="es-ES"/>
        </w:rPr>
        <w:t>párrs</w:t>
      </w:r>
      <w:proofErr w:type="spellEnd"/>
      <w:r w:rsidR="003B4963" w:rsidRPr="005A0D18">
        <w:rPr>
          <w:rFonts w:ascii="Cambria" w:hAnsi="Cambria"/>
          <w:sz w:val="16"/>
          <w:szCs w:val="16"/>
          <w:lang w:val="es-ES"/>
        </w:rPr>
        <w:t>. 45 y 46.</w:t>
      </w:r>
    </w:p>
  </w:footnote>
  <w:footnote w:id="11">
    <w:p w:rsidR="00DB2701" w:rsidRPr="005A0D18" w:rsidRDefault="00355ECF" w:rsidP="005A0D18">
      <w:pPr>
        <w:pStyle w:val="FootnoteText"/>
        <w:jc w:val="both"/>
        <w:rPr>
          <w:sz w:val="16"/>
          <w:szCs w:val="16"/>
          <w:lang w:val="es-US"/>
        </w:rPr>
      </w:pPr>
      <w:r>
        <w:rPr>
          <w:sz w:val="16"/>
          <w:szCs w:val="16"/>
          <w:lang w:val="es-419"/>
        </w:rPr>
        <w:tab/>
      </w:r>
      <w:r w:rsidR="00DB2701" w:rsidRPr="005A0D18">
        <w:rPr>
          <w:rStyle w:val="FootnoteReference"/>
          <w:sz w:val="16"/>
          <w:szCs w:val="16"/>
        </w:rPr>
        <w:footnoteRef/>
      </w:r>
      <w:r w:rsidR="00DB2701" w:rsidRPr="00355ECF">
        <w:rPr>
          <w:sz w:val="16"/>
          <w:szCs w:val="16"/>
          <w:lang w:val="es-419"/>
        </w:rPr>
        <w:t xml:space="preserve"> </w:t>
      </w:r>
      <w:r w:rsidR="00DB2701" w:rsidRPr="00355ECF">
        <w:rPr>
          <w:rFonts w:asciiTheme="majorHAnsi" w:hAnsiTheme="majorHAnsi"/>
          <w:sz w:val="16"/>
          <w:szCs w:val="16"/>
          <w:lang w:val="es-419"/>
        </w:rPr>
        <w:t xml:space="preserve">Corte IDH.  </w:t>
      </w:r>
      <w:r w:rsidR="00DB2701" w:rsidRPr="00355ECF">
        <w:rPr>
          <w:rFonts w:asciiTheme="majorHAnsi" w:hAnsiTheme="majorHAnsi"/>
          <w:i/>
          <w:sz w:val="16"/>
          <w:szCs w:val="16"/>
          <w:lang w:val="es-419"/>
        </w:rPr>
        <w:t xml:space="preserve">Caso Loayza Tamayo </w:t>
      </w:r>
      <w:r w:rsidR="00DB2701" w:rsidRPr="00355ECF">
        <w:rPr>
          <w:rFonts w:asciiTheme="majorHAnsi" w:hAnsiTheme="majorHAnsi"/>
          <w:sz w:val="16"/>
          <w:szCs w:val="16"/>
          <w:lang w:val="es-419"/>
        </w:rPr>
        <w:t>Vs.</w:t>
      </w:r>
      <w:r w:rsidR="00DB2701" w:rsidRPr="00355ECF">
        <w:rPr>
          <w:rFonts w:asciiTheme="majorHAnsi" w:hAnsiTheme="majorHAnsi"/>
          <w:i/>
          <w:sz w:val="16"/>
          <w:szCs w:val="16"/>
          <w:lang w:val="es-419"/>
        </w:rPr>
        <w:t xml:space="preserve"> </w:t>
      </w:r>
      <w:r w:rsidR="00DB2701" w:rsidRPr="005A0D18">
        <w:rPr>
          <w:rFonts w:asciiTheme="majorHAnsi" w:hAnsiTheme="majorHAnsi"/>
          <w:i/>
          <w:sz w:val="16"/>
          <w:szCs w:val="16"/>
          <w:lang w:val="es-US"/>
        </w:rPr>
        <w:t>Perú</w:t>
      </w:r>
      <w:r w:rsidR="00DB2701" w:rsidRPr="005A0D18">
        <w:rPr>
          <w:rFonts w:asciiTheme="majorHAnsi" w:hAnsiTheme="majorHAnsi"/>
          <w:sz w:val="16"/>
          <w:szCs w:val="16"/>
          <w:lang w:val="es-US"/>
        </w:rPr>
        <w:t xml:space="preserve">. Fondo. Sentencia de 17 de septiembre de 1997. </w:t>
      </w:r>
      <w:r w:rsidR="00DB2701" w:rsidRPr="005A0D18">
        <w:rPr>
          <w:rFonts w:asciiTheme="majorHAnsi" w:hAnsiTheme="majorHAnsi"/>
          <w:sz w:val="16"/>
          <w:szCs w:val="16"/>
          <w:lang w:val="pt-BR"/>
        </w:rPr>
        <w:t xml:space="preserve">Serie C No 33 (“Corte IDH. Sentencia </w:t>
      </w:r>
      <w:r w:rsidR="00DB2701" w:rsidRPr="005A0D18">
        <w:rPr>
          <w:rFonts w:asciiTheme="majorHAnsi" w:hAnsiTheme="majorHAnsi"/>
          <w:i/>
          <w:sz w:val="16"/>
          <w:szCs w:val="16"/>
          <w:lang w:val="pt-BR"/>
        </w:rPr>
        <w:t>Loayza Tamayo”)</w:t>
      </w:r>
      <w:r w:rsidR="00DB2701" w:rsidRPr="005A0D18">
        <w:rPr>
          <w:rFonts w:asciiTheme="majorHAnsi" w:hAnsiTheme="majorHAnsi"/>
          <w:sz w:val="16"/>
          <w:szCs w:val="16"/>
          <w:lang w:val="pt-BR"/>
        </w:rPr>
        <w:t xml:space="preserve">, párr. 46.I; Corte IDH. </w:t>
      </w:r>
      <w:r w:rsidR="00DB2701" w:rsidRPr="005A0D18">
        <w:rPr>
          <w:rFonts w:asciiTheme="majorHAnsi" w:hAnsiTheme="majorHAnsi"/>
          <w:i/>
          <w:sz w:val="16"/>
          <w:szCs w:val="16"/>
          <w:lang w:val="pt-BR"/>
        </w:rPr>
        <w:t>Caso Cantoral Benavides Vs. Perú</w:t>
      </w:r>
      <w:r w:rsidR="00DB2701" w:rsidRPr="005A0D18">
        <w:rPr>
          <w:rFonts w:asciiTheme="majorHAnsi" w:hAnsiTheme="majorHAnsi"/>
          <w:sz w:val="16"/>
          <w:szCs w:val="16"/>
          <w:lang w:val="pt-BR"/>
        </w:rPr>
        <w:t xml:space="preserve">. Fondo. Sentencia de 18 de agosto de 2000. Serie C No69 (“Corte IDH. Sentencia </w:t>
      </w:r>
      <w:r w:rsidR="00DB2701" w:rsidRPr="005A0D18">
        <w:rPr>
          <w:rFonts w:asciiTheme="majorHAnsi" w:hAnsiTheme="majorHAnsi"/>
          <w:i/>
          <w:sz w:val="16"/>
          <w:szCs w:val="16"/>
          <w:lang w:val="pt-BR"/>
        </w:rPr>
        <w:t>Cantoral Benavides”)</w:t>
      </w:r>
      <w:r w:rsidR="00DB2701" w:rsidRPr="005A0D18">
        <w:rPr>
          <w:rFonts w:asciiTheme="majorHAnsi" w:hAnsiTheme="majorHAnsi"/>
          <w:sz w:val="16"/>
          <w:szCs w:val="16"/>
          <w:lang w:val="pt-BR"/>
        </w:rPr>
        <w:t xml:space="preserve">, párr. </w:t>
      </w:r>
      <w:r w:rsidR="00DB2701" w:rsidRPr="005A0D18">
        <w:rPr>
          <w:rFonts w:asciiTheme="majorHAnsi" w:hAnsiTheme="majorHAnsi"/>
          <w:sz w:val="16"/>
          <w:szCs w:val="16"/>
          <w:lang w:val="es-US"/>
        </w:rPr>
        <w:t xml:space="preserve">95; CIDH Segundo </w:t>
      </w:r>
      <w:r w:rsidR="00DB2701" w:rsidRPr="005A0D18">
        <w:rPr>
          <w:rFonts w:asciiTheme="majorHAnsi" w:hAnsiTheme="majorHAnsi"/>
          <w:sz w:val="16"/>
          <w:szCs w:val="16"/>
          <w:lang w:val="es-ES"/>
        </w:rPr>
        <w:t>Informe sobre la Situación de los Derechos Humanos en Perú, OEA/</w:t>
      </w:r>
      <w:proofErr w:type="spellStart"/>
      <w:r w:rsidR="00DB2701" w:rsidRPr="005A0D18">
        <w:rPr>
          <w:rFonts w:asciiTheme="majorHAnsi" w:hAnsiTheme="majorHAnsi"/>
          <w:sz w:val="16"/>
          <w:szCs w:val="16"/>
          <w:lang w:val="es-ES"/>
        </w:rPr>
        <w:t>Ser.L</w:t>
      </w:r>
      <w:proofErr w:type="spellEnd"/>
      <w:r w:rsidR="00DB2701" w:rsidRPr="005A0D18">
        <w:rPr>
          <w:rFonts w:asciiTheme="majorHAnsi" w:hAnsiTheme="majorHAnsi"/>
          <w:sz w:val="16"/>
          <w:szCs w:val="16"/>
          <w:lang w:val="es-ES"/>
        </w:rPr>
        <w:t xml:space="preserve">/V/II.106. Doc. 59 Rev., 2 junio 2000, (“CIDH. </w:t>
      </w:r>
      <w:r w:rsidR="00DB2701" w:rsidRPr="005A0D18">
        <w:rPr>
          <w:rFonts w:asciiTheme="majorHAnsi" w:hAnsiTheme="majorHAnsi"/>
          <w:i/>
          <w:sz w:val="16"/>
          <w:szCs w:val="16"/>
          <w:lang w:val="es-ES"/>
        </w:rPr>
        <w:t>Segundo Informe Perú 2000”)</w:t>
      </w:r>
      <w:r w:rsidR="00DB2701" w:rsidRPr="005A0D18">
        <w:rPr>
          <w:rFonts w:asciiTheme="majorHAnsi" w:hAnsiTheme="majorHAnsi"/>
          <w:sz w:val="16"/>
          <w:szCs w:val="16"/>
          <w:lang w:val="es-ES"/>
        </w:rPr>
        <w:t xml:space="preserve"> Capítulo II.</w:t>
      </w:r>
    </w:p>
  </w:footnote>
  <w:footnote w:id="12">
    <w:p w:rsidR="00DB2701" w:rsidRPr="005A0D18" w:rsidRDefault="00355ECF" w:rsidP="005A0D18">
      <w:pPr>
        <w:pStyle w:val="FootnoteText"/>
        <w:jc w:val="both"/>
        <w:rPr>
          <w:rFonts w:asciiTheme="majorHAnsi" w:hAnsiTheme="majorHAnsi"/>
          <w:sz w:val="16"/>
          <w:szCs w:val="16"/>
          <w:lang w:val="es-US"/>
        </w:rPr>
      </w:pPr>
      <w:r>
        <w:rPr>
          <w:sz w:val="16"/>
          <w:szCs w:val="16"/>
          <w:lang w:val="es-US"/>
        </w:rPr>
        <w:tab/>
      </w:r>
      <w:r w:rsidR="00DB2701" w:rsidRPr="005A0D18">
        <w:rPr>
          <w:rStyle w:val="FootnoteReference"/>
          <w:sz w:val="16"/>
          <w:szCs w:val="16"/>
        </w:rPr>
        <w:footnoteRef/>
      </w:r>
      <w:r w:rsidR="00DB2701" w:rsidRPr="005A0D18">
        <w:rPr>
          <w:sz w:val="16"/>
          <w:szCs w:val="16"/>
          <w:lang w:val="es-US"/>
        </w:rPr>
        <w:t xml:space="preserve"> </w:t>
      </w:r>
      <w:r w:rsidR="00DB2701" w:rsidRPr="005A0D18">
        <w:rPr>
          <w:rFonts w:asciiTheme="majorHAnsi" w:hAnsiTheme="majorHAnsi"/>
          <w:sz w:val="16"/>
          <w:szCs w:val="16"/>
          <w:lang w:val="es-US"/>
        </w:rPr>
        <w:t>Comisión de la Verdad y Reconciliación de Perú. Informe Final, año 2003, Tomo IV, pág. 211 y siguientes</w:t>
      </w:r>
      <w:r w:rsidR="00DB2701">
        <w:rPr>
          <w:rFonts w:asciiTheme="majorHAnsi" w:hAnsiTheme="majorHAnsi"/>
          <w:sz w:val="16"/>
          <w:szCs w:val="16"/>
          <w:lang w:val="es-US"/>
        </w:rPr>
        <w:t>.</w:t>
      </w:r>
    </w:p>
  </w:footnote>
  <w:footnote w:id="13">
    <w:p w:rsidR="00DB2701" w:rsidRPr="00235E18" w:rsidRDefault="00355ECF" w:rsidP="005A0D18">
      <w:pPr>
        <w:pStyle w:val="FootnoteText"/>
        <w:jc w:val="both"/>
        <w:rPr>
          <w:rFonts w:asciiTheme="majorHAnsi" w:hAnsiTheme="majorHAnsi"/>
          <w:sz w:val="16"/>
          <w:szCs w:val="16"/>
          <w:lang w:val="pt-BR"/>
        </w:rPr>
      </w:pPr>
      <w:r>
        <w:rPr>
          <w:rFonts w:asciiTheme="majorHAnsi" w:hAnsiTheme="majorHAnsi"/>
          <w:sz w:val="16"/>
          <w:szCs w:val="16"/>
          <w:lang w:val="es-ES"/>
        </w:rPr>
        <w:tab/>
      </w:r>
      <w:r w:rsidR="00DB2701" w:rsidRPr="005A0D18">
        <w:rPr>
          <w:rStyle w:val="FootnoteReference"/>
          <w:rFonts w:asciiTheme="majorHAnsi" w:hAnsiTheme="majorHAnsi"/>
          <w:sz w:val="16"/>
          <w:szCs w:val="16"/>
        </w:rPr>
        <w:footnoteRef/>
      </w:r>
      <w:r w:rsidR="00DB2701" w:rsidRPr="005A0D18">
        <w:rPr>
          <w:rFonts w:asciiTheme="majorHAnsi" w:hAnsiTheme="majorHAnsi"/>
          <w:sz w:val="16"/>
          <w:szCs w:val="16"/>
          <w:lang w:val="es-ES"/>
        </w:rPr>
        <w:t xml:space="preserve"> CIDH, Informe No. 68/08, Petición 231-98, Admisibilidad, </w:t>
      </w:r>
      <w:r w:rsidR="00DB2701" w:rsidRPr="005A0D18">
        <w:rPr>
          <w:rFonts w:asciiTheme="majorHAnsi" w:hAnsiTheme="majorHAnsi"/>
          <w:i/>
          <w:sz w:val="16"/>
          <w:szCs w:val="16"/>
          <w:lang w:val="es-ES"/>
        </w:rPr>
        <w:t xml:space="preserve">Ernesto </w:t>
      </w:r>
      <w:proofErr w:type="spellStart"/>
      <w:r w:rsidR="00DB2701" w:rsidRPr="005A0D18">
        <w:rPr>
          <w:rFonts w:asciiTheme="majorHAnsi" w:hAnsiTheme="majorHAnsi"/>
          <w:i/>
          <w:sz w:val="16"/>
          <w:szCs w:val="16"/>
          <w:lang w:val="es-ES"/>
        </w:rPr>
        <w:t>Travesi</w:t>
      </w:r>
      <w:proofErr w:type="spellEnd"/>
      <w:r w:rsidR="00DB2701" w:rsidRPr="005A0D18">
        <w:rPr>
          <w:rFonts w:asciiTheme="majorHAnsi" w:hAnsiTheme="majorHAnsi"/>
          <w:sz w:val="16"/>
          <w:szCs w:val="16"/>
          <w:lang w:val="es-ES"/>
        </w:rPr>
        <w:t xml:space="preserve">, Argentina, 16 de octubre de 2008, párr. </w:t>
      </w:r>
      <w:r w:rsidR="00DB2701" w:rsidRPr="00235E18">
        <w:rPr>
          <w:rFonts w:asciiTheme="majorHAnsi" w:hAnsiTheme="majorHAnsi"/>
          <w:sz w:val="16"/>
          <w:szCs w:val="16"/>
          <w:lang w:val="pt-BR"/>
        </w:rPr>
        <w:t>32.</w:t>
      </w:r>
    </w:p>
  </w:footnote>
  <w:footnote w:id="14">
    <w:p w:rsidR="00964425" w:rsidRPr="00355ECF" w:rsidRDefault="00355ECF" w:rsidP="00964425">
      <w:pPr>
        <w:pStyle w:val="FootnoteText"/>
        <w:rPr>
          <w:sz w:val="16"/>
          <w:szCs w:val="16"/>
          <w:lang w:val="pt-BR"/>
        </w:rPr>
      </w:pPr>
      <w:r>
        <w:rPr>
          <w:sz w:val="16"/>
          <w:szCs w:val="16"/>
          <w:lang w:val="pt-BR"/>
        </w:rPr>
        <w:tab/>
      </w:r>
      <w:r w:rsidR="00964425" w:rsidRPr="005A0D18">
        <w:rPr>
          <w:rStyle w:val="FootnoteReference"/>
          <w:rFonts w:asciiTheme="majorHAnsi" w:hAnsiTheme="majorHAnsi"/>
          <w:sz w:val="16"/>
          <w:szCs w:val="16"/>
        </w:rPr>
        <w:footnoteRef/>
      </w:r>
      <w:r w:rsidR="00964425" w:rsidRPr="00355ECF">
        <w:rPr>
          <w:sz w:val="16"/>
          <w:szCs w:val="16"/>
          <w:lang w:val="pt-BR"/>
        </w:rPr>
        <w:t xml:space="preserve">  </w:t>
      </w:r>
      <w:r w:rsidR="00964425" w:rsidRPr="00355ECF">
        <w:rPr>
          <w:rFonts w:asciiTheme="majorHAnsi" w:hAnsiTheme="majorHAnsi"/>
          <w:sz w:val="16"/>
          <w:szCs w:val="16"/>
          <w:lang w:val="pt-BR"/>
        </w:rPr>
        <w:t xml:space="preserve">CIDH. </w:t>
      </w:r>
      <w:r w:rsidR="00964425" w:rsidRPr="00355ECF">
        <w:rPr>
          <w:rFonts w:asciiTheme="majorHAnsi" w:hAnsiTheme="majorHAnsi"/>
          <w:i/>
          <w:sz w:val="16"/>
          <w:szCs w:val="16"/>
          <w:lang w:val="pt-BR"/>
        </w:rPr>
        <w:t>Segundo Informe Perú 2000</w:t>
      </w:r>
      <w:r w:rsidR="00964425" w:rsidRPr="00355ECF">
        <w:rPr>
          <w:rFonts w:asciiTheme="majorHAnsi" w:hAnsiTheme="majorHAnsi"/>
          <w:sz w:val="16"/>
          <w:szCs w:val="16"/>
          <w:lang w:val="pt-BR"/>
        </w:rPr>
        <w:t>, Capítulo II.</w:t>
      </w:r>
    </w:p>
  </w:footnote>
  <w:footnote w:id="15">
    <w:p w:rsidR="00964425" w:rsidRPr="00235E18" w:rsidRDefault="00355ECF" w:rsidP="00964425">
      <w:pPr>
        <w:pStyle w:val="FootnoteText"/>
        <w:jc w:val="both"/>
        <w:rPr>
          <w:rFonts w:asciiTheme="majorHAnsi" w:hAnsiTheme="majorHAnsi"/>
          <w:sz w:val="16"/>
          <w:szCs w:val="16"/>
          <w:lang w:val="es-419"/>
        </w:rPr>
      </w:pPr>
      <w:r>
        <w:rPr>
          <w:rFonts w:asciiTheme="majorHAnsi" w:hAnsiTheme="majorHAnsi"/>
          <w:sz w:val="16"/>
          <w:szCs w:val="16"/>
          <w:lang w:val="pt-BR"/>
        </w:rPr>
        <w:tab/>
      </w:r>
      <w:r w:rsidR="00964425" w:rsidRPr="005A0D18">
        <w:rPr>
          <w:rStyle w:val="FootnoteReference"/>
          <w:rFonts w:asciiTheme="majorHAnsi" w:hAnsiTheme="majorHAnsi"/>
          <w:sz w:val="16"/>
          <w:szCs w:val="16"/>
        </w:rPr>
        <w:footnoteRef/>
      </w:r>
      <w:r w:rsidR="00964425" w:rsidRPr="00355ECF">
        <w:rPr>
          <w:rFonts w:asciiTheme="majorHAnsi" w:hAnsiTheme="majorHAnsi"/>
          <w:sz w:val="16"/>
          <w:szCs w:val="16"/>
          <w:lang w:val="pt-BR"/>
        </w:rPr>
        <w:t xml:space="preserve"> Corte IDH.</w:t>
      </w:r>
      <w:r w:rsidR="00964425" w:rsidRPr="00355ECF">
        <w:rPr>
          <w:sz w:val="16"/>
          <w:szCs w:val="16"/>
          <w:lang w:val="pt-BR"/>
        </w:rPr>
        <w:t xml:space="preserve">  </w:t>
      </w:r>
      <w:r w:rsidR="00964425" w:rsidRPr="00235E18">
        <w:rPr>
          <w:rFonts w:asciiTheme="majorHAnsi" w:hAnsiTheme="majorHAnsi"/>
          <w:i/>
          <w:sz w:val="16"/>
          <w:szCs w:val="16"/>
          <w:lang w:val="pt-BR"/>
        </w:rPr>
        <w:t xml:space="preserve">Caso Loayza Tamayo </w:t>
      </w:r>
      <w:r w:rsidR="00964425" w:rsidRPr="00235E18">
        <w:rPr>
          <w:rFonts w:asciiTheme="majorHAnsi" w:hAnsiTheme="majorHAnsi"/>
          <w:sz w:val="16"/>
          <w:szCs w:val="16"/>
          <w:lang w:val="pt-BR"/>
        </w:rPr>
        <w:t>Vs.</w:t>
      </w:r>
      <w:r w:rsidR="00964425" w:rsidRPr="00235E18">
        <w:rPr>
          <w:rFonts w:asciiTheme="majorHAnsi" w:hAnsiTheme="majorHAnsi"/>
          <w:i/>
          <w:sz w:val="16"/>
          <w:szCs w:val="16"/>
          <w:lang w:val="pt-BR"/>
        </w:rPr>
        <w:t xml:space="preserve"> </w:t>
      </w:r>
      <w:r w:rsidR="00964425" w:rsidRPr="005A0D18">
        <w:rPr>
          <w:rFonts w:asciiTheme="majorHAnsi" w:hAnsiTheme="majorHAnsi"/>
          <w:i/>
          <w:sz w:val="16"/>
          <w:szCs w:val="16"/>
          <w:lang w:val="es-US"/>
        </w:rPr>
        <w:t>Perú</w:t>
      </w:r>
      <w:r w:rsidR="00964425" w:rsidRPr="005A0D18">
        <w:rPr>
          <w:rFonts w:asciiTheme="majorHAnsi" w:hAnsiTheme="majorHAnsi"/>
          <w:sz w:val="16"/>
          <w:szCs w:val="16"/>
          <w:lang w:val="es-US"/>
        </w:rPr>
        <w:t xml:space="preserve">. Fondo. Sentencia de 17 de septiembre de 1997. </w:t>
      </w:r>
      <w:r w:rsidR="00964425" w:rsidRPr="00355ECF">
        <w:rPr>
          <w:rFonts w:asciiTheme="majorHAnsi" w:hAnsiTheme="majorHAnsi"/>
          <w:sz w:val="16"/>
          <w:szCs w:val="16"/>
          <w:lang w:val="es-US"/>
        </w:rPr>
        <w:t xml:space="preserve">Serie C No 33, párr. 46.I; </w:t>
      </w:r>
      <w:r w:rsidR="00964425" w:rsidRPr="00355ECF">
        <w:rPr>
          <w:i/>
          <w:sz w:val="16"/>
          <w:szCs w:val="16"/>
          <w:lang w:val="es-US"/>
        </w:rPr>
        <w:t>C</w:t>
      </w:r>
      <w:r w:rsidR="00964425" w:rsidRPr="00355ECF">
        <w:rPr>
          <w:rFonts w:asciiTheme="majorHAnsi" w:hAnsiTheme="majorHAnsi"/>
          <w:i/>
          <w:sz w:val="16"/>
          <w:szCs w:val="16"/>
          <w:lang w:val="es-US"/>
        </w:rPr>
        <w:t xml:space="preserve">aso Cantoral Benavides Vs. </w:t>
      </w:r>
      <w:r w:rsidR="00964425" w:rsidRPr="005A0D18">
        <w:rPr>
          <w:rFonts w:asciiTheme="majorHAnsi" w:hAnsiTheme="majorHAnsi"/>
          <w:i/>
          <w:sz w:val="16"/>
          <w:szCs w:val="16"/>
          <w:lang w:val="es-US"/>
        </w:rPr>
        <w:t>Perú</w:t>
      </w:r>
      <w:r w:rsidR="00964425" w:rsidRPr="005A0D18">
        <w:rPr>
          <w:rFonts w:asciiTheme="majorHAnsi" w:hAnsiTheme="majorHAnsi"/>
          <w:sz w:val="16"/>
          <w:szCs w:val="16"/>
          <w:lang w:val="es-US"/>
        </w:rPr>
        <w:t>. Fondo. Sentencia de 18 de agosto de 2000. Serie C No69, párr. 95</w:t>
      </w:r>
      <w:r w:rsidR="00964425">
        <w:rPr>
          <w:rFonts w:asciiTheme="majorHAnsi" w:hAnsiTheme="majorHAnsi"/>
          <w:sz w:val="16"/>
          <w:szCs w:val="16"/>
          <w:lang w:val="es-US"/>
        </w:rPr>
        <w:t>.</w:t>
      </w:r>
    </w:p>
  </w:footnote>
  <w:footnote w:id="16">
    <w:p w:rsidR="00964425" w:rsidRPr="005A0D18" w:rsidRDefault="00355ECF" w:rsidP="00964425">
      <w:pPr>
        <w:pStyle w:val="FootnoteText"/>
        <w:jc w:val="both"/>
        <w:rPr>
          <w:rFonts w:asciiTheme="majorHAnsi" w:hAnsiTheme="majorHAnsi"/>
          <w:sz w:val="16"/>
          <w:szCs w:val="16"/>
          <w:lang w:val="es-US"/>
        </w:rPr>
      </w:pPr>
      <w:r>
        <w:rPr>
          <w:rFonts w:asciiTheme="majorHAnsi" w:hAnsiTheme="majorHAnsi"/>
          <w:sz w:val="16"/>
          <w:szCs w:val="16"/>
          <w:lang w:val="es-US"/>
        </w:rPr>
        <w:tab/>
      </w:r>
      <w:r w:rsidR="00964425" w:rsidRPr="005A0D18">
        <w:rPr>
          <w:rStyle w:val="FootnoteReference"/>
          <w:rFonts w:asciiTheme="majorHAnsi" w:hAnsiTheme="majorHAnsi"/>
          <w:sz w:val="16"/>
          <w:szCs w:val="16"/>
        </w:rPr>
        <w:footnoteRef/>
      </w:r>
      <w:r w:rsidR="00964425" w:rsidRPr="005A0D18">
        <w:rPr>
          <w:rFonts w:asciiTheme="majorHAnsi" w:hAnsiTheme="majorHAnsi"/>
          <w:sz w:val="16"/>
          <w:szCs w:val="16"/>
          <w:lang w:val="es-US"/>
        </w:rPr>
        <w:t xml:space="preserve">  CIDH. Informe sobre el uso de la prisión preventiva en las Américas, OEA/</w:t>
      </w:r>
      <w:proofErr w:type="spellStart"/>
      <w:r w:rsidR="00964425" w:rsidRPr="005A0D18">
        <w:rPr>
          <w:rFonts w:asciiTheme="majorHAnsi" w:hAnsiTheme="majorHAnsi"/>
          <w:sz w:val="16"/>
          <w:szCs w:val="16"/>
          <w:lang w:val="es-US"/>
        </w:rPr>
        <w:t>Ser.L</w:t>
      </w:r>
      <w:proofErr w:type="spellEnd"/>
      <w:r w:rsidR="00964425" w:rsidRPr="005A0D18">
        <w:rPr>
          <w:rFonts w:asciiTheme="majorHAnsi" w:hAnsiTheme="majorHAnsi"/>
          <w:sz w:val="16"/>
          <w:szCs w:val="16"/>
          <w:lang w:val="es-US"/>
        </w:rPr>
        <w:t xml:space="preserve">/V/II. Doc. 46/13, (“CIDH. </w:t>
      </w:r>
      <w:r w:rsidR="00964425" w:rsidRPr="005A0D18">
        <w:rPr>
          <w:rFonts w:asciiTheme="majorHAnsi" w:hAnsiTheme="majorHAnsi"/>
          <w:i/>
          <w:sz w:val="16"/>
          <w:szCs w:val="16"/>
          <w:lang w:val="es-US"/>
        </w:rPr>
        <w:t>Informe uso prisión preventiva Américas”</w:t>
      </w:r>
      <w:r w:rsidR="00964425" w:rsidRPr="005A0D18">
        <w:rPr>
          <w:rFonts w:asciiTheme="majorHAnsi" w:hAnsiTheme="majorHAnsi"/>
          <w:sz w:val="16"/>
          <w:szCs w:val="16"/>
          <w:lang w:val="es-US"/>
        </w:rPr>
        <w:t>) pág. 58</w:t>
      </w:r>
    </w:p>
  </w:footnote>
  <w:footnote w:id="17">
    <w:p w:rsidR="00964425" w:rsidRPr="005A0D18" w:rsidRDefault="00355ECF" w:rsidP="00964425">
      <w:pPr>
        <w:pStyle w:val="FootnoteText"/>
        <w:rPr>
          <w:rFonts w:asciiTheme="majorHAnsi" w:hAnsiTheme="majorHAnsi"/>
          <w:sz w:val="16"/>
          <w:szCs w:val="16"/>
          <w:lang w:val="es-US"/>
        </w:rPr>
      </w:pPr>
      <w:r>
        <w:rPr>
          <w:rFonts w:asciiTheme="majorHAnsi" w:hAnsiTheme="majorHAnsi"/>
          <w:sz w:val="16"/>
          <w:szCs w:val="16"/>
          <w:lang w:val="es-US"/>
        </w:rPr>
        <w:tab/>
      </w:r>
      <w:r w:rsidR="00964425" w:rsidRPr="005A0D18">
        <w:rPr>
          <w:rStyle w:val="FootnoteReference"/>
          <w:rFonts w:asciiTheme="majorHAnsi" w:hAnsiTheme="majorHAnsi"/>
          <w:sz w:val="16"/>
          <w:szCs w:val="16"/>
        </w:rPr>
        <w:footnoteRef/>
      </w:r>
      <w:r w:rsidR="00964425" w:rsidRPr="005A0D18">
        <w:rPr>
          <w:rFonts w:asciiTheme="majorHAnsi" w:hAnsiTheme="majorHAnsi"/>
          <w:sz w:val="16"/>
          <w:szCs w:val="16"/>
          <w:lang w:val="es-US"/>
        </w:rPr>
        <w:t xml:space="preserve"> CIDH.</w:t>
      </w:r>
      <w:r w:rsidR="00964425" w:rsidRPr="005A0D18">
        <w:rPr>
          <w:rFonts w:asciiTheme="majorHAnsi" w:hAnsiTheme="majorHAnsi"/>
          <w:i/>
          <w:sz w:val="16"/>
          <w:szCs w:val="16"/>
          <w:lang w:val="es-US"/>
        </w:rPr>
        <w:t xml:space="preserve"> Informe uso prisión preventiva Américas</w:t>
      </w:r>
      <w:r w:rsidR="00964425" w:rsidRPr="005A0D18">
        <w:rPr>
          <w:rFonts w:asciiTheme="majorHAnsi" w:hAnsiTheme="majorHAnsi"/>
          <w:sz w:val="16"/>
          <w:szCs w:val="16"/>
          <w:lang w:val="es-US"/>
        </w:rPr>
        <w:t>, pág. 87</w:t>
      </w:r>
    </w:p>
  </w:footnote>
  <w:footnote w:id="18">
    <w:p w:rsidR="00964425" w:rsidRPr="005A0D18" w:rsidRDefault="00355ECF" w:rsidP="00964425">
      <w:pPr>
        <w:pStyle w:val="FootnoteText"/>
        <w:rPr>
          <w:rFonts w:asciiTheme="majorHAnsi" w:hAnsiTheme="majorHAnsi"/>
          <w:sz w:val="16"/>
          <w:szCs w:val="16"/>
          <w:lang w:val="es-US"/>
        </w:rPr>
      </w:pPr>
      <w:r>
        <w:rPr>
          <w:rFonts w:asciiTheme="majorHAnsi" w:hAnsiTheme="majorHAnsi"/>
          <w:sz w:val="16"/>
          <w:szCs w:val="16"/>
          <w:lang w:val="es-US"/>
        </w:rPr>
        <w:tab/>
      </w:r>
      <w:r w:rsidR="00964425" w:rsidRPr="005A0D18">
        <w:rPr>
          <w:rStyle w:val="FootnoteReference"/>
          <w:rFonts w:asciiTheme="majorHAnsi" w:hAnsiTheme="majorHAnsi"/>
          <w:sz w:val="16"/>
          <w:szCs w:val="16"/>
        </w:rPr>
        <w:footnoteRef/>
      </w:r>
      <w:r w:rsidR="00964425" w:rsidRPr="005A0D18">
        <w:rPr>
          <w:rFonts w:asciiTheme="majorHAnsi" w:hAnsiTheme="majorHAnsi"/>
          <w:sz w:val="16"/>
          <w:szCs w:val="16"/>
          <w:lang w:val="es-US"/>
        </w:rPr>
        <w:t xml:space="preserve"> CIDH. </w:t>
      </w:r>
      <w:r w:rsidR="00964425" w:rsidRPr="005A0D18">
        <w:rPr>
          <w:rFonts w:asciiTheme="majorHAnsi" w:hAnsiTheme="majorHAnsi"/>
          <w:i/>
          <w:sz w:val="16"/>
          <w:szCs w:val="16"/>
          <w:lang w:val="es-US"/>
        </w:rPr>
        <w:t>Informe uso prisión preventiva Américas</w:t>
      </w:r>
      <w:r w:rsidR="00964425" w:rsidRPr="005A0D18">
        <w:rPr>
          <w:rFonts w:asciiTheme="majorHAnsi" w:hAnsiTheme="majorHAnsi"/>
          <w:sz w:val="16"/>
          <w:szCs w:val="16"/>
          <w:lang w:val="es-US"/>
        </w:rPr>
        <w:t>, pág. 87</w:t>
      </w:r>
    </w:p>
  </w:footnote>
  <w:footnote w:id="19">
    <w:p w:rsidR="00964425" w:rsidRPr="005A0D18" w:rsidRDefault="00355ECF" w:rsidP="00964425">
      <w:pPr>
        <w:pStyle w:val="FootnoteText"/>
        <w:jc w:val="both"/>
        <w:rPr>
          <w:sz w:val="16"/>
          <w:szCs w:val="16"/>
          <w:lang w:val="es-US"/>
        </w:rPr>
      </w:pPr>
      <w:r>
        <w:rPr>
          <w:rFonts w:asciiTheme="majorHAnsi" w:hAnsiTheme="majorHAnsi"/>
          <w:sz w:val="16"/>
          <w:szCs w:val="16"/>
          <w:lang w:val="es-US"/>
        </w:rPr>
        <w:tab/>
      </w:r>
      <w:r w:rsidR="00964425" w:rsidRPr="005A0D18">
        <w:rPr>
          <w:rStyle w:val="FootnoteReference"/>
          <w:sz w:val="16"/>
          <w:szCs w:val="16"/>
        </w:rPr>
        <w:footnoteRef/>
      </w:r>
      <w:r w:rsidR="00964425" w:rsidRPr="005A0D18">
        <w:rPr>
          <w:rFonts w:asciiTheme="majorHAnsi" w:hAnsiTheme="majorHAnsi"/>
          <w:sz w:val="16"/>
          <w:szCs w:val="16"/>
          <w:lang w:val="es-US"/>
        </w:rPr>
        <w:t>CIDH</w:t>
      </w:r>
      <w:r w:rsidR="00964425" w:rsidRPr="005A0D18">
        <w:rPr>
          <w:rFonts w:asciiTheme="majorHAnsi" w:hAnsiTheme="majorHAnsi"/>
          <w:sz w:val="16"/>
          <w:szCs w:val="16"/>
          <w:lang w:val="es-ES"/>
        </w:rPr>
        <w:t xml:space="preserve">. </w:t>
      </w:r>
      <w:r w:rsidR="00964425" w:rsidRPr="005A0D18">
        <w:rPr>
          <w:rFonts w:asciiTheme="majorHAnsi" w:hAnsiTheme="majorHAnsi"/>
          <w:i/>
          <w:sz w:val="16"/>
          <w:szCs w:val="16"/>
          <w:lang w:val="es-ES"/>
        </w:rPr>
        <w:t>Segundo Informe Perú 2000</w:t>
      </w:r>
      <w:r w:rsidR="00964425" w:rsidRPr="005A0D18">
        <w:rPr>
          <w:rFonts w:asciiTheme="majorHAnsi" w:hAnsiTheme="majorHAnsi"/>
          <w:sz w:val="16"/>
          <w:szCs w:val="16"/>
          <w:lang w:val="es-ES"/>
        </w:rPr>
        <w:t xml:space="preserve"> Capítulo II párr. 128. 130, 131 y 245; </w:t>
      </w:r>
      <w:r w:rsidR="00964425" w:rsidRPr="005A0D18">
        <w:rPr>
          <w:rFonts w:asciiTheme="majorHAnsi" w:hAnsiTheme="majorHAnsi"/>
          <w:sz w:val="16"/>
          <w:szCs w:val="16"/>
          <w:lang w:val="es-US"/>
        </w:rPr>
        <w:t>Lineamientos principales para una política integral de reparaciones, OEA/</w:t>
      </w:r>
      <w:proofErr w:type="spellStart"/>
      <w:r w:rsidR="00964425" w:rsidRPr="005A0D18">
        <w:rPr>
          <w:rFonts w:asciiTheme="majorHAnsi" w:hAnsiTheme="majorHAnsi"/>
          <w:sz w:val="16"/>
          <w:szCs w:val="16"/>
          <w:lang w:val="es-US"/>
        </w:rPr>
        <w:t>Ser.L</w:t>
      </w:r>
      <w:proofErr w:type="spellEnd"/>
      <w:r w:rsidR="00964425" w:rsidRPr="005A0D18">
        <w:rPr>
          <w:rFonts w:asciiTheme="majorHAnsi" w:hAnsiTheme="majorHAnsi"/>
          <w:sz w:val="16"/>
          <w:szCs w:val="16"/>
          <w:lang w:val="es-US"/>
        </w:rPr>
        <w:t>/</w:t>
      </w:r>
      <w:r w:rsidR="00964425">
        <w:rPr>
          <w:rFonts w:asciiTheme="majorHAnsi" w:hAnsiTheme="majorHAnsi"/>
          <w:sz w:val="16"/>
          <w:szCs w:val="16"/>
          <w:lang w:val="es-US"/>
        </w:rPr>
        <w:t>V/II.131 Doc.1 19 febrero 2008.</w:t>
      </w:r>
    </w:p>
  </w:footnote>
  <w:footnote w:id="20">
    <w:p w:rsidR="00964425" w:rsidRPr="005A0D18" w:rsidRDefault="00355ECF" w:rsidP="00964425">
      <w:pPr>
        <w:pStyle w:val="FootnoteText"/>
        <w:jc w:val="both"/>
        <w:rPr>
          <w:sz w:val="16"/>
          <w:szCs w:val="16"/>
          <w:lang w:val="es-US"/>
        </w:rPr>
      </w:pPr>
      <w:r>
        <w:rPr>
          <w:sz w:val="16"/>
          <w:szCs w:val="16"/>
          <w:lang w:val="es-US"/>
        </w:rPr>
        <w:tab/>
      </w:r>
      <w:r w:rsidR="00964425" w:rsidRPr="005A0D18">
        <w:rPr>
          <w:rStyle w:val="FootnoteReference"/>
          <w:sz w:val="16"/>
          <w:szCs w:val="16"/>
        </w:rPr>
        <w:footnoteRef/>
      </w:r>
      <w:r w:rsidR="00964425" w:rsidRPr="005A0D18">
        <w:rPr>
          <w:sz w:val="16"/>
          <w:szCs w:val="16"/>
          <w:lang w:val="es-US"/>
        </w:rPr>
        <w:t xml:space="preserve"> </w:t>
      </w:r>
      <w:r w:rsidR="00964425" w:rsidRPr="005A0D18">
        <w:rPr>
          <w:rFonts w:asciiTheme="majorHAnsi" w:hAnsiTheme="majorHAnsi"/>
          <w:sz w:val="16"/>
          <w:szCs w:val="16"/>
          <w:lang w:val="es-ES"/>
        </w:rPr>
        <w:t>Principios y directrices básicos sobre el derecho de las víctimas de violaciones manifiestas de las normas internacionales de derechos humanos y de violaciones graves del derecho internacional humanitario a interponer recursos y obtener reparaciones aprobada por la Resolución 60/147 por la Asamblea General de las Naciones Unidas, el 16 de diciembre de 2005</w:t>
      </w:r>
      <w:r w:rsidR="00964425">
        <w:rPr>
          <w:rFonts w:asciiTheme="majorHAnsi" w:hAnsiTheme="majorHAnsi"/>
          <w:sz w:val="16"/>
          <w:szCs w:val="16"/>
          <w:lang w:val="es-ES"/>
        </w:rPr>
        <w:t>.</w:t>
      </w:r>
    </w:p>
  </w:footnote>
  <w:footnote w:id="21">
    <w:p w:rsidR="00DB2701" w:rsidRPr="005A0D18" w:rsidRDefault="00355ECF" w:rsidP="005A0D18">
      <w:pPr>
        <w:pStyle w:val="FootnoteText"/>
        <w:jc w:val="both"/>
        <w:rPr>
          <w:rFonts w:ascii="Cambria" w:hAnsi="Cambria"/>
          <w:sz w:val="16"/>
          <w:szCs w:val="16"/>
          <w:lang w:val="es-ES"/>
        </w:rPr>
      </w:pPr>
      <w:r>
        <w:rPr>
          <w:rFonts w:ascii="Cambria" w:hAnsi="Cambria"/>
          <w:sz w:val="16"/>
          <w:szCs w:val="16"/>
          <w:lang w:val="es-ES"/>
        </w:rPr>
        <w:tab/>
      </w:r>
      <w:r w:rsidR="00DB2701" w:rsidRPr="005A0D18">
        <w:rPr>
          <w:rStyle w:val="FootnoteReference"/>
          <w:rFonts w:ascii="Cambria" w:hAnsi="Cambria"/>
          <w:sz w:val="16"/>
          <w:szCs w:val="16"/>
        </w:rPr>
        <w:footnoteRef/>
      </w:r>
      <w:r w:rsidR="00DB2701" w:rsidRPr="005A0D18">
        <w:rPr>
          <w:rFonts w:ascii="Cambria" w:hAnsi="Cambria"/>
          <w:sz w:val="16"/>
          <w:szCs w:val="16"/>
          <w:lang w:val="es-ES"/>
        </w:rPr>
        <w:t xml:space="preserve"> CIDH, Informe No. 132/18. Petición 1225-12. Admisibilidad. Octavio Romero y Gabriel </w:t>
      </w:r>
      <w:proofErr w:type="spellStart"/>
      <w:r w:rsidR="00DB2701" w:rsidRPr="005A0D18">
        <w:rPr>
          <w:rFonts w:ascii="Cambria" w:hAnsi="Cambria"/>
          <w:sz w:val="16"/>
          <w:szCs w:val="16"/>
          <w:lang w:val="es-ES"/>
        </w:rPr>
        <w:t>Gersbach</w:t>
      </w:r>
      <w:proofErr w:type="spellEnd"/>
      <w:r w:rsidR="00DB2701" w:rsidRPr="005A0D18">
        <w:rPr>
          <w:rFonts w:ascii="Cambria" w:hAnsi="Cambria"/>
          <w:sz w:val="16"/>
          <w:szCs w:val="16"/>
          <w:lang w:val="es-ES"/>
        </w:rPr>
        <w:t xml:space="preserve">. </w:t>
      </w:r>
      <w:r w:rsidR="00DB2701" w:rsidRPr="005A0D18">
        <w:rPr>
          <w:rFonts w:ascii="Cambria" w:hAnsi="Cambria"/>
          <w:sz w:val="16"/>
          <w:szCs w:val="16"/>
          <w:lang w:val="es-US"/>
        </w:rPr>
        <w:t xml:space="preserve">Argentina. 20 de noviembre de 2018, párr. 13. </w:t>
      </w:r>
      <w:r w:rsidR="00DB2701" w:rsidRPr="005A0D18">
        <w:rPr>
          <w:rFonts w:ascii="Cambria" w:hAnsi="Cambria"/>
          <w:sz w:val="16"/>
          <w:szCs w:val="16"/>
          <w:lang w:val="es-ES"/>
        </w:rPr>
        <w:t>CIDH, Informe No. 111/17. Petición 883-07. Admisibilidad. Rosario Bedoya Becerra. Colombia. 7 de septiembre de 2017, párr. 15.</w:t>
      </w:r>
    </w:p>
    <w:p w:rsidR="00DB2701" w:rsidRPr="005A0D18" w:rsidRDefault="00DB2701" w:rsidP="005A0D18">
      <w:pPr>
        <w:pStyle w:val="FootnoteText"/>
        <w:jc w:val="both"/>
        <w:rPr>
          <w:rFonts w:ascii="Cambria" w:hAnsi="Cambria"/>
          <w:sz w:val="16"/>
          <w:szCs w:val="16"/>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01" w:rsidRDefault="00DB2701" w:rsidP="004243A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B2701" w:rsidRDefault="00DB27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01" w:rsidRDefault="00DB2701" w:rsidP="00A50FCF">
    <w:pPr>
      <w:pStyle w:val="Header"/>
      <w:tabs>
        <w:tab w:val="clear" w:pos="4320"/>
        <w:tab w:val="clear" w:pos="8640"/>
      </w:tabs>
      <w:jc w:val="center"/>
      <w:rPr>
        <w:sz w:val="22"/>
        <w:szCs w:val="22"/>
      </w:rPr>
    </w:pPr>
    <w:r>
      <w:rPr>
        <w:noProof/>
        <w:sz w:val="22"/>
        <w:szCs w:val="22"/>
        <w:lang w:val="en-US" w:eastAsia="en-US"/>
      </w:rPr>
      <w:drawing>
        <wp:inline distT="0" distB="0" distL="0" distR="0" wp14:anchorId="36AD3F19" wp14:editId="2F5A621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B2701" w:rsidRPr="00EC7D62" w:rsidRDefault="001161B9" w:rsidP="00A50FCF">
    <w:pPr>
      <w:pStyle w:val="Header"/>
      <w:tabs>
        <w:tab w:val="clear" w:pos="4320"/>
        <w:tab w:val="clear" w:pos="8640"/>
      </w:tabs>
      <w:jc w:val="center"/>
      <w:rPr>
        <w:sz w:val="22"/>
        <w:szCs w:val="22"/>
      </w:rPr>
    </w:pPr>
    <w:r>
      <w:rPr>
        <w:noProof/>
        <w:sz w:val="22"/>
        <w:szCs w:val="22"/>
      </w:rPr>
      <w:pict w14:anchorId="39712B06">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19F" w:rsidRDefault="000D2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51CF5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8153EAB"/>
    <w:multiLevelType w:val="hybridMultilevel"/>
    <w:tmpl w:val="5718BF72"/>
    <w:lvl w:ilvl="0" w:tplc="BE96F0A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F1C22AD6"/>
    <w:lvl w:ilvl="0" w:tplc="A4967C2E">
      <w:start w:val="1"/>
      <w:numFmt w:val="decimal"/>
      <w:lvlText w:val="%1."/>
      <w:lvlJc w:val="left"/>
      <w:pPr>
        <w:tabs>
          <w:tab w:val="num" w:pos="720"/>
        </w:tabs>
        <w:ind w:left="0" w:firstLine="720"/>
      </w:pPr>
      <w:rPr>
        <w:rFonts w:hint="default"/>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5B612CB"/>
    <w:multiLevelType w:val="hybridMultilevel"/>
    <w:tmpl w:val="4F5AB6D2"/>
    <w:lvl w:ilvl="0" w:tplc="48008720">
      <w:start w:val="1"/>
      <w:numFmt w:val="decimal"/>
      <w:lvlText w:val="%1."/>
      <w:lvlJc w:val="left"/>
      <w:pPr>
        <w:tabs>
          <w:tab w:val="num" w:pos="720"/>
        </w:tabs>
        <w:ind w:left="0" w:firstLine="720"/>
      </w:pPr>
      <w:rPr>
        <w:rFonts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6A826C0"/>
    <w:multiLevelType w:val="hybridMultilevel"/>
    <w:tmpl w:val="74CAF9C4"/>
    <w:lvl w:ilvl="0" w:tplc="9E943738">
      <w:start w:val="1"/>
      <w:numFmt w:val="upperLetter"/>
      <w:lvlText w:val="%1."/>
      <w:lvlJc w:val="left"/>
      <w:pPr>
        <w:ind w:left="1080" w:hanging="360"/>
      </w:pPr>
      <w:rPr>
        <w:rFonts w:hint="default"/>
        <w:b/>
        <w:i w:val="0"/>
        <w:sz w:val="20"/>
        <w:szCs w:val="2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70087B"/>
    <w:multiLevelType w:val="hybridMultilevel"/>
    <w:tmpl w:val="C366C078"/>
    <w:lvl w:ilvl="0" w:tplc="88FCC128">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C16074"/>
    <w:multiLevelType w:val="hybridMultilevel"/>
    <w:tmpl w:val="5F9A095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76966EF"/>
    <w:multiLevelType w:val="hybridMultilevel"/>
    <w:tmpl w:val="F48A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B37718E"/>
    <w:multiLevelType w:val="hybridMultilevel"/>
    <w:tmpl w:val="5CD84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D802B1"/>
    <w:multiLevelType w:val="hybridMultilevel"/>
    <w:tmpl w:val="A6C66AA6"/>
    <w:lvl w:ilvl="0" w:tplc="82D4A47E">
      <w:start w:val="1"/>
      <w:numFmt w:val="decimal"/>
      <w:lvlText w:val="%1."/>
      <w:lvlJc w:val="left"/>
      <w:pPr>
        <w:tabs>
          <w:tab w:val="num" w:pos="720"/>
        </w:tabs>
        <w:ind w:left="0" w:firstLine="720"/>
      </w:pPr>
      <w:rPr>
        <w:b w:val="0"/>
        <w:sz w:val="20"/>
        <w:szCs w:val="20"/>
      </w:rPr>
    </w:lvl>
    <w:lvl w:ilvl="1" w:tplc="863070FC">
      <w:start w:val="3"/>
      <w:numFmt w:val="upperRoman"/>
      <w:lvlText w:val="%2."/>
      <w:lvlJc w:val="left"/>
      <w:pPr>
        <w:tabs>
          <w:tab w:val="num" w:pos="2160"/>
        </w:tabs>
        <w:ind w:left="2160" w:hanging="720"/>
      </w:pPr>
    </w:lvl>
    <w:lvl w:ilvl="2" w:tplc="3B048638">
      <w:start w:val="1"/>
      <w:numFmt w:val="upperLetter"/>
      <w:lvlText w:val="%3."/>
      <w:lvlJc w:val="left"/>
      <w:pPr>
        <w:tabs>
          <w:tab w:val="num" w:pos="3780"/>
        </w:tabs>
        <w:ind w:left="3780" w:hanging="144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60"/>
  </w:num>
  <w:num w:numId="4">
    <w:abstractNumId w:val="24"/>
  </w:num>
  <w:num w:numId="5">
    <w:abstractNumId w:val="51"/>
  </w:num>
  <w:num w:numId="6">
    <w:abstractNumId w:val="29"/>
  </w:num>
  <w:num w:numId="7">
    <w:abstractNumId w:val="9"/>
  </w:num>
  <w:num w:numId="8">
    <w:abstractNumId w:val="20"/>
  </w:num>
  <w:num w:numId="9">
    <w:abstractNumId w:val="46"/>
  </w:num>
  <w:num w:numId="10">
    <w:abstractNumId w:val="1"/>
  </w:num>
  <w:num w:numId="11">
    <w:abstractNumId w:val="41"/>
  </w:num>
  <w:num w:numId="12">
    <w:abstractNumId w:val="42"/>
  </w:num>
  <w:num w:numId="13">
    <w:abstractNumId w:val="48"/>
  </w:num>
  <w:num w:numId="14">
    <w:abstractNumId w:val="2"/>
  </w:num>
  <w:num w:numId="15">
    <w:abstractNumId w:val="4"/>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8"/>
  </w:num>
  <w:num w:numId="24">
    <w:abstractNumId w:val="19"/>
  </w:num>
  <w:num w:numId="25">
    <w:abstractNumId w:val="21"/>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8"/>
  </w:num>
  <w:num w:numId="38">
    <w:abstractNumId w:val="40"/>
  </w:num>
  <w:num w:numId="39">
    <w:abstractNumId w:val="43"/>
  </w:num>
  <w:num w:numId="40">
    <w:abstractNumId w:val="44"/>
  </w:num>
  <w:num w:numId="41">
    <w:abstractNumId w:val="50"/>
  </w:num>
  <w:num w:numId="42">
    <w:abstractNumId w:val="53"/>
  </w:num>
  <w:num w:numId="43">
    <w:abstractNumId w:val="56"/>
  </w:num>
  <w:num w:numId="44">
    <w:abstractNumId w:val="58"/>
  </w:num>
  <w:num w:numId="45">
    <w:abstractNumId w:val="59"/>
  </w:num>
  <w:num w:numId="46">
    <w:abstractNumId w:val="61"/>
  </w:num>
  <w:num w:numId="47">
    <w:abstractNumId w:val="62"/>
  </w:num>
  <w:num w:numId="48">
    <w:abstractNumId w:val="63"/>
  </w:num>
  <w:num w:numId="49">
    <w:abstractNumId w:val="64"/>
  </w:num>
  <w:num w:numId="50">
    <w:abstractNumId w:val="65"/>
  </w:num>
  <w:num w:numId="51">
    <w:abstractNumId w:val="23"/>
  </w:num>
  <w:num w:numId="52">
    <w:abstractNumId w:val="45"/>
  </w:num>
  <w:num w:numId="53">
    <w:abstractNumId w:val="57"/>
  </w:num>
  <w:num w:numId="54">
    <w:abstractNumId w:val="49"/>
  </w:num>
  <w:num w:numId="55">
    <w:abstractNumId w:val="6"/>
  </w:num>
  <w:num w:numId="56">
    <w:abstractNumId w:val="47"/>
  </w:num>
  <w:num w:numId="57">
    <w:abstractNumId w:val="17"/>
  </w:num>
  <w:num w:numId="58">
    <w:abstractNumId w:val="55"/>
  </w:num>
  <w:num w:numId="59">
    <w:abstractNumId w:val="8"/>
  </w:num>
  <w:num w:numId="60">
    <w:abstractNumId w:val="54"/>
  </w:num>
  <w:num w:numId="61">
    <w:abstractNumId w:val="3"/>
  </w:num>
  <w:num w:numId="62">
    <w:abstractNumId w:val="36"/>
  </w:num>
  <w:num w:numId="63">
    <w:abstractNumId w:val="37"/>
  </w:num>
  <w:num w:numId="64">
    <w:abstractNumId w:val="37"/>
    <w:lvlOverride w:ilvl="0">
      <w:startOverride w:val="1"/>
    </w:lvlOverride>
  </w:num>
  <w:num w:numId="65">
    <w:abstractNumId w:val="39"/>
  </w:num>
  <w:num w:numId="66">
    <w:abstractNumId w:val="52"/>
  </w:num>
  <w:num w:numId="67">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7F8"/>
    <w:rsid w:val="00001D55"/>
    <w:rsid w:val="000021B1"/>
    <w:rsid w:val="000022DF"/>
    <w:rsid w:val="00004955"/>
    <w:rsid w:val="00004EA4"/>
    <w:rsid w:val="00006E1F"/>
    <w:rsid w:val="000070D7"/>
    <w:rsid w:val="00007A64"/>
    <w:rsid w:val="00011B2F"/>
    <w:rsid w:val="000129AC"/>
    <w:rsid w:val="00014C20"/>
    <w:rsid w:val="00016249"/>
    <w:rsid w:val="0001788C"/>
    <w:rsid w:val="0002124A"/>
    <w:rsid w:val="00021CDC"/>
    <w:rsid w:val="00022C2E"/>
    <w:rsid w:val="00025E07"/>
    <w:rsid w:val="000267B2"/>
    <w:rsid w:val="000337EF"/>
    <w:rsid w:val="00034C65"/>
    <w:rsid w:val="00040C3A"/>
    <w:rsid w:val="000419AD"/>
    <w:rsid w:val="00043328"/>
    <w:rsid w:val="000433C9"/>
    <w:rsid w:val="00043DFD"/>
    <w:rsid w:val="00046067"/>
    <w:rsid w:val="00046227"/>
    <w:rsid w:val="00047841"/>
    <w:rsid w:val="00050D4D"/>
    <w:rsid w:val="0005154D"/>
    <w:rsid w:val="00051F48"/>
    <w:rsid w:val="000610D3"/>
    <w:rsid w:val="00061D40"/>
    <w:rsid w:val="00063DA8"/>
    <w:rsid w:val="00067324"/>
    <w:rsid w:val="000716C5"/>
    <w:rsid w:val="00072063"/>
    <w:rsid w:val="0007254F"/>
    <w:rsid w:val="00073AF7"/>
    <w:rsid w:val="00075E23"/>
    <w:rsid w:val="000810B7"/>
    <w:rsid w:val="000829C5"/>
    <w:rsid w:val="00086DF1"/>
    <w:rsid w:val="000871AC"/>
    <w:rsid w:val="00090251"/>
    <w:rsid w:val="0009262A"/>
    <w:rsid w:val="0009344A"/>
    <w:rsid w:val="0009605D"/>
    <w:rsid w:val="000A0E3F"/>
    <w:rsid w:val="000A11F6"/>
    <w:rsid w:val="000A392E"/>
    <w:rsid w:val="000A575F"/>
    <w:rsid w:val="000A5FBC"/>
    <w:rsid w:val="000A753B"/>
    <w:rsid w:val="000B5897"/>
    <w:rsid w:val="000B6397"/>
    <w:rsid w:val="000C1399"/>
    <w:rsid w:val="000C780B"/>
    <w:rsid w:val="000D06AF"/>
    <w:rsid w:val="000D10DB"/>
    <w:rsid w:val="000D219F"/>
    <w:rsid w:val="000E14C8"/>
    <w:rsid w:val="000E29E0"/>
    <w:rsid w:val="000E5EB5"/>
    <w:rsid w:val="000F0D0A"/>
    <w:rsid w:val="000F135B"/>
    <w:rsid w:val="000F35ED"/>
    <w:rsid w:val="000F7EB4"/>
    <w:rsid w:val="0010058F"/>
    <w:rsid w:val="00101A05"/>
    <w:rsid w:val="0010367C"/>
    <w:rsid w:val="00107131"/>
    <w:rsid w:val="0010736F"/>
    <w:rsid w:val="001115FC"/>
    <w:rsid w:val="00113F73"/>
    <w:rsid w:val="001161B9"/>
    <w:rsid w:val="0012023A"/>
    <w:rsid w:val="00121CC2"/>
    <w:rsid w:val="00127FC0"/>
    <w:rsid w:val="001312B3"/>
    <w:rsid w:val="00133869"/>
    <w:rsid w:val="00133EE5"/>
    <w:rsid w:val="0014662A"/>
    <w:rsid w:val="00150198"/>
    <w:rsid w:val="00152BD4"/>
    <w:rsid w:val="00154219"/>
    <w:rsid w:val="00156AF8"/>
    <w:rsid w:val="00157D3E"/>
    <w:rsid w:val="00160C3E"/>
    <w:rsid w:val="001636BC"/>
    <w:rsid w:val="00165635"/>
    <w:rsid w:val="00166066"/>
    <w:rsid w:val="001663D5"/>
    <w:rsid w:val="00167A34"/>
    <w:rsid w:val="00170F55"/>
    <w:rsid w:val="0017328B"/>
    <w:rsid w:val="0017509E"/>
    <w:rsid w:val="00182D68"/>
    <w:rsid w:val="00183940"/>
    <w:rsid w:val="00194137"/>
    <w:rsid w:val="00194966"/>
    <w:rsid w:val="00194E41"/>
    <w:rsid w:val="001957C2"/>
    <w:rsid w:val="001A0205"/>
    <w:rsid w:val="001A2A4F"/>
    <w:rsid w:val="001A48AF"/>
    <w:rsid w:val="001A7870"/>
    <w:rsid w:val="001B2B3B"/>
    <w:rsid w:val="001B39CD"/>
    <w:rsid w:val="001B3A00"/>
    <w:rsid w:val="001B4405"/>
    <w:rsid w:val="001C1B41"/>
    <w:rsid w:val="001D0F86"/>
    <w:rsid w:val="001D0FD1"/>
    <w:rsid w:val="001D3F18"/>
    <w:rsid w:val="001D6480"/>
    <w:rsid w:val="001D65EF"/>
    <w:rsid w:val="001E18F3"/>
    <w:rsid w:val="001E288E"/>
    <w:rsid w:val="001E49E7"/>
    <w:rsid w:val="001E7007"/>
    <w:rsid w:val="001E7AE5"/>
    <w:rsid w:val="001F1D4E"/>
    <w:rsid w:val="001F617E"/>
    <w:rsid w:val="001F7201"/>
    <w:rsid w:val="001F7205"/>
    <w:rsid w:val="00200AE0"/>
    <w:rsid w:val="0020739C"/>
    <w:rsid w:val="00207FA1"/>
    <w:rsid w:val="00215B33"/>
    <w:rsid w:val="00217609"/>
    <w:rsid w:val="00217ABD"/>
    <w:rsid w:val="002237A3"/>
    <w:rsid w:val="00223A29"/>
    <w:rsid w:val="002250A3"/>
    <w:rsid w:val="00227448"/>
    <w:rsid w:val="002305A0"/>
    <w:rsid w:val="0023156A"/>
    <w:rsid w:val="002326F4"/>
    <w:rsid w:val="00235217"/>
    <w:rsid w:val="00235831"/>
    <w:rsid w:val="00235E18"/>
    <w:rsid w:val="00241213"/>
    <w:rsid w:val="00243088"/>
    <w:rsid w:val="00244F15"/>
    <w:rsid w:val="00246D1F"/>
    <w:rsid w:val="00247403"/>
    <w:rsid w:val="00247542"/>
    <w:rsid w:val="00250FF6"/>
    <w:rsid w:val="002524F6"/>
    <w:rsid w:val="002525A4"/>
    <w:rsid w:val="002628CA"/>
    <w:rsid w:val="00263F26"/>
    <w:rsid w:val="00265053"/>
    <w:rsid w:val="002650B4"/>
    <w:rsid w:val="00265751"/>
    <w:rsid w:val="002663F0"/>
    <w:rsid w:val="00266B61"/>
    <w:rsid w:val="0026712A"/>
    <w:rsid w:val="002704DB"/>
    <w:rsid w:val="00274C9F"/>
    <w:rsid w:val="002757AC"/>
    <w:rsid w:val="0027677E"/>
    <w:rsid w:val="00286CBA"/>
    <w:rsid w:val="00292320"/>
    <w:rsid w:val="002928EA"/>
    <w:rsid w:val="00294DE5"/>
    <w:rsid w:val="00297DAF"/>
    <w:rsid w:val="002A006A"/>
    <w:rsid w:val="002A0AAE"/>
    <w:rsid w:val="002A487B"/>
    <w:rsid w:val="002A5820"/>
    <w:rsid w:val="002B0D4C"/>
    <w:rsid w:val="002B5D04"/>
    <w:rsid w:val="002C47A3"/>
    <w:rsid w:val="002C5C70"/>
    <w:rsid w:val="002D05AE"/>
    <w:rsid w:val="002D1317"/>
    <w:rsid w:val="002D14A0"/>
    <w:rsid w:val="002D2386"/>
    <w:rsid w:val="002D2B26"/>
    <w:rsid w:val="002D705F"/>
    <w:rsid w:val="002D7067"/>
    <w:rsid w:val="002D7EA2"/>
    <w:rsid w:val="002E176E"/>
    <w:rsid w:val="002E187C"/>
    <w:rsid w:val="002E6821"/>
    <w:rsid w:val="002F4A64"/>
    <w:rsid w:val="002F7CF1"/>
    <w:rsid w:val="002F7FB3"/>
    <w:rsid w:val="00300C60"/>
    <w:rsid w:val="00302733"/>
    <w:rsid w:val="003044AD"/>
    <w:rsid w:val="003064D2"/>
    <w:rsid w:val="0030749E"/>
    <w:rsid w:val="003105AB"/>
    <w:rsid w:val="00310F40"/>
    <w:rsid w:val="00313748"/>
    <w:rsid w:val="0031404A"/>
    <w:rsid w:val="00314078"/>
    <w:rsid w:val="00314F49"/>
    <w:rsid w:val="0031535D"/>
    <w:rsid w:val="00315F1C"/>
    <w:rsid w:val="00317723"/>
    <w:rsid w:val="00317C2C"/>
    <w:rsid w:val="00320BAF"/>
    <w:rsid w:val="003224FD"/>
    <w:rsid w:val="003239B8"/>
    <w:rsid w:val="00324945"/>
    <w:rsid w:val="00324BFE"/>
    <w:rsid w:val="003253FD"/>
    <w:rsid w:val="0032693C"/>
    <w:rsid w:val="00327343"/>
    <w:rsid w:val="00327800"/>
    <w:rsid w:val="00330A3A"/>
    <w:rsid w:val="00330FE6"/>
    <w:rsid w:val="0033169F"/>
    <w:rsid w:val="00331F24"/>
    <w:rsid w:val="00335DF0"/>
    <w:rsid w:val="00340DE9"/>
    <w:rsid w:val="00340E76"/>
    <w:rsid w:val="00341638"/>
    <w:rsid w:val="00344977"/>
    <w:rsid w:val="003464CB"/>
    <w:rsid w:val="00346C95"/>
    <w:rsid w:val="003544C8"/>
    <w:rsid w:val="0035491C"/>
    <w:rsid w:val="00354B53"/>
    <w:rsid w:val="00355ECF"/>
    <w:rsid w:val="00356185"/>
    <w:rsid w:val="00357F4F"/>
    <w:rsid w:val="00360380"/>
    <w:rsid w:val="00362474"/>
    <w:rsid w:val="003630B2"/>
    <w:rsid w:val="00363F17"/>
    <w:rsid w:val="00367AD5"/>
    <w:rsid w:val="0037126F"/>
    <w:rsid w:val="00371E1B"/>
    <w:rsid w:val="00372609"/>
    <w:rsid w:val="0037519E"/>
    <w:rsid w:val="0037576F"/>
    <w:rsid w:val="00377C2F"/>
    <w:rsid w:val="00377F2D"/>
    <w:rsid w:val="00380305"/>
    <w:rsid w:val="00384492"/>
    <w:rsid w:val="00386CF0"/>
    <w:rsid w:val="0038785F"/>
    <w:rsid w:val="003901E0"/>
    <w:rsid w:val="003918FC"/>
    <w:rsid w:val="003927B7"/>
    <w:rsid w:val="00393354"/>
    <w:rsid w:val="00394366"/>
    <w:rsid w:val="0039792A"/>
    <w:rsid w:val="003A164F"/>
    <w:rsid w:val="003A5F0F"/>
    <w:rsid w:val="003B25DA"/>
    <w:rsid w:val="003B44A6"/>
    <w:rsid w:val="003B4963"/>
    <w:rsid w:val="003B605F"/>
    <w:rsid w:val="003B70FB"/>
    <w:rsid w:val="003C1FE1"/>
    <w:rsid w:val="003C28E0"/>
    <w:rsid w:val="003C30B1"/>
    <w:rsid w:val="003C33E8"/>
    <w:rsid w:val="003C4248"/>
    <w:rsid w:val="003C676B"/>
    <w:rsid w:val="003D08BE"/>
    <w:rsid w:val="003D3BC2"/>
    <w:rsid w:val="003D3F95"/>
    <w:rsid w:val="003D6337"/>
    <w:rsid w:val="003D65F4"/>
    <w:rsid w:val="003E2C77"/>
    <w:rsid w:val="003E2E8C"/>
    <w:rsid w:val="003E316C"/>
    <w:rsid w:val="003E574E"/>
    <w:rsid w:val="003E67B1"/>
    <w:rsid w:val="003E6CA1"/>
    <w:rsid w:val="00400A6E"/>
    <w:rsid w:val="004021A8"/>
    <w:rsid w:val="0040269D"/>
    <w:rsid w:val="004065A8"/>
    <w:rsid w:val="004107DB"/>
    <w:rsid w:val="0041262A"/>
    <w:rsid w:val="00413C74"/>
    <w:rsid w:val="00416500"/>
    <w:rsid w:val="004165C2"/>
    <w:rsid w:val="0042347A"/>
    <w:rsid w:val="004243A6"/>
    <w:rsid w:val="004354AD"/>
    <w:rsid w:val="00435A0B"/>
    <w:rsid w:val="00441ECB"/>
    <w:rsid w:val="00445193"/>
    <w:rsid w:val="00445BF2"/>
    <w:rsid w:val="00446692"/>
    <w:rsid w:val="004528D1"/>
    <w:rsid w:val="00460178"/>
    <w:rsid w:val="00462C1B"/>
    <w:rsid w:val="00464182"/>
    <w:rsid w:val="00464902"/>
    <w:rsid w:val="00467669"/>
    <w:rsid w:val="00467815"/>
    <w:rsid w:val="00467B7E"/>
    <w:rsid w:val="00473BB4"/>
    <w:rsid w:val="00474519"/>
    <w:rsid w:val="004753A1"/>
    <w:rsid w:val="00476DDD"/>
    <w:rsid w:val="00477592"/>
    <w:rsid w:val="00482135"/>
    <w:rsid w:val="004822F2"/>
    <w:rsid w:val="00482593"/>
    <w:rsid w:val="00484E6F"/>
    <w:rsid w:val="00485FDA"/>
    <w:rsid w:val="00486E3D"/>
    <w:rsid w:val="00486F1C"/>
    <w:rsid w:val="00487230"/>
    <w:rsid w:val="0049376D"/>
    <w:rsid w:val="0049419D"/>
    <w:rsid w:val="004957AE"/>
    <w:rsid w:val="00495AE3"/>
    <w:rsid w:val="004A010C"/>
    <w:rsid w:val="004A042D"/>
    <w:rsid w:val="004A0B84"/>
    <w:rsid w:val="004A3124"/>
    <w:rsid w:val="004A317E"/>
    <w:rsid w:val="004A36F9"/>
    <w:rsid w:val="004A3A01"/>
    <w:rsid w:val="004A5E55"/>
    <w:rsid w:val="004A6A54"/>
    <w:rsid w:val="004B0609"/>
    <w:rsid w:val="004B1C50"/>
    <w:rsid w:val="004B3EC5"/>
    <w:rsid w:val="004B4014"/>
    <w:rsid w:val="004B486B"/>
    <w:rsid w:val="004B690B"/>
    <w:rsid w:val="004B7769"/>
    <w:rsid w:val="004B77A7"/>
    <w:rsid w:val="004C20D2"/>
    <w:rsid w:val="004C2312"/>
    <w:rsid w:val="004C4B62"/>
    <w:rsid w:val="004C54C9"/>
    <w:rsid w:val="004D0220"/>
    <w:rsid w:val="004D13C0"/>
    <w:rsid w:val="004D4ABA"/>
    <w:rsid w:val="004D6025"/>
    <w:rsid w:val="004E2649"/>
    <w:rsid w:val="004E4860"/>
    <w:rsid w:val="004E58FA"/>
    <w:rsid w:val="004E5FD0"/>
    <w:rsid w:val="004E6324"/>
    <w:rsid w:val="004E6F6E"/>
    <w:rsid w:val="00500513"/>
    <w:rsid w:val="00501399"/>
    <w:rsid w:val="005041F0"/>
    <w:rsid w:val="00504423"/>
    <w:rsid w:val="0050633D"/>
    <w:rsid w:val="00506D42"/>
    <w:rsid w:val="00507736"/>
    <w:rsid w:val="00507BC4"/>
    <w:rsid w:val="0051165D"/>
    <w:rsid w:val="0051234B"/>
    <w:rsid w:val="005128E4"/>
    <w:rsid w:val="005133DB"/>
    <w:rsid w:val="00515BE9"/>
    <w:rsid w:val="00521654"/>
    <w:rsid w:val="00523E1E"/>
    <w:rsid w:val="00525560"/>
    <w:rsid w:val="0052646B"/>
    <w:rsid w:val="0052742E"/>
    <w:rsid w:val="005319F0"/>
    <w:rsid w:val="00534BBD"/>
    <w:rsid w:val="00537CB9"/>
    <w:rsid w:val="00540516"/>
    <w:rsid w:val="00544C49"/>
    <w:rsid w:val="0054604D"/>
    <w:rsid w:val="005516A1"/>
    <w:rsid w:val="00562604"/>
    <w:rsid w:val="00563557"/>
    <w:rsid w:val="005657B4"/>
    <w:rsid w:val="00565AD2"/>
    <w:rsid w:val="0056696E"/>
    <w:rsid w:val="0056742C"/>
    <w:rsid w:val="00567647"/>
    <w:rsid w:val="005709DD"/>
    <w:rsid w:val="00572BDE"/>
    <w:rsid w:val="0057402A"/>
    <w:rsid w:val="00574152"/>
    <w:rsid w:val="00576D2F"/>
    <w:rsid w:val="005771D0"/>
    <w:rsid w:val="005805F1"/>
    <w:rsid w:val="00580A2F"/>
    <w:rsid w:val="00583275"/>
    <w:rsid w:val="00584804"/>
    <w:rsid w:val="00585ABE"/>
    <w:rsid w:val="005873D6"/>
    <w:rsid w:val="00590FC0"/>
    <w:rsid w:val="0059191A"/>
    <w:rsid w:val="005921FF"/>
    <w:rsid w:val="0059279B"/>
    <w:rsid w:val="00594BA8"/>
    <w:rsid w:val="00594DDC"/>
    <w:rsid w:val="00594F97"/>
    <w:rsid w:val="00595AA7"/>
    <w:rsid w:val="005A0490"/>
    <w:rsid w:val="005A0D18"/>
    <w:rsid w:val="005A24ED"/>
    <w:rsid w:val="005A6D0E"/>
    <w:rsid w:val="005B1157"/>
    <w:rsid w:val="005B170F"/>
    <w:rsid w:val="005B363A"/>
    <w:rsid w:val="005B52B0"/>
    <w:rsid w:val="005B6806"/>
    <w:rsid w:val="005B74E4"/>
    <w:rsid w:val="005C06A1"/>
    <w:rsid w:val="005C2AF6"/>
    <w:rsid w:val="005C3ADB"/>
    <w:rsid w:val="005C4225"/>
    <w:rsid w:val="005C6368"/>
    <w:rsid w:val="005C7CB7"/>
    <w:rsid w:val="005D138F"/>
    <w:rsid w:val="005D17CD"/>
    <w:rsid w:val="005D5293"/>
    <w:rsid w:val="005D5E6C"/>
    <w:rsid w:val="005D691B"/>
    <w:rsid w:val="005D78BD"/>
    <w:rsid w:val="005E1864"/>
    <w:rsid w:val="005E340B"/>
    <w:rsid w:val="005E3B70"/>
    <w:rsid w:val="005F0DAD"/>
    <w:rsid w:val="005F0F33"/>
    <w:rsid w:val="005F48BD"/>
    <w:rsid w:val="005F5C4E"/>
    <w:rsid w:val="005F67D7"/>
    <w:rsid w:val="005F7072"/>
    <w:rsid w:val="00600DEB"/>
    <w:rsid w:val="0060494A"/>
    <w:rsid w:val="00610DC1"/>
    <w:rsid w:val="006113D9"/>
    <w:rsid w:val="0061141A"/>
    <w:rsid w:val="00613AB9"/>
    <w:rsid w:val="006142AD"/>
    <w:rsid w:val="00616F7F"/>
    <w:rsid w:val="00621FF0"/>
    <w:rsid w:val="0062232D"/>
    <w:rsid w:val="00622646"/>
    <w:rsid w:val="00622C9E"/>
    <w:rsid w:val="00627A78"/>
    <w:rsid w:val="00627C9F"/>
    <w:rsid w:val="006311E9"/>
    <w:rsid w:val="00631A7B"/>
    <w:rsid w:val="00632354"/>
    <w:rsid w:val="00632AB7"/>
    <w:rsid w:val="00633BE1"/>
    <w:rsid w:val="00636E8C"/>
    <w:rsid w:val="0063745D"/>
    <w:rsid w:val="00642810"/>
    <w:rsid w:val="006439F4"/>
    <w:rsid w:val="006445BB"/>
    <w:rsid w:val="00650CD7"/>
    <w:rsid w:val="00652333"/>
    <w:rsid w:val="00652F72"/>
    <w:rsid w:val="00653815"/>
    <w:rsid w:val="00656851"/>
    <w:rsid w:val="0066097D"/>
    <w:rsid w:val="00661AB0"/>
    <w:rsid w:val="00663042"/>
    <w:rsid w:val="00663CF1"/>
    <w:rsid w:val="0066423F"/>
    <w:rsid w:val="00671114"/>
    <w:rsid w:val="006744A2"/>
    <w:rsid w:val="00675980"/>
    <w:rsid w:val="00676CDC"/>
    <w:rsid w:val="0068009E"/>
    <w:rsid w:val="00683BF6"/>
    <w:rsid w:val="00685197"/>
    <w:rsid w:val="00686C86"/>
    <w:rsid w:val="00690A3E"/>
    <w:rsid w:val="00692219"/>
    <w:rsid w:val="00692D9C"/>
    <w:rsid w:val="006A0E01"/>
    <w:rsid w:val="006A17D2"/>
    <w:rsid w:val="006A1D22"/>
    <w:rsid w:val="006A73E6"/>
    <w:rsid w:val="006B04CF"/>
    <w:rsid w:val="006B2D5C"/>
    <w:rsid w:val="006B37A7"/>
    <w:rsid w:val="006B4CA4"/>
    <w:rsid w:val="006B5070"/>
    <w:rsid w:val="006C2FC0"/>
    <w:rsid w:val="006C4EB1"/>
    <w:rsid w:val="006C65C8"/>
    <w:rsid w:val="006D1319"/>
    <w:rsid w:val="006D290B"/>
    <w:rsid w:val="006D301A"/>
    <w:rsid w:val="006D5BCC"/>
    <w:rsid w:val="006D7480"/>
    <w:rsid w:val="006D78B1"/>
    <w:rsid w:val="006D7DCA"/>
    <w:rsid w:val="006E0166"/>
    <w:rsid w:val="006E7B34"/>
    <w:rsid w:val="00701ECC"/>
    <w:rsid w:val="0070281D"/>
    <w:rsid w:val="00702C2A"/>
    <w:rsid w:val="0070516A"/>
    <w:rsid w:val="0070697F"/>
    <w:rsid w:val="0070729D"/>
    <w:rsid w:val="00707CCE"/>
    <w:rsid w:val="007120B9"/>
    <w:rsid w:val="00714214"/>
    <w:rsid w:val="00717E92"/>
    <w:rsid w:val="0072199C"/>
    <w:rsid w:val="00721B05"/>
    <w:rsid w:val="00722C9F"/>
    <w:rsid w:val="007253B8"/>
    <w:rsid w:val="007316CA"/>
    <w:rsid w:val="00732B12"/>
    <w:rsid w:val="00733821"/>
    <w:rsid w:val="00733E08"/>
    <w:rsid w:val="007341C6"/>
    <w:rsid w:val="0073741F"/>
    <w:rsid w:val="00737546"/>
    <w:rsid w:val="00741528"/>
    <w:rsid w:val="0074438D"/>
    <w:rsid w:val="00747527"/>
    <w:rsid w:val="00751A70"/>
    <w:rsid w:val="00752382"/>
    <w:rsid w:val="00755AAF"/>
    <w:rsid w:val="007659A5"/>
    <w:rsid w:val="0076643F"/>
    <w:rsid w:val="0077431D"/>
    <w:rsid w:val="00775B42"/>
    <w:rsid w:val="007763A0"/>
    <w:rsid w:val="0077789E"/>
    <w:rsid w:val="00777F63"/>
    <w:rsid w:val="00786748"/>
    <w:rsid w:val="00786B43"/>
    <w:rsid w:val="0079078B"/>
    <w:rsid w:val="00791A67"/>
    <w:rsid w:val="0079314A"/>
    <w:rsid w:val="00793DA7"/>
    <w:rsid w:val="0079622B"/>
    <w:rsid w:val="007A4A52"/>
    <w:rsid w:val="007A5817"/>
    <w:rsid w:val="007A7F8F"/>
    <w:rsid w:val="007B05C4"/>
    <w:rsid w:val="007B129A"/>
    <w:rsid w:val="007B23FD"/>
    <w:rsid w:val="007B60E9"/>
    <w:rsid w:val="007B6CC3"/>
    <w:rsid w:val="007B76D3"/>
    <w:rsid w:val="007C1F89"/>
    <w:rsid w:val="007C2251"/>
    <w:rsid w:val="007C2F56"/>
    <w:rsid w:val="007C3334"/>
    <w:rsid w:val="007C7A43"/>
    <w:rsid w:val="007D2B98"/>
    <w:rsid w:val="007D4D25"/>
    <w:rsid w:val="007E21BC"/>
    <w:rsid w:val="007E3D9D"/>
    <w:rsid w:val="007E4794"/>
    <w:rsid w:val="007E542C"/>
    <w:rsid w:val="007E5897"/>
    <w:rsid w:val="007E6D82"/>
    <w:rsid w:val="007E7C82"/>
    <w:rsid w:val="007F588D"/>
    <w:rsid w:val="007F5C93"/>
    <w:rsid w:val="007F752F"/>
    <w:rsid w:val="00803BFF"/>
    <w:rsid w:val="00803F1C"/>
    <w:rsid w:val="00804F57"/>
    <w:rsid w:val="0080600E"/>
    <w:rsid w:val="0080771D"/>
    <w:rsid w:val="0080780D"/>
    <w:rsid w:val="008079C4"/>
    <w:rsid w:val="0081143D"/>
    <w:rsid w:val="00812079"/>
    <w:rsid w:val="00813D3A"/>
    <w:rsid w:val="0081645A"/>
    <w:rsid w:val="00817612"/>
    <w:rsid w:val="00817D25"/>
    <w:rsid w:val="008263D9"/>
    <w:rsid w:val="00827259"/>
    <w:rsid w:val="00830045"/>
    <w:rsid w:val="0083258B"/>
    <w:rsid w:val="008338A4"/>
    <w:rsid w:val="00834D49"/>
    <w:rsid w:val="00837C45"/>
    <w:rsid w:val="00844730"/>
    <w:rsid w:val="008457C2"/>
    <w:rsid w:val="008470D4"/>
    <w:rsid w:val="00855646"/>
    <w:rsid w:val="00857A82"/>
    <w:rsid w:val="00860453"/>
    <w:rsid w:val="00861C0B"/>
    <w:rsid w:val="00864EE2"/>
    <w:rsid w:val="0086688F"/>
    <w:rsid w:val="008719A4"/>
    <w:rsid w:val="00873836"/>
    <w:rsid w:val="00877F3B"/>
    <w:rsid w:val="00881173"/>
    <w:rsid w:val="008817A3"/>
    <w:rsid w:val="00881DC3"/>
    <w:rsid w:val="00882753"/>
    <w:rsid w:val="00884112"/>
    <w:rsid w:val="00885737"/>
    <w:rsid w:val="008860A1"/>
    <w:rsid w:val="00890650"/>
    <w:rsid w:val="00891071"/>
    <w:rsid w:val="0089472C"/>
    <w:rsid w:val="00896237"/>
    <w:rsid w:val="00897E12"/>
    <w:rsid w:val="008A0BCB"/>
    <w:rsid w:val="008A148B"/>
    <w:rsid w:val="008A259E"/>
    <w:rsid w:val="008A7B0A"/>
    <w:rsid w:val="008A7E0F"/>
    <w:rsid w:val="008B12F5"/>
    <w:rsid w:val="008B1FF6"/>
    <w:rsid w:val="008B4B89"/>
    <w:rsid w:val="008B67EE"/>
    <w:rsid w:val="008C0BBD"/>
    <w:rsid w:val="008C30CA"/>
    <w:rsid w:val="008C612B"/>
    <w:rsid w:val="008C7019"/>
    <w:rsid w:val="008D059E"/>
    <w:rsid w:val="008D0D46"/>
    <w:rsid w:val="008D5BA9"/>
    <w:rsid w:val="008D768D"/>
    <w:rsid w:val="008E3759"/>
    <w:rsid w:val="008E3BFE"/>
    <w:rsid w:val="008E4AE5"/>
    <w:rsid w:val="008E71A3"/>
    <w:rsid w:val="008F1912"/>
    <w:rsid w:val="008F1B70"/>
    <w:rsid w:val="008F3796"/>
    <w:rsid w:val="008F5F77"/>
    <w:rsid w:val="008F6014"/>
    <w:rsid w:val="008F61FC"/>
    <w:rsid w:val="00900268"/>
    <w:rsid w:val="0090270B"/>
    <w:rsid w:val="009041DC"/>
    <w:rsid w:val="00904D69"/>
    <w:rsid w:val="00905CFF"/>
    <w:rsid w:val="00911265"/>
    <w:rsid w:val="00911FCC"/>
    <w:rsid w:val="0091653F"/>
    <w:rsid w:val="009176B2"/>
    <w:rsid w:val="00917B5A"/>
    <w:rsid w:val="00917EDD"/>
    <w:rsid w:val="009200C1"/>
    <w:rsid w:val="00920A58"/>
    <w:rsid w:val="00920A8C"/>
    <w:rsid w:val="00920F19"/>
    <w:rsid w:val="009221C8"/>
    <w:rsid w:val="0092393D"/>
    <w:rsid w:val="0092492A"/>
    <w:rsid w:val="0093174A"/>
    <w:rsid w:val="00931A13"/>
    <w:rsid w:val="0093214C"/>
    <w:rsid w:val="00934A2C"/>
    <w:rsid w:val="00936C93"/>
    <w:rsid w:val="0093768F"/>
    <w:rsid w:val="009419DA"/>
    <w:rsid w:val="00941ED9"/>
    <w:rsid w:val="00941F8A"/>
    <w:rsid w:val="00944584"/>
    <w:rsid w:val="00944CA1"/>
    <w:rsid w:val="00945347"/>
    <w:rsid w:val="00945B83"/>
    <w:rsid w:val="00946040"/>
    <w:rsid w:val="00950278"/>
    <w:rsid w:val="00950367"/>
    <w:rsid w:val="009508DC"/>
    <w:rsid w:val="00951BF4"/>
    <w:rsid w:val="0095432A"/>
    <w:rsid w:val="00960D5D"/>
    <w:rsid w:val="00961A17"/>
    <w:rsid w:val="00962228"/>
    <w:rsid w:val="009630BE"/>
    <w:rsid w:val="00963A6D"/>
    <w:rsid w:val="00964378"/>
    <w:rsid w:val="00964425"/>
    <w:rsid w:val="00967052"/>
    <w:rsid w:val="0096706E"/>
    <w:rsid w:val="00972332"/>
    <w:rsid w:val="00972961"/>
    <w:rsid w:val="009736A7"/>
    <w:rsid w:val="00974491"/>
    <w:rsid w:val="00975C4E"/>
    <w:rsid w:val="0098023D"/>
    <w:rsid w:val="00981FBA"/>
    <w:rsid w:val="0098227E"/>
    <w:rsid w:val="00982FF6"/>
    <w:rsid w:val="009834C5"/>
    <w:rsid w:val="00983840"/>
    <w:rsid w:val="00983897"/>
    <w:rsid w:val="00984BF2"/>
    <w:rsid w:val="00994237"/>
    <w:rsid w:val="00994CDE"/>
    <w:rsid w:val="00997BC5"/>
    <w:rsid w:val="009A195E"/>
    <w:rsid w:val="009A4950"/>
    <w:rsid w:val="009A4F41"/>
    <w:rsid w:val="009A6A07"/>
    <w:rsid w:val="009B0E9F"/>
    <w:rsid w:val="009B256F"/>
    <w:rsid w:val="009B381B"/>
    <w:rsid w:val="009B4F2D"/>
    <w:rsid w:val="009B5F75"/>
    <w:rsid w:val="009B6D23"/>
    <w:rsid w:val="009C0828"/>
    <w:rsid w:val="009C1C7A"/>
    <w:rsid w:val="009C1CB2"/>
    <w:rsid w:val="009C47AC"/>
    <w:rsid w:val="009C7CB3"/>
    <w:rsid w:val="009D15DD"/>
    <w:rsid w:val="009D1753"/>
    <w:rsid w:val="009D70D5"/>
    <w:rsid w:val="009D7611"/>
    <w:rsid w:val="009E0A3B"/>
    <w:rsid w:val="009E0B61"/>
    <w:rsid w:val="009E268E"/>
    <w:rsid w:val="009E5019"/>
    <w:rsid w:val="009E53DE"/>
    <w:rsid w:val="009F054B"/>
    <w:rsid w:val="009F081B"/>
    <w:rsid w:val="009F0A2B"/>
    <w:rsid w:val="009F2CFB"/>
    <w:rsid w:val="009F3E6E"/>
    <w:rsid w:val="009F5A1B"/>
    <w:rsid w:val="00A048A6"/>
    <w:rsid w:val="00A05284"/>
    <w:rsid w:val="00A063D3"/>
    <w:rsid w:val="00A07A47"/>
    <w:rsid w:val="00A11212"/>
    <w:rsid w:val="00A11E44"/>
    <w:rsid w:val="00A12E5C"/>
    <w:rsid w:val="00A163DB"/>
    <w:rsid w:val="00A17FC3"/>
    <w:rsid w:val="00A23047"/>
    <w:rsid w:val="00A2666B"/>
    <w:rsid w:val="00A26758"/>
    <w:rsid w:val="00A30312"/>
    <w:rsid w:val="00A328B3"/>
    <w:rsid w:val="00A336F6"/>
    <w:rsid w:val="00A367FB"/>
    <w:rsid w:val="00A36EB9"/>
    <w:rsid w:val="00A377BE"/>
    <w:rsid w:val="00A44E1C"/>
    <w:rsid w:val="00A458C9"/>
    <w:rsid w:val="00A465CE"/>
    <w:rsid w:val="00A46FCF"/>
    <w:rsid w:val="00A50FCF"/>
    <w:rsid w:val="00A5267B"/>
    <w:rsid w:val="00A528D1"/>
    <w:rsid w:val="00A52B70"/>
    <w:rsid w:val="00A53CBB"/>
    <w:rsid w:val="00A553BF"/>
    <w:rsid w:val="00A56A1B"/>
    <w:rsid w:val="00A5718A"/>
    <w:rsid w:val="00A57903"/>
    <w:rsid w:val="00A610CD"/>
    <w:rsid w:val="00A63834"/>
    <w:rsid w:val="00A63F44"/>
    <w:rsid w:val="00A65238"/>
    <w:rsid w:val="00A70BC9"/>
    <w:rsid w:val="00A747B8"/>
    <w:rsid w:val="00A758AA"/>
    <w:rsid w:val="00A75E0F"/>
    <w:rsid w:val="00A76625"/>
    <w:rsid w:val="00A81D0A"/>
    <w:rsid w:val="00A82661"/>
    <w:rsid w:val="00A83206"/>
    <w:rsid w:val="00A87D98"/>
    <w:rsid w:val="00A92F82"/>
    <w:rsid w:val="00AA09A2"/>
    <w:rsid w:val="00AA1B57"/>
    <w:rsid w:val="00AA4820"/>
    <w:rsid w:val="00AA4E07"/>
    <w:rsid w:val="00AA67A0"/>
    <w:rsid w:val="00AA75E1"/>
    <w:rsid w:val="00AA7996"/>
    <w:rsid w:val="00AB1F21"/>
    <w:rsid w:val="00AB37E2"/>
    <w:rsid w:val="00AB3838"/>
    <w:rsid w:val="00AB6151"/>
    <w:rsid w:val="00AB75BF"/>
    <w:rsid w:val="00AC19CB"/>
    <w:rsid w:val="00AC662E"/>
    <w:rsid w:val="00AC70D2"/>
    <w:rsid w:val="00AC770C"/>
    <w:rsid w:val="00AD0265"/>
    <w:rsid w:val="00AD5B88"/>
    <w:rsid w:val="00AD6C14"/>
    <w:rsid w:val="00AD7BEE"/>
    <w:rsid w:val="00AE05E3"/>
    <w:rsid w:val="00AE189B"/>
    <w:rsid w:val="00AE5488"/>
    <w:rsid w:val="00AE57B0"/>
    <w:rsid w:val="00AE6F91"/>
    <w:rsid w:val="00AE74DB"/>
    <w:rsid w:val="00AF3E2E"/>
    <w:rsid w:val="00AF5571"/>
    <w:rsid w:val="00AF647C"/>
    <w:rsid w:val="00AF6CB6"/>
    <w:rsid w:val="00AF7412"/>
    <w:rsid w:val="00AF78EE"/>
    <w:rsid w:val="00B02CB3"/>
    <w:rsid w:val="00B06BED"/>
    <w:rsid w:val="00B07341"/>
    <w:rsid w:val="00B1291F"/>
    <w:rsid w:val="00B1398E"/>
    <w:rsid w:val="00B165A7"/>
    <w:rsid w:val="00B206BC"/>
    <w:rsid w:val="00B254BC"/>
    <w:rsid w:val="00B26E4F"/>
    <w:rsid w:val="00B30539"/>
    <w:rsid w:val="00B314DB"/>
    <w:rsid w:val="00B32DEC"/>
    <w:rsid w:val="00B361F2"/>
    <w:rsid w:val="00B36585"/>
    <w:rsid w:val="00B3690B"/>
    <w:rsid w:val="00B3718B"/>
    <w:rsid w:val="00B3736D"/>
    <w:rsid w:val="00B4073D"/>
    <w:rsid w:val="00B45FFA"/>
    <w:rsid w:val="00B4632A"/>
    <w:rsid w:val="00B50614"/>
    <w:rsid w:val="00B530F1"/>
    <w:rsid w:val="00B53E9C"/>
    <w:rsid w:val="00B54B5D"/>
    <w:rsid w:val="00B557A3"/>
    <w:rsid w:val="00B56F76"/>
    <w:rsid w:val="00B62FFF"/>
    <w:rsid w:val="00B66BBE"/>
    <w:rsid w:val="00B671C2"/>
    <w:rsid w:val="00B76FA0"/>
    <w:rsid w:val="00B83A21"/>
    <w:rsid w:val="00B84B70"/>
    <w:rsid w:val="00B85F68"/>
    <w:rsid w:val="00B86AD3"/>
    <w:rsid w:val="00B91DFF"/>
    <w:rsid w:val="00BA0795"/>
    <w:rsid w:val="00BA276C"/>
    <w:rsid w:val="00BB1C3B"/>
    <w:rsid w:val="00BB2390"/>
    <w:rsid w:val="00BB306F"/>
    <w:rsid w:val="00BB483C"/>
    <w:rsid w:val="00BB6120"/>
    <w:rsid w:val="00BB66B2"/>
    <w:rsid w:val="00BC07EE"/>
    <w:rsid w:val="00BC1CDE"/>
    <w:rsid w:val="00BC4F75"/>
    <w:rsid w:val="00BC7B03"/>
    <w:rsid w:val="00BC7BC0"/>
    <w:rsid w:val="00BD0888"/>
    <w:rsid w:val="00BD0EB7"/>
    <w:rsid w:val="00BD2AA2"/>
    <w:rsid w:val="00BD2D09"/>
    <w:rsid w:val="00BD4B89"/>
    <w:rsid w:val="00BD5922"/>
    <w:rsid w:val="00BD714C"/>
    <w:rsid w:val="00BD76AB"/>
    <w:rsid w:val="00BE2FE9"/>
    <w:rsid w:val="00BE3DB3"/>
    <w:rsid w:val="00BE5199"/>
    <w:rsid w:val="00BF02CB"/>
    <w:rsid w:val="00BF0B17"/>
    <w:rsid w:val="00BF22CE"/>
    <w:rsid w:val="00BF2FE7"/>
    <w:rsid w:val="00BF6FD8"/>
    <w:rsid w:val="00BF7730"/>
    <w:rsid w:val="00C018AE"/>
    <w:rsid w:val="00C028B6"/>
    <w:rsid w:val="00C03680"/>
    <w:rsid w:val="00C04C31"/>
    <w:rsid w:val="00C054DF"/>
    <w:rsid w:val="00C0562F"/>
    <w:rsid w:val="00C07905"/>
    <w:rsid w:val="00C12E9F"/>
    <w:rsid w:val="00C1509F"/>
    <w:rsid w:val="00C21237"/>
    <w:rsid w:val="00C21548"/>
    <w:rsid w:val="00C21762"/>
    <w:rsid w:val="00C21C8D"/>
    <w:rsid w:val="00C21FEF"/>
    <w:rsid w:val="00C24543"/>
    <w:rsid w:val="00C249BE"/>
    <w:rsid w:val="00C256A2"/>
    <w:rsid w:val="00C26FB4"/>
    <w:rsid w:val="00C30000"/>
    <w:rsid w:val="00C35C62"/>
    <w:rsid w:val="00C37C48"/>
    <w:rsid w:val="00C433B2"/>
    <w:rsid w:val="00C442CA"/>
    <w:rsid w:val="00C4461A"/>
    <w:rsid w:val="00C45206"/>
    <w:rsid w:val="00C456F0"/>
    <w:rsid w:val="00C45E32"/>
    <w:rsid w:val="00C45E6E"/>
    <w:rsid w:val="00C47525"/>
    <w:rsid w:val="00C51270"/>
    <w:rsid w:val="00C51515"/>
    <w:rsid w:val="00C52528"/>
    <w:rsid w:val="00C5571E"/>
    <w:rsid w:val="00C5660B"/>
    <w:rsid w:val="00C572B5"/>
    <w:rsid w:val="00C575B0"/>
    <w:rsid w:val="00C61419"/>
    <w:rsid w:val="00C63BFC"/>
    <w:rsid w:val="00C66A86"/>
    <w:rsid w:val="00C66B72"/>
    <w:rsid w:val="00C7017B"/>
    <w:rsid w:val="00C715C5"/>
    <w:rsid w:val="00C73AA0"/>
    <w:rsid w:val="00C777E6"/>
    <w:rsid w:val="00C84899"/>
    <w:rsid w:val="00C85647"/>
    <w:rsid w:val="00C87AC4"/>
    <w:rsid w:val="00C90F40"/>
    <w:rsid w:val="00C94207"/>
    <w:rsid w:val="00C9567A"/>
    <w:rsid w:val="00C96B19"/>
    <w:rsid w:val="00CA29F7"/>
    <w:rsid w:val="00CA5224"/>
    <w:rsid w:val="00CB1A99"/>
    <w:rsid w:val="00CB212D"/>
    <w:rsid w:val="00CB2637"/>
    <w:rsid w:val="00CB2660"/>
    <w:rsid w:val="00CB60B8"/>
    <w:rsid w:val="00CB674F"/>
    <w:rsid w:val="00CC014A"/>
    <w:rsid w:val="00CC1B80"/>
    <w:rsid w:val="00CC26F4"/>
    <w:rsid w:val="00CC45D7"/>
    <w:rsid w:val="00CC5E90"/>
    <w:rsid w:val="00CD046C"/>
    <w:rsid w:val="00CD10BD"/>
    <w:rsid w:val="00CD1ACB"/>
    <w:rsid w:val="00CD1B2D"/>
    <w:rsid w:val="00CD2992"/>
    <w:rsid w:val="00CD4B42"/>
    <w:rsid w:val="00CE076C"/>
    <w:rsid w:val="00CE2A23"/>
    <w:rsid w:val="00CE377E"/>
    <w:rsid w:val="00CE5199"/>
    <w:rsid w:val="00CE66D5"/>
    <w:rsid w:val="00CF07A4"/>
    <w:rsid w:val="00CF090D"/>
    <w:rsid w:val="00CF38D1"/>
    <w:rsid w:val="00CF3D59"/>
    <w:rsid w:val="00CF637A"/>
    <w:rsid w:val="00CF7676"/>
    <w:rsid w:val="00D0151B"/>
    <w:rsid w:val="00D01B47"/>
    <w:rsid w:val="00D04094"/>
    <w:rsid w:val="00D059DE"/>
    <w:rsid w:val="00D05ABD"/>
    <w:rsid w:val="00D12C1B"/>
    <w:rsid w:val="00D12D50"/>
    <w:rsid w:val="00D13434"/>
    <w:rsid w:val="00D13FCE"/>
    <w:rsid w:val="00D15E4C"/>
    <w:rsid w:val="00D20380"/>
    <w:rsid w:val="00D2072B"/>
    <w:rsid w:val="00D232C4"/>
    <w:rsid w:val="00D25B27"/>
    <w:rsid w:val="00D306D1"/>
    <w:rsid w:val="00D30800"/>
    <w:rsid w:val="00D33C74"/>
    <w:rsid w:val="00D34786"/>
    <w:rsid w:val="00D37BFC"/>
    <w:rsid w:val="00D37EF9"/>
    <w:rsid w:val="00D418CE"/>
    <w:rsid w:val="00D419DC"/>
    <w:rsid w:val="00D4407E"/>
    <w:rsid w:val="00D476B4"/>
    <w:rsid w:val="00D47A8E"/>
    <w:rsid w:val="00D50C2E"/>
    <w:rsid w:val="00D524BA"/>
    <w:rsid w:val="00D52D14"/>
    <w:rsid w:val="00D53471"/>
    <w:rsid w:val="00D53472"/>
    <w:rsid w:val="00D600A8"/>
    <w:rsid w:val="00D61ED3"/>
    <w:rsid w:val="00D645D7"/>
    <w:rsid w:val="00D649BB"/>
    <w:rsid w:val="00D660BC"/>
    <w:rsid w:val="00D662DF"/>
    <w:rsid w:val="00D66A61"/>
    <w:rsid w:val="00D712D3"/>
    <w:rsid w:val="00D71422"/>
    <w:rsid w:val="00D72DC6"/>
    <w:rsid w:val="00D73031"/>
    <w:rsid w:val="00D7558D"/>
    <w:rsid w:val="00D81D92"/>
    <w:rsid w:val="00D82C20"/>
    <w:rsid w:val="00D876F9"/>
    <w:rsid w:val="00D90F52"/>
    <w:rsid w:val="00D921AF"/>
    <w:rsid w:val="00D951AE"/>
    <w:rsid w:val="00D9624D"/>
    <w:rsid w:val="00DA20CF"/>
    <w:rsid w:val="00DA3A56"/>
    <w:rsid w:val="00DA4874"/>
    <w:rsid w:val="00DA7B5F"/>
    <w:rsid w:val="00DB0C6C"/>
    <w:rsid w:val="00DB2701"/>
    <w:rsid w:val="00DC11E7"/>
    <w:rsid w:val="00DC143C"/>
    <w:rsid w:val="00DC1A87"/>
    <w:rsid w:val="00DC506A"/>
    <w:rsid w:val="00DC6DD7"/>
    <w:rsid w:val="00DC7023"/>
    <w:rsid w:val="00DC769A"/>
    <w:rsid w:val="00DC7F40"/>
    <w:rsid w:val="00DD0C22"/>
    <w:rsid w:val="00DD3D01"/>
    <w:rsid w:val="00DD3D86"/>
    <w:rsid w:val="00DD45C1"/>
    <w:rsid w:val="00DD4AD2"/>
    <w:rsid w:val="00DD6275"/>
    <w:rsid w:val="00DD63F1"/>
    <w:rsid w:val="00DD7C0F"/>
    <w:rsid w:val="00DE166E"/>
    <w:rsid w:val="00DF1EC4"/>
    <w:rsid w:val="00DF66FA"/>
    <w:rsid w:val="00E02FF3"/>
    <w:rsid w:val="00E0340B"/>
    <w:rsid w:val="00E04A90"/>
    <w:rsid w:val="00E0551F"/>
    <w:rsid w:val="00E07E9C"/>
    <w:rsid w:val="00E11570"/>
    <w:rsid w:val="00E11636"/>
    <w:rsid w:val="00E12054"/>
    <w:rsid w:val="00E219C7"/>
    <w:rsid w:val="00E22C2D"/>
    <w:rsid w:val="00E279EF"/>
    <w:rsid w:val="00E30EC0"/>
    <w:rsid w:val="00E3392E"/>
    <w:rsid w:val="00E36A0B"/>
    <w:rsid w:val="00E4118C"/>
    <w:rsid w:val="00E415A7"/>
    <w:rsid w:val="00E42B42"/>
    <w:rsid w:val="00E43157"/>
    <w:rsid w:val="00E461CE"/>
    <w:rsid w:val="00E4779B"/>
    <w:rsid w:val="00E6002C"/>
    <w:rsid w:val="00E6007D"/>
    <w:rsid w:val="00E71F07"/>
    <w:rsid w:val="00E720CA"/>
    <w:rsid w:val="00E724B3"/>
    <w:rsid w:val="00E74440"/>
    <w:rsid w:val="00E77F60"/>
    <w:rsid w:val="00E8014E"/>
    <w:rsid w:val="00E84EB5"/>
    <w:rsid w:val="00E85662"/>
    <w:rsid w:val="00E873ED"/>
    <w:rsid w:val="00E8789F"/>
    <w:rsid w:val="00E87E18"/>
    <w:rsid w:val="00E90740"/>
    <w:rsid w:val="00E913B2"/>
    <w:rsid w:val="00E92231"/>
    <w:rsid w:val="00E92D5F"/>
    <w:rsid w:val="00E94D9F"/>
    <w:rsid w:val="00E9612E"/>
    <w:rsid w:val="00E97677"/>
    <w:rsid w:val="00E97961"/>
    <w:rsid w:val="00E97B71"/>
    <w:rsid w:val="00EA03E6"/>
    <w:rsid w:val="00EA083C"/>
    <w:rsid w:val="00EA3D34"/>
    <w:rsid w:val="00EA477F"/>
    <w:rsid w:val="00EB3BBB"/>
    <w:rsid w:val="00EB4538"/>
    <w:rsid w:val="00EB454D"/>
    <w:rsid w:val="00EC4B6F"/>
    <w:rsid w:val="00ED090F"/>
    <w:rsid w:val="00ED197E"/>
    <w:rsid w:val="00ED21AA"/>
    <w:rsid w:val="00ED27F9"/>
    <w:rsid w:val="00ED3C0C"/>
    <w:rsid w:val="00ED4BBD"/>
    <w:rsid w:val="00ED5368"/>
    <w:rsid w:val="00ED549D"/>
    <w:rsid w:val="00ED76BE"/>
    <w:rsid w:val="00EE00E9"/>
    <w:rsid w:val="00EE750B"/>
    <w:rsid w:val="00EF4B50"/>
    <w:rsid w:val="00EF619B"/>
    <w:rsid w:val="00F00B55"/>
    <w:rsid w:val="00F0155E"/>
    <w:rsid w:val="00F01617"/>
    <w:rsid w:val="00F02AD1"/>
    <w:rsid w:val="00F04797"/>
    <w:rsid w:val="00F04EF3"/>
    <w:rsid w:val="00F05837"/>
    <w:rsid w:val="00F1415A"/>
    <w:rsid w:val="00F21098"/>
    <w:rsid w:val="00F23211"/>
    <w:rsid w:val="00F253CC"/>
    <w:rsid w:val="00F261B9"/>
    <w:rsid w:val="00F30D1B"/>
    <w:rsid w:val="00F321E1"/>
    <w:rsid w:val="00F32A96"/>
    <w:rsid w:val="00F35EB2"/>
    <w:rsid w:val="00F37106"/>
    <w:rsid w:val="00F401E0"/>
    <w:rsid w:val="00F42126"/>
    <w:rsid w:val="00F452AF"/>
    <w:rsid w:val="00F519CF"/>
    <w:rsid w:val="00F522F0"/>
    <w:rsid w:val="00F5473C"/>
    <w:rsid w:val="00F55786"/>
    <w:rsid w:val="00F55AA9"/>
    <w:rsid w:val="00F56BA5"/>
    <w:rsid w:val="00F60E22"/>
    <w:rsid w:val="00F67D93"/>
    <w:rsid w:val="00F70EE0"/>
    <w:rsid w:val="00F71542"/>
    <w:rsid w:val="00F7345E"/>
    <w:rsid w:val="00F81385"/>
    <w:rsid w:val="00F81395"/>
    <w:rsid w:val="00F813AB"/>
    <w:rsid w:val="00F81BB8"/>
    <w:rsid w:val="00F830F9"/>
    <w:rsid w:val="00F85338"/>
    <w:rsid w:val="00F85961"/>
    <w:rsid w:val="00F915B2"/>
    <w:rsid w:val="00F917D1"/>
    <w:rsid w:val="00F9466B"/>
    <w:rsid w:val="00F96281"/>
    <w:rsid w:val="00F9653B"/>
    <w:rsid w:val="00F97502"/>
    <w:rsid w:val="00FA1E0C"/>
    <w:rsid w:val="00FA5CBE"/>
    <w:rsid w:val="00FB2CC6"/>
    <w:rsid w:val="00FB3486"/>
    <w:rsid w:val="00FB3B6E"/>
    <w:rsid w:val="00FB3E62"/>
    <w:rsid w:val="00FB62CF"/>
    <w:rsid w:val="00FB6910"/>
    <w:rsid w:val="00FC3D47"/>
    <w:rsid w:val="00FD3C0D"/>
    <w:rsid w:val="00FD3C3B"/>
    <w:rsid w:val="00FE07DD"/>
    <w:rsid w:val="00FE4D3F"/>
    <w:rsid w:val="00FE4F93"/>
    <w:rsid w:val="00FE6744"/>
    <w:rsid w:val="00FE6B45"/>
    <w:rsid w:val="00FE7F99"/>
    <w:rsid w:val="00FF2397"/>
    <w:rsid w:val="00FF55F3"/>
    <w:rsid w:val="00FF5851"/>
    <w:rsid w:val="00FF743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D0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fr-FR" w:eastAsia="fr-FR"/>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4669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46692"/>
    <w:pPr>
      <w:keepNext w:val="0"/>
      <w:keepLines w:val="0"/>
      <w:numPr>
        <w:numId w:val="63"/>
      </w:numPr>
      <w:spacing w:before="0"/>
      <w:ind w:hanging="720"/>
      <w:contextualSpacing/>
      <w:jc w:val="both"/>
      <w:outlineLvl w:val="4"/>
    </w:pPr>
    <w:rPr>
      <w:rFonts w:ascii="Cambria" w:eastAsia="Calibri" w:hAnsi="Cambria" w:cs="Calibri"/>
      <w:b/>
      <w:i w:val="0"/>
      <w:iCs w:val="0"/>
      <w:color w:val="auto"/>
      <w:sz w:val="20"/>
      <w:szCs w:val="20"/>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val="fr-FR" w:eastAsia="fr-FR"/>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ft Char,C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37A7"/>
    <w:rPr>
      <w:color w:val="808080"/>
    </w:rPr>
  </w:style>
  <w:style w:type="character" w:styleId="CommentReference">
    <w:name w:val="annotation reference"/>
    <w:basedOn w:val="DefaultParagraphFont"/>
    <w:uiPriority w:val="99"/>
    <w:semiHidden/>
    <w:unhideWhenUsed/>
    <w:rsid w:val="00931A13"/>
    <w:rPr>
      <w:sz w:val="16"/>
      <w:szCs w:val="16"/>
    </w:rPr>
  </w:style>
  <w:style w:type="paragraph" w:styleId="CommentText">
    <w:name w:val="annotation text"/>
    <w:basedOn w:val="Normal"/>
    <w:link w:val="CommentTextChar"/>
    <w:uiPriority w:val="99"/>
    <w:unhideWhenUsed/>
    <w:rsid w:val="00931A13"/>
    <w:rPr>
      <w:sz w:val="20"/>
      <w:szCs w:val="20"/>
    </w:rPr>
  </w:style>
  <w:style w:type="character" w:customStyle="1" w:styleId="CommentTextChar">
    <w:name w:val="Comment Text Char"/>
    <w:basedOn w:val="DefaultParagraphFont"/>
    <w:link w:val="CommentText"/>
    <w:uiPriority w:val="99"/>
    <w:rsid w:val="00931A13"/>
    <w:rPr>
      <w:lang w:val="en-US" w:eastAsia="en-US"/>
    </w:rPr>
  </w:style>
  <w:style w:type="paragraph" w:styleId="CommentSubject">
    <w:name w:val="annotation subject"/>
    <w:basedOn w:val="CommentText"/>
    <w:next w:val="CommentText"/>
    <w:link w:val="CommentSubjectChar"/>
    <w:uiPriority w:val="99"/>
    <w:semiHidden/>
    <w:unhideWhenUsed/>
    <w:rsid w:val="00931A13"/>
    <w:rPr>
      <w:b/>
      <w:bCs/>
    </w:rPr>
  </w:style>
  <w:style w:type="character" w:customStyle="1" w:styleId="CommentSubjectChar">
    <w:name w:val="Comment Subject Char"/>
    <w:basedOn w:val="CommentTextChar"/>
    <w:link w:val="CommentSubject"/>
    <w:uiPriority w:val="99"/>
    <w:semiHidden/>
    <w:rsid w:val="00931A13"/>
    <w:rPr>
      <w:b/>
      <w:bCs/>
      <w:lang w:val="en-US" w:eastAsia="en-US"/>
    </w:rPr>
  </w:style>
  <w:style w:type="paragraph" w:styleId="Revision">
    <w:name w:val="Revision"/>
    <w:hidden/>
    <w:uiPriority w:val="99"/>
    <w:semiHidden/>
    <w:rsid w:val="006A1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Emphasis">
    <w:name w:val="Emphasis"/>
    <w:basedOn w:val="DefaultParagraphFont"/>
    <w:uiPriority w:val="20"/>
    <w:qFormat/>
    <w:rsid w:val="00653815"/>
    <w:rPr>
      <w:i/>
      <w:iCs/>
    </w:rPr>
  </w:style>
  <w:style w:type="paragraph" w:styleId="NormalWeb">
    <w:name w:val="Normal (Web)"/>
    <w:basedOn w:val="Normal"/>
    <w:uiPriority w:val="99"/>
    <w:semiHidden/>
    <w:unhideWhenUsed/>
    <w:rsid w:val="00DD63F1"/>
    <w:pPr>
      <w:spacing w:before="100" w:beforeAutospacing="1" w:after="100" w:afterAutospacing="1"/>
    </w:pPr>
  </w:style>
  <w:style w:type="character" w:customStyle="1" w:styleId="Heading5Char">
    <w:name w:val="Heading 5 Char"/>
    <w:basedOn w:val="DefaultParagraphFont"/>
    <w:link w:val="Heading5"/>
    <w:uiPriority w:val="9"/>
    <w:rsid w:val="00446692"/>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46692"/>
    <w:rPr>
      <w:rFonts w:asciiTheme="majorHAnsi" w:eastAsiaTheme="majorEastAsia" w:hAnsiTheme="majorHAnsi" w:cstheme="majorBidi"/>
      <w:i/>
      <w:iCs/>
      <w:color w:val="365F91" w:themeColor="accent1" w:themeShade="BF"/>
      <w:sz w:val="24"/>
      <w:szCs w:val="24"/>
      <w:bdr w:val="none" w:sz="0" w:space="0" w:color="auto"/>
      <w:lang w:val="fr-FR" w:eastAsia="fr-FR"/>
    </w:rPr>
  </w:style>
  <w:style w:type="paragraph" w:styleId="ListBullet">
    <w:name w:val="List Bullet"/>
    <w:basedOn w:val="Normal"/>
    <w:uiPriority w:val="99"/>
    <w:unhideWhenUsed/>
    <w:rsid w:val="00F55786"/>
    <w:pPr>
      <w:numPr>
        <w:numId w:val="6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568">
      <w:bodyDiv w:val="1"/>
      <w:marLeft w:val="0"/>
      <w:marRight w:val="0"/>
      <w:marTop w:val="0"/>
      <w:marBottom w:val="0"/>
      <w:divBdr>
        <w:top w:val="none" w:sz="0" w:space="0" w:color="auto"/>
        <w:left w:val="none" w:sz="0" w:space="0" w:color="auto"/>
        <w:bottom w:val="none" w:sz="0" w:space="0" w:color="auto"/>
        <w:right w:val="none" w:sz="0" w:space="0" w:color="auto"/>
      </w:divBdr>
    </w:div>
    <w:div w:id="43602057">
      <w:bodyDiv w:val="1"/>
      <w:marLeft w:val="0"/>
      <w:marRight w:val="0"/>
      <w:marTop w:val="0"/>
      <w:marBottom w:val="0"/>
      <w:divBdr>
        <w:top w:val="none" w:sz="0" w:space="0" w:color="auto"/>
        <w:left w:val="none" w:sz="0" w:space="0" w:color="auto"/>
        <w:bottom w:val="none" w:sz="0" w:space="0" w:color="auto"/>
        <w:right w:val="none" w:sz="0" w:space="0" w:color="auto"/>
      </w:divBdr>
    </w:div>
    <w:div w:id="63843954">
      <w:bodyDiv w:val="1"/>
      <w:marLeft w:val="0"/>
      <w:marRight w:val="0"/>
      <w:marTop w:val="0"/>
      <w:marBottom w:val="0"/>
      <w:divBdr>
        <w:top w:val="none" w:sz="0" w:space="0" w:color="auto"/>
        <w:left w:val="none" w:sz="0" w:space="0" w:color="auto"/>
        <w:bottom w:val="none" w:sz="0" w:space="0" w:color="auto"/>
        <w:right w:val="none" w:sz="0" w:space="0" w:color="auto"/>
      </w:divBdr>
    </w:div>
    <w:div w:id="152644202">
      <w:bodyDiv w:val="1"/>
      <w:marLeft w:val="0"/>
      <w:marRight w:val="0"/>
      <w:marTop w:val="0"/>
      <w:marBottom w:val="0"/>
      <w:divBdr>
        <w:top w:val="none" w:sz="0" w:space="0" w:color="auto"/>
        <w:left w:val="none" w:sz="0" w:space="0" w:color="auto"/>
        <w:bottom w:val="none" w:sz="0" w:space="0" w:color="auto"/>
        <w:right w:val="none" w:sz="0" w:space="0" w:color="auto"/>
      </w:divBdr>
    </w:div>
    <w:div w:id="391924884">
      <w:bodyDiv w:val="1"/>
      <w:marLeft w:val="0"/>
      <w:marRight w:val="0"/>
      <w:marTop w:val="0"/>
      <w:marBottom w:val="0"/>
      <w:divBdr>
        <w:top w:val="none" w:sz="0" w:space="0" w:color="auto"/>
        <w:left w:val="none" w:sz="0" w:space="0" w:color="auto"/>
        <w:bottom w:val="none" w:sz="0" w:space="0" w:color="auto"/>
        <w:right w:val="none" w:sz="0" w:space="0" w:color="auto"/>
      </w:divBdr>
    </w:div>
    <w:div w:id="414598674">
      <w:bodyDiv w:val="1"/>
      <w:marLeft w:val="0"/>
      <w:marRight w:val="0"/>
      <w:marTop w:val="0"/>
      <w:marBottom w:val="0"/>
      <w:divBdr>
        <w:top w:val="none" w:sz="0" w:space="0" w:color="auto"/>
        <w:left w:val="none" w:sz="0" w:space="0" w:color="auto"/>
        <w:bottom w:val="none" w:sz="0" w:space="0" w:color="auto"/>
        <w:right w:val="none" w:sz="0" w:space="0" w:color="auto"/>
      </w:divBdr>
    </w:div>
    <w:div w:id="431973430">
      <w:bodyDiv w:val="1"/>
      <w:marLeft w:val="0"/>
      <w:marRight w:val="0"/>
      <w:marTop w:val="0"/>
      <w:marBottom w:val="0"/>
      <w:divBdr>
        <w:top w:val="none" w:sz="0" w:space="0" w:color="auto"/>
        <w:left w:val="none" w:sz="0" w:space="0" w:color="auto"/>
        <w:bottom w:val="none" w:sz="0" w:space="0" w:color="auto"/>
        <w:right w:val="none" w:sz="0" w:space="0" w:color="auto"/>
      </w:divBdr>
    </w:div>
    <w:div w:id="484786148">
      <w:bodyDiv w:val="1"/>
      <w:marLeft w:val="0"/>
      <w:marRight w:val="0"/>
      <w:marTop w:val="0"/>
      <w:marBottom w:val="0"/>
      <w:divBdr>
        <w:top w:val="none" w:sz="0" w:space="0" w:color="auto"/>
        <w:left w:val="none" w:sz="0" w:space="0" w:color="auto"/>
        <w:bottom w:val="none" w:sz="0" w:space="0" w:color="auto"/>
        <w:right w:val="none" w:sz="0" w:space="0" w:color="auto"/>
      </w:divBdr>
    </w:div>
    <w:div w:id="664285955">
      <w:bodyDiv w:val="1"/>
      <w:marLeft w:val="0"/>
      <w:marRight w:val="0"/>
      <w:marTop w:val="0"/>
      <w:marBottom w:val="0"/>
      <w:divBdr>
        <w:top w:val="none" w:sz="0" w:space="0" w:color="auto"/>
        <w:left w:val="none" w:sz="0" w:space="0" w:color="auto"/>
        <w:bottom w:val="none" w:sz="0" w:space="0" w:color="auto"/>
        <w:right w:val="none" w:sz="0" w:space="0" w:color="auto"/>
      </w:divBdr>
    </w:div>
    <w:div w:id="1054278112">
      <w:bodyDiv w:val="1"/>
      <w:marLeft w:val="0"/>
      <w:marRight w:val="0"/>
      <w:marTop w:val="0"/>
      <w:marBottom w:val="0"/>
      <w:divBdr>
        <w:top w:val="none" w:sz="0" w:space="0" w:color="auto"/>
        <w:left w:val="none" w:sz="0" w:space="0" w:color="auto"/>
        <w:bottom w:val="none" w:sz="0" w:space="0" w:color="auto"/>
        <w:right w:val="none" w:sz="0" w:space="0" w:color="auto"/>
      </w:divBdr>
    </w:div>
    <w:div w:id="1256481272">
      <w:bodyDiv w:val="1"/>
      <w:marLeft w:val="0"/>
      <w:marRight w:val="0"/>
      <w:marTop w:val="0"/>
      <w:marBottom w:val="0"/>
      <w:divBdr>
        <w:top w:val="none" w:sz="0" w:space="0" w:color="auto"/>
        <w:left w:val="none" w:sz="0" w:space="0" w:color="auto"/>
        <w:bottom w:val="none" w:sz="0" w:space="0" w:color="auto"/>
        <w:right w:val="none" w:sz="0" w:space="0" w:color="auto"/>
      </w:divBdr>
    </w:div>
    <w:div w:id="1310936432">
      <w:bodyDiv w:val="1"/>
      <w:marLeft w:val="0"/>
      <w:marRight w:val="0"/>
      <w:marTop w:val="0"/>
      <w:marBottom w:val="0"/>
      <w:divBdr>
        <w:top w:val="none" w:sz="0" w:space="0" w:color="auto"/>
        <w:left w:val="none" w:sz="0" w:space="0" w:color="auto"/>
        <w:bottom w:val="none" w:sz="0" w:space="0" w:color="auto"/>
        <w:right w:val="none" w:sz="0" w:space="0" w:color="auto"/>
      </w:divBdr>
    </w:div>
    <w:div w:id="145640684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89466142">
      <w:bodyDiv w:val="1"/>
      <w:marLeft w:val="0"/>
      <w:marRight w:val="0"/>
      <w:marTop w:val="0"/>
      <w:marBottom w:val="0"/>
      <w:divBdr>
        <w:top w:val="none" w:sz="0" w:space="0" w:color="auto"/>
        <w:left w:val="none" w:sz="0" w:space="0" w:color="auto"/>
        <w:bottom w:val="none" w:sz="0" w:space="0" w:color="auto"/>
        <w:right w:val="none" w:sz="0" w:space="0" w:color="auto"/>
      </w:divBdr>
    </w:div>
    <w:div w:id="1800144607">
      <w:bodyDiv w:val="1"/>
      <w:marLeft w:val="0"/>
      <w:marRight w:val="0"/>
      <w:marTop w:val="0"/>
      <w:marBottom w:val="0"/>
      <w:divBdr>
        <w:top w:val="none" w:sz="0" w:space="0" w:color="auto"/>
        <w:left w:val="none" w:sz="0" w:space="0" w:color="auto"/>
        <w:bottom w:val="none" w:sz="0" w:space="0" w:color="auto"/>
        <w:right w:val="none" w:sz="0" w:space="0" w:color="auto"/>
      </w:divBdr>
    </w:div>
    <w:div w:id="1813281735">
      <w:bodyDiv w:val="1"/>
      <w:marLeft w:val="0"/>
      <w:marRight w:val="0"/>
      <w:marTop w:val="0"/>
      <w:marBottom w:val="0"/>
      <w:divBdr>
        <w:top w:val="none" w:sz="0" w:space="0" w:color="auto"/>
        <w:left w:val="none" w:sz="0" w:space="0" w:color="auto"/>
        <w:bottom w:val="none" w:sz="0" w:space="0" w:color="auto"/>
        <w:right w:val="none" w:sz="0" w:space="0" w:color="auto"/>
      </w:divBdr>
    </w:div>
    <w:div w:id="1823738508">
      <w:bodyDiv w:val="1"/>
      <w:marLeft w:val="0"/>
      <w:marRight w:val="0"/>
      <w:marTop w:val="0"/>
      <w:marBottom w:val="0"/>
      <w:divBdr>
        <w:top w:val="none" w:sz="0" w:space="0" w:color="auto"/>
        <w:left w:val="none" w:sz="0" w:space="0" w:color="auto"/>
        <w:bottom w:val="none" w:sz="0" w:space="0" w:color="auto"/>
        <w:right w:val="none" w:sz="0" w:space="0" w:color="auto"/>
      </w:divBdr>
    </w:div>
    <w:div w:id="1933126085">
      <w:bodyDiv w:val="1"/>
      <w:marLeft w:val="0"/>
      <w:marRight w:val="0"/>
      <w:marTop w:val="0"/>
      <w:marBottom w:val="0"/>
      <w:divBdr>
        <w:top w:val="none" w:sz="0" w:space="0" w:color="auto"/>
        <w:left w:val="none" w:sz="0" w:space="0" w:color="auto"/>
        <w:bottom w:val="none" w:sz="0" w:space="0" w:color="auto"/>
        <w:right w:val="none" w:sz="0" w:space="0" w:color="auto"/>
      </w:divBdr>
    </w:div>
    <w:div w:id="1942375485">
      <w:bodyDiv w:val="1"/>
      <w:marLeft w:val="0"/>
      <w:marRight w:val="0"/>
      <w:marTop w:val="0"/>
      <w:marBottom w:val="0"/>
      <w:divBdr>
        <w:top w:val="none" w:sz="0" w:space="0" w:color="auto"/>
        <w:left w:val="none" w:sz="0" w:space="0" w:color="auto"/>
        <w:bottom w:val="none" w:sz="0" w:space="0" w:color="auto"/>
        <w:right w:val="none" w:sz="0" w:space="0" w:color="auto"/>
      </w:divBdr>
    </w:div>
    <w:div w:id="2050567703">
      <w:bodyDiv w:val="1"/>
      <w:marLeft w:val="0"/>
      <w:marRight w:val="0"/>
      <w:marTop w:val="0"/>
      <w:marBottom w:val="0"/>
      <w:divBdr>
        <w:top w:val="none" w:sz="0" w:space="0" w:color="auto"/>
        <w:left w:val="none" w:sz="0" w:space="0" w:color="auto"/>
        <w:bottom w:val="none" w:sz="0" w:space="0" w:color="auto"/>
        <w:right w:val="none" w:sz="0" w:space="0" w:color="auto"/>
      </w:divBdr>
      <w:divsChild>
        <w:div w:id="501700210">
          <w:marLeft w:val="0"/>
          <w:marRight w:val="0"/>
          <w:marTop w:val="0"/>
          <w:marBottom w:val="0"/>
          <w:divBdr>
            <w:top w:val="none" w:sz="0" w:space="0" w:color="auto"/>
            <w:left w:val="none" w:sz="0" w:space="0" w:color="auto"/>
            <w:bottom w:val="none" w:sz="0" w:space="0" w:color="auto"/>
            <w:right w:val="none" w:sz="0" w:space="0" w:color="auto"/>
          </w:divBdr>
          <w:divsChild>
            <w:div w:id="2082368463">
              <w:marLeft w:val="0"/>
              <w:marRight w:val="0"/>
              <w:marTop w:val="0"/>
              <w:marBottom w:val="0"/>
              <w:divBdr>
                <w:top w:val="none" w:sz="0" w:space="0" w:color="auto"/>
                <w:left w:val="none" w:sz="0" w:space="0" w:color="auto"/>
                <w:bottom w:val="none" w:sz="0" w:space="0" w:color="auto"/>
                <w:right w:val="none" w:sz="0" w:space="0" w:color="auto"/>
              </w:divBdr>
              <w:divsChild>
                <w:div w:id="24460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1257"/>
    <w:rsid w:val="00097599"/>
    <w:rsid w:val="000A2408"/>
    <w:rsid w:val="000B2D24"/>
    <w:rsid w:val="000C324F"/>
    <w:rsid w:val="00147F6E"/>
    <w:rsid w:val="00173CA1"/>
    <w:rsid w:val="001F2447"/>
    <w:rsid w:val="001F6FCD"/>
    <w:rsid w:val="00200821"/>
    <w:rsid w:val="002253D3"/>
    <w:rsid w:val="002300C7"/>
    <w:rsid w:val="0024599C"/>
    <w:rsid w:val="002660B6"/>
    <w:rsid w:val="00280531"/>
    <w:rsid w:val="002C6DAC"/>
    <w:rsid w:val="00331C0F"/>
    <w:rsid w:val="00367CEE"/>
    <w:rsid w:val="00394049"/>
    <w:rsid w:val="003971EE"/>
    <w:rsid w:val="003B4D43"/>
    <w:rsid w:val="003D0B38"/>
    <w:rsid w:val="00400C27"/>
    <w:rsid w:val="004059AC"/>
    <w:rsid w:val="00443D40"/>
    <w:rsid w:val="004512DD"/>
    <w:rsid w:val="00462133"/>
    <w:rsid w:val="004D690F"/>
    <w:rsid w:val="004E2754"/>
    <w:rsid w:val="004F2DF8"/>
    <w:rsid w:val="00515C27"/>
    <w:rsid w:val="005269A9"/>
    <w:rsid w:val="005B4D48"/>
    <w:rsid w:val="005D2BFA"/>
    <w:rsid w:val="00601912"/>
    <w:rsid w:val="00653291"/>
    <w:rsid w:val="006C6B45"/>
    <w:rsid w:val="006C73DA"/>
    <w:rsid w:val="00710801"/>
    <w:rsid w:val="00743A6C"/>
    <w:rsid w:val="00771A3D"/>
    <w:rsid w:val="007A29CE"/>
    <w:rsid w:val="007C17D0"/>
    <w:rsid w:val="007F328D"/>
    <w:rsid w:val="008012D2"/>
    <w:rsid w:val="00813578"/>
    <w:rsid w:val="00846BF0"/>
    <w:rsid w:val="008630BA"/>
    <w:rsid w:val="0087342D"/>
    <w:rsid w:val="008751F4"/>
    <w:rsid w:val="008B1D05"/>
    <w:rsid w:val="009053BF"/>
    <w:rsid w:val="009453D0"/>
    <w:rsid w:val="009A261B"/>
    <w:rsid w:val="009E0827"/>
    <w:rsid w:val="00A05533"/>
    <w:rsid w:val="00AC15A4"/>
    <w:rsid w:val="00AE691F"/>
    <w:rsid w:val="00AF5B8B"/>
    <w:rsid w:val="00B0336C"/>
    <w:rsid w:val="00B7724B"/>
    <w:rsid w:val="00B8450E"/>
    <w:rsid w:val="00BA2932"/>
    <w:rsid w:val="00BC1044"/>
    <w:rsid w:val="00C111FE"/>
    <w:rsid w:val="00C162DA"/>
    <w:rsid w:val="00C231B9"/>
    <w:rsid w:val="00C602C5"/>
    <w:rsid w:val="00C920AF"/>
    <w:rsid w:val="00CA52AA"/>
    <w:rsid w:val="00D03232"/>
    <w:rsid w:val="00D207EC"/>
    <w:rsid w:val="00D512F7"/>
    <w:rsid w:val="00D62503"/>
    <w:rsid w:val="00D63E05"/>
    <w:rsid w:val="00DB0AE6"/>
    <w:rsid w:val="00DB6A8D"/>
    <w:rsid w:val="00DD1B5C"/>
    <w:rsid w:val="00E652E2"/>
    <w:rsid w:val="00E665DA"/>
    <w:rsid w:val="00E82230"/>
    <w:rsid w:val="00EA0832"/>
    <w:rsid w:val="00EC7DB0"/>
    <w:rsid w:val="00F00D2F"/>
    <w:rsid w:val="00F128DF"/>
    <w:rsid w:val="00F32C8B"/>
    <w:rsid w:val="00F33CC9"/>
    <w:rsid w:val="00F4032B"/>
    <w:rsid w:val="00F53AA1"/>
    <w:rsid w:val="00F910A1"/>
    <w:rsid w:val="00F93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D43"/>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009DD-527C-4477-A70E-02850C2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2929</Words>
  <Characters>15556</Characters>
  <Application>Microsoft Office Word</Application>
  <DocSecurity>0</DocSecurity>
  <Lines>317</Lines>
  <Paragraphs>102</Paragraphs>
  <ScaleCrop>false</ScaleCrop>
  <Company/>
  <LinksUpToDate>false</LinksUpToDate>
  <CharactersWithSpaces>18383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38/21</dc:title>
  <dc:creator/>
  <cp:lastModifiedBy/>
  <cp:revision>1</cp:revision>
  <dcterms:created xsi:type="dcterms:W3CDTF">2021-04-12T19:47:00Z</dcterms:created>
  <dcterms:modified xsi:type="dcterms:W3CDTF">2021-04-12T19:47:00Z</dcterms:modified>
</cp:coreProperties>
</file>