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1400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6E3853" w:rsidRDefault="006E3853"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6E3853" w:rsidRDefault="006E3853"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679FEA3C" w:rsidR="006E3853" w:rsidRPr="00E10040" w:rsidRDefault="006E3853"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887ED4">
                              <w:rPr>
                                <w:rFonts w:ascii="Cambria" w:hAnsi="Cambria" w:cs="Arial"/>
                                <w:b/>
                                <w:bCs/>
                                <w:color w:val="0D0D0D" w:themeColor="text1" w:themeTint="F2"/>
                                <w:sz w:val="36"/>
                                <w:szCs w:val="22"/>
                                <w:lang w:val="es-ES_tradnl"/>
                              </w:rPr>
                              <w:t>225</w:t>
                            </w:r>
                            <w:r w:rsidRPr="00E10040">
                              <w:rPr>
                                <w:rFonts w:ascii="Cambria" w:hAnsi="Cambria" w:cs="Arial"/>
                                <w:b/>
                                <w:bCs/>
                                <w:color w:val="0D0D0D" w:themeColor="text1" w:themeTint="F2"/>
                                <w:sz w:val="36"/>
                                <w:szCs w:val="22"/>
                                <w:lang w:val="es-ES_tradnl"/>
                              </w:rPr>
                              <w:t>/2</w:t>
                            </w:r>
                            <w:r>
                              <w:rPr>
                                <w:rFonts w:ascii="Cambria" w:hAnsi="Cambria" w:cs="Arial"/>
                                <w:b/>
                                <w:bCs/>
                                <w:color w:val="0D0D0D" w:themeColor="text1" w:themeTint="F2"/>
                                <w:sz w:val="36"/>
                                <w:szCs w:val="22"/>
                                <w:lang w:val="es-ES_tradnl"/>
                              </w:rPr>
                              <w:t>1</w:t>
                            </w:r>
                          </w:p>
                          <w:p w14:paraId="67D1B048" w14:textId="6DA4062F" w:rsidR="006E3853" w:rsidRPr="00E10040" w:rsidRDefault="006E3853"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469</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12</w:t>
                            </w:r>
                          </w:p>
                          <w:p w14:paraId="7264B33D" w14:textId="12918964" w:rsidR="006E3853" w:rsidRPr="00E10040" w:rsidRDefault="006E3853"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6E3853" w:rsidRPr="00E10040" w:rsidRDefault="006E3853" w:rsidP="00E10040">
                            <w:pPr>
                              <w:spacing w:line="276" w:lineRule="auto"/>
                              <w:rPr>
                                <w:rFonts w:ascii="Cambria" w:hAnsi="Cambria" w:cs="Arial"/>
                                <w:color w:val="0D0D0D" w:themeColor="text1" w:themeTint="F2"/>
                                <w:szCs w:val="22"/>
                                <w:lang w:val="es-ES_tradnl"/>
                              </w:rPr>
                            </w:pPr>
                            <w:bookmarkStart w:id="0" w:name="_ftnref1"/>
                          </w:p>
                          <w:p w14:paraId="6F037F91" w14:textId="5EC2A3EA" w:rsidR="006E3853" w:rsidRPr="00E10040" w:rsidRDefault="006E3853"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JORGE LEONARDO ESPINO</w:t>
                            </w:r>
                            <w:r w:rsidR="0025428C">
                              <w:rPr>
                                <w:rFonts w:ascii="Cambria" w:hAnsi="Cambria" w:cs="Arial"/>
                                <w:color w:val="0D0D0D" w:themeColor="text1" w:themeTint="F2"/>
                                <w:szCs w:val="22"/>
                                <w:lang w:val="es-ES_tradnl"/>
                              </w:rPr>
                              <w:t>S</w:t>
                            </w:r>
                            <w:r>
                              <w:rPr>
                                <w:rFonts w:ascii="Cambria" w:hAnsi="Cambria" w:cs="Arial"/>
                                <w:color w:val="0D0D0D" w:themeColor="text1" w:themeTint="F2"/>
                                <w:szCs w:val="22"/>
                                <w:lang w:val="es-ES_tradnl"/>
                              </w:rPr>
                              <w:t>A PÉREZ Y FAMILIA</w:t>
                            </w:r>
                          </w:p>
                          <w:bookmarkEnd w:id="0"/>
                          <w:p w14:paraId="7441DC01" w14:textId="0F435884" w:rsidR="006E3853" w:rsidRPr="000666D6" w:rsidRDefault="006E3853" w:rsidP="00E10040">
                            <w:pPr>
                              <w:spacing w:line="276" w:lineRule="auto"/>
                              <w:rPr>
                                <w:rFonts w:ascii="Cambria" w:hAnsi="Cambria" w:cs="Arial"/>
                                <w:color w:val="0D0D0D" w:themeColor="text1" w:themeTint="F2"/>
                                <w:szCs w:val="22"/>
                                <w:lang w:val="es-VE"/>
                              </w:rPr>
                            </w:pPr>
                            <w:r>
                              <w:rPr>
                                <w:rFonts w:ascii="Cambria" w:hAnsi="Cambria" w:cs="Arial"/>
                                <w:color w:val="0D0D0D" w:themeColor="text1" w:themeTint="F2"/>
                                <w:szCs w:val="22"/>
                                <w:lang w:val="es-ES_tradnl"/>
                              </w:rPr>
                              <w:t>M</w:t>
                            </w:r>
                            <w:r>
                              <w:rPr>
                                <w:rFonts w:ascii="Cambria" w:hAnsi="Cambria" w:cs="Arial"/>
                                <w:color w:val="0D0D0D" w:themeColor="text1" w:themeTint="F2"/>
                                <w:szCs w:val="22"/>
                                <w:lang w:val="es-VE"/>
                              </w:rPr>
                              <w:t>ÉXICO</w:t>
                            </w:r>
                          </w:p>
                          <w:p w14:paraId="1DA1F5CC" w14:textId="77777777" w:rsidR="006E3853" w:rsidRPr="00E10040" w:rsidRDefault="006E3853"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B75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679FEA3C" w:rsidR="006E3853" w:rsidRPr="00E10040" w:rsidRDefault="006E3853"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887ED4">
                        <w:rPr>
                          <w:rFonts w:ascii="Cambria" w:hAnsi="Cambria" w:cs="Arial"/>
                          <w:b/>
                          <w:bCs/>
                          <w:color w:val="0D0D0D" w:themeColor="text1" w:themeTint="F2"/>
                          <w:sz w:val="36"/>
                          <w:szCs w:val="22"/>
                          <w:lang w:val="es-ES_tradnl"/>
                        </w:rPr>
                        <w:t>225</w:t>
                      </w:r>
                      <w:r w:rsidRPr="00E10040">
                        <w:rPr>
                          <w:rFonts w:ascii="Cambria" w:hAnsi="Cambria" w:cs="Arial"/>
                          <w:b/>
                          <w:bCs/>
                          <w:color w:val="0D0D0D" w:themeColor="text1" w:themeTint="F2"/>
                          <w:sz w:val="36"/>
                          <w:szCs w:val="22"/>
                          <w:lang w:val="es-ES_tradnl"/>
                        </w:rPr>
                        <w:t>/2</w:t>
                      </w:r>
                      <w:r>
                        <w:rPr>
                          <w:rFonts w:ascii="Cambria" w:hAnsi="Cambria" w:cs="Arial"/>
                          <w:b/>
                          <w:bCs/>
                          <w:color w:val="0D0D0D" w:themeColor="text1" w:themeTint="F2"/>
                          <w:sz w:val="36"/>
                          <w:szCs w:val="22"/>
                          <w:lang w:val="es-ES_tradnl"/>
                        </w:rPr>
                        <w:t>1</w:t>
                      </w:r>
                    </w:p>
                    <w:p w14:paraId="67D1B048" w14:textId="6DA4062F" w:rsidR="006E3853" w:rsidRPr="00E10040" w:rsidRDefault="006E3853"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469</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12</w:t>
                      </w:r>
                    </w:p>
                    <w:p w14:paraId="7264B33D" w14:textId="12918964" w:rsidR="006E3853" w:rsidRPr="00E10040" w:rsidRDefault="006E3853"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6E3853" w:rsidRPr="00E10040" w:rsidRDefault="006E3853" w:rsidP="00E10040">
                      <w:pPr>
                        <w:spacing w:line="276" w:lineRule="auto"/>
                        <w:rPr>
                          <w:rFonts w:ascii="Cambria" w:hAnsi="Cambria" w:cs="Arial"/>
                          <w:color w:val="0D0D0D" w:themeColor="text1" w:themeTint="F2"/>
                          <w:szCs w:val="22"/>
                          <w:lang w:val="es-ES_tradnl"/>
                        </w:rPr>
                      </w:pPr>
                      <w:bookmarkStart w:id="1" w:name="_ftnref1"/>
                    </w:p>
                    <w:p w14:paraId="6F037F91" w14:textId="5EC2A3EA" w:rsidR="006E3853" w:rsidRPr="00E10040" w:rsidRDefault="006E3853"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JORGE LEONARDO ESPINO</w:t>
                      </w:r>
                      <w:r w:rsidR="0025428C">
                        <w:rPr>
                          <w:rFonts w:ascii="Cambria" w:hAnsi="Cambria" w:cs="Arial"/>
                          <w:color w:val="0D0D0D" w:themeColor="text1" w:themeTint="F2"/>
                          <w:szCs w:val="22"/>
                          <w:lang w:val="es-ES_tradnl"/>
                        </w:rPr>
                        <w:t>S</w:t>
                      </w:r>
                      <w:r>
                        <w:rPr>
                          <w:rFonts w:ascii="Cambria" w:hAnsi="Cambria" w:cs="Arial"/>
                          <w:color w:val="0D0D0D" w:themeColor="text1" w:themeTint="F2"/>
                          <w:szCs w:val="22"/>
                          <w:lang w:val="es-ES_tradnl"/>
                        </w:rPr>
                        <w:t>A PÉREZ Y FAMILIA</w:t>
                      </w:r>
                    </w:p>
                    <w:bookmarkEnd w:id="1"/>
                    <w:p w14:paraId="7441DC01" w14:textId="0F435884" w:rsidR="006E3853" w:rsidRPr="000666D6" w:rsidRDefault="006E3853" w:rsidP="00E10040">
                      <w:pPr>
                        <w:spacing w:line="276" w:lineRule="auto"/>
                        <w:rPr>
                          <w:rFonts w:ascii="Cambria" w:hAnsi="Cambria" w:cs="Arial"/>
                          <w:color w:val="0D0D0D" w:themeColor="text1" w:themeTint="F2"/>
                          <w:szCs w:val="22"/>
                          <w:lang w:val="es-VE"/>
                        </w:rPr>
                      </w:pPr>
                      <w:r>
                        <w:rPr>
                          <w:rFonts w:ascii="Cambria" w:hAnsi="Cambria" w:cs="Arial"/>
                          <w:color w:val="0D0D0D" w:themeColor="text1" w:themeTint="F2"/>
                          <w:szCs w:val="22"/>
                          <w:lang w:val="es-ES_tradnl"/>
                        </w:rPr>
                        <w:t>M</w:t>
                      </w:r>
                      <w:r>
                        <w:rPr>
                          <w:rFonts w:ascii="Cambria" w:hAnsi="Cambria" w:cs="Arial"/>
                          <w:color w:val="0D0D0D" w:themeColor="text1" w:themeTint="F2"/>
                          <w:szCs w:val="22"/>
                          <w:lang w:val="es-VE"/>
                        </w:rPr>
                        <w:t>ÉXICO</w:t>
                      </w:r>
                    </w:p>
                    <w:p w14:paraId="1DA1F5CC" w14:textId="77777777" w:rsidR="006E3853" w:rsidRPr="00E10040" w:rsidRDefault="006E3853" w:rsidP="00E10040">
                      <w:pPr>
                        <w:rPr>
                          <w:rFonts w:ascii="Cambria" w:hAnsi="Cambria"/>
                          <w:color w:val="0D0D0D" w:themeColor="text1" w:themeTint="F2"/>
                          <w:lang w:val="es-ES_tradnl"/>
                        </w:rPr>
                      </w:pP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7CE9FA60" w:rsidR="006E3853" w:rsidRPr="00777FE8" w:rsidRDefault="006E3853" w:rsidP="00E10040">
                            <w:pPr>
                              <w:spacing w:line="276" w:lineRule="auto"/>
                              <w:jc w:val="right"/>
                              <w:rPr>
                                <w:rFonts w:asciiTheme="minorHAnsi" w:hAnsiTheme="minorHAnsi"/>
                                <w:color w:val="FFFFFF" w:themeColor="background1"/>
                                <w:sz w:val="22"/>
                                <w:lang w:val="es-419"/>
                              </w:rPr>
                            </w:pPr>
                            <w:r w:rsidRPr="00777FE8">
                              <w:rPr>
                                <w:rFonts w:asciiTheme="minorHAnsi" w:hAnsiTheme="minorHAnsi"/>
                                <w:color w:val="FFFFFF" w:themeColor="background1"/>
                                <w:sz w:val="22"/>
                                <w:lang w:val="es-419"/>
                              </w:rPr>
                              <w:t>OEA/</w:t>
                            </w:r>
                            <w:proofErr w:type="spellStart"/>
                            <w:r w:rsidRPr="00777FE8">
                              <w:rPr>
                                <w:rFonts w:asciiTheme="minorHAnsi" w:hAnsiTheme="minorHAnsi"/>
                                <w:color w:val="FFFFFF" w:themeColor="background1"/>
                                <w:sz w:val="22"/>
                                <w:lang w:val="es-419"/>
                              </w:rPr>
                              <w:t>Ser.L</w:t>
                            </w:r>
                            <w:proofErr w:type="spellEnd"/>
                            <w:r w:rsidRPr="00777FE8">
                              <w:rPr>
                                <w:rFonts w:asciiTheme="minorHAnsi" w:hAnsiTheme="minorHAnsi"/>
                                <w:color w:val="FFFFFF" w:themeColor="background1"/>
                                <w:sz w:val="22"/>
                                <w:lang w:val="es-419"/>
                              </w:rPr>
                              <w:t>/V/II</w:t>
                            </w:r>
                          </w:p>
                          <w:p w14:paraId="1E29FC77" w14:textId="2754AB3A" w:rsidR="006E3853" w:rsidRPr="00777FE8" w:rsidRDefault="006E3853" w:rsidP="00E10040">
                            <w:pPr>
                              <w:spacing w:line="276" w:lineRule="auto"/>
                              <w:jc w:val="right"/>
                              <w:rPr>
                                <w:rFonts w:asciiTheme="minorHAnsi" w:hAnsiTheme="minorHAnsi"/>
                                <w:color w:val="FFFFFF" w:themeColor="background1"/>
                                <w:sz w:val="22"/>
                                <w:lang w:val="es-419"/>
                              </w:rPr>
                            </w:pPr>
                            <w:r w:rsidRPr="00777FE8">
                              <w:rPr>
                                <w:rFonts w:asciiTheme="minorHAnsi" w:hAnsiTheme="minorHAnsi"/>
                                <w:color w:val="FFFFFF" w:themeColor="background1"/>
                                <w:sz w:val="22"/>
                                <w:lang w:val="es-419"/>
                              </w:rPr>
                              <w:t xml:space="preserve">Doc. </w:t>
                            </w:r>
                            <w:r w:rsidR="00887ED4" w:rsidRPr="00777FE8">
                              <w:rPr>
                                <w:rFonts w:asciiTheme="minorHAnsi" w:hAnsiTheme="minorHAnsi"/>
                                <w:color w:val="FFFFFF" w:themeColor="background1"/>
                                <w:sz w:val="22"/>
                                <w:lang w:val="es-419"/>
                              </w:rPr>
                              <w:t>233</w:t>
                            </w:r>
                          </w:p>
                          <w:p w14:paraId="4BC71096" w14:textId="534C93EA" w:rsidR="006E3853" w:rsidRPr="00C25ADB" w:rsidRDefault="00887ED4"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septiembre</w:t>
                            </w:r>
                            <w:r w:rsidR="006E3853" w:rsidRPr="00C25ADB">
                              <w:rPr>
                                <w:rFonts w:asciiTheme="minorHAnsi" w:hAnsiTheme="minorHAnsi"/>
                                <w:color w:val="FFFFFF" w:themeColor="background1"/>
                                <w:sz w:val="22"/>
                                <w:lang w:val="es-PA"/>
                              </w:rPr>
                              <w:t xml:space="preserve"> 202</w:t>
                            </w:r>
                            <w:r w:rsidR="006E3853">
                              <w:rPr>
                                <w:rFonts w:asciiTheme="minorHAnsi" w:hAnsiTheme="minorHAnsi"/>
                                <w:color w:val="FFFFFF" w:themeColor="background1"/>
                                <w:sz w:val="22"/>
                                <w:lang w:val="es-PA"/>
                              </w:rPr>
                              <w:t>1</w:t>
                            </w:r>
                          </w:p>
                          <w:p w14:paraId="2ED41C8A" w14:textId="77777777" w:rsidR="006E3853" w:rsidRPr="00C25ADB" w:rsidRDefault="006E3853"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A116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7CE9FA60" w:rsidR="006E3853" w:rsidRPr="00777FE8" w:rsidRDefault="006E3853" w:rsidP="00E10040">
                      <w:pPr>
                        <w:spacing w:line="276" w:lineRule="auto"/>
                        <w:jc w:val="right"/>
                        <w:rPr>
                          <w:rFonts w:asciiTheme="minorHAnsi" w:hAnsiTheme="minorHAnsi"/>
                          <w:color w:val="FFFFFF" w:themeColor="background1"/>
                          <w:sz w:val="22"/>
                          <w:lang w:val="es-419"/>
                        </w:rPr>
                      </w:pPr>
                      <w:r w:rsidRPr="00777FE8">
                        <w:rPr>
                          <w:rFonts w:asciiTheme="minorHAnsi" w:hAnsiTheme="minorHAnsi"/>
                          <w:color w:val="FFFFFF" w:themeColor="background1"/>
                          <w:sz w:val="22"/>
                          <w:lang w:val="es-419"/>
                        </w:rPr>
                        <w:t>OEA/Ser.L/V/II</w:t>
                      </w:r>
                    </w:p>
                    <w:p w14:paraId="1E29FC77" w14:textId="2754AB3A" w:rsidR="006E3853" w:rsidRPr="00777FE8" w:rsidRDefault="006E3853" w:rsidP="00E10040">
                      <w:pPr>
                        <w:spacing w:line="276" w:lineRule="auto"/>
                        <w:jc w:val="right"/>
                        <w:rPr>
                          <w:rFonts w:asciiTheme="minorHAnsi" w:hAnsiTheme="minorHAnsi"/>
                          <w:color w:val="FFFFFF" w:themeColor="background1"/>
                          <w:sz w:val="22"/>
                          <w:lang w:val="es-419"/>
                        </w:rPr>
                      </w:pPr>
                      <w:r w:rsidRPr="00777FE8">
                        <w:rPr>
                          <w:rFonts w:asciiTheme="minorHAnsi" w:hAnsiTheme="minorHAnsi"/>
                          <w:color w:val="FFFFFF" w:themeColor="background1"/>
                          <w:sz w:val="22"/>
                          <w:lang w:val="es-419"/>
                        </w:rPr>
                        <w:t xml:space="preserve">Doc. </w:t>
                      </w:r>
                      <w:r w:rsidR="00887ED4" w:rsidRPr="00777FE8">
                        <w:rPr>
                          <w:rFonts w:asciiTheme="minorHAnsi" w:hAnsiTheme="minorHAnsi"/>
                          <w:color w:val="FFFFFF" w:themeColor="background1"/>
                          <w:sz w:val="22"/>
                          <w:lang w:val="es-419"/>
                        </w:rPr>
                        <w:t>233</w:t>
                      </w:r>
                    </w:p>
                    <w:p w14:paraId="4BC71096" w14:textId="534C93EA" w:rsidR="006E3853" w:rsidRPr="00C25ADB" w:rsidRDefault="00887ED4"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septiembre</w:t>
                      </w:r>
                      <w:r w:rsidR="006E3853" w:rsidRPr="00C25ADB">
                        <w:rPr>
                          <w:rFonts w:asciiTheme="minorHAnsi" w:hAnsiTheme="minorHAnsi"/>
                          <w:color w:val="FFFFFF" w:themeColor="background1"/>
                          <w:sz w:val="22"/>
                          <w:lang w:val="es-PA"/>
                        </w:rPr>
                        <w:t xml:space="preserve"> 202</w:t>
                      </w:r>
                      <w:r w:rsidR="006E3853">
                        <w:rPr>
                          <w:rFonts w:asciiTheme="minorHAnsi" w:hAnsiTheme="minorHAnsi"/>
                          <w:color w:val="FFFFFF" w:themeColor="background1"/>
                          <w:sz w:val="22"/>
                          <w:lang w:val="es-PA"/>
                        </w:rPr>
                        <w:t>1</w:t>
                      </w:r>
                    </w:p>
                    <w:p w14:paraId="2ED41C8A" w14:textId="77777777" w:rsidR="006E3853" w:rsidRPr="00C25ADB" w:rsidRDefault="006E3853"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449138F1" w:rsidR="006E3853" w:rsidRPr="00E10040" w:rsidRDefault="006E3853"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887ED4">
                              <w:rPr>
                                <w:rFonts w:ascii="Cambria" w:hAnsi="Cambria"/>
                                <w:color w:val="0D0D0D" w:themeColor="text1" w:themeTint="F2"/>
                                <w:sz w:val="18"/>
                                <w:szCs w:val="22"/>
                                <w:lang w:val="es-ES"/>
                              </w:rPr>
                              <w:t>8</w:t>
                            </w:r>
                            <w:r w:rsidRPr="00E10040">
                              <w:rPr>
                                <w:rFonts w:ascii="Cambria" w:hAnsi="Cambria"/>
                                <w:color w:val="0D0D0D" w:themeColor="text1" w:themeTint="F2"/>
                                <w:sz w:val="18"/>
                                <w:szCs w:val="22"/>
                                <w:lang w:val="es-ES"/>
                              </w:rPr>
                              <w:t xml:space="preserve"> de </w:t>
                            </w:r>
                            <w:r w:rsidR="00887ED4">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p>
                          <w:p w14:paraId="31ECACB8" w14:textId="77777777" w:rsidR="006E3853" w:rsidRPr="00E10040" w:rsidRDefault="006E3853"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6E3853" w:rsidRPr="00E10040" w:rsidRDefault="006E3853"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449138F1" w:rsidR="006E3853" w:rsidRPr="00E10040" w:rsidRDefault="006E3853"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887ED4">
                        <w:rPr>
                          <w:rFonts w:ascii="Cambria" w:hAnsi="Cambria"/>
                          <w:color w:val="0D0D0D" w:themeColor="text1" w:themeTint="F2"/>
                          <w:sz w:val="18"/>
                          <w:szCs w:val="22"/>
                          <w:lang w:val="es-ES"/>
                        </w:rPr>
                        <w:t>8</w:t>
                      </w:r>
                      <w:r w:rsidRPr="00E10040">
                        <w:rPr>
                          <w:rFonts w:ascii="Cambria" w:hAnsi="Cambria"/>
                          <w:color w:val="0D0D0D" w:themeColor="text1" w:themeTint="F2"/>
                          <w:sz w:val="18"/>
                          <w:szCs w:val="22"/>
                          <w:lang w:val="es-ES"/>
                        </w:rPr>
                        <w:t xml:space="preserve"> de </w:t>
                      </w:r>
                      <w:r w:rsidR="00887ED4">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p>
                    <w:p w14:paraId="31ECACB8" w14:textId="77777777" w:rsidR="006E3853" w:rsidRPr="00E10040" w:rsidRDefault="006E3853"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6E3853" w:rsidRPr="00E10040" w:rsidRDefault="006E3853"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01878B49" w:rsidR="006E3853" w:rsidRPr="00887ED4" w:rsidRDefault="006E3853" w:rsidP="00E10040">
                            <w:pPr>
                              <w:spacing w:line="276" w:lineRule="auto"/>
                              <w:rPr>
                                <w:rFonts w:ascii="Cambria" w:hAnsi="Cambria"/>
                                <w:sz w:val="18"/>
                                <w:szCs w:val="18"/>
                                <w:lang w:val="es-VE"/>
                              </w:rPr>
                            </w:pPr>
                            <w:r w:rsidRPr="00810E3E">
                              <w:rPr>
                                <w:rFonts w:ascii="Cambria" w:hAnsi="Cambria"/>
                                <w:b/>
                                <w:sz w:val="18"/>
                                <w:szCs w:val="18"/>
                                <w:lang w:val="pt-BR"/>
                              </w:rPr>
                              <w:t>Citar como:</w:t>
                            </w:r>
                            <w:r w:rsidRPr="00810E3E">
                              <w:rPr>
                                <w:rFonts w:ascii="Cambria" w:hAnsi="Cambria"/>
                                <w:sz w:val="18"/>
                                <w:szCs w:val="18"/>
                                <w:lang w:val="pt-BR"/>
                              </w:rPr>
                              <w:t xml:space="preserve"> CIDH, </w:t>
                            </w:r>
                            <w:r w:rsidRPr="00887ED4">
                              <w:rPr>
                                <w:rFonts w:ascii="Cambria" w:hAnsi="Cambria"/>
                                <w:sz w:val="18"/>
                                <w:szCs w:val="18"/>
                                <w:lang w:val="pt-BR"/>
                              </w:rPr>
                              <w:t xml:space="preserve">Informe No. </w:t>
                            </w:r>
                            <w:r w:rsidR="00887ED4" w:rsidRPr="00887ED4">
                              <w:rPr>
                                <w:rFonts w:ascii="Cambria" w:hAnsi="Cambria"/>
                                <w:sz w:val="18"/>
                                <w:szCs w:val="18"/>
                                <w:lang w:val="pt-BR"/>
                              </w:rPr>
                              <w:t>225</w:t>
                            </w:r>
                            <w:r w:rsidRPr="00887ED4">
                              <w:rPr>
                                <w:rFonts w:ascii="Cambria" w:hAnsi="Cambria"/>
                                <w:sz w:val="18"/>
                                <w:szCs w:val="18"/>
                                <w:lang w:val="pt-BR"/>
                              </w:rPr>
                              <w:t xml:space="preserve">/21. </w:t>
                            </w:r>
                            <w:r w:rsidRPr="00810E3E">
                              <w:rPr>
                                <w:rFonts w:ascii="Cambria" w:hAnsi="Cambria"/>
                                <w:sz w:val="18"/>
                                <w:szCs w:val="18"/>
                                <w:lang w:val="es-VE"/>
                              </w:rPr>
                              <w:t xml:space="preserve">Petición 469-12. Admisibilidad. </w:t>
                            </w:r>
                            <w:r w:rsidRPr="00810E3E">
                              <w:rPr>
                                <w:rFonts w:ascii="Cambria" w:hAnsi="Cambria"/>
                                <w:bCs/>
                                <w:sz w:val="18"/>
                                <w:szCs w:val="18"/>
                                <w:lang w:val="es-VE"/>
                              </w:rPr>
                              <w:t>Jorge Leonardo Espinosa Pérez y familia</w:t>
                            </w:r>
                            <w:r w:rsidRPr="00810E3E">
                              <w:rPr>
                                <w:rFonts w:ascii="Cambria" w:hAnsi="Cambria"/>
                                <w:sz w:val="18"/>
                                <w:szCs w:val="18"/>
                                <w:lang w:val="es-ES_tradnl"/>
                              </w:rPr>
                              <w:t xml:space="preserve">. México. </w:t>
                            </w:r>
                            <w:r w:rsidR="00887ED4">
                              <w:rPr>
                                <w:rFonts w:ascii="Cambria" w:hAnsi="Cambria"/>
                                <w:sz w:val="18"/>
                                <w:szCs w:val="18"/>
                                <w:lang w:val="es-ES"/>
                              </w:rPr>
                              <w:t>8 de septiembre de 2021</w:t>
                            </w:r>
                            <w:r w:rsidRPr="00810E3E">
                              <w:rPr>
                                <w:rFonts w:ascii="Cambria" w:hAnsi="Cambria"/>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EB2B0"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F235F" w14:textId="01878B49" w:rsidR="006E3853" w:rsidRPr="00887ED4" w:rsidRDefault="006E3853" w:rsidP="00E10040">
                      <w:pPr>
                        <w:spacing w:line="276" w:lineRule="auto"/>
                        <w:rPr>
                          <w:rFonts w:ascii="Cambria" w:hAnsi="Cambria"/>
                          <w:sz w:val="18"/>
                          <w:szCs w:val="18"/>
                          <w:lang w:val="es-VE"/>
                        </w:rPr>
                      </w:pPr>
                      <w:r w:rsidRPr="00810E3E">
                        <w:rPr>
                          <w:rFonts w:ascii="Cambria" w:hAnsi="Cambria"/>
                          <w:b/>
                          <w:sz w:val="18"/>
                          <w:szCs w:val="18"/>
                          <w:lang w:val="pt-BR"/>
                        </w:rPr>
                        <w:t>Citar como:</w:t>
                      </w:r>
                      <w:r w:rsidRPr="00810E3E">
                        <w:rPr>
                          <w:rFonts w:ascii="Cambria" w:hAnsi="Cambria"/>
                          <w:sz w:val="18"/>
                          <w:szCs w:val="18"/>
                          <w:lang w:val="pt-BR"/>
                        </w:rPr>
                        <w:t xml:space="preserve"> CIDH, </w:t>
                      </w:r>
                      <w:r w:rsidRPr="00887ED4">
                        <w:rPr>
                          <w:rFonts w:ascii="Cambria" w:hAnsi="Cambria"/>
                          <w:sz w:val="18"/>
                          <w:szCs w:val="18"/>
                          <w:lang w:val="pt-BR"/>
                        </w:rPr>
                        <w:t xml:space="preserve">Informe No. </w:t>
                      </w:r>
                      <w:r w:rsidR="00887ED4" w:rsidRPr="00887ED4">
                        <w:rPr>
                          <w:rFonts w:ascii="Cambria" w:hAnsi="Cambria"/>
                          <w:sz w:val="18"/>
                          <w:szCs w:val="18"/>
                          <w:lang w:val="pt-BR"/>
                        </w:rPr>
                        <w:t>225</w:t>
                      </w:r>
                      <w:r w:rsidRPr="00887ED4">
                        <w:rPr>
                          <w:rFonts w:ascii="Cambria" w:hAnsi="Cambria"/>
                          <w:sz w:val="18"/>
                          <w:szCs w:val="18"/>
                          <w:lang w:val="pt-BR"/>
                        </w:rPr>
                        <w:t xml:space="preserve">/21. </w:t>
                      </w:r>
                      <w:r w:rsidRPr="00810E3E">
                        <w:rPr>
                          <w:rFonts w:ascii="Cambria" w:hAnsi="Cambria"/>
                          <w:sz w:val="18"/>
                          <w:szCs w:val="18"/>
                          <w:lang w:val="es-VE"/>
                        </w:rPr>
                        <w:t xml:space="preserve">Petición 469-12. Admisibilidad. </w:t>
                      </w:r>
                      <w:r w:rsidRPr="00810E3E">
                        <w:rPr>
                          <w:rFonts w:ascii="Cambria" w:hAnsi="Cambria"/>
                          <w:bCs/>
                          <w:sz w:val="18"/>
                          <w:szCs w:val="18"/>
                          <w:lang w:val="es-VE"/>
                        </w:rPr>
                        <w:t>Jorge Leonardo Espinosa Pérez y familia</w:t>
                      </w:r>
                      <w:r w:rsidRPr="00810E3E">
                        <w:rPr>
                          <w:rFonts w:ascii="Cambria" w:hAnsi="Cambria"/>
                          <w:sz w:val="18"/>
                          <w:szCs w:val="18"/>
                          <w:lang w:val="es-ES_tradnl"/>
                        </w:rPr>
                        <w:t xml:space="preserve">. México. </w:t>
                      </w:r>
                      <w:r w:rsidR="00887ED4">
                        <w:rPr>
                          <w:rFonts w:ascii="Cambria" w:hAnsi="Cambria"/>
                          <w:sz w:val="18"/>
                          <w:szCs w:val="18"/>
                          <w:lang w:val="es-ES"/>
                        </w:rPr>
                        <w:t>8 de septiembre de 2021</w:t>
                      </w:r>
                      <w:r w:rsidRPr="00810E3E">
                        <w:rPr>
                          <w:rFonts w:ascii="Cambria" w:hAnsi="Cambria"/>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4C0A3B16"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1F0DBF4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6E3853" w:rsidRPr="004B7EB6" w:rsidRDefault="006E3853"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6E3853" w:rsidRPr="004B7EB6" w:rsidRDefault="006E3853"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3F89A863" w:rsidR="00E10040" w:rsidRPr="00E10040" w:rsidRDefault="00887ED4" w:rsidP="00E10040">
      <w:pPr>
        <w:tabs>
          <w:tab w:val="center" w:pos="5400"/>
        </w:tabs>
        <w:suppressAutoHyphens/>
        <w:jc w:val="center"/>
        <w:rPr>
          <w:rFonts w:ascii="Cambria" w:hAnsi="Cambria"/>
          <w:b/>
          <w:sz w:val="20"/>
          <w:lang w:val="es-ES_tradnl"/>
        </w:rPr>
        <w:sectPr w:rsidR="00E10040" w:rsidRPr="00E10040" w:rsidSect="00E10040">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1090D6BF">
                <wp:simplePos x="0" y="0"/>
                <wp:positionH relativeFrom="column">
                  <wp:posOffset>1306830</wp:posOffset>
                </wp:positionH>
                <wp:positionV relativeFrom="paragraph">
                  <wp:posOffset>540113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6E3853" w:rsidRPr="00D72DC6" w:rsidRDefault="006E3853" w:rsidP="00E10040">
                            <w:pPr>
                              <w:rPr>
                                <w:color w:val="FFFFFF" w:themeColor="background1"/>
                                <w14:textFill>
                                  <w14:noFill/>
                                </w14:textFill>
                              </w:rPr>
                            </w:pPr>
                            <w:r>
                              <w:rPr>
                                <w:noProof/>
                                <w:color w:val="FFFFFF" w:themeColor="background1"/>
                              </w:rPr>
                              <w:drawing>
                                <wp:inline distT="0" distB="0" distL="0" distR="0" wp14:anchorId="15EE7389" wp14:editId="6737EFA3">
                                  <wp:extent cx="1660072" cy="42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668518" cy="429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2.9pt;margin-top:42.5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" fillcolor="white [3201]" stroked="f" strokeweight=".5pt">
                <v:textbox>
                  <w:txbxContent>
                    <w:p w14:paraId="2C6278D0" w14:textId="77777777" w:rsidR="006E3853" w:rsidRPr="00D72DC6" w:rsidRDefault="006E3853" w:rsidP="00E10040">
                      <w:pPr>
                        <w:rPr>
                          <w:color w:val="FFFFFF" w:themeColor="background1"/>
                          <w14:textFill>
                            <w14:noFill/>
                          </w14:textFill>
                        </w:rPr>
                      </w:pPr>
                      <w:r>
                        <w:rPr>
                          <w:noProof/>
                          <w:color w:val="FFFFFF" w:themeColor="background1"/>
                        </w:rPr>
                        <w:drawing>
                          <wp:inline distT="0" distB="0" distL="0" distR="0" wp14:anchorId="15EE7389" wp14:editId="6737EFA3">
                            <wp:extent cx="1660072" cy="42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668518" cy="429180"/>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D748E6" w14:paraId="4097B42D" w14:textId="77777777" w:rsidTr="006E3853">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0C90E4DC" w:rsidR="00E10040" w:rsidRPr="00E10040" w:rsidRDefault="00071926" w:rsidP="006E3853">
            <w:pPr>
              <w:jc w:val="both"/>
              <w:rPr>
                <w:rFonts w:ascii="Cambria" w:hAnsi="Cambria"/>
                <w:bCs/>
                <w:sz w:val="20"/>
                <w:szCs w:val="20"/>
              </w:rPr>
            </w:pPr>
            <w:r w:rsidRPr="00DA3A9A">
              <w:rPr>
                <w:rFonts w:ascii="Cambria" w:hAnsi="Cambria"/>
                <w:sz w:val="20"/>
                <w:szCs w:val="20"/>
                <w:lang w:val="es-VE"/>
              </w:rPr>
              <w:t>Marta Rocío Pérez Peña</w:t>
            </w:r>
          </w:p>
        </w:tc>
      </w:tr>
      <w:tr w:rsidR="00E10040" w:rsidRPr="00B4214F" w14:paraId="410FEBFE" w14:textId="77777777" w:rsidTr="006E3853">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53595B" w:rsidP="006E385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7CC0C10B" w:rsidR="00E10040" w:rsidRPr="00E10040" w:rsidRDefault="00D748E6" w:rsidP="006E3853">
            <w:pPr>
              <w:jc w:val="both"/>
              <w:rPr>
                <w:rFonts w:ascii="Cambria" w:hAnsi="Cambria"/>
                <w:bCs/>
                <w:sz w:val="20"/>
                <w:szCs w:val="20"/>
              </w:rPr>
            </w:pPr>
            <w:r>
              <w:rPr>
                <w:rFonts w:ascii="Cambria" w:hAnsi="Cambria"/>
                <w:bCs/>
                <w:sz w:val="20"/>
                <w:szCs w:val="20"/>
              </w:rPr>
              <w:t>Jorge Leonardo Espinosa Pérez y familia</w:t>
            </w:r>
            <w:r>
              <w:rPr>
                <w:rStyle w:val="FootnoteReference"/>
                <w:rFonts w:ascii="Cambria" w:hAnsi="Cambria"/>
                <w:bCs/>
                <w:sz w:val="20"/>
                <w:szCs w:val="20"/>
              </w:rPr>
              <w:footnoteReference w:id="1"/>
            </w:r>
          </w:p>
        </w:tc>
      </w:tr>
      <w:tr w:rsidR="00E10040" w:rsidRPr="00E10040" w14:paraId="19A873C8" w14:textId="77777777" w:rsidTr="006E3853">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47CDE130" w:rsidR="00E10040" w:rsidRPr="00E10040" w:rsidRDefault="00D748E6" w:rsidP="006E3853">
            <w:pPr>
              <w:jc w:val="both"/>
              <w:rPr>
                <w:rFonts w:ascii="Cambria" w:hAnsi="Cambria"/>
                <w:bCs/>
                <w:sz w:val="20"/>
                <w:szCs w:val="20"/>
              </w:rPr>
            </w:pPr>
            <w:r>
              <w:rPr>
                <w:rFonts w:ascii="Cambria" w:hAnsi="Cambria"/>
                <w:bCs/>
                <w:sz w:val="20"/>
                <w:szCs w:val="20"/>
              </w:rPr>
              <w:t>México</w:t>
            </w:r>
            <w:r w:rsidR="00E10040" w:rsidRPr="00E10040">
              <w:rPr>
                <w:rStyle w:val="FootnoteReference"/>
                <w:rFonts w:ascii="Cambria" w:hAnsi="Cambria"/>
                <w:bCs/>
                <w:sz w:val="20"/>
                <w:szCs w:val="20"/>
              </w:rPr>
              <w:footnoteReference w:id="2"/>
            </w:r>
          </w:p>
        </w:tc>
      </w:tr>
      <w:tr w:rsidR="00E10040" w:rsidRPr="00B4214F" w14:paraId="6848EE3C" w14:textId="77777777" w:rsidTr="006E3853">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73328F5A" w:rsidR="00E10040" w:rsidRPr="00E10040" w:rsidRDefault="00D748E6" w:rsidP="006E3853">
            <w:pPr>
              <w:jc w:val="both"/>
              <w:rPr>
                <w:rFonts w:ascii="Cambria" w:hAnsi="Cambria"/>
                <w:bCs/>
                <w:sz w:val="20"/>
                <w:szCs w:val="20"/>
              </w:rPr>
            </w:pPr>
            <w:r>
              <w:rPr>
                <w:rFonts w:ascii="Cambria" w:hAnsi="Cambria"/>
                <w:bCs/>
                <w:sz w:val="20"/>
                <w:szCs w:val="20"/>
              </w:rPr>
              <w:t>Artículo</w:t>
            </w:r>
            <w:r w:rsidR="00B25033">
              <w:rPr>
                <w:rFonts w:ascii="Cambria" w:hAnsi="Cambria"/>
                <w:bCs/>
                <w:sz w:val="20"/>
                <w:szCs w:val="20"/>
              </w:rPr>
              <w:t>s</w:t>
            </w:r>
            <w:r>
              <w:rPr>
                <w:rFonts w:ascii="Cambria" w:hAnsi="Cambria"/>
                <w:bCs/>
                <w:sz w:val="20"/>
                <w:szCs w:val="20"/>
              </w:rPr>
              <w:t xml:space="preserve"> 4 (derecho a la vida), 5 (derecho a la integridad personal), 7 (derecho a libertad personal), 8 (garantías judiciales) y 22 (</w:t>
            </w:r>
            <w:r w:rsidR="00714E32">
              <w:rPr>
                <w:rFonts w:ascii="Cambria" w:hAnsi="Cambria"/>
                <w:bCs/>
                <w:sz w:val="20"/>
                <w:szCs w:val="20"/>
              </w:rPr>
              <w:t xml:space="preserve">derecho de circulación y residencia) de la </w:t>
            </w:r>
            <w:r>
              <w:rPr>
                <w:rFonts w:ascii="Cambria" w:hAnsi="Cambria"/>
                <w:bCs/>
                <w:sz w:val="20"/>
                <w:szCs w:val="20"/>
              </w:rPr>
              <w:t>Convención Americana sobre los Derechos Humanos</w:t>
            </w:r>
            <w:r w:rsidR="00B170C0">
              <w:rPr>
                <w:rStyle w:val="FootnoteReference"/>
                <w:rFonts w:ascii="Cambria" w:hAnsi="Cambria"/>
                <w:bCs/>
                <w:sz w:val="20"/>
                <w:szCs w:val="20"/>
              </w:rPr>
              <w:footnoteReference w:id="3"/>
            </w:r>
            <w:r w:rsidR="00281A45">
              <w:rPr>
                <w:rFonts w:ascii="Cambria" w:hAnsi="Cambria"/>
                <w:bCs/>
                <w:sz w:val="20"/>
                <w:szCs w:val="20"/>
              </w:rPr>
              <w:t xml:space="preserve"> </w:t>
            </w:r>
            <w:r w:rsidR="00714E32">
              <w:rPr>
                <w:rFonts w:ascii="Cambria" w:hAnsi="Cambria"/>
                <w:bCs/>
                <w:sz w:val="20"/>
                <w:szCs w:val="20"/>
              </w:rPr>
              <w:t>en relación con el artículo 1 y 2 del mismo instrumento</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6E3853">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4E4E98B4" w:rsidR="00E10040" w:rsidRPr="00E10040" w:rsidRDefault="00D748E6" w:rsidP="006E3853">
            <w:pPr>
              <w:jc w:val="both"/>
              <w:rPr>
                <w:rFonts w:ascii="Cambria" w:hAnsi="Cambria"/>
                <w:bCs/>
                <w:sz w:val="20"/>
                <w:szCs w:val="20"/>
              </w:rPr>
            </w:pPr>
            <w:r>
              <w:rPr>
                <w:rFonts w:ascii="Cambria" w:hAnsi="Cambria"/>
                <w:bCs/>
                <w:sz w:val="20"/>
                <w:szCs w:val="20"/>
              </w:rPr>
              <w:t>2</w:t>
            </w:r>
            <w:r w:rsidR="00DA3A9A">
              <w:rPr>
                <w:rFonts w:ascii="Cambria" w:hAnsi="Cambria"/>
                <w:bCs/>
                <w:sz w:val="20"/>
                <w:szCs w:val="20"/>
              </w:rPr>
              <w:t xml:space="preserve">2 </w:t>
            </w:r>
            <w:r>
              <w:rPr>
                <w:rFonts w:ascii="Cambria" w:hAnsi="Cambria"/>
                <w:bCs/>
                <w:sz w:val="20"/>
                <w:szCs w:val="20"/>
              </w:rPr>
              <w:t>de marzo de 2012</w:t>
            </w:r>
          </w:p>
        </w:tc>
      </w:tr>
      <w:tr w:rsidR="00E10040" w:rsidRPr="00B4214F" w14:paraId="07F7898F" w14:textId="77777777" w:rsidTr="006E3853">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6D20BC17" w:rsidR="00E10040" w:rsidRPr="00DA3A9A" w:rsidRDefault="00D748E6" w:rsidP="006E3853">
            <w:pPr>
              <w:jc w:val="both"/>
              <w:rPr>
                <w:rFonts w:ascii="Cambria" w:hAnsi="Cambria"/>
                <w:bCs/>
                <w:sz w:val="20"/>
                <w:szCs w:val="20"/>
              </w:rPr>
            </w:pPr>
            <w:r w:rsidRPr="00DA3A9A">
              <w:rPr>
                <w:rFonts w:ascii="Cambria" w:hAnsi="Cambria"/>
                <w:bCs/>
                <w:sz w:val="20"/>
                <w:szCs w:val="20"/>
              </w:rPr>
              <w:t>28 de junio de 2012</w:t>
            </w:r>
            <w:r w:rsidR="00DA3A9A" w:rsidRPr="00DA3A9A">
              <w:rPr>
                <w:rFonts w:ascii="Cambria" w:hAnsi="Cambria"/>
                <w:bCs/>
                <w:sz w:val="20"/>
                <w:szCs w:val="20"/>
              </w:rPr>
              <w:t xml:space="preserve"> y</w:t>
            </w:r>
            <w:r w:rsidRPr="00DA3A9A">
              <w:rPr>
                <w:rFonts w:ascii="Cambria" w:hAnsi="Cambria"/>
                <w:bCs/>
                <w:sz w:val="20"/>
                <w:szCs w:val="20"/>
              </w:rPr>
              <w:t xml:space="preserve"> </w:t>
            </w:r>
            <w:r w:rsidR="00DA3A9A" w:rsidRPr="00DA3A9A">
              <w:rPr>
                <w:rFonts w:ascii="Cambria" w:hAnsi="Cambria"/>
                <w:bCs/>
                <w:sz w:val="20"/>
                <w:szCs w:val="20"/>
              </w:rPr>
              <w:t>17 de noviembre de 2016</w:t>
            </w:r>
          </w:p>
        </w:tc>
      </w:tr>
      <w:tr w:rsidR="00E10040" w:rsidRPr="000666D6" w14:paraId="3D9B5327" w14:textId="77777777" w:rsidTr="006E3853">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60701F4E" w:rsidR="00E10040" w:rsidRPr="00DA3A9A" w:rsidRDefault="00D748E6" w:rsidP="006E3853">
            <w:pPr>
              <w:jc w:val="both"/>
              <w:rPr>
                <w:rFonts w:ascii="Cambria" w:hAnsi="Cambria"/>
                <w:bCs/>
                <w:sz w:val="20"/>
                <w:szCs w:val="20"/>
              </w:rPr>
            </w:pPr>
            <w:r w:rsidRPr="00DA3A9A">
              <w:rPr>
                <w:rFonts w:ascii="Cambria" w:hAnsi="Cambria"/>
                <w:bCs/>
                <w:sz w:val="20"/>
                <w:szCs w:val="20"/>
              </w:rPr>
              <w:t>12 de julio de 2017</w:t>
            </w:r>
          </w:p>
        </w:tc>
      </w:tr>
      <w:tr w:rsidR="00E10040" w:rsidRPr="00E10040" w14:paraId="3690A4D4" w14:textId="77777777" w:rsidTr="006E3853">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79BF06CB" w:rsidR="00E10040" w:rsidRPr="00E10040" w:rsidRDefault="00D748E6" w:rsidP="006E3853">
            <w:pPr>
              <w:jc w:val="both"/>
              <w:rPr>
                <w:rFonts w:ascii="Cambria" w:hAnsi="Cambria"/>
                <w:bCs/>
                <w:sz w:val="20"/>
                <w:szCs w:val="20"/>
              </w:rPr>
            </w:pPr>
            <w:r>
              <w:rPr>
                <w:rFonts w:ascii="Cambria" w:hAnsi="Cambria"/>
                <w:bCs/>
                <w:sz w:val="20"/>
                <w:szCs w:val="20"/>
              </w:rPr>
              <w:t>26 de marzo de 2018</w:t>
            </w:r>
          </w:p>
        </w:tc>
      </w:tr>
      <w:tr w:rsidR="00E10040" w:rsidRPr="00B4214F" w14:paraId="06D7C5BC" w14:textId="77777777" w:rsidTr="006E3853">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7510476C" w:rsidR="00E10040" w:rsidRPr="00E10040" w:rsidRDefault="00DA3A9A" w:rsidP="006E3853">
            <w:pPr>
              <w:jc w:val="both"/>
              <w:rPr>
                <w:rFonts w:ascii="Cambria" w:hAnsi="Cambria"/>
                <w:bCs/>
                <w:sz w:val="20"/>
                <w:szCs w:val="20"/>
              </w:rPr>
            </w:pPr>
            <w:r>
              <w:rPr>
                <w:rFonts w:ascii="Cambria" w:hAnsi="Cambria"/>
                <w:bCs/>
                <w:sz w:val="20"/>
                <w:szCs w:val="20"/>
              </w:rPr>
              <w:t xml:space="preserve">15 de septiembre de 2017 y 3 de mayo </w:t>
            </w:r>
            <w:r w:rsidR="00D748E6">
              <w:rPr>
                <w:rFonts w:ascii="Cambria" w:hAnsi="Cambria"/>
                <w:bCs/>
                <w:sz w:val="20"/>
                <w:szCs w:val="20"/>
              </w:rPr>
              <w:t>de 2018</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E10040" w:rsidRPr="00E10040" w14:paraId="07EA4CAC" w14:textId="77777777" w:rsidTr="006E3853">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6E3853">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60" w:type="dxa"/>
            <w:vAlign w:val="center"/>
          </w:tcPr>
          <w:p w14:paraId="7E9A7E40" w14:textId="38DB3B3A" w:rsidR="00E10040" w:rsidRPr="00E10040" w:rsidRDefault="00D748E6" w:rsidP="006E3853">
            <w:pPr>
              <w:rPr>
                <w:rFonts w:ascii="Cambria" w:hAnsi="Cambria"/>
                <w:bCs/>
                <w:sz w:val="20"/>
                <w:szCs w:val="20"/>
              </w:rPr>
            </w:pPr>
            <w:r>
              <w:rPr>
                <w:rFonts w:ascii="Cambria" w:hAnsi="Cambria"/>
                <w:bCs/>
                <w:sz w:val="20"/>
                <w:szCs w:val="20"/>
              </w:rPr>
              <w:t>Sí</w:t>
            </w:r>
          </w:p>
        </w:tc>
      </w:tr>
      <w:tr w:rsidR="00E10040" w:rsidRPr="00E10040" w14:paraId="18DFEB57" w14:textId="77777777" w:rsidTr="006E3853">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60" w:type="dxa"/>
            <w:vAlign w:val="center"/>
          </w:tcPr>
          <w:p w14:paraId="13C8C951" w14:textId="25EA8B71" w:rsidR="00E10040" w:rsidRPr="00E10040" w:rsidRDefault="00D748E6" w:rsidP="006E3853">
            <w:pPr>
              <w:rPr>
                <w:rFonts w:ascii="Cambria" w:hAnsi="Cambria"/>
                <w:bCs/>
                <w:sz w:val="20"/>
                <w:szCs w:val="20"/>
              </w:rPr>
            </w:pPr>
            <w:r>
              <w:rPr>
                <w:rFonts w:ascii="Cambria" w:hAnsi="Cambria"/>
                <w:bCs/>
                <w:sz w:val="20"/>
                <w:szCs w:val="20"/>
              </w:rPr>
              <w:t>Sí</w:t>
            </w:r>
          </w:p>
        </w:tc>
      </w:tr>
      <w:tr w:rsidR="00E10040" w:rsidRPr="00E10040" w14:paraId="712688E1" w14:textId="77777777" w:rsidTr="006E3853">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60" w:type="dxa"/>
            <w:vAlign w:val="center"/>
          </w:tcPr>
          <w:p w14:paraId="73F3F5B8" w14:textId="0956A29E" w:rsidR="00E10040" w:rsidRPr="00E10040" w:rsidRDefault="00D748E6" w:rsidP="006E3853">
            <w:pPr>
              <w:rPr>
                <w:rFonts w:ascii="Cambria" w:hAnsi="Cambria"/>
                <w:bCs/>
                <w:sz w:val="20"/>
                <w:szCs w:val="20"/>
              </w:rPr>
            </w:pPr>
            <w:r>
              <w:rPr>
                <w:rFonts w:ascii="Cambria" w:hAnsi="Cambria"/>
                <w:bCs/>
                <w:sz w:val="20"/>
                <w:szCs w:val="20"/>
              </w:rPr>
              <w:t>Sí</w:t>
            </w:r>
          </w:p>
        </w:tc>
      </w:tr>
      <w:tr w:rsidR="00E10040" w:rsidRPr="00B4214F" w14:paraId="36A0855A" w14:textId="77777777" w:rsidTr="006E3853">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60" w:type="dxa"/>
            <w:vAlign w:val="center"/>
          </w:tcPr>
          <w:p w14:paraId="2A69C468" w14:textId="04D74A32" w:rsidR="00E10040" w:rsidRPr="00141BA1" w:rsidRDefault="00D748E6" w:rsidP="006E3853">
            <w:pPr>
              <w:jc w:val="both"/>
              <w:rPr>
                <w:rFonts w:ascii="Cambria" w:hAnsi="Cambria"/>
                <w:bCs/>
                <w:sz w:val="20"/>
                <w:szCs w:val="20"/>
                <w:lang w:val="es-VE"/>
              </w:rPr>
            </w:pPr>
            <w:r>
              <w:rPr>
                <w:rFonts w:ascii="Cambria" w:hAnsi="Cambria"/>
                <w:bCs/>
                <w:sz w:val="20"/>
                <w:szCs w:val="20"/>
              </w:rPr>
              <w:t>Sí, Convención Americana</w:t>
            </w:r>
            <w:r w:rsidR="00141BA1">
              <w:rPr>
                <w:rFonts w:ascii="Cambria" w:hAnsi="Cambria"/>
                <w:bCs/>
                <w:sz w:val="20"/>
                <w:szCs w:val="20"/>
              </w:rPr>
              <w:t xml:space="preserve"> </w:t>
            </w:r>
            <w:r>
              <w:rPr>
                <w:rFonts w:ascii="Cambria" w:hAnsi="Cambria"/>
                <w:bCs/>
                <w:sz w:val="20"/>
                <w:szCs w:val="20"/>
              </w:rPr>
              <w:t>(depósito de instrumento de ratificación realizado el 24 de marzo de 1981)</w:t>
            </w:r>
            <w:r w:rsidR="00141BA1">
              <w:rPr>
                <w:rFonts w:ascii="Cambria" w:hAnsi="Cambria"/>
                <w:bCs/>
                <w:sz w:val="20"/>
                <w:szCs w:val="20"/>
              </w:rPr>
              <w:t xml:space="preserve"> y </w:t>
            </w:r>
            <w:r w:rsidR="00141BA1" w:rsidRPr="00141BA1">
              <w:rPr>
                <w:rFonts w:ascii="Cambria" w:hAnsi="Cambria"/>
                <w:sz w:val="20"/>
                <w:szCs w:val="20"/>
                <w:lang w:val="es-VE"/>
              </w:rPr>
              <w:t xml:space="preserve">Convención Interamericana </w:t>
            </w:r>
            <w:r w:rsidR="00141BA1">
              <w:rPr>
                <w:rFonts w:ascii="Cambria" w:hAnsi="Cambria"/>
                <w:sz w:val="20"/>
                <w:szCs w:val="20"/>
                <w:lang w:val="es-VE"/>
              </w:rPr>
              <w:t>p</w:t>
            </w:r>
            <w:r w:rsidR="00141BA1" w:rsidRPr="00141BA1">
              <w:rPr>
                <w:rFonts w:ascii="Cambria" w:hAnsi="Cambria"/>
                <w:sz w:val="20"/>
                <w:szCs w:val="20"/>
                <w:lang w:val="es-VE"/>
              </w:rPr>
              <w:t xml:space="preserve">ara Prevenir </w:t>
            </w:r>
            <w:r w:rsidR="00141BA1">
              <w:rPr>
                <w:rFonts w:ascii="Cambria" w:hAnsi="Cambria"/>
                <w:sz w:val="20"/>
                <w:szCs w:val="20"/>
                <w:lang w:val="es-VE"/>
              </w:rPr>
              <w:t>y</w:t>
            </w:r>
            <w:r w:rsidR="00141BA1" w:rsidRPr="00141BA1">
              <w:rPr>
                <w:rFonts w:ascii="Cambria" w:hAnsi="Cambria"/>
                <w:sz w:val="20"/>
                <w:szCs w:val="20"/>
                <w:lang w:val="es-VE"/>
              </w:rPr>
              <w:t xml:space="preserve"> Sancionar </w:t>
            </w:r>
            <w:r w:rsidR="00141BA1">
              <w:rPr>
                <w:rFonts w:ascii="Cambria" w:hAnsi="Cambria"/>
                <w:sz w:val="20"/>
                <w:szCs w:val="20"/>
                <w:lang w:val="es-VE"/>
              </w:rPr>
              <w:t>l</w:t>
            </w:r>
            <w:r w:rsidR="00141BA1" w:rsidRPr="00141BA1">
              <w:rPr>
                <w:rFonts w:ascii="Cambria" w:hAnsi="Cambria"/>
                <w:sz w:val="20"/>
                <w:szCs w:val="20"/>
                <w:lang w:val="es-VE"/>
              </w:rPr>
              <w:t>a Tortura</w:t>
            </w:r>
            <w:r w:rsidR="00141BA1">
              <w:rPr>
                <w:rFonts w:ascii="Cambria" w:hAnsi="Cambria"/>
                <w:sz w:val="20"/>
                <w:szCs w:val="20"/>
                <w:lang w:val="es-VE"/>
              </w:rPr>
              <w:t xml:space="preserve"> </w:t>
            </w:r>
            <w:r w:rsidR="00141BA1">
              <w:rPr>
                <w:rFonts w:ascii="Cambria" w:hAnsi="Cambria"/>
                <w:bCs/>
                <w:sz w:val="20"/>
                <w:szCs w:val="20"/>
              </w:rPr>
              <w:t>(depósito de instrumento de ratificación realizado el 22 de junio de 1987)</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10040" w:rsidRPr="000666D6" w14:paraId="10DAFB6F" w14:textId="77777777" w:rsidTr="006E3853">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14CCCC44" w:rsidR="00E10040" w:rsidRPr="00E10040" w:rsidRDefault="00D748E6" w:rsidP="006E3853">
            <w:pPr>
              <w:jc w:val="both"/>
              <w:rPr>
                <w:rFonts w:ascii="Cambria" w:hAnsi="Cambria"/>
                <w:bCs/>
                <w:sz w:val="20"/>
                <w:szCs w:val="20"/>
              </w:rPr>
            </w:pPr>
            <w:r>
              <w:rPr>
                <w:rFonts w:ascii="Cambria" w:hAnsi="Cambria"/>
                <w:bCs/>
                <w:sz w:val="20"/>
                <w:szCs w:val="20"/>
              </w:rPr>
              <w:t>No</w:t>
            </w:r>
          </w:p>
        </w:tc>
      </w:tr>
      <w:tr w:rsidR="00E10040" w:rsidRPr="00B4214F" w14:paraId="3CD13DD0" w14:textId="77777777" w:rsidTr="006E3853">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6E3853">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04477257" w:rsidR="00E10040" w:rsidRPr="00D748E6" w:rsidRDefault="00141BA1" w:rsidP="006E3853">
            <w:pPr>
              <w:jc w:val="both"/>
              <w:rPr>
                <w:rFonts w:ascii="Cambria" w:hAnsi="Cambria"/>
                <w:bCs/>
                <w:color w:val="FF0000"/>
                <w:sz w:val="20"/>
                <w:szCs w:val="20"/>
              </w:rPr>
            </w:pPr>
            <w:r w:rsidRPr="00141BA1">
              <w:rPr>
                <w:rFonts w:ascii="Cambria" w:hAnsi="Cambria"/>
                <w:bCs/>
                <w:sz w:val="20"/>
                <w:szCs w:val="20"/>
                <w:lang w:val="es-VE"/>
              </w:rPr>
              <w:t xml:space="preserve">Artículo 4 (derecho a la vida), 5 (derecho a la integridad personal), 8 (garantías judiciales), y 25 (protección judicial) de la Convención Americana en relación con </w:t>
            </w:r>
            <w:r w:rsidR="00536FAE">
              <w:rPr>
                <w:rFonts w:ascii="Cambria" w:hAnsi="Cambria"/>
                <w:bCs/>
                <w:sz w:val="20"/>
                <w:szCs w:val="20"/>
                <w:lang w:val="es-VE"/>
              </w:rPr>
              <w:t xml:space="preserve">los </w:t>
            </w:r>
            <w:r w:rsidRPr="00141BA1">
              <w:rPr>
                <w:rFonts w:ascii="Cambria" w:hAnsi="Cambria"/>
                <w:bCs/>
                <w:sz w:val="20"/>
                <w:szCs w:val="20"/>
                <w:lang w:val="es-VE"/>
              </w:rPr>
              <w:t>artículo</w:t>
            </w:r>
            <w:r w:rsidR="00536FAE">
              <w:rPr>
                <w:rFonts w:ascii="Cambria" w:hAnsi="Cambria"/>
                <w:bCs/>
                <w:sz w:val="20"/>
                <w:szCs w:val="20"/>
                <w:lang w:val="es-VE"/>
              </w:rPr>
              <w:t>s</w:t>
            </w:r>
            <w:r w:rsidRPr="00141BA1">
              <w:rPr>
                <w:rFonts w:ascii="Cambria" w:hAnsi="Cambria"/>
                <w:bCs/>
                <w:sz w:val="20"/>
                <w:szCs w:val="20"/>
                <w:lang w:val="es-VE"/>
              </w:rPr>
              <w:t xml:space="preserve"> 1.1 </w:t>
            </w:r>
            <w:r w:rsidR="00536FAE">
              <w:rPr>
                <w:rFonts w:ascii="Cambria" w:hAnsi="Cambria"/>
                <w:bCs/>
                <w:sz w:val="20"/>
                <w:szCs w:val="20"/>
                <w:lang w:val="es-VE"/>
              </w:rPr>
              <w:t xml:space="preserve">y 2 </w:t>
            </w:r>
            <w:r w:rsidRPr="00141BA1">
              <w:rPr>
                <w:rFonts w:ascii="Cambria" w:hAnsi="Cambria"/>
                <w:bCs/>
                <w:sz w:val="20"/>
                <w:szCs w:val="20"/>
                <w:lang w:val="es-VE"/>
              </w:rPr>
              <w:t xml:space="preserve">del mismo instrumento; y artículo 1 y 6 de la </w:t>
            </w:r>
            <w:r w:rsidRPr="00141BA1">
              <w:rPr>
                <w:rFonts w:ascii="Cambria" w:hAnsi="Cambria"/>
                <w:sz w:val="20"/>
                <w:szCs w:val="20"/>
                <w:lang w:val="es-VE"/>
              </w:rPr>
              <w:t>Convención Interamericana para Prevenir y Sancionar la Tortura</w:t>
            </w:r>
          </w:p>
        </w:tc>
      </w:tr>
      <w:tr w:rsidR="00E10040" w:rsidRPr="00B4214F" w14:paraId="135E8DBF" w14:textId="77777777" w:rsidTr="006E3853">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71BFE047" w:rsidR="00E10040" w:rsidRPr="00DA3A9A" w:rsidRDefault="00D748E6" w:rsidP="006E3853">
            <w:pPr>
              <w:rPr>
                <w:rFonts w:ascii="Cambria" w:hAnsi="Cambria"/>
                <w:bCs/>
                <w:sz w:val="20"/>
                <w:szCs w:val="20"/>
              </w:rPr>
            </w:pPr>
            <w:r w:rsidRPr="00DA3A9A">
              <w:rPr>
                <w:rFonts w:ascii="Cambria" w:hAnsi="Cambria"/>
                <w:bCs/>
                <w:sz w:val="20"/>
                <w:szCs w:val="20"/>
              </w:rPr>
              <w:t>Sí, en los términos de la Sección VI</w:t>
            </w:r>
          </w:p>
        </w:tc>
      </w:tr>
      <w:tr w:rsidR="00E10040" w:rsidRPr="00B4214F" w14:paraId="3584D459" w14:textId="77777777" w:rsidTr="006E3853">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6E3853">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2A1F86F7" w:rsidR="00E10040" w:rsidRPr="00DA3A9A" w:rsidRDefault="00D748E6" w:rsidP="006E3853">
            <w:pPr>
              <w:rPr>
                <w:rFonts w:ascii="Cambria" w:hAnsi="Cambria"/>
                <w:bCs/>
                <w:sz w:val="20"/>
                <w:szCs w:val="20"/>
              </w:rPr>
            </w:pPr>
            <w:r w:rsidRPr="00DA3A9A">
              <w:rPr>
                <w:rFonts w:ascii="Cambria" w:hAnsi="Cambria"/>
                <w:bCs/>
                <w:sz w:val="20"/>
                <w:szCs w:val="20"/>
              </w:rPr>
              <w:t>Sí, en los términos de la Sección VI</w:t>
            </w:r>
          </w:p>
        </w:tc>
      </w:tr>
    </w:tbl>
    <w:p w14:paraId="79FD22ED" w14:textId="77777777" w:rsidR="00725F27" w:rsidRDefault="00725F27" w:rsidP="00E10040">
      <w:pPr>
        <w:spacing w:before="240" w:after="240"/>
        <w:ind w:firstLine="720"/>
        <w:jc w:val="both"/>
        <w:rPr>
          <w:rFonts w:ascii="Cambria" w:hAnsi="Cambria"/>
          <w:b/>
          <w:sz w:val="20"/>
          <w:szCs w:val="20"/>
          <w:lang w:val="es-UY"/>
        </w:rPr>
      </w:pPr>
    </w:p>
    <w:p w14:paraId="43D3366B" w14:textId="25F3186F" w:rsidR="00E10040" w:rsidRPr="00E10040" w:rsidRDefault="00E10040" w:rsidP="00E10040">
      <w:pPr>
        <w:spacing w:before="240" w:after="240"/>
        <w:ind w:firstLine="720"/>
        <w:jc w:val="both"/>
        <w:rPr>
          <w:rFonts w:ascii="Cambria" w:hAnsi="Cambria"/>
          <w:b/>
          <w:sz w:val="20"/>
          <w:szCs w:val="20"/>
          <w:lang w:val="es-UY"/>
        </w:rPr>
      </w:pPr>
      <w:r w:rsidRPr="00E10040">
        <w:rPr>
          <w:rFonts w:ascii="Cambria" w:hAnsi="Cambria"/>
          <w:b/>
          <w:sz w:val="20"/>
          <w:szCs w:val="20"/>
          <w:lang w:val="es-UY"/>
        </w:rPr>
        <w:lastRenderedPageBreak/>
        <w:t xml:space="preserve">V. </w:t>
      </w:r>
      <w:r w:rsidRPr="00E10040">
        <w:rPr>
          <w:rFonts w:ascii="Cambria" w:hAnsi="Cambria"/>
          <w:b/>
          <w:sz w:val="20"/>
          <w:szCs w:val="20"/>
          <w:lang w:val="es-UY"/>
        </w:rPr>
        <w:tab/>
        <w:t xml:space="preserve">HECHOS ALEGADOS </w:t>
      </w:r>
    </w:p>
    <w:p w14:paraId="18DB89C7" w14:textId="6020D9E2" w:rsidR="00E10040" w:rsidRPr="00B25033" w:rsidRDefault="00A11238"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7E5E89">
        <w:rPr>
          <w:sz w:val="20"/>
          <w:szCs w:val="20"/>
          <w:lang w:val="es-AR"/>
        </w:rPr>
        <w:t xml:space="preserve">La parte peticionaria </w:t>
      </w:r>
      <w:r w:rsidR="005B5A6E" w:rsidRPr="007E5E89">
        <w:rPr>
          <w:sz w:val="20"/>
          <w:szCs w:val="20"/>
          <w:lang w:val="es-AR"/>
        </w:rPr>
        <w:t>denuncia</w:t>
      </w:r>
      <w:r w:rsidRPr="007E5E89">
        <w:rPr>
          <w:sz w:val="20"/>
          <w:szCs w:val="20"/>
          <w:lang w:val="es-AR"/>
        </w:rPr>
        <w:t xml:space="preserve"> la falta de investigación y sanción de los responsables </w:t>
      </w:r>
      <w:r w:rsidR="00545F88" w:rsidRPr="007E5E89">
        <w:rPr>
          <w:sz w:val="20"/>
          <w:szCs w:val="20"/>
          <w:lang w:val="es-AR"/>
        </w:rPr>
        <w:t>del</w:t>
      </w:r>
      <w:r w:rsidRPr="007E5E89">
        <w:rPr>
          <w:sz w:val="20"/>
          <w:szCs w:val="20"/>
          <w:lang w:val="es-AR"/>
        </w:rPr>
        <w:t xml:space="preserve"> homicidio y tortura de </w:t>
      </w:r>
      <w:r w:rsidRPr="007E5E89">
        <w:rPr>
          <w:bCs/>
          <w:sz w:val="20"/>
          <w:szCs w:val="20"/>
          <w:lang w:val="es-VE"/>
        </w:rPr>
        <w:t>Jorge Leonardo Espinosa Pérez (en adelante “</w:t>
      </w:r>
      <w:r w:rsidR="00B25033">
        <w:rPr>
          <w:bCs/>
          <w:sz w:val="20"/>
          <w:szCs w:val="20"/>
          <w:lang w:val="es-VE"/>
        </w:rPr>
        <w:t xml:space="preserve">la </w:t>
      </w:r>
      <w:r w:rsidRPr="007E5E89">
        <w:rPr>
          <w:bCs/>
          <w:sz w:val="20"/>
          <w:szCs w:val="20"/>
          <w:lang w:val="es-VE"/>
        </w:rPr>
        <w:t xml:space="preserve">presunta víctima”), </w:t>
      </w:r>
      <w:r w:rsidR="00545F88" w:rsidRPr="007E5E89">
        <w:rPr>
          <w:bCs/>
          <w:sz w:val="20"/>
          <w:szCs w:val="20"/>
          <w:lang w:val="es-VE"/>
        </w:rPr>
        <w:t xml:space="preserve">un </w:t>
      </w:r>
      <w:r w:rsidR="00FA439F" w:rsidRPr="007E5E89">
        <w:rPr>
          <w:bCs/>
          <w:sz w:val="20"/>
          <w:szCs w:val="20"/>
          <w:lang w:val="es-VE"/>
        </w:rPr>
        <w:t>comerciante colombiano</w:t>
      </w:r>
      <w:r w:rsidR="00545F88" w:rsidRPr="007E5E89">
        <w:rPr>
          <w:bCs/>
          <w:sz w:val="20"/>
          <w:szCs w:val="20"/>
          <w:lang w:val="es-VE"/>
        </w:rPr>
        <w:t xml:space="preserve"> de 21 </w:t>
      </w:r>
      <w:r w:rsidR="00B25033" w:rsidRPr="007E5E89">
        <w:rPr>
          <w:bCs/>
          <w:sz w:val="20"/>
          <w:szCs w:val="20"/>
          <w:lang w:val="es-VE"/>
        </w:rPr>
        <w:t>años</w:t>
      </w:r>
      <w:r w:rsidRPr="007E5E89">
        <w:rPr>
          <w:bCs/>
          <w:sz w:val="20"/>
          <w:szCs w:val="20"/>
          <w:lang w:val="es-VE"/>
        </w:rPr>
        <w:t xml:space="preserve">, </w:t>
      </w:r>
      <w:r w:rsidR="00B25033">
        <w:rPr>
          <w:bCs/>
          <w:sz w:val="20"/>
          <w:szCs w:val="20"/>
          <w:lang w:val="es-VE"/>
        </w:rPr>
        <w:t xml:space="preserve">perpetrados </w:t>
      </w:r>
      <w:r w:rsidRPr="007E5E89">
        <w:rPr>
          <w:bCs/>
          <w:sz w:val="20"/>
          <w:szCs w:val="20"/>
          <w:lang w:val="es-VE"/>
        </w:rPr>
        <w:t xml:space="preserve">el </w:t>
      </w:r>
      <w:r w:rsidR="00545F88" w:rsidRPr="007E5E89">
        <w:rPr>
          <w:bCs/>
          <w:sz w:val="20"/>
          <w:szCs w:val="20"/>
          <w:lang w:val="es-VE"/>
        </w:rPr>
        <w:t>8</w:t>
      </w:r>
      <w:r w:rsidRPr="007E5E89">
        <w:rPr>
          <w:bCs/>
          <w:sz w:val="20"/>
          <w:szCs w:val="20"/>
          <w:lang w:val="es-VE"/>
        </w:rPr>
        <w:t xml:space="preserve"> de octubre de 2010</w:t>
      </w:r>
      <w:r w:rsidR="005B5A6E" w:rsidRPr="007E5E89">
        <w:rPr>
          <w:bCs/>
          <w:sz w:val="20"/>
          <w:szCs w:val="20"/>
          <w:lang w:val="es-VE"/>
        </w:rPr>
        <w:t xml:space="preserve">. </w:t>
      </w:r>
      <w:r w:rsidR="00EA0BA7" w:rsidRPr="007E5E89">
        <w:rPr>
          <w:sz w:val="20"/>
          <w:szCs w:val="20"/>
          <w:lang w:val="es-AR"/>
        </w:rPr>
        <w:t xml:space="preserve">Asimismo, sostiene que </w:t>
      </w:r>
      <w:r w:rsidR="00FA439F" w:rsidRPr="007E5E89">
        <w:rPr>
          <w:sz w:val="20"/>
          <w:szCs w:val="20"/>
          <w:lang w:val="es-VE"/>
        </w:rPr>
        <w:t xml:space="preserve">las autoridades mexicanas </w:t>
      </w:r>
      <w:r w:rsidR="00EA0BA7" w:rsidRPr="007E5E89">
        <w:rPr>
          <w:sz w:val="20"/>
          <w:szCs w:val="20"/>
          <w:lang w:val="es-VE"/>
        </w:rPr>
        <w:t xml:space="preserve">no </w:t>
      </w:r>
      <w:r w:rsidR="00FA439F" w:rsidRPr="007E5E89">
        <w:rPr>
          <w:sz w:val="20"/>
          <w:szCs w:val="20"/>
          <w:lang w:val="es-VE"/>
        </w:rPr>
        <w:t xml:space="preserve">garantizaron </w:t>
      </w:r>
      <w:r w:rsidR="00EA0BA7" w:rsidRPr="007E5E89">
        <w:rPr>
          <w:sz w:val="20"/>
          <w:szCs w:val="20"/>
          <w:lang w:val="es-VE"/>
        </w:rPr>
        <w:t xml:space="preserve">la </w:t>
      </w:r>
      <w:r w:rsidR="00FA439F" w:rsidRPr="007E5E89">
        <w:rPr>
          <w:sz w:val="20"/>
          <w:szCs w:val="20"/>
          <w:lang w:val="es-VE"/>
        </w:rPr>
        <w:t>vida</w:t>
      </w:r>
      <w:r w:rsidR="00EA0BA7" w:rsidRPr="007E5E89">
        <w:rPr>
          <w:sz w:val="20"/>
          <w:szCs w:val="20"/>
          <w:lang w:val="es-VE"/>
        </w:rPr>
        <w:t xml:space="preserve">, </w:t>
      </w:r>
      <w:r w:rsidR="00FA439F" w:rsidRPr="007E5E89">
        <w:rPr>
          <w:sz w:val="20"/>
          <w:szCs w:val="20"/>
          <w:lang w:val="es-VE"/>
        </w:rPr>
        <w:t xml:space="preserve">seguridad y la movilización de la </w:t>
      </w:r>
      <w:r w:rsidR="00EA0BA7" w:rsidRPr="007E5E89">
        <w:rPr>
          <w:sz w:val="20"/>
          <w:szCs w:val="20"/>
          <w:lang w:val="es-VE"/>
        </w:rPr>
        <w:t xml:space="preserve">presunta </w:t>
      </w:r>
      <w:r w:rsidR="00FA439F" w:rsidRPr="007E5E89">
        <w:rPr>
          <w:sz w:val="20"/>
          <w:szCs w:val="20"/>
          <w:lang w:val="es-VE"/>
        </w:rPr>
        <w:t xml:space="preserve">víctima </w:t>
      </w:r>
      <w:r w:rsidR="00B25033">
        <w:rPr>
          <w:sz w:val="20"/>
          <w:szCs w:val="20"/>
          <w:lang w:val="es-VE"/>
        </w:rPr>
        <w:t>en</w:t>
      </w:r>
      <w:r w:rsidR="00FA439F" w:rsidRPr="007E5E89">
        <w:rPr>
          <w:sz w:val="20"/>
          <w:szCs w:val="20"/>
          <w:lang w:val="es-VE"/>
        </w:rPr>
        <w:t xml:space="preserve"> el país.</w:t>
      </w:r>
      <w:r w:rsidR="005B5A6E" w:rsidRPr="007E5E89">
        <w:rPr>
          <w:sz w:val="20"/>
          <w:szCs w:val="20"/>
          <w:lang w:val="es-VE"/>
        </w:rPr>
        <w:t xml:space="preserve"> </w:t>
      </w:r>
    </w:p>
    <w:p w14:paraId="6753AE82" w14:textId="77777777" w:rsidR="00B25033" w:rsidRPr="007E5E89" w:rsidRDefault="00B25033" w:rsidP="00B2503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72DF6D51" w14:textId="6A247C10" w:rsidR="00EA0BA7" w:rsidRPr="00EA0BA7" w:rsidRDefault="00A11238"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645AB8">
        <w:rPr>
          <w:sz w:val="20"/>
          <w:szCs w:val="20"/>
          <w:lang w:val="es-VE"/>
        </w:rPr>
        <w:t xml:space="preserve">Argumenta que la presunta víctima </w:t>
      </w:r>
      <w:r w:rsidR="00645AB8" w:rsidRPr="00645AB8">
        <w:rPr>
          <w:sz w:val="20"/>
          <w:szCs w:val="20"/>
          <w:lang w:val="es-VE"/>
        </w:rPr>
        <w:t>se encontraba trabajando en México</w:t>
      </w:r>
      <w:r w:rsidR="00545F88">
        <w:rPr>
          <w:sz w:val="20"/>
          <w:szCs w:val="20"/>
          <w:lang w:val="es-VE"/>
        </w:rPr>
        <w:t xml:space="preserve"> con la debida autorización</w:t>
      </w:r>
      <w:r w:rsidR="007E5E89">
        <w:rPr>
          <w:sz w:val="20"/>
          <w:szCs w:val="20"/>
          <w:lang w:val="es-VE"/>
        </w:rPr>
        <w:t xml:space="preserve"> </w:t>
      </w:r>
      <w:r w:rsidR="00545F88">
        <w:rPr>
          <w:sz w:val="20"/>
          <w:szCs w:val="20"/>
          <w:lang w:val="es-VE"/>
        </w:rPr>
        <w:t xml:space="preserve">desde </w:t>
      </w:r>
      <w:r w:rsidRPr="00645AB8">
        <w:rPr>
          <w:sz w:val="20"/>
          <w:szCs w:val="20"/>
          <w:lang w:val="es-VE"/>
        </w:rPr>
        <w:t xml:space="preserve">el </w:t>
      </w:r>
      <w:r w:rsidR="00D748E6" w:rsidRPr="00645AB8">
        <w:rPr>
          <w:sz w:val="20"/>
          <w:szCs w:val="20"/>
          <w:lang w:val="es-VE"/>
        </w:rPr>
        <w:t>20 de septiembre de 2009 como promotor de productos derivados del café en la empresa mexicana “</w:t>
      </w:r>
      <w:r w:rsidRPr="00645AB8">
        <w:rPr>
          <w:sz w:val="20"/>
          <w:szCs w:val="20"/>
          <w:lang w:val="es-VE"/>
        </w:rPr>
        <w:t>Promotora de Servicios Administrativos Industriales, S.A. de C.V</w:t>
      </w:r>
      <w:r w:rsidR="00D748E6" w:rsidRPr="00645AB8">
        <w:rPr>
          <w:sz w:val="20"/>
          <w:szCs w:val="20"/>
          <w:lang w:val="es-VE"/>
        </w:rPr>
        <w:t>.”</w:t>
      </w:r>
      <w:r w:rsidR="00645AB8" w:rsidRPr="00645AB8">
        <w:rPr>
          <w:sz w:val="20"/>
          <w:szCs w:val="20"/>
          <w:lang w:val="es-VE"/>
        </w:rPr>
        <w:t xml:space="preserve"> </w:t>
      </w:r>
      <w:r w:rsidR="00545F88">
        <w:rPr>
          <w:sz w:val="20"/>
          <w:szCs w:val="20"/>
          <w:lang w:val="es-VE"/>
        </w:rPr>
        <w:t>Alega que e</w:t>
      </w:r>
      <w:r w:rsidR="00D748E6" w:rsidRPr="00645AB8">
        <w:rPr>
          <w:sz w:val="20"/>
          <w:szCs w:val="20"/>
          <w:lang w:val="es-VE"/>
        </w:rPr>
        <w:t xml:space="preserve">l </w:t>
      </w:r>
      <w:r w:rsidR="00545F88">
        <w:rPr>
          <w:sz w:val="20"/>
          <w:szCs w:val="20"/>
          <w:lang w:val="es-VE"/>
        </w:rPr>
        <w:t>8</w:t>
      </w:r>
      <w:r w:rsidR="00D748E6" w:rsidRPr="00645AB8">
        <w:rPr>
          <w:sz w:val="20"/>
          <w:szCs w:val="20"/>
          <w:lang w:val="es-VE"/>
        </w:rPr>
        <w:t xml:space="preserve"> de octubre de 2010, </w:t>
      </w:r>
      <w:r w:rsidR="00545F88">
        <w:rPr>
          <w:sz w:val="20"/>
          <w:szCs w:val="20"/>
          <w:lang w:val="es-VE"/>
        </w:rPr>
        <w:t xml:space="preserve">la presunta víctima y su compañero de trabajo emprendieron un viaje por carretera </w:t>
      </w:r>
      <w:r w:rsidR="00714E32" w:rsidRPr="00645AB8">
        <w:rPr>
          <w:sz w:val="20"/>
          <w:szCs w:val="20"/>
          <w:lang w:val="es-VE"/>
        </w:rPr>
        <w:t xml:space="preserve">hacia Nayarit a bordo de </w:t>
      </w:r>
      <w:r w:rsidR="00545F88">
        <w:rPr>
          <w:sz w:val="20"/>
          <w:szCs w:val="20"/>
          <w:lang w:val="es-VE"/>
        </w:rPr>
        <w:t>un</w:t>
      </w:r>
      <w:r w:rsidR="00714E32" w:rsidRPr="00645AB8">
        <w:rPr>
          <w:sz w:val="20"/>
          <w:szCs w:val="20"/>
          <w:lang w:val="es-VE"/>
        </w:rPr>
        <w:t>a camioneta</w:t>
      </w:r>
      <w:r w:rsidR="00545F88">
        <w:rPr>
          <w:sz w:val="20"/>
          <w:szCs w:val="20"/>
          <w:lang w:val="es-VE"/>
        </w:rPr>
        <w:t xml:space="preserve">, </w:t>
      </w:r>
      <w:r w:rsidR="00B25033">
        <w:rPr>
          <w:sz w:val="20"/>
          <w:szCs w:val="20"/>
          <w:lang w:val="es-VE"/>
        </w:rPr>
        <w:t xml:space="preserve">y que habían </w:t>
      </w:r>
      <w:r w:rsidR="00545F88">
        <w:rPr>
          <w:sz w:val="20"/>
          <w:szCs w:val="20"/>
          <w:lang w:val="es-VE"/>
        </w:rPr>
        <w:t>habla</w:t>
      </w:r>
      <w:r w:rsidR="00B25033">
        <w:rPr>
          <w:sz w:val="20"/>
          <w:szCs w:val="20"/>
          <w:lang w:val="es-VE"/>
        </w:rPr>
        <w:t>d</w:t>
      </w:r>
      <w:r w:rsidR="00545F88">
        <w:rPr>
          <w:sz w:val="20"/>
          <w:szCs w:val="20"/>
          <w:lang w:val="es-VE"/>
        </w:rPr>
        <w:t xml:space="preserve">o momentos antes con sus </w:t>
      </w:r>
      <w:r w:rsidR="00B25033">
        <w:rPr>
          <w:sz w:val="20"/>
          <w:szCs w:val="20"/>
          <w:lang w:val="es-VE"/>
        </w:rPr>
        <w:t xml:space="preserve">respectivas </w:t>
      </w:r>
      <w:r w:rsidR="00545F88">
        <w:rPr>
          <w:sz w:val="20"/>
          <w:szCs w:val="20"/>
          <w:lang w:val="es-VE"/>
        </w:rPr>
        <w:t xml:space="preserve">familias. </w:t>
      </w:r>
      <w:r w:rsidR="00B25033">
        <w:rPr>
          <w:sz w:val="20"/>
          <w:szCs w:val="20"/>
          <w:lang w:val="es-VE"/>
        </w:rPr>
        <w:t>A</w:t>
      </w:r>
      <w:r w:rsidR="00EA0BA7">
        <w:rPr>
          <w:sz w:val="20"/>
          <w:szCs w:val="20"/>
          <w:lang w:val="es-VE"/>
        </w:rPr>
        <w:t xml:space="preserve">l día siguiente </w:t>
      </w:r>
      <w:r w:rsidR="00B25033">
        <w:rPr>
          <w:sz w:val="20"/>
          <w:szCs w:val="20"/>
          <w:lang w:val="es-VE"/>
        </w:rPr>
        <w:t xml:space="preserve">los familiares informados </w:t>
      </w:r>
      <w:r w:rsidR="00EA0BA7">
        <w:rPr>
          <w:sz w:val="20"/>
          <w:szCs w:val="20"/>
          <w:lang w:val="es-VE"/>
        </w:rPr>
        <w:t xml:space="preserve">que la presunta víctima y su colega </w:t>
      </w:r>
      <w:r w:rsidR="00545F88">
        <w:rPr>
          <w:sz w:val="20"/>
          <w:szCs w:val="20"/>
          <w:lang w:val="es-VE"/>
        </w:rPr>
        <w:t xml:space="preserve">no </w:t>
      </w:r>
      <w:r w:rsidR="00B25033">
        <w:rPr>
          <w:sz w:val="20"/>
          <w:szCs w:val="20"/>
          <w:lang w:val="es-VE"/>
        </w:rPr>
        <w:t xml:space="preserve">habían llegado </w:t>
      </w:r>
      <w:r w:rsidR="00545F88">
        <w:rPr>
          <w:sz w:val="20"/>
          <w:szCs w:val="20"/>
          <w:lang w:val="es-VE"/>
        </w:rPr>
        <w:t>a destino.</w:t>
      </w:r>
      <w:r w:rsidR="00545F88" w:rsidRPr="00545F88">
        <w:rPr>
          <w:sz w:val="20"/>
          <w:szCs w:val="20"/>
          <w:lang w:val="es-VE"/>
        </w:rPr>
        <w:t xml:space="preserve"> </w:t>
      </w:r>
      <w:r w:rsidR="00B25033">
        <w:rPr>
          <w:sz w:val="20"/>
          <w:szCs w:val="20"/>
          <w:lang w:val="es-VE"/>
        </w:rPr>
        <w:t>La</w:t>
      </w:r>
      <w:r w:rsidR="00FA439F" w:rsidRPr="00EA0BA7">
        <w:rPr>
          <w:sz w:val="20"/>
          <w:szCs w:val="20"/>
          <w:lang w:val="es-VE"/>
        </w:rPr>
        <w:t xml:space="preserve"> familia de la presunta víctima presentó el 13 de octubre de 2010 </w:t>
      </w:r>
      <w:r w:rsidR="0085497B" w:rsidRPr="00EA0BA7">
        <w:rPr>
          <w:sz w:val="20"/>
          <w:szCs w:val="20"/>
          <w:lang w:val="es-VE"/>
        </w:rPr>
        <w:t xml:space="preserve">una </w:t>
      </w:r>
      <w:r w:rsidR="00FA439F" w:rsidRPr="00EA0BA7">
        <w:rPr>
          <w:sz w:val="20"/>
          <w:szCs w:val="20"/>
          <w:lang w:val="es-VE"/>
        </w:rPr>
        <w:t xml:space="preserve">denuncia por </w:t>
      </w:r>
      <w:r w:rsidR="0085497B" w:rsidRPr="00EA0BA7">
        <w:rPr>
          <w:sz w:val="20"/>
          <w:szCs w:val="20"/>
          <w:lang w:val="es-VE"/>
        </w:rPr>
        <w:t>su</w:t>
      </w:r>
      <w:r w:rsidR="00FA439F" w:rsidRPr="00EA0BA7">
        <w:rPr>
          <w:sz w:val="20"/>
          <w:szCs w:val="20"/>
          <w:lang w:val="es-VE"/>
        </w:rPr>
        <w:t xml:space="preserve"> desaparición</w:t>
      </w:r>
      <w:r w:rsidR="0085497B" w:rsidRPr="00EA0BA7">
        <w:rPr>
          <w:sz w:val="20"/>
          <w:szCs w:val="20"/>
          <w:lang w:val="es-VE"/>
        </w:rPr>
        <w:t xml:space="preserve"> ante la Unidad de Reacción Inmediata de la </w:t>
      </w:r>
      <w:r w:rsidR="00B25033" w:rsidRPr="00EA0BA7">
        <w:rPr>
          <w:sz w:val="20"/>
          <w:szCs w:val="20"/>
          <w:lang w:val="es-VE"/>
        </w:rPr>
        <w:t xml:space="preserve">Fiscalía General de la Nación </w:t>
      </w:r>
      <w:r w:rsidR="00B25033">
        <w:rPr>
          <w:sz w:val="20"/>
          <w:szCs w:val="20"/>
          <w:lang w:val="es-VE"/>
        </w:rPr>
        <w:t>de Colombia</w:t>
      </w:r>
      <w:r w:rsidR="0085497B" w:rsidRPr="00EA0BA7">
        <w:rPr>
          <w:sz w:val="20"/>
          <w:szCs w:val="20"/>
          <w:lang w:val="es-VE"/>
        </w:rPr>
        <w:t xml:space="preserve">. </w:t>
      </w:r>
    </w:p>
    <w:p w14:paraId="7D84721C" w14:textId="77777777" w:rsidR="00B25033" w:rsidRDefault="00B25033" w:rsidP="00B2503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50B7461B" w14:textId="634D633E" w:rsidR="00DC277F" w:rsidRPr="00DC277F" w:rsidRDefault="00B25033"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 xml:space="preserve">La parte peticionaria refiere </w:t>
      </w:r>
      <w:r w:rsidR="005B5A6E" w:rsidRPr="00DC277F">
        <w:rPr>
          <w:sz w:val="20"/>
          <w:szCs w:val="20"/>
          <w:lang w:val="es-VE"/>
        </w:rPr>
        <w:t>que</w:t>
      </w:r>
      <w:r w:rsidR="00EA0BA7" w:rsidRPr="00DC277F">
        <w:rPr>
          <w:sz w:val="20"/>
          <w:szCs w:val="20"/>
          <w:lang w:val="es-VE"/>
        </w:rPr>
        <w:t xml:space="preserve"> </w:t>
      </w:r>
      <w:r w:rsidR="005B5A6E" w:rsidRPr="00DC277F">
        <w:rPr>
          <w:sz w:val="20"/>
          <w:szCs w:val="20"/>
          <w:lang w:val="es-VE"/>
        </w:rPr>
        <w:t xml:space="preserve">el 18 de octubre de 2010 </w:t>
      </w:r>
      <w:r>
        <w:rPr>
          <w:sz w:val="20"/>
          <w:szCs w:val="20"/>
          <w:lang w:val="es-VE"/>
        </w:rPr>
        <w:t xml:space="preserve">se encontraron </w:t>
      </w:r>
      <w:r w:rsidRPr="00DC277F">
        <w:rPr>
          <w:sz w:val="20"/>
          <w:szCs w:val="20"/>
          <w:lang w:val="es-VE"/>
        </w:rPr>
        <w:t xml:space="preserve">los restos de dos personas en estado de descomposición avanzada </w:t>
      </w:r>
      <w:r w:rsidR="00EA0BA7" w:rsidRPr="00DC277F">
        <w:rPr>
          <w:sz w:val="20"/>
          <w:szCs w:val="20"/>
          <w:lang w:val="es-VE"/>
        </w:rPr>
        <w:t>en una fosa clandestina</w:t>
      </w:r>
      <w:r w:rsidR="00DC277F" w:rsidRPr="00DC277F">
        <w:rPr>
          <w:sz w:val="20"/>
          <w:szCs w:val="20"/>
          <w:lang w:val="es-VE"/>
        </w:rPr>
        <w:t xml:space="preserve"> en el rancho Las Prietas</w:t>
      </w:r>
      <w:r>
        <w:rPr>
          <w:sz w:val="20"/>
          <w:szCs w:val="20"/>
          <w:lang w:val="es-VE"/>
        </w:rPr>
        <w:t xml:space="preserve"> del estado de</w:t>
      </w:r>
      <w:r w:rsidR="00DC277F" w:rsidRPr="00DC277F">
        <w:rPr>
          <w:sz w:val="20"/>
          <w:szCs w:val="20"/>
          <w:lang w:val="es-VE"/>
        </w:rPr>
        <w:t xml:space="preserve"> Sinaloa. </w:t>
      </w:r>
      <w:r>
        <w:rPr>
          <w:sz w:val="20"/>
          <w:szCs w:val="20"/>
          <w:lang w:val="es-VE"/>
        </w:rPr>
        <w:t>D</w:t>
      </w:r>
      <w:r w:rsidR="0064589C">
        <w:rPr>
          <w:sz w:val="20"/>
          <w:szCs w:val="20"/>
          <w:lang w:val="es-VE"/>
        </w:rPr>
        <w:t xml:space="preserve">ebido a la imposibilidad de </w:t>
      </w:r>
      <w:r w:rsidR="00DC277F" w:rsidRPr="00DC277F">
        <w:rPr>
          <w:sz w:val="20"/>
          <w:szCs w:val="20"/>
          <w:lang w:val="es-VE"/>
        </w:rPr>
        <w:t xml:space="preserve">reconocer físicamente </w:t>
      </w:r>
      <w:r w:rsidR="0064589C">
        <w:rPr>
          <w:sz w:val="20"/>
          <w:szCs w:val="20"/>
          <w:lang w:val="es-VE"/>
        </w:rPr>
        <w:t xml:space="preserve">la identidad de los cuerpos </w:t>
      </w:r>
      <w:r w:rsidR="00DC277F" w:rsidRPr="00DC277F">
        <w:rPr>
          <w:sz w:val="20"/>
          <w:szCs w:val="20"/>
          <w:lang w:val="es-VE"/>
        </w:rPr>
        <w:t>por las quemaduras y laceraciones</w:t>
      </w:r>
      <w:r w:rsidR="0064589C">
        <w:rPr>
          <w:sz w:val="20"/>
          <w:szCs w:val="20"/>
          <w:lang w:val="es-VE"/>
        </w:rPr>
        <w:t xml:space="preserve">, </w:t>
      </w:r>
      <w:r w:rsidRPr="00DC277F">
        <w:rPr>
          <w:sz w:val="20"/>
          <w:szCs w:val="20"/>
          <w:lang w:val="es-VE"/>
        </w:rPr>
        <w:t xml:space="preserve">la Dirección de Investigación Criminalística y Servicios Periciales </w:t>
      </w:r>
      <w:r w:rsidR="00212C26">
        <w:rPr>
          <w:sz w:val="20"/>
          <w:szCs w:val="20"/>
          <w:lang w:val="es-VE"/>
        </w:rPr>
        <w:t xml:space="preserve">(DICSP) </w:t>
      </w:r>
      <w:r>
        <w:rPr>
          <w:sz w:val="20"/>
          <w:szCs w:val="20"/>
          <w:lang w:val="es-VE"/>
        </w:rPr>
        <w:t>d</w:t>
      </w:r>
      <w:r w:rsidR="00DC277F" w:rsidRPr="00DC277F">
        <w:rPr>
          <w:sz w:val="20"/>
          <w:szCs w:val="20"/>
          <w:lang w:val="es-VE"/>
        </w:rPr>
        <w:t xml:space="preserve">el </w:t>
      </w:r>
      <w:r>
        <w:rPr>
          <w:sz w:val="20"/>
          <w:szCs w:val="20"/>
          <w:lang w:val="es-VE"/>
        </w:rPr>
        <w:t xml:space="preserve">Ministerio </w:t>
      </w:r>
      <w:r w:rsidR="00DC277F" w:rsidRPr="00DC277F">
        <w:rPr>
          <w:sz w:val="20"/>
          <w:szCs w:val="20"/>
          <w:lang w:val="es-VE"/>
        </w:rPr>
        <w:t>P</w:t>
      </w:r>
      <w:r>
        <w:rPr>
          <w:sz w:val="20"/>
          <w:szCs w:val="20"/>
          <w:lang w:val="es-ES"/>
        </w:rPr>
        <w:t>ú</w:t>
      </w:r>
      <w:r w:rsidR="00DC277F" w:rsidRPr="00DC277F">
        <w:rPr>
          <w:sz w:val="20"/>
          <w:szCs w:val="20"/>
          <w:lang w:val="es-VE"/>
        </w:rPr>
        <w:t xml:space="preserve">blico </w:t>
      </w:r>
      <w:r w:rsidRPr="00DC277F">
        <w:rPr>
          <w:sz w:val="20"/>
          <w:szCs w:val="20"/>
          <w:lang w:val="es-VE"/>
        </w:rPr>
        <w:t>realizó el 23 de noviembre de 2010 un estudio odontológico de uno de los cadáveres</w:t>
      </w:r>
      <w:r w:rsidR="00DC277F" w:rsidRPr="00DC277F">
        <w:rPr>
          <w:sz w:val="20"/>
          <w:szCs w:val="20"/>
          <w:lang w:val="es-VE"/>
        </w:rPr>
        <w:t xml:space="preserve">, </w:t>
      </w:r>
      <w:r>
        <w:rPr>
          <w:sz w:val="20"/>
          <w:szCs w:val="20"/>
          <w:lang w:val="es-VE"/>
        </w:rPr>
        <w:t>que fue identificado como el de la presunta víctima</w:t>
      </w:r>
      <w:r w:rsidR="00212C26">
        <w:rPr>
          <w:sz w:val="20"/>
          <w:szCs w:val="20"/>
          <w:lang w:val="es-VE"/>
        </w:rPr>
        <w:t xml:space="preserve"> en el presente asunto</w:t>
      </w:r>
      <w:r w:rsidR="0064589C">
        <w:rPr>
          <w:sz w:val="20"/>
          <w:szCs w:val="20"/>
          <w:lang w:val="es-VE"/>
        </w:rPr>
        <w:t>.</w:t>
      </w:r>
      <w:r w:rsidR="00DC277F" w:rsidRPr="00DC277F">
        <w:rPr>
          <w:sz w:val="20"/>
          <w:szCs w:val="20"/>
          <w:lang w:val="es-VE"/>
        </w:rPr>
        <w:t xml:space="preserve"> </w:t>
      </w:r>
      <w:r>
        <w:rPr>
          <w:sz w:val="20"/>
          <w:szCs w:val="20"/>
          <w:lang w:val="es-VE"/>
        </w:rPr>
        <w:t>El</w:t>
      </w:r>
      <w:r w:rsidR="0064589C" w:rsidRPr="007E5E89">
        <w:rPr>
          <w:sz w:val="20"/>
          <w:szCs w:val="20"/>
          <w:lang w:val="es-VE"/>
        </w:rPr>
        <w:t xml:space="preserve"> acta de defunción No. 1.184 de 3 de diciembre de 2010</w:t>
      </w:r>
      <w:r>
        <w:rPr>
          <w:sz w:val="20"/>
          <w:szCs w:val="20"/>
          <w:lang w:val="es-VE"/>
        </w:rPr>
        <w:t xml:space="preserve"> indica que</w:t>
      </w:r>
      <w:r w:rsidR="0064589C" w:rsidRPr="007E5E89">
        <w:rPr>
          <w:sz w:val="20"/>
          <w:szCs w:val="20"/>
          <w:lang w:val="es-VE"/>
        </w:rPr>
        <w:t xml:space="preserve"> la presunta víctima falleció por causas de “laceración de cerebro y fractura de cráneo producido por proyectil de un arma de fuego”.</w:t>
      </w:r>
    </w:p>
    <w:p w14:paraId="61583BC3" w14:textId="77777777" w:rsidR="00B25033" w:rsidRDefault="00B25033" w:rsidP="00B2503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014328EF" w14:textId="3EED85C6" w:rsidR="00714E32" w:rsidRPr="00212C26" w:rsidRDefault="00212C26" w:rsidP="00212C2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La</w:t>
      </w:r>
      <w:r w:rsidR="005B5A6E" w:rsidRPr="007E5E89">
        <w:rPr>
          <w:sz w:val="20"/>
          <w:szCs w:val="20"/>
          <w:lang w:val="es-VE"/>
        </w:rPr>
        <w:t xml:space="preserve"> </w:t>
      </w:r>
      <w:r>
        <w:rPr>
          <w:sz w:val="20"/>
          <w:szCs w:val="20"/>
          <w:lang w:val="es-VE"/>
        </w:rPr>
        <w:t>DICSP</w:t>
      </w:r>
      <w:r w:rsidR="005B5A6E" w:rsidRPr="007E5E89">
        <w:rPr>
          <w:sz w:val="20"/>
          <w:szCs w:val="20"/>
          <w:lang w:val="es-VE"/>
        </w:rPr>
        <w:t xml:space="preserve"> </w:t>
      </w:r>
      <w:r w:rsidR="007E5E89" w:rsidRPr="007E5E89">
        <w:rPr>
          <w:sz w:val="20"/>
          <w:szCs w:val="20"/>
          <w:lang w:val="es-VE"/>
        </w:rPr>
        <w:t xml:space="preserve">dejó constancia </w:t>
      </w:r>
      <w:r>
        <w:rPr>
          <w:sz w:val="20"/>
          <w:szCs w:val="20"/>
          <w:lang w:val="es-VE"/>
        </w:rPr>
        <w:t xml:space="preserve">en su dictamen de </w:t>
      </w:r>
      <w:r w:rsidRPr="007E5E89">
        <w:rPr>
          <w:sz w:val="20"/>
          <w:szCs w:val="20"/>
          <w:lang w:val="es-VE"/>
        </w:rPr>
        <w:t>1</w:t>
      </w:r>
      <w:r>
        <w:rPr>
          <w:sz w:val="20"/>
          <w:szCs w:val="20"/>
          <w:lang w:val="es-VE"/>
        </w:rPr>
        <w:t xml:space="preserve">º </w:t>
      </w:r>
      <w:r w:rsidRPr="007E5E89">
        <w:rPr>
          <w:sz w:val="20"/>
          <w:szCs w:val="20"/>
          <w:lang w:val="es-VE"/>
        </w:rPr>
        <w:t>de noviembre de 2010</w:t>
      </w:r>
      <w:r>
        <w:rPr>
          <w:sz w:val="20"/>
          <w:szCs w:val="20"/>
          <w:lang w:val="es-VE"/>
        </w:rPr>
        <w:t xml:space="preserve"> </w:t>
      </w:r>
      <w:r w:rsidR="007E5E89" w:rsidRPr="007E5E89">
        <w:rPr>
          <w:sz w:val="20"/>
          <w:szCs w:val="20"/>
          <w:lang w:val="es-VE"/>
        </w:rPr>
        <w:t xml:space="preserve">que </w:t>
      </w:r>
      <w:r w:rsidR="005B5A6E" w:rsidRPr="007E5E89">
        <w:rPr>
          <w:sz w:val="20"/>
          <w:szCs w:val="20"/>
          <w:lang w:val="es-AR"/>
        </w:rPr>
        <w:t xml:space="preserve">los cuerpos </w:t>
      </w:r>
      <w:r w:rsidR="007E5E89" w:rsidRPr="007E5E89">
        <w:rPr>
          <w:sz w:val="20"/>
          <w:szCs w:val="20"/>
          <w:lang w:val="es-AR"/>
        </w:rPr>
        <w:t>de los hombres identificados</w:t>
      </w:r>
      <w:r>
        <w:rPr>
          <w:sz w:val="20"/>
          <w:szCs w:val="20"/>
          <w:lang w:val="es-AR"/>
        </w:rPr>
        <w:t xml:space="preserve"> habían sido</w:t>
      </w:r>
      <w:r w:rsidR="005B5A6E" w:rsidRPr="007E5E89">
        <w:rPr>
          <w:sz w:val="20"/>
          <w:szCs w:val="20"/>
          <w:lang w:val="es-AR"/>
        </w:rPr>
        <w:t xml:space="preserve"> trasladados sin vida por los agresores hasta </w:t>
      </w:r>
      <w:r w:rsidR="007E5E89" w:rsidRPr="007E5E89">
        <w:rPr>
          <w:sz w:val="20"/>
          <w:szCs w:val="20"/>
          <w:lang w:val="es-AR"/>
        </w:rPr>
        <w:t>la fosa clandestina</w:t>
      </w:r>
      <w:r>
        <w:rPr>
          <w:sz w:val="20"/>
          <w:szCs w:val="20"/>
          <w:lang w:val="es-AR"/>
        </w:rPr>
        <w:t xml:space="preserve">; </w:t>
      </w:r>
      <w:r w:rsidR="007E5E89" w:rsidRPr="007E5E89">
        <w:rPr>
          <w:sz w:val="20"/>
          <w:szCs w:val="20"/>
          <w:lang w:val="es-AR"/>
        </w:rPr>
        <w:t xml:space="preserve">que se </w:t>
      </w:r>
      <w:r>
        <w:rPr>
          <w:sz w:val="20"/>
          <w:szCs w:val="20"/>
          <w:lang w:val="es-AR"/>
        </w:rPr>
        <w:t xml:space="preserve">trataría de </w:t>
      </w:r>
      <w:r w:rsidR="0064589C">
        <w:rPr>
          <w:sz w:val="20"/>
          <w:szCs w:val="20"/>
          <w:lang w:val="es-AR"/>
        </w:rPr>
        <w:t xml:space="preserve">un </w:t>
      </w:r>
      <w:r w:rsidR="005B5A6E" w:rsidRPr="007E5E89">
        <w:rPr>
          <w:sz w:val="20"/>
          <w:szCs w:val="20"/>
          <w:lang w:val="es-AR"/>
        </w:rPr>
        <w:t xml:space="preserve">homicidio doloso </w:t>
      </w:r>
      <w:r w:rsidR="007E5E89" w:rsidRPr="007E5E89">
        <w:rPr>
          <w:sz w:val="20"/>
          <w:szCs w:val="20"/>
          <w:lang w:val="es-AR"/>
        </w:rPr>
        <w:t xml:space="preserve">que habría tenido lugar </w:t>
      </w:r>
      <w:r>
        <w:rPr>
          <w:sz w:val="20"/>
          <w:szCs w:val="20"/>
          <w:lang w:val="es-AR"/>
        </w:rPr>
        <w:t xml:space="preserve">entre </w:t>
      </w:r>
      <w:r w:rsidR="005B5A6E" w:rsidRPr="007E5E89">
        <w:rPr>
          <w:sz w:val="20"/>
          <w:szCs w:val="20"/>
          <w:lang w:val="es-AR"/>
        </w:rPr>
        <w:t xml:space="preserve">10 </w:t>
      </w:r>
      <w:r>
        <w:rPr>
          <w:sz w:val="20"/>
          <w:szCs w:val="20"/>
          <w:lang w:val="es-AR"/>
        </w:rPr>
        <w:t>y</w:t>
      </w:r>
      <w:r w:rsidR="005B5A6E" w:rsidRPr="007E5E89">
        <w:rPr>
          <w:sz w:val="20"/>
          <w:szCs w:val="20"/>
          <w:lang w:val="es-AR"/>
        </w:rPr>
        <w:t xml:space="preserve"> 15 días antes</w:t>
      </w:r>
      <w:r>
        <w:rPr>
          <w:sz w:val="20"/>
          <w:szCs w:val="20"/>
          <w:lang w:val="es-AR"/>
        </w:rPr>
        <w:t>;</w:t>
      </w:r>
      <w:r w:rsidR="005B5A6E" w:rsidRPr="007E5E89">
        <w:rPr>
          <w:sz w:val="20"/>
          <w:szCs w:val="20"/>
          <w:lang w:val="es-AR"/>
        </w:rPr>
        <w:t xml:space="preserve"> </w:t>
      </w:r>
      <w:r>
        <w:rPr>
          <w:sz w:val="20"/>
          <w:szCs w:val="20"/>
          <w:lang w:val="es-AR"/>
        </w:rPr>
        <w:t>y</w:t>
      </w:r>
      <w:r w:rsidR="007E5E89" w:rsidRPr="007E5E89">
        <w:rPr>
          <w:sz w:val="20"/>
          <w:szCs w:val="20"/>
          <w:lang w:val="es-AR"/>
        </w:rPr>
        <w:t xml:space="preserve"> que los cuerpos </w:t>
      </w:r>
      <w:r>
        <w:rPr>
          <w:sz w:val="20"/>
          <w:szCs w:val="20"/>
          <w:lang w:val="es-AR"/>
        </w:rPr>
        <w:t xml:space="preserve">no </w:t>
      </w:r>
      <w:r w:rsidR="005B5A6E" w:rsidRPr="007E5E89">
        <w:rPr>
          <w:sz w:val="20"/>
          <w:szCs w:val="20"/>
          <w:lang w:val="es-AR"/>
        </w:rPr>
        <w:t>present</w:t>
      </w:r>
      <w:r>
        <w:rPr>
          <w:sz w:val="20"/>
          <w:szCs w:val="20"/>
          <w:lang w:val="es-AR"/>
        </w:rPr>
        <w:t>aba</w:t>
      </w:r>
      <w:r w:rsidR="007E5E89" w:rsidRPr="007E5E89">
        <w:rPr>
          <w:sz w:val="20"/>
          <w:szCs w:val="20"/>
          <w:lang w:val="es-AR"/>
        </w:rPr>
        <w:t>n</w:t>
      </w:r>
      <w:r w:rsidR="005B5A6E" w:rsidRPr="007E5E89">
        <w:rPr>
          <w:sz w:val="20"/>
          <w:szCs w:val="20"/>
          <w:lang w:val="es-AR"/>
        </w:rPr>
        <w:t xml:space="preserve"> signos de lucha</w:t>
      </w:r>
      <w:r w:rsidR="007E5E89" w:rsidRPr="007E5E89">
        <w:rPr>
          <w:sz w:val="20"/>
          <w:szCs w:val="20"/>
          <w:lang w:val="es-AR"/>
        </w:rPr>
        <w:t>,</w:t>
      </w:r>
      <w:r w:rsidR="005B5A6E" w:rsidRPr="007E5E89">
        <w:rPr>
          <w:sz w:val="20"/>
          <w:szCs w:val="20"/>
          <w:lang w:val="es-AR"/>
        </w:rPr>
        <w:t xml:space="preserve"> forcejeo o defensa.</w:t>
      </w:r>
      <w:r w:rsidR="005B5A6E" w:rsidRPr="007E5E89">
        <w:rPr>
          <w:sz w:val="20"/>
          <w:szCs w:val="20"/>
          <w:lang w:val="es-VE"/>
        </w:rPr>
        <w:t xml:space="preserve"> </w:t>
      </w:r>
      <w:r>
        <w:rPr>
          <w:sz w:val="20"/>
          <w:szCs w:val="20"/>
          <w:lang w:val="es-VE"/>
        </w:rPr>
        <w:t>El</w:t>
      </w:r>
      <w:r w:rsidR="0085497B" w:rsidRPr="00212C26">
        <w:rPr>
          <w:sz w:val="20"/>
          <w:szCs w:val="20"/>
          <w:lang w:val="es-VE"/>
        </w:rPr>
        <w:t xml:space="preserve"> 25 de noviembre de 2010 la familia de la presunta víctima interpuso un derecho de petición ante el Ministerio de Relaciones Exteriores </w:t>
      </w:r>
      <w:r w:rsidR="0064589C" w:rsidRPr="00212C26">
        <w:rPr>
          <w:sz w:val="20"/>
          <w:szCs w:val="20"/>
          <w:lang w:val="es-VE"/>
        </w:rPr>
        <w:t xml:space="preserve">de Colombia </w:t>
      </w:r>
      <w:r w:rsidR="0085497B" w:rsidRPr="00212C26">
        <w:rPr>
          <w:sz w:val="20"/>
          <w:szCs w:val="20"/>
          <w:lang w:val="es-VE"/>
        </w:rPr>
        <w:t>para que se reali</w:t>
      </w:r>
      <w:r>
        <w:rPr>
          <w:sz w:val="20"/>
          <w:szCs w:val="20"/>
          <w:lang w:val="es-VE"/>
        </w:rPr>
        <w:t>ce</w:t>
      </w:r>
      <w:r w:rsidR="0085497B" w:rsidRPr="00212C26">
        <w:rPr>
          <w:sz w:val="20"/>
          <w:szCs w:val="20"/>
          <w:lang w:val="es-VE"/>
        </w:rPr>
        <w:t xml:space="preserve"> la prueba de ADN </w:t>
      </w:r>
      <w:r w:rsidR="007E5E89" w:rsidRPr="00212C26">
        <w:rPr>
          <w:sz w:val="20"/>
          <w:szCs w:val="20"/>
          <w:lang w:val="es-VE"/>
        </w:rPr>
        <w:t xml:space="preserve">comparativa a los restos </w:t>
      </w:r>
      <w:r w:rsidR="0085497B" w:rsidRPr="00212C26">
        <w:rPr>
          <w:sz w:val="20"/>
          <w:szCs w:val="20"/>
          <w:lang w:val="es-VE"/>
        </w:rPr>
        <w:t>encontrados.</w:t>
      </w:r>
      <w:r w:rsidR="005B5A6E" w:rsidRPr="00212C26">
        <w:rPr>
          <w:sz w:val="20"/>
          <w:szCs w:val="20"/>
          <w:lang w:val="es-VE"/>
        </w:rPr>
        <w:t xml:space="preserve"> </w:t>
      </w:r>
      <w:r w:rsidR="0064589C" w:rsidRPr="00212C26">
        <w:rPr>
          <w:sz w:val="20"/>
          <w:szCs w:val="20"/>
          <w:lang w:val="es-VE"/>
        </w:rPr>
        <w:t>E</w:t>
      </w:r>
      <w:r>
        <w:rPr>
          <w:sz w:val="20"/>
          <w:szCs w:val="20"/>
          <w:lang w:val="es-VE"/>
        </w:rPr>
        <w:t>n su respuesta de</w:t>
      </w:r>
      <w:r w:rsidR="0064589C" w:rsidRPr="00212C26">
        <w:rPr>
          <w:sz w:val="20"/>
          <w:szCs w:val="20"/>
          <w:lang w:val="es-VE"/>
        </w:rPr>
        <w:t xml:space="preserve"> </w:t>
      </w:r>
      <w:r w:rsidRPr="00212C26">
        <w:rPr>
          <w:sz w:val="20"/>
          <w:szCs w:val="20"/>
          <w:lang w:val="es-VE"/>
        </w:rPr>
        <w:t>30 de noviembre de 2010</w:t>
      </w:r>
      <w:r>
        <w:rPr>
          <w:sz w:val="20"/>
          <w:szCs w:val="20"/>
          <w:lang w:val="es-VE"/>
        </w:rPr>
        <w:t>, el</w:t>
      </w:r>
      <w:r w:rsidRPr="00212C26">
        <w:rPr>
          <w:sz w:val="20"/>
          <w:szCs w:val="20"/>
          <w:lang w:val="es-VE"/>
        </w:rPr>
        <w:t xml:space="preserve"> </w:t>
      </w:r>
      <w:r w:rsidR="0064589C" w:rsidRPr="00212C26">
        <w:rPr>
          <w:sz w:val="20"/>
          <w:szCs w:val="20"/>
          <w:lang w:val="es-VE"/>
        </w:rPr>
        <w:t xml:space="preserve">Ministerio de Relaciones Exteriores </w:t>
      </w:r>
      <w:r>
        <w:rPr>
          <w:sz w:val="20"/>
          <w:szCs w:val="20"/>
          <w:lang w:val="es-VE"/>
        </w:rPr>
        <w:t xml:space="preserve">de Colombia </w:t>
      </w:r>
      <w:r w:rsidR="0064589C" w:rsidRPr="00212C26">
        <w:rPr>
          <w:sz w:val="20"/>
          <w:szCs w:val="20"/>
          <w:lang w:val="es-VE"/>
        </w:rPr>
        <w:t>comunicó a la familia de la presunta víctima los resultados del estudio odontológico realizado el 23 de noviembre de</w:t>
      </w:r>
      <w:r>
        <w:rPr>
          <w:sz w:val="20"/>
          <w:szCs w:val="20"/>
          <w:lang w:val="es-VE"/>
        </w:rPr>
        <w:t>l mismo año</w:t>
      </w:r>
      <w:r w:rsidR="0064589C" w:rsidRPr="00212C26">
        <w:rPr>
          <w:sz w:val="20"/>
          <w:szCs w:val="20"/>
          <w:lang w:val="es-VE"/>
        </w:rPr>
        <w:t xml:space="preserve">.  </w:t>
      </w:r>
    </w:p>
    <w:p w14:paraId="4F04E0FA" w14:textId="77777777" w:rsidR="00B25033" w:rsidRPr="00212C26" w:rsidRDefault="00B25033" w:rsidP="00B250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14B9A0F6" w14:textId="01905869" w:rsidR="00D662AF" w:rsidRPr="0085497B" w:rsidRDefault="005B5A6E"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VE"/>
        </w:rPr>
        <w:t xml:space="preserve">La parte peticionaria </w:t>
      </w:r>
      <w:r w:rsidR="007E5E89">
        <w:rPr>
          <w:sz w:val="20"/>
          <w:szCs w:val="20"/>
          <w:lang w:val="es-VE"/>
        </w:rPr>
        <w:t>sostiene</w:t>
      </w:r>
      <w:r>
        <w:rPr>
          <w:sz w:val="20"/>
          <w:szCs w:val="20"/>
          <w:lang w:val="es-VE"/>
        </w:rPr>
        <w:t xml:space="preserve"> que </w:t>
      </w:r>
      <w:r w:rsidR="00212C26">
        <w:rPr>
          <w:sz w:val="20"/>
          <w:szCs w:val="20"/>
          <w:lang w:val="es-VE"/>
        </w:rPr>
        <w:t xml:space="preserve">la familia de la presunta víctima </w:t>
      </w:r>
      <w:r w:rsidR="007E5E89">
        <w:rPr>
          <w:sz w:val="20"/>
          <w:szCs w:val="20"/>
          <w:lang w:val="es-VE"/>
        </w:rPr>
        <w:t xml:space="preserve">no tiene posibilidad de </w:t>
      </w:r>
      <w:r>
        <w:rPr>
          <w:sz w:val="20"/>
          <w:szCs w:val="20"/>
          <w:lang w:val="es-VE"/>
        </w:rPr>
        <w:t xml:space="preserve">impulsar </w:t>
      </w:r>
      <w:r w:rsidR="00FA439F" w:rsidRPr="0085497B">
        <w:rPr>
          <w:sz w:val="20"/>
          <w:szCs w:val="20"/>
          <w:lang w:val="es-VE"/>
        </w:rPr>
        <w:t xml:space="preserve">las investigaciones </w:t>
      </w:r>
      <w:r w:rsidR="007E5E89">
        <w:rPr>
          <w:sz w:val="20"/>
          <w:szCs w:val="20"/>
          <w:lang w:val="es-VE"/>
        </w:rPr>
        <w:t>relacionadas a</w:t>
      </w:r>
      <w:r w:rsidR="00212C26">
        <w:rPr>
          <w:sz w:val="20"/>
          <w:szCs w:val="20"/>
          <w:lang w:val="es-VE"/>
        </w:rPr>
        <w:t xml:space="preserve"> </w:t>
      </w:r>
      <w:r w:rsidR="007E5E89">
        <w:rPr>
          <w:sz w:val="20"/>
          <w:szCs w:val="20"/>
          <w:lang w:val="es-VE"/>
        </w:rPr>
        <w:t>l</w:t>
      </w:r>
      <w:r w:rsidR="00212C26">
        <w:rPr>
          <w:sz w:val="20"/>
          <w:szCs w:val="20"/>
          <w:lang w:val="es-VE"/>
        </w:rPr>
        <w:t>a tortura y</w:t>
      </w:r>
      <w:r w:rsidR="007E5E89">
        <w:rPr>
          <w:sz w:val="20"/>
          <w:szCs w:val="20"/>
          <w:lang w:val="es-VE"/>
        </w:rPr>
        <w:t xml:space="preserve"> homicidio de la presunta víctima</w:t>
      </w:r>
      <w:r w:rsidR="00212C26">
        <w:rPr>
          <w:sz w:val="20"/>
          <w:szCs w:val="20"/>
          <w:lang w:val="es-VE"/>
        </w:rPr>
        <w:t>, ni de</w:t>
      </w:r>
      <w:r>
        <w:rPr>
          <w:sz w:val="20"/>
          <w:szCs w:val="20"/>
          <w:lang w:val="es-VE"/>
        </w:rPr>
        <w:t xml:space="preserve"> interponer una </w:t>
      </w:r>
      <w:r w:rsidR="00FA439F" w:rsidRPr="0085497B">
        <w:rPr>
          <w:sz w:val="20"/>
          <w:szCs w:val="20"/>
          <w:lang w:val="es-VE"/>
        </w:rPr>
        <w:t xml:space="preserve">demanda </w:t>
      </w:r>
      <w:r>
        <w:rPr>
          <w:sz w:val="20"/>
          <w:szCs w:val="20"/>
          <w:lang w:val="es-VE"/>
        </w:rPr>
        <w:t>para recibir una indemnización económica</w:t>
      </w:r>
      <w:r w:rsidR="00212C26">
        <w:rPr>
          <w:sz w:val="20"/>
          <w:szCs w:val="20"/>
          <w:lang w:val="es-VE"/>
        </w:rPr>
        <w:t>, ya que</w:t>
      </w:r>
      <w:r w:rsidR="007E5E89">
        <w:rPr>
          <w:sz w:val="20"/>
          <w:szCs w:val="20"/>
          <w:lang w:val="es-VE"/>
        </w:rPr>
        <w:t xml:space="preserve"> no cuenta con los </w:t>
      </w:r>
      <w:r w:rsidR="00B263D3" w:rsidRPr="0085497B">
        <w:rPr>
          <w:sz w:val="20"/>
          <w:szCs w:val="20"/>
          <w:lang w:val="es-VE"/>
        </w:rPr>
        <w:t xml:space="preserve">recursos </w:t>
      </w:r>
      <w:r w:rsidR="007E5E89">
        <w:rPr>
          <w:sz w:val="20"/>
          <w:szCs w:val="20"/>
          <w:lang w:val="es-VE"/>
        </w:rPr>
        <w:t xml:space="preserve">económicos para </w:t>
      </w:r>
      <w:r w:rsidR="00B263D3" w:rsidRPr="0085497B">
        <w:rPr>
          <w:sz w:val="20"/>
          <w:szCs w:val="20"/>
          <w:lang w:val="es-VE"/>
        </w:rPr>
        <w:t xml:space="preserve">contratar un abogado en </w:t>
      </w:r>
      <w:r w:rsidR="007E5E89">
        <w:rPr>
          <w:sz w:val="20"/>
          <w:szCs w:val="20"/>
          <w:lang w:val="es-VE"/>
        </w:rPr>
        <w:t>Mé</w:t>
      </w:r>
      <w:r w:rsidR="00B263D3" w:rsidRPr="0085497B">
        <w:rPr>
          <w:sz w:val="20"/>
          <w:szCs w:val="20"/>
          <w:lang w:val="es-VE"/>
        </w:rPr>
        <w:t>xico</w:t>
      </w:r>
      <w:r w:rsidR="00B263D3">
        <w:rPr>
          <w:sz w:val="20"/>
          <w:szCs w:val="20"/>
          <w:lang w:val="es-VE"/>
        </w:rPr>
        <w:t xml:space="preserve">. </w:t>
      </w:r>
      <w:r w:rsidR="0064589C">
        <w:rPr>
          <w:sz w:val="20"/>
          <w:szCs w:val="20"/>
          <w:lang w:val="es-VE"/>
        </w:rPr>
        <w:t>A</w:t>
      </w:r>
      <w:r w:rsidR="00212C26">
        <w:rPr>
          <w:sz w:val="20"/>
          <w:szCs w:val="20"/>
          <w:lang w:val="es-VE"/>
        </w:rPr>
        <w:t>duce</w:t>
      </w:r>
      <w:r w:rsidR="00B263D3">
        <w:rPr>
          <w:sz w:val="20"/>
          <w:szCs w:val="20"/>
          <w:lang w:val="es-VE"/>
        </w:rPr>
        <w:t xml:space="preserve"> que e</w:t>
      </w:r>
      <w:r w:rsidR="0085497B">
        <w:rPr>
          <w:sz w:val="20"/>
          <w:szCs w:val="20"/>
          <w:lang w:val="es-VE"/>
        </w:rPr>
        <w:t xml:space="preserve">l Estado mexicano </w:t>
      </w:r>
      <w:r w:rsidR="00212C26">
        <w:rPr>
          <w:sz w:val="20"/>
          <w:szCs w:val="20"/>
          <w:lang w:val="es-VE"/>
        </w:rPr>
        <w:t>--</w:t>
      </w:r>
      <w:r w:rsidR="0085497B">
        <w:rPr>
          <w:sz w:val="20"/>
          <w:szCs w:val="20"/>
          <w:lang w:val="es-VE"/>
        </w:rPr>
        <w:t xml:space="preserve">y el Estado colombiano </w:t>
      </w:r>
      <w:r w:rsidR="00FA439F" w:rsidRPr="0085497B">
        <w:rPr>
          <w:sz w:val="20"/>
          <w:szCs w:val="20"/>
          <w:lang w:val="es-VE"/>
        </w:rPr>
        <w:t xml:space="preserve">a través del </w:t>
      </w:r>
      <w:r w:rsidR="0085497B" w:rsidRPr="0085497B">
        <w:rPr>
          <w:sz w:val="20"/>
          <w:szCs w:val="20"/>
          <w:lang w:val="es-VE"/>
        </w:rPr>
        <w:t xml:space="preserve">Ministerio </w:t>
      </w:r>
      <w:r w:rsidR="0085497B">
        <w:rPr>
          <w:sz w:val="20"/>
          <w:szCs w:val="20"/>
          <w:lang w:val="es-VE"/>
        </w:rPr>
        <w:t>d</w:t>
      </w:r>
      <w:r w:rsidR="0085497B" w:rsidRPr="0085497B">
        <w:rPr>
          <w:sz w:val="20"/>
          <w:szCs w:val="20"/>
          <w:lang w:val="es-VE"/>
        </w:rPr>
        <w:t>e Relaciones Exteriores</w:t>
      </w:r>
      <w:r w:rsidR="00212C26">
        <w:rPr>
          <w:sz w:val="20"/>
          <w:szCs w:val="20"/>
          <w:lang w:val="es-VE"/>
        </w:rPr>
        <w:t>--</w:t>
      </w:r>
      <w:r w:rsidR="0085497B" w:rsidRPr="0085497B">
        <w:rPr>
          <w:sz w:val="20"/>
          <w:szCs w:val="20"/>
          <w:lang w:val="es-VE"/>
        </w:rPr>
        <w:t xml:space="preserve"> </w:t>
      </w:r>
      <w:r w:rsidR="00FA439F" w:rsidRPr="0085497B">
        <w:rPr>
          <w:sz w:val="20"/>
          <w:szCs w:val="20"/>
          <w:lang w:val="es-VE"/>
        </w:rPr>
        <w:t>han hecho caso omiso a la</w:t>
      </w:r>
      <w:r w:rsidR="00B263D3">
        <w:rPr>
          <w:sz w:val="20"/>
          <w:szCs w:val="20"/>
          <w:lang w:val="es-VE"/>
        </w:rPr>
        <w:t>s</w:t>
      </w:r>
      <w:r w:rsidR="00FA439F" w:rsidRPr="0085497B">
        <w:rPr>
          <w:sz w:val="20"/>
          <w:szCs w:val="20"/>
          <w:lang w:val="es-VE"/>
        </w:rPr>
        <w:t xml:space="preserve"> solicitudes de investigación interpuest</w:t>
      </w:r>
      <w:r w:rsidR="00212C26">
        <w:rPr>
          <w:sz w:val="20"/>
          <w:szCs w:val="20"/>
          <w:lang w:val="es-VE"/>
        </w:rPr>
        <w:t>as p</w:t>
      </w:r>
      <w:r w:rsidR="00FA439F" w:rsidRPr="0085497B">
        <w:rPr>
          <w:sz w:val="20"/>
          <w:szCs w:val="20"/>
          <w:lang w:val="es-VE"/>
        </w:rPr>
        <w:t>o</w:t>
      </w:r>
      <w:r w:rsidR="00212C26">
        <w:rPr>
          <w:sz w:val="20"/>
          <w:szCs w:val="20"/>
          <w:lang w:val="es-VE"/>
        </w:rPr>
        <w:t>r</w:t>
      </w:r>
      <w:r w:rsidR="00FA439F" w:rsidRPr="0085497B">
        <w:rPr>
          <w:sz w:val="20"/>
          <w:szCs w:val="20"/>
          <w:lang w:val="es-VE"/>
        </w:rPr>
        <w:t xml:space="preserve"> los familiares de la </w:t>
      </w:r>
      <w:r w:rsidR="00B263D3">
        <w:rPr>
          <w:sz w:val="20"/>
          <w:szCs w:val="20"/>
          <w:lang w:val="es-VE"/>
        </w:rPr>
        <w:t xml:space="preserve">presunta </w:t>
      </w:r>
      <w:r w:rsidR="00FA439F" w:rsidRPr="0085497B">
        <w:rPr>
          <w:sz w:val="20"/>
          <w:szCs w:val="20"/>
          <w:lang w:val="es-VE"/>
        </w:rPr>
        <w:t>víctima</w:t>
      </w:r>
      <w:r w:rsidR="007E5E89">
        <w:rPr>
          <w:sz w:val="20"/>
          <w:szCs w:val="20"/>
          <w:lang w:val="es-VE"/>
        </w:rPr>
        <w:t xml:space="preserve">, </w:t>
      </w:r>
      <w:r w:rsidR="00212C26">
        <w:rPr>
          <w:sz w:val="20"/>
          <w:szCs w:val="20"/>
          <w:lang w:val="es-VE"/>
        </w:rPr>
        <w:t>que</w:t>
      </w:r>
      <w:r w:rsidR="007E5E89">
        <w:rPr>
          <w:sz w:val="20"/>
          <w:szCs w:val="20"/>
          <w:lang w:val="es-VE"/>
        </w:rPr>
        <w:t xml:space="preserve"> </w:t>
      </w:r>
      <w:r w:rsidR="0085497B">
        <w:rPr>
          <w:sz w:val="20"/>
          <w:szCs w:val="20"/>
          <w:lang w:val="es-VE"/>
        </w:rPr>
        <w:t>d</w:t>
      </w:r>
      <w:r w:rsidR="00D662AF" w:rsidRPr="0085497B">
        <w:rPr>
          <w:sz w:val="20"/>
          <w:szCs w:val="20"/>
          <w:lang w:val="es-VE"/>
        </w:rPr>
        <w:t>esconoce</w:t>
      </w:r>
      <w:r w:rsidR="00212C26">
        <w:rPr>
          <w:sz w:val="20"/>
          <w:szCs w:val="20"/>
          <w:lang w:val="es-VE"/>
        </w:rPr>
        <w:t>n</w:t>
      </w:r>
      <w:r w:rsidR="00D662AF" w:rsidRPr="0085497B">
        <w:rPr>
          <w:sz w:val="20"/>
          <w:szCs w:val="20"/>
          <w:lang w:val="es-VE"/>
        </w:rPr>
        <w:t xml:space="preserve"> si </w:t>
      </w:r>
      <w:r w:rsidR="00212C26">
        <w:rPr>
          <w:sz w:val="20"/>
          <w:szCs w:val="20"/>
          <w:lang w:val="es-VE"/>
        </w:rPr>
        <w:t>hay alguna indagatoria en curso</w:t>
      </w:r>
      <w:r w:rsidR="00D662AF" w:rsidRPr="0085497B">
        <w:rPr>
          <w:sz w:val="20"/>
          <w:szCs w:val="20"/>
          <w:lang w:val="es-VE"/>
        </w:rPr>
        <w:t>.</w:t>
      </w:r>
    </w:p>
    <w:p w14:paraId="39DCE56B" w14:textId="77777777" w:rsidR="00B25033" w:rsidRPr="00212C26" w:rsidRDefault="00B25033" w:rsidP="00B250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133C65D8" w14:textId="4ACEA6D0" w:rsidR="00D662AF" w:rsidRPr="00212C26" w:rsidRDefault="00071926"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212C26">
        <w:rPr>
          <w:color w:val="auto"/>
          <w:sz w:val="20"/>
          <w:szCs w:val="20"/>
          <w:lang w:val="es-AR"/>
        </w:rPr>
        <w:t>Por su parte</w:t>
      </w:r>
      <w:r w:rsidR="005B5A6E" w:rsidRPr="00212C26">
        <w:rPr>
          <w:color w:val="auto"/>
          <w:sz w:val="20"/>
          <w:szCs w:val="20"/>
          <w:lang w:val="es-AR"/>
        </w:rPr>
        <w:t>,</w:t>
      </w:r>
      <w:r w:rsidRPr="00212C26">
        <w:rPr>
          <w:color w:val="auto"/>
          <w:sz w:val="20"/>
          <w:szCs w:val="20"/>
          <w:lang w:val="es-AR"/>
        </w:rPr>
        <w:t xml:space="preserve"> el Estado sostiene </w:t>
      </w:r>
      <w:r w:rsidR="00E50A56">
        <w:rPr>
          <w:color w:val="auto"/>
          <w:sz w:val="20"/>
          <w:szCs w:val="20"/>
          <w:lang w:val="es-AR"/>
        </w:rPr>
        <w:t xml:space="preserve">que </w:t>
      </w:r>
      <w:r w:rsidR="00D662AF" w:rsidRPr="00B263D3">
        <w:rPr>
          <w:sz w:val="20"/>
          <w:szCs w:val="20"/>
          <w:lang w:val="es-AR"/>
        </w:rPr>
        <w:t>el</w:t>
      </w:r>
      <w:r w:rsidRPr="00B263D3">
        <w:rPr>
          <w:sz w:val="20"/>
          <w:szCs w:val="20"/>
          <w:lang w:val="es-VE"/>
        </w:rPr>
        <w:t xml:space="preserve"> 5 de octubre de 2010 </w:t>
      </w:r>
      <w:r w:rsidR="00D662AF" w:rsidRPr="00B263D3">
        <w:rPr>
          <w:sz w:val="20"/>
          <w:szCs w:val="20"/>
          <w:lang w:val="es-VE"/>
        </w:rPr>
        <w:t xml:space="preserve">la presunta víctima </w:t>
      </w:r>
      <w:r w:rsidRPr="00B263D3">
        <w:rPr>
          <w:sz w:val="20"/>
          <w:szCs w:val="20"/>
          <w:lang w:val="es-VE"/>
        </w:rPr>
        <w:t>fue torturad</w:t>
      </w:r>
      <w:r w:rsidR="00E50A56">
        <w:rPr>
          <w:sz w:val="20"/>
          <w:szCs w:val="20"/>
          <w:lang w:val="es-VE"/>
        </w:rPr>
        <w:t>a</w:t>
      </w:r>
      <w:r w:rsidRPr="00B263D3">
        <w:rPr>
          <w:sz w:val="20"/>
          <w:szCs w:val="20"/>
          <w:lang w:val="es-VE"/>
        </w:rPr>
        <w:t>, mutilad</w:t>
      </w:r>
      <w:r w:rsidR="00E50A56">
        <w:rPr>
          <w:sz w:val="20"/>
          <w:szCs w:val="20"/>
          <w:lang w:val="es-VE"/>
        </w:rPr>
        <w:t>a</w:t>
      </w:r>
      <w:r w:rsidRPr="00B263D3">
        <w:rPr>
          <w:sz w:val="20"/>
          <w:szCs w:val="20"/>
          <w:lang w:val="es-VE"/>
        </w:rPr>
        <w:t xml:space="preserve"> y quemad</w:t>
      </w:r>
      <w:r w:rsidR="00E50A56">
        <w:rPr>
          <w:sz w:val="20"/>
          <w:szCs w:val="20"/>
          <w:lang w:val="es-VE"/>
        </w:rPr>
        <w:t>a</w:t>
      </w:r>
      <w:r w:rsidRPr="00B263D3">
        <w:rPr>
          <w:sz w:val="20"/>
          <w:szCs w:val="20"/>
          <w:lang w:val="es-VE"/>
        </w:rPr>
        <w:t xml:space="preserve">, </w:t>
      </w:r>
      <w:r w:rsidR="00E50A56">
        <w:rPr>
          <w:sz w:val="20"/>
          <w:szCs w:val="20"/>
          <w:lang w:val="es-VE"/>
        </w:rPr>
        <w:t>lo que le ocasionó la muerte</w:t>
      </w:r>
      <w:r w:rsidRPr="00B263D3">
        <w:rPr>
          <w:sz w:val="20"/>
          <w:szCs w:val="20"/>
          <w:lang w:val="es-VE"/>
        </w:rPr>
        <w:t xml:space="preserve">. </w:t>
      </w:r>
      <w:r w:rsidR="00E50A56">
        <w:rPr>
          <w:sz w:val="20"/>
          <w:szCs w:val="20"/>
          <w:lang w:val="es-VE"/>
        </w:rPr>
        <w:t>Contradice</w:t>
      </w:r>
      <w:r w:rsidR="0064589C">
        <w:rPr>
          <w:sz w:val="20"/>
          <w:szCs w:val="20"/>
          <w:lang w:val="es-VE"/>
        </w:rPr>
        <w:t xml:space="preserve"> lo expuesto por la parte peticionaria </w:t>
      </w:r>
      <w:r w:rsidR="00E50A56">
        <w:rPr>
          <w:sz w:val="20"/>
          <w:szCs w:val="20"/>
          <w:lang w:val="es-VE"/>
        </w:rPr>
        <w:t xml:space="preserve">respecto a la falta de investigación de </w:t>
      </w:r>
      <w:r w:rsidR="0064589C">
        <w:rPr>
          <w:sz w:val="20"/>
          <w:szCs w:val="20"/>
          <w:lang w:val="es-VE"/>
        </w:rPr>
        <w:t xml:space="preserve">los hechos alegados, </w:t>
      </w:r>
      <w:r w:rsidR="00E50A56">
        <w:rPr>
          <w:sz w:val="20"/>
          <w:szCs w:val="20"/>
          <w:lang w:val="es-VE"/>
        </w:rPr>
        <w:t xml:space="preserve">y refiere que </w:t>
      </w:r>
      <w:r w:rsidR="0064589C">
        <w:rPr>
          <w:sz w:val="20"/>
          <w:szCs w:val="20"/>
          <w:lang w:val="es-VE"/>
        </w:rPr>
        <w:t xml:space="preserve">se </w:t>
      </w:r>
      <w:r w:rsidR="00D662AF" w:rsidRPr="00B263D3">
        <w:rPr>
          <w:sz w:val="20"/>
          <w:szCs w:val="20"/>
          <w:lang w:val="es-VE"/>
        </w:rPr>
        <w:t xml:space="preserve">inició </w:t>
      </w:r>
      <w:r w:rsidR="00B263D3" w:rsidRPr="00B263D3">
        <w:rPr>
          <w:sz w:val="20"/>
          <w:szCs w:val="20"/>
          <w:lang w:val="es-VE"/>
        </w:rPr>
        <w:t xml:space="preserve">la </w:t>
      </w:r>
      <w:r w:rsidR="00D662AF" w:rsidRPr="00B263D3">
        <w:rPr>
          <w:sz w:val="20"/>
          <w:szCs w:val="20"/>
          <w:lang w:val="es-VE"/>
        </w:rPr>
        <w:t>averiguación previa AHOME/HOMD/156</w:t>
      </w:r>
      <w:r w:rsidR="00E50A56">
        <w:rPr>
          <w:sz w:val="20"/>
          <w:szCs w:val="20"/>
          <w:lang w:val="es-VE"/>
        </w:rPr>
        <w:t>;</w:t>
      </w:r>
      <w:r w:rsidR="00B263D3">
        <w:rPr>
          <w:sz w:val="20"/>
          <w:szCs w:val="20"/>
          <w:lang w:val="es-VE"/>
        </w:rPr>
        <w:t xml:space="preserve"> y</w:t>
      </w:r>
      <w:r w:rsidR="00E50A56">
        <w:rPr>
          <w:sz w:val="20"/>
          <w:szCs w:val="20"/>
          <w:lang w:val="es-VE"/>
        </w:rPr>
        <w:t xml:space="preserve"> que</w:t>
      </w:r>
      <w:r w:rsidR="00B263D3" w:rsidRPr="00B263D3">
        <w:rPr>
          <w:sz w:val="20"/>
          <w:szCs w:val="20"/>
          <w:lang w:val="es-VE"/>
        </w:rPr>
        <w:t xml:space="preserve"> el 1</w:t>
      </w:r>
      <w:r w:rsidR="00E50A56">
        <w:rPr>
          <w:sz w:val="20"/>
          <w:szCs w:val="20"/>
          <w:lang w:val="es-VE"/>
        </w:rPr>
        <w:t xml:space="preserve">º </w:t>
      </w:r>
      <w:r w:rsidR="00B263D3" w:rsidRPr="00B263D3">
        <w:rPr>
          <w:sz w:val="20"/>
          <w:szCs w:val="20"/>
          <w:lang w:val="es-VE"/>
        </w:rPr>
        <w:t xml:space="preserve">de junio de 2015 la investigación fue enviada a la Agencia Primera del Ministerio Público del Fuero Común en </w:t>
      </w:r>
      <w:r w:rsidR="00E50A56">
        <w:rPr>
          <w:sz w:val="20"/>
          <w:szCs w:val="20"/>
          <w:lang w:val="es-VE"/>
        </w:rPr>
        <w:t>L</w:t>
      </w:r>
      <w:r w:rsidR="00B263D3" w:rsidRPr="00B263D3">
        <w:rPr>
          <w:sz w:val="20"/>
          <w:szCs w:val="20"/>
          <w:lang w:val="es-VE"/>
        </w:rPr>
        <w:t>os Mochis, Sinaloa</w:t>
      </w:r>
      <w:r w:rsidR="00D662AF" w:rsidRPr="00B263D3">
        <w:rPr>
          <w:sz w:val="20"/>
          <w:szCs w:val="20"/>
          <w:lang w:val="es-VE"/>
        </w:rPr>
        <w:t xml:space="preserve">. </w:t>
      </w:r>
      <w:r w:rsidR="00E50A56">
        <w:rPr>
          <w:sz w:val="20"/>
          <w:szCs w:val="20"/>
          <w:lang w:val="es-VE"/>
        </w:rPr>
        <w:t>El</w:t>
      </w:r>
      <w:r w:rsidR="0064589C">
        <w:rPr>
          <w:sz w:val="20"/>
          <w:szCs w:val="20"/>
          <w:lang w:val="es-VE"/>
        </w:rPr>
        <w:t xml:space="preserve"> Estado destaca que </w:t>
      </w:r>
      <w:r w:rsidR="00D662AF" w:rsidRPr="00B263D3">
        <w:rPr>
          <w:sz w:val="20"/>
          <w:szCs w:val="20"/>
          <w:lang w:val="es-VE"/>
        </w:rPr>
        <w:t xml:space="preserve">el caso se encuentra </w:t>
      </w:r>
      <w:r w:rsidR="00E50A56">
        <w:rPr>
          <w:sz w:val="20"/>
          <w:szCs w:val="20"/>
          <w:lang w:val="es-VE"/>
        </w:rPr>
        <w:t>a</w:t>
      </w:r>
      <w:r w:rsidR="00E50A56" w:rsidRPr="00B263D3">
        <w:rPr>
          <w:sz w:val="20"/>
          <w:szCs w:val="20"/>
          <w:lang w:val="es-VE"/>
        </w:rPr>
        <w:t xml:space="preserve">ctualmente </w:t>
      </w:r>
      <w:r w:rsidR="00D662AF" w:rsidRPr="00B263D3">
        <w:rPr>
          <w:sz w:val="20"/>
          <w:szCs w:val="20"/>
          <w:lang w:val="es-VE"/>
        </w:rPr>
        <w:t xml:space="preserve">en etapa de investigación y </w:t>
      </w:r>
      <w:r w:rsidR="00E50A56">
        <w:rPr>
          <w:sz w:val="20"/>
          <w:szCs w:val="20"/>
          <w:lang w:val="es-VE"/>
        </w:rPr>
        <w:t xml:space="preserve">que </w:t>
      </w:r>
      <w:r w:rsidR="0064589C">
        <w:rPr>
          <w:sz w:val="20"/>
          <w:szCs w:val="20"/>
          <w:lang w:val="es-VE"/>
        </w:rPr>
        <w:t xml:space="preserve">las autoridades competentes </w:t>
      </w:r>
      <w:r w:rsidR="00D662AF" w:rsidRPr="00B263D3">
        <w:rPr>
          <w:sz w:val="20"/>
          <w:szCs w:val="20"/>
          <w:lang w:val="es-VE"/>
        </w:rPr>
        <w:t>continúan desarrollando las diligencias pertinente</w:t>
      </w:r>
      <w:r w:rsidR="00180B32">
        <w:rPr>
          <w:sz w:val="20"/>
          <w:szCs w:val="20"/>
          <w:lang w:val="es-VE"/>
        </w:rPr>
        <w:t>s</w:t>
      </w:r>
      <w:r w:rsidR="00D662AF" w:rsidRPr="00B263D3">
        <w:rPr>
          <w:sz w:val="20"/>
          <w:szCs w:val="20"/>
          <w:lang w:val="es-VE"/>
        </w:rPr>
        <w:t xml:space="preserve"> </w:t>
      </w:r>
      <w:r w:rsidR="00E50A56">
        <w:rPr>
          <w:sz w:val="20"/>
          <w:szCs w:val="20"/>
          <w:lang w:val="es-VE"/>
        </w:rPr>
        <w:t xml:space="preserve">para </w:t>
      </w:r>
      <w:r w:rsidR="00D662AF" w:rsidRPr="00B263D3">
        <w:rPr>
          <w:sz w:val="20"/>
          <w:szCs w:val="20"/>
          <w:lang w:val="es-VE"/>
        </w:rPr>
        <w:t>esclarecer los hechos y determinar a los responsables</w:t>
      </w:r>
      <w:r w:rsidR="00180B32">
        <w:rPr>
          <w:sz w:val="20"/>
          <w:szCs w:val="20"/>
          <w:lang w:val="es-VE"/>
        </w:rPr>
        <w:t xml:space="preserve">. Sostiene que debido a </w:t>
      </w:r>
      <w:r w:rsidR="00B263D3" w:rsidRPr="002A19B3">
        <w:rPr>
          <w:sz w:val="20"/>
          <w:szCs w:val="20"/>
          <w:lang w:val="es-VE"/>
        </w:rPr>
        <w:t xml:space="preserve">la complejidad </w:t>
      </w:r>
      <w:r w:rsidR="00E50A56">
        <w:rPr>
          <w:sz w:val="20"/>
          <w:szCs w:val="20"/>
          <w:lang w:val="es-VE"/>
        </w:rPr>
        <w:t>de</w:t>
      </w:r>
      <w:r w:rsidR="00B263D3" w:rsidRPr="002A19B3">
        <w:rPr>
          <w:sz w:val="20"/>
          <w:szCs w:val="20"/>
          <w:lang w:val="es-VE"/>
        </w:rPr>
        <w:t>l caso</w:t>
      </w:r>
      <w:r w:rsidR="00E50A56">
        <w:rPr>
          <w:sz w:val="20"/>
          <w:szCs w:val="20"/>
          <w:lang w:val="es-VE"/>
        </w:rPr>
        <w:t>,</w:t>
      </w:r>
      <w:r w:rsidR="00B263D3" w:rsidRPr="002A19B3">
        <w:rPr>
          <w:sz w:val="20"/>
          <w:szCs w:val="20"/>
          <w:lang w:val="es-VE"/>
        </w:rPr>
        <w:t xml:space="preserve"> y las dificultades que implicó encontrar el cuerpo </w:t>
      </w:r>
      <w:r w:rsidR="00B263D3">
        <w:rPr>
          <w:sz w:val="20"/>
          <w:szCs w:val="20"/>
          <w:lang w:val="es-VE"/>
        </w:rPr>
        <w:t xml:space="preserve">de la presunta víctima </w:t>
      </w:r>
      <w:r w:rsidR="00B263D3" w:rsidRPr="002A19B3">
        <w:rPr>
          <w:sz w:val="20"/>
          <w:szCs w:val="20"/>
          <w:lang w:val="es-VE"/>
        </w:rPr>
        <w:t>en dicho estado físico</w:t>
      </w:r>
      <w:r w:rsidR="00180B32">
        <w:rPr>
          <w:sz w:val="20"/>
          <w:szCs w:val="20"/>
          <w:lang w:val="es-VE"/>
        </w:rPr>
        <w:t>,</w:t>
      </w:r>
      <w:r w:rsidR="00D662AF" w:rsidRPr="00B263D3">
        <w:rPr>
          <w:sz w:val="20"/>
          <w:szCs w:val="20"/>
          <w:lang w:val="es-VE"/>
        </w:rPr>
        <w:t xml:space="preserve"> las autoridades han tenido dificultades sustanciales para esclarecer los hechos</w:t>
      </w:r>
      <w:r w:rsidR="00E50A56">
        <w:rPr>
          <w:sz w:val="20"/>
          <w:szCs w:val="20"/>
          <w:lang w:val="es-VE"/>
        </w:rPr>
        <w:t>;</w:t>
      </w:r>
      <w:r w:rsidR="00B263D3">
        <w:rPr>
          <w:sz w:val="20"/>
          <w:szCs w:val="20"/>
          <w:lang w:val="es-VE"/>
        </w:rPr>
        <w:t xml:space="preserve"> y </w:t>
      </w:r>
      <w:r w:rsidR="00E50A56">
        <w:rPr>
          <w:sz w:val="20"/>
          <w:szCs w:val="20"/>
          <w:lang w:val="es-VE"/>
        </w:rPr>
        <w:t xml:space="preserve">que </w:t>
      </w:r>
      <w:r w:rsidR="00B263D3">
        <w:rPr>
          <w:sz w:val="20"/>
          <w:szCs w:val="20"/>
          <w:lang w:val="es-VE"/>
        </w:rPr>
        <w:t>a</w:t>
      </w:r>
      <w:r w:rsidR="00D662AF" w:rsidRPr="00B263D3">
        <w:rPr>
          <w:sz w:val="20"/>
          <w:szCs w:val="20"/>
          <w:lang w:val="es-VE"/>
        </w:rPr>
        <w:t xml:space="preserve"> pesar de los esfuerzos</w:t>
      </w:r>
      <w:r w:rsidR="00180B32">
        <w:rPr>
          <w:sz w:val="20"/>
          <w:szCs w:val="20"/>
          <w:lang w:val="es-VE"/>
        </w:rPr>
        <w:t xml:space="preserve">, </w:t>
      </w:r>
      <w:r w:rsidR="00D662AF" w:rsidRPr="00B263D3">
        <w:rPr>
          <w:sz w:val="20"/>
          <w:szCs w:val="20"/>
          <w:lang w:val="es-VE"/>
        </w:rPr>
        <w:t xml:space="preserve">hasta el momento no </w:t>
      </w:r>
      <w:r w:rsidR="00E50A56">
        <w:rPr>
          <w:sz w:val="20"/>
          <w:szCs w:val="20"/>
          <w:lang w:val="es-VE"/>
        </w:rPr>
        <w:t xml:space="preserve">hay </w:t>
      </w:r>
      <w:r w:rsidR="00D662AF" w:rsidRPr="00B263D3">
        <w:rPr>
          <w:sz w:val="20"/>
          <w:szCs w:val="20"/>
          <w:lang w:val="es-VE"/>
        </w:rPr>
        <w:t xml:space="preserve">dato alguno que identifique </w:t>
      </w:r>
      <w:r w:rsidR="00E50A56">
        <w:rPr>
          <w:sz w:val="20"/>
          <w:szCs w:val="20"/>
          <w:lang w:val="es-VE"/>
        </w:rPr>
        <w:t xml:space="preserve">a los </w:t>
      </w:r>
      <w:r w:rsidR="00D662AF" w:rsidRPr="00B263D3">
        <w:rPr>
          <w:sz w:val="20"/>
          <w:szCs w:val="20"/>
          <w:lang w:val="es-VE"/>
        </w:rPr>
        <w:t xml:space="preserve">probables responsables. </w:t>
      </w:r>
    </w:p>
    <w:p w14:paraId="212EA5B4" w14:textId="77777777" w:rsidR="00212C26" w:rsidRPr="00212C26" w:rsidRDefault="00212C26" w:rsidP="00212C2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06B495C4" w14:textId="39D875B0" w:rsidR="00B90FD9" w:rsidRPr="00B90FD9" w:rsidRDefault="00E50A56"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VE"/>
        </w:rPr>
        <w:t>E</w:t>
      </w:r>
      <w:r w:rsidRPr="00B90FD9">
        <w:rPr>
          <w:sz w:val="20"/>
          <w:szCs w:val="20"/>
          <w:lang w:val="es-VE"/>
        </w:rPr>
        <w:t>n relación con el</w:t>
      </w:r>
      <w:r w:rsidR="00180B32" w:rsidRPr="00B90FD9">
        <w:rPr>
          <w:sz w:val="20"/>
          <w:szCs w:val="20"/>
          <w:lang w:val="es-VE"/>
        </w:rPr>
        <w:t xml:space="preserve"> alegato </w:t>
      </w:r>
      <w:r>
        <w:rPr>
          <w:sz w:val="20"/>
          <w:szCs w:val="20"/>
          <w:lang w:val="es-VE"/>
        </w:rPr>
        <w:t>de</w:t>
      </w:r>
      <w:r w:rsidR="00180B32" w:rsidRPr="00B90FD9">
        <w:rPr>
          <w:sz w:val="20"/>
          <w:szCs w:val="20"/>
          <w:lang w:val="es-VE"/>
        </w:rPr>
        <w:t xml:space="preserve"> falta de acceso a la justicia, </w:t>
      </w:r>
      <w:r>
        <w:rPr>
          <w:sz w:val="20"/>
          <w:szCs w:val="20"/>
          <w:lang w:val="es-VE"/>
        </w:rPr>
        <w:t>e</w:t>
      </w:r>
      <w:r w:rsidRPr="00B90FD9">
        <w:rPr>
          <w:sz w:val="20"/>
          <w:szCs w:val="20"/>
          <w:lang w:val="es-AR"/>
        </w:rPr>
        <w:t>l Estado sostiene</w:t>
      </w:r>
      <w:r>
        <w:rPr>
          <w:sz w:val="20"/>
          <w:szCs w:val="20"/>
          <w:lang w:val="es-AR"/>
        </w:rPr>
        <w:t xml:space="preserve"> </w:t>
      </w:r>
      <w:r>
        <w:rPr>
          <w:sz w:val="20"/>
          <w:szCs w:val="20"/>
          <w:lang w:val="es-VE"/>
        </w:rPr>
        <w:t xml:space="preserve">que </w:t>
      </w:r>
      <w:r w:rsidR="00B263D3" w:rsidRPr="00B90FD9">
        <w:rPr>
          <w:sz w:val="20"/>
          <w:szCs w:val="20"/>
          <w:lang w:val="es-VE"/>
        </w:rPr>
        <w:t xml:space="preserve">la familia de la presunta víctima </w:t>
      </w:r>
      <w:r w:rsidR="00F30DBF">
        <w:rPr>
          <w:sz w:val="20"/>
          <w:szCs w:val="20"/>
          <w:lang w:val="es-VE"/>
        </w:rPr>
        <w:t>puede</w:t>
      </w:r>
      <w:r w:rsidR="002A19B3" w:rsidRPr="00B90FD9">
        <w:rPr>
          <w:sz w:val="20"/>
          <w:szCs w:val="20"/>
          <w:lang w:val="es-VE"/>
        </w:rPr>
        <w:t xml:space="preserve"> presentar </w:t>
      </w:r>
      <w:r w:rsidR="00B263D3" w:rsidRPr="00B90FD9">
        <w:rPr>
          <w:sz w:val="20"/>
          <w:szCs w:val="20"/>
          <w:lang w:val="es-VE"/>
        </w:rPr>
        <w:t xml:space="preserve">los </w:t>
      </w:r>
      <w:r w:rsidR="002A19B3" w:rsidRPr="00B90FD9">
        <w:rPr>
          <w:sz w:val="20"/>
          <w:szCs w:val="20"/>
          <w:lang w:val="es-VE"/>
        </w:rPr>
        <w:t xml:space="preserve">medios de impugnación que considere pertinentes </w:t>
      </w:r>
      <w:r w:rsidRPr="00B90FD9">
        <w:rPr>
          <w:sz w:val="20"/>
          <w:szCs w:val="20"/>
          <w:lang w:val="es-VE"/>
        </w:rPr>
        <w:t xml:space="preserve">de acuerdo </w:t>
      </w:r>
      <w:r>
        <w:rPr>
          <w:sz w:val="20"/>
          <w:szCs w:val="20"/>
          <w:lang w:val="es-VE"/>
        </w:rPr>
        <w:t>con</w:t>
      </w:r>
      <w:r w:rsidR="002A19B3" w:rsidRPr="00B90FD9">
        <w:rPr>
          <w:sz w:val="20"/>
          <w:szCs w:val="20"/>
          <w:lang w:val="es-VE"/>
        </w:rPr>
        <w:t xml:space="preserve"> la legislación mexicana, </w:t>
      </w:r>
      <w:r w:rsidR="00B90FD9" w:rsidRPr="00B90FD9">
        <w:rPr>
          <w:sz w:val="20"/>
          <w:szCs w:val="20"/>
          <w:lang w:val="es-VE"/>
        </w:rPr>
        <w:t>ya sea directa</w:t>
      </w:r>
      <w:r>
        <w:rPr>
          <w:sz w:val="20"/>
          <w:szCs w:val="20"/>
          <w:lang w:val="es-VE"/>
        </w:rPr>
        <w:t>mente</w:t>
      </w:r>
      <w:r w:rsidR="00B90FD9" w:rsidRPr="00B90FD9">
        <w:rPr>
          <w:sz w:val="20"/>
          <w:szCs w:val="20"/>
          <w:lang w:val="es-VE"/>
        </w:rPr>
        <w:t xml:space="preserve"> ante las instituciones ministeriales y judiciales competentes, o por </w:t>
      </w:r>
      <w:r w:rsidR="00B90FD9" w:rsidRPr="00B90FD9">
        <w:rPr>
          <w:sz w:val="20"/>
          <w:szCs w:val="20"/>
          <w:lang w:val="es-VE"/>
        </w:rPr>
        <w:lastRenderedPageBreak/>
        <w:t>medio de las representaciones consulares de su país de origen.</w:t>
      </w:r>
      <w:r w:rsidR="00B263D3" w:rsidRPr="00B90FD9">
        <w:rPr>
          <w:sz w:val="20"/>
          <w:szCs w:val="20"/>
          <w:lang w:val="es-VE"/>
        </w:rPr>
        <w:t xml:space="preserve"> </w:t>
      </w:r>
      <w:r w:rsidR="00180B32">
        <w:rPr>
          <w:sz w:val="20"/>
          <w:szCs w:val="20"/>
          <w:lang w:val="es-VE"/>
        </w:rPr>
        <w:t xml:space="preserve">En tal sentido, </w:t>
      </w:r>
      <w:r w:rsidR="00F30DBF">
        <w:rPr>
          <w:sz w:val="20"/>
          <w:szCs w:val="20"/>
          <w:lang w:val="es-VE"/>
        </w:rPr>
        <w:t>dest</w:t>
      </w:r>
      <w:r w:rsidR="00180B32">
        <w:rPr>
          <w:sz w:val="20"/>
          <w:szCs w:val="20"/>
          <w:lang w:val="es-VE"/>
        </w:rPr>
        <w:t xml:space="preserve">aca que </w:t>
      </w:r>
      <w:r w:rsidR="00B263D3" w:rsidRPr="00B90FD9">
        <w:rPr>
          <w:sz w:val="20"/>
          <w:szCs w:val="20"/>
          <w:lang w:val="es-VE"/>
        </w:rPr>
        <w:t xml:space="preserve">la familia </w:t>
      </w:r>
      <w:r w:rsidR="00F30DBF">
        <w:rPr>
          <w:sz w:val="20"/>
          <w:szCs w:val="20"/>
          <w:lang w:val="es-VE"/>
        </w:rPr>
        <w:t xml:space="preserve">puede </w:t>
      </w:r>
      <w:r w:rsidR="00071926" w:rsidRPr="00B90FD9">
        <w:rPr>
          <w:sz w:val="20"/>
          <w:szCs w:val="20"/>
          <w:lang w:val="es-VE"/>
        </w:rPr>
        <w:t xml:space="preserve">presentar recursos internos </w:t>
      </w:r>
      <w:r w:rsidR="00F30DBF">
        <w:rPr>
          <w:sz w:val="20"/>
          <w:szCs w:val="20"/>
          <w:lang w:val="es-VE"/>
        </w:rPr>
        <w:t>par</w:t>
      </w:r>
      <w:r w:rsidR="00071926" w:rsidRPr="00B90FD9">
        <w:rPr>
          <w:sz w:val="20"/>
          <w:szCs w:val="20"/>
          <w:lang w:val="es-VE"/>
        </w:rPr>
        <w:t xml:space="preserve">a impulsar la investigación, </w:t>
      </w:r>
      <w:r w:rsidR="00F30DBF">
        <w:rPr>
          <w:sz w:val="20"/>
          <w:szCs w:val="20"/>
          <w:lang w:val="es-VE"/>
        </w:rPr>
        <w:t xml:space="preserve">conforme a lo </w:t>
      </w:r>
      <w:r w:rsidR="00071926" w:rsidRPr="00B90FD9">
        <w:rPr>
          <w:sz w:val="20"/>
          <w:szCs w:val="20"/>
          <w:lang w:val="es-VE"/>
        </w:rPr>
        <w:t>previst</w:t>
      </w:r>
      <w:r w:rsidR="00F30DBF">
        <w:rPr>
          <w:sz w:val="20"/>
          <w:szCs w:val="20"/>
          <w:lang w:val="es-VE"/>
        </w:rPr>
        <w:t>o</w:t>
      </w:r>
      <w:r w:rsidR="00071926" w:rsidRPr="00B90FD9">
        <w:rPr>
          <w:sz w:val="20"/>
          <w:szCs w:val="20"/>
          <w:lang w:val="es-VE"/>
        </w:rPr>
        <w:t xml:space="preserve"> en las fracciones XIV y XX del artículo 139 del Código de Procedimientos Penales de Sinaloa</w:t>
      </w:r>
      <w:r w:rsidR="00F30DBF">
        <w:rPr>
          <w:sz w:val="20"/>
          <w:szCs w:val="20"/>
          <w:lang w:val="es-VE"/>
        </w:rPr>
        <w:t>;</w:t>
      </w:r>
      <w:r w:rsidR="00B90FD9" w:rsidRPr="00B90FD9">
        <w:rPr>
          <w:sz w:val="20"/>
          <w:szCs w:val="20"/>
          <w:lang w:val="es-VE"/>
        </w:rPr>
        <w:t xml:space="preserve"> y </w:t>
      </w:r>
      <w:r w:rsidR="00F30DBF">
        <w:rPr>
          <w:sz w:val="20"/>
          <w:szCs w:val="20"/>
          <w:lang w:val="es-VE"/>
        </w:rPr>
        <w:t>que igualmente pueden</w:t>
      </w:r>
      <w:r w:rsidR="00071926" w:rsidRPr="00B90FD9">
        <w:rPr>
          <w:sz w:val="20"/>
          <w:szCs w:val="20"/>
          <w:lang w:val="es-VE"/>
        </w:rPr>
        <w:t xml:space="preserve"> presentar un recurso de inconformidad</w:t>
      </w:r>
      <w:r w:rsidR="00F30DBF">
        <w:rPr>
          <w:sz w:val="20"/>
          <w:szCs w:val="20"/>
          <w:lang w:val="es-VE"/>
        </w:rPr>
        <w:t xml:space="preserve"> de acuerdo con los </w:t>
      </w:r>
      <w:r w:rsidR="00071926" w:rsidRPr="00B90FD9">
        <w:rPr>
          <w:sz w:val="20"/>
          <w:szCs w:val="20"/>
          <w:lang w:val="es-VE"/>
        </w:rPr>
        <w:t>artículo</w:t>
      </w:r>
      <w:r w:rsidR="00F30DBF">
        <w:rPr>
          <w:sz w:val="20"/>
          <w:szCs w:val="20"/>
          <w:lang w:val="es-VE"/>
        </w:rPr>
        <w:t>s</w:t>
      </w:r>
      <w:r w:rsidR="00071926" w:rsidRPr="00B90FD9">
        <w:rPr>
          <w:sz w:val="20"/>
          <w:szCs w:val="20"/>
          <w:lang w:val="es-VE"/>
        </w:rPr>
        <w:t xml:space="preserve"> 234 y 562 del mismo Código para reclamar acciones u omisiones que consideren </w:t>
      </w:r>
      <w:r w:rsidR="00F30DBF">
        <w:rPr>
          <w:sz w:val="20"/>
          <w:szCs w:val="20"/>
          <w:lang w:val="es-VE"/>
        </w:rPr>
        <w:t>contrarias a</w:t>
      </w:r>
      <w:r w:rsidR="00071926" w:rsidRPr="00B90FD9">
        <w:rPr>
          <w:sz w:val="20"/>
          <w:szCs w:val="20"/>
          <w:lang w:val="es-VE"/>
        </w:rPr>
        <w:t xml:space="preserve"> sus derechos</w:t>
      </w:r>
      <w:r w:rsidR="00B90FD9" w:rsidRPr="00B90FD9">
        <w:rPr>
          <w:sz w:val="20"/>
          <w:szCs w:val="20"/>
          <w:lang w:val="es-VE"/>
        </w:rPr>
        <w:t>.</w:t>
      </w:r>
      <w:r w:rsidR="00B90FD9">
        <w:rPr>
          <w:sz w:val="20"/>
          <w:szCs w:val="20"/>
          <w:lang w:val="es-VE"/>
        </w:rPr>
        <w:t xml:space="preserve"> </w:t>
      </w:r>
      <w:r w:rsidR="00F30DBF">
        <w:rPr>
          <w:sz w:val="20"/>
          <w:szCs w:val="20"/>
          <w:lang w:val="es-VE"/>
        </w:rPr>
        <w:t>El Estado a</w:t>
      </w:r>
      <w:r w:rsidR="00180B32">
        <w:rPr>
          <w:sz w:val="20"/>
          <w:szCs w:val="20"/>
          <w:lang w:val="es-VE"/>
        </w:rPr>
        <w:t>grega que</w:t>
      </w:r>
      <w:r w:rsidR="006E3853">
        <w:rPr>
          <w:sz w:val="20"/>
          <w:szCs w:val="20"/>
          <w:lang w:val="es-VE"/>
        </w:rPr>
        <w:t>,</w:t>
      </w:r>
      <w:r w:rsidR="00180B32">
        <w:rPr>
          <w:sz w:val="20"/>
          <w:szCs w:val="20"/>
          <w:lang w:val="es-VE"/>
        </w:rPr>
        <w:t xml:space="preserve"> </w:t>
      </w:r>
      <w:r w:rsidR="00F30DBF">
        <w:rPr>
          <w:sz w:val="20"/>
          <w:szCs w:val="20"/>
          <w:lang w:val="es-VE"/>
        </w:rPr>
        <w:t xml:space="preserve">en caso de </w:t>
      </w:r>
      <w:r w:rsidR="00180B32">
        <w:rPr>
          <w:sz w:val="20"/>
          <w:szCs w:val="20"/>
          <w:lang w:val="es-VE"/>
        </w:rPr>
        <w:t xml:space="preserve">un resultado contrario a sus pretensiones, los familiares </w:t>
      </w:r>
      <w:r w:rsidR="00071926" w:rsidRPr="00B90FD9">
        <w:rPr>
          <w:sz w:val="20"/>
          <w:szCs w:val="20"/>
          <w:lang w:val="es-VE"/>
        </w:rPr>
        <w:t>pueden presentar un recurso de amparo indirecto</w:t>
      </w:r>
      <w:r w:rsidR="00F30DBF">
        <w:rPr>
          <w:sz w:val="20"/>
          <w:szCs w:val="20"/>
          <w:lang w:val="es-VE"/>
        </w:rPr>
        <w:t xml:space="preserve"> para reclamar</w:t>
      </w:r>
      <w:r w:rsidR="00071926" w:rsidRPr="00B90FD9">
        <w:rPr>
          <w:sz w:val="20"/>
          <w:szCs w:val="20"/>
          <w:lang w:val="es-VE"/>
        </w:rPr>
        <w:t xml:space="preserve"> la inconstitucionalidad o</w:t>
      </w:r>
      <w:r w:rsidR="00180B32">
        <w:rPr>
          <w:sz w:val="20"/>
          <w:szCs w:val="20"/>
          <w:lang w:val="es-VE"/>
        </w:rPr>
        <w:t xml:space="preserve"> </w:t>
      </w:r>
      <w:r w:rsidR="00071926" w:rsidRPr="00B90FD9">
        <w:rPr>
          <w:sz w:val="20"/>
          <w:szCs w:val="20"/>
          <w:lang w:val="es-VE"/>
        </w:rPr>
        <w:t xml:space="preserve">inconvencionalidad de las actuaciones </w:t>
      </w:r>
      <w:r w:rsidR="00F30DBF">
        <w:rPr>
          <w:sz w:val="20"/>
          <w:szCs w:val="20"/>
          <w:lang w:val="es-VE"/>
        </w:rPr>
        <w:t>de</w:t>
      </w:r>
      <w:r w:rsidR="00071926" w:rsidRPr="00B90FD9">
        <w:rPr>
          <w:sz w:val="20"/>
          <w:szCs w:val="20"/>
          <w:lang w:val="es-VE"/>
        </w:rPr>
        <w:t xml:space="preserve"> la autoridad de procuración de justicia.</w:t>
      </w:r>
    </w:p>
    <w:p w14:paraId="7FDA3D23" w14:textId="77777777" w:rsidR="00B25033" w:rsidRPr="00F30DBF" w:rsidRDefault="00B25033" w:rsidP="00B250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6598DCF2" w14:textId="16D724D1" w:rsidR="00071926" w:rsidRPr="00B90FD9" w:rsidRDefault="00071926"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B90FD9">
        <w:rPr>
          <w:sz w:val="20"/>
          <w:szCs w:val="20"/>
          <w:lang w:val="es-VE"/>
        </w:rPr>
        <w:t xml:space="preserve">Por </w:t>
      </w:r>
      <w:r w:rsidR="00180B32">
        <w:rPr>
          <w:sz w:val="20"/>
          <w:szCs w:val="20"/>
          <w:lang w:val="es-VE"/>
        </w:rPr>
        <w:t xml:space="preserve">último, el Estado </w:t>
      </w:r>
      <w:r w:rsidR="0003188C">
        <w:rPr>
          <w:sz w:val="20"/>
          <w:szCs w:val="20"/>
          <w:lang w:val="es-VE"/>
        </w:rPr>
        <w:t xml:space="preserve">señala que </w:t>
      </w:r>
      <w:r w:rsidRPr="00B90FD9">
        <w:rPr>
          <w:sz w:val="20"/>
          <w:szCs w:val="20"/>
          <w:lang w:val="es-VE"/>
        </w:rPr>
        <w:t>como ciudadanos colombianos t</w:t>
      </w:r>
      <w:r w:rsidR="0003188C">
        <w:rPr>
          <w:sz w:val="20"/>
          <w:szCs w:val="20"/>
          <w:lang w:val="es-VE"/>
        </w:rPr>
        <w:t>ienen</w:t>
      </w:r>
      <w:r w:rsidRPr="00B90FD9">
        <w:rPr>
          <w:sz w:val="20"/>
          <w:szCs w:val="20"/>
          <w:lang w:val="es-VE"/>
        </w:rPr>
        <w:t xml:space="preserve"> a su disposición los servicios de protección consular </w:t>
      </w:r>
      <w:r w:rsidR="0003188C">
        <w:rPr>
          <w:sz w:val="20"/>
          <w:szCs w:val="20"/>
          <w:lang w:val="es-VE"/>
        </w:rPr>
        <w:t>de</w:t>
      </w:r>
      <w:r w:rsidRPr="00B90FD9">
        <w:rPr>
          <w:sz w:val="20"/>
          <w:szCs w:val="20"/>
          <w:lang w:val="es-VE"/>
        </w:rPr>
        <w:t xml:space="preserve"> la Embajada de Colombia en la Ciudad de México, </w:t>
      </w:r>
      <w:r w:rsidR="00180B32">
        <w:rPr>
          <w:sz w:val="20"/>
          <w:szCs w:val="20"/>
          <w:lang w:val="es-VE"/>
        </w:rPr>
        <w:t xml:space="preserve">o </w:t>
      </w:r>
      <w:r w:rsidRPr="00B90FD9">
        <w:rPr>
          <w:sz w:val="20"/>
          <w:szCs w:val="20"/>
          <w:lang w:val="es-VE"/>
        </w:rPr>
        <w:t xml:space="preserve">el </w:t>
      </w:r>
      <w:r w:rsidR="0003188C">
        <w:rPr>
          <w:sz w:val="20"/>
          <w:szCs w:val="20"/>
          <w:lang w:val="es-VE"/>
        </w:rPr>
        <w:t>c</w:t>
      </w:r>
      <w:r w:rsidRPr="00B90FD9">
        <w:rPr>
          <w:sz w:val="20"/>
          <w:szCs w:val="20"/>
          <w:lang w:val="es-VE"/>
        </w:rPr>
        <w:t>onsulado de ese país en Guadalajara, Jalisco</w:t>
      </w:r>
      <w:r w:rsidR="0003188C">
        <w:rPr>
          <w:sz w:val="20"/>
          <w:szCs w:val="20"/>
          <w:lang w:val="es-VE"/>
        </w:rPr>
        <w:t>.</w:t>
      </w:r>
      <w:r w:rsidR="00180B32">
        <w:rPr>
          <w:sz w:val="20"/>
          <w:szCs w:val="20"/>
          <w:lang w:val="es-VE"/>
        </w:rPr>
        <w:t xml:space="preserve"> </w:t>
      </w:r>
      <w:r w:rsidR="0003188C">
        <w:rPr>
          <w:sz w:val="20"/>
          <w:szCs w:val="20"/>
          <w:lang w:val="es-VE"/>
        </w:rPr>
        <w:t xml:space="preserve">Destaca que dichas </w:t>
      </w:r>
      <w:r w:rsidR="00180B32">
        <w:rPr>
          <w:sz w:val="20"/>
          <w:szCs w:val="20"/>
          <w:lang w:val="es-VE"/>
        </w:rPr>
        <w:t xml:space="preserve">oficinas tienen como </w:t>
      </w:r>
      <w:r w:rsidRPr="00B90FD9">
        <w:rPr>
          <w:sz w:val="20"/>
          <w:szCs w:val="20"/>
          <w:lang w:val="es-VE"/>
        </w:rPr>
        <w:t xml:space="preserve">función asistir a sus connacionales </w:t>
      </w:r>
      <w:r w:rsidR="0003188C">
        <w:rPr>
          <w:sz w:val="20"/>
          <w:szCs w:val="20"/>
          <w:lang w:val="es-VE"/>
        </w:rPr>
        <w:t>par</w:t>
      </w:r>
      <w:r w:rsidRPr="00B90FD9">
        <w:rPr>
          <w:sz w:val="20"/>
          <w:szCs w:val="20"/>
          <w:lang w:val="es-VE"/>
        </w:rPr>
        <w:t>a preservar sus derechos cuando no puedan defenderlos oportunamente</w:t>
      </w:r>
      <w:r w:rsidR="00180B32">
        <w:rPr>
          <w:sz w:val="20"/>
          <w:szCs w:val="20"/>
          <w:lang w:val="es-VE"/>
        </w:rPr>
        <w:t xml:space="preserve">, </w:t>
      </w:r>
      <w:r w:rsidR="0003188C">
        <w:rPr>
          <w:sz w:val="20"/>
          <w:szCs w:val="20"/>
          <w:lang w:val="es-VE"/>
        </w:rPr>
        <w:t xml:space="preserve">por lo que podrían </w:t>
      </w:r>
      <w:r w:rsidR="00180B32">
        <w:rPr>
          <w:sz w:val="20"/>
          <w:szCs w:val="20"/>
          <w:lang w:val="es-VE"/>
        </w:rPr>
        <w:t>promov</w:t>
      </w:r>
      <w:r w:rsidR="0003188C">
        <w:rPr>
          <w:sz w:val="20"/>
          <w:szCs w:val="20"/>
          <w:lang w:val="es-VE"/>
        </w:rPr>
        <w:t>er</w:t>
      </w:r>
      <w:r w:rsidR="00180B32">
        <w:rPr>
          <w:sz w:val="20"/>
          <w:szCs w:val="20"/>
          <w:lang w:val="es-VE"/>
        </w:rPr>
        <w:t xml:space="preserve"> </w:t>
      </w:r>
      <w:r w:rsidRPr="00B90FD9">
        <w:rPr>
          <w:sz w:val="20"/>
          <w:szCs w:val="20"/>
          <w:lang w:val="es-VE"/>
        </w:rPr>
        <w:t>los recursos internos a través de esta figura de asistencia jurídica.</w:t>
      </w:r>
      <w:r w:rsidR="00180B32">
        <w:rPr>
          <w:sz w:val="20"/>
          <w:szCs w:val="20"/>
          <w:lang w:val="es-VE"/>
        </w:rPr>
        <w:t xml:space="preserve"> Sin prejuicio de lo anterior, el Estado aclara que </w:t>
      </w:r>
      <w:r w:rsidR="00180B32" w:rsidRPr="00B90FD9">
        <w:rPr>
          <w:sz w:val="20"/>
          <w:szCs w:val="20"/>
          <w:lang w:val="es-VE"/>
        </w:rPr>
        <w:t>el agente del Ministerio P</w:t>
      </w:r>
      <w:r w:rsidR="0003188C">
        <w:rPr>
          <w:sz w:val="20"/>
          <w:szCs w:val="20"/>
          <w:lang w:val="es-VE"/>
        </w:rPr>
        <w:t>ú</w:t>
      </w:r>
      <w:r w:rsidR="00180B32" w:rsidRPr="00B90FD9">
        <w:rPr>
          <w:sz w:val="20"/>
          <w:szCs w:val="20"/>
          <w:lang w:val="es-VE"/>
        </w:rPr>
        <w:t xml:space="preserve">blico que tiene a su cargo la investigación penal ha </w:t>
      </w:r>
      <w:r w:rsidR="00180B32">
        <w:rPr>
          <w:sz w:val="20"/>
          <w:szCs w:val="20"/>
          <w:lang w:val="es-VE"/>
        </w:rPr>
        <w:t xml:space="preserve">tenido </w:t>
      </w:r>
      <w:r w:rsidR="00180B32" w:rsidRPr="00B90FD9">
        <w:rPr>
          <w:sz w:val="20"/>
          <w:szCs w:val="20"/>
          <w:lang w:val="es-VE"/>
        </w:rPr>
        <w:t>comunicación con los familiares de</w:t>
      </w:r>
      <w:r w:rsidR="0003188C">
        <w:rPr>
          <w:sz w:val="20"/>
          <w:szCs w:val="20"/>
          <w:lang w:val="es-VE"/>
        </w:rPr>
        <w:t xml:space="preserve"> </w:t>
      </w:r>
      <w:r w:rsidR="00180B32" w:rsidRPr="00B90FD9">
        <w:rPr>
          <w:sz w:val="20"/>
          <w:szCs w:val="20"/>
          <w:lang w:val="es-VE"/>
        </w:rPr>
        <w:t>l</w:t>
      </w:r>
      <w:r w:rsidR="0003188C">
        <w:rPr>
          <w:sz w:val="20"/>
          <w:szCs w:val="20"/>
          <w:lang w:val="es-VE"/>
        </w:rPr>
        <w:t>a presunta víctima</w:t>
      </w:r>
      <w:r w:rsidR="00180B32" w:rsidRPr="00B90FD9">
        <w:rPr>
          <w:sz w:val="20"/>
          <w:szCs w:val="20"/>
          <w:lang w:val="es-VE"/>
        </w:rPr>
        <w:t xml:space="preserve"> por conducto de la autoridad consular de Colombia.</w:t>
      </w:r>
    </w:p>
    <w:p w14:paraId="2AF16DE9" w14:textId="77777777" w:rsidR="00B25033" w:rsidRPr="0003188C" w:rsidRDefault="00B25033" w:rsidP="0003188C">
      <w:pPr>
        <w:jc w:val="both"/>
        <w:rPr>
          <w:rFonts w:ascii="Cambria" w:eastAsia="Cambria" w:hAnsi="Cambria" w:cs="Cambria"/>
          <w:b/>
          <w:bCs/>
          <w:color w:val="000000"/>
          <w:sz w:val="20"/>
          <w:szCs w:val="20"/>
          <w:u w:color="000000"/>
          <w:lang w:val="es-AR" w:eastAsia="es-ES"/>
        </w:rPr>
      </w:pPr>
    </w:p>
    <w:p w14:paraId="601768EE" w14:textId="72686B83" w:rsidR="00E10040" w:rsidRPr="00E10040" w:rsidRDefault="00E10040" w:rsidP="00B25033">
      <w:pPr>
        <w:ind w:firstLine="720"/>
        <w:jc w:val="both"/>
        <w:rPr>
          <w:rFonts w:ascii="Cambria" w:hAnsi="Cambria"/>
          <w:sz w:val="20"/>
          <w:szCs w:val="20"/>
          <w:lang w:val="es-UY"/>
        </w:rPr>
      </w:pPr>
      <w:r w:rsidRPr="00E10040">
        <w:rPr>
          <w:rFonts w:ascii="Cambria" w:eastAsia="Cambria" w:hAnsi="Cambria" w:cs="Cambria"/>
          <w:b/>
          <w:bCs/>
          <w:color w:val="000000"/>
          <w:sz w:val="20"/>
          <w:szCs w:val="20"/>
          <w:u w:color="000000"/>
          <w:lang w:val="es-ES" w:eastAsia="es-ES"/>
        </w:rPr>
        <w:t>VI.</w:t>
      </w:r>
      <w:r w:rsidRPr="00E10040">
        <w:rPr>
          <w:rFonts w:ascii="Cambria" w:eastAsia="Cambria" w:hAnsi="Cambria" w:cs="Cambria"/>
          <w:b/>
          <w:bCs/>
          <w:color w:val="000000"/>
          <w:sz w:val="20"/>
          <w:szCs w:val="20"/>
          <w:u w:color="000000"/>
          <w:lang w:val="es-ES" w:eastAsia="es-ES"/>
        </w:rPr>
        <w:tab/>
      </w:r>
      <w:r w:rsidRPr="00E10040">
        <w:rPr>
          <w:rFonts w:ascii="Cambria" w:hAnsi="Cambria"/>
          <w:b/>
          <w:bCs/>
          <w:sz w:val="20"/>
          <w:szCs w:val="20"/>
          <w:lang w:val="es-ES_tradnl"/>
        </w:rPr>
        <w:t xml:space="preserve">ANÁLISIS DE </w:t>
      </w:r>
      <w:r w:rsidRPr="00E10040">
        <w:rPr>
          <w:rFonts w:ascii="Cambria" w:hAnsi="Cambria"/>
          <w:b/>
          <w:sz w:val="20"/>
          <w:szCs w:val="20"/>
          <w:lang w:val="es-ES"/>
        </w:rPr>
        <w:t>AGOTAMIENTO DE LOS RECURSOS INTERNOS Y PLAZO DE PRESENTACIÓN</w:t>
      </w:r>
      <w:r w:rsidRPr="00E10040">
        <w:rPr>
          <w:rFonts w:ascii="Cambria" w:eastAsia="Cambria" w:hAnsi="Cambria" w:cs="Cambria"/>
          <w:b/>
          <w:bCs/>
          <w:color w:val="000000"/>
          <w:sz w:val="20"/>
          <w:szCs w:val="20"/>
          <w:u w:color="000000"/>
          <w:lang w:val="es-ES" w:eastAsia="es-ES"/>
        </w:rPr>
        <w:t xml:space="preserve"> </w:t>
      </w:r>
    </w:p>
    <w:p w14:paraId="5AB02EAF" w14:textId="77777777" w:rsidR="00B25033" w:rsidRPr="0003188C" w:rsidRDefault="00B25033" w:rsidP="0003188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bdr w:val="none" w:sz="0" w:space="0" w:color="auto"/>
          <w:lang w:val="es-ES"/>
        </w:rPr>
      </w:pPr>
    </w:p>
    <w:p w14:paraId="75C3A25A" w14:textId="73DDC0B7" w:rsidR="002A19B3" w:rsidRPr="00405A02" w:rsidRDefault="00E33F1F"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bdr w:val="none" w:sz="0" w:space="0" w:color="auto"/>
          <w:lang w:val="es-ES"/>
        </w:rPr>
      </w:pPr>
      <w:r>
        <w:rPr>
          <w:rFonts w:cs="Calibri"/>
          <w:sz w:val="20"/>
          <w:szCs w:val="20"/>
          <w:lang w:val="es-ES"/>
        </w:rPr>
        <w:t>La</w:t>
      </w:r>
      <w:r w:rsidR="002A19B3" w:rsidRPr="00536FAE">
        <w:rPr>
          <w:rFonts w:cs="Calibri"/>
          <w:sz w:val="20"/>
          <w:szCs w:val="20"/>
          <w:lang w:val="es-VE"/>
        </w:rPr>
        <w:t xml:space="preserve"> parte </w:t>
      </w:r>
      <w:r w:rsidR="002A19B3" w:rsidRPr="00536FAE">
        <w:rPr>
          <w:rFonts w:cs="Calibri"/>
          <w:color w:val="auto"/>
          <w:sz w:val="20"/>
          <w:szCs w:val="20"/>
          <w:lang w:val="es-UY"/>
        </w:rPr>
        <w:t xml:space="preserve">peticionaria sostiene que </w:t>
      </w:r>
      <w:r w:rsidR="00B90FD9" w:rsidRPr="00536FAE">
        <w:rPr>
          <w:rFonts w:cs="Calibri"/>
          <w:color w:val="auto"/>
          <w:sz w:val="20"/>
          <w:szCs w:val="20"/>
          <w:lang w:val="es-UY"/>
        </w:rPr>
        <w:t>la tortura y homicidio de la presunta víctima</w:t>
      </w:r>
      <w:r w:rsidR="002A19B3" w:rsidRPr="00536FAE">
        <w:rPr>
          <w:rFonts w:cs="Calibri"/>
          <w:color w:val="auto"/>
          <w:sz w:val="20"/>
          <w:szCs w:val="20"/>
          <w:lang w:val="es-UY"/>
        </w:rPr>
        <w:t xml:space="preserve"> se mantiene en </w:t>
      </w:r>
      <w:r>
        <w:rPr>
          <w:rFonts w:cs="Calibri"/>
          <w:color w:val="auto"/>
          <w:sz w:val="20"/>
          <w:szCs w:val="20"/>
          <w:lang w:val="es-UY"/>
        </w:rPr>
        <w:t xml:space="preserve">la </w:t>
      </w:r>
      <w:r w:rsidR="002A19B3" w:rsidRPr="00536FAE">
        <w:rPr>
          <w:rFonts w:cs="Calibri"/>
          <w:color w:val="auto"/>
          <w:sz w:val="20"/>
          <w:szCs w:val="20"/>
          <w:lang w:val="es-UY"/>
        </w:rPr>
        <w:t>impunidad</w:t>
      </w:r>
      <w:r>
        <w:rPr>
          <w:rFonts w:cs="Calibri"/>
          <w:color w:val="auto"/>
          <w:sz w:val="20"/>
          <w:szCs w:val="20"/>
          <w:lang w:val="es-UY"/>
        </w:rPr>
        <w:t>.</w:t>
      </w:r>
      <w:r w:rsidR="002A19B3" w:rsidRPr="00536FAE">
        <w:rPr>
          <w:rFonts w:cs="Calibri"/>
          <w:color w:val="auto"/>
          <w:sz w:val="20"/>
          <w:szCs w:val="20"/>
          <w:lang w:val="es-UY"/>
        </w:rPr>
        <w:t xml:space="preserve"> </w:t>
      </w:r>
      <w:r>
        <w:rPr>
          <w:rFonts w:cs="Calibri"/>
          <w:color w:val="auto"/>
          <w:sz w:val="20"/>
          <w:szCs w:val="20"/>
          <w:lang w:val="es-UY"/>
        </w:rPr>
        <w:t>A</w:t>
      </w:r>
      <w:r w:rsidR="002A19B3" w:rsidRPr="00536FAE">
        <w:rPr>
          <w:rFonts w:cs="Calibri"/>
          <w:color w:val="auto"/>
          <w:sz w:val="20"/>
          <w:szCs w:val="20"/>
          <w:lang w:val="es-UY"/>
        </w:rPr>
        <w:t xml:space="preserve"> su turno, el Estado señala que </w:t>
      </w:r>
      <w:r>
        <w:rPr>
          <w:rFonts w:cs="Calibri"/>
          <w:color w:val="auto"/>
          <w:sz w:val="20"/>
          <w:szCs w:val="20"/>
          <w:lang w:val="es-UY"/>
        </w:rPr>
        <w:t xml:space="preserve">no se agotaron </w:t>
      </w:r>
      <w:r w:rsidR="002A19B3" w:rsidRPr="00536FAE">
        <w:rPr>
          <w:sz w:val="20"/>
          <w:szCs w:val="20"/>
          <w:lang w:val="es-AR"/>
        </w:rPr>
        <w:t xml:space="preserve">los recursos internos </w:t>
      </w:r>
      <w:r>
        <w:rPr>
          <w:sz w:val="20"/>
          <w:szCs w:val="20"/>
          <w:lang w:val="es-AR"/>
        </w:rPr>
        <w:t xml:space="preserve">y que </w:t>
      </w:r>
      <w:r w:rsidRPr="00536FAE">
        <w:rPr>
          <w:sz w:val="20"/>
          <w:szCs w:val="20"/>
          <w:lang w:val="es-VE"/>
        </w:rPr>
        <w:t xml:space="preserve">la </w:t>
      </w:r>
      <w:r>
        <w:rPr>
          <w:sz w:val="20"/>
          <w:szCs w:val="20"/>
          <w:lang w:val="es-VE"/>
        </w:rPr>
        <w:t xml:space="preserve">respectiva </w:t>
      </w:r>
      <w:r w:rsidRPr="00536FAE">
        <w:rPr>
          <w:sz w:val="20"/>
          <w:szCs w:val="20"/>
          <w:lang w:val="es-VE"/>
        </w:rPr>
        <w:t>averiguación previa continúa en trámite</w:t>
      </w:r>
      <w:r>
        <w:rPr>
          <w:sz w:val="20"/>
          <w:szCs w:val="20"/>
          <w:lang w:val="es-VE"/>
        </w:rPr>
        <w:t>, por lo que</w:t>
      </w:r>
      <w:r>
        <w:rPr>
          <w:sz w:val="20"/>
          <w:szCs w:val="20"/>
          <w:lang w:val="es-AR"/>
        </w:rPr>
        <w:t xml:space="preserve"> las </w:t>
      </w:r>
      <w:r w:rsidR="00B90FD9" w:rsidRPr="00536FAE">
        <w:rPr>
          <w:sz w:val="20"/>
          <w:szCs w:val="20"/>
          <w:lang w:val="es-VE"/>
        </w:rPr>
        <w:t>autoridades mexicanas</w:t>
      </w:r>
      <w:r w:rsidR="00B263D3" w:rsidRPr="00536FAE">
        <w:rPr>
          <w:sz w:val="20"/>
          <w:szCs w:val="20"/>
          <w:lang w:val="es-VE"/>
        </w:rPr>
        <w:t xml:space="preserve"> </w:t>
      </w:r>
      <w:r>
        <w:rPr>
          <w:sz w:val="20"/>
          <w:szCs w:val="20"/>
          <w:lang w:val="es-VE"/>
        </w:rPr>
        <w:t xml:space="preserve">siguen </w:t>
      </w:r>
      <w:r w:rsidR="00B263D3" w:rsidRPr="00536FAE">
        <w:rPr>
          <w:sz w:val="20"/>
          <w:szCs w:val="20"/>
          <w:lang w:val="es-VE"/>
        </w:rPr>
        <w:t xml:space="preserve">implementando diligencias </w:t>
      </w:r>
      <w:r>
        <w:rPr>
          <w:sz w:val="20"/>
          <w:szCs w:val="20"/>
          <w:lang w:val="es-VE"/>
        </w:rPr>
        <w:t>y</w:t>
      </w:r>
      <w:r w:rsidR="00B263D3" w:rsidRPr="00536FAE">
        <w:rPr>
          <w:sz w:val="20"/>
          <w:szCs w:val="20"/>
          <w:lang w:val="es-VE"/>
        </w:rPr>
        <w:t xml:space="preserve"> líneas lógicas de investigación</w:t>
      </w:r>
      <w:r>
        <w:rPr>
          <w:sz w:val="20"/>
          <w:szCs w:val="20"/>
          <w:lang w:val="es-VE"/>
        </w:rPr>
        <w:t>; que</w:t>
      </w:r>
      <w:r w:rsidR="006E3853">
        <w:rPr>
          <w:sz w:val="20"/>
          <w:szCs w:val="20"/>
          <w:lang w:val="es-AR"/>
        </w:rPr>
        <w:t xml:space="preserve"> </w:t>
      </w:r>
      <w:r w:rsidR="00B90FD9" w:rsidRPr="00536FAE">
        <w:rPr>
          <w:sz w:val="20"/>
          <w:szCs w:val="20"/>
          <w:lang w:val="es-VE"/>
        </w:rPr>
        <w:t xml:space="preserve">la familia de la presunta víctima </w:t>
      </w:r>
      <w:r>
        <w:rPr>
          <w:sz w:val="20"/>
          <w:szCs w:val="20"/>
          <w:lang w:val="es-VE"/>
        </w:rPr>
        <w:t>puede</w:t>
      </w:r>
      <w:r w:rsidR="00B90FD9" w:rsidRPr="00536FAE">
        <w:rPr>
          <w:sz w:val="20"/>
          <w:szCs w:val="20"/>
          <w:lang w:val="es-VE"/>
        </w:rPr>
        <w:t xml:space="preserve"> presentar recursos </w:t>
      </w:r>
      <w:r>
        <w:rPr>
          <w:sz w:val="20"/>
          <w:szCs w:val="20"/>
          <w:lang w:val="es-VE"/>
        </w:rPr>
        <w:t xml:space="preserve">en el </w:t>
      </w:r>
      <w:r w:rsidR="00B90FD9" w:rsidRPr="00536FAE">
        <w:rPr>
          <w:sz w:val="20"/>
          <w:szCs w:val="20"/>
          <w:lang w:val="es-VE"/>
        </w:rPr>
        <w:t>estado de Sinaloa</w:t>
      </w:r>
      <w:r w:rsidR="006E3853">
        <w:rPr>
          <w:sz w:val="20"/>
          <w:szCs w:val="20"/>
          <w:lang w:val="es-VE"/>
        </w:rPr>
        <w:t xml:space="preserve">, </w:t>
      </w:r>
      <w:r>
        <w:rPr>
          <w:sz w:val="20"/>
          <w:szCs w:val="20"/>
          <w:lang w:val="es-VE"/>
        </w:rPr>
        <w:t xml:space="preserve">así como </w:t>
      </w:r>
      <w:r w:rsidR="00B90FD9" w:rsidRPr="00536FAE">
        <w:rPr>
          <w:sz w:val="20"/>
          <w:szCs w:val="20"/>
          <w:lang w:val="es-VE"/>
        </w:rPr>
        <w:t>el recurso de inconformidad</w:t>
      </w:r>
      <w:r w:rsidR="006E3853">
        <w:rPr>
          <w:sz w:val="20"/>
          <w:szCs w:val="20"/>
          <w:lang w:val="es-VE"/>
        </w:rPr>
        <w:t xml:space="preserve"> y </w:t>
      </w:r>
      <w:r>
        <w:rPr>
          <w:sz w:val="20"/>
          <w:szCs w:val="20"/>
          <w:lang w:val="es-VE"/>
        </w:rPr>
        <w:t xml:space="preserve">el </w:t>
      </w:r>
      <w:r w:rsidR="00536FAE" w:rsidRPr="00536FAE">
        <w:rPr>
          <w:sz w:val="20"/>
          <w:szCs w:val="20"/>
          <w:lang w:val="es-VE"/>
        </w:rPr>
        <w:t>amparo indirecto</w:t>
      </w:r>
      <w:r>
        <w:rPr>
          <w:sz w:val="20"/>
          <w:szCs w:val="20"/>
          <w:lang w:val="es-VE"/>
        </w:rPr>
        <w:t xml:space="preserve">; y que tienen igualmente disponibles </w:t>
      </w:r>
      <w:r w:rsidR="00536FAE" w:rsidRPr="00405A02">
        <w:rPr>
          <w:color w:val="auto"/>
          <w:sz w:val="20"/>
          <w:szCs w:val="20"/>
          <w:lang w:val="es-VE"/>
        </w:rPr>
        <w:t xml:space="preserve">los servicios de protección consular </w:t>
      </w:r>
      <w:r>
        <w:rPr>
          <w:color w:val="auto"/>
          <w:sz w:val="20"/>
          <w:szCs w:val="20"/>
          <w:lang w:val="es-VE"/>
        </w:rPr>
        <w:t>de la</w:t>
      </w:r>
      <w:r w:rsidR="00536FAE" w:rsidRPr="00405A02">
        <w:rPr>
          <w:color w:val="auto"/>
          <w:sz w:val="20"/>
          <w:szCs w:val="20"/>
          <w:lang w:val="es-VE"/>
        </w:rPr>
        <w:t xml:space="preserve"> Embajada de Colombia</w:t>
      </w:r>
      <w:r>
        <w:rPr>
          <w:color w:val="auto"/>
          <w:sz w:val="20"/>
          <w:szCs w:val="20"/>
          <w:lang w:val="es-VE"/>
        </w:rPr>
        <w:t xml:space="preserve"> en México</w:t>
      </w:r>
      <w:r w:rsidR="00405A02" w:rsidRPr="00405A02">
        <w:rPr>
          <w:color w:val="auto"/>
          <w:sz w:val="20"/>
          <w:szCs w:val="20"/>
          <w:lang w:val="es-VE"/>
        </w:rPr>
        <w:t>.</w:t>
      </w:r>
    </w:p>
    <w:p w14:paraId="5E2870A5" w14:textId="77777777" w:rsidR="00B25033" w:rsidRPr="00E33F1F" w:rsidRDefault="00B25033" w:rsidP="00B2503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GillSansMT"/>
          <w:sz w:val="20"/>
          <w:szCs w:val="20"/>
          <w:bdr w:val="none" w:sz="0" w:space="0" w:color="auto"/>
          <w:lang w:val="es-ES"/>
        </w:rPr>
      </w:pPr>
    </w:p>
    <w:p w14:paraId="283F1665" w14:textId="3C2D9D96" w:rsidR="002A19B3" w:rsidRPr="00D4646B" w:rsidRDefault="00E33F1F"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0" w:firstLine="720"/>
        <w:jc w:val="both"/>
        <w:rPr>
          <w:rFonts w:cs="GillSansMT"/>
          <w:color w:val="auto"/>
          <w:sz w:val="20"/>
          <w:szCs w:val="20"/>
          <w:bdr w:val="none" w:sz="0" w:space="0" w:color="auto"/>
          <w:lang w:val="es-VE"/>
        </w:rPr>
      </w:pPr>
      <w:r>
        <w:rPr>
          <w:color w:val="auto"/>
          <w:sz w:val="20"/>
          <w:szCs w:val="20"/>
          <w:lang w:val="es-ES"/>
        </w:rPr>
        <w:t>La</w:t>
      </w:r>
      <w:r w:rsidR="00536FAE" w:rsidRPr="00405A02">
        <w:rPr>
          <w:color w:val="auto"/>
          <w:sz w:val="20"/>
          <w:szCs w:val="20"/>
          <w:lang w:val="es-VE"/>
        </w:rPr>
        <w:t xml:space="preserve"> Comisión </w:t>
      </w:r>
      <w:r>
        <w:rPr>
          <w:color w:val="auto"/>
          <w:sz w:val="20"/>
          <w:szCs w:val="20"/>
          <w:lang w:val="es-VE"/>
        </w:rPr>
        <w:t xml:space="preserve">Interamericana </w:t>
      </w:r>
      <w:r w:rsidR="00536FAE" w:rsidRPr="00405A02">
        <w:rPr>
          <w:color w:val="auto"/>
          <w:sz w:val="20"/>
          <w:szCs w:val="20"/>
          <w:lang w:val="es-VE"/>
        </w:rPr>
        <w:t>reitera que toda vez que se cometa un presunto delito perseguible de oficio, el Estado tiene la obligación de promover e impulsar el proceso penal</w:t>
      </w:r>
      <w:r>
        <w:rPr>
          <w:color w:val="auto"/>
          <w:sz w:val="20"/>
          <w:szCs w:val="20"/>
          <w:lang w:val="es-VE"/>
        </w:rPr>
        <w:t>,</w:t>
      </w:r>
      <w:r w:rsidR="00536FAE" w:rsidRPr="00405A02">
        <w:rPr>
          <w:color w:val="auto"/>
          <w:sz w:val="20"/>
          <w:szCs w:val="20"/>
          <w:lang w:val="es-VE"/>
        </w:rPr>
        <w:t xml:space="preserve"> que constituye la vía idónea para esclarecer los hechos, juzgar a los responsables y establecer las sanciones penales correspondientes, además de posibilitar otros modos de reparación de tipo pecuniario</w:t>
      </w:r>
      <w:r w:rsidR="00536FAE" w:rsidRPr="00405A02">
        <w:rPr>
          <w:rStyle w:val="FootnoteReference"/>
          <w:rFonts w:cs="Calibri"/>
          <w:color w:val="auto"/>
          <w:sz w:val="20"/>
          <w:szCs w:val="20"/>
          <w:lang w:val="es-ES_tradnl"/>
        </w:rPr>
        <w:footnoteReference w:id="5"/>
      </w:r>
      <w:r w:rsidR="00536FAE" w:rsidRPr="00405A02">
        <w:rPr>
          <w:color w:val="auto"/>
          <w:sz w:val="20"/>
          <w:szCs w:val="20"/>
          <w:lang w:val="es-VE"/>
        </w:rPr>
        <w:t xml:space="preserve">. </w:t>
      </w:r>
      <w:r>
        <w:rPr>
          <w:color w:val="auto"/>
          <w:sz w:val="20"/>
          <w:szCs w:val="20"/>
          <w:lang w:val="es-VE"/>
        </w:rPr>
        <w:t xml:space="preserve">Como lo ha señalado anteriormente la CIDH, </w:t>
      </w:r>
      <w:r w:rsidR="002A19B3" w:rsidRPr="00405A02">
        <w:rPr>
          <w:color w:val="auto"/>
          <w:sz w:val="20"/>
          <w:szCs w:val="20"/>
          <w:lang w:val="es-VE"/>
        </w:rPr>
        <w:t>las investigaciones penales desarrolladas por el Estado deben ser conducidas e impulsadas en forma oficiosa y diligente por las autoridades de la justicia penal, y dicha carga debe ser asumida como un deber jurídico propio, y no como una gestión de intereses de particulares</w:t>
      </w:r>
      <w:r>
        <w:rPr>
          <w:color w:val="auto"/>
          <w:sz w:val="20"/>
          <w:szCs w:val="20"/>
          <w:lang w:val="es-VE"/>
        </w:rPr>
        <w:t>,</w:t>
      </w:r>
      <w:r w:rsidR="002A19B3" w:rsidRPr="00405A02">
        <w:rPr>
          <w:color w:val="auto"/>
          <w:sz w:val="20"/>
          <w:szCs w:val="20"/>
          <w:lang w:val="es-VE"/>
        </w:rPr>
        <w:t xml:space="preserve"> o que dependa de la iniciativa </w:t>
      </w:r>
      <w:r>
        <w:rPr>
          <w:color w:val="auto"/>
          <w:sz w:val="20"/>
          <w:szCs w:val="20"/>
          <w:lang w:val="es-VE"/>
        </w:rPr>
        <w:t xml:space="preserve">o aportación de pruebas por parte de </w:t>
      </w:r>
      <w:r w:rsidR="002A19B3" w:rsidRPr="00405A02">
        <w:rPr>
          <w:color w:val="auto"/>
          <w:sz w:val="20"/>
          <w:szCs w:val="20"/>
          <w:lang w:val="es-VE"/>
        </w:rPr>
        <w:t>éstos</w:t>
      </w:r>
      <w:r w:rsidR="002A19B3" w:rsidRPr="00405A02">
        <w:rPr>
          <w:rStyle w:val="FootnoteReference"/>
          <w:color w:val="auto"/>
          <w:sz w:val="20"/>
          <w:szCs w:val="20"/>
          <w:lang w:val="es-VE"/>
        </w:rPr>
        <w:footnoteReference w:id="6"/>
      </w:r>
      <w:r w:rsidR="002A19B3" w:rsidRPr="00405A02">
        <w:rPr>
          <w:color w:val="auto"/>
          <w:sz w:val="20"/>
          <w:szCs w:val="20"/>
          <w:lang w:val="es-VE"/>
        </w:rPr>
        <w:t xml:space="preserve">. </w:t>
      </w:r>
    </w:p>
    <w:p w14:paraId="637DA80D" w14:textId="77777777" w:rsidR="00B25033" w:rsidRPr="00B25033" w:rsidRDefault="00B25033" w:rsidP="00B2503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Calibri"/>
          <w:color w:val="auto"/>
          <w:sz w:val="20"/>
          <w:szCs w:val="20"/>
          <w:bdr w:val="none" w:sz="0" w:space="0" w:color="auto" w:frame="1"/>
          <w:lang w:val="es-VE"/>
        </w:rPr>
      </w:pPr>
    </w:p>
    <w:p w14:paraId="174AF045" w14:textId="1E400E23" w:rsidR="002A19B3" w:rsidRPr="00D4646B" w:rsidRDefault="00E33F1F"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eastAsia="Calibri"/>
          <w:color w:val="auto"/>
          <w:sz w:val="20"/>
          <w:szCs w:val="20"/>
          <w:bdr w:val="none" w:sz="0" w:space="0" w:color="auto" w:frame="1"/>
          <w:lang w:val="es-VE"/>
        </w:rPr>
      </w:pPr>
      <w:r>
        <w:rPr>
          <w:color w:val="auto"/>
          <w:sz w:val="20"/>
          <w:szCs w:val="20"/>
          <w:lang w:val="es-VE"/>
        </w:rPr>
        <w:t>El expediente de este asunto revela que</w:t>
      </w:r>
      <w:r w:rsidR="002A19B3" w:rsidRPr="00D4646B">
        <w:rPr>
          <w:rFonts w:cs="Calibri"/>
          <w:color w:val="auto"/>
          <w:sz w:val="20"/>
          <w:szCs w:val="20"/>
          <w:bdr w:val="none" w:sz="0" w:space="0" w:color="auto" w:frame="1"/>
          <w:lang w:val="es-VE"/>
        </w:rPr>
        <w:t xml:space="preserve"> se inició de oficio una investigación penal </w:t>
      </w:r>
      <w:r w:rsidRPr="00D4646B">
        <w:rPr>
          <w:rFonts w:cs="Calibri"/>
          <w:color w:val="auto"/>
          <w:sz w:val="20"/>
          <w:szCs w:val="20"/>
          <w:bdr w:val="none" w:sz="0" w:space="0" w:color="auto" w:frame="1"/>
          <w:lang w:val="es-VE"/>
        </w:rPr>
        <w:t xml:space="preserve">respecto de los alegados hechos </w:t>
      </w:r>
      <w:r>
        <w:rPr>
          <w:rFonts w:cs="Calibri"/>
          <w:color w:val="auto"/>
          <w:sz w:val="20"/>
          <w:szCs w:val="20"/>
          <w:bdr w:val="none" w:sz="0" w:space="0" w:color="auto" w:frame="1"/>
          <w:lang w:val="es-VE"/>
        </w:rPr>
        <w:t xml:space="preserve">por la </w:t>
      </w:r>
      <w:r w:rsidR="00466DB7" w:rsidRPr="00D4646B">
        <w:rPr>
          <w:color w:val="auto"/>
          <w:sz w:val="20"/>
          <w:szCs w:val="20"/>
          <w:bdr w:val="none" w:sz="0" w:space="0" w:color="auto" w:frame="1"/>
          <w:lang w:val="es-VE"/>
        </w:rPr>
        <w:t xml:space="preserve">Agencia del Ministerio Público </w:t>
      </w:r>
      <w:r>
        <w:rPr>
          <w:color w:val="auto"/>
          <w:sz w:val="20"/>
          <w:szCs w:val="20"/>
          <w:bdr w:val="none" w:sz="0" w:space="0" w:color="auto" w:frame="1"/>
          <w:lang w:val="es-VE"/>
        </w:rPr>
        <w:t>competente en</w:t>
      </w:r>
      <w:r w:rsidR="00466DB7" w:rsidRPr="00D4646B">
        <w:rPr>
          <w:color w:val="auto"/>
          <w:sz w:val="20"/>
          <w:szCs w:val="20"/>
          <w:bdr w:val="none" w:sz="0" w:space="0" w:color="auto" w:frame="1"/>
          <w:lang w:val="es-VE"/>
        </w:rPr>
        <w:t xml:space="preserve"> Sinaloa</w:t>
      </w:r>
      <w:r>
        <w:rPr>
          <w:color w:val="auto"/>
          <w:sz w:val="20"/>
          <w:szCs w:val="20"/>
          <w:bdr w:val="none" w:sz="0" w:space="0" w:color="auto" w:frame="1"/>
          <w:lang w:val="es-VE"/>
        </w:rPr>
        <w:t xml:space="preserve">, que </w:t>
      </w:r>
      <w:r w:rsidR="00466DB7" w:rsidRPr="00D4646B">
        <w:rPr>
          <w:color w:val="auto"/>
          <w:sz w:val="20"/>
          <w:szCs w:val="20"/>
          <w:bdr w:val="none" w:sz="0" w:space="0" w:color="auto" w:frame="1"/>
          <w:lang w:val="es-VE"/>
        </w:rPr>
        <w:t xml:space="preserve">hasta el momento </w:t>
      </w:r>
      <w:r w:rsidR="00466DB7" w:rsidRPr="00D4646B">
        <w:rPr>
          <w:sz w:val="20"/>
          <w:szCs w:val="20"/>
          <w:lang w:val="es-VE"/>
        </w:rPr>
        <w:t xml:space="preserve">continúa en </w:t>
      </w:r>
      <w:r w:rsidR="00466DB7" w:rsidRPr="00D4646B">
        <w:rPr>
          <w:color w:val="auto"/>
          <w:sz w:val="20"/>
          <w:szCs w:val="20"/>
          <w:lang w:val="es-VE"/>
        </w:rPr>
        <w:t>trámite</w:t>
      </w:r>
      <w:r w:rsidR="002A19B3" w:rsidRPr="00D4646B">
        <w:rPr>
          <w:color w:val="auto"/>
          <w:sz w:val="20"/>
          <w:szCs w:val="20"/>
          <w:lang w:val="es-VE"/>
        </w:rPr>
        <w:t xml:space="preserve">. </w:t>
      </w:r>
      <w:r>
        <w:rPr>
          <w:color w:val="auto"/>
          <w:sz w:val="20"/>
          <w:szCs w:val="20"/>
          <w:lang w:val="es-VE"/>
        </w:rPr>
        <w:t>La</w:t>
      </w:r>
      <w:r w:rsidR="002A19B3" w:rsidRPr="00D4646B">
        <w:rPr>
          <w:color w:val="auto"/>
          <w:sz w:val="20"/>
          <w:szCs w:val="20"/>
          <w:lang w:val="es-VE"/>
        </w:rPr>
        <w:t xml:space="preserve"> Comisión </w:t>
      </w:r>
      <w:r>
        <w:rPr>
          <w:color w:val="auto"/>
          <w:sz w:val="20"/>
          <w:szCs w:val="20"/>
          <w:lang w:val="es-VE"/>
        </w:rPr>
        <w:t xml:space="preserve">Interamericana toma nota de </w:t>
      </w:r>
      <w:r w:rsidR="002A19B3" w:rsidRPr="00D4646B">
        <w:rPr>
          <w:color w:val="auto"/>
          <w:sz w:val="20"/>
          <w:szCs w:val="20"/>
          <w:lang w:val="es-AR"/>
        </w:rPr>
        <w:t>los esfuerzos realizados por el Estado en la investigación penal</w:t>
      </w:r>
      <w:r>
        <w:rPr>
          <w:color w:val="auto"/>
          <w:sz w:val="20"/>
          <w:szCs w:val="20"/>
          <w:lang w:val="es-AR"/>
        </w:rPr>
        <w:t>, tales</w:t>
      </w:r>
      <w:r w:rsidR="002A19B3" w:rsidRPr="00D4646B">
        <w:rPr>
          <w:color w:val="auto"/>
          <w:sz w:val="20"/>
          <w:szCs w:val="20"/>
          <w:lang w:val="es-VE"/>
        </w:rPr>
        <w:t xml:space="preserve"> como el </w:t>
      </w:r>
      <w:r w:rsidR="004C522B" w:rsidRPr="00D4646B">
        <w:rPr>
          <w:color w:val="auto"/>
          <w:sz w:val="20"/>
          <w:szCs w:val="20"/>
          <w:lang w:val="es-VE"/>
        </w:rPr>
        <w:t xml:space="preserve">dictamen y acta </w:t>
      </w:r>
      <w:r w:rsidR="002A19B3" w:rsidRPr="00D4646B">
        <w:rPr>
          <w:color w:val="auto"/>
          <w:sz w:val="20"/>
          <w:szCs w:val="20"/>
          <w:lang w:val="es-VE"/>
        </w:rPr>
        <w:t>de levantamiento del cadáver</w:t>
      </w:r>
      <w:r w:rsidR="004C522B" w:rsidRPr="00D4646B">
        <w:rPr>
          <w:color w:val="auto"/>
          <w:sz w:val="20"/>
          <w:szCs w:val="20"/>
          <w:lang w:val="es-VE"/>
        </w:rPr>
        <w:t xml:space="preserve"> de 1</w:t>
      </w:r>
      <w:r>
        <w:rPr>
          <w:color w:val="auto"/>
          <w:sz w:val="20"/>
          <w:szCs w:val="20"/>
          <w:lang w:val="es-VE"/>
        </w:rPr>
        <w:t xml:space="preserve">º </w:t>
      </w:r>
      <w:r w:rsidR="004C522B" w:rsidRPr="00D4646B">
        <w:rPr>
          <w:color w:val="auto"/>
          <w:sz w:val="20"/>
          <w:szCs w:val="20"/>
          <w:lang w:val="es-VE"/>
        </w:rPr>
        <w:t>de noviembre de 2010</w:t>
      </w:r>
      <w:r>
        <w:rPr>
          <w:color w:val="auto"/>
          <w:sz w:val="20"/>
          <w:szCs w:val="20"/>
          <w:lang w:val="es-VE"/>
        </w:rPr>
        <w:t>,</w:t>
      </w:r>
      <w:r w:rsidR="004C522B" w:rsidRPr="00D4646B">
        <w:rPr>
          <w:color w:val="auto"/>
          <w:sz w:val="20"/>
          <w:szCs w:val="20"/>
          <w:lang w:val="es-VE"/>
        </w:rPr>
        <w:t xml:space="preserve"> el</w:t>
      </w:r>
      <w:r w:rsidR="00466DB7" w:rsidRPr="00D4646B">
        <w:rPr>
          <w:color w:val="auto"/>
          <w:sz w:val="20"/>
          <w:szCs w:val="20"/>
          <w:lang w:val="es-VE"/>
        </w:rPr>
        <w:t xml:space="preserve"> estudio odontológico </w:t>
      </w:r>
      <w:r>
        <w:rPr>
          <w:color w:val="auto"/>
          <w:sz w:val="20"/>
          <w:szCs w:val="20"/>
          <w:lang w:val="es-VE"/>
        </w:rPr>
        <w:t>de</w:t>
      </w:r>
      <w:r w:rsidR="004C522B" w:rsidRPr="00D4646B">
        <w:rPr>
          <w:color w:val="auto"/>
          <w:sz w:val="20"/>
          <w:szCs w:val="20"/>
          <w:lang w:val="es-VE"/>
        </w:rPr>
        <w:t xml:space="preserve"> 23 de noviembre de 2010 para identificar los cadáveres</w:t>
      </w:r>
      <w:r w:rsidR="00466DB7" w:rsidRPr="00D4646B">
        <w:rPr>
          <w:color w:val="auto"/>
          <w:sz w:val="20"/>
          <w:szCs w:val="20"/>
          <w:lang w:val="es-VE"/>
        </w:rPr>
        <w:t>,</w:t>
      </w:r>
      <w:r w:rsidR="004C522B" w:rsidRPr="00D4646B">
        <w:rPr>
          <w:color w:val="auto"/>
          <w:sz w:val="20"/>
          <w:szCs w:val="20"/>
          <w:lang w:val="es-VE"/>
        </w:rPr>
        <w:t xml:space="preserve"> </w:t>
      </w:r>
      <w:r w:rsidR="00D4646B" w:rsidRPr="00D4646B">
        <w:rPr>
          <w:color w:val="auto"/>
          <w:sz w:val="20"/>
          <w:szCs w:val="20"/>
          <w:lang w:val="es-VE"/>
        </w:rPr>
        <w:t xml:space="preserve">y </w:t>
      </w:r>
      <w:r w:rsidR="004C522B" w:rsidRPr="00D4646B">
        <w:rPr>
          <w:color w:val="auto"/>
          <w:sz w:val="20"/>
          <w:szCs w:val="20"/>
          <w:lang w:val="es-VE"/>
        </w:rPr>
        <w:t>e</w:t>
      </w:r>
      <w:r w:rsidR="00466DB7" w:rsidRPr="00D4646B">
        <w:rPr>
          <w:color w:val="auto"/>
          <w:sz w:val="20"/>
          <w:szCs w:val="20"/>
          <w:lang w:val="es-VE"/>
        </w:rPr>
        <w:t>l acta de defunción de 3 de diciembre de 2010</w:t>
      </w:r>
      <w:r w:rsidR="00D4646B" w:rsidRPr="00D4646B">
        <w:rPr>
          <w:color w:val="auto"/>
          <w:sz w:val="20"/>
          <w:szCs w:val="20"/>
          <w:lang w:val="es-VE"/>
        </w:rPr>
        <w:t xml:space="preserve">. </w:t>
      </w:r>
      <w:r w:rsidR="002A19B3" w:rsidRPr="00D4646B">
        <w:rPr>
          <w:rFonts w:cs="Calibri"/>
          <w:color w:val="auto"/>
          <w:sz w:val="20"/>
          <w:szCs w:val="20"/>
          <w:bdr w:val="none" w:sz="0" w:space="0" w:color="auto" w:frame="1"/>
          <w:lang w:val="es-VE"/>
        </w:rPr>
        <w:t xml:space="preserve">Asimismo, </w:t>
      </w:r>
      <w:r w:rsidR="002A19B3" w:rsidRPr="00D4646B">
        <w:rPr>
          <w:rFonts w:cs="Calibri"/>
          <w:color w:val="auto"/>
          <w:sz w:val="20"/>
          <w:szCs w:val="20"/>
          <w:bdr w:val="none" w:sz="0" w:space="0" w:color="auto" w:frame="1"/>
          <w:lang w:val="es-ES_tradnl"/>
        </w:rPr>
        <w:t>la C</w:t>
      </w:r>
      <w:r>
        <w:rPr>
          <w:rFonts w:cs="Calibri"/>
          <w:color w:val="auto"/>
          <w:sz w:val="20"/>
          <w:szCs w:val="20"/>
          <w:bdr w:val="none" w:sz="0" w:space="0" w:color="auto" w:frame="1"/>
          <w:lang w:val="es-ES_tradnl"/>
        </w:rPr>
        <w:t>IDH observa que</w:t>
      </w:r>
      <w:r w:rsidR="002A19B3" w:rsidRPr="00D4646B">
        <w:rPr>
          <w:color w:val="auto"/>
          <w:sz w:val="20"/>
          <w:szCs w:val="20"/>
          <w:bdr w:val="none" w:sz="0" w:space="0" w:color="auto" w:frame="1"/>
          <w:lang w:val="es-VE"/>
        </w:rPr>
        <w:t xml:space="preserve"> el Estado no presenta </w:t>
      </w:r>
      <w:r>
        <w:rPr>
          <w:color w:val="auto"/>
          <w:sz w:val="20"/>
          <w:szCs w:val="20"/>
          <w:bdr w:val="none" w:sz="0" w:space="0" w:color="auto" w:frame="1"/>
          <w:lang w:val="es-VE"/>
        </w:rPr>
        <w:t xml:space="preserve">información </w:t>
      </w:r>
      <w:r w:rsidR="002A19B3" w:rsidRPr="00D4646B">
        <w:rPr>
          <w:rFonts w:cs="Calibri"/>
          <w:color w:val="auto"/>
          <w:sz w:val="20"/>
          <w:szCs w:val="20"/>
          <w:bdr w:val="none" w:sz="0" w:space="0" w:color="auto" w:frame="1"/>
          <w:lang w:val="es-ES_tradnl"/>
        </w:rPr>
        <w:t>sobre las medidas adoptad</w:t>
      </w:r>
      <w:r>
        <w:rPr>
          <w:rFonts w:cs="Calibri"/>
          <w:color w:val="auto"/>
          <w:sz w:val="20"/>
          <w:szCs w:val="20"/>
          <w:bdr w:val="none" w:sz="0" w:space="0" w:color="auto" w:frame="1"/>
          <w:lang w:val="es-ES_tradnl"/>
        </w:rPr>
        <w:t>as</w:t>
      </w:r>
      <w:r w:rsidR="002A19B3" w:rsidRPr="00D4646B">
        <w:rPr>
          <w:rFonts w:cs="Calibri"/>
          <w:color w:val="auto"/>
          <w:sz w:val="20"/>
          <w:szCs w:val="20"/>
          <w:bdr w:val="none" w:sz="0" w:space="0" w:color="auto" w:frame="1"/>
          <w:lang w:val="es-ES_tradnl"/>
        </w:rPr>
        <w:t xml:space="preserve"> </w:t>
      </w:r>
      <w:r>
        <w:rPr>
          <w:rFonts w:cs="Calibri"/>
          <w:color w:val="auto"/>
          <w:sz w:val="20"/>
          <w:szCs w:val="20"/>
          <w:bdr w:val="none" w:sz="0" w:space="0" w:color="auto" w:frame="1"/>
          <w:lang w:val="es-ES_tradnl"/>
        </w:rPr>
        <w:t xml:space="preserve">por </w:t>
      </w:r>
      <w:r w:rsidR="002A19B3" w:rsidRPr="00D4646B">
        <w:rPr>
          <w:rFonts w:cs="Calibri"/>
          <w:color w:val="auto"/>
          <w:sz w:val="20"/>
          <w:szCs w:val="20"/>
          <w:bdr w:val="none" w:sz="0" w:space="0" w:color="auto" w:frame="1"/>
          <w:lang w:val="es-ES_tradnl"/>
        </w:rPr>
        <w:t xml:space="preserve">las autoridades encargadas de la investigación respecto </w:t>
      </w:r>
      <w:r>
        <w:rPr>
          <w:rFonts w:cs="Calibri"/>
          <w:color w:val="auto"/>
          <w:sz w:val="20"/>
          <w:szCs w:val="20"/>
          <w:bdr w:val="none" w:sz="0" w:space="0" w:color="auto" w:frame="1"/>
          <w:lang w:val="es-ES_tradnl"/>
        </w:rPr>
        <w:t xml:space="preserve">al presente asunto </w:t>
      </w:r>
      <w:r w:rsidR="00D4646B" w:rsidRPr="00D4646B">
        <w:rPr>
          <w:rFonts w:cs="Calibri"/>
          <w:color w:val="auto"/>
          <w:sz w:val="20"/>
          <w:szCs w:val="20"/>
          <w:bdr w:val="none" w:sz="0" w:space="0" w:color="auto" w:frame="1"/>
          <w:lang w:val="es-ES_tradnl"/>
        </w:rPr>
        <w:t>desde 2015</w:t>
      </w:r>
      <w:r w:rsidR="00466DB7" w:rsidRPr="00D4646B">
        <w:rPr>
          <w:color w:val="auto"/>
          <w:sz w:val="20"/>
          <w:szCs w:val="20"/>
          <w:lang w:val="es-ES"/>
        </w:rPr>
        <w:t xml:space="preserve">. </w:t>
      </w:r>
      <w:r w:rsidR="00016B42">
        <w:rPr>
          <w:color w:val="auto"/>
          <w:sz w:val="20"/>
          <w:szCs w:val="20"/>
          <w:lang w:val="es-ES"/>
        </w:rPr>
        <w:t>Los</w:t>
      </w:r>
      <w:r w:rsidR="00405A02" w:rsidRPr="00D4646B">
        <w:rPr>
          <w:color w:val="auto"/>
          <w:sz w:val="20"/>
          <w:szCs w:val="20"/>
          <w:lang w:val="es-419"/>
        </w:rPr>
        <w:t xml:space="preserve"> hechos alegados tuvieron </w:t>
      </w:r>
      <w:r w:rsidR="00016B42" w:rsidRPr="00D4646B">
        <w:rPr>
          <w:color w:val="auto"/>
          <w:sz w:val="20"/>
          <w:szCs w:val="20"/>
          <w:lang w:val="es-419"/>
        </w:rPr>
        <w:t xml:space="preserve">lugar </w:t>
      </w:r>
      <w:r w:rsidR="00016B42">
        <w:rPr>
          <w:color w:val="auto"/>
          <w:sz w:val="20"/>
          <w:szCs w:val="20"/>
          <w:lang w:val="es-419"/>
        </w:rPr>
        <w:t xml:space="preserve">a inicios de </w:t>
      </w:r>
      <w:r w:rsidR="00405A02" w:rsidRPr="00D4646B">
        <w:rPr>
          <w:color w:val="auto"/>
          <w:sz w:val="20"/>
          <w:szCs w:val="20"/>
          <w:lang w:val="es-419"/>
        </w:rPr>
        <w:t xml:space="preserve">octubre de 2010, hace </w:t>
      </w:r>
      <w:r w:rsidR="00016B42">
        <w:rPr>
          <w:color w:val="auto"/>
          <w:sz w:val="20"/>
          <w:szCs w:val="20"/>
          <w:lang w:val="es-419"/>
        </w:rPr>
        <w:t xml:space="preserve">casi </w:t>
      </w:r>
      <w:r w:rsidR="00405A02" w:rsidRPr="00D4646B">
        <w:rPr>
          <w:color w:val="auto"/>
          <w:sz w:val="20"/>
          <w:szCs w:val="20"/>
          <w:lang w:val="es-419"/>
        </w:rPr>
        <w:t>1</w:t>
      </w:r>
      <w:r w:rsidR="00016B42">
        <w:rPr>
          <w:color w:val="auto"/>
          <w:sz w:val="20"/>
          <w:szCs w:val="20"/>
          <w:lang w:val="es-419"/>
        </w:rPr>
        <w:t>1</w:t>
      </w:r>
      <w:r w:rsidR="00405A02" w:rsidRPr="00D4646B">
        <w:rPr>
          <w:color w:val="auto"/>
          <w:sz w:val="20"/>
          <w:szCs w:val="20"/>
          <w:lang w:val="es-419"/>
        </w:rPr>
        <w:t xml:space="preserve"> años</w:t>
      </w:r>
      <w:r w:rsidR="00016B42">
        <w:rPr>
          <w:color w:val="auto"/>
          <w:sz w:val="20"/>
          <w:szCs w:val="20"/>
          <w:lang w:val="es-419"/>
        </w:rPr>
        <w:t>;</w:t>
      </w:r>
      <w:r w:rsidR="00405A02" w:rsidRPr="00D4646B">
        <w:rPr>
          <w:color w:val="auto"/>
          <w:sz w:val="20"/>
          <w:szCs w:val="20"/>
          <w:lang w:val="es-419"/>
        </w:rPr>
        <w:t xml:space="preserve"> sin embargo, </w:t>
      </w:r>
      <w:r w:rsidR="00016B42">
        <w:rPr>
          <w:color w:val="auto"/>
          <w:sz w:val="20"/>
          <w:szCs w:val="20"/>
          <w:lang w:val="es-419"/>
        </w:rPr>
        <w:t>hast</w:t>
      </w:r>
      <w:r w:rsidR="00405A02" w:rsidRPr="00D4646B">
        <w:rPr>
          <w:color w:val="auto"/>
          <w:sz w:val="20"/>
          <w:szCs w:val="20"/>
          <w:lang w:val="es-419"/>
        </w:rPr>
        <w:t xml:space="preserve">a la fecha </w:t>
      </w:r>
      <w:r w:rsidR="00405A02" w:rsidRPr="00D4646B">
        <w:rPr>
          <w:color w:val="auto"/>
          <w:sz w:val="20"/>
          <w:szCs w:val="20"/>
          <w:lang w:val="es-ES"/>
        </w:rPr>
        <w:t xml:space="preserve">no se observan avances en el proceso investigativo ni se ha establecido la responsabilidad de los autores. </w:t>
      </w:r>
      <w:r w:rsidR="00016B42">
        <w:rPr>
          <w:color w:val="auto"/>
          <w:sz w:val="20"/>
          <w:szCs w:val="20"/>
          <w:lang w:val="es-ES"/>
        </w:rPr>
        <w:t xml:space="preserve">Con base en </w:t>
      </w:r>
      <w:r w:rsidR="00405A02" w:rsidRPr="00D4646B">
        <w:rPr>
          <w:color w:val="auto"/>
          <w:sz w:val="20"/>
          <w:szCs w:val="20"/>
          <w:lang w:val="es-ES"/>
        </w:rPr>
        <w:t xml:space="preserve">lo anterior, la Comisión </w:t>
      </w:r>
      <w:r w:rsidR="00016B42">
        <w:rPr>
          <w:color w:val="auto"/>
          <w:sz w:val="20"/>
          <w:szCs w:val="20"/>
          <w:lang w:val="es-ES"/>
        </w:rPr>
        <w:t xml:space="preserve">Interamericana considera </w:t>
      </w:r>
      <w:r w:rsidR="00405A02" w:rsidRPr="00D4646B">
        <w:rPr>
          <w:color w:val="auto"/>
          <w:sz w:val="20"/>
          <w:szCs w:val="20"/>
          <w:lang w:val="es-ES"/>
        </w:rPr>
        <w:t>que las características de la petición</w:t>
      </w:r>
      <w:r w:rsidR="00016B42">
        <w:rPr>
          <w:color w:val="auto"/>
          <w:sz w:val="20"/>
          <w:szCs w:val="20"/>
          <w:lang w:val="es-ES"/>
        </w:rPr>
        <w:t xml:space="preserve"> ameritan la aplicación de </w:t>
      </w:r>
      <w:r w:rsidR="00405A02" w:rsidRPr="00D4646B">
        <w:rPr>
          <w:color w:val="auto"/>
          <w:sz w:val="20"/>
          <w:szCs w:val="20"/>
          <w:lang w:val="es-ES"/>
        </w:rPr>
        <w:t xml:space="preserve">la </w:t>
      </w:r>
      <w:r w:rsidR="00016B42" w:rsidRPr="00D4646B">
        <w:rPr>
          <w:color w:val="auto"/>
          <w:sz w:val="20"/>
          <w:szCs w:val="20"/>
          <w:lang w:val="es-ES"/>
        </w:rPr>
        <w:t>excepción</w:t>
      </w:r>
      <w:r w:rsidR="00405A02" w:rsidRPr="00D4646B">
        <w:rPr>
          <w:color w:val="auto"/>
          <w:sz w:val="20"/>
          <w:szCs w:val="20"/>
          <w:lang w:val="es-ES"/>
        </w:rPr>
        <w:t xml:space="preserve"> al requisito de agotamiento prevista en el artículo 46.2</w:t>
      </w:r>
      <w:r w:rsidR="00016B42">
        <w:rPr>
          <w:color w:val="auto"/>
          <w:sz w:val="20"/>
          <w:szCs w:val="20"/>
          <w:lang w:val="es-ES"/>
        </w:rPr>
        <w:t xml:space="preserve">(c) </w:t>
      </w:r>
      <w:r w:rsidR="00016B42" w:rsidRPr="00D4646B">
        <w:rPr>
          <w:color w:val="auto"/>
          <w:sz w:val="20"/>
          <w:szCs w:val="20"/>
          <w:lang w:val="es-ES"/>
        </w:rPr>
        <w:t>de</w:t>
      </w:r>
      <w:r w:rsidR="00405A02" w:rsidRPr="00D4646B">
        <w:rPr>
          <w:color w:val="auto"/>
          <w:sz w:val="20"/>
          <w:szCs w:val="20"/>
          <w:lang w:val="es-ES"/>
        </w:rPr>
        <w:t xml:space="preserve"> la Convención</w:t>
      </w:r>
      <w:r w:rsidR="00016B42">
        <w:rPr>
          <w:color w:val="auto"/>
          <w:sz w:val="20"/>
          <w:szCs w:val="20"/>
          <w:lang w:val="es-ES"/>
        </w:rPr>
        <w:t xml:space="preserve"> Americana</w:t>
      </w:r>
      <w:r w:rsidR="00405A02" w:rsidRPr="00D4646B">
        <w:rPr>
          <w:rStyle w:val="FootnoteReference"/>
          <w:color w:val="auto"/>
          <w:sz w:val="20"/>
          <w:szCs w:val="20"/>
          <w:lang w:val="es-ES"/>
        </w:rPr>
        <w:footnoteReference w:id="7"/>
      </w:r>
      <w:r w:rsidR="00405A02" w:rsidRPr="00D4646B">
        <w:rPr>
          <w:color w:val="auto"/>
          <w:sz w:val="20"/>
          <w:szCs w:val="20"/>
          <w:lang w:val="es-ES"/>
        </w:rPr>
        <w:t xml:space="preserve">. </w:t>
      </w:r>
    </w:p>
    <w:p w14:paraId="5FC883F6" w14:textId="77777777" w:rsidR="00B25033" w:rsidRDefault="00B25033" w:rsidP="00B2503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color w:val="auto"/>
          <w:sz w:val="20"/>
          <w:szCs w:val="20"/>
          <w:lang w:val="es-ES"/>
        </w:rPr>
      </w:pPr>
    </w:p>
    <w:p w14:paraId="30F036CC" w14:textId="40B38A0B" w:rsidR="002A19B3" w:rsidRPr="00405A02" w:rsidRDefault="00405A02"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color w:val="auto"/>
          <w:sz w:val="20"/>
          <w:szCs w:val="20"/>
          <w:lang w:val="es-ES"/>
        </w:rPr>
      </w:pPr>
      <w:r w:rsidRPr="00D4646B">
        <w:rPr>
          <w:color w:val="auto"/>
          <w:sz w:val="20"/>
          <w:szCs w:val="20"/>
          <w:lang w:val="es-ES"/>
        </w:rPr>
        <w:t>L</w:t>
      </w:r>
      <w:r w:rsidR="002A19B3" w:rsidRPr="00D4646B">
        <w:rPr>
          <w:color w:val="auto"/>
          <w:sz w:val="20"/>
          <w:szCs w:val="20"/>
          <w:lang w:val="es-ES"/>
        </w:rPr>
        <w:t xml:space="preserve">a </w:t>
      </w:r>
      <w:r w:rsidRPr="00D4646B">
        <w:rPr>
          <w:color w:val="auto"/>
          <w:sz w:val="20"/>
          <w:szCs w:val="20"/>
          <w:lang w:val="es-ES"/>
        </w:rPr>
        <w:t xml:space="preserve">Comisión </w:t>
      </w:r>
      <w:r w:rsidR="00016B42">
        <w:rPr>
          <w:color w:val="auto"/>
          <w:sz w:val="20"/>
          <w:szCs w:val="20"/>
          <w:lang w:val="es-ES"/>
        </w:rPr>
        <w:t xml:space="preserve">Interamericana </w:t>
      </w:r>
      <w:r w:rsidR="00946D39">
        <w:rPr>
          <w:color w:val="auto"/>
          <w:sz w:val="20"/>
          <w:szCs w:val="20"/>
          <w:lang w:val="es-ES"/>
        </w:rPr>
        <w:t xml:space="preserve">ha sostenido en forma </w:t>
      </w:r>
      <w:r w:rsidR="002A19B3" w:rsidRPr="00D4646B">
        <w:rPr>
          <w:color w:val="auto"/>
          <w:sz w:val="20"/>
          <w:szCs w:val="20"/>
          <w:lang w:val="es-ES"/>
        </w:rPr>
        <w:t>reitera</w:t>
      </w:r>
      <w:r w:rsidR="00946D39">
        <w:rPr>
          <w:color w:val="auto"/>
          <w:sz w:val="20"/>
          <w:szCs w:val="20"/>
          <w:lang w:val="es-ES"/>
        </w:rPr>
        <w:t>da</w:t>
      </w:r>
      <w:r w:rsidR="002A19B3" w:rsidRPr="00D4646B">
        <w:rPr>
          <w:color w:val="auto"/>
          <w:sz w:val="20"/>
          <w:szCs w:val="20"/>
          <w:lang w:val="es-ES"/>
        </w:rPr>
        <w:t xml:space="preserve"> que,</w:t>
      </w:r>
      <w:r w:rsidR="002A19B3" w:rsidRPr="00D4646B">
        <w:rPr>
          <w:color w:val="auto"/>
          <w:sz w:val="20"/>
          <w:szCs w:val="20"/>
          <w:lang w:val="es-VE"/>
        </w:rPr>
        <w:t xml:space="preserve"> al tratarse de delitos perseguibles de oficio, corresponde al Estado y no a los familiares el impulso de la investigación</w:t>
      </w:r>
      <w:r w:rsidR="002A19B3" w:rsidRPr="00D4646B">
        <w:rPr>
          <w:color w:val="auto"/>
          <w:sz w:val="20"/>
          <w:szCs w:val="20"/>
          <w:lang w:val="es-ES"/>
        </w:rPr>
        <w:t xml:space="preserve"> y del proceso </w:t>
      </w:r>
      <w:r w:rsidR="002A19B3" w:rsidRPr="00D4646B">
        <w:rPr>
          <w:color w:val="auto"/>
          <w:sz w:val="20"/>
          <w:szCs w:val="20"/>
          <w:lang w:val="es-ES"/>
        </w:rPr>
        <w:lastRenderedPageBreak/>
        <w:t>penal</w:t>
      </w:r>
      <w:r w:rsidR="002A19B3" w:rsidRPr="00D4646B">
        <w:rPr>
          <w:rStyle w:val="FootnoteReference"/>
          <w:color w:val="auto"/>
          <w:sz w:val="20"/>
          <w:szCs w:val="20"/>
          <w:lang w:val="es-ES"/>
        </w:rPr>
        <w:footnoteReference w:id="8"/>
      </w:r>
      <w:r w:rsidR="002A19B3" w:rsidRPr="00D4646B">
        <w:rPr>
          <w:color w:val="auto"/>
          <w:sz w:val="20"/>
          <w:szCs w:val="20"/>
          <w:lang w:val="es-ES"/>
        </w:rPr>
        <w:t xml:space="preserve">. </w:t>
      </w:r>
      <w:r w:rsidR="00946D39">
        <w:rPr>
          <w:color w:val="auto"/>
          <w:sz w:val="20"/>
          <w:szCs w:val="20"/>
          <w:lang w:val="es-ES"/>
        </w:rPr>
        <w:t>En</w:t>
      </w:r>
      <w:r w:rsidR="002A19B3" w:rsidRPr="00D4646B">
        <w:rPr>
          <w:color w:val="auto"/>
          <w:sz w:val="20"/>
          <w:szCs w:val="20"/>
          <w:lang w:val="es-ES"/>
        </w:rPr>
        <w:t xml:space="preserve"> los regímenes procesales en que las víctimas o sus familiares pu</w:t>
      </w:r>
      <w:r w:rsidR="00946D39">
        <w:rPr>
          <w:color w:val="auto"/>
          <w:sz w:val="20"/>
          <w:szCs w:val="20"/>
          <w:lang w:val="es-ES"/>
        </w:rPr>
        <w:t xml:space="preserve">eden </w:t>
      </w:r>
      <w:r w:rsidR="002A19B3" w:rsidRPr="00D4646B">
        <w:rPr>
          <w:color w:val="auto"/>
          <w:sz w:val="20"/>
          <w:szCs w:val="20"/>
          <w:lang w:val="es-ES"/>
        </w:rPr>
        <w:t xml:space="preserve">tener legitimación para intervenir en procesos penales, el hecho </w:t>
      </w:r>
      <w:r w:rsidR="00946D39">
        <w:rPr>
          <w:color w:val="auto"/>
          <w:sz w:val="20"/>
          <w:szCs w:val="20"/>
          <w:lang w:val="es-ES"/>
        </w:rPr>
        <w:t>de no acudir a tales</w:t>
      </w:r>
      <w:r w:rsidR="002A19B3" w:rsidRPr="00D4646B">
        <w:rPr>
          <w:color w:val="auto"/>
          <w:sz w:val="20"/>
          <w:szCs w:val="20"/>
          <w:lang w:val="es-ES"/>
        </w:rPr>
        <w:t xml:space="preserve"> figuras accesorias o coadyuvantes </w:t>
      </w:r>
      <w:r w:rsidR="002A19B3" w:rsidRPr="00405A02">
        <w:rPr>
          <w:color w:val="auto"/>
          <w:sz w:val="20"/>
          <w:szCs w:val="20"/>
          <w:lang w:val="es-ES"/>
        </w:rPr>
        <w:t xml:space="preserve">no </w:t>
      </w:r>
      <w:r w:rsidR="00946D39">
        <w:rPr>
          <w:color w:val="auto"/>
          <w:sz w:val="20"/>
          <w:szCs w:val="20"/>
          <w:lang w:val="es-ES"/>
        </w:rPr>
        <w:t>implica in</w:t>
      </w:r>
      <w:r w:rsidR="002A19B3" w:rsidRPr="00405A02">
        <w:rPr>
          <w:color w:val="auto"/>
          <w:sz w:val="20"/>
          <w:szCs w:val="20"/>
          <w:lang w:val="es-ES"/>
        </w:rPr>
        <w:t>cumplimiento del requisito de previo agotamiento de los recursos internos</w:t>
      </w:r>
      <w:r w:rsidR="00946D39">
        <w:rPr>
          <w:color w:val="auto"/>
          <w:sz w:val="20"/>
          <w:szCs w:val="20"/>
          <w:lang w:val="es-ES"/>
        </w:rPr>
        <w:t>, ya que el</w:t>
      </w:r>
      <w:r w:rsidR="00946D39" w:rsidRPr="00D4646B">
        <w:rPr>
          <w:color w:val="auto"/>
          <w:sz w:val="20"/>
          <w:szCs w:val="20"/>
          <w:lang w:val="es-ES"/>
        </w:rPr>
        <w:t xml:space="preserve"> impulso </w:t>
      </w:r>
      <w:r w:rsidR="00946D39">
        <w:rPr>
          <w:color w:val="auto"/>
          <w:sz w:val="20"/>
          <w:szCs w:val="20"/>
          <w:lang w:val="es-ES"/>
        </w:rPr>
        <w:t xml:space="preserve">procesal </w:t>
      </w:r>
      <w:r w:rsidR="00946D39" w:rsidRPr="00D4646B">
        <w:rPr>
          <w:color w:val="auto"/>
          <w:sz w:val="20"/>
          <w:szCs w:val="20"/>
          <w:lang w:val="es-ES"/>
        </w:rPr>
        <w:t xml:space="preserve">está a cargo </w:t>
      </w:r>
      <w:r w:rsidR="00946D39" w:rsidRPr="00405A02">
        <w:rPr>
          <w:color w:val="auto"/>
          <w:sz w:val="20"/>
          <w:szCs w:val="20"/>
          <w:lang w:val="es-ES"/>
        </w:rPr>
        <w:t xml:space="preserve">del Estado </w:t>
      </w:r>
      <w:r w:rsidR="002A19B3" w:rsidRPr="00405A02">
        <w:rPr>
          <w:rStyle w:val="FootnoteReference"/>
          <w:color w:val="auto"/>
          <w:sz w:val="20"/>
          <w:szCs w:val="20"/>
          <w:lang w:val="es-ES"/>
        </w:rPr>
        <w:footnoteReference w:id="9"/>
      </w:r>
      <w:r w:rsidR="002A19B3" w:rsidRPr="00405A02">
        <w:rPr>
          <w:color w:val="auto"/>
          <w:sz w:val="20"/>
          <w:szCs w:val="20"/>
          <w:lang w:val="es-ES"/>
        </w:rPr>
        <w:t xml:space="preserve">. </w:t>
      </w:r>
      <w:r w:rsidR="00946D39">
        <w:rPr>
          <w:color w:val="auto"/>
          <w:sz w:val="20"/>
          <w:szCs w:val="20"/>
          <w:lang w:val="es-ES"/>
        </w:rPr>
        <w:t>Pr</w:t>
      </w:r>
      <w:r w:rsidR="00536FAE" w:rsidRPr="00405A02">
        <w:rPr>
          <w:color w:val="auto"/>
          <w:sz w:val="20"/>
          <w:szCs w:val="20"/>
          <w:lang w:val="es-ES"/>
        </w:rPr>
        <w:t>etender</w:t>
      </w:r>
      <w:r w:rsidR="00536FAE" w:rsidRPr="00405A02">
        <w:rPr>
          <w:rFonts w:cs="Calibri"/>
          <w:color w:val="auto"/>
          <w:sz w:val="20"/>
          <w:szCs w:val="20"/>
          <w:lang w:val="es-ES_tradnl"/>
        </w:rPr>
        <w:t xml:space="preserve"> que los familiares de la presunta víctima asuman esas responsabilidades no sólo sería incongruente con la jurisprudencia del sistema, sino que impondría </w:t>
      </w:r>
      <w:r w:rsidR="00946D39">
        <w:rPr>
          <w:rFonts w:cs="Calibri"/>
          <w:color w:val="auto"/>
          <w:sz w:val="20"/>
          <w:szCs w:val="20"/>
          <w:lang w:val="es-ES_tradnl"/>
        </w:rPr>
        <w:t xml:space="preserve">además </w:t>
      </w:r>
      <w:r w:rsidR="00536FAE" w:rsidRPr="00405A02">
        <w:rPr>
          <w:rFonts w:cs="Calibri"/>
          <w:color w:val="auto"/>
          <w:sz w:val="20"/>
          <w:szCs w:val="20"/>
          <w:lang w:val="es-ES_tradnl"/>
        </w:rPr>
        <w:t xml:space="preserve">una carga desigual a quienes, en general, carecen de los medios y de la idoneidad </w:t>
      </w:r>
      <w:r w:rsidR="00946D39">
        <w:rPr>
          <w:rFonts w:cs="Calibri"/>
          <w:color w:val="auto"/>
          <w:sz w:val="20"/>
          <w:szCs w:val="20"/>
          <w:lang w:val="es-ES_tradnl"/>
        </w:rPr>
        <w:t>necesarias</w:t>
      </w:r>
      <w:r w:rsidR="00536FAE" w:rsidRPr="00405A02">
        <w:rPr>
          <w:rStyle w:val="FootnoteReference"/>
          <w:rFonts w:cs="Calibri"/>
          <w:color w:val="auto"/>
          <w:sz w:val="20"/>
          <w:szCs w:val="20"/>
          <w:lang w:val="es-ES_tradnl"/>
        </w:rPr>
        <w:footnoteReference w:id="10"/>
      </w:r>
      <w:r w:rsidR="00536FAE" w:rsidRPr="00405A02">
        <w:rPr>
          <w:rFonts w:cs="Calibri"/>
          <w:color w:val="auto"/>
          <w:sz w:val="20"/>
          <w:szCs w:val="20"/>
          <w:lang w:val="es-ES_tradnl"/>
        </w:rPr>
        <w:t>.</w:t>
      </w:r>
    </w:p>
    <w:p w14:paraId="0A72FEA3" w14:textId="77777777" w:rsidR="002A19B3" w:rsidRPr="00B25033" w:rsidRDefault="002A19B3" w:rsidP="00B25033">
      <w:pPr>
        <w:jc w:val="both"/>
        <w:rPr>
          <w:color w:val="FF0000"/>
          <w:sz w:val="20"/>
          <w:szCs w:val="20"/>
          <w:lang w:val="es-ES"/>
        </w:rPr>
      </w:pPr>
    </w:p>
    <w:p w14:paraId="1C12A22F" w14:textId="521D8D0E" w:rsidR="00E10040" w:rsidRPr="00405A02" w:rsidRDefault="00536FAE"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405A02">
        <w:rPr>
          <w:color w:val="auto"/>
          <w:sz w:val="20"/>
          <w:szCs w:val="20"/>
          <w:lang w:val="es-VE"/>
        </w:rPr>
        <w:t>Por último, la C</w:t>
      </w:r>
      <w:r w:rsidR="00946D39">
        <w:rPr>
          <w:color w:val="auto"/>
          <w:sz w:val="20"/>
          <w:szCs w:val="20"/>
          <w:lang w:val="es-VE"/>
        </w:rPr>
        <w:t>IDH</w:t>
      </w:r>
      <w:r w:rsidRPr="00405A02">
        <w:rPr>
          <w:color w:val="auto"/>
          <w:sz w:val="20"/>
          <w:szCs w:val="20"/>
          <w:lang w:val="es-VE"/>
        </w:rPr>
        <w:t xml:space="preserve"> observa que los hechos materia del reclamo ocurrieron el 8 de </w:t>
      </w:r>
      <w:r w:rsidR="00405A02" w:rsidRPr="00405A02">
        <w:rPr>
          <w:color w:val="auto"/>
          <w:sz w:val="20"/>
          <w:szCs w:val="20"/>
          <w:lang w:val="es-VE"/>
        </w:rPr>
        <w:t>octubre de 2010</w:t>
      </w:r>
      <w:r w:rsidR="00946D39">
        <w:rPr>
          <w:color w:val="auto"/>
          <w:sz w:val="20"/>
          <w:szCs w:val="20"/>
          <w:lang w:val="es-VE"/>
        </w:rPr>
        <w:t>; que</w:t>
      </w:r>
      <w:r w:rsidR="00946D39" w:rsidRPr="00946D39">
        <w:rPr>
          <w:color w:val="auto"/>
          <w:sz w:val="20"/>
          <w:szCs w:val="20"/>
          <w:lang w:val="es-VE"/>
        </w:rPr>
        <w:t xml:space="preserve"> </w:t>
      </w:r>
      <w:r w:rsidR="00946D39" w:rsidRPr="00405A02">
        <w:rPr>
          <w:color w:val="auto"/>
          <w:sz w:val="20"/>
          <w:szCs w:val="20"/>
          <w:lang w:val="es-VE"/>
        </w:rPr>
        <w:t>la petición fue recibida el 22 de marzo de 2012</w:t>
      </w:r>
      <w:r w:rsidR="00946D39">
        <w:rPr>
          <w:color w:val="auto"/>
          <w:sz w:val="20"/>
          <w:szCs w:val="20"/>
          <w:lang w:val="es-VE"/>
        </w:rPr>
        <w:t>;</w:t>
      </w:r>
      <w:r w:rsidRPr="00405A02">
        <w:rPr>
          <w:color w:val="auto"/>
          <w:sz w:val="20"/>
          <w:szCs w:val="20"/>
          <w:lang w:val="es-VE"/>
        </w:rPr>
        <w:t xml:space="preserve"> y </w:t>
      </w:r>
      <w:r w:rsidR="00946D39">
        <w:rPr>
          <w:color w:val="auto"/>
          <w:sz w:val="20"/>
          <w:szCs w:val="20"/>
          <w:lang w:val="es-VE"/>
        </w:rPr>
        <w:t xml:space="preserve">que </w:t>
      </w:r>
      <w:r w:rsidRPr="00405A02">
        <w:rPr>
          <w:color w:val="auto"/>
          <w:sz w:val="20"/>
          <w:szCs w:val="20"/>
          <w:lang w:val="es-VE"/>
        </w:rPr>
        <w:t xml:space="preserve">los efectos de la </w:t>
      </w:r>
      <w:r w:rsidR="00946D39">
        <w:rPr>
          <w:color w:val="auto"/>
          <w:sz w:val="20"/>
          <w:szCs w:val="20"/>
          <w:lang w:val="es-VE"/>
        </w:rPr>
        <w:t xml:space="preserve">presunta </w:t>
      </w:r>
      <w:r w:rsidRPr="00405A02">
        <w:rPr>
          <w:color w:val="auto"/>
          <w:sz w:val="20"/>
          <w:szCs w:val="20"/>
          <w:lang w:val="es-VE"/>
        </w:rPr>
        <w:t xml:space="preserve">denegación de justicia se extenderían hasta el presente. </w:t>
      </w:r>
      <w:r w:rsidR="00946D39">
        <w:rPr>
          <w:color w:val="auto"/>
          <w:sz w:val="20"/>
          <w:szCs w:val="20"/>
          <w:lang w:val="es-VE"/>
        </w:rPr>
        <w:t>En</w:t>
      </w:r>
      <w:r w:rsidRPr="00405A02">
        <w:rPr>
          <w:color w:val="auto"/>
          <w:sz w:val="20"/>
          <w:szCs w:val="20"/>
          <w:lang w:val="es-VE"/>
        </w:rPr>
        <w:t xml:space="preserve"> vista del contexto y las características del presente </w:t>
      </w:r>
      <w:r w:rsidR="00946D39">
        <w:rPr>
          <w:color w:val="auto"/>
          <w:sz w:val="20"/>
          <w:szCs w:val="20"/>
          <w:lang w:val="es-VE"/>
        </w:rPr>
        <w:t>asunto</w:t>
      </w:r>
      <w:r w:rsidRPr="00405A02">
        <w:rPr>
          <w:color w:val="auto"/>
          <w:sz w:val="20"/>
          <w:szCs w:val="20"/>
          <w:lang w:val="es-VE"/>
        </w:rPr>
        <w:t xml:space="preserve">, la Comisión </w:t>
      </w:r>
      <w:r w:rsidR="00946D39">
        <w:rPr>
          <w:color w:val="auto"/>
          <w:sz w:val="20"/>
          <w:szCs w:val="20"/>
          <w:lang w:val="es-VE"/>
        </w:rPr>
        <w:t xml:space="preserve">Interamericana </w:t>
      </w:r>
      <w:r w:rsidRPr="00405A02">
        <w:rPr>
          <w:color w:val="auto"/>
          <w:sz w:val="20"/>
          <w:szCs w:val="20"/>
          <w:lang w:val="es-VE"/>
        </w:rPr>
        <w:t xml:space="preserve">considera que la petición fue presentada dentro de un plazo razonable y </w:t>
      </w:r>
      <w:r w:rsidR="00946D39">
        <w:rPr>
          <w:color w:val="auto"/>
          <w:sz w:val="20"/>
          <w:szCs w:val="20"/>
          <w:lang w:val="es-VE"/>
        </w:rPr>
        <w:t xml:space="preserve">por lo tanto tiene </w:t>
      </w:r>
      <w:r w:rsidRPr="00405A02">
        <w:rPr>
          <w:color w:val="auto"/>
          <w:sz w:val="20"/>
          <w:szCs w:val="20"/>
          <w:lang w:val="es-VE"/>
        </w:rPr>
        <w:t xml:space="preserve">por satisfecho el requisito de admisibilidad </w:t>
      </w:r>
      <w:r w:rsidR="00946D39">
        <w:rPr>
          <w:color w:val="auto"/>
          <w:sz w:val="20"/>
          <w:szCs w:val="20"/>
          <w:lang w:val="es-VE"/>
        </w:rPr>
        <w:t>previsto en el artículo 46.1(b) de la Convención Americana</w:t>
      </w:r>
      <w:r w:rsidR="00405A02" w:rsidRPr="00405A02">
        <w:rPr>
          <w:color w:val="auto"/>
          <w:sz w:val="20"/>
          <w:szCs w:val="20"/>
          <w:lang w:val="es-VE"/>
        </w:rPr>
        <w:t>.</w:t>
      </w:r>
    </w:p>
    <w:p w14:paraId="5FCDDB8C" w14:textId="77777777" w:rsidR="00B25033" w:rsidRPr="00946D39" w:rsidRDefault="00B25033" w:rsidP="00B25033">
      <w:pPr>
        <w:jc w:val="both"/>
        <w:rPr>
          <w:b/>
          <w:bCs/>
          <w:sz w:val="20"/>
          <w:szCs w:val="20"/>
          <w:lang w:val="es-ES"/>
        </w:rPr>
      </w:pPr>
    </w:p>
    <w:p w14:paraId="11E4A42B" w14:textId="2F0EA49D" w:rsidR="00E10040" w:rsidRPr="00E10040" w:rsidRDefault="00E10040" w:rsidP="00B25033">
      <w:pPr>
        <w:pStyle w:val="ListParagraph"/>
        <w:jc w:val="both"/>
        <w:rPr>
          <w:b/>
          <w:sz w:val="20"/>
          <w:szCs w:val="20"/>
          <w:lang w:val="es-ES"/>
        </w:rPr>
      </w:pPr>
      <w:r w:rsidRPr="00E10040">
        <w:rPr>
          <w:b/>
          <w:bCs/>
          <w:sz w:val="20"/>
          <w:szCs w:val="20"/>
          <w:lang w:val="es-ES"/>
        </w:rPr>
        <w:t>VII.</w:t>
      </w:r>
      <w:r w:rsidRPr="00E10040">
        <w:rPr>
          <w:b/>
          <w:bCs/>
          <w:sz w:val="20"/>
          <w:szCs w:val="20"/>
          <w:lang w:val="es-ES"/>
        </w:rPr>
        <w:tab/>
      </w:r>
      <w:r w:rsidRPr="00E10040">
        <w:rPr>
          <w:b/>
          <w:bCs/>
          <w:sz w:val="20"/>
          <w:szCs w:val="20"/>
          <w:lang w:val="es-ES_tradnl"/>
        </w:rPr>
        <w:t xml:space="preserve">ANÁLISIS DE </w:t>
      </w:r>
      <w:r w:rsidRPr="00E10040">
        <w:rPr>
          <w:b/>
          <w:bCs/>
          <w:sz w:val="20"/>
          <w:szCs w:val="20"/>
          <w:lang w:val="es-ES"/>
        </w:rPr>
        <w:t xml:space="preserve">CARACTERIZACIÓN </w:t>
      </w:r>
      <w:r w:rsidRPr="00E10040">
        <w:rPr>
          <w:b/>
          <w:bCs/>
          <w:sz w:val="20"/>
          <w:szCs w:val="20"/>
          <w:lang w:val="es-UY"/>
        </w:rPr>
        <w:t>DE LOS HECHOS ALEGADOS</w:t>
      </w:r>
    </w:p>
    <w:p w14:paraId="167B61B5" w14:textId="77777777" w:rsidR="00B25033" w:rsidRPr="00B25033" w:rsidRDefault="00B25033" w:rsidP="00B25033">
      <w:pPr>
        <w:pStyle w:val="ListParagraph"/>
        <w:jc w:val="both"/>
        <w:rPr>
          <w:bCs/>
          <w:color w:val="auto"/>
          <w:sz w:val="20"/>
          <w:szCs w:val="20"/>
          <w:bdr w:val="none" w:sz="0" w:space="0" w:color="auto" w:frame="1"/>
          <w:lang w:val="es-VE"/>
        </w:rPr>
      </w:pPr>
    </w:p>
    <w:p w14:paraId="0D038EB9" w14:textId="09878E36" w:rsidR="002A19B3" w:rsidRPr="00180B32" w:rsidRDefault="002A19B3" w:rsidP="00B25033">
      <w:pPr>
        <w:pStyle w:val="ListParagraph"/>
        <w:numPr>
          <w:ilvl w:val="0"/>
          <w:numId w:val="5"/>
        </w:numPr>
        <w:ind w:left="0" w:firstLine="720"/>
        <w:jc w:val="both"/>
        <w:rPr>
          <w:bCs/>
          <w:color w:val="auto"/>
          <w:sz w:val="20"/>
          <w:szCs w:val="20"/>
          <w:bdr w:val="none" w:sz="0" w:space="0" w:color="auto" w:frame="1"/>
          <w:lang w:val="es-VE"/>
        </w:rPr>
      </w:pPr>
      <w:r>
        <w:rPr>
          <w:sz w:val="20"/>
          <w:szCs w:val="20"/>
          <w:bdr w:val="none" w:sz="0" w:space="0" w:color="auto" w:frame="1"/>
          <w:lang w:val="es-VE"/>
        </w:rPr>
        <w:t xml:space="preserve">La </w:t>
      </w:r>
      <w:r w:rsidR="00946D39">
        <w:rPr>
          <w:sz w:val="20"/>
          <w:szCs w:val="20"/>
          <w:bdr w:val="none" w:sz="0" w:space="0" w:color="auto" w:frame="1"/>
          <w:lang w:val="es-VE"/>
        </w:rPr>
        <w:t xml:space="preserve">parte peticionaria </w:t>
      </w:r>
      <w:r w:rsidRPr="00180B32">
        <w:rPr>
          <w:color w:val="auto"/>
          <w:sz w:val="20"/>
          <w:szCs w:val="20"/>
          <w:bdr w:val="none" w:sz="0" w:space="0" w:color="auto" w:frame="1"/>
          <w:lang w:val="es-VE"/>
        </w:rPr>
        <w:t>alega falta de investigación y sanción de los responsables de</w:t>
      </w:r>
      <w:r w:rsidR="008C61C6">
        <w:rPr>
          <w:color w:val="auto"/>
          <w:sz w:val="20"/>
          <w:szCs w:val="20"/>
          <w:bdr w:val="none" w:sz="0" w:space="0" w:color="auto" w:frame="1"/>
          <w:lang w:val="es-VE"/>
        </w:rPr>
        <w:t xml:space="preserve"> </w:t>
      </w:r>
      <w:r w:rsidRPr="00180B32">
        <w:rPr>
          <w:color w:val="auto"/>
          <w:sz w:val="20"/>
          <w:szCs w:val="20"/>
          <w:bdr w:val="none" w:sz="0" w:space="0" w:color="auto" w:frame="1"/>
          <w:lang w:val="es-VE"/>
        </w:rPr>
        <w:t>l</w:t>
      </w:r>
      <w:r w:rsidR="008C61C6">
        <w:rPr>
          <w:color w:val="auto"/>
          <w:sz w:val="20"/>
          <w:szCs w:val="20"/>
          <w:bdr w:val="none" w:sz="0" w:space="0" w:color="auto" w:frame="1"/>
          <w:lang w:val="es-VE"/>
        </w:rPr>
        <w:t>a</w:t>
      </w:r>
      <w:r w:rsidRPr="00180B32">
        <w:rPr>
          <w:color w:val="auto"/>
          <w:sz w:val="20"/>
          <w:szCs w:val="20"/>
          <w:bdr w:val="none" w:sz="0" w:space="0" w:color="auto" w:frame="1"/>
          <w:lang w:val="es-VE"/>
        </w:rPr>
        <w:t xml:space="preserve"> </w:t>
      </w:r>
      <w:r w:rsidR="008C61C6" w:rsidRPr="00180B32">
        <w:rPr>
          <w:color w:val="auto"/>
          <w:sz w:val="20"/>
          <w:szCs w:val="20"/>
          <w:bdr w:val="none" w:sz="0" w:space="0" w:color="auto" w:frame="1"/>
          <w:lang w:val="es-VE"/>
        </w:rPr>
        <w:t xml:space="preserve">tortura </w:t>
      </w:r>
      <w:r w:rsidR="008C61C6">
        <w:rPr>
          <w:color w:val="auto"/>
          <w:sz w:val="20"/>
          <w:szCs w:val="20"/>
          <w:bdr w:val="none" w:sz="0" w:space="0" w:color="auto" w:frame="1"/>
          <w:lang w:val="es-VE"/>
        </w:rPr>
        <w:t xml:space="preserve">y </w:t>
      </w:r>
      <w:r w:rsidRPr="00180B32">
        <w:rPr>
          <w:color w:val="auto"/>
          <w:sz w:val="20"/>
          <w:szCs w:val="20"/>
          <w:bdr w:val="none" w:sz="0" w:space="0" w:color="auto" w:frame="1"/>
          <w:lang w:val="es-VE"/>
        </w:rPr>
        <w:t xml:space="preserve">homicidio de la </w:t>
      </w:r>
      <w:r w:rsidR="00946D39">
        <w:rPr>
          <w:color w:val="auto"/>
          <w:sz w:val="20"/>
          <w:szCs w:val="20"/>
          <w:bdr w:val="none" w:sz="0" w:space="0" w:color="auto" w:frame="1"/>
          <w:lang w:val="es-VE"/>
        </w:rPr>
        <w:t>presunta víctima</w:t>
      </w:r>
      <w:r w:rsidRPr="00180B32">
        <w:rPr>
          <w:color w:val="auto"/>
          <w:sz w:val="20"/>
          <w:szCs w:val="20"/>
          <w:bdr w:val="none" w:sz="0" w:space="0" w:color="auto" w:frame="1"/>
          <w:lang w:val="es-VE"/>
        </w:rPr>
        <w:t>, así como la falta de</w:t>
      </w:r>
      <w:r w:rsidR="00536FAE" w:rsidRPr="00180B32">
        <w:rPr>
          <w:color w:val="auto"/>
          <w:sz w:val="20"/>
          <w:szCs w:val="20"/>
          <w:bdr w:val="none" w:sz="0" w:space="0" w:color="auto" w:frame="1"/>
          <w:lang w:val="es-VE"/>
        </w:rPr>
        <w:t xml:space="preserve"> acceso a la justicia y</w:t>
      </w:r>
      <w:r w:rsidRPr="00180B32">
        <w:rPr>
          <w:color w:val="auto"/>
          <w:sz w:val="20"/>
          <w:szCs w:val="20"/>
          <w:bdr w:val="none" w:sz="0" w:space="0" w:color="auto" w:frame="1"/>
          <w:lang w:val="es-VE"/>
        </w:rPr>
        <w:t xml:space="preserve"> reparación de </w:t>
      </w:r>
      <w:r w:rsidR="00946D39">
        <w:rPr>
          <w:color w:val="auto"/>
          <w:sz w:val="20"/>
          <w:szCs w:val="20"/>
          <w:bdr w:val="none" w:sz="0" w:space="0" w:color="auto" w:frame="1"/>
          <w:lang w:val="es-VE"/>
        </w:rPr>
        <w:t>tales violaciones</w:t>
      </w:r>
      <w:r w:rsidRPr="00180B32">
        <w:rPr>
          <w:color w:val="auto"/>
          <w:sz w:val="20"/>
          <w:szCs w:val="20"/>
          <w:bdr w:val="none" w:sz="0" w:space="0" w:color="auto" w:frame="1"/>
          <w:lang w:val="es-VE"/>
        </w:rPr>
        <w:t xml:space="preserve">. En atención </w:t>
      </w:r>
      <w:r w:rsidR="008C61C6">
        <w:rPr>
          <w:color w:val="auto"/>
          <w:sz w:val="20"/>
          <w:szCs w:val="20"/>
          <w:bdr w:val="none" w:sz="0" w:space="0" w:color="auto" w:frame="1"/>
          <w:lang w:val="es-VE"/>
        </w:rPr>
        <w:t>de</w:t>
      </w:r>
      <w:r w:rsidRPr="00180B32">
        <w:rPr>
          <w:color w:val="auto"/>
          <w:sz w:val="20"/>
          <w:szCs w:val="20"/>
          <w:bdr w:val="none" w:sz="0" w:space="0" w:color="auto" w:frame="1"/>
          <w:lang w:val="es-VE"/>
        </w:rPr>
        <w:t xml:space="preserve"> estas consideraciones</w:t>
      </w:r>
      <w:r w:rsidR="008C61C6">
        <w:rPr>
          <w:color w:val="auto"/>
          <w:sz w:val="20"/>
          <w:szCs w:val="20"/>
          <w:bdr w:val="none" w:sz="0" w:space="0" w:color="auto" w:frame="1"/>
          <w:lang w:val="es-VE"/>
        </w:rPr>
        <w:t>,</w:t>
      </w:r>
      <w:r w:rsidRPr="00180B32">
        <w:rPr>
          <w:color w:val="auto"/>
          <w:sz w:val="20"/>
          <w:szCs w:val="20"/>
          <w:bdr w:val="none" w:sz="0" w:space="0" w:color="auto" w:frame="1"/>
          <w:lang w:val="es-VE"/>
        </w:rPr>
        <w:t xml:space="preserve"> y tras examinar los elementos de hecho y de derecho expuestos por las partes</w:t>
      </w:r>
      <w:r w:rsidR="008C61C6">
        <w:rPr>
          <w:color w:val="auto"/>
          <w:sz w:val="20"/>
          <w:szCs w:val="20"/>
          <w:bdr w:val="none" w:sz="0" w:space="0" w:color="auto" w:frame="1"/>
          <w:lang w:val="es-VE"/>
        </w:rPr>
        <w:t>,</w:t>
      </w:r>
      <w:r w:rsidRPr="00180B32">
        <w:rPr>
          <w:color w:val="auto"/>
          <w:sz w:val="20"/>
          <w:szCs w:val="20"/>
          <w:bdr w:val="none" w:sz="0" w:space="0" w:color="auto" w:frame="1"/>
          <w:lang w:val="es-VE"/>
        </w:rPr>
        <w:t xml:space="preserve"> la C</w:t>
      </w:r>
      <w:r w:rsidR="008C61C6">
        <w:rPr>
          <w:color w:val="auto"/>
          <w:sz w:val="20"/>
          <w:szCs w:val="20"/>
          <w:bdr w:val="none" w:sz="0" w:space="0" w:color="auto" w:frame="1"/>
          <w:lang w:val="es-VE"/>
        </w:rPr>
        <w:t xml:space="preserve">IDH </w:t>
      </w:r>
      <w:r w:rsidRPr="00180B32">
        <w:rPr>
          <w:color w:val="auto"/>
          <w:sz w:val="20"/>
          <w:szCs w:val="20"/>
          <w:bdr w:val="none" w:sz="0" w:space="0" w:color="auto" w:frame="1"/>
          <w:lang w:val="es-VE"/>
        </w:rPr>
        <w:t>estima que l</w:t>
      </w:r>
      <w:r w:rsidR="008C61C6">
        <w:rPr>
          <w:color w:val="auto"/>
          <w:sz w:val="20"/>
          <w:szCs w:val="20"/>
          <w:bdr w:val="none" w:sz="0" w:space="0" w:color="auto" w:frame="1"/>
          <w:lang w:val="es-VE"/>
        </w:rPr>
        <w:t>os alegatos</w:t>
      </w:r>
      <w:r w:rsidRPr="00180B32">
        <w:rPr>
          <w:color w:val="auto"/>
          <w:sz w:val="20"/>
          <w:szCs w:val="20"/>
          <w:bdr w:val="none" w:sz="0" w:space="0" w:color="auto" w:frame="1"/>
          <w:lang w:val="es-VE"/>
        </w:rPr>
        <w:t xml:space="preserve"> de la parte peticionaria no resultan manifiestamente infundad</w:t>
      </w:r>
      <w:r w:rsidR="008C61C6">
        <w:rPr>
          <w:color w:val="auto"/>
          <w:sz w:val="20"/>
          <w:szCs w:val="20"/>
          <w:bdr w:val="none" w:sz="0" w:space="0" w:color="auto" w:frame="1"/>
          <w:lang w:val="es-VE"/>
        </w:rPr>
        <w:t>o</w:t>
      </w:r>
      <w:r w:rsidRPr="00180B32">
        <w:rPr>
          <w:color w:val="auto"/>
          <w:sz w:val="20"/>
          <w:szCs w:val="20"/>
          <w:bdr w:val="none" w:sz="0" w:space="0" w:color="auto" w:frame="1"/>
          <w:lang w:val="es-VE"/>
        </w:rPr>
        <w:t>s y requieren un estudio de fondo pues los hechos, de corroborarse como ciertos</w:t>
      </w:r>
      <w:r w:rsidR="008C61C6">
        <w:rPr>
          <w:color w:val="auto"/>
          <w:sz w:val="20"/>
          <w:szCs w:val="20"/>
          <w:bdr w:val="none" w:sz="0" w:space="0" w:color="auto" w:frame="1"/>
          <w:lang w:val="es-VE"/>
        </w:rPr>
        <w:t>,</w:t>
      </w:r>
      <w:r w:rsidRPr="00180B32">
        <w:rPr>
          <w:color w:val="auto"/>
          <w:sz w:val="20"/>
          <w:szCs w:val="20"/>
          <w:bdr w:val="none" w:sz="0" w:space="0" w:color="auto" w:frame="1"/>
          <w:lang w:val="es-VE"/>
        </w:rPr>
        <w:t xml:space="preserve"> podrían </w:t>
      </w:r>
      <w:r w:rsidR="008C61C6">
        <w:rPr>
          <w:color w:val="auto"/>
          <w:sz w:val="20"/>
          <w:szCs w:val="20"/>
          <w:bdr w:val="none" w:sz="0" w:space="0" w:color="auto" w:frame="1"/>
          <w:lang w:val="es-VE"/>
        </w:rPr>
        <w:t>configurar</w:t>
      </w:r>
      <w:r w:rsidRPr="00180B32">
        <w:rPr>
          <w:color w:val="auto"/>
          <w:sz w:val="20"/>
          <w:szCs w:val="20"/>
          <w:bdr w:val="none" w:sz="0" w:space="0" w:color="auto" w:frame="1"/>
          <w:lang w:val="es-VE"/>
        </w:rPr>
        <w:t xml:space="preserve"> violaciones </w:t>
      </w:r>
      <w:r w:rsidR="00895530">
        <w:rPr>
          <w:color w:val="auto"/>
          <w:sz w:val="20"/>
          <w:szCs w:val="20"/>
          <w:bdr w:val="none" w:sz="0" w:space="0" w:color="auto" w:frame="1"/>
          <w:lang w:val="es-VE"/>
        </w:rPr>
        <w:t>de</w:t>
      </w:r>
      <w:r w:rsidRPr="00180B32">
        <w:rPr>
          <w:color w:val="auto"/>
          <w:sz w:val="20"/>
          <w:szCs w:val="20"/>
          <w:bdr w:val="none" w:sz="0" w:space="0" w:color="auto" w:frame="1"/>
          <w:lang w:val="es-VE"/>
        </w:rPr>
        <w:t xml:space="preserve"> los </w:t>
      </w:r>
      <w:r w:rsidR="00895530">
        <w:rPr>
          <w:color w:val="auto"/>
          <w:sz w:val="20"/>
          <w:szCs w:val="20"/>
          <w:bdr w:val="none" w:sz="0" w:space="0" w:color="auto" w:frame="1"/>
          <w:lang w:val="es-VE"/>
        </w:rPr>
        <w:t xml:space="preserve">derechos reconocidos en los </w:t>
      </w:r>
      <w:r w:rsidRPr="00180B32">
        <w:rPr>
          <w:color w:val="auto"/>
          <w:sz w:val="20"/>
          <w:szCs w:val="20"/>
          <w:bdr w:val="none" w:sz="0" w:space="0" w:color="auto" w:frame="1"/>
          <w:lang w:val="es-VE"/>
        </w:rPr>
        <w:t xml:space="preserve">artículos </w:t>
      </w:r>
      <w:r w:rsidRPr="00180B32">
        <w:rPr>
          <w:bCs/>
          <w:color w:val="auto"/>
          <w:sz w:val="20"/>
          <w:szCs w:val="20"/>
          <w:bdr w:val="none" w:sz="0" w:space="0" w:color="auto" w:frame="1"/>
          <w:lang w:val="es-VE"/>
        </w:rPr>
        <w:t xml:space="preserve">4 (derecho a la vida), 5 (derecho a la integridad personal), 8 (garantías judiciales), y 25 (protección judicial) de la Convención Americana en relación con </w:t>
      </w:r>
      <w:r w:rsidR="008C61C6">
        <w:rPr>
          <w:bCs/>
          <w:color w:val="auto"/>
          <w:sz w:val="20"/>
          <w:szCs w:val="20"/>
          <w:bdr w:val="none" w:sz="0" w:space="0" w:color="auto" w:frame="1"/>
          <w:lang w:val="es-VE"/>
        </w:rPr>
        <w:t>los</w:t>
      </w:r>
      <w:r w:rsidRPr="00180B32">
        <w:rPr>
          <w:bCs/>
          <w:color w:val="auto"/>
          <w:sz w:val="20"/>
          <w:szCs w:val="20"/>
          <w:bdr w:val="none" w:sz="0" w:space="0" w:color="auto" w:frame="1"/>
          <w:lang w:val="es-VE"/>
        </w:rPr>
        <w:t xml:space="preserve"> artículo</w:t>
      </w:r>
      <w:r w:rsidR="008C61C6">
        <w:rPr>
          <w:bCs/>
          <w:color w:val="auto"/>
          <w:sz w:val="20"/>
          <w:szCs w:val="20"/>
          <w:bdr w:val="none" w:sz="0" w:space="0" w:color="auto" w:frame="1"/>
          <w:lang w:val="es-VE"/>
        </w:rPr>
        <w:t>s</w:t>
      </w:r>
      <w:r w:rsidRPr="00180B32">
        <w:rPr>
          <w:bCs/>
          <w:color w:val="auto"/>
          <w:sz w:val="20"/>
          <w:szCs w:val="20"/>
          <w:bdr w:val="none" w:sz="0" w:space="0" w:color="auto" w:frame="1"/>
          <w:lang w:val="es-VE"/>
        </w:rPr>
        <w:t xml:space="preserve"> 1.1 </w:t>
      </w:r>
      <w:r w:rsidR="00536FAE" w:rsidRPr="00180B32">
        <w:rPr>
          <w:bCs/>
          <w:color w:val="auto"/>
          <w:sz w:val="20"/>
          <w:szCs w:val="20"/>
          <w:bdr w:val="none" w:sz="0" w:space="0" w:color="auto" w:frame="1"/>
          <w:lang w:val="es-VE"/>
        </w:rPr>
        <w:t xml:space="preserve">y 2 </w:t>
      </w:r>
      <w:r w:rsidRPr="00180B32">
        <w:rPr>
          <w:bCs/>
          <w:color w:val="auto"/>
          <w:sz w:val="20"/>
          <w:szCs w:val="20"/>
          <w:bdr w:val="none" w:sz="0" w:space="0" w:color="auto" w:frame="1"/>
          <w:lang w:val="es-VE"/>
        </w:rPr>
        <w:t>del mismo instrumento</w:t>
      </w:r>
      <w:r w:rsidR="00EA0BA7" w:rsidRPr="00180B32">
        <w:rPr>
          <w:bCs/>
          <w:color w:val="auto"/>
          <w:sz w:val="20"/>
          <w:szCs w:val="20"/>
          <w:bdr w:val="none" w:sz="0" w:space="0" w:color="auto" w:frame="1"/>
          <w:lang w:val="es-VE"/>
        </w:rPr>
        <w:t>.</w:t>
      </w:r>
      <w:r w:rsidR="00536FAE" w:rsidRPr="00180B32">
        <w:rPr>
          <w:bCs/>
          <w:color w:val="auto"/>
          <w:sz w:val="20"/>
          <w:szCs w:val="20"/>
          <w:bdr w:val="none" w:sz="0" w:space="0" w:color="auto" w:frame="1"/>
          <w:lang w:val="es-VE"/>
        </w:rPr>
        <w:t xml:space="preserve"> </w:t>
      </w:r>
      <w:r w:rsidR="00EA0BA7" w:rsidRPr="00180B32">
        <w:rPr>
          <w:bCs/>
          <w:color w:val="auto"/>
          <w:sz w:val="20"/>
          <w:szCs w:val="20"/>
          <w:bdr w:val="none" w:sz="0" w:space="0" w:color="auto" w:frame="1"/>
          <w:lang w:val="es-ES"/>
        </w:rPr>
        <w:t xml:space="preserve">Asimismo, la Comisión considera que </w:t>
      </w:r>
      <w:r w:rsidR="00EA0BA7" w:rsidRPr="00180B32">
        <w:rPr>
          <w:bCs/>
          <w:color w:val="auto"/>
          <w:sz w:val="20"/>
          <w:szCs w:val="20"/>
          <w:bdr w:val="none" w:sz="0" w:space="0" w:color="auto" w:frame="1"/>
          <w:lang w:val="es-ES_tradnl"/>
        </w:rPr>
        <w:t>los alega</w:t>
      </w:r>
      <w:r w:rsidR="00946D39">
        <w:rPr>
          <w:bCs/>
          <w:color w:val="auto"/>
          <w:sz w:val="20"/>
          <w:szCs w:val="20"/>
          <w:bdr w:val="none" w:sz="0" w:space="0" w:color="auto" w:frame="1"/>
          <w:lang w:val="es-ES_tradnl"/>
        </w:rPr>
        <w:t xml:space="preserve">tos sobre </w:t>
      </w:r>
      <w:r w:rsidR="00EA0BA7" w:rsidRPr="00180B32">
        <w:rPr>
          <w:bCs/>
          <w:color w:val="auto"/>
          <w:sz w:val="20"/>
          <w:szCs w:val="20"/>
          <w:bdr w:val="none" w:sz="0" w:space="0" w:color="auto" w:frame="1"/>
          <w:lang w:val="es-ES_tradnl"/>
        </w:rPr>
        <w:t>tortura, de ser probados, podrían c</w:t>
      </w:r>
      <w:r w:rsidR="00946D39">
        <w:rPr>
          <w:bCs/>
          <w:color w:val="auto"/>
          <w:sz w:val="20"/>
          <w:szCs w:val="20"/>
          <w:bdr w:val="none" w:sz="0" w:space="0" w:color="auto" w:frame="1"/>
          <w:lang w:val="es-ES_tradnl"/>
        </w:rPr>
        <w:t xml:space="preserve">onstituir </w:t>
      </w:r>
      <w:r w:rsidR="00EA0BA7" w:rsidRPr="00180B32">
        <w:rPr>
          <w:bCs/>
          <w:color w:val="auto"/>
          <w:sz w:val="20"/>
          <w:szCs w:val="20"/>
          <w:bdr w:val="none" w:sz="0" w:space="0" w:color="auto" w:frame="1"/>
          <w:lang w:val="es-ES_tradnl"/>
        </w:rPr>
        <w:t xml:space="preserve">posibles violaciones </w:t>
      </w:r>
      <w:r w:rsidR="00946D39">
        <w:rPr>
          <w:bCs/>
          <w:color w:val="auto"/>
          <w:sz w:val="20"/>
          <w:szCs w:val="20"/>
          <w:bdr w:val="none" w:sz="0" w:space="0" w:color="auto" w:frame="1"/>
          <w:lang w:val="es-ES_tradnl"/>
        </w:rPr>
        <w:t xml:space="preserve">de </w:t>
      </w:r>
      <w:r w:rsidR="00EA0BA7" w:rsidRPr="00180B32">
        <w:rPr>
          <w:bCs/>
          <w:color w:val="auto"/>
          <w:sz w:val="20"/>
          <w:szCs w:val="20"/>
          <w:bdr w:val="none" w:sz="0" w:space="0" w:color="auto" w:frame="1"/>
          <w:lang w:val="es-ES_tradnl"/>
        </w:rPr>
        <w:t>los artículos 1 y 6 de la Convención Interamericana para Prevenir y Sancionar la Tortura</w:t>
      </w:r>
      <w:r w:rsidR="00EA0BA7" w:rsidRPr="00180B32">
        <w:rPr>
          <w:bCs/>
          <w:color w:val="auto"/>
          <w:sz w:val="20"/>
          <w:szCs w:val="20"/>
          <w:bdr w:val="none" w:sz="0" w:space="0" w:color="auto" w:frame="1"/>
          <w:vertAlign w:val="superscript"/>
          <w:lang w:val="es-ES_tradnl"/>
        </w:rPr>
        <w:footnoteReference w:id="11"/>
      </w:r>
      <w:r w:rsidR="00EA0BA7" w:rsidRPr="00180B32">
        <w:rPr>
          <w:bCs/>
          <w:color w:val="auto"/>
          <w:sz w:val="20"/>
          <w:szCs w:val="20"/>
          <w:bdr w:val="none" w:sz="0" w:space="0" w:color="auto" w:frame="1"/>
          <w:lang w:val="es-ES_tradnl"/>
        </w:rPr>
        <w:t>.</w:t>
      </w:r>
      <w:r w:rsidR="00EA0BA7" w:rsidRPr="00180B32">
        <w:rPr>
          <w:bCs/>
          <w:color w:val="auto"/>
          <w:sz w:val="20"/>
          <w:szCs w:val="20"/>
          <w:bdr w:val="none" w:sz="0" w:space="0" w:color="auto" w:frame="1"/>
          <w:lang w:val="es-VE"/>
        </w:rPr>
        <w:t xml:space="preserve"> </w:t>
      </w:r>
    </w:p>
    <w:p w14:paraId="00A5DEBA" w14:textId="77777777" w:rsidR="00B25033" w:rsidRPr="00B25033" w:rsidRDefault="00B25033" w:rsidP="00B2503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bdr w:val="none" w:sz="0" w:space="0" w:color="auto"/>
          <w:lang w:val="es-VE"/>
        </w:rPr>
      </w:pPr>
    </w:p>
    <w:p w14:paraId="67A15F55" w14:textId="0DD1D460" w:rsidR="00DA3A9A" w:rsidRPr="00180B32" w:rsidRDefault="00DA3A9A" w:rsidP="00B250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bdr w:val="none" w:sz="0" w:space="0" w:color="auto"/>
          <w:lang w:val="es-VE"/>
        </w:rPr>
      </w:pPr>
      <w:r w:rsidRPr="00180B32">
        <w:rPr>
          <w:color w:val="auto"/>
          <w:sz w:val="20"/>
          <w:szCs w:val="20"/>
          <w:bdr w:val="none" w:sz="0" w:space="0" w:color="auto" w:frame="1"/>
          <w:lang w:val="es-ES"/>
        </w:rPr>
        <w:t>En cuanto al reclamo sobre la presunta violación de</w:t>
      </w:r>
      <w:r w:rsidR="00536FAE" w:rsidRPr="00180B32">
        <w:rPr>
          <w:color w:val="auto"/>
          <w:sz w:val="20"/>
          <w:szCs w:val="20"/>
          <w:bdr w:val="none" w:sz="0" w:space="0" w:color="auto" w:frame="1"/>
          <w:lang w:val="es-ES"/>
        </w:rPr>
        <w:t xml:space="preserve"> los</w:t>
      </w:r>
      <w:r w:rsidRPr="00180B32">
        <w:rPr>
          <w:color w:val="auto"/>
          <w:sz w:val="20"/>
          <w:szCs w:val="20"/>
          <w:bdr w:val="none" w:sz="0" w:space="0" w:color="auto" w:frame="1"/>
          <w:lang w:val="es-ES"/>
        </w:rPr>
        <w:t xml:space="preserve"> </w:t>
      </w:r>
      <w:r w:rsidR="00895530">
        <w:rPr>
          <w:color w:val="auto"/>
          <w:sz w:val="20"/>
          <w:szCs w:val="20"/>
          <w:bdr w:val="none" w:sz="0" w:space="0" w:color="auto" w:frame="1"/>
          <w:lang w:val="es-ES"/>
        </w:rPr>
        <w:t xml:space="preserve">derechos protegidos por los </w:t>
      </w:r>
      <w:r w:rsidRPr="00180B32">
        <w:rPr>
          <w:color w:val="auto"/>
          <w:sz w:val="20"/>
          <w:szCs w:val="20"/>
          <w:bdr w:val="none" w:sz="0" w:space="0" w:color="auto" w:frame="1"/>
          <w:lang w:val="es-ES"/>
        </w:rPr>
        <w:t>artículo</w:t>
      </w:r>
      <w:r w:rsidR="00536FAE" w:rsidRPr="00180B32">
        <w:rPr>
          <w:color w:val="auto"/>
          <w:sz w:val="20"/>
          <w:szCs w:val="20"/>
          <w:bdr w:val="none" w:sz="0" w:space="0" w:color="auto" w:frame="1"/>
          <w:lang w:val="es-ES"/>
        </w:rPr>
        <w:t>s</w:t>
      </w:r>
      <w:r w:rsidRPr="00180B32">
        <w:rPr>
          <w:color w:val="auto"/>
          <w:sz w:val="20"/>
          <w:szCs w:val="20"/>
          <w:bdr w:val="none" w:sz="0" w:space="0" w:color="auto" w:frame="1"/>
          <w:lang w:val="es-ES"/>
        </w:rPr>
        <w:t xml:space="preserve"> </w:t>
      </w:r>
      <w:r w:rsidR="00536FAE" w:rsidRPr="00180B32">
        <w:rPr>
          <w:bCs/>
          <w:color w:val="auto"/>
          <w:sz w:val="20"/>
          <w:szCs w:val="20"/>
          <w:lang w:val="es-VE"/>
        </w:rPr>
        <w:t>7 (derecho a libertad personal) y 22 (derecho de circulación y residencia)</w:t>
      </w:r>
      <w:r w:rsidRPr="00180B32">
        <w:rPr>
          <w:color w:val="auto"/>
          <w:sz w:val="20"/>
          <w:szCs w:val="20"/>
          <w:bdr w:val="none" w:sz="0" w:space="0" w:color="auto" w:frame="1"/>
          <w:lang w:val="es-ES"/>
        </w:rPr>
        <w:t xml:space="preserve"> de la Convención Americana, la Comisión considera que la parte peticionaria no ha ofrecido alegatos o sustento suficiente que permita considerar </w:t>
      </w:r>
      <w:r w:rsidRPr="00180B32">
        <w:rPr>
          <w:i/>
          <w:color w:val="auto"/>
          <w:sz w:val="20"/>
          <w:szCs w:val="20"/>
          <w:bdr w:val="none" w:sz="0" w:space="0" w:color="auto" w:frame="1"/>
          <w:lang w:val="es-ES"/>
        </w:rPr>
        <w:t>prima facie</w:t>
      </w:r>
      <w:r w:rsidRPr="00180B32">
        <w:rPr>
          <w:color w:val="auto"/>
          <w:sz w:val="20"/>
          <w:szCs w:val="20"/>
          <w:bdr w:val="none" w:sz="0" w:space="0" w:color="auto" w:frame="1"/>
          <w:lang w:val="es-ES"/>
        </w:rPr>
        <w:t xml:space="preserve"> su posible violación</w:t>
      </w:r>
      <w:r w:rsidR="00EA0BA7" w:rsidRPr="00180B32">
        <w:rPr>
          <w:color w:val="auto"/>
          <w:sz w:val="20"/>
          <w:szCs w:val="20"/>
          <w:bdr w:val="none" w:sz="0" w:space="0" w:color="auto" w:frame="1"/>
          <w:lang w:val="es-ES"/>
        </w:rPr>
        <w:t xml:space="preserve">. </w:t>
      </w:r>
    </w:p>
    <w:p w14:paraId="02A6C006" w14:textId="77777777" w:rsidR="00895530" w:rsidRDefault="00895530" w:rsidP="00B25033">
      <w:pPr>
        <w:pStyle w:val="ListParagraph"/>
        <w:jc w:val="both"/>
        <w:rPr>
          <w:b/>
          <w:bCs/>
          <w:sz w:val="20"/>
          <w:szCs w:val="20"/>
          <w:lang w:val="es-ES"/>
        </w:rPr>
      </w:pPr>
    </w:p>
    <w:p w14:paraId="38303FD9" w14:textId="4F36C169" w:rsidR="00E10040" w:rsidRPr="00E10040" w:rsidRDefault="00E10040" w:rsidP="00B25033">
      <w:pPr>
        <w:pStyle w:val="ListParagraph"/>
        <w:jc w:val="both"/>
        <w:rPr>
          <w:b/>
          <w:bCs/>
          <w:sz w:val="20"/>
          <w:szCs w:val="20"/>
          <w:lang w:val="es-ES"/>
        </w:rPr>
      </w:pPr>
      <w:r w:rsidRPr="00E10040">
        <w:rPr>
          <w:b/>
          <w:bCs/>
          <w:sz w:val="20"/>
          <w:szCs w:val="20"/>
          <w:lang w:val="es-ES"/>
        </w:rPr>
        <w:t xml:space="preserve">VIII. </w:t>
      </w:r>
      <w:r w:rsidRPr="00E10040">
        <w:rPr>
          <w:b/>
          <w:bCs/>
          <w:sz w:val="20"/>
          <w:szCs w:val="20"/>
          <w:lang w:val="es-ES"/>
        </w:rPr>
        <w:tab/>
        <w:t>DECISIÓN</w:t>
      </w:r>
    </w:p>
    <w:p w14:paraId="31B9D12C" w14:textId="77777777" w:rsidR="00B25033" w:rsidRDefault="00B25033" w:rsidP="00B250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E0E3742" w14:textId="63D6CA48" w:rsidR="00E10040" w:rsidRPr="00180B32" w:rsidRDefault="00E10040" w:rsidP="00B2503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 xml:space="preserve">Declarar </w:t>
      </w:r>
      <w:r w:rsidRPr="00180B32">
        <w:rPr>
          <w:rFonts w:ascii="Cambria" w:hAnsi="Cambria"/>
          <w:sz w:val="20"/>
          <w:szCs w:val="20"/>
          <w:lang w:val="es-ES"/>
        </w:rPr>
        <w:t xml:space="preserve">admisible la presente petición en relación con </w:t>
      </w:r>
      <w:r w:rsidR="00895530">
        <w:rPr>
          <w:rFonts w:ascii="Cambria" w:hAnsi="Cambria"/>
          <w:sz w:val="20"/>
          <w:szCs w:val="20"/>
          <w:lang w:val="es-ES"/>
        </w:rPr>
        <w:t xml:space="preserve">los </w:t>
      </w:r>
      <w:r w:rsidR="00536FAE" w:rsidRPr="00180B32">
        <w:rPr>
          <w:rFonts w:ascii="Cambria" w:hAnsi="Cambria"/>
          <w:sz w:val="20"/>
          <w:szCs w:val="20"/>
          <w:lang w:val="es-ES"/>
        </w:rPr>
        <w:t>artículo</w:t>
      </w:r>
      <w:r w:rsidR="00895530">
        <w:rPr>
          <w:rFonts w:ascii="Cambria" w:hAnsi="Cambria"/>
          <w:sz w:val="20"/>
          <w:szCs w:val="20"/>
          <w:lang w:val="es-ES"/>
        </w:rPr>
        <w:t>s</w:t>
      </w:r>
      <w:r w:rsidR="00536FAE" w:rsidRPr="00180B32">
        <w:rPr>
          <w:rFonts w:ascii="Cambria" w:hAnsi="Cambria"/>
          <w:sz w:val="20"/>
          <w:szCs w:val="20"/>
          <w:lang w:val="es-ES"/>
        </w:rPr>
        <w:t xml:space="preserve"> 4, 5, 8 y 25 de la Convención Americana en </w:t>
      </w:r>
      <w:r w:rsidR="00B4214F">
        <w:rPr>
          <w:rFonts w:ascii="Cambria" w:hAnsi="Cambria"/>
          <w:sz w:val="20"/>
          <w:szCs w:val="20"/>
          <w:lang w:val="es-ES"/>
        </w:rPr>
        <w:t>concordancia</w:t>
      </w:r>
      <w:r w:rsidR="00536FAE" w:rsidRPr="00180B32">
        <w:rPr>
          <w:rFonts w:ascii="Cambria" w:hAnsi="Cambria"/>
          <w:sz w:val="20"/>
          <w:szCs w:val="20"/>
          <w:lang w:val="es-ES"/>
        </w:rPr>
        <w:t xml:space="preserve"> </w:t>
      </w:r>
      <w:r w:rsidR="00B25033">
        <w:rPr>
          <w:rFonts w:ascii="Cambria" w:hAnsi="Cambria"/>
          <w:sz w:val="20"/>
          <w:szCs w:val="20"/>
          <w:lang w:val="es-ES"/>
        </w:rPr>
        <w:t>con</w:t>
      </w:r>
      <w:r w:rsidR="00536FAE" w:rsidRPr="00180B32">
        <w:rPr>
          <w:rFonts w:ascii="Cambria" w:hAnsi="Cambria"/>
          <w:sz w:val="20"/>
          <w:szCs w:val="20"/>
          <w:lang w:val="es-ES"/>
        </w:rPr>
        <w:t xml:space="preserve"> los artículos 1.1 y 2 del mismo instrumento</w:t>
      </w:r>
      <w:r w:rsidR="00EA0BA7" w:rsidRPr="00180B32">
        <w:rPr>
          <w:rFonts w:ascii="Cambria" w:hAnsi="Cambria"/>
          <w:sz w:val="20"/>
          <w:szCs w:val="20"/>
          <w:lang w:val="es-ES"/>
        </w:rPr>
        <w:t>,</w:t>
      </w:r>
      <w:r w:rsidRPr="00180B32">
        <w:rPr>
          <w:rFonts w:ascii="Cambria" w:hAnsi="Cambria"/>
          <w:sz w:val="20"/>
          <w:szCs w:val="20"/>
          <w:lang w:val="es-ES"/>
        </w:rPr>
        <w:t xml:space="preserve"> </w:t>
      </w:r>
      <w:r w:rsidR="00EA0BA7" w:rsidRPr="00180B32">
        <w:rPr>
          <w:rFonts w:ascii="Cambria" w:hAnsi="Cambria"/>
          <w:sz w:val="20"/>
          <w:szCs w:val="20"/>
          <w:lang w:val="es-ES"/>
        </w:rPr>
        <w:t xml:space="preserve">así como el </w:t>
      </w:r>
      <w:r w:rsidR="00EA0BA7" w:rsidRPr="00180B32">
        <w:rPr>
          <w:rFonts w:ascii="Cambria" w:hAnsi="Cambria"/>
          <w:bCs/>
          <w:sz w:val="20"/>
          <w:szCs w:val="20"/>
          <w:lang w:val="es-VE"/>
        </w:rPr>
        <w:t xml:space="preserve">artículo 1 y 6 de la </w:t>
      </w:r>
      <w:r w:rsidR="00EA0BA7" w:rsidRPr="00180B32">
        <w:rPr>
          <w:rFonts w:ascii="Cambria" w:hAnsi="Cambria"/>
          <w:sz w:val="20"/>
          <w:szCs w:val="20"/>
          <w:lang w:val="es-VE"/>
        </w:rPr>
        <w:t>Convención Interamericana para Prevenir y Sancionar la Tortura</w:t>
      </w:r>
      <w:r w:rsidR="00B25033">
        <w:rPr>
          <w:rFonts w:ascii="Cambria" w:hAnsi="Cambria"/>
          <w:sz w:val="20"/>
          <w:szCs w:val="20"/>
          <w:lang w:val="es-VE"/>
        </w:rPr>
        <w:t>.</w:t>
      </w:r>
    </w:p>
    <w:p w14:paraId="7BECE510" w14:textId="77777777" w:rsidR="00B25033" w:rsidRDefault="00B25033" w:rsidP="00B25033">
      <w:pPr>
        <w:pStyle w:val="ListParagraph"/>
        <w:jc w:val="both"/>
        <w:rPr>
          <w:rFonts w:eastAsia="Arial Unicode MS" w:cs="Times New Roman"/>
          <w:color w:val="auto"/>
          <w:sz w:val="20"/>
          <w:szCs w:val="20"/>
          <w:lang w:val="es-ES" w:eastAsia="en-US"/>
        </w:rPr>
      </w:pPr>
    </w:p>
    <w:p w14:paraId="726AA721" w14:textId="1E3F8F49" w:rsidR="00E10040" w:rsidRPr="00180B32" w:rsidRDefault="00E10040" w:rsidP="00B25033">
      <w:pPr>
        <w:pStyle w:val="ListParagraph"/>
        <w:numPr>
          <w:ilvl w:val="0"/>
          <w:numId w:val="1"/>
        </w:numPr>
        <w:jc w:val="both"/>
        <w:rPr>
          <w:rFonts w:eastAsia="Arial Unicode MS" w:cs="Times New Roman"/>
          <w:color w:val="auto"/>
          <w:sz w:val="20"/>
          <w:szCs w:val="20"/>
          <w:lang w:val="es-ES" w:eastAsia="en-US"/>
        </w:rPr>
      </w:pPr>
      <w:r w:rsidRPr="00180B32">
        <w:rPr>
          <w:rFonts w:eastAsia="Arial Unicode MS" w:cs="Times New Roman"/>
          <w:color w:val="auto"/>
          <w:sz w:val="20"/>
          <w:szCs w:val="20"/>
          <w:lang w:val="es-ES" w:eastAsia="en-US"/>
        </w:rPr>
        <w:t xml:space="preserve">Declarar inadmisible la presente petición en relación con </w:t>
      </w:r>
      <w:r w:rsidR="00536FAE" w:rsidRPr="00180B32">
        <w:rPr>
          <w:rFonts w:eastAsia="Arial Unicode MS" w:cs="Times New Roman"/>
          <w:color w:val="auto"/>
          <w:sz w:val="20"/>
          <w:szCs w:val="20"/>
          <w:lang w:val="es-ES" w:eastAsia="en-US"/>
        </w:rPr>
        <w:t>los artículos 7 y 22 de la Convención Americana</w:t>
      </w:r>
      <w:r w:rsidR="008C61C6">
        <w:rPr>
          <w:rFonts w:eastAsia="Arial Unicode MS" w:cs="Times New Roman"/>
          <w:color w:val="auto"/>
          <w:sz w:val="20"/>
          <w:szCs w:val="20"/>
          <w:lang w:val="es-ES" w:eastAsia="en-US"/>
        </w:rPr>
        <w:t>.</w:t>
      </w:r>
    </w:p>
    <w:p w14:paraId="009A9A1F" w14:textId="77777777" w:rsidR="00E10040" w:rsidRPr="00180B32" w:rsidRDefault="00E10040" w:rsidP="00B25033">
      <w:pPr>
        <w:pStyle w:val="ListParagraph"/>
        <w:rPr>
          <w:rFonts w:eastAsia="Arial Unicode MS" w:cs="Times New Roman"/>
          <w:color w:val="auto"/>
          <w:sz w:val="20"/>
          <w:szCs w:val="20"/>
          <w:lang w:val="es-ES" w:eastAsia="en-US"/>
        </w:rPr>
      </w:pPr>
    </w:p>
    <w:p w14:paraId="51BDE6CE" w14:textId="21C188A9" w:rsidR="00844AF5" w:rsidRPr="00887ED4" w:rsidRDefault="00E10040" w:rsidP="00B2503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lang w:val="es-ES"/>
        </w:rPr>
      </w:pPr>
      <w:r w:rsidRPr="00180B32">
        <w:rPr>
          <w:rFonts w:ascii="Cambria" w:hAnsi="Cambria"/>
          <w:sz w:val="20"/>
          <w:szCs w:val="20"/>
          <w:lang w:val="es-ES"/>
        </w:rPr>
        <w:t xml:space="preserve">Notificar a las partes </w:t>
      </w:r>
      <w:r w:rsidRPr="00E10040">
        <w:rPr>
          <w:rFonts w:ascii="Cambria" w:hAnsi="Cambria"/>
          <w:sz w:val="20"/>
          <w:szCs w:val="20"/>
          <w:lang w:val="es-ES"/>
        </w:rPr>
        <w:t>la presente decisión; continuar con el análisis del fondo de la cuestión; y publicar esta decisión e incluirla en su Informe Anual a la Asamblea General de la Organización de los Estados Americanos.</w:t>
      </w:r>
    </w:p>
    <w:p w14:paraId="11733D6C" w14:textId="77777777" w:rsidR="00887ED4" w:rsidRDefault="00887ED4" w:rsidP="00887ED4">
      <w:pPr>
        <w:ind w:firstLine="720"/>
        <w:jc w:val="both"/>
        <w:rPr>
          <w:rFonts w:asciiTheme="majorHAnsi" w:hAnsiTheme="majorHAnsi" w:cs="Arial"/>
          <w:noProof/>
          <w:spacing w:val="-2"/>
          <w:sz w:val="20"/>
          <w:szCs w:val="20"/>
          <w:lang w:val="es-CL"/>
        </w:rPr>
      </w:pPr>
    </w:p>
    <w:p w14:paraId="4C9C3879" w14:textId="1390D5E1" w:rsidR="00777FE8" w:rsidRPr="00A37B82" w:rsidRDefault="00887ED4" w:rsidP="00B4214F">
      <w:pPr>
        <w:ind w:firstLine="720"/>
        <w:jc w:val="both"/>
        <w:rPr>
          <w:rFonts w:asciiTheme="majorHAnsi" w:hAnsiTheme="majorHAnsi" w:cs="Arial"/>
          <w:noProof/>
          <w:spacing w:val="-2"/>
          <w:sz w:val="20"/>
          <w:szCs w:val="20"/>
          <w:lang w:val="es-CL"/>
        </w:rPr>
      </w:pPr>
      <w:r w:rsidRPr="00887ED4">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8</w:t>
      </w:r>
      <w:r w:rsidRPr="00887ED4">
        <w:rPr>
          <w:rFonts w:ascii="Cambria" w:hAnsi="Cambria" w:cs="Arial"/>
          <w:noProof/>
          <w:sz w:val="20"/>
          <w:szCs w:val="20"/>
          <w:lang w:val="es-CL"/>
        </w:rPr>
        <w:t xml:space="preserve"> días del mes de </w:t>
      </w:r>
      <w:r>
        <w:rPr>
          <w:rFonts w:ascii="Cambria" w:hAnsi="Cambria" w:cs="Arial"/>
          <w:noProof/>
          <w:sz w:val="20"/>
          <w:szCs w:val="20"/>
          <w:lang w:val="es-CL"/>
        </w:rPr>
        <w:t>septiembre</w:t>
      </w:r>
      <w:r w:rsidRPr="00887ED4">
        <w:rPr>
          <w:rFonts w:ascii="Cambria" w:hAnsi="Cambria" w:cs="Arial"/>
          <w:noProof/>
          <w:sz w:val="20"/>
          <w:szCs w:val="20"/>
          <w:lang w:val="es-CL"/>
        </w:rPr>
        <w:t xml:space="preserve"> de 2021. </w:t>
      </w:r>
      <w:r w:rsidR="00777FE8" w:rsidRPr="00777FE8">
        <w:rPr>
          <w:rFonts w:ascii="Cambria" w:hAnsi="Cambria" w:cs="Arial"/>
          <w:noProof/>
          <w:sz w:val="20"/>
          <w:szCs w:val="20"/>
          <w:lang w:val="es-CL"/>
        </w:rPr>
        <w:t>(Firmado): Antonia Urrejola, Presidenta; Flávia Piovesan, Segunda Vicepresidenta; Esmeralda E. Arosemena Bernal de Troitiño  y Stuardo Ralón Orellana, Miembros de la Comisión.</w:t>
      </w:r>
      <w:r w:rsidR="00777FE8" w:rsidRPr="00A37B82">
        <w:rPr>
          <w:rFonts w:asciiTheme="majorHAnsi" w:hAnsiTheme="majorHAnsi" w:cs="Arial"/>
          <w:noProof/>
          <w:sz w:val="20"/>
          <w:szCs w:val="20"/>
          <w:lang w:val="es-CL"/>
        </w:rPr>
        <w:t xml:space="preserve"> </w:t>
      </w:r>
    </w:p>
    <w:sectPr w:rsidR="00777FE8" w:rsidRPr="00A37B82" w:rsidSect="006E385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27AF" w14:textId="77777777" w:rsidR="0053595B" w:rsidRDefault="0053595B" w:rsidP="00E10040">
      <w:r>
        <w:separator/>
      </w:r>
    </w:p>
  </w:endnote>
  <w:endnote w:type="continuationSeparator" w:id="0">
    <w:p w14:paraId="6D71E932" w14:textId="77777777" w:rsidR="0053595B" w:rsidRDefault="0053595B"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GillSans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5777810B" w:rsidR="006E3853" w:rsidRPr="00934A2C" w:rsidRDefault="006E385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5428C">
          <w:rPr>
            <w:noProof/>
            <w:sz w:val="16"/>
            <w:szCs w:val="22"/>
          </w:rPr>
          <w:t>1</w:t>
        </w:r>
        <w:r w:rsidRPr="00934A2C">
          <w:rPr>
            <w:noProof/>
            <w:sz w:val="16"/>
            <w:szCs w:val="22"/>
          </w:rPr>
          <w:fldChar w:fldCharType="end"/>
        </w:r>
      </w:p>
    </w:sdtContent>
  </w:sdt>
  <w:p w14:paraId="54CF4771" w14:textId="77777777" w:rsidR="006E3853" w:rsidRDefault="006E3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6E3853" w:rsidRPr="00934A2C" w:rsidRDefault="006E3853">
    <w:pPr>
      <w:pStyle w:val="Footer"/>
      <w:jc w:val="center"/>
      <w:rPr>
        <w:sz w:val="16"/>
        <w:szCs w:val="22"/>
      </w:rPr>
    </w:pPr>
  </w:p>
  <w:p w14:paraId="6CF30CE2" w14:textId="77777777" w:rsidR="006E3853" w:rsidRDefault="006E3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81AE" w14:textId="77777777" w:rsidR="0053595B" w:rsidRDefault="0053595B" w:rsidP="00E10040">
      <w:r>
        <w:separator/>
      </w:r>
    </w:p>
  </w:footnote>
  <w:footnote w:type="continuationSeparator" w:id="0">
    <w:p w14:paraId="0C09053C" w14:textId="77777777" w:rsidR="0053595B" w:rsidRDefault="0053595B" w:rsidP="00E10040">
      <w:r>
        <w:continuationSeparator/>
      </w:r>
    </w:p>
  </w:footnote>
  <w:footnote w:id="1">
    <w:p w14:paraId="09BAC3BA" w14:textId="16EDA02B" w:rsidR="006E3853" w:rsidRPr="00D748E6" w:rsidRDefault="006E3853" w:rsidP="00887ED4">
      <w:pPr>
        <w:pStyle w:val="FootnoteText"/>
        <w:ind w:firstLine="720"/>
        <w:jc w:val="both"/>
        <w:rPr>
          <w:rFonts w:ascii="Cambria" w:hAnsi="Cambria"/>
          <w:lang w:val="es-VE"/>
        </w:rPr>
      </w:pPr>
      <w:r w:rsidRPr="00D748E6">
        <w:rPr>
          <w:rStyle w:val="FootnoteReference"/>
          <w:rFonts w:ascii="Cambria" w:hAnsi="Cambria"/>
          <w:sz w:val="16"/>
          <w:szCs w:val="16"/>
        </w:rPr>
        <w:footnoteRef/>
      </w:r>
      <w:r w:rsidRPr="00D748E6">
        <w:rPr>
          <w:rFonts w:ascii="Cambria" w:hAnsi="Cambria"/>
          <w:sz w:val="16"/>
          <w:szCs w:val="16"/>
          <w:lang w:val="es-VE"/>
        </w:rPr>
        <w:t xml:space="preserve"> La petición identifica a Francisco Javier Espinosa</w:t>
      </w:r>
      <w:r>
        <w:rPr>
          <w:rFonts w:ascii="Cambria" w:hAnsi="Cambria"/>
          <w:sz w:val="16"/>
          <w:szCs w:val="16"/>
          <w:lang w:val="es-VE"/>
        </w:rPr>
        <w:t xml:space="preserve"> y </w:t>
      </w:r>
      <w:r w:rsidRPr="00D748E6">
        <w:rPr>
          <w:rFonts w:ascii="Cambria" w:hAnsi="Cambria"/>
          <w:sz w:val="16"/>
          <w:szCs w:val="16"/>
          <w:lang w:val="es-VE"/>
        </w:rPr>
        <w:t>Marta Rocío Pérez Peña como padre y madre, respectivamente</w:t>
      </w:r>
      <w:r w:rsidR="00B25033">
        <w:rPr>
          <w:rFonts w:ascii="Cambria" w:hAnsi="Cambria"/>
          <w:sz w:val="16"/>
          <w:szCs w:val="16"/>
          <w:lang w:val="es-VE"/>
        </w:rPr>
        <w:t>,</w:t>
      </w:r>
      <w:r w:rsidRPr="00D748E6">
        <w:rPr>
          <w:rFonts w:ascii="Cambria" w:hAnsi="Cambria"/>
          <w:sz w:val="16"/>
          <w:szCs w:val="16"/>
          <w:lang w:val="es-VE"/>
        </w:rPr>
        <w:t xml:space="preserve"> de la presunta víctima.</w:t>
      </w:r>
    </w:p>
  </w:footnote>
  <w:footnote w:id="2">
    <w:p w14:paraId="35A3B7D2" w14:textId="2E4FE091" w:rsidR="006E3853" w:rsidRPr="00281A45" w:rsidRDefault="006E3853" w:rsidP="00887ED4">
      <w:pPr>
        <w:pStyle w:val="FootnoteText"/>
        <w:ind w:firstLine="720"/>
        <w:jc w:val="both"/>
        <w:rPr>
          <w:rFonts w:ascii="Cambria" w:hAnsi="Cambria"/>
          <w:sz w:val="16"/>
          <w:szCs w:val="16"/>
          <w:lang w:val="es-ES"/>
        </w:rPr>
      </w:pPr>
      <w:r w:rsidRPr="00E10040">
        <w:rPr>
          <w:rStyle w:val="FootnoteReference"/>
          <w:rFonts w:ascii="Cambria" w:hAnsi="Cambria"/>
          <w:sz w:val="16"/>
          <w:szCs w:val="16"/>
        </w:rPr>
        <w:footnoteRef/>
      </w:r>
      <w:r w:rsidRPr="00E10040">
        <w:rPr>
          <w:rFonts w:ascii="Cambria" w:hAnsi="Cambria"/>
          <w:sz w:val="16"/>
          <w:szCs w:val="16"/>
          <w:lang w:val="es-ES"/>
        </w:rPr>
        <w:t xml:space="preserve"> Conforme a lo </w:t>
      </w:r>
      <w:r w:rsidRPr="00281A45">
        <w:rPr>
          <w:rFonts w:ascii="Cambria" w:hAnsi="Cambria"/>
          <w:sz w:val="16"/>
          <w:szCs w:val="16"/>
          <w:lang w:val="es-ES"/>
        </w:rPr>
        <w:t>dispuesto en el artículo 17.2</w:t>
      </w:r>
      <w:r w:rsidR="00B25033">
        <w:rPr>
          <w:rFonts w:ascii="Cambria" w:hAnsi="Cambria"/>
          <w:sz w:val="16"/>
          <w:szCs w:val="16"/>
          <w:lang w:val="es-ES"/>
        </w:rPr>
        <w:t>(</w:t>
      </w:r>
      <w:r w:rsidRPr="00281A45">
        <w:rPr>
          <w:rFonts w:ascii="Cambria" w:hAnsi="Cambria"/>
          <w:sz w:val="16"/>
          <w:szCs w:val="16"/>
          <w:lang w:val="es-ES"/>
        </w:rPr>
        <w:t>a</w:t>
      </w:r>
      <w:r w:rsidR="00B25033">
        <w:rPr>
          <w:rFonts w:ascii="Cambria" w:hAnsi="Cambria"/>
          <w:sz w:val="16"/>
          <w:szCs w:val="16"/>
          <w:lang w:val="es-ES"/>
        </w:rPr>
        <w:t>)</w:t>
      </w:r>
      <w:r w:rsidRPr="00281A45">
        <w:rPr>
          <w:rFonts w:ascii="Cambria" w:hAnsi="Cambria"/>
          <w:sz w:val="16"/>
          <w:szCs w:val="16"/>
          <w:lang w:val="es-ES"/>
        </w:rPr>
        <w:t xml:space="preserve"> del Reglamento de la C</w:t>
      </w:r>
      <w:r w:rsidR="00B25033">
        <w:rPr>
          <w:rFonts w:ascii="Cambria" w:hAnsi="Cambria"/>
          <w:sz w:val="16"/>
          <w:szCs w:val="16"/>
          <w:lang w:val="es-ES"/>
        </w:rPr>
        <w:t>IDH</w:t>
      </w:r>
      <w:r w:rsidRPr="00281A45">
        <w:rPr>
          <w:rFonts w:ascii="Cambria" w:hAnsi="Cambria"/>
          <w:sz w:val="16"/>
          <w:szCs w:val="16"/>
          <w:lang w:val="es-ES"/>
        </w:rPr>
        <w:t xml:space="preserve">, el Comisionado </w:t>
      </w:r>
      <w:r>
        <w:rPr>
          <w:rFonts w:ascii="Cambria" w:hAnsi="Cambria"/>
          <w:sz w:val="16"/>
          <w:szCs w:val="16"/>
          <w:lang w:val="es-ES"/>
        </w:rPr>
        <w:t>Joel Hernández García</w:t>
      </w:r>
      <w:r w:rsidRPr="00281A45">
        <w:rPr>
          <w:rFonts w:ascii="Cambria" w:hAnsi="Cambria"/>
          <w:sz w:val="16"/>
          <w:szCs w:val="16"/>
          <w:lang w:val="es-ES"/>
        </w:rPr>
        <w:t xml:space="preserve">, de nacionalidad </w:t>
      </w:r>
      <w:r>
        <w:rPr>
          <w:rFonts w:ascii="Cambria" w:hAnsi="Cambria"/>
          <w:sz w:val="16"/>
          <w:szCs w:val="16"/>
          <w:lang w:val="es-ES"/>
        </w:rPr>
        <w:t>mexicana</w:t>
      </w:r>
      <w:r w:rsidRPr="00281A45">
        <w:rPr>
          <w:rFonts w:ascii="Cambria" w:hAnsi="Cambria"/>
          <w:sz w:val="16"/>
          <w:szCs w:val="16"/>
          <w:lang w:val="es-ES"/>
        </w:rPr>
        <w:t>, no participó en el debate ni en la decisión del presente asunto.</w:t>
      </w:r>
    </w:p>
  </w:footnote>
  <w:footnote w:id="3">
    <w:p w14:paraId="1E4B8EEC" w14:textId="629751EA" w:rsidR="006E3853" w:rsidRPr="00281A45" w:rsidRDefault="006E3853" w:rsidP="00887ED4">
      <w:pPr>
        <w:pStyle w:val="FootnoteText"/>
        <w:ind w:firstLine="720"/>
        <w:jc w:val="both"/>
        <w:rPr>
          <w:rFonts w:ascii="Cambria" w:hAnsi="Cambria"/>
          <w:sz w:val="16"/>
          <w:szCs w:val="16"/>
          <w:lang w:val="es-VE"/>
        </w:rPr>
      </w:pPr>
      <w:r w:rsidRPr="00281A45">
        <w:rPr>
          <w:rStyle w:val="FootnoteReference"/>
          <w:rFonts w:ascii="Cambria" w:hAnsi="Cambria"/>
          <w:sz w:val="16"/>
          <w:szCs w:val="16"/>
        </w:rPr>
        <w:footnoteRef/>
      </w:r>
      <w:r w:rsidRPr="00281A45">
        <w:rPr>
          <w:rFonts w:ascii="Cambria" w:hAnsi="Cambria"/>
          <w:sz w:val="16"/>
          <w:szCs w:val="16"/>
          <w:lang w:val="es-VE"/>
        </w:rPr>
        <w:t xml:space="preserve"> En adelante “Convención Americana”</w:t>
      </w:r>
      <w:r w:rsidR="00B25033">
        <w:rPr>
          <w:rFonts w:ascii="Cambria" w:hAnsi="Cambria"/>
          <w:sz w:val="16"/>
          <w:szCs w:val="16"/>
          <w:lang w:val="es-VE"/>
        </w:rPr>
        <w:t>.</w:t>
      </w:r>
    </w:p>
  </w:footnote>
  <w:footnote w:id="4">
    <w:p w14:paraId="64CFC33C" w14:textId="77777777" w:rsidR="006E3853" w:rsidRPr="00E10040" w:rsidRDefault="006E3853" w:rsidP="00887ED4">
      <w:pPr>
        <w:pStyle w:val="FootnoteText"/>
        <w:ind w:firstLine="720"/>
        <w:jc w:val="both"/>
        <w:rPr>
          <w:rFonts w:ascii="Cambria" w:hAnsi="Cambria"/>
          <w:sz w:val="16"/>
          <w:szCs w:val="16"/>
          <w:lang w:val="es-ES"/>
        </w:rPr>
      </w:pPr>
      <w:r w:rsidRPr="00281A45">
        <w:rPr>
          <w:rStyle w:val="FootnoteReference"/>
          <w:rFonts w:ascii="Cambria" w:hAnsi="Cambria"/>
          <w:sz w:val="16"/>
          <w:szCs w:val="16"/>
        </w:rPr>
        <w:footnoteRef/>
      </w:r>
      <w:r w:rsidRPr="00281A45">
        <w:rPr>
          <w:rFonts w:ascii="Cambria" w:hAnsi="Cambria"/>
          <w:sz w:val="16"/>
          <w:szCs w:val="16"/>
          <w:lang w:val="es-ES"/>
        </w:rPr>
        <w:t xml:space="preserve"> Las observaciones de cada parte fueron debidamente trasladadas a la parte contraria</w:t>
      </w:r>
      <w:r w:rsidRPr="00E10040">
        <w:rPr>
          <w:rFonts w:ascii="Cambria" w:hAnsi="Cambria"/>
          <w:sz w:val="16"/>
          <w:szCs w:val="16"/>
          <w:lang w:val="es-ES"/>
        </w:rPr>
        <w:t>.</w:t>
      </w:r>
    </w:p>
  </w:footnote>
  <w:footnote w:id="5">
    <w:p w14:paraId="0DF478B5" w14:textId="77777777" w:rsidR="006E3853" w:rsidRDefault="006E3853" w:rsidP="00887ED4">
      <w:pPr>
        <w:pStyle w:val="FootnoteText"/>
        <w:ind w:firstLine="720"/>
        <w:jc w:val="both"/>
        <w:rPr>
          <w:rFonts w:ascii="Cambria" w:hAnsi="Cambria"/>
          <w:sz w:val="16"/>
          <w:szCs w:val="16"/>
          <w:lang w:val="es-ES_tradnl"/>
        </w:rPr>
      </w:pPr>
      <w:r>
        <w:rPr>
          <w:rStyle w:val="FootnoteReference"/>
          <w:rFonts w:ascii="Cambria" w:hAnsi="Cambria"/>
          <w:sz w:val="16"/>
          <w:szCs w:val="16"/>
        </w:rPr>
        <w:footnoteRef/>
      </w:r>
      <w:r>
        <w:rPr>
          <w:rFonts w:ascii="Cambria" w:hAnsi="Cambria"/>
          <w:sz w:val="16"/>
          <w:szCs w:val="16"/>
          <w:lang w:val="es-ES"/>
        </w:rPr>
        <w:t xml:space="preserve"> CIDH, Informe No. 78/16, Petición 1170-09. Admisibilidad. </w:t>
      </w:r>
      <w:r>
        <w:rPr>
          <w:rFonts w:ascii="Cambria" w:hAnsi="Cambria"/>
          <w:sz w:val="16"/>
          <w:szCs w:val="16"/>
          <w:lang w:val="pt-BR"/>
        </w:rPr>
        <w:t xml:space="preserve">Almir Muniz Da Silva. Brasil. </w:t>
      </w:r>
      <w:r>
        <w:rPr>
          <w:rFonts w:ascii="Cambria" w:hAnsi="Cambria"/>
          <w:sz w:val="16"/>
          <w:szCs w:val="16"/>
          <w:lang w:val="es-ES"/>
        </w:rPr>
        <w:t>30 de diciembre de 2016, párr. 31; y CIDH, Informe No. 156/17, Petición 585-08. Admisibilidad. Carlos Alfonso Fonseca Murillo. Ecuador. 30 de noviembre de 2017, párr. 13.</w:t>
      </w:r>
    </w:p>
  </w:footnote>
  <w:footnote w:id="6">
    <w:p w14:paraId="18444E2E" w14:textId="77777777" w:rsidR="006E3853" w:rsidRDefault="006E3853" w:rsidP="00887ED4">
      <w:pPr>
        <w:pStyle w:val="FootnoteText"/>
        <w:ind w:firstLine="720"/>
        <w:jc w:val="both"/>
        <w:rPr>
          <w:rFonts w:ascii="Cambria" w:hAnsi="Cambria"/>
          <w:sz w:val="16"/>
          <w:szCs w:val="16"/>
          <w:bdr w:val="none" w:sz="0" w:space="0" w:color="auto"/>
          <w:lang w:val="es-VE"/>
        </w:rPr>
      </w:pPr>
      <w:r>
        <w:rPr>
          <w:rStyle w:val="FootnoteReference"/>
          <w:rFonts w:ascii="Cambria" w:hAnsi="Cambria"/>
          <w:sz w:val="16"/>
          <w:szCs w:val="16"/>
          <w:lang w:val="es-VE"/>
        </w:rPr>
        <w:footnoteRef/>
      </w:r>
      <w:r>
        <w:rPr>
          <w:rFonts w:ascii="Cambria" w:hAnsi="Cambria"/>
          <w:sz w:val="16"/>
          <w:szCs w:val="16"/>
          <w:lang w:val="es-VE"/>
        </w:rPr>
        <w:t xml:space="preserve"> CIDH, Informe No. 159/17, Petición 712-08, Admisibilidad, Sebastián </w:t>
      </w:r>
      <w:proofErr w:type="spellStart"/>
      <w:r>
        <w:rPr>
          <w:rFonts w:ascii="Cambria" w:hAnsi="Cambria"/>
          <w:sz w:val="16"/>
          <w:szCs w:val="16"/>
          <w:lang w:val="es-VE"/>
        </w:rPr>
        <w:t>Larroza</w:t>
      </w:r>
      <w:proofErr w:type="spellEnd"/>
      <w:r>
        <w:rPr>
          <w:rFonts w:ascii="Cambria" w:hAnsi="Cambria"/>
          <w:sz w:val="16"/>
          <w:szCs w:val="16"/>
          <w:lang w:val="es-VE"/>
        </w:rPr>
        <w:t xml:space="preserve"> Velázquez y familia, Paraguay, 30 de noviembre de 2017, párr. 14; CIDH, Informe No. 108/19, Petición 81-09, Admisibilidad, Anael Fidel </w:t>
      </w:r>
      <w:proofErr w:type="spellStart"/>
      <w:r>
        <w:rPr>
          <w:rFonts w:ascii="Cambria" w:hAnsi="Cambria"/>
          <w:sz w:val="16"/>
          <w:szCs w:val="16"/>
          <w:lang w:val="es-VE"/>
        </w:rPr>
        <w:t>Sanjuanelo</w:t>
      </w:r>
      <w:proofErr w:type="spellEnd"/>
      <w:r>
        <w:rPr>
          <w:rFonts w:ascii="Cambria" w:hAnsi="Cambria"/>
          <w:sz w:val="16"/>
          <w:szCs w:val="16"/>
          <w:lang w:val="es-VE"/>
        </w:rPr>
        <w:t xml:space="preserve"> Polo y familia, Colombia, 28 de julio de 2019, párr. 17-19.</w:t>
      </w:r>
    </w:p>
  </w:footnote>
  <w:footnote w:id="7">
    <w:p w14:paraId="32BA0252" w14:textId="77777777" w:rsidR="00405A02" w:rsidRDefault="00405A02" w:rsidP="00887ED4">
      <w:pPr>
        <w:pStyle w:val="FootnoteText"/>
        <w:ind w:firstLine="720"/>
        <w:jc w:val="both"/>
        <w:rPr>
          <w:rFonts w:ascii="Cambria" w:hAnsi="Cambria"/>
          <w:lang w:val="es-VE"/>
        </w:rPr>
      </w:pPr>
      <w:r>
        <w:rPr>
          <w:rStyle w:val="FootnoteReference"/>
          <w:rFonts w:ascii="Cambria" w:hAnsi="Cambria"/>
          <w:sz w:val="16"/>
          <w:szCs w:val="16"/>
          <w:lang w:val="es-VE"/>
        </w:rPr>
        <w:footnoteRef/>
      </w:r>
      <w:r>
        <w:rPr>
          <w:rFonts w:ascii="Cambria" w:hAnsi="Cambria"/>
          <w:sz w:val="16"/>
          <w:szCs w:val="16"/>
          <w:lang w:val="es-VE"/>
        </w:rPr>
        <w:t xml:space="preserve"> CIDH, Informe No. 42/18. Petición 663-07. Admisibilidad. Familias desplazadas de la Hacienda </w:t>
      </w:r>
      <w:proofErr w:type="spellStart"/>
      <w:r>
        <w:rPr>
          <w:rFonts w:ascii="Cambria" w:hAnsi="Cambria"/>
          <w:sz w:val="16"/>
          <w:szCs w:val="16"/>
          <w:lang w:val="es-VE"/>
        </w:rPr>
        <w:t>Bellacruz</w:t>
      </w:r>
      <w:proofErr w:type="spellEnd"/>
      <w:r>
        <w:rPr>
          <w:rFonts w:ascii="Cambria" w:hAnsi="Cambria"/>
          <w:sz w:val="16"/>
          <w:szCs w:val="16"/>
          <w:lang w:val="es-VE"/>
        </w:rPr>
        <w:t>. Colombia. 4 de mayo de 2018, párr. 18.</w:t>
      </w:r>
    </w:p>
  </w:footnote>
  <w:footnote w:id="8">
    <w:p w14:paraId="0846EA1C" w14:textId="77777777" w:rsidR="006E3853" w:rsidRDefault="006E3853" w:rsidP="00887ED4">
      <w:pPr>
        <w:pStyle w:val="FootnoteText"/>
        <w:ind w:firstLine="720"/>
        <w:jc w:val="both"/>
        <w:rPr>
          <w:rFonts w:ascii="Cambria" w:hAnsi="Cambria"/>
          <w:sz w:val="16"/>
          <w:szCs w:val="16"/>
          <w:lang w:val="es-VE"/>
        </w:rPr>
      </w:pPr>
      <w:r>
        <w:rPr>
          <w:rStyle w:val="FootnoteReference"/>
          <w:rFonts w:ascii="Cambria" w:hAnsi="Cambria"/>
          <w:sz w:val="16"/>
          <w:szCs w:val="16"/>
          <w:lang w:val="es-VE"/>
        </w:rPr>
        <w:footnoteRef/>
      </w:r>
      <w:r>
        <w:rPr>
          <w:rFonts w:ascii="Cambria" w:hAnsi="Cambria"/>
          <w:sz w:val="16"/>
          <w:szCs w:val="16"/>
          <w:lang w:val="es-VE"/>
        </w:rPr>
        <w:t xml:space="preserve"> CIDH. Informe No. 1/18. Petición 137-07. Admisibilidad. Mirta Elizabeth Canelo Castaño y Carla Paola Canelo. Argentina. 24 de febrero de 2018, párr. 10.</w:t>
      </w:r>
    </w:p>
  </w:footnote>
  <w:footnote w:id="9">
    <w:p w14:paraId="238FFBE1" w14:textId="77777777" w:rsidR="006E3853" w:rsidRDefault="006E3853" w:rsidP="00887ED4">
      <w:pPr>
        <w:pStyle w:val="FootnoteText"/>
        <w:ind w:firstLine="720"/>
        <w:jc w:val="both"/>
        <w:rPr>
          <w:rFonts w:ascii="Cambria" w:hAnsi="Cambria"/>
          <w:sz w:val="16"/>
          <w:szCs w:val="16"/>
          <w:lang w:val="es-VE"/>
        </w:rPr>
      </w:pPr>
      <w:r>
        <w:rPr>
          <w:rStyle w:val="FootnoteReference"/>
          <w:rFonts w:ascii="Cambria" w:hAnsi="Cambria"/>
          <w:sz w:val="16"/>
          <w:szCs w:val="16"/>
          <w:lang w:val="es-VE"/>
        </w:rPr>
        <w:footnoteRef/>
      </w:r>
      <w:r>
        <w:rPr>
          <w:rFonts w:ascii="Cambria" w:hAnsi="Cambria"/>
          <w:sz w:val="16"/>
          <w:szCs w:val="16"/>
          <w:lang w:val="es-VE"/>
        </w:rPr>
        <w:t xml:space="preserve"> CIDH. Informe No. 53/17. Petición 1285-04. Admisibilidad. Dora Inés Meneses Gómez y otros. Colombia. 25 de mayo de 2017, párr. 38.</w:t>
      </w:r>
    </w:p>
  </w:footnote>
  <w:footnote w:id="10">
    <w:p w14:paraId="38CF32F1" w14:textId="77777777" w:rsidR="006E3853" w:rsidRDefault="006E3853" w:rsidP="00887ED4">
      <w:pPr>
        <w:pStyle w:val="FootnoteText"/>
        <w:ind w:firstLine="720"/>
        <w:jc w:val="both"/>
        <w:rPr>
          <w:rFonts w:ascii="Cambria" w:hAnsi="Cambria"/>
          <w:sz w:val="16"/>
          <w:szCs w:val="16"/>
          <w:lang w:val="es-VE"/>
        </w:rPr>
      </w:pPr>
      <w:r>
        <w:rPr>
          <w:rStyle w:val="FootnoteReference"/>
          <w:rFonts w:ascii="Cambria" w:hAnsi="Cambria"/>
          <w:sz w:val="16"/>
          <w:szCs w:val="16"/>
        </w:rPr>
        <w:footnoteRef/>
      </w:r>
      <w:r>
        <w:rPr>
          <w:rFonts w:ascii="Cambria" w:hAnsi="Cambria"/>
          <w:sz w:val="16"/>
          <w:szCs w:val="16"/>
          <w:lang w:val="es-VE"/>
        </w:rPr>
        <w:t xml:space="preserve"> </w:t>
      </w:r>
      <w:r>
        <w:rPr>
          <w:rFonts w:ascii="Cambria" w:hAnsi="Cambria"/>
          <w:sz w:val="16"/>
          <w:szCs w:val="16"/>
          <w:lang w:val="es-ES"/>
        </w:rPr>
        <w:t xml:space="preserve">CIDH, Informe No. 87/08, Petición 558-05. Admisibilidad. Jeremy Smith. Jamaica. 30 de octubre de 2008, párr. 36. </w:t>
      </w:r>
    </w:p>
  </w:footnote>
  <w:footnote w:id="11">
    <w:p w14:paraId="623D7F4D" w14:textId="77777777" w:rsidR="006E3853" w:rsidRDefault="006E3853" w:rsidP="00887ED4">
      <w:pPr>
        <w:pStyle w:val="FootnoteText"/>
        <w:ind w:firstLine="720"/>
        <w:jc w:val="both"/>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ES"/>
        </w:rPr>
        <w:t xml:space="preserve"> CIDH, Informe No. 27/17, Petición 1653-07. Admisibilidad. Desplazamiento Forzado en Nueva Venecia, Caño El Clarín y Buena Vista. Colombia. 18 de marzo de 2017, </w:t>
      </w:r>
      <w:proofErr w:type="spellStart"/>
      <w:r>
        <w:rPr>
          <w:rFonts w:ascii="Cambria" w:hAnsi="Cambria"/>
          <w:sz w:val="16"/>
          <w:szCs w:val="16"/>
          <w:lang w:val="es-ES"/>
        </w:rPr>
        <w:t>párrs</w:t>
      </w:r>
      <w:proofErr w:type="spellEnd"/>
      <w:r>
        <w:rPr>
          <w:rFonts w:ascii="Cambria" w:hAnsi="Cambria"/>
          <w:sz w:val="16"/>
          <w:szCs w:val="16"/>
          <w:lang w:val="es-ES"/>
        </w:rPr>
        <w:t>. 9 y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6E3853" w:rsidRDefault="006E3853" w:rsidP="006E385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6E3853" w:rsidRDefault="006E3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6E3853" w:rsidRDefault="006E3853" w:rsidP="006E3853">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6E3853" w:rsidRPr="00EC7D62" w:rsidRDefault="0053595B" w:rsidP="006E3853">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E281B"/>
    <w:multiLevelType w:val="hybridMultilevel"/>
    <w:tmpl w:val="F2D67CA4"/>
    <w:lvl w:ilvl="0" w:tplc="2F0E790E">
      <w:start w:val="1"/>
      <w:numFmt w:val="decimal"/>
      <w:lvlText w:val="%1."/>
      <w:lvlJc w:val="left"/>
      <w:pPr>
        <w:tabs>
          <w:tab w:val="num" w:pos="720"/>
        </w:tabs>
        <w:ind w:left="0" w:firstLine="720"/>
      </w:pPr>
      <w:rPr>
        <w:rFonts w:hint="default"/>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F75AD"/>
    <w:multiLevelType w:val="hybridMultilevel"/>
    <w:tmpl w:val="D9E60CD4"/>
    <w:lvl w:ilvl="0" w:tplc="97B2FDA0">
      <w:start w:val="1"/>
      <w:numFmt w:val="decimal"/>
      <w:lvlText w:val="%1."/>
      <w:lvlJc w:val="left"/>
      <w:pPr>
        <w:ind w:left="720" w:hanging="360"/>
      </w:pPr>
      <w:rPr>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Mbc0NTE1MTYzMDFS0lEKTi0uzszPAykwrAUAsEEN4SwAAAA="/>
  </w:docVars>
  <w:rsids>
    <w:rsidRoot w:val="00E10040"/>
    <w:rsid w:val="00016B42"/>
    <w:rsid w:val="0003188C"/>
    <w:rsid w:val="000666D6"/>
    <w:rsid w:val="00071926"/>
    <w:rsid w:val="00141BA1"/>
    <w:rsid w:val="00180B32"/>
    <w:rsid w:val="001B56AB"/>
    <w:rsid w:val="001F69B9"/>
    <w:rsid w:val="00212C26"/>
    <w:rsid w:val="0025428C"/>
    <w:rsid w:val="00281A45"/>
    <w:rsid w:val="002A19B3"/>
    <w:rsid w:val="00393FD8"/>
    <w:rsid w:val="00405A02"/>
    <w:rsid w:val="00466DB7"/>
    <w:rsid w:val="004C522B"/>
    <w:rsid w:val="004F5BDD"/>
    <w:rsid w:val="0053595B"/>
    <w:rsid w:val="00536FAE"/>
    <w:rsid w:val="00545F88"/>
    <w:rsid w:val="005907E4"/>
    <w:rsid w:val="005B5A6E"/>
    <w:rsid w:val="00636734"/>
    <w:rsid w:val="0064589C"/>
    <w:rsid w:val="00645AB8"/>
    <w:rsid w:val="006D43EA"/>
    <w:rsid w:val="006E3853"/>
    <w:rsid w:val="00714E32"/>
    <w:rsid w:val="00725F27"/>
    <w:rsid w:val="007543A1"/>
    <w:rsid w:val="00777FE8"/>
    <w:rsid w:val="007B6D25"/>
    <w:rsid w:val="007E5E89"/>
    <w:rsid w:val="00810E3E"/>
    <w:rsid w:val="00844AF5"/>
    <w:rsid w:val="0085497B"/>
    <w:rsid w:val="00887ED4"/>
    <w:rsid w:val="00895530"/>
    <w:rsid w:val="008C61C6"/>
    <w:rsid w:val="00946D39"/>
    <w:rsid w:val="00A11238"/>
    <w:rsid w:val="00A42F52"/>
    <w:rsid w:val="00B170C0"/>
    <w:rsid w:val="00B25033"/>
    <w:rsid w:val="00B263D3"/>
    <w:rsid w:val="00B4214F"/>
    <w:rsid w:val="00B90FD9"/>
    <w:rsid w:val="00D278A3"/>
    <w:rsid w:val="00D4646B"/>
    <w:rsid w:val="00D662AF"/>
    <w:rsid w:val="00D748E6"/>
    <w:rsid w:val="00DA1F0B"/>
    <w:rsid w:val="00DA3A9A"/>
    <w:rsid w:val="00DC277F"/>
    <w:rsid w:val="00E10040"/>
    <w:rsid w:val="00E33F1F"/>
    <w:rsid w:val="00E50A56"/>
    <w:rsid w:val="00EA0BA7"/>
    <w:rsid w:val="00F30DBF"/>
    <w:rsid w:val="00FA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3637">
      <w:bodyDiv w:val="1"/>
      <w:marLeft w:val="0"/>
      <w:marRight w:val="0"/>
      <w:marTop w:val="0"/>
      <w:marBottom w:val="0"/>
      <w:divBdr>
        <w:top w:val="none" w:sz="0" w:space="0" w:color="auto"/>
        <w:left w:val="none" w:sz="0" w:space="0" w:color="auto"/>
        <w:bottom w:val="none" w:sz="0" w:space="0" w:color="auto"/>
        <w:right w:val="none" w:sz="0" w:space="0" w:color="auto"/>
      </w:divBdr>
    </w:div>
    <w:div w:id="832186837">
      <w:bodyDiv w:val="1"/>
      <w:marLeft w:val="0"/>
      <w:marRight w:val="0"/>
      <w:marTop w:val="0"/>
      <w:marBottom w:val="0"/>
      <w:divBdr>
        <w:top w:val="none" w:sz="0" w:space="0" w:color="auto"/>
        <w:left w:val="none" w:sz="0" w:space="0" w:color="auto"/>
        <w:bottom w:val="none" w:sz="0" w:space="0" w:color="auto"/>
        <w:right w:val="none" w:sz="0" w:space="0" w:color="auto"/>
      </w:divBdr>
    </w:div>
    <w:div w:id="1254363236">
      <w:bodyDiv w:val="1"/>
      <w:marLeft w:val="0"/>
      <w:marRight w:val="0"/>
      <w:marTop w:val="0"/>
      <w:marBottom w:val="0"/>
      <w:divBdr>
        <w:top w:val="none" w:sz="0" w:space="0" w:color="auto"/>
        <w:left w:val="none" w:sz="0" w:space="0" w:color="auto"/>
        <w:bottom w:val="none" w:sz="0" w:space="0" w:color="auto"/>
        <w:right w:val="none" w:sz="0" w:space="0" w:color="auto"/>
      </w:divBdr>
    </w:div>
    <w:div w:id="1413042608">
      <w:bodyDiv w:val="1"/>
      <w:marLeft w:val="0"/>
      <w:marRight w:val="0"/>
      <w:marTop w:val="0"/>
      <w:marBottom w:val="0"/>
      <w:divBdr>
        <w:top w:val="none" w:sz="0" w:space="0" w:color="auto"/>
        <w:left w:val="none" w:sz="0" w:space="0" w:color="auto"/>
        <w:bottom w:val="none" w:sz="0" w:space="0" w:color="auto"/>
        <w:right w:val="none" w:sz="0" w:space="0" w:color="auto"/>
      </w:divBdr>
    </w:div>
    <w:div w:id="1493831769">
      <w:bodyDiv w:val="1"/>
      <w:marLeft w:val="0"/>
      <w:marRight w:val="0"/>
      <w:marTop w:val="0"/>
      <w:marBottom w:val="0"/>
      <w:divBdr>
        <w:top w:val="none" w:sz="0" w:space="0" w:color="auto"/>
        <w:left w:val="none" w:sz="0" w:space="0" w:color="auto"/>
        <w:bottom w:val="none" w:sz="0" w:space="0" w:color="auto"/>
        <w:right w:val="none" w:sz="0" w:space="0" w:color="auto"/>
      </w:divBdr>
    </w:div>
    <w:div w:id="18117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GillSans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2A"/>
    <w:rsid w:val="00395C23"/>
    <w:rsid w:val="00416690"/>
    <w:rsid w:val="00446307"/>
    <w:rsid w:val="007405B1"/>
    <w:rsid w:val="00815B4E"/>
    <w:rsid w:val="009C28DE"/>
    <w:rsid w:val="009F61D6"/>
    <w:rsid w:val="00BB0A2A"/>
    <w:rsid w:val="00DA6F9F"/>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2292</Words>
  <Characters>12199</Characters>
  <Application>Microsoft Office Word</Application>
  <DocSecurity>0</DocSecurity>
  <Lines>243</Lines>
  <Paragraphs>47</Paragraphs>
  <ScaleCrop>false</ScaleCrop>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225/21</dc:title>
  <dc:subject/>
  <dc:creator/>
  <cp:keywords/>
  <dc:description/>
  <cp:lastModifiedBy/>
  <cp:revision>1</cp:revision>
  <dcterms:created xsi:type="dcterms:W3CDTF">2021-10-06T13:44:00Z</dcterms:created>
  <dcterms:modified xsi:type="dcterms:W3CDTF">2021-10-06T13:44:00Z</dcterms:modified>
</cp:coreProperties>
</file>