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499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230457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705B1">
                              <w:rPr>
                                <w:rFonts w:asciiTheme="majorHAnsi" w:hAnsiTheme="majorHAnsi" w:cs="Arial"/>
                                <w:b/>
                                <w:bCs/>
                                <w:color w:val="0D0D0D" w:themeColor="text1" w:themeTint="F2"/>
                                <w:sz w:val="36"/>
                                <w:szCs w:val="22"/>
                                <w:lang w:val="es-ES_tradnl"/>
                              </w:rPr>
                              <w:t>31</w:t>
                            </w:r>
                            <w:r w:rsidR="00B556B3">
                              <w:rPr>
                                <w:rFonts w:asciiTheme="majorHAnsi" w:hAnsiTheme="majorHAnsi" w:cs="Arial"/>
                                <w:b/>
                                <w:bCs/>
                                <w:color w:val="0D0D0D" w:themeColor="text1" w:themeTint="F2"/>
                                <w:sz w:val="36"/>
                                <w:szCs w:val="22"/>
                                <w:lang w:val="es-ES_tradnl"/>
                              </w:rPr>
                              <w:t>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61ED7">
                              <w:rPr>
                                <w:rFonts w:asciiTheme="majorHAnsi" w:hAnsiTheme="majorHAnsi" w:cs="Arial"/>
                                <w:b/>
                                <w:bCs/>
                                <w:color w:val="0D0D0D" w:themeColor="text1" w:themeTint="F2"/>
                                <w:sz w:val="36"/>
                                <w:szCs w:val="22"/>
                                <w:lang w:val="es-ES_tradnl"/>
                              </w:rPr>
                              <w:t>1</w:t>
                            </w:r>
                          </w:p>
                          <w:p w14:paraId="09C54AB3" w14:textId="0A4025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61ED7">
                              <w:rPr>
                                <w:rFonts w:asciiTheme="majorHAnsi" w:hAnsiTheme="majorHAnsi" w:cs="Arial"/>
                                <w:b/>
                                <w:color w:val="0D0D0D" w:themeColor="text1" w:themeTint="F2"/>
                                <w:sz w:val="36"/>
                                <w:szCs w:val="22"/>
                                <w:lang w:val="es-ES_tradnl"/>
                              </w:rPr>
                              <w:t>307</w:t>
                            </w:r>
                            <w:r w:rsidR="00246D1F" w:rsidRPr="004E2649">
                              <w:rPr>
                                <w:rFonts w:asciiTheme="majorHAnsi" w:hAnsiTheme="majorHAnsi" w:cs="Arial"/>
                                <w:b/>
                                <w:color w:val="0D0D0D" w:themeColor="text1" w:themeTint="F2"/>
                                <w:sz w:val="36"/>
                                <w:szCs w:val="22"/>
                                <w:lang w:val="es-ES_tradnl"/>
                              </w:rPr>
                              <w:t>-</w:t>
                            </w:r>
                            <w:r w:rsidR="00961ED7">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9EF8AD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5068D0D" w14:textId="0D145B43" w:rsidR="005B52B0" w:rsidRPr="003F1566" w:rsidRDefault="003F1566" w:rsidP="00997BC5">
                            <w:pPr>
                              <w:spacing w:line="276" w:lineRule="auto"/>
                              <w:rPr>
                                <w:rFonts w:asciiTheme="majorHAnsi" w:hAnsiTheme="majorHAnsi" w:cs="Arial"/>
                                <w:color w:val="0D0D0D" w:themeColor="text1" w:themeTint="F2"/>
                                <w:szCs w:val="22"/>
                                <w:lang w:val="es-ES"/>
                              </w:rPr>
                            </w:pPr>
                            <w:r w:rsidRPr="003F1566">
                              <w:rPr>
                                <w:rFonts w:asciiTheme="majorHAnsi" w:hAnsiTheme="majorHAnsi" w:cs="Arial"/>
                                <w:color w:val="0D0D0D" w:themeColor="text1" w:themeTint="F2"/>
                                <w:szCs w:val="22"/>
                                <w:lang w:val="es-ES"/>
                              </w:rPr>
                              <w:t>MIGUEL ÁNGEL DIEZ G</w:t>
                            </w:r>
                            <w:r>
                              <w:rPr>
                                <w:rFonts w:asciiTheme="majorHAnsi" w:hAnsiTheme="majorHAnsi" w:cs="Arial"/>
                                <w:color w:val="0D0D0D" w:themeColor="text1" w:themeTint="F2"/>
                                <w:szCs w:val="22"/>
                                <w:lang w:val="es-ES"/>
                              </w:rPr>
                              <w:t>ARCÍA</w:t>
                            </w:r>
                            <w:r w:rsidR="00E9442C">
                              <w:rPr>
                                <w:rFonts w:asciiTheme="majorHAnsi" w:hAnsiTheme="majorHAnsi" w:cs="Arial"/>
                                <w:color w:val="0D0D0D" w:themeColor="text1" w:themeTint="F2"/>
                                <w:szCs w:val="22"/>
                                <w:lang w:val="es-ES"/>
                              </w:rPr>
                              <w:t xml:space="preserve"> Y OTROS</w:t>
                            </w:r>
                            <w:r>
                              <w:rPr>
                                <w:rFonts w:asciiTheme="majorHAnsi" w:hAnsiTheme="majorHAnsi" w:cs="Arial"/>
                                <w:color w:val="0D0D0D" w:themeColor="text1" w:themeTint="F2"/>
                                <w:szCs w:val="22"/>
                                <w:lang w:val="es-ES"/>
                              </w:rPr>
                              <w:tab/>
                            </w:r>
                          </w:p>
                          <w:p w14:paraId="3315A4DE" w14:textId="70D298BD" w:rsidR="00961ED7" w:rsidRPr="003F1566" w:rsidRDefault="00961ED7" w:rsidP="00997BC5">
                            <w:pPr>
                              <w:spacing w:line="276" w:lineRule="auto"/>
                              <w:rPr>
                                <w:rFonts w:asciiTheme="majorHAnsi" w:hAnsiTheme="majorHAnsi" w:cs="Arial"/>
                                <w:color w:val="0D0D0D" w:themeColor="text1" w:themeTint="F2"/>
                                <w:szCs w:val="22"/>
                                <w:lang w:val="es-ES"/>
                              </w:rPr>
                            </w:pPr>
                            <w:r w:rsidRPr="003F1566">
                              <w:rPr>
                                <w:rFonts w:asciiTheme="majorHAnsi" w:hAnsiTheme="majorHAnsi" w:cs="Arial"/>
                                <w:color w:val="0D0D0D" w:themeColor="text1" w:themeTint="F2"/>
                                <w:szCs w:val="22"/>
                                <w:lang w:val="es-ES"/>
                              </w:rPr>
                              <w:t>MÉXICO</w:t>
                            </w:r>
                          </w:p>
                          <w:p w14:paraId="575DFD52" w14:textId="5A3A8D2F" w:rsidR="005B52B0" w:rsidRPr="003F1566"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230457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705B1">
                        <w:rPr>
                          <w:rFonts w:asciiTheme="majorHAnsi" w:hAnsiTheme="majorHAnsi" w:cs="Arial"/>
                          <w:b/>
                          <w:bCs/>
                          <w:color w:val="0D0D0D" w:themeColor="text1" w:themeTint="F2"/>
                          <w:sz w:val="36"/>
                          <w:szCs w:val="22"/>
                          <w:lang w:val="es-ES_tradnl"/>
                        </w:rPr>
                        <w:t>31</w:t>
                      </w:r>
                      <w:r w:rsidR="00B556B3">
                        <w:rPr>
                          <w:rFonts w:asciiTheme="majorHAnsi" w:hAnsiTheme="majorHAnsi" w:cs="Arial"/>
                          <w:b/>
                          <w:bCs/>
                          <w:color w:val="0D0D0D" w:themeColor="text1" w:themeTint="F2"/>
                          <w:sz w:val="36"/>
                          <w:szCs w:val="22"/>
                          <w:lang w:val="es-ES_tradnl"/>
                        </w:rPr>
                        <w:t>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61ED7">
                        <w:rPr>
                          <w:rFonts w:asciiTheme="majorHAnsi" w:hAnsiTheme="majorHAnsi" w:cs="Arial"/>
                          <w:b/>
                          <w:bCs/>
                          <w:color w:val="0D0D0D" w:themeColor="text1" w:themeTint="F2"/>
                          <w:sz w:val="36"/>
                          <w:szCs w:val="22"/>
                          <w:lang w:val="es-ES_tradnl"/>
                        </w:rPr>
                        <w:t>1</w:t>
                      </w:r>
                    </w:p>
                    <w:p w14:paraId="09C54AB3" w14:textId="0A4025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61ED7">
                        <w:rPr>
                          <w:rFonts w:asciiTheme="majorHAnsi" w:hAnsiTheme="majorHAnsi" w:cs="Arial"/>
                          <w:b/>
                          <w:color w:val="0D0D0D" w:themeColor="text1" w:themeTint="F2"/>
                          <w:sz w:val="36"/>
                          <w:szCs w:val="22"/>
                          <w:lang w:val="es-ES_tradnl"/>
                        </w:rPr>
                        <w:t>307</w:t>
                      </w:r>
                      <w:r w:rsidR="00246D1F" w:rsidRPr="004E2649">
                        <w:rPr>
                          <w:rFonts w:asciiTheme="majorHAnsi" w:hAnsiTheme="majorHAnsi" w:cs="Arial"/>
                          <w:b/>
                          <w:color w:val="0D0D0D" w:themeColor="text1" w:themeTint="F2"/>
                          <w:sz w:val="36"/>
                          <w:szCs w:val="22"/>
                          <w:lang w:val="es-ES_tradnl"/>
                        </w:rPr>
                        <w:t>-</w:t>
                      </w:r>
                      <w:r w:rsidR="00961ED7">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9EF8AD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5068D0D" w14:textId="0D145B43" w:rsidR="005B52B0" w:rsidRPr="003F1566" w:rsidRDefault="003F1566" w:rsidP="00997BC5">
                      <w:pPr>
                        <w:spacing w:line="276" w:lineRule="auto"/>
                        <w:rPr>
                          <w:rFonts w:asciiTheme="majorHAnsi" w:hAnsiTheme="majorHAnsi" w:cs="Arial"/>
                          <w:color w:val="0D0D0D" w:themeColor="text1" w:themeTint="F2"/>
                          <w:szCs w:val="22"/>
                          <w:lang w:val="es-ES"/>
                        </w:rPr>
                      </w:pPr>
                      <w:r w:rsidRPr="003F1566">
                        <w:rPr>
                          <w:rFonts w:asciiTheme="majorHAnsi" w:hAnsiTheme="majorHAnsi" w:cs="Arial"/>
                          <w:color w:val="0D0D0D" w:themeColor="text1" w:themeTint="F2"/>
                          <w:szCs w:val="22"/>
                          <w:lang w:val="es-ES"/>
                        </w:rPr>
                        <w:t>MIGUEL ÁNGEL DIEZ G</w:t>
                      </w:r>
                      <w:r>
                        <w:rPr>
                          <w:rFonts w:asciiTheme="majorHAnsi" w:hAnsiTheme="majorHAnsi" w:cs="Arial"/>
                          <w:color w:val="0D0D0D" w:themeColor="text1" w:themeTint="F2"/>
                          <w:szCs w:val="22"/>
                          <w:lang w:val="es-ES"/>
                        </w:rPr>
                        <w:t>ARCÍA</w:t>
                      </w:r>
                      <w:r w:rsidR="00E9442C">
                        <w:rPr>
                          <w:rFonts w:asciiTheme="majorHAnsi" w:hAnsiTheme="majorHAnsi" w:cs="Arial"/>
                          <w:color w:val="0D0D0D" w:themeColor="text1" w:themeTint="F2"/>
                          <w:szCs w:val="22"/>
                          <w:lang w:val="es-ES"/>
                        </w:rPr>
                        <w:t xml:space="preserve"> Y OTROS</w:t>
                      </w:r>
                      <w:r>
                        <w:rPr>
                          <w:rFonts w:asciiTheme="majorHAnsi" w:hAnsiTheme="majorHAnsi" w:cs="Arial"/>
                          <w:color w:val="0D0D0D" w:themeColor="text1" w:themeTint="F2"/>
                          <w:szCs w:val="22"/>
                          <w:lang w:val="es-ES"/>
                        </w:rPr>
                        <w:tab/>
                      </w:r>
                    </w:p>
                    <w:p w14:paraId="3315A4DE" w14:textId="70D298BD" w:rsidR="00961ED7" w:rsidRPr="003F1566" w:rsidRDefault="00961ED7" w:rsidP="00997BC5">
                      <w:pPr>
                        <w:spacing w:line="276" w:lineRule="auto"/>
                        <w:rPr>
                          <w:rFonts w:asciiTheme="majorHAnsi" w:hAnsiTheme="majorHAnsi" w:cs="Arial"/>
                          <w:color w:val="0D0D0D" w:themeColor="text1" w:themeTint="F2"/>
                          <w:szCs w:val="22"/>
                          <w:lang w:val="es-ES"/>
                        </w:rPr>
                      </w:pPr>
                      <w:r w:rsidRPr="003F1566">
                        <w:rPr>
                          <w:rFonts w:asciiTheme="majorHAnsi" w:hAnsiTheme="majorHAnsi" w:cs="Arial"/>
                          <w:color w:val="0D0D0D" w:themeColor="text1" w:themeTint="F2"/>
                          <w:szCs w:val="22"/>
                          <w:lang w:val="es-ES"/>
                        </w:rPr>
                        <w:t>MÉXICO</w:t>
                      </w:r>
                    </w:p>
                    <w:p w14:paraId="575DFD52" w14:textId="5A3A8D2F" w:rsidR="005B52B0" w:rsidRPr="003F1566" w:rsidRDefault="005B52B0"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00B9A56" w:rsidR="00627C9F" w:rsidRPr="00B556B3" w:rsidRDefault="00834D49" w:rsidP="007A5817">
                            <w:pPr>
                              <w:spacing w:line="276" w:lineRule="auto"/>
                              <w:jc w:val="right"/>
                              <w:rPr>
                                <w:rFonts w:asciiTheme="minorHAnsi" w:hAnsiTheme="minorHAnsi"/>
                                <w:color w:val="FFFFFF" w:themeColor="background1"/>
                                <w:sz w:val="22"/>
                                <w:lang w:val="es-419"/>
                              </w:rPr>
                            </w:pPr>
                            <w:r w:rsidRPr="00B556B3">
                              <w:rPr>
                                <w:rFonts w:asciiTheme="minorHAnsi" w:hAnsiTheme="minorHAnsi"/>
                                <w:color w:val="FFFFFF" w:themeColor="background1"/>
                                <w:sz w:val="22"/>
                                <w:lang w:val="es-419"/>
                              </w:rPr>
                              <w:t>OEA/</w:t>
                            </w:r>
                            <w:proofErr w:type="spellStart"/>
                            <w:r w:rsidRPr="00B556B3">
                              <w:rPr>
                                <w:rFonts w:asciiTheme="minorHAnsi" w:hAnsiTheme="minorHAnsi"/>
                                <w:color w:val="FFFFFF" w:themeColor="background1"/>
                                <w:sz w:val="22"/>
                                <w:lang w:val="es-419"/>
                              </w:rPr>
                              <w:t>Ser.L</w:t>
                            </w:r>
                            <w:proofErr w:type="spellEnd"/>
                            <w:r w:rsidRPr="00B556B3">
                              <w:rPr>
                                <w:rFonts w:asciiTheme="minorHAnsi" w:hAnsiTheme="minorHAnsi"/>
                                <w:color w:val="FFFFFF" w:themeColor="background1"/>
                                <w:sz w:val="22"/>
                                <w:lang w:val="es-419"/>
                              </w:rPr>
                              <w:t>/V/II</w:t>
                            </w:r>
                          </w:p>
                          <w:p w14:paraId="6A41611B" w14:textId="599DC0C6" w:rsidR="00627C9F" w:rsidRPr="00B556B3" w:rsidRDefault="00627C9F" w:rsidP="007A5817">
                            <w:pPr>
                              <w:spacing w:line="276" w:lineRule="auto"/>
                              <w:jc w:val="right"/>
                              <w:rPr>
                                <w:rFonts w:asciiTheme="minorHAnsi" w:hAnsiTheme="minorHAnsi"/>
                                <w:color w:val="FFFFFF" w:themeColor="background1"/>
                                <w:sz w:val="22"/>
                                <w:lang w:val="es-419"/>
                              </w:rPr>
                            </w:pPr>
                            <w:r w:rsidRPr="00B556B3">
                              <w:rPr>
                                <w:rFonts w:asciiTheme="minorHAnsi" w:hAnsiTheme="minorHAnsi"/>
                                <w:color w:val="FFFFFF" w:themeColor="background1"/>
                                <w:sz w:val="22"/>
                                <w:lang w:val="es-419"/>
                              </w:rPr>
                              <w:t xml:space="preserve">Doc. </w:t>
                            </w:r>
                            <w:r w:rsidR="00F705B1" w:rsidRPr="00B556B3">
                              <w:rPr>
                                <w:rFonts w:asciiTheme="minorHAnsi" w:hAnsiTheme="minorHAnsi"/>
                                <w:color w:val="FFFFFF" w:themeColor="background1"/>
                                <w:sz w:val="22"/>
                                <w:lang w:val="es-419"/>
                              </w:rPr>
                              <w:t>32</w:t>
                            </w:r>
                            <w:r w:rsidR="00B556B3">
                              <w:rPr>
                                <w:rFonts w:asciiTheme="minorHAnsi" w:hAnsiTheme="minorHAnsi"/>
                                <w:color w:val="FFFFFF" w:themeColor="background1"/>
                                <w:sz w:val="22"/>
                                <w:lang w:val="es-419"/>
                              </w:rPr>
                              <w:t>1</w:t>
                            </w:r>
                          </w:p>
                          <w:p w14:paraId="69373ED2" w14:textId="0701E423" w:rsidR="00627C9F" w:rsidRPr="00C25ADB" w:rsidRDefault="00F705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61ED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00B9A56" w:rsidR="00627C9F" w:rsidRPr="00B556B3" w:rsidRDefault="00834D49" w:rsidP="007A5817">
                      <w:pPr>
                        <w:spacing w:line="276" w:lineRule="auto"/>
                        <w:jc w:val="right"/>
                        <w:rPr>
                          <w:rFonts w:asciiTheme="minorHAnsi" w:hAnsiTheme="minorHAnsi"/>
                          <w:color w:val="FFFFFF" w:themeColor="background1"/>
                          <w:sz w:val="22"/>
                          <w:lang w:val="es-419"/>
                        </w:rPr>
                      </w:pPr>
                      <w:r w:rsidRPr="00B556B3">
                        <w:rPr>
                          <w:rFonts w:asciiTheme="minorHAnsi" w:hAnsiTheme="minorHAnsi"/>
                          <w:color w:val="FFFFFF" w:themeColor="background1"/>
                          <w:sz w:val="22"/>
                          <w:lang w:val="es-419"/>
                        </w:rPr>
                        <w:t>OEA/</w:t>
                      </w:r>
                      <w:proofErr w:type="spellStart"/>
                      <w:r w:rsidRPr="00B556B3">
                        <w:rPr>
                          <w:rFonts w:asciiTheme="minorHAnsi" w:hAnsiTheme="minorHAnsi"/>
                          <w:color w:val="FFFFFF" w:themeColor="background1"/>
                          <w:sz w:val="22"/>
                          <w:lang w:val="es-419"/>
                        </w:rPr>
                        <w:t>Ser.L</w:t>
                      </w:r>
                      <w:proofErr w:type="spellEnd"/>
                      <w:r w:rsidRPr="00B556B3">
                        <w:rPr>
                          <w:rFonts w:asciiTheme="minorHAnsi" w:hAnsiTheme="minorHAnsi"/>
                          <w:color w:val="FFFFFF" w:themeColor="background1"/>
                          <w:sz w:val="22"/>
                          <w:lang w:val="es-419"/>
                        </w:rPr>
                        <w:t>/V/II</w:t>
                      </w:r>
                    </w:p>
                    <w:p w14:paraId="6A41611B" w14:textId="599DC0C6" w:rsidR="00627C9F" w:rsidRPr="00B556B3" w:rsidRDefault="00627C9F" w:rsidP="007A5817">
                      <w:pPr>
                        <w:spacing w:line="276" w:lineRule="auto"/>
                        <w:jc w:val="right"/>
                        <w:rPr>
                          <w:rFonts w:asciiTheme="minorHAnsi" w:hAnsiTheme="minorHAnsi"/>
                          <w:color w:val="FFFFFF" w:themeColor="background1"/>
                          <w:sz w:val="22"/>
                          <w:lang w:val="es-419"/>
                        </w:rPr>
                      </w:pPr>
                      <w:r w:rsidRPr="00B556B3">
                        <w:rPr>
                          <w:rFonts w:asciiTheme="minorHAnsi" w:hAnsiTheme="minorHAnsi"/>
                          <w:color w:val="FFFFFF" w:themeColor="background1"/>
                          <w:sz w:val="22"/>
                          <w:lang w:val="es-419"/>
                        </w:rPr>
                        <w:t xml:space="preserve">Doc. </w:t>
                      </w:r>
                      <w:r w:rsidR="00F705B1" w:rsidRPr="00B556B3">
                        <w:rPr>
                          <w:rFonts w:asciiTheme="minorHAnsi" w:hAnsiTheme="minorHAnsi"/>
                          <w:color w:val="FFFFFF" w:themeColor="background1"/>
                          <w:sz w:val="22"/>
                          <w:lang w:val="es-419"/>
                        </w:rPr>
                        <w:t>32</w:t>
                      </w:r>
                      <w:r w:rsidR="00B556B3">
                        <w:rPr>
                          <w:rFonts w:asciiTheme="minorHAnsi" w:hAnsiTheme="minorHAnsi"/>
                          <w:color w:val="FFFFFF" w:themeColor="background1"/>
                          <w:sz w:val="22"/>
                          <w:lang w:val="es-419"/>
                        </w:rPr>
                        <w:t>1</w:t>
                      </w:r>
                    </w:p>
                    <w:p w14:paraId="69373ED2" w14:textId="0701E423" w:rsidR="00627C9F" w:rsidRPr="00C25ADB" w:rsidRDefault="00F705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61ED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44C29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705B1">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F705B1">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9442C">
                              <w:rPr>
                                <w:rFonts w:asciiTheme="majorHAnsi" w:hAnsiTheme="majorHAnsi"/>
                                <w:color w:val="0D0D0D" w:themeColor="text1" w:themeTint="F2"/>
                                <w:sz w:val="18"/>
                                <w:szCs w:val="22"/>
                                <w:lang w:val="es-ES"/>
                              </w:rPr>
                              <w:t>1</w:t>
                            </w:r>
                            <w:r w:rsidR="00994BE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44C29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705B1">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F705B1">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9442C">
                        <w:rPr>
                          <w:rFonts w:asciiTheme="majorHAnsi" w:hAnsiTheme="majorHAnsi"/>
                          <w:color w:val="0D0D0D" w:themeColor="text1" w:themeTint="F2"/>
                          <w:sz w:val="18"/>
                          <w:szCs w:val="22"/>
                          <w:lang w:val="es-ES"/>
                        </w:rPr>
                        <w:t>1</w:t>
                      </w:r>
                      <w:r w:rsidR="00994BE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8F2D82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705B1" w:rsidRPr="00F705B1">
                              <w:rPr>
                                <w:rFonts w:asciiTheme="majorHAnsi" w:hAnsiTheme="majorHAnsi"/>
                                <w:color w:val="595959" w:themeColor="text1" w:themeTint="A6"/>
                                <w:sz w:val="18"/>
                                <w:szCs w:val="18"/>
                                <w:lang w:val="pt-BR"/>
                              </w:rPr>
                              <w:t>31</w:t>
                            </w:r>
                            <w:r w:rsidR="00B556B3">
                              <w:rPr>
                                <w:rFonts w:asciiTheme="majorHAnsi" w:hAnsiTheme="majorHAnsi"/>
                                <w:color w:val="595959" w:themeColor="text1" w:themeTint="A6"/>
                                <w:sz w:val="18"/>
                                <w:szCs w:val="18"/>
                                <w:lang w:val="pt-BR"/>
                              </w:rPr>
                              <w:t>1</w:t>
                            </w:r>
                            <w:r w:rsidR="007B05C4" w:rsidRPr="00F705B1">
                              <w:rPr>
                                <w:rFonts w:asciiTheme="majorHAnsi" w:hAnsiTheme="majorHAnsi"/>
                                <w:color w:val="595959" w:themeColor="text1" w:themeTint="A6"/>
                                <w:sz w:val="18"/>
                                <w:szCs w:val="18"/>
                                <w:lang w:val="pt-BR"/>
                              </w:rPr>
                              <w:t>/</w:t>
                            </w:r>
                            <w:r w:rsidR="00F705B1" w:rsidRPr="00F705B1">
                              <w:rPr>
                                <w:rFonts w:asciiTheme="majorHAnsi" w:hAnsiTheme="majorHAnsi"/>
                                <w:color w:val="595959" w:themeColor="text1" w:themeTint="A6"/>
                                <w:sz w:val="18"/>
                                <w:szCs w:val="18"/>
                                <w:lang w:val="pt-BR"/>
                              </w:rPr>
                              <w:t>21</w:t>
                            </w:r>
                            <w:r w:rsidRPr="00F705B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E9442C">
                              <w:rPr>
                                <w:rFonts w:asciiTheme="majorHAnsi" w:hAnsiTheme="majorHAnsi"/>
                                <w:color w:val="595959" w:themeColor="text1" w:themeTint="A6"/>
                                <w:sz w:val="18"/>
                                <w:szCs w:val="18"/>
                                <w:lang w:val="es-ES"/>
                              </w:rPr>
                              <w:t>307</w:t>
                            </w:r>
                            <w:r w:rsidR="000433C9">
                              <w:rPr>
                                <w:rFonts w:asciiTheme="majorHAnsi" w:hAnsiTheme="majorHAnsi"/>
                                <w:color w:val="595959" w:themeColor="text1" w:themeTint="A6"/>
                                <w:sz w:val="18"/>
                                <w:szCs w:val="18"/>
                                <w:lang w:val="es-ES"/>
                              </w:rPr>
                              <w:t>-</w:t>
                            </w:r>
                            <w:r w:rsidR="00E9442C">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E9442C">
                              <w:rPr>
                                <w:rFonts w:asciiTheme="majorHAnsi" w:hAnsiTheme="majorHAnsi"/>
                                <w:color w:val="595959" w:themeColor="text1" w:themeTint="A6"/>
                                <w:sz w:val="18"/>
                                <w:szCs w:val="18"/>
                                <w:lang w:val="es-ES_tradnl"/>
                              </w:rPr>
                              <w:t xml:space="preserve"> Miguel </w:t>
                            </w:r>
                            <w:r w:rsidR="00E9442C">
                              <w:rPr>
                                <w:rFonts w:asciiTheme="majorHAnsi" w:hAnsiTheme="majorHAnsi"/>
                                <w:color w:val="595959" w:themeColor="text1" w:themeTint="A6"/>
                                <w:sz w:val="18"/>
                                <w:szCs w:val="18"/>
                                <w:lang w:val="es-ES"/>
                              </w:rPr>
                              <w:t>Ángel Diez García y otros</w:t>
                            </w:r>
                            <w:r w:rsidRPr="00890650">
                              <w:rPr>
                                <w:rFonts w:asciiTheme="majorHAnsi" w:hAnsiTheme="majorHAnsi"/>
                                <w:color w:val="595959" w:themeColor="text1" w:themeTint="A6"/>
                                <w:sz w:val="18"/>
                                <w:szCs w:val="18"/>
                                <w:lang w:val="es-ES_tradnl"/>
                              </w:rPr>
                              <w:t xml:space="preserve">. </w:t>
                            </w:r>
                            <w:r w:rsidR="00E9442C">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705B1">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8F2D82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705B1" w:rsidRPr="00F705B1">
                        <w:rPr>
                          <w:rFonts w:asciiTheme="majorHAnsi" w:hAnsiTheme="majorHAnsi"/>
                          <w:color w:val="595959" w:themeColor="text1" w:themeTint="A6"/>
                          <w:sz w:val="18"/>
                          <w:szCs w:val="18"/>
                          <w:lang w:val="pt-BR"/>
                        </w:rPr>
                        <w:t>31</w:t>
                      </w:r>
                      <w:r w:rsidR="00B556B3">
                        <w:rPr>
                          <w:rFonts w:asciiTheme="majorHAnsi" w:hAnsiTheme="majorHAnsi"/>
                          <w:color w:val="595959" w:themeColor="text1" w:themeTint="A6"/>
                          <w:sz w:val="18"/>
                          <w:szCs w:val="18"/>
                          <w:lang w:val="pt-BR"/>
                        </w:rPr>
                        <w:t>1</w:t>
                      </w:r>
                      <w:r w:rsidR="007B05C4" w:rsidRPr="00F705B1">
                        <w:rPr>
                          <w:rFonts w:asciiTheme="majorHAnsi" w:hAnsiTheme="majorHAnsi"/>
                          <w:color w:val="595959" w:themeColor="text1" w:themeTint="A6"/>
                          <w:sz w:val="18"/>
                          <w:szCs w:val="18"/>
                          <w:lang w:val="pt-BR"/>
                        </w:rPr>
                        <w:t>/</w:t>
                      </w:r>
                      <w:r w:rsidR="00F705B1" w:rsidRPr="00F705B1">
                        <w:rPr>
                          <w:rFonts w:asciiTheme="majorHAnsi" w:hAnsiTheme="majorHAnsi"/>
                          <w:color w:val="595959" w:themeColor="text1" w:themeTint="A6"/>
                          <w:sz w:val="18"/>
                          <w:szCs w:val="18"/>
                          <w:lang w:val="pt-BR"/>
                        </w:rPr>
                        <w:t>21</w:t>
                      </w:r>
                      <w:r w:rsidRPr="00F705B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E9442C">
                        <w:rPr>
                          <w:rFonts w:asciiTheme="majorHAnsi" w:hAnsiTheme="majorHAnsi"/>
                          <w:color w:val="595959" w:themeColor="text1" w:themeTint="A6"/>
                          <w:sz w:val="18"/>
                          <w:szCs w:val="18"/>
                          <w:lang w:val="es-ES"/>
                        </w:rPr>
                        <w:t>307</w:t>
                      </w:r>
                      <w:r w:rsidR="000433C9">
                        <w:rPr>
                          <w:rFonts w:asciiTheme="majorHAnsi" w:hAnsiTheme="majorHAnsi"/>
                          <w:color w:val="595959" w:themeColor="text1" w:themeTint="A6"/>
                          <w:sz w:val="18"/>
                          <w:szCs w:val="18"/>
                          <w:lang w:val="es-ES"/>
                        </w:rPr>
                        <w:t>-</w:t>
                      </w:r>
                      <w:r w:rsidR="00E9442C">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E9442C">
                        <w:rPr>
                          <w:rFonts w:asciiTheme="majorHAnsi" w:hAnsiTheme="majorHAnsi"/>
                          <w:color w:val="595959" w:themeColor="text1" w:themeTint="A6"/>
                          <w:sz w:val="18"/>
                          <w:szCs w:val="18"/>
                          <w:lang w:val="es-ES_tradnl"/>
                        </w:rPr>
                        <w:t xml:space="preserve"> Miguel </w:t>
                      </w:r>
                      <w:r w:rsidR="00E9442C">
                        <w:rPr>
                          <w:rFonts w:asciiTheme="majorHAnsi" w:hAnsiTheme="majorHAnsi"/>
                          <w:color w:val="595959" w:themeColor="text1" w:themeTint="A6"/>
                          <w:sz w:val="18"/>
                          <w:szCs w:val="18"/>
                          <w:lang w:val="es-ES"/>
                        </w:rPr>
                        <w:t>Ángel Diez García y otros</w:t>
                      </w:r>
                      <w:r w:rsidRPr="00890650">
                        <w:rPr>
                          <w:rFonts w:asciiTheme="majorHAnsi" w:hAnsiTheme="majorHAnsi"/>
                          <w:color w:val="595959" w:themeColor="text1" w:themeTint="A6"/>
                          <w:sz w:val="18"/>
                          <w:szCs w:val="18"/>
                          <w:lang w:val="es-ES_tradnl"/>
                        </w:rPr>
                        <w:t xml:space="preserve">. </w:t>
                      </w:r>
                      <w:r w:rsidR="00E9442C">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705B1">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DD0BEE4"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0EF51D5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C3817C7" w:rsidR="0070697F" w:rsidRDefault="00F705B1"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019A45A7">
                <wp:simplePos x="0" y="0"/>
                <wp:positionH relativeFrom="column">
                  <wp:posOffset>1329690</wp:posOffset>
                </wp:positionH>
                <wp:positionV relativeFrom="paragraph">
                  <wp:posOffset>603613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57367E6" w:rsidR="00D72DC6" w:rsidRPr="00D72DC6" w:rsidRDefault="00F705B1" w:rsidP="00F02AD1">
                            <w:pPr>
                              <w:rPr>
                                <w:color w:val="FFFFFF" w:themeColor="background1"/>
                                <w14:textFill>
                                  <w14:noFill/>
                                </w14:textFill>
                              </w:rPr>
                            </w:pPr>
                            <w:r>
                              <w:rPr>
                                <w:noProof/>
                                <w:color w:val="FFFFFF" w:themeColor="background1"/>
                              </w:rPr>
                              <w:drawing>
                                <wp:inline distT="0" distB="0" distL="0" distR="0" wp14:anchorId="2765C40A" wp14:editId="061E7EA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7.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FlO+XTiAAAACgEAAA8AAAAAAAAAAAAAAAAA5gQAAGRycy9kb3ducmV2Lnht&#10;bFBLBQYAAAAABAAEAPMAAAD1BQAAAAA=&#10;" fillcolor="white [3201]" stroked="f" strokeweight=".5pt">
                <v:textbox>
                  <w:txbxContent>
                    <w:p w14:paraId="2A1ECD3C" w14:textId="357367E6" w:rsidR="00D72DC6" w:rsidRPr="00D72DC6" w:rsidRDefault="00F705B1" w:rsidP="00F02AD1">
                      <w:pPr>
                        <w:rPr>
                          <w:color w:val="FFFFFF" w:themeColor="background1"/>
                          <w14:textFill>
                            <w14:noFill/>
                          </w14:textFill>
                        </w:rPr>
                      </w:pPr>
                      <w:r>
                        <w:rPr>
                          <w:noProof/>
                          <w:color w:val="FFFFFF" w:themeColor="background1"/>
                        </w:rPr>
                        <w:drawing>
                          <wp:inline distT="0" distB="0" distL="0" distR="0" wp14:anchorId="2765C40A" wp14:editId="061E7EA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94BEE"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A218C38" w:rsidR="003239B8" w:rsidRPr="003F1566" w:rsidRDefault="003F1566" w:rsidP="008D2290">
            <w:pPr>
              <w:jc w:val="both"/>
              <w:rPr>
                <w:rFonts w:asciiTheme="majorHAnsi" w:hAnsiTheme="majorHAnsi"/>
                <w:bCs/>
                <w:sz w:val="20"/>
                <w:szCs w:val="20"/>
                <w:lang w:val="es-ES"/>
              </w:rPr>
            </w:pPr>
            <w:r w:rsidRPr="003F1566">
              <w:rPr>
                <w:rFonts w:asciiTheme="majorHAnsi" w:hAnsiTheme="majorHAnsi"/>
                <w:bCs/>
                <w:sz w:val="20"/>
                <w:szCs w:val="20"/>
                <w:lang w:val="es-ES"/>
              </w:rPr>
              <w:t xml:space="preserve">C. Ignacio de Casas, </w:t>
            </w:r>
            <w:r w:rsidRPr="003A6C83">
              <w:rPr>
                <w:rFonts w:asciiTheme="majorHAnsi" w:hAnsiTheme="majorHAnsi" w:cs="Optima-Regular"/>
                <w:sz w:val="20"/>
                <w:szCs w:val="20"/>
                <w:lang w:val="es-ES" w:eastAsia="es-ES"/>
              </w:rPr>
              <w:t>Ignacio A. Boulin y Fernando M. Toller</w:t>
            </w:r>
          </w:p>
        </w:tc>
      </w:tr>
      <w:tr w:rsidR="003239B8" w:rsidRPr="00994BE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5341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7174F00" w:rsidR="003239B8" w:rsidRPr="000D05CB" w:rsidRDefault="003F1566" w:rsidP="003F1566">
            <w:pPr>
              <w:jc w:val="both"/>
              <w:rPr>
                <w:rFonts w:ascii="Cambria" w:hAnsi="Cambria"/>
                <w:bCs/>
                <w:sz w:val="20"/>
                <w:szCs w:val="20"/>
                <w:lang w:val="es-ES"/>
              </w:rPr>
            </w:pPr>
            <w:r w:rsidRPr="003F1566">
              <w:rPr>
                <w:rFonts w:ascii="Cambria" w:hAnsi="Cambria"/>
                <w:bCs/>
                <w:sz w:val="20"/>
                <w:szCs w:val="20"/>
                <w:lang w:val="es-ES"/>
              </w:rPr>
              <w:t>Miguel Ángel Diez García, Ángel Israel Crespo Rueda,</w:t>
            </w:r>
            <w:r>
              <w:rPr>
                <w:rFonts w:ascii="Cambria" w:hAnsi="Cambria"/>
                <w:bCs/>
                <w:sz w:val="20"/>
                <w:szCs w:val="20"/>
                <w:lang w:val="es-ES"/>
              </w:rPr>
              <w:t xml:space="preserve"> </w:t>
            </w:r>
            <w:r w:rsidRPr="003F1566">
              <w:rPr>
                <w:rFonts w:ascii="Cambria" w:hAnsi="Cambria"/>
                <w:bCs/>
                <w:sz w:val="20"/>
                <w:szCs w:val="20"/>
                <w:lang w:val="es-ES"/>
              </w:rPr>
              <w:t>Alejandro Fernando Aguilera Mendieta y Televimex S.A. de C.V.</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1206F9C9" w:rsidR="003239B8" w:rsidRPr="000D05CB" w:rsidRDefault="00387FCB" w:rsidP="008D2290">
            <w:pPr>
              <w:jc w:val="both"/>
              <w:rPr>
                <w:rFonts w:ascii="Cambria" w:hAnsi="Cambria"/>
                <w:bCs/>
                <w:sz w:val="20"/>
                <w:szCs w:val="20"/>
              </w:rPr>
            </w:pPr>
            <w:r>
              <w:rPr>
                <w:rFonts w:ascii="Cambria" w:hAnsi="Cambria"/>
                <w:bCs/>
                <w:sz w:val="20"/>
                <w:szCs w:val="20"/>
              </w:rPr>
              <w:t>México</w:t>
            </w:r>
            <w:r w:rsidRPr="000D05CB">
              <w:rPr>
                <w:rStyle w:val="FootnoteReference"/>
                <w:rFonts w:ascii="Cambria" w:hAnsi="Cambria"/>
                <w:bCs/>
                <w:sz w:val="20"/>
                <w:szCs w:val="20"/>
              </w:rPr>
              <w:footnoteReference w:id="2"/>
            </w:r>
          </w:p>
        </w:tc>
      </w:tr>
      <w:tr w:rsidR="00223A29" w:rsidRPr="00994BE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AFFA91C" w:rsidR="00223A29" w:rsidRPr="00E9442C" w:rsidRDefault="00E9442C" w:rsidP="008D2290">
            <w:pPr>
              <w:jc w:val="both"/>
              <w:rPr>
                <w:rFonts w:ascii="Cambria" w:hAnsi="Cambria"/>
                <w:bCs/>
                <w:sz w:val="20"/>
                <w:szCs w:val="20"/>
                <w:lang w:val="es-ES"/>
              </w:rPr>
            </w:pPr>
            <w:r w:rsidRPr="000C540D">
              <w:rPr>
                <w:rFonts w:ascii="Cambria" w:hAnsi="Cambria"/>
                <w:bCs/>
                <w:sz w:val="20"/>
                <w:szCs w:val="20"/>
                <w:lang w:val="es-ES"/>
              </w:rPr>
              <w:t>Artículos</w:t>
            </w:r>
            <w:r>
              <w:rPr>
                <w:rFonts w:ascii="Cambria" w:hAnsi="Cambria"/>
                <w:bCs/>
                <w:sz w:val="20"/>
                <w:szCs w:val="20"/>
                <w:lang w:val="es-ES"/>
              </w:rPr>
              <w:t xml:space="preserve"> 8 (garantías judiciales),</w:t>
            </w:r>
            <w:r w:rsidRPr="000C540D">
              <w:rPr>
                <w:rFonts w:ascii="Cambria" w:hAnsi="Cambria"/>
                <w:bCs/>
                <w:sz w:val="20"/>
                <w:szCs w:val="20"/>
                <w:lang w:val="es-ES"/>
              </w:rPr>
              <w:t xml:space="preserve"> 9 (principio de legalidad</w:t>
            </w:r>
            <w:r>
              <w:rPr>
                <w:rFonts w:ascii="Cambria" w:hAnsi="Cambria"/>
                <w:bCs/>
                <w:sz w:val="20"/>
                <w:szCs w:val="20"/>
                <w:lang w:val="es-ES"/>
              </w:rPr>
              <w:t xml:space="preserve"> y de retroactividad), 13 (libertad de expresión), 23 (derechos políticos), 24 (igualdad ante la ley) y 25 (protección judicial) en relación con </w:t>
            </w:r>
            <w:r w:rsidRPr="002A1C01">
              <w:rPr>
                <w:rFonts w:ascii="Cambria" w:hAnsi="Cambria"/>
                <w:bCs/>
                <w:sz w:val="20"/>
                <w:szCs w:val="20"/>
                <w:lang w:val="es-ES"/>
              </w:rPr>
              <w:t>los artículos 1.1 (obligación de respetar los derechos) y 2 (deber de adoptar disposiciones de derecho interno) de la Convención Americana sobre Derechos Humanos</w:t>
            </w:r>
            <w:r w:rsidRPr="002A1C01">
              <w:rPr>
                <w:rStyle w:val="FootnoteReference"/>
                <w:rFonts w:ascii="Cambria" w:hAnsi="Cambria"/>
                <w:bCs/>
                <w:sz w:val="20"/>
                <w:szCs w:val="20"/>
                <w:lang w:val="es-ES"/>
              </w:rPr>
              <w:footnoteReference w:id="3"/>
            </w:r>
            <w:r w:rsidRPr="002A1C01">
              <w:rPr>
                <w:rFonts w:ascii="Cambria" w:hAnsi="Cambria"/>
                <w:bCs/>
                <w:sz w:val="20"/>
                <w:szCs w:val="20"/>
                <w:lang w:val="es-ES"/>
              </w:rPr>
              <w:t xml:space="preserve"> y los artículos IV (libertad de investigación, opinión, expresión y difusión) y XXVI (proceso regular) de la Declaración Americana de Derechos y Deberes del Hombre</w:t>
            </w:r>
            <w:r w:rsidRPr="002A1C01">
              <w:rPr>
                <w:rStyle w:val="FootnoteReference"/>
                <w:rFonts w:ascii="Cambria" w:hAnsi="Cambria"/>
                <w:bCs/>
                <w:sz w:val="20"/>
                <w:szCs w:val="20"/>
                <w:lang w:val="es-ES"/>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E508F82" w:rsidR="004C2312" w:rsidRPr="00387FCB" w:rsidRDefault="00387FCB" w:rsidP="002625EA">
            <w:pPr>
              <w:jc w:val="both"/>
              <w:rPr>
                <w:rFonts w:ascii="Cambria" w:hAnsi="Cambria"/>
                <w:bCs/>
                <w:sz w:val="20"/>
                <w:szCs w:val="20"/>
                <w:lang w:val="es-PE"/>
              </w:rPr>
            </w:pPr>
            <w:r w:rsidRPr="00387FCB">
              <w:rPr>
                <w:rFonts w:ascii="Cambria" w:hAnsi="Cambria"/>
                <w:bCs/>
                <w:sz w:val="20"/>
                <w:szCs w:val="20"/>
                <w:lang w:val="es-PE"/>
              </w:rPr>
              <w:t>2</w:t>
            </w:r>
            <w:r w:rsidR="00FA580C">
              <w:rPr>
                <w:rFonts w:ascii="Cambria" w:hAnsi="Cambria"/>
                <w:bCs/>
                <w:sz w:val="20"/>
                <w:szCs w:val="20"/>
                <w:lang w:val="es-PE"/>
              </w:rPr>
              <w:t>6</w:t>
            </w:r>
            <w:r w:rsidRPr="00387FCB">
              <w:rPr>
                <w:rFonts w:ascii="Cambria" w:hAnsi="Cambria"/>
                <w:bCs/>
                <w:sz w:val="20"/>
                <w:szCs w:val="20"/>
                <w:lang w:val="es-PE"/>
              </w:rPr>
              <w:t xml:space="preserve"> de </w:t>
            </w:r>
            <w:r w:rsidR="00FA580C">
              <w:rPr>
                <w:rFonts w:ascii="Cambria" w:hAnsi="Cambria"/>
                <w:bCs/>
                <w:sz w:val="20"/>
                <w:szCs w:val="20"/>
                <w:lang w:val="es-PE"/>
              </w:rPr>
              <w:t>febrero</w:t>
            </w:r>
            <w:r w:rsidRPr="00387FCB">
              <w:rPr>
                <w:rFonts w:ascii="Cambria" w:hAnsi="Cambria"/>
                <w:bCs/>
                <w:sz w:val="20"/>
                <w:szCs w:val="20"/>
                <w:lang w:val="es-PE"/>
              </w:rPr>
              <w:t xml:space="preserve"> de 2010</w:t>
            </w:r>
          </w:p>
        </w:tc>
      </w:tr>
      <w:tr w:rsidR="004C2312" w:rsidRPr="00961ED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DAF76B8" w:rsidR="004C2312" w:rsidRPr="003239B8" w:rsidRDefault="00387FCB" w:rsidP="008D2290">
            <w:pPr>
              <w:jc w:val="both"/>
              <w:rPr>
                <w:rFonts w:ascii="Cambria" w:hAnsi="Cambria"/>
                <w:bCs/>
                <w:sz w:val="20"/>
                <w:szCs w:val="20"/>
                <w:lang w:val="es-ES"/>
              </w:rPr>
            </w:pPr>
            <w:r>
              <w:rPr>
                <w:rFonts w:ascii="Cambria" w:hAnsi="Cambria"/>
                <w:bCs/>
                <w:sz w:val="20"/>
                <w:szCs w:val="20"/>
                <w:lang w:val="es-ES"/>
              </w:rPr>
              <w:t>23 de enero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C2288C7" w:rsidR="004C2312" w:rsidRPr="003239B8" w:rsidRDefault="00387FCB" w:rsidP="008D2290">
            <w:pPr>
              <w:jc w:val="both"/>
              <w:rPr>
                <w:rFonts w:ascii="Cambria" w:hAnsi="Cambria"/>
                <w:bCs/>
                <w:sz w:val="20"/>
                <w:szCs w:val="20"/>
                <w:lang w:val="es-ES"/>
              </w:rPr>
            </w:pPr>
            <w:r>
              <w:rPr>
                <w:rFonts w:ascii="Cambria" w:hAnsi="Cambria"/>
                <w:bCs/>
                <w:sz w:val="20"/>
                <w:szCs w:val="20"/>
                <w:lang w:val="es-ES"/>
              </w:rPr>
              <w:t>19 de diciembre de 2018</w:t>
            </w:r>
          </w:p>
        </w:tc>
      </w:tr>
      <w:tr w:rsidR="004C2312" w:rsidRPr="00961ED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AD98B18" w:rsidR="004C2312" w:rsidRPr="003239B8" w:rsidRDefault="00387FCB" w:rsidP="008D2290">
            <w:pPr>
              <w:jc w:val="both"/>
              <w:rPr>
                <w:rFonts w:ascii="Cambria" w:hAnsi="Cambria"/>
                <w:bCs/>
                <w:sz w:val="20"/>
                <w:szCs w:val="20"/>
                <w:lang w:val="es-ES"/>
              </w:rPr>
            </w:pPr>
            <w:r>
              <w:rPr>
                <w:rFonts w:ascii="Cambria" w:hAnsi="Cambria"/>
                <w:bCs/>
                <w:sz w:val="20"/>
                <w:szCs w:val="20"/>
                <w:lang w:val="es-ES"/>
              </w:rPr>
              <w:t>3 de marzo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5B260B">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66E90B73" w:rsidR="003239B8" w:rsidRPr="00B3745F" w:rsidRDefault="00387FCB"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5B260B">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D87A934" w:rsidR="003239B8" w:rsidRPr="00387FCB" w:rsidRDefault="00387FCB" w:rsidP="008D2290">
            <w:pPr>
              <w:rPr>
                <w:rFonts w:ascii="Cambria" w:hAnsi="Cambria"/>
                <w:bCs/>
                <w:sz w:val="20"/>
                <w:szCs w:val="20"/>
                <w:lang w:val="es-ES"/>
              </w:rPr>
            </w:pPr>
            <w:r>
              <w:rPr>
                <w:rFonts w:ascii="Cambria" w:hAnsi="Cambria"/>
                <w:bCs/>
                <w:sz w:val="20"/>
                <w:szCs w:val="20"/>
                <w:lang w:val="es-ES"/>
              </w:rPr>
              <w:t>Sí</w:t>
            </w:r>
          </w:p>
        </w:tc>
      </w:tr>
      <w:tr w:rsidR="003239B8" w:rsidRPr="00540F17" w14:paraId="4362FDF3" w14:textId="77777777" w:rsidTr="005B260B">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32EBB50" w:rsidR="003239B8" w:rsidRPr="00B3745F" w:rsidRDefault="00387FCB" w:rsidP="008D2290">
            <w:pPr>
              <w:rPr>
                <w:rFonts w:ascii="Cambria" w:hAnsi="Cambria"/>
                <w:bCs/>
                <w:sz w:val="20"/>
                <w:szCs w:val="20"/>
              </w:rPr>
            </w:pPr>
            <w:r>
              <w:rPr>
                <w:rFonts w:ascii="Cambria" w:hAnsi="Cambria"/>
                <w:bCs/>
                <w:sz w:val="20"/>
                <w:szCs w:val="20"/>
              </w:rPr>
              <w:t>Sí</w:t>
            </w:r>
          </w:p>
        </w:tc>
      </w:tr>
      <w:tr w:rsidR="003239B8" w:rsidRPr="00994BEE" w14:paraId="30ABEC3E" w14:textId="77777777" w:rsidTr="005B260B">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1B46B92" w:rsidR="003239B8" w:rsidRPr="00B3745F" w:rsidRDefault="00387FCB" w:rsidP="008D2290">
            <w:pPr>
              <w:jc w:val="both"/>
              <w:rPr>
                <w:rFonts w:ascii="Cambria" w:hAnsi="Cambria"/>
                <w:bCs/>
                <w:sz w:val="20"/>
                <w:szCs w:val="20"/>
                <w:lang w:val="es-ES"/>
              </w:rPr>
            </w:pPr>
            <w:r w:rsidRPr="00D90C0E">
              <w:rPr>
                <w:rFonts w:ascii="Cambria" w:hAnsi="Cambria"/>
                <w:bCs/>
                <w:sz w:val="20"/>
                <w:szCs w:val="20"/>
                <w:lang w:val="es-ES"/>
              </w:rPr>
              <w:t>Sí, Convención Americana (depósito del instrumento de ratificación realizado el 24 de marzo de 1981</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0814DB" w14:paraId="1231C988" w14:textId="77777777" w:rsidTr="005B260B">
        <w:trPr>
          <w:cantSplit/>
        </w:trPr>
        <w:tc>
          <w:tcPr>
            <w:tcW w:w="3564"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3" w:type="dxa"/>
            <w:vAlign w:val="center"/>
          </w:tcPr>
          <w:p w14:paraId="240941E6" w14:textId="0858995C" w:rsidR="00EE00E9" w:rsidRPr="00DC24E3" w:rsidRDefault="00E34F4B" w:rsidP="008D2290">
            <w:pPr>
              <w:jc w:val="both"/>
              <w:rPr>
                <w:rFonts w:ascii="Cambria" w:hAnsi="Cambria"/>
                <w:bCs/>
                <w:sz w:val="20"/>
                <w:szCs w:val="20"/>
                <w:lang w:val="es-ES"/>
              </w:rPr>
            </w:pPr>
            <w:r>
              <w:rPr>
                <w:rFonts w:ascii="Cambria" w:hAnsi="Cambria"/>
                <w:bCs/>
                <w:sz w:val="20"/>
                <w:szCs w:val="20"/>
                <w:lang w:val="es-ES"/>
              </w:rPr>
              <w:t>No</w:t>
            </w:r>
          </w:p>
        </w:tc>
      </w:tr>
      <w:tr w:rsidR="003239B8" w:rsidRPr="00994BEE" w14:paraId="15FAA7D1" w14:textId="77777777" w:rsidTr="005B260B">
        <w:trPr>
          <w:cantSplit/>
        </w:trPr>
        <w:tc>
          <w:tcPr>
            <w:tcW w:w="3564"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3" w:type="dxa"/>
            <w:vAlign w:val="center"/>
          </w:tcPr>
          <w:p w14:paraId="6310C8F7" w14:textId="1223527B" w:rsidR="003239B8" w:rsidRPr="00B43BDE" w:rsidRDefault="00B43BDE" w:rsidP="008D2290">
            <w:pPr>
              <w:jc w:val="both"/>
              <w:rPr>
                <w:rFonts w:ascii="Cambria" w:hAnsi="Cambria"/>
                <w:bCs/>
                <w:sz w:val="20"/>
                <w:szCs w:val="20"/>
                <w:lang w:val="es-ES"/>
              </w:rPr>
            </w:pPr>
            <w:r>
              <w:rPr>
                <w:rFonts w:ascii="Cambria" w:hAnsi="Cambria"/>
                <w:bCs/>
                <w:sz w:val="20"/>
                <w:szCs w:val="20"/>
                <w:lang w:val="es-ES"/>
              </w:rPr>
              <w:t>A</w:t>
            </w:r>
            <w:r w:rsidRPr="00FF5755">
              <w:rPr>
                <w:rFonts w:ascii="Cambria" w:hAnsi="Cambria"/>
                <w:bCs/>
                <w:sz w:val="20"/>
                <w:szCs w:val="20"/>
                <w:lang w:val="es-ES"/>
              </w:rPr>
              <w:t>rtículos 8 (garantías judiciales), 9 (principio de legalidad), 13 (libertad de expresión) y 25 (protección judicial) de la Convención Americana, en relación con sus artículos 1.1 (obligación de respetar los derechos) y 2 (obligación de adoptar disposiciones de derecho interno)</w:t>
            </w:r>
          </w:p>
        </w:tc>
      </w:tr>
      <w:tr w:rsidR="003239B8" w:rsidRPr="00994BEE" w14:paraId="4EFD141E" w14:textId="77777777" w:rsidTr="005B260B">
        <w:trPr>
          <w:cantSplit/>
        </w:trPr>
        <w:tc>
          <w:tcPr>
            <w:tcW w:w="3564"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3" w:type="dxa"/>
            <w:vAlign w:val="center"/>
          </w:tcPr>
          <w:p w14:paraId="69C53E8A" w14:textId="315DCF14" w:rsidR="003239B8" w:rsidRPr="00DC24E3" w:rsidRDefault="00E34F4B"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994BEE" w14:paraId="52B5BA17" w14:textId="77777777" w:rsidTr="005B260B">
        <w:trPr>
          <w:cantSplit/>
        </w:trPr>
        <w:tc>
          <w:tcPr>
            <w:tcW w:w="3564"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73" w:type="dxa"/>
            <w:vAlign w:val="center"/>
          </w:tcPr>
          <w:p w14:paraId="4A2A4569" w14:textId="7D94C234" w:rsidR="003239B8" w:rsidRPr="00E34F4B" w:rsidRDefault="00E34F4B" w:rsidP="008D2290">
            <w:pPr>
              <w:rPr>
                <w:rFonts w:ascii="Cambria" w:hAnsi="Cambria"/>
                <w:bCs/>
                <w:sz w:val="20"/>
                <w:szCs w:val="20"/>
                <w:lang w:val="es-ES"/>
              </w:rPr>
            </w:pPr>
            <w:r w:rsidRPr="00E34F4B">
              <w:rPr>
                <w:rFonts w:ascii="Cambria" w:hAnsi="Cambria"/>
                <w:bCs/>
                <w:sz w:val="20"/>
                <w:szCs w:val="20"/>
                <w:lang w:val="es-ES"/>
              </w:rPr>
              <w:t>Sí, en los términ</w:t>
            </w:r>
            <w:r>
              <w:rPr>
                <w:rFonts w:ascii="Cambria" w:hAnsi="Cambria"/>
                <w:bCs/>
                <w:sz w:val="20"/>
                <w:szCs w:val="20"/>
                <w:lang w:val="es-ES"/>
              </w:rPr>
              <w:t>os de la sección VI</w:t>
            </w:r>
          </w:p>
        </w:tc>
      </w:tr>
    </w:tbl>
    <w:p w14:paraId="391FC05C" w14:textId="77777777" w:rsidR="0095103F" w:rsidRDefault="0095103F" w:rsidP="003239B8">
      <w:pPr>
        <w:spacing w:before="240" w:after="240"/>
        <w:ind w:firstLine="720"/>
        <w:jc w:val="both"/>
        <w:rPr>
          <w:rFonts w:asciiTheme="majorHAnsi" w:hAnsiTheme="majorHAnsi"/>
          <w:b/>
          <w:sz w:val="20"/>
          <w:szCs w:val="20"/>
          <w:lang w:val="es-UY"/>
        </w:rPr>
      </w:pPr>
    </w:p>
    <w:p w14:paraId="18E6423B" w14:textId="072532EF"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9EBAEB3" w14:textId="1718976B" w:rsidR="008C5E2D" w:rsidRPr="00E9442C" w:rsidRDefault="00E9442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Los peticionarios denuncian que el Estado violó los derechos de las presuntas víctimas, en su condición de directivos de Televimex S.A (en adelante, Televimex), al sancionar al medio de comunicación donde trabajan, aplicando un marco regulatorio que vulnera el derecho a la libertad de expresión de manera desproporcional. </w:t>
      </w:r>
    </w:p>
    <w:p w14:paraId="709FC91A" w14:textId="6F1BF827" w:rsidR="00D84171" w:rsidRPr="00D84171" w:rsidRDefault="00E9442C" w:rsidP="00D841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Explican</w:t>
      </w:r>
      <w:r w:rsidR="00D84171" w:rsidRPr="00D84171">
        <w:rPr>
          <w:rFonts w:ascii="Cambria" w:hAnsi="Cambria"/>
          <w:sz w:val="20"/>
          <w:szCs w:val="20"/>
          <w:lang w:val="es-AR"/>
        </w:rPr>
        <w:t xml:space="preserve"> que el artículo 41 de la Constitución Política de los Estados</w:t>
      </w:r>
      <w:r w:rsidR="00D84171">
        <w:rPr>
          <w:rFonts w:ascii="Cambria" w:hAnsi="Cambria"/>
          <w:sz w:val="20"/>
          <w:szCs w:val="20"/>
          <w:lang w:val="es-AR"/>
        </w:rPr>
        <w:t xml:space="preserve"> </w:t>
      </w:r>
      <w:r w:rsidR="00D84171" w:rsidRPr="00D84171">
        <w:rPr>
          <w:rFonts w:ascii="Cambria" w:hAnsi="Cambria"/>
          <w:sz w:val="20"/>
          <w:szCs w:val="20"/>
          <w:lang w:val="es-AR"/>
        </w:rPr>
        <w:t>Unidos Mexicanos</w:t>
      </w:r>
      <w:r w:rsidR="00A11901">
        <w:rPr>
          <w:rStyle w:val="FootnoteReference"/>
          <w:rFonts w:ascii="Cambria" w:hAnsi="Cambria"/>
          <w:sz w:val="20"/>
          <w:szCs w:val="20"/>
          <w:lang w:val="es-AR"/>
        </w:rPr>
        <w:footnoteReference w:id="6"/>
      </w:r>
      <w:r w:rsidR="00D84171" w:rsidRPr="00D84171">
        <w:rPr>
          <w:rFonts w:ascii="Cambria" w:hAnsi="Cambria"/>
          <w:sz w:val="20"/>
          <w:szCs w:val="20"/>
          <w:lang w:val="es-AR"/>
        </w:rPr>
        <w:t xml:space="preserve"> y el artículo 350 del Código Federal de Instituciones y Procedimientos Electorales (en</w:t>
      </w:r>
      <w:r w:rsidR="00D84171">
        <w:rPr>
          <w:rFonts w:ascii="Cambria" w:hAnsi="Cambria"/>
          <w:sz w:val="20"/>
          <w:szCs w:val="20"/>
          <w:lang w:val="es-AR"/>
        </w:rPr>
        <w:t xml:space="preserve"> </w:t>
      </w:r>
      <w:r w:rsidR="00D84171" w:rsidRPr="00D84171">
        <w:rPr>
          <w:rFonts w:ascii="Cambria" w:hAnsi="Cambria"/>
          <w:sz w:val="20"/>
          <w:szCs w:val="20"/>
          <w:lang w:val="es-AR"/>
        </w:rPr>
        <w:t>adelante, “COFIPE”)</w:t>
      </w:r>
      <w:r w:rsidR="00974639">
        <w:rPr>
          <w:rStyle w:val="FootnoteReference"/>
          <w:rFonts w:ascii="Cambria" w:hAnsi="Cambria"/>
          <w:sz w:val="20"/>
          <w:szCs w:val="20"/>
          <w:lang w:val="es-AR"/>
        </w:rPr>
        <w:footnoteReference w:id="7"/>
      </w:r>
      <w:r w:rsidR="00D84171" w:rsidRPr="00D84171">
        <w:rPr>
          <w:rFonts w:ascii="Cambria" w:hAnsi="Cambria"/>
          <w:sz w:val="20"/>
          <w:szCs w:val="20"/>
          <w:lang w:val="es-AR"/>
        </w:rPr>
        <w:t>,</w:t>
      </w:r>
      <w:r w:rsidR="00974639">
        <w:rPr>
          <w:rFonts w:ascii="Cambria" w:hAnsi="Cambria"/>
          <w:sz w:val="20"/>
          <w:szCs w:val="20"/>
          <w:lang w:val="es-AR"/>
        </w:rPr>
        <w:t xml:space="preserve"> entre otros,</w:t>
      </w:r>
      <w:r w:rsidR="00D84171" w:rsidRPr="00D84171">
        <w:rPr>
          <w:rFonts w:ascii="Cambria" w:hAnsi="Cambria"/>
          <w:sz w:val="20"/>
          <w:szCs w:val="20"/>
          <w:lang w:val="es-AR"/>
        </w:rPr>
        <w:t xml:space="preserve"> restringen indebidamente la libertad de expresión al establecer un sistema de</w:t>
      </w:r>
      <w:r w:rsidR="00D84171">
        <w:rPr>
          <w:rFonts w:ascii="Cambria" w:hAnsi="Cambria"/>
          <w:sz w:val="20"/>
          <w:szCs w:val="20"/>
          <w:lang w:val="es-AR"/>
        </w:rPr>
        <w:t xml:space="preserve"> </w:t>
      </w:r>
      <w:r w:rsidR="00D84171" w:rsidRPr="00D84171">
        <w:rPr>
          <w:rFonts w:ascii="Cambria" w:hAnsi="Cambria"/>
          <w:sz w:val="20"/>
          <w:szCs w:val="20"/>
          <w:lang w:val="es-AR"/>
        </w:rPr>
        <w:t>responsabilidades ulteriores por la difusión de anuncios publicitarios con contenido político que no satisface</w:t>
      </w:r>
      <w:r w:rsidR="00D84171">
        <w:rPr>
          <w:rFonts w:ascii="Cambria" w:hAnsi="Cambria"/>
          <w:sz w:val="20"/>
          <w:szCs w:val="20"/>
          <w:lang w:val="es-AR"/>
        </w:rPr>
        <w:t xml:space="preserve"> </w:t>
      </w:r>
      <w:r w:rsidR="00D84171" w:rsidRPr="00D84171">
        <w:rPr>
          <w:rFonts w:ascii="Cambria" w:hAnsi="Cambria"/>
          <w:sz w:val="20"/>
          <w:szCs w:val="20"/>
          <w:lang w:val="es-AR"/>
        </w:rPr>
        <w:t>los requisitos de legalidad, necesidad y proporcionalidad. Enfatizan que, entre otros aspectos, las citadas</w:t>
      </w:r>
      <w:r w:rsidR="00D84171">
        <w:rPr>
          <w:rFonts w:ascii="Cambria" w:hAnsi="Cambria"/>
          <w:sz w:val="20"/>
          <w:szCs w:val="20"/>
          <w:lang w:val="es-AR"/>
        </w:rPr>
        <w:t xml:space="preserve"> </w:t>
      </w:r>
      <w:r w:rsidR="00D84171" w:rsidRPr="00D84171">
        <w:rPr>
          <w:rFonts w:ascii="Cambria" w:hAnsi="Cambria"/>
          <w:sz w:val="20"/>
          <w:szCs w:val="20"/>
          <w:lang w:val="es-AR"/>
        </w:rPr>
        <w:t>normas impiden, “</w:t>
      </w:r>
      <w:r w:rsidR="00D84171" w:rsidRPr="00E9442C">
        <w:rPr>
          <w:rFonts w:ascii="Cambria" w:hAnsi="Cambria"/>
          <w:i/>
          <w:iCs/>
          <w:sz w:val="20"/>
          <w:szCs w:val="20"/>
          <w:lang w:val="es-AR"/>
        </w:rPr>
        <w:t>a toda persona física o moral contratar propaganda en radio y/o televisión que pueda influir en las preferencias electorales de los ciudadanos, sea a favor o en contra de partidos políticos o de candidatos a cargos de elecciones populares</w:t>
      </w:r>
      <w:r w:rsidR="00D84171" w:rsidRPr="00D84171">
        <w:rPr>
          <w:rFonts w:ascii="Cambria" w:hAnsi="Cambria"/>
          <w:sz w:val="20"/>
          <w:szCs w:val="20"/>
          <w:lang w:val="es-AR"/>
        </w:rPr>
        <w:t>”. Asimismo, dispone que en “</w:t>
      </w:r>
      <w:r w:rsidR="00D84171" w:rsidRPr="00E9442C">
        <w:rPr>
          <w:rFonts w:ascii="Cambria" w:hAnsi="Cambria"/>
          <w:i/>
          <w:iCs/>
          <w:sz w:val="20"/>
          <w:szCs w:val="20"/>
          <w:lang w:val="es-AR"/>
        </w:rPr>
        <w:t>la propaganda electoral que difundan los partidos políticos deberán abstenerse de expresiones que denigren a las instituciones y a los propios partidos o que calumnien a las personas</w:t>
      </w:r>
      <w:r w:rsidR="00D84171" w:rsidRPr="00D84171">
        <w:rPr>
          <w:rFonts w:ascii="Cambria" w:hAnsi="Cambria"/>
          <w:sz w:val="20"/>
          <w:szCs w:val="20"/>
          <w:lang w:val="es-AR"/>
        </w:rPr>
        <w:t>”. Igualmente, explican que estas normas prohíben la difusión de propaganda</w:t>
      </w:r>
      <w:r w:rsidR="00D84171">
        <w:rPr>
          <w:rFonts w:ascii="Cambria" w:hAnsi="Cambria"/>
          <w:sz w:val="20"/>
          <w:szCs w:val="20"/>
          <w:lang w:val="es-AR"/>
        </w:rPr>
        <w:t xml:space="preserve"> </w:t>
      </w:r>
      <w:r w:rsidR="00D84171" w:rsidRPr="00D84171">
        <w:rPr>
          <w:rFonts w:ascii="Cambria" w:hAnsi="Cambria"/>
          <w:sz w:val="20"/>
          <w:szCs w:val="20"/>
          <w:lang w:val="es-AR"/>
        </w:rPr>
        <w:t>política o electoral, pagada o gratuita, ordenada por personas distintas al IFE.</w:t>
      </w:r>
    </w:p>
    <w:p w14:paraId="536FCBF4" w14:textId="12C48F6E" w:rsidR="00D84171" w:rsidRPr="00D84171" w:rsidRDefault="00D84171" w:rsidP="00E944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84171">
        <w:rPr>
          <w:rFonts w:ascii="Cambria" w:hAnsi="Cambria"/>
          <w:sz w:val="20"/>
          <w:szCs w:val="20"/>
          <w:lang w:val="es-AR"/>
        </w:rPr>
        <w:t>En esa línea, alegan que el citado marco normativo es excesivamente amplio y vago, otorgando</w:t>
      </w:r>
      <w:r>
        <w:rPr>
          <w:rFonts w:ascii="Cambria" w:hAnsi="Cambria"/>
          <w:sz w:val="20"/>
          <w:szCs w:val="20"/>
          <w:lang w:val="es-AR"/>
        </w:rPr>
        <w:t xml:space="preserve"> </w:t>
      </w:r>
      <w:r w:rsidRPr="00D84171">
        <w:rPr>
          <w:rFonts w:ascii="Cambria" w:hAnsi="Cambria"/>
          <w:sz w:val="20"/>
          <w:szCs w:val="20"/>
          <w:lang w:val="es-AR"/>
        </w:rPr>
        <w:t>un indebido margen de discrecionalidad a las autoridades para su aplicación. Arguyen que tales falencias</w:t>
      </w:r>
      <w:r>
        <w:rPr>
          <w:rFonts w:ascii="Cambria" w:hAnsi="Cambria"/>
          <w:sz w:val="20"/>
          <w:szCs w:val="20"/>
          <w:lang w:val="es-AR"/>
        </w:rPr>
        <w:t xml:space="preserve"> </w:t>
      </w:r>
      <w:r w:rsidRPr="00D84171">
        <w:rPr>
          <w:rFonts w:ascii="Cambria" w:hAnsi="Cambria"/>
          <w:sz w:val="20"/>
          <w:szCs w:val="20"/>
          <w:lang w:val="es-AR"/>
        </w:rPr>
        <w:t>generaron que en el presente caso se</w:t>
      </w:r>
      <w:r w:rsidR="00E9442C">
        <w:rPr>
          <w:rFonts w:ascii="Cambria" w:hAnsi="Cambria"/>
          <w:sz w:val="20"/>
          <w:szCs w:val="20"/>
          <w:lang w:val="es-AR"/>
        </w:rPr>
        <w:t xml:space="preserve"> inicie un procedimiento sancionador en perjuicio de Televimex, </w:t>
      </w:r>
      <w:r w:rsidRPr="00D84171">
        <w:rPr>
          <w:rFonts w:ascii="Cambria" w:hAnsi="Cambria"/>
          <w:sz w:val="20"/>
          <w:szCs w:val="20"/>
          <w:lang w:val="es-AR"/>
        </w:rPr>
        <w:t>provocando la imposición de una multa elevada únicamente por la emisión de una nota de</w:t>
      </w:r>
      <w:r>
        <w:rPr>
          <w:rFonts w:ascii="Cambria" w:hAnsi="Cambria"/>
          <w:sz w:val="20"/>
          <w:szCs w:val="20"/>
          <w:lang w:val="es-AR"/>
        </w:rPr>
        <w:t xml:space="preserve"> </w:t>
      </w:r>
      <w:r w:rsidRPr="00D84171">
        <w:rPr>
          <w:rFonts w:ascii="Cambria" w:hAnsi="Cambria"/>
          <w:sz w:val="20"/>
          <w:szCs w:val="20"/>
          <w:lang w:val="es-AR"/>
        </w:rPr>
        <w:t>evidente interés público.</w:t>
      </w:r>
    </w:p>
    <w:p w14:paraId="6AE1C828" w14:textId="54BC35FB" w:rsidR="008C5E2D" w:rsidRDefault="0059352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Señala</w:t>
      </w:r>
      <w:r w:rsidR="000814DB">
        <w:rPr>
          <w:rFonts w:ascii="Cambria" w:hAnsi="Cambria"/>
          <w:sz w:val="20"/>
          <w:szCs w:val="20"/>
          <w:lang w:val="es-AR"/>
        </w:rPr>
        <w:t>n</w:t>
      </w:r>
      <w:r>
        <w:rPr>
          <w:rFonts w:ascii="Cambria" w:hAnsi="Cambria"/>
          <w:sz w:val="20"/>
          <w:szCs w:val="20"/>
          <w:lang w:val="es-AR"/>
        </w:rPr>
        <w:t xml:space="preserve"> que el 26 de junio de 2009 las emisoras XEW-TV Canal 2 y XHGC-TC Canal 5, ambas concesionarias de Televimex, transmitieron dos promocionales de televisión, relacionados con el fascículo número 374 de la revista “Cambio”, un semanario de contenido económico y político. Tal edición de la publicación contenía una nota periodística en la que se señalaba que, conforme a los últimos sondeos, el Partido Verde Ecologista de México (en adelante, </w:t>
      </w:r>
      <w:r w:rsidR="000814DB">
        <w:rPr>
          <w:rFonts w:ascii="Cambria" w:hAnsi="Cambria"/>
          <w:sz w:val="20"/>
          <w:szCs w:val="20"/>
          <w:lang w:val="es-AR"/>
        </w:rPr>
        <w:t>“</w:t>
      </w:r>
      <w:r>
        <w:rPr>
          <w:rFonts w:ascii="Cambria" w:hAnsi="Cambria"/>
          <w:sz w:val="20"/>
          <w:szCs w:val="20"/>
          <w:lang w:val="es-AR"/>
        </w:rPr>
        <w:t>PVEM</w:t>
      </w:r>
      <w:r w:rsidR="000814DB">
        <w:rPr>
          <w:rFonts w:ascii="Cambria" w:hAnsi="Cambria"/>
          <w:sz w:val="20"/>
          <w:szCs w:val="20"/>
          <w:lang w:val="es-AR"/>
        </w:rPr>
        <w:t>”</w:t>
      </w:r>
      <w:r>
        <w:rPr>
          <w:rFonts w:ascii="Cambria" w:hAnsi="Cambria"/>
          <w:sz w:val="20"/>
          <w:szCs w:val="20"/>
          <w:lang w:val="es-AR"/>
        </w:rPr>
        <w:t xml:space="preserve">) estaba posicionándose en el tercer lugar para la elección nacional del 5 julio de 2009. </w:t>
      </w:r>
    </w:p>
    <w:p w14:paraId="69B9349C" w14:textId="28E0F6BE" w:rsidR="0059352F" w:rsidRPr="000814DB" w:rsidRDefault="0059352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Aduce</w:t>
      </w:r>
      <w:r w:rsidR="000814DB">
        <w:rPr>
          <w:rFonts w:ascii="Cambria" w:hAnsi="Cambria"/>
          <w:sz w:val="20"/>
          <w:szCs w:val="20"/>
          <w:lang w:val="es-AR"/>
        </w:rPr>
        <w:t>n</w:t>
      </w:r>
      <w:r>
        <w:rPr>
          <w:rFonts w:ascii="Cambria" w:hAnsi="Cambria"/>
          <w:sz w:val="20"/>
          <w:szCs w:val="20"/>
          <w:lang w:val="es-AR"/>
        </w:rPr>
        <w:t xml:space="preserve"> que el 1 de julio de 2009, tras diversas actuaciones de oficio y denuncias de partidos políticos, el </w:t>
      </w:r>
      <w:r w:rsidR="000814DB">
        <w:rPr>
          <w:rFonts w:ascii="Cambria" w:hAnsi="Cambria"/>
          <w:sz w:val="20"/>
          <w:szCs w:val="20"/>
          <w:lang w:val="es-AR"/>
        </w:rPr>
        <w:t>Instituto General Electoral (en adelante, “IFE”) inició</w:t>
      </w:r>
      <w:r w:rsidR="000814DB">
        <w:rPr>
          <w:rFonts w:ascii="Cambria" w:hAnsi="Cambria"/>
          <w:sz w:val="20"/>
          <w:szCs w:val="20"/>
          <w:lang w:val="es-ES"/>
        </w:rPr>
        <w:t xml:space="preserve"> un procedimiento administrativo especial sancionador contra el PVE</w:t>
      </w:r>
      <w:r w:rsidR="00B041A7">
        <w:rPr>
          <w:rFonts w:ascii="Cambria" w:hAnsi="Cambria"/>
          <w:sz w:val="20"/>
          <w:szCs w:val="20"/>
          <w:lang w:val="es-ES"/>
        </w:rPr>
        <w:t>M</w:t>
      </w:r>
      <w:r w:rsidR="000814DB">
        <w:rPr>
          <w:rFonts w:ascii="Cambria" w:hAnsi="Cambria"/>
          <w:sz w:val="20"/>
          <w:szCs w:val="20"/>
          <w:lang w:val="es-ES"/>
        </w:rPr>
        <w:t>, Televimex y otras concesionarias de radio y televisión. Las denuncias indicaban que los promocionales cuestionados no revestían la naturaleza de un simple comercial publicitario de una revista, sino que constituían una verdadera propaganda electoral que, por haber sido transmitida en televisión y radio, infringía el artículo 41, Base III, inciso g, párrafo tercero de la Constitución, en relación con los artículos 341 y siguientes del COFIPE.</w:t>
      </w:r>
    </w:p>
    <w:p w14:paraId="3CCFE2ED" w14:textId="450A5EFB" w:rsidR="00FA580C" w:rsidRPr="00FA580C" w:rsidRDefault="000814DB" w:rsidP="00BC1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Afirman que el 8 de julio </w:t>
      </w:r>
      <w:r w:rsidR="008D1702">
        <w:rPr>
          <w:rFonts w:ascii="Cambria" w:hAnsi="Cambria"/>
          <w:sz w:val="20"/>
          <w:szCs w:val="20"/>
          <w:lang w:val="es-ES"/>
        </w:rPr>
        <w:t xml:space="preserve">de 2009 </w:t>
      </w:r>
      <w:r>
        <w:rPr>
          <w:rFonts w:ascii="Cambria" w:hAnsi="Cambria"/>
          <w:sz w:val="20"/>
          <w:szCs w:val="20"/>
          <w:lang w:val="es-ES"/>
        </w:rPr>
        <w:t>el C</w:t>
      </w:r>
      <w:r w:rsidRPr="008D1702">
        <w:rPr>
          <w:rFonts w:ascii="Cambria" w:hAnsi="Cambria"/>
          <w:sz w:val="20"/>
          <w:szCs w:val="20"/>
          <w:lang w:val="es-ES"/>
        </w:rPr>
        <w:t>onsejo General del IFE encontró culpables a las personas denunciadas y, en consecuencia, condenó a Televimex a abonar una multa de 3,000,000.00 pesos mexicanos (</w:t>
      </w:r>
      <w:r w:rsidR="008D1702" w:rsidRPr="008D1702">
        <w:rPr>
          <w:rFonts w:ascii="Cambria" w:hAnsi="Cambria"/>
          <w:sz w:val="20"/>
          <w:szCs w:val="20"/>
          <w:lang w:val="es-ES"/>
        </w:rPr>
        <w:t>aproximadamente, 162,000.00 dólares americanos</w:t>
      </w:r>
      <w:r w:rsidRPr="008D1702">
        <w:rPr>
          <w:rFonts w:ascii="Cambria" w:hAnsi="Cambria"/>
          <w:sz w:val="20"/>
          <w:szCs w:val="20"/>
          <w:lang w:val="es-ES"/>
        </w:rPr>
        <w:t>)</w:t>
      </w:r>
      <w:r w:rsidR="00BC1185" w:rsidRPr="008D1702">
        <w:rPr>
          <w:rFonts w:ascii="Cambria" w:hAnsi="Cambria"/>
          <w:sz w:val="20"/>
          <w:szCs w:val="20"/>
          <w:lang w:val="es-ES"/>
        </w:rPr>
        <w:t>,</w:t>
      </w:r>
      <w:r w:rsidR="00BC1185">
        <w:rPr>
          <w:rFonts w:ascii="Cambria" w:hAnsi="Cambria"/>
          <w:sz w:val="20"/>
          <w:szCs w:val="20"/>
          <w:lang w:val="es-ES"/>
        </w:rPr>
        <w:t xml:space="preserve"> por incumplir lo dispuesto en el artículo 350, párrafo 1, inciso b) del COFIPE</w:t>
      </w:r>
      <w:r w:rsidR="00F60619">
        <w:rPr>
          <w:rFonts w:ascii="Cambria" w:hAnsi="Cambria"/>
          <w:sz w:val="20"/>
          <w:szCs w:val="20"/>
          <w:lang w:val="es-ES"/>
        </w:rPr>
        <w:t xml:space="preserve">. </w:t>
      </w:r>
      <w:r w:rsidR="00B041A7">
        <w:rPr>
          <w:rFonts w:ascii="Cambria" w:hAnsi="Cambria"/>
          <w:sz w:val="20"/>
          <w:szCs w:val="20"/>
          <w:lang w:val="es-ES"/>
        </w:rPr>
        <w:t>Para ello, el referido organismo</w:t>
      </w:r>
      <w:r w:rsidR="00BC1185">
        <w:rPr>
          <w:rFonts w:ascii="Cambria" w:hAnsi="Cambria"/>
          <w:sz w:val="20"/>
          <w:szCs w:val="20"/>
          <w:lang w:val="es-ES"/>
        </w:rPr>
        <w:t xml:space="preserve"> habría recordado que, conforme a las decisiones del Tribunal Electoral del Poder Judicial de la Federación (en adelante, “TRIFE”), propaganda electoral “</w:t>
      </w:r>
      <w:r w:rsidR="00BC1185" w:rsidRPr="00BC1185">
        <w:rPr>
          <w:rFonts w:ascii="Cambria" w:hAnsi="Cambria"/>
          <w:i/>
          <w:iCs/>
          <w:sz w:val="20"/>
          <w:szCs w:val="20"/>
          <w:lang w:val="es-ES"/>
        </w:rPr>
        <w:t xml:space="preserve">es todo acto de </w:t>
      </w:r>
      <w:r w:rsidR="00BC1185">
        <w:rPr>
          <w:rFonts w:ascii="Cambria" w:hAnsi="Cambria"/>
          <w:i/>
          <w:iCs/>
          <w:sz w:val="20"/>
          <w:szCs w:val="20"/>
          <w:lang w:val="es-ES"/>
        </w:rPr>
        <w:t xml:space="preserve">difusión que se realice en el marco de una campaña comicial, con independencia de que se desenvuelva en el ámbito de la actividad comercial, publicitaria o de promoción empresarial; cuando en su difusión se muestre </w:t>
      </w:r>
      <w:r w:rsidR="00BC1185">
        <w:rPr>
          <w:rFonts w:ascii="Cambria" w:hAnsi="Cambria"/>
          <w:i/>
          <w:iCs/>
          <w:sz w:val="20"/>
          <w:szCs w:val="20"/>
          <w:lang w:val="es-ES"/>
        </w:rPr>
        <w:lastRenderedPageBreak/>
        <w:t xml:space="preserve">objetivamente que se efectúa también con la intención de presentar una candidatura ante a la ciudadanía. </w:t>
      </w:r>
      <w:r w:rsidR="00BC1185">
        <w:rPr>
          <w:rFonts w:ascii="Cambria" w:hAnsi="Cambria"/>
          <w:sz w:val="20"/>
          <w:szCs w:val="20"/>
          <w:lang w:val="es-ES"/>
        </w:rPr>
        <w:t xml:space="preserve">En base a ello, el Consejo General del IFE habría </w:t>
      </w:r>
      <w:r w:rsidR="00B041A7" w:rsidRPr="00BC1185">
        <w:rPr>
          <w:rFonts w:ascii="Cambria" w:hAnsi="Cambria"/>
          <w:sz w:val="20"/>
          <w:szCs w:val="20"/>
          <w:lang w:val="es-ES"/>
        </w:rPr>
        <w:t xml:space="preserve">considerado que los promocionales de la revista “Cambio” contuvieron propaganda electoral, en virtud de que resaltaron de manera evidente y en un contexto favorable al PVEM, en detrimento de los otros partidos políticos, destacando los colores y logotipo del propio instituto político, además de hacer mención expresa de las principales propuestas de campaña. </w:t>
      </w:r>
    </w:p>
    <w:p w14:paraId="30345B4C" w14:textId="72A95C57" w:rsidR="000814DB" w:rsidRPr="00BC1185" w:rsidRDefault="00FA580C" w:rsidP="00BC1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Indican que </w:t>
      </w:r>
      <w:r>
        <w:rPr>
          <w:rFonts w:ascii="Cambria" w:hAnsi="Cambria"/>
          <w:sz w:val="20"/>
          <w:szCs w:val="20"/>
          <w:lang w:val="es-ES"/>
        </w:rPr>
        <w:t>e</w:t>
      </w:r>
      <w:r w:rsidR="00F60619" w:rsidRPr="00BC1185">
        <w:rPr>
          <w:rFonts w:ascii="Cambria" w:hAnsi="Cambria"/>
          <w:sz w:val="20"/>
          <w:szCs w:val="20"/>
          <w:lang w:val="es-ES"/>
        </w:rPr>
        <w:t>l 26 de agosto de 2009, el Tribunal Electoral del Poder Judicial de la Federación (en adelante, “TRIFE”) confirmó tal aspecto de la resolución</w:t>
      </w:r>
      <w:r>
        <w:rPr>
          <w:rFonts w:ascii="Cambria" w:hAnsi="Cambria"/>
          <w:sz w:val="20"/>
          <w:szCs w:val="20"/>
          <w:lang w:val="es-ES"/>
        </w:rPr>
        <w:t>, y que el 27 de agosto de 2009 las autoridades notificaron tal decisión.</w:t>
      </w:r>
    </w:p>
    <w:p w14:paraId="0AAA07AE" w14:textId="669AF018" w:rsidR="007F6596" w:rsidRPr="007F6596" w:rsidRDefault="00BC118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En virtud de las citadas consideraciones, los peticionarios denuncian que el Estado violó, principalmente, el derecho a la libertad de expresión de las presuntas víctimas. </w:t>
      </w:r>
      <w:r w:rsidR="007F6596">
        <w:rPr>
          <w:rFonts w:ascii="Cambria" w:hAnsi="Cambria"/>
          <w:sz w:val="20"/>
          <w:szCs w:val="20"/>
          <w:lang w:val="es-ES"/>
        </w:rPr>
        <w:t>Al respecto, precisan que tales personas llevaban a cabo labores fundamentales en el medio afectado, pues tomaban decisiones y definían los contenidos programáticos</w:t>
      </w:r>
      <w:r w:rsidR="008D1702">
        <w:rPr>
          <w:rStyle w:val="FootnoteReference"/>
          <w:rFonts w:ascii="Cambria" w:hAnsi="Cambria"/>
          <w:sz w:val="20"/>
          <w:szCs w:val="20"/>
          <w:lang w:val="es-ES"/>
        </w:rPr>
        <w:footnoteReference w:id="8"/>
      </w:r>
      <w:r w:rsidR="007F6596">
        <w:rPr>
          <w:rFonts w:ascii="Cambria" w:hAnsi="Cambria"/>
          <w:sz w:val="20"/>
          <w:szCs w:val="20"/>
          <w:lang w:val="es-ES"/>
        </w:rPr>
        <w:t>. Esas decisiones, además, podían generar responsabilidad legal en el medio de comunicación, y de hecho lo generaron. En consecuencia, aduce</w:t>
      </w:r>
      <w:r w:rsidR="008D1702">
        <w:rPr>
          <w:rFonts w:ascii="Cambria" w:hAnsi="Cambria"/>
          <w:sz w:val="20"/>
          <w:szCs w:val="20"/>
          <w:lang w:val="es-ES"/>
        </w:rPr>
        <w:t>n</w:t>
      </w:r>
      <w:r w:rsidR="007F6596">
        <w:rPr>
          <w:rFonts w:ascii="Cambria" w:hAnsi="Cambria"/>
          <w:sz w:val="20"/>
          <w:szCs w:val="20"/>
          <w:lang w:val="es-ES"/>
        </w:rPr>
        <w:t xml:space="preserve"> que la prohibición de contratación de publicidad electoral, y las sanciones recaídas en virtud de </w:t>
      </w:r>
      <w:r w:rsidR="00105C46">
        <w:rPr>
          <w:rFonts w:ascii="Cambria" w:hAnsi="Cambria"/>
          <w:sz w:val="20"/>
          <w:szCs w:val="20"/>
          <w:lang w:val="es-ES"/>
        </w:rPr>
        <w:t>esta</w:t>
      </w:r>
      <w:r w:rsidR="007F6596">
        <w:rPr>
          <w:rFonts w:ascii="Cambria" w:hAnsi="Cambria"/>
          <w:sz w:val="20"/>
          <w:szCs w:val="20"/>
          <w:lang w:val="es-ES"/>
        </w:rPr>
        <w:t>, tuvieron un impacto negativo, cierto y sustancial en el derecho a la libertad de expresión de dichos individuos</w:t>
      </w:r>
    </w:p>
    <w:p w14:paraId="26E1D454" w14:textId="15F29E0A" w:rsidR="009323A7" w:rsidRPr="009323A7" w:rsidRDefault="008D170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Añaden </w:t>
      </w:r>
      <w:r w:rsidR="009323A7">
        <w:rPr>
          <w:rFonts w:ascii="Cambria" w:hAnsi="Cambria"/>
          <w:sz w:val="20"/>
          <w:szCs w:val="20"/>
          <w:lang w:val="es-ES"/>
        </w:rPr>
        <w:t xml:space="preserve">que la publicidad </w:t>
      </w:r>
      <w:r w:rsidR="007F6596">
        <w:rPr>
          <w:rFonts w:ascii="Cambria" w:hAnsi="Cambria"/>
          <w:sz w:val="20"/>
          <w:szCs w:val="20"/>
          <w:lang w:val="es-ES"/>
        </w:rPr>
        <w:t xml:space="preserve">que provocó la sanción </w:t>
      </w:r>
      <w:r w:rsidR="009323A7">
        <w:rPr>
          <w:rFonts w:ascii="Cambria" w:hAnsi="Cambria"/>
          <w:sz w:val="20"/>
          <w:szCs w:val="20"/>
          <w:lang w:val="es-ES"/>
        </w:rPr>
        <w:t>era un típico comercial publicitario en donde se intentaba difundir y comercializar la última edición de la revista “</w:t>
      </w:r>
      <w:r w:rsidR="00B041A7">
        <w:rPr>
          <w:rFonts w:ascii="Cambria" w:hAnsi="Cambria"/>
          <w:sz w:val="20"/>
          <w:szCs w:val="20"/>
          <w:lang w:val="es-ES"/>
        </w:rPr>
        <w:t>C</w:t>
      </w:r>
      <w:r w:rsidR="009323A7">
        <w:rPr>
          <w:rFonts w:ascii="Cambria" w:hAnsi="Cambria"/>
          <w:sz w:val="20"/>
          <w:szCs w:val="20"/>
          <w:lang w:val="es-ES"/>
        </w:rPr>
        <w:t xml:space="preserve">ambio”, tal y como se venía haciendo con todas las demás ediciones semanales anteriores de la misma publicación. Por ende, consideran que era más que claro que la intención de los anunciantes era la de publicitar una revista, cuya nota principal en dicha semana trató las proyecciones de los partidos políticos de cara a la elección del 5 de julio de 2009. </w:t>
      </w:r>
      <w:r w:rsidR="00B041A7">
        <w:rPr>
          <w:rFonts w:ascii="Cambria" w:hAnsi="Cambria"/>
          <w:sz w:val="20"/>
          <w:szCs w:val="20"/>
          <w:lang w:val="es-ES"/>
        </w:rPr>
        <w:t xml:space="preserve">Además, sostiene </w:t>
      </w:r>
      <w:r w:rsidR="00BC1185">
        <w:rPr>
          <w:rFonts w:ascii="Cambria" w:hAnsi="Cambria"/>
          <w:sz w:val="20"/>
          <w:szCs w:val="20"/>
          <w:lang w:val="es-ES"/>
        </w:rPr>
        <w:t>que,</w:t>
      </w:r>
      <w:r w:rsidR="00B041A7">
        <w:rPr>
          <w:rFonts w:ascii="Cambria" w:hAnsi="Cambria"/>
          <w:sz w:val="20"/>
          <w:szCs w:val="20"/>
          <w:lang w:val="es-ES"/>
        </w:rPr>
        <w:t xml:space="preserve"> de avalarse la definición de propaganda electoral utilizada por los órganos internos, </w:t>
      </w:r>
      <w:r w:rsidR="00BC1185">
        <w:rPr>
          <w:rFonts w:ascii="Cambria" w:hAnsi="Cambria"/>
          <w:sz w:val="20"/>
          <w:szCs w:val="20"/>
          <w:lang w:val="es-ES"/>
        </w:rPr>
        <w:t xml:space="preserve">casi todo acto publicitario constituiría propaganda electoral. </w:t>
      </w:r>
    </w:p>
    <w:p w14:paraId="791A6ED9" w14:textId="0C484C68" w:rsidR="009323A7" w:rsidRDefault="00B041A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Finalmente</w:t>
      </w:r>
      <w:r w:rsidR="009323A7">
        <w:rPr>
          <w:rFonts w:ascii="Cambria" w:hAnsi="Cambria"/>
          <w:sz w:val="20"/>
          <w:szCs w:val="20"/>
          <w:lang w:val="es-ES"/>
        </w:rPr>
        <w:t>, sostiene</w:t>
      </w:r>
      <w:r>
        <w:rPr>
          <w:rFonts w:ascii="Cambria" w:hAnsi="Cambria"/>
          <w:sz w:val="20"/>
          <w:szCs w:val="20"/>
          <w:lang w:val="es-ES"/>
        </w:rPr>
        <w:t>n</w:t>
      </w:r>
      <w:r w:rsidR="009323A7">
        <w:rPr>
          <w:rFonts w:ascii="Cambria" w:hAnsi="Cambria"/>
          <w:sz w:val="20"/>
          <w:szCs w:val="20"/>
          <w:lang w:val="es-ES"/>
        </w:rPr>
        <w:t xml:space="preserve"> que </w:t>
      </w:r>
      <w:r w:rsidR="008D1702">
        <w:rPr>
          <w:rFonts w:ascii="Cambria" w:hAnsi="Cambria"/>
          <w:sz w:val="20"/>
          <w:szCs w:val="20"/>
          <w:lang w:val="es-ES"/>
        </w:rPr>
        <w:t>aun</w:t>
      </w:r>
      <w:r w:rsidR="009323A7">
        <w:rPr>
          <w:rFonts w:ascii="Cambria" w:hAnsi="Cambria"/>
          <w:sz w:val="20"/>
          <w:szCs w:val="20"/>
          <w:lang w:val="es-ES"/>
        </w:rPr>
        <w:t xml:space="preserve"> cuando se considerase que se estaba frente a una publicidad política era claro que</w:t>
      </w:r>
      <w:r w:rsidR="008D1702">
        <w:rPr>
          <w:rFonts w:ascii="Cambria" w:hAnsi="Cambria"/>
          <w:sz w:val="20"/>
          <w:szCs w:val="20"/>
          <w:lang w:val="es-ES"/>
        </w:rPr>
        <w:t>, por tratar de información de interés público,</w:t>
      </w:r>
      <w:r w:rsidR="009323A7">
        <w:rPr>
          <w:rFonts w:ascii="Cambria" w:hAnsi="Cambria"/>
          <w:sz w:val="20"/>
          <w:szCs w:val="20"/>
          <w:lang w:val="es-ES"/>
        </w:rPr>
        <w:t xml:space="preserve"> no podía ni debía prohibirse su difusión y menos sancionar a las empresas que difundieron tal contenido.</w:t>
      </w:r>
    </w:p>
    <w:p w14:paraId="27E18E78" w14:textId="3478F8BB" w:rsidR="003A6C83" w:rsidRPr="00CB0185" w:rsidRDefault="005C0DBC" w:rsidP="00CB0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5C0DBC">
        <w:rPr>
          <w:rFonts w:ascii="Cambria" w:hAnsi="Cambria"/>
          <w:sz w:val="20"/>
          <w:szCs w:val="20"/>
          <w:lang w:val="es-AR"/>
        </w:rPr>
        <w:t xml:space="preserve">El Estado, por su parte, replica que la CIDH carece de competencia </w:t>
      </w:r>
      <w:r w:rsidRPr="008D1702">
        <w:rPr>
          <w:rFonts w:ascii="Cambria" w:hAnsi="Cambria"/>
          <w:i/>
          <w:iCs/>
          <w:sz w:val="20"/>
          <w:szCs w:val="20"/>
          <w:lang w:val="es-AR"/>
        </w:rPr>
        <w:t>ratione personae</w:t>
      </w:r>
      <w:r w:rsidRPr="005C0DBC">
        <w:rPr>
          <w:rFonts w:ascii="Cambria" w:hAnsi="Cambria"/>
          <w:sz w:val="20"/>
          <w:szCs w:val="20"/>
          <w:lang w:val="es-AR"/>
        </w:rPr>
        <w:t xml:space="preserve"> para</w:t>
      </w:r>
      <w:r>
        <w:rPr>
          <w:rFonts w:ascii="Cambria" w:hAnsi="Cambria"/>
          <w:sz w:val="20"/>
          <w:szCs w:val="20"/>
          <w:lang w:val="es-AR"/>
        </w:rPr>
        <w:t xml:space="preserve"> </w:t>
      </w:r>
      <w:r w:rsidRPr="005C0DBC">
        <w:rPr>
          <w:rFonts w:ascii="Cambria" w:hAnsi="Cambria"/>
          <w:sz w:val="20"/>
          <w:szCs w:val="20"/>
          <w:lang w:val="es-AR"/>
        </w:rPr>
        <w:t>analizar la presente petición. Alega que, conforme a lo señalado por la Corte Interamericana de Derechos</w:t>
      </w:r>
      <w:r>
        <w:rPr>
          <w:rFonts w:ascii="Cambria" w:hAnsi="Cambria"/>
          <w:sz w:val="20"/>
          <w:szCs w:val="20"/>
          <w:lang w:val="es-AR"/>
        </w:rPr>
        <w:t xml:space="preserve"> </w:t>
      </w:r>
      <w:r w:rsidRPr="005C0DBC">
        <w:rPr>
          <w:rFonts w:ascii="Cambria" w:hAnsi="Cambria"/>
          <w:sz w:val="20"/>
          <w:szCs w:val="20"/>
          <w:lang w:val="es-AR"/>
        </w:rPr>
        <w:t>Humanos (en adelante, “Corte IDH”) en la OC-22/16, las personas jurídicas no son titulares de derechos</w:t>
      </w:r>
      <w:r>
        <w:rPr>
          <w:rFonts w:ascii="Cambria" w:hAnsi="Cambria"/>
          <w:sz w:val="20"/>
          <w:szCs w:val="20"/>
          <w:lang w:val="es-AR"/>
        </w:rPr>
        <w:t xml:space="preserve"> </w:t>
      </w:r>
      <w:r w:rsidRPr="005C0DBC">
        <w:rPr>
          <w:rFonts w:ascii="Cambria" w:hAnsi="Cambria"/>
          <w:sz w:val="20"/>
          <w:szCs w:val="20"/>
          <w:lang w:val="es-AR"/>
        </w:rPr>
        <w:t xml:space="preserve">previstos en la Convención Americana ni están sujetos a la protección de sus órganos. </w:t>
      </w:r>
      <w:r w:rsidRPr="00CB0185">
        <w:rPr>
          <w:rFonts w:ascii="Cambria" w:hAnsi="Cambria"/>
          <w:sz w:val="20"/>
          <w:szCs w:val="20"/>
          <w:lang w:val="es-AR"/>
        </w:rPr>
        <w:t xml:space="preserve">En consecuencia, solicita a la CIDH que declare que no es competente para conocer de la petición debido a que </w:t>
      </w:r>
      <w:r w:rsidR="00CB0185" w:rsidRPr="00CB0185">
        <w:rPr>
          <w:rFonts w:ascii="Cambria" w:hAnsi="Cambria"/>
          <w:bCs/>
          <w:sz w:val="20"/>
          <w:szCs w:val="20"/>
          <w:lang w:val="es-ES"/>
        </w:rPr>
        <w:t xml:space="preserve">Televimex S.A. es una persona moral. </w:t>
      </w:r>
    </w:p>
    <w:p w14:paraId="1FEADD07" w14:textId="3A8C9263" w:rsidR="00CB0185" w:rsidRPr="00D95F13" w:rsidRDefault="00CB0185" w:rsidP="00CB0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bCs/>
          <w:sz w:val="20"/>
          <w:szCs w:val="20"/>
          <w:lang w:val="es-ES"/>
        </w:rPr>
        <w:t>Agrega que no obstante lo anterior, excepcionalmente los medios de comunicación pueden acudir al sistema interamericano únicamente cuando ella sea la vía para que las personas naturales materialicen su propio derecho a la libre expresión de ideas. Aduce que, para ello, se debe probar que la participación de las personas se relacione de manera sustancial con los derechos alegados vulnerados, por lo que se</w:t>
      </w:r>
      <w:r w:rsidR="00D95F13">
        <w:rPr>
          <w:rFonts w:ascii="Cambria" w:hAnsi="Cambria"/>
          <w:bCs/>
          <w:sz w:val="20"/>
          <w:szCs w:val="20"/>
          <w:lang w:val="es-ES"/>
        </w:rPr>
        <w:t xml:space="preserve"> debe tomar en cuenta el papel que cumplían las presuntas víctimas dentro del respectivo medio de comunicación y, en particular, la forma con la que contribuían con la misión comunicacional dentro del mismo. En el presente caso, sostiene que las presuntas víctimas no han cumplido con ello, toda vez que no han expresado las razones por las cuales consideran que se afecta su libertad de expresión, ni hicieron referencia a sus actividades o funciones realizadas dentro de la empresa que permitiera vislumbrar su intervención directa en la misión comunicacional de Televimex. </w:t>
      </w:r>
    </w:p>
    <w:p w14:paraId="3DD8A653" w14:textId="761CBA84" w:rsidR="00D95F13" w:rsidRPr="0008710A" w:rsidRDefault="00D95F13" w:rsidP="00CB0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bCs/>
          <w:sz w:val="20"/>
          <w:szCs w:val="20"/>
          <w:lang w:val="es-ES"/>
        </w:rPr>
        <w:t xml:space="preserve">Adicionalmente, arguye que no se han agotado los recursos de la jurisdicción interna. Sostiene que, contrario a lo que afirma la parte peticionaria, las presuntas víctimas tuvieron la posibilidad de agotar los recursos de jurisdicción interna, dado que la Ley General del Sistema de Medios de Impugnación en Materia </w:t>
      </w:r>
      <w:r>
        <w:rPr>
          <w:rFonts w:ascii="Cambria" w:hAnsi="Cambria"/>
          <w:bCs/>
          <w:sz w:val="20"/>
          <w:szCs w:val="20"/>
          <w:lang w:val="es-ES"/>
        </w:rPr>
        <w:lastRenderedPageBreak/>
        <w:t>Electoral</w:t>
      </w:r>
      <w:r w:rsidR="00981D81">
        <w:rPr>
          <w:rFonts w:ascii="Cambria" w:hAnsi="Cambria"/>
          <w:bCs/>
          <w:sz w:val="20"/>
          <w:szCs w:val="20"/>
          <w:lang w:val="es-ES"/>
        </w:rPr>
        <w:t xml:space="preserve"> (en adelante,</w:t>
      </w:r>
      <w:r w:rsidR="00981D81" w:rsidRPr="00981D81">
        <w:rPr>
          <w:lang w:val="es-ES"/>
        </w:rPr>
        <w:t xml:space="preserve"> </w:t>
      </w:r>
      <w:r w:rsidR="00981D81" w:rsidRPr="00981D81">
        <w:rPr>
          <w:rFonts w:ascii="Cambria" w:hAnsi="Cambria"/>
          <w:bCs/>
          <w:sz w:val="20"/>
          <w:szCs w:val="20"/>
          <w:lang w:val="es-ES"/>
        </w:rPr>
        <w:t>LGSMIME</w:t>
      </w:r>
      <w:r w:rsidR="00981D81">
        <w:rPr>
          <w:rFonts w:ascii="Cambria" w:hAnsi="Cambria"/>
          <w:bCs/>
          <w:sz w:val="20"/>
          <w:szCs w:val="20"/>
          <w:lang w:val="es-ES"/>
        </w:rPr>
        <w:t>)</w:t>
      </w:r>
      <w:r>
        <w:rPr>
          <w:rFonts w:ascii="Cambria" w:hAnsi="Cambria"/>
          <w:bCs/>
          <w:sz w:val="20"/>
          <w:szCs w:val="20"/>
          <w:lang w:val="es-ES"/>
        </w:rPr>
        <w:t>, contempla la posibilidad de que un “tercero interesado” interponga un recurso de apelación en contra de sanciones que realice el CGIFE</w:t>
      </w:r>
      <w:r>
        <w:rPr>
          <w:rStyle w:val="FootnoteReference"/>
          <w:rFonts w:ascii="Cambria" w:hAnsi="Cambria"/>
          <w:bCs/>
          <w:sz w:val="20"/>
          <w:szCs w:val="20"/>
          <w:lang w:val="es-ES"/>
        </w:rPr>
        <w:footnoteReference w:id="9"/>
      </w:r>
      <w:r>
        <w:rPr>
          <w:rFonts w:ascii="Cambria" w:hAnsi="Cambria"/>
          <w:bCs/>
          <w:sz w:val="20"/>
          <w:szCs w:val="20"/>
          <w:lang w:val="es-ES"/>
        </w:rPr>
        <w:t xml:space="preserve">.  En base a ello, afirma que </w:t>
      </w:r>
      <w:r w:rsidR="0008710A">
        <w:rPr>
          <w:rFonts w:ascii="Cambria" w:hAnsi="Cambria"/>
          <w:bCs/>
          <w:sz w:val="20"/>
          <w:szCs w:val="20"/>
          <w:lang w:val="es-ES"/>
        </w:rPr>
        <w:t>a pesar de que</w:t>
      </w:r>
      <w:r>
        <w:rPr>
          <w:rFonts w:ascii="Cambria" w:hAnsi="Cambria"/>
          <w:bCs/>
          <w:sz w:val="20"/>
          <w:szCs w:val="20"/>
          <w:lang w:val="es-ES"/>
        </w:rPr>
        <w:t xml:space="preserve"> las presuntas víctimas tenían legitimación activa a nivel interno para acudir a defender sus derechos como terceros interesados ante la autoridad electoral, </w:t>
      </w:r>
      <w:r w:rsidR="0008710A">
        <w:rPr>
          <w:rFonts w:ascii="Cambria" w:hAnsi="Cambria"/>
          <w:bCs/>
          <w:sz w:val="20"/>
          <w:szCs w:val="20"/>
          <w:lang w:val="es-ES"/>
        </w:rPr>
        <w:t xml:space="preserve">no utilizaron tal vía. En razón a ello, considera que no se cumple con el requisito establecido en el artículo 46.1.a de la Convención Americana. </w:t>
      </w:r>
    </w:p>
    <w:p w14:paraId="6C7A3FE6" w14:textId="18B9D366" w:rsidR="0008710A" w:rsidRPr="00773B92" w:rsidRDefault="008D1702" w:rsidP="00773B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bCs/>
          <w:sz w:val="20"/>
          <w:szCs w:val="20"/>
          <w:lang w:val="es-ES"/>
        </w:rPr>
        <w:t>Sin perjuicio de ello</w:t>
      </w:r>
      <w:r w:rsidR="0008710A">
        <w:rPr>
          <w:rFonts w:ascii="Cambria" w:hAnsi="Cambria"/>
          <w:bCs/>
          <w:sz w:val="20"/>
          <w:szCs w:val="20"/>
          <w:lang w:val="es-ES"/>
        </w:rPr>
        <w:t xml:space="preserve">, aduce que </w:t>
      </w:r>
      <w:r w:rsidR="0008710A" w:rsidRPr="0008710A">
        <w:rPr>
          <w:rFonts w:ascii="Cambria" w:hAnsi="Cambria"/>
          <w:bCs/>
          <w:sz w:val="20"/>
          <w:szCs w:val="20"/>
          <w:lang w:val="es-ES"/>
        </w:rPr>
        <w:t>los hechos denunciados no caracterizan violaciones de derechos humanos.</w:t>
      </w:r>
      <w:r w:rsidR="00773B92">
        <w:rPr>
          <w:rFonts w:ascii="Cambria" w:hAnsi="Cambria"/>
          <w:bCs/>
          <w:sz w:val="20"/>
          <w:szCs w:val="20"/>
          <w:lang w:val="es-ES"/>
        </w:rPr>
        <w:t xml:space="preserve"> Argumenta </w:t>
      </w:r>
      <w:r w:rsidR="0008710A" w:rsidRPr="00773B92">
        <w:rPr>
          <w:rFonts w:ascii="Cambria" w:hAnsi="Cambria"/>
          <w:bCs/>
          <w:sz w:val="20"/>
          <w:szCs w:val="20"/>
          <w:lang w:val="es-ES"/>
        </w:rPr>
        <w:t xml:space="preserve">que la reforma electoral del 2007 implementó legislación más rigurosa con respecto a la propaganda en los medios electrónicos de comunicación y la contratación de mensajes por parte de terceros para apoyar o atacar a alguno </w:t>
      </w:r>
      <w:r w:rsidRPr="00773B92">
        <w:rPr>
          <w:rFonts w:ascii="Cambria" w:hAnsi="Cambria"/>
          <w:bCs/>
          <w:sz w:val="20"/>
          <w:szCs w:val="20"/>
          <w:lang w:val="es-ES"/>
        </w:rPr>
        <w:t>de</w:t>
      </w:r>
      <w:r w:rsidR="0008710A" w:rsidRPr="00773B92">
        <w:rPr>
          <w:rFonts w:ascii="Cambria" w:hAnsi="Cambria"/>
          <w:bCs/>
          <w:sz w:val="20"/>
          <w:szCs w:val="20"/>
          <w:lang w:val="es-ES"/>
        </w:rPr>
        <w:t xml:space="preserve"> los candidatos. En ese sentido, afirma que las modificaciones realizadas a la normativa interna tuvieron como objetivo garantizar el acceso a todos los partidos políticos a tiempos de radio y televisión, para evitar que los poderes económicos influyeran en las preferencias electorales a través de la compra de publicidad en medios de comunicación. En base a ello, indica que el IFE realizó un análisis de fondo de</w:t>
      </w:r>
      <w:r w:rsidR="00773B92" w:rsidRPr="00773B92">
        <w:rPr>
          <w:rFonts w:ascii="Cambria" w:hAnsi="Cambria"/>
          <w:bCs/>
          <w:sz w:val="20"/>
          <w:szCs w:val="20"/>
          <w:lang w:val="es-ES"/>
        </w:rPr>
        <w:t xml:space="preserve"> las promociones realizadas a la revista “Cambios” y arribó a la conclusión de que se trató de propaganda política, violentando la finalidad fundamental de los promocionales partidistas y de la sociedad. En esa línea, arguye que las limitaciones establecidas en la normativa interna son compatibles con el régimen convencional, ya que obedecen a una necesidad imperada en todo Estado democrático, otorgando una igualdad de oportunidades entre quienes concurren a la contienda electoral para ver favorecidos en el sufragio popular. </w:t>
      </w:r>
    </w:p>
    <w:p w14:paraId="1C4F6CF0" w14:textId="27B182A7" w:rsidR="0008710A" w:rsidRPr="00773B92" w:rsidRDefault="00773B92" w:rsidP="00773B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bCs/>
          <w:sz w:val="20"/>
          <w:szCs w:val="20"/>
          <w:lang w:val="es-ES"/>
        </w:rPr>
        <w:t xml:space="preserve">Finalmente, sostiene que las presuntas víctimas no intervinieron en la determinación de los contenidos televisivos, ni se desprende que con su transmisión tuvieran la intención de realizar una manifestación de carácter político o ideológico. En consecuencia, afirma que en el escrito de la petición no se expresan las razones por las cuales se considera que se afecta la libertad de expresión, dado que ni siquiera se hace referencia a las actividades o funciones realizadas por las presuntas víctimas dentro de la empresa. </w:t>
      </w:r>
      <w:r w:rsidRPr="00773B92">
        <w:rPr>
          <w:rFonts w:ascii="Cambria" w:hAnsi="Cambria"/>
          <w:bCs/>
          <w:sz w:val="20"/>
          <w:szCs w:val="20"/>
          <w:lang w:val="es-ES"/>
        </w:rPr>
        <w:t>En consecuencia, 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p>
    <w:p w14:paraId="7D6F36DF" w14:textId="77777777" w:rsidR="0097571F" w:rsidRDefault="003239B8" w:rsidP="003239B8">
      <w:pPr>
        <w:spacing w:before="240" w:after="240"/>
        <w:ind w:firstLine="720"/>
        <w:jc w:val="both"/>
        <w:rPr>
          <w:rFonts w:asciiTheme="majorHAnsi" w:eastAsia="Cambria" w:hAnsiTheme="majorHAnsi" w:cs="Cambria"/>
          <w:b/>
          <w:bCs/>
          <w:i/>
          <w:iCs/>
          <w:color w:val="000000"/>
          <w:sz w:val="20"/>
          <w:szCs w:val="20"/>
          <w:u w:color="000000"/>
          <w:lang w:val="es-ES" w:eastAsia="es-ES"/>
        </w:rPr>
      </w:pPr>
      <w:r w:rsidRPr="00E64C3D">
        <w:rPr>
          <w:rFonts w:asciiTheme="majorHAnsi" w:eastAsia="Cambria" w:hAnsiTheme="majorHAnsi" w:cs="Cambria"/>
          <w:b/>
          <w:bCs/>
          <w:color w:val="000000"/>
          <w:sz w:val="20"/>
          <w:szCs w:val="20"/>
          <w:u w:color="000000"/>
          <w:lang w:val="es-ES" w:eastAsia="es-ES"/>
        </w:rPr>
        <w:t>VI.</w:t>
      </w:r>
      <w:r w:rsidR="00D84171">
        <w:rPr>
          <w:rFonts w:asciiTheme="majorHAnsi" w:eastAsia="Cambria" w:hAnsiTheme="majorHAnsi" w:cs="Cambria"/>
          <w:b/>
          <w:bCs/>
          <w:color w:val="000000"/>
          <w:sz w:val="20"/>
          <w:szCs w:val="20"/>
          <w:u w:color="000000"/>
          <w:lang w:val="es-ES" w:eastAsia="es-ES"/>
        </w:rPr>
        <w:t xml:space="preserve"> </w:t>
      </w:r>
      <w:r w:rsidR="00D84171">
        <w:rPr>
          <w:rFonts w:asciiTheme="majorHAnsi" w:eastAsia="Cambria" w:hAnsiTheme="majorHAnsi" w:cs="Cambria"/>
          <w:b/>
          <w:bCs/>
          <w:color w:val="000000"/>
          <w:sz w:val="20"/>
          <w:szCs w:val="20"/>
          <w:u w:color="000000"/>
          <w:lang w:val="es-ES" w:eastAsia="es-ES"/>
        </w:rPr>
        <w:tab/>
        <w:t xml:space="preserve">COMPETENCIA </w:t>
      </w:r>
      <w:r w:rsidR="00D84171" w:rsidRPr="00D84171">
        <w:rPr>
          <w:rFonts w:asciiTheme="majorHAnsi" w:eastAsia="Cambria" w:hAnsiTheme="majorHAnsi" w:cs="Cambria"/>
          <w:b/>
          <w:bCs/>
          <w:i/>
          <w:iCs/>
          <w:color w:val="000000"/>
          <w:sz w:val="20"/>
          <w:szCs w:val="20"/>
          <w:u w:color="000000"/>
          <w:lang w:val="es-ES" w:eastAsia="es-ES"/>
        </w:rPr>
        <w:t>RATIONE PERSONAE</w:t>
      </w:r>
    </w:p>
    <w:p w14:paraId="2E990A90" w14:textId="6F71A6E6" w:rsidR="0097571F" w:rsidRDefault="0097571F" w:rsidP="00975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A1CAD">
        <w:rPr>
          <w:rFonts w:ascii="Cambria" w:hAnsi="Cambria"/>
          <w:sz w:val="20"/>
          <w:szCs w:val="20"/>
          <w:lang w:val="es-ES"/>
        </w:rPr>
        <w:t xml:space="preserve">Siguiendo el criterio de </w:t>
      </w:r>
      <w:r>
        <w:rPr>
          <w:rFonts w:ascii="Cambria" w:hAnsi="Cambria"/>
          <w:sz w:val="20"/>
          <w:szCs w:val="20"/>
          <w:lang w:val="es-ES"/>
        </w:rPr>
        <w:t>competencia</w:t>
      </w:r>
      <w:r w:rsidRPr="00CA1CAD">
        <w:rPr>
          <w:rFonts w:ascii="Cambria" w:hAnsi="Cambria"/>
          <w:sz w:val="20"/>
          <w:szCs w:val="20"/>
          <w:lang w:val="es-ES"/>
        </w:rPr>
        <w:t xml:space="preserve"> establecido en el Informe No. 52/18</w:t>
      </w:r>
      <w:r>
        <w:rPr>
          <w:rFonts w:ascii="Cambria" w:hAnsi="Cambria"/>
          <w:sz w:val="20"/>
          <w:szCs w:val="20"/>
          <w:lang w:val="es-ES"/>
        </w:rPr>
        <w:t xml:space="preserve"> y No. 20/21</w:t>
      </w:r>
      <w:r>
        <w:rPr>
          <w:rStyle w:val="FootnoteReference"/>
          <w:rFonts w:ascii="Cambria" w:hAnsi="Cambria"/>
          <w:sz w:val="20"/>
          <w:szCs w:val="20"/>
          <w:lang w:val="es-ES"/>
        </w:rPr>
        <w:footnoteReference w:id="10"/>
      </w:r>
      <w:r w:rsidRPr="00CA1CAD">
        <w:rPr>
          <w:rFonts w:ascii="Cambria" w:hAnsi="Cambria"/>
          <w:sz w:val="20"/>
          <w:szCs w:val="20"/>
          <w:lang w:val="es-ES"/>
        </w:rPr>
        <w:t xml:space="preserve">, la Comisión </w:t>
      </w:r>
      <w:r w:rsidR="00974639">
        <w:rPr>
          <w:rFonts w:ascii="Cambria" w:hAnsi="Cambria"/>
          <w:sz w:val="20"/>
          <w:szCs w:val="20"/>
          <w:lang w:val="es-ES"/>
        </w:rPr>
        <w:t>reitera</w:t>
      </w:r>
      <w:r w:rsidRPr="00CA1CAD">
        <w:rPr>
          <w:rFonts w:ascii="Cambria" w:hAnsi="Cambria"/>
          <w:sz w:val="20"/>
          <w:szCs w:val="20"/>
          <w:lang w:val="es-ES"/>
        </w:rPr>
        <w:t xml:space="preserve"> que el concepto de persona dispuesto en el artículo 1.2 de la Convención Americana no incluye a las personas jurídicas</w:t>
      </w:r>
      <w:r>
        <w:rPr>
          <w:rStyle w:val="FootnoteReference"/>
          <w:rFonts w:ascii="Cambria" w:hAnsi="Cambria"/>
          <w:sz w:val="20"/>
          <w:szCs w:val="20"/>
          <w:lang w:val="es-ES"/>
        </w:rPr>
        <w:footnoteReference w:id="11"/>
      </w:r>
      <w:r w:rsidRPr="00CA1CAD">
        <w:rPr>
          <w:rFonts w:ascii="Cambria" w:hAnsi="Cambria"/>
          <w:sz w:val="20"/>
          <w:szCs w:val="20"/>
          <w:lang w:val="es-ES"/>
        </w:rPr>
        <w:t>. Al respecto, la Comisión ha señalado que el Preámbulo de la Convención Americana y su artículo 1.2 establecen que “</w:t>
      </w:r>
      <w:r w:rsidRPr="0097571F">
        <w:rPr>
          <w:rFonts w:ascii="Cambria" w:hAnsi="Cambria"/>
          <w:i/>
          <w:iCs/>
          <w:sz w:val="20"/>
          <w:szCs w:val="20"/>
          <w:lang w:val="es-ES"/>
        </w:rPr>
        <w:t>para los propósitos de esta Convención, 'persona' significa todo ser humano</w:t>
      </w:r>
      <w:r w:rsidRPr="00CA1CAD">
        <w:rPr>
          <w:rFonts w:ascii="Cambria" w:hAnsi="Cambria"/>
          <w:sz w:val="20"/>
          <w:szCs w:val="20"/>
          <w:lang w:val="es-ES"/>
        </w:rPr>
        <w:t>”, y que la protección otorgada por el Sistema Interamericano de Derechos Humanos se circunscribe a las personas naturales</w:t>
      </w:r>
      <w:r>
        <w:rPr>
          <w:rStyle w:val="FootnoteReference"/>
          <w:rFonts w:ascii="Cambria" w:hAnsi="Cambria"/>
          <w:sz w:val="20"/>
          <w:szCs w:val="20"/>
          <w:lang w:val="es-ES"/>
        </w:rPr>
        <w:footnoteReference w:id="12"/>
      </w:r>
      <w:r w:rsidRPr="00CA1CAD">
        <w:rPr>
          <w:rFonts w:ascii="Cambria" w:hAnsi="Cambria"/>
          <w:sz w:val="20"/>
          <w:szCs w:val="20"/>
          <w:lang w:val="es-ES"/>
        </w:rPr>
        <w:t>. Con base en ello, la Comisión y la Corte IDH han entendido que las personas jurídicas no pueden acceder al sistema interamericano de derechos humanos como presuntas víctimas en el marco de los procesos contenciosos</w:t>
      </w:r>
      <w:r w:rsidRPr="00CA1CAD">
        <w:rPr>
          <w:rFonts w:ascii="Cambria" w:hAnsi="Cambria"/>
          <w:position w:val="6"/>
          <w:sz w:val="12"/>
          <w:szCs w:val="12"/>
          <w:lang w:val="es-ES"/>
        </w:rPr>
        <w:t>9</w:t>
      </w:r>
      <w:r w:rsidRPr="00CA1CAD">
        <w:rPr>
          <w:rFonts w:ascii="Cambria" w:hAnsi="Cambria"/>
          <w:sz w:val="20"/>
          <w:szCs w:val="20"/>
          <w:lang w:val="es-ES"/>
        </w:rPr>
        <w:t xml:space="preserve">. </w:t>
      </w:r>
      <w:r>
        <w:rPr>
          <w:rFonts w:ascii="Cambria" w:hAnsi="Cambria"/>
          <w:sz w:val="20"/>
          <w:szCs w:val="20"/>
          <w:lang w:val="es-ES"/>
        </w:rPr>
        <w:t>No obstante, e</w:t>
      </w:r>
      <w:r w:rsidRPr="00CA1CAD">
        <w:rPr>
          <w:rFonts w:ascii="Cambria" w:hAnsi="Cambria"/>
          <w:sz w:val="20"/>
          <w:szCs w:val="20"/>
          <w:lang w:val="es-ES"/>
        </w:rPr>
        <w:t xml:space="preserve">sto no restringe la posibilidad de que bajo determinados supuestos excepcionales el individuo que ejerza sus derechos a través de personas jurídicas pueda acudir al sistema interamericano </w:t>
      </w:r>
      <w:r w:rsidRPr="00CA1CAD">
        <w:rPr>
          <w:rFonts w:ascii="Cambria" w:hAnsi="Cambria"/>
          <w:sz w:val="20"/>
          <w:szCs w:val="20"/>
          <w:lang w:val="es-ES"/>
        </w:rPr>
        <w:lastRenderedPageBreak/>
        <w:t>para hacer valer sus derechos fundamentales, aun cuando los mismos estén cubiertos por una figura o ficción jurídica creada por el mismo sistema jurídico</w:t>
      </w:r>
      <w:r>
        <w:rPr>
          <w:rStyle w:val="FootnoteReference"/>
          <w:rFonts w:ascii="Cambria" w:hAnsi="Cambria"/>
          <w:sz w:val="20"/>
          <w:szCs w:val="20"/>
          <w:lang w:val="es-ES"/>
        </w:rPr>
        <w:footnoteReference w:id="13"/>
      </w:r>
      <w:r w:rsidRPr="00CA1CAD">
        <w:rPr>
          <w:rFonts w:ascii="Cambria" w:hAnsi="Cambria"/>
          <w:sz w:val="20"/>
          <w:szCs w:val="20"/>
          <w:lang w:val="es-ES"/>
        </w:rPr>
        <w:t xml:space="preserve">. </w:t>
      </w:r>
    </w:p>
    <w:p w14:paraId="40371266" w14:textId="77777777" w:rsidR="0097571F" w:rsidRDefault="0097571F" w:rsidP="00975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00283">
        <w:rPr>
          <w:rFonts w:ascii="Cambria" w:hAnsi="Cambria"/>
          <w:sz w:val="20"/>
          <w:szCs w:val="20"/>
          <w:lang w:val="es-ES"/>
        </w:rPr>
        <w:t>En particular, tanto la CIDH y la Corte IDH se han pronunciado en varias oportunidades sobre el derecho a la libertad de expresión y su materialización a través de una persona jurídica</w:t>
      </w:r>
      <w:r w:rsidRPr="001B638A">
        <w:rPr>
          <w:rStyle w:val="FootnoteReference"/>
          <w:rFonts w:ascii="Cambria" w:hAnsi="Cambria"/>
          <w:sz w:val="20"/>
          <w:szCs w:val="20"/>
          <w:lang w:val="es-ES"/>
        </w:rPr>
        <w:footnoteReference w:id="14"/>
      </w:r>
      <w:r w:rsidRPr="00200283">
        <w:rPr>
          <w:rFonts w:ascii="Cambria" w:hAnsi="Cambria"/>
          <w:sz w:val="20"/>
          <w:szCs w:val="20"/>
          <w:lang w:val="es-ES"/>
        </w:rPr>
        <w:t>. La CIDH ha observado que “hoy en día una parte importante del periodismo se ejerce a través de los medios de comunicación</w:t>
      </w:r>
      <w:r w:rsidRPr="0097571F">
        <w:rPr>
          <w:rFonts w:ascii="Cambria" w:hAnsi="Cambria"/>
          <w:i/>
          <w:iCs/>
          <w:sz w:val="20"/>
          <w:szCs w:val="20"/>
          <w:lang w:val="es-ES"/>
        </w:rPr>
        <w:t>. Estos medios son, en efecto, asociaciones de personas que se han reunido para ejercer de manera sostenida su libertad de expresión. Al mismo tiempo, es inusual en la actualidad que un medio de comunicación no esté a nombre de una persona jurídica, por lo que las restricciones a la libertad de expresión frecuentemente se materializan a través de acciones estatales que afectan, formalmente, a esa persona jurídica</w:t>
      </w:r>
      <w:r w:rsidRPr="00200283">
        <w:rPr>
          <w:rFonts w:ascii="Cambria" w:hAnsi="Cambria"/>
          <w:sz w:val="20"/>
          <w:szCs w:val="20"/>
          <w:lang w:val="es-ES"/>
        </w:rPr>
        <w:t>”</w:t>
      </w:r>
      <w:r>
        <w:rPr>
          <w:rStyle w:val="FootnoteReference"/>
          <w:rFonts w:ascii="Cambria" w:hAnsi="Cambria"/>
          <w:sz w:val="20"/>
          <w:szCs w:val="20"/>
          <w:lang w:val="es-ES"/>
        </w:rPr>
        <w:footnoteReference w:id="15"/>
      </w:r>
      <w:r w:rsidRPr="00200283">
        <w:rPr>
          <w:rFonts w:ascii="Cambria" w:hAnsi="Cambria"/>
          <w:sz w:val="20"/>
          <w:szCs w:val="20"/>
          <w:lang w:val="es-ES"/>
        </w:rPr>
        <w:t>. En similar sentido, la Corte IDH ha reconocido que “</w:t>
      </w:r>
      <w:r w:rsidRPr="0097571F">
        <w:rPr>
          <w:rFonts w:ascii="Cambria" w:hAnsi="Cambria"/>
          <w:i/>
          <w:iCs/>
          <w:sz w:val="20"/>
          <w:szCs w:val="20"/>
          <w:lang w:val="es-ES"/>
        </w:rPr>
        <w:t>los medios de comunicación social son mecanismos que sirven al ejercicio del derecho a la libertad de expresión de quienes los utilizan como medio de difusión de sus ideas e informaciones”</w:t>
      </w:r>
      <w:r w:rsidRPr="0097571F">
        <w:rPr>
          <w:rStyle w:val="FootnoteReference"/>
          <w:rFonts w:ascii="Cambria" w:hAnsi="Cambria"/>
          <w:i/>
          <w:iCs/>
          <w:sz w:val="20"/>
          <w:szCs w:val="20"/>
          <w:lang w:val="es-ES"/>
        </w:rPr>
        <w:footnoteReference w:id="16"/>
      </w:r>
      <w:r w:rsidRPr="0097571F">
        <w:rPr>
          <w:rFonts w:ascii="Cambria" w:hAnsi="Cambria"/>
          <w:i/>
          <w:iCs/>
          <w:position w:val="6"/>
          <w:sz w:val="12"/>
          <w:szCs w:val="12"/>
          <w:lang w:val="es-ES"/>
        </w:rPr>
        <w:t xml:space="preserve"> </w:t>
      </w:r>
      <w:r w:rsidRPr="0097571F">
        <w:rPr>
          <w:rFonts w:ascii="Cambria" w:hAnsi="Cambria"/>
          <w:i/>
          <w:iCs/>
          <w:sz w:val="20"/>
          <w:szCs w:val="20"/>
          <w:lang w:val="es-ES"/>
        </w:rPr>
        <w:t>y ha advertido que las restricciones a la libertad de expresión a un medio de comunicación pueden afectar a una “pluralidad de personas naturales, tales como sus accionistas o los periodistas que allí́ trabajan, que realizan actos de comunicación a través de la misma y cuyos derechos también pueden verse vulnerados</w:t>
      </w:r>
      <w:r w:rsidRPr="00200283">
        <w:rPr>
          <w:rFonts w:ascii="Cambria" w:hAnsi="Cambria"/>
          <w:sz w:val="20"/>
          <w:szCs w:val="20"/>
          <w:lang w:val="es-ES"/>
        </w:rPr>
        <w:t>”</w:t>
      </w:r>
      <w:r>
        <w:rPr>
          <w:rStyle w:val="FootnoteReference"/>
          <w:rFonts w:ascii="Cambria" w:hAnsi="Cambria"/>
          <w:sz w:val="20"/>
          <w:szCs w:val="20"/>
          <w:lang w:val="es-ES"/>
        </w:rPr>
        <w:footnoteReference w:id="17"/>
      </w:r>
      <w:r w:rsidRPr="00200283">
        <w:rPr>
          <w:rFonts w:ascii="Cambria" w:hAnsi="Cambria"/>
          <w:sz w:val="20"/>
          <w:szCs w:val="20"/>
          <w:lang w:val="es-ES"/>
        </w:rPr>
        <w:t>. Al respecto, la CIDH ha precisado que “</w:t>
      </w:r>
      <w:r w:rsidRPr="0097571F">
        <w:rPr>
          <w:rFonts w:ascii="Cambria" w:hAnsi="Cambria"/>
          <w:i/>
          <w:iCs/>
          <w:sz w:val="20"/>
          <w:szCs w:val="20"/>
          <w:lang w:val="es-ES"/>
        </w:rPr>
        <w:t>quienes se expresan a través de un medio de comunicación no son solamente los periodistas, o en el caso de una televisora, quienes aparecen en la pantalla. Existen múltiples roles dentro de un medio de comunicación desde los cuales un profesional puede contribuir a la misión comunicativa de la organización y ejercer, de esta forma, la libertad de expresión</w:t>
      </w:r>
      <w:r w:rsidRPr="00200283">
        <w:rPr>
          <w:rFonts w:ascii="Cambria" w:hAnsi="Cambria"/>
          <w:sz w:val="20"/>
          <w:szCs w:val="20"/>
          <w:lang w:val="es-ES"/>
        </w:rPr>
        <w:t>”</w:t>
      </w:r>
      <w:r w:rsidRPr="00AA79FA">
        <w:rPr>
          <w:rStyle w:val="FootnoteReference"/>
          <w:rFonts w:ascii="Cambria" w:hAnsi="Cambria"/>
          <w:sz w:val="20"/>
          <w:szCs w:val="20"/>
          <w:lang w:val="es-ES"/>
        </w:rPr>
        <w:footnoteReference w:id="18"/>
      </w:r>
      <w:r w:rsidRPr="00200283">
        <w:rPr>
          <w:rFonts w:ascii="Cambria" w:hAnsi="Cambria"/>
          <w:sz w:val="20"/>
          <w:szCs w:val="20"/>
          <w:lang w:val="es-ES"/>
        </w:rPr>
        <w:t>.</w:t>
      </w:r>
      <w:r w:rsidRPr="00200283">
        <w:rPr>
          <w:rFonts w:ascii="Cambria" w:hAnsi="Cambria"/>
          <w:position w:val="6"/>
          <w:sz w:val="20"/>
          <w:szCs w:val="20"/>
          <w:lang w:val="es-ES"/>
        </w:rPr>
        <w:t xml:space="preserve"> </w:t>
      </w:r>
    </w:p>
    <w:p w14:paraId="1BC9B5F6" w14:textId="2D86047F" w:rsidR="0097571F" w:rsidRDefault="0097571F" w:rsidP="00975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22BC1">
        <w:rPr>
          <w:rFonts w:ascii="Cambria" w:hAnsi="Cambria"/>
          <w:sz w:val="20"/>
          <w:szCs w:val="20"/>
          <w:lang w:val="es-ES"/>
        </w:rPr>
        <w:t>En este tipo de casos la CIDH y la Corte IDH han establecido que para determinar si una acción estatal que afectó a un medio de comunicación como persona jurídica también tuvo, por conexidad, un impacto negativo, cierto y sustancial sobre la libertad de expresión de personas naturales, es necesario analizar el papel que cumplen las presuntas víctimas dentro del respectivo medio de comunicación y, en particular, la forma en que contribuían con la misión comunicacional del canal</w:t>
      </w:r>
      <w:r w:rsidRPr="00D22BC1">
        <w:rPr>
          <w:rStyle w:val="FootnoteReference"/>
          <w:rFonts w:ascii="Cambria" w:hAnsi="Cambria"/>
          <w:sz w:val="20"/>
          <w:szCs w:val="20"/>
          <w:lang w:val="es-ES"/>
        </w:rPr>
        <w:footnoteReference w:id="19"/>
      </w:r>
      <w:r w:rsidRPr="00D22BC1">
        <w:rPr>
          <w:rFonts w:ascii="Cambria" w:hAnsi="Cambria"/>
          <w:sz w:val="20"/>
          <w:szCs w:val="20"/>
          <w:lang w:val="es-ES"/>
        </w:rPr>
        <w:t xml:space="preserve">. En este sentido, si bien la empresa “Televimex” no puede ser considerada presunta víctima, la pregunta que debe resolver la CIDH en el presente asunto es si el procedimiento sancionador seguido contra un medio de comunicación a raíz de la publicación de una determinada información puede haber afectado la libertad de expresión de sus empleados. </w:t>
      </w:r>
    </w:p>
    <w:p w14:paraId="24566F38" w14:textId="395851A1" w:rsidR="0097571F" w:rsidRPr="0033137F" w:rsidRDefault="0097571F" w:rsidP="00975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33137F">
        <w:rPr>
          <w:rFonts w:ascii="Cambria" w:hAnsi="Cambria"/>
          <w:sz w:val="20"/>
          <w:szCs w:val="20"/>
          <w:lang w:val="es-ES"/>
        </w:rPr>
        <w:t>La Comisión observa que, según lo alegado por los</w:t>
      </w:r>
      <w:r>
        <w:rPr>
          <w:rFonts w:ascii="Cambria" w:hAnsi="Cambria"/>
          <w:sz w:val="20"/>
          <w:szCs w:val="20"/>
          <w:lang w:val="es-ES"/>
        </w:rPr>
        <w:t xml:space="preserve"> peticionarios,</w:t>
      </w:r>
      <w:r w:rsidRPr="0033137F">
        <w:rPr>
          <w:rFonts w:ascii="Cambria" w:hAnsi="Cambria"/>
          <w:sz w:val="20"/>
          <w:szCs w:val="20"/>
          <w:lang w:val="es-ES"/>
        </w:rPr>
        <w:t xml:space="preserve"> </w:t>
      </w:r>
      <w:r w:rsidRPr="003F1566">
        <w:rPr>
          <w:rFonts w:ascii="Cambria" w:hAnsi="Cambria"/>
          <w:bCs/>
          <w:sz w:val="20"/>
          <w:szCs w:val="20"/>
          <w:lang w:val="es-ES"/>
        </w:rPr>
        <w:t>Miguel Ángel Diez García, Ángel Israel Crespo Rueda</w:t>
      </w:r>
      <w:r>
        <w:rPr>
          <w:rFonts w:ascii="Cambria" w:hAnsi="Cambria"/>
          <w:bCs/>
          <w:sz w:val="20"/>
          <w:szCs w:val="20"/>
          <w:lang w:val="es-ES"/>
        </w:rPr>
        <w:t xml:space="preserve"> y </w:t>
      </w:r>
      <w:r w:rsidRPr="003F1566">
        <w:rPr>
          <w:rFonts w:ascii="Cambria" w:hAnsi="Cambria"/>
          <w:bCs/>
          <w:sz w:val="20"/>
          <w:szCs w:val="20"/>
          <w:lang w:val="es-ES"/>
        </w:rPr>
        <w:t xml:space="preserve">Alejandro Fernando Aguilera Mendieta </w:t>
      </w:r>
      <w:r w:rsidRPr="0033137F">
        <w:rPr>
          <w:rFonts w:ascii="Cambria" w:hAnsi="Cambria"/>
          <w:sz w:val="20"/>
          <w:szCs w:val="20"/>
          <w:lang w:val="es-ES"/>
        </w:rPr>
        <w:t xml:space="preserve">fueron las personas encargadas de decidir sobre la publicación de los contenidos emitidos por dicho medio de comunicación sancionado por las autoridades mexicanas y, posteriormente, son quienes han tenido la responsabilidad de decidir qué se publica y qué no se publica para evitar futuros procedimientos sancionatorios. Es decir, contribuían a la misión </w:t>
      </w:r>
      <w:r w:rsidRPr="0033137F">
        <w:rPr>
          <w:rFonts w:ascii="Cambria" w:hAnsi="Cambria"/>
          <w:sz w:val="20"/>
          <w:szCs w:val="20"/>
          <w:lang w:val="es-ES"/>
        </w:rPr>
        <w:lastRenderedPageBreak/>
        <w:t>comunicacional de</w:t>
      </w:r>
      <w:r>
        <w:rPr>
          <w:rFonts w:ascii="Cambria" w:hAnsi="Cambria"/>
          <w:sz w:val="20"/>
          <w:szCs w:val="20"/>
          <w:lang w:val="es-ES"/>
        </w:rPr>
        <w:t>l</w:t>
      </w:r>
      <w:r w:rsidRPr="0033137F">
        <w:rPr>
          <w:rFonts w:ascii="Cambria" w:hAnsi="Cambria"/>
          <w:sz w:val="20"/>
          <w:szCs w:val="20"/>
          <w:lang w:val="es-ES"/>
        </w:rPr>
        <w:t xml:space="preserve"> medio de manera directa, dirigiendo la producción y publicación de contenidos, o de manera indirecta. En base a ello, la Comisión considera que resulta plausible plantear que, en el presente caso, dado el papel de estas personas en sus empresas, los procedimientos sancionatorios iniciados contra tales medios podrían potencialmente llegar a afectar por conexidad su derecho a la libertad de expresión.</w:t>
      </w:r>
    </w:p>
    <w:p w14:paraId="3507AF76" w14:textId="5FF6A406" w:rsidR="00D84171" w:rsidRPr="0097571F" w:rsidRDefault="0097571F" w:rsidP="00975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33137F">
        <w:rPr>
          <w:rFonts w:ascii="Cambria" w:hAnsi="Cambria"/>
          <w:sz w:val="20"/>
          <w:szCs w:val="20"/>
          <w:lang w:val="es-ES"/>
        </w:rPr>
        <w:t>Con fundamento en los razonamientos anteriores, la CIDH considera como presuntas víctimas en el presente asunto a</w:t>
      </w:r>
      <w:r>
        <w:rPr>
          <w:rFonts w:ascii="Cambria" w:hAnsi="Cambria"/>
          <w:sz w:val="20"/>
          <w:szCs w:val="20"/>
          <w:lang w:val="es-ES"/>
        </w:rPr>
        <w:t xml:space="preserve"> </w:t>
      </w:r>
      <w:r w:rsidRPr="003F1566">
        <w:rPr>
          <w:rFonts w:ascii="Cambria" w:hAnsi="Cambria"/>
          <w:bCs/>
          <w:sz w:val="20"/>
          <w:szCs w:val="20"/>
          <w:lang w:val="es-ES"/>
        </w:rPr>
        <w:t>Miguel Ángel Diez García, Ángel Israel Crespo Rueda</w:t>
      </w:r>
      <w:r>
        <w:rPr>
          <w:rFonts w:ascii="Cambria" w:hAnsi="Cambria"/>
          <w:bCs/>
          <w:sz w:val="20"/>
          <w:szCs w:val="20"/>
          <w:lang w:val="es-ES"/>
        </w:rPr>
        <w:t xml:space="preserve"> y </w:t>
      </w:r>
      <w:r w:rsidRPr="003F1566">
        <w:rPr>
          <w:rFonts w:ascii="Cambria" w:hAnsi="Cambria"/>
          <w:bCs/>
          <w:sz w:val="20"/>
          <w:szCs w:val="20"/>
          <w:lang w:val="es-ES"/>
        </w:rPr>
        <w:t>Alejandro Fernando Aguilera Mendieta</w:t>
      </w:r>
      <w:r w:rsidRPr="0033137F">
        <w:rPr>
          <w:rFonts w:ascii="Cambria" w:hAnsi="Cambria"/>
          <w:sz w:val="20"/>
          <w:szCs w:val="20"/>
          <w:lang w:val="es-ES"/>
        </w:rPr>
        <w:t xml:space="preserve">, personas naturales respecto de quienes el Estado se comprometió́ a garantizar los derechos consagrados en la CADH. Por lo tanto, la Comisión concluye que tiene competencia </w:t>
      </w:r>
      <w:r w:rsidRPr="0033137F">
        <w:rPr>
          <w:rFonts w:ascii="Cambria" w:hAnsi="Cambria"/>
          <w:i/>
          <w:iCs/>
          <w:sz w:val="20"/>
          <w:szCs w:val="20"/>
          <w:lang w:val="es-ES"/>
        </w:rPr>
        <w:t xml:space="preserve">ratione personae </w:t>
      </w:r>
      <w:r w:rsidRPr="0033137F">
        <w:rPr>
          <w:rFonts w:ascii="Cambria" w:hAnsi="Cambria"/>
          <w:sz w:val="20"/>
          <w:szCs w:val="20"/>
          <w:lang w:val="es-ES"/>
        </w:rPr>
        <w:t xml:space="preserve">para examinar la denuncia a la que se refiere el presente informe. </w:t>
      </w:r>
    </w:p>
    <w:p w14:paraId="6F4D4171" w14:textId="0D017ED2" w:rsidR="003239B8" w:rsidRPr="00E64C3D" w:rsidRDefault="00D84171" w:rsidP="003239B8">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VI</w:t>
      </w:r>
      <w:r w:rsidR="00F705B1">
        <w:rPr>
          <w:rFonts w:asciiTheme="majorHAnsi" w:eastAsia="Cambria" w:hAnsiTheme="majorHAnsi" w:cs="Cambria"/>
          <w:b/>
          <w:bCs/>
          <w:color w:val="000000"/>
          <w:sz w:val="20"/>
          <w:szCs w:val="20"/>
          <w:u w:color="000000"/>
          <w:lang w:val="es-ES" w:eastAsia="es-ES"/>
        </w:rPr>
        <w:t>I</w:t>
      </w:r>
      <w:r>
        <w:rPr>
          <w:rFonts w:asciiTheme="majorHAnsi" w:eastAsia="Cambria" w:hAnsiTheme="majorHAnsi" w:cs="Cambria"/>
          <w:b/>
          <w:bCs/>
          <w:color w:val="000000"/>
          <w:sz w:val="20"/>
          <w:szCs w:val="20"/>
          <w:u w:color="000000"/>
          <w:lang w:val="es-ES" w:eastAsia="es-ES"/>
        </w:rPr>
        <w:t xml:space="preserve">. </w:t>
      </w:r>
      <w:r>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6CA178F7" w14:textId="1EB20D8C" w:rsidR="008C2261" w:rsidRPr="008D1702" w:rsidRDefault="008C2261" w:rsidP="008D17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8D1702">
        <w:rPr>
          <w:rFonts w:ascii="Cambria" w:hAnsi="Cambria"/>
          <w:sz w:val="20"/>
          <w:szCs w:val="20"/>
          <w:lang w:val="es-ES"/>
        </w:rPr>
        <w:t xml:space="preserve">Los peticionarios indican que los recursos internos fueron agotados mediante </w:t>
      </w:r>
      <w:r w:rsidR="008D1702" w:rsidRPr="008D1702">
        <w:rPr>
          <w:rFonts w:ascii="Cambria" w:hAnsi="Cambria"/>
          <w:sz w:val="20"/>
          <w:szCs w:val="20"/>
          <w:lang w:val="es-ES"/>
        </w:rPr>
        <w:t>la decisión del</w:t>
      </w:r>
      <w:r w:rsidRPr="008D1702">
        <w:rPr>
          <w:rFonts w:ascii="Cambria" w:hAnsi="Cambria"/>
          <w:sz w:val="20"/>
          <w:szCs w:val="20"/>
          <w:lang w:val="es-ES"/>
        </w:rPr>
        <w:t xml:space="preserve"> TRIFE</w:t>
      </w:r>
      <w:r w:rsidR="008D1702" w:rsidRPr="008D1702">
        <w:rPr>
          <w:rFonts w:ascii="Cambria" w:hAnsi="Cambria"/>
          <w:sz w:val="20"/>
          <w:szCs w:val="20"/>
          <w:lang w:val="es-ES"/>
        </w:rPr>
        <w:t>, notificada el 27 de agosto de 2009</w:t>
      </w:r>
      <w:r w:rsidRPr="008D1702">
        <w:rPr>
          <w:rFonts w:ascii="Cambria" w:hAnsi="Cambria"/>
          <w:sz w:val="20"/>
          <w:szCs w:val="20"/>
          <w:lang w:val="es-ES"/>
        </w:rPr>
        <w:t xml:space="preserve">. Por su parte el Estado </w:t>
      </w:r>
      <w:r w:rsidR="008D1702">
        <w:rPr>
          <w:rFonts w:ascii="Cambria" w:hAnsi="Cambria"/>
          <w:sz w:val="20"/>
          <w:szCs w:val="20"/>
          <w:lang w:val="es-ES"/>
        </w:rPr>
        <w:t xml:space="preserve">controvierte que las presuntas víctimas debieron utilizar </w:t>
      </w:r>
      <w:r w:rsidR="008D1702">
        <w:rPr>
          <w:rFonts w:ascii="Cambria" w:hAnsi="Cambria"/>
          <w:bCs/>
          <w:sz w:val="20"/>
          <w:szCs w:val="20"/>
          <w:lang w:val="es-ES"/>
        </w:rPr>
        <w:t>un recurso de apelación, en su condición de personas naturales, como terceros interesados.</w:t>
      </w:r>
      <w:r w:rsidRPr="008D1702">
        <w:rPr>
          <w:rFonts w:ascii="Cambria" w:hAnsi="Cambria"/>
          <w:sz w:val="20"/>
          <w:szCs w:val="20"/>
          <w:lang w:val="es-US"/>
        </w:rPr>
        <w:t xml:space="preserve"> </w:t>
      </w:r>
    </w:p>
    <w:p w14:paraId="09AA7B0B" w14:textId="67CA41F2" w:rsidR="008C2261" w:rsidRPr="008D1702" w:rsidRDefault="008C2261" w:rsidP="008C22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D1702">
        <w:rPr>
          <w:rFonts w:ascii="Cambria" w:hAnsi="Cambria"/>
          <w:sz w:val="20"/>
          <w:szCs w:val="20"/>
          <w:lang w:val="es-ES"/>
        </w:rPr>
        <w:t>A fin de responder la citada excepción, y en base a</w:t>
      </w:r>
      <w:r w:rsidR="008D1702" w:rsidRPr="008D1702">
        <w:rPr>
          <w:rFonts w:ascii="Cambria" w:hAnsi="Cambria"/>
          <w:sz w:val="20"/>
          <w:szCs w:val="20"/>
          <w:lang w:val="es-ES"/>
        </w:rPr>
        <w:t xml:space="preserve"> los</w:t>
      </w:r>
      <w:r w:rsidRPr="008D1702">
        <w:rPr>
          <w:rFonts w:ascii="Cambria" w:hAnsi="Cambria"/>
          <w:sz w:val="20"/>
          <w:szCs w:val="20"/>
          <w:lang w:val="es-ES"/>
        </w:rPr>
        <w:t xml:space="preserve"> citado</w:t>
      </w:r>
      <w:r w:rsidR="008D1702" w:rsidRPr="008D1702">
        <w:rPr>
          <w:rFonts w:ascii="Cambria" w:hAnsi="Cambria"/>
          <w:sz w:val="20"/>
          <w:szCs w:val="20"/>
          <w:lang w:val="es-ES"/>
        </w:rPr>
        <w:t>s</w:t>
      </w:r>
      <w:r w:rsidRPr="008D1702">
        <w:rPr>
          <w:rFonts w:ascii="Cambria" w:hAnsi="Cambria"/>
          <w:sz w:val="20"/>
          <w:szCs w:val="20"/>
          <w:lang w:val="es-ES"/>
        </w:rPr>
        <w:t xml:space="preserve"> </w:t>
      </w:r>
      <w:r w:rsidR="008D1702" w:rsidRPr="008D1702">
        <w:rPr>
          <w:rFonts w:ascii="Cambria" w:hAnsi="Cambria"/>
          <w:sz w:val="20"/>
          <w:szCs w:val="20"/>
          <w:lang w:val="es-ES"/>
        </w:rPr>
        <w:t>i</w:t>
      </w:r>
      <w:r w:rsidRPr="008D1702">
        <w:rPr>
          <w:rFonts w:ascii="Cambria" w:hAnsi="Cambria"/>
          <w:sz w:val="20"/>
          <w:szCs w:val="20"/>
          <w:lang w:val="es-ES"/>
        </w:rPr>
        <w:t>nforme</w:t>
      </w:r>
      <w:r w:rsidR="00F95360">
        <w:rPr>
          <w:rFonts w:ascii="Cambria" w:hAnsi="Cambria"/>
          <w:sz w:val="20"/>
          <w:szCs w:val="20"/>
          <w:lang w:val="es-ES"/>
        </w:rPr>
        <w:t>s</w:t>
      </w:r>
      <w:r w:rsidRPr="008D1702">
        <w:rPr>
          <w:rFonts w:ascii="Cambria" w:hAnsi="Cambria"/>
          <w:sz w:val="20"/>
          <w:szCs w:val="20"/>
          <w:lang w:val="es-ES"/>
        </w:rPr>
        <w:t xml:space="preserve"> No. 52/18</w:t>
      </w:r>
      <w:r w:rsidR="008D1702" w:rsidRPr="008D1702">
        <w:rPr>
          <w:rFonts w:ascii="Cambria" w:hAnsi="Cambria"/>
          <w:sz w:val="20"/>
          <w:szCs w:val="20"/>
          <w:lang w:val="es-ES"/>
        </w:rPr>
        <w:t xml:space="preserve"> y 20/21</w:t>
      </w:r>
      <w:r w:rsidRPr="008D1702">
        <w:rPr>
          <w:rFonts w:ascii="Cambria" w:hAnsi="Cambria"/>
          <w:sz w:val="20"/>
          <w:szCs w:val="20"/>
          <w:lang w:val="es-ES"/>
        </w:rPr>
        <w:t>, la CIDH reitera que el hecho de que los recursos internos hubieran sido agotados en nombre de una persona jurídica, no excluye automáticamente la posibilidad de pronunciarse sobre las afectaciones a los derechos de las personas naturales como consecuencia de actos u omisiones que afectan a personas jurídicas. Corresponde entonces evaluar, en cada caso, si la persona natural contaba</w:t>
      </w:r>
      <w:r w:rsidR="00F95360">
        <w:rPr>
          <w:rFonts w:ascii="Cambria" w:hAnsi="Cambria"/>
          <w:sz w:val="20"/>
          <w:szCs w:val="20"/>
          <w:lang w:val="es-ES"/>
        </w:rPr>
        <w:t>,</w:t>
      </w:r>
      <w:r w:rsidRPr="008D1702">
        <w:rPr>
          <w:rFonts w:ascii="Cambria" w:hAnsi="Cambria"/>
          <w:sz w:val="20"/>
          <w:szCs w:val="20"/>
          <w:lang w:val="es-ES"/>
        </w:rPr>
        <w:t xml:space="preserve"> efectivamente y frente al acto u omisión estatal especifico</w:t>
      </w:r>
      <w:r w:rsidR="00F95360">
        <w:rPr>
          <w:rFonts w:ascii="Cambria" w:hAnsi="Cambria"/>
          <w:sz w:val="20"/>
          <w:szCs w:val="20"/>
          <w:lang w:val="es-ES"/>
        </w:rPr>
        <w:t>,</w:t>
      </w:r>
      <w:r w:rsidRPr="008D1702">
        <w:rPr>
          <w:rFonts w:ascii="Cambria" w:hAnsi="Cambria"/>
          <w:sz w:val="20"/>
          <w:szCs w:val="20"/>
          <w:lang w:val="es-ES"/>
        </w:rPr>
        <w:t xml:space="preserve"> con recursos para alegar en calidad de tal la violación a sus derechos humanos. Cuando los recursos judiciales sólo podían ser agotados en nombre de la persona jurídica, la Comisión ha prestado especial atención a la coincidencia de argumentos a nivel interno respecto de los </w:t>
      </w:r>
      <w:r w:rsidRPr="008D1702">
        <w:rPr>
          <w:rFonts w:ascii="Cambria" w:hAnsi="Cambria"/>
          <w:sz w:val="20"/>
          <w:szCs w:val="20"/>
          <w:lang w:val="es-US"/>
        </w:rPr>
        <w:t>planteados ante la Comisión”</w:t>
      </w:r>
      <w:r w:rsidRPr="008D1702">
        <w:rPr>
          <w:rStyle w:val="FootnoteReference"/>
          <w:rFonts w:ascii="Cambria" w:hAnsi="Cambria"/>
          <w:sz w:val="20"/>
          <w:szCs w:val="20"/>
        </w:rPr>
        <w:footnoteReference w:id="20"/>
      </w:r>
      <w:r w:rsidRPr="008D1702">
        <w:rPr>
          <w:rFonts w:ascii="Cambria" w:hAnsi="Cambria"/>
          <w:sz w:val="20"/>
          <w:szCs w:val="20"/>
          <w:lang w:val="es-ES"/>
        </w:rPr>
        <w:t>.</w:t>
      </w:r>
    </w:p>
    <w:p w14:paraId="3AD58563" w14:textId="77777777" w:rsidR="00981D81" w:rsidRDefault="008C2261" w:rsidP="00981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D1702">
        <w:rPr>
          <w:rFonts w:ascii="Cambria" w:hAnsi="Cambria"/>
          <w:sz w:val="20"/>
          <w:szCs w:val="20"/>
          <w:lang w:val="es-ES"/>
        </w:rPr>
        <w:t>Asimismo, la Corte IDH ha afirmado que, para los efectos de la admisibilidad de la petición, “</w:t>
      </w:r>
      <w:r w:rsidRPr="008D1702">
        <w:rPr>
          <w:rFonts w:ascii="Cambria" w:hAnsi="Cambria"/>
          <w:i/>
          <w:iCs/>
          <w:sz w:val="20"/>
          <w:szCs w:val="20"/>
          <w:lang w:val="es-ES"/>
        </w:rPr>
        <w:t>si se comprueba que el recurso agotado por la persona jurídica protege los derechos individuales de las personas naturales que pretenden acudir ante el sistema interamericano, el mismo podrá́ ser entendido como un recurso idóneo y efectivo</w:t>
      </w:r>
      <w:r w:rsidR="008D1702" w:rsidRPr="008D1702">
        <w:rPr>
          <w:rFonts w:ascii="Cambria" w:hAnsi="Cambria"/>
          <w:sz w:val="20"/>
          <w:szCs w:val="20"/>
          <w:lang w:val="es-ES"/>
        </w:rPr>
        <w:t>”</w:t>
      </w:r>
      <w:r w:rsidRPr="008D1702">
        <w:rPr>
          <w:rStyle w:val="FootnoteReference"/>
          <w:rFonts w:ascii="Cambria" w:hAnsi="Cambria"/>
          <w:sz w:val="20"/>
          <w:szCs w:val="20"/>
          <w:lang w:val="es-ES"/>
        </w:rPr>
        <w:footnoteReference w:id="21"/>
      </w:r>
      <w:r w:rsidRPr="008D1702">
        <w:rPr>
          <w:rFonts w:ascii="Cambria" w:hAnsi="Cambria"/>
          <w:sz w:val="20"/>
          <w:szCs w:val="20"/>
          <w:lang w:val="es-ES"/>
        </w:rPr>
        <w:t>. A este respecto, la Corte IDH enfatizó que, en este tipo de asuntos, “</w:t>
      </w:r>
      <w:r w:rsidRPr="008D1702">
        <w:rPr>
          <w:rFonts w:ascii="Cambria" w:hAnsi="Cambria"/>
          <w:i/>
          <w:iCs/>
          <w:sz w:val="20"/>
          <w:szCs w:val="20"/>
          <w:lang w:val="es-ES"/>
        </w:rPr>
        <w:t>se deben tener por agotados los recursos internos en cumplimiento del artículo 46.1.a) de la Convención cuando: i) se compruebe que se presentaron los recursos disponibles, idóneos y efectivos para la protección de sus derechos, independientemente de que dichos recursos hayan sido presentados y resueltos a favor de una persona jurídica, y ii) se demuestre que existe una coincidencia entre las pretensiones que la persona jurídica alegó en los procedimientos internos y las presuntas violaciones que se argumenten ante el sistema interamericano</w:t>
      </w:r>
      <w:r w:rsidRPr="008D1702">
        <w:rPr>
          <w:rFonts w:ascii="Cambria" w:hAnsi="Cambria"/>
          <w:sz w:val="20"/>
          <w:szCs w:val="20"/>
          <w:lang w:val="es-ES"/>
        </w:rPr>
        <w:t>”</w:t>
      </w:r>
      <w:r w:rsidRPr="008D1702">
        <w:rPr>
          <w:rStyle w:val="FootnoteReference"/>
          <w:rFonts w:ascii="Cambria" w:hAnsi="Cambria"/>
          <w:sz w:val="20"/>
          <w:szCs w:val="20"/>
          <w:lang w:val="es-ES"/>
        </w:rPr>
        <w:footnoteReference w:id="22"/>
      </w:r>
      <w:r w:rsidRPr="008D1702">
        <w:rPr>
          <w:rFonts w:ascii="Cambria" w:hAnsi="Cambria"/>
          <w:sz w:val="20"/>
          <w:szCs w:val="20"/>
          <w:lang w:val="es-ES"/>
        </w:rPr>
        <w:t xml:space="preserve">. </w:t>
      </w:r>
    </w:p>
    <w:p w14:paraId="2229B6B8" w14:textId="678C2479" w:rsidR="00981D81" w:rsidRPr="00981D81" w:rsidRDefault="00981D81" w:rsidP="00981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981D81">
        <w:rPr>
          <w:rFonts w:ascii="Cambria" w:hAnsi="Cambria"/>
          <w:sz w:val="20"/>
          <w:szCs w:val="20"/>
          <w:lang w:val="es-ES"/>
        </w:rPr>
        <w:t>En el presente caso</w:t>
      </w:r>
      <w:r w:rsidR="008C2261" w:rsidRPr="00981D81">
        <w:rPr>
          <w:rFonts w:ascii="Cambria" w:hAnsi="Cambria"/>
          <w:sz w:val="20"/>
          <w:szCs w:val="20"/>
          <w:lang w:val="es-ES"/>
        </w:rPr>
        <w:t xml:space="preserve">, la Comisión entiende que </w:t>
      </w:r>
      <w:r w:rsidRPr="00981D81">
        <w:rPr>
          <w:rFonts w:ascii="Cambria" w:hAnsi="Cambria"/>
          <w:bCs/>
          <w:sz w:val="20"/>
          <w:szCs w:val="20"/>
          <w:lang w:val="es-ES"/>
        </w:rPr>
        <w:t>Miguel Ángel Diez García, Ángel Israel Crespo Rueda y Alejandro Fernando Aguilera Mendieta</w:t>
      </w:r>
      <w:r w:rsidR="008C2261" w:rsidRPr="00981D81">
        <w:rPr>
          <w:rFonts w:ascii="Cambria" w:hAnsi="Cambria"/>
          <w:sz w:val="20"/>
          <w:szCs w:val="20"/>
          <w:lang w:val="es-ES"/>
        </w:rPr>
        <w:t xml:space="preserve">, </w:t>
      </w:r>
      <w:r w:rsidRPr="00981D81">
        <w:rPr>
          <w:rFonts w:ascii="Cambria" w:hAnsi="Cambria"/>
          <w:sz w:val="20"/>
          <w:szCs w:val="20"/>
          <w:lang w:val="es-ES"/>
        </w:rPr>
        <w:t>en su condición de directivos de</w:t>
      </w:r>
      <w:r w:rsidR="008C2261" w:rsidRPr="00981D81">
        <w:rPr>
          <w:rFonts w:ascii="Cambria" w:hAnsi="Cambria"/>
          <w:sz w:val="20"/>
          <w:szCs w:val="20"/>
          <w:lang w:val="es-ES"/>
        </w:rPr>
        <w:t xml:space="preserve"> “Televimex”,</w:t>
      </w:r>
      <w:r w:rsidR="00F95360">
        <w:rPr>
          <w:rFonts w:ascii="Cambria" w:hAnsi="Cambria"/>
          <w:sz w:val="20"/>
          <w:szCs w:val="20"/>
          <w:lang w:val="es-ES"/>
        </w:rPr>
        <w:t xml:space="preserve"> </w:t>
      </w:r>
      <w:r w:rsidR="008C2261" w:rsidRPr="00981D81">
        <w:rPr>
          <w:rFonts w:ascii="Cambria" w:hAnsi="Cambria"/>
          <w:sz w:val="20"/>
          <w:szCs w:val="20"/>
          <w:lang w:val="es-ES"/>
        </w:rPr>
        <w:t>agotaron los recursos que el derecho mexicano disponía para impugnar las sanciones impuestas a dichos medios de comunicación. Si bien estos recursos internos se agotaron en nombre de las empresas, la CIDH advierte que la cuestión de la posible violación de la libertad de expresión y el principio de legalidad fue planteada en el proceso interno ante el IFE y resuelta por el TRIFE. En este sentido, existe una coincidencia entre las reclamaciones formuladas en el proceso que fue agotado a nivel interno y aquellas presentadas ante la CIDH.</w:t>
      </w:r>
    </w:p>
    <w:p w14:paraId="28EF3293" w14:textId="277B7958" w:rsidR="008C2261" w:rsidRPr="00981D81" w:rsidRDefault="00981D81" w:rsidP="00981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981D81">
        <w:rPr>
          <w:rFonts w:ascii="Cambria" w:hAnsi="Cambria"/>
          <w:sz w:val="20"/>
          <w:szCs w:val="20"/>
          <w:lang w:val="es-ES"/>
        </w:rPr>
        <w:t xml:space="preserve">Si bien el Estado plantea que las presuntas víctimas podían haber interpuesto otros recursos en su condición de personas naturales, la Comisión considera oportuno recordar </w:t>
      </w:r>
      <w:r w:rsidRPr="00981D81">
        <w:rPr>
          <w:rFonts w:ascii="Cambria" w:hAnsi="Cambria"/>
          <w:sz w:val="20"/>
          <w:szCs w:val="20"/>
          <w:lang w:val="es-AR"/>
        </w:rPr>
        <w:t xml:space="preserve">que el requisito de agotamiento de los recursos internos no significa que las presuntas víctimas tengan necesariamente la </w:t>
      </w:r>
      <w:r w:rsidRPr="00981D81">
        <w:rPr>
          <w:rFonts w:ascii="Cambria" w:hAnsi="Cambria"/>
          <w:sz w:val="20"/>
          <w:szCs w:val="20"/>
          <w:lang w:val="es-AR"/>
        </w:rPr>
        <w:lastRenderedPageBreak/>
        <w:t>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Pr>
          <w:rStyle w:val="FootnoteReference"/>
          <w:rFonts w:ascii="Cambria" w:hAnsi="Cambria"/>
          <w:sz w:val="20"/>
          <w:szCs w:val="20"/>
          <w:lang w:val="es-AR"/>
        </w:rPr>
        <w:footnoteReference w:id="23"/>
      </w:r>
      <w:r w:rsidRPr="00981D81">
        <w:rPr>
          <w:rFonts w:ascii="Cambria" w:hAnsi="Cambria"/>
          <w:sz w:val="20"/>
          <w:szCs w:val="20"/>
          <w:lang w:val="es-AR"/>
        </w:rPr>
        <w:t>. Por ende, en el presente caso, la CIDH concluye</w:t>
      </w:r>
      <w:r w:rsidR="008C2261" w:rsidRPr="00981D81">
        <w:rPr>
          <w:rFonts w:ascii="Cambria" w:hAnsi="Cambria"/>
          <w:sz w:val="20"/>
          <w:szCs w:val="20"/>
          <w:lang w:val="es-ES"/>
        </w:rPr>
        <w:t xml:space="preserve"> que se agotaron los recursos de la jurisdicción interna, conforme al artículo 46(1) (a) de la Convención Americana. </w:t>
      </w:r>
    </w:p>
    <w:p w14:paraId="1B8C3387" w14:textId="19F68CF3" w:rsidR="008C2261" w:rsidRPr="007C1CA4" w:rsidRDefault="008C2261" w:rsidP="007C1C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C1CA4">
        <w:rPr>
          <w:rFonts w:ascii="Cambria" w:hAnsi="Cambria"/>
          <w:sz w:val="20"/>
          <w:szCs w:val="20"/>
          <w:lang w:val="es-ES"/>
        </w:rPr>
        <w:t xml:space="preserve">En relación con el plazo de presentación, </w:t>
      </w:r>
      <w:r w:rsidR="00981D81" w:rsidRPr="007C1CA4">
        <w:rPr>
          <w:rFonts w:ascii="Cambria" w:hAnsi="Cambria"/>
          <w:sz w:val="20"/>
          <w:szCs w:val="20"/>
          <w:lang w:val="es-ES"/>
        </w:rPr>
        <w:t xml:space="preserve">la parte peticionaria presentó la petición el </w:t>
      </w:r>
      <w:r w:rsidR="00981D81" w:rsidRPr="007C1CA4">
        <w:rPr>
          <w:rFonts w:ascii="Cambria" w:hAnsi="Cambria"/>
          <w:bCs/>
          <w:sz w:val="20"/>
          <w:szCs w:val="20"/>
          <w:lang w:val="es-PE"/>
        </w:rPr>
        <w:t xml:space="preserve">26 de febrero de 2010, tras haber sido notificada del fallo del TRIFE el </w:t>
      </w:r>
      <w:r w:rsidR="00981D81" w:rsidRPr="007C1CA4">
        <w:rPr>
          <w:rFonts w:ascii="Cambria" w:hAnsi="Cambria"/>
          <w:sz w:val="20"/>
          <w:szCs w:val="20"/>
          <w:lang w:val="es-ES"/>
        </w:rPr>
        <w:t>el 27 de agosto de 2009</w:t>
      </w:r>
      <w:r w:rsidR="007C1CA4" w:rsidRPr="007C1CA4">
        <w:rPr>
          <w:rFonts w:ascii="Cambria" w:hAnsi="Cambria"/>
          <w:sz w:val="20"/>
          <w:szCs w:val="20"/>
          <w:lang w:val="es-ES"/>
        </w:rPr>
        <w:t>.</w:t>
      </w:r>
      <w:r w:rsidRPr="007C1CA4">
        <w:rPr>
          <w:rFonts w:ascii="Cambria" w:hAnsi="Cambria"/>
          <w:sz w:val="20"/>
          <w:szCs w:val="20"/>
          <w:lang w:val="es-AR"/>
        </w:rPr>
        <w:t xml:space="preserve"> En base a tal fecha, la Comisión concluye que las peticiones cumplen con los requisitos exigidos</w:t>
      </w:r>
      <w:r w:rsidRPr="007C1CA4">
        <w:rPr>
          <w:rFonts w:ascii="Cambria" w:hAnsi="Cambria"/>
          <w:sz w:val="20"/>
          <w:szCs w:val="20"/>
          <w:lang w:val="es-ES"/>
        </w:rPr>
        <w:t xml:space="preserve"> en el artículo 46.1.b) de la Convención Americana. </w:t>
      </w:r>
    </w:p>
    <w:p w14:paraId="4FFBE378" w14:textId="4C780473" w:rsidR="003239B8" w:rsidRPr="00E64C3D" w:rsidRDefault="003239B8" w:rsidP="007C1C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E64C3D">
        <w:rPr>
          <w:rFonts w:asciiTheme="majorHAnsi" w:hAnsiTheme="majorHAnsi"/>
          <w:b/>
          <w:bCs/>
          <w:sz w:val="20"/>
          <w:szCs w:val="20"/>
          <w:lang w:val="es-ES"/>
        </w:rPr>
        <w:t>VI</w:t>
      </w:r>
      <w:r w:rsidR="00D84171">
        <w:rPr>
          <w:rFonts w:asciiTheme="majorHAnsi" w:hAnsiTheme="majorHAnsi"/>
          <w:b/>
          <w:bCs/>
          <w:sz w:val="20"/>
          <w:szCs w:val="20"/>
          <w:lang w:val="es-ES"/>
        </w:rPr>
        <w:t>I</w:t>
      </w:r>
      <w:r w:rsidRPr="00E64C3D">
        <w:rPr>
          <w:rFonts w:asciiTheme="majorHAnsi" w:hAnsiTheme="majorHAnsi"/>
          <w:b/>
          <w:bCs/>
          <w:sz w:val="20"/>
          <w:szCs w:val="20"/>
          <w:lang w:val="es-ES"/>
        </w:rPr>
        <w:t>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5874CB3E" w14:textId="6233C64D" w:rsidR="007C1CA4" w:rsidRPr="007C1CA4" w:rsidRDefault="007C1CA4" w:rsidP="007C1C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eastAsia="Times New Roman" w:hAnsi="Cambria"/>
          <w:sz w:val="20"/>
          <w:szCs w:val="20"/>
          <w:bdr w:val="none" w:sz="0" w:space="0" w:color="auto"/>
          <w:lang w:val="es-ES"/>
        </w:rPr>
        <w:t>L</w:t>
      </w:r>
      <w:r w:rsidRPr="00D47F41">
        <w:rPr>
          <w:rFonts w:ascii="Cambria" w:eastAsia="Times New Roman" w:hAnsi="Cambria"/>
          <w:sz w:val="20"/>
          <w:szCs w:val="20"/>
          <w:bdr w:val="none" w:sz="0" w:space="0" w:color="auto"/>
          <w:lang w:val="es-US"/>
        </w:rPr>
        <w:t>a Comisión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Pr="00A52FF2">
        <w:rPr>
          <w:rFonts w:ascii="Cambria" w:eastAsia="Times New Roman" w:hAnsi="Cambria"/>
          <w:sz w:val="20"/>
          <w:szCs w:val="20"/>
          <w:bdr w:val="none" w:sz="0" w:space="0" w:color="auto"/>
          <w:lang w:val="es-ES"/>
        </w:rPr>
        <w:t>. En el presente caso, solo corresponde analizar los hechos alegados en base a la Convención Americana.</w:t>
      </w:r>
    </w:p>
    <w:p w14:paraId="3CF7C2CF" w14:textId="15D2F103" w:rsidR="008C2261" w:rsidRPr="007C1CA4" w:rsidRDefault="008C2261" w:rsidP="008C22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C1CA4">
        <w:rPr>
          <w:rFonts w:ascii="Cambria" w:hAnsi="Cambria"/>
          <w:sz w:val="20"/>
          <w:szCs w:val="20"/>
          <w:lang w:val="es-ES"/>
        </w:rPr>
        <w:t>Tras examinar los elementos de hecho y de derecho expuestos por las partes, la Comisión estima que los alegatos del peticionario, relativos a los efectos inhibitorios generados por los procedimientos sancionatorios cuestionados y la alegada falta de razonabilidad de la sanción impuesta, no resultan manifiestamente infundadas y requieren un estudio integral y profundo en etapa de fondo. De verificarse como ciertos los hechos denunciados, estos podrían caracterizar violaciones a los artículos 8 (garantías judiciales), 9 (principio de legalidad), 13 (libertad de expresión) y 25 (protección judicial) de la Convención Americana, en relación con sus artículos 1.1 (obligación de respetar los derechos) y 2 (obligación de adoptar disposiciones de derecho interno).</w:t>
      </w:r>
    </w:p>
    <w:p w14:paraId="07F9518D" w14:textId="77777777" w:rsidR="008C2261" w:rsidRPr="007C1CA4" w:rsidRDefault="008C2261" w:rsidP="008C22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C1CA4">
        <w:rPr>
          <w:rFonts w:ascii="Cambria" w:eastAsia="Times New Roman" w:hAnsi="Cambria"/>
          <w:sz w:val="20"/>
          <w:szCs w:val="20"/>
          <w:bdr w:val="none" w:sz="0" w:space="0" w:color="auto"/>
          <w:lang w:val="es-ES"/>
        </w:rPr>
        <w:t xml:space="preserve">En cuanto al reclamo sobre una posible violación del artículo 23 (derechos políticos) de la Convención Americana, la Comisión observa que el peticionario no ha ofrecido alegatos o sustento suficiente que permita considerar </w:t>
      </w:r>
      <w:r w:rsidRPr="007C1CA4">
        <w:rPr>
          <w:rFonts w:ascii="Cambria" w:eastAsia="Times New Roman" w:hAnsi="Cambria"/>
          <w:i/>
          <w:iCs/>
          <w:sz w:val="20"/>
          <w:szCs w:val="20"/>
          <w:bdr w:val="none" w:sz="0" w:space="0" w:color="auto"/>
          <w:lang w:val="es-ES"/>
        </w:rPr>
        <w:t xml:space="preserve">prima facie </w:t>
      </w:r>
      <w:r w:rsidRPr="007C1CA4">
        <w:rPr>
          <w:rFonts w:ascii="Cambria" w:eastAsia="Times New Roman" w:hAnsi="Cambria"/>
          <w:sz w:val="20"/>
          <w:szCs w:val="20"/>
          <w:bdr w:val="none" w:sz="0" w:space="0" w:color="auto"/>
          <w:lang w:val="es-ES"/>
        </w:rPr>
        <w:t xml:space="preserve">su posible violación en perjuicio de las presuntas víctimas. </w:t>
      </w:r>
    </w:p>
    <w:p w14:paraId="29BB41F5" w14:textId="54873A2E" w:rsidR="003239B8" w:rsidRPr="00F95360" w:rsidRDefault="00D84171" w:rsidP="003239B8">
      <w:pPr>
        <w:pStyle w:val="ListParagraph"/>
        <w:spacing w:before="240" w:after="240"/>
        <w:jc w:val="both"/>
        <w:rPr>
          <w:rFonts w:asciiTheme="majorHAnsi" w:hAnsiTheme="majorHAnsi"/>
          <w:b/>
          <w:bCs/>
          <w:color w:val="auto"/>
          <w:sz w:val="20"/>
          <w:szCs w:val="20"/>
          <w:lang w:val="es-ES"/>
        </w:rPr>
      </w:pPr>
      <w:r>
        <w:rPr>
          <w:rFonts w:asciiTheme="majorHAnsi" w:hAnsiTheme="majorHAnsi"/>
          <w:b/>
          <w:bCs/>
          <w:sz w:val="20"/>
          <w:szCs w:val="20"/>
          <w:lang w:val="es-ES"/>
        </w:rPr>
        <w:t>IX</w:t>
      </w:r>
      <w:r w:rsidR="003239B8" w:rsidRPr="0078770A">
        <w:rPr>
          <w:rFonts w:asciiTheme="majorHAnsi" w:hAnsiTheme="majorHAnsi"/>
          <w:b/>
          <w:bCs/>
          <w:sz w:val="20"/>
          <w:szCs w:val="20"/>
          <w:lang w:val="es-ES"/>
        </w:rPr>
        <w:t xml:space="preserve">. </w:t>
      </w:r>
      <w:r w:rsidR="003239B8">
        <w:rPr>
          <w:rFonts w:asciiTheme="majorHAnsi" w:hAnsiTheme="majorHAnsi"/>
          <w:b/>
          <w:bCs/>
          <w:sz w:val="20"/>
          <w:szCs w:val="20"/>
          <w:lang w:val="es-ES"/>
        </w:rPr>
        <w:tab/>
      </w:r>
      <w:r w:rsidR="003239B8" w:rsidRPr="00F95360">
        <w:rPr>
          <w:rFonts w:asciiTheme="majorHAnsi" w:hAnsiTheme="majorHAnsi"/>
          <w:b/>
          <w:bCs/>
          <w:color w:val="auto"/>
          <w:sz w:val="20"/>
          <w:szCs w:val="20"/>
          <w:lang w:val="es-ES"/>
        </w:rPr>
        <w:t>DECISIÓN</w:t>
      </w:r>
    </w:p>
    <w:p w14:paraId="570DA61C" w14:textId="275BB373" w:rsidR="000419AD" w:rsidRPr="00F95360" w:rsidRDefault="000419AD" w:rsidP="000419AD">
      <w:pPr>
        <w:pStyle w:val="ListParagraph"/>
        <w:numPr>
          <w:ilvl w:val="0"/>
          <w:numId w:val="109"/>
        </w:numPr>
        <w:rPr>
          <w:rFonts w:eastAsia="Arial Unicode MS" w:cs="Times New Roman"/>
          <w:color w:val="auto"/>
          <w:sz w:val="20"/>
          <w:szCs w:val="20"/>
          <w:lang w:val="es-ES" w:eastAsia="en-US"/>
        </w:rPr>
      </w:pPr>
      <w:r w:rsidRPr="00F95360">
        <w:rPr>
          <w:rFonts w:eastAsia="Arial Unicode MS" w:cs="Times New Roman"/>
          <w:color w:val="auto"/>
          <w:sz w:val="20"/>
          <w:szCs w:val="20"/>
          <w:lang w:val="es-ES" w:eastAsia="en-US"/>
        </w:rPr>
        <w:t xml:space="preserve">Declarar inadmisible la presente petición en relación con </w:t>
      </w:r>
      <w:r w:rsidR="007C1CA4" w:rsidRPr="00F95360">
        <w:rPr>
          <w:rFonts w:eastAsia="Arial Unicode MS" w:cs="Times New Roman"/>
          <w:color w:val="auto"/>
          <w:sz w:val="20"/>
          <w:szCs w:val="20"/>
          <w:lang w:val="es-ES" w:eastAsia="en-US"/>
        </w:rPr>
        <w:t>“Televimex”</w:t>
      </w:r>
      <w:r w:rsidR="00BE2B9D">
        <w:rPr>
          <w:rFonts w:eastAsia="Arial Unicode MS" w:cs="Times New Roman"/>
          <w:color w:val="auto"/>
          <w:sz w:val="20"/>
          <w:szCs w:val="20"/>
          <w:lang w:val="es-ES" w:eastAsia="en-US"/>
        </w:rPr>
        <w:t>;</w:t>
      </w:r>
    </w:p>
    <w:p w14:paraId="4C50FA25" w14:textId="77777777" w:rsidR="007C1CA4" w:rsidRPr="00F95360" w:rsidRDefault="007C1CA4" w:rsidP="007C1CA4">
      <w:pPr>
        <w:pStyle w:val="ListParagraph"/>
        <w:rPr>
          <w:rFonts w:eastAsia="Arial Unicode MS" w:cs="Times New Roman"/>
          <w:color w:val="auto"/>
          <w:sz w:val="20"/>
          <w:szCs w:val="20"/>
          <w:lang w:val="es-ES" w:eastAsia="en-US"/>
        </w:rPr>
      </w:pPr>
    </w:p>
    <w:p w14:paraId="41AA5BF6" w14:textId="0400143A" w:rsidR="000419AD" w:rsidRPr="00F95360" w:rsidRDefault="007C1CA4"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95360">
        <w:rPr>
          <w:rFonts w:asciiTheme="majorHAnsi" w:hAnsiTheme="majorHAnsi"/>
          <w:sz w:val="20"/>
          <w:szCs w:val="20"/>
          <w:lang w:val="es-ES"/>
        </w:rPr>
        <w:t xml:space="preserve">Declarar admisible la presente petición en relación con </w:t>
      </w:r>
      <w:r w:rsidRPr="00F95360">
        <w:rPr>
          <w:rFonts w:ascii="Cambria" w:hAnsi="Cambria"/>
          <w:bCs/>
          <w:sz w:val="20"/>
          <w:szCs w:val="20"/>
          <w:lang w:val="es-ES"/>
        </w:rPr>
        <w:t>Miguel Ángel Diez García, Ángel Israel Crespo Rueda y Alejandro Fernando Aguilera Mendieta</w:t>
      </w:r>
      <w:r w:rsidRPr="00F95360">
        <w:rPr>
          <w:rFonts w:asciiTheme="majorHAnsi" w:hAnsiTheme="majorHAnsi"/>
          <w:sz w:val="20"/>
          <w:szCs w:val="20"/>
          <w:lang w:val="es-ES"/>
        </w:rPr>
        <w:t xml:space="preserve">; </w:t>
      </w:r>
    </w:p>
    <w:p w14:paraId="50CA63B0" w14:textId="6D06E9E7" w:rsidR="007C1CA4" w:rsidRPr="00F95360" w:rsidRDefault="007C1CA4" w:rsidP="007C1CA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95360">
        <w:rPr>
          <w:rFonts w:asciiTheme="majorHAnsi" w:hAnsiTheme="majorHAnsi"/>
          <w:sz w:val="20"/>
          <w:szCs w:val="20"/>
          <w:lang w:val="es-ES"/>
        </w:rPr>
        <w:t xml:space="preserve">Declarar admisible la presente petición en relación con los artículos 8, 9, 13 y 25 de la Convención Americana en </w:t>
      </w:r>
      <w:r w:rsidR="00994BEE">
        <w:rPr>
          <w:rFonts w:asciiTheme="majorHAnsi" w:hAnsiTheme="majorHAnsi"/>
          <w:sz w:val="20"/>
          <w:szCs w:val="20"/>
          <w:lang w:val="es-ES"/>
        </w:rPr>
        <w:t>concordancia</w:t>
      </w:r>
      <w:r w:rsidRPr="00F95360">
        <w:rPr>
          <w:rFonts w:asciiTheme="majorHAnsi" w:hAnsiTheme="majorHAnsi"/>
          <w:sz w:val="20"/>
          <w:szCs w:val="20"/>
          <w:lang w:val="es-ES"/>
        </w:rPr>
        <w:t xml:space="preserve"> con sus artículos 1.1 y 2;</w:t>
      </w:r>
      <w:r w:rsidR="00DB2EB6">
        <w:rPr>
          <w:rFonts w:asciiTheme="majorHAnsi" w:hAnsiTheme="majorHAnsi"/>
          <w:sz w:val="20"/>
          <w:szCs w:val="20"/>
          <w:lang w:val="es-ES"/>
        </w:rPr>
        <w:t xml:space="preserve"> </w:t>
      </w:r>
    </w:p>
    <w:p w14:paraId="7F5F48D3" w14:textId="58B45900" w:rsidR="007C1CA4" w:rsidRPr="00F95360" w:rsidRDefault="007C1CA4" w:rsidP="007C1CA4">
      <w:pPr>
        <w:pStyle w:val="ListParagraph"/>
        <w:numPr>
          <w:ilvl w:val="0"/>
          <w:numId w:val="109"/>
        </w:numPr>
        <w:jc w:val="both"/>
        <w:rPr>
          <w:rFonts w:eastAsia="Arial Unicode MS" w:cs="Times New Roman"/>
          <w:color w:val="auto"/>
          <w:sz w:val="20"/>
          <w:szCs w:val="20"/>
          <w:lang w:val="es-ES" w:eastAsia="en-US"/>
        </w:rPr>
      </w:pPr>
      <w:r w:rsidRPr="00F95360">
        <w:rPr>
          <w:rFonts w:eastAsia="Arial Unicode MS" w:cs="Times New Roman"/>
          <w:color w:val="auto"/>
          <w:sz w:val="20"/>
          <w:szCs w:val="20"/>
          <w:lang w:val="es-ES" w:eastAsia="en-US"/>
        </w:rPr>
        <w:t>Declarar inadmisible la presente petición en relación con el artículo 23 de la Convención Americana</w:t>
      </w:r>
      <w:r w:rsidR="00BE2B9D">
        <w:rPr>
          <w:rFonts w:eastAsia="Arial Unicode MS" w:cs="Times New Roman"/>
          <w:color w:val="auto"/>
          <w:sz w:val="20"/>
          <w:szCs w:val="20"/>
          <w:lang w:val="es-ES" w:eastAsia="en-US"/>
        </w:rPr>
        <w:t>, y</w:t>
      </w:r>
      <w:r w:rsidR="00EC62F3">
        <w:rPr>
          <w:rFonts w:eastAsia="Arial Unicode MS" w:cs="Times New Roman"/>
          <w:color w:val="auto"/>
          <w:sz w:val="20"/>
          <w:szCs w:val="20"/>
          <w:lang w:val="es-ES" w:eastAsia="en-US"/>
        </w:rPr>
        <w:t>;</w:t>
      </w:r>
    </w:p>
    <w:p w14:paraId="5F409614" w14:textId="77777777" w:rsidR="007C1CA4" w:rsidRPr="00F95360" w:rsidRDefault="007C1CA4" w:rsidP="007C1CA4">
      <w:pPr>
        <w:pStyle w:val="ListParagraph"/>
        <w:jc w:val="both"/>
        <w:rPr>
          <w:rFonts w:eastAsia="Arial Unicode MS" w:cs="Times New Roman"/>
          <w:color w:val="auto"/>
          <w:sz w:val="20"/>
          <w:szCs w:val="20"/>
          <w:lang w:val="es-ES" w:eastAsia="en-US"/>
        </w:rPr>
      </w:pPr>
    </w:p>
    <w:p w14:paraId="12A7002C" w14:textId="0D6AEA6D"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536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1A3A3C2C" w:rsidR="00722C9F" w:rsidRPr="00F95360" w:rsidRDefault="00F705B1" w:rsidP="00994BEE">
      <w:pPr>
        <w:ind w:firstLine="720"/>
        <w:jc w:val="both"/>
        <w:rPr>
          <w:rFonts w:ascii="Cambria" w:hAnsi="Cambria" w:cs="Calibri"/>
          <w:sz w:val="20"/>
          <w:szCs w:val="20"/>
          <w:lang w:val="es-ES"/>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22C9F" w:rsidRPr="00F9536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74DE" w14:textId="77777777" w:rsidR="00353417" w:rsidRDefault="00353417">
      <w:r>
        <w:separator/>
      </w:r>
    </w:p>
  </w:endnote>
  <w:endnote w:type="continuationSeparator" w:id="0">
    <w:p w14:paraId="48451E5C" w14:textId="77777777" w:rsidR="00353417" w:rsidRDefault="0035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Optima-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5411" w14:textId="77777777" w:rsidR="00353417" w:rsidRPr="000F35ED" w:rsidRDefault="0035341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F6B8B7" w14:textId="77777777" w:rsidR="00353417" w:rsidRPr="000F35ED" w:rsidRDefault="00353417" w:rsidP="000F35ED">
      <w:pPr>
        <w:rPr>
          <w:rFonts w:asciiTheme="majorHAnsi" w:hAnsiTheme="majorHAnsi"/>
          <w:sz w:val="16"/>
          <w:szCs w:val="16"/>
        </w:rPr>
      </w:pPr>
      <w:r w:rsidRPr="000F35ED">
        <w:rPr>
          <w:rFonts w:asciiTheme="majorHAnsi" w:hAnsiTheme="majorHAnsi"/>
          <w:sz w:val="16"/>
          <w:szCs w:val="16"/>
        </w:rPr>
        <w:separator/>
      </w:r>
    </w:p>
    <w:p w14:paraId="0718EFDE" w14:textId="77777777" w:rsidR="00353417" w:rsidRPr="000F35ED" w:rsidRDefault="0035341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A95710C" w14:textId="77777777" w:rsidR="00353417" w:rsidRPr="000F35ED" w:rsidRDefault="0035341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0A9458C" w14:textId="77777777" w:rsidR="00387FCB" w:rsidRPr="0095103F" w:rsidRDefault="00387FCB"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6D07768E" w14:textId="77777777" w:rsidR="00E9442C" w:rsidRPr="0095103F" w:rsidRDefault="00E9442C"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En adelante “la Convención Americana” o “la Convención”.</w:t>
      </w:r>
    </w:p>
  </w:footnote>
  <w:footnote w:id="4">
    <w:p w14:paraId="525C0844" w14:textId="77777777" w:rsidR="00E9442C" w:rsidRPr="0095103F" w:rsidRDefault="00E9442C"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En adelante “Declaración Americana”. </w:t>
      </w:r>
    </w:p>
  </w:footnote>
  <w:footnote w:id="5">
    <w:p w14:paraId="79F07139" w14:textId="77777777" w:rsidR="008E3BFE" w:rsidRPr="0095103F" w:rsidRDefault="008E3BFE" w:rsidP="0095103F">
      <w:pPr>
        <w:pStyle w:val="FootnoteText"/>
        <w:spacing w:after="120"/>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Las observaciones de cada parte fueron debidamente trasladadas a la parte contraria.</w:t>
      </w:r>
    </w:p>
  </w:footnote>
  <w:footnote w:id="6">
    <w:p w14:paraId="1F0BEC67" w14:textId="24F52320" w:rsidR="00A11901" w:rsidRPr="0095103F" w:rsidRDefault="00A11901"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Constitución Política de los Estados Unidos Mexicanos. Artículo 41, Párrafo III, inciso g): 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footnote>
  <w:footnote w:id="7">
    <w:p w14:paraId="79F758D2" w14:textId="1B46E0D1" w:rsidR="00974639" w:rsidRPr="0095103F" w:rsidRDefault="00974639"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COFIPE. Artículo 350 1. Constituyen infracciones al presente Código de los concesionarios o permisionarios de radio y televisión: a) La venta de tiempo de transmisión, en cualquier modalidad de programación, a los partidos políticos, aspirantes, precandidatos o candidatos a cargos de elección popular; b) La difusión de propaganda política o electoral, pagada o gratuita, ordenada por personas distintas al Instituto Federal Electoral; (…). </w:t>
      </w:r>
    </w:p>
  </w:footnote>
  <w:footnote w:id="8">
    <w:p w14:paraId="1B356BC4" w14:textId="77777777" w:rsidR="008D1702" w:rsidRPr="0095103F" w:rsidRDefault="008D1702"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Los peticionarios indican que las presuntas víctimas ocupaban los siguientes cargos: Alejandro Fernando Aguilera Mendieta era </w:t>
      </w:r>
      <w:proofErr w:type="gramStart"/>
      <w:r w:rsidRPr="0095103F">
        <w:rPr>
          <w:rFonts w:asciiTheme="majorHAnsi" w:hAnsiTheme="majorHAnsi"/>
          <w:sz w:val="16"/>
          <w:szCs w:val="16"/>
          <w:lang w:val="es-ES"/>
        </w:rPr>
        <w:t>Director</w:t>
      </w:r>
      <w:proofErr w:type="gramEnd"/>
      <w:r w:rsidRPr="0095103F">
        <w:rPr>
          <w:rFonts w:asciiTheme="majorHAnsi" w:hAnsiTheme="majorHAnsi"/>
          <w:sz w:val="16"/>
          <w:szCs w:val="16"/>
          <w:lang w:val="es-ES"/>
        </w:rPr>
        <w:t xml:space="preserve"> de Programación en </w:t>
      </w:r>
      <w:proofErr w:type="spellStart"/>
      <w:r w:rsidRPr="0095103F">
        <w:rPr>
          <w:rFonts w:asciiTheme="majorHAnsi" w:hAnsiTheme="majorHAnsi"/>
          <w:sz w:val="16"/>
          <w:szCs w:val="16"/>
          <w:lang w:val="es-ES"/>
        </w:rPr>
        <w:t>Televimex</w:t>
      </w:r>
      <w:proofErr w:type="spellEnd"/>
      <w:r w:rsidRPr="0095103F">
        <w:rPr>
          <w:rFonts w:asciiTheme="majorHAnsi" w:hAnsiTheme="majorHAnsi"/>
          <w:sz w:val="16"/>
          <w:szCs w:val="16"/>
          <w:lang w:val="es-ES"/>
        </w:rPr>
        <w:t xml:space="preserve">, Miguel Ángel Diez García era Director General de Tráfico de </w:t>
      </w:r>
      <w:proofErr w:type="spellStart"/>
      <w:r w:rsidRPr="0095103F">
        <w:rPr>
          <w:rFonts w:asciiTheme="majorHAnsi" w:hAnsiTheme="majorHAnsi"/>
          <w:sz w:val="16"/>
          <w:szCs w:val="16"/>
          <w:lang w:val="es-ES"/>
        </w:rPr>
        <w:t>Televimex</w:t>
      </w:r>
      <w:proofErr w:type="spellEnd"/>
      <w:r w:rsidRPr="0095103F">
        <w:rPr>
          <w:rFonts w:asciiTheme="majorHAnsi" w:hAnsiTheme="majorHAnsi"/>
          <w:sz w:val="16"/>
          <w:szCs w:val="16"/>
          <w:lang w:val="es-ES"/>
        </w:rPr>
        <w:t xml:space="preserve">, y Ángel Israel Crespo Rueda era el Coordinador Jurídico de </w:t>
      </w:r>
      <w:proofErr w:type="spellStart"/>
      <w:r w:rsidRPr="0095103F">
        <w:rPr>
          <w:rFonts w:asciiTheme="majorHAnsi" w:hAnsiTheme="majorHAnsi"/>
          <w:sz w:val="16"/>
          <w:szCs w:val="16"/>
          <w:lang w:val="es-ES"/>
        </w:rPr>
        <w:t>Televimex</w:t>
      </w:r>
      <w:proofErr w:type="spellEnd"/>
      <w:r w:rsidRPr="0095103F">
        <w:rPr>
          <w:rFonts w:asciiTheme="majorHAnsi" w:hAnsiTheme="majorHAnsi"/>
          <w:sz w:val="16"/>
          <w:szCs w:val="16"/>
          <w:lang w:val="es-ES"/>
        </w:rPr>
        <w:t xml:space="preserve">. </w:t>
      </w:r>
    </w:p>
  </w:footnote>
  <w:footnote w:id="9">
    <w:p w14:paraId="2A6F638D" w14:textId="7A43FA81" w:rsidR="00D95F13" w:rsidRPr="0095103F" w:rsidRDefault="00D95F13"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lang w:val="es-ES"/>
        </w:rPr>
        <w:footnoteRef/>
      </w:r>
      <w:r w:rsidRPr="0095103F">
        <w:rPr>
          <w:rFonts w:asciiTheme="majorHAnsi" w:hAnsiTheme="majorHAnsi"/>
          <w:sz w:val="16"/>
          <w:szCs w:val="16"/>
          <w:lang w:val="es-ES"/>
        </w:rPr>
        <w:t xml:space="preserve"> Ley General del Sistema de Medios de Impugnación en Materia Electoral: Artículo 42: En cualquier tiempo, el recurso de apelación será procedente para impugnar la determinación y, en su caso, la aplicación de sanciones que en los términos del Código Federal de Instituciones y Procedimientos Electorales realice el Consejo General del Instituto Federal Electoral. (…) Artículo 45: 1. Podrán interponer el recurso de apelación: [...] b) En el caso de imposición de sanciones previsto por el artículo 42 de esta Ley: […] IV. Las personas físicas o morales, por su propio derecho o a través de sus representantes legítimos, según corresponda y de conformidad con la legislación aplicable.</w:t>
      </w:r>
    </w:p>
  </w:footnote>
  <w:footnote w:id="10">
    <w:p w14:paraId="5186D990" w14:textId="66A1A9C3" w:rsidR="0097571F" w:rsidRPr="0095103F" w:rsidRDefault="0097571F"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lang w:val="es-ES"/>
        </w:rPr>
        <w:footnoteRef/>
      </w:r>
      <w:r w:rsidRPr="0095103F">
        <w:rPr>
          <w:rFonts w:asciiTheme="majorHAnsi" w:hAnsiTheme="majorHAnsi"/>
          <w:sz w:val="16"/>
          <w:szCs w:val="16"/>
          <w:lang w:val="es-ES"/>
        </w:rPr>
        <w:t xml:space="preserve"> CIDH. Informe No. 52/18, Petición 253-10, Admisibilidad, Alejandro Fernández Aguilera Mendieta y otros, México, 5 de mayo de 2018, </w:t>
      </w:r>
      <w:proofErr w:type="spellStart"/>
      <w:r w:rsidRPr="0095103F">
        <w:rPr>
          <w:rFonts w:asciiTheme="majorHAnsi" w:hAnsiTheme="majorHAnsi"/>
          <w:sz w:val="16"/>
          <w:szCs w:val="16"/>
          <w:lang w:val="es-ES"/>
        </w:rPr>
        <w:t>párrs</w:t>
      </w:r>
      <w:proofErr w:type="spellEnd"/>
      <w:r w:rsidRPr="0095103F">
        <w:rPr>
          <w:rFonts w:asciiTheme="majorHAnsi" w:hAnsiTheme="majorHAnsi"/>
          <w:sz w:val="16"/>
          <w:szCs w:val="16"/>
          <w:lang w:val="es-ES"/>
        </w:rPr>
        <w:t xml:space="preserve">. 17-22; e Informe No. 20/21, Peticiones 256-10 y 690-10, Admisibilidad, Ángel Israel Crespo Rueda y otros, México, 5 de marzo de 2021, </w:t>
      </w:r>
      <w:proofErr w:type="spellStart"/>
      <w:r w:rsidRPr="0095103F">
        <w:rPr>
          <w:rFonts w:asciiTheme="majorHAnsi" w:hAnsiTheme="majorHAnsi"/>
          <w:sz w:val="16"/>
          <w:szCs w:val="16"/>
          <w:lang w:val="es-ES"/>
        </w:rPr>
        <w:t>párrs</w:t>
      </w:r>
      <w:proofErr w:type="spellEnd"/>
      <w:r w:rsidRPr="0095103F">
        <w:rPr>
          <w:rFonts w:asciiTheme="majorHAnsi" w:hAnsiTheme="majorHAnsi"/>
          <w:sz w:val="16"/>
          <w:szCs w:val="16"/>
          <w:lang w:val="es-ES"/>
        </w:rPr>
        <w:t xml:space="preserve">. 31-36.  </w:t>
      </w:r>
    </w:p>
  </w:footnote>
  <w:footnote w:id="11">
    <w:p w14:paraId="1304D0B1" w14:textId="77777777"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
        </w:rPr>
      </w:pPr>
      <w:r w:rsidRPr="0095103F">
        <w:rPr>
          <w:rStyle w:val="FootnoteReference"/>
          <w:rFonts w:asciiTheme="majorHAnsi" w:hAnsiTheme="majorHAnsi"/>
          <w:sz w:val="16"/>
          <w:szCs w:val="16"/>
          <w:lang w:val="es-ES"/>
        </w:rPr>
        <w:footnoteRef/>
      </w:r>
      <w:r w:rsidRPr="0095103F">
        <w:rPr>
          <w:rFonts w:asciiTheme="majorHAnsi" w:hAnsiTheme="majorHAnsi"/>
          <w:sz w:val="16"/>
          <w:szCs w:val="16"/>
          <w:lang w:val="es-ES"/>
        </w:rPr>
        <w:t xml:space="preserve"> CIDH. Informe No. 72/11, Petición 1164-05, Admisibilidad, William </w:t>
      </w:r>
      <w:proofErr w:type="spellStart"/>
      <w:r w:rsidRPr="0095103F">
        <w:rPr>
          <w:rFonts w:asciiTheme="majorHAnsi" w:hAnsiTheme="majorHAnsi"/>
          <w:sz w:val="16"/>
          <w:szCs w:val="16"/>
          <w:lang w:val="es-ES"/>
        </w:rPr>
        <w:t>Gómez</w:t>
      </w:r>
      <w:proofErr w:type="spellEnd"/>
      <w:r w:rsidRPr="0095103F">
        <w:rPr>
          <w:rFonts w:asciiTheme="majorHAnsi" w:hAnsiTheme="majorHAnsi"/>
          <w:sz w:val="16"/>
          <w:szCs w:val="16"/>
          <w:lang w:val="es-ES"/>
        </w:rPr>
        <w:t xml:space="preserve"> Vargas, Costa Rica, 31 de </w:t>
      </w:r>
      <w:proofErr w:type="gramStart"/>
      <w:r w:rsidRPr="0095103F">
        <w:rPr>
          <w:rFonts w:asciiTheme="majorHAnsi" w:hAnsiTheme="majorHAnsi"/>
          <w:sz w:val="16"/>
          <w:szCs w:val="16"/>
          <w:lang w:val="es-ES"/>
        </w:rPr>
        <w:t>Marzo</w:t>
      </w:r>
      <w:proofErr w:type="gramEnd"/>
      <w:r w:rsidRPr="0095103F">
        <w:rPr>
          <w:rFonts w:asciiTheme="majorHAnsi" w:hAnsiTheme="majorHAnsi"/>
          <w:sz w:val="16"/>
          <w:szCs w:val="16"/>
          <w:lang w:val="es-ES"/>
        </w:rPr>
        <w:t xml:space="preserve"> de 2011, </w:t>
      </w:r>
      <w:proofErr w:type="spellStart"/>
      <w:r w:rsidRPr="0095103F">
        <w:rPr>
          <w:rFonts w:asciiTheme="majorHAnsi" w:hAnsiTheme="majorHAnsi"/>
          <w:sz w:val="16"/>
          <w:szCs w:val="16"/>
          <w:lang w:val="es-ES"/>
        </w:rPr>
        <w:t>Párr</w:t>
      </w:r>
      <w:proofErr w:type="spellEnd"/>
      <w:r w:rsidRPr="0095103F">
        <w:rPr>
          <w:rFonts w:asciiTheme="majorHAnsi" w:hAnsiTheme="majorHAnsi"/>
          <w:sz w:val="16"/>
          <w:szCs w:val="16"/>
          <w:lang w:val="es-ES"/>
        </w:rPr>
        <w:t xml:space="preserve">. 32; y 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w:t>
      </w:r>
      <w:proofErr w:type="spellStart"/>
      <w:r w:rsidRPr="0095103F">
        <w:rPr>
          <w:rFonts w:asciiTheme="majorHAnsi" w:hAnsiTheme="majorHAnsi"/>
          <w:sz w:val="16"/>
          <w:szCs w:val="16"/>
          <w:lang w:val="es-ES"/>
        </w:rPr>
        <w:t>Párr</w:t>
      </w:r>
      <w:proofErr w:type="spellEnd"/>
      <w:r w:rsidRPr="0095103F">
        <w:rPr>
          <w:rFonts w:asciiTheme="majorHAnsi" w:hAnsiTheme="majorHAnsi"/>
          <w:sz w:val="16"/>
          <w:szCs w:val="16"/>
          <w:lang w:val="es-ES"/>
        </w:rPr>
        <w:t xml:space="preserve">. 70. </w:t>
      </w:r>
    </w:p>
  </w:footnote>
  <w:footnote w:id="12">
    <w:p w14:paraId="3AC6CD4C" w14:textId="77777777"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
        </w:rPr>
      </w:pPr>
      <w:r w:rsidRPr="0095103F">
        <w:rPr>
          <w:rStyle w:val="FootnoteReference"/>
          <w:rFonts w:asciiTheme="majorHAnsi" w:hAnsiTheme="majorHAnsi"/>
          <w:sz w:val="16"/>
          <w:szCs w:val="16"/>
          <w:lang w:val="es-ES"/>
        </w:rPr>
        <w:footnoteRef/>
      </w:r>
      <w:r w:rsidRPr="0095103F">
        <w:rPr>
          <w:rFonts w:asciiTheme="majorHAnsi" w:hAnsiTheme="majorHAnsi"/>
          <w:sz w:val="16"/>
          <w:szCs w:val="16"/>
          <w:lang w:val="es-ES"/>
        </w:rPr>
        <w:t xml:space="preserve"> CIDH, Informe No 122/10 (Admisibilidad), Petición 475-00, Carlos Arturo Betancourt Estrada y otros, Colombia, 23 de octubre de 2010, </w:t>
      </w:r>
      <w:proofErr w:type="spellStart"/>
      <w:r w:rsidRPr="0095103F">
        <w:rPr>
          <w:rFonts w:asciiTheme="majorHAnsi" w:hAnsiTheme="majorHAnsi"/>
          <w:sz w:val="16"/>
          <w:szCs w:val="16"/>
          <w:lang w:val="es-ES"/>
        </w:rPr>
        <w:t>párr</w:t>
      </w:r>
      <w:proofErr w:type="spellEnd"/>
      <w:r w:rsidRPr="0095103F">
        <w:rPr>
          <w:rFonts w:asciiTheme="majorHAnsi" w:hAnsiTheme="majorHAnsi"/>
          <w:sz w:val="16"/>
          <w:szCs w:val="16"/>
          <w:lang w:val="es-ES"/>
        </w:rPr>
        <w:t xml:space="preserve">. 29. </w:t>
      </w:r>
    </w:p>
  </w:footnote>
  <w:footnote w:id="13">
    <w:p w14:paraId="77BEC2E2" w14:textId="1959884D"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_tradnl"/>
        </w:rPr>
      </w:pPr>
      <w:r w:rsidRPr="0095103F">
        <w:rPr>
          <w:rStyle w:val="FootnoteReference"/>
          <w:rFonts w:asciiTheme="majorHAnsi" w:hAnsiTheme="majorHAnsi"/>
          <w:sz w:val="16"/>
          <w:szCs w:val="16"/>
          <w:lang w:val="es-ES_tradnl"/>
        </w:rPr>
        <w:footnoteRef/>
      </w:r>
      <w:r w:rsidRPr="0095103F">
        <w:rPr>
          <w:rFonts w:asciiTheme="majorHAnsi" w:hAnsiTheme="majorHAnsi"/>
          <w:sz w:val="16"/>
          <w:szCs w:val="16"/>
          <w:lang w:val="es-ES_tradnl"/>
        </w:rPr>
        <w:t xml:space="preserve"> Corte IDH. Opinión Consultiva 22/16. Titularidad de derechos de las personas jurídicas en el Sistema Interamericano de Derechos Humanos (interpretación y alcance del artículo 1.2, en relación con los artículos 1.1, 8, 11.2, 13, 16, 21, 24, 25, 29, 30, 44, 46 y 62.3 de la </w:t>
      </w:r>
      <w:r w:rsidR="00A11901" w:rsidRPr="0095103F">
        <w:rPr>
          <w:rFonts w:asciiTheme="majorHAnsi" w:hAnsiTheme="majorHAnsi"/>
          <w:sz w:val="16"/>
          <w:szCs w:val="16"/>
          <w:lang w:val="es-ES_tradnl"/>
        </w:rPr>
        <w:t>Convención</w:t>
      </w:r>
      <w:r w:rsidRPr="0095103F">
        <w:rPr>
          <w:rFonts w:asciiTheme="majorHAnsi" w:hAnsiTheme="majorHAnsi"/>
          <w:sz w:val="16"/>
          <w:szCs w:val="16"/>
          <w:lang w:val="es-ES_tradnl"/>
        </w:rPr>
        <w:t xml:space="preserve"> Americana sobre Derechos Humanos, así́ como del artículo 8.1.a y b del Protocolo de San Salvador). 22 de febrero de 2016.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70. En similar sentido, ver, CIDH. Informe No. 72/11, </w:t>
      </w:r>
      <w:r w:rsidR="00A11901" w:rsidRPr="0095103F">
        <w:rPr>
          <w:rFonts w:asciiTheme="majorHAnsi" w:hAnsiTheme="majorHAnsi"/>
          <w:sz w:val="16"/>
          <w:szCs w:val="16"/>
          <w:lang w:val="es-ES_tradnl"/>
        </w:rPr>
        <w:t>Petición</w:t>
      </w:r>
      <w:r w:rsidRPr="0095103F">
        <w:rPr>
          <w:rFonts w:asciiTheme="majorHAnsi" w:hAnsiTheme="majorHAnsi"/>
          <w:sz w:val="16"/>
          <w:szCs w:val="16"/>
          <w:lang w:val="es-ES_tradnl"/>
        </w:rPr>
        <w:t xml:space="preserve"> 1164- 05, Admisibilidad, William </w:t>
      </w:r>
      <w:proofErr w:type="spellStart"/>
      <w:r w:rsidRPr="0095103F">
        <w:rPr>
          <w:rFonts w:asciiTheme="majorHAnsi" w:hAnsiTheme="majorHAnsi"/>
          <w:sz w:val="16"/>
          <w:szCs w:val="16"/>
          <w:lang w:val="es-ES_tradnl"/>
        </w:rPr>
        <w:t>Gómez</w:t>
      </w:r>
      <w:proofErr w:type="spellEnd"/>
      <w:r w:rsidRPr="0095103F">
        <w:rPr>
          <w:rFonts w:asciiTheme="majorHAnsi" w:hAnsiTheme="majorHAnsi"/>
          <w:sz w:val="16"/>
          <w:szCs w:val="16"/>
          <w:lang w:val="es-ES_tradnl"/>
        </w:rPr>
        <w:t xml:space="preserve"> Vargas, Costa Rica, 31 de </w:t>
      </w:r>
      <w:proofErr w:type="gramStart"/>
      <w:r w:rsidRPr="0095103F">
        <w:rPr>
          <w:rFonts w:asciiTheme="majorHAnsi" w:hAnsiTheme="majorHAnsi"/>
          <w:sz w:val="16"/>
          <w:szCs w:val="16"/>
          <w:lang w:val="es-ES_tradnl"/>
        </w:rPr>
        <w:t>Marzo</w:t>
      </w:r>
      <w:proofErr w:type="gramEnd"/>
      <w:r w:rsidRPr="0095103F">
        <w:rPr>
          <w:rFonts w:asciiTheme="majorHAnsi" w:hAnsiTheme="majorHAnsi"/>
          <w:sz w:val="16"/>
          <w:szCs w:val="16"/>
          <w:lang w:val="es-ES_tradnl"/>
        </w:rPr>
        <w:t xml:space="preserve"> de 2011,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32, y CIDH, Informe No. 67/01, Caso 11.859, </w:t>
      </w:r>
      <w:proofErr w:type="spellStart"/>
      <w:r w:rsidRPr="0095103F">
        <w:rPr>
          <w:rFonts w:asciiTheme="majorHAnsi" w:hAnsiTheme="majorHAnsi"/>
          <w:sz w:val="16"/>
          <w:szCs w:val="16"/>
          <w:lang w:val="es-ES_tradnl"/>
        </w:rPr>
        <w:t>Tomás</w:t>
      </w:r>
      <w:proofErr w:type="spellEnd"/>
      <w:r w:rsidRPr="0095103F">
        <w:rPr>
          <w:rFonts w:asciiTheme="majorHAnsi" w:hAnsiTheme="majorHAnsi"/>
          <w:sz w:val="16"/>
          <w:szCs w:val="16"/>
          <w:lang w:val="es-ES_tradnl"/>
        </w:rPr>
        <w:t xml:space="preserve"> Enrique Carvallo Quintana, Argentina, 14 de junio de 2001,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54. </w:t>
      </w:r>
    </w:p>
  </w:footnote>
  <w:footnote w:id="14">
    <w:p w14:paraId="6C4755FB" w14:textId="3E39D7DB"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_tradnl"/>
        </w:rPr>
      </w:pPr>
      <w:r w:rsidRPr="0095103F">
        <w:rPr>
          <w:rStyle w:val="FootnoteReference"/>
          <w:rFonts w:asciiTheme="majorHAnsi" w:hAnsiTheme="majorHAnsi"/>
          <w:sz w:val="16"/>
          <w:szCs w:val="16"/>
          <w:lang w:val="es-ES_tradnl"/>
        </w:rPr>
        <w:footnoteRef/>
      </w:r>
      <w:r w:rsidRPr="0095103F">
        <w:rPr>
          <w:rFonts w:asciiTheme="majorHAnsi" w:hAnsiTheme="majorHAnsi"/>
          <w:sz w:val="16"/>
          <w:szCs w:val="16"/>
          <w:lang w:val="es-ES_tradnl"/>
        </w:rPr>
        <w:t xml:space="preserve"> Corte IDH. </w:t>
      </w:r>
      <w:r w:rsidR="00A11901" w:rsidRPr="0095103F">
        <w:rPr>
          <w:rFonts w:asciiTheme="majorHAnsi" w:hAnsiTheme="majorHAnsi"/>
          <w:sz w:val="16"/>
          <w:szCs w:val="16"/>
          <w:lang w:val="es-ES_tradnl"/>
        </w:rPr>
        <w:t>Opinión</w:t>
      </w:r>
      <w:r w:rsidRPr="0095103F">
        <w:rPr>
          <w:rFonts w:asciiTheme="majorHAnsi" w:hAnsiTheme="majorHAnsi"/>
          <w:sz w:val="16"/>
          <w:szCs w:val="16"/>
          <w:lang w:val="es-ES_tradnl"/>
        </w:rPr>
        <w:t xml:space="preserve"> Consultiva 22/16. Titularidad de derechos de las personas </w:t>
      </w:r>
      <w:r w:rsidR="00A11901" w:rsidRPr="0095103F">
        <w:rPr>
          <w:rFonts w:asciiTheme="majorHAnsi" w:hAnsiTheme="majorHAnsi"/>
          <w:sz w:val="16"/>
          <w:szCs w:val="16"/>
          <w:lang w:val="es-ES_tradnl"/>
        </w:rPr>
        <w:t>jurídicas</w:t>
      </w:r>
      <w:r w:rsidRPr="0095103F">
        <w:rPr>
          <w:rFonts w:asciiTheme="majorHAnsi" w:hAnsiTheme="majorHAnsi"/>
          <w:sz w:val="16"/>
          <w:szCs w:val="16"/>
          <w:lang w:val="es-ES_tradnl"/>
        </w:rPr>
        <w:t xml:space="preserve"> en el Sistema Interamericano de Derechos Humanos (</w:t>
      </w:r>
      <w:r w:rsidR="00A11901" w:rsidRPr="0095103F">
        <w:rPr>
          <w:rFonts w:asciiTheme="majorHAnsi" w:hAnsiTheme="majorHAnsi"/>
          <w:sz w:val="16"/>
          <w:szCs w:val="16"/>
          <w:lang w:val="es-ES_tradnl"/>
        </w:rPr>
        <w:t>interpretación</w:t>
      </w:r>
      <w:r w:rsidRPr="0095103F">
        <w:rPr>
          <w:rFonts w:asciiTheme="majorHAnsi" w:hAnsiTheme="majorHAnsi"/>
          <w:sz w:val="16"/>
          <w:szCs w:val="16"/>
          <w:lang w:val="es-ES_tradnl"/>
        </w:rPr>
        <w:t xml:space="preserve"> y alcance del </w:t>
      </w:r>
      <w:r w:rsidR="00A11901" w:rsidRPr="0095103F">
        <w:rPr>
          <w:rFonts w:asciiTheme="majorHAnsi" w:hAnsiTheme="majorHAnsi"/>
          <w:sz w:val="16"/>
          <w:szCs w:val="16"/>
          <w:lang w:val="es-ES_tradnl"/>
        </w:rPr>
        <w:t>artículo</w:t>
      </w:r>
      <w:r w:rsidRPr="0095103F">
        <w:rPr>
          <w:rFonts w:asciiTheme="majorHAnsi" w:hAnsiTheme="majorHAnsi"/>
          <w:sz w:val="16"/>
          <w:szCs w:val="16"/>
          <w:lang w:val="es-ES_tradnl"/>
        </w:rPr>
        <w:t xml:space="preserve"> 1.2, en </w:t>
      </w:r>
      <w:r w:rsidR="00A11901" w:rsidRPr="0095103F">
        <w:rPr>
          <w:rFonts w:asciiTheme="majorHAnsi" w:hAnsiTheme="majorHAnsi"/>
          <w:sz w:val="16"/>
          <w:szCs w:val="16"/>
          <w:lang w:val="es-ES_tradnl"/>
        </w:rPr>
        <w:t>relación</w:t>
      </w:r>
      <w:r w:rsidRPr="0095103F">
        <w:rPr>
          <w:rFonts w:asciiTheme="majorHAnsi" w:hAnsiTheme="majorHAnsi"/>
          <w:sz w:val="16"/>
          <w:szCs w:val="16"/>
          <w:lang w:val="es-ES_tradnl"/>
        </w:rPr>
        <w:t xml:space="preserve"> con los </w:t>
      </w:r>
      <w:r w:rsidR="00A11901" w:rsidRPr="0095103F">
        <w:rPr>
          <w:rFonts w:asciiTheme="majorHAnsi" w:hAnsiTheme="majorHAnsi"/>
          <w:sz w:val="16"/>
          <w:szCs w:val="16"/>
          <w:lang w:val="es-ES_tradnl"/>
        </w:rPr>
        <w:t>artículos</w:t>
      </w:r>
      <w:r w:rsidRPr="0095103F">
        <w:rPr>
          <w:rFonts w:asciiTheme="majorHAnsi" w:hAnsiTheme="majorHAnsi"/>
          <w:sz w:val="16"/>
          <w:szCs w:val="16"/>
          <w:lang w:val="es-ES_tradnl"/>
        </w:rPr>
        <w:t xml:space="preserve"> 1.1, 8, 11.2, 13, 16, 21, 24, 25, 29, 30, 44, 46 y 62.3 de la </w:t>
      </w:r>
      <w:r w:rsidR="00A11901" w:rsidRPr="0095103F">
        <w:rPr>
          <w:rFonts w:asciiTheme="majorHAnsi" w:hAnsiTheme="majorHAnsi"/>
          <w:sz w:val="16"/>
          <w:szCs w:val="16"/>
          <w:lang w:val="es-ES_tradnl"/>
        </w:rPr>
        <w:t>Convención</w:t>
      </w:r>
      <w:r w:rsidRPr="0095103F">
        <w:rPr>
          <w:rFonts w:asciiTheme="majorHAnsi" w:hAnsiTheme="majorHAnsi"/>
          <w:sz w:val="16"/>
          <w:szCs w:val="16"/>
          <w:lang w:val="es-ES_tradnl"/>
        </w:rPr>
        <w:t xml:space="preserve"> Americana sobre Derechos Humanos, </w:t>
      </w:r>
      <w:r w:rsidR="00A11901" w:rsidRPr="0095103F">
        <w:rPr>
          <w:rFonts w:asciiTheme="majorHAnsi" w:hAnsiTheme="majorHAnsi"/>
          <w:sz w:val="16"/>
          <w:szCs w:val="16"/>
          <w:lang w:val="es-ES_tradnl"/>
        </w:rPr>
        <w:t>así</w:t>
      </w:r>
      <w:r w:rsidRPr="0095103F">
        <w:rPr>
          <w:rFonts w:asciiTheme="majorHAnsi" w:hAnsiTheme="majorHAnsi"/>
          <w:sz w:val="16"/>
          <w:szCs w:val="16"/>
          <w:lang w:val="es-ES_tradnl"/>
        </w:rPr>
        <w:t xml:space="preserve">́ como del </w:t>
      </w:r>
      <w:r w:rsidR="00A11901" w:rsidRPr="0095103F">
        <w:rPr>
          <w:rFonts w:asciiTheme="majorHAnsi" w:hAnsiTheme="majorHAnsi"/>
          <w:sz w:val="16"/>
          <w:szCs w:val="16"/>
          <w:lang w:val="es-ES_tradnl"/>
        </w:rPr>
        <w:t>artículo</w:t>
      </w:r>
      <w:r w:rsidRPr="0095103F">
        <w:rPr>
          <w:rFonts w:asciiTheme="majorHAnsi" w:hAnsiTheme="majorHAnsi"/>
          <w:sz w:val="16"/>
          <w:szCs w:val="16"/>
          <w:lang w:val="es-ES_tradnl"/>
        </w:rPr>
        <w:t xml:space="preserve"> 8.1.a y b del Protocolo de San Salvador). 22 de febrero de 2016.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111. En similar sentido, CIDH. Informe No. 72/11, </w:t>
      </w:r>
      <w:r w:rsidR="00A11901" w:rsidRPr="0095103F">
        <w:rPr>
          <w:rFonts w:asciiTheme="majorHAnsi" w:hAnsiTheme="majorHAnsi"/>
          <w:sz w:val="16"/>
          <w:szCs w:val="16"/>
          <w:lang w:val="es-ES_tradnl"/>
        </w:rPr>
        <w:t>Petición</w:t>
      </w:r>
      <w:r w:rsidRPr="0095103F">
        <w:rPr>
          <w:rFonts w:asciiTheme="majorHAnsi" w:hAnsiTheme="majorHAnsi"/>
          <w:sz w:val="16"/>
          <w:szCs w:val="16"/>
          <w:lang w:val="es-ES_tradnl"/>
        </w:rPr>
        <w:t xml:space="preserve"> 1164-05, Admisibilidad, William </w:t>
      </w:r>
      <w:proofErr w:type="spellStart"/>
      <w:r w:rsidRPr="0095103F">
        <w:rPr>
          <w:rFonts w:asciiTheme="majorHAnsi" w:hAnsiTheme="majorHAnsi"/>
          <w:sz w:val="16"/>
          <w:szCs w:val="16"/>
          <w:lang w:val="es-ES_tradnl"/>
        </w:rPr>
        <w:t>Gómez</w:t>
      </w:r>
      <w:proofErr w:type="spellEnd"/>
      <w:r w:rsidRPr="0095103F">
        <w:rPr>
          <w:rFonts w:asciiTheme="majorHAnsi" w:hAnsiTheme="majorHAnsi"/>
          <w:sz w:val="16"/>
          <w:szCs w:val="16"/>
          <w:lang w:val="es-ES_tradnl"/>
        </w:rPr>
        <w:t xml:space="preserve"> Vargas, Costa Rica, 31 de </w:t>
      </w:r>
      <w:proofErr w:type="gramStart"/>
      <w:r w:rsidRPr="0095103F">
        <w:rPr>
          <w:rFonts w:asciiTheme="majorHAnsi" w:hAnsiTheme="majorHAnsi"/>
          <w:sz w:val="16"/>
          <w:szCs w:val="16"/>
          <w:lang w:val="es-ES_tradnl"/>
        </w:rPr>
        <w:t>Marzo</w:t>
      </w:r>
      <w:proofErr w:type="gramEnd"/>
      <w:r w:rsidRPr="0095103F">
        <w:rPr>
          <w:rFonts w:asciiTheme="majorHAnsi" w:hAnsiTheme="majorHAnsi"/>
          <w:sz w:val="16"/>
          <w:szCs w:val="16"/>
          <w:lang w:val="es-ES_tradnl"/>
        </w:rPr>
        <w:t xml:space="preserve"> de 2011,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32, y CIDH, Informe No. 112/12, Caso 12.828, Fondo, Marcel Granier y otros, Venezuela.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128.</w:t>
      </w:r>
    </w:p>
  </w:footnote>
  <w:footnote w:id="15">
    <w:p w14:paraId="07BA5E05" w14:textId="77777777"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_tradnl"/>
        </w:rPr>
      </w:pPr>
      <w:r w:rsidRPr="0095103F">
        <w:rPr>
          <w:rStyle w:val="FootnoteReference"/>
          <w:rFonts w:asciiTheme="majorHAnsi" w:hAnsiTheme="majorHAnsi"/>
          <w:sz w:val="16"/>
          <w:szCs w:val="16"/>
          <w:lang w:val="es-ES_tradnl"/>
        </w:rPr>
        <w:footnoteRef/>
      </w:r>
      <w:r w:rsidRPr="0095103F">
        <w:rPr>
          <w:rFonts w:asciiTheme="majorHAnsi" w:hAnsiTheme="majorHAnsi"/>
          <w:sz w:val="16"/>
          <w:szCs w:val="16"/>
          <w:lang w:val="es-ES_tradnl"/>
        </w:rPr>
        <w:t xml:space="preserve"> CIDH, Informe No. 112/12, Caso 12.828, Fondo, Marcel Granier y otros, Venezuela.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128. </w:t>
      </w:r>
    </w:p>
  </w:footnote>
  <w:footnote w:id="16">
    <w:p w14:paraId="13B5A595" w14:textId="0509FA51"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_tradnl"/>
        </w:rPr>
      </w:pPr>
      <w:r w:rsidRPr="0095103F">
        <w:rPr>
          <w:rStyle w:val="FootnoteReference"/>
          <w:rFonts w:asciiTheme="majorHAnsi" w:hAnsiTheme="majorHAnsi"/>
          <w:sz w:val="16"/>
          <w:szCs w:val="16"/>
          <w:lang w:val="es-ES_tradnl"/>
        </w:rPr>
        <w:footnoteRef/>
      </w:r>
      <w:r w:rsidRPr="0095103F">
        <w:rPr>
          <w:rFonts w:asciiTheme="majorHAnsi" w:hAnsiTheme="majorHAnsi"/>
          <w:sz w:val="16"/>
          <w:szCs w:val="16"/>
          <w:lang w:val="es-ES_tradnl"/>
        </w:rPr>
        <w:t xml:space="preserve"> Corte IDH. </w:t>
      </w:r>
      <w:r w:rsidR="00A11901" w:rsidRPr="0095103F">
        <w:rPr>
          <w:rFonts w:asciiTheme="majorHAnsi" w:hAnsiTheme="majorHAnsi"/>
          <w:sz w:val="16"/>
          <w:szCs w:val="16"/>
          <w:lang w:val="es-ES_tradnl"/>
        </w:rPr>
        <w:t>Opinión</w:t>
      </w:r>
      <w:r w:rsidRPr="0095103F">
        <w:rPr>
          <w:rFonts w:asciiTheme="majorHAnsi" w:hAnsiTheme="majorHAnsi"/>
          <w:sz w:val="16"/>
          <w:szCs w:val="16"/>
          <w:lang w:val="es-ES_tradnl"/>
        </w:rPr>
        <w:t xml:space="preserve"> Consultiva 22/16. Titularidad de derechos de las personas </w:t>
      </w:r>
      <w:proofErr w:type="spellStart"/>
      <w:r w:rsidRPr="0095103F">
        <w:rPr>
          <w:rFonts w:asciiTheme="majorHAnsi" w:hAnsiTheme="majorHAnsi"/>
          <w:sz w:val="16"/>
          <w:szCs w:val="16"/>
          <w:lang w:val="es-ES_tradnl"/>
        </w:rPr>
        <w:t>jurídicas</w:t>
      </w:r>
      <w:proofErr w:type="spellEnd"/>
      <w:r w:rsidRPr="0095103F">
        <w:rPr>
          <w:rFonts w:asciiTheme="majorHAnsi" w:hAnsiTheme="majorHAnsi"/>
          <w:sz w:val="16"/>
          <w:szCs w:val="16"/>
          <w:lang w:val="es-ES_tradnl"/>
        </w:rPr>
        <w:t xml:space="preserve"> en el Sistema Interamericano de Derechos Humanos (</w:t>
      </w:r>
      <w:proofErr w:type="spellStart"/>
      <w:r w:rsidRPr="0095103F">
        <w:rPr>
          <w:rFonts w:asciiTheme="majorHAnsi" w:hAnsiTheme="majorHAnsi"/>
          <w:sz w:val="16"/>
          <w:szCs w:val="16"/>
          <w:lang w:val="es-ES_tradnl"/>
        </w:rPr>
        <w:t>interpretación</w:t>
      </w:r>
      <w:proofErr w:type="spellEnd"/>
      <w:r w:rsidRPr="0095103F">
        <w:rPr>
          <w:rFonts w:asciiTheme="majorHAnsi" w:hAnsiTheme="majorHAnsi"/>
          <w:sz w:val="16"/>
          <w:szCs w:val="16"/>
          <w:lang w:val="es-ES_tradnl"/>
        </w:rPr>
        <w:t xml:space="preserve"> y alcance del </w:t>
      </w:r>
      <w:proofErr w:type="spellStart"/>
      <w:r w:rsidRPr="0095103F">
        <w:rPr>
          <w:rFonts w:asciiTheme="majorHAnsi" w:hAnsiTheme="majorHAnsi"/>
          <w:sz w:val="16"/>
          <w:szCs w:val="16"/>
          <w:lang w:val="es-ES_tradnl"/>
        </w:rPr>
        <w:t>artículo</w:t>
      </w:r>
      <w:proofErr w:type="spellEnd"/>
      <w:r w:rsidRPr="0095103F">
        <w:rPr>
          <w:rFonts w:asciiTheme="majorHAnsi" w:hAnsiTheme="majorHAnsi"/>
          <w:sz w:val="16"/>
          <w:szCs w:val="16"/>
          <w:lang w:val="es-ES_tradnl"/>
        </w:rPr>
        <w:t xml:space="preserve"> 1.2, en </w:t>
      </w:r>
      <w:proofErr w:type="spellStart"/>
      <w:r w:rsidRPr="0095103F">
        <w:rPr>
          <w:rFonts w:asciiTheme="majorHAnsi" w:hAnsiTheme="majorHAnsi"/>
          <w:sz w:val="16"/>
          <w:szCs w:val="16"/>
          <w:lang w:val="es-ES_tradnl"/>
        </w:rPr>
        <w:t>relación</w:t>
      </w:r>
      <w:proofErr w:type="spellEnd"/>
      <w:r w:rsidRPr="0095103F">
        <w:rPr>
          <w:rFonts w:asciiTheme="majorHAnsi" w:hAnsiTheme="majorHAnsi"/>
          <w:sz w:val="16"/>
          <w:szCs w:val="16"/>
          <w:lang w:val="es-ES_tradnl"/>
        </w:rPr>
        <w:t xml:space="preserve"> con los </w:t>
      </w:r>
      <w:proofErr w:type="spellStart"/>
      <w:r w:rsidRPr="0095103F">
        <w:rPr>
          <w:rFonts w:asciiTheme="majorHAnsi" w:hAnsiTheme="majorHAnsi"/>
          <w:sz w:val="16"/>
          <w:szCs w:val="16"/>
          <w:lang w:val="es-ES_tradnl"/>
        </w:rPr>
        <w:t>artículos</w:t>
      </w:r>
      <w:proofErr w:type="spellEnd"/>
      <w:r w:rsidRPr="0095103F">
        <w:rPr>
          <w:rFonts w:asciiTheme="majorHAnsi" w:hAnsiTheme="majorHAnsi"/>
          <w:sz w:val="16"/>
          <w:szCs w:val="16"/>
          <w:lang w:val="es-ES_tradnl"/>
        </w:rPr>
        <w:t xml:space="preserve"> 1.1, 8, 11.2, 13, 16, 21, 24, 25, 29, 30, 44, 46 y 62.3 de la </w:t>
      </w:r>
      <w:proofErr w:type="spellStart"/>
      <w:r w:rsidRPr="0095103F">
        <w:rPr>
          <w:rFonts w:asciiTheme="majorHAnsi" w:hAnsiTheme="majorHAnsi"/>
          <w:sz w:val="16"/>
          <w:szCs w:val="16"/>
          <w:lang w:val="es-ES_tradnl"/>
        </w:rPr>
        <w:t>Convención</w:t>
      </w:r>
      <w:proofErr w:type="spellEnd"/>
      <w:r w:rsidRPr="0095103F">
        <w:rPr>
          <w:rFonts w:asciiTheme="majorHAnsi" w:hAnsiTheme="majorHAnsi"/>
          <w:sz w:val="16"/>
          <w:szCs w:val="16"/>
          <w:lang w:val="es-ES_tradnl"/>
        </w:rPr>
        <w:t xml:space="preserve"> </w:t>
      </w:r>
      <w:proofErr w:type="gramStart"/>
      <w:r w:rsidRPr="0095103F">
        <w:rPr>
          <w:rFonts w:asciiTheme="majorHAnsi" w:hAnsiTheme="majorHAnsi"/>
          <w:sz w:val="16"/>
          <w:szCs w:val="16"/>
          <w:lang w:val="es-ES_tradnl"/>
        </w:rPr>
        <w:t>Americana</w:t>
      </w:r>
      <w:proofErr w:type="gramEnd"/>
      <w:r w:rsidRPr="0095103F">
        <w:rPr>
          <w:rFonts w:asciiTheme="majorHAnsi" w:hAnsiTheme="majorHAnsi"/>
          <w:sz w:val="16"/>
          <w:szCs w:val="16"/>
          <w:lang w:val="es-ES_tradnl"/>
        </w:rPr>
        <w:t xml:space="preserve"> sobre Derechos Humanos, </w:t>
      </w:r>
      <w:proofErr w:type="spellStart"/>
      <w:r w:rsidRPr="0095103F">
        <w:rPr>
          <w:rFonts w:asciiTheme="majorHAnsi" w:hAnsiTheme="majorHAnsi"/>
          <w:sz w:val="16"/>
          <w:szCs w:val="16"/>
          <w:lang w:val="es-ES_tradnl"/>
        </w:rPr>
        <w:t>asi</w:t>
      </w:r>
      <w:proofErr w:type="spellEnd"/>
      <w:r w:rsidRPr="0095103F">
        <w:rPr>
          <w:rFonts w:asciiTheme="majorHAnsi" w:hAnsiTheme="majorHAnsi"/>
          <w:sz w:val="16"/>
          <w:szCs w:val="16"/>
          <w:lang w:val="es-ES_tradnl"/>
        </w:rPr>
        <w:t xml:space="preserve">́ como del </w:t>
      </w:r>
      <w:proofErr w:type="spellStart"/>
      <w:r w:rsidRPr="0095103F">
        <w:rPr>
          <w:rFonts w:asciiTheme="majorHAnsi" w:hAnsiTheme="majorHAnsi"/>
          <w:sz w:val="16"/>
          <w:szCs w:val="16"/>
          <w:lang w:val="es-ES_tradnl"/>
        </w:rPr>
        <w:t>artículo</w:t>
      </w:r>
      <w:proofErr w:type="spellEnd"/>
      <w:r w:rsidRPr="0095103F">
        <w:rPr>
          <w:rFonts w:asciiTheme="majorHAnsi" w:hAnsiTheme="majorHAnsi"/>
          <w:sz w:val="16"/>
          <w:szCs w:val="16"/>
          <w:lang w:val="es-ES_tradnl"/>
        </w:rPr>
        <w:t xml:space="preserve"> 8.1.a y b del Protocolo de San Salvador). 22 de febrero de 2016.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111. En similar sentido, CIDH. Informe No. 72/11, </w:t>
      </w:r>
      <w:proofErr w:type="spellStart"/>
      <w:r w:rsidRPr="0095103F">
        <w:rPr>
          <w:rFonts w:asciiTheme="majorHAnsi" w:hAnsiTheme="majorHAnsi"/>
          <w:sz w:val="16"/>
          <w:szCs w:val="16"/>
          <w:lang w:val="es-ES_tradnl"/>
        </w:rPr>
        <w:t>Petición</w:t>
      </w:r>
      <w:proofErr w:type="spellEnd"/>
      <w:r w:rsidRPr="0095103F">
        <w:rPr>
          <w:rFonts w:asciiTheme="majorHAnsi" w:hAnsiTheme="majorHAnsi"/>
          <w:sz w:val="16"/>
          <w:szCs w:val="16"/>
          <w:lang w:val="es-ES_tradnl"/>
        </w:rPr>
        <w:t xml:space="preserve"> 1164-05, Admisibilidad, William </w:t>
      </w:r>
      <w:proofErr w:type="spellStart"/>
      <w:r w:rsidRPr="0095103F">
        <w:rPr>
          <w:rFonts w:asciiTheme="majorHAnsi" w:hAnsiTheme="majorHAnsi"/>
          <w:sz w:val="16"/>
          <w:szCs w:val="16"/>
          <w:lang w:val="es-ES_tradnl"/>
        </w:rPr>
        <w:t>Gómez</w:t>
      </w:r>
      <w:proofErr w:type="spellEnd"/>
      <w:r w:rsidRPr="0095103F">
        <w:rPr>
          <w:rFonts w:asciiTheme="majorHAnsi" w:hAnsiTheme="majorHAnsi"/>
          <w:sz w:val="16"/>
          <w:szCs w:val="16"/>
          <w:lang w:val="es-ES_tradnl"/>
        </w:rPr>
        <w:t xml:space="preserve"> Vargas, Costa Rica, 31 de </w:t>
      </w:r>
      <w:proofErr w:type="gramStart"/>
      <w:r w:rsidRPr="0095103F">
        <w:rPr>
          <w:rFonts w:asciiTheme="majorHAnsi" w:hAnsiTheme="majorHAnsi"/>
          <w:sz w:val="16"/>
          <w:szCs w:val="16"/>
          <w:lang w:val="es-ES_tradnl"/>
        </w:rPr>
        <w:t>Marzo</w:t>
      </w:r>
      <w:proofErr w:type="gramEnd"/>
      <w:r w:rsidRPr="0095103F">
        <w:rPr>
          <w:rFonts w:asciiTheme="majorHAnsi" w:hAnsiTheme="majorHAnsi"/>
          <w:sz w:val="16"/>
          <w:szCs w:val="16"/>
          <w:lang w:val="es-ES_tradnl"/>
        </w:rPr>
        <w:t xml:space="preserve"> de 2011,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32. </w:t>
      </w:r>
    </w:p>
  </w:footnote>
  <w:footnote w:id="17">
    <w:p w14:paraId="3A9E0EB6" w14:textId="77777777"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_tradnl"/>
        </w:rPr>
      </w:pPr>
      <w:r w:rsidRPr="0095103F">
        <w:rPr>
          <w:rStyle w:val="FootnoteReference"/>
          <w:rFonts w:asciiTheme="majorHAnsi" w:hAnsiTheme="majorHAnsi"/>
          <w:sz w:val="16"/>
          <w:szCs w:val="16"/>
          <w:lang w:val="es-ES_tradnl"/>
        </w:rPr>
        <w:footnoteRef/>
      </w:r>
      <w:r w:rsidRPr="0095103F">
        <w:rPr>
          <w:rFonts w:asciiTheme="majorHAnsi" w:hAnsiTheme="majorHAnsi"/>
          <w:sz w:val="16"/>
          <w:szCs w:val="16"/>
          <w:lang w:val="es-ES_tradnl"/>
        </w:rPr>
        <w:t xml:space="preserve"> Corte IDH. </w:t>
      </w:r>
      <w:proofErr w:type="spellStart"/>
      <w:r w:rsidRPr="0095103F">
        <w:rPr>
          <w:rFonts w:asciiTheme="majorHAnsi" w:hAnsiTheme="majorHAnsi"/>
          <w:sz w:val="16"/>
          <w:szCs w:val="16"/>
          <w:lang w:val="es-ES_tradnl"/>
        </w:rPr>
        <w:t>Opinión</w:t>
      </w:r>
      <w:proofErr w:type="spellEnd"/>
      <w:r w:rsidRPr="0095103F">
        <w:rPr>
          <w:rFonts w:asciiTheme="majorHAnsi" w:hAnsiTheme="majorHAnsi"/>
          <w:sz w:val="16"/>
          <w:szCs w:val="16"/>
          <w:lang w:val="es-ES_tradnl"/>
        </w:rPr>
        <w:t xml:space="preserve"> Consultiva 22/16. Titularidad de derechos de las personas </w:t>
      </w:r>
      <w:proofErr w:type="spellStart"/>
      <w:r w:rsidRPr="0095103F">
        <w:rPr>
          <w:rFonts w:asciiTheme="majorHAnsi" w:hAnsiTheme="majorHAnsi"/>
          <w:sz w:val="16"/>
          <w:szCs w:val="16"/>
          <w:lang w:val="es-ES_tradnl"/>
        </w:rPr>
        <w:t>jurídicas</w:t>
      </w:r>
      <w:proofErr w:type="spellEnd"/>
      <w:r w:rsidRPr="0095103F">
        <w:rPr>
          <w:rFonts w:asciiTheme="majorHAnsi" w:hAnsiTheme="majorHAnsi"/>
          <w:sz w:val="16"/>
          <w:szCs w:val="16"/>
          <w:lang w:val="es-ES_tradnl"/>
        </w:rPr>
        <w:t xml:space="preserve"> en el Sistema Interamericano de Derechos Humanos (</w:t>
      </w:r>
      <w:proofErr w:type="spellStart"/>
      <w:r w:rsidRPr="0095103F">
        <w:rPr>
          <w:rFonts w:asciiTheme="majorHAnsi" w:hAnsiTheme="majorHAnsi"/>
          <w:sz w:val="16"/>
          <w:szCs w:val="16"/>
          <w:lang w:val="es-ES_tradnl"/>
        </w:rPr>
        <w:t>interpretación</w:t>
      </w:r>
      <w:proofErr w:type="spellEnd"/>
      <w:r w:rsidRPr="0095103F">
        <w:rPr>
          <w:rFonts w:asciiTheme="majorHAnsi" w:hAnsiTheme="majorHAnsi"/>
          <w:sz w:val="16"/>
          <w:szCs w:val="16"/>
          <w:lang w:val="es-ES_tradnl"/>
        </w:rPr>
        <w:t xml:space="preserve"> y alcance del </w:t>
      </w:r>
      <w:proofErr w:type="spellStart"/>
      <w:r w:rsidRPr="0095103F">
        <w:rPr>
          <w:rFonts w:asciiTheme="majorHAnsi" w:hAnsiTheme="majorHAnsi"/>
          <w:sz w:val="16"/>
          <w:szCs w:val="16"/>
          <w:lang w:val="es-ES_tradnl"/>
        </w:rPr>
        <w:t>artículo</w:t>
      </w:r>
      <w:proofErr w:type="spellEnd"/>
      <w:r w:rsidRPr="0095103F">
        <w:rPr>
          <w:rFonts w:asciiTheme="majorHAnsi" w:hAnsiTheme="majorHAnsi"/>
          <w:sz w:val="16"/>
          <w:szCs w:val="16"/>
          <w:lang w:val="es-ES_tradnl"/>
        </w:rPr>
        <w:t xml:space="preserve"> 1.2, en </w:t>
      </w:r>
      <w:proofErr w:type="spellStart"/>
      <w:r w:rsidRPr="0095103F">
        <w:rPr>
          <w:rFonts w:asciiTheme="majorHAnsi" w:hAnsiTheme="majorHAnsi"/>
          <w:sz w:val="16"/>
          <w:szCs w:val="16"/>
          <w:lang w:val="es-ES_tradnl"/>
        </w:rPr>
        <w:t>relación</w:t>
      </w:r>
      <w:proofErr w:type="spellEnd"/>
      <w:r w:rsidRPr="0095103F">
        <w:rPr>
          <w:rFonts w:asciiTheme="majorHAnsi" w:hAnsiTheme="majorHAnsi"/>
          <w:sz w:val="16"/>
          <w:szCs w:val="16"/>
          <w:lang w:val="es-ES_tradnl"/>
        </w:rPr>
        <w:t xml:space="preserve"> con los </w:t>
      </w:r>
      <w:proofErr w:type="spellStart"/>
      <w:r w:rsidRPr="0095103F">
        <w:rPr>
          <w:rFonts w:asciiTheme="majorHAnsi" w:hAnsiTheme="majorHAnsi"/>
          <w:sz w:val="16"/>
          <w:szCs w:val="16"/>
          <w:lang w:val="es-ES_tradnl"/>
        </w:rPr>
        <w:t>artículos</w:t>
      </w:r>
      <w:proofErr w:type="spellEnd"/>
      <w:r w:rsidRPr="0095103F">
        <w:rPr>
          <w:rFonts w:asciiTheme="majorHAnsi" w:hAnsiTheme="majorHAnsi"/>
          <w:sz w:val="16"/>
          <w:szCs w:val="16"/>
          <w:lang w:val="es-ES_tradnl"/>
        </w:rPr>
        <w:t xml:space="preserve"> 1.1, 8, 11.2, 13, 16, 21, 24, 25, 29, 30, 44, 46 y 62.3 de la </w:t>
      </w:r>
      <w:proofErr w:type="spellStart"/>
      <w:r w:rsidRPr="0095103F">
        <w:rPr>
          <w:rFonts w:asciiTheme="majorHAnsi" w:hAnsiTheme="majorHAnsi"/>
          <w:sz w:val="16"/>
          <w:szCs w:val="16"/>
          <w:lang w:val="es-ES_tradnl"/>
        </w:rPr>
        <w:t>Convención</w:t>
      </w:r>
      <w:proofErr w:type="spellEnd"/>
      <w:r w:rsidRPr="0095103F">
        <w:rPr>
          <w:rFonts w:asciiTheme="majorHAnsi" w:hAnsiTheme="majorHAnsi"/>
          <w:sz w:val="16"/>
          <w:szCs w:val="16"/>
          <w:lang w:val="es-ES_tradnl"/>
        </w:rPr>
        <w:t xml:space="preserve"> </w:t>
      </w:r>
      <w:proofErr w:type="gramStart"/>
      <w:r w:rsidRPr="0095103F">
        <w:rPr>
          <w:rFonts w:asciiTheme="majorHAnsi" w:hAnsiTheme="majorHAnsi"/>
          <w:sz w:val="16"/>
          <w:szCs w:val="16"/>
          <w:lang w:val="es-ES_tradnl"/>
        </w:rPr>
        <w:t>Americana</w:t>
      </w:r>
      <w:proofErr w:type="gramEnd"/>
      <w:r w:rsidRPr="0095103F">
        <w:rPr>
          <w:rFonts w:asciiTheme="majorHAnsi" w:hAnsiTheme="majorHAnsi"/>
          <w:sz w:val="16"/>
          <w:szCs w:val="16"/>
          <w:lang w:val="es-ES_tradnl"/>
        </w:rPr>
        <w:t xml:space="preserve"> sobre Derechos Humanos, </w:t>
      </w:r>
      <w:proofErr w:type="spellStart"/>
      <w:r w:rsidRPr="0095103F">
        <w:rPr>
          <w:rFonts w:asciiTheme="majorHAnsi" w:hAnsiTheme="majorHAnsi"/>
          <w:sz w:val="16"/>
          <w:szCs w:val="16"/>
          <w:lang w:val="es-ES_tradnl"/>
        </w:rPr>
        <w:t>asi</w:t>
      </w:r>
      <w:proofErr w:type="spellEnd"/>
      <w:r w:rsidRPr="0095103F">
        <w:rPr>
          <w:rFonts w:asciiTheme="majorHAnsi" w:hAnsiTheme="majorHAnsi"/>
          <w:sz w:val="16"/>
          <w:szCs w:val="16"/>
          <w:lang w:val="es-ES_tradnl"/>
        </w:rPr>
        <w:t xml:space="preserve">́ como del </w:t>
      </w:r>
      <w:proofErr w:type="spellStart"/>
      <w:r w:rsidRPr="0095103F">
        <w:rPr>
          <w:rFonts w:asciiTheme="majorHAnsi" w:hAnsiTheme="majorHAnsi"/>
          <w:sz w:val="16"/>
          <w:szCs w:val="16"/>
          <w:lang w:val="es-ES_tradnl"/>
        </w:rPr>
        <w:t>artículo</w:t>
      </w:r>
      <w:proofErr w:type="spellEnd"/>
      <w:r w:rsidRPr="0095103F">
        <w:rPr>
          <w:rFonts w:asciiTheme="majorHAnsi" w:hAnsiTheme="majorHAnsi"/>
          <w:sz w:val="16"/>
          <w:szCs w:val="16"/>
          <w:lang w:val="es-ES_tradnl"/>
        </w:rPr>
        <w:t xml:space="preserve"> 8.1.a y b del Protocolo de San Salvador). 22 de febrero de 2016.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117.</w:t>
      </w:r>
    </w:p>
  </w:footnote>
  <w:footnote w:id="18">
    <w:p w14:paraId="5CA71DD4" w14:textId="77777777" w:rsidR="0097571F" w:rsidRPr="0095103F" w:rsidRDefault="0097571F" w:rsidP="0095103F">
      <w:pPr>
        <w:pStyle w:val="NormalWeb"/>
        <w:spacing w:before="0" w:beforeAutospacing="0" w:after="0" w:afterAutospacing="0"/>
        <w:ind w:firstLine="720"/>
        <w:jc w:val="both"/>
        <w:rPr>
          <w:rFonts w:asciiTheme="majorHAnsi" w:hAnsiTheme="majorHAnsi"/>
          <w:sz w:val="16"/>
          <w:szCs w:val="16"/>
          <w:lang w:val="es-ES_tradnl"/>
        </w:rPr>
      </w:pPr>
      <w:r w:rsidRPr="0095103F">
        <w:rPr>
          <w:rStyle w:val="FootnoteReference"/>
          <w:rFonts w:asciiTheme="majorHAnsi" w:hAnsiTheme="majorHAnsi"/>
          <w:sz w:val="16"/>
          <w:szCs w:val="16"/>
          <w:lang w:val="es-ES_tradnl"/>
        </w:rPr>
        <w:footnoteRef/>
      </w:r>
      <w:r w:rsidRPr="0095103F">
        <w:rPr>
          <w:rFonts w:asciiTheme="majorHAnsi" w:hAnsiTheme="majorHAnsi"/>
          <w:sz w:val="16"/>
          <w:szCs w:val="16"/>
          <w:lang w:val="es-ES_tradnl"/>
        </w:rPr>
        <w:t xml:space="preserve"> CIDH, Informe No. 112/12, Caso 12.828, Fondo, Marcel Granier y otros, Venezuela. </w:t>
      </w:r>
      <w:proofErr w:type="spellStart"/>
      <w:r w:rsidRPr="0095103F">
        <w:rPr>
          <w:rFonts w:asciiTheme="majorHAnsi" w:hAnsiTheme="majorHAnsi"/>
          <w:sz w:val="16"/>
          <w:szCs w:val="16"/>
          <w:lang w:val="es-ES_tradnl"/>
        </w:rPr>
        <w:t>Párr</w:t>
      </w:r>
      <w:proofErr w:type="spellEnd"/>
      <w:r w:rsidRPr="0095103F">
        <w:rPr>
          <w:rFonts w:asciiTheme="majorHAnsi" w:hAnsiTheme="majorHAnsi"/>
          <w:sz w:val="16"/>
          <w:szCs w:val="16"/>
          <w:lang w:val="es-ES_tradnl"/>
        </w:rPr>
        <w:t xml:space="preserve">. 128. </w:t>
      </w:r>
    </w:p>
  </w:footnote>
  <w:footnote w:id="19">
    <w:p w14:paraId="12303352" w14:textId="77777777" w:rsidR="0097571F" w:rsidRPr="0095103F" w:rsidRDefault="0097571F" w:rsidP="0095103F">
      <w:pPr>
        <w:ind w:firstLine="720"/>
        <w:jc w:val="both"/>
        <w:rPr>
          <w:rFonts w:asciiTheme="majorHAnsi" w:eastAsia="Times New Roman" w:hAnsiTheme="majorHAnsi"/>
          <w:sz w:val="16"/>
          <w:szCs w:val="16"/>
          <w:bdr w:val="none" w:sz="0" w:space="0" w:color="auto"/>
          <w:lang w:val="es-ES_tradnl"/>
        </w:rPr>
      </w:pPr>
      <w:r w:rsidRPr="0095103F">
        <w:rPr>
          <w:rStyle w:val="FootnoteReference"/>
          <w:rFonts w:asciiTheme="majorHAnsi" w:hAnsiTheme="majorHAnsi"/>
          <w:sz w:val="16"/>
          <w:szCs w:val="16"/>
          <w:lang w:val="es-ES_tradnl"/>
        </w:rPr>
        <w:footnoteRef/>
      </w:r>
      <w:r w:rsidRPr="0095103F">
        <w:rPr>
          <w:rFonts w:asciiTheme="majorHAnsi" w:hAnsiTheme="majorHAnsi"/>
          <w:sz w:val="16"/>
          <w:szCs w:val="16"/>
          <w:lang w:val="es-ES_tradnl"/>
        </w:rPr>
        <w:t xml:space="preserve"> </w:t>
      </w:r>
      <w:r w:rsidRPr="0095103F">
        <w:rPr>
          <w:rFonts w:asciiTheme="majorHAnsi" w:eastAsia="Times New Roman" w:hAnsiTheme="majorHAnsi"/>
          <w:sz w:val="16"/>
          <w:szCs w:val="16"/>
          <w:bdr w:val="none" w:sz="0" w:space="0" w:color="auto"/>
          <w:lang w:val="es-ES_tradnl"/>
        </w:rPr>
        <w:t xml:space="preserve">Corte IDH. Caso Granier y otros (Radio Caracas </w:t>
      </w:r>
      <w:proofErr w:type="spellStart"/>
      <w:r w:rsidRPr="0095103F">
        <w:rPr>
          <w:rFonts w:asciiTheme="majorHAnsi" w:eastAsia="Times New Roman" w:hAnsiTheme="majorHAnsi"/>
          <w:sz w:val="16"/>
          <w:szCs w:val="16"/>
          <w:bdr w:val="none" w:sz="0" w:space="0" w:color="auto"/>
          <w:lang w:val="es-ES_tradnl"/>
        </w:rPr>
        <w:t>Televisión</w:t>
      </w:r>
      <w:proofErr w:type="spellEnd"/>
      <w:r w:rsidRPr="0095103F">
        <w:rPr>
          <w:rFonts w:asciiTheme="majorHAnsi" w:eastAsia="Times New Roman" w:hAnsiTheme="majorHAnsi"/>
          <w:sz w:val="16"/>
          <w:szCs w:val="16"/>
          <w:bdr w:val="none" w:sz="0" w:space="0" w:color="auto"/>
          <w:lang w:val="es-ES_tradnl"/>
        </w:rPr>
        <w:t xml:space="preserve">) Vs. Venezuela. Excepciones Preliminares, Fondo, Reparaciones y </w:t>
      </w:r>
    </w:p>
    <w:p w14:paraId="5E2D9A71" w14:textId="77777777" w:rsidR="0097571F" w:rsidRPr="0095103F" w:rsidRDefault="0097571F" w:rsidP="009510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16"/>
          <w:szCs w:val="16"/>
          <w:bdr w:val="none" w:sz="0" w:space="0" w:color="auto"/>
          <w:lang w:val="es-ES"/>
        </w:rPr>
      </w:pPr>
      <w:r w:rsidRPr="0095103F">
        <w:rPr>
          <w:rFonts w:asciiTheme="majorHAnsi" w:eastAsia="Times New Roman" w:hAnsiTheme="majorHAnsi"/>
          <w:sz w:val="16"/>
          <w:szCs w:val="16"/>
          <w:bdr w:val="none" w:sz="0" w:space="0" w:color="auto"/>
          <w:lang w:val="es-ES_tradnl"/>
        </w:rPr>
        <w:t xml:space="preserve">Costas. Sentencia de 22 de junio de 2015. Serie C No. 293. </w:t>
      </w:r>
      <w:proofErr w:type="spellStart"/>
      <w:r w:rsidRPr="0095103F">
        <w:rPr>
          <w:rFonts w:asciiTheme="majorHAnsi" w:eastAsia="Times New Roman" w:hAnsiTheme="majorHAnsi"/>
          <w:sz w:val="16"/>
          <w:szCs w:val="16"/>
          <w:bdr w:val="none" w:sz="0" w:space="0" w:color="auto"/>
          <w:lang w:val="es-ES_tradnl"/>
        </w:rPr>
        <w:t>Parr</w:t>
      </w:r>
      <w:proofErr w:type="spellEnd"/>
      <w:r w:rsidRPr="0095103F">
        <w:rPr>
          <w:rFonts w:asciiTheme="majorHAnsi" w:eastAsia="Times New Roman" w:hAnsiTheme="majorHAnsi"/>
          <w:sz w:val="16"/>
          <w:szCs w:val="16"/>
          <w:bdr w:val="none" w:sz="0" w:space="0" w:color="auto"/>
          <w:lang w:val="es-ES_tradnl"/>
        </w:rPr>
        <w:t xml:space="preserve">. 151, y CIDH. Informe No. 72/11, Petición 1164-05, Admisibilidad, </w:t>
      </w:r>
      <w:proofErr w:type="spellStart"/>
      <w:r w:rsidRPr="0095103F">
        <w:rPr>
          <w:rFonts w:asciiTheme="majorHAnsi" w:eastAsia="Times New Roman" w:hAnsiTheme="majorHAnsi"/>
          <w:sz w:val="16"/>
          <w:szCs w:val="16"/>
          <w:bdr w:val="none" w:sz="0" w:space="0" w:color="auto"/>
          <w:lang w:val="es-ES_tradnl"/>
        </w:rPr>
        <w:t>Gómez</w:t>
      </w:r>
      <w:proofErr w:type="spellEnd"/>
      <w:r w:rsidRPr="0095103F">
        <w:rPr>
          <w:rFonts w:asciiTheme="majorHAnsi" w:eastAsia="Times New Roman" w:hAnsiTheme="majorHAnsi"/>
          <w:sz w:val="16"/>
          <w:szCs w:val="16"/>
          <w:bdr w:val="none" w:sz="0" w:space="0" w:color="auto"/>
          <w:lang w:val="es-ES_tradnl"/>
        </w:rPr>
        <w:t xml:space="preserve"> Vargas, Costa Rica, 31 de </w:t>
      </w:r>
      <w:proofErr w:type="gramStart"/>
      <w:r w:rsidRPr="0095103F">
        <w:rPr>
          <w:rFonts w:asciiTheme="majorHAnsi" w:eastAsia="Times New Roman" w:hAnsiTheme="majorHAnsi"/>
          <w:sz w:val="16"/>
          <w:szCs w:val="16"/>
          <w:bdr w:val="none" w:sz="0" w:space="0" w:color="auto"/>
          <w:lang w:val="es-ES_tradnl"/>
        </w:rPr>
        <w:t>Marzo</w:t>
      </w:r>
      <w:proofErr w:type="gramEnd"/>
      <w:r w:rsidRPr="0095103F">
        <w:rPr>
          <w:rFonts w:asciiTheme="majorHAnsi" w:eastAsia="Times New Roman" w:hAnsiTheme="majorHAnsi"/>
          <w:sz w:val="16"/>
          <w:szCs w:val="16"/>
          <w:bdr w:val="none" w:sz="0" w:space="0" w:color="auto"/>
          <w:lang w:val="es-ES_tradnl"/>
        </w:rPr>
        <w:t xml:space="preserve"> de 2011, </w:t>
      </w:r>
      <w:proofErr w:type="spellStart"/>
      <w:r w:rsidRPr="0095103F">
        <w:rPr>
          <w:rFonts w:asciiTheme="majorHAnsi" w:eastAsia="Times New Roman" w:hAnsiTheme="majorHAnsi"/>
          <w:sz w:val="16"/>
          <w:szCs w:val="16"/>
          <w:bdr w:val="none" w:sz="0" w:space="0" w:color="auto"/>
          <w:lang w:val="es-ES_tradnl"/>
        </w:rPr>
        <w:t>Párr</w:t>
      </w:r>
      <w:proofErr w:type="spellEnd"/>
      <w:r w:rsidRPr="0095103F">
        <w:rPr>
          <w:rFonts w:asciiTheme="majorHAnsi" w:eastAsia="Times New Roman" w:hAnsiTheme="majorHAnsi"/>
          <w:sz w:val="16"/>
          <w:szCs w:val="16"/>
          <w:bdr w:val="none" w:sz="0" w:space="0" w:color="auto"/>
          <w:lang w:val="es-ES_tradnl"/>
        </w:rPr>
        <w:t>. 32.</w:t>
      </w:r>
      <w:r w:rsidRPr="0095103F">
        <w:rPr>
          <w:rFonts w:asciiTheme="majorHAnsi" w:eastAsia="Times New Roman" w:hAnsiTheme="majorHAnsi"/>
          <w:sz w:val="16"/>
          <w:szCs w:val="16"/>
          <w:bdr w:val="none" w:sz="0" w:space="0" w:color="auto"/>
          <w:lang w:val="es-ES"/>
        </w:rPr>
        <w:t xml:space="preserve"> </w:t>
      </w:r>
    </w:p>
  </w:footnote>
  <w:footnote w:id="20">
    <w:p w14:paraId="295C8F30" w14:textId="77777777" w:rsidR="008C2261" w:rsidRPr="0095103F" w:rsidRDefault="008C2261" w:rsidP="0095103F">
      <w:pPr>
        <w:pStyle w:val="FootnoteText"/>
        <w:ind w:firstLine="720"/>
        <w:jc w:val="both"/>
        <w:rPr>
          <w:rFonts w:asciiTheme="majorHAnsi" w:hAnsiTheme="majorHAnsi"/>
          <w:sz w:val="16"/>
          <w:szCs w:val="16"/>
          <w:lang w:val="es-U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w:t>
      </w:r>
      <w:r w:rsidRPr="0095103F">
        <w:rPr>
          <w:rFonts w:asciiTheme="majorHAnsi" w:hAnsiTheme="majorHAnsi"/>
          <w:sz w:val="16"/>
          <w:szCs w:val="16"/>
          <w:lang w:val="es-US"/>
        </w:rPr>
        <w:t xml:space="preserve">CIDH. Informe No. 72/11, </w:t>
      </w:r>
      <w:proofErr w:type="spellStart"/>
      <w:r w:rsidRPr="0095103F">
        <w:rPr>
          <w:rFonts w:asciiTheme="majorHAnsi" w:hAnsiTheme="majorHAnsi"/>
          <w:sz w:val="16"/>
          <w:szCs w:val="16"/>
          <w:lang w:val="es-US"/>
        </w:rPr>
        <w:t>Petición</w:t>
      </w:r>
      <w:proofErr w:type="spellEnd"/>
      <w:r w:rsidRPr="0095103F">
        <w:rPr>
          <w:rFonts w:asciiTheme="majorHAnsi" w:hAnsiTheme="majorHAnsi"/>
          <w:sz w:val="16"/>
          <w:szCs w:val="16"/>
          <w:lang w:val="es-US"/>
        </w:rPr>
        <w:t xml:space="preserve"> 1164-05, Admisibilidad, William </w:t>
      </w:r>
      <w:proofErr w:type="spellStart"/>
      <w:r w:rsidRPr="0095103F">
        <w:rPr>
          <w:rFonts w:asciiTheme="majorHAnsi" w:hAnsiTheme="majorHAnsi"/>
          <w:sz w:val="16"/>
          <w:szCs w:val="16"/>
          <w:lang w:val="es-US"/>
        </w:rPr>
        <w:t>Gómez</w:t>
      </w:r>
      <w:proofErr w:type="spellEnd"/>
      <w:r w:rsidRPr="0095103F">
        <w:rPr>
          <w:rFonts w:asciiTheme="majorHAnsi" w:hAnsiTheme="majorHAnsi"/>
          <w:sz w:val="16"/>
          <w:szCs w:val="16"/>
          <w:lang w:val="es-US"/>
        </w:rPr>
        <w:t xml:space="preserve"> Vargas, Costa Rica, 31 de marzo de 2011. </w:t>
      </w:r>
    </w:p>
  </w:footnote>
  <w:footnote w:id="21">
    <w:p w14:paraId="667DF24C" w14:textId="52368881" w:rsidR="008C2261" w:rsidRPr="0095103F" w:rsidRDefault="008C2261" w:rsidP="0095103F">
      <w:pPr>
        <w:pStyle w:val="NormalWeb"/>
        <w:spacing w:before="0" w:beforeAutospacing="0" w:after="0" w:afterAutospacing="0"/>
        <w:ind w:firstLine="720"/>
        <w:jc w:val="both"/>
        <w:rPr>
          <w:rFonts w:asciiTheme="majorHAnsi" w:hAnsiTheme="majorHAnsi"/>
          <w:sz w:val="16"/>
          <w:szCs w:val="16"/>
          <w:lang w:val="es-U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134. </w:t>
      </w:r>
    </w:p>
  </w:footnote>
  <w:footnote w:id="22">
    <w:p w14:paraId="08C53BFC" w14:textId="77777777" w:rsidR="008C2261" w:rsidRPr="0095103F" w:rsidRDefault="008C2261" w:rsidP="0095103F">
      <w:pPr>
        <w:pStyle w:val="FootnoteText"/>
        <w:ind w:firstLine="720"/>
        <w:jc w:val="both"/>
        <w:rPr>
          <w:rFonts w:asciiTheme="majorHAnsi" w:hAnsiTheme="majorHAnsi"/>
          <w:sz w:val="16"/>
          <w:szCs w:val="16"/>
          <w:lang w:val="es-U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w:t>
      </w:r>
      <w:r w:rsidRPr="0095103F">
        <w:rPr>
          <w:rFonts w:asciiTheme="majorHAnsi" w:hAnsiTheme="majorHAnsi"/>
          <w:sz w:val="16"/>
          <w:szCs w:val="16"/>
          <w:lang w:val="es-US"/>
        </w:rPr>
        <w:t xml:space="preserve">Corte IDH. </w:t>
      </w:r>
      <w:proofErr w:type="spellStart"/>
      <w:r w:rsidRPr="0095103F">
        <w:rPr>
          <w:rFonts w:asciiTheme="majorHAnsi" w:hAnsiTheme="majorHAnsi"/>
          <w:sz w:val="16"/>
          <w:szCs w:val="16"/>
          <w:lang w:val="es-US"/>
        </w:rPr>
        <w:t>Opinión</w:t>
      </w:r>
      <w:proofErr w:type="spellEnd"/>
      <w:r w:rsidRPr="0095103F">
        <w:rPr>
          <w:rFonts w:asciiTheme="majorHAnsi" w:hAnsiTheme="majorHAnsi"/>
          <w:sz w:val="16"/>
          <w:szCs w:val="16"/>
          <w:lang w:val="es-US"/>
        </w:rPr>
        <w:t xml:space="preserve"> Consultiva 22/16. Titularidad de derechos de las personas </w:t>
      </w:r>
      <w:proofErr w:type="spellStart"/>
      <w:r w:rsidRPr="0095103F">
        <w:rPr>
          <w:rFonts w:asciiTheme="majorHAnsi" w:hAnsiTheme="majorHAnsi"/>
          <w:sz w:val="16"/>
          <w:szCs w:val="16"/>
          <w:lang w:val="es-US"/>
        </w:rPr>
        <w:t>jurídicas</w:t>
      </w:r>
      <w:proofErr w:type="spellEnd"/>
      <w:r w:rsidRPr="0095103F">
        <w:rPr>
          <w:rFonts w:asciiTheme="majorHAnsi" w:hAnsiTheme="majorHAnsi"/>
          <w:sz w:val="16"/>
          <w:szCs w:val="16"/>
          <w:lang w:val="es-US"/>
        </w:rPr>
        <w:t xml:space="preserve"> en el Sistema Interamericano de Derechos Humanos (</w:t>
      </w:r>
      <w:proofErr w:type="spellStart"/>
      <w:r w:rsidRPr="0095103F">
        <w:rPr>
          <w:rFonts w:asciiTheme="majorHAnsi" w:hAnsiTheme="majorHAnsi"/>
          <w:sz w:val="16"/>
          <w:szCs w:val="16"/>
          <w:lang w:val="es-US"/>
        </w:rPr>
        <w:t>interpretación</w:t>
      </w:r>
      <w:proofErr w:type="spellEnd"/>
      <w:r w:rsidRPr="0095103F">
        <w:rPr>
          <w:rFonts w:asciiTheme="majorHAnsi" w:hAnsiTheme="majorHAnsi"/>
          <w:sz w:val="16"/>
          <w:szCs w:val="16"/>
          <w:lang w:val="es-US"/>
        </w:rPr>
        <w:t xml:space="preserve"> y alcance del </w:t>
      </w:r>
      <w:proofErr w:type="spellStart"/>
      <w:r w:rsidRPr="0095103F">
        <w:rPr>
          <w:rFonts w:asciiTheme="majorHAnsi" w:hAnsiTheme="majorHAnsi"/>
          <w:sz w:val="16"/>
          <w:szCs w:val="16"/>
          <w:lang w:val="es-US"/>
        </w:rPr>
        <w:t>artículo</w:t>
      </w:r>
      <w:proofErr w:type="spellEnd"/>
      <w:r w:rsidRPr="0095103F">
        <w:rPr>
          <w:rFonts w:asciiTheme="majorHAnsi" w:hAnsiTheme="majorHAnsi"/>
          <w:sz w:val="16"/>
          <w:szCs w:val="16"/>
          <w:lang w:val="es-US"/>
        </w:rPr>
        <w:t xml:space="preserve"> 1.2, en </w:t>
      </w:r>
      <w:proofErr w:type="spellStart"/>
      <w:r w:rsidRPr="0095103F">
        <w:rPr>
          <w:rFonts w:asciiTheme="majorHAnsi" w:hAnsiTheme="majorHAnsi"/>
          <w:sz w:val="16"/>
          <w:szCs w:val="16"/>
          <w:lang w:val="es-US"/>
        </w:rPr>
        <w:t>relación</w:t>
      </w:r>
      <w:proofErr w:type="spellEnd"/>
      <w:r w:rsidRPr="0095103F">
        <w:rPr>
          <w:rFonts w:asciiTheme="majorHAnsi" w:hAnsiTheme="majorHAnsi"/>
          <w:sz w:val="16"/>
          <w:szCs w:val="16"/>
          <w:lang w:val="es-US"/>
        </w:rPr>
        <w:t xml:space="preserve"> con los </w:t>
      </w:r>
      <w:proofErr w:type="spellStart"/>
      <w:r w:rsidRPr="0095103F">
        <w:rPr>
          <w:rFonts w:asciiTheme="majorHAnsi" w:hAnsiTheme="majorHAnsi"/>
          <w:sz w:val="16"/>
          <w:szCs w:val="16"/>
          <w:lang w:val="es-US"/>
        </w:rPr>
        <w:t>artículos</w:t>
      </w:r>
      <w:proofErr w:type="spellEnd"/>
      <w:r w:rsidRPr="0095103F">
        <w:rPr>
          <w:rFonts w:asciiTheme="majorHAnsi" w:hAnsiTheme="majorHAnsi"/>
          <w:sz w:val="16"/>
          <w:szCs w:val="16"/>
          <w:lang w:val="es-US"/>
        </w:rPr>
        <w:t xml:space="preserve"> 1.1, 8, 11.2, 13, 16, 21, 24, 25, 29, 30, 44, 46 y 62.3 de la </w:t>
      </w:r>
      <w:proofErr w:type="spellStart"/>
      <w:r w:rsidRPr="0095103F">
        <w:rPr>
          <w:rFonts w:asciiTheme="majorHAnsi" w:hAnsiTheme="majorHAnsi"/>
          <w:sz w:val="16"/>
          <w:szCs w:val="16"/>
          <w:lang w:val="es-US"/>
        </w:rPr>
        <w:t>Convención</w:t>
      </w:r>
      <w:proofErr w:type="spellEnd"/>
      <w:r w:rsidRPr="0095103F">
        <w:rPr>
          <w:rFonts w:asciiTheme="majorHAnsi" w:hAnsiTheme="majorHAnsi"/>
          <w:sz w:val="16"/>
          <w:szCs w:val="16"/>
          <w:lang w:val="es-US"/>
        </w:rPr>
        <w:t xml:space="preserve"> </w:t>
      </w:r>
      <w:proofErr w:type="gramStart"/>
      <w:r w:rsidRPr="0095103F">
        <w:rPr>
          <w:rFonts w:asciiTheme="majorHAnsi" w:hAnsiTheme="majorHAnsi"/>
          <w:sz w:val="16"/>
          <w:szCs w:val="16"/>
          <w:lang w:val="es-US"/>
        </w:rPr>
        <w:t>Americana</w:t>
      </w:r>
      <w:proofErr w:type="gramEnd"/>
      <w:r w:rsidRPr="0095103F">
        <w:rPr>
          <w:rFonts w:asciiTheme="majorHAnsi" w:hAnsiTheme="majorHAnsi"/>
          <w:sz w:val="16"/>
          <w:szCs w:val="16"/>
          <w:lang w:val="es-US"/>
        </w:rPr>
        <w:t xml:space="preserve"> sobre Derechos Humanos, </w:t>
      </w:r>
      <w:proofErr w:type="spellStart"/>
      <w:r w:rsidRPr="0095103F">
        <w:rPr>
          <w:rFonts w:asciiTheme="majorHAnsi" w:hAnsiTheme="majorHAnsi"/>
          <w:sz w:val="16"/>
          <w:szCs w:val="16"/>
          <w:lang w:val="es-US"/>
        </w:rPr>
        <w:t>asi</w:t>
      </w:r>
      <w:proofErr w:type="spellEnd"/>
      <w:r w:rsidRPr="0095103F">
        <w:rPr>
          <w:rFonts w:asciiTheme="majorHAnsi" w:hAnsiTheme="majorHAnsi"/>
          <w:sz w:val="16"/>
          <w:szCs w:val="16"/>
          <w:lang w:val="es-US"/>
        </w:rPr>
        <w:t xml:space="preserve">́ como del </w:t>
      </w:r>
      <w:proofErr w:type="spellStart"/>
      <w:r w:rsidRPr="0095103F">
        <w:rPr>
          <w:rFonts w:asciiTheme="majorHAnsi" w:hAnsiTheme="majorHAnsi"/>
          <w:sz w:val="16"/>
          <w:szCs w:val="16"/>
          <w:lang w:val="es-US"/>
        </w:rPr>
        <w:t>artículo</w:t>
      </w:r>
      <w:proofErr w:type="spellEnd"/>
      <w:r w:rsidRPr="0095103F">
        <w:rPr>
          <w:rFonts w:asciiTheme="majorHAnsi" w:hAnsiTheme="majorHAnsi"/>
          <w:sz w:val="16"/>
          <w:szCs w:val="16"/>
          <w:lang w:val="es-US"/>
        </w:rPr>
        <w:t xml:space="preserve"> 8.1.a y b del Protocolo de San Salvador). 22 de febrero de 2016. </w:t>
      </w:r>
      <w:proofErr w:type="spellStart"/>
      <w:r w:rsidRPr="0095103F">
        <w:rPr>
          <w:rFonts w:asciiTheme="majorHAnsi" w:hAnsiTheme="majorHAnsi"/>
          <w:sz w:val="16"/>
          <w:szCs w:val="16"/>
          <w:lang w:val="es-US"/>
        </w:rPr>
        <w:t>Párr</w:t>
      </w:r>
      <w:proofErr w:type="spellEnd"/>
      <w:r w:rsidRPr="0095103F">
        <w:rPr>
          <w:rFonts w:asciiTheme="majorHAnsi" w:hAnsiTheme="majorHAnsi"/>
          <w:sz w:val="16"/>
          <w:szCs w:val="16"/>
          <w:lang w:val="es-US"/>
        </w:rPr>
        <w:t xml:space="preserve">. 136. </w:t>
      </w:r>
    </w:p>
  </w:footnote>
  <w:footnote w:id="23">
    <w:p w14:paraId="46EAF85D" w14:textId="56563109" w:rsidR="00981D81" w:rsidRPr="0095103F" w:rsidRDefault="00981D81" w:rsidP="0095103F">
      <w:pPr>
        <w:pStyle w:val="FootnoteText"/>
        <w:ind w:firstLine="720"/>
        <w:jc w:val="both"/>
        <w:rPr>
          <w:rFonts w:asciiTheme="majorHAnsi" w:hAnsiTheme="majorHAnsi"/>
          <w:sz w:val="16"/>
          <w:szCs w:val="16"/>
          <w:lang w:val="es-ES"/>
        </w:rPr>
      </w:pPr>
      <w:r w:rsidRPr="0095103F">
        <w:rPr>
          <w:rStyle w:val="FootnoteReference"/>
          <w:rFonts w:asciiTheme="majorHAnsi" w:hAnsiTheme="majorHAnsi"/>
          <w:sz w:val="16"/>
          <w:szCs w:val="16"/>
        </w:rPr>
        <w:footnoteRef/>
      </w:r>
      <w:r w:rsidRPr="0095103F">
        <w:rPr>
          <w:rFonts w:asciiTheme="majorHAnsi" w:hAnsiTheme="majorHAnsi"/>
          <w:sz w:val="16"/>
          <w:szCs w:val="16"/>
          <w:lang w:val="es-ES"/>
        </w:rPr>
        <w:t xml:space="preserve"> CIDH, Informe No. 16/18, Petición 884-07. Admisibilidad. Victoria Piedad Palacios Tejada de Saavedra. Perú. 24 de febrero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53417"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9565246"/>
    <w:lvl w:ilvl="0" w:tplc="BB5402D2">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16C5"/>
    <w:rsid w:val="00075E23"/>
    <w:rsid w:val="000814DB"/>
    <w:rsid w:val="0008710A"/>
    <w:rsid w:val="0009344A"/>
    <w:rsid w:val="0009799A"/>
    <w:rsid w:val="000A392E"/>
    <w:rsid w:val="000A575F"/>
    <w:rsid w:val="000D05CB"/>
    <w:rsid w:val="000D10DB"/>
    <w:rsid w:val="000E5EB5"/>
    <w:rsid w:val="000F35ED"/>
    <w:rsid w:val="00105C46"/>
    <w:rsid w:val="00107131"/>
    <w:rsid w:val="0010736F"/>
    <w:rsid w:val="00113F73"/>
    <w:rsid w:val="00121CC2"/>
    <w:rsid w:val="00131425"/>
    <w:rsid w:val="00133EE5"/>
    <w:rsid w:val="00167A34"/>
    <w:rsid w:val="001714A6"/>
    <w:rsid w:val="00185310"/>
    <w:rsid w:val="001A7870"/>
    <w:rsid w:val="001B3A00"/>
    <w:rsid w:val="001C1B41"/>
    <w:rsid w:val="001D65EF"/>
    <w:rsid w:val="001E49E7"/>
    <w:rsid w:val="001F7201"/>
    <w:rsid w:val="00223A29"/>
    <w:rsid w:val="002250A3"/>
    <w:rsid w:val="00235217"/>
    <w:rsid w:val="00246D1F"/>
    <w:rsid w:val="00247403"/>
    <w:rsid w:val="00247542"/>
    <w:rsid w:val="0026563D"/>
    <w:rsid w:val="00266B61"/>
    <w:rsid w:val="0026712A"/>
    <w:rsid w:val="002704DB"/>
    <w:rsid w:val="002A0AAE"/>
    <w:rsid w:val="002A5820"/>
    <w:rsid w:val="002D2B26"/>
    <w:rsid w:val="002D7EA2"/>
    <w:rsid w:val="002E187C"/>
    <w:rsid w:val="00302733"/>
    <w:rsid w:val="00310883"/>
    <w:rsid w:val="00314078"/>
    <w:rsid w:val="0031535D"/>
    <w:rsid w:val="003209C1"/>
    <w:rsid w:val="003239B8"/>
    <w:rsid w:val="0033169F"/>
    <w:rsid w:val="00344977"/>
    <w:rsid w:val="00346C95"/>
    <w:rsid w:val="00353417"/>
    <w:rsid w:val="00356185"/>
    <w:rsid w:val="00360380"/>
    <w:rsid w:val="0037519E"/>
    <w:rsid w:val="00386A2A"/>
    <w:rsid w:val="00386CF0"/>
    <w:rsid w:val="00387FCB"/>
    <w:rsid w:val="003A6C83"/>
    <w:rsid w:val="003B70FB"/>
    <w:rsid w:val="003C676B"/>
    <w:rsid w:val="003D3BC2"/>
    <w:rsid w:val="003E6CA1"/>
    <w:rsid w:val="003F1566"/>
    <w:rsid w:val="00405F9C"/>
    <w:rsid w:val="004065A8"/>
    <w:rsid w:val="004165C2"/>
    <w:rsid w:val="00441ECB"/>
    <w:rsid w:val="00445193"/>
    <w:rsid w:val="00462C1B"/>
    <w:rsid w:val="00467B7E"/>
    <w:rsid w:val="00473BB4"/>
    <w:rsid w:val="00477592"/>
    <w:rsid w:val="00486F1C"/>
    <w:rsid w:val="0049419D"/>
    <w:rsid w:val="004A6A54"/>
    <w:rsid w:val="004C20D2"/>
    <w:rsid w:val="004C2312"/>
    <w:rsid w:val="004C4B62"/>
    <w:rsid w:val="004C54C9"/>
    <w:rsid w:val="004D4ABA"/>
    <w:rsid w:val="004D6025"/>
    <w:rsid w:val="004E2649"/>
    <w:rsid w:val="004F35B0"/>
    <w:rsid w:val="004F626F"/>
    <w:rsid w:val="00501399"/>
    <w:rsid w:val="0050633D"/>
    <w:rsid w:val="00507BC4"/>
    <w:rsid w:val="005128E4"/>
    <w:rsid w:val="005133DB"/>
    <w:rsid w:val="00514504"/>
    <w:rsid w:val="00525560"/>
    <w:rsid w:val="00544C49"/>
    <w:rsid w:val="005516A1"/>
    <w:rsid w:val="005559EF"/>
    <w:rsid w:val="00563557"/>
    <w:rsid w:val="0057402A"/>
    <w:rsid w:val="005771D0"/>
    <w:rsid w:val="0059191A"/>
    <w:rsid w:val="005921FF"/>
    <w:rsid w:val="0059352F"/>
    <w:rsid w:val="005A24ED"/>
    <w:rsid w:val="005A6D0E"/>
    <w:rsid w:val="005B260B"/>
    <w:rsid w:val="005B52B0"/>
    <w:rsid w:val="005B6806"/>
    <w:rsid w:val="005C0DBC"/>
    <w:rsid w:val="005C4225"/>
    <w:rsid w:val="005D38F9"/>
    <w:rsid w:val="005E0779"/>
    <w:rsid w:val="005F0DAD"/>
    <w:rsid w:val="005F0F33"/>
    <w:rsid w:val="00600DEB"/>
    <w:rsid w:val="00601576"/>
    <w:rsid w:val="00627C9F"/>
    <w:rsid w:val="006311E9"/>
    <w:rsid w:val="00632354"/>
    <w:rsid w:val="00635421"/>
    <w:rsid w:val="00642810"/>
    <w:rsid w:val="00652333"/>
    <w:rsid w:val="0068009E"/>
    <w:rsid w:val="00692219"/>
    <w:rsid w:val="006A17D2"/>
    <w:rsid w:val="006A73E6"/>
    <w:rsid w:val="006B2D5C"/>
    <w:rsid w:val="006C4EB1"/>
    <w:rsid w:val="006D10DA"/>
    <w:rsid w:val="006E0166"/>
    <w:rsid w:val="006E2FFB"/>
    <w:rsid w:val="006E7B34"/>
    <w:rsid w:val="0070697F"/>
    <w:rsid w:val="0072199C"/>
    <w:rsid w:val="00722C9F"/>
    <w:rsid w:val="007253B8"/>
    <w:rsid w:val="0073741F"/>
    <w:rsid w:val="0076643F"/>
    <w:rsid w:val="00773B92"/>
    <w:rsid w:val="00777F63"/>
    <w:rsid w:val="007A5817"/>
    <w:rsid w:val="007B05C4"/>
    <w:rsid w:val="007B60E9"/>
    <w:rsid w:val="007B6CC3"/>
    <w:rsid w:val="007B76D3"/>
    <w:rsid w:val="007C1CA4"/>
    <w:rsid w:val="007C3334"/>
    <w:rsid w:val="007D2B98"/>
    <w:rsid w:val="007E21BC"/>
    <w:rsid w:val="007E7C82"/>
    <w:rsid w:val="007F2AA1"/>
    <w:rsid w:val="007F588D"/>
    <w:rsid w:val="007F6596"/>
    <w:rsid w:val="00803F1C"/>
    <w:rsid w:val="0080600E"/>
    <w:rsid w:val="00814688"/>
    <w:rsid w:val="00817612"/>
    <w:rsid w:val="008338A4"/>
    <w:rsid w:val="00834D49"/>
    <w:rsid w:val="00837C45"/>
    <w:rsid w:val="00844730"/>
    <w:rsid w:val="008457C2"/>
    <w:rsid w:val="00857A82"/>
    <w:rsid w:val="00873836"/>
    <w:rsid w:val="008777BD"/>
    <w:rsid w:val="00885737"/>
    <w:rsid w:val="00890650"/>
    <w:rsid w:val="00897E12"/>
    <w:rsid w:val="008A7E0F"/>
    <w:rsid w:val="008B12F5"/>
    <w:rsid w:val="008C2261"/>
    <w:rsid w:val="008C5E2D"/>
    <w:rsid w:val="008D1702"/>
    <w:rsid w:val="008D768D"/>
    <w:rsid w:val="008E3759"/>
    <w:rsid w:val="008E3BFE"/>
    <w:rsid w:val="008F1912"/>
    <w:rsid w:val="0090270B"/>
    <w:rsid w:val="009041DC"/>
    <w:rsid w:val="00917B5A"/>
    <w:rsid w:val="00920A58"/>
    <w:rsid w:val="00920A8C"/>
    <w:rsid w:val="009323A7"/>
    <w:rsid w:val="00934A2C"/>
    <w:rsid w:val="0095103F"/>
    <w:rsid w:val="00961ED7"/>
    <w:rsid w:val="0096706E"/>
    <w:rsid w:val="00974491"/>
    <w:rsid w:val="00974639"/>
    <w:rsid w:val="0097571F"/>
    <w:rsid w:val="00975C4E"/>
    <w:rsid w:val="00981D81"/>
    <w:rsid w:val="00981FBA"/>
    <w:rsid w:val="00994BEE"/>
    <w:rsid w:val="00997BC5"/>
    <w:rsid w:val="009A4F41"/>
    <w:rsid w:val="009B381B"/>
    <w:rsid w:val="009D1753"/>
    <w:rsid w:val="009D7611"/>
    <w:rsid w:val="009E0B61"/>
    <w:rsid w:val="009E53DE"/>
    <w:rsid w:val="00A11212"/>
    <w:rsid w:val="00A11901"/>
    <w:rsid w:val="00A11E44"/>
    <w:rsid w:val="00A30100"/>
    <w:rsid w:val="00A328B3"/>
    <w:rsid w:val="00A50FCF"/>
    <w:rsid w:val="00A528D1"/>
    <w:rsid w:val="00A610CD"/>
    <w:rsid w:val="00A758AA"/>
    <w:rsid w:val="00A77B41"/>
    <w:rsid w:val="00AA09A2"/>
    <w:rsid w:val="00AA7996"/>
    <w:rsid w:val="00AC19CB"/>
    <w:rsid w:val="00AE5488"/>
    <w:rsid w:val="00AE6F91"/>
    <w:rsid w:val="00AF071A"/>
    <w:rsid w:val="00AF5571"/>
    <w:rsid w:val="00B041A7"/>
    <w:rsid w:val="00B07341"/>
    <w:rsid w:val="00B30539"/>
    <w:rsid w:val="00B314DB"/>
    <w:rsid w:val="00B361F2"/>
    <w:rsid w:val="00B3718B"/>
    <w:rsid w:val="00B3745F"/>
    <w:rsid w:val="00B43BDE"/>
    <w:rsid w:val="00B4632A"/>
    <w:rsid w:val="00B530F1"/>
    <w:rsid w:val="00B556B3"/>
    <w:rsid w:val="00B80E52"/>
    <w:rsid w:val="00B93357"/>
    <w:rsid w:val="00BA276C"/>
    <w:rsid w:val="00BB306F"/>
    <w:rsid w:val="00BC1185"/>
    <w:rsid w:val="00BD4B89"/>
    <w:rsid w:val="00BD5922"/>
    <w:rsid w:val="00BE2B9D"/>
    <w:rsid w:val="00BF02CB"/>
    <w:rsid w:val="00BF6FD8"/>
    <w:rsid w:val="00C03680"/>
    <w:rsid w:val="00C054DF"/>
    <w:rsid w:val="00C21762"/>
    <w:rsid w:val="00C21FEF"/>
    <w:rsid w:val="00C23BA4"/>
    <w:rsid w:val="00C24543"/>
    <w:rsid w:val="00C256A2"/>
    <w:rsid w:val="00C25ADB"/>
    <w:rsid w:val="00C51515"/>
    <w:rsid w:val="00C5660B"/>
    <w:rsid w:val="00C66B72"/>
    <w:rsid w:val="00C87AC4"/>
    <w:rsid w:val="00C9567A"/>
    <w:rsid w:val="00CA4BF8"/>
    <w:rsid w:val="00CB0185"/>
    <w:rsid w:val="00CB212D"/>
    <w:rsid w:val="00CB2660"/>
    <w:rsid w:val="00CC5E90"/>
    <w:rsid w:val="00CD046C"/>
    <w:rsid w:val="00CE076C"/>
    <w:rsid w:val="00CE5199"/>
    <w:rsid w:val="00CE66D5"/>
    <w:rsid w:val="00CF637A"/>
    <w:rsid w:val="00CF6F05"/>
    <w:rsid w:val="00D059DE"/>
    <w:rsid w:val="00D05ABD"/>
    <w:rsid w:val="00D13FCE"/>
    <w:rsid w:val="00D306D1"/>
    <w:rsid w:val="00D30800"/>
    <w:rsid w:val="00D34786"/>
    <w:rsid w:val="00D37BFC"/>
    <w:rsid w:val="00D457D2"/>
    <w:rsid w:val="00D47A8E"/>
    <w:rsid w:val="00D52D14"/>
    <w:rsid w:val="00D712D3"/>
    <w:rsid w:val="00D71422"/>
    <w:rsid w:val="00D72DC6"/>
    <w:rsid w:val="00D7558D"/>
    <w:rsid w:val="00D81D92"/>
    <w:rsid w:val="00D84171"/>
    <w:rsid w:val="00D876F9"/>
    <w:rsid w:val="00D95F13"/>
    <w:rsid w:val="00DA7B5F"/>
    <w:rsid w:val="00DB2EB6"/>
    <w:rsid w:val="00DC11E7"/>
    <w:rsid w:val="00DC24E3"/>
    <w:rsid w:val="00DC7023"/>
    <w:rsid w:val="00DC769A"/>
    <w:rsid w:val="00DD3D86"/>
    <w:rsid w:val="00DD4AD2"/>
    <w:rsid w:val="00DE5855"/>
    <w:rsid w:val="00DF1EC4"/>
    <w:rsid w:val="00E0340B"/>
    <w:rsid w:val="00E04A90"/>
    <w:rsid w:val="00E0551F"/>
    <w:rsid w:val="00E06CA5"/>
    <w:rsid w:val="00E219C7"/>
    <w:rsid w:val="00E34F4B"/>
    <w:rsid w:val="00E4118C"/>
    <w:rsid w:val="00E43157"/>
    <w:rsid w:val="00E461CE"/>
    <w:rsid w:val="00E573E4"/>
    <w:rsid w:val="00E64C3D"/>
    <w:rsid w:val="00E720CA"/>
    <w:rsid w:val="00E84EB5"/>
    <w:rsid w:val="00E85662"/>
    <w:rsid w:val="00E8789F"/>
    <w:rsid w:val="00E9442C"/>
    <w:rsid w:val="00E97B71"/>
    <w:rsid w:val="00EA3D34"/>
    <w:rsid w:val="00EB454D"/>
    <w:rsid w:val="00EC62F3"/>
    <w:rsid w:val="00ED549D"/>
    <w:rsid w:val="00ED76BE"/>
    <w:rsid w:val="00EE00E9"/>
    <w:rsid w:val="00EF1AAA"/>
    <w:rsid w:val="00EF619B"/>
    <w:rsid w:val="00F00B55"/>
    <w:rsid w:val="00F02AD1"/>
    <w:rsid w:val="00F13228"/>
    <w:rsid w:val="00F253CC"/>
    <w:rsid w:val="00F37106"/>
    <w:rsid w:val="00F44E25"/>
    <w:rsid w:val="00F519CF"/>
    <w:rsid w:val="00F56BA5"/>
    <w:rsid w:val="00F60619"/>
    <w:rsid w:val="00F60E22"/>
    <w:rsid w:val="00F65BBC"/>
    <w:rsid w:val="00F705B1"/>
    <w:rsid w:val="00F81395"/>
    <w:rsid w:val="00F81BB8"/>
    <w:rsid w:val="00F90C64"/>
    <w:rsid w:val="00F917D1"/>
    <w:rsid w:val="00F95360"/>
    <w:rsid w:val="00F9653B"/>
    <w:rsid w:val="00FA580C"/>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387FC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unhideWhenUsed/>
    <w:rsid w:val="009757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Optima-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0F78"/>
    <w:rsid w:val="00200821"/>
    <w:rsid w:val="0025245B"/>
    <w:rsid w:val="002A3923"/>
    <w:rsid w:val="00360266"/>
    <w:rsid w:val="00394049"/>
    <w:rsid w:val="003944D5"/>
    <w:rsid w:val="00421B0B"/>
    <w:rsid w:val="0043746C"/>
    <w:rsid w:val="004B5BBB"/>
    <w:rsid w:val="004C440A"/>
    <w:rsid w:val="004D78B3"/>
    <w:rsid w:val="004F2DF8"/>
    <w:rsid w:val="00547526"/>
    <w:rsid w:val="006346A7"/>
    <w:rsid w:val="006F24A1"/>
    <w:rsid w:val="008B549D"/>
    <w:rsid w:val="009A261B"/>
    <w:rsid w:val="00AA2E17"/>
    <w:rsid w:val="00AC15A4"/>
    <w:rsid w:val="00B0336C"/>
    <w:rsid w:val="00B70F19"/>
    <w:rsid w:val="00CB664F"/>
    <w:rsid w:val="00D241E9"/>
    <w:rsid w:val="00D7750D"/>
    <w:rsid w:val="00DE366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81D2-EB89-4BAB-A949-6801CC30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3894</Words>
  <Characters>20642</Characters>
  <Application>Microsoft Office Word</Application>
  <DocSecurity>0</DocSecurity>
  <Lines>480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311/21</dc:title>
  <dc:creator/>
  <cp:lastModifiedBy/>
  <cp:revision>1</cp:revision>
  <dcterms:created xsi:type="dcterms:W3CDTF">2022-03-02T17:18:00Z</dcterms:created>
  <dcterms:modified xsi:type="dcterms:W3CDTF">2022-03-02T17:19:00Z</dcterms:modified>
</cp:coreProperties>
</file>