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94391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5700CE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16387">
                              <w:rPr>
                                <w:rFonts w:asciiTheme="majorHAnsi" w:hAnsiTheme="majorHAnsi" w:cs="Arial"/>
                                <w:b/>
                                <w:bCs/>
                                <w:color w:val="0D0D0D" w:themeColor="text1" w:themeTint="F2"/>
                                <w:sz w:val="36"/>
                                <w:szCs w:val="22"/>
                                <w:lang w:val="es-ES_tradnl"/>
                              </w:rPr>
                              <w:t>160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3342B55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8599C">
                              <w:rPr>
                                <w:rFonts w:asciiTheme="majorHAnsi" w:hAnsiTheme="majorHAnsi" w:cs="Arial"/>
                                <w:b/>
                                <w:color w:val="0D0D0D" w:themeColor="text1" w:themeTint="F2"/>
                                <w:sz w:val="36"/>
                                <w:szCs w:val="22"/>
                                <w:lang w:val="es-ES_tradnl"/>
                              </w:rPr>
                              <w:t>974</w:t>
                            </w:r>
                            <w:r w:rsidR="00246D1F" w:rsidRPr="004E2649">
                              <w:rPr>
                                <w:rFonts w:asciiTheme="majorHAnsi" w:hAnsiTheme="majorHAnsi" w:cs="Arial"/>
                                <w:b/>
                                <w:color w:val="0D0D0D" w:themeColor="text1" w:themeTint="F2"/>
                                <w:sz w:val="36"/>
                                <w:szCs w:val="22"/>
                                <w:lang w:val="es-ES_tradnl"/>
                              </w:rPr>
                              <w:t>-</w:t>
                            </w:r>
                            <w:r w:rsidR="0038599C">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D2FB18D" w:rsidR="005B52B0" w:rsidRPr="0010736F" w:rsidRDefault="0038599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GABRIE MASS CÁCERES</w:t>
                            </w:r>
                          </w:p>
                          <w:bookmarkEnd w:id="1"/>
                          <w:p w14:paraId="35068D0D" w14:textId="2DFD69AE" w:rsidR="005B52B0" w:rsidRPr="0010736F" w:rsidRDefault="0038599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5700CE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16387">
                        <w:rPr>
                          <w:rFonts w:asciiTheme="majorHAnsi" w:hAnsiTheme="majorHAnsi" w:cs="Arial"/>
                          <w:b/>
                          <w:bCs/>
                          <w:color w:val="0D0D0D" w:themeColor="text1" w:themeTint="F2"/>
                          <w:sz w:val="36"/>
                          <w:szCs w:val="22"/>
                          <w:lang w:val="es-ES_tradnl"/>
                        </w:rPr>
                        <w:t>160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3342B55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8599C">
                        <w:rPr>
                          <w:rFonts w:asciiTheme="majorHAnsi" w:hAnsiTheme="majorHAnsi" w:cs="Arial"/>
                          <w:b/>
                          <w:color w:val="0D0D0D" w:themeColor="text1" w:themeTint="F2"/>
                          <w:sz w:val="36"/>
                          <w:szCs w:val="22"/>
                          <w:lang w:val="es-ES_tradnl"/>
                        </w:rPr>
                        <w:t>974</w:t>
                      </w:r>
                      <w:r w:rsidR="00246D1F" w:rsidRPr="004E2649">
                        <w:rPr>
                          <w:rFonts w:asciiTheme="majorHAnsi" w:hAnsiTheme="majorHAnsi" w:cs="Arial"/>
                          <w:b/>
                          <w:color w:val="0D0D0D" w:themeColor="text1" w:themeTint="F2"/>
                          <w:sz w:val="36"/>
                          <w:szCs w:val="22"/>
                          <w:lang w:val="es-ES_tradnl"/>
                        </w:rPr>
                        <w:t>-</w:t>
                      </w:r>
                      <w:r w:rsidR="0038599C">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D2FB18D" w:rsidR="005B52B0" w:rsidRPr="0010736F" w:rsidRDefault="0038599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GABRIE MASS CÁCERES</w:t>
                      </w:r>
                    </w:p>
                    <w:bookmarkEnd w:id="1"/>
                    <w:p w14:paraId="35068D0D" w14:textId="2DFD69AE" w:rsidR="005B52B0" w:rsidRPr="0010736F" w:rsidRDefault="0038599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491FDDC" w:rsidR="00627C9F" w:rsidRPr="004F2591" w:rsidRDefault="00834D49" w:rsidP="007A5817">
                            <w:pPr>
                              <w:spacing w:line="276" w:lineRule="auto"/>
                              <w:jc w:val="right"/>
                              <w:rPr>
                                <w:rFonts w:asciiTheme="minorHAnsi" w:hAnsiTheme="minorHAnsi"/>
                                <w:color w:val="FFFFFF" w:themeColor="background1"/>
                                <w:sz w:val="22"/>
                                <w:lang w:val="es-419"/>
                              </w:rPr>
                            </w:pPr>
                            <w:r w:rsidRPr="004F2591">
                              <w:rPr>
                                <w:rFonts w:asciiTheme="minorHAnsi" w:hAnsiTheme="minorHAnsi"/>
                                <w:color w:val="FFFFFF" w:themeColor="background1"/>
                                <w:sz w:val="22"/>
                                <w:lang w:val="es-419"/>
                              </w:rPr>
                              <w:t>OEA/Ser.L/V/II</w:t>
                            </w:r>
                          </w:p>
                          <w:p w14:paraId="6A41611B" w14:textId="54C5E068" w:rsidR="00627C9F" w:rsidRPr="00516387" w:rsidRDefault="00627C9F" w:rsidP="007A5817">
                            <w:pPr>
                              <w:spacing w:line="276" w:lineRule="auto"/>
                              <w:jc w:val="right"/>
                              <w:rPr>
                                <w:rFonts w:asciiTheme="minorHAnsi" w:hAnsiTheme="minorHAnsi"/>
                                <w:color w:val="FFFFFF" w:themeColor="background1"/>
                                <w:sz w:val="22"/>
                                <w:lang w:val="es-419"/>
                              </w:rPr>
                            </w:pPr>
                            <w:r w:rsidRPr="00516387">
                              <w:rPr>
                                <w:rFonts w:asciiTheme="minorHAnsi" w:hAnsiTheme="minorHAnsi"/>
                                <w:color w:val="FFFFFF" w:themeColor="background1"/>
                                <w:sz w:val="22"/>
                                <w:lang w:val="es-419"/>
                              </w:rPr>
                              <w:t xml:space="preserve">Doc. </w:t>
                            </w:r>
                            <w:r w:rsidR="00516387">
                              <w:rPr>
                                <w:rFonts w:asciiTheme="minorHAnsi" w:hAnsiTheme="minorHAnsi"/>
                                <w:color w:val="FFFFFF" w:themeColor="background1"/>
                                <w:sz w:val="22"/>
                                <w:lang w:val="es-419"/>
                              </w:rPr>
                              <w:t>168</w:t>
                            </w:r>
                          </w:p>
                          <w:p w14:paraId="69373ED2" w14:textId="498D83B4" w:rsidR="00627C9F" w:rsidRPr="00C25ADB" w:rsidRDefault="0051638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491FDDC" w:rsidR="00627C9F" w:rsidRPr="004F2591" w:rsidRDefault="00834D49" w:rsidP="007A5817">
                      <w:pPr>
                        <w:spacing w:line="276" w:lineRule="auto"/>
                        <w:jc w:val="right"/>
                        <w:rPr>
                          <w:rFonts w:asciiTheme="minorHAnsi" w:hAnsiTheme="minorHAnsi"/>
                          <w:color w:val="FFFFFF" w:themeColor="background1"/>
                          <w:sz w:val="22"/>
                          <w:lang w:val="es-419"/>
                        </w:rPr>
                      </w:pPr>
                      <w:r w:rsidRPr="004F2591">
                        <w:rPr>
                          <w:rFonts w:asciiTheme="minorHAnsi" w:hAnsiTheme="minorHAnsi"/>
                          <w:color w:val="FFFFFF" w:themeColor="background1"/>
                          <w:sz w:val="22"/>
                          <w:lang w:val="es-419"/>
                        </w:rPr>
                        <w:t>OEA/Ser.L/V/II</w:t>
                      </w:r>
                    </w:p>
                    <w:p w14:paraId="6A41611B" w14:textId="54C5E068" w:rsidR="00627C9F" w:rsidRPr="00516387" w:rsidRDefault="00627C9F" w:rsidP="007A5817">
                      <w:pPr>
                        <w:spacing w:line="276" w:lineRule="auto"/>
                        <w:jc w:val="right"/>
                        <w:rPr>
                          <w:rFonts w:asciiTheme="minorHAnsi" w:hAnsiTheme="minorHAnsi"/>
                          <w:color w:val="FFFFFF" w:themeColor="background1"/>
                          <w:sz w:val="22"/>
                          <w:lang w:val="es-419"/>
                        </w:rPr>
                      </w:pPr>
                      <w:r w:rsidRPr="00516387">
                        <w:rPr>
                          <w:rFonts w:asciiTheme="minorHAnsi" w:hAnsiTheme="minorHAnsi"/>
                          <w:color w:val="FFFFFF" w:themeColor="background1"/>
                          <w:sz w:val="22"/>
                          <w:lang w:val="es-419"/>
                        </w:rPr>
                        <w:t xml:space="preserve">Doc. </w:t>
                      </w:r>
                      <w:r w:rsidR="00516387">
                        <w:rPr>
                          <w:rFonts w:asciiTheme="minorHAnsi" w:hAnsiTheme="minorHAnsi"/>
                          <w:color w:val="FFFFFF" w:themeColor="background1"/>
                          <w:sz w:val="22"/>
                          <w:lang w:val="es-419"/>
                        </w:rPr>
                        <w:t>168</w:t>
                      </w:r>
                    </w:p>
                    <w:p w14:paraId="69373ED2" w14:textId="498D83B4" w:rsidR="00627C9F" w:rsidRPr="00C25ADB" w:rsidRDefault="0051638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082E3AF" w:rsidR="00DD3D86" w:rsidRPr="00366A68"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C50E06">
                              <w:rPr>
                                <w:rFonts w:asciiTheme="majorHAnsi" w:hAnsiTheme="majorHAnsi"/>
                                <w:color w:val="0D0D0D" w:themeColor="text1" w:themeTint="F2"/>
                                <w:sz w:val="18"/>
                                <w:szCs w:val="22"/>
                                <w:lang w:val="es-ES"/>
                              </w:rPr>
                              <w:t>Aprobado electr</w:t>
                            </w:r>
                            <w:r w:rsidRPr="00366A68">
                              <w:rPr>
                                <w:rFonts w:asciiTheme="majorHAnsi" w:hAnsiTheme="majorHAnsi"/>
                                <w:color w:val="0D0D0D" w:themeColor="text1" w:themeTint="F2"/>
                                <w:sz w:val="18"/>
                                <w:szCs w:val="22"/>
                                <w:lang w:val="es-ES"/>
                              </w:rPr>
                              <w:t>ónicamente</w:t>
                            </w:r>
                            <w:r w:rsidRPr="00C50E06">
                              <w:rPr>
                                <w:rFonts w:asciiTheme="majorHAnsi" w:hAnsiTheme="majorHAnsi"/>
                                <w:color w:val="0D0D0D" w:themeColor="text1" w:themeTint="F2"/>
                                <w:sz w:val="18"/>
                                <w:szCs w:val="22"/>
                                <w:lang w:val="es-ES"/>
                              </w:rPr>
                              <w:t xml:space="preserve"> por la Comisión el </w:t>
                            </w:r>
                            <w:r w:rsidR="00516387">
                              <w:rPr>
                                <w:rFonts w:asciiTheme="majorHAnsi" w:hAnsiTheme="majorHAnsi"/>
                                <w:color w:val="0D0D0D" w:themeColor="text1" w:themeTint="F2"/>
                                <w:sz w:val="18"/>
                                <w:szCs w:val="22"/>
                                <w:lang w:val="es-ES"/>
                              </w:rPr>
                              <w:t>14</w:t>
                            </w:r>
                            <w:r w:rsidRPr="00C50E06">
                              <w:rPr>
                                <w:rFonts w:asciiTheme="majorHAnsi" w:hAnsiTheme="majorHAnsi"/>
                                <w:color w:val="0D0D0D" w:themeColor="text1" w:themeTint="F2"/>
                                <w:sz w:val="18"/>
                                <w:szCs w:val="22"/>
                                <w:lang w:val="es-ES"/>
                              </w:rPr>
                              <w:t xml:space="preserve"> de </w:t>
                            </w:r>
                            <w:r w:rsidR="00516387">
                              <w:rPr>
                                <w:rFonts w:asciiTheme="majorHAnsi" w:hAnsiTheme="majorHAnsi"/>
                                <w:color w:val="0D0D0D" w:themeColor="text1" w:themeTint="F2"/>
                                <w:sz w:val="18"/>
                                <w:szCs w:val="22"/>
                                <w:lang w:val="es-ES"/>
                              </w:rPr>
                              <w:t>julio</w:t>
                            </w:r>
                            <w:r w:rsidR="00F81BB8" w:rsidRPr="00366A68">
                              <w:rPr>
                                <w:rFonts w:asciiTheme="majorHAnsi" w:hAnsiTheme="majorHAnsi"/>
                                <w:color w:val="0D0D0D" w:themeColor="text1" w:themeTint="F2"/>
                                <w:sz w:val="18"/>
                                <w:szCs w:val="22"/>
                                <w:lang w:val="es-ES"/>
                              </w:rPr>
                              <w:t xml:space="preserve"> </w:t>
                            </w:r>
                            <w:r w:rsidRPr="00366A68">
                              <w:rPr>
                                <w:rFonts w:asciiTheme="majorHAnsi" w:hAnsiTheme="majorHAnsi"/>
                                <w:color w:val="0D0D0D" w:themeColor="text1" w:themeTint="F2"/>
                                <w:sz w:val="18"/>
                                <w:szCs w:val="22"/>
                                <w:lang w:val="es-ES"/>
                              </w:rPr>
                              <w:t>de 20</w:t>
                            </w:r>
                            <w:r w:rsidR="00C23BA4" w:rsidRPr="00366A68">
                              <w:rPr>
                                <w:rFonts w:asciiTheme="majorHAnsi" w:hAnsiTheme="majorHAnsi"/>
                                <w:color w:val="0D0D0D" w:themeColor="text1" w:themeTint="F2"/>
                                <w:sz w:val="18"/>
                                <w:szCs w:val="22"/>
                                <w:lang w:val="es-ES"/>
                              </w:rPr>
                              <w:t>2</w:t>
                            </w:r>
                            <w:r w:rsidR="00D538EA" w:rsidRPr="00366A68">
                              <w:rPr>
                                <w:rFonts w:asciiTheme="majorHAnsi" w:hAnsiTheme="majorHAnsi"/>
                                <w:color w:val="0D0D0D" w:themeColor="text1" w:themeTint="F2"/>
                                <w:sz w:val="18"/>
                                <w:szCs w:val="22"/>
                                <w:lang w:val="es-ES"/>
                              </w:rPr>
                              <w:t>1</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082E3AF" w:rsidR="00DD3D86" w:rsidRPr="00366A68"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C50E06">
                        <w:rPr>
                          <w:rFonts w:asciiTheme="majorHAnsi" w:hAnsiTheme="majorHAnsi"/>
                          <w:color w:val="0D0D0D" w:themeColor="text1" w:themeTint="F2"/>
                          <w:sz w:val="18"/>
                          <w:szCs w:val="22"/>
                          <w:lang w:val="es-ES"/>
                        </w:rPr>
                        <w:t>Aprobado electr</w:t>
                      </w:r>
                      <w:r w:rsidRPr="00366A68">
                        <w:rPr>
                          <w:rFonts w:asciiTheme="majorHAnsi" w:hAnsiTheme="majorHAnsi"/>
                          <w:color w:val="0D0D0D" w:themeColor="text1" w:themeTint="F2"/>
                          <w:sz w:val="18"/>
                          <w:szCs w:val="22"/>
                          <w:lang w:val="es-ES"/>
                        </w:rPr>
                        <w:t>ónicamente</w:t>
                      </w:r>
                      <w:r w:rsidRPr="00C50E06">
                        <w:rPr>
                          <w:rFonts w:asciiTheme="majorHAnsi" w:hAnsiTheme="majorHAnsi"/>
                          <w:color w:val="0D0D0D" w:themeColor="text1" w:themeTint="F2"/>
                          <w:sz w:val="18"/>
                          <w:szCs w:val="22"/>
                          <w:lang w:val="es-ES"/>
                        </w:rPr>
                        <w:t xml:space="preserve"> por la Comisión el </w:t>
                      </w:r>
                      <w:r w:rsidR="00516387">
                        <w:rPr>
                          <w:rFonts w:asciiTheme="majorHAnsi" w:hAnsiTheme="majorHAnsi"/>
                          <w:color w:val="0D0D0D" w:themeColor="text1" w:themeTint="F2"/>
                          <w:sz w:val="18"/>
                          <w:szCs w:val="22"/>
                          <w:lang w:val="es-ES"/>
                        </w:rPr>
                        <w:t>14</w:t>
                      </w:r>
                      <w:r w:rsidRPr="00C50E06">
                        <w:rPr>
                          <w:rFonts w:asciiTheme="majorHAnsi" w:hAnsiTheme="majorHAnsi"/>
                          <w:color w:val="0D0D0D" w:themeColor="text1" w:themeTint="F2"/>
                          <w:sz w:val="18"/>
                          <w:szCs w:val="22"/>
                          <w:lang w:val="es-ES"/>
                        </w:rPr>
                        <w:t xml:space="preserve"> de </w:t>
                      </w:r>
                      <w:r w:rsidR="00516387">
                        <w:rPr>
                          <w:rFonts w:asciiTheme="majorHAnsi" w:hAnsiTheme="majorHAnsi"/>
                          <w:color w:val="0D0D0D" w:themeColor="text1" w:themeTint="F2"/>
                          <w:sz w:val="18"/>
                          <w:szCs w:val="22"/>
                          <w:lang w:val="es-ES"/>
                        </w:rPr>
                        <w:t>julio</w:t>
                      </w:r>
                      <w:r w:rsidR="00F81BB8" w:rsidRPr="00366A68">
                        <w:rPr>
                          <w:rFonts w:asciiTheme="majorHAnsi" w:hAnsiTheme="majorHAnsi"/>
                          <w:color w:val="0D0D0D" w:themeColor="text1" w:themeTint="F2"/>
                          <w:sz w:val="18"/>
                          <w:szCs w:val="22"/>
                          <w:lang w:val="es-ES"/>
                        </w:rPr>
                        <w:t xml:space="preserve"> </w:t>
                      </w:r>
                      <w:r w:rsidRPr="00366A68">
                        <w:rPr>
                          <w:rFonts w:asciiTheme="majorHAnsi" w:hAnsiTheme="majorHAnsi"/>
                          <w:color w:val="0D0D0D" w:themeColor="text1" w:themeTint="F2"/>
                          <w:sz w:val="18"/>
                          <w:szCs w:val="22"/>
                          <w:lang w:val="es-ES"/>
                        </w:rPr>
                        <w:t>de 20</w:t>
                      </w:r>
                      <w:r w:rsidR="00C23BA4" w:rsidRPr="00366A68">
                        <w:rPr>
                          <w:rFonts w:asciiTheme="majorHAnsi" w:hAnsiTheme="majorHAnsi"/>
                          <w:color w:val="0D0D0D" w:themeColor="text1" w:themeTint="F2"/>
                          <w:sz w:val="18"/>
                          <w:szCs w:val="22"/>
                          <w:lang w:val="es-ES"/>
                        </w:rPr>
                        <w:t>2</w:t>
                      </w:r>
                      <w:r w:rsidR="00D538EA" w:rsidRPr="00366A68">
                        <w:rPr>
                          <w:rFonts w:asciiTheme="majorHAnsi" w:hAnsiTheme="majorHAnsi"/>
                          <w:color w:val="0D0D0D" w:themeColor="text1" w:themeTint="F2"/>
                          <w:sz w:val="18"/>
                          <w:szCs w:val="22"/>
                          <w:lang w:val="es-ES"/>
                        </w:rPr>
                        <w:t>1</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EF55D2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16387" w:rsidRPr="00516387">
                              <w:rPr>
                                <w:rFonts w:asciiTheme="majorHAnsi" w:hAnsiTheme="majorHAnsi"/>
                                <w:color w:val="595959" w:themeColor="text1" w:themeTint="A6"/>
                                <w:sz w:val="18"/>
                                <w:szCs w:val="18"/>
                                <w:lang w:val="pt-BR"/>
                              </w:rPr>
                              <w:t>160</w:t>
                            </w:r>
                            <w:r w:rsidR="007B05C4" w:rsidRPr="00516387">
                              <w:rPr>
                                <w:rFonts w:asciiTheme="majorHAnsi" w:hAnsiTheme="majorHAnsi"/>
                                <w:color w:val="595959" w:themeColor="text1" w:themeTint="A6"/>
                                <w:sz w:val="18"/>
                                <w:szCs w:val="18"/>
                                <w:lang w:val="pt-BR"/>
                              </w:rPr>
                              <w:t>/</w:t>
                            </w:r>
                            <w:r w:rsidR="00516387" w:rsidRPr="00516387">
                              <w:rPr>
                                <w:rFonts w:asciiTheme="majorHAnsi" w:hAnsiTheme="majorHAnsi"/>
                                <w:color w:val="595959" w:themeColor="text1" w:themeTint="A6"/>
                                <w:sz w:val="18"/>
                                <w:szCs w:val="18"/>
                                <w:lang w:val="pt-BR"/>
                              </w:rPr>
                              <w:t>21</w:t>
                            </w:r>
                            <w:r w:rsidRPr="00516387">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BB6A0F">
                              <w:rPr>
                                <w:rFonts w:asciiTheme="majorHAnsi" w:hAnsiTheme="majorHAnsi"/>
                                <w:color w:val="595959" w:themeColor="text1" w:themeTint="A6"/>
                                <w:sz w:val="18"/>
                                <w:szCs w:val="18"/>
                                <w:lang w:val="es-ES"/>
                              </w:rPr>
                              <w:t>974</w:t>
                            </w:r>
                            <w:r w:rsidR="000433C9">
                              <w:rPr>
                                <w:rFonts w:asciiTheme="majorHAnsi" w:hAnsiTheme="majorHAnsi"/>
                                <w:color w:val="595959" w:themeColor="text1" w:themeTint="A6"/>
                                <w:sz w:val="18"/>
                                <w:szCs w:val="18"/>
                                <w:lang w:val="es-ES"/>
                              </w:rPr>
                              <w:t>-</w:t>
                            </w:r>
                            <w:r w:rsidR="00BB6A0F">
                              <w:rPr>
                                <w:rFonts w:asciiTheme="majorHAnsi" w:hAnsiTheme="majorHAnsi"/>
                                <w:color w:val="595959" w:themeColor="text1" w:themeTint="A6"/>
                                <w:sz w:val="18"/>
                                <w:szCs w:val="18"/>
                                <w:lang w:val="es-ES"/>
                              </w:rPr>
                              <w:t>17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BB6A0F">
                              <w:rPr>
                                <w:rFonts w:asciiTheme="majorHAnsi" w:hAnsiTheme="majorHAnsi"/>
                                <w:color w:val="595959" w:themeColor="text1" w:themeTint="A6"/>
                                <w:sz w:val="18"/>
                                <w:szCs w:val="18"/>
                                <w:lang w:val="es-ES_tradnl"/>
                              </w:rPr>
                              <w:t>Gabrie</w:t>
                            </w:r>
                            <w:proofErr w:type="spellEnd"/>
                            <w:r w:rsidR="00BB6A0F">
                              <w:rPr>
                                <w:rFonts w:asciiTheme="majorHAnsi" w:hAnsiTheme="majorHAnsi"/>
                                <w:color w:val="595959" w:themeColor="text1" w:themeTint="A6"/>
                                <w:sz w:val="18"/>
                                <w:szCs w:val="18"/>
                                <w:lang w:val="es-ES_tradnl"/>
                              </w:rPr>
                              <w:t xml:space="preserve"> </w:t>
                            </w:r>
                            <w:proofErr w:type="spellStart"/>
                            <w:r w:rsidR="00BB6A0F">
                              <w:rPr>
                                <w:rFonts w:asciiTheme="majorHAnsi" w:hAnsiTheme="majorHAnsi"/>
                                <w:color w:val="595959" w:themeColor="text1" w:themeTint="A6"/>
                                <w:sz w:val="18"/>
                                <w:szCs w:val="18"/>
                                <w:lang w:val="es-ES_tradnl"/>
                              </w:rPr>
                              <w:t>Mass</w:t>
                            </w:r>
                            <w:proofErr w:type="spellEnd"/>
                            <w:r w:rsidR="00BB6A0F">
                              <w:rPr>
                                <w:rFonts w:asciiTheme="majorHAnsi" w:hAnsiTheme="majorHAnsi"/>
                                <w:color w:val="595959" w:themeColor="text1" w:themeTint="A6"/>
                                <w:sz w:val="18"/>
                                <w:szCs w:val="18"/>
                                <w:lang w:val="es-ES_tradnl"/>
                              </w:rPr>
                              <w:t xml:space="preserve"> Cáceres</w:t>
                            </w:r>
                            <w:r w:rsidRPr="00890650">
                              <w:rPr>
                                <w:rFonts w:asciiTheme="majorHAnsi" w:hAnsiTheme="majorHAnsi"/>
                                <w:color w:val="595959" w:themeColor="text1" w:themeTint="A6"/>
                                <w:sz w:val="18"/>
                                <w:szCs w:val="18"/>
                                <w:lang w:val="es-ES_tradnl"/>
                              </w:rPr>
                              <w:t xml:space="preserve">. </w:t>
                            </w:r>
                            <w:r w:rsidR="00BB6A0F">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516387">
                              <w:rPr>
                                <w:rFonts w:asciiTheme="majorHAnsi" w:hAnsiTheme="majorHAnsi"/>
                                <w:color w:val="595959" w:themeColor="text1" w:themeTint="A6"/>
                                <w:sz w:val="18"/>
                                <w:szCs w:val="18"/>
                                <w:lang w:val="es-ES"/>
                              </w:rPr>
                              <w:t>14 de julio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EF55D2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16387" w:rsidRPr="00516387">
                        <w:rPr>
                          <w:rFonts w:asciiTheme="majorHAnsi" w:hAnsiTheme="majorHAnsi"/>
                          <w:color w:val="595959" w:themeColor="text1" w:themeTint="A6"/>
                          <w:sz w:val="18"/>
                          <w:szCs w:val="18"/>
                          <w:lang w:val="pt-BR"/>
                        </w:rPr>
                        <w:t>160</w:t>
                      </w:r>
                      <w:r w:rsidR="007B05C4" w:rsidRPr="00516387">
                        <w:rPr>
                          <w:rFonts w:asciiTheme="majorHAnsi" w:hAnsiTheme="majorHAnsi"/>
                          <w:color w:val="595959" w:themeColor="text1" w:themeTint="A6"/>
                          <w:sz w:val="18"/>
                          <w:szCs w:val="18"/>
                          <w:lang w:val="pt-BR"/>
                        </w:rPr>
                        <w:t>/</w:t>
                      </w:r>
                      <w:r w:rsidR="00516387" w:rsidRPr="00516387">
                        <w:rPr>
                          <w:rFonts w:asciiTheme="majorHAnsi" w:hAnsiTheme="majorHAnsi"/>
                          <w:color w:val="595959" w:themeColor="text1" w:themeTint="A6"/>
                          <w:sz w:val="18"/>
                          <w:szCs w:val="18"/>
                          <w:lang w:val="pt-BR"/>
                        </w:rPr>
                        <w:t>21</w:t>
                      </w:r>
                      <w:r w:rsidRPr="00516387">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BB6A0F">
                        <w:rPr>
                          <w:rFonts w:asciiTheme="majorHAnsi" w:hAnsiTheme="majorHAnsi"/>
                          <w:color w:val="595959" w:themeColor="text1" w:themeTint="A6"/>
                          <w:sz w:val="18"/>
                          <w:szCs w:val="18"/>
                          <w:lang w:val="es-ES"/>
                        </w:rPr>
                        <w:t>974</w:t>
                      </w:r>
                      <w:r w:rsidR="000433C9">
                        <w:rPr>
                          <w:rFonts w:asciiTheme="majorHAnsi" w:hAnsiTheme="majorHAnsi"/>
                          <w:color w:val="595959" w:themeColor="text1" w:themeTint="A6"/>
                          <w:sz w:val="18"/>
                          <w:szCs w:val="18"/>
                          <w:lang w:val="es-ES"/>
                        </w:rPr>
                        <w:t>-</w:t>
                      </w:r>
                      <w:r w:rsidR="00BB6A0F">
                        <w:rPr>
                          <w:rFonts w:asciiTheme="majorHAnsi" w:hAnsiTheme="majorHAnsi"/>
                          <w:color w:val="595959" w:themeColor="text1" w:themeTint="A6"/>
                          <w:sz w:val="18"/>
                          <w:szCs w:val="18"/>
                          <w:lang w:val="es-ES"/>
                        </w:rPr>
                        <w:t>17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BB6A0F">
                        <w:rPr>
                          <w:rFonts w:asciiTheme="majorHAnsi" w:hAnsiTheme="majorHAnsi"/>
                          <w:color w:val="595959" w:themeColor="text1" w:themeTint="A6"/>
                          <w:sz w:val="18"/>
                          <w:szCs w:val="18"/>
                          <w:lang w:val="es-ES_tradnl"/>
                        </w:rPr>
                        <w:t>Gabrie</w:t>
                      </w:r>
                      <w:proofErr w:type="spellEnd"/>
                      <w:r w:rsidR="00BB6A0F">
                        <w:rPr>
                          <w:rFonts w:asciiTheme="majorHAnsi" w:hAnsiTheme="majorHAnsi"/>
                          <w:color w:val="595959" w:themeColor="text1" w:themeTint="A6"/>
                          <w:sz w:val="18"/>
                          <w:szCs w:val="18"/>
                          <w:lang w:val="es-ES_tradnl"/>
                        </w:rPr>
                        <w:t xml:space="preserve"> </w:t>
                      </w:r>
                      <w:proofErr w:type="spellStart"/>
                      <w:r w:rsidR="00BB6A0F">
                        <w:rPr>
                          <w:rFonts w:asciiTheme="majorHAnsi" w:hAnsiTheme="majorHAnsi"/>
                          <w:color w:val="595959" w:themeColor="text1" w:themeTint="A6"/>
                          <w:sz w:val="18"/>
                          <w:szCs w:val="18"/>
                          <w:lang w:val="es-ES_tradnl"/>
                        </w:rPr>
                        <w:t>Mass</w:t>
                      </w:r>
                      <w:proofErr w:type="spellEnd"/>
                      <w:r w:rsidR="00BB6A0F">
                        <w:rPr>
                          <w:rFonts w:asciiTheme="majorHAnsi" w:hAnsiTheme="majorHAnsi"/>
                          <w:color w:val="595959" w:themeColor="text1" w:themeTint="A6"/>
                          <w:sz w:val="18"/>
                          <w:szCs w:val="18"/>
                          <w:lang w:val="es-ES_tradnl"/>
                        </w:rPr>
                        <w:t xml:space="preserve"> Cáceres</w:t>
                      </w:r>
                      <w:r w:rsidRPr="00890650">
                        <w:rPr>
                          <w:rFonts w:asciiTheme="majorHAnsi" w:hAnsiTheme="majorHAnsi"/>
                          <w:color w:val="595959" w:themeColor="text1" w:themeTint="A6"/>
                          <w:sz w:val="18"/>
                          <w:szCs w:val="18"/>
                          <w:lang w:val="es-ES_tradnl"/>
                        </w:rPr>
                        <w:t xml:space="preserve">. </w:t>
                      </w:r>
                      <w:r w:rsidR="00BB6A0F">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516387">
                        <w:rPr>
                          <w:rFonts w:asciiTheme="majorHAnsi" w:hAnsiTheme="majorHAnsi"/>
                          <w:color w:val="595959" w:themeColor="text1" w:themeTint="A6"/>
                          <w:sz w:val="18"/>
                          <w:szCs w:val="18"/>
                          <w:lang w:val="es-ES"/>
                        </w:rPr>
                        <w:t>14 de julio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A98845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C28753A" w:rsidR="00D72DC6" w:rsidRPr="00D72DC6" w:rsidRDefault="00E41045" w:rsidP="00F02AD1">
                            <w:pPr>
                              <w:rPr>
                                <w:color w:val="FFFFFF" w:themeColor="background1"/>
                                <w14:textFill>
                                  <w14:noFill/>
                                </w14:textFill>
                              </w:rPr>
                            </w:pPr>
                            <w:r>
                              <w:rPr>
                                <w:noProof/>
                                <w:color w:val="FFFFFF" w:themeColor="background1"/>
                              </w:rPr>
                              <w:drawing>
                                <wp:inline distT="0" distB="0" distL="0" distR="0" wp14:anchorId="2725F702" wp14:editId="42CC00B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C28753A" w:rsidR="00D72DC6" w:rsidRPr="00D72DC6" w:rsidRDefault="00E41045" w:rsidP="00F02AD1">
                      <w:pPr>
                        <w:rPr>
                          <w:color w:val="FFFFFF" w:themeColor="background1"/>
                          <w14:textFill>
                            <w14:noFill/>
                          </w14:textFill>
                        </w:rPr>
                      </w:pPr>
                      <w:r>
                        <w:rPr>
                          <w:noProof/>
                          <w:color w:val="FFFFFF" w:themeColor="background1"/>
                        </w:rPr>
                        <w:drawing>
                          <wp:inline distT="0" distB="0" distL="0" distR="0" wp14:anchorId="2725F702" wp14:editId="42CC00B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C50DA"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373A353D" w:rsidR="003239B8" w:rsidRPr="0038599C" w:rsidRDefault="0038599C" w:rsidP="008D2290">
            <w:pPr>
              <w:jc w:val="both"/>
              <w:rPr>
                <w:rFonts w:ascii="Cambria" w:hAnsi="Cambria"/>
                <w:bCs/>
                <w:sz w:val="20"/>
                <w:szCs w:val="20"/>
                <w:lang w:val="es-ES"/>
              </w:rPr>
            </w:pPr>
            <w:r w:rsidRPr="0038599C">
              <w:rPr>
                <w:rFonts w:ascii="Cambria" w:hAnsi="Cambria"/>
                <w:bCs/>
                <w:sz w:val="20"/>
                <w:szCs w:val="20"/>
                <w:lang w:val="es-ES"/>
              </w:rPr>
              <w:t xml:space="preserve">Red Lésbica </w:t>
            </w:r>
            <w:proofErr w:type="spellStart"/>
            <w:r>
              <w:rPr>
                <w:rFonts w:ascii="Cambria" w:hAnsi="Cambria"/>
                <w:bCs/>
                <w:sz w:val="20"/>
                <w:szCs w:val="20"/>
                <w:lang w:val="es-ES"/>
              </w:rPr>
              <w:t>Cattrachas</w:t>
            </w:r>
            <w:proofErr w:type="spellEnd"/>
            <w:r>
              <w:rPr>
                <w:rFonts w:ascii="Cambria" w:hAnsi="Cambria"/>
                <w:bCs/>
                <w:sz w:val="20"/>
                <w:szCs w:val="20"/>
                <w:lang w:val="es-ES"/>
              </w:rPr>
              <w:t xml:space="preserve"> y Abogados Sin Fronteras Canadá</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EA757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39454A8C" w:rsidR="003239B8" w:rsidRPr="000D05CB" w:rsidRDefault="0038599C" w:rsidP="008D2290">
            <w:pPr>
              <w:jc w:val="both"/>
              <w:rPr>
                <w:rFonts w:ascii="Cambria" w:hAnsi="Cambria"/>
                <w:bCs/>
                <w:sz w:val="20"/>
                <w:szCs w:val="20"/>
                <w:lang w:val="es-ES"/>
              </w:rPr>
            </w:pPr>
            <w:proofErr w:type="spellStart"/>
            <w:r>
              <w:rPr>
                <w:rFonts w:ascii="Cambria" w:hAnsi="Cambria"/>
                <w:bCs/>
                <w:sz w:val="20"/>
                <w:szCs w:val="20"/>
                <w:lang w:val="es-ES"/>
              </w:rPr>
              <w:t>Gabrie</w:t>
            </w:r>
            <w:proofErr w:type="spellEnd"/>
            <w:r>
              <w:rPr>
                <w:rFonts w:ascii="Cambria" w:hAnsi="Cambria"/>
                <w:bCs/>
                <w:sz w:val="20"/>
                <w:szCs w:val="20"/>
                <w:lang w:val="es-ES"/>
              </w:rPr>
              <w:t xml:space="preserve"> </w:t>
            </w:r>
            <w:proofErr w:type="spellStart"/>
            <w:r>
              <w:rPr>
                <w:rFonts w:ascii="Cambria" w:hAnsi="Cambria"/>
                <w:bCs/>
                <w:sz w:val="20"/>
                <w:szCs w:val="20"/>
                <w:lang w:val="es-ES"/>
              </w:rPr>
              <w:t>Mass</w:t>
            </w:r>
            <w:proofErr w:type="spellEnd"/>
            <w:r>
              <w:rPr>
                <w:rFonts w:ascii="Cambria" w:hAnsi="Cambria"/>
                <w:bCs/>
                <w:sz w:val="20"/>
                <w:szCs w:val="20"/>
                <w:lang w:val="es-ES"/>
              </w:rPr>
              <w:t xml:space="preserve"> Cáceres</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58A8A4C8" w:rsidR="003239B8" w:rsidRPr="000D05CB" w:rsidRDefault="0038599C" w:rsidP="008D2290">
            <w:pPr>
              <w:jc w:val="both"/>
              <w:rPr>
                <w:rFonts w:ascii="Cambria" w:hAnsi="Cambria"/>
                <w:bCs/>
                <w:sz w:val="20"/>
                <w:szCs w:val="20"/>
              </w:rPr>
            </w:pPr>
            <w:r>
              <w:rPr>
                <w:rFonts w:ascii="Cambria" w:hAnsi="Cambria"/>
                <w:bCs/>
                <w:sz w:val="20"/>
                <w:szCs w:val="20"/>
              </w:rPr>
              <w:t>Honduras</w:t>
            </w:r>
          </w:p>
        </w:tc>
      </w:tr>
      <w:tr w:rsidR="00223A29" w:rsidRPr="00CC50D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2B591CE4" w:rsidR="00223A29" w:rsidRPr="00CD65D6" w:rsidRDefault="00CD65D6" w:rsidP="008D2290">
            <w:pPr>
              <w:jc w:val="both"/>
              <w:rPr>
                <w:rFonts w:ascii="Cambria" w:hAnsi="Cambria"/>
                <w:bCs/>
                <w:sz w:val="20"/>
                <w:szCs w:val="20"/>
                <w:lang w:val="es-ES"/>
              </w:rPr>
            </w:pPr>
            <w:r w:rsidRPr="00CD65D6">
              <w:rPr>
                <w:rFonts w:ascii="Cambria" w:hAnsi="Cambria"/>
                <w:bCs/>
                <w:sz w:val="20"/>
                <w:szCs w:val="20"/>
                <w:lang w:val="es-ES"/>
              </w:rPr>
              <w:t>Artículos 3</w:t>
            </w:r>
            <w:r>
              <w:rPr>
                <w:rFonts w:ascii="Cambria" w:hAnsi="Cambria"/>
                <w:bCs/>
                <w:sz w:val="20"/>
                <w:szCs w:val="20"/>
                <w:lang w:val="es-ES"/>
              </w:rPr>
              <w:t xml:space="preserve"> (reconocimiento de la personalidad jurídica)</w:t>
            </w:r>
            <w:r w:rsidRPr="00CD65D6">
              <w:rPr>
                <w:rFonts w:ascii="Cambria" w:hAnsi="Cambria"/>
                <w:bCs/>
                <w:sz w:val="20"/>
                <w:szCs w:val="20"/>
                <w:lang w:val="es-ES"/>
              </w:rPr>
              <w:t>, 8</w:t>
            </w:r>
            <w:r>
              <w:rPr>
                <w:rFonts w:ascii="Cambria" w:hAnsi="Cambria"/>
                <w:bCs/>
                <w:sz w:val="20"/>
                <w:szCs w:val="20"/>
                <w:lang w:val="es-ES"/>
              </w:rPr>
              <w:t xml:space="preserve"> (</w:t>
            </w:r>
            <w:r w:rsidR="00545D20">
              <w:rPr>
                <w:rFonts w:ascii="Cambria" w:hAnsi="Cambria"/>
                <w:bCs/>
                <w:sz w:val="20"/>
                <w:szCs w:val="20"/>
                <w:lang w:val="es-ES"/>
              </w:rPr>
              <w:t>g</w:t>
            </w:r>
            <w:r>
              <w:rPr>
                <w:rFonts w:ascii="Cambria" w:hAnsi="Cambria"/>
                <w:bCs/>
                <w:sz w:val="20"/>
                <w:szCs w:val="20"/>
                <w:lang w:val="es-ES"/>
              </w:rPr>
              <w:t xml:space="preserve">arantías </w:t>
            </w:r>
            <w:r w:rsidR="00545D20">
              <w:rPr>
                <w:rFonts w:ascii="Cambria" w:hAnsi="Cambria"/>
                <w:bCs/>
                <w:sz w:val="20"/>
                <w:szCs w:val="20"/>
                <w:lang w:val="es-ES"/>
              </w:rPr>
              <w:t>j</w:t>
            </w:r>
            <w:r>
              <w:rPr>
                <w:rFonts w:ascii="Cambria" w:hAnsi="Cambria"/>
                <w:bCs/>
                <w:sz w:val="20"/>
                <w:szCs w:val="20"/>
                <w:lang w:val="es-ES"/>
              </w:rPr>
              <w:t>udiciales)</w:t>
            </w:r>
            <w:r w:rsidRPr="00CD65D6">
              <w:rPr>
                <w:rFonts w:ascii="Cambria" w:hAnsi="Cambria"/>
                <w:bCs/>
                <w:sz w:val="20"/>
                <w:szCs w:val="20"/>
                <w:lang w:val="es-ES"/>
              </w:rPr>
              <w:t>, 13</w:t>
            </w:r>
            <w:r>
              <w:rPr>
                <w:rFonts w:ascii="Cambria" w:hAnsi="Cambria"/>
                <w:bCs/>
                <w:sz w:val="20"/>
                <w:szCs w:val="20"/>
                <w:lang w:val="es-ES"/>
              </w:rPr>
              <w:t xml:space="preserve"> (</w:t>
            </w:r>
            <w:r w:rsidR="00545D20">
              <w:rPr>
                <w:rFonts w:ascii="Cambria" w:hAnsi="Cambria"/>
                <w:bCs/>
                <w:sz w:val="20"/>
                <w:szCs w:val="20"/>
                <w:lang w:val="es-ES"/>
              </w:rPr>
              <w:t>l</w:t>
            </w:r>
            <w:r>
              <w:rPr>
                <w:rFonts w:ascii="Cambria" w:hAnsi="Cambria"/>
                <w:bCs/>
                <w:sz w:val="20"/>
                <w:szCs w:val="20"/>
                <w:lang w:val="es-ES"/>
              </w:rPr>
              <w:t>ibertad de pensamiento y expresión)</w:t>
            </w:r>
            <w:r w:rsidRPr="00CD65D6">
              <w:rPr>
                <w:rFonts w:ascii="Cambria" w:hAnsi="Cambria"/>
                <w:bCs/>
                <w:sz w:val="20"/>
                <w:szCs w:val="20"/>
                <w:lang w:val="es-ES"/>
              </w:rPr>
              <w:t>, 18</w:t>
            </w:r>
            <w:r>
              <w:rPr>
                <w:rFonts w:ascii="Cambria" w:hAnsi="Cambria"/>
                <w:bCs/>
                <w:sz w:val="20"/>
                <w:szCs w:val="20"/>
                <w:lang w:val="es-ES"/>
              </w:rPr>
              <w:t xml:space="preserve"> (nombre)</w:t>
            </w:r>
            <w:r w:rsidRPr="00CD65D6">
              <w:rPr>
                <w:rFonts w:ascii="Cambria" w:hAnsi="Cambria"/>
                <w:bCs/>
                <w:sz w:val="20"/>
                <w:szCs w:val="20"/>
                <w:lang w:val="es-ES"/>
              </w:rPr>
              <w:t xml:space="preserve">, 24 </w:t>
            </w:r>
            <w:r>
              <w:rPr>
                <w:rFonts w:ascii="Cambria" w:hAnsi="Cambria"/>
                <w:bCs/>
                <w:sz w:val="20"/>
                <w:szCs w:val="20"/>
                <w:lang w:val="es-ES"/>
              </w:rPr>
              <w:t>(</w:t>
            </w:r>
            <w:r w:rsidR="00545D20">
              <w:rPr>
                <w:rFonts w:ascii="Cambria" w:hAnsi="Cambria"/>
                <w:bCs/>
                <w:sz w:val="20"/>
                <w:szCs w:val="20"/>
                <w:lang w:val="es-ES"/>
              </w:rPr>
              <w:t>i</w:t>
            </w:r>
            <w:r>
              <w:rPr>
                <w:rFonts w:ascii="Cambria" w:hAnsi="Cambria"/>
                <w:bCs/>
                <w:sz w:val="20"/>
                <w:szCs w:val="20"/>
                <w:lang w:val="es-ES"/>
              </w:rPr>
              <w:t xml:space="preserve">gualdad ante la ley) </w:t>
            </w:r>
            <w:r w:rsidRPr="00CD65D6">
              <w:rPr>
                <w:rFonts w:ascii="Cambria" w:hAnsi="Cambria"/>
                <w:bCs/>
                <w:sz w:val="20"/>
                <w:szCs w:val="20"/>
                <w:lang w:val="es-ES"/>
              </w:rPr>
              <w:t>y 25</w:t>
            </w:r>
            <w:r>
              <w:rPr>
                <w:rFonts w:ascii="Cambria" w:hAnsi="Cambria"/>
                <w:bCs/>
                <w:sz w:val="20"/>
                <w:szCs w:val="20"/>
                <w:lang w:val="es-ES"/>
              </w:rPr>
              <w:t xml:space="preserve"> (</w:t>
            </w:r>
            <w:r w:rsidR="00545D20">
              <w:rPr>
                <w:rFonts w:ascii="Cambria" w:hAnsi="Cambria"/>
                <w:bCs/>
                <w:sz w:val="20"/>
                <w:szCs w:val="20"/>
                <w:lang w:val="es-ES"/>
              </w:rPr>
              <w:t>p</w:t>
            </w:r>
            <w:r>
              <w:rPr>
                <w:rFonts w:ascii="Cambria" w:hAnsi="Cambria"/>
                <w:bCs/>
                <w:sz w:val="20"/>
                <w:szCs w:val="20"/>
                <w:lang w:val="es-ES"/>
              </w:rPr>
              <w:t>rotección judicial) de la Convención Americana sobre Derechos Humanos</w:t>
            </w:r>
            <w:r w:rsidRPr="00A67FC9">
              <w:rPr>
                <w:rStyle w:val="FootnoteReference"/>
                <w:rFonts w:asciiTheme="majorHAnsi" w:hAnsiTheme="majorHAnsi"/>
                <w:bCs/>
                <w:noProof/>
                <w:sz w:val="20"/>
                <w:szCs w:val="20"/>
                <w:lang w:val="es-ES_tradnl"/>
              </w:rPr>
              <w:footnoteReference w:id="2"/>
            </w:r>
            <w:r>
              <w:rPr>
                <w:rFonts w:ascii="Cambria" w:hAnsi="Cambria"/>
                <w:bCs/>
                <w:sz w:val="20"/>
                <w:szCs w:val="20"/>
                <w:lang w:val="es-ES"/>
              </w:rPr>
              <w:t>, en relación con su artículo 1.1</w:t>
            </w:r>
            <w:r w:rsidR="00545D20">
              <w:rPr>
                <w:rFonts w:ascii="Cambria" w:hAnsi="Cambria"/>
                <w:bCs/>
                <w:sz w:val="20"/>
                <w:szCs w:val="20"/>
                <w:lang w:val="es-ES"/>
              </w:rPr>
              <w:t xml:space="preserve"> (obligación de respetar los derechos)</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CDB1EDD" w:rsidR="004C2312" w:rsidRPr="003239B8" w:rsidRDefault="0038599C" w:rsidP="002625EA">
            <w:pPr>
              <w:jc w:val="both"/>
              <w:rPr>
                <w:rFonts w:ascii="Cambria" w:hAnsi="Cambria"/>
                <w:bCs/>
                <w:sz w:val="20"/>
                <w:szCs w:val="20"/>
                <w:lang w:val="es-ES"/>
              </w:rPr>
            </w:pPr>
            <w:r>
              <w:rPr>
                <w:rFonts w:ascii="Cambria" w:hAnsi="Cambria"/>
                <w:bCs/>
                <w:sz w:val="20"/>
                <w:szCs w:val="20"/>
                <w:lang w:val="es-ES"/>
              </w:rPr>
              <w:t>7 de junio de 2017</w:t>
            </w:r>
          </w:p>
        </w:tc>
      </w:tr>
      <w:tr w:rsidR="00131425" w:rsidRPr="00CC50DA"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5DF13879" w:rsidR="00131425" w:rsidRPr="003239B8" w:rsidRDefault="0038599C" w:rsidP="002625EA">
            <w:pPr>
              <w:jc w:val="both"/>
              <w:rPr>
                <w:rFonts w:ascii="Cambria" w:hAnsi="Cambria"/>
                <w:bCs/>
                <w:sz w:val="20"/>
                <w:szCs w:val="20"/>
                <w:lang w:val="es-ES"/>
              </w:rPr>
            </w:pPr>
            <w:r>
              <w:rPr>
                <w:rFonts w:ascii="Cambria" w:hAnsi="Cambria"/>
                <w:bCs/>
                <w:sz w:val="20"/>
                <w:szCs w:val="20"/>
                <w:lang w:val="es-ES"/>
              </w:rPr>
              <w:t xml:space="preserve">12 de julio de 2017 y </w:t>
            </w:r>
            <w:r w:rsidR="004D7370">
              <w:rPr>
                <w:rFonts w:ascii="Cambria" w:hAnsi="Cambria"/>
                <w:bCs/>
                <w:sz w:val="20"/>
                <w:szCs w:val="20"/>
                <w:lang w:val="es-ES"/>
              </w:rPr>
              <w:t>22 de agosto de 2018</w:t>
            </w:r>
          </w:p>
        </w:tc>
      </w:tr>
      <w:tr w:rsidR="004C2312" w:rsidRPr="004E662D"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3DDCAF6" w:rsidR="004C2312" w:rsidRPr="003239B8" w:rsidRDefault="004D7370" w:rsidP="008D2290">
            <w:pPr>
              <w:jc w:val="both"/>
              <w:rPr>
                <w:rFonts w:ascii="Cambria" w:hAnsi="Cambria"/>
                <w:bCs/>
                <w:sz w:val="20"/>
                <w:szCs w:val="20"/>
                <w:lang w:val="es-ES"/>
              </w:rPr>
            </w:pPr>
            <w:r>
              <w:rPr>
                <w:rFonts w:ascii="Cambria" w:hAnsi="Cambria"/>
                <w:bCs/>
                <w:sz w:val="20"/>
                <w:szCs w:val="20"/>
                <w:lang w:val="es-ES"/>
              </w:rPr>
              <w:t>14 de mayo de 2020</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7BEABA3E" w:rsidR="004C2312" w:rsidRPr="003239B8" w:rsidRDefault="004D7370" w:rsidP="008D2290">
            <w:pPr>
              <w:jc w:val="both"/>
              <w:rPr>
                <w:rFonts w:ascii="Cambria" w:hAnsi="Cambria"/>
                <w:bCs/>
                <w:sz w:val="20"/>
                <w:szCs w:val="20"/>
                <w:lang w:val="es-ES"/>
              </w:rPr>
            </w:pPr>
            <w:r>
              <w:rPr>
                <w:rFonts w:ascii="Cambria" w:hAnsi="Cambria"/>
                <w:bCs/>
                <w:sz w:val="20"/>
                <w:szCs w:val="20"/>
                <w:lang w:val="es-ES"/>
              </w:rPr>
              <w:t>14 de octubre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5D209CE2" w:rsidR="003239B8" w:rsidRPr="00B3745F" w:rsidRDefault="004D7370"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496AACCD" w:rsidR="003239B8" w:rsidRPr="00B3745F" w:rsidRDefault="004D7370"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680DA518" w:rsidR="003239B8" w:rsidRPr="00B3745F" w:rsidRDefault="004D7370"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CC50DA"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41569EFD" w:rsidR="003239B8" w:rsidRPr="00B3745F" w:rsidRDefault="004D7370" w:rsidP="008D2290">
            <w:pPr>
              <w:jc w:val="both"/>
              <w:rPr>
                <w:rFonts w:ascii="Cambria" w:hAnsi="Cambria"/>
                <w:bCs/>
                <w:sz w:val="20"/>
                <w:szCs w:val="20"/>
                <w:lang w:val="es-ES"/>
              </w:rPr>
            </w:pPr>
            <w:r>
              <w:rPr>
                <w:rFonts w:ascii="Cambria" w:hAnsi="Cambria"/>
                <w:bCs/>
                <w:sz w:val="20"/>
                <w:szCs w:val="20"/>
                <w:lang w:val="es-ES"/>
              </w:rPr>
              <w:t>Sí, Convención Americana</w:t>
            </w:r>
            <w:r w:rsidR="00BB6A0F">
              <w:rPr>
                <w:rFonts w:ascii="Cambria" w:hAnsi="Cambria"/>
                <w:bCs/>
                <w:sz w:val="20"/>
                <w:szCs w:val="20"/>
                <w:lang w:val="es-ES"/>
              </w:rPr>
              <w:t xml:space="preserve"> </w:t>
            </w:r>
            <w:r w:rsidR="00BB6A0F" w:rsidRPr="00A67FC9">
              <w:rPr>
                <w:rFonts w:asciiTheme="majorHAnsi" w:hAnsiTheme="majorHAnsi"/>
                <w:color w:val="222222"/>
                <w:sz w:val="20"/>
                <w:szCs w:val="20"/>
                <w:shd w:val="clear" w:color="auto" w:fill="FFFFFF"/>
                <w:lang w:val="es-ES_tradnl"/>
              </w:rPr>
              <w:t xml:space="preserve">(depósito de instrumento de ratificación realizado el </w:t>
            </w:r>
            <w:r w:rsidR="00CF0183">
              <w:rPr>
                <w:rFonts w:asciiTheme="majorHAnsi" w:hAnsiTheme="majorHAnsi"/>
                <w:color w:val="222222"/>
                <w:sz w:val="20"/>
                <w:szCs w:val="20"/>
                <w:shd w:val="clear" w:color="auto" w:fill="FFFFFF"/>
                <w:lang w:val="es-ES_tradnl"/>
              </w:rPr>
              <w:t>8</w:t>
            </w:r>
            <w:r w:rsidR="00CF0183" w:rsidRPr="00A67FC9">
              <w:rPr>
                <w:rFonts w:asciiTheme="majorHAnsi" w:hAnsiTheme="majorHAnsi"/>
                <w:color w:val="222222"/>
                <w:sz w:val="20"/>
                <w:szCs w:val="20"/>
                <w:shd w:val="clear" w:color="auto" w:fill="FFFFFF"/>
                <w:lang w:val="es-ES_tradnl"/>
              </w:rPr>
              <w:t xml:space="preserve"> </w:t>
            </w:r>
            <w:r w:rsidR="00BB6A0F" w:rsidRPr="00A67FC9">
              <w:rPr>
                <w:rFonts w:asciiTheme="majorHAnsi" w:hAnsiTheme="majorHAnsi"/>
                <w:color w:val="222222"/>
                <w:sz w:val="20"/>
                <w:szCs w:val="20"/>
                <w:shd w:val="clear" w:color="auto" w:fill="FFFFFF"/>
                <w:lang w:val="es-ES_tradnl"/>
              </w:rPr>
              <w:t xml:space="preserve">de </w:t>
            </w:r>
            <w:r w:rsidR="00CF0183">
              <w:rPr>
                <w:rFonts w:asciiTheme="majorHAnsi" w:hAnsiTheme="majorHAnsi"/>
                <w:color w:val="222222"/>
                <w:sz w:val="20"/>
                <w:szCs w:val="20"/>
                <w:shd w:val="clear" w:color="auto" w:fill="FFFFFF"/>
                <w:lang w:val="es-ES_tradnl"/>
              </w:rPr>
              <w:t>septiembre</w:t>
            </w:r>
            <w:r w:rsidR="00CF0183" w:rsidRPr="00A67FC9">
              <w:rPr>
                <w:rFonts w:asciiTheme="majorHAnsi" w:hAnsiTheme="majorHAnsi"/>
                <w:color w:val="222222"/>
                <w:sz w:val="20"/>
                <w:szCs w:val="20"/>
                <w:shd w:val="clear" w:color="auto" w:fill="FFFFFF"/>
                <w:lang w:val="es-ES_tradnl"/>
              </w:rPr>
              <w:t xml:space="preserve"> </w:t>
            </w:r>
            <w:r w:rsidR="00BB6A0F" w:rsidRPr="00A67FC9">
              <w:rPr>
                <w:rFonts w:asciiTheme="majorHAnsi" w:hAnsiTheme="majorHAnsi"/>
                <w:color w:val="222222"/>
                <w:sz w:val="20"/>
                <w:szCs w:val="20"/>
                <w:shd w:val="clear" w:color="auto" w:fill="FFFFFF"/>
                <w:lang w:val="es-ES_tradnl"/>
              </w:rPr>
              <w:t>de 197</w:t>
            </w:r>
            <w:r w:rsidR="00BB6A0F">
              <w:rPr>
                <w:rFonts w:asciiTheme="majorHAnsi" w:hAnsiTheme="majorHAnsi"/>
                <w:color w:val="222222"/>
                <w:sz w:val="20"/>
                <w:szCs w:val="20"/>
                <w:shd w:val="clear" w:color="auto" w:fill="FFFFFF"/>
                <w:lang w:val="es-ES_tradnl"/>
              </w:rPr>
              <w:t>7</w:t>
            </w:r>
            <w:r w:rsidR="00BB6A0F" w:rsidRPr="00A67FC9">
              <w:rPr>
                <w:rFonts w:asciiTheme="majorHAnsi" w:hAnsiTheme="majorHAnsi"/>
                <w:color w:val="222222"/>
                <w:sz w:val="20"/>
                <w:szCs w:val="20"/>
                <w:shd w:val="clear" w:color="auto" w:fill="FFFFFF"/>
                <w:lang w:val="es-ES_tradnl"/>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4E662D"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5171B395" w:rsidR="00EE00E9" w:rsidRPr="00DC24E3" w:rsidRDefault="00BB6A0F" w:rsidP="008D2290">
            <w:pPr>
              <w:jc w:val="both"/>
              <w:rPr>
                <w:rFonts w:ascii="Cambria" w:hAnsi="Cambria"/>
                <w:bCs/>
                <w:sz w:val="20"/>
                <w:szCs w:val="20"/>
                <w:lang w:val="es-ES"/>
              </w:rPr>
            </w:pPr>
            <w:r>
              <w:rPr>
                <w:rFonts w:ascii="Cambria" w:hAnsi="Cambria"/>
                <w:bCs/>
                <w:sz w:val="20"/>
                <w:szCs w:val="20"/>
                <w:lang w:val="es-ES"/>
              </w:rPr>
              <w:t>No</w:t>
            </w:r>
          </w:p>
        </w:tc>
      </w:tr>
      <w:tr w:rsidR="003239B8" w:rsidRPr="00CC50DA"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574FBB94" w:rsidR="003239B8" w:rsidRPr="00CD65D6" w:rsidRDefault="00545D20" w:rsidP="008D2290">
            <w:pPr>
              <w:jc w:val="both"/>
              <w:rPr>
                <w:rFonts w:ascii="Cambria" w:hAnsi="Cambria"/>
                <w:bCs/>
                <w:sz w:val="20"/>
                <w:szCs w:val="20"/>
                <w:lang w:val="es-ES"/>
              </w:rPr>
            </w:pPr>
            <w:r w:rsidRPr="00CD65D6">
              <w:rPr>
                <w:rFonts w:ascii="Cambria" w:hAnsi="Cambria"/>
                <w:bCs/>
                <w:sz w:val="20"/>
                <w:szCs w:val="20"/>
                <w:lang w:val="es-ES"/>
              </w:rPr>
              <w:t>Artículos 3</w:t>
            </w:r>
            <w:r>
              <w:rPr>
                <w:rFonts w:ascii="Cambria" w:hAnsi="Cambria"/>
                <w:bCs/>
                <w:sz w:val="20"/>
                <w:szCs w:val="20"/>
                <w:lang w:val="es-ES"/>
              </w:rPr>
              <w:t xml:space="preserve"> (reconocimiento de la personalidad jurídica)</w:t>
            </w:r>
            <w:r w:rsidRPr="00CD65D6">
              <w:rPr>
                <w:rFonts w:ascii="Cambria" w:hAnsi="Cambria"/>
                <w:bCs/>
                <w:sz w:val="20"/>
                <w:szCs w:val="20"/>
                <w:lang w:val="es-ES"/>
              </w:rPr>
              <w:t>, 8</w:t>
            </w:r>
            <w:r>
              <w:rPr>
                <w:rFonts w:ascii="Cambria" w:hAnsi="Cambria"/>
                <w:bCs/>
                <w:sz w:val="20"/>
                <w:szCs w:val="20"/>
                <w:lang w:val="es-ES"/>
              </w:rPr>
              <w:t xml:space="preserve"> (garantías judiciales)</w:t>
            </w:r>
            <w:r w:rsidRPr="00CD65D6">
              <w:rPr>
                <w:rFonts w:ascii="Cambria" w:hAnsi="Cambria"/>
                <w:bCs/>
                <w:sz w:val="20"/>
                <w:szCs w:val="20"/>
                <w:lang w:val="es-ES"/>
              </w:rPr>
              <w:t>, 13</w:t>
            </w:r>
            <w:r>
              <w:rPr>
                <w:rFonts w:ascii="Cambria" w:hAnsi="Cambria"/>
                <w:bCs/>
                <w:sz w:val="20"/>
                <w:szCs w:val="20"/>
                <w:lang w:val="es-ES"/>
              </w:rPr>
              <w:t xml:space="preserve"> (libertad de pensamiento y expresión)</w:t>
            </w:r>
            <w:r w:rsidRPr="00CD65D6">
              <w:rPr>
                <w:rFonts w:ascii="Cambria" w:hAnsi="Cambria"/>
                <w:bCs/>
                <w:sz w:val="20"/>
                <w:szCs w:val="20"/>
                <w:lang w:val="es-ES"/>
              </w:rPr>
              <w:t>, 18</w:t>
            </w:r>
            <w:r>
              <w:rPr>
                <w:rFonts w:ascii="Cambria" w:hAnsi="Cambria"/>
                <w:bCs/>
                <w:sz w:val="20"/>
                <w:szCs w:val="20"/>
                <w:lang w:val="es-ES"/>
              </w:rPr>
              <w:t xml:space="preserve"> (nombre)</w:t>
            </w:r>
            <w:r w:rsidRPr="00CD65D6">
              <w:rPr>
                <w:rFonts w:ascii="Cambria" w:hAnsi="Cambria"/>
                <w:bCs/>
                <w:sz w:val="20"/>
                <w:szCs w:val="20"/>
                <w:lang w:val="es-ES"/>
              </w:rPr>
              <w:t xml:space="preserve">, 24 </w:t>
            </w:r>
            <w:r>
              <w:rPr>
                <w:rFonts w:ascii="Cambria" w:hAnsi="Cambria"/>
                <w:bCs/>
                <w:sz w:val="20"/>
                <w:szCs w:val="20"/>
                <w:lang w:val="es-ES"/>
              </w:rPr>
              <w:t xml:space="preserve">(igualdad ante la ley) </w:t>
            </w:r>
            <w:r w:rsidRPr="00CD65D6">
              <w:rPr>
                <w:rFonts w:ascii="Cambria" w:hAnsi="Cambria"/>
                <w:bCs/>
                <w:sz w:val="20"/>
                <w:szCs w:val="20"/>
                <w:lang w:val="es-ES"/>
              </w:rPr>
              <w:t>y 25</w:t>
            </w:r>
            <w:r>
              <w:rPr>
                <w:rFonts w:ascii="Cambria" w:hAnsi="Cambria"/>
                <w:bCs/>
                <w:sz w:val="20"/>
                <w:szCs w:val="20"/>
                <w:lang w:val="es-ES"/>
              </w:rPr>
              <w:t xml:space="preserve"> (protección judicial) de la Convención Americana sobre Derechos Humanos</w:t>
            </w:r>
            <w:r w:rsidRPr="00A67FC9">
              <w:rPr>
                <w:rStyle w:val="FootnoteReference"/>
                <w:rFonts w:asciiTheme="majorHAnsi" w:hAnsiTheme="majorHAnsi"/>
                <w:bCs/>
                <w:noProof/>
                <w:sz w:val="20"/>
                <w:szCs w:val="20"/>
                <w:lang w:val="es-ES_tradnl"/>
              </w:rPr>
              <w:footnoteReference w:id="4"/>
            </w:r>
            <w:r>
              <w:rPr>
                <w:rFonts w:ascii="Cambria" w:hAnsi="Cambria"/>
                <w:bCs/>
                <w:sz w:val="20"/>
                <w:szCs w:val="20"/>
                <w:lang w:val="es-ES"/>
              </w:rPr>
              <w:t>, en relación con su artículo 1.1 (obligación de respetar los derechos)</w:t>
            </w:r>
          </w:p>
        </w:tc>
      </w:tr>
      <w:tr w:rsidR="003239B8" w:rsidRPr="00CC50DA"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3A7332D1" w:rsidR="003239B8" w:rsidRPr="00DC24E3" w:rsidRDefault="00BB6A0F" w:rsidP="008D2290">
            <w:pPr>
              <w:rPr>
                <w:rFonts w:ascii="Cambria" w:hAnsi="Cambria"/>
                <w:bCs/>
                <w:sz w:val="20"/>
                <w:szCs w:val="20"/>
                <w:lang w:val="es-ES"/>
              </w:rPr>
            </w:pPr>
            <w:r w:rsidRPr="00A67FC9">
              <w:rPr>
                <w:rFonts w:asciiTheme="majorHAnsi" w:hAnsiTheme="majorHAnsi"/>
                <w:bCs/>
                <w:color w:val="000000" w:themeColor="text1"/>
                <w:sz w:val="20"/>
                <w:szCs w:val="20"/>
                <w:lang w:val="es-ES_tradnl"/>
              </w:rPr>
              <w:t>Sí, en los términos de la sección VI</w:t>
            </w:r>
          </w:p>
        </w:tc>
      </w:tr>
      <w:tr w:rsidR="003239B8" w:rsidRPr="00CC50DA"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20CAE3EE" w:rsidR="003239B8" w:rsidRPr="00BB6A0F" w:rsidRDefault="00BB6A0F" w:rsidP="008D2290">
            <w:pPr>
              <w:rPr>
                <w:rFonts w:ascii="Cambria" w:hAnsi="Cambria"/>
                <w:bCs/>
                <w:sz w:val="20"/>
                <w:szCs w:val="20"/>
                <w:lang w:val="es-ES"/>
              </w:rPr>
            </w:pPr>
            <w:r w:rsidRPr="00A67FC9">
              <w:rPr>
                <w:rFonts w:asciiTheme="majorHAnsi" w:hAnsiTheme="majorHAnsi"/>
                <w:bCs/>
                <w:color w:val="000000" w:themeColor="text1"/>
                <w:sz w:val="20"/>
                <w:szCs w:val="20"/>
                <w:lang w:val="es-ES_tradnl"/>
              </w:rPr>
              <w:t>Sí, en los términos de la sección VI</w:t>
            </w:r>
          </w:p>
        </w:tc>
      </w:tr>
    </w:tbl>
    <w:p w14:paraId="0D97064A" w14:textId="77777777" w:rsidR="002131F4" w:rsidRDefault="002131F4" w:rsidP="002131F4">
      <w:pPr>
        <w:rPr>
          <w:rFonts w:asciiTheme="majorHAnsi" w:hAnsiTheme="majorHAnsi"/>
          <w:b/>
          <w:sz w:val="20"/>
          <w:szCs w:val="20"/>
          <w:lang w:val="es-ES_tradnl"/>
        </w:rPr>
      </w:pPr>
    </w:p>
    <w:p w14:paraId="18E6423B" w14:textId="75D8EBC5" w:rsidR="003239B8" w:rsidRDefault="00223A29" w:rsidP="002131F4">
      <w:pPr>
        <w:ind w:firstLine="720"/>
        <w:rPr>
          <w:rFonts w:asciiTheme="majorHAnsi" w:hAnsiTheme="majorHAnsi"/>
          <w:b/>
          <w:sz w:val="20"/>
          <w:szCs w:val="20"/>
          <w:lang w:val="es-ES_tradnl"/>
        </w:rPr>
      </w:pPr>
      <w:r w:rsidRPr="00402C60">
        <w:rPr>
          <w:rFonts w:asciiTheme="majorHAnsi" w:hAnsiTheme="majorHAnsi"/>
          <w:b/>
          <w:sz w:val="20"/>
          <w:szCs w:val="20"/>
          <w:lang w:val="es-ES_tradnl"/>
        </w:rPr>
        <w:t xml:space="preserve">V. </w:t>
      </w:r>
      <w:r w:rsidRPr="00402C60">
        <w:rPr>
          <w:rFonts w:asciiTheme="majorHAnsi" w:hAnsiTheme="majorHAnsi"/>
          <w:b/>
          <w:sz w:val="20"/>
          <w:szCs w:val="20"/>
          <w:lang w:val="es-ES_tradnl"/>
        </w:rPr>
        <w:tab/>
      </w:r>
      <w:r w:rsidR="003239B8" w:rsidRPr="00402C60">
        <w:rPr>
          <w:rFonts w:asciiTheme="majorHAnsi" w:hAnsiTheme="majorHAnsi"/>
          <w:b/>
          <w:sz w:val="20"/>
          <w:szCs w:val="20"/>
          <w:lang w:val="es-ES_tradnl"/>
        </w:rPr>
        <w:t xml:space="preserve">HECHOS ALEGADOS </w:t>
      </w:r>
    </w:p>
    <w:p w14:paraId="1DD9C8D3" w14:textId="77777777" w:rsidR="002131F4" w:rsidRPr="00402C60" w:rsidRDefault="002131F4" w:rsidP="002131F4">
      <w:pPr>
        <w:ind w:firstLine="720"/>
        <w:rPr>
          <w:rFonts w:asciiTheme="majorHAnsi" w:hAnsiTheme="majorHAnsi"/>
          <w:b/>
          <w:sz w:val="20"/>
          <w:szCs w:val="20"/>
          <w:lang w:val="es-ES_tradnl"/>
        </w:rPr>
      </w:pPr>
    </w:p>
    <w:p w14:paraId="4323E57A" w14:textId="529BA895" w:rsidR="001106DC" w:rsidRPr="00402C60" w:rsidRDefault="001106DC" w:rsidP="001106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02C60">
        <w:rPr>
          <w:rFonts w:asciiTheme="majorHAnsi" w:hAnsiTheme="majorHAnsi"/>
          <w:sz w:val="20"/>
          <w:szCs w:val="20"/>
          <w:lang w:val="es-ES_tradnl"/>
        </w:rPr>
        <w:t xml:space="preserve">La parte peticionaria denuncia que el Estado discriminó a la presunta víctima </w:t>
      </w:r>
      <w:r w:rsidR="00D31BC9">
        <w:rPr>
          <w:rFonts w:asciiTheme="majorHAnsi" w:hAnsiTheme="majorHAnsi"/>
          <w:sz w:val="20"/>
          <w:szCs w:val="20"/>
          <w:lang w:val="es-ES_tradnl"/>
        </w:rPr>
        <w:t>con</w:t>
      </w:r>
      <w:r w:rsidRPr="00402C60">
        <w:rPr>
          <w:rFonts w:asciiTheme="majorHAnsi" w:hAnsiTheme="majorHAnsi"/>
          <w:sz w:val="20"/>
          <w:szCs w:val="20"/>
          <w:lang w:val="es-ES_tradnl"/>
        </w:rPr>
        <w:t xml:space="preserve"> base a su identidad de género por no contar </w:t>
      </w:r>
      <w:r w:rsidR="00A223BB">
        <w:rPr>
          <w:rFonts w:asciiTheme="majorHAnsi" w:hAnsiTheme="majorHAnsi"/>
          <w:sz w:val="20"/>
          <w:szCs w:val="20"/>
          <w:lang w:val="es-ES_tradnl"/>
        </w:rPr>
        <w:t xml:space="preserve">con </w:t>
      </w:r>
      <w:r w:rsidRPr="00402C60">
        <w:rPr>
          <w:rFonts w:asciiTheme="majorHAnsi" w:hAnsiTheme="majorHAnsi"/>
          <w:sz w:val="20"/>
          <w:szCs w:val="20"/>
          <w:lang w:val="es-ES_tradnl"/>
        </w:rPr>
        <w:t xml:space="preserve">un recurso o procedimiento que le permita adecuar sus datos identitarios. </w:t>
      </w:r>
    </w:p>
    <w:p w14:paraId="69673E0E" w14:textId="2E11586F" w:rsidR="001106DC" w:rsidRPr="00402C60" w:rsidRDefault="002C56FA" w:rsidP="001106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02C60">
        <w:rPr>
          <w:rFonts w:asciiTheme="majorHAnsi" w:hAnsiTheme="majorHAnsi"/>
          <w:sz w:val="20"/>
          <w:szCs w:val="20"/>
          <w:lang w:val="es-ES_tradnl"/>
        </w:rPr>
        <w:lastRenderedPageBreak/>
        <w:t>Los peticionarios alegan</w:t>
      </w:r>
      <w:r w:rsidR="001F78C5" w:rsidRPr="00402C60">
        <w:rPr>
          <w:rFonts w:asciiTheme="majorHAnsi" w:hAnsiTheme="majorHAnsi"/>
          <w:sz w:val="20"/>
          <w:szCs w:val="20"/>
          <w:lang w:val="es-ES_tradnl"/>
        </w:rPr>
        <w:t xml:space="preserve"> que </w:t>
      </w:r>
      <w:r w:rsidR="0072498A" w:rsidRPr="00402C60">
        <w:rPr>
          <w:rFonts w:asciiTheme="majorHAnsi" w:hAnsiTheme="majorHAnsi"/>
          <w:sz w:val="20"/>
          <w:szCs w:val="20"/>
          <w:lang w:val="es-ES_tradnl"/>
        </w:rPr>
        <w:t xml:space="preserve">los </w:t>
      </w:r>
      <w:r w:rsidR="0075785B" w:rsidRPr="00402C60">
        <w:rPr>
          <w:rFonts w:asciiTheme="majorHAnsi" w:hAnsiTheme="majorHAnsi"/>
          <w:sz w:val="20"/>
          <w:szCs w:val="20"/>
          <w:lang w:val="es-ES_tradnl"/>
        </w:rPr>
        <w:t>numerales</w:t>
      </w:r>
      <w:r w:rsidR="0072498A" w:rsidRPr="00402C60">
        <w:rPr>
          <w:rFonts w:asciiTheme="majorHAnsi" w:hAnsiTheme="majorHAnsi"/>
          <w:sz w:val="20"/>
          <w:szCs w:val="20"/>
          <w:lang w:val="es-ES_tradnl"/>
        </w:rPr>
        <w:t xml:space="preserve"> 4 y 24 del Artículo 30 del Reglamento de la Ley del Registro Nacional </w:t>
      </w:r>
      <w:r w:rsidR="001F78C5" w:rsidRPr="00402C60">
        <w:rPr>
          <w:rFonts w:asciiTheme="majorHAnsi" w:hAnsiTheme="majorHAnsi"/>
          <w:sz w:val="20"/>
          <w:szCs w:val="20"/>
          <w:lang w:val="es-ES_tradnl"/>
        </w:rPr>
        <w:t>de las Personas</w:t>
      </w:r>
      <w:r w:rsidR="0075785B" w:rsidRPr="00402C60">
        <w:rPr>
          <w:rFonts w:asciiTheme="majorHAnsi" w:hAnsiTheme="majorHAnsi"/>
          <w:sz w:val="20"/>
          <w:szCs w:val="20"/>
          <w:lang w:val="es-ES_tradnl"/>
        </w:rPr>
        <w:t xml:space="preserve"> (</w:t>
      </w:r>
      <w:r w:rsidR="001106DC" w:rsidRPr="00402C60">
        <w:rPr>
          <w:rFonts w:asciiTheme="majorHAnsi" w:hAnsiTheme="majorHAnsi"/>
          <w:sz w:val="20"/>
          <w:szCs w:val="20"/>
          <w:lang w:val="es-ES_tradnl"/>
        </w:rPr>
        <w:t>e</w:t>
      </w:r>
      <w:r w:rsidR="0075785B" w:rsidRPr="00402C60">
        <w:rPr>
          <w:rFonts w:asciiTheme="majorHAnsi" w:hAnsiTheme="majorHAnsi"/>
          <w:sz w:val="20"/>
          <w:szCs w:val="20"/>
          <w:lang w:val="es-ES_tradnl"/>
        </w:rPr>
        <w:t>n adelante, “Ley del RNP”)</w:t>
      </w:r>
      <w:r w:rsidR="001F78C5" w:rsidRPr="00402C60">
        <w:rPr>
          <w:rFonts w:asciiTheme="majorHAnsi" w:hAnsiTheme="majorHAnsi"/>
          <w:sz w:val="20"/>
          <w:szCs w:val="20"/>
          <w:lang w:val="es-ES_tradnl"/>
        </w:rPr>
        <w:t xml:space="preserve"> prohíbe a los oficiales civiles ordenar cambios de nombres en la inscripción original de nacimiento, salvo </w:t>
      </w:r>
      <w:r w:rsidR="0072498A" w:rsidRPr="00402C60">
        <w:rPr>
          <w:rFonts w:asciiTheme="majorHAnsi" w:hAnsiTheme="majorHAnsi"/>
          <w:sz w:val="20"/>
          <w:szCs w:val="20"/>
          <w:lang w:val="es-ES_tradnl"/>
        </w:rPr>
        <w:t>en limitadas excepciones</w:t>
      </w:r>
      <w:r w:rsidR="0072498A" w:rsidRPr="00402C60">
        <w:rPr>
          <w:rStyle w:val="FootnoteReference"/>
          <w:rFonts w:asciiTheme="majorHAnsi" w:hAnsiTheme="majorHAnsi"/>
          <w:sz w:val="20"/>
          <w:szCs w:val="20"/>
          <w:lang w:val="es-ES_tradnl"/>
        </w:rPr>
        <w:footnoteReference w:id="5"/>
      </w:r>
      <w:r w:rsidR="0072498A" w:rsidRPr="00402C60">
        <w:rPr>
          <w:rFonts w:asciiTheme="majorHAnsi" w:hAnsiTheme="majorHAnsi"/>
          <w:sz w:val="20"/>
          <w:szCs w:val="20"/>
          <w:lang w:val="es-ES_tradnl"/>
        </w:rPr>
        <w:t xml:space="preserve">. </w:t>
      </w:r>
    </w:p>
    <w:p w14:paraId="058E7CA7" w14:textId="69A759F6" w:rsidR="001F78C5" w:rsidRPr="00402C60" w:rsidRDefault="001F78C5" w:rsidP="001106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02C60">
        <w:rPr>
          <w:rFonts w:asciiTheme="majorHAnsi" w:hAnsiTheme="majorHAnsi"/>
          <w:sz w:val="20"/>
          <w:szCs w:val="20"/>
          <w:lang w:val="es-ES_tradnl"/>
        </w:rPr>
        <w:t>En razón a ello, sostiene</w:t>
      </w:r>
      <w:r w:rsidR="00597076" w:rsidRPr="00402C60">
        <w:rPr>
          <w:rFonts w:asciiTheme="majorHAnsi" w:hAnsiTheme="majorHAnsi"/>
          <w:sz w:val="20"/>
          <w:szCs w:val="20"/>
          <w:lang w:val="es-ES_tradnl"/>
        </w:rPr>
        <w:t>n</w:t>
      </w:r>
      <w:r w:rsidRPr="00402C60">
        <w:rPr>
          <w:rFonts w:asciiTheme="majorHAnsi" w:hAnsiTheme="majorHAnsi"/>
          <w:sz w:val="20"/>
          <w:szCs w:val="20"/>
          <w:lang w:val="es-ES_tradnl"/>
        </w:rPr>
        <w:t xml:space="preserve"> que </w:t>
      </w:r>
      <w:r w:rsidR="00EA5F9E" w:rsidRPr="00402C60">
        <w:rPr>
          <w:rFonts w:asciiTheme="majorHAnsi" w:hAnsiTheme="majorHAnsi"/>
          <w:sz w:val="20"/>
          <w:szCs w:val="20"/>
          <w:lang w:val="es-ES_tradnl"/>
        </w:rPr>
        <w:t>el 19 de agosto de 2012</w:t>
      </w:r>
      <w:r w:rsidR="00DE2087" w:rsidRPr="00402C60">
        <w:rPr>
          <w:rFonts w:asciiTheme="majorHAnsi" w:hAnsiTheme="majorHAnsi"/>
          <w:sz w:val="20"/>
          <w:szCs w:val="20"/>
          <w:lang w:val="es-ES_tradnl"/>
        </w:rPr>
        <w:t xml:space="preserve"> </w:t>
      </w:r>
      <w:r w:rsidRPr="00402C60">
        <w:rPr>
          <w:rFonts w:asciiTheme="majorHAnsi" w:hAnsiTheme="majorHAnsi"/>
          <w:sz w:val="20"/>
          <w:szCs w:val="20"/>
          <w:lang w:val="es-ES_tradnl"/>
        </w:rPr>
        <w:t xml:space="preserve">la presunta víctima </w:t>
      </w:r>
      <w:r w:rsidR="00DE2087" w:rsidRPr="00402C60">
        <w:rPr>
          <w:rFonts w:asciiTheme="majorHAnsi" w:hAnsiTheme="majorHAnsi"/>
          <w:sz w:val="20"/>
          <w:szCs w:val="20"/>
          <w:lang w:val="es-ES_tradnl"/>
        </w:rPr>
        <w:t xml:space="preserve">solicitó a un </w:t>
      </w:r>
      <w:r w:rsidR="00110382" w:rsidRPr="00402C60">
        <w:rPr>
          <w:rFonts w:asciiTheme="majorHAnsi" w:hAnsiTheme="majorHAnsi"/>
          <w:sz w:val="20"/>
          <w:szCs w:val="20"/>
          <w:lang w:val="es-ES_tradnl"/>
        </w:rPr>
        <w:t xml:space="preserve">notario </w:t>
      </w:r>
      <w:r w:rsidR="00DE2087" w:rsidRPr="00402C60">
        <w:rPr>
          <w:rFonts w:asciiTheme="majorHAnsi" w:hAnsiTheme="majorHAnsi"/>
          <w:sz w:val="20"/>
          <w:szCs w:val="20"/>
          <w:lang w:val="es-ES_tradnl"/>
        </w:rPr>
        <w:t>que certificara que</w:t>
      </w:r>
      <w:r w:rsidRPr="00402C60">
        <w:rPr>
          <w:rFonts w:asciiTheme="majorHAnsi" w:hAnsiTheme="majorHAnsi"/>
          <w:sz w:val="20"/>
          <w:szCs w:val="20"/>
          <w:lang w:val="es-ES_tradnl"/>
        </w:rPr>
        <w:t xml:space="preserve"> </w:t>
      </w:r>
      <w:proofErr w:type="spellStart"/>
      <w:r w:rsidRPr="00402C60">
        <w:rPr>
          <w:rFonts w:asciiTheme="majorHAnsi" w:hAnsiTheme="majorHAnsi"/>
          <w:sz w:val="20"/>
          <w:szCs w:val="20"/>
          <w:lang w:val="es-ES_tradnl"/>
        </w:rPr>
        <w:t>Gabrie</w:t>
      </w:r>
      <w:proofErr w:type="spellEnd"/>
      <w:r w:rsidRPr="00402C60">
        <w:rPr>
          <w:rFonts w:asciiTheme="majorHAnsi" w:hAnsiTheme="majorHAnsi"/>
          <w:sz w:val="20"/>
          <w:szCs w:val="20"/>
          <w:lang w:val="es-ES_tradnl"/>
        </w:rPr>
        <w:t xml:space="preserve"> </w:t>
      </w:r>
      <w:proofErr w:type="spellStart"/>
      <w:r w:rsidRPr="00402C60">
        <w:rPr>
          <w:rFonts w:asciiTheme="majorHAnsi" w:hAnsiTheme="majorHAnsi"/>
          <w:sz w:val="20"/>
          <w:szCs w:val="20"/>
          <w:lang w:val="es-ES_tradnl"/>
        </w:rPr>
        <w:t>Mass</w:t>
      </w:r>
      <w:proofErr w:type="spellEnd"/>
      <w:r w:rsidRPr="00402C60">
        <w:rPr>
          <w:rFonts w:asciiTheme="majorHAnsi" w:hAnsiTheme="majorHAnsi"/>
          <w:sz w:val="20"/>
          <w:szCs w:val="20"/>
          <w:lang w:val="es-ES_tradnl"/>
        </w:rPr>
        <w:t xml:space="preserve"> Cáceres -su nombre asumido- y Miriam Gabriela Cáceres Padilla -su identidad legal- son la misma persona. </w:t>
      </w:r>
      <w:r w:rsidR="00597076" w:rsidRPr="00402C60">
        <w:rPr>
          <w:rFonts w:asciiTheme="majorHAnsi" w:hAnsiTheme="majorHAnsi"/>
          <w:sz w:val="20"/>
          <w:szCs w:val="20"/>
          <w:lang w:val="es-ES_tradnl"/>
        </w:rPr>
        <w:t xml:space="preserve">Así, </w:t>
      </w:r>
      <w:r w:rsidR="00DE2087" w:rsidRPr="00402C60">
        <w:rPr>
          <w:rFonts w:asciiTheme="majorHAnsi" w:hAnsiTheme="majorHAnsi"/>
          <w:sz w:val="20"/>
          <w:szCs w:val="20"/>
          <w:lang w:val="es-ES_tradnl"/>
        </w:rPr>
        <w:t xml:space="preserve">el 4 de septiembre de 2013 </w:t>
      </w:r>
      <w:r w:rsidR="00597076" w:rsidRPr="00402C60">
        <w:rPr>
          <w:rFonts w:asciiTheme="majorHAnsi" w:hAnsiTheme="majorHAnsi"/>
          <w:sz w:val="20"/>
          <w:szCs w:val="20"/>
          <w:lang w:val="es-ES_tradnl"/>
        </w:rPr>
        <w:t>este notario certificó</w:t>
      </w:r>
      <w:r w:rsidR="00AB4790" w:rsidRPr="00402C60">
        <w:rPr>
          <w:rFonts w:asciiTheme="majorHAnsi" w:hAnsiTheme="majorHAnsi"/>
          <w:sz w:val="20"/>
          <w:szCs w:val="20"/>
          <w:lang w:val="es-ES_tradnl"/>
        </w:rPr>
        <w:t>, dentro de sus facultades de dar fe pública,</w:t>
      </w:r>
      <w:r w:rsidRPr="00402C60">
        <w:rPr>
          <w:rFonts w:asciiTheme="majorHAnsi" w:hAnsiTheme="majorHAnsi"/>
          <w:sz w:val="20"/>
          <w:szCs w:val="20"/>
          <w:lang w:val="es-ES_tradnl"/>
        </w:rPr>
        <w:t xml:space="preserve"> que los dos nombres </w:t>
      </w:r>
      <w:r w:rsidR="00597076" w:rsidRPr="00402C60">
        <w:rPr>
          <w:rFonts w:asciiTheme="majorHAnsi" w:hAnsiTheme="majorHAnsi"/>
          <w:sz w:val="20"/>
          <w:szCs w:val="20"/>
          <w:lang w:val="es-ES_tradnl"/>
        </w:rPr>
        <w:t>corresponden</w:t>
      </w:r>
      <w:r w:rsidRPr="00402C60">
        <w:rPr>
          <w:rFonts w:asciiTheme="majorHAnsi" w:hAnsiTheme="majorHAnsi"/>
          <w:sz w:val="20"/>
          <w:szCs w:val="20"/>
          <w:lang w:val="es-ES_tradnl"/>
        </w:rPr>
        <w:t xml:space="preserve"> a la misma persona.</w:t>
      </w:r>
      <w:r w:rsidR="001106DC" w:rsidRPr="00402C60">
        <w:rPr>
          <w:rFonts w:asciiTheme="majorHAnsi" w:hAnsiTheme="majorHAnsi"/>
          <w:sz w:val="20"/>
          <w:szCs w:val="20"/>
          <w:lang w:val="es-ES_tradnl"/>
        </w:rPr>
        <w:t xml:space="preserve"> </w:t>
      </w:r>
    </w:p>
    <w:p w14:paraId="0B3FFE2A" w14:textId="5FE56DBB" w:rsidR="00D50F4D" w:rsidRPr="00402C60" w:rsidRDefault="001106DC" w:rsidP="001106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02C60">
        <w:rPr>
          <w:rFonts w:asciiTheme="majorHAnsi" w:hAnsiTheme="majorHAnsi"/>
          <w:sz w:val="20"/>
          <w:szCs w:val="20"/>
          <w:lang w:val="es-ES_tradnl"/>
        </w:rPr>
        <w:t>No obstante, dado que el citado documento no otorga los mismos efectos jurídicos que un cambio de nombre en el registro nacional de personas,</w:t>
      </w:r>
      <w:r w:rsidR="00DE2087" w:rsidRPr="00402C60">
        <w:rPr>
          <w:rFonts w:asciiTheme="majorHAnsi" w:hAnsiTheme="majorHAnsi"/>
          <w:sz w:val="20"/>
          <w:szCs w:val="20"/>
          <w:lang w:val="es-ES_tradnl"/>
        </w:rPr>
        <w:t xml:space="preserve"> la pre</w:t>
      </w:r>
      <w:r w:rsidR="0075785B" w:rsidRPr="00402C60">
        <w:rPr>
          <w:rFonts w:asciiTheme="majorHAnsi" w:hAnsiTheme="majorHAnsi"/>
          <w:sz w:val="20"/>
          <w:szCs w:val="20"/>
          <w:lang w:val="es-ES_tradnl"/>
        </w:rPr>
        <w:t>s</w:t>
      </w:r>
      <w:r w:rsidR="00DE2087" w:rsidRPr="00402C60">
        <w:rPr>
          <w:rFonts w:asciiTheme="majorHAnsi" w:hAnsiTheme="majorHAnsi"/>
          <w:sz w:val="20"/>
          <w:szCs w:val="20"/>
          <w:lang w:val="es-ES_tradnl"/>
        </w:rPr>
        <w:t xml:space="preserve">unta víctima promovió </w:t>
      </w:r>
      <w:r w:rsidR="00EC2FB3" w:rsidRPr="00402C60">
        <w:rPr>
          <w:rFonts w:asciiTheme="majorHAnsi" w:hAnsiTheme="majorHAnsi"/>
          <w:sz w:val="20"/>
          <w:szCs w:val="20"/>
          <w:lang w:val="es-ES_tradnl"/>
        </w:rPr>
        <w:t xml:space="preserve">el 3 de marzo de 2014 </w:t>
      </w:r>
      <w:r w:rsidR="00DE2087" w:rsidRPr="00402C60">
        <w:rPr>
          <w:rFonts w:asciiTheme="majorHAnsi" w:hAnsiTheme="majorHAnsi"/>
          <w:sz w:val="20"/>
          <w:szCs w:val="20"/>
          <w:lang w:val="es-ES_tradnl"/>
        </w:rPr>
        <w:t xml:space="preserve">un recurso de inconstitucionalidad, </w:t>
      </w:r>
      <w:r w:rsidR="00110382" w:rsidRPr="00402C60">
        <w:rPr>
          <w:rFonts w:asciiTheme="majorHAnsi" w:hAnsiTheme="majorHAnsi"/>
          <w:sz w:val="20"/>
          <w:szCs w:val="20"/>
          <w:lang w:val="es-ES_tradnl"/>
        </w:rPr>
        <w:t xml:space="preserve">solicitando que se declare la invalidez de las </w:t>
      </w:r>
      <w:r w:rsidR="0075785B" w:rsidRPr="00402C60">
        <w:rPr>
          <w:rFonts w:asciiTheme="majorHAnsi" w:hAnsiTheme="majorHAnsi"/>
          <w:sz w:val="20"/>
          <w:szCs w:val="20"/>
          <w:lang w:val="es-ES_tradnl"/>
        </w:rPr>
        <w:t xml:space="preserve">citadas </w:t>
      </w:r>
      <w:r w:rsidR="00110382" w:rsidRPr="00402C60">
        <w:rPr>
          <w:rFonts w:asciiTheme="majorHAnsi" w:hAnsiTheme="majorHAnsi"/>
          <w:sz w:val="20"/>
          <w:szCs w:val="20"/>
          <w:lang w:val="es-ES_tradnl"/>
        </w:rPr>
        <w:t>normas</w:t>
      </w:r>
      <w:r w:rsidR="0075785B" w:rsidRPr="00402C60">
        <w:rPr>
          <w:rFonts w:asciiTheme="majorHAnsi" w:hAnsiTheme="majorHAnsi"/>
          <w:sz w:val="20"/>
          <w:szCs w:val="20"/>
          <w:lang w:val="es-ES_tradnl"/>
        </w:rPr>
        <w:t xml:space="preserve"> del Reglamento de la Ley del RNP. </w:t>
      </w:r>
      <w:r w:rsidR="00EC2FB3" w:rsidRPr="00402C60">
        <w:rPr>
          <w:rFonts w:asciiTheme="majorHAnsi" w:hAnsiTheme="majorHAnsi"/>
          <w:sz w:val="20"/>
          <w:szCs w:val="20"/>
          <w:lang w:val="es-ES_tradnl"/>
        </w:rPr>
        <w:t>A</w:t>
      </w:r>
      <w:r w:rsidR="0075785B" w:rsidRPr="00402C60">
        <w:rPr>
          <w:rFonts w:asciiTheme="majorHAnsi" w:hAnsiTheme="majorHAnsi"/>
          <w:sz w:val="20"/>
          <w:szCs w:val="20"/>
          <w:lang w:val="es-ES_tradnl"/>
        </w:rPr>
        <w:t xml:space="preserve">nte la dilatación del proceso, el </w:t>
      </w:r>
      <w:r w:rsidR="00D50F4D" w:rsidRPr="00402C60">
        <w:rPr>
          <w:rFonts w:asciiTheme="majorHAnsi" w:hAnsiTheme="majorHAnsi"/>
          <w:sz w:val="20"/>
          <w:szCs w:val="20"/>
          <w:lang w:val="es-ES_tradnl"/>
        </w:rPr>
        <w:t xml:space="preserve">29 de mayo de 2014 la abogada de </w:t>
      </w:r>
      <w:proofErr w:type="spellStart"/>
      <w:r w:rsidR="00D50F4D" w:rsidRPr="00402C60">
        <w:rPr>
          <w:rFonts w:asciiTheme="majorHAnsi" w:hAnsiTheme="majorHAnsi"/>
          <w:sz w:val="20"/>
          <w:szCs w:val="20"/>
          <w:lang w:val="es-ES_tradnl"/>
        </w:rPr>
        <w:t>Gabrie</w:t>
      </w:r>
      <w:proofErr w:type="spellEnd"/>
      <w:r w:rsidR="00D50F4D" w:rsidRPr="00402C60">
        <w:rPr>
          <w:rFonts w:asciiTheme="majorHAnsi" w:hAnsiTheme="majorHAnsi"/>
          <w:sz w:val="20"/>
          <w:szCs w:val="20"/>
          <w:lang w:val="es-ES_tradnl"/>
        </w:rPr>
        <w:t xml:space="preserve"> </w:t>
      </w:r>
      <w:proofErr w:type="spellStart"/>
      <w:r w:rsidR="00D50F4D" w:rsidRPr="00402C60">
        <w:rPr>
          <w:rFonts w:asciiTheme="majorHAnsi" w:hAnsiTheme="majorHAnsi"/>
          <w:sz w:val="20"/>
          <w:szCs w:val="20"/>
          <w:lang w:val="es-ES_tradnl"/>
        </w:rPr>
        <w:t>Mass</w:t>
      </w:r>
      <w:proofErr w:type="spellEnd"/>
      <w:r w:rsidR="00D50F4D" w:rsidRPr="00402C60">
        <w:rPr>
          <w:rFonts w:asciiTheme="majorHAnsi" w:hAnsiTheme="majorHAnsi"/>
          <w:sz w:val="20"/>
          <w:szCs w:val="20"/>
          <w:lang w:val="es-ES_tradnl"/>
        </w:rPr>
        <w:t xml:space="preserve"> Cáceres interpuso una solicitud de pronta respuesta. Tras no obtener una respuesta, el 3 de octubre </w:t>
      </w:r>
      <w:r w:rsidR="00EC2FB3" w:rsidRPr="00402C60">
        <w:rPr>
          <w:rFonts w:asciiTheme="majorHAnsi" w:hAnsiTheme="majorHAnsi"/>
          <w:sz w:val="20"/>
          <w:szCs w:val="20"/>
          <w:lang w:val="es-ES_tradnl"/>
        </w:rPr>
        <w:t>esta abogada</w:t>
      </w:r>
      <w:r w:rsidR="00D50F4D" w:rsidRPr="00402C60">
        <w:rPr>
          <w:rFonts w:asciiTheme="majorHAnsi" w:hAnsiTheme="majorHAnsi"/>
          <w:sz w:val="20"/>
          <w:szCs w:val="20"/>
          <w:lang w:val="es-ES_tradnl"/>
        </w:rPr>
        <w:t xml:space="preserve"> interpuso una queja ante el Comisionado Nacional de Derechos Humanos por el notorio retardo injustificado de la Sala de lo Constitucional. Sin embargo, sostiene</w:t>
      </w:r>
      <w:r w:rsidR="00EC2FB3" w:rsidRPr="00402C60">
        <w:rPr>
          <w:rFonts w:asciiTheme="majorHAnsi" w:hAnsiTheme="majorHAnsi"/>
          <w:sz w:val="20"/>
          <w:szCs w:val="20"/>
          <w:lang w:val="es-ES_tradnl"/>
        </w:rPr>
        <w:t>n</w:t>
      </w:r>
      <w:r w:rsidR="00D50F4D" w:rsidRPr="00402C60">
        <w:rPr>
          <w:rFonts w:asciiTheme="majorHAnsi" w:hAnsiTheme="majorHAnsi"/>
          <w:sz w:val="20"/>
          <w:szCs w:val="20"/>
          <w:lang w:val="es-ES_tradnl"/>
        </w:rPr>
        <w:t xml:space="preserve"> que dicha institución no realizó un debido acompañamiento a su reclamo. Aduce</w:t>
      </w:r>
      <w:r w:rsidR="00EC2FB3" w:rsidRPr="00402C60">
        <w:rPr>
          <w:rFonts w:asciiTheme="majorHAnsi" w:hAnsiTheme="majorHAnsi"/>
          <w:sz w:val="20"/>
          <w:szCs w:val="20"/>
          <w:lang w:val="es-ES_tradnl"/>
        </w:rPr>
        <w:t>n</w:t>
      </w:r>
      <w:r w:rsidR="00D50F4D" w:rsidRPr="00402C60">
        <w:rPr>
          <w:rFonts w:asciiTheme="majorHAnsi" w:hAnsiTheme="majorHAnsi"/>
          <w:sz w:val="20"/>
          <w:szCs w:val="20"/>
          <w:lang w:val="es-ES_tradnl"/>
        </w:rPr>
        <w:t xml:space="preserve"> que recién, el 24 de marzo de 2015 la Sala de lo Constitucional de la Corte Suprema de Justicia inadmitió el recurso de inconstitucionalidad, argumentando que el Reglamento de la Ley de</w:t>
      </w:r>
      <w:r w:rsidR="00847BD9" w:rsidRPr="00402C60">
        <w:rPr>
          <w:rFonts w:asciiTheme="majorHAnsi" w:hAnsiTheme="majorHAnsi"/>
          <w:sz w:val="20"/>
          <w:szCs w:val="20"/>
          <w:lang w:val="es-ES_tradnl"/>
        </w:rPr>
        <w:t xml:space="preserve">l </w:t>
      </w:r>
      <w:r w:rsidR="00D50F4D" w:rsidRPr="00402C60">
        <w:rPr>
          <w:rFonts w:asciiTheme="majorHAnsi" w:hAnsiTheme="majorHAnsi"/>
          <w:sz w:val="20"/>
          <w:szCs w:val="20"/>
          <w:lang w:val="es-ES_tradnl"/>
        </w:rPr>
        <w:t xml:space="preserve">RNP es un acto administrativo, por lo que correspondía a la jurisdicción de lo contencioso administrativo resolver la controversia. </w:t>
      </w:r>
    </w:p>
    <w:p w14:paraId="5444FDAC" w14:textId="279EFFF9" w:rsidR="009B6C16" w:rsidRPr="00402C60" w:rsidRDefault="00A74CE8" w:rsidP="008624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02C60">
        <w:rPr>
          <w:rFonts w:asciiTheme="majorHAnsi" w:hAnsiTheme="majorHAnsi"/>
          <w:sz w:val="20"/>
          <w:szCs w:val="20"/>
          <w:lang w:val="es-ES_tradnl"/>
        </w:rPr>
        <w:t xml:space="preserve">Frente a esta </w:t>
      </w:r>
      <w:r w:rsidR="00D50F4D" w:rsidRPr="00402C60">
        <w:rPr>
          <w:rFonts w:asciiTheme="majorHAnsi" w:hAnsiTheme="majorHAnsi"/>
          <w:sz w:val="20"/>
          <w:szCs w:val="20"/>
          <w:lang w:val="es-ES_tradnl"/>
        </w:rPr>
        <w:t>decisión, el 4 de mayo de 2015 la presunta víctima</w:t>
      </w:r>
      <w:r w:rsidR="008624DA" w:rsidRPr="00402C60">
        <w:rPr>
          <w:rFonts w:asciiTheme="majorHAnsi" w:hAnsiTheme="majorHAnsi"/>
          <w:sz w:val="20"/>
          <w:szCs w:val="20"/>
          <w:lang w:val="es-ES_tradnl"/>
        </w:rPr>
        <w:t xml:space="preserve"> interpuso una demanda contenciosa administrativa, a fin </w:t>
      </w:r>
      <w:r w:rsidR="00C37220" w:rsidRPr="00402C60">
        <w:rPr>
          <w:rFonts w:asciiTheme="majorHAnsi" w:hAnsiTheme="majorHAnsi"/>
          <w:sz w:val="20"/>
          <w:szCs w:val="20"/>
          <w:lang w:val="es-ES_tradnl"/>
        </w:rPr>
        <w:t xml:space="preserve">de </w:t>
      </w:r>
      <w:r w:rsidR="008624DA" w:rsidRPr="00402C60">
        <w:rPr>
          <w:rFonts w:asciiTheme="majorHAnsi" w:hAnsiTheme="majorHAnsi"/>
          <w:sz w:val="20"/>
          <w:szCs w:val="20"/>
          <w:lang w:val="es-ES_tradnl"/>
        </w:rPr>
        <w:t xml:space="preserve">que se declare que las normas reglamentarias de la Ley RNP no son conformes con el ordenamiento jurídico vigente en materia de derechos humanos. </w:t>
      </w:r>
      <w:r w:rsidR="001106DC" w:rsidRPr="00402C60">
        <w:rPr>
          <w:rFonts w:asciiTheme="majorHAnsi" w:hAnsiTheme="majorHAnsi"/>
          <w:sz w:val="20"/>
          <w:szCs w:val="20"/>
          <w:lang w:val="es-ES_tradnl"/>
        </w:rPr>
        <w:t>A pesar de ello</w:t>
      </w:r>
      <w:r w:rsidR="008624DA" w:rsidRPr="00402C60">
        <w:rPr>
          <w:rFonts w:asciiTheme="majorHAnsi" w:hAnsiTheme="majorHAnsi"/>
          <w:sz w:val="20"/>
          <w:szCs w:val="20"/>
          <w:lang w:val="es-ES_tradnl"/>
        </w:rPr>
        <w:t>, el 17 de junio de 2015, el Juzgado de lo Contencioso Administrativo declaró inadmisible tal recurso, alegando que había expirado el plazo para la presentación de la demanda, dado</w:t>
      </w:r>
      <w:r w:rsidR="009B6C16" w:rsidRPr="00402C60">
        <w:rPr>
          <w:rFonts w:asciiTheme="majorHAnsi" w:hAnsiTheme="majorHAnsi"/>
          <w:sz w:val="20"/>
          <w:szCs w:val="20"/>
          <w:lang w:val="es-ES_tradnl"/>
        </w:rPr>
        <w:t xml:space="preserve"> que debió ser interpuesta dentro de los siguientes 30 días hábiles contados desde el 30 de abril de 2005, fecha de publicación del reglamento cuestionado. </w:t>
      </w:r>
    </w:p>
    <w:p w14:paraId="685D2D34" w14:textId="256BB2AC" w:rsidR="009B6C16" w:rsidRPr="00402C60" w:rsidRDefault="00C37220" w:rsidP="008670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02C60">
        <w:rPr>
          <w:rFonts w:asciiTheme="majorHAnsi" w:hAnsiTheme="majorHAnsi"/>
          <w:sz w:val="20"/>
          <w:szCs w:val="20"/>
          <w:lang w:val="es-ES_tradnl"/>
        </w:rPr>
        <w:t>L</w:t>
      </w:r>
      <w:r w:rsidR="009B6C16" w:rsidRPr="00402C60">
        <w:rPr>
          <w:rFonts w:asciiTheme="majorHAnsi" w:hAnsiTheme="majorHAnsi"/>
          <w:sz w:val="20"/>
          <w:szCs w:val="20"/>
          <w:lang w:val="es-ES_tradnl"/>
        </w:rPr>
        <w:t xml:space="preserve">a representación de </w:t>
      </w:r>
      <w:proofErr w:type="spellStart"/>
      <w:r w:rsidR="009B6C16" w:rsidRPr="00402C60">
        <w:rPr>
          <w:rFonts w:asciiTheme="majorHAnsi" w:hAnsiTheme="majorHAnsi"/>
          <w:sz w:val="20"/>
          <w:szCs w:val="20"/>
          <w:lang w:val="es-ES_tradnl"/>
        </w:rPr>
        <w:t>Gabrie</w:t>
      </w:r>
      <w:proofErr w:type="spellEnd"/>
      <w:r w:rsidR="009B6C16" w:rsidRPr="00402C60">
        <w:rPr>
          <w:rFonts w:asciiTheme="majorHAnsi" w:hAnsiTheme="majorHAnsi"/>
          <w:sz w:val="20"/>
          <w:szCs w:val="20"/>
          <w:lang w:val="es-ES_tradnl"/>
        </w:rPr>
        <w:t xml:space="preserve"> </w:t>
      </w:r>
      <w:proofErr w:type="spellStart"/>
      <w:r w:rsidR="009B6C16" w:rsidRPr="00402C60">
        <w:rPr>
          <w:rFonts w:asciiTheme="majorHAnsi" w:hAnsiTheme="majorHAnsi"/>
          <w:sz w:val="20"/>
          <w:szCs w:val="20"/>
          <w:lang w:val="es-ES_tradnl"/>
        </w:rPr>
        <w:t>Mass</w:t>
      </w:r>
      <w:proofErr w:type="spellEnd"/>
      <w:r w:rsidR="009B6C16" w:rsidRPr="00402C60">
        <w:rPr>
          <w:rFonts w:asciiTheme="majorHAnsi" w:hAnsiTheme="majorHAnsi"/>
          <w:sz w:val="20"/>
          <w:szCs w:val="20"/>
          <w:lang w:val="es-ES_tradnl"/>
        </w:rPr>
        <w:t xml:space="preserve"> Cáceres apeló tal decisión, al considerar que se vulneraba el derecho a contar con un recurso efectivo consagrado en el artículo 25 de la Convención Americana</w:t>
      </w:r>
      <w:r w:rsidR="00290BB3" w:rsidRPr="00402C60">
        <w:rPr>
          <w:rFonts w:asciiTheme="majorHAnsi" w:hAnsiTheme="majorHAnsi"/>
          <w:sz w:val="20"/>
          <w:szCs w:val="20"/>
          <w:lang w:val="es-ES_tradnl"/>
        </w:rPr>
        <w:t>;</w:t>
      </w:r>
      <w:r w:rsidR="009B6C16" w:rsidRPr="00402C60">
        <w:rPr>
          <w:rFonts w:asciiTheme="majorHAnsi" w:hAnsiTheme="majorHAnsi"/>
          <w:sz w:val="20"/>
          <w:szCs w:val="20"/>
          <w:lang w:val="es-ES_tradnl"/>
        </w:rPr>
        <w:t xml:space="preserve"> </w:t>
      </w:r>
      <w:r w:rsidR="00290BB3" w:rsidRPr="00402C60">
        <w:rPr>
          <w:rFonts w:asciiTheme="majorHAnsi" w:hAnsiTheme="majorHAnsi"/>
          <w:sz w:val="20"/>
          <w:szCs w:val="20"/>
          <w:lang w:val="es-ES_tradnl"/>
        </w:rPr>
        <w:t xml:space="preserve">pero, </w:t>
      </w:r>
      <w:r w:rsidR="009B6C16" w:rsidRPr="00402C60">
        <w:rPr>
          <w:rFonts w:asciiTheme="majorHAnsi" w:hAnsiTheme="majorHAnsi"/>
          <w:sz w:val="20"/>
          <w:szCs w:val="20"/>
          <w:lang w:val="es-ES_tradnl"/>
        </w:rPr>
        <w:t>la Sala Labora</w:t>
      </w:r>
      <w:r w:rsidR="008670AA" w:rsidRPr="00402C60">
        <w:rPr>
          <w:rFonts w:asciiTheme="majorHAnsi" w:hAnsiTheme="majorHAnsi"/>
          <w:sz w:val="20"/>
          <w:szCs w:val="20"/>
          <w:lang w:val="es-ES_tradnl"/>
        </w:rPr>
        <w:t>l</w:t>
      </w:r>
      <w:r w:rsidR="009B6C16" w:rsidRPr="00402C60">
        <w:rPr>
          <w:rFonts w:asciiTheme="majorHAnsi" w:hAnsiTheme="majorHAnsi"/>
          <w:sz w:val="20"/>
          <w:szCs w:val="20"/>
          <w:lang w:val="es-ES_tradnl"/>
        </w:rPr>
        <w:t xml:space="preserve"> de lo Contencioso Administrativo</w:t>
      </w:r>
      <w:r w:rsidR="008670AA" w:rsidRPr="00402C60">
        <w:rPr>
          <w:rFonts w:asciiTheme="majorHAnsi" w:hAnsiTheme="majorHAnsi"/>
          <w:sz w:val="20"/>
          <w:szCs w:val="20"/>
          <w:lang w:val="es-ES_tradnl"/>
        </w:rPr>
        <w:t xml:space="preserve"> rechazó </w:t>
      </w:r>
      <w:r w:rsidR="00290BB3" w:rsidRPr="00402C60">
        <w:rPr>
          <w:rFonts w:asciiTheme="majorHAnsi" w:hAnsiTheme="majorHAnsi"/>
          <w:sz w:val="20"/>
          <w:szCs w:val="20"/>
          <w:lang w:val="es-ES_tradnl"/>
        </w:rPr>
        <w:t>este</w:t>
      </w:r>
      <w:r w:rsidR="008670AA" w:rsidRPr="00402C60">
        <w:rPr>
          <w:rFonts w:asciiTheme="majorHAnsi" w:hAnsiTheme="majorHAnsi"/>
          <w:sz w:val="20"/>
          <w:szCs w:val="20"/>
          <w:lang w:val="es-ES_tradnl"/>
        </w:rPr>
        <w:t xml:space="preserve"> recurso</w:t>
      </w:r>
      <w:r w:rsidR="00290BB3" w:rsidRPr="00402C60">
        <w:rPr>
          <w:rFonts w:asciiTheme="majorHAnsi" w:hAnsiTheme="majorHAnsi"/>
          <w:sz w:val="20"/>
          <w:szCs w:val="20"/>
          <w:lang w:val="es-ES_tradnl"/>
        </w:rPr>
        <w:t xml:space="preserve"> el 1 de octubre de 2015</w:t>
      </w:r>
      <w:r w:rsidR="008670AA" w:rsidRPr="00402C60">
        <w:rPr>
          <w:rFonts w:asciiTheme="majorHAnsi" w:hAnsiTheme="majorHAnsi"/>
          <w:sz w:val="20"/>
          <w:szCs w:val="20"/>
          <w:lang w:val="es-ES_tradnl"/>
        </w:rPr>
        <w:t xml:space="preserve">. </w:t>
      </w:r>
      <w:r w:rsidR="009B6C16" w:rsidRPr="00402C60">
        <w:rPr>
          <w:rFonts w:asciiTheme="majorHAnsi" w:hAnsiTheme="majorHAnsi"/>
          <w:sz w:val="20"/>
          <w:szCs w:val="20"/>
          <w:lang w:val="es-ES_tradnl"/>
        </w:rPr>
        <w:t xml:space="preserve">Finalmente, el 25 de octubre de 2015 la representación de la presunta víctima interpuso un recurso de casación, </w:t>
      </w:r>
      <w:r w:rsidR="008670AA" w:rsidRPr="00402C60">
        <w:rPr>
          <w:rFonts w:asciiTheme="majorHAnsi" w:hAnsiTheme="majorHAnsi"/>
          <w:sz w:val="20"/>
          <w:szCs w:val="20"/>
          <w:lang w:val="es-ES_tradnl"/>
        </w:rPr>
        <w:t>argumentando que no se aplicó, en la resolución de la controversia, el artículo 18 de la Constitución, que estipula la primacía del tratado o Convención sobre la Ley</w:t>
      </w:r>
      <w:r w:rsidR="008670AA" w:rsidRPr="00402C60">
        <w:rPr>
          <w:rStyle w:val="FootnoteReference"/>
          <w:rFonts w:asciiTheme="majorHAnsi" w:hAnsiTheme="majorHAnsi"/>
          <w:sz w:val="20"/>
          <w:szCs w:val="20"/>
          <w:lang w:val="es-ES_tradnl"/>
        </w:rPr>
        <w:footnoteReference w:id="6"/>
      </w:r>
      <w:r w:rsidR="008670AA" w:rsidRPr="00402C60">
        <w:rPr>
          <w:rFonts w:asciiTheme="majorHAnsi" w:hAnsiTheme="majorHAnsi"/>
          <w:sz w:val="20"/>
          <w:szCs w:val="20"/>
          <w:lang w:val="es-ES_tradnl"/>
        </w:rPr>
        <w:t>. No obstante, el 16 de mayo de 2017, la Corte Suprema de Justicia inadmitió tal recurso, al considerar que no se había fundamentado con suficiente “</w:t>
      </w:r>
      <w:r w:rsidR="008670AA" w:rsidRPr="00402C60">
        <w:rPr>
          <w:rFonts w:asciiTheme="majorHAnsi" w:hAnsiTheme="majorHAnsi"/>
          <w:i/>
          <w:iCs/>
          <w:sz w:val="20"/>
          <w:szCs w:val="20"/>
          <w:lang w:val="es-ES_tradnl"/>
        </w:rPr>
        <w:t xml:space="preserve">separación y claridad, con el fin de plantear </w:t>
      </w:r>
      <w:r w:rsidR="00290BB3" w:rsidRPr="00402C60">
        <w:rPr>
          <w:rFonts w:asciiTheme="majorHAnsi" w:hAnsiTheme="majorHAnsi"/>
          <w:i/>
          <w:iCs/>
          <w:sz w:val="20"/>
          <w:szCs w:val="20"/>
          <w:lang w:val="es-ES_tradnl"/>
        </w:rPr>
        <w:t>[</w:t>
      </w:r>
      <w:r w:rsidR="008670AA" w:rsidRPr="00402C60">
        <w:rPr>
          <w:rFonts w:asciiTheme="majorHAnsi" w:hAnsiTheme="majorHAnsi"/>
          <w:i/>
          <w:iCs/>
          <w:sz w:val="20"/>
          <w:szCs w:val="20"/>
          <w:lang w:val="es-ES_tradnl"/>
        </w:rPr>
        <w:t>…</w:t>
      </w:r>
      <w:r w:rsidR="00290BB3" w:rsidRPr="00402C60">
        <w:rPr>
          <w:rFonts w:asciiTheme="majorHAnsi" w:hAnsiTheme="majorHAnsi"/>
          <w:i/>
          <w:iCs/>
          <w:sz w:val="20"/>
          <w:szCs w:val="20"/>
          <w:lang w:val="es-ES_tradnl"/>
        </w:rPr>
        <w:t>]</w:t>
      </w:r>
      <w:r w:rsidR="008670AA" w:rsidRPr="00402C60">
        <w:rPr>
          <w:rFonts w:asciiTheme="majorHAnsi" w:hAnsiTheme="majorHAnsi"/>
          <w:i/>
          <w:iCs/>
          <w:sz w:val="20"/>
          <w:szCs w:val="20"/>
          <w:lang w:val="es-ES_tradnl"/>
        </w:rPr>
        <w:t xml:space="preserve"> las cuestiones jurídicas </w:t>
      </w:r>
      <w:r w:rsidR="00CD65D6" w:rsidRPr="00402C60">
        <w:rPr>
          <w:rFonts w:asciiTheme="majorHAnsi" w:hAnsiTheme="majorHAnsi"/>
          <w:i/>
          <w:iCs/>
          <w:sz w:val="20"/>
          <w:szCs w:val="20"/>
          <w:lang w:val="es-ES_tradnl"/>
        </w:rPr>
        <w:t>en un modo preciso y razonado, atinentes, ya sea por infracción de normas procesales o normas de derecho en su aplicación e interpretación</w:t>
      </w:r>
      <w:r w:rsidR="00CD65D6" w:rsidRPr="00402C60">
        <w:rPr>
          <w:rFonts w:asciiTheme="majorHAnsi" w:hAnsiTheme="majorHAnsi"/>
          <w:sz w:val="20"/>
          <w:szCs w:val="20"/>
          <w:lang w:val="es-ES_tradnl"/>
        </w:rPr>
        <w:t xml:space="preserve">”. </w:t>
      </w:r>
    </w:p>
    <w:p w14:paraId="1CD0F421" w14:textId="197757C2" w:rsidR="00D7009D" w:rsidRPr="00402C60" w:rsidRDefault="00CD65D6" w:rsidP="00A748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02C60">
        <w:rPr>
          <w:rFonts w:asciiTheme="majorHAnsi" w:hAnsiTheme="majorHAnsi"/>
          <w:sz w:val="20"/>
          <w:szCs w:val="20"/>
          <w:lang w:val="es-ES_tradnl"/>
        </w:rPr>
        <w:t xml:space="preserve">En </w:t>
      </w:r>
      <w:r w:rsidR="008F0DFF" w:rsidRPr="00402C60">
        <w:rPr>
          <w:rFonts w:asciiTheme="majorHAnsi" w:hAnsiTheme="majorHAnsi"/>
          <w:sz w:val="20"/>
          <w:szCs w:val="20"/>
          <w:lang w:val="es-ES_tradnl"/>
        </w:rPr>
        <w:t>suma</w:t>
      </w:r>
      <w:r w:rsidRPr="00402C60">
        <w:rPr>
          <w:rFonts w:asciiTheme="majorHAnsi" w:hAnsiTheme="majorHAnsi"/>
          <w:sz w:val="20"/>
          <w:szCs w:val="20"/>
          <w:lang w:val="es-ES_tradnl"/>
        </w:rPr>
        <w:t xml:space="preserve">, </w:t>
      </w:r>
      <w:r w:rsidR="00D7009D" w:rsidRPr="00402C60">
        <w:rPr>
          <w:rFonts w:asciiTheme="majorHAnsi" w:hAnsiTheme="majorHAnsi"/>
          <w:sz w:val="20"/>
          <w:szCs w:val="20"/>
          <w:lang w:val="es-ES_tradnl"/>
        </w:rPr>
        <w:t xml:space="preserve">la parte peticionaria denuncia que el Estado discriminó a la presunta víctima en razón de su identidad de género, </w:t>
      </w:r>
      <w:r w:rsidR="00A74865" w:rsidRPr="00402C60">
        <w:rPr>
          <w:rFonts w:asciiTheme="majorHAnsi" w:hAnsiTheme="majorHAnsi"/>
          <w:sz w:val="20"/>
          <w:szCs w:val="20"/>
          <w:lang w:val="es-ES_tradnl"/>
        </w:rPr>
        <w:t xml:space="preserve">dado que su normativa prohíbe que pueda rectificar sus datos identitarios en su inscripción original de nacimiento, </w:t>
      </w:r>
      <w:r w:rsidR="00D7009D" w:rsidRPr="00402C60">
        <w:rPr>
          <w:rFonts w:asciiTheme="majorHAnsi" w:hAnsiTheme="majorHAnsi"/>
          <w:sz w:val="20"/>
          <w:szCs w:val="20"/>
          <w:lang w:val="es-ES_tradnl"/>
        </w:rPr>
        <w:t xml:space="preserve">afectando sus derechos a la personalidad jurídica y al nombre. </w:t>
      </w:r>
      <w:r w:rsidR="00A74865" w:rsidRPr="00402C60">
        <w:rPr>
          <w:rFonts w:asciiTheme="majorHAnsi" w:hAnsiTheme="majorHAnsi"/>
          <w:sz w:val="20"/>
          <w:szCs w:val="20"/>
          <w:lang w:val="es-ES_tradnl"/>
        </w:rPr>
        <w:t>Asimismo</w:t>
      </w:r>
      <w:r w:rsidR="00D7009D" w:rsidRPr="00402C60">
        <w:rPr>
          <w:rFonts w:asciiTheme="majorHAnsi" w:hAnsiTheme="majorHAnsi"/>
          <w:sz w:val="20"/>
          <w:szCs w:val="20"/>
          <w:lang w:val="es-ES_tradnl"/>
        </w:rPr>
        <w:t xml:space="preserve">, sostiene que la citada restricción </w:t>
      </w:r>
      <w:r w:rsidR="00A74865" w:rsidRPr="00402C60">
        <w:rPr>
          <w:rFonts w:asciiTheme="majorHAnsi" w:hAnsiTheme="majorHAnsi"/>
          <w:sz w:val="20"/>
          <w:szCs w:val="20"/>
          <w:lang w:val="es-ES_tradnl"/>
        </w:rPr>
        <w:t>no le</w:t>
      </w:r>
      <w:r w:rsidR="00D7009D" w:rsidRPr="00402C60">
        <w:rPr>
          <w:rFonts w:asciiTheme="majorHAnsi" w:hAnsiTheme="majorHAnsi"/>
          <w:sz w:val="20"/>
          <w:szCs w:val="20"/>
          <w:lang w:val="es-ES_tradnl"/>
        </w:rPr>
        <w:t xml:space="preserve"> permite </w:t>
      </w:r>
      <w:r w:rsidR="00A74865" w:rsidRPr="00402C60">
        <w:rPr>
          <w:rFonts w:asciiTheme="majorHAnsi" w:hAnsiTheme="majorHAnsi"/>
          <w:sz w:val="20"/>
          <w:szCs w:val="20"/>
          <w:lang w:val="es-ES_tradnl"/>
        </w:rPr>
        <w:t xml:space="preserve">a </w:t>
      </w:r>
      <w:proofErr w:type="spellStart"/>
      <w:r w:rsidR="00A74865" w:rsidRPr="00402C60">
        <w:rPr>
          <w:rFonts w:asciiTheme="majorHAnsi" w:hAnsiTheme="majorHAnsi"/>
          <w:bCs/>
          <w:sz w:val="20"/>
          <w:szCs w:val="20"/>
          <w:lang w:val="es-ES_tradnl"/>
        </w:rPr>
        <w:t>Gabrie</w:t>
      </w:r>
      <w:proofErr w:type="spellEnd"/>
      <w:r w:rsidR="00A74865" w:rsidRPr="00402C60">
        <w:rPr>
          <w:rFonts w:asciiTheme="majorHAnsi" w:hAnsiTheme="majorHAnsi"/>
          <w:bCs/>
          <w:sz w:val="20"/>
          <w:szCs w:val="20"/>
          <w:lang w:val="es-ES_tradnl"/>
        </w:rPr>
        <w:t xml:space="preserve"> </w:t>
      </w:r>
      <w:proofErr w:type="spellStart"/>
      <w:r w:rsidR="00A74865" w:rsidRPr="00402C60">
        <w:rPr>
          <w:rFonts w:asciiTheme="majorHAnsi" w:hAnsiTheme="majorHAnsi"/>
          <w:bCs/>
          <w:sz w:val="20"/>
          <w:szCs w:val="20"/>
          <w:lang w:val="es-ES_tradnl"/>
        </w:rPr>
        <w:t>Mass</w:t>
      </w:r>
      <w:proofErr w:type="spellEnd"/>
      <w:r w:rsidR="00A74865" w:rsidRPr="00402C60">
        <w:rPr>
          <w:rFonts w:asciiTheme="majorHAnsi" w:hAnsiTheme="majorHAnsi"/>
          <w:bCs/>
          <w:sz w:val="20"/>
          <w:szCs w:val="20"/>
          <w:lang w:val="es-ES_tradnl"/>
        </w:rPr>
        <w:t xml:space="preserve"> Cáceres</w:t>
      </w:r>
      <w:r w:rsidR="00A74865" w:rsidRPr="00402C60">
        <w:rPr>
          <w:rFonts w:asciiTheme="majorHAnsi" w:hAnsiTheme="majorHAnsi"/>
          <w:sz w:val="20"/>
          <w:szCs w:val="20"/>
          <w:lang w:val="es-ES_tradnl"/>
        </w:rPr>
        <w:t xml:space="preserve"> </w:t>
      </w:r>
      <w:r w:rsidR="00D7009D" w:rsidRPr="00402C60">
        <w:rPr>
          <w:rFonts w:asciiTheme="majorHAnsi" w:hAnsiTheme="majorHAnsi"/>
          <w:sz w:val="20"/>
          <w:szCs w:val="20"/>
          <w:lang w:val="es-ES_tradnl"/>
        </w:rPr>
        <w:t>ejercer su expresión de género de manera libre. Finalmente, arguye</w:t>
      </w:r>
      <w:r w:rsidR="00A74865" w:rsidRPr="00402C60">
        <w:rPr>
          <w:rFonts w:asciiTheme="majorHAnsi" w:hAnsiTheme="majorHAnsi"/>
          <w:sz w:val="20"/>
          <w:szCs w:val="20"/>
          <w:lang w:val="es-ES_tradnl"/>
        </w:rPr>
        <w:t xml:space="preserve"> que, a la fecha, la presunta víctima no cuenta a la fecha con un recurso adecuado y eficaz para cuestionar las citadas normas y lograr la adecuación de su identidad. </w:t>
      </w:r>
    </w:p>
    <w:p w14:paraId="4C712E8A" w14:textId="1141165C" w:rsidR="00AB21D8" w:rsidRPr="00402C60" w:rsidRDefault="00A74865" w:rsidP="008670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02C60">
        <w:rPr>
          <w:rFonts w:asciiTheme="majorHAnsi" w:hAnsiTheme="majorHAnsi"/>
          <w:sz w:val="20"/>
          <w:szCs w:val="20"/>
          <w:lang w:val="es-ES_tradnl"/>
        </w:rPr>
        <w:t>E</w:t>
      </w:r>
      <w:r w:rsidR="00CD65D6" w:rsidRPr="00402C60">
        <w:rPr>
          <w:rFonts w:asciiTheme="majorHAnsi" w:hAnsiTheme="majorHAnsi"/>
          <w:sz w:val="20"/>
          <w:szCs w:val="20"/>
          <w:lang w:val="es-ES_tradnl"/>
        </w:rPr>
        <w:t>l Estado</w:t>
      </w:r>
      <w:r w:rsidRPr="00402C60">
        <w:rPr>
          <w:rFonts w:asciiTheme="majorHAnsi" w:hAnsiTheme="majorHAnsi"/>
          <w:sz w:val="20"/>
          <w:szCs w:val="20"/>
          <w:lang w:val="es-ES_tradnl"/>
        </w:rPr>
        <w:t>, por su parte,</w:t>
      </w:r>
      <w:r w:rsidR="00CD65D6" w:rsidRPr="00402C60">
        <w:rPr>
          <w:rFonts w:asciiTheme="majorHAnsi" w:hAnsiTheme="majorHAnsi"/>
          <w:sz w:val="20"/>
          <w:szCs w:val="20"/>
          <w:lang w:val="es-ES_tradnl"/>
        </w:rPr>
        <w:t xml:space="preserve"> </w:t>
      </w:r>
      <w:r w:rsidR="00652252" w:rsidRPr="00402C60">
        <w:rPr>
          <w:rFonts w:asciiTheme="majorHAnsi" w:hAnsiTheme="majorHAnsi"/>
          <w:sz w:val="20"/>
          <w:szCs w:val="20"/>
          <w:lang w:val="es-ES_tradnl"/>
        </w:rPr>
        <w:t>aduce</w:t>
      </w:r>
      <w:r w:rsidR="00CD65D6" w:rsidRPr="00402C60">
        <w:rPr>
          <w:rFonts w:asciiTheme="majorHAnsi" w:hAnsiTheme="majorHAnsi"/>
          <w:sz w:val="20"/>
          <w:szCs w:val="20"/>
          <w:lang w:val="es-ES_tradnl"/>
        </w:rPr>
        <w:t xml:space="preserve"> </w:t>
      </w:r>
      <w:r w:rsidR="00AB21D8" w:rsidRPr="00402C60">
        <w:rPr>
          <w:rFonts w:asciiTheme="majorHAnsi" w:hAnsiTheme="majorHAnsi"/>
          <w:sz w:val="20"/>
          <w:szCs w:val="20"/>
          <w:lang w:val="es-ES_tradnl"/>
        </w:rPr>
        <w:t>que los hechos denunciados no caracterizan violaciones de derechos humanos. Indica que las autoridades</w:t>
      </w:r>
      <w:r w:rsidR="00A60B23" w:rsidRPr="00402C60">
        <w:rPr>
          <w:rFonts w:asciiTheme="majorHAnsi" w:hAnsiTheme="majorHAnsi"/>
          <w:sz w:val="20"/>
          <w:szCs w:val="20"/>
          <w:lang w:val="es-ES_tradnl"/>
        </w:rPr>
        <w:t xml:space="preserve"> garantizaron el derecho a la personalidad jurídica de la presunta víctima, dado que el 4 de septiembre de 2013 un notario acreditó que su nombre asumido y su identidad legal </w:t>
      </w:r>
      <w:r w:rsidR="00A60B23" w:rsidRPr="00402C60">
        <w:rPr>
          <w:rFonts w:asciiTheme="majorHAnsi" w:hAnsiTheme="majorHAnsi"/>
          <w:sz w:val="20"/>
          <w:szCs w:val="20"/>
          <w:lang w:val="es-ES_tradnl"/>
        </w:rPr>
        <w:lastRenderedPageBreak/>
        <w:t xml:space="preserve">responden a la misma persona. Asimismo, sostiene que </w:t>
      </w:r>
      <w:r w:rsidR="00207729" w:rsidRPr="00402C60">
        <w:rPr>
          <w:rFonts w:asciiTheme="majorHAnsi" w:hAnsiTheme="majorHAnsi"/>
          <w:sz w:val="20"/>
          <w:szCs w:val="20"/>
          <w:lang w:val="es-ES_tradnl"/>
        </w:rPr>
        <w:t>en ningún momento se le limitó el acceso a la información por motivos de su identidad género y/o orientación sexual.</w:t>
      </w:r>
    </w:p>
    <w:p w14:paraId="29241428" w14:textId="29B690E1" w:rsidR="00CD65D6" w:rsidRPr="00402C60" w:rsidRDefault="00207729" w:rsidP="002077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02C60">
        <w:rPr>
          <w:rFonts w:asciiTheme="majorHAnsi" w:hAnsiTheme="majorHAnsi"/>
          <w:sz w:val="20"/>
          <w:szCs w:val="20"/>
          <w:lang w:val="es-ES_tradnl"/>
        </w:rPr>
        <w:t>Ad</w:t>
      </w:r>
      <w:r w:rsidR="000251FE" w:rsidRPr="00402C60">
        <w:rPr>
          <w:rFonts w:asciiTheme="majorHAnsi" w:hAnsiTheme="majorHAnsi"/>
          <w:sz w:val="20"/>
          <w:szCs w:val="20"/>
          <w:lang w:val="es-ES_tradnl"/>
        </w:rPr>
        <w:t>emás</w:t>
      </w:r>
      <w:r w:rsidRPr="00402C60">
        <w:rPr>
          <w:rFonts w:asciiTheme="majorHAnsi" w:hAnsiTheme="majorHAnsi"/>
          <w:sz w:val="20"/>
          <w:szCs w:val="20"/>
          <w:lang w:val="es-ES_tradnl"/>
        </w:rPr>
        <w:t xml:space="preserve">, </w:t>
      </w:r>
      <w:r w:rsidR="00CD65D6" w:rsidRPr="00402C60">
        <w:rPr>
          <w:rFonts w:asciiTheme="majorHAnsi" w:hAnsiTheme="majorHAnsi"/>
          <w:sz w:val="20"/>
          <w:szCs w:val="20"/>
          <w:lang w:val="es-ES_tradnl"/>
        </w:rPr>
        <w:t xml:space="preserve">que </w:t>
      </w:r>
      <w:r w:rsidR="00AB21D8" w:rsidRPr="00402C60">
        <w:rPr>
          <w:rFonts w:asciiTheme="majorHAnsi" w:hAnsiTheme="majorHAnsi"/>
          <w:sz w:val="20"/>
          <w:szCs w:val="20"/>
          <w:lang w:val="es-ES_tradnl"/>
        </w:rPr>
        <w:t xml:space="preserve">la presunta víctima tuvo acceso a ejercer sus reclamos, los cuales fueron resueltos en legal y debida forma, existiendo dos sentencias que analizaron y resolvieron sus pretensiones. </w:t>
      </w:r>
      <w:r w:rsidRPr="00402C60">
        <w:rPr>
          <w:rFonts w:asciiTheme="majorHAnsi" w:hAnsiTheme="majorHAnsi"/>
          <w:sz w:val="20"/>
          <w:szCs w:val="20"/>
          <w:lang w:val="es-ES_tradnl"/>
        </w:rPr>
        <w:t xml:space="preserve">Finalmente, argumenta que en todo momento ha sido tratada como a cualquier otra/o hondureña/o que busca realizar un trámite ante determinada entidad estatal, por lo que en ningún momento se cometió en su contra un acto discriminatorio. Sostiene que únicamente se aplicó la ley y que la parte peticionaria no acreditó ninguna de las causales establecidas en el reglamento de la Ley del RNP a efectos de lograr el cambio de nombre. </w:t>
      </w:r>
    </w:p>
    <w:p w14:paraId="6F4D4171" w14:textId="61F41104" w:rsidR="003239B8" w:rsidRPr="00402C60" w:rsidRDefault="003239B8" w:rsidP="003239B8">
      <w:pPr>
        <w:spacing w:before="240" w:after="240"/>
        <w:ind w:firstLine="720"/>
        <w:jc w:val="both"/>
        <w:rPr>
          <w:rFonts w:asciiTheme="majorHAnsi" w:hAnsiTheme="majorHAnsi"/>
          <w:sz w:val="20"/>
          <w:szCs w:val="20"/>
          <w:lang w:val="es-ES_tradnl"/>
        </w:rPr>
      </w:pPr>
      <w:r w:rsidRPr="00402C60">
        <w:rPr>
          <w:rFonts w:asciiTheme="majorHAnsi" w:eastAsia="Cambria" w:hAnsiTheme="majorHAnsi" w:cs="Cambria"/>
          <w:b/>
          <w:bCs/>
          <w:color w:val="000000"/>
          <w:sz w:val="20"/>
          <w:szCs w:val="20"/>
          <w:u w:color="000000"/>
          <w:lang w:val="es-ES_tradnl" w:eastAsia="es-ES"/>
        </w:rPr>
        <w:t>VI.</w:t>
      </w:r>
      <w:r w:rsidRPr="00402C60">
        <w:rPr>
          <w:rFonts w:asciiTheme="majorHAnsi" w:eastAsia="Cambria" w:hAnsiTheme="majorHAnsi" w:cs="Cambria"/>
          <w:b/>
          <w:bCs/>
          <w:color w:val="000000"/>
          <w:sz w:val="20"/>
          <w:szCs w:val="20"/>
          <w:u w:color="000000"/>
          <w:lang w:val="es-ES_tradnl" w:eastAsia="es-ES"/>
        </w:rPr>
        <w:tab/>
      </w:r>
      <w:r w:rsidR="004A6A54" w:rsidRPr="00402C60">
        <w:rPr>
          <w:rFonts w:asciiTheme="majorHAnsi" w:hAnsiTheme="majorHAnsi"/>
          <w:b/>
          <w:bCs/>
          <w:sz w:val="20"/>
          <w:szCs w:val="20"/>
          <w:lang w:val="es-ES_tradnl"/>
        </w:rPr>
        <w:t xml:space="preserve">ANÁLISIS DE </w:t>
      </w:r>
      <w:r w:rsidR="00C21FEF" w:rsidRPr="00402C60">
        <w:rPr>
          <w:rFonts w:asciiTheme="majorHAnsi" w:hAnsiTheme="majorHAnsi"/>
          <w:b/>
          <w:sz w:val="20"/>
          <w:szCs w:val="20"/>
          <w:lang w:val="es-ES_tradnl"/>
        </w:rPr>
        <w:t>AGOTAMIENTO DE LOS RECURSOS INTERNOS Y PLAZO DE PRESENTACIÓN</w:t>
      </w:r>
      <w:r w:rsidR="00C21FEF" w:rsidRPr="00402C60">
        <w:rPr>
          <w:rFonts w:asciiTheme="majorHAnsi" w:eastAsia="Cambria" w:hAnsiTheme="majorHAnsi" w:cs="Cambria"/>
          <w:b/>
          <w:bCs/>
          <w:color w:val="000000"/>
          <w:sz w:val="20"/>
          <w:szCs w:val="20"/>
          <w:u w:color="000000"/>
          <w:lang w:val="es-ES_tradnl" w:eastAsia="es-ES"/>
        </w:rPr>
        <w:t xml:space="preserve"> </w:t>
      </w:r>
    </w:p>
    <w:p w14:paraId="72DBED8C" w14:textId="6D914328" w:rsidR="00A74865" w:rsidRPr="00402C60" w:rsidRDefault="00FE7B52" w:rsidP="00A748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402C60">
        <w:rPr>
          <w:rFonts w:asciiTheme="majorHAnsi" w:hAnsiTheme="majorHAnsi"/>
          <w:sz w:val="20"/>
          <w:szCs w:val="20"/>
          <w:lang w:val="es-ES_tradnl"/>
        </w:rPr>
        <w:t>De acuerdo con los alegatos de la parte peticionaria, la Comisión identifica que lo pretendido por la presunta víctima a nivel interno era cuestionar la validez del reglamento de la Ley del RNP, a efectos de poder modificar sus datos identitarios en su inscripción original de nacimiento, toda vez que dicha normativa limitaba tal posibilidad a situaciones excepcionales. A pesar de ello, las instancias internas rechazaron su pretensión, al considerar</w:t>
      </w:r>
      <w:r w:rsidR="00A74865" w:rsidRPr="00402C60">
        <w:rPr>
          <w:rFonts w:asciiTheme="majorHAnsi" w:hAnsiTheme="majorHAnsi"/>
          <w:sz w:val="20"/>
          <w:szCs w:val="20"/>
          <w:lang w:val="es-ES_tradnl"/>
        </w:rPr>
        <w:t xml:space="preserve"> la demanda debió ser interpuesta dentro de los siguientes 30 días hábiles desde la fecha de publicación del reglamento cuestionado, es decir, entre mayo y junio de 2005, aproximadamente. </w:t>
      </w:r>
      <w:r w:rsidR="00C644AE" w:rsidRPr="00402C60">
        <w:rPr>
          <w:rFonts w:asciiTheme="majorHAnsi" w:hAnsiTheme="majorHAnsi"/>
          <w:sz w:val="20"/>
          <w:szCs w:val="20"/>
          <w:lang w:val="es-ES_tradnl"/>
        </w:rPr>
        <w:t xml:space="preserve">Asimismo, conforme </w:t>
      </w:r>
      <w:r w:rsidRPr="00402C60">
        <w:rPr>
          <w:rFonts w:asciiTheme="majorHAnsi" w:hAnsiTheme="majorHAnsi"/>
          <w:sz w:val="20"/>
          <w:szCs w:val="20"/>
          <w:lang w:val="es-ES_tradnl"/>
        </w:rPr>
        <w:t>a la información aportada en el expediente, la CIDH observa que, a la fecha, la presunta víctima</w:t>
      </w:r>
      <w:r w:rsidR="00C644AE" w:rsidRPr="00402C60">
        <w:rPr>
          <w:rFonts w:asciiTheme="majorHAnsi" w:hAnsiTheme="majorHAnsi"/>
          <w:sz w:val="20"/>
          <w:szCs w:val="20"/>
          <w:lang w:val="es-ES_tradnl"/>
        </w:rPr>
        <w:t xml:space="preserve"> solamente c</w:t>
      </w:r>
      <w:r w:rsidR="00A74865" w:rsidRPr="00402C60">
        <w:rPr>
          <w:rFonts w:asciiTheme="majorHAnsi" w:hAnsiTheme="majorHAnsi"/>
          <w:sz w:val="20"/>
          <w:szCs w:val="20"/>
          <w:lang w:val="es-ES_tradnl"/>
        </w:rPr>
        <w:t>uenta</w:t>
      </w:r>
      <w:r w:rsidR="00C644AE" w:rsidRPr="00402C60">
        <w:rPr>
          <w:rFonts w:asciiTheme="majorHAnsi" w:hAnsiTheme="majorHAnsi"/>
          <w:sz w:val="20"/>
          <w:szCs w:val="20"/>
          <w:lang w:val="es-ES_tradnl"/>
        </w:rPr>
        <w:t xml:space="preserve"> con un documento que acredita los dos nombres que utiliza, sin tener la posibilidad de acudir a una </w:t>
      </w:r>
      <w:r w:rsidRPr="00402C60">
        <w:rPr>
          <w:rFonts w:asciiTheme="majorHAnsi" w:hAnsiTheme="majorHAnsi"/>
          <w:sz w:val="20"/>
          <w:szCs w:val="20"/>
          <w:lang w:val="es-ES_tradnl"/>
        </w:rPr>
        <w:t>vía judicial o administrativa</w:t>
      </w:r>
      <w:r w:rsidR="00C644AE" w:rsidRPr="00402C60">
        <w:rPr>
          <w:rFonts w:asciiTheme="majorHAnsi" w:hAnsiTheme="majorHAnsi"/>
          <w:sz w:val="20"/>
          <w:szCs w:val="20"/>
          <w:lang w:val="es-ES_tradnl"/>
        </w:rPr>
        <w:t xml:space="preserve"> célere</w:t>
      </w:r>
      <w:r w:rsidRPr="00402C60">
        <w:rPr>
          <w:rFonts w:asciiTheme="majorHAnsi" w:hAnsiTheme="majorHAnsi"/>
          <w:sz w:val="20"/>
          <w:szCs w:val="20"/>
          <w:lang w:val="es-ES_tradnl"/>
        </w:rPr>
        <w:t xml:space="preserve"> para lograr la rectificación de sus datos identitarios</w:t>
      </w:r>
      <w:r w:rsidR="00A74865" w:rsidRPr="00402C60">
        <w:rPr>
          <w:rFonts w:asciiTheme="majorHAnsi" w:hAnsiTheme="majorHAnsi"/>
          <w:sz w:val="20"/>
          <w:szCs w:val="20"/>
          <w:lang w:val="es-ES_tradnl"/>
        </w:rPr>
        <w:t xml:space="preserve"> de manera confidencial.</w:t>
      </w:r>
    </w:p>
    <w:p w14:paraId="7867F68F" w14:textId="29FDE3A7" w:rsidR="00C644AE" w:rsidRPr="00402C60" w:rsidRDefault="00FE7B52" w:rsidP="001106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402C60">
        <w:rPr>
          <w:rFonts w:asciiTheme="majorHAnsi" w:hAnsiTheme="majorHAnsi"/>
          <w:sz w:val="20"/>
          <w:szCs w:val="20"/>
          <w:lang w:val="es-ES_tradnl"/>
        </w:rPr>
        <w:t>Al respecto, la Comisión recuerda que la Corte Interamericana de Derechos Humanos, en su Opinión Consultiva OC-24/17, ha establecido que los Estados tienen el deber adoptar procedimientos expeditos</w:t>
      </w:r>
      <w:r w:rsidR="00C644AE" w:rsidRPr="00402C60">
        <w:rPr>
          <w:rFonts w:asciiTheme="majorHAnsi" w:hAnsiTheme="majorHAnsi"/>
          <w:sz w:val="20"/>
          <w:szCs w:val="20"/>
          <w:lang w:val="es-ES_tradnl"/>
        </w:rPr>
        <w:t xml:space="preserve"> y confidenciales que permitan a </w:t>
      </w:r>
      <w:r w:rsidRPr="00402C60">
        <w:rPr>
          <w:rFonts w:asciiTheme="majorHAnsi" w:hAnsiTheme="majorHAnsi"/>
          <w:sz w:val="20"/>
          <w:szCs w:val="20"/>
          <w:lang w:val="es-ES_tradnl"/>
        </w:rPr>
        <w:t xml:space="preserve">las personas </w:t>
      </w:r>
      <w:r w:rsidR="00C644AE" w:rsidRPr="00402C60">
        <w:rPr>
          <w:rFonts w:asciiTheme="majorHAnsi" w:hAnsiTheme="majorHAnsi"/>
          <w:sz w:val="20"/>
          <w:szCs w:val="20"/>
          <w:lang w:val="es-ES_tradnl"/>
        </w:rPr>
        <w:t>adecuar integralmente su información identitaria conforme a su identidad de género auto-percibida</w:t>
      </w:r>
      <w:r w:rsidR="00C644AE" w:rsidRPr="00402C60">
        <w:rPr>
          <w:rStyle w:val="FootnoteReference"/>
          <w:rFonts w:asciiTheme="majorHAnsi" w:hAnsiTheme="majorHAnsi"/>
          <w:sz w:val="20"/>
          <w:szCs w:val="20"/>
          <w:lang w:val="es-ES_tradnl"/>
        </w:rPr>
        <w:footnoteReference w:id="7"/>
      </w:r>
      <w:r w:rsidR="00C644AE" w:rsidRPr="00402C60">
        <w:rPr>
          <w:rFonts w:asciiTheme="majorHAnsi" w:hAnsiTheme="majorHAnsi"/>
          <w:sz w:val="20"/>
          <w:szCs w:val="20"/>
          <w:lang w:val="es-ES_tradnl"/>
        </w:rPr>
        <w:t xml:space="preserve">. </w:t>
      </w:r>
      <w:r w:rsidR="001106DC" w:rsidRPr="00402C60">
        <w:rPr>
          <w:rFonts w:asciiTheme="majorHAnsi" w:hAnsiTheme="majorHAnsi"/>
          <w:sz w:val="20"/>
          <w:szCs w:val="20"/>
          <w:lang w:val="es-ES_tradnl"/>
        </w:rPr>
        <w:t>En es</w:t>
      </w:r>
      <w:r w:rsidR="006C7428" w:rsidRPr="00402C60">
        <w:rPr>
          <w:rFonts w:asciiTheme="majorHAnsi" w:hAnsiTheme="majorHAnsi"/>
          <w:sz w:val="20"/>
          <w:szCs w:val="20"/>
          <w:lang w:val="es-ES_tradnl"/>
        </w:rPr>
        <w:t>ta</w:t>
      </w:r>
      <w:r w:rsidR="001106DC" w:rsidRPr="00402C60">
        <w:rPr>
          <w:rFonts w:asciiTheme="majorHAnsi" w:hAnsiTheme="majorHAnsi"/>
          <w:sz w:val="20"/>
          <w:szCs w:val="20"/>
          <w:lang w:val="es-ES_tradnl"/>
        </w:rPr>
        <w:t xml:space="preserve"> línea, dicho tribunal enfatizó que la publicidad no deseada sobre un cambio de datos identitarios puede poner a la persona solicitante en una situación de mayor vulnerabilidad a diversos actos de discriminación en su contra, por lo que todas las rectificaciones realizadas a los registros y los documentos de identidad “</w:t>
      </w:r>
      <w:r w:rsidR="001106DC" w:rsidRPr="00402C60">
        <w:rPr>
          <w:rFonts w:asciiTheme="majorHAnsi" w:hAnsiTheme="majorHAnsi"/>
          <w:i/>
          <w:iCs/>
          <w:sz w:val="20"/>
          <w:szCs w:val="20"/>
          <w:lang w:val="es-ES_tradnl"/>
        </w:rPr>
        <w:t xml:space="preserve">no deben ser de acceso público, </w:t>
      </w:r>
      <w:r w:rsidR="00A74865" w:rsidRPr="00402C60">
        <w:rPr>
          <w:rFonts w:asciiTheme="majorHAnsi" w:hAnsiTheme="majorHAnsi"/>
          <w:i/>
          <w:iCs/>
          <w:sz w:val="20"/>
          <w:szCs w:val="20"/>
          <w:lang w:val="es-ES_tradnl"/>
        </w:rPr>
        <w:t>ni tampoco deben figurar en el mismo documento de identidad</w:t>
      </w:r>
      <w:r w:rsidR="006C7428" w:rsidRPr="00402C60">
        <w:rPr>
          <w:rFonts w:asciiTheme="majorHAnsi" w:hAnsiTheme="majorHAnsi"/>
          <w:i/>
          <w:iCs/>
          <w:sz w:val="20"/>
          <w:szCs w:val="20"/>
          <w:lang w:val="es-ES_tradnl"/>
        </w:rPr>
        <w:t xml:space="preserve">” </w:t>
      </w:r>
      <w:r w:rsidR="006C7428" w:rsidRPr="00402C60">
        <w:rPr>
          <w:rFonts w:asciiTheme="majorHAnsi" w:hAnsiTheme="majorHAnsi"/>
          <w:sz w:val="20"/>
          <w:szCs w:val="20"/>
          <w:lang w:val="es-ES_tradnl"/>
        </w:rPr>
        <w:t>(párr. 135).</w:t>
      </w:r>
    </w:p>
    <w:p w14:paraId="1503E088" w14:textId="642BDAA8" w:rsidR="00D7009D" w:rsidRPr="00402C60" w:rsidRDefault="00D7009D" w:rsidP="00D700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402C60">
        <w:rPr>
          <w:rFonts w:asciiTheme="majorHAnsi" w:hAnsiTheme="majorHAnsi"/>
          <w:sz w:val="20"/>
          <w:szCs w:val="20"/>
          <w:lang w:val="es-ES_tradnl"/>
        </w:rPr>
        <w:t>En virtud de tales consideraciones</w:t>
      </w:r>
      <w:r w:rsidR="00C644AE" w:rsidRPr="00402C60">
        <w:rPr>
          <w:rFonts w:asciiTheme="majorHAnsi" w:hAnsiTheme="majorHAnsi"/>
          <w:sz w:val="20"/>
          <w:szCs w:val="20"/>
          <w:lang w:val="es-ES_tradnl"/>
        </w:rPr>
        <w:t xml:space="preserve">, la CIDH concluye que, </w:t>
      </w:r>
      <w:r w:rsidR="00C644AE" w:rsidRPr="00402C60">
        <w:rPr>
          <w:rFonts w:asciiTheme="majorHAnsi" w:hAnsiTheme="majorHAnsi"/>
          <w:i/>
          <w:iCs/>
          <w:sz w:val="20"/>
          <w:szCs w:val="20"/>
          <w:lang w:val="es-ES_tradnl"/>
        </w:rPr>
        <w:t>prima facie</w:t>
      </w:r>
      <w:r w:rsidR="00C644AE" w:rsidRPr="00402C60">
        <w:rPr>
          <w:rFonts w:asciiTheme="majorHAnsi" w:hAnsiTheme="majorHAnsi"/>
          <w:sz w:val="20"/>
          <w:szCs w:val="20"/>
          <w:lang w:val="es-ES_tradnl"/>
        </w:rPr>
        <w:t xml:space="preserve">, </w:t>
      </w:r>
      <w:r w:rsidRPr="00402C60">
        <w:rPr>
          <w:rFonts w:asciiTheme="majorHAnsi" w:hAnsiTheme="majorHAnsi"/>
          <w:sz w:val="20"/>
          <w:szCs w:val="20"/>
          <w:lang w:val="es-ES_tradnl"/>
        </w:rPr>
        <w:t>la presunta víctima no tendría a su disposición un recurso idóneo, que cumpla con las características citadas previamente, a efectos de proteger los derechos que alega violado</w:t>
      </w:r>
      <w:r w:rsidR="001106DC" w:rsidRPr="00402C60">
        <w:rPr>
          <w:rFonts w:asciiTheme="majorHAnsi" w:hAnsiTheme="majorHAnsi"/>
          <w:sz w:val="20"/>
          <w:szCs w:val="20"/>
          <w:lang w:val="es-ES_tradnl"/>
        </w:rPr>
        <w:t>s</w:t>
      </w:r>
      <w:r w:rsidRPr="00402C60">
        <w:rPr>
          <w:rFonts w:asciiTheme="majorHAnsi" w:hAnsiTheme="majorHAnsi"/>
          <w:sz w:val="20"/>
          <w:szCs w:val="20"/>
          <w:lang w:val="es-ES_tradnl"/>
        </w:rPr>
        <w:t>. En razón a ello,</w:t>
      </w:r>
      <w:r w:rsidR="001106DC" w:rsidRPr="00402C60">
        <w:rPr>
          <w:rFonts w:asciiTheme="majorHAnsi" w:hAnsiTheme="majorHAnsi"/>
          <w:sz w:val="20"/>
          <w:szCs w:val="20"/>
          <w:lang w:val="es-ES_tradnl"/>
        </w:rPr>
        <w:t xml:space="preserve"> considera que pertinente aplicar </w:t>
      </w:r>
      <w:r w:rsidRPr="00402C60">
        <w:rPr>
          <w:rFonts w:asciiTheme="majorHAnsi" w:hAnsiTheme="majorHAnsi"/>
          <w:sz w:val="20"/>
          <w:szCs w:val="20"/>
          <w:lang w:val="es-ES_tradnl"/>
        </w:rPr>
        <w:t>la excepción al agotamiento de los recursos internos contemplada en el artículo 46.2.a</w:t>
      </w:r>
      <w:r w:rsidR="00545D20" w:rsidRPr="00402C60">
        <w:rPr>
          <w:rFonts w:asciiTheme="majorHAnsi" w:hAnsiTheme="majorHAnsi"/>
          <w:sz w:val="20"/>
          <w:szCs w:val="20"/>
          <w:lang w:val="es-ES_tradnl"/>
        </w:rPr>
        <w:t>)</w:t>
      </w:r>
      <w:r w:rsidRPr="00402C60">
        <w:rPr>
          <w:rFonts w:asciiTheme="majorHAnsi" w:hAnsiTheme="majorHAnsi"/>
          <w:sz w:val="20"/>
          <w:szCs w:val="20"/>
          <w:lang w:val="es-ES_tradnl"/>
        </w:rPr>
        <w:t xml:space="preserve"> de la Convención Americana. </w:t>
      </w:r>
    </w:p>
    <w:p w14:paraId="4CCF5273" w14:textId="52C3A591" w:rsidR="00C644AE" w:rsidRPr="00402C60" w:rsidRDefault="00545D20" w:rsidP="00C644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402C60">
        <w:rPr>
          <w:rFonts w:asciiTheme="majorHAnsi" w:hAnsiTheme="majorHAnsi"/>
          <w:bCs/>
          <w:sz w:val="20"/>
          <w:szCs w:val="20"/>
          <w:lang w:val="es-ES_tradnl"/>
        </w:rPr>
        <w:t>L</w:t>
      </w:r>
      <w:r w:rsidR="00D7009D" w:rsidRPr="00402C60">
        <w:rPr>
          <w:rFonts w:asciiTheme="majorHAnsi" w:hAnsiTheme="majorHAnsi"/>
          <w:bCs/>
          <w:sz w:val="20"/>
          <w:szCs w:val="20"/>
          <w:lang w:val="es-ES_tradnl"/>
        </w:rPr>
        <w:t xml:space="preserve">a </w:t>
      </w:r>
      <w:r w:rsidRPr="00402C60">
        <w:rPr>
          <w:rFonts w:asciiTheme="majorHAnsi" w:hAnsiTheme="majorHAnsi"/>
          <w:bCs/>
          <w:sz w:val="20"/>
          <w:szCs w:val="20"/>
          <w:lang w:val="es-ES_tradnl"/>
        </w:rPr>
        <w:t xml:space="preserve">presente </w:t>
      </w:r>
      <w:r w:rsidR="00D7009D" w:rsidRPr="00402C60">
        <w:rPr>
          <w:rFonts w:asciiTheme="majorHAnsi" w:hAnsiTheme="majorHAnsi"/>
          <w:bCs/>
          <w:sz w:val="20"/>
          <w:szCs w:val="20"/>
          <w:lang w:val="es-ES_tradnl"/>
        </w:rPr>
        <w:t>petición fue recibida el 7 de junio de 2017, y los hechos materia del reclamo habrían ocurrido al menos desde el 2014</w:t>
      </w:r>
      <w:r w:rsidRPr="00402C60">
        <w:rPr>
          <w:rFonts w:asciiTheme="majorHAnsi" w:hAnsiTheme="majorHAnsi"/>
          <w:bCs/>
          <w:sz w:val="20"/>
          <w:szCs w:val="20"/>
          <w:lang w:val="es-ES_tradnl"/>
        </w:rPr>
        <w:t>,</w:t>
      </w:r>
      <w:r w:rsidR="00D7009D" w:rsidRPr="00402C60">
        <w:rPr>
          <w:rFonts w:asciiTheme="majorHAnsi" w:hAnsiTheme="majorHAnsi"/>
          <w:bCs/>
          <w:sz w:val="20"/>
          <w:szCs w:val="20"/>
          <w:lang w:val="es-ES_tradnl"/>
        </w:rPr>
        <w:t xml:space="preserve"> y algunos de </w:t>
      </w:r>
      <w:r w:rsidRPr="00402C60">
        <w:rPr>
          <w:rFonts w:asciiTheme="majorHAnsi" w:hAnsiTheme="majorHAnsi"/>
          <w:bCs/>
          <w:sz w:val="20"/>
          <w:szCs w:val="20"/>
          <w:lang w:val="es-ES_tradnl"/>
        </w:rPr>
        <w:t>sus</w:t>
      </w:r>
      <w:r w:rsidR="00D7009D" w:rsidRPr="00402C60">
        <w:rPr>
          <w:rFonts w:asciiTheme="majorHAnsi" w:hAnsiTheme="majorHAnsi"/>
          <w:bCs/>
          <w:sz w:val="20"/>
          <w:szCs w:val="20"/>
          <w:lang w:val="es-ES_tradnl"/>
        </w:rPr>
        <w:t xml:space="preserve"> efectos se extenderían hasta el presente. Por lo tanto, en vista del contexto y las características del presente caso, la Comisión considera que la petición fue presentada dentro de un plazo razonable </w:t>
      </w:r>
      <w:r w:rsidRPr="00402C60">
        <w:rPr>
          <w:rFonts w:asciiTheme="majorHAnsi" w:hAnsiTheme="majorHAnsi"/>
          <w:bCs/>
          <w:sz w:val="20"/>
          <w:szCs w:val="20"/>
          <w:lang w:val="es-ES_tradnl"/>
        </w:rPr>
        <w:t>en los términos del artículo 32.2 de su Reglamento.</w:t>
      </w:r>
    </w:p>
    <w:p w14:paraId="4FFBE378" w14:textId="2AFD2332" w:rsidR="003239B8" w:rsidRPr="00402C60" w:rsidRDefault="003239B8" w:rsidP="00FE7B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lang w:val="es-ES_tradnl"/>
        </w:rPr>
      </w:pPr>
      <w:r w:rsidRPr="00402C60">
        <w:rPr>
          <w:rFonts w:asciiTheme="majorHAnsi" w:hAnsiTheme="majorHAnsi"/>
          <w:b/>
          <w:bCs/>
          <w:sz w:val="20"/>
          <w:szCs w:val="20"/>
          <w:lang w:val="es-ES_tradnl"/>
        </w:rPr>
        <w:t>VII.</w:t>
      </w:r>
      <w:r w:rsidRPr="00402C60">
        <w:rPr>
          <w:rFonts w:asciiTheme="majorHAnsi" w:hAnsiTheme="majorHAnsi"/>
          <w:b/>
          <w:bCs/>
          <w:sz w:val="20"/>
          <w:szCs w:val="20"/>
          <w:lang w:val="es-ES_tradnl"/>
        </w:rPr>
        <w:tab/>
      </w:r>
      <w:r w:rsidR="004A6A54" w:rsidRPr="00402C60">
        <w:rPr>
          <w:rFonts w:asciiTheme="majorHAnsi" w:hAnsiTheme="majorHAnsi"/>
          <w:b/>
          <w:bCs/>
          <w:sz w:val="20"/>
          <w:szCs w:val="20"/>
          <w:lang w:val="es-ES_tradnl"/>
        </w:rPr>
        <w:t xml:space="preserve">ANÁLISIS DE </w:t>
      </w:r>
      <w:r w:rsidR="00C21FEF" w:rsidRPr="00402C60">
        <w:rPr>
          <w:rFonts w:asciiTheme="majorHAnsi" w:hAnsiTheme="majorHAnsi"/>
          <w:b/>
          <w:bCs/>
          <w:sz w:val="20"/>
          <w:szCs w:val="20"/>
          <w:lang w:val="es-ES_tradnl"/>
        </w:rPr>
        <w:t>CARACTERIZACIÓN DE LOS HECHOS ALEGADOS</w:t>
      </w:r>
    </w:p>
    <w:p w14:paraId="2F2F8823" w14:textId="64FF1E78" w:rsidR="00FE7B52" w:rsidRPr="00402C60" w:rsidRDefault="00FE7B52" w:rsidP="00FE7B52">
      <w:pPr>
        <w:pStyle w:val="ListParagraph"/>
        <w:numPr>
          <w:ilvl w:val="0"/>
          <w:numId w:val="103"/>
        </w:numPr>
        <w:jc w:val="both"/>
        <w:rPr>
          <w:rFonts w:asciiTheme="majorHAnsi" w:hAnsiTheme="majorHAnsi"/>
          <w:b/>
          <w:bCs/>
          <w:sz w:val="20"/>
          <w:szCs w:val="20"/>
          <w:lang w:val="es-ES_tradnl"/>
        </w:rPr>
      </w:pPr>
      <w:r w:rsidRPr="00402C60">
        <w:rPr>
          <w:rFonts w:asciiTheme="majorHAnsi" w:hAnsiTheme="majorHAnsi"/>
          <w:sz w:val="20"/>
          <w:szCs w:val="20"/>
          <w:lang w:val="es-ES_tradnl"/>
        </w:rPr>
        <w:t>En vista de los elementos de hecho y de derecho expuestos por las partes y la naturaleza del asunto puesto bajo su conocimiento, la Comisión estima que los alegatos de la parte peticionaria, referidos a la</w:t>
      </w:r>
      <w:r w:rsidR="00A74865" w:rsidRPr="00402C60">
        <w:rPr>
          <w:rFonts w:asciiTheme="majorHAnsi" w:hAnsiTheme="majorHAnsi"/>
          <w:sz w:val="20"/>
          <w:szCs w:val="20"/>
          <w:lang w:val="es-ES_tradnl"/>
        </w:rPr>
        <w:t xml:space="preserve"> falta de un procedimiento para lograr la adecuación de los datos identitarios de la presunta víctima</w:t>
      </w:r>
      <w:r w:rsidRPr="00402C60">
        <w:rPr>
          <w:rFonts w:asciiTheme="majorHAnsi" w:hAnsiTheme="majorHAnsi"/>
          <w:sz w:val="20"/>
          <w:szCs w:val="20"/>
          <w:lang w:val="es-ES_tradnl"/>
        </w:rPr>
        <w:t>, no resultan manifiestamente infundados y requieren un estudio de fondo, toda vez que de corroborarse como ciertos podrían constituir violaciones de los derechos protegidos en los artículos</w:t>
      </w:r>
      <w:r w:rsidR="00545D20" w:rsidRPr="00402C60">
        <w:rPr>
          <w:rFonts w:asciiTheme="majorHAnsi" w:hAnsiTheme="majorHAnsi"/>
          <w:sz w:val="20"/>
          <w:szCs w:val="20"/>
          <w:lang w:val="es-ES_tradnl"/>
        </w:rPr>
        <w:t xml:space="preserve"> 3</w:t>
      </w:r>
      <w:r w:rsidRPr="00402C60">
        <w:rPr>
          <w:rFonts w:asciiTheme="majorHAnsi" w:hAnsiTheme="majorHAnsi"/>
          <w:sz w:val="20"/>
          <w:szCs w:val="20"/>
          <w:lang w:val="es-ES_tradnl"/>
        </w:rPr>
        <w:t xml:space="preserve"> </w:t>
      </w:r>
      <w:r w:rsidRPr="00402C60">
        <w:rPr>
          <w:rFonts w:asciiTheme="majorHAnsi" w:hAnsiTheme="majorHAnsi"/>
          <w:bCs/>
          <w:sz w:val="20"/>
          <w:szCs w:val="20"/>
          <w:lang w:val="es-ES_tradnl"/>
        </w:rPr>
        <w:t>(reconocimiento de la personalidad jurídica), 8 (</w:t>
      </w:r>
      <w:r w:rsidR="00545D20" w:rsidRPr="00402C60">
        <w:rPr>
          <w:rFonts w:asciiTheme="majorHAnsi" w:hAnsiTheme="majorHAnsi"/>
          <w:bCs/>
          <w:sz w:val="20"/>
          <w:szCs w:val="20"/>
          <w:lang w:val="es-ES_tradnl"/>
        </w:rPr>
        <w:t>g</w:t>
      </w:r>
      <w:r w:rsidRPr="00402C60">
        <w:rPr>
          <w:rFonts w:asciiTheme="majorHAnsi" w:hAnsiTheme="majorHAnsi"/>
          <w:bCs/>
          <w:sz w:val="20"/>
          <w:szCs w:val="20"/>
          <w:lang w:val="es-ES_tradnl"/>
        </w:rPr>
        <w:t xml:space="preserve">arantías </w:t>
      </w:r>
      <w:r w:rsidR="00545D20" w:rsidRPr="00402C60">
        <w:rPr>
          <w:rFonts w:asciiTheme="majorHAnsi" w:hAnsiTheme="majorHAnsi"/>
          <w:bCs/>
          <w:sz w:val="20"/>
          <w:szCs w:val="20"/>
          <w:lang w:val="es-ES_tradnl"/>
        </w:rPr>
        <w:t>j</w:t>
      </w:r>
      <w:r w:rsidRPr="00402C60">
        <w:rPr>
          <w:rFonts w:asciiTheme="majorHAnsi" w:hAnsiTheme="majorHAnsi"/>
          <w:bCs/>
          <w:sz w:val="20"/>
          <w:szCs w:val="20"/>
          <w:lang w:val="es-ES_tradnl"/>
        </w:rPr>
        <w:t xml:space="preserve">udiciales), 13 </w:t>
      </w:r>
      <w:r w:rsidR="00545D20" w:rsidRPr="00402C60">
        <w:rPr>
          <w:rFonts w:asciiTheme="majorHAnsi" w:hAnsiTheme="majorHAnsi"/>
          <w:bCs/>
          <w:sz w:val="20"/>
          <w:szCs w:val="20"/>
          <w:lang w:val="es-ES_tradnl"/>
        </w:rPr>
        <w:t>(l</w:t>
      </w:r>
      <w:r w:rsidRPr="00402C60">
        <w:rPr>
          <w:rFonts w:asciiTheme="majorHAnsi" w:hAnsiTheme="majorHAnsi"/>
          <w:bCs/>
          <w:sz w:val="20"/>
          <w:szCs w:val="20"/>
          <w:lang w:val="es-ES_tradnl"/>
        </w:rPr>
        <w:t>ibertad de pensamiento y expresión), 18 (nombre), 24 (</w:t>
      </w:r>
      <w:r w:rsidR="006C7428" w:rsidRPr="00402C60">
        <w:rPr>
          <w:rFonts w:asciiTheme="majorHAnsi" w:hAnsiTheme="majorHAnsi"/>
          <w:bCs/>
          <w:sz w:val="20"/>
          <w:szCs w:val="20"/>
          <w:lang w:val="es-ES_tradnl"/>
        </w:rPr>
        <w:t>i</w:t>
      </w:r>
      <w:r w:rsidRPr="00402C60">
        <w:rPr>
          <w:rFonts w:asciiTheme="majorHAnsi" w:hAnsiTheme="majorHAnsi"/>
          <w:bCs/>
          <w:sz w:val="20"/>
          <w:szCs w:val="20"/>
          <w:lang w:val="es-ES_tradnl"/>
        </w:rPr>
        <w:t xml:space="preserve">gualdad ante la </w:t>
      </w:r>
      <w:r w:rsidRPr="00402C60">
        <w:rPr>
          <w:rFonts w:asciiTheme="majorHAnsi" w:hAnsiTheme="majorHAnsi"/>
          <w:bCs/>
          <w:sz w:val="20"/>
          <w:szCs w:val="20"/>
          <w:lang w:val="es-ES_tradnl"/>
        </w:rPr>
        <w:lastRenderedPageBreak/>
        <w:t>ley) y 25 (</w:t>
      </w:r>
      <w:r w:rsidR="006C7428" w:rsidRPr="00402C60">
        <w:rPr>
          <w:rFonts w:asciiTheme="majorHAnsi" w:hAnsiTheme="majorHAnsi"/>
          <w:bCs/>
          <w:sz w:val="20"/>
          <w:szCs w:val="20"/>
          <w:lang w:val="es-ES_tradnl"/>
        </w:rPr>
        <w:t>p</w:t>
      </w:r>
      <w:r w:rsidRPr="00402C60">
        <w:rPr>
          <w:rFonts w:asciiTheme="majorHAnsi" w:hAnsiTheme="majorHAnsi"/>
          <w:bCs/>
          <w:sz w:val="20"/>
          <w:szCs w:val="20"/>
          <w:lang w:val="es-ES_tradnl"/>
        </w:rPr>
        <w:t xml:space="preserve">rotección judicial) </w:t>
      </w:r>
      <w:r w:rsidRPr="00402C60">
        <w:rPr>
          <w:rFonts w:asciiTheme="majorHAnsi" w:hAnsiTheme="majorHAnsi"/>
          <w:sz w:val="20"/>
          <w:szCs w:val="20"/>
          <w:lang w:val="es-ES_tradnl"/>
        </w:rPr>
        <w:t xml:space="preserve">de la Convención Americana, en relación con su artículo 1.1 </w:t>
      </w:r>
      <w:r w:rsidRPr="00402C60">
        <w:rPr>
          <w:rFonts w:asciiTheme="majorHAnsi" w:hAnsiTheme="majorHAnsi"/>
          <w:bCs/>
          <w:sz w:val="20"/>
          <w:szCs w:val="20"/>
          <w:lang w:val="es-ES_tradnl"/>
        </w:rPr>
        <w:t>(</w:t>
      </w:r>
      <w:r w:rsidR="006C7428" w:rsidRPr="00402C60">
        <w:rPr>
          <w:rFonts w:asciiTheme="majorHAnsi" w:hAnsiTheme="majorHAnsi"/>
          <w:bCs/>
          <w:sz w:val="20"/>
          <w:szCs w:val="20"/>
          <w:lang w:val="es-ES_tradnl"/>
        </w:rPr>
        <w:t>obligación</w:t>
      </w:r>
      <w:r w:rsidRPr="00402C60">
        <w:rPr>
          <w:rFonts w:asciiTheme="majorHAnsi" w:hAnsiTheme="majorHAnsi"/>
          <w:bCs/>
          <w:sz w:val="20"/>
          <w:szCs w:val="20"/>
          <w:lang w:val="es-ES_tradnl"/>
        </w:rPr>
        <w:t xml:space="preserve"> de respetar los derechos)</w:t>
      </w:r>
      <w:r w:rsidR="006C7428" w:rsidRPr="00402C60">
        <w:rPr>
          <w:rFonts w:asciiTheme="majorHAnsi" w:hAnsiTheme="majorHAnsi"/>
          <w:bCs/>
          <w:sz w:val="20"/>
          <w:szCs w:val="20"/>
          <w:lang w:val="es-ES_tradnl"/>
        </w:rPr>
        <w:t>,</w:t>
      </w:r>
      <w:r w:rsidRPr="00402C60">
        <w:rPr>
          <w:rFonts w:asciiTheme="majorHAnsi" w:hAnsiTheme="majorHAnsi"/>
          <w:bCs/>
          <w:sz w:val="20"/>
          <w:szCs w:val="20"/>
          <w:lang w:val="es-ES_tradnl"/>
        </w:rPr>
        <w:t xml:space="preserve"> en perjuicio de la presunta víctima</w:t>
      </w:r>
      <w:r w:rsidR="00F023D9" w:rsidRPr="00402C60">
        <w:rPr>
          <w:rFonts w:asciiTheme="majorHAnsi" w:hAnsiTheme="majorHAnsi"/>
          <w:bCs/>
          <w:sz w:val="20"/>
          <w:szCs w:val="20"/>
          <w:lang w:val="es-ES_tradnl"/>
        </w:rPr>
        <w:t>.</w:t>
      </w:r>
    </w:p>
    <w:p w14:paraId="38444432" w14:textId="77777777" w:rsidR="00FE7B52" w:rsidRPr="00402C60" w:rsidRDefault="00FE7B52" w:rsidP="00FE7B52">
      <w:pPr>
        <w:pStyle w:val="ListParagraph"/>
        <w:jc w:val="both"/>
        <w:rPr>
          <w:rFonts w:asciiTheme="majorHAnsi" w:hAnsiTheme="majorHAnsi"/>
          <w:bCs/>
          <w:sz w:val="20"/>
          <w:szCs w:val="20"/>
          <w:lang w:val="es-ES_tradnl"/>
        </w:rPr>
      </w:pPr>
    </w:p>
    <w:p w14:paraId="29BB41F5" w14:textId="2DF8FEAB" w:rsidR="003239B8" w:rsidRPr="00402C60" w:rsidRDefault="003239B8" w:rsidP="00FE7B52">
      <w:pPr>
        <w:pStyle w:val="ListParagraph"/>
        <w:jc w:val="both"/>
        <w:rPr>
          <w:rFonts w:asciiTheme="majorHAnsi" w:hAnsiTheme="majorHAnsi"/>
          <w:b/>
          <w:bCs/>
          <w:sz w:val="20"/>
          <w:szCs w:val="20"/>
          <w:lang w:val="es-ES_tradnl"/>
        </w:rPr>
      </w:pPr>
      <w:r w:rsidRPr="00402C60">
        <w:rPr>
          <w:rFonts w:asciiTheme="majorHAnsi" w:hAnsiTheme="majorHAnsi"/>
          <w:b/>
          <w:bCs/>
          <w:sz w:val="20"/>
          <w:szCs w:val="20"/>
          <w:lang w:val="es-ES_tradnl"/>
        </w:rPr>
        <w:t xml:space="preserve">VIII. </w:t>
      </w:r>
      <w:r w:rsidRPr="00402C60">
        <w:rPr>
          <w:rFonts w:asciiTheme="majorHAnsi" w:hAnsiTheme="majorHAnsi"/>
          <w:b/>
          <w:bCs/>
          <w:sz w:val="20"/>
          <w:szCs w:val="20"/>
          <w:lang w:val="es-ES_tradnl"/>
        </w:rPr>
        <w:tab/>
        <w:t>DECISIÓN</w:t>
      </w:r>
    </w:p>
    <w:p w14:paraId="444EAB0E" w14:textId="77777777" w:rsidR="00FE7B52" w:rsidRPr="00402C60" w:rsidRDefault="00FE7B52" w:rsidP="00FE7B52">
      <w:pPr>
        <w:jc w:val="both"/>
        <w:rPr>
          <w:rFonts w:asciiTheme="majorHAnsi" w:hAnsiTheme="majorHAnsi"/>
          <w:b/>
          <w:bCs/>
          <w:sz w:val="20"/>
          <w:szCs w:val="20"/>
          <w:lang w:val="es-ES_tradnl"/>
        </w:rPr>
      </w:pPr>
    </w:p>
    <w:p w14:paraId="41AA5BF6" w14:textId="272A4CF3" w:rsidR="000419AD" w:rsidRPr="00402C60"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02C60">
        <w:rPr>
          <w:rFonts w:asciiTheme="majorHAnsi" w:hAnsiTheme="majorHAnsi"/>
          <w:sz w:val="20"/>
          <w:szCs w:val="20"/>
          <w:lang w:val="es-ES_tradnl"/>
        </w:rPr>
        <w:t xml:space="preserve">Declarar admisible la presente petición en relación con </w:t>
      </w:r>
      <w:r w:rsidR="006C7428" w:rsidRPr="00402C60">
        <w:rPr>
          <w:rFonts w:asciiTheme="majorHAnsi" w:hAnsiTheme="majorHAnsi"/>
          <w:sz w:val="20"/>
          <w:szCs w:val="20"/>
          <w:lang w:val="es-ES_tradnl"/>
        </w:rPr>
        <w:t xml:space="preserve">los artículos </w:t>
      </w:r>
      <w:r w:rsidR="00A60B23" w:rsidRPr="00402C60">
        <w:rPr>
          <w:rFonts w:asciiTheme="majorHAnsi" w:hAnsiTheme="majorHAnsi"/>
          <w:sz w:val="20"/>
          <w:szCs w:val="20"/>
          <w:lang w:val="es-ES_tradnl"/>
        </w:rPr>
        <w:t>3, 8, 13, 18, 24 y 25 de la Convención Americana</w:t>
      </w:r>
      <w:r w:rsidR="006C7428" w:rsidRPr="00402C60">
        <w:rPr>
          <w:rFonts w:asciiTheme="majorHAnsi" w:hAnsiTheme="majorHAnsi"/>
          <w:sz w:val="20"/>
          <w:szCs w:val="20"/>
          <w:lang w:val="es-ES_tradnl"/>
        </w:rPr>
        <w:t>, en relación con su artículo 1.1</w:t>
      </w:r>
      <w:r w:rsidR="00A758AA" w:rsidRPr="00402C60">
        <w:rPr>
          <w:rFonts w:asciiTheme="majorHAnsi" w:hAnsiTheme="majorHAnsi"/>
          <w:sz w:val="20"/>
          <w:szCs w:val="20"/>
          <w:lang w:val="es-ES_tradnl"/>
        </w:rPr>
        <w:t>;</w:t>
      </w:r>
      <w:r w:rsidR="007B76D3" w:rsidRPr="00402C60">
        <w:rPr>
          <w:rFonts w:asciiTheme="majorHAnsi" w:hAnsiTheme="majorHAnsi"/>
          <w:sz w:val="20"/>
          <w:szCs w:val="20"/>
          <w:lang w:val="es-ES_tradnl"/>
        </w:rPr>
        <w:t xml:space="preserve"> y</w:t>
      </w:r>
    </w:p>
    <w:p w14:paraId="12A7002C" w14:textId="77777777" w:rsidR="004A6A54" w:rsidRPr="00402C60"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02C60">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E5D856C" w14:textId="5010CE03" w:rsidR="00516387" w:rsidRPr="00A37B82" w:rsidRDefault="00516387" w:rsidP="0051638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(en disidencia),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4D44817" w14:textId="77777777" w:rsidR="00516387" w:rsidRPr="00A37B82" w:rsidRDefault="00516387" w:rsidP="00516387">
      <w:pPr>
        <w:suppressAutoHyphens/>
        <w:ind w:firstLine="720"/>
        <w:jc w:val="both"/>
        <w:rPr>
          <w:rFonts w:asciiTheme="majorHAnsi" w:hAnsiTheme="majorHAnsi" w:cs="Arial"/>
          <w:noProof/>
          <w:spacing w:val="-2"/>
          <w:sz w:val="20"/>
          <w:szCs w:val="20"/>
          <w:lang w:val="es-CL"/>
        </w:rPr>
      </w:pPr>
    </w:p>
    <w:p w14:paraId="7CD4DFBD" w14:textId="4DBA4549" w:rsidR="004F2591" w:rsidRDefault="004F2591">
      <w:pPr>
        <w:rPr>
          <w:rFonts w:asciiTheme="majorHAnsi" w:eastAsia="Cambria" w:hAnsiTheme="majorHAnsi" w:cs="Cambria"/>
          <w:color w:val="000000"/>
          <w:sz w:val="20"/>
          <w:szCs w:val="20"/>
          <w:u w:color="000000"/>
          <w:lang w:val="es-ES_tradnl" w:eastAsia="es-ES"/>
        </w:rPr>
      </w:pPr>
      <w:r>
        <w:rPr>
          <w:rFonts w:asciiTheme="majorHAnsi" w:hAnsiTheme="majorHAnsi"/>
          <w:sz w:val="20"/>
          <w:szCs w:val="20"/>
          <w:lang w:val="es-ES_tradnl"/>
        </w:rPr>
        <w:br w:type="page"/>
      </w:r>
    </w:p>
    <w:p w14:paraId="400C5AFD" w14:textId="77777777" w:rsidR="004F2591" w:rsidRDefault="004F2591" w:rsidP="004F2591">
      <w:pPr>
        <w:pStyle w:val="s3"/>
        <w:spacing w:before="0" w:beforeAutospacing="0" w:after="0" w:afterAutospacing="0" w:line="324" w:lineRule="atLeast"/>
        <w:jc w:val="center"/>
        <w:rPr>
          <w:rStyle w:val="s2"/>
          <w:b/>
          <w:bCs/>
          <w:color w:val="000000"/>
          <w:sz w:val="27"/>
          <w:szCs w:val="27"/>
        </w:rPr>
      </w:pPr>
    </w:p>
    <w:p w14:paraId="00459D1C" w14:textId="146349A1" w:rsidR="004F2591" w:rsidRPr="00CC50DA" w:rsidRDefault="004F2591" w:rsidP="004F2591">
      <w:pPr>
        <w:pStyle w:val="s3"/>
        <w:spacing w:before="0" w:beforeAutospacing="0" w:after="0" w:afterAutospacing="0" w:line="324" w:lineRule="atLeast"/>
        <w:jc w:val="center"/>
        <w:rPr>
          <w:rStyle w:val="s2"/>
          <w:rFonts w:ascii="Cambria" w:hAnsi="Cambria"/>
          <w:b/>
          <w:bCs/>
          <w:color w:val="000000"/>
          <w:sz w:val="27"/>
          <w:szCs w:val="27"/>
        </w:rPr>
      </w:pPr>
      <w:r w:rsidRPr="00CC50DA">
        <w:rPr>
          <w:rStyle w:val="s2"/>
          <w:rFonts w:ascii="Cambria" w:hAnsi="Cambria"/>
          <w:b/>
          <w:bCs/>
          <w:color w:val="000000"/>
          <w:sz w:val="27"/>
          <w:szCs w:val="27"/>
        </w:rPr>
        <w:t xml:space="preserve">VOTO DISIDENTE, </w:t>
      </w:r>
    </w:p>
    <w:p w14:paraId="09A8E642" w14:textId="77777777" w:rsidR="004F2591" w:rsidRPr="00CC50DA" w:rsidRDefault="004F2591" w:rsidP="004F2591">
      <w:pPr>
        <w:pStyle w:val="s3"/>
        <w:spacing w:before="0" w:beforeAutospacing="0" w:after="0" w:afterAutospacing="0" w:line="324" w:lineRule="atLeast"/>
        <w:jc w:val="center"/>
        <w:rPr>
          <w:rFonts w:ascii="Cambria" w:hAnsi="Cambria"/>
          <w:color w:val="000000"/>
          <w:sz w:val="27"/>
          <w:szCs w:val="27"/>
        </w:rPr>
      </w:pPr>
      <w:r w:rsidRPr="00CC50DA">
        <w:rPr>
          <w:rStyle w:val="s2"/>
          <w:rFonts w:ascii="Cambria" w:hAnsi="Cambria"/>
          <w:b/>
          <w:bCs/>
          <w:color w:val="000000"/>
          <w:sz w:val="27"/>
          <w:szCs w:val="27"/>
        </w:rPr>
        <w:t>COMISIONADO STUARDO RALÓN ORELLANA</w:t>
      </w:r>
    </w:p>
    <w:p w14:paraId="2F963677" w14:textId="77777777" w:rsidR="004F2591" w:rsidRPr="00CC50DA" w:rsidRDefault="004F2591" w:rsidP="004F2591">
      <w:pPr>
        <w:pStyle w:val="s3"/>
        <w:spacing w:before="0" w:beforeAutospacing="0" w:after="0" w:afterAutospacing="0" w:line="324" w:lineRule="atLeast"/>
        <w:jc w:val="center"/>
        <w:rPr>
          <w:rFonts w:ascii="Cambria" w:hAnsi="Cambria"/>
          <w:color w:val="000000"/>
          <w:sz w:val="27"/>
          <w:szCs w:val="27"/>
        </w:rPr>
      </w:pPr>
      <w:r w:rsidRPr="00CC50DA">
        <w:rPr>
          <w:rStyle w:val="s4"/>
          <w:rFonts w:ascii="Cambria" w:hAnsi="Cambria"/>
          <w:color w:val="000000"/>
          <w:sz w:val="27"/>
          <w:szCs w:val="27"/>
        </w:rPr>
        <w:t>Informe de Admisibilidad N° 160/21 Petición N°</w:t>
      </w:r>
      <w:r w:rsidRPr="00CC50DA">
        <w:rPr>
          <w:rStyle w:val="apple-converted-space"/>
          <w:rFonts w:ascii="Cambria" w:hAnsi="Cambria"/>
          <w:color w:val="000000"/>
          <w:sz w:val="27"/>
          <w:szCs w:val="27"/>
        </w:rPr>
        <w:t> </w:t>
      </w:r>
      <w:r w:rsidRPr="00CC50DA">
        <w:rPr>
          <w:rStyle w:val="s4"/>
          <w:rFonts w:ascii="Cambria" w:hAnsi="Cambria"/>
          <w:color w:val="000000"/>
          <w:sz w:val="27"/>
          <w:szCs w:val="27"/>
        </w:rPr>
        <w:t>974-17 “</w:t>
      </w:r>
      <w:proofErr w:type="spellStart"/>
      <w:r w:rsidRPr="00CC50DA">
        <w:rPr>
          <w:rStyle w:val="s4"/>
          <w:rFonts w:ascii="Cambria" w:hAnsi="Cambria"/>
          <w:color w:val="000000"/>
          <w:sz w:val="27"/>
          <w:szCs w:val="27"/>
        </w:rPr>
        <w:t>Gabrie</w:t>
      </w:r>
      <w:proofErr w:type="spellEnd"/>
      <w:r w:rsidRPr="00CC50DA">
        <w:rPr>
          <w:rStyle w:val="apple-converted-space"/>
          <w:rFonts w:ascii="Cambria" w:hAnsi="Cambria"/>
          <w:color w:val="000000"/>
          <w:sz w:val="27"/>
          <w:szCs w:val="27"/>
        </w:rPr>
        <w:t> </w:t>
      </w:r>
      <w:proofErr w:type="spellStart"/>
      <w:r w:rsidRPr="00CC50DA">
        <w:rPr>
          <w:rStyle w:val="s4"/>
          <w:rFonts w:ascii="Cambria" w:hAnsi="Cambria"/>
          <w:color w:val="000000"/>
          <w:sz w:val="27"/>
          <w:szCs w:val="27"/>
        </w:rPr>
        <w:t>Mass</w:t>
      </w:r>
      <w:proofErr w:type="spellEnd"/>
      <w:r w:rsidRPr="00CC50DA">
        <w:rPr>
          <w:rStyle w:val="apple-converted-space"/>
          <w:rFonts w:ascii="Cambria" w:hAnsi="Cambria"/>
          <w:color w:val="000000"/>
          <w:sz w:val="27"/>
          <w:szCs w:val="27"/>
        </w:rPr>
        <w:t> </w:t>
      </w:r>
      <w:r w:rsidRPr="00CC50DA">
        <w:rPr>
          <w:rStyle w:val="s4"/>
          <w:rFonts w:ascii="Cambria" w:hAnsi="Cambria"/>
          <w:color w:val="000000"/>
          <w:sz w:val="27"/>
          <w:szCs w:val="27"/>
        </w:rPr>
        <w:t>Cáceres c/ Honduras”</w:t>
      </w:r>
    </w:p>
    <w:p w14:paraId="30B435D5" w14:textId="77777777" w:rsidR="004F2591" w:rsidRPr="00CC50DA" w:rsidRDefault="004F2591" w:rsidP="004F2591">
      <w:pPr>
        <w:pStyle w:val="s3"/>
        <w:spacing w:before="0" w:beforeAutospacing="0" w:after="0" w:afterAutospacing="0" w:line="324" w:lineRule="atLeast"/>
        <w:jc w:val="center"/>
        <w:rPr>
          <w:rFonts w:ascii="Cambria" w:hAnsi="Cambria"/>
          <w:color w:val="000000"/>
          <w:sz w:val="27"/>
          <w:szCs w:val="27"/>
        </w:rPr>
      </w:pPr>
      <w:r w:rsidRPr="00CC50DA">
        <w:rPr>
          <w:rStyle w:val="s4"/>
          <w:rFonts w:ascii="Cambria" w:hAnsi="Cambria"/>
          <w:color w:val="000000"/>
          <w:sz w:val="18"/>
          <w:szCs w:val="18"/>
        </w:rPr>
        <w:t>***********</w:t>
      </w:r>
    </w:p>
    <w:p w14:paraId="0C820955" w14:textId="77777777" w:rsidR="004F2591" w:rsidRPr="00CC50DA" w:rsidRDefault="004F2591" w:rsidP="004F2591">
      <w:pPr>
        <w:pStyle w:val="s5"/>
        <w:spacing w:before="0" w:beforeAutospacing="0" w:after="0" w:afterAutospacing="0" w:line="324" w:lineRule="atLeast"/>
        <w:ind w:firstLine="525"/>
        <w:jc w:val="both"/>
        <w:rPr>
          <w:rStyle w:val="s4"/>
          <w:rFonts w:ascii="Cambria" w:hAnsi="Cambria"/>
          <w:color w:val="000000"/>
          <w:sz w:val="18"/>
          <w:szCs w:val="18"/>
        </w:rPr>
      </w:pPr>
    </w:p>
    <w:p w14:paraId="73ACAEA5" w14:textId="77777777" w:rsidR="004F2591" w:rsidRPr="00CC50DA" w:rsidRDefault="004F2591" w:rsidP="004F2591">
      <w:pPr>
        <w:pStyle w:val="s5"/>
        <w:spacing w:before="0" w:beforeAutospacing="0" w:after="0" w:afterAutospacing="0" w:line="324" w:lineRule="atLeast"/>
        <w:ind w:firstLine="525"/>
        <w:jc w:val="both"/>
        <w:rPr>
          <w:rFonts w:ascii="Cambria" w:hAnsi="Cambria"/>
          <w:color w:val="000000"/>
          <w:sz w:val="20"/>
          <w:szCs w:val="20"/>
        </w:rPr>
      </w:pPr>
      <w:r w:rsidRPr="00CC50DA">
        <w:rPr>
          <w:rStyle w:val="s4"/>
          <w:rFonts w:ascii="Cambria" w:hAnsi="Cambria"/>
          <w:color w:val="000000"/>
          <w:sz w:val="20"/>
          <w:szCs w:val="20"/>
        </w:rPr>
        <w:t>En el presente informe de admisibilidad, respetuosamente debo hacer presente mi voto disidente. Valorando los argumentos del voto de mayoría, creo que</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la petición presentada no cumple con</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el requisito de admisibilidad contemplado en el artículo 46.1 letra a) de la Convención Americana. Este requisito exige de todo peticionario</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interponer y agotar los recursos que el derecho nacional</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le</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provee para ejercer sus derechos. Ahora bien, la propia jurisprudencia de</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esta Honorable Comisión</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ha establecido que dicho agotamiento</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supone</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 xml:space="preserve">que los recursos en cuestión sean ejercidos en el tiempo y en </w:t>
      </w:r>
      <w:proofErr w:type="gramStart"/>
      <w:r w:rsidRPr="00CC50DA">
        <w:rPr>
          <w:rStyle w:val="s4"/>
          <w:rFonts w:ascii="Cambria" w:hAnsi="Cambria"/>
          <w:color w:val="000000"/>
          <w:sz w:val="20"/>
          <w:szCs w:val="20"/>
        </w:rPr>
        <w:t>la forma establecidos</w:t>
      </w:r>
      <w:proofErr w:type="gramEnd"/>
      <w:r w:rsidRPr="00CC50DA">
        <w:rPr>
          <w:rStyle w:val="s4"/>
          <w:rFonts w:ascii="Cambria" w:hAnsi="Cambria"/>
          <w:color w:val="000000"/>
          <w:sz w:val="20"/>
          <w:szCs w:val="20"/>
        </w:rPr>
        <w:t xml:space="preserve"> por la legislación interna. Por tanto,</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técnicamente,</w:t>
      </w:r>
      <w:r w:rsidRPr="00CC50DA">
        <w:rPr>
          <w:rStyle w:val="apple-converted-space"/>
          <w:rFonts w:ascii="Cambria" w:hAnsi="Cambria"/>
          <w:color w:val="000000"/>
          <w:sz w:val="20"/>
          <w:szCs w:val="20"/>
        </w:rPr>
        <w:t> </w:t>
      </w:r>
      <w:r w:rsidRPr="00CC50DA">
        <w:rPr>
          <w:rStyle w:val="s2"/>
          <w:rFonts w:ascii="Cambria" w:hAnsi="Cambria"/>
          <w:b/>
          <w:bCs/>
          <w:color w:val="000000"/>
          <w:sz w:val="20"/>
          <w:szCs w:val="20"/>
        </w:rPr>
        <w:t>no puede existir agotamiento tratándose de una situación en que la instancia procesal que el derecho interno reconoce como competente rehúsa conocer del asunto</w:t>
      </w:r>
      <w:r w:rsidRPr="00CC50DA">
        <w:rPr>
          <w:rStyle w:val="apple-converted-space"/>
          <w:rFonts w:ascii="Cambria" w:hAnsi="Cambria"/>
          <w:b/>
          <w:bCs/>
          <w:color w:val="000000"/>
          <w:sz w:val="20"/>
          <w:szCs w:val="20"/>
        </w:rPr>
        <w:t> </w:t>
      </w:r>
      <w:r w:rsidRPr="00CC50DA">
        <w:rPr>
          <w:rStyle w:val="s2"/>
          <w:rFonts w:ascii="Cambria" w:hAnsi="Cambria"/>
          <w:b/>
          <w:bCs/>
          <w:color w:val="000000"/>
          <w:sz w:val="20"/>
          <w:szCs w:val="20"/>
        </w:rPr>
        <w:t>debido a que</w:t>
      </w:r>
      <w:r w:rsidRPr="00CC50DA">
        <w:rPr>
          <w:rStyle w:val="apple-converted-space"/>
          <w:rFonts w:ascii="Cambria" w:hAnsi="Cambria"/>
          <w:b/>
          <w:bCs/>
          <w:color w:val="000000"/>
          <w:sz w:val="20"/>
          <w:szCs w:val="20"/>
        </w:rPr>
        <w:t> </w:t>
      </w:r>
      <w:r w:rsidRPr="00CC50DA">
        <w:rPr>
          <w:rStyle w:val="s2"/>
          <w:rFonts w:ascii="Cambria" w:hAnsi="Cambria"/>
          <w:b/>
          <w:bCs/>
          <w:color w:val="000000"/>
          <w:sz w:val="20"/>
          <w:szCs w:val="20"/>
        </w:rPr>
        <w:t>la parte interesada ha ejercido su derecho fuera de los plazos establecidos por la ley, o bien no ha cumplido con requisitos de carácter procesal mínimos</w:t>
      </w:r>
      <w:r w:rsidRPr="00CC50DA">
        <w:rPr>
          <w:rStyle w:val="s4"/>
          <w:rFonts w:ascii="Cambria" w:hAnsi="Cambria"/>
          <w:color w:val="000000"/>
          <w:sz w:val="20"/>
          <w:szCs w:val="20"/>
        </w:rPr>
        <w:t>.</w:t>
      </w:r>
      <w:r w:rsidRPr="00CC50DA">
        <w:rPr>
          <w:rStyle w:val="apple-converted-space"/>
          <w:rFonts w:ascii="Cambria" w:hAnsi="Cambria"/>
          <w:color w:val="000000"/>
          <w:sz w:val="20"/>
          <w:szCs w:val="20"/>
        </w:rPr>
        <w:t> </w:t>
      </w:r>
    </w:p>
    <w:p w14:paraId="42B4F14E" w14:textId="77777777" w:rsidR="004F2591" w:rsidRPr="00CC50DA" w:rsidRDefault="004F2591" w:rsidP="004F2591">
      <w:pPr>
        <w:pStyle w:val="s5"/>
        <w:spacing w:before="0" w:beforeAutospacing="0" w:after="0" w:afterAutospacing="0" w:line="324" w:lineRule="atLeast"/>
        <w:ind w:firstLine="525"/>
        <w:jc w:val="both"/>
        <w:rPr>
          <w:rStyle w:val="s4"/>
          <w:rFonts w:ascii="Cambria" w:hAnsi="Cambria"/>
          <w:color w:val="000000"/>
          <w:sz w:val="20"/>
          <w:szCs w:val="20"/>
        </w:rPr>
      </w:pPr>
    </w:p>
    <w:p w14:paraId="329A1B39" w14:textId="77777777" w:rsidR="004F2591" w:rsidRPr="00CC50DA" w:rsidRDefault="004F2591" w:rsidP="004F2591">
      <w:pPr>
        <w:pStyle w:val="s5"/>
        <w:spacing w:before="0" w:beforeAutospacing="0" w:after="0" w:afterAutospacing="0" w:line="324" w:lineRule="atLeast"/>
        <w:ind w:firstLine="525"/>
        <w:jc w:val="both"/>
        <w:rPr>
          <w:rFonts w:ascii="Cambria" w:hAnsi="Cambria"/>
          <w:color w:val="000000"/>
          <w:sz w:val="20"/>
          <w:szCs w:val="20"/>
        </w:rPr>
      </w:pPr>
      <w:r w:rsidRPr="00CC50DA">
        <w:rPr>
          <w:rStyle w:val="s4"/>
          <w:rFonts w:ascii="Cambria" w:hAnsi="Cambria"/>
          <w:color w:val="000000"/>
          <w:sz w:val="20"/>
          <w:szCs w:val="20"/>
        </w:rPr>
        <w:t xml:space="preserve">Este es, precisamente, la situación del presente caso. Frente a la decisión del notario competente, quien certificó, en términos del voto de mayoría que los nombres de Miriam Cáceres y </w:t>
      </w:r>
      <w:proofErr w:type="spellStart"/>
      <w:r w:rsidRPr="00CC50DA">
        <w:rPr>
          <w:rStyle w:val="s4"/>
          <w:rFonts w:ascii="Cambria" w:hAnsi="Cambria"/>
          <w:color w:val="000000"/>
          <w:sz w:val="20"/>
          <w:szCs w:val="20"/>
        </w:rPr>
        <w:t>Gabrie</w:t>
      </w:r>
      <w:proofErr w:type="spellEnd"/>
      <w:r w:rsidRPr="00CC50DA">
        <w:rPr>
          <w:rStyle w:val="s4"/>
          <w:rFonts w:ascii="Cambria" w:hAnsi="Cambria"/>
          <w:color w:val="000000"/>
          <w:sz w:val="20"/>
          <w:szCs w:val="20"/>
        </w:rPr>
        <w:t xml:space="preserve"> Cáceres “corresponden a una misma persona”, la peticionaria presentó un recurso de inconstitucionalidad ante la Sala de</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lo Constitucional de la Corte Suprema de Honduras en 2013. Ello, pese a que el ordenamiento procesal hondureño establecía</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una demanda contencioso-administrativa</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como recurso eficiente e idóneo para impugnar</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la decisión en cuestión. Evidentemente, esto llevó a que la Sala de</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lo</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Constitucional de la Corte Suprema hondureña resolviera declarar inadmisible el recurso en 2015. A continuación, la peticionaria dedujo la correspondiente demanda contencioso-administrativa, pero la misma fue también declarada inadmisible por cuanto fue interpuesta fuera de plazo.</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Esta sentencia fue impugnada a través de los recursos de apelación y casación. Rechazado el primero, el segundo fue declarado, nuevamente, inadmisible en atención a una cuestión procesal. En efecto,</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los términos del</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recurso en cuestión</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no se habían</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fundamentado con suficiente “</w:t>
      </w:r>
      <w:r w:rsidRPr="00CC50DA">
        <w:rPr>
          <w:rStyle w:val="s6"/>
          <w:rFonts w:ascii="Cambria" w:hAnsi="Cambria"/>
          <w:i/>
          <w:iCs/>
          <w:color w:val="000000"/>
          <w:sz w:val="20"/>
          <w:szCs w:val="20"/>
        </w:rPr>
        <w:t>separación y claridad, con el fin de plantear […] las cuestiones jurídicas en un modo preciso y razonado, atinentes, ya sea por infracción de normas procesales o normas de derecho en su aplicación e interpretación</w:t>
      </w:r>
      <w:r w:rsidRPr="00CC50DA">
        <w:rPr>
          <w:rStyle w:val="s4"/>
          <w:rFonts w:ascii="Cambria" w:hAnsi="Cambria"/>
          <w:color w:val="000000"/>
          <w:sz w:val="20"/>
          <w:szCs w:val="20"/>
        </w:rPr>
        <w:t>”.</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Es por todos sabido</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que el recurso de casación es un recurso de derecho estricto que requiere, precisamente, de un alto grado de precisión y fundamentación para ser conocido en el fondo. De acuerdo con el criterio de la Corte Suprema hondureña, la peticionaria no cumplió con el estándar exigido por la ley procesal interna aplicable.</w:t>
      </w:r>
      <w:r w:rsidRPr="00CC50DA">
        <w:rPr>
          <w:rStyle w:val="apple-converted-space"/>
          <w:rFonts w:ascii="Cambria" w:hAnsi="Cambria"/>
          <w:color w:val="000000"/>
          <w:sz w:val="20"/>
          <w:szCs w:val="20"/>
        </w:rPr>
        <w:t> </w:t>
      </w:r>
    </w:p>
    <w:p w14:paraId="5D132409" w14:textId="77777777" w:rsidR="004F2591" w:rsidRPr="00CC50DA" w:rsidRDefault="004F2591" w:rsidP="004F2591">
      <w:pPr>
        <w:pStyle w:val="s5"/>
        <w:spacing w:before="0" w:beforeAutospacing="0" w:after="0" w:afterAutospacing="0" w:line="324" w:lineRule="atLeast"/>
        <w:ind w:firstLine="525"/>
        <w:jc w:val="both"/>
        <w:rPr>
          <w:rStyle w:val="s4"/>
          <w:rFonts w:ascii="Cambria" w:hAnsi="Cambria"/>
          <w:color w:val="000000"/>
          <w:sz w:val="20"/>
          <w:szCs w:val="20"/>
        </w:rPr>
      </w:pPr>
    </w:p>
    <w:p w14:paraId="425A4E4D" w14:textId="77777777" w:rsidR="004F2591" w:rsidRPr="00CC50DA" w:rsidRDefault="004F2591" w:rsidP="004F2591">
      <w:pPr>
        <w:pStyle w:val="s5"/>
        <w:spacing w:before="0" w:beforeAutospacing="0" w:after="0" w:afterAutospacing="0" w:line="324" w:lineRule="atLeast"/>
        <w:ind w:firstLine="525"/>
        <w:jc w:val="both"/>
        <w:rPr>
          <w:rStyle w:val="apple-converted-space"/>
          <w:rFonts w:ascii="Cambria" w:hAnsi="Cambria"/>
          <w:color w:val="000000"/>
          <w:sz w:val="20"/>
          <w:szCs w:val="20"/>
        </w:rPr>
      </w:pPr>
      <w:r w:rsidRPr="00CC50DA">
        <w:rPr>
          <w:rStyle w:val="s4"/>
          <w:rFonts w:ascii="Cambria" w:hAnsi="Cambria"/>
          <w:color w:val="000000"/>
          <w:sz w:val="20"/>
          <w:szCs w:val="20"/>
        </w:rPr>
        <w:t>En razón de</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lo anterior, la Corte se negó a conocer del supuesto error de derecho en que habrían incurrido los tribunales inferiores al no juzgar el caso de la peticionaria en conformidad a lo dispuesto en el artículo 18 de la Constitución hondureña.</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Esta disposición habría permitido que el caso de la peticionaria fuera resuelto considerando las normas internacionales de derechos humanos pertinentes. Esa es la situación que, precisamente, busca remediar la peticionaria al concurrir ante la Honorable Comisión.</w:t>
      </w:r>
      <w:r w:rsidRPr="00CC50DA">
        <w:rPr>
          <w:rStyle w:val="apple-converted-space"/>
          <w:rFonts w:ascii="Cambria" w:hAnsi="Cambria"/>
          <w:color w:val="000000"/>
          <w:sz w:val="20"/>
          <w:szCs w:val="20"/>
        </w:rPr>
        <w:t> </w:t>
      </w:r>
    </w:p>
    <w:p w14:paraId="1D7AC26E" w14:textId="77777777" w:rsidR="004F2591" w:rsidRPr="00CC50DA" w:rsidRDefault="004F2591" w:rsidP="004F2591">
      <w:pPr>
        <w:pStyle w:val="s5"/>
        <w:spacing w:before="0" w:beforeAutospacing="0" w:after="0" w:afterAutospacing="0" w:line="324" w:lineRule="atLeast"/>
        <w:ind w:firstLine="525"/>
        <w:jc w:val="both"/>
        <w:rPr>
          <w:rFonts w:ascii="Cambria" w:hAnsi="Cambria"/>
          <w:color w:val="000000"/>
          <w:sz w:val="20"/>
          <w:szCs w:val="20"/>
        </w:rPr>
      </w:pPr>
    </w:p>
    <w:p w14:paraId="0981C35E" w14:textId="77777777" w:rsidR="004F2591" w:rsidRPr="00CC50DA" w:rsidRDefault="004F2591" w:rsidP="004F2591">
      <w:pPr>
        <w:pStyle w:val="s5"/>
        <w:spacing w:before="0" w:beforeAutospacing="0" w:after="0" w:afterAutospacing="0" w:line="324" w:lineRule="atLeast"/>
        <w:ind w:firstLine="525"/>
        <w:jc w:val="both"/>
        <w:rPr>
          <w:rStyle w:val="apple-converted-space"/>
          <w:rFonts w:ascii="Cambria" w:hAnsi="Cambria"/>
          <w:color w:val="000000"/>
          <w:sz w:val="20"/>
          <w:szCs w:val="20"/>
        </w:rPr>
      </w:pPr>
      <w:r w:rsidRPr="00CC50DA">
        <w:rPr>
          <w:rStyle w:val="s4"/>
          <w:rFonts w:ascii="Cambria" w:hAnsi="Cambria"/>
          <w:color w:val="000000"/>
          <w:sz w:val="20"/>
          <w:szCs w:val="20"/>
        </w:rPr>
        <w:t>A la luz de los antecedentes procesales, es posible concluir, en primer lugar, que no existió agotamiento de recursos internos en el presente caso. En efecto, con independencia del criterio que cada uno pueda sostener respecto a la existencia de un estándar interamericano aplicable en el caso concreto, el hecho específico es que, si se juzgase que ese estándar existe, el mismo</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habría</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resultado</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aplicable al caso de la peticionaria de acuerdo con la lectura del artículo 18 de la Constitución hondureña. El problema es que los tribunales nacionales no tuvieron la oportunidad procesal de aplicar ese estándar, si es que el mismo</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existiese, al caso</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concreto de la peticionaria. Ello, simplemente, porque el recurso de casación que</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pretendía obligar a los jueces del fondo a aplicar el estándar fue</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redactado en términos completamente deficientes de acuerdo con la conclusión que, al respecto, formuló la Corte Suprema hondureña. Siendo así las cosas, resulta del todo evidente, a la luz de la misma doctrina desarrollada por esta Honorable Comisión, que no ha existido agotamiento de recursos internos y, por tanto, la petición debía ser declarada inadmisible.</w:t>
      </w:r>
      <w:r w:rsidRPr="00CC50DA">
        <w:rPr>
          <w:rStyle w:val="apple-converted-space"/>
          <w:rFonts w:ascii="Cambria" w:hAnsi="Cambria"/>
          <w:color w:val="000000"/>
          <w:sz w:val="20"/>
          <w:szCs w:val="20"/>
        </w:rPr>
        <w:t> </w:t>
      </w:r>
    </w:p>
    <w:p w14:paraId="5230929D" w14:textId="77777777" w:rsidR="004F2591" w:rsidRPr="00CC50DA" w:rsidRDefault="004F2591" w:rsidP="004F2591">
      <w:pPr>
        <w:pStyle w:val="s5"/>
        <w:spacing w:before="0" w:beforeAutospacing="0" w:after="0" w:afterAutospacing="0" w:line="324" w:lineRule="atLeast"/>
        <w:ind w:firstLine="525"/>
        <w:jc w:val="both"/>
        <w:rPr>
          <w:rFonts w:ascii="Cambria" w:hAnsi="Cambria"/>
          <w:color w:val="000000"/>
          <w:sz w:val="20"/>
          <w:szCs w:val="20"/>
        </w:rPr>
      </w:pPr>
    </w:p>
    <w:p w14:paraId="2C7563FB" w14:textId="77777777" w:rsidR="004F2591" w:rsidRPr="00CC50DA" w:rsidRDefault="004F2591" w:rsidP="004F2591">
      <w:pPr>
        <w:pStyle w:val="s5"/>
        <w:spacing w:before="0" w:beforeAutospacing="0" w:after="0" w:afterAutospacing="0" w:line="324" w:lineRule="atLeast"/>
        <w:ind w:firstLine="525"/>
        <w:jc w:val="both"/>
        <w:rPr>
          <w:rFonts w:ascii="Cambria" w:hAnsi="Cambria"/>
          <w:color w:val="000000"/>
          <w:sz w:val="20"/>
          <w:szCs w:val="20"/>
        </w:rPr>
      </w:pPr>
      <w:r w:rsidRPr="00CC50DA">
        <w:rPr>
          <w:rStyle w:val="s4"/>
          <w:rFonts w:ascii="Cambria" w:hAnsi="Cambria"/>
          <w:color w:val="000000"/>
          <w:sz w:val="20"/>
          <w:szCs w:val="20"/>
        </w:rPr>
        <w:t>Por otro lado, tampoco nos corresponde a nosotros, integrantes de esta Honorable Comisión, calificar cuán correcta o incorrecta fue la</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interpretación</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que la Corte Suprema hondureña</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adoptó</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en relación con las normas procesales aplicables para resolver el recurso de casación interpuesto.</w:t>
      </w:r>
      <w:r w:rsidRPr="00CC50DA">
        <w:rPr>
          <w:rStyle w:val="apple-converted-space"/>
          <w:rFonts w:ascii="Cambria" w:hAnsi="Cambria"/>
          <w:color w:val="000000"/>
          <w:sz w:val="20"/>
          <w:szCs w:val="20"/>
        </w:rPr>
        <w:t> </w:t>
      </w:r>
      <w:r w:rsidRPr="00CC50DA">
        <w:rPr>
          <w:rStyle w:val="s4"/>
          <w:rFonts w:ascii="Cambria" w:hAnsi="Cambria"/>
          <w:color w:val="000000"/>
          <w:sz w:val="20"/>
          <w:szCs w:val="20"/>
        </w:rPr>
        <w:t>De lo contrario, convertiríamos a esta Honorable Comisión en un tribunal de “cuarta instancia”, cuestión que, a la luz de la doctrina de esta misma institución, es completamente contraria al mandato recibido de la Convención Americana.</w:t>
      </w:r>
      <w:r w:rsidRPr="00CC50DA">
        <w:rPr>
          <w:rStyle w:val="apple-converted-space"/>
          <w:rFonts w:ascii="Cambria" w:hAnsi="Cambria"/>
          <w:color w:val="000000"/>
          <w:sz w:val="20"/>
          <w:szCs w:val="20"/>
        </w:rPr>
        <w:t> </w:t>
      </w:r>
    </w:p>
    <w:p w14:paraId="2E8970F2" w14:textId="77777777" w:rsidR="004F2591" w:rsidRPr="00CC50DA" w:rsidRDefault="004F2591" w:rsidP="004F2591">
      <w:pPr>
        <w:pStyle w:val="s5"/>
        <w:spacing w:before="0" w:beforeAutospacing="0" w:after="0" w:afterAutospacing="0" w:line="324" w:lineRule="atLeast"/>
        <w:ind w:firstLine="525"/>
        <w:jc w:val="both"/>
        <w:rPr>
          <w:rStyle w:val="s4"/>
          <w:rFonts w:ascii="Cambria" w:hAnsi="Cambria"/>
          <w:color w:val="000000"/>
          <w:sz w:val="20"/>
          <w:szCs w:val="20"/>
        </w:rPr>
      </w:pPr>
    </w:p>
    <w:p w14:paraId="69BEC8CE" w14:textId="77777777" w:rsidR="004F2591" w:rsidRPr="00CC50DA" w:rsidRDefault="004F2591" w:rsidP="004F2591">
      <w:pPr>
        <w:pStyle w:val="s5"/>
        <w:spacing w:before="0" w:beforeAutospacing="0" w:after="0" w:afterAutospacing="0" w:line="324" w:lineRule="atLeast"/>
        <w:ind w:firstLine="525"/>
        <w:jc w:val="both"/>
        <w:rPr>
          <w:rFonts w:ascii="Cambria" w:hAnsi="Cambria"/>
          <w:color w:val="000000"/>
          <w:sz w:val="20"/>
          <w:szCs w:val="20"/>
        </w:rPr>
      </w:pPr>
      <w:r w:rsidRPr="00CC50DA">
        <w:rPr>
          <w:rStyle w:val="s4"/>
          <w:rFonts w:ascii="Cambria" w:hAnsi="Cambria"/>
          <w:color w:val="000000"/>
          <w:sz w:val="20"/>
          <w:szCs w:val="20"/>
        </w:rPr>
        <w:t>Por las razones señaladas en este voto, respetuosamente, disiento.</w:t>
      </w:r>
    </w:p>
    <w:p w14:paraId="572A7F52" w14:textId="77777777" w:rsidR="004F2591" w:rsidRPr="00CC50DA" w:rsidRDefault="004F2591" w:rsidP="004F2591">
      <w:pPr>
        <w:rPr>
          <w:rFonts w:ascii="Cambria" w:hAnsi="Cambria"/>
          <w:sz w:val="20"/>
          <w:szCs w:val="20"/>
          <w:lang w:val="es-419"/>
        </w:rPr>
      </w:pPr>
    </w:p>
    <w:sectPr w:rsidR="004F2591" w:rsidRPr="00CC50D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22F2A" w14:textId="77777777" w:rsidR="00EA7572" w:rsidRDefault="00EA7572">
      <w:r>
        <w:separator/>
      </w:r>
    </w:p>
  </w:endnote>
  <w:endnote w:type="continuationSeparator" w:id="0">
    <w:p w14:paraId="7BCC304F" w14:textId="77777777" w:rsidR="00EA7572" w:rsidRDefault="00EA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F879" w14:textId="77777777" w:rsidR="00B47363" w:rsidRDefault="00B47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47363">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4D16B" w14:textId="77777777" w:rsidR="00EA7572" w:rsidRPr="000F35ED" w:rsidRDefault="00EA757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854CC58" w14:textId="77777777" w:rsidR="00EA7572" w:rsidRPr="000F35ED" w:rsidRDefault="00EA7572" w:rsidP="000F35ED">
      <w:pPr>
        <w:rPr>
          <w:rFonts w:asciiTheme="majorHAnsi" w:hAnsiTheme="majorHAnsi"/>
          <w:sz w:val="16"/>
          <w:szCs w:val="16"/>
        </w:rPr>
      </w:pPr>
      <w:r w:rsidRPr="000F35ED">
        <w:rPr>
          <w:rFonts w:asciiTheme="majorHAnsi" w:hAnsiTheme="majorHAnsi"/>
          <w:sz w:val="16"/>
          <w:szCs w:val="16"/>
        </w:rPr>
        <w:separator/>
      </w:r>
    </w:p>
    <w:p w14:paraId="38300A16" w14:textId="77777777" w:rsidR="00EA7572" w:rsidRPr="000F35ED" w:rsidRDefault="00EA757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E3803DB" w14:textId="77777777" w:rsidR="00EA7572" w:rsidRPr="000F35ED" w:rsidRDefault="00EA757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9B40D0D" w14:textId="77777777" w:rsidR="00CD65D6" w:rsidRPr="00857D66" w:rsidRDefault="00CD65D6" w:rsidP="00CD65D6">
      <w:pPr>
        <w:pStyle w:val="FootnoteText"/>
        <w:ind w:firstLine="720"/>
        <w:jc w:val="both"/>
        <w:rPr>
          <w:rFonts w:asciiTheme="majorHAnsi" w:hAnsiTheme="majorHAnsi"/>
          <w:sz w:val="16"/>
          <w:szCs w:val="16"/>
          <w:lang w:val="es-ES_tradnl"/>
        </w:rPr>
      </w:pPr>
      <w:r w:rsidRPr="00857D66">
        <w:rPr>
          <w:rStyle w:val="FootnoteReference"/>
          <w:rFonts w:asciiTheme="majorHAnsi" w:hAnsiTheme="majorHAnsi"/>
          <w:sz w:val="16"/>
          <w:szCs w:val="16"/>
        </w:rPr>
        <w:footnoteRef/>
      </w:r>
      <w:r w:rsidRPr="00857D66">
        <w:rPr>
          <w:rFonts w:asciiTheme="majorHAnsi" w:hAnsiTheme="majorHAnsi"/>
          <w:sz w:val="16"/>
          <w:szCs w:val="16"/>
          <w:lang w:val="es-CO"/>
        </w:rPr>
        <w:t xml:space="preserve"> </w:t>
      </w:r>
      <w:r w:rsidRPr="00857D66">
        <w:rPr>
          <w:rFonts w:asciiTheme="majorHAnsi" w:hAnsiTheme="majorHAnsi"/>
          <w:sz w:val="16"/>
          <w:szCs w:val="16"/>
          <w:lang w:val="es-ES_tradnl"/>
        </w:rPr>
        <w:t>En adelante “</w:t>
      </w:r>
      <w:r>
        <w:rPr>
          <w:rFonts w:asciiTheme="majorHAnsi" w:hAnsiTheme="majorHAnsi"/>
          <w:sz w:val="16"/>
          <w:szCs w:val="16"/>
          <w:lang w:val="es-ES_tradnl"/>
        </w:rPr>
        <w:t xml:space="preserve">la </w:t>
      </w:r>
      <w:r w:rsidRPr="00857D66">
        <w:rPr>
          <w:rFonts w:asciiTheme="majorHAnsi" w:hAnsiTheme="majorHAnsi"/>
          <w:sz w:val="16"/>
          <w:szCs w:val="16"/>
          <w:lang w:val="es-ES_tradnl"/>
        </w:rPr>
        <w:t>Convención” o “</w:t>
      </w:r>
      <w:r>
        <w:rPr>
          <w:rFonts w:asciiTheme="majorHAnsi" w:hAnsiTheme="majorHAnsi"/>
          <w:sz w:val="16"/>
          <w:szCs w:val="16"/>
          <w:lang w:val="es-ES_tradnl"/>
        </w:rPr>
        <w:t xml:space="preserve">la </w:t>
      </w:r>
      <w:r w:rsidRPr="00857D66">
        <w:rPr>
          <w:rFonts w:asciiTheme="majorHAnsi" w:hAnsiTheme="majorHAnsi"/>
          <w:sz w:val="16"/>
          <w:szCs w:val="16"/>
          <w:lang w:val="es-ES_tradnl"/>
        </w:rPr>
        <w:t>Convención Americana”.</w:t>
      </w:r>
    </w:p>
  </w:footnote>
  <w:footnote w:id="3">
    <w:p w14:paraId="79F07139" w14:textId="77777777" w:rsidR="008E3BFE" w:rsidRPr="0072498A" w:rsidRDefault="008E3BFE" w:rsidP="0072498A">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p>
  </w:footnote>
  <w:footnote w:id="4">
    <w:p w14:paraId="28DBF5DB" w14:textId="77777777" w:rsidR="00545D20" w:rsidRPr="00857D66" w:rsidRDefault="00545D20" w:rsidP="00545D20">
      <w:pPr>
        <w:pStyle w:val="FootnoteText"/>
        <w:ind w:firstLine="720"/>
        <w:jc w:val="both"/>
        <w:rPr>
          <w:rFonts w:asciiTheme="majorHAnsi" w:hAnsiTheme="majorHAnsi"/>
          <w:sz w:val="16"/>
          <w:szCs w:val="16"/>
          <w:lang w:val="es-ES_tradnl"/>
        </w:rPr>
      </w:pPr>
      <w:r w:rsidRPr="00857D66">
        <w:rPr>
          <w:rStyle w:val="FootnoteReference"/>
          <w:rFonts w:asciiTheme="majorHAnsi" w:hAnsiTheme="majorHAnsi"/>
          <w:sz w:val="16"/>
          <w:szCs w:val="16"/>
        </w:rPr>
        <w:footnoteRef/>
      </w:r>
      <w:r w:rsidRPr="00857D66">
        <w:rPr>
          <w:rFonts w:asciiTheme="majorHAnsi" w:hAnsiTheme="majorHAnsi"/>
          <w:sz w:val="16"/>
          <w:szCs w:val="16"/>
          <w:lang w:val="es-CO"/>
        </w:rPr>
        <w:t xml:space="preserve"> </w:t>
      </w:r>
      <w:r w:rsidRPr="00857D66">
        <w:rPr>
          <w:rFonts w:asciiTheme="majorHAnsi" w:hAnsiTheme="majorHAnsi"/>
          <w:sz w:val="16"/>
          <w:szCs w:val="16"/>
          <w:lang w:val="es-ES_tradnl"/>
        </w:rPr>
        <w:t>En adelante “</w:t>
      </w:r>
      <w:r>
        <w:rPr>
          <w:rFonts w:asciiTheme="majorHAnsi" w:hAnsiTheme="majorHAnsi"/>
          <w:sz w:val="16"/>
          <w:szCs w:val="16"/>
          <w:lang w:val="es-ES_tradnl"/>
        </w:rPr>
        <w:t xml:space="preserve">la </w:t>
      </w:r>
      <w:r w:rsidRPr="00857D66">
        <w:rPr>
          <w:rFonts w:asciiTheme="majorHAnsi" w:hAnsiTheme="majorHAnsi"/>
          <w:sz w:val="16"/>
          <w:szCs w:val="16"/>
          <w:lang w:val="es-ES_tradnl"/>
        </w:rPr>
        <w:t>Convención” o “</w:t>
      </w:r>
      <w:r>
        <w:rPr>
          <w:rFonts w:asciiTheme="majorHAnsi" w:hAnsiTheme="majorHAnsi"/>
          <w:sz w:val="16"/>
          <w:szCs w:val="16"/>
          <w:lang w:val="es-ES_tradnl"/>
        </w:rPr>
        <w:t xml:space="preserve">la </w:t>
      </w:r>
      <w:r w:rsidRPr="00857D66">
        <w:rPr>
          <w:rFonts w:asciiTheme="majorHAnsi" w:hAnsiTheme="majorHAnsi"/>
          <w:sz w:val="16"/>
          <w:szCs w:val="16"/>
          <w:lang w:val="es-ES_tradnl"/>
        </w:rPr>
        <w:t>Convención Americana”.</w:t>
      </w:r>
    </w:p>
  </w:footnote>
  <w:footnote w:id="5">
    <w:p w14:paraId="4A037E25" w14:textId="6B9B37B7" w:rsidR="0072498A" w:rsidRPr="0072498A" w:rsidRDefault="0072498A" w:rsidP="0072498A">
      <w:pPr>
        <w:pStyle w:val="FootnoteText"/>
        <w:ind w:firstLine="720"/>
        <w:jc w:val="both"/>
        <w:rPr>
          <w:lang w:val="es-ES"/>
        </w:rPr>
      </w:pPr>
      <w:r w:rsidRPr="0072498A">
        <w:rPr>
          <w:rStyle w:val="FootnoteReference"/>
          <w:rFonts w:ascii="Cambria" w:hAnsi="Cambria"/>
          <w:sz w:val="16"/>
          <w:szCs w:val="16"/>
        </w:rPr>
        <w:footnoteRef/>
      </w:r>
      <w:r w:rsidRPr="0072498A">
        <w:rPr>
          <w:rFonts w:ascii="Cambria" w:hAnsi="Cambria"/>
          <w:sz w:val="16"/>
          <w:szCs w:val="16"/>
          <w:lang w:val="es-ES"/>
        </w:rPr>
        <w:t xml:space="preserve"> Reglamento de la Ley del Registro Nacional de Personas. </w:t>
      </w:r>
      <w:r w:rsidR="008670AA">
        <w:rPr>
          <w:rFonts w:ascii="Cambria" w:hAnsi="Cambria"/>
          <w:sz w:val="16"/>
          <w:szCs w:val="16"/>
          <w:lang w:val="es-ES"/>
        </w:rPr>
        <w:t>“</w:t>
      </w:r>
      <w:r w:rsidRPr="0072498A">
        <w:rPr>
          <w:rFonts w:ascii="Cambria" w:hAnsi="Cambria"/>
          <w:sz w:val="16"/>
          <w:szCs w:val="16"/>
          <w:lang w:val="es-ES"/>
        </w:rPr>
        <w:t>Artículo 30.-</w:t>
      </w:r>
      <w:r>
        <w:rPr>
          <w:rFonts w:ascii="Cambria" w:hAnsi="Cambria"/>
          <w:sz w:val="16"/>
          <w:szCs w:val="16"/>
          <w:lang w:val="es-ES"/>
        </w:rPr>
        <w:t xml:space="preserve"> Sin perjuicio de lo establecido en la Ley del RNP y en este Reglamento queda prohibido a los Oficiales Civiles, lo siguiente: (…) 4. Realizar cambios de nombre en la inscripción original de nacimiento, salvo que corresponda a rectificaciones o adiciones de letras, nombres y sexo resultare evidente de la información registral o cuando derive de un error imputable al Registro Civil y así lo demostrare con los documentos de mérito. (…) 24. Rectificar o adicionar en una inscripción de nacimiento nombre, nombres u otro orden en los apellidos, invocando que el inscrito los ha utilizado así toda la vida.</w:t>
      </w:r>
      <w:r w:rsidR="008670AA">
        <w:rPr>
          <w:rFonts w:ascii="Cambria" w:hAnsi="Cambria"/>
          <w:sz w:val="16"/>
          <w:szCs w:val="16"/>
          <w:lang w:val="es-ES"/>
        </w:rPr>
        <w:t>”</w:t>
      </w:r>
      <w:r>
        <w:rPr>
          <w:rFonts w:ascii="Cambria" w:hAnsi="Cambria"/>
          <w:sz w:val="16"/>
          <w:szCs w:val="16"/>
          <w:lang w:val="es-ES"/>
        </w:rPr>
        <w:t xml:space="preserve"> </w:t>
      </w:r>
    </w:p>
  </w:footnote>
  <w:footnote w:id="6">
    <w:p w14:paraId="20243399" w14:textId="40D022A4" w:rsidR="008670AA" w:rsidRPr="008670AA" w:rsidRDefault="008670AA" w:rsidP="008670AA">
      <w:pPr>
        <w:pStyle w:val="FootnoteText"/>
        <w:ind w:firstLine="720"/>
        <w:jc w:val="both"/>
        <w:rPr>
          <w:rFonts w:ascii="Cambria" w:hAnsi="Cambria"/>
          <w:sz w:val="16"/>
          <w:szCs w:val="16"/>
          <w:lang w:val="es-ES"/>
        </w:rPr>
      </w:pPr>
      <w:r w:rsidRPr="008670AA">
        <w:rPr>
          <w:rStyle w:val="FootnoteReference"/>
          <w:rFonts w:ascii="Cambria" w:hAnsi="Cambria"/>
          <w:sz w:val="16"/>
          <w:szCs w:val="16"/>
        </w:rPr>
        <w:footnoteRef/>
      </w:r>
      <w:r w:rsidRPr="008670AA">
        <w:rPr>
          <w:rFonts w:ascii="Cambria" w:hAnsi="Cambria"/>
          <w:sz w:val="16"/>
          <w:szCs w:val="16"/>
          <w:lang w:val="es-ES"/>
        </w:rPr>
        <w:t xml:space="preserve"> Constitución Política de Honduras. </w:t>
      </w:r>
      <w:r>
        <w:rPr>
          <w:rFonts w:ascii="Cambria" w:hAnsi="Cambria"/>
          <w:sz w:val="16"/>
          <w:szCs w:val="16"/>
          <w:lang w:val="es-ES"/>
        </w:rPr>
        <w:t>“</w:t>
      </w:r>
      <w:r w:rsidRPr="008670AA">
        <w:rPr>
          <w:rFonts w:ascii="Cambria" w:hAnsi="Cambria"/>
          <w:sz w:val="16"/>
          <w:szCs w:val="16"/>
          <w:lang w:val="es-ES"/>
        </w:rPr>
        <w:t>A</w:t>
      </w:r>
      <w:r>
        <w:rPr>
          <w:rFonts w:ascii="Cambria" w:hAnsi="Cambria"/>
          <w:sz w:val="16"/>
          <w:szCs w:val="16"/>
          <w:lang w:val="es-ES"/>
        </w:rPr>
        <w:t>rtículo</w:t>
      </w:r>
      <w:r w:rsidRPr="008670AA">
        <w:rPr>
          <w:rFonts w:ascii="Cambria" w:hAnsi="Cambria"/>
          <w:sz w:val="16"/>
          <w:szCs w:val="16"/>
          <w:lang w:val="es-ES"/>
        </w:rPr>
        <w:t xml:space="preserve"> 18.- En caso de conflicto entre el tratado o convención y la Ley prevalecer</w:t>
      </w:r>
      <w:r>
        <w:rPr>
          <w:rFonts w:ascii="Cambria" w:hAnsi="Cambria"/>
          <w:sz w:val="16"/>
          <w:szCs w:val="16"/>
          <w:lang w:val="es-ES"/>
        </w:rPr>
        <w:t>á</w:t>
      </w:r>
      <w:r w:rsidRPr="008670AA">
        <w:rPr>
          <w:rFonts w:ascii="Cambria" w:hAnsi="Cambria"/>
          <w:sz w:val="16"/>
          <w:szCs w:val="16"/>
          <w:lang w:val="es-ES"/>
        </w:rPr>
        <w:t xml:space="preserve"> el primero</w:t>
      </w:r>
      <w:r>
        <w:rPr>
          <w:rFonts w:ascii="Cambria" w:hAnsi="Cambria"/>
          <w:sz w:val="16"/>
          <w:szCs w:val="16"/>
          <w:lang w:val="es-ES"/>
        </w:rPr>
        <w:t>”</w:t>
      </w:r>
      <w:r w:rsidRPr="008670AA">
        <w:rPr>
          <w:rFonts w:ascii="Cambria" w:hAnsi="Cambria"/>
          <w:sz w:val="16"/>
          <w:szCs w:val="16"/>
          <w:lang w:val="es-ES"/>
        </w:rPr>
        <w:t>.</w:t>
      </w:r>
    </w:p>
  </w:footnote>
  <w:footnote w:id="7">
    <w:p w14:paraId="418713A3" w14:textId="05463C0E" w:rsidR="00C644AE" w:rsidRPr="00C644AE" w:rsidRDefault="00C644AE" w:rsidP="00C644AE">
      <w:pPr>
        <w:pStyle w:val="FootnoteText"/>
        <w:ind w:firstLine="720"/>
        <w:jc w:val="both"/>
        <w:rPr>
          <w:rFonts w:ascii="Cambria" w:hAnsi="Cambria"/>
          <w:sz w:val="16"/>
          <w:szCs w:val="16"/>
          <w:lang w:val="es-ES"/>
        </w:rPr>
      </w:pPr>
      <w:r w:rsidRPr="00C644AE">
        <w:rPr>
          <w:rStyle w:val="FootnoteReference"/>
          <w:rFonts w:ascii="Cambria" w:hAnsi="Cambria"/>
          <w:sz w:val="16"/>
          <w:szCs w:val="16"/>
          <w:lang w:val="es-ES"/>
        </w:rPr>
        <w:footnoteRef/>
      </w:r>
      <w:r w:rsidRPr="00C644AE">
        <w:rPr>
          <w:rFonts w:ascii="Cambria" w:hAnsi="Cambria"/>
          <w:sz w:val="16"/>
          <w:szCs w:val="16"/>
          <w:lang w:val="es-ES"/>
        </w:rPr>
        <w:t xml:space="preserve"> Corte IDH.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w:t>
      </w:r>
      <w:r>
        <w:rPr>
          <w:rFonts w:ascii="Cambria" w:hAnsi="Cambria"/>
          <w:sz w:val="16"/>
          <w:szCs w:val="16"/>
          <w:lang w:val="es-ES"/>
        </w:rPr>
        <w:t xml:space="preserve"> </w:t>
      </w:r>
      <w:r w:rsidRPr="00C644AE">
        <w:rPr>
          <w:rFonts w:ascii="Cambria" w:hAnsi="Cambria"/>
          <w:sz w:val="16"/>
          <w:szCs w:val="16"/>
          <w:lang w:val="es-ES"/>
        </w:rPr>
        <w:t xml:space="preserve">Humanos). Opinión Consultiva OC-24/17 de 24 de noviembre de 2017. </w:t>
      </w:r>
      <w:r w:rsidRPr="00D538EA">
        <w:rPr>
          <w:rFonts w:ascii="Cambria" w:hAnsi="Cambria"/>
          <w:sz w:val="16"/>
          <w:szCs w:val="16"/>
          <w:lang w:val="es-US"/>
        </w:rPr>
        <w:t xml:space="preserve">Serie A No. 24, párr. </w:t>
      </w:r>
      <w:r>
        <w:rPr>
          <w:rFonts w:ascii="Cambria" w:hAnsi="Cambria"/>
          <w:sz w:val="16"/>
          <w:szCs w:val="16"/>
        </w:rPr>
        <w:t>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A7572"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C2EA0" w14:textId="77777777" w:rsidR="00B47363" w:rsidRDefault="00B47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65944276"/>
    <w:lvl w:ilvl="0" w:tplc="14EE4A2C">
      <w:start w:val="1"/>
      <w:numFmt w:val="decimal"/>
      <w:lvlText w:val="%1."/>
      <w:lvlJc w:val="left"/>
      <w:pPr>
        <w:ind w:left="1440" w:hanging="360"/>
      </w:pPr>
      <w:rPr>
        <w:rFonts w:ascii="Cambria" w:eastAsia="Cambria" w:hAnsi="Cambria" w:cs="Cambria"/>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8"/>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7"/>
  </w:num>
  <w:num w:numId="105">
    <w:abstractNumId w:val="55"/>
  </w:num>
  <w:num w:numId="106">
    <w:abstractNumId w:val="4"/>
  </w:num>
  <w:num w:numId="107">
    <w:abstractNumId w:val="32"/>
  </w:num>
  <w:num w:numId="108">
    <w:abstractNumId w:val="14"/>
  </w:num>
  <w:num w:numId="109">
    <w:abstractNumId w:val="47"/>
  </w:num>
  <w:num w:numId="110">
    <w:abstractNumId w:val="56"/>
  </w:num>
  <w:num w:numId="111">
    <w:abstractNumId w:val="2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51FE"/>
    <w:rsid w:val="000337EF"/>
    <w:rsid w:val="00040C3A"/>
    <w:rsid w:val="000419AD"/>
    <w:rsid w:val="000433C9"/>
    <w:rsid w:val="000716C5"/>
    <w:rsid w:val="00075E23"/>
    <w:rsid w:val="0009344A"/>
    <w:rsid w:val="000A392E"/>
    <w:rsid w:val="000A575F"/>
    <w:rsid w:val="000D05CB"/>
    <w:rsid w:val="000D10DB"/>
    <w:rsid w:val="000E5EB5"/>
    <w:rsid w:val="000F35ED"/>
    <w:rsid w:val="00107131"/>
    <w:rsid w:val="0010736F"/>
    <w:rsid w:val="00110382"/>
    <w:rsid w:val="001106DC"/>
    <w:rsid w:val="00113F73"/>
    <w:rsid w:val="00121CC2"/>
    <w:rsid w:val="00131425"/>
    <w:rsid w:val="001328AF"/>
    <w:rsid w:val="00133EE5"/>
    <w:rsid w:val="00167A34"/>
    <w:rsid w:val="001A7870"/>
    <w:rsid w:val="001B3A00"/>
    <w:rsid w:val="001C1B41"/>
    <w:rsid w:val="001D65EF"/>
    <w:rsid w:val="001E49E7"/>
    <w:rsid w:val="001F7201"/>
    <w:rsid w:val="001F78C5"/>
    <w:rsid w:val="00207729"/>
    <w:rsid w:val="002131F4"/>
    <w:rsid w:val="00223A29"/>
    <w:rsid w:val="002250A3"/>
    <w:rsid w:val="00235217"/>
    <w:rsid w:val="00246D1F"/>
    <w:rsid w:val="00247403"/>
    <w:rsid w:val="00247542"/>
    <w:rsid w:val="00266B61"/>
    <w:rsid w:val="0026712A"/>
    <w:rsid w:val="002704DB"/>
    <w:rsid w:val="00290BB3"/>
    <w:rsid w:val="002A0AAE"/>
    <w:rsid w:val="002A5820"/>
    <w:rsid w:val="002C56FA"/>
    <w:rsid w:val="002D2B26"/>
    <w:rsid w:val="002D7EA2"/>
    <w:rsid w:val="002E187C"/>
    <w:rsid w:val="00302733"/>
    <w:rsid w:val="003030BD"/>
    <w:rsid w:val="00314078"/>
    <w:rsid w:val="0031535D"/>
    <w:rsid w:val="003239B8"/>
    <w:rsid w:val="0033169F"/>
    <w:rsid w:val="00344977"/>
    <w:rsid w:val="00346C95"/>
    <w:rsid w:val="00356185"/>
    <w:rsid w:val="00360380"/>
    <w:rsid w:val="00366A68"/>
    <w:rsid w:val="00367960"/>
    <w:rsid w:val="0037519E"/>
    <w:rsid w:val="0038599C"/>
    <w:rsid w:val="00386CF0"/>
    <w:rsid w:val="003B70FB"/>
    <w:rsid w:val="003C676B"/>
    <w:rsid w:val="003D2FBB"/>
    <w:rsid w:val="003D3BC2"/>
    <w:rsid w:val="003E6CA1"/>
    <w:rsid w:val="00402C60"/>
    <w:rsid w:val="00405F9C"/>
    <w:rsid w:val="004065A8"/>
    <w:rsid w:val="004165C2"/>
    <w:rsid w:val="00441ECB"/>
    <w:rsid w:val="00445193"/>
    <w:rsid w:val="00462C1B"/>
    <w:rsid w:val="00467B7E"/>
    <w:rsid w:val="00473BB4"/>
    <w:rsid w:val="00477592"/>
    <w:rsid w:val="00486F1C"/>
    <w:rsid w:val="0049419D"/>
    <w:rsid w:val="004A159C"/>
    <w:rsid w:val="004A6A54"/>
    <w:rsid w:val="004C20D2"/>
    <w:rsid w:val="004C2312"/>
    <w:rsid w:val="004C4B62"/>
    <w:rsid w:val="004C54C9"/>
    <w:rsid w:val="004D4ABA"/>
    <w:rsid w:val="004D6025"/>
    <w:rsid w:val="004D7370"/>
    <w:rsid w:val="004E2649"/>
    <w:rsid w:val="004E662D"/>
    <w:rsid w:val="004F2591"/>
    <w:rsid w:val="004F626F"/>
    <w:rsid w:val="00501399"/>
    <w:rsid w:val="0050633D"/>
    <w:rsid w:val="00507BC4"/>
    <w:rsid w:val="005128E4"/>
    <w:rsid w:val="005133DB"/>
    <w:rsid w:val="00514504"/>
    <w:rsid w:val="00516387"/>
    <w:rsid w:val="00524592"/>
    <w:rsid w:val="00525560"/>
    <w:rsid w:val="00544C49"/>
    <w:rsid w:val="00545D20"/>
    <w:rsid w:val="005516A1"/>
    <w:rsid w:val="005559EF"/>
    <w:rsid w:val="00563557"/>
    <w:rsid w:val="0057402A"/>
    <w:rsid w:val="005771D0"/>
    <w:rsid w:val="00581BE8"/>
    <w:rsid w:val="0059191A"/>
    <w:rsid w:val="005921FF"/>
    <w:rsid w:val="00597076"/>
    <w:rsid w:val="005A24ED"/>
    <w:rsid w:val="005A6D0E"/>
    <w:rsid w:val="005B52B0"/>
    <w:rsid w:val="005B6806"/>
    <w:rsid w:val="005C4225"/>
    <w:rsid w:val="005D38F9"/>
    <w:rsid w:val="005D6ECF"/>
    <w:rsid w:val="005F0DAD"/>
    <w:rsid w:val="005F0F33"/>
    <w:rsid w:val="00600DEB"/>
    <w:rsid w:val="00627C9F"/>
    <w:rsid w:val="006311E9"/>
    <w:rsid w:val="00632354"/>
    <w:rsid w:val="00635421"/>
    <w:rsid w:val="00642810"/>
    <w:rsid w:val="00652252"/>
    <w:rsid w:val="00652333"/>
    <w:rsid w:val="0068009E"/>
    <w:rsid w:val="00692219"/>
    <w:rsid w:val="006A17D2"/>
    <w:rsid w:val="006A73E6"/>
    <w:rsid w:val="006B2D5C"/>
    <w:rsid w:val="006C4EB1"/>
    <w:rsid w:val="006C7428"/>
    <w:rsid w:val="006E0166"/>
    <w:rsid w:val="006E2FFB"/>
    <w:rsid w:val="006E7B34"/>
    <w:rsid w:val="0070697F"/>
    <w:rsid w:val="0072199C"/>
    <w:rsid w:val="00722C9F"/>
    <w:rsid w:val="0072498A"/>
    <w:rsid w:val="007253B8"/>
    <w:rsid w:val="0073741F"/>
    <w:rsid w:val="0075785B"/>
    <w:rsid w:val="0076643F"/>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47BD9"/>
    <w:rsid w:val="00857A82"/>
    <w:rsid w:val="008624DA"/>
    <w:rsid w:val="008670AA"/>
    <w:rsid w:val="00873836"/>
    <w:rsid w:val="00885737"/>
    <w:rsid w:val="00890650"/>
    <w:rsid w:val="00897E12"/>
    <w:rsid w:val="008A7E0F"/>
    <w:rsid w:val="008B12F5"/>
    <w:rsid w:val="008C5E2D"/>
    <w:rsid w:val="008D768D"/>
    <w:rsid w:val="008E3759"/>
    <w:rsid w:val="008E3BFE"/>
    <w:rsid w:val="008F0DFF"/>
    <w:rsid w:val="008F1912"/>
    <w:rsid w:val="0090270B"/>
    <w:rsid w:val="00902F82"/>
    <w:rsid w:val="009041DC"/>
    <w:rsid w:val="00917B5A"/>
    <w:rsid w:val="00920A58"/>
    <w:rsid w:val="00920A8C"/>
    <w:rsid w:val="00934A2C"/>
    <w:rsid w:val="0096706E"/>
    <w:rsid w:val="00974491"/>
    <w:rsid w:val="00975C4E"/>
    <w:rsid w:val="00981FBA"/>
    <w:rsid w:val="00997BC5"/>
    <w:rsid w:val="009A4F41"/>
    <w:rsid w:val="009B381B"/>
    <w:rsid w:val="009B6C16"/>
    <w:rsid w:val="009D1753"/>
    <w:rsid w:val="009D7611"/>
    <w:rsid w:val="009E0B61"/>
    <w:rsid w:val="009E53DE"/>
    <w:rsid w:val="00A11212"/>
    <w:rsid w:val="00A11E44"/>
    <w:rsid w:val="00A223BB"/>
    <w:rsid w:val="00A30100"/>
    <w:rsid w:val="00A328B3"/>
    <w:rsid w:val="00A50FCF"/>
    <w:rsid w:val="00A528D1"/>
    <w:rsid w:val="00A60B23"/>
    <w:rsid w:val="00A610CD"/>
    <w:rsid w:val="00A74865"/>
    <w:rsid w:val="00A74CE8"/>
    <w:rsid w:val="00A758AA"/>
    <w:rsid w:val="00AA09A2"/>
    <w:rsid w:val="00AA7996"/>
    <w:rsid w:val="00AB1042"/>
    <w:rsid w:val="00AB21D8"/>
    <w:rsid w:val="00AB4790"/>
    <w:rsid w:val="00AC19CB"/>
    <w:rsid w:val="00AD618D"/>
    <w:rsid w:val="00AE5488"/>
    <w:rsid w:val="00AE6F91"/>
    <w:rsid w:val="00AF5571"/>
    <w:rsid w:val="00B02685"/>
    <w:rsid w:val="00B07341"/>
    <w:rsid w:val="00B30539"/>
    <w:rsid w:val="00B314DB"/>
    <w:rsid w:val="00B361F2"/>
    <w:rsid w:val="00B3718B"/>
    <w:rsid w:val="00B3745F"/>
    <w:rsid w:val="00B4632A"/>
    <w:rsid w:val="00B47363"/>
    <w:rsid w:val="00B530F1"/>
    <w:rsid w:val="00BA276C"/>
    <w:rsid w:val="00BB306F"/>
    <w:rsid w:val="00BB6A0F"/>
    <w:rsid w:val="00BC4C4B"/>
    <w:rsid w:val="00BD4B89"/>
    <w:rsid w:val="00BD4DB1"/>
    <w:rsid w:val="00BD5922"/>
    <w:rsid w:val="00BF02CB"/>
    <w:rsid w:val="00BF6FD8"/>
    <w:rsid w:val="00C03680"/>
    <w:rsid w:val="00C054DF"/>
    <w:rsid w:val="00C21762"/>
    <w:rsid w:val="00C21FEF"/>
    <w:rsid w:val="00C23BA4"/>
    <w:rsid w:val="00C24543"/>
    <w:rsid w:val="00C256A2"/>
    <w:rsid w:val="00C25ADB"/>
    <w:rsid w:val="00C37220"/>
    <w:rsid w:val="00C50E06"/>
    <w:rsid w:val="00C51515"/>
    <w:rsid w:val="00C5660B"/>
    <w:rsid w:val="00C644AE"/>
    <w:rsid w:val="00C66B72"/>
    <w:rsid w:val="00C87AC4"/>
    <w:rsid w:val="00C9567A"/>
    <w:rsid w:val="00CB212D"/>
    <w:rsid w:val="00CB2660"/>
    <w:rsid w:val="00CC50DA"/>
    <w:rsid w:val="00CC5E90"/>
    <w:rsid w:val="00CD046C"/>
    <w:rsid w:val="00CD65D6"/>
    <w:rsid w:val="00CE076C"/>
    <w:rsid w:val="00CE5199"/>
    <w:rsid w:val="00CE66D5"/>
    <w:rsid w:val="00CF0183"/>
    <w:rsid w:val="00CF637A"/>
    <w:rsid w:val="00D059DE"/>
    <w:rsid w:val="00D05ABD"/>
    <w:rsid w:val="00D07F8D"/>
    <w:rsid w:val="00D13FCE"/>
    <w:rsid w:val="00D2687F"/>
    <w:rsid w:val="00D306D1"/>
    <w:rsid w:val="00D30800"/>
    <w:rsid w:val="00D31BC9"/>
    <w:rsid w:val="00D34786"/>
    <w:rsid w:val="00D37BFC"/>
    <w:rsid w:val="00D47A8E"/>
    <w:rsid w:val="00D50F4D"/>
    <w:rsid w:val="00D52D14"/>
    <w:rsid w:val="00D538EA"/>
    <w:rsid w:val="00D53FFC"/>
    <w:rsid w:val="00D7009D"/>
    <w:rsid w:val="00D712D3"/>
    <w:rsid w:val="00D71422"/>
    <w:rsid w:val="00D72DC6"/>
    <w:rsid w:val="00D7558D"/>
    <w:rsid w:val="00D81D92"/>
    <w:rsid w:val="00D876F9"/>
    <w:rsid w:val="00DA7B5F"/>
    <w:rsid w:val="00DC11E7"/>
    <w:rsid w:val="00DC24E3"/>
    <w:rsid w:val="00DC7023"/>
    <w:rsid w:val="00DC769A"/>
    <w:rsid w:val="00DD3D86"/>
    <w:rsid w:val="00DD4AD2"/>
    <w:rsid w:val="00DE2087"/>
    <w:rsid w:val="00DF1EC4"/>
    <w:rsid w:val="00E0340B"/>
    <w:rsid w:val="00E04A90"/>
    <w:rsid w:val="00E0551F"/>
    <w:rsid w:val="00E219C7"/>
    <w:rsid w:val="00E41045"/>
    <w:rsid w:val="00E4118C"/>
    <w:rsid w:val="00E43157"/>
    <w:rsid w:val="00E461CE"/>
    <w:rsid w:val="00E5293D"/>
    <w:rsid w:val="00E573E4"/>
    <w:rsid w:val="00E64C3D"/>
    <w:rsid w:val="00E720CA"/>
    <w:rsid w:val="00E84EB5"/>
    <w:rsid w:val="00E85662"/>
    <w:rsid w:val="00E8789F"/>
    <w:rsid w:val="00E97B71"/>
    <w:rsid w:val="00EA3D34"/>
    <w:rsid w:val="00EA5F9E"/>
    <w:rsid w:val="00EA7572"/>
    <w:rsid w:val="00EB454D"/>
    <w:rsid w:val="00EC2FB3"/>
    <w:rsid w:val="00ED549D"/>
    <w:rsid w:val="00ED76BE"/>
    <w:rsid w:val="00EE00E9"/>
    <w:rsid w:val="00EF1AAA"/>
    <w:rsid w:val="00EF619B"/>
    <w:rsid w:val="00F00B55"/>
    <w:rsid w:val="00F023D9"/>
    <w:rsid w:val="00F02AD1"/>
    <w:rsid w:val="00F253CC"/>
    <w:rsid w:val="00F37106"/>
    <w:rsid w:val="00F44E25"/>
    <w:rsid w:val="00F519CF"/>
    <w:rsid w:val="00F56BA5"/>
    <w:rsid w:val="00F60E22"/>
    <w:rsid w:val="00F81395"/>
    <w:rsid w:val="00F81BB8"/>
    <w:rsid w:val="00F90C64"/>
    <w:rsid w:val="00F917D1"/>
    <w:rsid w:val="00F9653B"/>
    <w:rsid w:val="00FB62CF"/>
    <w:rsid w:val="00FD3C3B"/>
    <w:rsid w:val="00FE07DD"/>
    <w:rsid w:val="00FE433D"/>
    <w:rsid w:val="00FE6B45"/>
    <w:rsid w:val="00FE7B5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3"/>
    <w:basedOn w:val="Normal"/>
    <w:rsid w:val="004F25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s-GT" w:eastAsia="es-ES"/>
    </w:rPr>
  </w:style>
  <w:style w:type="character" w:customStyle="1" w:styleId="s2">
    <w:name w:val="s2"/>
    <w:basedOn w:val="DefaultParagraphFont"/>
    <w:rsid w:val="004F2591"/>
  </w:style>
  <w:style w:type="character" w:customStyle="1" w:styleId="s4">
    <w:name w:val="s4"/>
    <w:basedOn w:val="DefaultParagraphFont"/>
    <w:rsid w:val="004F2591"/>
  </w:style>
  <w:style w:type="character" w:customStyle="1" w:styleId="apple-converted-space">
    <w:name w:val="apple-converted-space"/>
    <w:basedOn w:val="DefaultParagraphFont"/>
    <w:rsid w:val="004F2591"/>
  </w:style>
  <w:style w:type="paragraph" w:customStyle="1" w:styleId="s5">
    <w:name w:val="s5"/>
    <w:basedOn w:val="Normal"/>
    <w:rsid w:val="004F25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s-GT" w:eastAsia="es-ES"/>
    </w:rPr>
  </w:style>
  <w:style w:type="character" w:customStyle="1" w:styleId="s6">
    <w:name w:val="s6"/>
    <w:basedOn w:val="DefaultParagraphFont"/>
    <w:rsid w:val="004F2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273CA"/>
    <w:rsid w:val="00200821"/>
    <w:rsid w:val="0025245B"/>
    <w:rsid w:val="002A3923"/>
    <w:rsid w:val="002D2368"/>
    <w:rsid w:val="00394049"/>
    <w:rsid w:val="004B5BBB"/>
    <w:rsid w:val="004F2DF8"/>
    <w:rsid w:val="006F24A1"/>
    <w:rsid w:val="007E3AAF"/>
    <w:rsid w:val="00903C84"/>
    <w:rsid w:val="009A261B"/>
    <w:rsid w:val="009E621B"/>
    <w:rsid w:val="00AA2E17"/>
    <w:rsid w:val="00AC15A4"/>
    <w:rsid w:val="00B0336C"/>
    <w:rsid w:val="00D241E9"/>
    <w:rsid w:val="00D7545D"/>
    <w:rsid w:val="00D7750D"/>
    <w:rsid w:val="00DA1182"/>
    <w:rsid w:val="00F00D2F"/>
    <w:rsid w:val="00F128DF"/>
    <w:rsid w:val="00F7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748B-2205-4708-9FC3-2DAD0D70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14076</Characters>
  <Application>Microsoft Office Word</Application>
  <DocSecurity>0</DocSecurity>
  <Lines>117</Lines>
  <Paragraphs>33</Paragraphs>
  <ScaleCrop>false</ScaleCrop>
  <Company/>
  <LinksUpToDate>false</LinksUpToDate>
  <CharactersWithSpaces>16512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160/21</dc:title>
  <dc:creator/>
  <cp:lastModifiedBy/>
  <cp:revision>1</cp:revision>
  <dcterms:created xsi:type="dcterms:W3CDTF">2021-08-17T16:24:00Z</dcterms:created>
  <dcterms:modified xsi:type="dcterms:W3CDTF">2021-08-17T16:24:00Z</dcterms:modified>
</cp:coreProperties>
</file>