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6269" w14:textId="77777777" w:rsidR="000673D0" w:rsidRPr="0090270B" w:rsidRDefault="000673D0" w:rsidP="000673D0">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00E6E85" wp14:editId="04B2C54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D29F1" id="Rectangle 1" o:spid="_x0000_s1026" style="position:absolute;margin-left:-32.75pt;margin-top:-34.6pt;width:121.5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5946E9EA" wp14:editId="1088ADE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6BCBE" w14:textId="77777777" w:rsidR="0015317F" w:rsidRDefault="0015317F"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E9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A26BCBE" w14:textId="77777777" w:rsidR="0015317F" w:rsidRDefault="0015317F" w:rsidP="000673D0">
                      <w:r>
                        <w:rPr>
                          <w:noProof/>
                        </w:rPr>
                        <w:drawing>
                          <wp:inline distT="0" distB="0" distL="0" distR="0" wp14:anchorId="7B23956B" wp14:editId="1F2826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Pr>
          <w:rFonts w:asciiTheme="majorHAnsi" w:hAnsiTheme="majorHAnsi" w:cs="Univers"/>
          <w:b/>
          <w:bCs/>
          <w:sz w:val="22"/>
          <w:szCs w:val="22"/>
          <w:lang w:val="es-ES_tradnl"/>
        </w:rPr>
        <w:t xml:space="preserve"> </w:t>
      </w:r>
    </w:p>
    <w:p w14:paraId="397534B4"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6073C012" w14:textId="77777777" w:rsidR="000673D0" w:rsidRPr="0090270B" w:rsidRDefault="000673D0" w:rsidP="000673D0">
      <w:pPr>
        <w:tabs>
          <w:tab w:val="center" w:pos="5400"/>
        </w:tabs>
        <w:suppressAutoHyphens/>
        <w:jc w:val="both"/>
        <w:rPr>
          <w:rFonts w:asciiTheme="majorHAnsi" w:hAnsiTheme="majorHAnsi"/>
          <w:sz w:val="22"/>
          <w:szCs w:val="22"/>
          <w:lang w:val="es-ES"/>
        </w:rPr>
      </w:pPr>
    </w:p>
    <w:p w14:paraId="539C54D8" w14:textId="77777777" w:rsidR="000673D0" w:rsidRPr="0090270B" w:rsidRDefault="000673D0" w:rsidP="000673D0">
      <w:pPr>
        <w:tabs>
          <w:tab w:val="center" w:pos="5400"/>
        </w:tabs>
        <w:suppressAutoHyphens/>
        <w:rPr>
          <w:rFonts w:asciiTheme="majorHAnsi" w:hAnsiTheme="majorHAnsi"/>
          <w:sz w:val="22"/>
          <w:szCs w:val="22"/>
          <w:lang w:val="es-ES_tradnl"/>
        </w:rPr>
      </w:pPr>
    </w:p>
    <w:p w14:paraId="2F6FC84C" w14:textId="77777777" w:rsidR="000673D0" w:rsidRPr="0090270B" w:rsidRDefault="000673D0" w:rsidP="000673D0">
      <w:pPr>
        <w:tabs>
          <w:tab w:val="center" w:pos="5400"/>
        </w:tabs>
        <w:suppressAutoHyphens/>
        <w:rPr>
          <w:rFonts w:asciiTheme="majorHAnsi" w:hAnsiTheme="majorHAnsi"/>
          <w:sz w:val="22"/>
          <w:szCs w:val="22"/>
          <w:lang w:val="es-ES_tradnl"/>
        </w:rPr>
      </w:pPr>
    </w:p>
    <w:p w14:paraId="6E63DFAD" w14:textId="77777777" w:rsidR="000673D0" w:rsidRPr="0090270B" w:rsidRDefault="000673D0" w:rsidP="000673D0">
      <w:pPr>
        <w:tabs>
          <w:tab w:val="center" w:pos="5400"/>
        </w:tabs>
        <w:suppressAutoHyphens/>
        <w:rPr>
          <w:rFonts w:asciiTheme="majorHAnsi" w:hAnsiTheme="majorHAnsi"/>
          <w:sz w:val="22"/>
          <w:szCs w:val="22"/>
          <w:lang w:val="es-ES_tradnl"/>
        </w:rPr>
      </w:pPr>
    </w:p>
    <w:p w14:paraId="0888E86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748C1A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D3A4F1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0F9891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00C04E0"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823EBF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51FBCA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D95BB77"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6683F5A4" wp14:editId="6F739168">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50532B" w14:textId="09A0ED5C" w:rsidR="0015317F" w:rsidRPr="004E2649" w:rsidRDefault="0015317F"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131E4">
                              <w:rPr>
                                <w:rFonts w:asciiTheme="majorHAnsi" w:hAnsiTheme="majorHAnsi" w:cs="Arial"/>
                                <w:b/>
                                <w:bCs/>
                                <w:color w:val="0D0D0D" w:themeColor="text1" w:themeTint="F2"/>
                                <w:sz w:val="36"/>
                                <w:szCs w:val="22"/>
                                <w:lang w:val="es-ES_tradnl"/>
                              </w:rPr>
                              <w:t>219</w:t>
                            </w:r>
                            <w:r>
                              <w:rPr>
                                <w:rFonts w:asciiTheme="majorHAnsi" w:hAnsiTheme="majorHAnsi" w:cs="Arial"/>
                                <w:b/>
                                <w:bCs/>
                                <w:color w:val="0D0D0D" w:themeColor="text1" w:themeTint="F2"/>
                                <w:sz w:val="36"/>
                                <w:szCs w:val="22"/>
                                <w:lang w:val="es-ES_tradnl"/>
                              </w:rPr>
                              <w:t>/2</w:t>
                            </w:r>
                            <w:r w:rsidR="004E3598">
                              <w:rPr>
                                <w:rFonts w:asciiTheme="majorHAnsi" w:hAnsiTheme="majorHAnsi" w:cs="Arial"/>
                                <w:b/>
                                <w:bCs/>
                                <w:color w:val="0D0D0D" w:themeColor="text1" w:themeTint="F2"/>
                                <w:sz w:val="36"/>
                                <w:szCs w:val="22"/>
                                <w:lang w:val="es-ES_tradnl"/>
                              </w:rPr>
                              <w:t>1</w:t>
                            </w:r>
                          </w:p>
                          <w:p w14:paraId="5626D0A4" w14:textId="15B093A5"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710-10</w:t>
                            </w:r>
                            <w:r w:rsidRPr="00D85CEC">
                              <w:rPr>
                                <w:rFonts w:ascii="Cambria" w:hAnsi="Cambria" w:cs="Arial"/>
                                <w:b/>
                                <w:color w:val="0D0D0D"/>
                                <w:sz w:val="36"/>
                                <w:szCs w:val="22"/>
                                <w:lang w:val="es-ES_tradnl"/>
                              </w:rPr>
                              <w:t xml:space="preserve"> </w:t>
                            </w:r>
                          </w:p>
                          <w:p w14:paraId="2A1EFAA5"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0" w:name="_ftnref1"/>
                          </w:p>
                          <w:p w14:paraId="02E936EF" w14:textId="2363029B" w:rsidR="0015317F" w:rsidRPr="00EF4A26"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JAVIER DE JESÚS HIGUITA ROLDÁN Y FAMILIARES</w:t>
                            </w:r>
                          </w:p>
                          <w:bookmarkEnd w:id="0"/>
                          <w:p w14:paraId="47ED2F30"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15317F" w:rsidRPr="00AE5488" w:rsidRDefault="0015317F" w:rsidP="000673D0">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3F5A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6250532B" w14:textId="09A0ED5C" w:rsidR="0015317F" w:rsidRPr="004E2649" w:rsidRDefault="0015317F" w:rsidP="000673D0">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131E4">
                        <w:rPr>
                          <w:rFonts w:asciiTheme="majorHAnsi" w:hAnsiTheme="majorHAnsi" w:cs="Arial"/>
                          <w:b/>
                          <w:bCs/>
                          <w:color w:val="0D0D0D" w:themeColor="text1" w:themeTint="F2"/>
                          <w:sz w:val="36"/>
                          <w:szCs w:val="22"/>
                          <w:lang w:val="es-ES_tradnl"/>
                        </w:rPr>
                        <w:t>219</w:t>
                      </w:r>
                      <w:r>
                        <w:rPr>
                          <w:rFonts w:asciiTheme="majorHAnsi" w:hAnsiTheme="majorHAnsi" w:cs="Arial"/>
                          <w:b/>
                          <w:bCs/>
                          <w:color w:val="0D0D0D" w:themeColor="text1" w:themeTint="F2"/>
                          <w:sz w:val="36"/>
                          <w:szCs w:val="22"/>
                          <w:lang w:val="es-ES_tradnl"/>
                        </w:rPr>
                        <w:t>/2</w:t>
                      </w:r>
                      <w:r w:rsidR="004E3598">
                        <w:rPr>
                          <w:rFonts w:asciiTheme="majorHAnsi" w:hAnsiTheme="majorHAnsi" w:cs="Arial"/>
                          <w:b/>
                          <w:bCs/>
                          <w:color w:val="0D0D0D" w:themeColor="text1" w:themeTint="F2"/>
                          <w:sz w:val="36"/>
                          <w:szCs w:val="22"/>
                          <w:lang w:val="es-ES_tradnl"/>
                        </w:rPr>
                        <w:t>1</w:t>
                      </w:r>
                    </w:p>
                    <w:p w14:paraId="5626D0A4" w14:textId="15B093A5"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D85CEC">
                        <w:rPr>
                          <w:rFonts w:ascii="Cambria" w:hAnsi="Cambria" w:cs="Arial"/>
                          <w:b/>
                          <w:color w:val="0D0D0D"/>
                          <w:sz w:val="36"/>
                          <w:szCs w:val="22"/>
                          <w:lang w:val="es-ES_tradnl"/>
                        </w:rPr>
                        <w:t xml:space="preserve">PETICIÓN </w:t>
                      </w:r>
                      <w:r>
                        <w:rPr>
                          <w:rFonts w:ascii="Cambria" w:hAnsi="Cambria" w:cs="Arial"/>
                          <w:b/>
                          <w:color w:val="0D0D0D"/>
                          <w:sz w:val="36"/>
                          <w:szCs w:val="22"/>
                          <w:lang w:val="es-ES_tradnl"/>
                        </w:rPr>
                        <w:t>710-10</w:t>
                      </w:r>
                      <w:r w:rsidRPr="00D85CEC">
                        <w:rPr>
                          <w:rFonts w:ascii="Cambria" w:hAnsi="Cambria" w:cs="Arial"/>
                          <w:b/>
                          <w:color w:val="0D0D0D"/>
                          <w:sz w:val="36"/>
                          <w:szCs w:val="22"/>
                          <w:lang w:val="es-ES_tradnl"/>
                        </w:rPr>
                        <w:t xml:space="preserve"> </w:t>
                      </w:r>
                    </w:p>
                    <w:p w14:paraId="2A1EFAA5"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D85CEC">
                        <w:rPr>
                          <w:rFonts w:ascii="Cambria" w:hAnsi="Cambria" w:cs="Arial"/>
                          <w:color w:val="0D0D0D"/>
                          <w:szCs w:val="22"/>
                          <w:lang w:val="es-ES_tradnl"/>
                        </w:rPr>
                        <w:t xml:space="preserve">INFORME DE ADMISIBILIDAD </w:t>
                      </w:r>
                    </w:p>
                    <w:p w14:paraId="01826855"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14:paraId="02E936EF" w14:textId="2363029B" w:rsidR="0015317F" w:rsidRPr="00EF4A26"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PA"/>
                        </w:rPr>
                      </w:pPr>
                      <w:r>
                        <w:rPr>
                          <w:rFonts w:ascii="Cambria" w:hAnsi="Cambria" w:cs="Arial"/>
                          <w:color w:val="0D0D0D"/>
                          <w:szCs w:val="22"/>
                          <w:lang w:val="es-ES_tradnl"/>
                        </w:rPr>
                        <w:t>JAVIER DE JESÚS HIGUITA ROLDÁN Y FAMILIARES</w:t>
                      </w:r>
                    </w:p>
                    <w:bookmarkEnd w:id="1"/>
                    <w:p w14:paraId="47ED2F30" w14:textId="77777777" w:rsidR="0015317F" w:rsidRPr="00D85CEC" w:rsidRDefault="0015317F" w:rsidP="0024546E">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D85CEC">
                        <w:rPr>
                          <w:rFonts w:ascii="Cambria" w:hAnsi="Cambria" w:cs="Arial"/>
                          <w:color w:val="0D0D0D"/>
                          <w:szCs w:val="22"/>
                          <w:lang w:val="es-ES_tradnl"/>
                        </w:rPr>
                        <w:t>COLOMBIA</w:t>
                      </w:r>
                    </w:p>
                    <w:p w14:paraId="6D9AEAC1" w14:textId="77777777" w:rsidR="0015317F" w:rsidRPr="00AE5488" w:rsidRDefault="0015317F" w:rsidP="000673D0">
                      <w:pPr>
                        <w:rPr>
                          <w:color w:val="0D0D0D" w:themeColor="text1" w:themeTint="F2"/>
                          <w:lang w:val="es-ES_tradnl"/>
                        </w:rPr>
                      </w:pPr>
                    </w:p>
                  </w:txbxContent>
                </v:textbox>
              </v:shape>
            </w:pict>
          </mc:Fallback>
        </mc:AlternateContent>
      </w:r>
      <w:r w:rsidRPr="0090270B">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3F9E3426" wp14:editId="334368E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2CE493" w14:textId="137B0AE0" w:rsidR="0015317F" w:rsidRPr="004D2DA4" w:rsidRDefault="0015317F" w:rsidP="000673D0">
                            <w:pPr>
                              <w:spacing w:line="276" w:lineRule="auto"/>
                              <w:jc w:val="right"/>
                              <w:rPr>
                                <w:rFonts w:asciiTheme="minorHAnsi" w:hAnsiTheme="minorHAnsi"/>
                                <w:color w:val="FFFFFF" w:themeColor="background1"/>
                                <w:sz w:val="22"/>
                                <w:lang w:val="es-419"/>
                              </w:rPr>
                            </w:pPr>
                            <w:r w:rsidRPr="004D2DA4">
                              <w:rPr>
                                <w:rFonts w:asciiTheme="minorHAnsi" w:hAnsiTheme="minorHAnsi"/>
                                <w:color w:val="FFFFFF" w:themeColor="background1"/>
                                <w:sz w:val="22"/>
                                <w:lang w:val="es-419"/>
                              </w:rPr>
                              <w:t>OEA/Ser.L/V/II</w:t>
                            </w:r>
                          </w:p>
                          <w:p w14:paraId="3449BBFC" w14:textId="14F4822D" w:rsidR="0015317F" w:rsidRPr="004D2DA4" w:rsidRDefault="0015317F" w:rsidP="000673D0">
                            <w:pPr>
                              <w:spacing w:line="276" w:lineRule="auto"/>
                              <w:jc w:val="right"/>
                              <w:rPr>
                                <w:rFonts w:asciiTheme="minorHAnsi" w:hAnsiTheme="minorHAnsi"/>
                                <w:color w:val="FFFFFF" w:themeColor="background1"/>
                                <w:sz w:val="22"/>
                                <w:lang w:val="es-419"/>
                              </w:rPr>
                            </w:pPr>
                            <w:r w:rsidRPr="004D2DA4">
                              <w:rPr>
                                <w:rFonts w:asciiTheme="minorHAnsi" w:hAnsiTheme="minorHAnsi"/>
                                <w:color w:val="FFFFFF" w:themeColor="background1"/>
                                <w:sz w:val="22"/>
                                <w:lang w:val="es-419"/>
                              </w:rPr>
                              <w:t xml:space="preserve">Doc. </w:t>
                            </w:r>
                            <w:r w:rsidR="00A131E4" w:rsidRPr="004D2DA4">
                              <w:rPr>
                                <w:rFonts w:asciiTheme="minorHAnsi" w:hAnsiTheme="minorHAnsi"/>
                                <w:color w:val="FFFFFF" w:themeColor="background1"/>
                                <w:sz w:val="22"/>
                                <w:lang w:val="es-419"/>
                              </w:rPr>
                              <w:t>227</w:t>
                            </w:r>
                          </w:p>
                          <w:p w14:paraId="0BBD91A2" w14:textId="7C55689B" w:rsidR="0015317F" w:rsidRPr="00C25ADB" w:rsidRDefault="00A131E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15317F" w:rsidRPr="00C25ADB">
                              <w:rPr>
                                <w:rFonts w:asciiTheme="minorHAnsi" w:hAnsiTheme="minorHAnsi"/>
                                <w:color w:val="FFFFFF" w:themeColor="background1"/>
                                <w:sz w:val="22"/>
                                <w:lang w:val="es-PA"/>
                              </w:rPr>
                              <w:t xml:space="preserve"> 202</w:t>
                            </w:r>
                            <w:r w:rsidR="004E3598">
                              <w:rPr>
                                <w:rFonts w:asciiTheme="minorHAnsi" w:hAnsiTheme="minorHAnsi"/>
                                <w:color w:val="FFFFFF" w:themeColor="background1"/>
                                <w:sz w:val="22"/>
                                <w:lang w:val="es-PA"/>
                              </w:rPr>
                              <w:t>1</w:t>
                            </w:r>
                          </w:p>
                          <w:p w14:paraId="0288BA97" w14:textId="77777777" w:rsidR="0015317F" w:rsidRPr="00C25ADB" w:rsidRDefault="0015317F"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E3426"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B2CE493" w14:textId="137B0AE0" w:rsidR="0015317F" w:rsidRPr="004D2DA4" w:rsidRDefault="0015317F" w:rsidP="000673D0">
                      <w:pPr>
                        <w:spacing w:line="276" w:lineRule="auto"/>
                        <w:jc w:val="right"/>
                        <w:rPr>
                          <w:rFonts w:asciiTheme="minorHAnsi" w:hAnsiTheme="minorHAnsi"/>
                          <w:color w:val="FFFFFF" w:themeColor="background1"/>
                          <w:sz w:val="22"/>
                          <w:lang w:val="es-419"/>
                        </w:rPr>
                      </w:pPr>
                      <w:r w:rsidRPr="004D2DA4">
                        <w:rPr>
                          <w:rFonts w:asciiTheme="minorHAnsi" w:hAnsiTheme="minorHAnsi"/>
                          <w:color w:val="FFFFFF" w:themeColor="background1"/>
                          <w:sz w:val="22"/>
                          <w:lang w:val="es-419"/>
                        </w:rPr>
                        <w:t>OEA/Ser.L/V/II</w:t>
                      </w:r>
                    </w:p>
                    <w:p w14:paraId="3449BBFC" w14:textId="14F4822D" w:rsidR="0015317F" w:rsidRPr="004D2DA4" w:rsidRDefault="0015317F" w:rsidP="000673D0">
                      <w:pPr>
                        <w:spacing w:line="276" w:lineRule="auto"/>
                        <w:jc w:val="right"/>
                        <w:rPr>
                          <w:rFonts w:asciiTheme="minorHAnsi" w:hAnsiTheme="minorHAnsi"/>
                          <w:color w:val="FFFFFF" w:themeColor="background1"/>
                          <w:sz w:val="22"/>
                          <w:lang w:val="es-419"/>
                        </w:rPr>
                      </w:pPr>
                      <w:r w:rsidRPr="004D2DA4">
                        <w:rPr>
                          <w:rFonts w:asciiTheme="minorHAnsi" w:hAnsiTheme="minorHAnsi"/>
                          <w:color w:val="FFFFFF" w:themeColor="background1"/>
                          <w:sz w:val="22"/>
                          <w:lang w:val="es-419"/>
                        </w:rPr>
                        <w:t xml:space="preserve">Doc. </w:t>
                      </w:r>
                      <w:r w:rsidR="00A131E4" w:rsidRPr="004D2DA4">
                        <w:rPr>
                          <w:rFonts w:asciiTheme="minorHAnsi" w:hAnsiTheme="minorHAnsi"/>
                          <w:color w:val="FFFFFF" w:themeColor="background1"/>
                          <w:sz w:val="22"/>
                          <w:lang w:val="es-419"/>
                        </w:rPr>
                        <w:t>227</w:t>
                      </w:r>
                    </w:p>
                    <w:p w14:paraId="0BBD91A2" w14:textId="7C55689B" w:rsidR="0015317F" w:rsidRPr="00C25ADB" w:rsidRDefault="00A131E4" w:rsidP="000673D0">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septiembre</w:t>
                      </w:r>
                      <w:r w:rsidR="0015317F" w:rsidRPr="00C25ADB">
                        <w:rPr>
                          <w:rFonts w:asciiTheme="minorHAnsi" w:hAnsiTheme="minorHAnsi"/>
                          <w:color w:val="FFFFFF" w:themeColor="background1"/>
                          <w:sz w:val="22"/>
                          <w:lang w:val="es-PA"/>
                        </w:rPr>
                        <w:t xml:space="preserve"> 202</w:t>
                      </w:r>
                      <w:r w:rsidR="004E3598">
                        <w:rPr>
                          <w:rFonts w:asciiTheme="minorHAnsi" w:hAnsiTheme="minorHAnsi"/>
                          <w:color w:val="FFFFFF" w:themeColor="background1"/>
                          <w:sz w:val="22"/>
                          <w:lang w:val="es-PA"/>
                        </w:rPr>
                        <w:t>1</w:t>
                      </w:r>
                    </w:p>
                    <w:p w14:paraId="0288BA97" w14:textId="77777777" w:rsidR="0015317F" w:rsidRPr="00C25ADB" w:rsidRDefault="0015317F" w:rsidP="000673D0">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7445D224"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59BB07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0CE2CD6" w14:textId="77777777" w:rsidR="000673D0" w:rsidRPr="0090270B" w:rsidRDefault="000673D0" w:rsidP="000673D0">
      <w:pPr>
        <w:tabs>
          <w:tab w:val="center" w:pos="5400"/>
        </w:tabs>
        <w:suppressAutoHyphens/>
        <w:jc w:val="center"/>
        <w:rPr>
          <w:rFonts w:asciiTheme="majorHAnsi" w:hAnsiTheme="majorHAnsi" w:cs="Arial"/>
          <w:sz w:val="22"/>
          <w:szCs w:val="22"/>
          <w:lang w:val="es-ES_tradnl"/>
        </w:rPr>
      </w:pPr>
    </w:p>
    <w:p w14:paraId="709AD286"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E8B5523"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24E26A9"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B2E007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3ED5356B"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146F0F55"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3ABF1F8"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66E728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062BE702"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5D49DBEA"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758695F1" w14:textId="77777777" w:rsidR="000673D0" w:rsidRPr="0090270B" w:rsidRDefault="000673D0" w:rsidP="000673D0">
      <w:pPr>
        <w:tabs>
          <w:tab w:val="center" w:pos="5400"/>
        </w:tabs>
        <w:suppressAutoHyphens/>
        <w:jc w:val="center"/>
        <w:rPr>
          <w:rFonts w:asciiTheme="majorHAnsi" w:hAnsiTheme="majorHAnsi"/>
          <w:sz w:val="22"/>
          <w:szCs w:val="22"/>
          <w:lang w:val="es-ES_tradnl"/>
        </w:rPr>
      </w:pPr>
    </w:p>
    <w:p w14:paraId="47333B02"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36B8A5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FA680C0"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51A5FD1F"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EC7104"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74B88FB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76EB44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D06DC3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2B3BDED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2E086F1"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AA5A52A"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FBE1F63"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6BC6FEB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26A618"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1BECB0D"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3C1C2A41" wp14:editId="1F8DCC4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53FBA" w14:textId="095DC626" w:rsidR="0015317F" w:rsidRPr="00890650" w:rsidRDefault="0015317F"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131E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131E4">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E3598">
                              <w:rPr>
                                <w:rFonts w:asciiTheme="majorHAnsi" w:hAnsiTheme="majorHAnsi"/>
                                <w:color w:val="0D0D0D" w:themeColor="text1" w:themeTint="F2"/>
                                <w:sz w:val="18"/>
                                <w:szCs w:val="22"/>
                                <w:lang w:val="es-ES"/>
                              </w:rPr>
                              <w:t>1</w:t>
                            </w:r>
                            <w:r w:rsidR="00F408C2">
                              <w:rPr>
                                <w:rFonts w:asciiTheme="majorHAnsi" w:hAnsiTheme="majorHAnsi"/>
                                <w:color w:val="0D0D0D" w:themeColor="text1" w:themeTint="F2"/>
                                <w:sz w:val="18"/>
                                <w:szCs w:val="22"/>
                                <w:lang w:val="es-ES"/>
                              </w:rPr>
                              <w:t>.</w:t>
                            </w:r>
                          </w:p>
                          <w:p w14:paraId="4F6ABB5B" w14:textId="77777777" w:rsidR="0015317F" w:rsidRPr="007A5817" w:rsidRDefault="0015317F"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5317F" w:rsidRPr="00167A34" w:rsidRDefault="0015317F" w:rsidP="000673D0">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C2A41"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7053FBA" w14:textId="095DC626" w:rsidR="0015317F" w:rsidRPr="00890650" w:rsidRDefault="0015317F" w:rsidP="000673D0">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A131E4">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A131E4">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w:t>
                      </w:r>
                      <w:r w:rsidR="004E3598">
                        <w:rPr>
                          <w:rFonts w:asciiTheme="majorHAnsi" w:hAnsiTheme="majorHAnsi"/>
                          <w:color w:val="0D0D0D" w:themeColor="text1" w:themeTint="F2"/>
                          <w:sz w:val="18"/>
                          <w:szCs w:val="22"/>
                          <w:lang w:val="es-ES"/>
                        </w:rPr>
                        <w:t>1</w:t>
                      </w:r>
                      <w:r w:rsidR="00F408C2">
                        <w:rPr>
                          <w:rFonts w:asciiTheme="majorHAnsi" w:hAnsiTheme="majorHAnsi"/>
                          <w:color w:val="0D0D0D" w:themeColor="text1" w:themeTint="F2"/>
                          <w:sz w:val="18"/>
                          <w:szCs w:val="22"/>
                          <w:lang w:val="es-ES"/>
                        </w:rPr>
                        <w:t>.</w:t>
                      </w:r>
                    </w:p>
                    <w:p w14:paraId="4F6ABB5B" w14:textId="77777777" w:rsidR="0015317F" w:rsidRPr="007A5817" w:rsidRDefault="0015317F" w:rsidP="000673D0">
                      <w:pPr>
                        <w:tabs>
                          <w:tab w:val="center" w:pos="5400"/>
                        </w:tabs>
                        <w:suppressAutoHyphens/>
                        <w:spacing w:before="60"/>
                        <w:rPr>
                          <w:rFonts w:asciiTheme="minorHAnsi" w:hAnsiTheme="minorHAnsi" w:cs="Univers"/>
                          <w:color w:val="0D0D0D" w:themeColor="text1" w:themeTint="F2"/>
                          <w:sz w:val="20"/>
                          <w:szCs w:val="20"/>
                          <w:lang w:val="es-ES"/>
                        </w:rPr>
                      </w:pPr>
                    </w:p>
                    <w:p w14:paraId="4CA26468" w14:textId="77777777" w:rsidR="0015317F" w:rsidRPr="00167A34" w:rsidRDefault="0015317F" w:rsidP="000673D0">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F806D85"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4CF638D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CEFA9C9"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31514C67"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16ECD0BB"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64384" behindDoc="0" locked="0" layoutInCell="1" allowOverlap="1" wp14:anchorId="1DE21F94" wp14:editId="06E2203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F2B52A" w14:textId="18CB9427" w:rsidR="0015317F" w:rsidRPr="007B05C4" w:rsidRDefault="0015317F"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31E4" w:rsidRPr="00A131E4">
                              <w:rPr>
                                <w:rFonts w:asciiTheme="majorHAnsi" w:hAnsiTheme="majorHAnsi"/>
                                <w:color w:val="595959" w:themeColor="text1" w:themeTint="A6"/>
                                <w:sz w:val="18"/>
                                <w:szCs w:val="18"/>
                                <w:lang w:val="pt-BR"/>
                              </w:rPr>
                              <w:t>219</w:t>
                            </w:r>
                            <w:r w:rsidRPr="00A131E4">
                              <w:rPr>
                                <w:rFonts w:asciiTheme="majorHAnsi" w:hAnsiTheme="majorHAnsi"/>
                                <w:color w:val="595959" w:themeColor="text1" w:themeTint="A6"/>
                                <w:sz w:val="18"/>
                                <w:szCs w:val="18"/>
                                <w:lang w:val="pt-BR"/>
                              </w:rPr>
                              <w:t>/2</w:t>
                            </w:r>
                            <w:r w:rsidR="00A131E4" w:rsidRPr="00A131E4">
                              <w:rPr>
                                <w:rFonts w:asciiTheme="majorHAnsi" w:hAnsiTheme="majorHAnsi"/>
                                <w:color w:val="595959" w:themeColor="text1" w:themeTint="A6"/>
                                <w:sz w:val="18"/>
                                <w:szCs w:val="18"/>
                                <w:lang w:val="pt-BR"/>
                              </w:rPr>
                              <w:t>1</w:t>
                            </w:r>
                            <w:r w:rsidRPr="00A131E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710-10.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Javier de Jesús Higuita Roldán y </w:t>
                            </w:r>
                            <w:r w:rsidR="00A131E4">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131E4">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1F94" id="Text Box 10" o:spid="_x0000_s1030" type="#_x0000_t202" style="position:absolute;left:0;text-align:left;margin-left:105pt;margin-top:.45pt;width:389.25pt;height:5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CF2B52A" w14:textId="18CB9427" w:rsidR="0015317F" w:rsidRPr="007B05C4" w:rsidRDefault="0015317F" w:rsidP="000673D0">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131E4" w:rsidRPr="00A131E4">
                        <w:rPr>
                          <w:rFonts w:asciiTheme="majorHAnsi" w:hAnsiTheme="majorHAnsi"/>
                          <w:color w:val="595959" w:themeColor="text1" w:themeTint="A6"/>
                          <w:sz w:val="18"/>
                          <w:szCs w:val="18"/>
                          <w:lang w:val="pt-BR"/>
                        </w:rPr>
                        <w:t>219</w:t>
                      </w:r>
                      <w:r w:rsidRPr="00A131E4">
                        <w:rPr>
                          <w:rFonts w:asciiTheme="majorHAnsi" w:hAnsiTheme="majorHAnsi"/>
                          <w:color w:val="595959" w:themeColor="text1" w:themeTint="A6"/>
                          <w:sz w:val="18"/>
                          <w:szCs w:val="18"/>
                          <w:lang w:val="pt-BR"/>
                        </w:rPr>
                        <w:t>/2</w:t>
                      </w:r>
                      <w:r w:rsidR="00A131E4" w:rsidRPr="00A131E4">
                        <w:rPr>
                          <w:rFonts w:asciiTheme="majorHAnsi" w:hAnsiTheme="majorHAnsi"/>
                          <w:color w:val="595959" w:themeColor="text1" w:themeTint="A6"/>
                          <w:sz w:val="18"/>
                          <w:szCs w:val="18"/>
                          <w:lang w:val="pt-BR"/>
                        </w:rPr>
                        <w:t>1</w:t>
                      </w:r>
                      <w:r w:rsidRPr="00A131E4">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710-10. </w:t>
                      </w:r>
                      <w:r>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Javier de Jesús Higuita Roldán y </w:t>
                      </w:r>
                      <w:r w:rsidR="00A131E4">
                        <w:rPr>
                          <w:rFonts w:asciiTheme="majorHAnsi" w:hAnsiTheme="majorHAnsi"/>
                          <w:color w:val="595959" w:themeColor="text1" w:themeTint="A6"/>
                          <w:sz w:val="18"/>
                          <w:szCs w:val="18"/>
                          <w:lang w:val="es-ES_tradnl"/>
                        </w:rPr>
                        <w:t>f</w:t>
                      </w:r>
                      <w:r>
                        <w:rPr>
                          <w:rFonts w:asciiTheme="majorHAnsi" w:hAnsiTheme="majorHAnsi"/>
                          <w:color w:val="595959" w:themeColor="text1" w:themeTint="A6"/>
                          <w:sz w:val="18"/>
                          <w:szCs w:val="18"/>
                          <w:lang w:val="es-ES_tradnl"/>
                        </w:rPr>
                        <w:t>amiliares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A131E4">
                        <w:rPr>
                          <w:rFonts w:asciiTheme="majorHAnsi" w:hAnsiTheme="majorHAnsi"/>
                          <w:color w:val="595959" w:themeColor="text1" w:themeTint="A6"/>
                          <w:sz w:val="18"/>
                          <w:szCs w:val="18"/>
                          <w:lang w:val="es-ES"/>
                        </w:rPr>
                        <w:t>9 de septiembre de 2021</w:t>
                      </w:r>
                      <w:r w:rsidRPr="007B05C4">
                        <w:rPr>
                          <w:rFonts w:asciiTheme="majorHAnsi" w:hAnsiTheme="majorHAnsi"/>
                          <w:color w:val="595959" w:themeColor="text1" w:themeTint="A6"/>
                          <w:sz w:val="18"/>
                          <w:szCs w:val="18"/>
                          <w:lang w:val="es-ES"/>
                        </w:rPr>
                        <w:t>.</w:t>
                      </w:r>
                    </w:p>
                  </w:txbxContent>
                </v:textbox>
              </v:shape>
            </w:pict>
          </mc:Fallback>
        </mc:AlternateContent>
      </w:r>
    </w:p>
    <w:p w14:paraId="16104A16" w14:textId="77777777" w:rsidR="000673D0" w:rsidRPr="0090270B" w:rsidRDefault="000673D0" w:rsidP="000673D0">
      <w:pPr>
        <w:tabs>
          <w:tab w:val="center" w:pos="5400"/>
        </w:tabs>
        <w:suppressAutoHyphens/>
        <w:jc w:val="center"/>
        <w:rPr>
          <w:rFonts w:asciiTheme="majorHAnsi" w:hAnsiTheme="majorHAnsi"/>
          <w:sz w:val="18"/>
          <w:szCs w:val="22"/>
          <w:lang w:val="es-ES_tradnl"/>
        </w:rPr>
      </w:pPr>
    </w:p>
    <w:p w14:paraId="09F6F1A8" w14:textId="627D6F10" w:rsidR="000673D0" w:rsidRDefault="000673D0" w:rsidP="000673D0">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39E975DD" wp14:editId="78DF842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89E4B" w14:textId="77777777" w:rsidR="0015317F" w:rsidRPr="004B7EB6" w:rsidRDefault="0015317F"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75DD" id="Text Box 4" o:spid="_x0000_s1031" type="#_x0000_t202" style="position:absolute;left:0;text-align:left;margin-left:-21.45pt;margin-top:72.05pt;width:93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B589E4B" w14:textId="77777777" w:rsidR="0015317F" w:rsidRPr="004B7EB6" w:rsidRDefault="0015317F" w:rsidP="000673D0">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1A16E54" w14:textId="011AB6B2" w:rsidR="000673D0" w:rsidRDefault="00A131E4" w:rsidP="000673D0">
      <w:pPr>
        <w:tabs>
          <w:tab w:val="center" w:pos="5400"/>
        </w:tabs>
        <w:suppressAutoHyphens/>
        <w:jc w:val="center"/>
        <w:rPr>
          <w:rFonts w:asciiTheme="majorHAnsi" w:hAnsiTheme="majorHAnsi"/>
          <w:b/>
          <w:sz w:val="20"/>
          <w:lang w:val="es-ES_tradnl"/>
        </w:rPr>
        <w:sectPr w:rsidR="000673D0"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65408" behindDoc="0" locked="0" layoutInCell="1" allowOverlap="1" wp14:anchorId="2BF9F72E" wp14:editId="16AD51BC">
                <wp:simplePos x="0" y="0"/>
                <wp:positionH relativeFrom="column">
                  <wp:posOffset>1329690</wp:posOffset>
                </wp:positionH>
                <wp:positionV relativeFrom="paragraph">
                  <wp:posOffset>616313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CB564" w14:textId="1F83B2C2" w:rsidR="0015317F" w:rsidRPr="00D72DC6" w:rsidRDefault="00F408C2" w:rsidP="000673D0">
                            <w:pPr>
                              <w:rPr>
                                <w:color w:val="FFFFFF" w:themeColor="background1"/>
                                <w14:textFill>
                                  <w14:noFill/>
                                </w14:textFill>
                              </w:rPr>
                            </w:pPr>
                            <w:r>
                              <w:rPr>
                                <w:noProof/>
                                <w:color w:val="FFFFFF" w:themeColor="background1"/>
                              </w:rPr>
                              <w:drawing>
                                <wp:inline distT="0" distB="0" distL="0" distR="0" wp14:anchorId="1A6D7174" wp14:editId="73A632B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9F72E" id="Text Box 9" o:spid="_x0000_s1032" type="#_x0000_t202" style="position:absolute;left:0;text-align:left;margin-left:104.7pt;margin-top:48.55pt;width:322.5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MjwIAAJEFAAAOAAAAZHJzL2Uyb0RvYy54bWysVFFv2yAQfp+0/4B4X+2kSdpEdaqsVadJ&#10;VVstnfpMMCRomGNAYme/fge2k6zrS6e92MB9d8d9fHdX102lyU44r8AUdHCWUyIMh1KZdUG/P999&#10;uqTEB2ZKpsGIgu6Fp9fzjx+uajsTQ9iALoUjGMT4WW0LugnBzrLM842omD8DKwwaJbiKBdy6dVY6&#10;VmP0SmfDPJ9kNbjSOuDCezy9bY10nuJLKXh4lNKLQHRB8W4hfV36ruI3m1+x2doxu1G8uwb7h1tU&#10;TBlMegh1ywIjW6f+ClUp7sCDDGccqgykVFykGrCaQf6qmuWGWZFqQXK8PdDk/19Y/rB7ckSVBZ1S&#10;YliFT/QsmkA+Q0OmkZ3a+hmClhZhocFjfOX+3ONhLLqRrop/LIegHXneH7iNwTgejvLp5PxyTAlH&#10;23hykY/HMUx29LbOhy8CKhIXBXX4dolStrv3oYX2kJjMg1blndI6baJexI12ZMfwpXVId8Tgf6C0&#10;IXVBJ+fjPAU2EN3byNrEMCIppksXK28rTKuw1yJitPkmJDKWCn0jN+NcmEP+hI4oiane49jhj7d6&#10;j3NbB3qkzGDCwblSBlyqPrXYkbLyR0+ZbPH4Nid1x2VoVk2SyqQXwArKPerCQdtX3vI7hY93z3x4&#10;Yg4bCaWAwyE84kdqQPKhW1GyAffrrfOIR32jlZIaG7Og/ueWOUGJ/mpQ+dPBaBQ7OW1G44shbtyp&#10;ZXVqMdvqBlARAxxDlqdlxAfdL6WD6gVnyCJmRRMzHHMXNPTLm9COC5xBXCwWCYS9a1m4N0vLY+jI&#10;cpTmc/PCnO30G1D5D9C3MJu9knGLjZ4GFtsAUiWNR55bVjv+se9Tl3QzKg6W031CHSfp/DcAAAD/&#10;/wMAUEsDBBQABgAIAAAAIQBQxVd+4gAAAAoBAAAPAAAAZHJzL2Rvd25yZXYueG1sTI/LTsMwEEX3&#10;SPyDNUhsEHX6SJuGOBVCQCV2NDzEzo2HJCIeR7GbhL9nWMFydI/uPZPtJtuKAXvfOFIwn0UgkEpn&#10;GqoUvBQP1wkIHzQZ3TpCBd/oYZefn2U6NW6kZxwOoRJcQj7VCuoQulRKX9ZotZ+5DomzT9dbHfjs&#10;K2l6PXK5beUiitbS6oZ4odYd3tVYfh1OVsHHVfX+5KfH13EZL7v7/VBs3kyh1OXFdHsDIuAU/mD4&#10;1Wd1yNnp6E5kvGgVLKLtilEF280cBANJvIpBHJlM1iuQeSb/v5D/AAAA//8DAFBLAQItABQABgAI&#10;AAAAIQC2gziS/gAAAOEBAAATAAAAAAAAAAAAAAAAAAAAAABbQ29udGVudF9UeXBlc10ueG1sUEsB&#10;Ai0AFAAGAAgAAAAhADj9If/WAAAAlAEAAAsAAAAAAAAAAAAAAAAALwEAAF9yZWxzLy5yZWxzUEsB&#10;Ai0AFAAGAAgAAAAhAOD5ncyPAgAAkQUAAA4AAAAAAAAAAAAAAAAALgIAAGRycy9lMm9Eb2MueG1s&#10;UEsBAi0AFAAGAAgAAAAhAFDFV37iAAAACgEAAA8AAAAAAAAAAAAAAAAA6QQAAGRycy9kb3ducmV2&#10;LnhtbFBLBQYAAAAABAAEAPMAAAD4BQAAAAA=&#10;" fillcolor="white [3201]" stroked="f" strokeweight=".5pt">
                <v:textbox>
                  <w:txbxContent>
                    <w:p w14:paraId="561CB564" w14:textId="1F83B2C2" w:rsidR="0015317F" w:rsidRPr="00D72DC6" w:rsidRDefault="00F408C2" w:rsidP="000673D0">
                      <w:pPr>
                        <w:rPr>
                          <w:color w:val="FFFFFF" w:themeColor="background1"/>
                          <w14:textFill>
                            <w14:noFill/>
                          </w14:textFill>
                        </w:rPr>
                      </w:pPr>
                      <w:r>
                        <w:rPr>
                          <w:noProof/>
                          <w:color w:val="FFFFFF" w:themeColor="background1"/>
                        </w:rPr>
                        <w:drawing>
                          <wp:inline distT="0" distB="0" distL="0" distR="0" wp14:anchorId="1A6D7174" wp14:editId="73A632B9">
                            <wp:extent cx="1824355" cy="469265"/>
                            <wp:effectExtent l="0" t="0" r="444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824355" cy="469265"/>
                                    </a:xfrm>
                                    <a:prstGeom prst="rect">
                                      <a:avLst/>
                                    </a:prstGeom>
                                  </pic:spPr>
                                </pic:pic>
                              </a:graphicData>
                            </a:graphic>
                          </wp:inline>
                        </w:drawing>
                      </w:r>
                    </w:p>
                  </w:txbxContent>
                </v:textbox>
              </v:shape>
            </w:pict>
          </mc:Fallback>
        </mc:AlternateContent>
      </w:r>
      <w:r w:rsidR="000673D0">
        <w:rPr>
          <w:rFonts w:asciiTheme="majorHAnsi" w:hAnsiTheme="majorHAnsi"/>
          <w:b/>
          <w:sz w:val="20"/>
          <w:lang w:val="es-ES_tradnl"/>
        </w:rPr>
        <w:tab/>
      </w:r>
    </w:p>
    <w:p w14:paraId="0912847B" w14:textId="77777777" w:rsidR="000673D0" w:rsidRPr="000673D0" w:rsidRDefault="000673D0" w:rsidP="000673D0">
      <w:pPr>
        <w:spacing w:after="240"/>
        <w:ind w:firstLine="720"/>
        <w:jc w:val="both"/>
        <w:rPr>
          <w:rFonts w:asciiTheme="majorHAnsi" w:hAnsiTheme="majorHAnsi"/>
          <w:b/>
          <w:bCs/>
          <w:sz w:val="20"/>
          <w:szCs w:val="20"/>
          <w:lang w:val="es-ES"/>
        </w:rPr>
      </w:pPr>
      <w:r w:rsidRPr="000673D0">
        <w:rPr>
          <w:rFonts w:asciiTheme="majorHAnsi" w:hAnsiTheme="majorHAnsi"/>
          <w:b/>
          <w:bCs/>
          <w:sz w:val="20"/>
          <w:szCs w:val="20"/>
          <w:lang w:val="es-ES"/>
        </w:rPr>
        <w:lastRenderedPageBreak/>
        <w:t>I.</w:t>
      </w:r>
      <w:r w:rsidRPr="000673D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24546E" w14:paraId="325744E4" w14:textId="77777777" w:rsidTr="00B46185">
        <w:tc>
          <w:tcPr>
            <w:tcW w:w="3600" w:type="dxa"/>
            <w:tcBorders>
              <w:top w:val="single" w:sz="4" w:space="0" w:color="auto"/>
              <w:bottom w:val="single" w:sz="6" w:space="0" w:color="auto"/>
            </w:tcBorders>
            <w:shd w:val="clear" w:color="auto" w:fill="386294"/>
            <w:vAlign w:val="center"/>
          </w:tcPr>
          <w:p w14:paraId="26710EBE"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Parte peticionaria:</w:t>
            </w:r>
          </w:p>
        </w:tc>
        <w:tc>
          <w:tcPr>
            <w:tcW w:w="5760" w:type="dxa"/>
            <w:vAlign w:val="center"/>
          </w:tcPr>
          <w:p w14:paraId="5A4F615E" w14:textId="6380DD4E" w:rsidR="000673D0" w:rsidRPr="009C6CB7" w:rsidRDefault="00092DDD" w:rsidP="00B46185">
            <w:pPr>
              <w:jc w:val="both"/>
              <w:rPr>
                <w:rFonts w:asciiTheme="majorHAnsi" w:hAnsiTheme="majorHAnsi"/>
                <w:bCs/>
                <w:sz w:val="19"/>
                <w:szCs w:val="19"/>
                <w:lang w:val="es-PA"/>
              </w:rPr>
            </w:pPr>
            <w:r>
              <w:rPr>
                <w:rFonts w:ascii="Cambria" w:hAnsi="Cambria"/>
                <w:bCs/>
                <w:sz w:val="19"/>
                <w:szCs w:val="19"/>
                <w:lang w:val="es-ES"/>
              </w:rPr>
              <w:t>Oscar Darío Villegas Posada</w:t>
            </w:r>
          </w:p>
        </w:tc>
      </w:tr>
      <w:tr w:rsidR="000673D0" w:rsidRPr="00F408C2" w14:paraId="79A5B539" w14:textId="77777777" w:rsidTr="00B46185">
        <w:tc>
          <w:tcPr>
            <w:tcW w:w="3600" w:type="dxa"/>
            <w:tcBorders>
              <w:top w:val="single" w:sz="6" w:space="0" w:color="auto"/>
              <w:bottom w:val="single" w:sz="6" w:space="0" w:color="auto"/>
            </w:tcBorders>
            <w:shd w:val="clear" w:color="auto" w:fill="386294"/>
            <w:vAlign w:val="center"/>
          </w:tcPr>
          <w:p w14:paraId="58FAAE53" w14:textId="77777777" w:rsidR="000673D0" w:rsidRPr="009C6CB7" w:rsidRDefault="00CC17E2" w:rsidP="00B46185">
            <w:pPr>
              <w:jc w:val="center"/>
              <w:rPr>
                <w:rFonts w:asciiTheme="majorHAnsi" w:hAnsiTheme="majorHAnsi"/>
                <w:b/>
                <w:bCs/>
                <w:color w:val="FFFFFF" w:themeColor="background1"/>
                <w:sz w:val="19"/>
                <w:szCs w:val="19"/>
              </w:rPr>
            </w:pPr>
            <w:sdt>
              <w:sdtPr>
                <w:rPr>
                  <w:rFonts w:asciiTheme="majorHAnsi" w:hAnsiTheme="majorHAnsi"/>
                  <w:b/>
                  <w:bCs/>
                  <w:color w:val="FFFFFF" w:themeColor="background1"/>
                  <w:sz w:val="19"/>
                  <w:szCs w:val="19"/>
                </w:rPr>
                <w:alias w:val="Elegir una opción"/>
                <w:tag w:val="Elegir una opción"/>
                <w:id w:val="931095713"/>
                <w:placeholder>
                  <w:docPart w:val="6F10F8106C6B41A68AE460B6FEC61D9E"/>
                </w:placeholder>
                <w:dropDownList>
                  <w:listItem w:value="Choose an item."/>
                  <w:listItem w:displayText="Presunta víctima" w:value="Presunta víctima"/>
                  <w:listItem w:displayText="Presuntas víctimas" w:value="Presuntas víctimas"/>
                </w:dropDownList>
              </w:sdtPr>
              <w:sdtEndPr/>
              <w:sdtContent>
                <w:r w:rsidR="000673D0" w:rsidRPr="009C6CB7">
                  <w:rPr>
                    <w:rFonts w:asciiTheme="majorHAnsi" w:hAnsiTheme="majorHAnsi"/>
                    <w:b/>
                    <w:bCs/>
                    <w:color w:val="FFFFFF" w:themeColor="background1"/>
                    <w:sz w:val="19"/>
                    <w:szCs w:val="19"/>
                  </w:rPr>
                  <w:t>Presunta víctima</w:t>
                </w:r>
              </w:sdtContent>
            </w:sdt>
            <w:r w:rsidR="000673D0" w:rsidRPr="009C6CB7">
              <w:rPr>
                <w:rFonts w:asciiTheme="majorHAnsi" w:hAnsiTheme="majorHAnsi"/>
                <w:b/>
                <w:bCs/>
                <w:color w:val="FFFFFF" w:themeColor="background1"/>
                <w:sz w:val="19"/>
                <w:szCs w:val="19"/>
              </w:rPr>
              <w:t>:</w:t>
            </w:r>
          </w:p>
        </w:tc>
        <w:tc>
          <w:tcPr>
            <w:tcW w:w="5760" w:type="dxa"/>
            <w:vAlign w:val="center"/>
          </w:tcPr>
          <w:p w14:paraId="23FE9BA4" w14:textId="01F36E38" w:rsidR="000673D0" w:rsidRPr="009C6CB7" w:rsidRDefault="00092DDD" w:rsidP="00B46185">
            <w:pPr>
              <w:jc w:val="both"/>
              <w:rPr>
                <w:rFonts w:asciiTheme="majorHAnsi" w:hAnsiTheme="majorHAnsi"/>
                <w:bCs/>
                <w:sz w:val="19"/>
                <w:szCs w:val="19"/>
                <w:lang w:val="es-ES"/>
              </w:rPr>
            </w:pPr>
            <w:r>
              <w:rPr>
                <w:rFonts w:asciiTheme="majorHAnsi" w:hAnsiTheme="majorHAnsi"/>
                <w:bCs/>
                <w:sz w:val="19"/>
                <w:szCs w:val="19"/>
                <w:lang w:val="es-ES"/>
              </w:rPr>
              <w:t>Javier de Jesús Higuita Roldán</w:t>
            </w:r>
            <w:r w:rsidR="00EF4A26">
              <w:rPr>
                <w:rFonts w:asciiTheme="majorHAnsi" w:hAnsiTheme="majorHAnsi"/>
                <w:bCs/>
                <w:sz w:val="19"/>
                <w:szCs w:val="19"/>
                <w:lang w:val="es-ES"/>
              </w:rPr>
              <w:t xml:space="preserve"> y familiares</w:t>
            </w:r>
            <w:r w:rsidR="00EF4A26">
              <w:rPr>
                <w:rStyle w:val="FootnoteReference"/>
                <w:rFonts w:asciiTheme="majorHAnsi" w:hAnsiTheme="majorHAnsi"/>
                <w:bCs/>
                <w:sz w:val="19"/>
                <w:szCs w:val="19"/>
                <w:lang w:val="es-ES"/>
              </w:rPr>
              <w:footnoteReference w:id="2"/>
            </w:r>
          </w:p>
        </w:tc>
      </w:tr>
      <w:tr w:rsidR="000673D0" w:rsidRPr="009C6CB7" w14:paraId="45362DF7" w14:textId="77777777" w:rsidTr="00B46185">
        <w:tc>
          <w:tcPr>
            <w:tcW w:w="3600" w:type="dxa"/>
            <w:tcBorders>
              <w:top w:val="single" w:sz="6" w:space="0" w:color="auto"/>
              <w:bottom w:val="single" w:sz="6" w:space="0" w:color="auto"/>
            </w:tcBorders>
            <w:shd w:val="clear" w:color="auto" w:fill="386294"/>
            <w:vAlign w:val="center"/>
          </w:tcPr>
          <w:p w14:paraId="652632F5"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 xml:space="preserve">Estado </w:t>
            </w:r>
            <w:proofErr w:type="spellStart"/>
            <w:r w:rsidRPr="009C6CB7">
              <w:rPr>
                <w:rFonts w:asciiTheme="majorHAnsi" w:hAnsiTheme="majorHAnsi"/>
                <w:b/>
                <w:bCs/>
                <w:color w:val="FFFFFF" w:themeColor="background1"/>
                <w:sz w:val="19"/>
                <w:szCs w:val="19"/>
              </w:rPr>
              <w:t>denunciado</w:t>
            </w:r>
            <w:proofErr w:type="spellEnd"/>
            <w:r w:rsidRPr="009C6CB7">
              <w:rPr>
                <w:rFonts w:asciiTheme="majorHAnsi" w:hAnsiTheme="majorHAnsi"/>
                <w:b/>
                <w:bCs/>
                <w:color w:val="FFFFFF" w:themeColor="background1"/>
                <w:sz w:val="19"/>
                <w:szCs w:val="19"/>
              </w:rPr>
              <w:t>:</w:t>
            </w:r>
          </w:p>
        </w:tc>
        <w:tc>
          <w:tcPr>
            <w:tcW w:w="5760" w:type="dxa"/>
            <w:vAlign w:val="center"/>
          </w:tcPr>
          <w:p w14:paraId="057DC689" w14:textId="0D9D4510" w:rsidR="000673D0" w:rsidRPr="009C6CB7" w:rsidRDefault="0024546E" w:rsidP="00B46185">
            <w:pPr>
              <w:jc w:val="both"/>
              <w:rPr>
                <w:rFonts w:asciiTheme="majorHAnsi" w:hAnsiTheme="majorHAnsi"/>
                <w:bCs/>
                <w:sz w:val="19"/>
                <w:szCs w:val="19"/>
              </w:rPr>
            </w:pPr>
            <w:r>
              <w:rPr>
                <w:rFonts w:asciiTheme="majorHAnsi" w:hAnsiTheme="majorHAnsi"/>
                <w:bCs/>
                <w:sz w:val="19"/>
                <w:szCs w:val="19"/>
              </w:rPr>
              <w:t>Colombia</w:t>
            </w:r>
          </w:p>
        </w:tc>
      </w:tr>
      <w:tr w:rsidR="000673D0" w:rsidRPr="00F408C2" w14:paraId="4329FE9B" w14:textId="77777777" w:rsidTr="00B46185">
        <w:tc>
          <w:tcPr>
            <w:tcW w:w="3600" w:type="dxa"/>
            <w:tcBorders>
              <w:top w:val="single" w:sz="6" w:space="0" w:color="auto"/>
              <w:bottom w:val="single" w:sz="6" w:space="0" w:color="auto"/>
            </w:tcBorders>
            <w:shd w:val="clear" w:color="auto" w:fill="386294"/>
            <w:vAlign w:val="center"/>
          </w:tcPr>
          <w:p w14:paraId="4A8E3F69"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Derechos invocados:</w:t>
            </w:r>
          </w:p>
        </w:tc>
        <w:tc>
          <w:tcPr>
            <w:tcW w:w="5760" w:type="dxa"/>
            <w:vAlign w:val="center"/>
          </w:tcPr>
          <w:p w14:paraId="4E238173" w14:textId="501AFFCF" w:rsidR="000673D0" w:rsidRPr="009C6CB7" w:rsidRDefault="00F308F1" w:rsidP="00092DDD">
            <w:pPr>
              <w:jc w:val="both"/>
              <w:rPr>
                <w:rFonts w:asciiTheme="majorHAnsi" w:hAnsiTheme="majorHAnsi"/>
                <w:bCs/>
                <w:sz w:val="19"/>
                <w:szCs w:val="19"/>
                <w:lang w:val="es-PA"/>
              </w:rPr>
            </w:pPr>
            <w:r>
              <w:rPr>
                <w:rFonts w:asciiTheme="majorHAnsi" w:hAnsiTheme="majorHAnsi"/>
                <w:bCs/>
                <w:sz w:val="19"/>
                <w:szCs w:val="19"/>
                <w:lang w:val="es-PA"/>
              </w:rPr>
              <w:t>Artículos</w:t>
            </w:r>
            <w:r w:rsidR="00092DDD">
              <w:rPr>
                <w:rFonts w:asciiTheme="majorHAnsi" w:hAnsiTheme="majorHAnsi"/>
                <w:bCs/>
                <w:sz w:val="19"/>
                <w:szCs w:val="19"/>
                <w:lang w:val="es-PA"/>
              </w:rPr>
              <w:t xml:space="preserve"> 4 (vida), </w:t>
            </w:r>
            <w:r>
              <w:rPr>
                <w:rFonts w:asciiTheme="majorHAnsi" w:hAnsiTheme="majorHAnsi"/>
                <w:bCs/>
                <w:sz w:val="19"/>
                <w:szCs w:val="19"/>
                <w:lang w:val="es-PA"/>
              </w:rPr>
              <w:t xml:space="preserve"> 5 (integridad personal), 8 (garantías judiciales), 11 (honra y dignidad) y 25 (protección judicial) de la Convención Americana Sobre Derechos Humanos</w:t>
            </w:r>
            <w:r>
              <w:rPr>
                <w:rStyle w:val="FootnoteReference"/>
                <w:rFonts w:asciiTheme="majorHAnsi" w:hAnsiTheme="majorHAnsi"/>
                <w:bCs/>
                <w:sz w:val="19"/>
                <w:szCs w:val="19"/>
                <w:lang w:val="es-PA"/>
              </w:rPr>
              <w:footnoteReference w:id="3"/>
            </w:r>
            <w:r>
              <w:rPr>
                <w:rFonts w:asciiTheme="majorHAnsi" w:hAnsiTheme="majorHAnsi"/>
                <w:bCs/>
                <w:sz w:val="19"/>
                <w:szCs w:val="19"/>
                <w:lang w:val="es-PA"/>
              </w:rPr>
              <w:t>; y Artículos I (vida, li</w:t>
            </w:r>
            <w:r w:rsidR="00092DDD">
              <w:rPr>
                <w:rFonts w:asciiTheme="majorHAnsi" w:hAnsiTheme="majorHAnsi"/>
                <w:bCs/>
                <w:sz w:val="19"/>
                <w:szCs w:val="19"/>
                <w:lang w:val="es-PA"/>
              </w:rPr>
              <w:t xml:space="preserve">bertad, seguridad e integridad) </w:t>
            </w:r>
            <w:r>
              <w:rPr>
                <w:rFonts w:asciiTheme="majorHAnsi" w:hAnsiTheme="majorHAnsi"/>
                <w:bCs/>
                <w:sz w:val="19"/>
                <w:szCs w:val="19"/>
                <w:lang w:val="es-PA"/>
              </w:rPr>
              <w:t>y XVIII (justicia) de la Declaración Americana de Derechos y Deberes del Hombre</w:t>
            </w:r>
            <w:r>
              <w:rPr>
                <w:rStyle w:val="FootnoteReference"/>
                <w:rFonts w:asciiTheme="majorHAnsi" w:hAnsiTheme="majorHAnsi"/>
                <w:bCs/>
                <w:sz w:val="19"/>
                <w:szCs w:val="19"/>
                <w:lang w:val="es-PA"/>
              </w:rPr>
              <w:footnoteReference w:id="4"/>
            </w:r>
          </w:p>
        </w:tc>
      </w:tr>
    </w:tbl>
    <w:p w14:paraId="3D195461"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II.</w:t>
      </w:r>
      <w:r w:rsidRPr="009C6CB7">
        <w:rPr>
          <w:rFonts w:asciiTheme="majorHAnsi" w:hAnsiTheme="majorHAnsi"/>
          <w:b/>
          <w:bCs/>
          <w:sz w:val="19"/>
          <w:szCs w:val="19"/>
          <w:lang w:val="es-ES"/>
        </w:rPr>
        <w:tab/>
        <w:t>TRÁMITE ANTE LA CIDH</w:t>
      </w:r>
      <w:r w:rsidRPr="009C6CB7">
        <w:rPr>
          <w:rStyle w:val="FootnoteReference"/>
          <w:rFonts w:asciiTheme="majorHAnsi" w:hAnsiTheme="majorHAnsi"/>
          <w:b/>
          <w:sz w:val="19"/>
          <w:szCs w:val="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0673D0" w:rsidRPr="009C6CB7" w14:paraId="6D778EBA" w14:textId="77777777" w:rsidTr="00B46185">
        <w:tc>
          <w:tcPr>
            <w:tcW w:w="3600" w:type="dxa"/>
            <w:tcBorders>
              <w:top w:val="single" w:sz="6" w:space="0" w:color="auto"/>
              <w:bottom w:val="single" w:sz="6" w:space="0" w:color="auto"/>
            </w:tcBorders>
            <w:shd w:val="clear" w:color="auto" w:fill="386294"/>
            <w:vAlign w:val="center"/>
          </w:tcPr>
          <w:p w14:paraId="0FC6DF7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Presentación de la petición:</w:t>
            </w:r>
          </w:p>
        </w:tc>
        <w:tc>
          <w:tcPr>
            <w:tcW w:w="5760" w:type="dxa"/>
            <w:vAlign w:val="center"/>
          </w:tcPr>
          <w:p w14:paraId="5B768921" w14:textId="2D0D8BEE" w:rsidR="000673D0" w:rsidRPr="009C6CB7" w:rsidRDefault="00017FEF" w:rsidP="006C3525">
            <w:pPr>
              <w:jc w:val="both"/>
              <w:rPr>
                <w:rFonts w:asciiTheme="majorHAnsi" w:hAnsiTheme="majorHAnsi"/>
                <w:bCs/>
                <w:sz w:val="19"/>
                <w:szCs w:val="19"/>
                <w:lang w:val="es-ES"/>
              </w:rPr>
            </w:pPr>
            <w:r>
              <w:rPr>
                <w:rFonts w:asciiTheme="majorHAnsi" w:hAnsiTheme="majorHAnsi"/>
                <w:bCs/>
                <w:sz w:val="19"/>
                <w:szCs w:val="19"/>
                <w:lang w:val="es-ES"/>
              </w:rPr>
              <w:t>14</w:t>
            </w:r>
            <w:r w:rsidR="00092DDD">
              <w:rPr>
                <w:rFonts w:asciiTheme="majorHAnsi" w:hAnsiTheme="majorHAnsi"/>
                <w:bCs/>
                <w:sz w:val="19"/>
                <w:szCs w:val="19"/>
                <w:lang w:val="es-ES"/>
              </w:rPr>
              <w:t xml:space="preserve"> de mayo de 2010</w:t>
            </w:r>
          </w:p>
        </w:tc>
      </w:tr>
      <w:tr w:rsidR="000673D0" w:rsidRPr="009C6CB7" w14:paraId="5511A9CE" w14:textId="77777777" w:rsidTr="00B46185">
        <w:tc>
          <w:tcPr>
            <w:tcW w:w="3600" w:type="dxa"/>
            <w:tcBorders>
              <w:top w:val="single" w:sz="6" w:space="0" w:color="auto"/>
              <w:bottom w:val="single" w:sz="6" w:space="0" w:color="auto"/>
            </w:tcBorders>
            <w:shd w:val="clear" w:color="auto" w:fill="386294"/>
            <w:vAlign w:val="center"/>
          </w:tcPr>
          <w:p w14:paraId="1EAB6A5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Notificación de la petición al Estado:</w:t>
            </w:r>
          </w:p>
        </w:tc>
        <w:tc>
          <w:tcPr>
            <w:tcW w:w="5760" w:type="dxa"/>
            <w:vAlign w:val="center"/>
          </w:tcPr>
          <w:p w14:paraId="311A328A" w14:textId="30CCC36B" w:rsidR="000673D0" w:rsidRPr="009C6CB7" w:rsidRDefault="00017FEF" w:rsidP="006C3525">
            <w:pPr>
              <w:jc w:val="both"/>
              <w:rPr>
                <w:rFonts w:asciiTheme="majorHAnsi" w:hAnsiTheme="majorHAnsi"/>
                <w:bCs/>
                <w:sz w:val="19"/>
                <w:szCs w:val="19"/>
                <w:lang w:val="es-ES"/>
              </w:rPr>
            </w:pPr>
            <w:r>
              <w:rPr>
                <w:rFonts w:asciiTheme="majorHAnsi" w:hAnsiTheme="majorHAnsi"/>
                <w:bCs/>
                <w:sz w:val="19"/>
                <w:szCs w:val="19"/>
                <w:lang w:val="es-ES"/>
              </w:rPr>
              <w:t>18 de mayo de 2016</w:t>
            </w:r>
          </w:p>
        </w:tc>
      </w:tr>
      <w:tr w:rsidR="000673D0" w:rsidRPr="009C6CB7" w14:paraId="474D175D" w14:textId="77777777" w:rsidTr="00B46185">
        <w:tc>
          <w:tcPr>
            <w:tcW w:w="3600" w:type="dxa"/>
            <w:tcBorders>
              <w:top w:val="single" w:sz="6" w:space="0" w:color="auto"/>
              <w:bottom w:val="single" w:sz="6" w:space="0" w:color="auto"/>
            </w:tcBorders>
            <w:shd w:val="clear" w:color="auto" w:fill="386294"/>
            <w:vAlign w:val="center"/>
          </w:tcPr>
          <w:p w14:paraId="21AC1D3A"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color w:val="FFFFFF" w:themeColor="background1"/>
                <w:sz w:val="19"/>
                <w:szCs w:val="19"/>
                <w:lang w:val="es-ES"/>
              </w:rPr>
              <w:t>Primera respuesta del Estado:</w:t>
            </w:r>
          </w:p>
        </w:tc>
        <w:tc>
          <w:tcPr>
            <w:tcW w:w="5760" w:type="dxa"/>
            <w:vAlign w:val="center"/>
          </w:tcPr>
          <w:p w14:paraId="62EA084B" w14:textId="0D7BAD45" w:rsidR="000673D0" w:rsidRPr="009C6CB7" w:rsidRDefault="00017FEF" w:rsidP="006C3525">
            <w:pPr>
              <w:jc w:val="both"/>
              <w:rPr>
                <w:rFonts w:asciiTheme="majorHAnsi" w:hAnsiTheme="majorHAnsi"/>
                <w:bCs/>
                <w:sz w:val="19"/>
                <w:szCs w:val="19"/>
                <w:lang w:val="es-ES"/>
              </w:rPr>
            </w:pPr>
            <w:r>
              <w:rPr>
                <w:rFonts w:asciiTheme="majorHAnsi" w:hAnsiTheme="majorHAnsi"/>
                <w:bCs/>
                <w:sz w:val="19"/>
                <w:szCs w:val="19"/>
                <w:lang w:val="es-ES"/>
              </w:rPr>
              <w:t>13 de diciembre de 2016</w:t>
            </w:r>
          </w:p>
        </w:tc>
      </w:tr>
      <w:tr w:rsidR="0096697B" w:rsidRPr="00EF4A26" w14:paraId="5B03CD16" w14:textId="77777777" w:rsidTr="00B46185">
        <w:tc>
          <w:tcPr>
            <w:tcW w:w="3600" w:type="dxa"/>
            <w:tcBorders>
              <w:top w:val="single" w:sz="6" w:space="0" w:color="auto"/>
              <w:bottom w:val="single" w:sz="6" w:space="0" w:color="auto"/>
            </w:tcBorders>
            <w:shd w:val="clear" w:color="auto" w:fill="386294"/>
            <w:vAlign w:val="center"/>
          </w:tcPr>
          <w:p w14:paraId="61819B75" w14:textId="749FEB2C" w:rsidR="0096697B" w:rsidRPr="009C6CB7" w:rsidRDefault="0096697B" w:rsidP="00B46185">
            <w:pPr>
              <w:jc w:val="center"/>
              <w:rPr>
                <w:rFonts w:asciiTheme="majorHAnsi" w:hAnsiTheme="majorHAnsi"/>
                <w:b/>
                <w:color w:val="FFFFFF" w:themeColor="background1"/>
                <w:sz w:val="19"/>
                <w:szCs w:val="19"/>
                <w:lang w:val="es-ES"/>
              </w:rPr>
            </w:pPr>
            <w:r w:rsidRPr="009C6CB7">
              <w:rPr>
                <w:rFonts w:asciiTheme="majorHAnsi" w:hAnsiTheme="majorHAnsi"/>
                <w:b/>
                <w:bCs/>
                <w:color w:val="FFFFFF" w:themeColor="background1"/>
                <w:sz w:val="19"/>
                <w:szCs w:val="19"/>
                <w:lang w:val="es-ES"/>
              </w:rPr>
              <w:t>Observaciones adicionales de la parte peticionaria:</w:t>
            </w:r>
          </w:p>
        </w:tc>
        <w:tc>
          <w:tcPr>
            <w:tcW w:w="5760" w:type="dxa"/>
            <w:vAlign w:val="center"/>
          </w:tcPr>
          <w:p w14:paraId="4435B23E" w14:textId="0777782D" w:rsidR="0096697B" w:rsidRPr="009C6CB7" w:rsidRDefault="00017FEF" w:rsidP="006C3525">
            <w:pPr>
              <w:jc w:val="both"/>
              <w:rPr>
                <w:rFonts w:asciiTheme="majorHAnsi" w:hAnsiTheme="majorHAnsi"/>
                <w:bCs/>
                <w:sz w:val="19"/>
                <w:szCs w:val="19"/>
                <w:lang w:val="es-ES"/>
              </w:rPr>
            </w:pPr>
            <w:r>
              <w:rPr>
                <w:rFonts w:asciiTheme="majorHAnsi" w:hAnsiTheme="majorHAnsi"/>
                <w:bCs/>
                <w:sz w:val="19"/>
                <w:szCs w:val="19"/>
                <w:lang w:val="es-ES"/>
              </w:rPr>
              <w:t>29 de agosto de 2020</w:t>
            </w:r>
            <w:r w:rsidR="0030535D">
              <w:rPr>
                <w:rFonts w:asciiTheme="majorHAnsi" w:hAnsiTheme="majorHAnsi"/>
                <w:bCs/>
                <w:sz w:val="19"/>
                <w:szCs w:val="19"/>
                <w:lang w:val="es-ES"/>
              </w:rPr>
              <w:t xml:space="preserve"> </w:t>
            </w:r>
          </w:p>
        </w:tc>
      </w:tr>
      <w:tr w:rsidR="00616921" w:rsidRPr="00EF4A26" w14:paraId="5793D582" w14:textId="77777777" w:rsidTr="00B46185">
        <w:tc>
          <w:tcPr>
            <w:tcW w:w="3600" w:type="dxa"/>
            <w:tcBorders>
              <w:top w:val="single" w:sz="6" w:space="0" w:color="auto"/>
              <w:bottom w:val="single" w:sz="6" w:space="0" w:color="auto"/>
            </w:tcBorders>
            <w:shd w:val="clear" w:color="auto" w:fill="386294"/>
            <w:vAlign w:val="center"/>
          </w:tcPr>
          <w:p w14:paraId="27B4A648" w14:textId="5D8D79DA" w:rsidR="00616921" w:rsidRPr="009C6CB7" w:rsidRDefault="00616921" w:rsidP="00B46185">
            <w:pPr>
              <w:jc w:val="center"/>
              <w:rPr>
                <w:rFonts w:asciiTheme="majorHAnsi" w:hAnsiTheme="majorHAnsi"/>
                <w:b/>
                <w:bCs/>
                <w:color w:val="FFFFFF" w:themeColor="background1"/>
                <w:sz w:val="19"/>
                <w:szCs w:val="19"/>
                <w:lang w:val="es-ES"/>
              </w:rPr>
            </w:pPr>
            <w:r>
              <w:rPr>
                <w:rFonts w:asciiTheme="majorHAnsi" w:hAnsiTheme="majorHAnsi"/>
                <w:b/>
                <w:bCs/>
                <w:color w:val="FFFFFF" w:themeColor="background1"/>
                <w:sz w:val="19"/>
                <w:szCs w:val="19"/>
                <w:lang w:val="es-ES"/>
              </w:rPr>
              <w:t>Observaciones adicionales del Estado:</w:t>
            </w:r>
          </w:p>
        </w:tc>
        <w:tc>
          <w:tcPr>
            <w:tcW w:w="5760" w:type="dxa"/>
            <w:vAlign w:val="center"/>
          </w:tcPr>
          <w:p w14:paraId="585BDF56" w14:textId="17A8D827" w:rsidR="00616921" w:rsidRDefault="00616921" w:rsidP="006C3525">
            <w:pPr>
              <w:jc w:val="both"/>
              <w:rPr>
                <w:rFonts w:asciiTheme="majorHAnsi" w:hAnsiTheme="majorHAnsi"/>
                <w:bCs/>
                <w:sz w:val="19"/>
                <w:szCs w:val="19"/>
                <w:lang w:val="es-ES"/>
              </w:rPr>
            </w:pPr>
            <w:r>
              <w:rPr>
                <w:rFonts w:asciiTheme="majorHAnsi" w:hAnsiTheme="majorHAnsi"/>
                <w:bCs/>
                <w:sz w:val="19"/>
                <w:szCs w:val="19"/>
                <w:lang w:val="es-ES"/>
              </w:rPr>
              <w:t>26 de mayo de 2021</w:t>
            </w:r>
          </w:p>
        </w:tc>
      </w:tr>
      <w:tr w:rsidR="00017FEF" w:rsidRPr="00092DDD" w14:paraId="4D776FBC" w14:textId="77777777" w:rsidTr="00B46185">
        <w:tc>
          <w:tcPr>
            <w:tcW w:w="3600" w:type="dxa"/>
            <w:tcBorders>
              <w:top w:val="single" w:sz="6" w:space="0" w:color="auto"/>
              <w:bottom w:val="single" w:sz="6" w:space="0" w:color="auto"/>
            </w:tcBorders>
            <w:shd w:val="clear" w:color="auto" w:fill="386294"/>
            <w:vAlign w:val="center"/>
          </w:tcPr>
          <w:p w14:paraId="33F6FF19" w14:textId="2498A555" w:rsidR="00017FEF" w:rsidRPr="00616921" w:rsidRDefault="00017FEF" w:rsidP="00B46185">
            <w:pPr>
              <w:jc w:val="center"/>
              <w:rPr>
                <w:rFonts w:asciiTheme="majorHAnsi" w:hAnsiTheme="majorHAnsi"/>
                <w:b/>
                <w:bCs/>
                <w:color w:val="FFFFFF" w:themeColor="background1"/>
                <w:sz w:val="19"/>
                <w:szCs w:val="19"/>
                <w:lang w:val="es-ES"/>
              </w:rPr>
            </w:pPr>
            <w:r w:rsidRPr="00616921">
              <w:rPr>
                <w:rFonts w:ascii="Cambria" w:hAnsi="Cambria"/>
                <w:b/>
                <w:bCs/>
                <w:color w:val="FFFFFF" w:themeColor="background1"/>
                <w:sz w:val="19"/>
                <w:szCs w:val="19"/>
                <w:lang w:val="es-ES"/>
              </w:rPr>
              <w:t>Advertencia sobre posible archivo:</w:t>
            </w:r>
          </w:p>
        </w:tc>
        <w:tc>
          <w:tcPr>
            <w:tcW w:w="5760" w:type="dxa"/>
            <w:vAlign w:val="center"/>
          </w:tcPr>
          <w:p w14:paraId="25A531E2" w14:textId="629AA32C" w:rsidR="00017FEF" w:rsidRDefault="00017FEF" w:rsidP="00CF41C4">
            <w:pPr>
              <w:jc w:val="both"/>
              <w:rPr>
                <w:rFonts w:asciiTheme="majorHAnsi" w:hAnsiTheme="majorHAnsi"/>
                <w:bCs/>
                <w:sz w:val="19"/>
                <w:szCs w:val="19"/>
                <w:lang w:val="es-ES"/>
              </w:rPr>
            </w:pPr>
            <w:r>
              <w:rPr>
                <w:rFonts w:asciiTheme="majorHAnsi" w:hAnsiTheme="majorHAnsi"/>
                <w:bCs/>
                <w:sz w:val="19"/>
                <w:szCs w:val="19"/>
                <w:lang w:val="es-ES"/>
              </w:rPr>
              <w:t>2 de noviembre de 2018</w:t>
            </w:r>
          </w:p>
        </w:tc>
      </w:tr>
      <w:tr w:rsidR="00017FEF" w:rsidRPr="00092DDD" w14:paraId="6D7063F4" w14:textId="77777777" w:rsidTr="00B46185">
        <w:tc>
          <w:tcPr>
            <w:tcW w:w="3600" w:type="dxa"/>
            <w:tcBorders>
              <w:top w:val="single" w:sz="6" w:space="0" w:color="auto"/>
              <w:bottom w:val="single" w:sz="6" w:space="0" w:color="auto"/>
            </w:tcBorders>
            <w:shd w:val="clear" w:color="auto" w:fill="386294"/>
            <w:vAlign w:val="center"/>
          </w:tcPr>
          <w:p w14:paraId="3666CCD5" w14:textId="781393DC" w:rsidR="00017FEF" w:rsidRPr="00616921" w:rsidRDefault="00017FEF" w:rsidP="00B46185">
            <w:pPr>
              <w:jc w:val="center"/>
              <w:rPr>
                <w:rFonts w:ascii="Cambria" w:hAnsi="Cambria"/>
                <w:b/>
                <w:bCs/>
                <w:color w:val="FFFFFF" w:themeColor="background1"/>
                <w:sz w:val="19"/>
                <w:szCs w:val="19"/>
                <w:lang w:val="es-ES"/>
              </w:rPr>
            </w:pPr>
            <w:r w:rsidRPr="00616921">
              <w:rPr>
                <w:rFonts w:ascii="Cambria" w:hAnsi="Cambria"/>
                <w:b/>
                <w:bCs/>
                <w:color w:val="FFFFFF" w:themeColor="background1"/>
                <w:sz w:val="19"/>
                <w:szCs w:val="19"/>
                <w:lang w:val="es-ES"/>
              </w:rPr>
              <w:t>Respuesta de la parte peticionaria ante advertencia de posible archivo:</w:t>
            </w:r>
          </w:p>
        </w:tc>
        <w:tc>
          <w:tcPr>
            <w:tcW w:w="5760" w:type="dxa"/>
            <w:vAlign w:val="center"/>
          </w:tcPr>
          <w:p w14:paraId="20CCD768" w14:textId="6AA81B66" w:rsidR="00017FEF" w:rsidRDefault="00017FEF" w:rsidP="00CF41C4">
            <w:pPr>
              <w:jc w:val="both"/>
              <w:rPr>
                <w:rFonts w:asciiTheme="majorHAnsi" w:hAnsiTheme="majorHAnsi"/>
                <w:bCs/>
                <w:sz w:val="19"/>
                <w:szCs w:val="19"/>
                <w:lang w:val="es-ES"/>
              </w:rPr>
            </w:pPr>
            <w:r>
              <w:rPr>
                <w:rFonts w:asciiTheme="majorHAnsi" w:hAnsiTheme="majorHAnsi"/>
                <w:bCs/>
                <w:sz w:val="19"/>
                <w:szCs w:val="19"/>
                <w:lang w:val="es-ES"/>
              </w:rPr>
              <w:t>3 de diciembre de 2018</w:t>
            </w:r>
          </w:p>
        </w:tc>
      </w:tr>
    </w:tbl>
    <w:p w14:paraId="738616C2" w14:textId="77777777"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III. </w:t>
      </w:r>
      <w:r w:rsidRPr="009C6CB7">
        <w:rPr>
          <w:rFonts w:asciiTheme="majorHAnsi" w:hAnsiTheme="majorHAnsi"/>
          <w:b/>
          <w:bCs/>
          <w:sz w:val="19"/>
          <w:szCs w:val="19"/>
          <w:lang w:val="es-ES"/>
        </w:rPr>
        <w:tab/>
        <w:t xml:space="preserve">COMPETENCIA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0673D0" w:rsidRPr="009C6CB7" w14:paraId="3225DD29" w14:textId="77777777" w:rsidTr="00B46185">
        <w:trPr>
          <w:cantSplit/>
        </w:trPr>
        <w:tc>
          <w:tcPr>
            <w:tcW w:w="3600" w:type="dxa"/>
            <w:tcBorders>
              <w:top w:val="single" w:sz="4" w:space="0" w:color="auto"/>
              <w:bottom w:val="single" w:sz="6" w:space="0" w:color="auto"/>
            </w:tcBorders>
            <w:shd w:val="clear" w:color="auto" w:fill="386294"/>
            <w:vAlign w:val="center"/>
          </w:tcPr>
          <w:p w14:paraId="7A2417B8"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personae:</w:t>
            </w:r>
          </w:p>
        </w:tc>
        <w:tc>
          <w:tcPr>
            <w:tcW w:w="5760" w:type="dxa"/>
            <w:vAlign w:val="center"/>
          </w:tcPr>
          <w:p w14:paraId="55AEE8CD"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9C6CB7" w14:paraId="10BCE6F2" w14:textId="77777777" w:rsidTr="00B46185">
        <w:trPr>
          <w:cantSplit/>
        </w:trPr>
        <w:tc>
          <w:tcPr>
            <w:tcW w:w="3600" w:type="dxa"/>
            <w:tcBorders>
              <w:top w:val="single" w:sz="6" w:space="0" w:color="auto"/>
              <w:bottom w:val="single" w:sz="6" w:space="0" w:color="auto"/>
            </w:tcBorders>
            <w:shd w:val="clear" w:color="auto" w:fill="386294"/>
            <w:vAlign w:val="center"/>
          </w:tcPr>
          <w:p w14:paraId="71A23BD1"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loci</w:t>
            </w:r>
            <w:r w:rsidRPr="009C6CB7">
              <w:rPr>
                <w:rFonts w:asciiTheme="majorHAnsi" w:hAnsiTheme="majorHAnsi"/>
                <w:b/>
                <w:bCs/>
                <w:color w:val="FFFFFF" w:themeColor="background1"/>
                <w:sz w:val="19"/>
                <w:szCs w:val="19"/>
              </w:rPr>
              <w:t>:</w:t>
            </w:r>
          </w:p>
        </w:tc>
        <w:tc>
          <w:tcPr>
            <w:tcW w:w="5760" w:type="dxa"/>
            <w:vAlign w:val="center"/>
          </w:tcPr>
          <w:p w14:paraId="77DDBD87" w14:textId="77777777" w:rsidR="000673D0" w:rsidRPr="009C6CB7" w:rsidRDefault="000673D0" w:rsidP="00B46185">
            <w:pPr>
              <w:rPr>
                <w:rFonts w:asciiTheme="majorHAnsi" w:hAnsiTheme="majorHAnsi"/>
                <w:bCs/>
                <w:sz w:val="19"/>
                <w:szCs w:val="19"/>
              </w:rPr>
            </w:pPr>
            <w:r w:rsidRPr="009C6CB7">
              <w:rPr>
                <w:rFonts w:asciiTheme="majorHAnsi" w:hAnsiTheme="majorHAnsi"/>
                <w:bCs/>
                <w:sz w:val="19"/>
                <w:szCs w:val="19"/>
              </w:rPr>
              <w:t>Sí</w:t>
            </w:r>
          </w:p>
        </w:tc>
      </w:tr>
      <w:tr w:rsidR="000673D0" w:rsidRPr="00F408C2" w14:paraId="351D9A06" w14:textId="77777777" w:rsidTr="00B46185">
        <w:trPr>
          <w:cantSplit/>
        </w:trPr>
        <w:tc>
          <w:tcPr>
            <w:tcW w:w="3600" w:type="dxa"/>
            <w:tcBorders>
              <w:top w:val="single" w:sz="6" w:space="0" w:color="auto"/>
              <w:bottom w:val="single" w:sz="6" w:space="0" w:color="auto"/>
            </w:tcBorders>
            <w:shd w:val="clear" w:color="auto" w:fill="386294"/>
            <w:vAlign w:val="center"/>
          </w:tcPr>
          <w:p w14:paraId="39F491FA"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rPr>
              <w:t>Competencia</w:t>
            </w:r>
            <w:r w:rsidRPr="009C6CB7">
              <w:rPr>
                <w:rFonts w:asciiTheme="majorHAnsi" w:hAnsiTheme="majorHAnsi"/>
                <w:b/>
                <w:bCs/>
                <w:i/>
                <w:color w:val="FFFFFF" w:themeColor="background1"/>
                <w:sz w:val="19"/>
                <w:szCs w:val="19"/>
              </w:rPr>
              <w:t xml:space="preserve"> Ratione temporis</w:t>
            </w:r>
            <w:r w:rsidRPr="009C6CB7">
              <w:rPr>
                <w:rFonts w:asciiTheme="majorHAnsi" w:hAnsiTheme="majorHAnsi"/>
                <w:b/>
                <w:bCs/>
                <w:color w:val="FFFFFF" w:themeColor="background1"/>
                <w:sz w:val="19"/>
                <w:szCs w:val="19"/>
              </w:rPr>
              <w:t>:</w:t>
            </w:r>
          </w:p>
        </w:tc>
        <w:tc>
          <w:tcPr>
            <w:tcW w:w="5760" w:type="dxa"/>
            <w:vAlign w:val="center"/>
          </w:tcPr>
          <w:p w14:paraId="76910945" w14:textId="1AC47972" w:rsidR="000673D0" w:rsidRPr="009C6CB7" w:rsidRDefault="000673D0" w:rsidP="00CF41C4">
            <w:pPr>
              <w:rPr>
                <w:rFonts w:asciiTheme="majorHAnsi" w:hAnsiTheme="majorHAnsi"/>
                <w:bCs/>
                <w:sz w:val="19"/>
                <w:szCs w:val="19"/>
                <w:lang w:val="es-PA"/>
              </w:rPr>
            </w:pPr>
            <w:r w:rsidRPr="009C6CB7">
              <w:rPr>
                <w:rFonts w:asciiTheme="majorHAnsi" w:hAnsiTheme="majorHAnsi"/>
                <w:bCs/>
                <w:sz w:val="19"/>
                <w:szCs w:val="19"/>
                <w:lang w:val="es-PA"/>
              </w:rPr>
              <w:t>Sí</w:t>
            </w:r>
            <w:r w:rsidR="009C6CB7" w:rsidRPr="009C6CB7">
              <w:rPr>
                <w:rFonts w:asciiTheme="majorHAnsi" w:hAnsiTheme="majorHAnsi"/>
                <w:bCs/>
                <w:sz w:val="19"/>
                <w:szCs w:val="19"/>
                <w:lang w:val="es-PA"/>
              </w:rPr>
              <w:t xml:space="preserve">, </w:t>
            </w:r>
            <w:r w:rsidR="009C6CB7" w:rsidRPr="009C6CB7">
              <w:rPr>
                <w:rFonts w:asciiTheme="majorHAnsi" w:hAnsiTheme="majorHAnsi"/>
                <w:sz w:val="19"/>
                <w:szCs w:val="19"/>
                <w:lang w:val="es-PA"/>
              </w:rPr>
              <w:t xml:space="preserve"> Convención Americana</w:t>
            </w:r>
            <w:r w:rsidR="0030535D">
              <w:rPr>
                <w:rFonts w:asciiTheme="majorHAnsi" w:hAnsiTheme="majorHAnsi"/>
                <w:sz w:val="19"/>
                <w:szCs w:val="19"/>
                <w:lang w:val="es-PA"/>
              </w:rPr>
              <w:t xml:space="preserve"> Sobre Derechos Humanos</w:t>
            </w:r>
          </w:p>
        </w:tc>
      </w:tr>
      <w:tr w:rsidR="000673D0" w:rsidRPr="0024546E" w14:paraId="160B34C2" w14:textId="77777777" w:rsidTr="00B46185">
        <w:trPr>
          <w:cantSplit/>
        </w:trPr>
        <w:tc>
          <w:tcPr>
            <w:tcW w:w="3600" w:type="dxa"/>
            <w:tcBorders>
              <w:top w:val="single" w:sz="6" w:space="0" w:color="auto"/>
              <w:bottom w:val="single" w:sz="6" w:space="0" w:color="auto"/>
            </w:tcBorders>
            <w:shd w:val="clear" w:color="auto" w:fill="386294"/>
            <w:vAlign w:val="center"/>
          </w:tcPr>
          <w:p w14:paraId="4BAA98B1" w14:textId="77777777" w:rsidR="000673D0" w:rsidRPr="009C6CB7" w:rsidRDefault="000673D0" w:rsidP="00B46185">
            <w:pPr>
              <w:jc w:val="center"/>
              <w:rPr>
                <w:rFonts w:asciiTheme="majorHAnsi" w:hAnsiTheme="majorHAnsi"/>
                <w:b/>
                <w:bCs/>
                <w:color w:val="FFFFFF" w:themeColor="background1"/>
                <w:sz w:val="19"/>
                <w:szCs w:val="19"/>
              </w:rPr>
            </w:pPr>
            <w:proofErr w:type="spellStart"/>
            <w:r w:rsidRPr="009C6CB7">
              <w:rPr>
                <w:rFonts w:asciiTheme="majorHAnsi" w:hAnsiTheme="majorHAnsi"/>
                <w:b/>
                <w:bCs/>
                <w:color w:val="FFFFFF" w:themeColor="background1"/>
                <w:sz w:val="19"/>
                <w:szCs w:val="19"/>
              </w:rPr>
              <w:t>Competencia</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Ratione</w:t>
            </w:r>
            <w:proofErr w:type="spellEnd"/>
            <w:r w:rsidRPr="009C6CB7">
              <w:rPr>
                <w:rFonts w:asciiTheme="majorHAnsi" w:hAnsiTheme="majorHAnsi"/>
                <w:b/>
                <w:bCs/>
                <w:i/>
                <w:color w:val="FFFFFF" w:themeColor="background1"/>
                <w:sz w:val="19"/>
                <w:szCs w:val="19"/>
              </w:rPr>
              <w:t xml:space="preserve"> </w:t>
            </w:r>
            <w:proofErr w:type="spellStart"/>
            <w:r w:rsidRPr="009C6CB7">
              <w:rPr>
                <w:rFonts w:asciiTheme="majorHAnsi" w:hAnsiTheme="majorHAnsi"/>
                <w:b/>
                <w:bCs/>
                <w:i/>
                <w:color w:val="FFFFFF" w:themeColor="background1"/>
                <w:sz w:val="19"/>
                <w:szCs w:val="19"/>
              </w:rPr>
              <w:t>materiae</w:t>
            </w:r>
            <w:proofErr w:type="spellEnd"/>
            <w:r w:rsidRPr="009C6CB7">
              <w:rPr>
                <w:rFonts w:asciiTheme="majorHAnsi" w:hAnsiTheme="majorHAnsi"/>
                <w:b/>
                <w:bCs/>
                <w:color w:val="FFFFFF" w:themeColor="background1"/>
                <w:sz w:val="19"/>
                <w:szCs w:val="19"/>
              </w:rPr>
              <w:t>:</w:t>
            </w:r>
          </w:p>
        </w:tc>
        <w:tc>
          <w:tcPr>
            <w:tcW w:w="5760" w:type="dxa"/>
            <w:vAlign w:val="center"/>
          </w:tcPr>
          <w:p w14:paraId="78F36C0F" w14:textId="77777777" w:rsidR="0030535D" w:rsidRPr="00D85CEC" w:rsidRDefault="000673D0" w:rsidP="0030535D">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9C6CB7">
              <w:rPr>
                <w:rFonts w:asciiTheme="majorHAnsi" w:hAnsiTheme="majorHAnsi"/>
                <w:bCs/>
                <w:sz w:val="19"/>
                <w:szCs w:val="19"/>
                <w:lang w:val="es-ES"/>
              </w:rPr>
              <w:t xml:space="preserve">Sí, Convención Americana </w:t>
            </w:r>
            <w:r w:rsidR="0030535D" w:rsidRPr="00D85CEC">
              <w:rPr>
                <w:rFonts w:ascii="Cambria" w:hAnsi="Cambria"/>
                <w:bCs/>
                <w:sz w:val="20"/>
                <w:szCs w:val="20"/>
                <w:lang w:val="es-ES"/>
              </w:rPr>
              <w:t>(depósito del instrumento realizado el</w:t>
            </w:r>
          </w:p>
          <w:p w14:paraId="6AB0A733" w14:textId="2D858518" w:rsidR="000673D0" w:rsidRPr="009C6CB7" w:rsidRDefault="0030535D" w:rsidP="0030535D">
            <w:pPr>
              <w:jc w:val="both"/>
              <w:rPr>
                <w:rFonts w:asciiTheme="majorHAnsi" w:hAnsiTheme="majorHAnsi"/>
                <w:bCs/>
                <w:sz w:val="19"/>
                <w:szCs w:val="19"/>
                <w:lang w:val="es-ES"/>
              </w:rPr>
            </w:pPr>
            <w:r w:rsidRPr="00D85CEC">
              <w:rPr>
                <w:rFonts w:ascii="Cambria" w:hAnsi="Cambria"/>
                <w:bCs/>
                <w:sz w:val="20"/>
                <w:szCs w:val="20"/>
                <w:lang w:val="es-ES"/>
              </w:rPr>
              <w:t>31 de julio de 1973)</w:t>
            </w:r>
          </w:p>
        </w:tc>
      </w:tr>
    </w:tbl>
    <w:p w14:paraId="46F3B92A" w14:textId="369696BD" w:rsidR="000673D0" w:rsidRPr="009C6CB7" w:rsidRDefault="000673D0" w:rsidP="000673D0">
      <w:pPr>
        <w:spacing w:before="240" w:after="240"/>
        <w:ind w:firstLine="720"/>
        <w:jc w:val="both"/>
        <w:rPr>
          <w:rFonts w:asciiTheme="majorHAnsi" w:hAnsiTheme="majorHAnsi"/>
          <w:b/>
          <w:bCs/>
          <w:sz w:val="19"/>
          <w:szCs w:val="19"/>
          <w:lang w:val="es-ES"/>
        </w:rPr>
      </w:pPr>
      <w:r w:rsidRPr="009C6CB7">
        <w:rPr>
          <w:rFonts w:asciiTheme="majorHAnsi" w:hAnsiTheme="majorHAnsi"/>
          <w:b/>
          <w:bCs/>
          <w:sz w:val="19"/>
          <w:szCs w:val="19"/>
          <w:lang w:val="es-ES"/>
        </w:rPr>
        <w:t xml:space="preserve">IV. </w:t>
      </w:r>
      <w:r w:rsidRPr="009C6CB7">
        <w:rPr>
          <w:rFonts w:asciiTheme="majorHAnsi" w:hAnsiTheme="majorHAnsi"/>
          <w:b/>
          <w:bCs/>
          <w:sz w:val="19"/>
          <w:szCs w:val="19"/>
          <w:lang w:val="es-ES"/>
        </w:rPr>
        <w:tab/>
        <w:t>DUPLICACIÓN</w:t>
      </w:r>
      <w:r w:rsidRPr="009C6CB7">
        <w:rPr>
          <w:rFonts w:asciiTheme="majorHAnsi" w:hAnsiTheme="majorHAnsi"/>
          <w:b/>
          <w:bCs/>
          <w:color w:val="FFFFFF" w:themeColor="background1"/>
          <w:sz w:val="19"/>
          <w:szCs w:val="19"/>
          <w:lang w:val="es-ES"/>
        </w:rPr>
        <w:t xml:space="preserve"> </w:t>
      </w:r>
      <w:r w:rsidRPr="009C6CB7">
        <w:rPr>
          <w:rFonts w:asciiTheme="majorHAnsi" w:hAnsiTheme="majorHAnsi"/>
          <w:b/>
          <w:bCs/>
          <w:sz w:val="19"/>
          <w:szCs w:val="19"/>
          <w:lang w:val="es-ES"/>
        </w:rPr>
        <w:t>DE PROCEDIMIENTOS Y COSA JUZGADA</w:t>
      </w:r>
      <w:r w:rsidR="002E4781" w:rsidRPr="009C6CB7">
        <w:rPr>
          <w:rFonts w:asciiTheme="majorHAnsi" w:hAnsiTheme="majorHAnsi"/>
          <w:b/>
          <w:bCs/>
          <w:i/>
          <w:sz w:val="19"/>
          <w:szCs w:val="19"/>
          <w:lang w:val="es-ES"/>
        </w:rPr>
        <w:t xml:space="preserve"> </w:t>
      </w:r>
      <w:r w:rsidR="00CF41C4">
        <w:rPr>
          <w:rFonts w:asciiTheme="majorHAnsi" w:hAnsiTheme="majorHAnsi"/>
          <w:b/>
          <w:bCs/>
          <w:sz w:val="19"/>
          <w:szCs w:val="19"/>
          <w:lang w:val="es-ES"/>
        </w:rPr>
        <w:t xml:space="preserve">INTERNACIONAL, </w:t>
      </w:r>
      <w:r w:rsidRPr="009C6CB7">
        <w:rPr>
          <w:rFonts w:asciiTheme="majorHAnsi" w:hAnsiTheme="majorHAnsi"/>
          <w:b/>
          <w:bCs/>
          <w:sz w:val="19"/>
          <w:szCs w:val="19"/>
          <w:lang w:val="es-ES"/>
        </w:rPr>
        <w:t xml:space="preserve">CARACTERIZACIÓN, </w:t>
      </w:r>
      <w:r w:rsidRPr="009C6CB7">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0673D0" w:rsidRPr="009C6CB7" w14:paraId="3755C687" w14:textId="77777777" w:rsidTr="00B46185">
        <w:trPr>
          <w:cantSplit/>
        </w:trPr>
        <w:tc>
          <w:tcPr>
            <w:tcW w:w="3600" w:type="dxa"/>
            <w:tcBorders>
              <w:top w:val="single" w:sz="4" w:space="0" w:color="auto"/>
              <w:bottom w:val="single" w:sz="6" w:space="0" w:color="auto"/>
            </w:tcBorders>
            <w:shd w:val="clear" w:color="auto" w:fill="386294"/>
            <w:vAlign w:val="center"/>
          </w:tcPr>
          <w:p w14:paraId="0F134D10"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14:paraId="72801941" w14:textId="77777777" w:rsidR="000673D0" w:rsidRPr="009C6CB7" w:rsidRDefault="000673D0" w:rsidP="00B46185">
            <w:pPr>
              <w:jc w:val="both"/>
              <w:rPr>
                <w:rFonts w:asciiTheme="majorHAnsi" w:hAnsiTheme="majorHAnsi"/>
                <w:bCs/>
                <w:sz w:val="19"/>
                <w:szCs w:val="19"/>
                <w:lang w:val="es-ES"/>
              </w:rPr>
            </w:pPr>
            <w:r w:rsidRPr="009C6CB7">
              <w:rPr>
                <w:rFonts w:asciiTheme="majorHAnsi" w:hAnsiTheme="majorHAnsi"/>
                <w:bCs/>
                <w:sz w:val="19"/>
                <w:szCs w:val="19"/>
                <w:lang w:val="es-ES"/>
              </w:rPr>
              <w:t>No</w:t>
            </w:r>
          </w:p>
        </w:tc>
      </w:tr>
      <w:tr w:rsidR="000673D0" w:rsidRPr="00530A11" w14:paraId="5733AA78" w14:textId="77777777" w:rsidTr="00B46185">
        <w:trPr>
          <w:cantSplit/>
        </w:trPr>
        <w:tc>
          <w:tcPr>
            <w:tcW w:w="3600" w:type="dxa"/>
            <w:tcBorders>
              <w:top w:val="single" w:sz="4" w:space="0" w:color="auto"/>
              <w:bottom w:val="single" w:sz="6" w:space="0" w:color="auto"/>
            </w:tcBorders>
            <w:shd w:val="clear" w:color="auto" w:fill="386294"/>
            <w:vAlign w:val="center"/>
          </w:tcPr>
          <w:p w14:paraId="70AE02E1" w14:textId="77777777" w:rsidR="000673D0" w:rsidRPr="009C6CB7" w:rsidRDefault="000673D0" w:rsidP="00B46185">
            <w:pPr>
              <w:jc w:val="center"/>
              <w:rPr>
                <w:rFonts w:asciiTheme="majorHAnsi" w:hAnsiTheme="majorHAnsi"/>
                <w:b/>
                <w:bCs/>
                <w:i/>
                <w:color w:val="FFFFFF" w:themeColor="background1"/>
                <w:sz w:val="19"/>
                <w:szCs w:val="19"/>
              </w:rPr>
            </w:pPr>
            <w:r w:rsidRPr="009C6CB7">
              <w:rPr>
                <w:rFonts w:asciiTheme="majorHAnsi" w:hAnsiTheme="majorHAnsi"/>
                <w:b/>
                <w:bCs/>
                <w:color w:val="FFFFFF" w:themeColor="background1"/>
                <w:sz w:val="19"/>
                <w:szCs w:val="19"/>
              </w:rPr>
              <w:t>Derechos declarados admisibles</w:t>
            </w:r>
            <w:r w:rsidRPr="009C6CB7">
              <w:rPr>
                <w:rFonts w:asciiTheme="majorHAnsi" w:hAnsiTheme="majorHAnsi"/>
                <w:b/>
                <w:bCs/>
                <w:i/>
                <w:color w:val="FFFFFF" w:themeColor="background1"/>
                <w:sz w:val="19"/>
                <w:szCs w:val="19"/>
              </w:rPr>
              <w:t>:</w:t>
            </w:r>
          </w:p>
        </w:tc>
        <w:tc>
          <w:tcPr>
            <w:tcW w:w="5760" w:type="dxa"/>
            <w:vAlign w:val="center"/>
          </w:tcPr>
          <w:p w14:paraId="5EB169C6" w14:textId="42F47EDE" w:rsidR="000673D0" w:rsidRPr="009C6CB7" w:rsidRDefault="00CF41C4" w:rsidP="009D0E76">
            <w:pPr>
              <w:jc w:val="both"/>
              <w:rPr>
                <w:rFonts w:asciiTheme="majorHAnsi" w:hAnsiTheme="majorHAnsi"/>
                <w:bCs/>
                <w:sz w:val="19"/>
                <w:szCs w:val="19"/>
                <w:lang w:val="es-PA" w:eastAsia="es-ES"/>
              </w:rPr>
            </w:pPr>
            <w:r>
              <w:rPr>
                <w:rFonts w:asciiTheme="majorHAnsi" w:hAnsiTheme="majorHAnsi"/>
                <w:bCs/>
                <w:sz w:val="19"/>
                <w:szCs w:val="19"/>
                <w:lang w:val="es-ES" w:eastAsia="es-ES"/>
              </w:rPr>
              <w:t xml:space="preserve">Artículos 4 (vida), 5 (integridad personal), </w:t>
            </w:r>
            <w:r w:rsidR="00530A11">
              <w:rPr>
                <w:rFonts w:asciiTheme="majorHAnsi" w:hAnsiTheme="majorHAnsi"/>
                <w:bCs/>
                <w:sz w:val="19"/>
                <w:szCs w:val="19"/>
                <w:lang w:val="es-ES" w:eastAsia="es-ES"/>
              </w:rPr>
              <w:t xml:space="preserve">7 (libertad personal), </w:t>
            </w:r>
            <w:r>
              <w:rPr>
                <w:rFonts w:asciiTheme="majorHAnsi" w:hAnsiTheme="majorHAnsi"/>
                <w:bCs/>
                <w:sz w:val="19"/>
                <w:szCs w:val="19"/>
                <w:lang w:val="es-ES" w:eastAsia="es-ES"/>
              </w:rPr>
              <w:t>8 (garantías judiciales)</w:t>
            </w:r>
            <w:r w:rsidR="00F07089">
              <w:rPr>
                <w:rFonts w:asciiTheme="majorHAnsi" w:hAnsiTheme="majorHAnsi"/>
                <w:bCs/>
                <w:sz w:val="19"/>
                <w:szCs w:val="19"/>
                <w:lang w:val="es-ES" w:eastAsia="es-ES"/>
              </w:rPr>
              <w:t xml:space="preserve"> </w:t>
            </w:r>
            <w:r>
              <w:rPr>
                <w:rFonts w:asciiTheme="majorHAnsi" w:hAnsiTheme="majorHAnsi"/>
                <w:bCs/>
                <w:sz w:val="19"/>
                <w:szCs w:val="19"/>
                <w:lang w:val="es-ES" w:eastAsia="es-ES"/>
              </w:rPr>
              <w:t>y 25 (protección judicial) de la Convenci</w:t>
            </w:r>
            <w:r w:rsidR="00E638D2">
              <w:rPr>
                <w:rFonts w:asciiTheme="majorHAnsi" w:hAnsiTheme="majorHAnsi"/>
                <w:bCs/>
                <w:sz w:val="19"/>
                <w:szCs w:val="19"/>
                <w:lang w:val="es-ES" w:eastAsia="es-ES"/>
              </w:rPr>
              <w:t>ón Americana en relación con su artículo</w:t>
            </w:r>
            <w:r>
              <w:rPr>
                <w:rFonts w:asciiTheme="majorHAnsi" w:hAnsiTheme="majorHAnsi"/>
                <w:bCs/>
                <w:sz w:val="19"/>
                <w:szCs w:val="19"/>
                <w:lang w:val="es-ES" w:eastAsia="es-ES"/>
              </w:rPr>
              <w:t xml:space="preserve"> 1.1. (obligación de respetar los derechos) </w:t>
            </w:r>
          </w:p>
        </w:tc>
      </w:tr>
      <w:tr w:rsidR="000673D0" w:rsidRPr="00F408C2" w14:paraId="56C738B6" w14:textId="77777777" w:rsidTr="00B46185">
        <w:trPr>
          <w:cantSplit/>
        </w:trPr>
        <w:tc>
          <w:tcPr>
            <w:tcW w:w="3600" w:type="dxa"/>
            <w:tcBorders>
              <w:top w:val="single" w:sz="6" w:space="0" w:color="auto"/>
              <w:bottom w:val="single" w:sz="6" w:space="0" w:color="auto"/>
            </w:tcBorders>
            <w:shd w:val="clear" w:color="auto" w:fill="386294"/>
            <w:vAlign w:val="center"/>
          </w:tcPr>
          <w:p w14:paraId="741F99C1" w14:textId="77777777" w:rsidR="000673D0" w:rsidRPr="009C6CB7" w:rsidRDefault="000673D0" w:rsidP="00B46185">
            <w:pPr>
              <w:jc w:val="center"/>
              <w:rPr>
                <w:rFonts w:asciiTheme="majorHAnsi" w:hAnsiTheme="majorHAnsi"/>
                <w:b/>
                <w:bCs/>
                <w:color w:val="FFFFFF" w:themeColor="background1"/>
                <w:sz w:val="19"/>
                <w:szCs w:val="19"/>
                <w:lang w:val="es-ES"/>
              </w:rPr>
            </w:pPr>
            <w:r w:rsidRPr="009C6CB7">
              <w:rPr>
                <w:rFonts w:asciiTheme="majorHAnsi" w:hAnsiTheme="majorHAnsi"/>
                <w:b/>
                <w:bCs/>
                <w:color w:val="FFFFFF" w:themeColor="background1"/>
                <w:sz w:val="19"/>
                <w:szCs w:val="19"/>
                <w:lang w:val="es-ES"/>
              </w:rPr>
              <w:t>Agotamiento de recursos internos o procedencia de una excepción:</w:t>
            </w:r>
          </w:p>
        </w:tc>
        <w:tc>
          <w:tcPr>
            <w:tcW w:w="5760" w:type="dxa"/>
            <w:vAlign w:val="center"/>
          </w:tcPr>
          <w:p w14:paraId="7B5A6AFC" w14:textId="1320A75F" w:rsidR="000673D0" w:rsidRPr="009C6CB7" w:rsidRDefault="00CF41C4" w:rsidP="00CF41C4">
            <w:pPr>
              <w:rPr>
                <w:rFonts w:asciiTheme="majorHAnsi" w:hAnsiTheme="majorHAnsi"/>
                <w:bCs/>
                <w:sz w:val="19"/>
                <w:szCs w:val="19"/>
                <w:lang w:val="es-ES"/>
              </w:rPr>
            </w:pPr>
            <w:r>
              <w:rPr>
                <w:rFonts w:asciiTheme="majorHAnsi" w:hAnsiTheme="majorHAnsi"/>
                <w:bCs/>
                <w:sz w:val="19"/>
                <w:szCs w:val="19"/>
                <w:lang w:val="es-ES"/>
              </w:rPr>
              <w:t>Sí, en los términos de la Sección VI</w:t>
            </w:r>
          </w:p>
        </w:tc>
      </w:tr>
      <w:tr w:rsidR="000673D0" w:rsidRPr="00F408C2" w14:paraId="64377EF5" w14:textId="77777777" w:rsidTr="00B46185">
        <w:trPr>
          <w:cantSplit/>
        </w:trPr>
        <w:tc>
          <w:tcPr>
            <w:tcW w:w="3600" w:type="dxa"/>
            <w:tcBorders>
              <w:top w:val="single" w:sz="6" w:space="0" w:color="auto"/>
              <w:bottom w:val="single" w:sz="6" w:space="0" w:color="auto"/>
            </w:tcBorders>
            <w:shd w:val="clear" w:color="auto" w:fill="386294"/>
            <w:vAlign w:val="center"/>
          </w:tcPr>
          <w:p w14:paraId="33D77F00" w14:textId="77777777" w:rsidR="000673D0" w:rsidRPr="009C6CB7" w:rsidRDefault="000673D0" w:rsidP="00B46185">
            <w:pPr>
              <w:jc w:val="center"/>
              <w:rPr>
                <w:rFonts w:asciiTheme="majorHAnsi" w:hAnsiTheme="majorHAnsi"/>
                <w:b/>
                <w:bCs/>
                <w:color w:val="FFFFFF" w:themeColor="background1"/>
                <w:sz w:val="19"/>
                <w:szCs w:val="19"/>
              </w:rPr>
            </w:pPr>
            <w:r w:rsidRPr="009C6CB7">
              <w:rPr>
                <w:rFonts w:asciiTheme="majorHAnsi" w:hAnsiTheme="majorHAnsi"/>
                <w:b/>
                <w:bCs/>
                <w:color w:val="FFFFFF" w:themeColor="background1"/>
                <w:sz w:val="19"/>
                <w:szCs w:val="19"/>
                <w:lang w:val="es-PA"/>
              </w:rPr>
              <w:t xml:space="preserve">Presentación dentro de </w:t>
            </w:r>
            <w:proofErr w:type="spellStart"/>
            <w:r w:rsidRPr="009C6CB7">
              <w:rPr>
                <w:rFonts w:asciiTheme="majorHAnsi" w:hAnsiTheme="majorHAnsi"/>
                <w:b/>
                <w:bCs/>
                <w:color w:val="FFFFFF" w:themeColor="background1"/>
                <w:sz w:val="19"/>
                <w:szCs w:val="19"/>
                <w:lang w:val="es-PA"/>
              </w:rPr>
              <w:t>plaz</w:t>
            </w:r>
            <w:proofErr w:type="spellEnd"/>
            <w:r w:rsidRPr="009C6CB7">
              <w:rPr>
                <w:rFonts w:asciiTheme="majorHAnsi" w:hAnsiTheme="majorHAnsi"/>
                <w:b/>
                <w:bCs/>
                <w:color w:val="FFFFFF" w:themeColor="background1"/>
                <w:sz w:val="19"/>
                <w:szCs w:val="19"/>
              </w:rPr>
              <w:t>o:</w:t>
            </w:r>
          </w:p>
        </w:tc>
        <w:tc>
          <w:tcPr>
            <w:tcW w:w="5760" w:type="dxa"/>
            <w:vAlign w:val="center"/>
          </w:tcPr>
          <w:p w14:paraId="6D2FF784" w14:textId="55230A02" w:rsidR="000673D0" w:rsidRPr="00CF41C4" w:rsidRDefault="00D06F66" w:rsidP="00CF41C4">
            <w:pPr>
              <w:rPr>
                <w:rFonts w:asciiTheme="majorHAnsi" w:hAnsiTheme="majorHAnsi"/>
                <w:bCs/>
                <w:sz w:val="19"/>
                <w:szCs w:val="19"/>
                <w:lang w:val="es-PA"/>
              </w:rPr>
            </w:pPr>
            <w:r w:rsidRPr="00CF41C4">
              <w:rPr>
                <w:rFonts w:asciiTheme="majorHAnsi" w:hAnsiTheme="majorHAnsi"/>
                <w:bCs/>
                <w:sz w:val="19"/>
                <w:szCs w:val="19"/>
                <w:lang w:val="es-PA"/>
              </w:rPr>
              <w:t xml:space="preserve">Sí, </w:t>
            </w:r>
            <w:r w:rsidR="00CF41C4">
              <w:rPr>
                <w:rFonts w:asciiTheme="majorHAnsi" w:hAnsiTheme="majorHAnsi"/>
                <w:bCs/>
                <w:sz w:val="19"/>
                <w:szCs w:val="19"/>
                <w:lang w:val="es-PA"/>
              </w:rPr>
              <w:t>en los términos de la Sección VI</w:t>
            </w:r>
          </w:p>
        </w:tc>
      </w:tr>
    </w:tbl>
    <w:p w14:paraId="18E6423B" w14:textId="77777777" w:rsidR="003239B8" w:rsidRPr="000673D0" w:rsidRDefault="00223A29" w:rsidP="003239B8">
      <w:pPr>
        <w:spacing w:before="240" w:after="240"/>
        <w:ind w:firstLine="720"/>
        <w:jc w:val="both"/>
        <w:rPr>
          <w:rFonts w:asciiTheme="majorHAnsi" w:hAnsiTheme="majorHAnsi"/>
          <w:b/>
          <w:sz w:val="20"/>
          <w:szCs w:val="20"/>
          <w:lang w:val="es-UY"/>
        </w:rPr>
      </w:pPr>
      <w:r w:rsidRPr="000673D0">
        <w:rPr>
          <w:rFonts w:asciiTheme="majorHAnsi" w:hAnsiTheme="majorHAnsi"/>
          <w:b/>
          <w:sz w:val="20"/>
          <w:szCs w:val="20"/>
          <w:lang w:val="es-UY"/>
        </w:rPr>
        <w:t xml:space="preserve">V. </w:t>
      </w:r>
      <w:r w:rsidRPr="000673D0">
        <w:rPr>
          <w:rFonts w:asciiTheme="majorHAnsi" w:hAnsiTheme="majorHAnsi"/>
          <w:b/>
          <w:sz w:val="20"/>
          <w:szCs w:val="20"/>
          <w:lang w:val="es-UY"/>
        </w:rPr>
        <w:tab/>
      </w:r>
      <w:r w:rsidR="003239B8" w:rsidRPr="000673D0">
        <w:rPr>
          <w:rFonts w:asciiTheme="majorHAnsi" w:hAnsiTheme="majorHAnsi"/>
          <w:b/>
          <w:sz w:val="20"/>
          <w:szCs w:val="20"/>
          <w:lang w:val="es-UY"/>
        </w:rPr>
        <w:t xml:space="preserve">HECHOS ALEGADOS </w:t>
      </w:r>
    </w:p>
    <w:p w14:paraId="6CBA6EB4" w14:textId="5CFA81C8" w:rsidR="00DA13A2" w:rsidRPr="008C2FC2" w:rsidRDefault="001F2F1D" w:rsidP="001F2F1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PA"/>
        </w:rPr>
        <w:t>La parte peticionaria</w:t>
      </w:r>
      <w:r w:rsidR="00F07089">
        <w:rPr>
          <w:rFonts w:ascii="Cambria" w:hAnsi="Cambria"/>
          <w:bCs/>
          <w:sz w:val="20"/>
          <w:szCs w:val="20"/>
          <w:lang w:val="es-PA"/>
        </w:rPr>
        <w:t xml:space="preserve"> denuncia </w:t>
      </w:r>
      <w:r>
        <w:rPr>
          <w:rFonts w:ascii="Cambria" w:hAnsi="Cambria"/>
          <w:bCs/>
          <w:sz w:val="20"/>
          <w:szCs w:val="20"/>
          <w:lang w:val="es-PA"/>
        </w:rPr>
        <w:t>que integrantes de un grupo armado ilegal asesinaron al señor Higuita Roldán</w:t>
      </w:r>
      <w:r w:rsidR="00995A78">
        <w:rPr>
          <w:rFonts w:ascii="Cambria" w:hAnsi="Cambria"/>
          <w:bCs/>
          <w:sz w:val="20"/>
          <w:szCs w:val="20"/>
          <w:lang w:val="es-PA"/>
        </w:rPr>
        <w:t xml:space="preserve">. Sostiene que el Estado no adoptó las medidas que estaban a su alcance para prevenir esta muerte, pese a haber sido advertido de un riesgo inminente de incursión de grupos armados ilegales en la población en que la presunta víctima residía. Denuncia además que </w:t>
      </w:r>
      <w:r w:rsidR="000530F4">
        <w:rPr>
          <w:rFonts w:ascii="Cambria" w:hAnsi="Cambria"/>
          <w:bCs/>
          <w:sz w:val="20"/>
          <w:szCs w:val="20"/>
          <w:lang w:val="es-PA"/>
        </w:rPr>
        <w:t xml:space="preserve">la investigación penal encaminada a </w:t>
      </w:r>
      <w:r w:rsidR="000530F4">
        <w:rPr>
          <w:rFonts w:ascii="Cambria" w:hAnsi="Cambria"/>
          <w:bCs/>
          <w:sz w:val="20"/>
          <w:szCs w:val="20"/>
          <w:lang w:val="es-PA"/>
        </w:rPr>
        <w:lastRenderedPageBreak/>
        <w:t xml:space="preserve">identificar a los autores materiales de la muerte no ha sido resuelta en plazo razonable y que </w:t>
      </w:r>
      <w:r w:rsidR="008C2FC2">
        <w:rPr>
          <w:rFonts w:ascii="Cambria" w:hAnsi="Cambria"/>
          <w:bCs/>
          <w:sz w:val="20"/>
          <w:szCs w:val="20"/>
          <w:lang w:val="es-PA"/>
        </w:rPr>
        <w:t xml:space="preserve">la posible responsabilidad de agentes en esta muerte no ha sido investigada adecuadamente. </w:t>
      </w:r>
      <w:r w:rsidR="000530F4">
        <w:rPr>
          <w:rFonts w:ascii="Cambria" w:hAnsi="Cambria"/>
          <w:bCs/>
          <w:sz w:val="20"/>
          <w:szCs w:val="20"/>
          <w:lang w:val="es-PA"/>
        </w:rPr>
        <w:t xml:space="preserve">Señala además que el Estado no ha brindado reparación integral a las </w:t>
      </w:r>
      <w:r w:rsidR="008C2FC2">
        <w:rPr>
          <w:rFonts w:ascii="Cambria" w:hAnsi="Cambria"/>
          <w:bCs/>
          <w:sz w:val="20"/>
          <w:szCs w:val="20"/>
          <w:lang w:val="es-PA"/>
        </w:rPr>
        <w:t>personas familiares de la presunta víctima.</w:t>
      </w:r>
    </w:p>
    <w:p w14:paraId="68E38482" w14:textId="21D9B41E" w:rsidR="008C2FC2" w:rsidRPr="009E0D16" w:rsidRDefault="008C2FC2" w:rsidP="00853ED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bCs/>
          <w:sz w:val="20"/>
          <w:szCs w:val="20"/>
          <w:lang w:val="es-UY"/>
        </w:rPr>
        <w:t xml:space="preserve">El peticionario relata que la presunta víctima </w:t>
      </w:r>
      <w:r w:rsidR="00A34EB9">
        <w:rPr>
          <w:rFonts w:ascii="Cambria" w:hAnsi="Cambria"/>
          <w:bCs/>
          <w:sz w:val="20"/>
          <w:szCs w:val="20"/>
          <w:lang w:val="es-UY"/>
        </w:rPr>
        <w:t xml:space="preserve">residía en el municipio Dabeiba en Antioquía y que el 24 de septiembre de 1998 hombres de varios frentes de las Fuerzas Armadas </w:t>
      </w:r>
      <w:r w:rsidR="00853ED5">
        <w:rPr>
          <w:rFonts w:ascii="Cambria" w:hAnsi="Cambria"/>
          <w:bCs/>
          <w:sz w:val="20"/>
          <w:szCs w:val="20"/>
          <w:lang w:val="es-UY"/>
        </w:rPr>
        <w:t>Revolucionarias de</w:t>
      </w:r>
      <w:r w:rsidR="00A34EB9">
        <w:rPr>
          <w:rFonts w:ascii="Cambria" w:hAnsi="Cambria"/>
          <w:bCs/>
          <w:sz w:val="20"/>
          <w:szCs w:val="20"/>
          <w:lang w:val="es-UY"/>
        </w:rPr>
        <w:t xml:space="preserve"> Colombia (en adelante “las FARC”) irrumpieron en este municipio destruyendo el Comando de la Polic</w:t>
      </w:r>
      <w:r w:rsidR="00AA63E2">
        <w:rPr>
          <w:rFonts w:ascii="Cambria" w:hAnsi="Cambria"/>
          <w:bCs/>
          <w:sz w:val="20"/>
          <w:szCs w:val="20"/>
          <w:lang w:val="es-UY"/>
        </w:rPr>
        <w:t xml:space="preserve">ía y varios otros edificios públicos. Explica que </w:t>
      </w:r>
      <w:r w:rsidR="009E0D16">
        <w:rPr>
          <w:rFonts w:ascii="Cambria" w:hAnsi="Cambria"/>
          <w:bCs/>
          <w:sz w:val="20"/>
          <w:szCs w:val="20"/>
          <w:lang w:val="es-UY"/>
        </w:rPr>
        <w:t xml:space="preserve">los integrantes de las </w:t>
      </w:r>
      <w:r w:rsidR="00AA63E2">
        <w:rPr>
          <w:rFonts w:ascii="Cambria" w:hAnsi="Cambria"/>
          <w:bCs/>
          <w:sz w:val="20"/>
          <w:szCs w:val="20"/>
          <w:lang w:val="es-UY"/>
        </w:rPr>
        <w:t>FARC también atacaron a una serie de comerciantes del municipio</w:t>
      </w:r>
      <w:r w:rsidR="00853ED5">
        <w:rPr>
          <w:rFonts w:ascii="Cambria" w:hAnsi="Cambria"/>
          <w:bCs/>
          <w:sz w:val="20"/>
          <w:szCs w:val="20"/>
          <w:lang w:val="es-UY"/>
        </w:rPr>
        <w:t>,</w:t>
      </w:r>
      <w:r w:rsidR="00AA63E2">
        <w:rPr>
          <w:rFonts w:ascii="Cambria" w:hAnsi="Cambria"/>
          <w:bCs/>
          <w:sz w:val="20"/>
          <w:szCs w:val="20"/>
          <w:lang w:val="es-UY"/>
        </w:rPr>
        <w:t xml:space="preserve"> a quienes habían tachado de colabo</w:t>
      </w:r>
      <w:r w:rsidR="008149D8">
        <w:rPr>
          <w:rFonts w:ascii="Cambria" w:hAnsi="Cambria"/>
          <w:bCs/>
          <w:sz w:val="20"/>
          <w:szCs w:val="20"/>
          <w:lang w:val="es-UY"/>
        </w:rPr>
        <w:t xml:space="preserve">radores de las autodefensas. </w:t>
      </w:r>
      <w:r w:rsidR="009E0D16">
        <w:rPr>
          <w:rFonts w:ascii="Cambria" w:hAnsi="Cambria"/>
          <w:bCs/>
          <w:sz w:val="20"/>
          <w:szCs w:val="20"/>
          <w:lang w:val="es-UY"/>
        </w:rPr>
        <w:t xml:space="preserve">Indica </w:t>
      </w:r>
      <w:r w:rsidR="008149D8">
        <w:rPr>
          <w:rFonts w:ascii="Cambria" w:hAnsi="Cambria"/>
          <w:bCs/>
          <w:sz w:val="20"/>
          <w:szCs w:val="20"/>
          <w:lang w:val="es-UY"/>
        </w:rPr>
        <w:t xml:space="preserve">que la presunta víctima fue uno de los comerciantes atacados </w:t>
      </w:r>
      <w:r w:rsidR="009E0D16">
        <w:rPr>
          <w:rFonts w:ascii="Cambria" w:hAnsi="Cambria"/>
          <w:bCs/>
          <w:sz w:val="20"/>
          <w:szCs w:val="20"/>
          <w:lang w:val="es-UY"/>
        </w:rPr>
        <w:t xml:space="preserve">por las FARC </w:t>
      </w:r>
      <w:r w:rsidR="008149D8">
        <w:rPr>
          <w:rFonts w:ascii="Cambria" w:hAnsi="Cambria"/>
          <w:bCs/>
          <w:sz w:val="20"/>
          <w:szCs w:val="20"/>
          <w:lang w:val="es-UY"/>
        </w:rPr>
        <w:t>y que este fue sorprendido en el lugar donde mantenía su restaurante y a la vez su residencia</w:t>
      </w:r>
      <w:r w:rsidR="009E0D16">
        <w:rPr>
          <w:rFonts w:ascii="Cambria" w:hAnsi="Cambria"/>
          <w:bCs/>
          <w:sz w:val="20"/>
          <w:szCs w:val="20"/>
          <w:lang w:val="es-UY"/>
        </w:rPr>
        <w:t xml:space="preserve"> donde fue retenido, torturado y finalmente asesinado por los atacantes. Señala también que los atacantes se </w:t>
      </w:r>
      <w:r w:rsidR="008149D8">
        <w:rPr>
          <w:rFonts w:ascii="Cambria" w:hAnsi="Cambria"/>
          <w:bCs/>
          <w:sz w:val="20"/>
          <w:szCs w:val="20"/>
          <w:lang w:val="es-UY"/>
        </w:rPr>
        <w:t>apoderaron del estableci</w:t>
      </w:r>
      <w:r w:rsidR="009E0D16">
        <w:rPr>
          <w:rFonts w:ascii="Cambria" w:hAnsi="Cambria"/>
          <w:bCs/>
          <w:sz w:val="20"/>
          <w:szCs w:val="20"/>
          <w:lang w:val="es-UY"/>
        </w:rPr>
        <w:t>miento por varias horas causando destrozos en este y robándose el licor y las joyas de la familia. Agrega que la esposa de la presunta víctima debió presenciar todo lo que le hicieron</w:t>
      </w:r>
      <w:r w:rsidR="00853ED5" w:rsidRPr="00853ED5">
        <w:rPr>
          <w:rFonts w:ascii="Cambria" w:hAnsi="Cambria"/>
          <w:bCs/>
          <w:sz w:val="20"/>
          <w:szCs w:val="20"/>
          <w:lang w:val="es-PA"/>
        </w:rPr>
        <w:t xml:space="preserve"> </w:t>
      </w:r>
      <w:r w:rsidR="00853ED5">
        <w:rPr>
          <w:rFonts w:ascii="Cambria" w:hAnsi="Cambria"/>
          <w:bCs/>
          <w:sz w:val="20"/>
          <w:szCs w:val="20"/>
          <w:lang w:val="es-PA"/>
        </w:rPr>
        <w:t>al señor Higuita Roldán</w:t>
      </w:r>
      <w:r w:rsidR="009E0D16">
        <w:rPr>
          <w:rFonts w:ascii="Cambria" w:hAnsi="Cambria"/>
          <w:bCs/>
          <w:sz w:val="20"/>
          <w:szCs w:val="20"/>
          <w:lang w:val="es-UY"/>
        </w:rPr>
        <w:t xml:space="preserve"> </w:t>
      </w:r>
      <w:r w:rsidR="00853ED5">
        <w:rPr>
          <w:rFonts w:ascii="Cambria" w:hAnsi="Cambria"/>
          <w:bCs/>
          <w:sz w:val="20"/>
          <w:szCs w:val="20"/>
          <w:lang w:val="es-UY"/>
        </w:rPr>
        <w:t>y, que posteriormente, una “guerrillera” la condujo al apartamento que se encontraba en la parte de atrás del restaurante para que le entregará las joyas, y donde le solicitó que se quedara escondida para que no la mat</w:t>
      </w:r>
      <w:r w:rsidR="00373F53">
        <w:rPr>
          <w:rFonts w:ascii="Cambria" w:hAnsi="Cambria"/>
          <w:bCs/>
          <w:sz w:val="20"/>
          <w:szCs w:val="20"/>
          <w:lang w:val="es-UY"/>
        </w:rPr>
        <w:t>aran</w:t>
      </w:r>
      <w:r w:rsidR="00853ED5">
        <w:rPr>
          <w:rFonts w:ascii="Cambria" w:hAnsi="Cambria"/>
          <w:bCs/>
          <w:sz w:val="20"/>
          <w:szCs w:val="20"/>
          <w:lang w:val="es-UY"/>
        </w:rPr>
        <w:t xml:space="preserve"> </w:t>
      </w:r>
    </w:p>
    <w:p w14:paraId="5495364C" w14:textId="65652769" w:rsidR="009E0D16" w:rsidRDefault="0005487C"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Denuncia que la incursión de las FARC en Dabeiba se extendió desde las 7 de la noche del 24 de septiembre</w:t>
      </w:r>
      <w:r w:rsidR="00B235FC">
        <w:rPr>
          <w:rFonts w:ascii="Cambria" w:hAnsi="Cambria"/>
          <w:sz w:val="20"/>
          <w:szCs w:val="20"/>
          <w:lang w:val="es-UY"/>
        </w:rPr>
        <w:t xml:space="preserve"> de 1998</w:t>
      </w:r>
      <w:r>
        <w:rPr>
          <w:rFonts w:ascii="Cambria" w:hAnsi="Cambria"/>
          <w:sz w:val="20"/>
          <w:szCs w:val="20"/>
          <w:lang w:val="es-UY"/>
        </w:rPr>
        <w:t xml:space="preserve"> hasta las 6 de la mañana del día siguiente</w:t>
      </w:r>
      <w:r w:rsidR="006A3015">
        <w:rPr>
          <w:rFonts w:ascii="Cambria" w:hAnsi="Cambria"/>
          <w:sz w:val="20"/>
          <w:szCs w:val="20"/>
          <w:lang w:val="es-UY"/>
        </w:rPr>
        <w:t>.</w:t>
      </w:r>
      <w:r>
        <w:rPr>
          <w:rFonts w:ascii="Cambria" w:hAnsi="Cambria"/>
          <w:sz w:val="20"/>
          <w:szCs w:val="20"/>
          <w:lang w:val="es-UY"/>
        </w:rPr>
        <w:t xml:space="preserve"> </w:t>
      </w:r>
      <w:r w:rsidR="006A3015">
        <w:rPr>
          <w:rFonts w:ascii="Cambria" w:hAnsi="Cambria"/>
          <w:sz w:val="20"/>
          <w:szCs w:val="20"/>
          <w:lang w:val="es-UY"/>
        </w:rPr>
        <w:t>A pesar de ello, alega</w:t>
      </w:r>
      <w:r>
        <w:rPr>
          <w:rFonts w:ascii="Cambria" w:hAnsi="Cambria"/>
          <w:sz w:val="20"/>
          <w:szCs w:val="20"/>
          <w:lang w:val="es-UY"/>
        </w:rPr>
        <w:t xml:space="preserve"> que no hubo presencia del Ejército Nacional sino hasta las 11 de la mañana del </w:t>
      </w:r>
      <w:r w:rsidR="00B235FC">
        <w:rPr>
          <w:rFonts w:ascii="Cambria" w:hAnsi="Cambria"/>
          <w:sz w:val="20"/>
          <w:szCs w:val="20"/>
          <w:lang w:val="es-UY"/>
        </w:rPr>
        <w:t>25 de septiembre</w:t>
      </w:r>
      <w:r w:rsidR="006A3015">
        <w:rPr>
          <w:rFonts w:ascii="Cambria" w:hAnsi="Cambria"/>
          <w:sz w:val="20"/>
          <w:szCs w:val="20"/>
          <w:lang w:val="es-UY"/>
        </w:rPr>
        <w:t>,</w:t>
      </w:r>
      <w:r w:rsidR="00B235FC">
        <w:rPr>
          <w:rFonts w:ascii="Cambria" w:hAnsi="Cambria"/>
          <w:sz w:val="20"/>
          <w:szCs w:val="20"/>
          <w:lang w:val="es-UY"/>
        </w:rPr>
        <w:t xml:space="preserve"> </w:t>
      </w:r>
      <w:r>
        <w:rPr>
          <w:rFonts w:ascii="Cambria" w:hAnsi="Cambria"/>
          <w:sz w:val="20"/>
          <w:szCs w:val="20"/>
          <w:lang w:val="es-UY"/>
        </w:rPr>
        <w:t>cuando el ataque ya hab</w:t>
      </w:r>
      <w:r w:rsidR="00AF3C32">
        <w:rPr>
          <w:rFonts w:ascii="Cambria" w:hAnsi="Cambria"/>
          <w:sz w:val="20"/>
          <w:szCs w:val="20"/>
          <w:lang w:val="es-UY"/>
        </w:rPr>
        <w:t>ía concluido. Resalta que el Consejo Municipal y el sector comercio de</w:t>
      </w:r>
      <w:r w:rsidR="006A3015">
        <w:rPr>
          <w:rFonts w:ascii="Cambria" w:hAnsi="Cambria"/>
          <w:sz w:val="20"/>
          <w:szCs w:val="20"/>
          <w:lang w:val="es-UY"/>
        </w:rPr>
        <w:t>l</w:t>
      </w:r>
      <w:r w:rsidR="00AF3C32">
        <w:rPr>
          <w:rFonts w:ascii="Cambria" w:hAnsi="Cambria"/>
          <w:sz w:val="20"/>
          <w:szCs w:val="20"/>
          <w:lang w:val="es-UY"/>
        </w:rPr>
        <w:t xml:space="preserve"> lugar habían advertido al Estado la inminencia de un ataque subversivo y habían solicitado la asistencia del Ejército.</w:t>
      </w:r>
      <w:r w:rsidR="006A3015">
        <w:rPr>
          <w:rFonts w:ascii="Cambria" w:hAnsi="Cambria"/>
          <w:sz w:val="20"/>
          <w:szCs w:val="20"/>
          <w:lang w:val="es-UY"/>
        </w:rPr>
        <w:t xml:space="preserve"> Por ello, c</w:t>
      </w:r>
      <w:r w:rsidR="00AF3C32">
        <w:rPr>
          <w:rFonts w:ascii="Cambria" w:hAnsi="Cambria"/>
          <w:sz w:val="20"/>
          <w:szCs w:val="20"/>
          <w:lang w:val="es-UY"/>
        </w:rPr>
        <w:t>onsidera que las autoridades estatales coadyuvaron a que se realizar</w:t>
      </w:r>
      <w:r w:rsidR="007156CF">
        <w:rPr>
          <w:rFonts w:ascii="Cambria" w:hAnsi="Cambria"/>
          <w:sz w:val="20"/>
          <w:szCs w:val="20"/>
          <w:lang w:val="es-UY"/>
        </w:rPr>
        <w:t>a</w:t>
      </w:r>
      <w:r w:rsidR="00AF3C32">
        <w:rPr>
          <w:rFonts w:ascii="Cambria" w:hAnsi="Cambria"/>
          <w:sz w:val="20"/>
          <w:szCs w:val="20"/>
          <w:lang w:val="es-UY"/>
        </w:rPr>
        <w:t xml:space="preserve"> el ataque</w:t>
      </w:r>
      <w:r w:rsidR="0088169C">
        <w:rPr>
          <w:rFonts w:ascii="Cambria" w:hAnsi="Cambria"/>
          <w:sz w:val="20"/>
          <w:szCs w:val="20"/>
          <w:lang w:val="es-UY"/>
        </w:rPr>
        <w:t xml:space="preserve"> e incumplieron su deber de proteger a la población de Dabeiba</w:t>
      </w:r>
      <w:r w:rsidR="00AF3C32">
        <w:rPr>
          <w:rFonts w:ascii="Cambria" w:hAnsi="Cambria"/>
          <w:sz w:val="20"/>
          <w:szCs w:val="20"/>
          <w:lang w:val="es-UY"/>
        </w:rPr>
        <w:t xml:space="preserve"> </w:t>
      </w:r>
      <w:r w:rsidR="007156CF">
        <w:rPr>
          <w:rFonts w:ascii="Cambria" w:hAnsi="Cambria"/>
          <w:sz w:val="20"/>
          <w:szCs w:val="20"/>
          <w:lang w:val="es-UY"/>
        </w:rPr>
        <w:t xml:space="preserve">pues, pese a conocer el riesgo inminente, la presencia de la fuerza pública en el área estaba limitada a 23 efectivos policiales quienes solo contaban con un plan para defender las instalaciones de policía, no así con uno para garantizar la seguridad de la población. Cuestiona también que, conociendo que el municipio de Dabeiba había sido amenazado por grupos ilegales, el Estado haya retirado antes del ataque una base militar que operaba en el área y que protegía a ese municipio. </w:t>
      </w:r>
    </w:p>
    <w:p w14:paraId="13FB2886" w14:textId="5D510357" w:rsidR="00397923" w:rsidRDefault="00310CD0"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Denuncia que, al momento en que la petición fue presentada, habían transcurrido 12 años desde el ataque en Dabeiba y el proceso penal encaminado a identificar a quienes perpetraron este ataque permanecía en etapa previa sin avance alguno. Reconoce que este proceso tiene cierto grado de complejidad</w:t>
      </w:r>
      <w:r w:rsidR="003141CD">
        <w:rPr>
          <w:rFonts w:ascii="Cambria" w:hAnsi="Cambria"/>
          <w:sz w:val="20"/>
          <w:szCs w:val="20"/>
          <w:lang w:val="es-UY"/>
        </w:rPr>
        <w:t>,</w:t>
      </w:r>
      <w:r>
        <w:rPr>
          <w:rFonts w:ascii="Cambria" w:hAnsi="Cambria"/>
          <w:sz w:val="20"/>
          <w:szCs w:val="20"/>
          <w:lang w:val="es-UY"/>
        </w:rPr>
        <w:t xml:space="preserve"> pero alega que no fue sino hasta luego de accionado el Sistema Interamericano </w:t>
      </w:r>
      <w:r w:rsidR="00453B75">
        <w:rPr>
          <w:rFonts w:ascii="Cambria" w:hAnsi="Cambria"/>
          <w:sz w:val="20"/>
          <w:szCs w:val="20"/>
          <w:lang w:val="es-UY"/>
        </w:rPr>
        <w:t xml:space="preserve">que se empezaron a dar algunos lentos avances en la investigación. Por esta razón, </w:t>
      </w:r>
      <w:r w:rsidR="00453B75">
        <w:rPr>
          <w:rFonts w:ascii="Cambria" w:hAnsi="Cambria"/>
          <w:sz w:val="20"/>
          <w:szCs w:val="20"/>
          <w:lang w:val="es-UY"/>
        </w:rPr>
        <w:tab/>
        <w:t xml:space="preserve">sostiene que la investigación ha superado el término de la razonabilidad sin que se hayan individualizado responsables. Reclama también que no se hayan adelantado investigaciones penales ni disciplinarias en contra de los agentes estatales que con su omisión posibilitaron el ataque. Explica que se realizaron investigaciones disciplinarias contra el </w:t>
      </w:r>
      <w:r w:rsidR="003141CD">
        <w:rPr>
          <w:rFonts w:ascii="Cambria" w:hAnsi="Cambria"/>
          <w:sz w:val="20"/>
          <w:szCs w:val="20"/>
          <w:lang w:val="es-UY"/>
        </w:rPr>
        <w:t>a</w:t>
      </w:r>
      <w:r w:rsidR="00453B75">
        <w:rPr>
          <w:rFonts w:ascii="Cambria" w:hAnsi="Cambria"/>
          <w:sz w:val="20"/>
          <w:szCs w:val="20"/>
          <w:lang w:val="es-UY"/>
        </w:rPr>
        <w:t>lcalde y los funcionarios policiales de Dabeiba. Sin embargo, considera que estas investigaciones fueron un mero formalismo</w:t>
      </w:r>
      <w:r w:rsidR="003141CD">
        <w:rPr>
          <w:rFonts w:ascii="Cambria" w:hAnsi="Cambria"/>
          <w:sz w:val="20"/>
          <w:szCs w:val="20"/>
          <w:lang w:val="es-UY"/>
        </w:rPr>
        <w:t>,</w:t>
      </w:r>
      <w:r w:rsidR="00453B75">
        <w:rPr>
          <w:rFonts w:ascii="Cambria" w:hAnsi="Cambria"/>
          <w:sz w:val="20"/>
          <w:szCs w:val="20"/>
          <w:lang w:val="es-UY"/>
        </w:rPr>
        <w:t xml:space="preserve"> pues era evidente </w:t>
      </w:r>
      <w:r w:rsidR="00C71B82">
        <w:rPr>
          <w:rFonts w:ascii="Cambria" w:hAnsi="Cambria"/>
          <w:sz w:val="20"/>
          <w:szCs w:val="20"/>
          <w:lang w:val="es-UY"/>
        </w:rPr>
        <w:t xml:space="preserve">que los pocos policías que </w:t>
      </w:r>
      <w:r w:rsidR="003141CD">
        <w:rPr>
          <w:rFonts w:ascii="Cambria" w:hAnsi="Cambria"/>
          <w:sz w:val="20"/>
          <w:szCs w:val="20"/>
          <w:lang w:val="es-UY"/>
        </w:rPr>
        <w:t>había</w:t>
      </w:r>
      <w:r w:rsidR="00C71B82">
        <w:rPr>
          <w:rFonts w:ascii="Cambria" w:hAnsi="Cambria"/>
          <w:sz w:val="20"/>
          <w:szCs w:val="20"/>
          <w:lang w:val="es-UY"/>
        </w:rPr>
        <w:t xml:space="preserve"> en el área </w:t>
      </w:r>
      <w:r w:rsidR="003141CD">
        <w:rPr>
          <w:rFonts w:ascii="Cambria" w:hAnsi="Cambria"/>
          <w:sz w:val="20"/>
          <w:szCs w:val="20"/>
          <w:lang w:val="es-UY"/>
        </w:rPr>
        <w:t>hicieron</w:t>
      </w:r>
      <w:r w:rsidR="00C71B82">
        <w:rPr>
          <w:rFonts w:ascii="Cambria" w:hAnsi="Cambria"/>
          <w:sz w:val="20"/>
          <w:szCs w:val="20"/>
          <w:lang w:val="es-UY"/>
        </w:rPr>
        <w:t xml:space="preserve"> lo que pudieron con los recursos que tenían a su disposición y </w:t>
      </w:r>
      <w:r w:rsidR="00453B75">
        <w:rPr>
          <w:rFonts w:ascii="Cambria" w:hAnsi="Cambria"/>
          <w:sz w:val="20"/>
          <w:szCs w:val="20"/>
          <w:lang w:val="es-UY"/>
        </w:rPr>
        <w:t xml:space="preserve">que el </w:t>
      </w:r>
      <w:r w:rsidR="003141CD">
        <w:rPr>
          <w:rFonts w:ascii="Cambria" w:hAnsi="Cambria"/>
          <w:sz w:val="20"/>
          <w:szCs w:val="20"/>
          <w:lang w:val="es-UY"/>
        </w:rPr>
        <w:t>a</w:t>
      </w:r>
      <w:r w:rsidR="00453B75">
        <w:rPr>
          <w:rFonts w:ascii="Cambria" w:hAnsi="Cambria"/>
          <w:sz w:val="20"/>
          <w:szCs w:val="20"/>
          <w:lang w:val="es-UY"/>
        </w:rPr>
        <w:t>lcalde había cumplido con advertir la inminente incursión y solicitar ayuda a las otras autoridades estatales</w:t>
      </w:r>
      <w:r w:rsidR="00FB7319">
        <w:rPr>
          <w:rFonts w:ascii="Cambria" w:hAnsi="Cambria"/>
          <w:sz w:val="20"/>
          <w:szCs w:val="20"/>
          <w:lang w:val="es-UY"/>
        </w:rPr>
        <w:t>. Manifiesta que los derechos humanos de las víctimas del ataque y sus familiares se han visto vulnerado</w:t>
      </w:r>
      <w:r w:rsidR="003141CD">
        <w:rPr>
          <w:rFonts w:ascii="Cambria" w:hAnsi="Cambria"/>
          <w:sz w:val="20"/>
          <w:szCs w:val="20"/>
          <w:lang w:val="es-UY"/>
        </w:rPr>
        <w:t>s</w:t>
      </w:r>
      <w:r w:rsidR="00FB7319">
        <w:rPr>
          <w:rFonts w:ascii="Cambria" w:hAnsi="Cambria"/>
          <w:sz w:val="20"/>
          <w:szCs w:val="20"/>
          <w:lang w:val="es-UY"/>
        </w:rPr>
        <w:t xml:space="preserve"> por la falta identificación de los agentes estatales que omitieron atender el llamado de auxilio del </w:t>
      </w:r>
      <w:r w:rsidR="003141CD">
        <w:rPr>
          <w:rFonts w:ascii="Cambria" w:hAnsi="Cambria"/>
          <w:sz w:val="20"/>
          <w:szCs w:val="20"/>
          <w:lang w:val="es-UY"/>
        </w:rPr>
        <w:t>a</w:t>
      </w:r>
      <w:r w:rsidR="00FB7319">
        <w:rPr>
          <w:rFonts w:ascii="Cambria" w:hAnsi="Cambria"/>
          <w:sz w:val="20"/>
          <w:szCs w:val="20"/>
          <w:lang w:val="es-UY"/>
        </w:rPr>
        <w:t xml:space="preserve">lcalde y la ausencia de adopción de correctivos para evitar situaciones similares sobre la misma población o sobre otras. </w:t>
      </w:r>
    </w:p>
    <w:p w14:paraId="723C575A" w14:textId="77777777" w:rsidR="003141CD" w:rsidRDefault="0088169C" w:rsidP="003141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Señala que las personas familiares de la presunta víctima interpusieron una demanda de reparación directa el 20 de mayo de 1999</w:t>
      </w:r>
      <w:r w:rsidR="003141CD">
        <w:rPr>
          <w:rFonts w:ascii="Cambria" w:hAnsi="Cambria"/>
          <w:sz w:val="20"/>
          <w:szCs w:val="20"/>
          <w:lang w:val="es-UY"/>
        </w:rPr>
        <w:t>,</w:t>
      </w:r>
      <w:r>
        <w:rPr>
          <w:rFonts w:ascii="Cambria" w:hAnsi="Cambria"/>
          <w:sz w:val="20"/>
          <w:szCs w:val="20"/>
          <w:lang w:val="es-UY"/>
        </w:rPr>
        <w:t xml:space="preserve"> buscando que se declarara al Estado administrativamente responsable por la muerte </w:t>
      </w:r>
      <w:r w:rsidR="003141CD">
        <w:rPr>
          <w:rFonts w:ascii="Cambria" w:hAnsi="Cambria"/>
          <w:bCs/>
          <w:sz w:val="20"/>
          <w:szCs w:val="20"/>
          <w:lang w:val="es-UY"/>
        </w:rPr>
        <w:t>de</w:t>
      </w:r>
      <w:r w:rsidR="003141CD">
        <w:rPr>
          <w:rFonts w:ascii="Cambria" w:hAnsi="Cambria"/>
          <w:bCs/>
          <w:sz w:val="20"/>
          <w:szCs w:val="20"/>
          <w:lang w:val="es-PA"/>
        </w:rPr>
        <w:t>l señor Higuita Roldán</w:t>
      </w:r>
      <w:r>
        <w:rPr>
          <w:rFonts w:ascii="Cambria" w:hAnsi="Cambria"/>
          <w:sz w:val="20"/>
          <w:szCs w:val="20"/>
          <w:lang w:val="es-UY"/>
        </w:rPr>
        <w:t xml:space="preserve">. </w:t>
      </w:r>
      <w:r w:rsidR="003141CD">
        <w:rPr>
          <w:rFonts w:ascii="Cambria" w:hAnsi="Cambria"/>
          <w:sz w:val="20"/>
          <w:szCs w:val="20"/>
          <w:lang w:val="es-UY"/>
        </w:rPr>
        <w:t xml:space="preserve">No obstante, explica que el Tribunal Administrativo de Antioquía negó las pretensiones de dichas personas, mediante </w:t>
      </w:r>
      <w:r>
        <w:rPr>
          <w:rFonts w:ascii="Cambria" w:hAnsi="Cambria"/>
          <w:sz w:val="20"/>
          <w:szCs w:val="20"/>
          <w:lang w:val="es-UY"/>
        </w:rPr>
        <w:t xml:space="preserve">fallo </w:t>
      </w:r>
      <w:r w:rsidR="00340481">
        <w:rPr>
          <w:rFonts w:ascii="Cambria" w:hAnsi="Cambria"/>
          <w:sz w:val="20"/>
          <w:szCs w:val="20"/>
          <w:lang w:val="es-UY"/>
        </w:rPr>
        <w:t>notificado</w:t>
      </w:r>
      <w:r>
        <w:rPr>
          <w:rFonts w:ascii="Cambria" w:hAnsi="Cambria"/>
          <w:sz w:val="20"/>
          <w:szCs w:val="20"/>
          <w:lang w:val="es-UY"/>
        </w:rPr>
        <w:t xml:space="preserve"> por edicto fijado entre el 24 y 28 de octubre de 1999. Indica q</w:t>
      </w:r>
      <w:r w:rsidR="00340481">
        <w:rPr>
          <w:rFonts w:ascii="Cambria" w:hAnsi="Cambria"/>
          <w:sz w:val="20"/>
          <w:szCs w:val="20"/>
          <w:lang w:val="es-UY"/>
        </w:rPr>
        <w:t xml:space="preserve">ue las personas familiares interpusieron recurso de apelación contra este fallo, el cual fue inicialmente negado por improcedente por el tribunal de primera instancia. Sin embargo, luego interpusieron recurso de reposición que resultó en que el Tribunal Administrativo de Antioquía concediera el recurso y remitiera el asunto al Consejo de Estado para que </w:t>
      </w:r>
      <w:r w:rsidR="00C71B82">
        <w:rPr>
          <w:rFonts w:ascii="Cambria" w:hAnsi="Cambria"/>
          <w:sz w:val="20"/>
          <w:szCs w:val="20"/>
          <w:lang w:val="es-UY"/>
        </w:rPr>
        <w:t>resolviera la apelación</w:t>
      </w:r>
      <w:r w:rsidR="00340481">
        <w:rPr>
          <w:rFonts w:ascii="Cambria" w:hAnsi="Cambria"/>
          <w:sz w:val="20"/>
          <w:szCs w:val="20"/>
          <w:lang w:val="es-UY"/>
        </w:rPr>
        <w:t>. En su última comunicación del 29 de agosto de 2020</w:t>
      </w:r>
      <w:r w:rsidR="003141CD">
        <w:rPr>
          <w:rFonts w:ascii="Cambria" w:hAnsi="Cambria"/>
          <w:sz w:val="20"/>
          <w:szCs w:val="20"/>
          <w:lang w:val="es-UY"/>
        </w:rPr>
        <w:t>, la parte peticionaria indica</w:t>
      </w:r>
      <w:r w:rsidR="00340481">
        <w:rPr>
          <w:rFonts w:ascii="Cambria" w:hAnsi="Cambria"/>
          <w:sz w:val="20"/>
          <w:szCs w:val="20"/>
          <w:lang w:val="es-UY"/>
        </w:rPr>
        <w:t xml:space="preserve"> </w:t>
      </w:r>
      <w:r w:rsidR="00591634">
        <w:rPr>
          <w:rFonts w:ascii="Cambria" w:hAnsi="Cambria"/>
          <w:sz w:val="20"/>
          <w:szCs w:val="20"/>
          <w:lang w:val="es-UY"/>
        </w:rPr>
        <w:t>que el proceso relativo al recurso de apelación todavía no ha sido definitivamente resuelto</w:t>
      </w:r>
      <w:r w:rsidR="00397923">
        <w:rPr>
          <w:rFonts w:ascii="Cambria" w:hAnsi="Cambria"/>
          <w:sz w:val="20"/>
          <w:szCs w:val="20"/>
          <w:lang w:val="es-UY"/>
        </w:rPr>
        <w:t>,</w:t>
      </w:r>
      <w:r w:rsidR="00591634">
        <w:rPr>
          <w:rFonts w:ascii="Cambria" w:hAnsi="Cambria"/>
          <w:sz w:val="20"/>
          <w:szCs w:val="20"/>
          <w:lang w:val="es-UY"/>
        </w:rPr>
        <w:t xml:space="preserve"> </w:t>
      </w:r>
      <w:r w:rsidR="00397923">
        <w:rPr>
          <w:rFonts w:ascii="Cambria" w:hAnsi="Cambria"/>
          <w:sz w:val="20"/>
          <w:szCs w:val="20"/>
          <w:lang w:val="es-UY"/>
        </w:rPr>
        <w:t xml:space="preserve">estando el expediente en despacho listo para elaboración de fallo desde el 11 </w:t>
      </w:r>
      <w:r w:rsidR="00397923">
        <w:rPr>
          <w:rFonts w:ascii="Cambria" w:hAnsi="Cambria"/>
          <w:sz w:val="20"/>
          <w:szCs w:val="20"/>
          <w:lang w:val="es-UY"/>
        </w:rPr>
        <w:lastRenderedPageBreak/>
        <w:t>de septiembre de 2009 y no siendo sino hasta el 9 de julio de 2020 que se registró un proyecto de fallo el cual a la fecha del escrito</w:t>
      </w:r>
      <w:r w:rsidR="003141CD">
        <w:rPr>
          <w:rFonts w:ascii="Cambria" w:hAnsi="Cambria"/>
          <w:sz w:val="20"/>
          <w:szCs w:val="20"/>
          <w:lang w:val="es-UY"/>
        </w:rPr>
        <w:t xml:space="preserve"> todavía</w:t>
      </w:r>
      <w:r w:rsidR="00397923">
        <w:rPr>
          <w:rFonts w:ascii="Cambria" w:hAnsi="Cambria"/>
          <w:sz w:val="20"/>
          <w:szCs w:val="20"/>
          <w:lang w:val="es-UY"/>
        </w:rPr>
        <w:t xml:space="preserve"> no ha sido notificado a la parte demandante. Por esta razón</w:t>
      </w:r>
      <w:r w:rsidR="008D3BEC">
        <w:rPr>
          <w:rFonts w:ascii="Cambria" w:hAnsi="Cambria"/>
          <w:sz w:val="20"/>
          <w:szCs w:val="20"/>
          <w:lang w:val="es-UY"/>
        </w:rPr>
        <w:t>,</w:t>
      </w:r>
      <w:r w:rsidR="00397923">
        <w:rPr>
          <w:rFonts w:ascii="Cambria" w:hAnsi="Cambria"/>
          <w:sz w:val="20"/>
          <w:szCs w:val="20"/>
          <w:lang w:val="es-UY"/>
        </w:rPr>
        <w:t xml:space="preserve"> considera que ha existido un retardo injustificado en la resolución del proceso administrativo de reparación directa. </w:t>
      </w:r>
    </w:p>
    <w:p w14:paraId="54191930" w14:textId="0016088D" w:rsidR="007156CF" w:rsidRDefault="00397923" w:rsidP="003141C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Agrega </w:t>
      </w:r>
      <w:r w:rsidR="008D3BEC">
        <w:rPr>
          <w:rFonts w:ascii="Cambria" w:hAnsi="Cambria"/>
          <w:sz w:val="20"/>
          <w:szCs w:val="20"/>
          <w:lang w:val="es-UY"/>
        </w:rPr>
        <w:t xml:space="preserve">que al momento en que las personas familiares de la presunta víctima interpusieron la acción de reparación directa esta era concebida en Colombia como un recurso meramente indemnizatorio. Reconoce que en Colombia se han realizado avances jurisprudenciales con respecto a la acción de reparación directa para buscar que esta permita reparación integral en conformidad con los estándares del Sistema Interamericano. Sin embargo, </w:t>
      </w:r>
      <w:r w:rsidR="00581A24">
        <w:rPr>
          <w:rFonts w:ascii="Cambria" w:hAnsi="Cambria"/>
          <w:sz w:val="20"/>
          <w:szCs w:val="20"/>
          <w:lang w:val="es-UY"/>
        </w:rPr>
        <w:t>resalta que estos avances fueron todos posteriores a la presentación de la petición y sostiene que las personas familiares de la presunta víctima no tuvieron acceso a un recurso idóneo que les permitiera obtener la declaración de responsabilidad del Estado y la correspondiente r</w:t>
      </w:r>
      <w:r w:rsidR="00373F53">
        <w:rPr>
          <w:rFonts w:ascii="Cambria" w:hAnsi="Cambria"/>
          <w:sz w:val="20"/>
          <w:szCs w:val="20"/>
          <w:lang w:val="es-UY"/>
        </w:rPr>
        <w:t xml:space="preserve">eparación </w:t>
      </w:r>
      <w:r w:rsidR="00581A24">
        <w:rPr>
          <w:rFonts w:ascii="Cambria" w:hAnsi="Cambria"/>
          <w:sz w:val="20"/>
          <w:szCs w:val="20"/>
          <w:lang w:val="es-UY"/>
        </w:rPr>
        <w:t xml:space="preserve">integral. </w:t>
      </w:r>
    </w:p>
    <w:p w14:paraId="43084D93" w14:textId="53573902" w:rsidR="00C71B82" w:rsidRDefault="00C71B82"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Estado, por su parte, considera que la petición debe ser inadmitida porque los hechos expuestos en ella no caracterizan violaciones a los derechos garantizados por los instrumentos del Sistema Interamericano</w:t>
      </w:r>
      <w:r w:rsidR="00CC6458">
        <w:rPr>
          <w:rFonts w:ascii="Cambria" w:hAnsi="Cambria"/>
          <w:sz w:val="20"/>
          <w:szCs w:val="20"/>
          <w:lang w:val="es-UY"/>
        </w:rPr>
        <w:t xml:space="preserve">, </w:t>
      </w:r>
      <w:r w:rsidR="00713EA0">
        <w:rPr>
          <w:rFonts w:ascii="Cambria" w:hAnsi="Cambria"/>
          <w:sz w:val="20"/>
          <w:szCs w:val="20"/>
          <w:lang w:val="es-UY"/>
        </w:rPr>
        <w:t>porque los recursos de la jurisdicción interna no se encuentran agotados</w:t>
      </w:r>
      <w:r w:rsidR="00CC6458">
        <w:rPr>
          <w:rFonts w:ascii="Cambria" w:hAnsi="Cambria"/>
          <w:sz w:val="20"/>
          <w:szCs w:val="20"/>
          <w:lang w:val="es-UY"/>
        </w:rPr>
        <w:t xml:space="preserve">, y porque la Comisión carece de competencia </w:t>
      </w:r>
      <w:r w:rsidR="00CC6458" w:rsidRPr="00CC6458">
        <w:rPr>
          <w:rFonts w:ascii="Cambria" w:hAnsi="Cambria"/>
          <w:i/>
          <w:sz w:val="20"/>
          <w:szCs w:val="20"/>
          <w:lang w:val="es-UY"/>
        </w:rPr>
        <w:t>ratione materiare</w:t>
      </w:r>
      <w:r w:rsidR="00CC6458">
        <w:rPr>
          <w:rFonts w:ascii="Cambria" w:hAnsi="Cambria"/>
          <w:i/>
          <w:sz w:val="20"/>
          <w:szCs w:val="20"/>
          <w:lang w:val="es-UY"/>
        </w:rPr>
        <w:t xml:space="preserve"> </w:t>
      </w:r>
      <w:r w:rsidR="00CC6458">
        <w:rPr>
          <w:rFonts w:ascii="Cambria" w:hAnsi="Cambria"/>
          <w:sz w:val="20"/>
          <w:szCs w:val="20"/>
          <w:lang w:val="es-UY"/>
        </w:rPr>
        <w:t>para pronunciarse sobre las supuestas violaciones a la Declaración Americana alegadas en la petición.</w:t>
      </w:r>
    </w:p>
    <w:p w14:paraId="2DCEB41C" w14:textId="444D29D7" w:rsidR="00C71B82" w:rsidRDefault="00C71B82"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 </w:t>
      </w:r>
      <w:r w:rsidR="00D2214E">
        <w:rPr>
          <w:rFonts w:ascii="Cambria" w:hAnsi="Cambria"/>
          <w:sz w:val="20"/>
          <w:szCs w:val="20"/>
          <w:lang w:val="es-UY"/>
        </w:rPr>
        <w:t xml:space="preserve">Informa que en el ordenamiento interno se han adelantado procesos penales, disciplinarios y administrativos con relación al ataque de grupos ilegales ocurrido en Dabeiba el 24 de septiembre de 1998 y la muerte de la presunta víctima. Indica que la Procuraduría Departamental de </w:t>
      </w:r>
      <w:r w:rsidR="003C2707">
        <w:rPr>
          <w:rFonts w:ascii="Cambria" w:hAnsi="Cambria"/>
          <w:sz w:val="20"/>
          <w:szCs w:val="20"/>
          <w:lang w:val="es-UY"/>
        </w:rPr>
        <w:t>Antioquía</w:t>
      </w:r>
      <w:r w:rsidR="00D2214E">
        <w:rPr>
          <w:rFonts w:ascii="Cambria" w:hAnsi="Cambria"/>
          <w:sz w:val="20"/>
          <w:szCs w:val="20"/>
          <w:lang w:val="es-UY"/>
        </w:rPr>
        <w:t xml:space="preserve"> inició una investigación contra el </w:t>
      </w:r>
      <w:r w:rsidR="003C2707">
        <w:rPr>
          <w:rFonts w:ascii="Cambria" w:hAnsi="Cambria"/>
          <w:sz w:val="20"/>
          <w:szCs w:val="20"/>
          <w:lang w:val="es-UY"/>
        </w:rPr>
        <w:t>a</w:t>
      </w:r>
      <w:r w:rsidR="00D2214E">
        <w:rPr>
          <w:rFonts w:ascii="Cambria" w:hAnsi="Cambria"/>
          <w:sz w:val="20"/>
          <w:szCs w:val="20"/>
          <w:lang w:val="es-UY"/>
        </w:rPr>
        <w:t xml:space="preserve">lcalde de Dabeiba, la que luego archivó por considerar que </w:t>
      </w:r>
      <w:r w:rsidR="00373F53">
        <w:rPr>
          <w:rFonts w:ascii="Cambria" w:hAnsi="Cambria"/>
          <w:sz w:val="20"/>
          <w:szCs w:val="20"/>
          <w:lang w:val="es-UY"/>
        </w:rPr>
        <w:t xml:space="preserve">aquel </w:t>
      </w:r>
      <w:r w:rsidR="00D2214E">
        <w:rPr>
          <w:rFonts w:ascii="Cambria" w:hAnsi="Cambria"/>
          <w:sz w:val="20"/>
          <w:szCs w:val="20"/>
          <w:lang w:val="es-UY"/>
        </w:rPr>
        <w:t xml:space="preserve">había sido “diligente en informar oportunamente los rumores de una presunta toma guerrillera y la presencia de grupos subversivos en el Área Urbana del Municipio”. También señala que la Procuraduría General de la Nación abrió una indagación preliminar para establecer la posible responsabilidad de servidores públicos en este ataque, la que finalmente archivó tras considerar que la Fuerza Pública había actuado de manera “adecuada a la falta de recursos, y a pesar de haber sido atacado [sic], por un sin número de subversivos, lograron reaccionar en la medida de sus posibilidades”. Agrega que </w:t>
      </w:r>
      <w:r w:rsidR="00952682">
        <w:rPr>
          <w:rFonts w:ascii="Cambria" w:hAnsi="Cambria"/>
          <w:sz w:val="20"/>
          <w:szCs w:val="20"/>
          <w:lang w:val="es-UY"/>
        </w:rPr>
        <w:t>el 30 de octubre de 1998</w:t>
      </w:r>
      <w:r w:rsidR="003C2707">
        <w:rPr>
          <w:rFonts w:ascii="Cambria" w:hAnsi="Cambria"/>
          <w:sz w:val="20"/>
          <w:szCs w:val="20"/>
          <w:lang w:val="es-UY"/>
        </w:rPr>
        <w:t>,</w:t>
      </w:r>
      <w:r w:rsidR="00952682">
        <w:rPr>
          <w:rFonts w:ascii="Cambria" w:hAnsi="Cambria"/>
          <w:sz w:val="20"/>
          <w:szCs w:val="20"/>
          <w:lang w:val="es-UY"/>
        </w:rPr>
        <w:t xml:space="preserve"> la Dirección Regional de Fiscalías en Medellín inició una investigación previa relacionada con los hechos expuestos en la petición y que dicha investigación permanece en curso</w:t>
      </w:r>
      <w:r w:rsidR="003C2707">
        <w:rPr>
          <w:rFonts w:ascii="Cambria" w:hAnsi="Cambria"/>
          <w:sz w:val="20"/>
          <w:szCs w:val="20"/>
          <w:lang w:val="es-UY"/>
        </w:rPr>
        <w:t>,</w:t>
      </w:r>
      <w:r w:rsidR="00952682">
        <w:rPr>
          <w:rFonts w:ascii="Cambria" w:hAnsi="Cambria"/>
          <w:sz w:val="20"/>
          <w:szCs w:val="20"/>
          <w:lang w:val="es-UY"/>
        </w:rPr>
        <w:t xml:space="preserve"> habiéndose vinculado en esta a varios integrantes de la FARC que participaron en el ataque a Dabeiba. De igual manera, que las personas familiares de las presuntas víctimas iniciaron el 20 de mayo de 1999 un proceso de reparación el cual no ha concluido encontrándose pendiente la resolución de un recurso de apelación. </w:t>
      </w:r>
    </w:p>
    <w:p w14:paraId="55F6A657" w14:textId="79AA5744" w:rsidR="000421DF" w:rsidRDefault="00952682" w:rsidP="000421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Manifiesta que los hechos expuestos en la petición </w:t>
      </w:r>
      <w:r w:rsidR="000421DF">
        <w:rPr>
          <w:rFonts w:ascii="Cambria" w:hAnsi="Cambria"/>
          <w:sz w:val="20"/>
          <w:szCs w:val="20"/>
          <w:lang w:val="es-UY"/>
        </w:rPr>
        <w:t xml:space="preserve">no permiten atribuirle responsabilidad internacional por violaciones a los derechos humanos, toda vez que los actos denunciados fueron cometidos por terceros, </w:t>
      </w:r>
      <w:r>
        <w:rPr>
          <w:rFonts w:ascii="Cambria" w:hAnsi="Cambria"/>
          <w:sz w:val="20"/>
          <w:szCs w:val="20"/>
          <w:lang w:val="es-UY"/>
        </w:rPr>
        <w:t>sin que puedan ser atribuidos</w:t>
      </w:r>
      <w:r w:rsidR="000421DF">
        <w:rPr>
          <w:rFonts w:ascii="Cambria" w:hAnsi="Cambria"/>
          <w:sz w:val="20"/>
          <w:szCs w:val="20"/>
          <w:lang w:val="es-UY"/>
        </w:rPr>
        <w:t>,</w:t>
      </w:r>
      <w:r>
        <w:rPr>
          <w:rFonts w:ascii="Cambria" w:hAnsi="Cambria"/>
          <w:sz w:val="20"/>
          <w:szCs w:val="20"/>
          <w:lang w:val="es-UY"/>
        </w:rPr>
        <w:t xml:space="preserve"> si quiera </w:t>
      </w:r>
      <w:r w:rsidRPr="00952682">
        <w:rPr>
          <w:rFonts w:ascii="Cambria" w:hAnsi="Cambria"/>
          <w:i/>
          <w:sz w:val="20"/>
          <w:szCs w:val="20"/>
          <w:lang w:val="es-UY"/>
        </w:rPr>
        <w:t>prima facie</w:t>
      </w:r>
      <w:r w:rsidR="000421DF">
        <w:rPr>
          <w:rFonts w:ascii="Cambria" w:hAnsi="Cambria"/>
          <w:i/>
          <w:sz w:val="20"/>
          <w:szCs w:val="20"/>
          <w:lang w:val="es-UY"/>
        </w:rPr>
        <w:t>,</w:t>
      </w:r>
      <w:r>
        <w:rPr>
          <w:rFonts w:ascii="Cambria" w:hAnsi="Cambria"/>
          <w:sz w:val="20"/>
          <w:szCs w:val="20"/>
          <w:lang w:val="es-UY"/>
        </w:rPr>
        <w:t xml:space="preserve"> a </w:t>
      </w:r>
      <w:r w:rsidR="00EB0D78">
        <w:rPr>
          <w:rFonts w:ascii="Cambria" w:hAnsi="Cambria"/>
          <w:sz w:val="20"/>
          <w:szCs w:val="20"/>
          <w:lang w:val="es-UY"/>
        </w:rPr>
        <w:t>agentes</w:t>
      </w:r>
      <w:r w:rsidR="00373F53">
        <w:rPr>
          <w:rFonts w:ascii="Cambria" w:hAnsi="Cambria"/>
          <w:sz w:val="20"/>
          <w:szCs w:val="20"/>
          <w:lang w:val="es-UY"/>
        </w:rPr>
        <w:t xml:space="preserve"> estatales</w:t>
      </w:r>
      <w:r w:rsidR="000421DF">
        <w:rPr>
          <w:rFonts w:ascii="Cambria" w:hAnsi="Cambria"/>
          <w:sz w:val="20"/>
          <w:szCs w:val="20"/>
          <w:lang w:val="es-UY"/>
        </w:rPr>
        <w:t xml:space="preserve">, ni por omisión o aquiescencia. </w:t>
      </w:r>
      <w:r w:rsidR="00EB0D78">
        <w:rPr>
          <w:rFonts w:ascii="Cambria" w:hAnsi="Cambria"/>
          <w:sz w:val="20"/>
          <w:szCs w:val="20"/>
          <w:lang w:val="es-UY"/>
        </w:rPr>
        <w:t xml:space="preserve">Destaca que la parte peticionaria solo ha hecho referencia a una supuesta falta de diligencia de las autoridades estatales para prevenir los hechos, sin aportar argumentos ni elementos fácticos o jurídicos que indiquen que </w:t>
      </w:r>
      <w:r w:rsidR="000421DF">
        <w:rPr>
          <w:rFonts w:ascii="Cambria" w:hAnsi="Cambria"/>
          <w:sz w:val="20"/>
          <w:szCs w:val="20"/>
          <w:lang w:val="es-UY"/>
        </w:rPr>
        <w:t>tales acontecimientos</w:t>
      </w:r>
      <w:r w:rsidR="00EB0D78">
        <w:rPr>
          <w:rFonts w:ascii="Cambria" w:hAnsi="Cambria"/>
          <w:sz w:val="20"/>
          <w:szCs w:val="20"/>
          <w:lang w:val="es-UY"/>
        </w:rPr>
        <w:t xml:space="preserve"> hayan ocurrido como consecuencia de la aquiescencia, connivencia o tolerancia de</w:t>
      </w:r>
      <w:r w:rsidR="000421DF">
        <w:rPr>
          <w:rFonts w:ascii="Cambria" w:hAnsi="Cambria"/>
          <w:sz w:val="20"/>
          <w:szCs w:val="20"/>
          <w:lang w:val="es-UY"/>
        </w:rPr>
        <w:t xml:space="preserve"> las autoridades</w:t>
      </w:r>
      <w:r w:rsidR="009A3771">
        <w:rPr>
          <w:rFonts w:ascii="Cambria" w:hAnsi="Cambria"/>
          <w:sz w:val="20"/>
          <w:szCs w:val="20"/>
          <w:lang w:val="es-UY"/>
        </w:rPr>
        <w:t xml:space="preserve">. Agrega que tampoco incurrió en la aducida falta de diligencia y explica que la presunta víctima había solicitado ayuda </w:t>
      </w:r>
      <w:r w:rsidR="000421DF">
        <w:rPr>
          <w:rFonts w:ascii="Cambria" w:hAnsi="Cambria"/>
          <w:sz w:val="20"/>
          <w:szCs w:val="20"/>
          <w:lang w:val="es-UY"/>
        </w:rPr>
        <w:t xml:space="preserve">a </w:t>
      </w:r>
      <w:r w:rsidR="009A3771">
        <w:rPr>
          <w:rFonts w:ascii="Cambria" w:hAnsi="Cambria"/>
          <w:sz w:val="20"/>
          <w:szCs w:val="20"/>
          <w:lang w:val="es-UY"/>
        </w:rPr>
        <w:t>las autoridades ante la situación de riesgo que afrontaba</w:t>
      </w:r>
      <w:r w:rsidR="008F35E6">
        <w:rPr>
          <w:rFonts w:ascii="Cambria" w:hAnsi="Cambria"/>
          <w:sz w:val="20"/>
          <w:szCs w:val="20"/>
          <w:lang w:val="es-UY"/>
        </w:rPr>
        <w:t>,</w:t>
      </w:r>
      <w:r w:rsidR="009A3771">
        <w:rPr>
          <w:rFonts w:ascii="Cambria" w:hAnsi="Cambria"/>
          <w:sz w:val="20"/>
          <w:szCs w:val="20"/>
          <w:lang w:val="es-UY"/>
        </w:rPr>
        <w:t xml:space="preserve"> </w:t>
      </w:r>
      <w:r w:rsidR="008F35E6">
        <w:rPr>
          <w:rFonts w:ascii="Cambria" w:hAnsi="Cambria"/>
          <w:sz w:val="20"/>
          <w:szCs w:val="20"/>
          <w:lang w:val="es-UY"/>
        </w:rPr>
        <w:t>resultando en</w:t>
      </w:r>
      <w:r w:rsidR="009A3771">
        <w:rPr>
          <w:rFonts w:ascii="Cambria" w:hAnsi="Cambria"/>
          <w:sz w:val="20"/>
          <w:szCs w:val="20"/>
          <w:lang w:val="es-UY"/>
        </w:rPr>
        <w:t xml:space="preserve"> que el comandante de la Policía Nacional de D</w:t>
      </w:r>
      <w:r w:rsidR="002D0A00">
        <w:rPr>
          <w:rFonts w:ascii="Cambria" w:hAnsi="Cambria"/>
          <w:sz w:val="20"/>
          <w:szCs w:val="20"/>
          <w:lang w:val="es-UY"/>
        </w:rPr>
        <w:t>abeiba</w:t>
      </w:r>
      <w:r w:rsidR="009A3771">
        <w:rPr>
          <w:rFonts w:ascii="Cambria" w:hAnsi="Cambria"/>
          <w:sz w:val="20"/>
          <w:szCs w:val="20"/>
          <w:lang w:val="es-UY"/>
        </w:rPr>
        <w:t xml:space="preserve"> destinara a dos agentes de la fuerza p</w:t>
      </w:r>
      <w:r w:rsidR="002D0A00">
        <w:rPr>
          <w:rFonts w:ascii="Cambria" w:hAnsi="Cambria"/>
          <w:sz w:val="20"/>
          <w:szCs w:val="20"/>
          <w:lang w:val="es-UY"/>
        </w:rPr>
        <w:t xml:space="preserve">ública para que le brindaran protección. </w:t>
      </w:r>
    </w:p>
    <w:p w14:paraId="1058E648" w14:textId="3E423F02" w:rsidR="008F35E6" w:rsidRDefault="002D0A00" w:rsidP="000421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Destaca que la obligación de prevenir violaciones a los derechos humanos es de medios y no de resultados y que el Tribunal Administrativo de Antioquía, al decidir en primera instancia la demanda de reparación directa interpuesta por las personas familiares de la presunta víctima, concluyó que: “</w:t>
      </w:r>
      <w:r w:rsidRPr="000421DF">
        <w:rPr>
          <w:rFonts w:ascii="Cambria" w:hAnsi="Cambria"/>
          <w:i/>
          <w:iCs/>
          <w:sz w:val="20"/>
          <w:szCs w:val="20"/>
          <w:lang w:val="es-UY"/>
        </w:rPr>
        <w:t>no hay pruebas adicionales que muestren en el proceso que el Ejército contaba con los medios para repeler el ataque a tiempo y que no lo hizo, tales como la distancia entre el lugar más cercano al lugar de los hechos donde se encontraba el Ejército Nacional, el número de personal a disposición, et</w:t>
      </w:r>
      <w:r w:rsidR="000421DF">
        <w:rPr>
          <w:rFonts w:ascii="Cambria" w:hAnsi="Cambria"/>
          <w:i/>
          <w:iCs/>
          <w:sz w:val="20"/>
          <w:szCs w:val="20"/>
          <w:lang w:val="es-UY"/>
        </w:rPr>
        <w:t>c</w:t>
      </w:r>
      <w:r>
        <w:rPr>
          <w:rFonts w:ascii="Cambria" w:hAnsi="Cambria"/>
          <w:sz w:val="20"/>
          <w:szCs w:val="20"/>
          <w:lang w:val="es-UY"/>
        </w:rPr>
        <w:t>.” y que “</w:t>
      </w:r>
      <w:r w:rsidRPr="000421DF">
        <w:rPr>
          <w:rFonts w:ascii="Cambria" w:hAnsi="Cambria"/>
          <w:i/>
          <w:iCs/>
          <w:sz w:val="20"/>
          <w:szCs w:val="20"/>
          <w:lang w:val="es-UY"/>
        </w:rPr>
        <w:t>del estudio de la prueba queda claro que el ataque no era previsible, que la Fuerza Pública le brindó la protección que la víctima solicitó, y, por último, que no existe medio de convicción que conduzca a afirmar que la muerte del señor HIGUITA obedeciera a un hecho imputable a la Administración</w:t>
      </w:r>
      <w:r>
        <w:rPr>
          <w:rFonts w:ascii="Cambria" w:hAnsi="Cambria"/>
          <w:sz w:val="20"/>
          <w:szCs w:val="20"/>
          <w:lang w:val="es-UY"/>
        </w:rPr>
        <w:t xml:space="preserve">”. </w:t>
      </w:r>
      <w:r w:rsidR="008F35E6">
        <w:rPr>
          <w:rFonts w:ascii="Cambria" w:hAnsi="Cambria"/>
          <w:sz w:val="20"/>
          <w:szCs w:val="20"/>
          <w:lang w:val="es-UY"/>
        </w:rPr>
        <w:t xml:space="preserve"> En cuanto a la supuesta desatención del pedido de ayuda realizado </w:t>
      </w:r>
      <w:r w:rsidR="008F35E6">
        <w:rPr>
          <w:rFonts w:ascii="Cambria" w:hAnsi="Cambria"/>
          <w:sz w:val="20"/>
          <w:szCs w:val="20"/>
          <w:lang w:val="es-UY"/>
        </w:rPr>
        <w:lastRenderedPageBreak/>
        <w:t>por la Alcaldía de Dabeiba, indica que el Ministerio de Defensa informó que “</w:t>
      </w:r>
      <w:r w:rsidR="008F35E6" w:rsidRPr="000421DF">
        <w:rPr>
          <w:rFonts w:ascii="Cambria" w:hAnsi="Cambria"/>
          <w:i/>
          <w:iCs/>
          <w:sz w:val="20"/>
          <w:szCs w:val="20"/>
          <w:lang w:val="es-UY"/>
        </w:rPr>
        <w:t>no se encontró antecedente sobre la solicitud que habría cursado la Alcaldía de Dabeiba relacionada con mayor presencia militar en la zona</w:t>
      </w:r>
      <w:r w:rsidR="008F35E6">
        <w:rPr>
          <w:rFonts w:ascii="Cambria" w:hAnsi="Cambria"/>
          <w:sz w:val="20"/>
          <w:szCs w:val="20"/>
          <w:lang w:val="es-UY"/>
        </w:rPr>
        <w:t>”.</w:t>
      </w:r>
    </w:p>
    <w:p w14:paraId="7FC46A44" w14:textId="77777777" w:rsidR="000421DF" w:rsidRDefault="00616921"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El Estado también sostiene que los recursos internos no se encuentran agotados con respecto al objeto de la petición</w:t>
      </w:r>
      <w:r w:rsidR="008F35E6">
        <w:rPr>
          <w:rFonts w:ascii="Cambria" w:hAnsi="Cambria"/>
          <w:sz w:val="20"/>
          <w:szCs w:val="20"/>
          <w:lang w:val="es-UY"/>
        </w:rPr>
        <w:t>.</w:t>
      </w:r>
      <w:r>
        <w:rPr>
          <w:rFonts w:ascii="Cambria" w:hAnsi="Cambria"/>
          <w:sz w:val="20"/>
          <w:szCs w:val="20"/>
          <w:lang w:val="es-UY"/>
        </w:rPr>
        <w:t xml:space="preserve"> En este sentido,</w:t>
      </w:r>
      <w:r w:rsidR="008F35E6">
        <w:rPr>
          <w:rFonts w:ascii="Cambria" w:hAnsi="Cambria"/>
          <w:sz w:val="20"/>
          <w:szCs w:val="20"/>
          <w:lang w:val="es-UY"/>
        </w:rPr>
        <w:t xml:space="preserve"> </w:t>
      </w:r>
      <w:r>
        <w:rPr>
          <w:rFonts w:ascii="Cambria" w:hAnsi="Cambria"/>
          <w:sz w:val="20"/>
          <w:szCs w:val="20"/>
          <w:lang w:val="es-UY"/>
        </w:rPr>
        <w:t>r</w:t>
      </w:r>
      <w:r w:rsidR="000C7915">
        <w:rPr>
          <w:rFonts w:ascii="Cambria" w:hAnsi="Cambria"/>
          <w:sz w:val="20"/>
          <w:szCs w:val="20"/>
          <w:lang w:val="es-UY"/>
        </w:rPr>
        <w:t xml:space="preserve">ecalca que conforme a los estándares del Sistema Interamericano el proceso penal es el recurso adecuado para la investigación, sanción y reparación de violaciones tales como las que se alegan en la petición. </w:t>
      </w:r>
      <w:r w:rsidR="00ED2DA5">
        <w:rPr>
          <w:rFonts w:ascii="Cambria" w:hAnsi="Cambria"/>
          <w:sz w:val="20"/>
          <w:szCs w:val="20"/>
          <w:lang w:val="es-UY"/>
        </w:rPr>
        <w:t>Así explica que</w:t>
      </w:r>
      <w:r w:rsidR="000C7915">
        <w:rPr>
          <w:rFonts w:ascii="Cambria" w:hAnsi="Cambria"/>
          <w:sz w:val="20"/>
          <w:szCs w:val="20"/>
          <w:lang w:val="es-UY"/>
        </w:rPr>
        <w:t xml:space="preserve"> una vez tuvo conocimiento de los hechos</w:t>
      </w:r>
      <w:r w:rsidR="000421DF">
        <w:rPr>
          <w:rFonts w:ascii="Cambria" w:hAnsi="Cambria"/>
          <w:sz w:val="20"/>
          <w:szCs w:val="20"/>
          <w:lang w:val="es-UY"/>
        </w:rPr>
        <w:t>, la Fiscalía inició</w:t>
      </w:r>
      <w:r w:rsidR="000C7915">
        <w:rPr>
          <w:rFonts w:ascii="Cambria" w:hAnsi="Cambria"/>
          <w:sz w:val="20"/>
          <w:szCs w:val="20"/>
          <w:lang w:val="es-UY"/>
        </w:rPr>
        <w:t xml:space="preserve"> </w:t>
      </w:r>
      <w:r w:rsidR="000C7915" w:rsidRPr="000C7915">
        <w:rPr>
          <w:rFonts w:ascii="Cambria" w:hAnsi="Cambria"/>
          <w:i/>
          <w:sz w:val="20"/>
          <w:szCs w:val="20"/>
          <w:lang w:val="es-UY"/>
        </w:rPr>
        <w:t>ex officio</w:t>
      </w:r>
      <w:r w:rsidR="000C7915">
        <w:rPr>
          <w:rFonts w:ascii="Cambria" w:hAnsi="Cambria"/>
          <w:i/>
          <w:sz w:val="20"/>
          <w:szCs w:val="20"/>
          <w:lang w:val="es-UY"/>
        </w:rPr>
        <w:t xml:space="preserve"> </w:t>
      </w:r>
      <w:r w:rsidR="000C7915">
        <w:rPr>
          <w:rFonts w:ascii="Cambria" w:hAnsi="Cambria"/>
          <w:sz w:val="20"/>
          <w:szCs w:val="20"/>
          <w:lang w:val="es-UY"/>
        </w:rPr>
        <w:t xml:space="preserve">un proceso penal serio, imparcial e independiente con el objetivo de esclarecer la verdad y agotar todas las líneas de investigación respecto al actuar complejo de las estructuras criminales involucradas. Como evidencia de </w:t>
      </w:r>
      <w:r w:rsidR="00ED2DA5">
        <w:rPr>
          <w:rFonts w:ascii="Cambria" w:hAnsi="Cambria"/>
          <w:sz w:val="20"/>
          <w:szCs w:val="20"/>
          <w:lang w:val="es-UY"/>
        </w:rPr>
        <w:t>su diligencia, el Estado</w:t>
      </w:r>
      <w:r w:rsidR="000C7915">
        <w:rPr>
          <w:rFonts w:ascii="Cambria" w:hAnsi="Cambria"/>
          <w:sz w:val="20"/>
          <w:szCs w:val="20"/>
          <w:lang w:val="es-UY"/>
        </w:rPr>
        <w:t xml:space="preserve"> indica que la investigación inició mediante resolución del 25 de septiembre de 1998 en la que se ordenó la práctica de diligencias y pruebas tendientes a la identificación e individualización de los autores responsables; que el 22 de mayo de 2013 se realizó un Comité Técnico Jurídico en el marco del proceso penal en el cual se asumieron compromisos tendientes a identificar a los responsables de los hechos; y que el 3 de noviembre de 2015 se remitió la investigación a una fiscalía especializada en atención </w:t>
      </w:r>
      <w:r w:rsidR="001B617C">
        <w:rPr>
          <w:rFonts w:ascii="Cambria" w:hAnsi="Cambria"/>
          <w:sz w:val="20"/>
          <w:szCs w:val="20"/>
          <w:lang w:val="es-UY"/>
        </w:rPr>
        <w:t>a que</w:t>
      </w:r>
      <w:r w:rsidR="000C7915">
        <w:rPr>
          <w:rFonts w:ascii="Cambria" w:hAnsi="Cambria"/>
          <w:sz w:val="20"/>
          <w:szCs w:val="20"/>
          <w:lang w:val="es-UY"/>
        </w:rPr>
        <w:t xml:space="preserve"> </w:t>
      </w:r>
      <w:r w:rsidR="001B617C">
        <w:rPr>
          <w:rFonts w:ascii="Cambria" w:hAnsi="Cambria"/>
          <w:sz w:val="20"/>
          <w:szCs w:val="20"/>
          <w:lang w:val="es-UY"/>
        </w:rPr>
        <w:t>un</w:t>
      </w:r>
      <w:r w:rsidR="000421DF">
        <w:rPr>
          <w:rFonts w:ascii="Cambria" w:hAnsi="Cambria"/>
          <w:sz w:val="20"/>
          <w:szCs w:val="20"/>
          <w:lang w:val="es-UY"/>
        </w:rPr>
        <w:t xml:space="preserve"> </w:t>
      </w:r>
      <w:r w:rsidR="000C7915">
        <w:rPr>
          <w:rFonts w:ascii="Cambria" w:hAnsi="Cambria"/>
          <w:sz w:val="20"/>
          <w:szCs w:val="20"/>
          <w:lang w:val="es-UY"/>
        </w:rPr>
        <w:t xml:space="preserve">“desmovilizado” </w:t>
      </w:r>
      <w:r w:rsidR="001B617C">
        <w:rPr>
          <w:rFonts w:ascii="Cambria" w:hAnsi="Cambria"/>
          <w:sz w:val="20"/>
          <w:szCs w:val="20"/>
          <w:lang w:val="es-UY"/>
        </w:rPr>
        <w:t xml:space="preserve">de las FARC rindió una versión libre en la que aceptó su responsabilidad por los hechos ocurridos en Dabeiba. </w:t>
      </w:r>
    </w:p>
    <w:p w14:paraId="2875F4B1" w14:textId="58A6D486" w:rsidR="00616921" w:rsidRPr="000421DF" w:rsidRDefault="00ED2DA5"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0421DF">
        <w:rPr>
          <w:rFonts w:ascii="Cambria" w:hAnsi="Cambria"/>
          <w:sz w:val="20"/>
          <w:szCs w:val="20"/>
          <w:lang w:val="es-UY"/>
        </w:rPr>
        <w:t>El Estado explica</w:t>
      </w:r>
      <w:r w:rsidR="0044520B" w:rsidRPr="000421DF">
        <w:rPr>
          <w:rFonts w:ascii="Cambria" w:hAnsi="Cambria"/>
          <w:sz w:val="20"/>
          <w:szCs w:val="20"/>
          <w:lang w:val="es-UY"/>
        </w:rPr>
        <w:t xml:space="preserve"> que la investigación penal en cuestión reviste de alto grado de complejidad dada la situación de derechos humanos en la zona y época en que ocurrieron los hechos</w:t>
      </w:r>
      <w:r w:rsidR="000421DF" w:rsidRPr="000421DF">
        <w:rPr>
          <w:rFonts w:ascii="Cambria" w:hAnsi="Cambria"/>
          <w:sz w:val="20"/>
          <w:szCs w:val="20"/>
          <w:lang w:val="es-UY"/>
        </w:rPr>
        <w:t>,</w:t>
      </w:r>
      <w:r w:rsidR="0044520B" w:rsidRPr="000421DF">
        <w:rPr>
          <w:rFonts w:ascii="Cambria" w:hAnsi="Cambria"/>
          <w:sz w:val="20"/>
          <w:szCs w:val="20"/>
          <w:lang w:val="es-UY"/>
        </w:rPr>
        <w:t xml:space="preserve"> y el </w:t>
      </w:r>
      <w:r w:rsidR="0044520B" w:rsidRPr="000421DF">
        <w:rPr>
          <w:rFonts w:ascii="Cambria" w:hAnsi="Cambria"/>
          <w:i/>
          <w:sz w:val="20"/>
          <w:szCs w:val="20"/>
          <w:lang w:val="es-UY"/>
        </w:rPr>
        <w:t xml:space="preserve">modus operandi </w:t>
      </w:r>
      <w:r w:rsidR="0044520B" w:rsidRPr="000421DF">
        <w:rPr>
          <w:rFonts w:ascii="Cambria" w:hAnsi="Cambria"/>
          <w:sz w:val="20"/>
          <w:szCs w:val="20"/>
          <w:lang w:val="es-UY"/>
        </w:rPr>
        <w:t xml:space="preserve">de los grupos armados ilegales y su tendencia a desaparecer pruebas. Por estas razones, </w:t>
      </w:r>
      <w:r w:rsidRPr="000421DF">
        <w:rPr>
          <w:rFonts w:ascii="Cambria" w:hAnsi="Cambria"/>
          <w:sz w:val="20"/>
          <w:szCs w:val="20"/>
          <w:lang w:val="es-UY"/>
        </w:rPr>
        <w:t xml:space="preserve">este </w:t>
      </w:r>
      <w:r w:rsidR="0044520B" w:rsidRPr="000421DF">
        <w:rPr>
          <w:rFonts w:ascii="Cambria" w:hAnsi="Cambria"/>
          <w:sz w:val="20"/>
          <w:szCs w:val="20"/>
          <w:lang w:val="es-UY"/>
        </w:rPr>
        <w:t>alega que no se puede establecer que exista un retardo injustificado en la resolución del proceso que justifique la aplicación de una excepció</w:t>
      </w:r>
      <w:r w:rsidR="00AA61AD" w:rsidRPr="000421DF">
        <w:rPr>
          <w:rFonts w:ascii="Cambria" w:hAnsi="Cambria"/>
          <w:sz w:val="20"/>
          <w:szCs w:val="20"/>
          <w:lang w:val="es-UY"/>
        </w:rPr>
        <w:t>n al requisito de agotamiento d</w:t>
      </w:r>
      <w:r w:rsidR="0044520B" w:rsidRPr="000421DF">
        <w:rPr>
          <w:rFonts w:ascii="Cambria" w:hAnsi="Cambria"/>
          <w:sz w:val="20"/>
          <w:szCs w:val="20"/>
          <w:lang w:val="es-UY"/>
        </w:rPr>
        <w:t>e</w:t>
      </w:r>
      <w:r w:rsidR="00AA61AD" w:rsidRPr="000421DF">
        <w:rPr>
          <w:rFonts w:ascii="Cambria" w:hAnsi="Cambria"/>
          <w:sz w:val="20"/>
          <w:szCs w:val="20"/>
          <w:lang w:val="es-UY"/>
        </w:rPr>
        <w:t xml:space="preserve"> </w:t>
      </w:r>
      <w:r w:rsidR="0044520B" w:rsidRPr="000421DF">
        <w:rPr>
          <w:rFonts w:ascii="Cambria" w:hAnsi="Cambria"/>
          <w:sz w:val="20"/>
          <w:szCs w:val="20"/>
          <w:lang w:val="es-UY"/>
        </w:rPr>
        <w:t xml:space="preserve">los recursos internos. </w:t>
      </w:r>
      <w:r w:rsidR="000421DF" w:rsidRPr="000421DF">
        <w:rPr>
          <w:rFonts w:ascii="Cambria" w:hAnsi="Cambria"/>
          <w:sz w:val="20"/>
          <w:szCs w:val="20"/>
          <w:lang w:val="es-UY"/>
        </w:rPr>
        <w:t>En esa línea,</w:t>
      </w:r>
      <w:r w:rsidR="0044520B" w:rsidRPr="000421DF">
        <w:rPr>
          <w:rFonts w:ascii="Cambria" w:hAnsi="Cambria"/>
          <w:sz w:val="20"/>
          <w:szCs w:val="20"/>
          <w:lang w:val="es-UY"/>
        </w:rPr>
        <w:t xml:space="preserve"> </w:t>
      </w:r>
      <w:r w:rsidR="000421DF" w:rsidRPr="000421DF">
        <w:rPr>
          <w:rFonts w:ascii="Cambria" w:hAnsi="Cambria"/>
          <w:sz w:val="20"/>
          <w:szCs w:val="20"/>
          <w:lang w:val="es-UY"/>
        </w:rPr>
        <w:t>e</w:t>
      </w:r>
      <w:r w:rsidR="00616921" w:rsidRPr="000421DF">
        <w:rPr>
          <w:rFonts w:ascii="Cambria" w:hAnsi="Cambria"/>
          <w:sz w:val="20"/>
          <w:szCs w:val="20"/>
          <w:lang w:val="es-UY"/>
        </w:rPr>
        <w:t xml:space="preserve">n su última comunicación recibida el 26 de mayo </w:t>
      </w:r>
      <w:r w:rsidRPr="000421DF">
        <w:rPr>
          <w:rFonts w:ascii="Cambria" w:hAnsi="Cambria"/>
          <w:sz w:val="20"/>
          <w:szCs w:val="20"/>
          <w:lang w:val="es-UY"/>
        </w:rPr>
        <w:t>de 2021</w:t>
      </w:r>
      <w:r w:rsidR="000421DF" w:rsidRPr="000421DF">
        <w:rPr>
          <w:rFonts w:ascii="Cambria" w:hAnsi="Cambria"/>
          <w:sz w:val="20"/>
          <w:szCs w:val="20"/>
          <w:lang w:val="es-UY"/>
        </w:rPr>
        <w:t xml:space="preserve">, </w:t>
      </w:r>
      <w:r w:rsidRPr="000421DF">
        <w:rPr>
          <w:rFonts w:ascii="Cambria" w:hAnsi="Cambria"/>
          <w:sz w:val="20"/>
          <w:szCs w:val="20"/>
          <w:lang w:val="es-UY"/>
        </w:rPr>
        <w:t>informó que el proceso penal en cuestión permanecía abierto, habiéndose logrado establecer “</w:t>
      </w:r>
      <w:r w:rsidRPr="000421DF">
        <w:rPr>
          <w:rFonts w:ascii="Cambria" w:hAnsi="Cambria"/>
          <w:i/>
          <w:iCs/>
          <w:sz w:val="20"/>
          <w:szCs w:val="20"/>
          <w:lang w:val="es-UY"/>
        </w:rPr>
        <w:t>las circunstancias de tiempo, modo y lugar en la que ocurrió el homicidio del Sr. Higuita</w:t>
      </w:r>
      <w:r w:rsidRPr="000421DF">
        <w:rPr>
          <w:rFonts w:ascii="Cambria" w:hAnsi="Cambria"/>
          <w:sz w:val="20"/>
          <w:szCs w:val="20"/>
          <w:lang w:val="es-UY"/>
        </w:rPr>
        <w:t xml:space="preserve">” y continuando la Fiscalía con sus esfuerzos destinados a establecer quienes fueron los demás responsables de los hechos. </w:t>
      </w:r>
    </w:p>
    <w:p w14:paraId="25EC577A" w14:textId="19ADCEC3" w:rsidR="008F35E6" w:rsidRPr="00C31CCA" w:rsidRDefault="0044520B"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Añade </w:t>
      </w:r>
      <w:r w:rsidR="00AA61AD">
        <w:rPr>
          <w:rFonts w:ascii="Cambria" w:hAnsi="Cambria"/>
          <w:sz w:val="20"/>
          <w:szCs w:val="20"/>
          <w:lang w:val="es-UY"/>
        </w:rPr>
        <w:t>que</w:t>
      </w:r>
      <w:r w:rsidR="00911EF7">
        <w:rPr>
          <w:rFonts w:ascii="Cambria" w:hAnsi="Cambria"/>
          <w:sz w:val="20"/>
          <w:szCs w:val="20"/>
          <w:lang w:val="es-UY"/>
        </w:rPr>
        <w:t xml:space="preserve"> tampoco ha existido retardo injustificado en la resolución de la acción de reparación directa interpuesta por las personas familiares de la presunta víctima, estando la duración de este proceso justificada por su alto grado de complejidad; el cual atribuye </w:t>
      </w:r>
      <w:r w:rsidR="00164ED5">
        <w:rPr>
          <w:rFonts w:ascii="Cambria" w:hAnsi="Cambria"/>
          <w:sz w:val="20"/>
          <w:szCs w:val="20"/>
          <w:lang w:val="es-UY"/>
        </w:rPr>
        <w:t>a</w:t>
      </w:r>
      <w:r w:rsidR="00911EF7">
        <w:rPr>
          <w:rFonts w:ascii="Cambria" w:hAnsi="Cambria"/>
          <w:sz w:val="20"/>
          <w:szCs w:val="20"/>
          <w:lang w:val="es-UY"/>
        </w:rPr>
        <w:t xml:space="preserve"> las circunstancias de tiempo, modo y lugar en que sucedieron los hechos y el contexto de conflicto armado que se vivía en Dabeiba cuando estos ocurrieron.</w:t>
      </w:r>
      <w:r w:rsidR="00AA61AD">
        <w:rPr>
          <w:rFonts w:ascii="Cambria" w:hAnsi="Cambria"/>
          <w:sz w:val="20"/>
          <w:szCs w:val="20"/>
          <w:lang w:val="es-UY"/>
        </w:rPr>
        <w:t xml:space="preserve"> </w:t>
      </w:r>
      <w:r w:rsidR="00911EF7">
        <w:rPr>
          <w:rFonts w:ascii="Cambria" w:hAnsi="Cambria"/>
          <w:sz w:val="20"/>
          <w:szCs w:val="20"/>
          <w:lang w:val="es-UY"/>
        </w:rPr>
        <w:t xml:space="preserve">Alega que la acción de reparación directa </w:t>
      </w:r>
      <w:r w:rsidR="00AA61AD">
        <w:rPr>
          <w:rFonts w:ascii="Cambria" w:hAnsi="Cambria"/>
          <w:sz w:val="20"/>
          <w:szCs w:val="20"/>
          <w:lang w:val="es-UY"/>
        </w:rPr>
        <w:t>constituye un recurso idóneo</w:t>
      </w:r>
      <w:r w:rsidR="00911EF7">
        <w:rPr>
          <w:rFonts w:ascii="Cambria" w:hAnsi="Cambria"/>
          <w:sz w:val="20"/>
          <w:szCs w:val="20"/>
          <w:lang w:val="es-UY"/>
        </w:rPr>
        <w:t xml:space="preserve"> para</w:t>
      </w:r>
      <w:r w:rsidR="00AA61AD" w:rsidRPr="00911EF7">
        <w:rPr>
          <w:rFonts w:ascii="Cambria" w:hAnsi="Cambria"/>
          <w:sz w:val="20"/>
          <w:szCs w:val="20"/>
          <w:lang w:val="es-UY"/>
        </w:rPr>
        <w:t xml:space="preserve"> que se declare </w:t>
      </w:r>
      <w:r w:rsidR="00911EF7" w:rsidRPr="00911EF7">
        <w:rPr>
          <w:rFonts w:ascii="Cambria" w:hAnsi="Cambria"/>
          <w:sz w:val="20"/>
          <w:szCs w:val="20"/>
          <w:lang w:val="es-UY"/>
        </w:rPr>
        <w:t xml:space="preserve">la responsabilidad de la </w:t>
      </w:r>
      <w:r w:rsidR="00911EF7" w:rsidRPr="00C31CCA">
        <w:rPr>
          <w:rFonts w:ascii="Cambria" w:hAnsi="Cambria"/>
          <w:sz w:val="20"/>
          <w:szCs w:val="20"/>
          <w:lang w:val="es-UY"/>
        </w:rPr>
        <w:t>administración y se proporcione reparación integral a las personas familiares de la presunta víctima, por lo que debe ser agotado.</w:t>
      </w:r>
      <w:r w:rsidR="00C31CCA" w:rsidRPr="00C31CCA">
        <w:rPr>
          <w:rFonts w:ascii="Cambria" w:hAnsi="Cambria"/>
          <w:sz w:val="20"/>
          <w:szCs w:val="20"/>
          <w:lang w:val="es-UY"/>
        </w:rPr>
        <w:t xml:space="preserve"> Al respecto, e</w:t>
      </w:r>
      <w:r w:rsidR="00164ED5" w:rsidRPr="00C31CCA">
        <w:rPr>
          <w:rFonts w:ascii="Cambria" w:hAnsi="Cambria"/>
          <w:sz w:val="20"/>
          <w:szCs w:val="20"/>
          <w:lang w:val="es-UY"/>
        </w:rPr>
        <w:t>n su última comunicación</w:t>
      </w:r>
      <w:r w:rsidR="00C31CCA">
        <w:rPr>
          <w:rFonts w:ascii="Cambria" w:hAnsi="Cambria"/>
          <w:sz w:val="20"/>
          <w:szCs w:val="20"/>
          <w:lang w:val="es-UY"/>
        </w:rPr>
        <w:t>, explicó</w:t>
      </w:r>
      <w:r w:rsidR="00164ED5" w:rsidRPr="00C31CCA">
        <w:rPr>
          <w:rFonts w:ascii="Cambria" w:hAnsi="Cambria"/>
          <w:sz w:val="20"/>
          <w:szCs w:val="20"/>
          <w:lang w:val="es-UY"/>
        </w:rPr>
        <w:t xml:space="preserve"> que el proceso de reparación se encontraba a la espera de un fallo de segunda instancia habiéndose registrado un proyecto de sentencia el 29 de julio de 2020</w:t>
      </w:r>
      <w:r w:rsidR="00C31CCA" w:rsidRPr="00C31CCA">
        <w:rPr>
          <w:rFonts w:ascii="Cambria" w:hAnsi="Cambria"/>
          <w:sz w:val="20"/>
          <w:szCs w:val="20"/>
          <w:lang w:val="es-UY"/>
        </w:rPr>
        <w:t>,</w:t>
      </w:r>
      <w:r w:rsidR="00164ED5" w:rsidRPr="00C31CCA">
        <w:rPr>
          <w:rFonts w:ascii="Cambria" w:hAnsi="Cambria"/>
          <w:sz w:val="20"/>
          <w:szCs w:val="20"/>
          <w:lang w:val="es-UY"/>
        </w:rPr>
        <w:t xml:space="preserve"> para ser discutido en sala virtual de subsección convocada para iniciar desde el 31 de julio de 2020. En esa comunicación el Estado también afirmó que el proceso estaría culminando de forma definitiva “en los próximos meses”. </w:t>
      </w:r>
    </w:p>
    <w:p w14:paraId="3C9DDBA1" w14:textId="4FF3CCBC" w:rsidR="00164ED5" w:rsidRPr="00C31CCA" w:rsidRDefault="00C31CCA"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Adicionalmente</w:t>
      </w:r>
      <w:r w:rsidRPr="00C31CCA">
        <w:rPr>
          <w:rFonts w:ascii="Cambria" w:hAnsi="Cambria"/>
          <w:sz w:val="20"/>
          <w:szCs w:val="20"/>
          <w:lang w:val="es-UY"/>
        </w:rPr>
        <w:t>,</w:t>
      </w:r>
      <w:r w:rsidR="00164ED5" w:rsidRPr="00C31CCA">
        <w:rPr>
          <w:rFonts w:ascii="Cambria" w:hAnsi="Cambria"/>
          <w:sz w:val="20"/>
          <w:szCs w:val="20"/>
          <w:lang w:val="es-UY"/>
        </w:rPr>
        <w:t xml:space="preserve"> también informó que el 11 de septiembre de 2018 se había iniciado ante la Jurisdicción Especial de Paz un caso para estudiar los hechos victimizantes ocurridos en </w:t>
      </w:r>
      <w:r w:rsidR="001F0612" w:rsidRPr="00C31CCA">
        <w:rPr>
          <w:rFonts w:ascii="Cambria" w:hAnsi="Cambria"/>
          <w:sz w:val="20"/>
          <w:szCs w:val="20"/>
          <w:lang w:val="es-UY"/>
        </w:rPr>
        <w:t>diez</w:t>
      </w:r>
      <w:r w:rsidR="00164ED5" w:rsidRPr="00C31CCA">
        <w:rPr>
          <w:rFonts w:ascii="Cambria" w:hAnsi="Cambria"/>
          <w:sz w:val="20"/>
          <w:szCs w:val="20"/>
          <w:lang w:val="es-UY"/>
        </w:rPr>
        <w:t xml:space="preserve"> municipios, incluido </w:t>
      </w:r>
      <w:r w:rsidR="001F0612" w:rsidRPr="00C31CCA">
        <w:rPr>
          <w:rFonts w:ascii="Cambria" w:hAnsi="Cambria"/>
          <w:sz w:val="20"/>
          <w:szCs w:val="20"/>
          <w:lang w:val="es-UY"/>
        </w:rPr>
        <w:t>Dabeiba en Antioquía. El Estado señaló que los hechos denunciados en la petición se enmarcaban dentro de ese caso y que en el desarrollo del caso se habían logrado avances tales como 4 diligencias colectivas de Construcción Dialógica de la Verdad y la recepción de versiones de 16 comparecientes de la fuerza pública y 10 comparecientes de las FARC</w:t>
      </w:r>
      <w:r w:rsidRPr="00C31CCA">
        <w:rPr>
          <w:rFonts w:ascii="Cambria" w:hAnsi="Cambria"/>
          <w:sz w:val="20"/>
          <w:szCs w:val="20"/>
          <w:lang w:val="es-UY"/>
        </w:rPr>
        <w:t xml:space="preserve">, </w:t>
      </w:r>
      <w:r w:rsidR="001F0612" w:rsidRPr="00C31CCA">
        <w:rPr>
          <w:rFonts w:ascii="Cambria" w:hAnsi="Cambria"/>
          <w:sz w:val="20"/>
          <w:szCs w:val="20"/>
          <w:lang w:val="es-UY"/>
        </w:rPr>
        <w:t>con espacios para que los apoderados de las víctimas que se encuentran acreditadas en el caso realicen preguntas</w:t>
      </w:r>
      <w:r w:rsidRPr="00C31CCA">
        <w:rPr>
          <w:rStyle w:val="FootnoteReference"/>
          <w:rFonts w:ascii="Cambria" w:hAnsi="Cambria"/>
          <w:sz w:val="20"/>
          <w:szCs w:val="20"/>
          <w:lang w:val="es-UY"/>
        </w:rPr>
        <w:footnoteReference w:id="6"/>
      </w:r>
      <w:r w:rsidR="001F0612" w:rsidRPr="00C31CCA">
        <w:rPr>
          <w:rFonts w:ascii="Cambria" w:hAnsi="Cambria"/>
          <w:sz w:val="20"/>
          <w:szCs w:val="20"/>
          <w:lang w:val="es-UY"/>
        </w:rPr>
        <w:t>. A juicio del Estado, el que este proceso permanezca abierto y sin retardo injustificado implica que la petición no cumple con el requisito de agotamiento de los recursos internos.</w:t>
      </w:r>
    </w:p>
    <w:p w14:paraId="622EBF7D" w14:textId="4B2BD827" w:rsidR="00952682" w:rsidRPr="00803A03" w:rsidRDefault="002D0A00"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t xml:space="preserve"> </w:t>
      </w:r>
      <w:r w:rsidR="00C31CCA">
        <w:rPr>
          <w:rFonts w:ascii="Cambria" w:hAnsi="Cambria"/>
          <w:sz w:val="20"/>
          <w:szCs w:val="20"/>
          <w:lang w:val="es-UY"/>
        </w:rPr>
        <w:t>Finalmente</w:t>
      </w:r>
      <w:r w:rsidR="001F0612">
        <w:rPr>
          <w:rFonts w:ascii="Cambria" w:hAnsi="Cambria"/>
          <w:sz w:val="20"/>
          <w:szCs w:val="20"/>
          <w:lang w:val="es-UY"/>
        </w:rPr>
        <w:t>, el Es</w:t>
      </w:r>
      <w:r w:rsidR="00C31CCA">
        <w:rPr>
          <w:rFonts w:ascii="Cambria" w:hAnsi="Cambria"/>
          <w:sz w:val="20"/>
          <w:szCs w:val="20"/>
          <w:lang w:val="es-UY"/>
        </w:rPr>
        <w:t>t</w:t>
      </w:r>
      <w:r w:rsidR="001F0612">
        <w:rPr>
          <w:rFonts w:ascii="Cambria" w:hAnsi="Cambria"/>
          <w:sz w:val="20"/>
          <w:szCs w:val="20"/>
          <w:lang w:val="es-UY"/>
        </w:rPr>
        <w:t>ado</w:t>
      </w:r>
      <w:r w:rsidR="00D07ABC">
        <w:rPr>
          <w:rFonts w:ascii="Cambria" w:hAnsi="Cambria"/>
          <w:sz w:val="20"/>
          <w:szCs w:val="20"/>
          <w:lang w:val="es-UY"/>
        </w:rPr>
        <w:t xml:space="preserve"> señala que la Comisión carece de competencia </w:t>
      </w:r>
      <w:r w:rsidR="00D07ABC" w:rsidRPr="00C71B82">
        <w:rPr>
          <w:rFonts w:ascii="Cambria" w:hAnsi="Cambria"/>
          <w:i/>
          <w:sz w:val="20"/>
          <w:szCs w:val="20"/>
          <w:lang w:val="es-UY"/>
        </w:rPr>
        <w:t>ratione materiae</w:t>
      </w:r>
      <w:r w:rsidR="00D07ABC">
        <w:rPr>
          <w:rFonts w:ascii="Cambria" w:hAnsi="Cambria"/>
          <w:sz w:val="20"/>
          <w:szCs w:val="20"/>
          <w:lang w:val="es-UY"/>
        </w:rPr>
        <w:t xml:space="preserve"> para pronunciarse sobre supuestas violaciones a la Declaración Americana en el contexto de una petición que se refiere a hechos ocurridos con posterioridad a la entrada en vigor de la Convención Americana para Colombia</w:t>
      </w:r>
      <w:r w:rsidR="00623C67">
        <w:rPr>
          <w:rFonts w:ascii="Cambria" w:hAnsi="Cambria"/>
          <w:sz w:val="20"/>
          <w:szCs w:val="20"/>
          <w:lang w:val="es-UY"/>
        </w:rPr>
        <w:t>,</w:t>
      </w:r>
      <w:r w:rsidR="00D07ABC">
        <w:rPr>
          <w:rFonts w:ascii="Cambria" w:hAnsi="Cambria"/>
          <w:sz w:val="20"/>
          <w:szCs w:val="20"/>
          <w:lang w:val="es-UY"/>
        </w:rPr>
        <w:t xml:space="preserve"> y en la que se alegan violaciones a derechos que también están contemplados en </w:t>
      </w:r>
      <w:r w:rsidR="00623C67">
        <w:rPr>
          <w:rFonts w:ascii="Cambria" w:hAnsi="Cambria"/>
          <w:sz w:val="20"/>
          <w:szCs w:val="20"/>
          <w:lang w:val="es-UY"/>
        </w:rPr>
        <w:t>este último instrumento</w:t>
      </w:r>
      <w:r w:rsidR="00D07ABC">
        <w:rPr>
          <w:rFonts w:ascii="Cambria" w:hAnsi="Cambria"/>
          <w:sz w:val="20"/>
          <w:szCs w:val="20"/>
          <w:lang w:val="es-UY"/>
        </w:rPr>
        <w:t>.</w:t>
      </w:r>
    </w:p>
    <w:p w14:paraId="6F4D4171" w14:textId="75062A15" w:rsidR="003239B8" w:rsidRPr="00601040" w:rsidRDefault="003239B8" w:rsidP="0060104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Cambria" w:hAnsi="Cambria"/>
          <w:sz w:val="20"/>
          <w:szCs w:val="20"/>
          <w:lang w:val="es-UY"/>
        </w:rPr>
      </w:pPr>
      <w:r w:rsidRPr="00601040">
        <w:rPr>
          <w:rFonts w:asciiTheme="majorHAnsi" w:eastAsia="Cambria" w:hAnsiTheme="majorHAnsi" w:cs="Cambria"/>
          <w:b/>
          <w:bCs/>
          <w:color w:val="000000"/>
          <w:sz w:val="20"/>
          <w:szCs w:val="20"/>
          <w:u w:color="000000"/>
          <w:lang w:val="es-ES" w:eastAsia="es-ES"/>
        </w:rPr>
        <w:lastRenderedPageBreak/>
        <w:t>VI.</w:t>
      </w:r>
      <w:r w:rsidRPr="00601040">
        <w:rPr>
          <w:rFonts w:asciiTheme="majorHAnsi" w:eastAsia="Cambria" w:hAnsiTheme="majorHAnsi" w:cs="Cambria"/>
          <w:b/>
          <w:bCs/>
          <w:color w:val="000000"/>
          <w:sz w:val="20"/>
          <w:szCs w:val="20"/>
          <w:u w:color="000000"/>
          <w:lang w:val="es-ES" w:eastAsia="es-ES"/>
        </w:rPr>
        <w:tab/>
      </w:r>
      <w:r w:rsidR="004A6A54" w:rsidRPr="00601040">
        <w:rPr>
          <w:rFonts w:asciiTheme="majorHAnsi" w:hAnsiTheme="majorHAnsi"/>
          <w:b/>
          <w:bCs/>
          <w:sz w:val="20"/>
          <w:szCs w:val="20"/>
          <w:lang w:val="es-ES_tradnl"/>
        </w:rPr>
        <w:t xml:space="preserve">ANÁLISIS DE </w:t>
      </w:r>
      <w:r w:rsidR="00C21FEF" w:rsidRPr="00601040">
        <w:rPr>
          <w:rFonts w:asciiTheme="majorHAnsi" w:hAnsiTheme="majorHAnsi"/>
          <w:b/>
          <w:sz w:val="20"/>
          <w:szCs w:val="20"/>
          <w:lang w:val="es-ES"/>
        </w:rPr>
        <w:t>AGOTAMIENTO DE LOS RECURSOS INTERNOS Y PLAZO DE PRESENTACIÓN</w:t>
      </w:r>
      <w:r w:rsidR="00C21FEF" w:rsidRPr="00601040">
        <w:rPr>
          <w:rFonts w:asciiTheme="majorHAnsi" w:eastAsia="Cambria" w:hAnsiTheme="majorHAnsi" w:cs="Cambria"/>
          <w:b/>
          <w:bCs/>
          <w:color w:val="000000"/>
          <w:sz w:val="20"/>
          <w:szCs w:val="20"/>
          <w:u w:color="000000"/>
          <w:lang w:val="es-ES" w:eastAsia="es-ES"/>
        </w:rPr>
        <w:t xml:space="preserve"> </w:t>
      </w:r>
    </w:p>
    <w:p w14:paraId="007BF1CA" w14:textId="77777777" w:rsidR="0015317F" w:rsidRPr="0015317F" w:rsidRDefault="007E75F4"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
        </w:rPr>
      </w:pPr>
      <w:r>
        <w:rPr>
          <w:rFonts w:ascii="Cambria" w:hAnsi="Cambria"/>
          <w:sz w:val="20"/>
          <w:szCs w:val="20"/>
          <w:lang w:val="es-ES"/>
        </w:rPr>
        <w:t xml:space="preserve">La Comisión </w:t>
      </w:r>
      <w:r w:rsidR="00D07ABC">
        <w:rPr>
          <w:rFonts w:ascii="Cambria" w:hAnsi="Cambria"/>
          <w:sz w:val="20"/>
          <w:szCs w:val="20"/>
          <w:lang w:val="es-UY"/>
        </w:rPr>
        <w:t xml:space="preserve">observa que el peticionario ha denunciado </w:t>
      </w:r>
      <w:r w:rsidR="00F864FE">
        <w:rPr>
          <w:rFonts w:ascii="Cambria" w:hAnsi="Cambria"/>
          <w:sz w:val="20"/>
          <w:szCs w:val="20"/>
          <w:lang w:val="es-UY"/>
        </w:rPr>
        <w:t xml:space="preserve">que el Estado no ha cumplido con el plazo razonable en la resolución del proceso penal relacionado con el objeto de la petición y del proceso pertinente a la acción de reparación directa interpuesta por las personas familiares de la presunta víctima. A su vez, el Estado ha </w:t>
      </w:r>
      <w:r w:rsidR="0015317F">
        <w:rPr>
          <w:rFonts w:ascii="Cambria" w:hAnsi="Cambria"/>
          <w:sz w:val="20"/>
          <w:szCs w:val="20"/>
          <w:lang w:val="es-UY"/>
        </w:rPr>
        <w:t xml:space="preserve">negado las alegaciones de retardo injustificado y </w:t>
      </w:r>
      <w:r w:rsidR="00F864FE">
        <w:rPr>
          <w:rFonts w:ascii="Cambria" w:hAnsi="Cambria"/>
          <w:sz w:val="20"/>
          <w:szCs w:val="20"/>
          <w:lang w:val="es-UY"/>
        </w:rPr>
        <w:t>sostenido que la petición no cumple con el requisito de agotamiento de los recursos internos porque estos procesos no se encuentran concluidos</w:t>
      </w:r>
      <w:r w:rsidR="0015317F">
        <w:rPr>
          <w:rFonts w:ascii="Cambria" w:hAnsi="Cambria"/>
          <w:sz w:val="20"/>
          <w:szCs w:val="20"/>
          <w:lang w:val="es-UY"/>
        </w:rPr>
        <w:t xml:space="preserve">. </w:t>
      </w:r>
    </w:p>
    <w:p w14:paraId="2439CD4E" w14:textId="41DC8903" w:rsidR="003E4115" w:rsidRPr="0063392A" w:rsidRDefault="0015317F" w:rsidP="00F87422">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UY"/>
        </w:rPr>
        <w:t>La Comisión recuerda su criterio sostenido respecto a que “</w:t>
      </w:r>
      <w:r w:rsidRPr="00324E1F">
        <w:rPr>
          <w:rFonts w:ascii="Cambria" w:hAnsi="Cambria" w:cs="Calibri"/>
          <w:i/>
          <w:iCs/>
          <w:sz w:val="20"/>
          <w:szCs w:val="20"/>
          <w:lang w:val="es-ES_tradnl"/>
        </w:rPr>
        <w:t>en situaciones […] que incluyen delitos contra la vida e integridad, los recursos internos que deben tomarse en cuenta a los efectos de la admisibilidad de las peticiones son los relacionados con la investigación penal y sanción de los responsables</w:t>
      </w:r>
      <w:r w:rsidRPr="00496FE9">
        <w:rPr>
          <w:rFonts w:ascii="Cambria" w:hAnsi="Cambria" w:cs="Calibri"/>
          <w:sz w:val="20"/>
          <w:szCs w:val="20"/>
          <w:lang w:val="es-ES_tradnl"/>
        </w:rPr>
        <w:t>”</w:t>
      </w:r>
      <w:r w:rsidRPr="0015317F">
        <w:rPr>
          <w:rStyle w:val="FootnoteReference"/>
          <w:rFonts w:ascii="Cambria" w:hAnsi="Cambria" w:cs="Calibri"/>
          <w:sz w:val="20"/>
          <w:szCs w:val="20"/>
          <w:lang w:val="es-PA"/>
        </w:rPr>
        <w:t xml:space="preserve"> </w:t>
      </w:r>
      <w:r w:rsidRPr="00496FE9">
        <w:rPr>
          <w:rStyle w:val="FootnoteReference"/>
          <w:rFonts w:ascii="Cambria" w:hAnsi="Cambria" w:cs="Calibri"/>
          <w:sz w:val="20"/>
          <w:szCs w:val="20"/>
        </w:rPr>
        <w:footnoteReference w:id="7"/>
      </w:r>
      <w:r>
        <w:rPr>
          <w:rFonts w:ascii="Cambria" w:hAnsi="Cambria" w:cs="Calibri"/>
          <w:sz w:val="20"/>
          <w:szCs w:val="20"/>
          <w:lang w:val="es-PA"/>
        </w:rPr>
        <w:t xml:space="preserve"> En el presente caso, las partes concuerdan en que el proceso penal pertinente a la determinación de los responsables por la muerte de la presunta víctima no ha concluido. Ante esta circunstancia, la Comisión </w:t>
      </w:r>
      <w:r w:rsidRPr="00496FE9">
        <w:rPr>
          <w:rFonts w:asciiTheme="majorHAnsi" w:hAnsiTheme="majorHAnsi"/>
          <w:bCs/>
          <w:sz w:val="20"/>
          <w:szCs w:val="20"/>
          <w:lang w:val="es-ES"/>
        </w:rPr>
        <w:t>debe analizar si la presente petición se encuentra dentro del supuesto de excepción al agotamiento de los recursos internos previsto en el artículo 46.2(c) de la Convención Americana.</w:t>
      </w:r>
      <w:r>
        <w:rPr>
          <w:rFonts w:asciiTheme="majorHAnsi" w:hAnsiTheme="majorHAnsi"/>
          <w:bCs/>
          <w:sz w:val="20"/>
          <w:szCs w:val="20"/>
          <w:lang w:val="es-ES"/>
        </w:rPr>
        <w:t xml:space="preserve"> </w:t>
      </w:r>
      <w:r w:rsidRPr="00496FE9">
        <w:rPr>
          <w:rFonts w:asciiTheme="majorHAnsi" w:hAnsiTheme="majorHAnsi"/>
          <w:bCs/>
          <w:sz w:val="20"/>
          <w:szCs w:val="20"/>
          <w:lang w:val="es-ES"/>
        </w:rPr>
        <w:t>Para estos efectos, la Comisión recuerda que ya determinado que las disposiciones de la Convención Americana que establecen excepciones a la regla de agotamiento de los recursos internos “</w:t>
      </w:r>
      <w:r w:rsidRPr="00324E1F">
        <w:rPr>
          <w:rFonts w:ascii="Cambria" w:hAnsi="Cambria" w:cs="Calibri"/>
          <w:i/>
          <w:iCs/>
          <w:sz w:val="20"/>
          <w:szCs w:val="20"/>
          <w:lang w:val="es-ES_tradnl"/>
        </w:rPr>
        <w:t>por su naturaleza y objeto, son normas con contenido autónomo vis à vis las normas sustantivas de la Convención</w:t>
      </w:r>
      <w:r w:rsidR="00324E1F">
        <w:rPr>
          <w:rFonts w:ascii="Cambria" w:hAnsi="Cambria" w:cs="Calibri"/>
          <w:sz w:val="20"/>
          <w:szCs w:val="20"/>
          <w:lang w:val="es-ES_tradnl"/>
        </w:rPr>
        <w:t>”</w:t>
      </w:r>
      <w:r w:rsidRPr="00496FE9">
        <w:rPr>
          <w:rFonts w:ascii="Cambria" w:hAnsi="Cambria" w:cs="Calibri"/>
          <w:sz w:val="20"/>
          <w:szCs w:val="20"/>
          <w:lang w:val="es-ES_tradnl"/>
        </w:rPr>
        <w:t>. Por lo tanto, la determinación de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r w:rsidRPr="00496FE9">
        <w:rPr>
          <w:rStyle w:val="FootnoteReference"/>
          <w:rFonts w:ascii="Cambria" w:hAnsi="Cambria" w:cs="Calibri"/>
          <w:sz w:val="20"/>
          <w:szCs w:val="20"/>
        </w:rPr>
        <w:footnoteReference w:id="8"/>
      </w:r>
      <w:r w:rsidRPr="00496FE9">
        <w:rPr>
          <w:rFonts w:ascii="Cambria" w:hAnsi="Cambria" w:cs="Calibri"/>
          <w:sz w:val="20"/>
          <w:szCs w:val="20"/>
          <w:lang w:val="es-ES_tradnl"/>
        </w:rPr>
        <w:t xml:space="preserve">. </w:t>
      </w:r>
    </w:p>
    <w:p w14:paraId="2874EAEE" w14:textId="77777777" w:rsidR="00593291" w:rsidRPr="00593291" w:rsidRDefault="00593291" w:rsidP="00F87422">
      <w:pPr>
        <w:numPr>
          <w:ilvl w:val="0"/>
          <w:numId w:val="55"/>
        </w:numPr>
        <w:suppressAutoHyphens/>
        <w:spacing w:after="120"/>
        <w:jc w:val="both"/>
        <w:rPr>
          <w:rFonts w:asciiTheme="majorHAnsi" w:hAnsiTheme="majorHAnsi"/>
          <w:b/>
          <w:bCs/>
          <w:sz w:val="20"/>
          <w:szCs w:val="20"/>
          <w:lang w:val="es-ES"/>
        </w:rPr>
      </w:pPr>
      <w:r w:rsidRPr="00496FE9">
        <w:rPr>
          <w:rFonts w:ascii="Cambria" w:hAnsi="Cambria" w:cs="Calibri"/>
          <w:sz w:val="20"/>
          <w:szCs w:val="20"/>
          <w:lang w:val="es-ES_tradnl"/>
        </w:rPr>
        <w:t>En el presente caso, la Comisión toma nota de lo alegado por el Estado en el sentido de que la complejidad del asunto sería la razón por la que el proceso no ha podido ser</w:t>
      </w:r>
      <w:r>
        <w:rPr>
          <w:rFonts w:ascii="Cambria" w:hAnsi="Cambria" w:cs="Calibri"/>
          <w:sz w:val="20"/>
          <w:szCs w:val="20"/>
          <w:lang w:val="es-ES_tradnl"/>
        </w:rPr>
        <w:t xml:space="preserve"> concluido de forma más temprana</w:t>
      </w:r>
      <w:r w:rsidRPr="00496FE9">
        <w:rPr>
          <w:rFonts w:ascii="Cambria" w:hAnsi="Cambria" w:cs="Calibri"/>
          <w:sz w:val="20"/>
          <w:szCs w:val="20"/>
          <w:lang w:val="es-ES_tradnl"/>
        </w:rPr>
        <w:t>.</w:t>
      </w:r>
      <w:r>
        <w:rPr>
          <w:rFonts w:asciiTheme="majorHAnsi" w:hAnsiTheme="majorHAnsi"/>
          <w:bCs/>
          <w:sz w:val="20"/>
          <w:szCs w:val="20"/>
          <w:lang w:val="es-ES"/>
        </w:rPr>
        <w:t xml:space="preserve"> Sin embargo, también</w:t>
      </w:r>
      <w:r w:rsidR="003E4115" w:rsidRPr="003E4115">
        <w:rPr>
          <w:rFonts w:asciiTheme="majorHAnsi" w:hAnsiTheme="majorHAnsi"/>
          <w:bCs/>
          <w:sz w:val="20"/>
          <w:szCs w:val="20"/>
          <w:lang w:val="es-ES"/>
        </w:rPr>
        <w:t xml:space="preserve"> valora que, según lo </w:t>
      </w:r>
      <w:r w:rsidR="00D4360D">
        <w:rPr>
          <w:rFonts w:asciiTheme="majorHAnsi" w:hAnsiTheme="majorHAnsi"/>
          <w:bCs/>
          <w:sz w:val="20"/>
          <w:szCs w:val="20"/>
          <w:lang w:val="es-ES"/>
        </w:rPr>
        <w:t xml:space="preserve">expuesto por las partes, el proceso penal pertinente habría iniciado en 1998 y permanecería en desarrollo hasta fecha, habiendo transcurrido 22 años y sin que se hayan alcanzado decisiones definitivas. También valora que, si bien el Estado ha aportado información sobre personas que se habrían vinculado a la investigación como posibles responsables de los hechos ilícitos, no ha hecho referencia a condenas penales que se hayan proferido con relación a estos hechos. </w:t>
      </w:r>
      <w:r>
        <w:rPr>
          <w:rFonts w:asciiTheme="majorHAnsi" w:hAnsiTheme="majorHAnsi"/>
          <w:bCs/>
          <w:sz w:val="20"/>
          <w:szCs w:val="20"/>
          <w:lang w:val="es-ES"/>
        </w:rPr>
        <w:t xml:space="preserve">Adicionalmente la Comisión recuerda </w:t>
      </w:r>
      <w:r w:rsidRPr="002C4B1B">
        <w:rPr>
          <w:rFonts w:asciiTheme="majorHAnsi" w:hAnsiTheme="majorHAnsi"/>
          <w:sz w:val="20"/>
          <w:szCs w:val="20"/>
          <w:lang w:val="es-ES_tradnl"/>
        </w:rPr>
        <w:t xml:space="preserve">que </w:t>
      </w:r>
      <w:r w:rsidRPr="002C4B1B">
        <w:rPr>
          <w:rFonts w:asciiTheme="majorHAnsi" w:hAnsiTheme="majorHAnsi"/>
          <w:sz w:val="20"/>
          <w:szCs w:val="20"/>
          <w:lang w:val="es-PA"/>
        </w:rPr>
        <w:t>la Corte Interamericana de Derechos Humanos ha mantenido que la regla del previo agotamiento nunca debe “</w:t>
      </w:r>
      <w:r w:rsidRPr="00324E1F">
        <w:rPr>
          <w:rFonts w:asciiTheme="majorHAnsi" w:eastAsia="Times New Roman" w:hAnsiTheme="majorHAnsi" w:cs="Verdana"/>
          <w:i/>
          <w:iCs/>
          <w:sz w:val="20"/>
          <w:szCs w:val="20"/>
          <w:lang w:val="es-PA"/>
        </w:rPr>
        <w:t>conducir a que se detenga o se demore hasta la inutilidad la actuación internacional en auxilio de la víctima indefensa</w:t>
      </w:r>
      <w:r w:rsidRPr="002C4B1B">
        <w:rPr>
          <w:rFonts w:asciiTheme="majorHAnsi" w:hAnsiTheme="majorHAnsi"/>
          <w:sz w:val="20"/>
          <w:szCs w:val="20"/>
          <w:lang w:val="es-PA"/>
        </w:rPr>
        <w:t>”</w:t>
      </w:r>
      <w:r w:rsidRPr="002C4B1B">
        <w:rPr>
          <w:rStyle w:val="FootnoteReference"/>
          <w:rFonts w:asciiTheme="majorHAnsi" w:hAnsiTheme="majorHAnsi"/>
          <w:sz w:val="20"/>
          <w:szCs w:val="20"/>
        </w:rPr>
        <w:footnoteReference w:id="9"/>
      </w:r>
      <w:r w:rsidRPr="002C4B1B">
        <w:rPr>
          <w:rFonts w:asciiTheme="majorHAnsi" w:hAnsiTheme="majorHAnsi"/>
          <w:sz w:val="20"/>
          <w:szCs w:val="20"/>
          <w:lang w:val="es-PA"/>
        </w:rPr>
        <w:t xml:space="preserve">.  </w:t>
      </w:r>
      <w:r>
        <w:rPr>
          <w:rFonts w:asciiTheme="majorHAnsi" w:hAnsiTheme="majorHAnsi"/>
          <w:sz w:val="20"/>
          <w:szCs w:val="20"/>
          <w:lang w:val="es-PA"/>
        </w:rPr>
        <w:t xml:space="preserve">Por estas razones, la Comisión considera que resulta procedente aplicar a la presente petición la excepción al requisito de agotamiento de los recursos internos prevista en el artículo 46.2(c) de la Convención Americana. </w:t>
      </w:r>
    </w:p>
    <w:p w14:paraId="7907554E" w14:textId="77777777" w:rsidR="00346B46" w:rsidRPr="00346B46" w:rsidRDefault="00593291" w:rsidP="00F87422">
      <w:pPr>
        <w:numPr>
          <w:ilvl w:val="0"/>
          <w:numId w:val="55"/>
        </w:numPr>
        <w:suppressAutoHyphens/>
        <w:spacing w:after="120"/>
        <w:jc w:val="both"/>
        <w:rPr>
          <w:rFonts w:asciiTheme="majorHAnsi" w:hAnsiTheme="majorHAnsi"/>
          <w:b/>
          <w:sz w:val="20"/>
          <w:szCs w:val="20"/>
          <w:lang w:val="es-ES"/>
        </w:rPr>
      </w:pPr>
      <w:r>
        <w:rPr>
          <w:rFonts w:asciiTheme="majorHAnsi" w:hAnsiTheme="majorHAnsi"/>
          <w:sz w:val="20"/>
          <w:szCs w:val="20"/>
          <w:lang w:val="es-ES"/>
        </w:rPr>
        <w:t xml:space="preserve">En cuanto a la acción de reparación directa, </w:t>
      </w:r>
      <w:r w:rsidR="0063392A">
        <w:rPr>
          <w:rFonts w:asciiTheme="majorHAnsi" w:hAnsiTheme="majorHAnsi"/>
          <w:sz w:val="20"/>
          <w:szCs w:val="20"/>
          <w:lang w:val="es-ES"/>
        </w:rPr>
        <w:t xml:space="preserve">la Comisión recuerda que </w:t>
      </w:r>
      <w:r w:rsidR="0063392A" w:rsidRPr="00BF4E8C">
        <w:rPr>
          <w:rFonts w:asciiTheme="majorHAnsi" w:hAnsiTheme="majorHAnsi"/>
          <w:bCs/>
          <w:sz w:val="20"/>
          <w:szCs w:val="20"/>
          <w:lang w:val="es-ES_tradnl"/>
        </w:rPr>
        <w:t>ya se ha pronunciado en oportunidades previas respecto al caso específico a la acción de reparación directa en Colombia, indicando que la misma no constituye un recurso idóneo cuyo agotamiento sea exigible en relación a presuntas violaciones a derechos humanos de naturaleza similar a las que se alegan en la presente petición</w:t>
      </w:r>
      <w:r w:rsidR="0063392A" w:rsidRPr="00BF4E8C">
        <w:rPr>
          <w:rStyle w:val="FootnoteReference"/>
          <w:rFonts w:ascii="Cambria" w:hAnsi="Cambria" w:cs="Calibri"/>
          <w:sz w:val="20"/>
          <w:szCs w:val="20"/>
        </w:rPr>
        <w:footnoteReference w:id="10"/>
      </w:r>
      <w:r w:rsidR="0063392A" w:rsidRPr="00BF4E8C">
        <w:rPr>
          <w:rFonts w:ascii="Cambria" w:hAnsi="Cambria" w:cs="Calibri"/>
          <w:sz w:val="20"/>
          <w:szCs w:val="20"/>
          <w:lang w:val="es-ES_tradnl"/>
        </w:rPr>
        <w:t>.</w:t>
      </w:r>
      <w:r w:rsidR="0063392A">
        <w:rPr>
          <w:rFonts w:ascii="Cambria" w:hAnsi="Cambria" w:cs="Calibri"/>
          <w:sz w:val="20"/>
          <w:szCs w:val="20"/>
          <w:lang w:val="es-ES_tradnl"/>
        </w:rPr>
        <w:t xml:space="preserve"> Sin embargo, en el presente caso la parte peticionaria ha presentado alegaciones autónomas con respecto a</w:t>
      </w:r>
      <w:r w:rsidR="002D02B3">
        <w:rPr>
          <w:rFonts w:ascii="Cambria" w:hAnsi="Cambria" w:cs="Calibri"/>
          <w:sz w:val="20"/>
          <w:szCs w:val="20"/>
          <w:lang w:val="es-ES_tradnl"/>
        </w:rPr>
        <w:t xml:space="preserve"> un </w:t>
      </w:r>
      <w:r w:rsidR="0063392A">
        <w:rPr>
          <w:rFonts w:ascii="Cambria" w:hAnsi="Cambria" w:cs="Calibri"/>
          <w:sz w:val="20"/>
          <w:szCs w:val="20"/>
          <w:lang w:val="es-ES_tradnl"/>
        </w:rPr>
        <w:t xml:space="preserve">supuesto retardo injustificado en que las autoridades judiciales </w:t>
      </w:r>
      <w:r w:rsidR="002D02B3">
        <w:rPr>
          <w:rFonts w:ascii="Cambria" w:hAnsi="Cambria" w:cs="Calibri"/>
          <w:sz w:val="20"/>
          <w:szCs w:val="20"/>
          <w:lang w:val="es-ES_tradnl"/>
        </w:rPr>
        <w:t>estarían incurriendo por la falta de resolución definitiva de esta acción</w:t>
      </w:r>
      <w:r w:rsidR="0063392A">
        <w:rPr>
          <w:rFonts w:ascii="Cambria" w:hAnsi="Cambria" w:cs="Calibri"/>
          <w:sz w:val="20"/>
          <w:szCs w:val="20"/>
          <w:lang w:val="es-ES_tradnl"/>
        </w:rPr>
        <w:t>.</w:t>
      </w:r>
      <w:r w:rsidR="002D02B3">
        <w:rPr>
          <w:rFonts w:ascii="Cambria" w:hAnsi="Cambria" w:cs="Calibri"/>
          <w:sz w:val="20"/>
          <w:szCs w:val="20"/>
          <w:lang w:val="es-ES_tradnl"/>
        </w:rPr>
        <w:t xml:space="preserve"> Dado que </w:t>
      </w:r>
      <w:r w:rsidR="00CB24A0">
        <w:rPr>
          <w:rFonts w:ascii="Cambria" w:hAnsi="Cambria" w:cs="Calibri"/>
          <w:sz w:val="20"/>
          <w:szCs w:val="20"/>
          <w:lang w:val="es-ES_tradnl"/>
        </w:rPr>
        <w:t xml:space="preserve">esta reclamación es autónoma y el proceso con respecto al cual se denuncia el retardo no ha concluido, la Comisión requiere determinar de forma separada si la excepción al requisito de agotamiento de los recursos internos prevista en el artículo 46.2(c) resulta aplicable a este extremo específico de la petición. En este sentido, la Comisión toma que según lo expuesto por las partes la acción en cuestión fue interpuesta el 20 de mayo de 1999 y no estaría definitivamente resuelta pese a haber transcurrido 21 años desde su interposición. La Comisión también valora que la decisión de primera instancia se habría emitido el 15 de octubre de 2008 y que, según lo expuesto por la parte peticionaria y no controvertido por el Estado, </w:t>
      </w:r>
      <w:r w:rsidR="009C7A5C">
        <w:rPr>
          <w:rFonts w:ascii="Cambria" w:hAnsi="Cambria" w:cs="Calibri"/>
          <w:sz w:val="20"/>
          <w:szCs w:val="20"/>
          <w:lang w:val="es-ES_tradnl"/>
        </w:rPr>
        <w:t xml:space="preserve">el proceso se ha encontrado en el “despacho" de la autoridad de segunda instancia desde el 11 de septiembre de 2009 sin </w:t>
      </w:r>
      <w:r w:rsidR="009C7A5C">
        <w:rPr>
          <w:rFonts w:ascii="Cambria" w:hAnsi="Cambria" w:cs="Calibri"/>
          <w:sz w:val="20"/>
          <w:szCs w:val="20"/>
          <w:lang w:val="es-ES_tradnl"/>
        </w:rPr>
        <w:lastRenderedPageBreak/>
        <w:t>que esta emita una decisión, pese a los casi 11 años transcurridos. En adición, si bien el Estado ha hecho referencia a las circunstancias de “</w:t>
      </w:r>
      <w:r w:rsidR="009C7A5C">
        <w:rPr>
          <w:rFonts w:ascii="Cambria" w:hAnsi="Cambria"/>
          <w:sz w:val="20"/>
          <w:szCs w:val="20"/>
          <w:lang w:val="es-UY"/>
        </w:rPr>
        <w:t>de tiempo, modo y lugar”</w:t>
      </w:r>
      <w:r w:rsidR="00346B46">
        <w:rPr>
          <w:rFonts w:ascii="Cambria" w:hAnsi="Cambria"/>
          <w:sz w:val="20"/>
          <w:szCs w:val="20"/>
          <w:lang w:val="es-UY"/>
        </w:rPr>
        <w:t xml:space="preserve"> en que ocurrieron los hechos que dieron lugar a la demanda</w:t>
      </w:r>
      <w:r w:rsidR="009C7A5C">
        <w:rPr>
          <w:rFonts w:ascii="Cambria" w:hAnsi="Cambria"/>
          <w:sz w:val="20"/>
          <w:szCs w:val="20"/>
          <w:lang w:val="es-UY"/>
        </w:rPr>
        <w:t xml:space="preserve"> como elementos que aumentar</w:t>
      </w:r>
      <w:r w:rsidR="00346B46">
        <w:rPr>
          <w:rFonts w:ascii="Cambria" w:hAnsi="Cambria"/>
          <w:sz w:val="20"/>
          <w:szCs w:val="20"/>
          <w:lang w:val="es-UY"/>
        </w:rPr>
        <w:t>ían la complejidad del proceso, no ha explicado las formas específicas en que estos elementos estarían retardando la emisión de una decisión de segunda instancia. Atendiendo a estas consideraciones, la Comisión concluye que la excepción al requisito de agotamiento de los recursos internos prevista en el artículo 46.2(c) de la Convención Americana también resuelta aplicable a este extremo de la petición.</w:t>
      </w:r>
    </w:p>
    <w:p w14:paraId="4FFBE378" w14:textId="4E9BFCDF" w:rsidR="003239B8" w:rsidRPr="00346B46" w:rsidRDefault="00346B46" w:rsidP="00F87422">
      <w:pPr>
        <w:numPr>
          <w:ilvl w:val="0"/>
          <w:numId w:val="55"/>
        </w:numPr>
        <w:suppressAutoHyphens/>
        <w:spacing w:after="120"/>
        <w:jc w:val="both"/>
        <w:rPr>
          <w:rFonts w:asciiTheme="majorHAnsi" w:hAnsiTheme="majorHAnsi"/>
          <w:b/>
          <w:sz w:val="20"/>
          <w:szCs w:val="20"/>
          <w:lang w:val="es-ES"/>
        </w:rPr>
      </w:pPr>
      <w:r>
        <w:rPr>
          <w:rFonts w:ascii="Cambria" w:hAnsi="Cambria"/>
          <w:sz w:val="20"/>
          <w:szCs w:val="20"/>
          <w:lang w:val="es-UY"/>
        </w:rPr>
        <w:t>Dado que la petición fue presentada estando vigente los agravios que en ella se denuncian, la Comisión también concluye que esta fue presentada dentro de plazo razonable en los términos del artículo 32.2 de su reglamento.</w:t>
      </w:r>
    </w:p>
    <w:p w14:paraId="5140D007" w14:textId="7AD87979" w:rsidR="00346B46" w:rsidRPr="00346B46" w:rsidRDefault="00324E1F" w:rsidP="00F87422">
      <w:pPr>
        <w:numPr>
          <w:ilvl w:val="0"/>
          <w:numId w:val="55"/>
        </w:numPr>
        <w:suppressAutoHyphens/>
        <w:spacing w:after="120"/>
        <w:jc w:val="both"/>
        <w:rPr>
          <w:rFonts w:asciiTheme="majorHAnsi" w:hAnsiTheme="majorHAnsi"/>
          <w:b/>
          <w:sz w:val="20"/>
          <w:szCs w:val="20"/>
          <w:lang w:val="es-ES"/>
        </w:rPr>
      </w:pPr>
      <w:r>
        <w:rPr>
          <w:rFonts w:ascii="Cambria" w:hAnsi="Cambria"/>
          <w:sz w:val="20"/>
          <w:szCs w:val="20"/>
          <w:lang w:val="es-ES"/>
        </w:rPr>
        <w:t>Finalmente, l</w:t>
      </w:r>
      <w:r w:rsidR="00346B46">
        <w:rPr>
          <w:rFonts w:ascii="Cambria" w:hAnsi="Cambria"/>
          <w:sz w:val="20"/>
          <w:szCs w:val="20"/>
          <w:lang w:val="es-ES"/>
        </w:rPr>
        <w:t xml:space="preserve">a Comisión advierte que las determinaciones alcanzadas en esta sección no prejuzgan sobre el fondo </w:t>
      </w:r>
      <w:r w:rsidR="00C94232">
        <w:rPr>
          <w:rFonts w:ascii="Cambria" w:hAnsi="Cambria"/>
          <w:sz w:val="20"/>
          <w:szCs w:val="20"/>
          <w:lang w:val="es-ES"/>
        </w:rPr>
        <w:t xml:space="preserve">ni la veracidad de las alegaciones </w:t>
      </w:r>
      <w:r w:rsidR="00346B46">
        <w:rPr>
          <w:rFonts w:ascii="Cambria" w:hAnsi="Cambria"/>
          <w:sz w:val="20"/>
          <w:szCs w:val="20"/>
          <w:lang w:val="es-ES"/>
        </w:rPr>
        <w:t xml:space="preserve">y que en la etapa de fondo examinará, en lo pertinente, los alegatos presentados por el Estado con respecto a las causas que habrían impedido que los procesos fueran concluidos de forma más temprana. </w:t>
      </w:r>
    </w:p>
    <w:p w14:paraId="5418CDEE" w14:textId="46BBBA66" w:rsidR="00346B46" w:rsidRPr="00346B46" w:rsidRDefault="00346B46" w:rsidP="00346B46">
      <w:pPr>
        <w:pStyle w:val="ListParagraph"/>
        <w:suppressAutoHyphens/>
        <w:spacing w:after="120"/>
        <w:jc w:val="both"/>
        <w:rPr>
          <w:rFonts w:asciiTheme="majorHAnsi" w:hAnsiTheme="majorHAnsi"/>
          <w:b/>
          <w:bCs/>
          <w:sz w:val="20"/>
          <w:szCs w:val="20"/>
          <w:lang w:val="es-ES"/>
        </w:rPr>
      </w:pPr>
      <w:r w:rsidRPr="00346B46">
        <w:rPr>
          <w:rFonts w:asciiTheme="majorHAnsi" w:hAnsiTheme="majorHAnsi"/>
          <w:b/>
          <w:bCs/>
          <w:sz w:val="20"/>
          <w:szCs w:val="20"/>
          <w:lang w:val="es-ES"/>
        </w:rPr>
        <w:t xml:space="preserve">VII. </w:t>
      </w:r>
      <w:r w:rsidRPr="00346B46">
        <w:rPr>
          <w:rFonts w:asciiTheme="majorHAnsi" w:hAnsiTheme="majorHAnsi"/>
          <w:b/>
          <w:bCs/>
          <w:sz w:val="20"/>
          <w:szCs w:val="20"/>
          <w:lang w:val="es-ES"/>
        </w:rPr>
        <w:tab/>
        <w:t>CARACTERIZACIÓN</w:t>
      </w:r>
    </w:p>
    <w:p w14:paraId="61ABB8ED" w14:textId="42B4D36C" w:rsidR="00E638D2" w:rsidRPr="00C94232" w:rsidRDefault="008C5E2D" w:rsidP="004E359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94232">
        <w:rPr>
          <w:rFonts w:asciiTheme="majorHAnsi" w:hAnsiTheme="majorHAnsi"/>
          <w:sz w:val="20"/>
          <w:szCs w:val="20"/>
          <w:lang w:val="es-ES"/>
        </w:rPr>
        <w:t xml:space="preserve">La Comisión observa que la presente petición </w:t>
      </w:r>
      <w:r w:rsidR="004E3598">
        <w:rPr>
          <w:rFonts w:asciiTheme="majorHAnsi" w:hAnsiTheme="majorHAnsi"/>
          <w:sz w:val="20"/>
          <w:szCs w:val="20"/>
          <w:lang w:val="es-ES"/>
        </w:rPr>
        <w:t>denuncia</w:t>
      </w:r>
      <w:r w:rsidR="006142C7">
        <w:rPr>
          <w:rFonts w:asciiTheme="majorHAnsi" w:hAnsiTheme="majorHAnsi"/>
          <w:sz w:val="20"/>
          <w:szCs w:val="20"/>
          <w:lang w:val="es-ES"/>
        </w:rPr>
        <w:t xml:space="preserve"> que</w:t>
      </w:r>
      <w:r w:rsidR="004E3598">
        <w:rPr>
          <w:rFonts w:asciiTheme="majorHAnsi" w:hAnsiTheme="majorHAnsi"/>
          <w:sz w:val="20"/>
          <w:szCs w:val="20"/>
          <w:lang w:val="es-ES"/>
        </w:rPr>
        <w:t xml:space="preserve"> un grupo armado ilegal retuvo, torturó y asesinó a la presunta víctima.</w:t>
      </w:r>
      <w:r w:rsidR="004E0BB6" w:rsidRPr="00C94232">
        <w:rPr>
          <w:rFonts w:asciiTheme="majorHAnsi" w:hAnsiTheme="majorHAnsi"/>
          <w:sz w:val="20"/>
          <w:szCs w:val="20"/>
          <w:lang w:val="es-ES"/>
        </w:rPr>
        <w:t xml:space="preserve">; que las autoridades estatales no tomaron las medidas apropiadas que estaban a su alcance para prevenir lo ocurrido, pese a estar en conocimiento de un riesgo inminente; que el Estado no ha investigado </w:t>
      </w:r>
      <w:r w:rsidR="001906BB" w:rsidRPr="00C94232">
        <w:rPr>
          <w:rFonts w:asciiTheme="majorHAnsi" w:hAnsiTheme="majorHAnsi"/>
          <w:sz w:val="20"/>
          <w:szCs w:val="20"/>
          <w:lang w:val="es-ES"/>
        </w:rPr>
        <w:t>seriamente la posible responsabilidad de agentes estatales en los hechos que llevaron a la muerte de</w:t>
      </w:r>
      <w:r w:rsidR="004E3598">
        <w:rPr>
          <w:rFonts w:asciiTheme="majorHAnsi" w:hAnsiTheme="majorHAnsi"/>
          <w:sz w:val="20"/>
          <w:szCs w:val="20"/>
          <w:lang w:val="es-ES"/>
        </w:rPr>
        <w:t xml:space="preserve">l </w:t>
      </w:r>
      <w:r w:rsidR="004E3598">
        <w:rPr>
          <w:rFonts w:ascii="Cambria" w:hAnsi="Cambria"/>
          <w:bCs/>
          <w:sz w:val="20"/>
          <w:szCs w:val="20"/>
          <w:lang w:val="es-PA"/>
        </w:rPr>
        <w:t>señor Higuita Roldán</w:t>
      </w:r>
      <w:r w:rsidR="001906BB" w:rsidRPr="00C94232">
        <w:rPr>
          <w:rFonts w:asciiTheme="majorHAnsi" w:hAnsiTheme="majorHAnsi"/>
          <w:sz w:val="20"/>
          <w:szCs w:val="20"/>
          <w:lang w:val="es-ES"/>
        </w:rPr>
        <w:t>;</w:t>
      </w:r>
      <w:r w:rsidR="004E0BB6" w:rsidRPr="00C94232">
        <w:rPr>
          <w:rFonts w:asciiTheme="majorHAnsi" w:hAnsiTheme="majorHAnsi"/>
          <w:sz w:val="20"/>
          <w:szCs w:val="20"/>
          <w:lang w:val="es-ES"/>
        </w:rPr>
        <w:t xml:space="preserve"> y que el proceso penal</w:t>
      </w:r>
      <w:r w:rsidR="004E3598">
        <w:rPr>
          <w:rFonts w:asciiTheme="majorHAnsi" w:hAnsiTheme="majorHAnsi"/>
          <w:sz w:val="20"/>
          <w:szCs w:val="20"/>
          <w:lang w:val="es-ES"/>
        </w:rPr>
        <w:t xml:space="preserve"> y la acción de reparación</w:t>
      </w:r>
      <w:r w:rsidR="004E0BB6" w:rsidRPr="00C94232">
        <w:rPr>
          <w:rFonts w:asciiTheme="majorHAnsi" w:hAnsiTheme="majorHAnsi"/>
          <w:sz w:val="20"/>
          <w:szCs w:val="20"/>
          <w:lang w:val="es-ES"/>
        </w:rPr>
        <w:t xml:space="preserve"> relacionad</w:t>
      </w:r>
      <w:r w:rsidR="004E3598">
        <w:rPr>
          <w:rFonts w:asciiTheme="majorHAnsi" w:hAnsiTheme="majorHAnsi"/>
          <w:sz w:val="20"/>
          <w:szCs w:val="20"/>
          <w:lang w:val="es-ES"/>
        </w:rPr>
        <w:t>as</w:t>
      </w:r>
      <w:r w:rsidR="004E0BB6" w:rsidRPr="00C94232">
        <w:rPr>
          <w:rFonts w:asciiTheme="majorHAnsi" w:hAnsiTheme="majorHAnsi"/>
          <w:sz w:val="20"/>
          <w:szCs w:val="20"/>
          <w:lang w:val="es-ES"/>
        </w:rPr>
        <w:t xml:space="preserve"> con la muerte de la presunta víctima no han sido resueltos en plazo razonable</w:t>
      </w:r>
      <w:r w:rsidR="001906BB" w:rsidRPr="00C94232">
        <w:rPr>
          <w:rFonts w:asciiTheme="majorHAnsi" w:hAnsiTheme="majorHAnsi"/>
          <w:sz w:val="20"/>
          <w:szCs w:val="20"/>
          <w:lang w:val="es-ES"/>
        </w:rPr>
        <w:t>.</w:t>
      </w:r>
    </w:p>
    <w:p w14:paraId="74AD8F79" w14:textId="13ECBD78" w:rsidR="001906BB" w:rsidRPr="00C94232" w:rsidRDefault="001906BB"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94232">
        <w:rPr>
          <w:rFonts w:asciiTheme="majorHAnsi" w:hAnsiTheme="majorHAnsi"/>
          <w:sz w:val="20"/>
          <w:szCs w:val="20"/>
          <w:lang w:val="es-AR"/>
        </w:rPr>
        <w:t>Dada la naturaleza de las alegaciones la Comisión considera pertinente recordar que la Corte Interamericana ha establecido que los criterios para evaluar el surgimiento de la responsabilidad del Estado por falta</w:t>
      </w:r>
      <w:r w:rsidR="00C94232" w:rsidRPr="00C94232">
        <w:rPr>
          <w:rFonts w:asciiTheme="majorHAnsi" w:hAnsiTheme="majorHAnsi"/>
          <w:sz w:val="20"/>
          <w:szCs w:val="20"/>
          <w:lang w:val="es-AR"/>
        </w:rPr>
        <w:t>s</w:t>
      </w:r>
      <w:r w:rsidRPr="00C94232">
        <w:rPr>
          <w:rFonts w:asciiTheme="majorHAnsi" w:hAnsiTheme="majorHAnsi"/>
          <w:sz w:val="20"/>
          <w:szCs w:val="20"/>
          <w:lang w:val="es-AR"/>
        </w:rPr>
        <w:t xml:space="preserve"> al deber de prevenir violaciones a los derechos humanos son</w:t>
      </w:r>
      <w:r w:rsidR="006142C7">
        <w:rPr>
          <w:rFonts w:asciiTheme="majorHAnsi" w:hAnsiTheme="majorHAnsi"/>
          <w:sz w:val="20"/>
          <w:szCs w:val="20"/>
          <w:lang w:val="es-AR"/>
        </w:rPr>
        <w:t>:</w:t>
      </w:r>
      <w:r w:rsidRPr="00C94232">
        <w:rPr>
          <w:rFonts w:asciiTheme="majorHAnsi" w:hAnsiTheme="majorHAnsi"/>
          <w:sz w:val="20"/>
          <w:szCs w:val="20"/>
          <w:lang w:val="es-AR"/>
        </w:rPr>
        <w:t xml:space="preserve"> verificar que existía una situación de riesgo real e inmediato para individuos o grupos de individuos determinados,</w:t>
      </w:r>
      <w:r w:rsidR="006142C7">
        <w:rPr>
          <w:rFonts w:asciiTheme="majorHAnsi" w:hAnsiTheme="majorHAnsi"/>
          <w:sz w:val="20"/>
          <w:szCs w:val="20"/>
          <w:lang w:val="es-AR"/>
        </w:rPr>
        <w:t xml:space="preserve"> y</w:t>
      </w:r>
      <w:r w:rsidRPr="00C94232">
        <w:rPr>
          <w:rFonts w:asciiTheme="majorHAnsi" w:hAnsiTheme="majorHAnsi"/>
          <w:sz w:val="20"/>
          <w:szCs w:val="20"/>
          <w:lang w:val="es-AR"/>
        </w:rPr>
        <w:t xml:space="preserve"> que las autoridades conocieran o debieran tener conocimiento de ese riesgo y que, pese a ello, no hayan adoptado “</w:t>
      </w:r>
      <w:r w:rsidRPr="004E3598">
        <w:rPr>
          <w:rFonts w:asciiTheme="majorHAnsi" w:hAnsiTheme="majorHAnsi"/>
          <w:i/>
          <w:iCs/>
          <w:sz w:val="20"/>
          <w:szCs w:val="20"/>
          <w:lang w:val="es-PA"/>
        </w:rPr>
        <w:t>las medidas necesarias dentro del ámbito de sus atribuciones que, juzgadas razonablemente, podían esperarse para prevenir o evitar ese riesgo</w:t>
      </w:r>
      <w:r w:rsidRPr="00C94232">
        <w:rPr>
          <w:rFonts w:asciiTheme="majorHAnsi" w:hAnsiTheme="majorHAnsi"/>
          <w:sz w:val="20"/>
          <w:szCs w:val="20"/>
          <w:lang w:val="es-PA"/>
        </w:rPr>
        <w:t>”</w:t>
      </w:r>
      <w:r w:rsidRPr="00C94232">
        <w:rPr>
          <w:rStyle w:val="FootnoteReference"/>
          <w:rFonts w:asciiTheme="majorHAnsi" w:hAnsiTheme="majorHAnsi"/>
          <w:sz w:val="20"/>
          <w:szCs w:val="20"/>
          <w:lang w:val="es-PA"/>
        </w:rPr>
        <w:footnoteReference w:id="11"/>
      </w:r>
      <w:r w:rsidR="009D0E76" w:rsidRPr="00C94232">
        <w:rPr>
          <w:rFonts w:asciiTheme="majorHAnsi" w:hAnsiTheme="majorHAnsi"/>
          <w:sz w:val="20"/>
          <w:szCs w:val="20"/>
          <w:lang w:val="es-PA"/>
        </w:rPr>
        <w:t xml:space="preserve">. En adición la Comisión valora </w:t>
      </w:r>
      <w:r w:rsidR="004E3598">
        <w:rPr>
          <w:rFonts w:asciiTheme="majorHAnsi" w:hAnsiTheme="majorHAnsi"/>
          <w:sz w:val="20"/>
          <w:szCs w:val="20"/>
          <w:lang w:val="es-PA"/>
        </w:rPr>
        <w:t xml:space="preserve">que los dos </w:t>
      </w:r>
      <w:r w:rsidR="009D0E76" w:rsidRPr="00C94232">
        <w:rPr>
          <w:rFonts w:asciiTheme="majorHAnsi" w:hAnsiTheme="majorHAnsi"/>
          <w:sz w:val="20"/>
          <w:szCs w:val="20"/>
          <w:lang w:val="es-PA"/>
        </w:rPr>
        <w:t xml:space="preserve">procesos </w:t>
      </w:r>
      <w:r w:rsidR="004E3598">
        <w:rPr>
          <w:rFonts w:asciiTheme="majorHAnsi" w:hAnsiTheme="majorHAnsi"/>
          <w:sz w:val="20"/>
          <w:szCs w:val="20"/>
          <w:lang w:val="es-PA"/>
        </w:rPr>
        <w:t xml:space="preserve">en los que </w:t>
      </w:r>
      <w:r w:rsidR="009D0E76" w:rsidRPr="00C94232">
        <w:rPr>
          <w:rFonts w:asciiTheme="majorHAnsi" w:hAnsiTheme="majorHAnsi"/>
          <w:sz w:val="20"/>
          <w:szCs w:val="20"/>
          <w:lang w:val="es-PA"/>
        </w:rPr>
        <w:t xml:space="preserve">se denuncia </w:t>
      </w:r>
      <w:r w:rsidR="004E3598">
        <w:rPr>
          <w:rFonts w:asciiTheme="majorHAnsi" w:hAnsiTheme="majorHAnsi"/>
          <w:sz w:val="20"/>
          <w:szCs w:val="20"/>
          <w:lang w:val="es-PA"/>
        </w:rPr>
        <w:t>la</w:t>
      </w:r>
      <w:r w:rsidR="009D0E76" w:rsidRPr="00C94232">
        <w:rPr>
          <w:rFonts w:asciiTheme="majorHAnsi" w:hAnsiTheme="majorHAnsi"/>
          <w:sz w:val="20"/>
          <w:szCs w:val="20"/>
          <w:lang w:val="es-PA"/>
        </w:rPr>
        <w:t xml:space="preserve"> violación </w:t>
      </w:r>
      <w:r w:rsidR="004E3598">
        <w:rPr>
          <w:rFonts w:asciiTheme="majorHAnsi" w:hAnsiTheme="majorHAnsi"/>
          <w:sz w:val="20"/>
          <w:szCs w:val="20"/>
          <w:lang w:val="es-PA"/>
        </w:rPr>
        <w:t>al</w:t>
      </w:r>
      <w:r w:rsidR="009D0E76" w:rsidRPr="00C94232">
        <w:rPr>
          <w:rFonts w:asciiTheme="majorHAnsi" w:hAnsiTheme="majorHAnsi"/>
          <w:sz w:val="20"/>
          <w:szCs w:val="20"/>
          <w:lang w:val="es-PA"/>
        </w:rPr>
        <w:t xml:space="preserve"> plazo razonable han estado en desarrollo por más de 20 años</w:t>
      </w:r>
      <w:r w:rsidR="004E3598">
        <w:rPr>
          <w:rFonts w:asciiTheme="majorHAnsi" w:hAnsiTheme="majorHAnsi"/>
          <w:sz w:val="20"/>
          <w:szCs w:val="20"/>
          <w:lang w:val="es-PA"/>
        </w:rPr>
        <w:t xml:space="preserve">, </w:t>
      </w:r>
      <w:r w:rsidR="009D0E76" w:rsidRPr="00C94232">
        <w:rPr>
          <w:rFonts w:asciiTheme="majorHAnsi" w:hAnsiTheme="majorHAnsi"/>
          <w:sz w:val="20"/>
          <w:szCs w:val="20"/>
          <w:lang w:val="es-PA"/>
        </w:rPr>
        <w:t xml:space="preserve">sin que se hayan emitido decisiones definitivas. </w:t>
      </w:r>
    </w:p>
    <w:p w14:paraId="59E5E537" w14:textId="18EEC1FB" w:rsidR="009D0E76" w:rsidRPr="00C94232" w:rsidRDefault="009D0E76" w:rsidP="00F8742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94232">
        <w:rPr>
          <w:rFonts w:asciiTheme="majorHAnsi" w:hAnsiTheme="majorHAnsi"/>
          <w:sz w:val="20"/>
          <w:szCs w:val="20"/>
          <w:lang w:val="es-ES"/>
        </w:rPr>
        <w:t>En atención a estas consideraciones y tras examinar los elementos de hecho y de derecho expuestos por las partes</w:t>
      </w:r>
      <w:r w:rsidR="004E3598">
        <w:rPr>
          <w:rFonts w:asciiTheme="majorHAnsi" w:hAnsiTheme="majorHAnsi"/>
          <w:sz w:val="20"/>
          <w:szCs w:val="20"/>
          <w:lang w:val="es-ES"/>
        </w:rPr>
        <w:t>,</w:t>
      </w:r>
      <w:r w:rsidRPr="00C94232">
        <w:rPr>
          <w:rFonts w:asciiTheme="majorHAnsi" w:hAnsiTheme="majorHAnsi"/>
          <w:sz w:val="20"/>
          <w:szCs w:val="20"/>
          <w:lang w:val="es-ES"/>
        </w:rPr>
        <w:t xml:space="preserve"> la Comisión estima que las alegaciones de la parte peticionaria no resultan manifiestamente infundadas y requieren un estudio de fondo pues los hechos alegados, de corroborarse como ciertos podrían caracterizar violaciones a los </w:t>
      </w:r>
      <w:r w:rsidRPr="00C94232">
        <w:rPr>
          <w:rFonts w:asciiTheme="majorHAnsi" w:hAnsiTheme="majorHAnsi"/>
          <w:bCs/>
          <w:sz w:val="20"/>
          <w:szCs w:val="20"/>
          <w:lang w:val="es-ES"/>
        </w:rPr>
        <w:t>artículos 4 (vida), 5 (integridad personal),</w:t>
      </w:r>
      <w:r w:rsidR="004E3598">
        <w:rPr>
          <w:rFonts w:asciiTheme="majorHAnsi" w:hAnsiTheme="majorHAnsi"/>
          <w:bCs/>
          <w:sz w:val="20"/>
          <w:szCs w:val="20"/>
          <w:lang w:val="es-ES"/>
        </w:rPr>
        <w:t xml:space="preserve"> 7 (derecho a la libertad personal),</w:t>
      </w:r>
      <w:r w:rsidRPr="00C94232">
        <w:rPr>
          <w:rFonts w:asciiTheme="majorHAnsi" w:hAnsiTheme="majorHAnsi"/>
          <w:bCs/>
          <w:sz w:val="20"/>
          <w:szCs w:val="20"/>
          <w:lang w:val="es-ES"/>
        </w:rPr>
        <w:t xml:space="preserve"> 8 (garantías judiciales) y 25 (protección judicial) de la Convención Americana en relación con su artículo 1.1. (obligación de respetar los derechos).</w:t>
      </w:r>
    </w:p>
    <w:p w14:paraId="1511D610" w14:textId="44BE26BF" w:rsidR="009D0E76" w:rsidRPr="00C94232" w:rsidRDefault="009D0E76"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94232">
        <w:rPr>
          <w:rFonts w:asciiTheme="majorHAnsi" w:hAnsiTheme="majorHAnsi"/>
          <w:sz w:val="20"/>
          <w:szCs w:val="20"/>
          <w:lang w:val="es-MX"/>
        </w:rPr>
        <w:t xml:space="preserve">En cuanto a las alegadas violaciones a los artículos </w:t>
      </w:r>
      <w:r w:rsidRPr="00C94232">
        <w:rPr>
          <w:rFonts w:asciiTheme="majorHAnsi" w:hAnsiTheme="majorHAnsi"/>
          <w:bCs/>
          <w:sz w:val="20"/>
          <w:szCs w:val="20"/>
          <w:lang w:val="es-PA"/>
        </w:rPr>
        <w:t xml:space="preserve">I (vida, libertad, seguridad e integridad) y XVIII (justicia) de la Declaración Americana, la </w:t>
      </w:r>
      <w:r w:rsidRPr="00C94232">
        <w:rPr>
          <w:rFonts w:asciiTheme="majorHAnsi" w:hAnsiTheme="majorHAnsi"/>
          <w:bCs/>
          <w:sz w:val="20"/>
          <w:szCs w:val="20"/>
          <w:lang w:val="es-ES"/>
        </w:rPr>
        <w:t xml:space="preserve">la Comisión ya ha determinado que </w:t>
      </w:r>
      <w:r w:rsidRPr="00C94232">
        <w:rPr>
          <w:rFonts w:asciiTheme="majorHAnsi" w:hAnsiTheme="majorHAnsi" w:cs="Calibri"/>
          <w:sz w:val="20"/>
          <w:szCs w:val="20"/>
          <w:lang w:val="es-ES_tradnl"/>
        </w:rPr>
        <w:t>una vez que la Convención Americana entra en vigor en relación con un Estado, ésta y no la Declaración pasa a ser la fuente primaria de derecho aplicable por la Comisión, siempre que la petición se refiera a la presunta violación de derechos idénticos en ambos instrumentos y no se trate de una situación de violación continua. En el presente caso la Comisión considera que las alegadas violaciones a estos artículos no escapan el ámbito e protección de los artículos 4, 5,</w:t>
      </w:r>
      <w:r w:rsidR="004E3598">
        <w:rPr>
          <w:rFonts w:asciiTheme="majorHAnsi" w:hAnsiTheme="majorHAnsi" w:cs="Calibri"/>
          <w:sz w:val="20"/>
          <w:szCs w:val="20"/>
          <w:lang w:val="es-ES_tradnl"/>
        </w:rPr>
        <w:t xml:space="preserve"> 7,</w:t>
      </w:r>
      <w:r w:rsidRPr="00C94232">
        <w:rPr>
          <w:rFonts w:asciiTheme="majorHAnsi" w:hAnsiTheme="majorHAnsi" w:cs="Calibri"/>
          <w:sz w:val="20"/>
          <w:szCs w:val="20"/>
          <w:lang w:val="es-ES_tradnl"/>
        </w:rPr>
        <w:t xml:space="preserve"> 8 y 25 de la Convención Americana por lo que las Comisión las examinará a la luz de estos artículos.</w:t>
      </w:r>
    </w:p>
    <w:p w14:paraId="01DFABB4" w14:textId="72526273" w:rsidR="009D0E76" w:rsidRPr="00C94232" w:rsidRDefault="009D0E76" w:rsidP="00F8742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94232">
        <w:rPr>
          <w:rFonts w:asciiTheme="majorHAnsi" w:hAnsiTheme="majorHAnsi"/>
          <w:sz w:val="20"/>
          <w:szCs w:val="20"/>
          <w:lang w:val="es-MX"/>
        </w:rPr>
        <w:lastRenderedPageBreak/>
        <w:t xml:space="preserve">Respecto a las alegadas violaciones al artículo 11 (honra y dignidad) de la Convención Americana, la Comisión estima que la parte peticionaria no ha aportado elementos o sustento suficiente que la permitan considerar, </w:t>
      </w:r>
      <w:r w:rsidRPr="00C94232">
        <w:rPr>
          <w:rFonts w:asciiTheme="majorHAnsi" w:hAnsiTheme="majorHAnsi"/>
          <w:i/>
          <w:sz w:val="20"/>
          <w:szCs w:val="20"/>
          <w:lang w:val="es-MX"/>
        </w:rPr>
        <w:t>prima facie</w:t>
      </w:r>
      <w:r w:rsidRPr="00C94232">
        <w:rPr>
          <w:rFonts w:asciiTheme="majorHAnsi" w:hAnsiTheme="majorHAnsi"/>
          <w:sz w:val="20"/>
          <w:szCs w:val="20"/>
          <w:lang w:val="es-MX"/>
        </w:rPr>
        <w:t xml:space="preserve">, su posible violación. </w:t>
      </w:r>
    </w:p>
    <w:p w14:paraId="29BB41F5" w14:textId="31E747AD" w:rsidR="003239B8" w:rsidRPr="002A6627" w:rsidRDefault="003239B8" w:rsidP="002A662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2A6627">
        <w:rPr>
          <w:rFonts w:asciiTheme="majorHAnsi" w:hAnsiTheme="majorHAnsi"/>
          <w:b/>
          <w:bCs/>
          <w:sz w:val="20"/>
          <w:szCs w:val="20"/>
          <w:lang w:val="es-ES"/>
        </w:rPr>
        <w:t xml:space="preserve">VIII. </w:t>
      </w:r>
      <w:r w:rsidRPr="002A6627">
        <w:rPr>
          <w:rFonts w:asciiTheme="majorHAnsi" w:hAnsiTheme="majorHAnsi"/>
          <w:b/>
          <w:bCs/>
          <w:sz w:val="20"/>
          <w:szCs w:val="20"/>
          <w:lang w:val="es-ES"/>
        </w:rPr>
        <w:tab/>
        <w:t>DECISIÓN</w:t>
      </w:r>
    </w:p>
    <w:p w14:paraId="41AA5BF6" w14:textId="4646191D" w:rsidR="000419AD" w:rsidRPr="009D0E76" w:rsidRDefault="003239B8" w:rsidP="00F874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0673D0">
        <w:rPr>
          <w:rFonts w:asciiTheme="majorHAnsi" w:hAnsiTheme="majorHAnsi"/>
          <w:sz w:val="20"/>
          <w:szCs w:val="20"/>
          <w:lang w:val="es-ES"/>
        </w:rPr>
        <w:t>Declarar admisible la presente petición en relación con</w:t>
      </w:r>
      <w:r w:rsidR="00C72A01">
        <w:rPr>
          <w:rFonts w:asciiTheme="majorHAnsi" w:hAnsiTheme="majorHAnsi"/>
          <w:sz w:val="20"/>
          <w:szCs w:val="20"/>
          <w:lang w:val="es-ES"/>
        </w:rPr>
        <w:t xml:space="preserve"> los artículos </w:t>
      </w:r>
      <w:r w:rsidR="00E638D2">
        <w:rPr>
          <w:rFonts w:asciiTheme="majorHAnsi" w:hAnsiTheme="majorHAnsi"/>
          <w:sz w:val="20"/>
          <w:szCs w:val="20"/>
          <w:lang w:val="es-ES"/>
        </w:rPr>
        <w:t xml:space="preserve">4, 5, </w:t>
      </w:r>
      <w:r w:rsidR="00530A11">
        <w:rPr>
          <w:rFonts w:asciiTheme="majorHAnsi" w:hAnsiTheme="majorHAnsi"/>
          <w:sz w:val="20"/>
          <w:szCs w:val="20"/>
          <w:lang w:val="es-ES"/>
        </w:rPr>
        <w:t xml:space="preserve">7, </w:t>
      </w:r>
      <w:r w:rsidR="009D0E76">
        <w:rPr>
          <w:rFonts w:asciiTheme="majorHAnsi" w:hAnsiTheme="majorHAnsi"/>
          <w:sz w:val="20"/>
          <w:szCs w:val="20"/>
          <w:lang w:val="es-ES"/>
        </w:rPr>
        <w:t>8 y 25 de la Convención Americana en relación con su artículo 1.1.</w:t>
      </w:r>
    </w:p>
    <w:p w14:paraId="70B098A8" w14:textId="221098B8" w:rsidR="009D0E76" w:rsidRPr="00F57827" w:rsidRDefault="009D0E76" w:rsidP="00F8742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Theme="majorHAnsi" w:hAnsiTheme="majorHAnsi"/>
          <w:sz w:val="20"/>
          <w:szCs w:val="20"/>
          <w:lang w:val="es-ES"/>
        </w:rPr>
        <w:t>Declarar inadmisible la presente petición en relación con el artículo 11 de la Convención Americana</w:t>
      </w:r>
    </w:p>
    <w:p w14:paraId="7CD4DFBD" w14:textId="3953D0A2" w:rsidR="003239B8" w:rsidRDefault="004A6A54" w:rsidP="001F2F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673D0">
        <w:rPr>
          <w:rFonts w:asciiTheme="majorHAnsi" w:hAnsiTheme="majorHAnsi"/>
          <w:sz w:val="20"/>
          <w:szCs w:val="20"/>
          <w:lang w:val="es-ES"/>
        </w:rPr>
        <w:t xml:space="preserve">Notificar a las partes la presente decisión; </w:t>
      </w:r>
      <w:r w:rsidR="00874720">
        <w:rPr>
          <w:rFonts w:asciiTheme="majorHAnsi" w:hAnsiTheme="majorHAnsi"/>
          <w:sz w:val="20"/>
          <w:szCs w:val="20"/>
          <w:lang w:val="es-ES"/>
        </w:rPr>
        <w:t>proceder</w:t>
      </w:r>
      <w:r w:rsidRPr="000673D0">
        <w:rPr>
          <w:rFonts w:asciiTheme="majorHAnsi" w:hAnsiTheme="majorHAnsi"/>
          <w:sz w:val="20"/>
          <w:szCs w:val="20"/>
          <w:lang w:val="es-ES"/>
        </w:rPr>
        <w:t xml:space="preserve"> con el análisis del fondo de la cuestión; y publicar esta decisión e incluirla en su Informe Anual a la Asamblea General de la Organización de los Estados Americanos.</w:t>
      </w:r>
    </w:p>
    <w:p w14:paraId="4F5C75A1" w14:textId="353F7532" w:rsidR="004D2DA4" w:rsidRPr="00A37B82" w:rsidRDefault="004D2DA4" w:rsidP="004D2DA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Antonia Urrejola, Presidenta;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886E4BC" w14:textId="77777777" w:rsidR="004D2DA4" w:rsidRDefault="004D2DA4">
      <w:pPr>
        <w:rPr>
          <w:rFonts w:asciiTheme="majorHAnsi" w:hAnsiTheme="majorHAnsi"/>
          <w:b/>
          <w:sz w:val="20"/>
          <w:szCs w:val="20"/>
          <w:lang w:val="es-ES"/>
        </w:rPr>
      </w:pPr>
      <w:r>
        <w:rPr>
          <w:rFonts w:asciiTheme="majorHAnsi" w:hAnsiTheme="majorHAnsi"/>
          <w:b/>
          <w:sz w:val="20"/>
          <w:szCs w:val="20"/>
          <w:lang w:val="es-ES"/>
        </w:rPr>
        <w:br w:type="page"/>
      </w:r>
    </w:p>
    <w:p w14:paraId="258694DC" w14:textId="2F0AB322" w:rsidR="00427495" w:rsidRDefault="00427495" w:rsidP="00A131E4">
      <w:pPr>
        <w:suppressAutoHyphens/>
        <w:spacing w:before="240" w:after="240"/>
        <w:jc w:val="center"/>
        <w:rPr>
          <w:rFonts w:asciiTheme="majorHAnsi" w:hAnsiTheme="majorHAnsi"/>
          <w:b/>
          <w:sz w:val="20"/>
          <w:szCs w:val="20"/>
          <w:lang w:val="es-ES"/>
        </w:rPr>
      </w:pPr>
      <w:r>
        <w:rPr>
          <w:rFonts w:asciiTheme="majorHAnsi" w:hAnsiTheme="majorHAnsi"/>
          <w:b/>
          <w:sz w:val="20"/>
          <w:szCs w:val="20"/>
          <w:lang w:val="es-ES"/>
        </w:rPr>
        <w:lastRenderedPageBreak/>
        <w:t>Anexo</w:t>
      </w:r>
    </w:p>
    <w:p w14:paraId="3D60794F" w14:textId="0F6BC6FA" w:rsidR="0067395C" w:rsidRDefault="0067395C" w:rsidP="00A131E4">
      <w:pPr>
        <w:suppressAutoHyphens/>
        <w:spacing w:before="240" w:after="240"/>
        <w:jc w:val="center"/>
        <w:rPr>
          <w:rFonts w:asciiTheme="majorHAnsi" w:hAnsiTheme="majorHAnsi"/>
          <w:b/>
          <w:sz w:val="20"/>
          <w:szCs w:val="20"/>
          <w:lang w:val="es-ES"/>
        </w:rPr>
      </w:pPr>
      <w:r>
        <w:rPr>
          <w:rFonts w:asciiTheme="majorHAnsi" w:hAnsiTheme="majorHAnsi"/>
          <w:b/>
          <w:sz w:val="20"/>
          <w:szCs w:val="20"/>
          <w:lang w:val="es-ES"/>
        </w:rPr>
        <w:t>Personas identificadas como familiares de Javier de Jesús Higuita Roldán</w:t>
      </w:r>
    </w:p>
    <w:p w14:paraId="0348FF61" w14:textId="68BFC5F4" w:rsidR="0067395C" w:rsidRPr="0067395C" w:rsidRDefault="0067395C" w:rsidP="0067395C">
      <w:pPr>
        <w:rPr>
          <w:rFonts w:cs="Calibri"/>
          <w:sz w:val="20"/>
          <w:szCs w:val="20"/>
          <w:u w:val="single"/>
          <w:lang w:val="es-ES"/>
        </w:rPr>
      </w:pPr>
    </w:p>
    <w:p w14:paraId="2C864293" w14:textId="6162F0D6"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Lucero de Jesús Barrera Higuita</w:t>
      </w:r>
    </w:p>
    <w:p w14:paraId="2BBE2613" w14:textId="40158AD4"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Jenny Alejandra Higuita Barrera</w:t>
      </w:r>
    </w:p>
    <w:p w14:paraId="157BC787" w14:textId="5E4F620B"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Paola Andrea Higuita Barrera</w:t>
      </w:r>
    </w:p>
    <w:p w14:paraId="2671174A" w14:textId="65B891EB"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Gabriel de Jesús Huigita Carmona</w:t>
      </w:r>
    </w:p>
    <w:p w14:paraId="74C2CF5E" w14:textId="16F741B9"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Libia Rosa Roldan Muñeton o de Higuita</w:t>
      </w:r>
    </w:p>
    <w:p w14:paraId="26A1135A" w14:textId="081BB93D"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Juana Evangelista Muñeton Guerra</w:t>
      </w:r>
    </w:p>
    <w:p w14:paraId="2A9E0F69" w14:textId="5944AAED" w:rsidR="0067395C" w:rsidRPr="0067395C" w:rsidRDefault="0067395C" w:rsidP="00A131E4">
      <w:pPr>
        <w:pStyle w:val="ListParagraph"/>
        <w:numPr>
          <w:ilvl w:val="0"/>
          <w:numId w:val="57"/>
        </w:numPr>
        <w:spacing w:before="120" w:after="120"/>
        <w:rPr>
          <w:rFonts w:cs="Calibri"/>
          <w:sz w:val="20"/>
          <w:szCs w:val="20"/>
          <w:lang w:val="es-ES"/>
        </w:rPr>
      </w:pPr>
      <w:r w:rsidRPr="0067395C">
        <w:rPr>
          <w:rFonts w:cs="Calibri"/>
          <w:sz w:val="20"/>
          <w:szCs w:val="20"/>
          <w:lang w:val="es-ES"/>
        </w:rPr>
        <w:t>Marta Lucía Higuita Roldan</w:t>
      </w:r>
    </w:p>
    <w:p w14:paraId="3A5E27CE" w14:textId="7056DE03"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Rocío del Carmen Higuita Roldan</w:t>
      </w:r>
    </w:p>
    <w:p w14:paraId="4F900FC7" w14:textId="529C8DD9" w:rsidR="0067395C" w:rsidRPr="0067395C" w:rsidRDefault="0067395C" w:rsidP="00A131E4">
      <w:pPr>
        <w:pStyle w:val="ListParagraph"/>
        <w:numPr>
          <w:ilvl w:val="0"/>
          <w:numId w:val="57"/>
        </w:numPr>
        <w:spacing w:before="120" w:after="120"/>
        <w:rPr>
          <w:rFonts w:cs="Calibri"/>
          <w:sz w:val="20"/>
          <w:szCs w:val="20"/>
          <w:u w:val="single"/>
          <w:lang w:val="es-ES"/>
        </w:rPr>
      </w:pPr>
      <w:r>
        <w:rPr>
          <w:rFonts w:cs="Calibri"/>
          <w:sz w:val="20"/>
          <w:szCs w:val="20"/>
          <w:lang w:val="es-ES"/>
        </w:rPr>
        <w:t>Horacio de Jesús Higuita Roldan</w:t>
      </w:r>
    </w:p>
    <w:p w14:paraId="5AFAABD4" w14:textId="77777777" w:rsidR="0067395C" w:rsidRPr="0067395C" w:rsidRDefault="0067395C" w:rsidP="0067395C">
      <w:pPr>
        <w:pStyle w:val="ListParagraph"/>
        <w:rPr>
          <w:rFonts w:cs="Calibri"/>
          <w:sz w:val="20"/>
          <w:szCs w:val="20"/>
          <w:u w:val="single"/>
          <w:lang w:val="es-ES"/>
        </w:rPr>
      </w:pPr>
    </w:p>
    <w:sectPr w:rsidR="0067395C" w:rsidRPr="0067395C" w:rsidSect="00934A2C">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284A" w14:textId="77777777" w:rsidR="00CC17E2" w:rsidRDefault="00CC17E2">
      <w:r>
        <w:separator/>
      </w:r>
    </w:p>
  </w:endnote>
  <w:endnote w:type="continuationSeparator" w:id="0">
    <w:p w14:paraId="0CCED30C" w14:textId="77777777" w:rsidR="00CC17E2" w:rsidRDefault="00CC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276914"/>
      <w:docPartObj>
        <w:docPartGallery w:val="Page Numbers (Bottom of Page)"/>
        <w:docPartUnique/>
      </w:docPartObj>
    </w:sdtPr>
    <w:sdtEndPr>
      <w:rPr>
        <w:noProof/>
        <w:sz w:val="16"/>
        <w:szCs w:val="22"/>
      </w:rPr>
    </w:sdtEndPr>
    <w:sdtContent>
      <w:p w14:paraId="612FB856" w14:textId="77777777" w:rsidR="0015317F" w:rsidRPr="00934A2C" w:rsidRDefault="001531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noProof/>
            <w:sz w:val="16"/>
            <w:szCs w:val="22"/>
          </w:rPr>
          <w:fldChar w:fldCharType="end"/>
        </w:r>
      </w:p>
    </w:sdtContent>
  </w:sdt>
  <w:p w14:paraId="7EBFA364" w14:textId="77777777" w:rsidR="0015317F" w:rsidRDefault="00153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1C8E" w14:textId="77777777" w:rsidR="0015317F" w:rsidRPr="00934A2C" w:rsidRDefault="0015317F">
    <w:pPr>
      <w:pStyle w:val="Footer"/>
      <w:jc w:val="center"/>
      <w:rPr>
        <w:sz w:val="16"/>
        <w:szCs w:val="22"/>
      </w:rPr>
    </w:pPr>
  </w:p>
  <w:p w14:paraId="4EA5439C" w14:textId="77777777" w:rsidR="0015317F" w:rsidRDefault="00153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5411C1DD" w:rsidR="0015317F" w:rsidRPr="00934A2C" w:rsidRDefault="001531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7395C">
          <w:rPr>
            <w:noProof/>
            <w:sz w:val="16"/>
            <w:szCs w:val="22"/>
          </w:rPr>
          <w:t>7</w:t>
        </w:r>
        <w:r w:rsidRPr="00934A2C">
          <w:rPr>
            <w:noProof/>
            <w:sz w:val="16"/>
            <w:szCs w:val="22"/>
          </w:rPr>
          <w:fldChar w:fldCharType="end"/>
        </w:r>
      </w:p>
    </w:sdtContent>
  </w:sdt>
  <w:p w14:paraId="68530E6A" w14:textId="77777777" w:rsidR="0015317F" w:rsidRDefault="001531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15317F" w:rsidRPr="00934A2C" w:rsidRDefault="0015317F">
    <w:pPr>
      <w:pStyle w:val="Footer"/>
      <w:jc w:val="center"/>
      <w:rPr>
        <w:sz w:val="16"/>
        <w:szCs w:val="22"/>
      </w:rPr>
    </w:pPr>
  </w:p>
  <w:p w14:paraId="49059CE3" w14:textId="77777777" w:rsidR="0015317F" w:rsidRDefault="0015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6847" w14:textId="77777777" w:rsidR="00CC17E2" w:rsidRPr="000F35ED" w:rsidRDefault="00CC17E2">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2E53C0FE" w14:textId="77777777" w:rsidR="00CC17E2" w:rsidRPr="000F35ED" w:rsidRDefault="00CC17E2" w:rsidP="000F35ED">
      <w:pPr>
        <w:rPr>
          <w:rFonts w:asciiTheme="majorHAnsi" w:hAnsiTheme="majorHAnsi"/>
          <w:sz w:val="16"/>
          <w:szCs w:val="16"/>
        </w:rPr>
      </w:pPr>
      <w:r w:rsidRPr="000F35ED">
        <w:rPr>
          <w:rFonts w:asciiTheme="majorHAnsi" w:hAnsiTheme="majorHAnsi"/>
          <w:sz w:val="16"/>
          <w:szCs w:val="16"/>
        </w:rPr>
        <w:separator/>
      </w:r>
    </w:p>
    <w:p w14:paraId="5E1F949B" w14:textId="77777777" w:rsidR="00CC17E2" w:rsidRPr="000F35ED" w:rsidRDefault="00CC17E2"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78FAD005" w14:textId="77777777" w:rsidR="00CC17E2" w:rsidRPr="000F35ED" w:rsidRDefault="00CC17E2"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2DBFCAF" w14:textId="71FCBFED" w:rsidR="0015317F" w:rsidRPr="00D074A4" w:rsidRDefault="0015317F" w:rsidP="001C5A65">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La petición l</w:t>
      </w:r>
      <w:r>
        <w:rPr>
          <w:rFonts w:asciiTheme="majorHAnsi" w:hAnsiTheme="majorHAnsi"/>
          <w:sz w:val="16"/>
          <w:szCs w:val="16"/>
          <w:lang w:val="es-PA"/>
        </w:rPr>
        <w:t>ista como presuntas víctimas a 9</w:t>
      </w:r>
      <w:r w:rsidRPr="00D074A4">
        <w:rPr>
          <w:rFonts w:asciiTheme="majorHAnsi" w:hAnsiTheme="majorHAnsi"/>
          <w:sz w:val="16"/>
          <w:szCs w:val="16"/>
          <w:lang w:val="es-PA"/>
        </w:rPr>
        <w:t xml:space="preserve"> personas fami</w:t>
      </w:r>
      <w:r>
        <w:rPr>
          <w:rFonts w:asciiTheme="majorHAnsi" w:hAnsiTheme="majorHAnsi"/>
          <w:sz w:val="16"/>
          <w:szCs w:val="16"/>
          <w:lang w:val="es-PA"/>
        </w:rPr>
        <w:t>liares del señor Javier de Jesús Higuita Roldán cuyos nombres se detallan en el anexo</w:t>
      </w:r>
    </w:p>
  </w:footnote>
  <w:footnote w:id="3">
    <w:p w14:paraId="2CF14ED2" w14:textId="7638708D" w:rsidR="0015317F" w:rsidRPr="00D074A4" w:rsidRDefault="0015317F" w:rsidP="001C5A65">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Convención Americana”.</w:t>
      </w:r>
    </w:p>
  </w:footnote>
  <w:footnote w:id="4">
    <w:p w14:paraId="49154E26" w14:textId="32A8F5C6" w:rsidR="0015317F" w:rsidRPr="00D074A4" w:rsidRDefault="0015317F" w:rsidP="001C5A65">
      <w:pPr>
        <w:pStyle w:val="FootnoteText"/>
        <w:ind w:firstLine="720"/>
        <w:jc w:val="both"/>
        <w:rPr>
          <w:rFonts w:asciiTheme="majorHAnsi" w:hAnsiTheme="majorHAnsi"/>
          <w:sz w:val="16"/>
          <w:szCs w:val="16"/>
          <w:lang w:val="es-PA"/>
        </w:rPr>
      </w:pPr>
      <w:r w:rsidRPr="00D074A4">
        <w:rPr>
          <w:rStyle w:val="FootnoteReference"/>
          <w:rFonts w:asciiTheme="majorHAnsi" w:hAnsiTheme="majorHAnsi"/>
          <w:sz w:val="16"/>
          <w:szCs w:val="16"/>
        </w:rPr>
        <w:footnoteRef/>
      </w:r>
      <w:r w:rsidRPr="00D074A4">
        <w:rPr>
          <w:rFonts w:asciiTheme="majorHAnsi" w:hAnsiTheme="majorHAnsi"/>
          <w:sz w:val="16"/>
          <w:szCs w:val="16"/>
          <w:lang w:val="es-PA"/>
        </w:rPr>
        <w:t xml:space="preserve"> En adelante “la Declaración Americana”</w:t>
      </w:r>
    </w:p>
  </w:footnote>
  <w:footnote w:id="5">
    <w:p w14:paraId="08CD6656" w14:textId="77777777" w:rsidR="0015317F" w:rsidRPr="00D074A4" w:rsidRDefault="0015317F" w:rsidP="001C5A65">
      <w:pPr>
        <w:pStyle w:val="FootnoteText"/>
        <w:ind w:firstLine="720"/>
        <w:jc w:val="both"/>
        <w:rPr>
          <w:rFonts w:asciiTheme="majorHAnsi" w:hAnsiTheme="majorHAnsi"/>
          <w:sz w:val="16"/>
          <w:szCs w:val="16"/>
          <w:lang w:val="es-ES"/>
        </w:rPr>
      </w:pPr>
      <w:r w:rsidRPr="00D074A4">
        <w:rPr>
          <w:rStyle w:val="FootnoteReference"/>
          <w:rFonts w:asciiTheme="majorHAnsi" w:hAnsiTheme="majorHAnsi"/>
          <w:sz w:val="16"/>
          <w:szCs w:val="16"/>
        </w:rPr>
        <w:footnoteRef/>
      </w:r>
      <w:r w:rsidRPr="00D074A4">
        <w:rPr>
          <w:rFonts w:asciiTheme="majorHAnsi" w:hAnsiTheme="majorHAnsi"/>
          <w:sz w:val="16"/>
          <w:szCs w:val="16"/>
          <w:lang w:val="es-ES"/>
        </w:rPr>
        <w:t xml:space="preserve"> Las observaciones de cada parte fueron debidamente trasladadas a la parte contraria.</w:t>
      </w:r>
    </w:p>
  </w:footnote>
  <w:footnote w:id="6">
    <w:p w14:paraId="52F15264" w14:textId="007D0DD2" w:rsidR="00C31CCA" w:rsidRPr="00C31CCA" w:rsidRDefault="00C31CCA" w:rsidP="00C31CCA">
      <w:pPr>
        <w:pStyle w:val="FootnoteText"/>
        <w:ind w:firstLine="720"/>
        <w:rPr>
          <w:rFonts w:asciiTheme="majorHAnsi" w:hAnsiTheme="majorHAnsi"/>
          <w:sz w:val="16"/>
          <w:szCs w:val="16"/>
          <w:lang w:val="es-ES"/>
        </w:rPr>
      </w:pPr>
      <w:r w:rsidRPr="00C31CCA">
        <w:rPr>
          <w:rStyle w:val="FootnoteReference"/>
          <w:rFonts w:asciiTheme="majorHAnsi" w:hAnsiTheme="majorHAnsi"/>
          <w:sz w:val="16"/>
          <w:szCs w:val="16"/>
        </w:rPr>
        <w:footnoteRef/>
      </w:r>
      <w:r w:rsidRPr="00C31CCA">
        <w:rPr>
          <w:rFonts w:asciiTheme="majorHAnsi" w:hAnsiTheme="majorHAnsi"/>
          <w:sz w:val="16"/>
          <w:szCs w:val="16"/>
          <w:lang w:val="es-ES"/>
        </w:rPr>
        <w:t xml:space="preserve"> Al respecto, el Estado no precisó si las personas familiares de la presunta víctima se han convertido en parte de este proceso. </w:t>
      </w:r>
    </w:p>
  </w:footnote>
  <w:footnote w:id="7">
    <w:p w14:paraId="0285EE70" w14:textId="77777777" w:rsidR="0015317F" w:rsidRPr="00403E71" w:rsidRDefault="0015317F" w:rsidP="0015317F">
      <w:pPr>
        <w:pStyle w:val="FootnoteText"/>
        <w:jc w:val="both"/>
        <w:rPr>
          <w:rFonts w:asciiTheme="majorHAnsi" w:hAnsiTheme="majorHAnsi"/>
          <w:sz w:val="16"/>
          <w:szCs w:val="16"/>
          <w:lang w:val="es-ES"/>
        </w:rPr>
      </w:pPr>
      <w:r w:rsidRPr="00403E71">
        <w:rPr>
          <w:rFonts w:asciiTheme="majorHAnsi" w:hAnsiTheme="majorHAnsi"/>
          <w:sz w:val="16"/>
          <w:szCs w:val="16"/>
          <w:lang w:val="es-ES"/>
        </w:rPr>
        <w:tab/>
      </w:r>
      <w:r w:rsidRPr="00403E71">
        <w:rPr>
          <w:rStyle w:val="FootnoteReference"/>
          <w:rFonts w:asciiTheme="majorHAnsi" w:hAnsiTheme="majorHAnsi"/>
          <w:sz w:val="16"/>
          <w:szCs w:val="16"/>
        </w:rPr>
        <w:footnoteRef/>
      </w:r>
      <w:r w:rsidRPr="00403E71">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8">
    <w:p w14:paraId="39DF5D3B" w14:textId="77777777" w:rsidR="0015317F" w:rsidRPr="006132CC" w:rsidRDefault="0015317F" w:rsidP="0015317F">
      <w:pPr>
        <w:pStyle w:val="FootnoteText"/>
        <w:jc w:val="both"/>
        <w:rPr>
          <w:rFonts w:ascii="Cambria" w:hAnsi="Cambria"/>
          <w:sz w:val="16"/>
          <w:szCs w:val="16"/>
          <w:lang w:val="es-ES_tradnl"/>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71/17</w:t>
      </w:r>
      <w:r>
        <w:rPr>
          <w:rFonts w:ascii="Cambria" w:hAnsi="Cambria"/>
          <w:sz w:val="16"/>
          <w:szCs w:val="16"/>
          <w:lang w:val="es-ES"/>
        </w:rPr>
        <w:t>, Petición 271-07</w:t>
      </w:r>
      <w:r w:rsidRPr="006132CC">
        <w:rPr>
          <w:rFonts w:ascii="Cambria" w:hAnsi="Cambria"/>
          <w:sz w:val="16"/>
          <w:szCs w:val="16"/>
          <w:lang w:val="es-ES"/>
        </w:rPr>
        <w:t xml:space="preserve">. Admisibilidad. Jorge Luis de la Rosa Mejía y otros. Colombia. 29 de junio de 2017, </w:t>
      </w:r>
      <w:proofErr w:type="spellStart"/>
      <w:r w:rsidRPr="006132CC">
        <w:rPr>
          <w:rFonts w:ascii="Cambria" w:hAnsi="Cambria"/>
          <w:sz w:val="16"/>
          <w:szCs w:val="16"/>
          <w:lang w:val="es-ES"/>
        </w:rPr>
        <w:t>párr</w:t>
      </w:r>
      <w:proofErr w:type="spellEnd"/>
      <w:r w:rsidRPr="006132CC">
        <w:rPr>
          <w:rFonts w:ascii="Cambria" w:hAnsi="Cambria"/>
          <w:sz w:val="16"/>
          <w:szCs w:val="16"/>
          <w:lang w:val="es-ES_tradnl"/>
        </w:rPr>
        <w:t>. 51.</w:t>
      </w:r>
    </w:p>
  </w:footnote>
  <w:footnote w:id="9">
    <w:p w14:paraId="16B3EF41" w14:textId="77777777" w:rsidR="00593291" w:rsidRPr="00B769FB" w:rsidRDefault="00593291" w:rsidP="00593291">
      <w:pPr>
        <w:pStyle w:val="FootnoteText"/>
        <w:spacing w:after="120"/>
        <w:ind w:firstLine="720"/>
        <w:jc w:val="both"/>
        <w:rPr>
          <w:rFonts w:asciiTheme="majorHAnsi" w:hAnsiTheme="majorHAnsi"/>
          <w:sz w:val="16"/>
          <w:szCs w:val="16"/>
          <w:lang w:val="es-PA"/>
        </w:rPr>
      </w:pPr>
      <w:r w:rsidRPr="00B769FB">
        <w:rPr>
          <w:rStyle w:val="FootnoteReference"/>
          <w:rFonts w:asciiTheme="majorHAnsi" w:hAnsiTheme="majorHAnsi"/>
          <w:sz w:val="16"/>
          <w:szCs w:val="16"/>
        </w:rPr>
        <w:footnoteRef/>
      </w:r>
      <w:r w:rsidRPr="00B769FB">
        <w:rPr>
          <w:rFonts w:asciiTheme="majorHAnsi" w:hAnsiTheme="majorHAnsi"/>
          <w:sz w:val="16"/>
          <w:szCs w:val="16"/>
          <w:lang w:val="es-PA"/>
        </w:rPr>
        <w:t xml:space="preserve"> Corte I.D.H., </w:t>
      </w:r>
      <w:r w:rsidRPr="00B769FB">
        <w:rPr>
          <w:rFonts w:asciiTheme="majorHAnsi" w:hAnsiTheme="majorHAnsi"/>
          <w:i/>
          <w:iCs/>
          <w:sz w:val="16"/>
          <w:szCs w:val="16"/>
          <w:lang w:val="es-PA"/>
        </w:rPr>
        <w:t xml:space="preserve">Caso Velásquez Rodríguez. </w:t>
      </w:r>
      <w:r w:rsidRPr="00B769FB">
        <w:rPr>
          <w:rFonts w:asciiTheme="majorHAnsi" w:hAnsiTheme="majorHAnsi"/>
          <w:iCs/>
          <w:sz w:val="16"/>
          <w:szCs w:val="16"/>
          <w:lang w:val="es-PA"/>
        </w:rPr>
        <w:t>Excepciones Preliminares</w:t>
      </w:r>
      <w:r w:rsidRPr="00B769FB">
        <w:rPr>
          <w:rFonts w:asciiTheme="majorHAnsi" w:hAnsiTheme="majorHAnsi"/>
          <w:sz w:val="16"/>
          <w:szCs w:val="16"/>
          <w:lang w:val="es-PA"/>
        </w:rPr>
        <w:t>, Sentencia de 26 de junio de 1987, Serie C No. 1, párr. 93.</w:t>
      </w:r>
    </w:p>
  </w:footnote>
  <w:footnote w:id="10">
    <w:p w14:paraId="1399BBD8" w14:textId="77777777" w:rsidR="0063392A" w:rsidRPr="006132CC" w:rsidRDefault="0063392A" w:rsidP="0063392A">
      <w:pPr>
        <w:pStyle w:val="FootnoteText"/>
        <w:jc w:val="both"/>
        <w:rPr>
          <w:rFonts w:ascii="Cambria" w:hAnsi="Cambria"/>
          <w:sz w:val="16"/>
          <w:szCs w:val="16"/>
          <w:lang w:val="es-ES"/>
        </w:rPr>
      </w:pPr>
      <w:r w:rsidRPr="006132CC">
        <w:rPr>
          <w:rFonts w:ascii="Cambria" w:hAnsi="Cambria"/>
          <w:sz w:val="16"/>
          <w:szCs w:val="16"/>
          <w:lang w:val="es-ES"/>
        </w:rPr>
        <w:tab/>
      </w:r>
      <w:r w:rsidRPr="006132CC">
        <w:rPr>
          <w:rStyle w:val="FootnoteReference"/>
          <w:rFonts w:ascii="Cambria" w:hAnsi="Cambria"/>
          <w:sz w:val="16"/>
          <w:szCs w:val="16"/>
        </w:rPr>
        <w:footnoteRef/>
      </w:r>
      <w:r w:rsidRPr="006132CC">
        <w:rPr>
          <w:rFonts w:ascii="Cambria" w:hAnsi="Cambria"/>
          <w:sz w:val="16"/>
          <w:szCs w:val="16"/>
          <w:lang w:val="es-ES"/>
        </w:rPr>
        <w:t xml:space="preserve"> CIDH, Informe No. 40/18</w:t>
      </w:r>
      <w:r>
        <w:rPr>
          <w:rFonts w:ascii="Cambria" w:hAnsi="Cambria"/>
          <w:sz w:val="16"/>
          <w:szCs w:val="16"/>
          <w:lang w:val="es-ES"/>
        </w:rPr>
        <w:t>, Petición 607-07</w:t>
      </w:r>
      <w:r w:rsidRPr="006132CC">
        <w:rPr>
          <w:rFonts w:ascii="Cambria" w:hAnsi="Cambria"/>
          <w:sz w:val="16"/>
          <w:szCs w:val="16"/>
          <w:lang w:val="es-ES"/>
        </w:rPr>
        <w:t>. Admisibilidad. Nelson Enrique Giraldo Ramírez y familia. Colombia. 4 de mayo de 2018, párr. 15.</w:t>
      </w:r>
    </w:p>
  </w:footnote>
  <w:footnote w:id="11">
    <w:p w14:paraId="6CB12B1D" w14:textId="4DE155D6" w:rsidR="001906BB" w:rsidRPr="0008748A" w:rsidRDefault="001906BB" w:rsidP="001906BB">
      <w:pPr>
        <w:pStyle w:val="FootnoteText"/>
        <w:ind w:firstLine="720"/>
        <w:jc w:val="both"/>
        <w:rPr>
          <w:rFonts w:asciiTheme="majorHAnsi" w:hAnsiTheme="majorHAnsi"/>
          <w:sz w:val="16"/>
          <w:szCs w:val="16"/>
          <w:lang w:val="es-PA"/>
        </w:rPr>
      </w:pPr>
      <w:r w:rsidRPr="0008748A">
        <w:rPr>
          <w:rStyle w:val="FootnoteReference"/>
          <w:rFonts w:asciiTheme="majorHAnsi" w:hAnsiTheme="majorHAnsi"/>
          <w:sz w:val="16"/>
          <w:szCs w:val="16"/>
        </w:rPr>
        <w:footnoteRef/>
      </w:r>
      <w:r w:rsidRPr="0008748A">
        <w:rPr>
          <w:rFonts w:asciiTheme="majorHAnsi" w:hAnsiTheme="majorHAnsi"/>
          <w:sz w:val="16"/>
          <w:szCs w:val="16"/>
          <w:lang w:val="es-PA"/>
        </w:rPr>
        <w:t xml:space="preserve"> Corte I.D.H., Yarce y Otras vs. Colombia. Sentencia de excepciones preliminar, fondo, reparaciones y costas. 22 de noviembre de 2016</w:t>
      </w:r>
      <w:r>
        <w:rPr>
          <w:rFonts w:asciiTheme="majorHAnsi" w:hAnsiTheme="majorHAnsi"/>
          <w:sz w:val="16"/>
          <w:szCs w:val="16"/>
          <w:lang w:val="es-PA"/>
        </w:rPr>
        <w:t xml:space="preserve"> (“Corte I.D.H., Sentencia Yarce y Otras”)</w:t>
      </w:r>
      <w:r w:rsidRPr="0008748A">
        <w:rPr>
          <w:rFonts w:asciiTheme="majorHAnsi" w:hAnsiTheme="majorHAnsi"/>
          <w:sz w:val="16"/>
          <w:szCs w:val="16"/>
          <w:lang w:val="es-PA"/>
        </w:rPr>
        <w:t>, párr.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3B67" w14:textId="77777777" w:rsidR="0015317F" w:rsidRDefault="0015317F"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800D5B4" w14:textId="77777777" w:rsidR="0015317F" w:rsidRDefault="00153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81B9" w14:textId="77777777" w:rsidR="0015317F" w:rsidRDefault="0015317F" w:rsidP="00A50FCF">
    <w:pPr>
      <w:pStyle w:val="Header"/>
      <w:tabs>
        <w:tab w:val="clear" w:pos="4320"/>
        <w:tab w:val="clear" w:pos="8640"/>
      </w:tabs>
      <w:jc w:val="center"/>
      <w:rPr>
        <w:sz w:val="22"/>
        <w:szCs w:val="22"/>
      </w:rPr>
    </w:pPr>
    <w:r>
      <w:rPr>
        <w:noProof/>
        <w:sz w:val="22"/>
        <w:szCs w:val="22"/>
      </w:rPr>
      <w:drawing>
        <wp:inline distT="0" distB="0" distL="0" distR="0" wp14:anchorId="1712A0C8" wp14:editId="40AEDC2B">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04B18495" w14:textId="77777777" w:rsidR="0015317F" w:rsidRPr="00EC7D62" w:rsidRDefault="00CC17E2" w:rsidP="00A50FCF">
    <w:pPr>
      <w:pStyle w:val="Header"/>
      <w:tabs>
        <w:tab w:val="clear" w:pos="4320"/>
        <w:tab w:val="clear" w:pos="8640"/>
      </w:tabs>
      <w:jc w:val="center"/>
      <w:rPr>
        <w:sz w:val="22"/>
        <w:szCs w:val="22"/>
      </w:rPr>
    </w:pPr>
    <w:r>
      <w:rPr>
        <w:sz w:val="22"/>
        <w:szCs w:val="22"/>
      </w:rPr>
      <w:pict w14:anchorId="69C91BCE">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15317F" w:rsidRDefault="0015317F" w:rsidP="00B4618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15317F" w:rsidRDefault="001531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7777777" w:rsidR="0015317F" w:rsidRDefault="0015317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15317F" w:rsidRPr="00EC7D62" w:rsidRDefault="00CC17E2" w:rsidP="00A50FCF">
    <w:pPr>
      <w:pStyle w:val="Header"/>
      <w:tabs>
        <w:tab w:val="clear" w:pos="4320"/>
        <w:tab w:val="clear" w:pos="8640"/>
      </w:tabs>
      <w:jc w:val="center"/>
      <w:rPr>
        <w:sz w:val="22"/>
        <w:szCs w:val="22"/>
      </w:rPr>
    </w:pPr>
    <w:r>
      <w:rPr>
        <w:sz w:val="22"/>
        <w:szCs w:val="22"/>
      </w:rPr>
      <w:pict w14:anchorId="4367A34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93A0007E"/>
    <w:lvl w:ilvl="0" w:tplc="4B1CC5E8">
      <w:start w:val="1"/>
      <w:numFmt w:val="decimal"/>
      <w:lvlText w:val="%1."/>
      <w:lvlJc w:val="left"/>
      <w:pPr>
        <w:tabs>
          <w:tab w:val="num" w:pos="720"/>
        </w:tabs>
        <w:ind w:left="0" w:firstLine="720"/>
      </w:pPr>
      <w:rPr>
        <w:rFonts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D5B11AB"/>
    <w:multiLevelType w:val="hybridMultilevel"/>
    <w:tmpl w:val="223CD1EA"/>
    <w:lvl w:ilvl="0" w:tplc="7C6835B8">
      <w:start w:val="1"/>
      <w:numFmt w:val="decimal"/>
      <w:lvlText w:val="%1."/>
      <w:lvlJc w:val="left"/>
      <w:pPr>
        <w:ind w:left="720" w:hanging="360"/>
      </w:pPr>
      <w:rPr>
        <w:rFonts w:asciiTheme="majorHAnsi" w:hAnsiTheme="majorHAns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1"/>
  </w:num>
  <w:num w:numId="4">
    <w:abstractNumId w:val="20"/>
  </w:num>
  <w:num w:numId="5">
    <w:abstractNumId w:val="45"/>
  </w:num>
  <w:num w:numId="6">
    <w:abstractNumId w:val="25"/>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49"/>
  </w:num>
  <w:num w:numId="45">
    <w:abstractNumId w:val="50"/>
  </w:num>
  <w:num w:numId="46">
    <w:abstractNumId w:val="52"/>
  </w:num>
  <w:num w:numId="47">
    <w:abstractNumId w:val="53"/>
  </w:num>
  <w:num w:numId="48">
    <w:abstractNumId w:val="54"/>
  </w:num>
  <w:num w:numId="49">
    <w:abstractNumId w:val="55"/>
  </w:num>
  <w:num w:numId="50">
    <w:abstractNumId w:val="56"/>
  </w:num>
  <w:num w:numId="51">
    <w:abstractNumId w:val="19"/>
  </w:num>
  <w:num w:numId="52">
    <w:abstractNumId w:val="39"/>
  </w:num>
  <w:num w:numId="53">
    <w:abstractNumId w:val="48"/>
  </w:num>
  <w:num w:numId="54">
    <w:abstractNumId w:val="43"/>
  </w:num>
  <w:num w:numId="55">
    <w:abstractNumId w:val="4"/>
  </w:num>
  <w:num w:numId="56">
    <w:abstractNumId w:val="41"/>
  </w:num>
  <w:num w:numId="57">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0FA5"/>
    <w:rsid w:val="00006E1F"/>
    <w:rsid w:val="000070D7"/>
    <w:rsid w:val="000112E0"/>
    <w:rsid w:val="00014313"/>
    <w:rsid w:val="0001788C"/>
    <w:rsid w:val="00017FEF"/>
    <w:rsid w:val="00024488"/>
    <w:rsid w:val="000337EF"/>
    <w:rsid w:val="00040C3A"/>
    <w:rsid w:val="000419AD"/>
    <w:rsid w:val="000421DF"/>
    <w:rsid w:val="000433C9"/>
    <w:rsid w:val="00045A01"/>
    <w:rsid w:val="000530F4"/>
    <w:rsid w:val="0005487C"/>
    <w:rsid w:val="000673D0"/>
    <w:rsid w:val="000716C5"/>
    <w:rsid w:val="00075E23"/>
    <w:rsid w:val="00091C07"/>
    <w:rsid w:val="00092DDD"/>
    <w:rsid w:val="0009344A"/>
    <w:rsid w:val="000A392E"/>
    <w:rsid w:val="000A4746"/>
    <w:rsid w:val="000A52FC"/>
    <w:rsid w:val="000A575F"/>
    <w:rsid w:val="000B6028"/>
    <w:rsid w:val="000C7915"/>
    <w:rsid w:val="000D05CB"/>
    <w:rsid w:val="000D10DB"/>
    <w:rsid w:val="000D3651"/>
    <w:rsid w:val="000E2985"/>
    <w:rsid w:val="000E5EB5"/>
    <w:rsid w:val="000F02EC"/>
    <w:rsid w:val="000F35ED"/>
    <w:rsid w:val="00107131"/>
    <w:rsid w:val="0010736F"/>
    <w:rsid w:val="00113F73"/>
    <w:rsid w:val="00121CC2"/>
    <w:rsid w:val="0012451F"/>
    <w:rsid w:val="00131425"/>
    <w:rsid w:val="0013183A"/>
    <w:rsid w:val="00133EE5"/>
    <w:rsid w:val="00136EC3"/>
    <w:rsid w:val="0015317F"/>
    <w:rsid w:val="00164ED5"/>
    <w:rsid w:val="00167A34"/>
    <w:rsid w:val="00174378"/>
    <w:rsid w:val="00175057"/>
    <w:rsid w:val="00177EC9"/>
    <w:rsid w:val="001906BB"/>
    <w:rsid w:val="001A22A2"/>
    <w:rsid w:val="001A7870"/>
    <w:rsid w:val="001B3A00"/>
    <w:rsid w:val="001B617C"/>
    <w:rsid w:val="001C1B41"/>
    <w:rsid w:val="001C5A65"/>
    <w:rsid w:val="001D3954"/>
    <w:rsid w:val="001D65EF"/>
    <w:rsid w:val="001E2632"/>
    <w:rsid w:val="001E49E7"/>
    <w:rsid w:val="001F0612"/>
    <w:rsid w:val="001F2F1D"/>
    <w:rsid w:val="001F7201"/>
    <w:rsid w:val="0021279D"/>
    <w:rsid w:val="00215A57"/>
    <w:rsid w:val="00216A1D"/>
    <w:rsid w:val="0022072D"/>
    <w:rsid w:val="00223A29"/>
    <w:rsid w:val="002250A3"/>
    <w:rsid w:val="00235217"/>
    <w:rsid w:val="0024546E"/>
    <w:rsid w:val="00246D1F"/>
    <w:rsid w:val="00247403"/>
    <w:rsid w:val="00247542"/>
    <w:rsid w:val="00251109"/>
    <w:rsid w:val="0025568F"/>
    <w:rsid w:val="00263F6F"/>
    <w:rsid w:val="00266530"/>
    <w:rsid w:val="00266B61"/>
    <w:rsid w:val="0026712A"/>
    <w:rsid w:val="002704DB"/>
    <w:rsid w:val="002836F3"/>
    <w:rsid w:val="002A0AAE"/>
    <w:rsid w:val="002A5820"/>
    <w:rsid w:val="002A6627"/>
    <w:rsid w:val="002B0B90"/>
    <w:rsid w:val="002C3B2B"/>
    <w:rsid w:val="002C6A45"/>
    <w:rsid w:val="002D02B3"/>
    <w:rsid w:val="002D0A00"/>
    <w:rsid w:val="002D1AB4"/>
    <w:rsid w:val="002D2B26"/>
    <w:rsid w:val="002D7EA2"/>
    <w:rsid w:val="002E187C"/>
    <w:rsid w:val="002E4781"/>
    <w:rsid w:val="002F3179"/>
    <w:rsid w:val="00302733"/>
    <w:rsid w:val="0030535D"/>
    <w:rsid w:val="00310CD0"/>
    <w:rsid w:val="00314078"/>
    <w:rsid w:val="003141CD"/>
    <w:rsid w:val="0031535D"/>
    <w:rsid w:val="003239B8"/>
    <w:rsid w:val="00324E1F"/>
    <w:rsid w:val="0033169F"/>
    <w:rsid w:val="00340481"/>
    <w:rsid w:val="00344977"/>
    <w:rsid w:val="00346B46"/>
    <w:rsid w:val="00346C95"/>
    <w:rsid w:val="00356185"/>
    <w:rsid w:val="00360380"/>
    <w:rsid w:val="00366053"/>
    <w:rsid w:val="00373F53"/>
    <w:rsid w:val="0037519E"/>
    <w:rsid w:val="00375317"/>
    <w:rsid w:val="00377E2B"/>
    <w:rsid w:val="0038223E"/>
    <w:rsid w:val="0038524B"/>
    <w:rsid w:val="00386CF0"/>
    <w:rsid w:val="00390590"/>
    <w:rsid w:val="00397923"/>
    <w:rsid w:val="003A3E87"/>
    <w:rsid w:val="003B70FB"/>
    <w:rsid w:val="003C2707"/>
    <w:rsid w:val="003C676B"/>
    <w:rsid w:val="003D3BC2"/>
    <w:rsid w:val="003E04BE"/>
    <w:rsid w:val="003E4115"/>
    <w:rsid w:val="003E6CA1"/>
    <w:rsid w:val="003F105B"/>
    <w:rsid w:val="004065A8"/>
    <w:rsid w:val="00406675"/>
    <w:rsid w:val="00411591"/>
    <w:rsid w:val="004165C2"/>
    <w:rsid w:val="004273CC"/>
    <w:rsid w:val="00427495"/>
    <w:rsid w:val="004347D7"/>
    <w:rsid w:val="00441ECB"/>
    <w:rsid w:val="00445193"/>
    <w:rsid w:val="0044520B"/>
    <w:rsid w:val="00453B75"/>
    <w:rsid w:val="00454F0A"/>
    <w:rsid w:val="00462C1B"/>
    <w:rsid w:val="00467B7E"/>
    <w:rsid w:val="00473BB4"/>
    <w:rsid w:val="00477592"/>
    <w:rsid w:val="0048136A"/>
    <w:rsid w:val="0048440B"/>
    <w:rsid w:val="00486F1C"/>
    <w:rsid w:val="0049419D"/>
    <w:rsid w:val="00494CCE"/>
    <w:rsid w:val="004A4B9C"/>
    <w:rsid w:val="004A6A54"/>
    <w:rsid w:val="004C0E8D"/>
    <w:rsid w:val="004C1EDB"/>
    <w:rsid w:val="004C20D2"/>
    <w:rsid w:val="004C2312"/>
    <w:rsid w:val="004C4B62"/>
    <w:rsid w:val="004C54C9"/>
    <w:rsid w:val="004D2DA4"/>
    <w:rsid w:val="004D4ABA"/>
    <w:rsid w:val="004D6025"/>
    <w:rsid w:val="004D70F9"/>
    <w:rsid w:val="004E0BB6"/>
    <w:rsid w:val="004E2649"/>
    <w:rsid w:val="004E3598"/>
    <w:rsid w:val="004F626F"/>
    <w:rsid w:val="00501399"/>
    <w:rsid w:val="0050633D"/>
    <w:rsid w:val="00507BC4"/>
    <w:rsid w:val="00511602"/>
    <w:rsid w:val="005128E4"/>
    <w:rsid w:val="005133DB"/>
    <w:rsid w:val="00514504"/>
    <w:rsid w:val="00520E16"/>
    <w:rsid w:val="005224F5"/>
    <w:rsid w:val="0052363C"/>
    <w:rsid w:val="005246D3"/>
    <w:rsid w:val="005253C4"/>
    <w:rsid w:val="00525560"/>
    <w:rsid w:val="00530A11"/>
    <w:rsid w:val="00530A97"/>
    <w:rsid w:val="00533A62"/>
    <w:rsid w:val="0053487B"/>
    <w:rsid w:val="00544C49"/>
    <w:rsid w:val="005516A1"/>
    <w:rsid w:val="0055189F"/>
    <w:rsid w:val="005559EF"/>
    <w:rsid w:val="005609ED"/>
    <w:rsid w:val="00563557"/>
    <w:rsid w:val="0057402A"/>
    <w:rsid w:val="005771D0"/>
    <w:rsid w:val="00581A24"/>
    <w:rsid w:val="00585A16"/>
    <w:rsid w:val="00591634"/>
    <w:rsid w:val="0059191A"/>
    <w:rsid w:val="005921FF"/>
    <w:rsid w:val="00593291"/>
    <w:rsid w:val="005A24ED"/>
    <w:rsid w:val="005A6D0E"/>
    <w:rsid w:val="005B52B0"/>
    <w:rsid w:val="005B6806"/>
    <w:rsid w:val="005C4225"/>
    <w:rsid w:val="005D13C5"/>
    <w:rsid w:val="005D6FF2"/>
    <w:rsid w:val="005E3E07"/>
    <w:rsid w:val="005E5F78"/>
    <w:rsid w:val="005F0DAD"/>
    <w:rsid w:val="005F0F33"/>
    <w:rsid w:val="00600DEB"/>
    <w:rsid w:val="00601040"/>
    <w:rsid w:val="006142C7"/>
    <w:rsid w:val="00616921"/>
    <w:rsid w:val="00623843"/>
    <w:rsid w:val="00623C67"/>
    <w:rsid w:val="00624537"/>
    <w:rsid w:val="00627C9F"/>
    <w:rsid w:val="006311E9"/>
    <w:rsid w:val="00632354"/>
    <w:rsid w:val="0063392A"/>
    <w:rsid w:val="00635421"/>
    <w:rsid w:val="00642810"/>
    <w:rsid w:val="00652333"/>
    <w:rsid w:val="00661860"/>
    <w:rsid w:val="006652AA"/>
    <w:rsid w:val="0067395C"/>
    <w:rsid w:val="00675B2C"/>
    <w:rsid w:val="0068009E"/>
    <w:rsid w:val="00685345"/>
    <w:rsid w:val="006856C8"/>
    <w:rsid w:val="00686B34"/>
    <w:rsid w:val="00691772"/>
    <w:rsid w:val="00691776"/>
    <w:rsid w:val="00692219"/>
    <w:rsid w:val="0069536F"/>
    <w:rsid w:val="006A17D2"/>
    <w:rsid w:val="006A3015"/>
    <w:rsid w:val="006A53B4"/>
    <w:rsid w:val="006A73E6"/>
    <w:rsid w:val="006B2D5C"/>
    <w:rsid w:val="006B79EA"/>
    <w:rsid w:val="006C3525"/>
    <w:rsid w:val="006C4EB1"/>
    <w:rsid w:val="006D14F3"/>
    <w:rsid w:val="006D46DB"/>
    <w:rsid w:val="006E0166"/>
    <w:rsid w:val="006E2FFB"/>
    <w:rsid w:val="006E3931"/>
    <w:rsid w:val="006E7B34"/>
    <w:rsid w:val="0070697F"/>
    <w:rsid w:val="00713EA0"/>
    <w:rsid w:val="007156CF"/>
    <w:rsid w:val="0072199C"/>
    <w:rsid w:val="00722C9F"/>
    <w:rsid w:val="007253B8"/>
    <w:rsid w:val="0073741F"/>
    <w:rsid w:val="00765EE6"/>
    <w:rsid w:val="0076643F"/>
    <w:rsid w:val="00777F63"/>
    <w:rsid w:val="0078377F"/>
    <w:rsid w:val="00785D5C"/>
    <w:rsid w:val="0079129C"/>
    <w:rsid w:val="00793F54"/>
    <w:rsid w:val="007A5817"/>
    <w:rsid w:val="007B05C4"/>
    <w:rsid w:val="007B508F"/>
    <w:rsid w:val="007B60E9"/>
    <w:rsid w:val="007B6CC3"/>
    <w:rsid w:val="007B71E2"/>
    <w:rsid w:val="007B767B"/>
    <w:rsid w:val="007B76D3"/>
    <w:rsid w:val="007C3334"/>
    <w:rsid w:val="007C4159"/>
    <w:rsid w:val="007D2B98"/>
    <w:rsid w:val="007D328D"/>
    <w:rsid w:val="007E21BC"/>
    <w:rsid w:val="007E75F4"/>
    <w:rsid w:val="007E7C82"/>
    <w:rsid w:val="007F2AA1"/>
    <w:rsid w:val="007F3777"/>
    <w:rsid w:val="007F588D"/>
    <w:rsid w:val="007F58A4"/>
    <w:rsid w:val="007F5FAD"/>
    <w:rsid w:val="00803423"/>
    <w:rsid w:val="00803A03"/>
    <w:rsid w:val="00803AE2"/>
    <w:rsid w:val="00803C12"/>
    <w:rsid w:val="00803DC6"/>
    <w:rsid w:val="00803F1C"/>
    <w:rsid w:val="0080600E"/>
    <w:rsid w:val="00811520"/>
    <w:rsid w:val="00814688"/>
    <w:rsid w:val="008149D8"/>
    <w:rsid w:val="00817612"/>
    <w:rsid w:val="00831D07"/>
    <w:rsid w:val="008338A4"/>
    <w:rsid w:val="00834D49"/>
    <w:rsid w:val="00837C45"/>
    <w:rsid w:val="00840B5C"/>
    <w:rsid w:val="00844730"/>
    <w:rsid w:val="008457C2"/>
    <w:rsid w:val="00853ED5"/>
    <w:rsid w:val="00857A82"/>
    <w:rsid w:val="00866A35"/>
    <w:rsid w:val="00873836"/>
    <w:rsid w:val="00874720"/>
    <w:rsid w:val="0088169C"/>
    <w:rsid w:val="00883F95"/>
    <w:rsid w:val="00885737"/>
    <w:rsid w:val="00885993"/>
    <w:rsid w:val="00890650"/>
    <w:rsid w:val="00897E12"/>
    <w:rsid w:val="008A0AB8"/>
    <w:rsid w:val="008A0CEB"/>
    <w:rsid w:val="008A7E0F"/>
    <w:rsid w:val="008B12F5"/>
    <w:rsid w:val="008C2FC2"/>
    <w:rsid w:val="008C5E2D"/>
    <w:rsid w:val="008D114A"/>
    <w:rsid w:val="008D3BEC"/>
    <w:rsid w:val="008D768D"/>
    <w:rsid w:val="008E1315"/>
    <w:rsid w:val="008E3759"/>
    <w:rsid w:val="008E3BFE"/>
    <w:rsid w:val="008E4F1C"/>
    <w:rsid w:val="008E580E"/>
    <w:rsid w:val="008F1912"/>
    <w:rsid w:val="008F35E6"/>
    <w:rsid w:val="0090270B"/>
    <w:rsid w:val="00904013"/>
    <w:rsid w:val="009041DC"/>
    <w:rsid w:val="00904C8E"/>
    <w:rsid w:val="00911EF7"/>
    <w:rsid w:val="00917B5A"/>
    <w:rsid w:val="00920A58"/>
    <w:rsid w:val="00920A8C"/>
    <w:rsid w:val="00922E6C"/>
    <w:rsid w:val="00934A2C"/>
    <w:rsid w:val="0094529B"/>
    <w:rsid w:val="00952682"/>
    <w:rsid w:val="0096697B"/>
    <w:rsid w:val="0096706E"/>
    <w:rsid w:val="009725F4"/>
    <w:rsid w:val="00973FAC"/>
    <w:rsid w:val="00974491"/>
    <w:rsid w:val="00975C4E"/>
    <w:rsid w:val="00981FBA"/>
    <w:rsid w:val="00990498"/>
    <w:rsid w:val="00995A78"/>
    <w:rsid w:val="00997BC5"/>
    <w:rsid w:val="009A3771"/>
    <w:rsid w:val="009A4F41"/>
    <w:rsid w:val="009A5FF0"/>
    <w:rsid w:val="009B381B"/>
    <w:rsid w:val="009C527B"/>
    <w:rsid w:val="009C6CB7"/>
    <w:rsid w:val="009C7A5C"/>
    <w:rsid w:val="009D0E76"/>
    <w:rsid w:val="009D1753"/>
    <w:rsid w:val="009D7611"/>
    <w:rsid w:val="009E0B61"/>
    <w:rsid w:val="009E0D16"/>
    <w:rsid w:val="009E41D6"/>
    <w:rsid w:val="009E4EC3"/>
    <w:rsid w:val="009E53DE"/>
    <w:rsid w:val="009F314C"/>
    <w:rsid w:val="00A11212"/>
    <w:rsid w:val="00A11E44"/>
    <w:rsid w:val="00A131E4"/>
    <w:rsid w:val="00A20002"/>
    <w:rsid w:val="00A30100"/>
    <w:rsid w:val="00A322E4"/>
    <w:rsid w:val="00A328B3"/>
    <w:rsid w:val="00A3454F"/>
    <w:rsid w:val="00A34EB9"/>
    <w:rsid w:val="00A46E7A"/>
    <w:rsid w:val="00A50FCF"/>
    <w:rsid w:val="00A528D1"/>
    <w:rsid w:val="00A60826"/>
    <w:rsid w:val="00A610CD"/>
    <w:rsid w:val="00A65011"/>
    <w:rsid w:val="00A758AA"/>
    <w:rsid w:val="00A76324"/>
    <w:rsid w:val="00A77712"/>
    <w:rsid w:val="00A850E6"/>
    <w:rsid w:val="00A861CD"/>
    <w:rsid w:val="00A865AF"/>
    <w:rsid w:val="00A93C5B"/>
    <w:rsid w:val="00AA09A2"/>
    <w:rsid w:val="00AA61AD"/>
    <w:rsid w:val="00AA63E2"/>
    <w:rsid w:val="00AA7996"/>
    <w:rsid w:val="00AB2DCE"/>
    <w:rsid w:val="00AC19CB"/>
    <w:rsid w:val="00AC244D"/>
    <w:rsid w:val="00AC75CA"/>
    <w:rsid w:val="00AD489F"/>
    <w:rsid w:val="00AE0953"/>
    <w:rsid w:val="00AE5488"/>
    <w:rsid w:val="00AE6F91"/>
    <w:rsid w:val="00AF3C32"/>
    <w:rsid w:val="00AF5571"/>
    <w:rsid w:val="00AF5D74"/>
    <w:rsid w:val="00B00B8E"/>
    <w:rsid w:val="00B07341"/>
    <w:rsid w:val="00B235FC"/>
    <w:rsid w:val="00B261A9"/>
    <w:rsid w:val="00B30539"/>
    <w:rsid w:val="00B314DB"/>
    <w:rsid w:val="00B318C1"/>
    <w:rsid w:val="00B33154"/>
    <w:rsid w:val="00B361F2"/>
    <w:rsid w:val="00B3718B"/>
    <w:rsid w:val="00B3745F"/>
    <w:rsid w:val="00B45E23"/>
    <w:rsid w:val="00B46185"/>
    <w:rsid w:val="00B4632A"/>
    <w:rsid w:val="00B530F1"/>
    <w:rsid w:val="00B56C46"/>
    <w:rsid w:val="00B634F5"/>
    <w:rsid w:val="00B650D3"/>
    <w:rsid w:val="00B72A9A"/>
    <w:rsid w:val="00B767C7"/>
    <w:rsid w:val="00B86627"/>
    <w:rsid w:val="00BA0CBA"/>
    <w:rsid w:val="00BA276C"/>
    <w:rsid w:val="00BA5484"/>
    <w:rsid w:val="00BB265C"/>
    <w:rsid w:val="00BB306F"/>
    <w:rsid w:val="00BB79D4"/>
    <w:rsid w:val="00BD4B89"/>
    <w:rsid w:val="00BD5922"/>
    <w:rsid w:val="00BD5FD2"/>
    <w:rsid w:val="00BE646F"/>
    <w:rsid w:val="00BF02CB"/>
    <w:rsid w:val="00BF1898"/>
    <w:rsid w:val="00BF6FD8"/>
    <w:rsid w:val="00C03680"/>
    <w:rsid w:val="00C054DF"/>
    <w:rsid w:val="00C14BD4"/>
    <w:rsid w:val="00C21762"/>
    <w:rsid w:val="00C21FEF"/>
    <w:rsid w:val="00C23BA4"/>
    <w:rsid w:val="00C24543"/>
    <w:rsid w:val="00C256A2"/>
    <w:rsid w:val="00C25ADB"/>
    <w:rsid w:val="00C2623F"/>
    <w:rsid w:val="00C31CCA"/>
    <w:rsid w:val="00C51515"/>
    <w:rsid w:val="00C549EF"/>
    <w:rsid w:val="00C5660B"/>
    <w:rsid w:val="00C6279E"/>
    <w:rsid w:val="00C66B72"/>
    <w:rsid w:val="00C70198"/>
    <w:rsid w:val="00C71B82"/>
    <w:rsid w:val="00C72A01"/>
    <w:rsid w:val="00C8540B"/>
    <w:rsid w:val="00C87AC4"/>
    <w:rsid w:val="00C94232"/>
    <w:rsid w:val="00C9491D"/>
    <w:rsid w:val="00C9567A"/>
    <w:rsid w:val="00CA499E"/>
    <w:rsid w:val="00CB212D"/>
    <w:rsid w:val="00CB24A0"/>
    <w:rsid w:val="00CB2660"/>
    <w:rsid w:val="00CC17E2"/>
    <w:rsid w:val="00CC5E90"/>
    <w:rsid w:val="00CC6458"/>
    <w:rsid w:val="00CD046C"/>
    <w:rsid w:val="00CD51D6"/>
    <w:rsid w:val="00CE076C"/>
    <w:rsid w:val="00CE5199"/>
    <w:rsid w:val="00CE66D5"/>
    <w:rsid w:val="00CF41C4"/>
    <w:rsid w:val="00CF637A"/>
    <w:rsid w:val="00D059DE"/>
    <w:rsid w:val="00D05ABD"/>
    <w:rsid w:val="00D06F66"/>
    <w:rsid w:val="00D074A4"/>
    <w:rsid w:val="00D07ABC"/>
    <w:rsid w:val="00D13FCE"/>
    <w:rsid w:val="00D1541A"/>
    <w:rsid w:val="00D2102D"/>
    <w:rsid w:val="00D2214E"/>
    <w:rsid w:val="00D306D1"/>
    <w:rsid w:val="00D30800"/>
    <w:rsid w:val="00D34786"/>
    <w:rsid w:val="00D37BFC"/>
    <w:rsid w:val="00D4360D"/>
    <w:rsid w:val="00D47A8E"/>
    <w:rsid w:val="00D52D14"/>
    <w:rsid w:val="00D535A0"/>
    <w:rsid w:val="00D712D3"/>
    <w:rsid w:val="00D71422"/>
    <w:rsid w:val="00D72DC6"/>
    <w:rsid w:val="00D7558D"/>
    <w:rsid w:val="00D81D92"/>
    <w:rsid w:val="00D848AC"/>
    <w:rsid w:val="00D876F9"/>
    <w:rsid w:val="00D93608"/>
    <w:rsid w:val="00DA13A2"/>
    <w:rsid w:val="00DA23D4"/>
    <w:rsid w:val="00DA388E"/>
    <w:rsid w:val="00DA7B5F"/>
    <w:rsid w:val="00DC11E7"/>
    <w:rsid w:val="00DC24E3"/>
    <w:rsid w:val="00DC7023"/>
    <w:rsid w:val="00DC769A"/>
    <w:rsid w:val="00DD3D86"/>
    <w:rsid w:val="00DD4AD2"/>
    <w:rsid w:val="00DE0342"/>
    <w:rsid w:val="00DF1EC4"/>
    <w:rsid w:val="00E0340B"/>
    <w:rsid w:val="00E04A90"/>
    <w:rsid w:val="00E0551F"/>
    <w:rsid w:val="00E219C7"/>
    <w:rsid w:val="00E4118C"/>
    <w:rsid w:val="00E43157"/>
    <w:rsid w:val="00E461CE"/>
    <w:rsid w:val="00E56F4F"/>
    <w:rsid w:val="00E573E4"/>
    <w:rsid w:val="00E614FE"/>
    <w:rsid w:val="00E638D2"/>
    <w:rsid w:val="00E67981"/>
    <w:rsid w:val="00E71C69"/>
    <w:rsid w:val="00E720CA"/>
    <w:rsid w:val="00E84EB5"/>
    <w:rsid w:val="00E85662"/>
    <w:rsid w:val="00E8789F"/>
    <w:rsid w:val="00E97B71"/>
    <w:rsid w:val="00EA3D34"/>
    <w:rsid w:val="00EB0D78"/>
    <w:rsid w:val="00EB2FE4"/>
    <w:rsid w:val="00EB39D6"/>
    <w:rsid w:val="00EB454D"/>
    <w:rsid w:val="00ED2DA5"/>
    <w:rsid w:val="00ED549D"/>
    <w:rsid w:val="00ED76BE"/>
    <w:rsid w:val="00EE00E9"/>
    <w:rsid w:val="00EE247F"/>
    <w:rsid w:val="00EE57EB"/>
    <w:rsid w:val="00EF04D5"/>
    <w:rsid w:val="00EF1AAA"/>
    <w:rsid w:val="00EF1E3A"/>
    <w:rsid w:val="00EF4225"/>
    <w:rsid w:val="00EF4A26"/>
    <w:rsid w:val="00EF619B"/>
    <w:rsid w:val="00F00B55"/>
    <w:rsid w:val="00F02AD1"/>
    <w:rsid w:val="00F07089"/>
    <w:rsid w:val="00F115A5"/>
    <w:rsid w:val="00F253CC"/>
    <w:rsid w:val="00F308F1"/>
    <w:rsid w:val="00F3260F"/>
    <w:rsid w:val="00F37106"/>
    <w:rsid w:val="00F408C2"/>
    <w:rsid w:val="00F43D1D"/>
    <w:rsid w:val="00F44E25"/>
    <w:rsid w:val="00F519CF"/>
    <w:rsid w:val="00F56BA5"/>
    <w:rsid w:val="00F57827"/>
    <w:rsid w:val="00F60E22"/>
    <w:rsid w:val="00F65FC7"/>
    <w:rsid w:val="00F81395"/>
    <w:rsid w:val="00F81BB8"/>
    <w:rsid w:val="00F864FE"/>
    <w:rsid w:val="00F87019"/>
    <w:rsid w:val="00F87422"/>
    <w:rsid w:val="00F90C64"/>
    <w:rsid w:val="00F917D1"/>
    <w:rsid w:val="00F94965"/>
    <w:rsid w:val="00F9653B"/>
    <w:rsid w:val="00FA0C29"/>
    <w:rsid w:val="00FB62CF"/>
    <w:rsid w:val="00FB7319"/>
    <w:rsid w:val="00FC0324"/>
    <w:rsid w:val="00FD3C3B"/>
    <w:rsid w:val="00FD4A52"/>
    <w:rsid w:val="00FE07DD"/>
    <w:rsid w:val="00FE1F2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691772"/>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377E2B"/>
    <w:rPr>
      <w:sz w:val="16"/>
      <w:szCs w:val="16"/>
    </w:rPr>
  </w:style>
  <w:style w:type="paragraph" w:styleId="CommentText">
    <w:name w:val="annotation text"/>
    <w:basedOn w:val="Normal"/>
    <w:link w:val="CommentTextChar"/>
    <w:uiPriority w:val="99"/>
    <w:semiHidden/>
    <w:unhideWhenUsed/>
    <w:rsid w:val="00377E2B"/>
    <w:rPr>
      <w:sz w:val="20"/>
      <w:szCs w:val="20"/>
    </w:rPr>
  </w:style>
  <w:style w:type="character" w:customStyle="1" w:styleId="CommentTextChar">
    <w:name w:val="Comment Text Char"/>
    <w:basedOn w:val="DefaultParagraphFont"/>
    <w:link w:val="CommentText"/>
    <w:uiPriority w:val="99"/>
    <w:semiHidden/>
    <w:rsid w:val="00377E2B"/>
    <w:rPr>
      <w:lang w:val="en-US" w:eastAsia="en-US"/>
    </w:rPr>
  </w:style>
  <w:style w:type="paragraph" w:styleId="CommentSubject">
    <w:name w:val="annotation subject"/>
    <w:basedOn w:val="CommentText"/>
    <w:next w:val="CommentText"/>
    <w:link w:val="CommentSubjectChar"/>
    <w:uiPriority w:val="99"/>
    <w:semiHidden/>
    <w:unhideWhenUsed/>
    <w:rsid w:val="00377E2B"/>
    <w:rPr>
      <w:b/>
      <w:bCs/>
    </w:rPr>
  </w:style>
  <w:style w:type="character" w:customStyle="1" w:styleId="CommentSubjectChar">
    <w:name w:val="Comment Subject Char"/>
    <w:basedOn w:val="CommentTextChar"/>
    <w:link w:val="CommentSubject"/>
    <w:uiPriority w:val="99"/>
    <w:semiHidden/>
    <w:rsid w:val="00377E2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5858">
      <w:bodyDiv w:val="1"/>
      <w:marLeft w:val="0"/>
      <w:marRight w:val="0"/>
      <w:marTop w:val="0"/>
      <w:marBottom w:val="0"/>
      <w:divBdr>
        <w:top w:val="none" w:sz="0" w:space="0" w:color="auto"/>
        <w:left w:val="none" w:sz="0" w:space="0" w:color="auto"/>
        <w:bottom w:val="none" w:sz="0" w:space="0" w:color="auto"/>
        <w:right w:val="none" w:sz="0" w:space="0" w:color="auto"/>
      </w:divBdr>
    </w:div>
    <w:div w:id="7927917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10F8106C6B41A68AE460B6FEC61D9E"/>
        <w:category>
          <w:name w:val="General"/>
          <w:gallery w:val="placeholder"/>
        </w:category>
        <w:types>
          <w:type w:val="bbPlcHdr"/>
        </w:types>
        <w:behaviors>
          <w:behavior w:val="content"/>
        </w:behaviors>
        <w:guid w:val="{6FCB8C91-27C2-4356-B439-70F4E7CF422A}"/>
      </w:docPartPr>
      <w:docPartBody>
        <w:p w:rsidR="00C35B5F" w:rsidRDefault="00C35B5F" w:rsidP="00C35B5F">
          <w:pPr>
            <w:pStyle w:val="6F10F8106C6B41A68AE460B6FEC61D9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6440"/>
    <w:rsid w:val="00200821"/>
    <w:rsid w:val="0025245B"/>
    <w:rsid w:val="002C52A7"/>
    <w:rsid w:val="002D786D"/>
    <w:rsid w:val="00394049"/>
    <w:rsid w:val="0048650D"/>
    <w:rsid w:val="004B5BBB"/>
    <w:rsid w:val="004F2DF8"/>
    <w:rsid w:val="00555DD5"/>
    <w:rsid w:val="00666399"/>
    <w:rsid w:val="006F24A1"/>
    <w:rsid w:val="00795FA5"/>
    <w:rsid w:val="007B051A"/>
    <w:rsid w:val="008D5001"/>
    <w:rsid w:val="00905B56"/>
    <w:rsid w:val="009925D4"/>
    <w:rsid w:val="009A261B"/>
    <w:rsid w:val="00AA2E17"/>
    <w:rsid w:val="00AC15A4"/>
    <w:rsid w:val="00B0336C"/>
    <w:rsid w:val="00B17E31"/>
    <w:rsid w:val="00C35B5F"/>
    <w:rsid w:val="00D241E9"/>
    <w:rsid w:val="00D7750D"/>
    <w:rsid w:val="00F00D2F"/>
    <w:rsid w:val="00F128DF"/>
    <w:rsid w:val="00F8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5F"/>
    <w:rPr>
      <w:color w:val="808080"/>
    </w:rPr>
  </w:style>
  <w:style w:type="paragraph" w:customStyle="1" w:styleId="6F10F8106C6B41A68AE460B6FEC61D9E">
    <w:name w:val="6F10F8106C6B41A68AE460B6FEC61D9E"/>
    <w:rsid w:val="00C35B5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FE94-70CF-4C4F-876D-EE9776EC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4420</Words>
  <Characters>23077</Characters>
  <Application>Microsoft Office Word</Application>
  <DocSecurity>0</DocSecurity>
  <Lines>372</Lines>
  <Paragraphs>93</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219/21</dc:title>
  <dc:creator/>
  <cp:lastModifiedBy/>
  <cp:revision>1</cp:revision>
  <dcterms:created xsi:type="dcterms:W3CDTF">2021-10-05T15:20:00Z</dcterms:created>
  <dcterms:modified xsi:type="dcterms:W3CDTF">2021-10-05T15:21:00Z</dcterms:modified>
</cp:coreProperties>
</file>