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396EE6F" w:rsidR="00040C3A" w:rsidRPr="00BF4E8C" w:rsidRDefault="00D306D1" w:rsidP="00627C9F">
      <w:pPr>
        <w:jc w:val="both"/>
        <w:rPr>
          <w:b/>
          <w:lang w:val="es-PA"/>
        </w:rPr>
      </w:pPr>
      <w:r w:rsidRPr="00BF4E8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F4E8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D4E3A" w:rsidRDefault="000D4E3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D4E3A" w:rsidRDefault="000D4E3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3921EC">
        <w:rPr>
          <w:rFonts w:asciiTheme="majorHAnsi" w:hAnsiTheme="majorHAnsi" w:cs="Univers"/>
          <w:bCs/>
          <w:sz w:val="22"/>
          <w:szCs w:val="22"/>
          <w:lang w:val="es-PA"/>
        </w:rPr>
        <w:t>4</w:t>
      </w:r>
      <w:r w:rsidR="00B2583A" w:rsidRPr="00BF4E8C">
        <w:rPr>
          <w:rFonts w:asciiTheme="majorHAnsi" w:hAnsiTheme="majorHAnsi" w:cs="Univers"/>
          <w:bCs/>
          <w:sz w:val="22"/>
          <w:szCs w:val="22"/>
          <w:lang w:val="es-PA"/>
        </w:rPr>
        <w:t>f</w:t>
      </w:r>
    </w:p>
    <w:p w14:paraId="47386BAF" w14:textId="77777777" w:rsidR="00040C3A" w:rsidRPr="00BF4E8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F4E8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F4E8C" w:rsidRDefault="005128E4" w:rsidP="00040C3A">
      <w:pPr>
        <w:tabs>
          <w:tab w:val="center" w:pos="5400"/>
        </w:tabs>
        <w:suppressAutoHyphens/>
        <w:rPr>
          <w:rFonts w:asciiTheme="majorHAnsi" w:hAnsiTheme="majorHAnsi"/>
          <w:sz w:val="22"/>
          <w:szCs w:val="22"/>
          <w:lang w:val="es-ES"/>
        </w:rPr>
      </w:pPr>
    </w:p>
    <w:p w14:paraId="12A36B24" w14:textId="77777777" w:rsidR="005128E4" w:rsidRPr="00BF4E8C" w:rsidRDefault="005128E4" w:rsidP="00040C3A">
      <w:pPr>
        <w:tabs>
          <w:tab w:val="center" w:pos="5400"/>
        </w:tabs>
        <w:suppressAutoHyphens/>
        <w:rPr>
          <w:rFonts w:asciiTheme="majorHAnsi" w:hAnsiTheme="majorHAnsi"/>
          <w:sz w:val="22"/>
          <w:szCs w:val="22"/>
          <w:lang w:val="es-ES"/>
        </w:rPr>
      </w:pPr>
    </w:p>
    <w:p w14:paraId="2252093D" w14:textId="77777777" w:rsidR="005128E4" w:rsidRPr="00BF4E8C" w:rsidRDefault="005128E4" w:rsidP="00040C3A">
      <w:pPr>
        <w:tabs>
          <w:tab w:val="center" w:pos="5400"/>
        </w:tabs>
        <w:suppressAutoHyphens/>
        <w:rPr>
          <w:rFonts w:asciiTheme="majorHAnsi" w:hAnsiTheme="majorHAnsi"/>
          <w:sz w:val="22"/>
          <w:szCs w:val="22"/>
          <w:lang w:val="es-ES"/>
        </w:rPr>
      </w:pPr>
    </w:p>
    <w:p w14:paraId="403935BD" w14:textId="77777777" w:rsidR="00040C3A" w:rsidRPr="00BF4E8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F4E8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F4E8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F4E8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F4E8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F4E8C" w:rsidRDefault="003D3BC2" w:rsidP="00040C3A">
      <w:pPr>
        <w:tabs>
          <w:tab w:val="center" w:pos="5400"/>
        </w:tabs>
        <w:suppressAutoHyphens/>
        <w:jc w:val="center"/>
        <w:rPr>
          <w:rFonts w:asciiTheme="majorHAnsi" w:hAnsiTheme="majorHAnsi"/>
          <w:sz w:val="22"/>
          <w:szCs w:val="22"/>
          <w:lang w:val="es-ES"/>
        </w:rPr>
      </w:pPr>
      <w:r w:rsidRPr="00BF4E8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234B8" w14:textId="63C7A518"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85CEC">
                              <w:rPr>
                                <w:rFonts w:ascii="Cambria" w:hAnsi="Cambria" w:cs="Arial"/>
                                <w:b/>
                                <w:bCs/>
                                <w:color w:val="0D0D0D"/>
                                <w:sz w:val="36"/>
                                <w:szCs w:val="22"/>
                                <w:lang w:val="es-ES_tradnl"/>
                              </w:rPr>
                              <w:t xml:space="preserve">INFORME </w:t>
                            </w:r>
                            <w:r w:rsidRPr="00D85CEC">
                              <w:rPr>
                                <w:rFonts w:ascii="Cambria" w:hAnsi="Cambria" w:cs="Arial"/>
                                <w:b/>
                                <w:bCs/>
                                <w:color w:val="0D0D0D"/>
                                <w:sz w:val="36"/>
                                <w:szCs w:val="40"/>
                                <w:lang w:val="es-ES_tradnl"/>
                              </w:rPr>
                              <w:t>No.</w:t>
                            </w:r>
                            <w:r w:rsidRPr="00D85CEC">
                              <w:rPr>
                                <w:rFonts w:ascii="Cambria" w:hAnsi="Cambria" w:cs="Arial"/>
                                <w:b/>
                                <w:bCs/>
                                <w:color w:val="0D0D0D"/>
                                <w:sz w:val="36"/>
                                <w:szCs w:val="22"/>
                                <w:lang w:val="es-ES_tradnl"/>
                              </w:rPr>
                              <w:t xml:space="preserve"> </w:t>
                            </w:r>
                            <w:r w:rsidR="00977661">
                              <w:rPr>
                                <w:rFonts w:ascii="Cambria" w:hAnsi="Cambria" w:cs="Arial"/>
                                <w:b/>
                                <w:bCs/>
                                <w:color w:val="0D0D0D"/>
                                <w:sz w:val="36"/>
                                <w:szCs w:val="22"/>
                                <w:lang w:val="es-ES_tradnl"/>
                              </w:rPr>
                              <w:t>148</w:t>
                            </w:r>
                            <w:r w:rsidRPr="00D85CEC">
                              <w:rPr>
                                <w:rFonts w:ascii="Cambria" w:hAnsi="Cambria" w:cs="Arial"/>
                                <w:b/>
                                <w:bCs/>
                                <w:color w:val="0D0D0D"/>
                                <w:sz w:val="36"/>
                                <w:szCs w:val="22"/>
                                <w:lang w:val="es-ES_tradnl"/>
                              </w:rPr>
                              <w:t>/2</w:t>
                            </w:r>
                            <w:r>
                              <w:rPr>
                                <w:rFonts w:ascii="Cambria" w:hAnsi="Cambria" w:cs="Arial"/>
                                <w:b/>
                                <w:bCs/>
                                <w:color w:val="0D0D0D"/>
                                <w:sz w:val="36"/>
                                <w:szCs w:val="22"/>
                                <w:lang w:val="es-ES_tradnl"/>
                              </w:rPr>
                              <w:t>1</w:t>
                            </w:r>
                          </w:p>
                          <w:p w14:paraId="619D4C43"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PETICIÓN 15</w:t>
                            </w:r>
                            <w:r>
                              <w:rPr>
                                <w:rFonts w:ascii="Cambria" w:hAnsi="Cambria" w:cs="Arial"/>
                                <w:b/>
                                <w:color w:val="0D0D0D"/>
                                <w:sz w:val="36"/>
                                <w:szCs w:val="22"/>
                                <w:lang w:val="es-ES_tradnl"/>
                              </w:rPr>
                              <w:t>9</w:t>
                            </w:r>
                            <w:r w:rsidRPr="00D85CEC">
                              <w:rPr>
                                <w:rFonts w:ascii="Cambria" w:hAnsi="Cambria" w:cs="Arial"/>
                                <w:b/>
                                <w:color w:val="0D0D0D"/>
                                <w:sz w:val="36"/>
                                <w:szCs w:val="22"/>
                                <w:lang w:val="es-ES_tradnl"/>
                              </w:rPr>
                              <w:t>5-</w:t>
                            </w:r>
                            <w:r>
                              <w:rPr>
                                <w:rFonts w:ascii="Cambria" w:hAnsi="Cambria" w:cs="Arial"/>
                                <w:b/>
                                <w:color w:val="0D0D0D"/>
                                <w:sz w:val="36"/>
                                <w:szCs w:val="22"/>
                                <w:lang w:val="es-ES_tradnl"/>
                              </w:rPr>
                              <w:t>09</w:t>
                            </w:r>
                            <w:r w:rsidRPr="00D85CEC">
                              <w:rPr>
                                <w:rFonts w:ascii="Cambria" w:hAnsi="Cambria" w:cs="Arial"/>
                                <w:b/>
                                <w:color w:val="0D0D0D"/>
                                <w:sz w:val="36"/>
                                <w:szCs w:val="22"/>
                                <w:lang w:val="es-ES_tradnl"/>
                              </w:rPr>
                              <w:t xml:space="preserve"> </w:t>
                            </w:r>
                          </w:p>
                          <w:p w14:paraId="6A8382E0"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5240B1BA"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16EF0B0F" w14:textId="77777777" w:rsidR="002A04A1" w:rsidRPr="00B471F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GABRIEL G</w:t>
                            </w:r>
                            <w:r>
                              <w:rPr>
                                <w:rFonts w:ascii="Cambria" w:hAnsi="Cambria" w:cs="Arial"/>
                                <w:color w:val="0D0D0D"/>
                                <w:szCs w:val="22"/>
                                <w:lang w:val="es-PA"/>
                              </w:rPr>
                              <w:t>ÓMEZ JARAMILLO</w:t>
                            </w:r>
                          </w:p>
                          <w:bookmarkEnd w:id="0"/>
                          <w:p w14:paraId="6B87F3CC"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575DFD52" w14:textId="77777777" w:rsidR="000D4E3A" w:rsidRPr="00AE5488" w:rsidRDefault="000D4E3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AB234B8" w14:textId="63C7A518"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85CEC">
                        <w:rPr>
                          <w:rFonts w:ascii="Cambria" w:hAnsi="Cambria" w:cs="Arial"/>
                          <w:b/>
                          <w:bCs/>
                          <w:color w:val="0D0D0D"/>
                          <w:sz w:val="36"/>
                          <w:szCs w:val="22"/>
                          <w:lang w:val="es-ES_tradnl"/>
                        </w:rPr>
                        <w:t xml:space="preserve">INFORME </w:t>
                      </w:r>
                      <w:r w:rsidRPr="00D85CEC">
                        <w:rPr>
                          <w:rFonts w:ascii="Cambria" w:hAnsi="Cambria" w:cs="Arial"/>
                          <w:b/>
                          <w:bCs/>
                          <w:color w:val="0D0D0D"/>
                          <w:sz w:val="36"/>
                          <w:szCs w:val="40"/>
                          <w:lang w:val="es-ES_tradnl"/>
                        </w:rPr>
                        <w:t>No.</w:t>
                      </w:r>
                      <w:r w:rsidRPr="00D85CEC">
                        <w:rPr>
                          <w:rFonts w:ascii="Cambria" w:hAnsi="Cambria" w:cs="Arial"/>
                          <w:b/>
                          <w:bCs/>
                          <w:color w:val="0D0D0D"/>
                          <w:sz w:val="36"/>
                          <w:szCs w:val="22"/>
                          <w:lang w:val="es-ES_tradnl"/>
                        </w:rPr>
                        <w:t xml:space="preserve"> </w:t>
                      </w:r>
                      <w:r w:rsidR="00977661">
                        <w:rPr>
                          <w:rFonts w:ascii="Cambria" w:hAnsi="Cambria" w:cs="Arial"/>
                          <w:b/>
                          <w:bCs/>
                          <w:color w:val="0D0D0D"/>
                          <w:sz w:val="36"/>
                          <w:szCs w:val="22"/>
                          <w:lang w:val="es-ES_tradnl"/>
                        </w:rPr>
                        <w:t>148</w:t>
                      </w:r>
                      <w:r w:rsidRPr="00D85CEC">
                        <w:rPr>
                          <w:rFonts w:ascii="Cambria" w:hAnsi="Cambria" w:cs="Arial"/>
                          <w:b/>
                          <w:bCs/>
                          <w:color w:val="0D0D0D"/>
                          <w:sz w:val="36"/>
                          <w:szCs w:val="22"/>
                          <w:lang w:val="es-ES_tradnl"/>
                        </w:rPr>
                        <w:t>/2</w:t>
                      </w:r>
                      <w:r>
                        <w:rPr>
                          <w:rFonts w:ascii="Cambria" w:hAnsi="Cambria" w:cs="Arial"/>
                          <w:b/>
                          <w:bCs/>
                          <w:color w:val="0D0D0D"/>
                          <w:sz w:val="36"/>
                          <w:szCs w:val="22"/>
                          <w:lang w:val="es-ES_tradnl"/>
                        </w:rPr>
                        <w:t>1</w:t>
                      </w:r>
                    </w:p>
                    <w:p w14:paraId="619D4C43"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PETICIÓN 15</w:t>
                      </w:r>
                      <w:r>
                        <w:rPr>
                          <w:rFonts w:ascii="Cambria" w:hAnsi="Cambria" w:cs="Arial"/>
                          <w:b/>
                          <w:color w:val="0D0D0D"/>
                          <w:sz w:val="36"/>
                          <w:szCs w:val="22"/>
                          <w:lang w:val="es-ES_tradnl"/>
                        </w:rPr>
                        <w:t>9</w:t>
                      </w:r>
                      <w:r w:rsidRPr="00D85CEC">
                        <w:rPr>
                          <w:rFonts w:ascii="Cambria" w:hAnsi="Cambria" w:cs="Arial"/>
                          <w:b/>
                          <w:color w:val="0D0D0D"/>
                          <w:sz w:val="36"/>
                          <w:szCs w:val="22"/>
                          <w:lang w:val="es-ES_tradnl"/>
                        </w:rPr>
                        <w:t>5-</w:t>
                      </w:r>
                      <w:r>
                        <w:rPr>
                          <w:rFonts w:ascii="Cambria" w:hAnsi="Cambria" w:cs="Arial"/>
                          <w:b/>
                          <w:color w:val="0D0D0D"/>
                          <w:sz w:val="36"/>
                          <w:szCs w:val="22"/>
                          <w:lang w:val="es-ES_tradnl"/>
                        </w:rPr>
                        <w:t>09</w:t>
                      </w:r>
                      <w:r w:rsidRPr="00D85CEC">
                        <w:rPr>
                          <w:rFonts w:ascii="Cambria" w:hAnsi="Cambria" w:cs="Arial"/>
                          <w:b/>
                          <w:color w:val="0D0D0D"/>
                          <w:sz w:val="36"/>
                          <w:szCs w:val="22"/>
                          <w:lang w:val="es-ES_tradnl"/>
                        </w:rPr>
                        <w:t xml:space="preserve"> </w:t>
                      </w:r>
                    </w:p>
                    <w:p w14:paraId="6A8382E0"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5240B1BA"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16EF0B0F" w14:textId="77777777" w:rsidR="002A04A1" w:rsidRPr="00B471F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GABRIEL G</w:t>
                      </w:r>
                      <w:r>
                        <w:rPr>
                          <w:rFonts w:ascii="Cambria" w:hAnsi="Cambria" w:cs="Arial"/>
                          <w:color w:val="0D0D0D"/>
                          <w:szCs w:val="22"/>
                          <w:lang w:val="es-PA"/>
                        </w:rPr>
                        <w:t>ÓMEZ JARAMILLO</w:t>
                      </w:r>
                    </w:p>
                    <w:bookmarkEnd w:id="1"/>
                    <w:p w14:paraId="6B87F3CC" w14:textId="77777777" w:rsidR="002A04A1" w:rsidRPr="00D85CEC" w:rsidRDefault="002A04A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575DFD52" w14:textId="77777777" w:rsidR="000D4E3A" w:rsidRPr="00AE5488" w:rsidRDefault="000D4E3A" w:rsidP="007A5817">
                      <w:pPr>
                        <w:rPr>
                          <w:color w:val="0D0D0D" w:themeColor="text1" w:themeTint="F2"/>
                          <w:lang w:val="es-ES_tradnl"/>
                        </w:rPr>
                      </w:pPr>
                    </w:p>
                  </w:txbxContent>
                </v:textbox>
              </v:shape>
            </w:pict>
          </mc:Fallback>
        </mc:AlternateContent>
      </w:r>
      <w:r w:rsidR="004E2649" w:rsidRPr="00BF4E8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9095194" w:rsidR="000D4E3A" w:rsidRPr="00004A48" w:rsidRDefault="000D4E3A" w:rsidP="007A5817">
                            <w:pPr>
                              <w:spacing w:line="276" w:lineRule="auto"/>
                              <w:jc w:val="right"/>
                              <w:rPr>
                                <w:rFonts w:asciiTheme="minorHAnsi" w:hAnsiTheme="minorHAnsi"/>
                                <w:color w:val="FFFFFF" w:themeColor="background1"/>
                                <w:sz w:val="22"/>
                                <w:lang w:val="es-419"/>
                              </w:rPr>
                            </w:pPr>
                            <w:r w:rsidRPr="00004A48">
                              <w:rPr>
                                <w:rFonts w:asciiTheme="minorHAnsi" w:hAnsiTheme="minorHAnsi"/>
                                <w:color w:val="FFFFFF" w:themeColor="background1"/>
                                <w:sz w:val="22"/>
                                <w:lang w:val="es-419"/>
                              </w:rPr>
                              <w:t>OEA/</w:t>
                            </w:r>
                            <w:proofErr w:type="spellStart"/>
                            <w:r w:rsidRPr="00004A48">
                              <w:rPr>
                                <w:rFonts w:asciiTheme="minorHAnsi" w:hAnsiTheme="minorHAnsi"/>
                                <w:color w:val="FFFFFF" w:themeColor="background1"/>
                                <w:sz w:val="22"/>
                                <w:lang w:val="es-419"/>
                              </w:rPr>
                              <w:t>Ser.L</w:t>
                            </w:r>
                            <w:proofErr w:type="spellEnd"/>
                            <w:r w:rsidRPr="00004A48">
                              <w:rPr>
                                <w:rFonts w:asciiTheme="minorHAnsi" w:hAnsiTheme="minorHAnsi"/>
                                <w:color w:val="FFFFFF" w:themeColor="background1"/>
                                <w:sz w:val="22"/>
                                <w:lang w:val="es-419"/>
                              </w:rPr>
                              <w:t>/V/II</w:t>
                            </w:r>
                          </w:p>
                          <w:p w14:paraId="6A41611B" w14:textId="37E30EC1" w:rsidR="000D4E3A" w:rsidRPr="00004A48" w:rsidRDefault="000D4E3A" w:rsidP="007A5817">
                            <w:pPr>
                              <w:spacing w:line="276" w:lineRule="auto"/>
                              <w:jc w:val="right"/>
                              <w:rPr>
                                <w:rFonts w:asciiTheme="minorHAnsi" w:hAnsiTheme="minorHAnsi"/>
                                <w:color w:val="FFFFFF" w:themeColor="background1"/>
                                <w:sz w:val="22"/>
                                <w:lang w:val="es-419"/>
                              </w:rPr>
                            </w:pPr>
                            <w:r w:rsidRPr="00004A48">
                              <w:rPr>
                                <w:rFonts w:asciiTheme="minorHAnsi" w:hAnsiTheme="minorHAnsi"/>
                                <w:color w:val="FFFFFF" w:themeColor="background1"/>
                                <w:sz w:val="22"/>
                                <w:lang w:val="es-419"/>
                              </w:rPr>
                              <w:t xml:space="preserve">Doc. </w:t>
                            </w:r>
                            <w:r w:rsidR="00977661" w:rsidRPr="00004A48">
                              <w:rPr>
                                <w:rFonts w:asciiTheme="minorHAnsi" w:hAnsiTheme="minorHAnsi"/>
                                <w:color w:val="FFFFFF" w:themeColor="background1"/>
                                <w:sz w:val="22"/>
                                <w:lang w:val="es-419"/>
                              </w:rPr>
                              <w:t>156</w:t>
                            </w:r>
                          </w:p>
                          <w:p w14:paraId="69373ED2" w14:textId="2104EEE3" w:rsidR="000D4E3A" w:rsidRPr="001B4C00" w:rsidRDefault="00004A4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0D4E3A" w:rsidRPr="001B4C00">
                              <w:rPr>
                                <w:rFonts w:asciiTheme="minorHAnsi" w:hAnsiTheme="minorHAnsi"/>
                                <w:color w:val="FFFFFF" w:themeColor="background1"/>
                                <w:sz w:val="22"/>
                                <w:lang w:val="es-ES"/>
                              </w:rPr>
                              <w:t xml:space="preserve"> 20</w:t>
                            </w:r>
                            <w:r w:rsidR="002F5577">
                              <w:rPr>
                                <w:rFonts w:asciiTheme="minorHAnsi" w:hAnsiTheme="minorHAnsi"/>
                                <w:color w:val="FFFFFF" w:themeColor="background1"/>
                                <w:sz w:val="22"/>
                                <w:lang w:val="es-ES"/>
                              </w:rPr>
                              <w:t>2</w:t>
                            </w:r>
                            <w:r w:rsidR="000D4E3A" w:rsidRPr="001B4C00">
                              <w:rPr>
                                <w:rFonts w:asciiTheme="minorHAnsi" w:hAnsiTheme="minorHAnsi"/>
                                <w:color w:val="FFFFFF" w:themeColor="background1"/>
                                <w:sz w:val="22"/>
                                <w:lang w:val="es-ES"/>
                              </w:rPr>
                              <w:t>1</w:t>
                            </w:r>
                          </w:p>
                          <w:p w14:paraId="0771DB5B" w14:textId="77777777" w:rsidR="000D4E3A" w:rsidRPr="001B4C00" w:rsidRDefault="000D4E3A"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9095194" w:rsidR="000D4E3A" w:rsidRPr="00004A48" w:rsidRDefault="000D4E3A" w:rsidP="007A5817">
                      <w:pPr>
                        <w:spacing w:line="276" w:lineRule="auto"/>
                        <w:jc w:val="right"/>
                        <w:rPr>
                          <w:rFonts w:asciiTheme="minorHAnsi" w:hAnsiTheme="minorHAnsi"/>
                          <w:color w:val="FFFFFF" w:themeColor="background1"/>
                          <w:sz w:val="22"/>
                          <w:lang w:val="es-419"/>
                        </w:rPr>
                      </w:pPr>
                      <w:r w:rsidRPr="00004A48">
                        <w:rPr>
                          <w:rFonts w:asciiTheme="minorHAnsi" w:hAnsiTheme="minorHAnsi"/>
                          <w:color w:val="FFFFFF" w:themeColor="background1"/>
                          <w:sz w:val="22"/>
                          <w:lang w:val="es-419"/>
                        </w:rPr>
                        <w:t>OEA/Ser.L/V/II</w:t>
                      </w:r>
                    </w:p>
                    <w:p w14:paraId="6A41611B" w14:textId="37E30EC1" w:rsidR="000D4E3A" w:rsidRPr="00004A48" w:rsidRDefault="000D4E3A" w:rsidP="007A5817">
                      <w:pPr>
                        <w:spacing w:line="276" w:lineRule="auto"/>
                        <w:jc w:val="right"/>
                        <w:rPr>
                          <w:rFonts w:asciiTheme="minorHAnsi" w:hAnsiTheme="minorHAnsi"/>
                          <w:color w:val="FFFFFF" w:themeColor="background1"/>
                          <w:sz w:val="22"/>
                          <w:lang w:val="es-419"/>
                        </w:rPr>
                      </w:pPr>
                      <w:r w:rsidRPr="00004A48">
                        <w:rPr>
                          <w:rFonts w:asciiTheme="minorHAnsi" w:hAnsiTheme="minorHAnsi"/>
                          <w:color w:val="FFFFFF" w:themeColor="background1"/>
                          <w:sz w:val="22"/>
                          <w:lang w:val="es-419"/>
                        </w:rPr>
                        <w:t xml:space="preserve">Doc. </w:t>
                      </w:r>
                      <w:r w:rsidR="00977661" w:rsidRPr="00004A48">
                        <w:rPr>
                          <w:rFonts w:asciiTheme="minorHAnsi" w:hAnsiTheme="minorHAnsi"/>
                          <w:color w:val="FFFFFF" w:themeColor="background1"/>
                          <w:sz w:val="22"/>
                          <w:lang w:val="es-419"/>
                        </w:rPr>
                        <w:t>156</w:t>
                      </w:r>
                    </w:p>
                    <w:p w14:paraId="69373ED2" w14:textId="2104EEE3" w:rsidR="000D4E3A" w:rsidRPr="001B4C00" w:rsidRDefault="00004A4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0D4E3A" w:rsidRPr="001B4C00">
                        <w:rPr>
                          <w:rFonts w:asciiTheme="minorHAnsi" w:hAnsiTheme="minorHAnsi"/>
                          <w:color w:val="FFFFFF" w:themeColor="background1"/>
                          <w:sz w:val="22"/>
                          <w:lang w:val="es-ES"/>
                        </w:rPr>
                        <w:t xml:space="preserve"> 20</w:t>
                      </w:r>
                      <w:r w:rsidR="002F5577">
                        <w:rPr>
                          <w:rFonts w:asciiTheme="minorHAnsi" w:hAnsiTheme="minorHAnsi"/>
                          <w:color w:val="FFFFFF" w:themeColor="background1"/>
                          <w:sz w:val="22"/>
                          <w:lang w:val="es-ES"/>
                        </w:rPr>
                        <w:t>2</w:t>
                      </w:r>
                      <w:r w:rsidR="000D4E3A" w:rsidRPr="001B4C00">
                        <w:rPr>
                          <w:rFonts w:asciiTheme="minorHAnsi" w:hAnsiTheme="minorHAnsi"/>
                          <w:color w:val="FFFFFF" w:themeColor="background1"/>
                          <w:sz w:val="22"/>
                          <w:lang w:val="es-ES"/>
                        </w:rPr>
                        <w:t>1</w:t>
                      </w:r>
                    </w:p>
                    <w:p w14:paraId="0771DB5B" w14:textId="77777777" w:rsidR="000D4E3A" w:rsidRPr="001B4C00" w:rsidRDefault="000D4E3A"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F4E8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F4E8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F4E8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F4E8C" w:rsidRDefault="0090270B" w:rsidP="00040C3A">
      <w:pPr>
        <w:tabs>
          <w:tab w:val="center" w:pos="5400"/>
        </w:tabs>
        <w:suppressAutoHyphens/>
        <w:jc w:val="center"/>
        <w:rPr>
          <w:rFonts w:asciiTheme="majorHAnsi" w:hAnsiTheme="majorHAnsi"/>
          <w:sz w:val="18"/>
          <w:szCs w:val="22"/>
          <w:lang w:val="es-ES"/>
        </w:rPr>
      </w:pPr>
      <w:r w:rsidRPr="00BF4E8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638AFB" w:rsidR="000D4E3A" w:rsidRPr="00890650" w:rsidRDefault="000D4E3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77661">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77661">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w:t>
                            </w:r>
                            <w:r w:rsidR="002A04A1">
                              <w:rPr>
                                <w:rFonts w:asciiTheme="majorHAnsi" w:hAnsiTheme="majorHAnsi"/>
                                <w:color w:val="0D0D0D" w:themeColor="text1" w:themeTint="F2"/>
                                <w:sz w:val="18"/>
                                <w:szCs w:val="22"/>
                                <w:lang w:val="es-ES"/>
                              </w:rPr>
                              <w:t>1</w:t>
                            </w:r>
                            <w:r w:rsidR="003921EC">
                              <w:rPr>
                                <w:rFonts w:asciiTheme="majorHAnsi" w:hAnsiTheme="majorHAnsi"/>
                                <w:color w:val="0D0D0D" w:themeColor="text1" w:themeTint="F2"/>
                                <w:sz w:val="18"/>
                                <w:szCs w:val="22"/>
                                <w:lang w:val="es-ES"/>
                              </w:rPr>
                              <w:t>.</w:t>
                            </w:r>
                          </w:p>
                          <w:p w14:paraId="4BDF3581" w14:textId="77777777" w:rsidR="000D4E3A" w:rsidRPr="007A5817" w:rsidRDefault="000D4E3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D4E3A" w:rsidRPr="00167A34" w:rsidRDefault="000D4E3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7638AFB" w:rsidR="000D4E3A" w:rsidRPr="00890650" w:rsidRDefault="000D4E3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77661">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77661">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w:t>
                      </w:r>
                      <w:r w:rsidR="002A04A1">
                        <w:rPr>
                          <w:rFonts w:asciiTheme="majorHAnsi" w:hAnsiTheme="majorHAnsi"/>
                          <w:color w:val="0D0D0D" w:themeColor="text1" w:themeTint="F2"/>
                          <w:sz w:val="18"/>
                          <w:szCs w:val="22"/>
                          <w:lang w:val="es-ES"/>
                        </w:rPr>
                        <w:t>1</w:t>
                      </w:r>
                      <w:r w:rsidR="003921EC">
                        <w:rPr>
                          <w:rFonts w:asciiTheme="majorHAnsi" w:hAnsiTheme="majorHAnsi"/>
                          <w:color w:val="0D0D0D" w:themeColor="text1" w:themeTint="F2"/>
                          <w:sz w:val="18"/>
                          <w:szCs w:val="22"/>
                          <w:lang w:val="es-ES"/>
                        </w:rPr>
                        <w:t>.</w:t>
                      </w:r>
                    </w:p>
                    <w:p w14:paraId="4BDF3581" w14:textId="77777777" w:rsidR="000D4E3A" w:rsidRPr="007A5817" w:rsidRDefault="000D4E3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D4E3A" w:rsidRPr="00167A34" w:rsidRDefault="000D4E3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F4E8C" w:rsidRDefault="0090270B" w:rsidP="00040C3A">
      <w:pPr>
        <w:tabs>
          <w:tab w:val="center" w:pos="5400"/>
        </w:tabs>
        <w:suppressAutoHyphens/>
        <w:jc w:val="center"/>
        <w:rPr>
          <w:rFonts w:asciiTheme="majorHAnsi" w:hAnsiTheme="majorHAnsi"/>
          <w:sz w:val="18"/>
          <w:szCs w:val="22"/>
          <w:lang w:val="es-ES"/>
        </w:rPr>
      </w:pPr>
      <w:r w:rsidRPr="00BF4E8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57999" w14:textId="77777777" w:rsidR="003921EC" w:rsidRPr="00D85CEC" w:rsidRDefault="002A04A1" w:rsidP="003921E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D85CEC">
                              <w:rPr>
                                <w:rFonts w:ascii="Cambria" w:hAnsi="Cambria"/>
                                <w:b/>
                                <w:color w:val="595959"/>
                                <w:sz w:val="18"/>
                                <w:szCs w:val="18"/>
                                <w:lang w:val="pt-BR"/>
                              </w:rPr>
                              <w:t>Citar como:</w:t>
                            </w:r>
                            <w:r w:rsidRPr="00D85CEC">
                              <w:rPr>
                                <w:rFonts w:ascii="Cambria" w:hAnsi="Cambria"/>
                                <w:color w:val="595959"/>
                                <w:sz w:val="18"/>
                                <w:szCs w:val="18"/>
                                <w:lang w:val="pt-BR"/>
                              </w:rPr>
                              <w:t xml:space="preserve"> CIDH, Informe No. </w:t>
                            </w:r>
                            <w:r w:rsidR="00977661">
                              <w:rPr>
                                <w:rFonts w:ascii="Cambria" w:hAnsi="Cambria"/>
                                <w:color w:val="595959"/>
                                <w:sz w:val="18"/>
                                <w:szCs w:val="18"/>
                                <w:lang w:val="pt-BR"/>
                              </w:rPr>
                              <w:t>148</w:t>
                            </w:r>
                            <w:r w:rsidRPr="00D85CEC">
                              <w:rPr>
                                <w:rFonts w:ascii="Cambria" w:hAnsi="Cambria"/>
                                <w:color w:val="595959"/>
                                <w:sz w:val="18"/>
                                <w:szCs w:val="18"/>
                                <w:lang w:val="pt-BR"/>
                              </w:rPr>
                              <w:t>/2</w:t>
                            </w:r>
                            <w:r>
                              <w:rPr>
                                <w:rFonts w:ascii="Cambria" w:hAnsi="Cambria"/>
                                <w:color w:val="595959"/>
                                <w:sz w:val="18"/>
                                <w:szCs w:val="18"/>
                                <w:lang w:val="pt-BR"/>
                              </w:rPr>
                              <w:t>1</w:t>
                            </w:r>
                            <w:r w:rsidRPr="00D85CEC">
                              <w:rPr>
                                <w:rFonts w:ascii="Cambria" w:hAnsi="Cambria"/>
                                <w:color w:val="595959"/>
                                <w:sz w:val="18"/>
                                <w:szCs w:val="18"/>
                                <w:lang w:val="pt-BR"/>
                              </w:rPr>
                              <w:t xml:space="preserve">. </w:t>
                            </w:r>
                            <w:r w:rsidR="003921EC">
                              <w:rPr>
                                <w:rFonts w:ascii="Cambria" w:hAnsi="Cambria"/>
                                <w:color w:val="595959"/>
                                <w:sz w:val="18"/>
                                <w:szCs w:val="18"/>
                                <w:lang w:val="pt-BR"/>
                              </w:rPr>
                              <w:t xml:space="preserve">Petición 1595-09. </w:t>
                            </w:r>
                            <w:r w:rsidRPr="00977661">
                              <w:rPr>
                                <w:rFonts w:ascii="Cambria" w:hAnsi="Cambria"/>
                                <w:color w:val="595959"/>
                                <w:sz w:val="18"/>
                                <w:szCs w:val="18"/>
                                <w:lang w:val="es-419"/>
                              </w:rPr>
                              <w:t>A</w:t>
                            </w:r>
                            <w:proofErr w:type="spellStart"/>
                            <w:r w:rsidRPr="00D85CEC">
                              <w:rPr>
                                <w:rFonts w:ascii="Cambria" w:hAnsi="Cambria"/>
                                <w:color w:val="595959"/>
                                <w:sz w:val="18"/>
                                <w:szCs w:val="18"/>
                                <w:lang w:val="es-ES_tradnl"/>
                              </w:rPr>
                              <w:t>dmisibilidad</w:t>
                            </w:r>
                            <w:proofErr w:type="spellEnd"/>
                            <w:r w:rsidRPr="00D85CEC">
                              <w:rPr>
                                <w:rFonts w:ascii="Cambria" w:hAnsi="Cambria"/>
                                <w:color w:val="595959"/>
                                <w:sz w:val="18"/>
                                <w:szCs w:val="18"/>
                                <w:lang w:val="es-ES_tradnl"/>
                              </w:rPr>
                              <w:t xml:space="preserve">. </w:t>
                            </w:r>
                            <w:r>
                              <w:rPr>
                                <w:rFonts w:ascii="Cambria" w:hAnsi="Cambria"/>
                                <w:color w:val="595959"/>
                                <w:sz w:val="18"/>
                                <w:szCs w:val="18"/>
                                <w:lang w:val="es-ES_tradnl"/>
                              </w:rPr>
                              <w:t>Gabriel Gómez Jaramillo</w:t>
                            </w:r>
                            <w:r w:rsidRPr="00D85CEC">
                              <w:rPr>
                                <w:rFonts w:ascii="Cambria" w:hAnsi="Cambria"/>
                                <w:color w:val="595959"/>
                                <w:sz w:val="18"/>
                                <w:szCs w:val="18"/>
                                <w:lang w:val="es-ES_tradnl"/>
                              </w:rPr>
                              <w:t xml:space="preserve">. Colombia. </w:t>
                            </w:r>
                            <w:r w:rsidR="003921EC">
                              <w:rPr>
                                <w:rFonts w:ascii="Cambria" w:hAnsi="Cambria"/>
                                <w:color w:val="595959"/>
                                <w:sz w:val="18"/>
                                <w:szCs w:val="18"/>
                                <w:lang w:val="es-ES"/>
                              </w:rPr>
                              <w:t>7 de julio de 2021</w:t>
                            </w:r>
                            <w:r w:rsidR="003921EC" w:rsidRPr="00D85CEC">
                              <w:rPr>
                                <w:rFonts w:ascii="Cambria" w:hAnsi="Cambria"/>
                                <w:color w:val="595959"/>
                                <w:sz w:val="18"/>
                                <w:szCs w:val="18"/>
                                <w:lang w:val="es-ES"/>
                              </w:rPr>
                              <w:t>.</w:t>
                            </w:r>
                          </w:p>
                          <w:p w14:paraId="6F1CA5D0" w14:textId="62C11E93" w:rsidR="00977661" w:rsidRDefault="0097766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p>
                          <w:p w14:paraId="0D1B22CF" w14:textId="708263C6" w:rsidR="000D4E3A" w:rsidRPr="007B05C4" w:rsidRDefault="000D4E3A"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857999" w14:textId="77777777" w:rsidR="003921EC" w:rsidRPr="00D85CEC" w:rsidRDefault="002A04A1" w:rsidP="003921E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D85CEC">
                        <w:rPr>
                          <w:rFonts w:ascii="Cambria" w:hAnsi="Cambria"/>
                          <w:b/>
                          <w:color w:val="595959"/>
                          <w:sz w:val="18"/>
                          <w:szCs w:val="18"/>
                          <w:lang w:val="pt-BR"/>
                        </w:rPr>
                        <w:t>Citar como:</w:t>
                      </w:r>
                      <w:r w:rsidRPr="00D85CEC">
                        <w:rPr>
                          <w:rFonts w:ascii="Cambria" w:hAnsi="Cambria"/>
                          <w:color w:val="595959"/>
                          <w:sz w:val="18"/>
                          <w:szCs w:val="18"/>
                          <w:lang w:val="pt-BR"/>
                        </w:rPr>
                        <w:t xml:space="preserve"> CIDH, Informe No. </w:t>
                      </w:r>
                      <w:r w:rsidR="00977661">
                        <w:rPr>
                          <w:rFonts w:ascii="Cambria" w:hAnsi="Cambria"/>
                          <w:color w:val="595959"/>
                          <w:sz w:val="18"/>
                          <w:szCs w:val="18"/>
                          <w:lang w:val="pt-BR"/>
                        </w:rPr>
                        <w:t>148</w:t>
                      </w:r>
                      <w:r w:rsidRPr="00D85CEC">
                        <w:rPr>
                          <w:rFonts w:ascii="Cambria" w:hAnsi="Cambria"/>
                          <w:color w:val="595959"/>
                          <w:sz w:val="18"/>
                          <w:szCs w:val="18"/>
                          <w:lang w:val="pt-BR"/>
                        </w:rPr>
                        <w:t>/2</w:t>
                      </w:r>
                      <w:r>
                        <w:rPr>
                          <w:rFonts w:ascii="Cambria" w:hAnsi="Cambria"/>
                          <w:color w:val="595959"/>
                          <w:sz w:val="18"/>
                          <w:szCs w:val="18"/>
                          <w:lang w:val="pt-BR"/>
                        </w:rPr>
                        <w:t>1</w:t>
                      </w:r>
                      <w:r w:rsidRPr="00D85CEC">
                        <w:rPr>
                          <w:rFonts w:ascii="Cambria" w:hAnsi="Cambria"/>
                          <w:color w:val="595959"/>
                          <w:sz w:val="18"/>
                          <w:szCs w:val="18"/>
                          <w:lang w:val="pt-BR"/>
                        </w:rPr>
                        <w:t xml:space="preserve">. </w:t>
                      </w:r>
                      <w:r w:rsidR="003921EC">
                        <w:rPr>
                          <w:rFonts w:ascii="Cambria" w:hAnsi="Cambria"/>
                          <w:color w:val="595959"/>
                          <w:sz w:val="18"/>
                          <w:szCs w:val="18"/>
                          <w:lang w:val="pt-BR"/>
                        </w:rPr>
                        <w:t xml:space="preserve">Petición 1595-09. </w:t>
                      </w:r>
                      <w:r w:rsidRPr="00977661">
                        <w:rPr>
                          <w:rFonts w:ascii="Cambria" w:hAnsi="Cambria"/>
                          <w:color w:val="595959"/>
                          <w:sz w:val="18"/>
                          <w:szCs w:val="18"/>
                          <w:lang w:val="es-419"/>
                        </w:rPr>
                        <w:t>A</w:t>
                      </w:r>
                      <w:proofErr w:type="spellStart"/>
                      <w:r w:rsidRPr="00D85CEC">
                        <w:rPr>
                          <w:rFonts w:ascii="Cambria" w:hAnsi="Cambria"/>
                          <w:color w:val="595959"/>
                          <w:sz w:val="18"/>
                          <w:szCs w:val="18"/>
                          <w:lang w:val="es-ES_tradnl"/>
                        </w:rPr>
                        <w:t>dmisibilidad</w:t>
                      </w:r>
                      <w:proofErr w:type="spellEnd"/>
                      <w:r w:rsidRPr="00D85CEC">
                        <w:rPr>
                          <w:rFonts w:ascii="Cambria" w:hAnsi="Cambria"/>
                          <w:color w:val="595959"/>
                          <w:sz w:val="18"/>
                          <w:szCs w:val="18"/>
                          <w:lang w:val="es-ES_tradnl"/>
                        </w:rPr>
                        <w:t xml:space="preserve">. </w:t>
                      </w:r>
                      <w:r>
                        <w:rPr>
                          <w:rFonts w:ascii="Cambria" w:hAnsi="Cambria"/>
                          <w:color w:val="595959"/>
                          <w:sz w:val="18"/>
                          <w:szCs w:val="18"/>
                          <w:lang w:val="es-ES_tradnl"/>
                        </w:rPr>
                        <w:t>Gabriel Gómez Jaramillo</w:t>
                      </w:r>
                      <w:r w:rsidRPr="00D85CEC">
                        <w:rPr>
                          <w:rFonts w:ascii="Cambria" w:hAnsi="Cambria"/>
                          <w:color w:val="595959"/>
                          <w:sz w:val="18"/>
                          <w:szCs w:val="18"/>
                          <w:lang w:val="es-ES_tradnl"/>
                        </w:rPr>
                        <w:t xml:space="preserve">. Colombia. </w:t>
                      </w:r>
                      <w:r w:rsidR="003921EC">
                        <w:rPr>
                          <w:rFonts w:ascii="Cambria" w:hAnsi="Cambria"/>
                          <w:color w:val="595959"/>
                          <w:sz w:val="18"/>
                          <w:szCs w:val="18"/>
                          <w:lang w:val="es-ES"/>
                        </w:rPr>
                        <w:t>7 de julio de 2021</w:t>
                      </w:r>
                      <w:r w:rsidR="003921EC" w:rsidRPr="00D85CEC">
                        <w:rPr>
                          <w:rFonts w:ascii="Cambria" w:hAnsi="Cambria"/>
                          <w:color w:val="595959"/>
                          <w:sz w:val="18"/>
                          <w:szCs w:val="18"/>
                          <w:lang w:val="es-ES"/>
                        </w:rPr>
                        <w:t>.</w:t>
                      </w:r>
                    </w:p>
                    <w:p w14:paraId="6F1CA5D0" w14:textId="62C11E93" w:rsidR="00977661" w:rsidRDefault="00977661" w:rsidP="002A04A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p>
                    <w:p w14:paraId="0D1B22CF" w14:textId="708263C6" w:rsidR="000D4E3A" w:rsidRPr="007B05C4" w:rsidRDefault="000D4E3A"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BF4E8C" w:rsidRDefault="00A50FCF" w:rsidP="00040C3A">
      <w:pPr>
        <w:tabs>
          <w:tab w:val="center" w:pos="5400"/>
        </w:tabs>
        <w:suppressAutoHyphens/>
        <w:jc w:val="center"/>
        <w:rPr>
          <w:rFonts w:asciiTheme="majorHAnsi" w:hAnsiTheme="majorHAnsi"/>
          <w:sz w:val="18"/>
          <w:szCs w:val="22"/>
          <w:lang w:val="es-ES"/>
        </w:rPr>
      </w:pPr>
    </w:p>
    <w:p w14:paraId="1DA07629" w14:textId="739D842D" w:rsidR="0090270B" w:rsidRPr="00BF4E8C" w:rsidRDefault="00D306D1" w:rsidP="005516A1">
      <w:pPr>
        <w:tabs>
          <w:tab w:val="center" w:pos="5400"/>
        </w:tabs>
        <w:suppressAutoHyphens/>
        <w:jc w:val="center"/>
        <w:rPr>
          <w:rFonts w:asciiTheme="majorHAnsi" w:hAnsiTheme="majorHAnsi"/>
          <w:b/>
          <w:sz w:val="20"/>
          <w:lang w:val="es-ES"/>
        </w:rPr>
      </w:pPr>
      <w:r w:rsidRPr="00BF4E8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A5FC6B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D4E3A" w:rsidRPr="004B7EB6" w:rsidRDefault="000D4E3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D4E3A" w:rsidRPr="004B7EB6" w:rsidRDefault="000D4E3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E4B6AB" w:rsidR="0070697F" w:rsidRPr="00BF4E8C" w:rsidRDefault="00977661" w:rsidP="005516A1">
      <w:pPr>
        <w:tabs>
          <w:tab w:val="center" w:pos="5400"/>
        </w:tabs>
        <w:suppressAutoHyphens/>
        <w:jc w:val="center"/>
        <w:rPr>
          <w:rFonts w:asciiTheme="majorHAnsi" w:hAnsiTheme="majorHAnsi"/>
          <w:b/>
          <w:sz w:val="20"/>
          <w:lang w:val="es-ES"/>
        </w:rPr>
        <w:sectPr w:rsidR="0070697F" w:rsidRPr="00BF4E8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F4E8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6192F8F">
                <wp:simplePos x="0" y="0"/>
                <wp:positionH relativeFrom="column">
                  <wp:posOffset>1328738</wp:posOffset>
                </wp:positionH>
                <wp:positionV relativeFrom="paragraph">
                  <wp:posOffset>428308</wp:posOffset>
                </wp:positionV>
                <wp:extent cx="4096385" cy="628967"/>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289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D4E3A" w:rsidRPr="00D72DC6" w:rsidRDefault="000D4E3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0472543" id="Text Box 9" o:spid="_x0000_s1032" type="#_x0000_t202" style="position:absolute;left:0;text-align:left;margin-left:104.65pt;margin-top:33.75pt;width:322.5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" fillcolor="white [3201]" stroked="f" strokeweight=".5pt">
                <v:textbox>
                  <w:txbxContent>
                    <w:p w14:paraId="2A1ECD3C" w14:textId="77777777" w:rsidR="000D4E3A" w:rsidRPr="00D72DC6" w:rsidRDefault="000D4E3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BF4E8C">
        <w:rPr>
          <w:rFonts w:asciiTheme="majorHAnsi" w:hAnsiTheme="majorHAnsi"/>
          <w:b/>
          <w:sz w:val="20"/>
          <w:lang w:val="es-ES"/>
        </w:rPr>
        <w:tab/>
      </w:r>
    </w:p>
    <w:p w14:paraId="376DDC8B" w14:textId="77777777" w:rsidR="003239B8" w:rsidRPr="00BF4E8C" w:rsidRDefault="003239B8" w:rsidP="007C402A">
      <w:pPr>
        <w:spacing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lastRenderedPageBreak/>
        <w:t>I.</w:t>
      </w:r>
      <w:r w:rsidRPr="00BF4E8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F4E8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BF4E8C" w:rsidRDefault="00D77503"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Parte peticionaria</w:t>
            </w:r>
          </w:p>
        </w:tc>
        <w:tc>
          <w:tcPr>
            <w:tcW w:w="6570" w:type="dxa"/>
            <w:vAlign w:val="center"/>
          </w:tcPr>
          <w:p w14:paraId="3C5315D8" w14:textId="772C05DD" w:rsidR="003239B8" w:rsidRPr="00BF4E8C" w:rsidRDefault="002A04A1" w:rsidP="00D43661">
            <w:pPr>
              <w:jc w:val="both"/>
              <w:rPr>
                <w:rFonts w:ascii="Cambria" w:hAnsi="Cambria"/>
                <w:bCs/>
                <w:sz w:val="19"/>
                <w:szCs w:val="19"/>
                <w:lang w:val="es-ES"/>
              </w:rPr>
            </w:pPr>
            <w:r>
              <w:rPr>
                <w:rFonts w:ascii="Cambria" w:hAnsi="Cambria"/>
                <w:bCs/>
                <w:sz w:val="19"/>
                <w:szCs w:val="19"/>
                <w:lang w:val="es-ES"/>
              </w:rPr>
              <w:t>D.G.A.</w:t>
            </w:r>
          </w:p>
        </w:tc>
      </w:tr>
      <w:tr w:rsidR="003239B8" w:rsidRPr="002A04A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BF4E8C" w:rsidRDefault="002355A9"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Presunta víctima</w:t>
            </w:r>
          </w:p>
        </w:tc>
        <w:tc>
          <w:tcPr>
            <w:tcW w:w="6570" w:type="dxa"/>
            <w:vAlign w:val="center"/>
          </w:tcPr>
          <w:p w14:paraId="4AEBF59E" w14:textId="1B3CAEAF" w:rsidR="003239B8" w:rsidRPr="00BF4E8C" w:rsidRDefault="002A04A1" w:rsidP="00226222">
            <w:pPr>
              <w:jc w:val="both"/>
              <w:rPr>
                <w:rFonts w:ascii="Cambria" w:hAnsi="Cambria"/>
                <w:bCs/>
                <w:sz w:val="19"/>
                <w:szCs w:val="19"/>
                <w:lang w:val="es-PA"/>
              </w:rPr>
            </w:pPr>
            <w:r>
              <w:rPr>
                <w:rFonts w:ascii="Cambria" w:hAnsi="Cambria"/>
                <w:bCs/>
                <w:sz w:val="19"/>
                <w:szCs w:val="19"/>
                <w:lang w:val="es-ES"/>
              </w:rPr>
              <w:t>Gabriel Gómez Jaramillo</w:t>
            </w:r>
          </w:p>
        </w:tc>
      </w:tr>
      <w:tr w:rsidR="003239B8" w:rsidRPr="00BF4E8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BF4E8C" w:rsidRDefault="00D77503"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Estado denunciado</w:t>
            </w:r>
          </w:p>
        </w:tc>
        <w:tc>
          <w:tcPr>
            <w:tcW w:w="6570" w:type="dxa"/>
            <w:vAlign w:val="center"/>
          </w:tcPr>
          <w:p w14:paraId="274C8A50" w14:textId="71844B0E" w:rsidR="003239B8" w:rsidRPr="00BF4E8C" w:rsidRDefault="00F11FBB" w:rsidP="00425533">
            <w:pPr>
              <w:jc w:val="both"/>
              <w:rPr>
                <w:rFonts w:ascii="Cambria" w:hAnsi="Cambria"/>
                <w:bCs/>
                <w:sz w:val="19"/>
                <w:szCs w:val="19"/>
                <w:lang w:val="es-ES"/>
              </w:rPr>
            </w:pPr>
            <w:r w:rsidRPr="00BF4E8C">
              <w:rPr>
                <w:rFonts w:ascii="Cambria" w:hAnsi="Cambria"/>
                <w:bCs/>
                <w:sz w:val="19"/>
                <w:szCs w:val="19"/>
                <w:lang w:val="es-ES"/>
              </w:rPr>
              <w:t>Colombia</w:t>
            </w:r>
          </w:p>
        </w:tc>
      </w:tr>
      <w:tr w:rsidR="00D24AD4" w:rsidRPr="003921EC"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BF4E8C" w:rsidRDefault="001B3A00" w:rsidP="00E4118C">
            <w:pPr>
              <w:jc w:val="center"/>
              <w:rPr>
                <w:rFonts w:ascii="Cambria" w:hAnsi="Cambria"/>
                <w:bCs/>
                <w:sz w:val="19"/>
                <w:szCs w:val="19"/>
                <w:lang w:val="es-ES"/>
              </w:rPr>
            </w:pPr>
            <w:r w:rsidRPr="00BF4E8C">
              <w:rPr>
                <w:rFonts w:ascii="Cambria" w:hAnsi="Cambria"/>
                <w:bCs/>
                <w:sz w:val="19"/>
                <w:szCs w:val="19"/>
                <w:lang w:val="es-ES"/>
              </w:rPr>
              <w:t xml:space="preserve">Derechos </w:t>
            </w:r>
            <w:r w:rsidR="00E4118C" w:rsidRPr="00BF4E8C">
              <w:rPr>
                <w:rFonts w:ascii="Cambria" w:hAnsi="Cambria"/>
                <w:bCs/>
                <w:sz w:val="19"/>
                <w:szCs w:val="19"/>
                <w:lang w:val="es-ES"/>
              </w:rPr>
              <w:t>invocados</w:t>
            </w:r>
          </w:p>
        </w:tc>
        <w:tc>
          <w:tcPr>
            <w:tcW w:w="6570" w:type="dxa"/>
            <w:vAlign w:val="center"/>
          </w:tcPr>
          <w:p w14:paraId="6DEE1EEB" w14:textId="025FAA8C" w:rsidR="00223A29" w:rsidRPr="00BF4E8C" w:rsidRDefault="002A04A1" w:rsidP="0055761F">
            <w:pPr>
              <w:jc w:val="both"/>
              <w:rPr>
                <w:rFonts w:ascii="Cambria" w:hAnsi="Cambria"/>
                <w:bCs/>
                <w:sz w:val="19"/>
                <w:szCs w:val="19"/>
                <w:lang w:val="es-PA"/>
              </w:rPr>
            </w:pPr>
            <w:r>
              <w:rPr>
                <w:rFonts w:ascii="Cambria" w:hAnsi="Cambria"/>
                <w:bCs/>
                <w:sz w:val="19"/>
                <w:szCs w:val="19"/>
                <w:lang w:val="es-ES"/>
              </w:rPr>
              <w:t>La petición no hace referencia específica a instrumento internacional</w:t>
            </w:r>
            <w:r w:rsidR="002F5577">
              <w:rPr>
                <w:rFonts w:ascii="Cambria" w:hAnsi="Cambria"/>
                <w:bCs/>
                <w:sz w:val="19"/>
                <w:szCs w:val="19"/>
                <w:lang w:val="es-ES"/>
              </w:rPr>
              <w:t xml:space="preserve"> alguno</w:t>
            </w:r>
            <w:r>
              <w:rPr>
                <w:rStyle w:val="FootnoteReference"/>
                <w:rFonts w:ascii="Cambria" w:hAnsi="Cambria"/>
                <w:bCs/>
                <w:sz w:val="19"/>
                <w:szCs w:val="19"/>
                <w:lang w:val="es-ES"/>
              </w:rPr>
              <w:footnoteReference w:id="2"/>
            </w:r>
          </w:p>
        </w:tc>
      </w:tr>
    </w:tbl>
    <w:p w14:paraId="20263696" w14:textId="77777777" w:rsidR="003239B8" w:rsidRPr="00BF4E8C" w:rsidRDefault="003239B8" w:rsidP="007C402A">
      <w:pPr>
        <w:spacing w:before="120"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t>II.</w:t>
      </w:r>
      <w:r w:rsidRPr="00BF4E8C">
        <w:rPr>
          <w:rFonts w:asciiTheme="majorHAnsi" w:hAnsiTheme="majorHAnsi"/>
          <w:b/>
          <w:bCs/>
          <w:sz w:val="20"/>
          <w:szCs w:val="20"/>
          <w:lang w:val="es-ES"/>
        </w:rPr>
        <w:tab/>
        <w:t>TRÁMITE ANTE LA CIDH</w:t>
      </w:r>
      <w:r w:rsidR="008E3BFE" w:rsidRPr="00BF4E8C">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F4E8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BF4E8C" w:rsidRDefault="000C1C69" w:rsidP="004A6A54">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Recepción</w:t>
            </w:r>
            <w:r w:rsidR="00D77503" w:rsidRPr="00BF4E8C">
              <w:rPr>
                <w:rFonts w:ascii="Cambria" w:hAnsi="Cambria"/>
                <w:bCs/>
                <w:color w:val="FFFFFF" w:themeColor="background1"/>
                <w:sz w:val="19"/>
                <w:szCs w:val="19"/>
                <w:lang w:val="es-ES"/>
              </w:rPr>
              <w:t xml:space="preserve"> de la petición</w:t>
            </w:r>
          </w:p>
        </w:tc>
        <w:tc>
          <w:tcPr>
            <w:tcW w:w="6570" w:type="dxa"/>
            <w:vAlign w:val="center"/>
          </w:tcPr>
          <w:p w14:paraId="6E579153" w14:textId="4020C1F5" w:rsidR="004C2312" w:rsidRPr="00BF4E8C" w:rsidRDefault="002A04A1" w:rsidP="00D43661">
            <w:pPr>
              <w:jc w:val="both"/>
              <w:rPr>
                <w:rFonts w:ascii="Cambria" w:hAnsi="Cambria"/>
                <w:bCs/>
                <w:sz w:val="19"/>
                <w:szCs w:val="19"/>
                <w:lang w:val="es-ES"/>
              </w:rPr>
            </w:pPr>
            <w:r>
              <w:rPr>
                <w:rFonts w:ascii="Cambria" w:hAnsi="Cambria"/>
                <w:bCs/>
                <w:sz w:val="19"/>
                <w:szCs w:val="19"/>
                <w:lang w:val="es-ES"/>
              </w:rPr>
              <w:t>10 de diciembre de 2009</w:t>
            </w:r>
          </w:p>
        </w:tc>
      </w:tr>
      <w:tr w:rsidR="0055761F" w:rsidRPr="002A04A1" w14:paraId="59D3DCAE" w14:textId="77777777" w:rsidTr="00954B82">
        <w:tc>
          <w:tcPr>
            <w:tcW w:w="2790" w:type="dxa"/>
            <w:tcBorders>
              <w:top w:val="single" w:sz="6" w:space="0" w:color="auto"/>
              <w:bottom w:val="single" w:sz="6" w:space="0" w:color="auto"/>
            </w:tcBorders>
            <w:shd w:val="clear" w:color="auto" w:fill="386294"/>
            <w:vAlign w:val="center"/>
          </w:tcPr>
          <w:p w14:paraId="311B9661" w14:textId="4F563775" w:rsidR="0055761F" w:rsidRPr="00BF4E8C" w:rsidRDefault="0055761F" w:rsidP="004A6A54">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Información adicional recibida durante la etapa de estudio</w:t>
            </w:r>
          </w:p>
        </w:tc>
        <w:tc>
          <w:tcPr>
            <w:tcW w:w="6570" w:type="dxa"/>
            <w:vAlign w:val="center"/>
          </w:tcPr>
          <w:p w14:paraId="0A64D88A" w14:textId="55434629" w:rsidR="0055761F" w:rsidRPr="00BF4E8C" w:rsidRDefault="00081C18" w:rsidP="00D43661">
            <w:pPr>
              <w:jc w:val="both"/>
              <w:rPr>
                <w:rFonts w:ascii="Cambria" w:hAnsi="Cambria"/>
                <w:bCs/>
                <w:sz w:val="19"/>
                <w:szCs w:val="19"/>
                <w:lang w:val="es-ES"/>
              </w:rPr>
            </w:pPr>
            <w:r>
              <w:rPr>
                <w:rFonts w:ascii="Cambria" w:hAnsi="Cambria"/>
                <w:bCs/>
                <w:sz w:val="19"/>
                <w:szCs w:val="19"/>
                <w:lang w:val="es-ES"/>
              </w:rPr>
              <w:t>7 de enero de 2015</w:t>
            </w:r>
            <w:r w:rsidR="002964CA">
              <w:rPr>
                <w:rStyle w:val="FootnoteReference"/>
                <w:rFonts w:ascii="Cambria" w:hAnsi="Cambria"/>
                <w:bCs/>
                <w:sz w:val="19"/>
                <w:szCs w:val="19"/>
                <w:lang w:val="es-ES"/>
              </w:rPr>
              <w:footnoteReference w:id="4"/>
            </w:r>
          </w:p>
        </w:tc>
      </w:tr>
      <w:tr w:rsidR="004C2312" w:rsidRPr="00BF4E8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BF4E8C" w:rsidRDefault="004A6A54" w:rsidP="000C1C69">
            <w:pPr>
              <w:jc w:val="center"/>
              <w:rPr>
                <w:rFonts w:ascii="Cambria" w:hAnsi="Cambria"/>
                <w:bCs/>
                <w:color w:val="FFFFFF" w:themeColor="background1"/>
                <w:sz w:val="19"/>
                <w:szCs w:val="19"/>
                <w:lang w:val="es-ES"/>
              </w:rPr>
            </w:pPr>
            <w:r w:rsidRPr="00BF4E8C">
              <w:rPr>
                <w:rFonts w:ascii="Cambria" w:hAnsi="Cambria"/>
                <w:color w:val="FFFFFF" w:themeColor="background1"/>
                <w:sz w:val="19"/>
                <w:szCs w:val="19"/>
                <w:lang w:val="es-ES"/>
              </w:rPr>
              <w:t>N</w:t>
            </w:r>
            <w:r w:rsidR="004C2312" w:rsidRPr="00BF4E8C">
              <w:rPr>
                <w:rFonts w:ascii="Cambria" w:hAnsi="Cambria"/>
                <w:color w:val="FFFFFF" w:themeColor="background1"/>
                <w:sz w:val="19"/>
                <w:szCs w:val="19"/>
                <w:lang w:val="es-ES"/>
              </w:rPr>
              <w:t>otificación de la petición</w:t>
            </w:r>
          </w:p>
        </w:tc>
        <w:tc>
          <w:tcPr>
            <w:tcW w:w="6570" w:type="dxa"/>
            <w:vAlign w:val="center"/>
          </w:tcPr>
          <w:p w14:paraId="1519DA6A" w14:textId="32E15B1E" w:rsidR="004C2312" w:rsidRPr="00BF4E8C" w:rsidRDefault="002964CA" w:rsidP="00D43661">
            <w:pPr>
              <w:jc w:val="both"/>
              <w:rPr>
                <w:rFonts w:ascii="Cambria" w:hAnsi="Cambria"/>
                <w:bCs/>
                <w:sz w:val="19"/>
                <w:szCs w:val="19"/>
                <w:lang w:val="es-ES"/>
              </w:rPr>
            </w:pPr>
            <w:r>
              <w:rPr>
                <w:rFonts w:ascii="Cambria" w:hAnsi="Cambria"/>
                <w:bCs/>
                <w:sz w:val="19"/>
                <w:szCs w:val="19"/>
                <w:lang w:val="es-ES"/>
              </w:rPr>
              <w:t>14 de mayo de 2019</w:t>
            </w:r>
          </w:p>
        </w:tc>
      </w:tr>
      <w:tr w:rsidR="00F06354" w:rsidRPr="00BF4E8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BF4E8C" w:rsidRDefault="00D77503" w:rsidP="00F06354">
            <w:pPr>
              <w:jc w:val="center"/>
              <w:rPr>
                <w:rFonts w:ascii="Cambria" w:hAnsi="Cambria"/>
                <w:bCs/>
                <w:color w:val="FFFFFF" w:themeColor="background1"/>
                <w:sz w:val="19"/>
                <w:szCs w:val="19"/>
                <w:lang w:val="es-ES"/>
              </w:rPr>
            </w:pPr>
            <w:r w:rsidRPr="00BF4E8C">
              <w:rPr>
                <w:rFonts w:ascii="Cambria" w:hAnsi="Cambria"/>
                <w:color w:val="FFFFFF" w:themeColor="background1"/>
                <w:sz w:val="19"/>
                <w:szCs w:val="19"/>
                <w:lang w:val="es-ES"/>
              </w:rPr>
              <w:t>Primera respuesta del Estado</w:t>
            </w:r>
          </w:p>
        </w:tc>
        <w:tc>
          <w:tcPr>
            <w:tcW w:w="6570" w:type="dxa"/>
            <w:vAlign w:val="center"/>
          </w:tcPr>
          <w:p w14:paraId="1972B99E" w14:textId="38A6EE5B" w:rsidR="00F06354" w:rsidRPr="00BF4E8C" w:rsidRDefault="002964CA" w:rsidP="00F06354">
            <w:pPr>
              <w:jc w:val="both"/>
              <w:rPr>
                <w:rFonts w:ascii="Cambria" w:hAnsi="Cambria"/>
                <w:bCs/>
                <w:sz w:val="19"/>
                <w:szCs w:val="19"/>
                <w:lang w:val="es-ES"/>
              </w:rPr>
            </w:pPr>
            <w:r>
              <w:rPr>
                <w:rFonts w:ascii="Cambria" w:hAnsi="Cambria"/>
                <w:bCs/>
                <w:sz w:val="19"/>
                <w:szCs w:val="19"/>
                <w:lang w:val="es-ES"/>
              </w:rPr>
              <w:t>28 de octubre de 2020</w:t>
            </w:r>
          </w:p>
        </w:tc>
      </w:tr>
    </w:tbl>
    <w:p w14:paraId="21DAA666" w14:textId="5065046E" w:rsidR="003239B8" w:rsidRPr="00BF4E8C" w:rsidRDefault="003239B8" w:rsidP="007C402A">
      <w:pPr>
        <w:spacing w:before="120"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t xml:space="preserve">III. </w:t>
      </w:r>
      <w:r w:rsidRPr="00BF4E8C">
        <w:rPr>
          <w:rFonts w:asciiTheme="majorHAnsi" w:hAnsiTheme="majorHAnsi"/>
          <w:b/>
          <w:bCs/>
          <w:sz w:val="20"/>
          <w:szCs w:val="20"/>
          <w:lang w:val="es-ES"/>
        </w:rPr>
        <w:tab/>
        <w:t>COMPETENCIA</w:t>
      </w:r>
      <w:r w:rsidR="00EE00E9" w:rsidRPr="00BF4E8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BF4E8C"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BF4E8C" w:rsidRDefault="00D77503" w:rsidP="00D43661">
            <w:pPr>
              <w:jc w:val="center"/>
              <w:rPr>
                <w:rFonts w:ascii="Cambria" w:hAnsi="Cambria"/>
                <w:bCs/>
                <w:i/>
                <w:color w:val="FFFFFF" w:themeColor="background1"/>
                <w:sz w:val="19"/>
                <w:szCs w:val="19"/>
                <w:lang w:val="es-ES"/>
              </w:rPr>
            </w:pPr>
            <w:r w:rsidRPr="00BF4E8C">
              <w:rPr>
                <w:rFonts w:ascii="Cambria" w:hAnsi="Cambria"/>
                <w:bCs/>
                <w:i/>
                <w:color w:val="FFFFFF" w:themeColor="background1"/>
                <w:sz w:val="19"/>
                <w:szCs w:val="19"/>
                <w:lang w:val="es-ES"/>
              </w:rPr>
              <w:t>Ratione personae</w:t>
            </w:r>
          </w:p>
        </w:tc>
        <w:tc>
          <w:tcPr>
            <w:tcW w:w="6570" w:type="dxa"/>
            <w:vAlign w:val="center"/>
          </w:tcPr>
          <w:p w14:paraId="7707F3E9" w14:textId="30DD0FA8" w:rsidR="003239B8" w:rsidRPr="00BF4E8C" w:rsidRDefault="00161278" w:rsidP="00D43661">
            <w:pPr>
              <w:rPr>
                <w:rFonts w:ascii="Cambria" w:hAnsi="Cambria"/>
                <w:bCs/>
                <w:sz w:val="19"/>
                <w:szCs w:val="19"/>
                <w:lang w:val="es-ES"/>
              </w:rPr>
            </w:pPr>
            <w:r w:rsidRPr="00BF4E8C">
              <w:rPr>
                <w:rFonts w:ascii="Cambria" w:hAnsi="Cambria"/>
                <w:bCs/>
                <w:sz w:val="19"/>
                <w:szCs w:val="19"/>
                <w:lang w:val="es-ES"/>
              </w:rPr>
              <w:t>Sí</w:t>
            </w:r>
          </w:p>
        </w:tc>
      </w:tr>
      <w:tr w:rsidR="003239B8" w:rsidRPr="00BF4E8C"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BF4E8C" w:rsidRDefault="003239B8" w:rsidP="00D77503">
            <w:pPr>
              <w:jc w:val="center"/>
              <w:rPr>
                <w:rFonts w:ascii="Cambria" w:hAnsi="Cambria"/>
                <w:bCs/>
                <w:color w:val="FFFFFF" w:themeColor="background1"/>
                <w:sz w:val="19"/>
                <w:szCs w:val="19"/>
                <w:lang w:val="es-ES"/>
              </w:rPr>
            </w:pPr>
            <w:r w:rsidRPr="00BF4E8C">
              <w:rPr>
                <w:rFonts w:ascii="Cambria" w:hAnsi="Cambria"/>
                <w:bCs/>
                <w:i/>
                <w:color w:val="FFFFFF" w:themeColor="background1"/>
                <w:sz w:val="19"/>
                <w:szCs w:val="19"/>
                <w:lang w:val="es-ES"/>
              </w:rPr>
              <w:t>Ratione loci</w:t>
            </w:r>
          </w:p>
        </w:tc>
        <w:tc>
          <w:tcPr>
            <w:tcW w:w="6570" w:type="dxa"/>
            <w:vAlign w:val="center"/>
          </w:tcPr>
          <w:p w14:paraId="12C931CB" w14:textId="07637622" w:rsidR="003239B8" w:rsidRPr="00BF4E8C" w:rsidRDefault="00161278" w:rsidP="00D43661">
            <w:pPr>
              <w:rPr>
                <w:rFonts w:ascii="Cambria" w:hAnsi="Cambria"/>
                <w:bCs/>
                <w:sz w:val="19"/>
                <w:szCs w:val="19"/>
                <w:lang w:val="es-ES"/>
              </w:rPr>
            </w:pPr>
            <w:r w:rsidRPr="00BF4E8C">
              <w:rPr>
                <w:rFonts w:ascii="Cambria" w:hAnsi="Cambria"/>
                <w:bCs/>
                <w:sz w:val="19"/>
                <w:szCs w:val="19"/>
                <w:lang w:val="es-ES"/>
              </w:rPr>
              <w:t>Sí</w:t>
            </w:r>
          </w:p>
        </w:tc>
      </w:tr>
      <w:tr w:rsidR="003239B8" w:rsidRPr="00BF4E8C"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BF4E8C" w:rsidRDefault="003239B8" w:rsidP="00D43661">
            <w:pPr>
              <w:jc w:val="center"/>
              <w:rPr>
                <w:rFonts w:ascii="Cambria" w:hAnsi="Cambria"/>
                <w:bCs/>
                <w:color w:val="FFFFFF" w:themeColor="background1"/>
                <w:sz w:val="19"/>
                <w:szCs w:val="19"/>
                <w:lang w:val="es-ES"/>
              </w:rPr>
            </w:pPr>
            <w:r w:rsidRPr="00BF4E8C">
              <w:rPr>
                <w:rFonts w:ascii="Cambria" w:hAnsi="Cambria"/>
                <w:bCs/>
                <w:i/>
                <w:color w:val="FFFFFF" w:themeColor="background1"/>
                <w:sz w:val="19"/>
                <w:szCs w:val="19"/>
                <w:lang w:val="es-ES"/>
              </w:rPr>
              <w:t>Ratione temporis</w:t>
            </w:r>
          </w:p>
        </w:tc>
        <w:tc>
          <w:tcPr>
            <w:tcW w:w="6570" w:type="dxa"/>
            <w:vAlign w:val="center"/>
          </w:tcPr>
          <w:p w14:paraId="6F8B059B" w14:textId="63ACCA21" w:rsidR="003239B8" w:rsidRPr="00BF4E8C" w:rsidRDefault="00161278" w:rsidP="00D43661">
            <w:pPr>
              <w:rPr>
                <w:rFonts w:ascii="Cambria" w:hAnsi="Cambria"/>
                <w:bCs/>
                <w:sz w:val="19"/>
                <w:szCs w:val="19"/>
                <w:lang w:val="es-ES"/>
              </w:rPr>
            </w:pPr>
            <w:r w:rsidRPr="00BF4E8C">
              <w:rPr>
                <w:rFonts w:ascii="Cambria" w:hAnsi="Cambria"/>
                <w:bCs/>
                <w:sz w:val="19"/>
                <w:szCs w:val="19"/>
                <w:lang w:val="es-ES"/>
              </w:rPr>
              <w:t>Sí</w:t>
            </w:r>
          </w:p>
        </w:tc>
      </w:tr>
      <w:tr w:rsidR="003239B8" w:rsidRPr="003921EC"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BF4E8C" w:rsidRDefault="003239B8" w:rsidP="00D43661">
            <w:pPr>
              <w:jc w:val="center"/>
              <w:rPr>
                <w:rFonts w:ascii="Cambria" w:hAnsi="Cambria"/>
                <w:bCs/>
                <w:color w:val="FFFFFF" w:themeColor="background1"/>
                <w:sz w:val="19"/>
                <w:szCs w:val="19"/>
                <w:lang w:val="es-ES"/>
              </w:rPr>
            </w:pPr>
            <w:r w:rsidRPr="00BF4E8C">
              <w:rPr>
                <w:rFonts w:ascii="Cambria" w:hAnsi="Cambria"/>
                <w:bCs/>
                <w:i/>
                <w:color w:val="FFFFFF" w:themeColor="background1"/>
                <w:sz w:val="19"/>
                <w:szCs w:val="19"/>
                <w:lang w:val="es-ES"/>
              </w:rPr>
              <w:t>Ratione materia</w:t>
            </w:r>
            <w:r w:rsidR="00EE00E9" w:rsidRPr="00BF4E8C">
              <w:rPr>
                <w:rFonts w:ascii="Cambria" w:hAnsi="Cambria"/>
                <w:bCs/>
                <w:i/>
                <w:color w:val="FFFFFF" w:themeColor="background1"/>
                <w:sz w:val="19"/>
                <w:szCs w:val="19"/>
                <w:lang w:val="es-ES"/>
              </w:rPr>
              <w:t>e</w:t>
            </w:r>
          </w:p>
        </w:tc>
        <w:tc>
          <w:tcPr>
            <w:tcW w:w="6570" w:type="dxa"/>
            <w:vAlign w:val="center"/>
          </w:tcPr>
          <w:p w14:paraId="0C122F44" w14:textId="4C29C980" w:rsidR="003239B8" w:rsidRPr="00BF4E8C" w:rsidRDefault="00911B3F" w:rsidP="002F5577">
            <w:pPr>
              <w:jc w:val="both"/>
              <w:rPr>
                <w:rFonts w:ascii="Cambria" w:hAnsi="Cambria"/>
                <w:bCs/>
                <w:sz w:val="19"/>
                <w:szCs w:val="19"/>
                <w:lang w:val="es-ES"/>
              </w:rPr>
            </w:pPr>
            <w:r w:rsidRPr="00BF4E8C">
              <w:rPr>
                <w:rFonts w:asciiTheme="majorHAnsi" w:hAnsiTheme="majorHAnsi"/>
                <w:bCs/>
                <w:sz w:val="20"/>
                <w:szCs w:val="20"/>
                <w:lang w:val="es-ES"/>
              </w:rPr>
              <w:t>Sí, Convención Americana</w:t>
            </w:r>
            <w:r w:rsidR="002964CA">
              <w:rPr>
                <w:rFonts w:asciiTheme="majorHAnsi" w:hAnsiTheme="majorHAnsi"/>
                <w:bCs/>
                <w:sz w:val="20"/>
                <w:szCs w:val="20"/>
                <w:lang w:val="es-ES"/>
              </w:rPr>
              <w:t xml:space="preserve"> sobre Derechos Humanos</w:t>
            </w:r>
            <w:r w:rsidR="002964CA">
              <w:rPr>
                <w:rStyle w:val="FootnoteReference"/>
                <w:rFonts w:asciiTheme="majorHAnsi" w:hAnsiTheme="majorHAnsi"/>
                <w:bCs/>
                <w:sz w:val="20"/>
                <w:szCs w:val="20"/>
                <w:lang w:val="es-ES"/>
              </w:rPr>
              <w:footnoteReference w:id="5"/>
            </w:r>
            <w:r w:rsidRPr="00BF4E8C">
              <w:rPr>
                <w:rFonts w:asciiTheme="majorHAnsi" w:hAnsiTheme="majorHAnsi"/>
                <w:bCs/>
                <w:sz w:val="20"/>
                <w:szCs w:val="20"/>
                <w:lang w:val="es-ES"/>
              </w:rPr>
              <w:t xml:space="preserve"> (depósito del instrumento realizado el</w:t>
            </w:r>
            <w:r w:rsidR="002F5577">
              <w:rPr>
                <w:rFonts w:asciiTheme="majorHAnsi" w:hAnsiTheme="majorHAnsi"/>
                <w:bCs/>
                <w:sz w:val="20"/>
                <w:szCs w:val="20"/>
                <w:lang w:val="es-ES"/>
              </w:rPr>
              <w:t xml:space="preserve"> </w:t>
            </w:r>
            <w:r w:rsidRPr="00BF4E8C">
              <w:rPr>
                <w:rFonts w:asciiTheme="majorHAnsi" w:hAnsiTheme="majorHAnsi"/>
                <w:bCs/>
                <w:sz w:val="20"/>
                <w:szCs w:val="20"/>
                <w:lang w:val="es-ES"/>
              </w:rPr>
              <w:t>31 de julio de 1973)</w:t>
            </w:r>
          </w:p>
        </w:tc>
      </w:tr>
    </w:tbl>
    <w:p w14:paraId="4E92C444" w14:textId="7D97AE5A" w:rsidR="003239B8" w:rsidRPr="00BF4E8C" w:rsidRDefault="003239B8" w:rsidP="007C402A">
      <w:pPr>
        <w:spacing w:before="120" w:after="120"/>
        <w:ind w:firstLine="720"/>
        <w:jc w:val="both"/>
        <w:rPr>
          <w:rFonts w:asciiTheme="majorHAnsi" w:hAnsiTheme="majorHAnsi"/>
          <w:b/>
          <w:bCs/>
          <w:sz w:val="20"/>
          <w:szCs w:val="20"/>
          <w:lang w:val="es-ES"/>
        </w:rPr>
      </w:pPr>
      <w:r w:rsidRPr="00BF4E8C">
        <w:rPr>
          <w:rFonts w:asciiTheme="majorHAnsi" w:hAnsiTheme="majorHAnsi"/>
          <w:b/>
          <w:bCs/>
          <w:sz w:val="20"/>
          <w:szCs w:val="20"/>
          <w:lang w:val="es-ES"/>
        </w:rPr>
        <w:t xml:space="preserve">IV. </w:t>
      </w:r>
      <w:r w:rsidRPr="00BF4E8C">
        <w:rPr>
          <w:rFonts w:asciiTheme="majorHAnsi" w:hAnsiTheme="majorHAnsi"/>
          <w:b/>
          <w:bCs/>
          <w:sz w:val="20"/>
          <w:szCs w:val="20"/>
          <w:lang w:val="es-ES"/>
        </w:rPr>
        <w:tab/>
      </w:r>
      <w:r w:rsidR="00EE00E9" w:rsidRPr="00BF4E8C">
        <w:rPr>
          <w:rFonts w:asciiTheme="majorHAnsi" w:hAnsiTheme="majorHAnsi"/>
          <w:b/>
          <w:bCs/>
          <w:sz w:val="20"/>
          <w:szCs w:val="20"/>
          <w:lang w:val="es-ES"/>
        </w:rPr>
        <w:t>DUPLICACIÓN</w:t>
      </w:r>
      <w:r w:rsidR="00EE00E9" w:rsidRPr="00BF4E8C">
        <w:rPr>
          <w:rFonts w:asciiTheme="majorHAnsi" w:hAnsiTheme="majorHAnsi"/>
          <w:b/>
          <w:bCs/>
          <w:color w:val="FFFFFF" w:themeColor="background1"/>
          <w:sz w:val="20"/>
          <w:szCs w:val="20"/>
          <w:lang w:val="es-ES"/>
        </w:rPr>
        <w:t xml:space="preserve"> </w:t>
      </w:r>
      <w:r w:rsidR="00EE00E9" w:rsidRPr="00BF4E8C">
        <w:rPr>
          <w:rFonts w:asciiTheme="majorHAnsi" w:hAnsiTheme="majorHAnsi"/>
          <w:b/>
          <w:bCs/>
          <w:sz w:val="20"/>
          <w:szCs w:val="20"/>
          <w:lang w:val="es-ES"/>
        </w:rPr>
        <w:t>DE PROCEDIMIENTOS Y COSA JUZGADA</w:t>
      </w:r>
      <w:r w:rsidR="00EE00E9" w:rsidRPr="00BF4E8C">
        <w:rPr>
          <w:rFonts w:asciiTheme="majorHAnsi" w:hAnsiTheme="majorHAnsi"/>
          <w:b/>
          <w:bCs/>
          <w:i/>
          <w:sz w:val="20"/>
          <w:szCs w:val="20"/>
          <w:lang w:val="es-ES"/>
        </w:rPr>
        <w:t xml:space="preserve"> </w:t>
      </w:r>
      <w:r w:rsidR="00911B3F" w:rsidRPr="00BF4E8C">
        <w:rPr>
          <w:rFonts w:asciiTheme="majorHAnsi" w:hAnsiTheme="majorHAnsi"/>
          <w:b/>
          <w:bCs/>
          <w:sz w:val="20"/>
          <w:szCs w:val="20"/>
          <w:lang w:val="es-ES"/>
        </w:rPr>
        <w:t>INTERNACIONAL</w:t>
      </w:r>
      <w:r w:rsidR="00EE00E9" w:rsidRPr="00BF4E8C">
        <w:rPr>
          <w:rFonts w:asciiTheme="majorHAnsi" w:hAnsiTheme="majorHAnsi"/>
          <w:b/>
          <w:bCs/>
          <w:sz w:val="20"/>
          <w:szCs w:val="20"/>
          <w:lang w:val="es-ES"/>
        </w:rPr>
        <w:t xml:space="preserve"> </w:t>
      </w:r>
      <w:r w:rsidRPr="00BF4E8C">
        <w:rPr>
          <w:rFonts w:asciiTheme="majorHAnsi" w:hAnsiTheme="majorHAnsi"/>
          <w:b/>
          <w:bCs/>
          <w:sz w:val="20"/>
          <w:szCs w:val="20"/>
          <w:lang w:val="es-ES"/>
        </w:rPr>
        <w:t xml:space="preserve"> CARACTERIZACIÓN, </w:t>
      </w:r>
      <w:r w:rsidRPr="00BF4E8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BF4E8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BF4E8C" w:rsidRDefault="00EE00E9" w:rsidP="00954B82">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 xml:space="preserve">Duplicación </w:t>
            </w:r>
            <w:r w:rsidR="00D77503" w:rsidRPr="00BF4E8C">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BF4E8C" w:rsidRDefault="00BB3402" w:rsidP="00D43661">
            <w:pPr>
              <w:jc w:val="both"/>
              <w:rPr>
                <w:rFonts w:ascii="Cambria" w:hAnsi="Cambria"/>
                <w:bCs/>
                <w:sz w:val="19"/>
                <w:szCs w:val="19"/>
                <w:lang w:val="es-ES"/>
              </w:rPr>
            </w:pPr>
            <w:r w:rsidRPr="00BF4E8C">
              <w:rPr>
                <w:rFonts w:ascii="Cambria" w:hAnsi="Cambria"/>
                <w:bCs/>
                <w:sz w:val="19"/>
                <w:szCs w:val="19"/>
                <w:lang w:val="es-ES"/>
              </w:rPr>
              <w:t>No</w:t>
            </w:r>
          </w:p>
        </w:tc>
      </w:tr>
      <w:tr w:rsidR="003239B8" w:rsidRPr="003921EC"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BF4E8C" w:rsidRDefault="003239B8" w:rsidP="00954B82">
            <w:pPr>
              <w:jc w:val="center"/>
              <w:rPr>
                <w:rFonts w:ascii="Cambria" w:hAnsi="Cambria"/>
                <w:bCs/>
                <w:i/>
                <w:color w:val="FFFFFF" w:themeColor="background1"/>
                <w:sz w:val="19"/>
                <w:szCs w:val="19"/>
                <w:lang w:val="es-ES"/>
              </w:rPr>
            </w:pPr>
            <w:r w:rsidRPr="00BF4E8C">
              <w:rPr>
                <w:rFonts w:ascii="Cambria" w:hAnsi="Cambria"/>
                <w:bCs/>
                <w:color w:val="FFFFFF" w:themeColor="background1"/>
                <w:sz w:val="19"/>
                <w:szCs w:val="19"/>
                <w:lang w:val="es-ES"/>
              </w:rPr>
              <w:t>Derechos admi</w:t>
            </w:r>
            <w:r w:rsidR="00954B82" w:rsidRPr="00BF4E8C">
              <w:rPr>
                <w:rFonts w:ascii="Cambria" w:hAnsi="Cambria"/>
                <w:bCs/>
                <w:color w:val="FFFFFF" w:themeColor="background1"/>
                <w:sz w:val="19"/>
                <w:szCs w:val="19"/>
                <w:lang w:val="es-ES"/>
              </w:rPr>
              <w:t>tidos</w:t>
            </w:r>
          </w:p>
        </w:tc>
        <w:tc>
          <w:tcPr>
            <w:tcW w:w="6570" w:type="dxa"/>
            <w:vAlign w:val="center"/>
          </w:tcPr>
          <w:p w14:paraId="6310C8F7" w14:textId="5367E638" w:rsidR="003239B8" w:rsidRPr="00BF4E8C" w:rsidRDefault="002964CA" w:rsidP="006B770C">
            <w:pPr>
              <w:jc w:val="both"/>
              <w:rPr>
                <w:rFonts w:ascii="Cambria" w:hAnsi="Cambria"/>
                <w:bCs/>
                <w:sz w:val="19"/>
                <w:szCs w:val="19"/>
                <w:lang w:val="es-ES"/>
              </w:rPr>
            </w:pPr>
            <w:r>
              <w:rPr>
                <w:rFonts w:ascii="Cambria" w:hAnsi="Cambria"/>
                <w:bCs/>
                <w:sz w:val="19"/>
                <w:szCs w:val="19"/>
                <w:lang w:val="es-ES"/>
              </w:rPr>
              <w:t>Artículos 8 (garantías judiciales), 21 (propiedad privada)</w:t>
            </w:r>
            <w:r w:rsidR="009F3E88">
              <w:rPr>
                <w:rFonts w:ascii="Cambria" w:hAnsi="Cambria"/>
                <w:bCs/>
                <w:sz w:val="19"/>
                <w:szCs w:val="19"/>
                <w:lang w:val="es-ES"/>
              </w:rPr>
              <w:t xml:space="preserve"> y</w:t>
            </w:r>
            <w:r>
              <w:rPr>
                <w:rFonts w:ascii="Cambria" w:hAnsi="Cambria"/>
                <w:bCs/>
                <w:sz w:val="19"/>
                <w:szCs w:val="19"/>
                <w:lang w:val="es-ES"/>
              </w:rPr>
              <w:t xml:space="preserve"> 25 (protección judicial) de la Convención Americana en relación con sus artículos 1.1. (obligación de respetar los derechos) y 2 (deber de adoptar disposiciones de derecho interno)</w:t>
            </w:r>
          </w:p>
        </w:tc>
      </w:tr>
      <w:tr w:rsidR="003239B8" w:rsidRPr="003921EC"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BF4E8C" w:rsidRDefault="003239B8" w:rsidP="006775AB">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Agotamiento de</w:t>
            </w:r>
            <w:r w:rsidR="0069402E" w:rsidRPr="00BF4E8C">
              <w:rPr>
                <w:rFonts w:ascii="Cambria" w:hAnsi="Cambria"/>
                <w:bCs/>
                <w:color w:val="FFFFFF" w:themeColor="background1"/>
                <w:sz w:val="19"/>
                <w:szCs w:val="19"/>
                <w:lang w:val="es-ES"/>
              </w:rPr>
              <w:t xml:space="preserve"> </w:t>
            </w:r>
            <w:r w:rsidRPr="00BF4E8C">
              <w:rPr>
                <w:rFonts w:ascii="Cambria" w:hAnsi="Cambria"/>
                <w:bCs/>
                <w:color w:val="FFFFFF" w:themeColor="background1"/>
                <w:sz w:val="19"/>
                <w:szCs w:val="19"/>
                <w:lang w:val="es-ES"/>
              </w:rPr>
              <w:t xml:space="preserve">recursos </w:t>
            </w:r>
            <w:r w:rsidR="00D77503" w:rsidRPr="00BF4E8C">
              <w:rPr>
                <w:rFonts w:ascii="Cambria" w:hAnsi="Cambria"/>
                <w:bCs/>
                <w:color w:val="FFFFFF" w:themeColor="background1"/>
                <w:sz w:val="19"/>
                <w:szCs w:val="19"/>
                <w:lang w:val="es-ES"/>
              </w:rPr>
              <w:t>o procedencia de una excepción</w:t>
            </w:r>
          </w:p>
        </w:tc>
        <w:tc>
          <w:tcPr>
            <w:tcW w:w="6570" w:type="dxa"/>
            <w:vAlign w:val="center"/>
          </w:tcPr>
          <w:p w14:paraId="69C53E8A" w14:textId="5E447273" w:rsidR="003239B8" w:rsidRPr="00BF4E8C" w:rsidRDefault="00911B3F" w:rsidP="00AF6123">
            <w:pPr>
              <w:rPr>
                <w:rFonts w:ascii="Cambria" w:hAnsi="Cambria"/>
                <w:bCs/>
                <w:sz w:val="19"/>
                <w:szCs w:val="19"/>
                <w:lang w:val="es-ES"/>
              </w:rPr>
            </w:pPr>
            <w:r w:rsidRPr="00BF4E8C">
              <w:rPr>
                <w:rFonts w:ascii="Cambria" w:hAnsi="Cambria"/>
                <w:bCs/>
                <w:sz w:val="19"/>
                <w:szCs w:val="19"/>
                <w:lang w:val="es-ES"/>
              </w:rPr>
              <w:t xml:space="preserve">Sí, </w:t>
            </w:r>
            <w:r w:rsidR="002F5577">
              <w:rPr>
                <w:rFonts w:ascii="Cambria" w:hAnsi="Cambria"/>
                <w:bCs/>
                <w:sz w:val="19"/>
                <w:szCs w:val="19"/>
                <w:lang w:val="es-ES"/>
              </w:rPr>
              <w:t xml:space="preserve">se </w:t>
            </w:r>
            <w:r w:rsidR="002964CA">
              <w:rPr>
                <w:rFonts w:ascii="Cambria" w:hAnsi="Cambria"/>
                <w:bCs/>
                <w:sz w:val="19"/>
                <w:szCs w:val="19"/>
                <w:lang w:val="es-ES"/>
              </w:rPr>
              <w:t xml:space="preserve">aplica </w:t>
            </w:r>
            <w:r w:rsidR="002F5577">
              <w:rPr>
                <w:rFonts w:ascii="Cambria" w:hAnsi="Cambria"/>
                <w:bCs/>
                <w:sz w:val="19"/>
                <w:szCs w:val="19"/>
                <w:lang w:val="es-ES"/>
              </w:rPr>
              <w:t xml:space="preserve">la </w:t>
            </w:r>
            <w:r w:rsidR="002964CA">
              <w:rPr>
                <w:rFonts w:ascii="Cambria" w:hAnsi="Cambria"/>
                <w:bCs/>
                <w:sz w:val="19"/>
                <w:szCs w:val="19"/>
                <w:lang w:val="es-ES"/>
              </w:rPr>
              <w:t xml:space="preserve">excepción </w:t>
            </w:r>
            <w:r w:rsidR="002F5577">
              <w:rPr>
                <w:rFonts w:ascii="Cambria" w:hAnsi="Cambria"/>
                <w:bCs/>
                <w:sz w:val="19"/>
                <w:szCs w:val="19"/>
                <w:lang w:val="es-ES"/>
              </w:rPr>
              <w:t>d</w:t>
            </w:r>
            <w:r w:rsidR="00C05700">
              <w:rPr>
                <w:rFonts w:ascii="Cambria" w:hAnsi="Cambria"/>
                <w:bCs/>
                <w:sz w:val="19"/>
                <w:szCs w:val="19"/>
                <w:lang w:val="es-ES"/>
              </w:rPr>
              <w:t>el artículo</w:t>
            </w:r>
            <w:r w:rsidR="002964CA">
              <w:rPr>
                <w:rFonts w:ascii="Cambria" w:hAnsi="Cambria"/>
                <w:bCs/>
                <w:sz w:val="19"/>
                <w:szCs w:val="19"/>
                <w:lang w:val="es-ES"/>
              </w:rPr>
              <w:t xml:space="preserve"> 46.</w:t>
            </w:r>
            <w:r w:rsidR="00C05700">
              <w:rPr>
                <w:rFonts w:ascii="Cambria" w:hAnsi="Cambria"/>
                <w:bCs/>
                <w:sz w:val="19"/>
                <w:szCs w:val="19"/>
                <w:lang w:val="es-ES"/>
              </w:rPr>
              <w:t>2(c) de la Convención Americana</w:t>
            </w:r>
          </w:p>
        </w:tc>
      </w:tr>
      <w:tr w:rsidR="003239B8" w:rsidRPr="003921EC"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BF4E8C" w:rsidRDefault="00D77503" w:rsidP="00D43661">
            <w:pPr>
              <w:jc w:val="center"/>
              <w:rPr>
                <w:rFonts w:ascii="Cambria" w:hAnsi="Cambria"/>
                <w:bCs/>
                <w:color w:val="FFFFFF" w:themeColor="background1"/>
                <w:sz w:val="19"/>
                <w:szCs w:val="19"/>
                <w:lang w:val="es-ES"/>
              </w:rPr>
            </w:pPr>
            <w:r w:rsidRPr="00BF4E8C">
              <w:rPr>
                <w:rFonts w:ascii="Cambria" w:hAnsi="Cambria"/>
                <w:bCs/>
                <w:color w:val="FFFFFF" w:themeColor="background1"/>
                <w:sz w:val="19"/>
                <w:szCs w:val="19"/>
                <w:lang w:val="es-ES"/>
              </w:rPr>
              <w:t>Presentación dentro de plazo</w:t>
            </w:r>
          </w:p>
        </w:tc>
        <w:tc>
          <w:tcPr>
            <w:tcW w:w="6570" w:type="dxa"/>
            <w:vAlign w:val="center"/>
          </w:tcPr>
          <w:p w14:paraId="4A2A4569" w14:textId="6A71DC70" w:rsidR="003239B8" w:rsidRPr="00BF4E8C" w:rsidRDefault="00DF1745" w:rsidP="00AF6123">
            <w:pPr>
              <w:rPr>
                <w:rFonts w:ascii="Cambria" w:hAnsi="Cambria"/>
                <w:bCs/>
                <w:sz w:val="19"/>
                <w:szCs w:val="19"/>
                <w:lang w:val="es-ES"/>
              </w:rPr>
            </w:pPr>
            <w:r w:rsidRPr="00BF4E8C">
              <w:rPr>
                <w:rFonts w:ascii="Cambria" w:hAnsi="Cambria"/>
                <w:bCs/>
                <w:sz w:val="19"/>
                <w:szCs w:val="19"/>
                <w:lang w:val="es-ES"/>
              </w:rPr>
              <w:t>Sí</w:t>
            </w:r>
            <w:r w:rsidR="00C05700">
              <w:rPr>
                <w:rFonts w:ascii="Cambria" w:hAnsi="Cambria"/>
                <w:bCs/>
                <w:sz w:val="19"/>
                <w:szCs w:val="19"/>
                <w:lang w:val="es-ES"/>
              </w:rPr>
              <w:t>, presentación dentro de plazo razonable en los términos del artículo 32.2</w:t>
            </w:r>
            <w:r w:rsidR="002F5577">
              <w:rPr>
                <w:rFonts w:ascii="Cambria" w:hAnsi="Cambria"/>
                <w:bCs/>
                <w:sz w:val="19"/>
                <w:szCs w:val="19"/>
                <w:lang w:val="es-ES"/>
              </w:rPr>
              <w:t xml:space="preserve"> del Reglamento de la CIDH</w:t>
            </w:r>
          </w:p>
        </w:tc>
      </w:tr>
    </w:tbl>
    <w:p w14:paraId="7DA99641" w14:textId="77777777" w:rsidR="002F5577" w:rsidRDefault="002F5577" w:rsidP="002F5577">
      <w:pPr>
        <w:ind w:firstLine="720"/>
        <w:jc w:val="both"/>
        <w:rPr>
          <w:rFonts w:asciiTheme="majorHAnsi" w:hAnsiTheme="majorHAnsi"/>
          <w:b/>
          <w:sz w:val="20"/>
          <w:szCs w:val="20"/>
          <w:lang w:val="es-ES"/>
        </w:rPr>
      </w:pPr>
    </w:p>
    <w:p w14:paraId="18E6423B" w14:textId="458AECC2" w:rsidR="003239B8" w:rsidRPr="00BF4E8C" w:rsidRDefault="00223A29" w:rsidP="002F5577">
      <w:pPr>
        <w:ind w:firstLine="720"/>
        <w:jc w:val="both"/>
        <w:rPr>
          <w:rFonts w:asciiTheme="majorHAnsi" w:hAnsiTheme="majorHAnsi"/>
          <w:b/>
          <w:sz w:val="20"/>
          <w:szCs w:val="20"/>
          <w:lang w:val="es-ES"/>
        </w:rPr>
      </w:pPr>
      <w:r w:rsidRPr="00BF4E8C">
        <w:rPr>
          <w:rFonts w:asciiTheme="majorHAnsi" w:hAnsiTheme="majorHAnsi"/>
          <w:b/>
          <w:sz w:val="20"/>
          <w:szCs w:val="20"/>
          <w:lang w:val="es-ES"/>
        </w:rPr>
        <w:t xml:space="preserve">V. </w:t>
      </w:r>
      <w:r w:rsidRPr="00BF4E8C">
        <w:rPr>
          <w:rFonts w:asciiTheme="majorHAnsi" w:hAnsiTheme="majorHAnsi"/>
          <w:b/>
          <w:sz w:val="20"/>
          <w:szCs w:val="20"/>
          <w:lang w:val="es-ES"/>
        </w:rPr>
        <w:tab/>
      </w:r>
      <w:r w:rsidR="0034224A" w:rsidRPr="00BF4E8C">
        <w:rPr>
          <w:rFonts w:asciiTheme="majorHAnsi" w:hAnsiTheme="majorHAnsi"/>
          <w:b/>
          <w:sz w:val="20"/>
          <w:szCs w:val="20"/>
          <w:lang w:val="es-ES"/>
        </w:rPr>
        <w:t>RESUMEN DE LOS HECHOS ALEGADOS</w:t>
      </w:r>
    </w:p>
    <w:p w14:paraId="1A72D1E6" w14:textId="77777777" w:rsidR="002F5577" w:rsidRPr="002F5577" w:rsidRDefault="002F5577" w:rsidP="002F5577">
      <w:pPr>
        <w:suppressAutoHyphens/>
        <w:jc w:val="both"/>
        <w:rPr>
          <w:rFonts w:asciiTheme="majorHAnsi" w:hAnsiTheme="majorHAnsi"/>
          <w:b/>
          <w:bCs/>
          <w:sz w:val="20"/>
          <w:szCs w:val="20"/>
          <w:lang w:val="es-ES"/>
        </w:rPr>
      </w:pPr>
    </w:p>
    <w:p w14:paraId="1301ADDD" w14:textId="6DF63C43" w:rsidR="00C64FB2" w:rsidRPr="00C05700" w:rsidRDefault="00C05700" w:rsidP="002F5577">
      <w:pPr>
        <w:numPr>
          <w:ilvl w:val="0"/>
          <w:numId w:val="55"/>
        </w:numPr>
        <w:suppressAutoHyphens/>
        <w:jc w:val="both"/>
        <w:rPr>
          <w:rFonts w:asciiTheme="majorHAnsi" w:hAnsiTheme="majorHAnsi"/>
          <w:b/>
          <w:bCs/>
          <w:sz w:val="20"/>
          <w:szCs w:val="20"/>
          <w:lang w:val="es-ES"/>
        </w:rPr>
      </w:pPr>
      <w:r>
        <w:rPr>
          <w:rFonts w:ascii="Cambria" w:hAnsi="Cambria"/>
          <w:sz w:val="20"/>
          <w:szCs w:val="20"/>
          <w:lang w:val="es-ES"/>
        </w:rPr>
        <w:t xml:space="preserve">D.G.A (en adelante “la parte peticionaria”) denuncia </w:t>
      </w:r>
      <w:r w:rsidR="002F5577">
        <w:rPr>
          <w:rFonts w:ascii="Cambria" w:hAnsi="Cambria"/>
          <w:sz w:val="20"/>
          <w:szCs w:val="20"/>
          <w:lang w:val="es-ES"/>
        </w:rPr>
        <w:t xml:space="preserve">que </w:t>
      </w:r>
      <w:r>
        <w:rPr>
          <w:rFonts w:ascii="Cambria" w:hAnsi="Cambria"/>
          <w:sz w:val="20"/>
          <w:szCs w:val="20"/>
          <w:lang w:val="es-ES"/>
        </w:rPr>
        <w:t xml:space="preserve">Gabriel Gómez Jaramillo (“la presunta víctima”) ha sido privado del goce de los bienes con los cuales desarrollaba su trabajo mediante un proceso de extinción de dominio en el que no se han respetado las garantías del debido proceso ni el plazo razonable. </w:t>
      </w:r>
    </w:p>
    <w:p w14:paraId="760DD9A8" w14:textId="77777777" w:rsidR="002F5577" w:rsidRPr="002F5577" w:rsidRDefault="002F5577" w:rsidP="002F5577">
      <w:pPr>
        <w:suppressAutoHyphens/>
        <w:jc w:val="both"/>
        <w:rPr>
          <w:rFonts w:asciiTheme="majorHAnsi" w:hAnsiTheme="majorHAnsi"/>
          <w:b/>
          <w:bCs/>
          <w:sz w:val="20"/>
          <w:szCs w:val="20"/>
          <w:lang w:val="es-ES"/>
        </w:rPr>
      </w:pPr>
    </w:p>
    <w:p w14:paraId="2C7C4ED5" w14:textId="28B007A9" w:rsidR="00870F5A" w:rsidRPr="002F5577" w:rsidRDefault="001E27D8"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PA"/>
        </w:rPr>
        <w:t>La parte</w:t>
      </w:r>
      <w:r w:rsidR="008B5F1D">
        <w:rPr>
          <w:rFonts w:asciiTheme="majorHAnsi" w:hAnsiTheme="majorHAnsi"/>
          <w:sz w:val="20"/>
          <w:szCs w:val="20"/>
          <w:lang w:val="es-PA"/>
        </w:rPr>
        <w:t xml:space="preserve"> peticionari</w:t>
      </w:r>
      <w:r>
        <w:rPr>
          <w:rFonts w:asciiTheme="majorHAnsi" w:hAnsiTheme="majorHAnsi"/>
          <w:sz w:val="20"/>
          <w:szCs w:val="20"/>
          <w:lang w:val="es-PA"/>
        </w:rPr>
        <w:t>a</w:t>
      </w:r>
      <w:r w:rsidR="008B5F1D">
        <w:rPr>
          <w:rFonts w:asciiTheme="majorHAnsi" w:hAnsiTheme="majorHAnsi"/>
          <w:sz w:val="20"/>
          <w:szCs w:val="20"/>
          <w:lang w:val="es-PA"/>
        </w:rPr>
        <w:t xml:space="preserve"> </w:t>
      </w:r>
      <w:r w:rsidR="002F5577">
        <w:rPr>
          <w:rFonts w:asciiTheme="majorHAnsi" w:hAnsiTheme="majorHAnsi"/>
          <w:sz w:val="20"/>
          <w:szCs w:val="20"/>
          <w:lang w:val="es-PA"/>
        </w:rPr>
        <w:t xml:space="preserve">sostiene </w:t>
      </w:r>
      <w:r w:rsidR="008B5F1D">
        <w:rPr>
          <w:rFonts w:asciiTheme="majorHAnsi" w:hAnsiTheme="majorHAnsi"/>
          <w:sz w:val="20"/>
          <w:szCs w:val="20"/>
          <w:lang w:val="es-PA"/>
        </w:rPr>
        <w:t>que en marzo de 2004 la Fiscalía 21 Especializada de Bogotá vinculó a la presunta víctima en un proceso de extinción de dominio</w:t>
      </w:r>
      <w:r w:rsidR="002F5577">
        <w:rPr>
          <w:rFonts w:asciiTheme="majorHAnsi" w:hAnsiTheme="majorHAnsi"/>
          <w:sz w:val="20"/>
          <w:szCs w:val="20"/>
          <w:lang w:val="es-PA"/>
        </w:rPr>
        <w:t>, cuyo</w:t>
      </w:r>
      <w:r w:rsidR="008B5F1D">
        <w:rPr>
          <w:rFonts w:asciiTheme="majorHAnsi" w:hAnsiTheme="majorHAnsi"/>
          <w:sz w:val="20"/>
          <w:szCs w:val="20"/>
          <w:lang w:val="es-PA"/>
        </w:rPr>
        <w:t xml:space="preserve"> único fundamento </w:t>
      </w:r>
      <w:r w:rsidR="002F5577">
        <w:rPr>
          <w:rFonts w:asciiTheme="majorHAnsi" w:hAnsiTheme="majorHAnsi"/>
          <w:sz w:val="20"/>
          <w:szCs w:val="20"/>
          <w:lang w:val="es-PA"/>
        </w:rPr>
        <w:t>ser</w:t>
      </w:r>
      <w:r w:rsidR="002F5577">
        <w:rPr>
          <w:rFonts w:asciiTheme="majorHAnsi" w:hAnsiTheme="majorHAnsi"/>
          <w:sz w:val="20"/>
          <w:szCs w:val="20"/>
          <w:lang w:val="es-ES"/>
        </w:rPr>
        <w:t xml:space="preserve">ía </w:t>
      </w:r>
      <w:r w:rsidR="008B5F1D">
        <w:rPr>
          <w:rFonts w:asciiTheme="majorHAnsi" w:hAnsiTheme="majorHAnsi"/>
          <w:sz w:val="20"/>
          <w:szCs w:val="20"/>
          <w:lang w:val="es-PA"/>
        </w:rPr>
        <w:t xml:space="preserve">la supuesta pertenencia de </w:t>
      </w:r>
      <w:r w:rsidR="002F5577">
        <w:rPr>
          <w:rFonts w:asciiTheme="majorHAnsi" w:hAnsiTheme="majorHAnsi"/>
          <w:sz w:val="20"/>
          <w:szCs w:val="20"/>
          <w:lang w:val="es-PA"/>
        </w:rPr>
        <w:t xml:space="preserve">aquel </w:t>
      </w:r>
      <w:r w:rsidR="008B5F1D">
        <w:rPr>
          <w:rFonts w:asciiTheme="majorHAnsi" w:hAnsiTheme="majorHAnsi"/>
          <w:sz w:val="20"/>
          <w:szCs w:val="20"/>
          <w:lang w:val="es-PA"/>
        </w:rPr>
        <w:t xml:space="preserve">al núcleo familiar de una persona que se encuentra </w:t>
      </w:r>
      <w:r w:rsidR="002F5577">
        <w:rPr>
          <w:rFonts w:asciiTheme="majorHAnsi" w:hAnsiTheme="majorHAnsi"/>
          <w:sz w:val="20"/>
          <w:szCs w:val="20"/>
          <w:lang w:val="es-PA"/>
        </w:rPr>
        <w:t xml:space="preserve">cumpliendo </w:t>
      </w:r>
      <w:r w:rsidR="008B5F1D">
        <w:rPr>
          <w:rFonts w:asciiTheme="majorHAnsi" w:hAnsiTheme="majorHAnsi"/>
          <w:sz w:val="20"/>
          <w:szCs w:val="20"/>
          <w:lang w:val="es-PA"/>
        </w:rPr>
        <w:t>una condena en una cárcel de Estados Unidos</w:t>
      </w:r>
      <w:r w:rsidR="0054307F">
        <w:rPr>
          <w:rFonts w:asciiTheme="majorHAnsi" w:hAnsiTheme="majorHAnsi"/>
          <w:sz w:val="20"/>
          <w:szCs w:val="20"/>
          <w:lang w:val="es-PA"/>
        </w:rPr>
        <w:t xml:space="preserve"> (en adelante “la persona condenada”)</w:t>
      </w:r>
      <w:r w:rsidR="008B5F1D">
        <w:rPr>
          <w:rFonts w:asciiTheme="majorHAnsi" w:hAnsiTheme="majorHAnsi"/>
          <w:sz w:val="20"/>
          <w:szCs w:val="20"/>
          <w:lang w:val="es-PA"/>
        </w:rPr>
        <w:t xml:space="preserve">. </w:t>
      </w:r>
      <w:r>
        <w:rPr>
          <w:rFonts w:asciiTheme="majorHAnsi" w:hAnsiTheme="majorHAnsi"/>
          <w:sz w:val="20"/>
          <w:szCs w:val="20"/>
          <w:lang w:val="es-PA"/>
        </w:rPr>
        <w:t xml:space="preserve">Alega asimismo </w:t>
      </w:r>
      <w:r w:rsidR="008B5F1D">
        <w:rPr>
          <w:rFonts w:asciiTheme="majorHAnsi" w:hAnsiTheme="majorHAnsi"/>
          <w:sz w:val="20"/>
          <w:szCs w:val="20"/>
          <w:lang w:val="es-PA"/>
        </w:rPr>
        <w:t xml:space="preserve">que la presunta víctima no tiene vínculo sanguíneo con la </w:t>
      </w:r>
      <w:r w:rsidR="0054307F">
        <w:rPr>
          <w:rFonts w:asciiTheme="majorHAnsi" w:hAnsiTheme="majorHAnsi"/>
          <w:sz w:val="20"/>
          <w:szCs w:val="20"/>
          <w:lang w:val="es-PA"/>
        </w:rPr>
        <w:t>persona condenada</w:t>
      </w:r>
      <w:r w:rsidR="002F5577">
        <w:rPr>
          <w:rFonts w:asciiTheme="majorHAnsi" w:hAnsiTheme="majorHAnsi"/>
          <w:sz w:val="20"/>
          <w:szCs w:val="20"/>
          <w:lang w:val="es-PA"/>
        </w:rPr>
        <w:t>;</w:t>
      </w:r>
      <w:r w:rsidR="008B5F1D">
        <w:rPr>
          <w:rFonts w:asciiTheme="majorHAnsi" w:hAnsiTheme="majorHAnsi"/>
          <w:sz w:val="20"/>
          <w:szCs w:val="20"/>
          <w:lang w:val="es-PA"/>
        </w:rPr>
        <w:t xml:space="preserve"> </w:t>
      </w:r>
      <w:r w:rsidR="002F5577">
        <w:rPr>
          <w:rFonts w:asciiTheme="majorHAnsi" w:hAnsiTheme="majorHAnsi"/>
          <w:sz w:val="20"/>
          <w:szCs w:val="20"/>
          <w:lang w:val="es-PA"/>
        </w:rPr>
        <w:t xml:space="preserve">que nunca tuvieron relación social ni de negocios; y que es </w:t>
      </w:r>
      <w:r w:rsidR="008B5F1D">
        <w:rPr>
          <w:rFonts w:asciiTheme="majorHAnsi" w:hAnsiTheme="majorHAnsi"/>
          <w:sz w:val="20"/>
          <w:szCs w:val="20"/>
          <w:lang w:val="es-PA"/>
        </w:rPr>
        <w:t xml:space="preserve">solo </w:t>
      </w:r>
      <w:r w:rsidR="0054307F">
        <w:rPr>
          <w:rFonts w:asciiTheme="majorHAnsi" w:hAnsiTheme="majorHAnsi"/>
          <w:sz w:val="20"/>
          <w:szCs w:val="20"/>
          <w:lang w:val="es-PA"/>
        </w:rPr>
        <w:t>una coincidencia</w:t>
      </w:r>
      <w:r w:rsidR="008B5F1D">
        <w:rPr>
          <w:rFonts w:asciiTheme="majorHAnsi" w:hAnsiTheme="majorHAnsi"/>
          <w:sz w:val="20"/>
          <w:szCs w:val="20"/>
          <w:lang w:val="es-PA"/>
        </w:rPr>
        <w:t xml:space="preserve"> que compartan el mismo apellido. También explica que la única relación entre las dos personas es que </w:t>
      </w:r>
      <w:r w:rsidR="0054307F">
        <w:rPr>
          <w:rFonts w:asciiTheme="majorHAnsi" w:hAnsiTheme="majorHAnsi"/>
          <w:sz w:val="20"/>
          <w:szCs w:val="20"/>
          <w:lang w:val="es-PA"/>
        </w:rPr>
        <w:t xml:space="preserve">una hermana de la presunta víctima estuvo </w:t>
      </w:r>
      <w:r w:rsidR="002F5577">
        <w:rPr>
          <w:rFonts w:asciiTheme="majorHAnsi" w:hAnsiTheme="majorHAnsi"/>
          <w:sz w:val="20"/>
          <w:szCs w:val="20"/>
          <w:lang w:val="es-PA"/>
        </w:rPr>
        <w:t xml:space="preserve">anteriormente </w:t>
      </w:r>
      <w:r w:rsidR="0054307F">
        <w:rPr>
          <w:rFonts w:asciiTheme="majorHAnsi" w:hAnsiTheme="majorHAnsi"/>
          <w:sz w:val="20"/>
          <w:szCs w:val="20"/>
          <w:lang w:val="es-PA"/>
        </w:rPr>
        <w:t>casada con la persona condenada.</w:t>
      </w:r>
    </w:p>
    <w:p w14:paraId="70E8D0D3" w14:textId="393E0ADF" w:rsidR="00C05700" w:rsidRPr="002F5577" w:rsidRDefault="002F5577"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lastRenderedPageBreak/>
        <w:t xml:space="preserve">Conforme al peticionario, </w:t>
      </w:r>
      <w:r w:rsidR="00870F5A">
        <w:rPr>
          <w:rFonts w:asciiTheme="majorHAnsi" w:hAnsiTheme="majorHAnsi"/>
          <w:sz w:val="20"/>
          <w:szCs w:val="20"/>
          <w:lang w:val="es-PA"/>
        </w:rPr>
        <w:t xml:space="preserve">la vinculación de la presunta víctima al proceso de extinción de dominio </w:t>
      </w:r>
      <w:r>
        <w:rPr>
          <w:rFonts w:asciiTheme="majorHAnsi" w:hAnsiTheme="majorHAnsi"/>
          <w:sz w:val="20"/>
          <w:szCs w:val="20"/>
          <w:lang w:val="es-PA"/>
        </w:rPr>
        <w:t>fue</w:t>
      </w:r>
      <w:r w:rsidR="00870F5A">
        <w:rPr>
          <w:rFonts w:asciiTheme="majorHAnsi" w:hAnsiTheme="majorHAnsi"/>
          <w:sz w:val="20"/>
          <w:szCs w:val="20"/>
          <w:lang w:val="es-PA"/>
        </w:rPr>
        <w:t xml:space="preserve"> </w:t>
      </w:r>
      <w:r w:rsidR="001A0D96">
        <w:rPr>
          <w:rFonts w:asciiTheme="majorHAnsi" w:hAnsiTheme="majorHAnsi"/>
          <w:sz w:val="20"/>
          <w:szCs w:val="20"/>
          <w:lang w:val="es-PA"/>
        </w:rPr>
        <w:t xml:space="preserve">una </w:t>
      </w:r>
      <w:r w:rsidR="00870F5A">
        <w:rPr>
          <w:rFonts w:asciiTheme="majorHAnsi" w:hAnsiTheme="majorHAnsi"/>
          <w:sz w:val="20"/>
          <w:szCs w:val="20"/>
          <w:lang w:val="es-PA"/>
        </w:rPr>
        <w:t>decisión “caprichosa y arbitraria”</w:t>
      </w:r>
      <w:r>
        <w:rPr>
          <w:rFonts w:asciiTheme="majorHAnsi" w:hAnsiTheme="majorHAnsi"/>
          <w:sz w:val="20"/>
          <w:szCs w:val="20"/>
          <w:lang w:val="es-PA"/>
        </w:rPr>
        <w:t>;</w:t>
      </w:r>
      <w:r w:rsidR="00870F5A">
        <w:rPr>
          <w:rFonts w:asciiTheme="majorHAnsi" w:hAnsiTheme="majorHAnsi"/>
          <w:sz w:val="20"/>
          <w:szCs w:val="20"/>
          <w:lang w:val="es-PA"/>
        </w:rPr>
        <w:t xml:space="preserve"> </w:t>
      </w:r>
      <w:r>
        <w:rPr>
          <w:rFonts w:asciiTheme="majorHAnsi" w:hAnsiTheme="majorHAnsi"/>
          <w:sz w:val="20"/>
          <w:szCs w:val="20"/>
          <w:lang w:val="es-PA"/>
        </w:rPr>
        <w:t xml:space="preserve">y además nunca </w:t>
      </w:r>
      <w:r w:rsidR="001A0D96">
        <w:rPr>
          <w:rFonts w:asciiTheme="majorHAnsi" w:hAnsiTheme="majorHAnsi"/>
          <w:sz w:val="20"/>
          <w:szCs w:val="20"/>
          <w:lang w:val="es-PA"/>
        </w:rPr>
        <w:t xml:space="preserve">se le </w:t>
      </w:r>
      <w:r w:rsidR="00870F5A">
        <w:rPr>
          <w:rFonts w:asciiTheme="majorHAnsi" w:hAnsiTheme="majorHAnsi"/>
          <w:sz w:val="20"/>
          <w:szCs w:val="20"/>
          <w:lang w:val="es-PA"/>
        </w:rPr>
        <w:t>notific</w:t>
      </w:r>
      <w:r w:rsidR="001A0D96">
        <w:rPr>
          <w:rFonts w:asciiTheme="majorHAnsi" w:hAnsiTheme="majorHAnsi"/>
          <w:sz w:val="20"/>
          <w:szCs w:val="20"/>
          <w:lang w:val="es-PA"/>
        </w:rPr>
        <w:t>ó</w:t>
      </w:r>
      <w:r w:rsidR="00870F5A">
        <w:rPr>
          <w:rFonts w:asciiTheme="majorHAnsi" w:hAnsiTheme="majorHAnsi"/>
          <w:sz w:val="20"/>
          <w:szCs w:val="20"/>
          <w:lang w:val="es-PA"/>
        </w:rPr>
        <w:t xml:space="preserve"> que la fiscalía h</w:t>
      </w:r>
      <w:r>
        <w:rPr>
          <w:rFonts w:asciiTheme="majorHAnsi" w:hAnsiTheme="majorHAnsi"/>
          <w:sz w:val="20"/>
          <w:szCs w:val="20"/>
          <w:lang w:val="es-PA"/>
        </w:rPr>
        <w:t>ubiera</w:t>
      </w:r>
      <w:r w:rsidR="00870F5A">
        <w:rPr>
          <w:rFonts w:asciiTheme="majorHAnsi" w:hAnsiTheme="majorHAnsi"/>
          <w:sz w:val="20"/>
          <w:szCs w:val="20"/>
          <w:lang w:val="es-PA"/>
        </w:rPr>
        <w:t xml:space="preserve"> realizado una investigación preliminar que llevara a la conclusión de que</w:t>
      </w:r>
      <w:r w:rsidR="007A4279">
        <w:rPr>
          <w:rFonts w:asciiTheme="majorHAnsi" w:hAnsiTheme="majorHAnsi"/>
          <w:sz w:val="20"/>
          <w:szCs w:val="20"/>
          <w:lang w:val="es-PA"/>
        </w:rPr>
        <w:t xml:space="preserve"> </w:t>
      </w:r>
      <w:r>
        <w:rPr>
          <w:rFonts w:asciiTheme="majorHAnsi" w:hAnsiTheme="majorHAnsi"/>
          <w:sz w:val="20"/>
          <w:szCs w:val="20"/>
          <w:lang w:val="es-PA"/>
        </w:rPr>
        <w:t xml:space="preserve">los </w:t>
      </w:r>
      <w:r w:rsidR="007A4279">
        <w:rPr>
          <w:rFonts w:asciiTheme="majorHAnsi" w:hAnsiTheme="majorHAnsi"/>
          <w:sz w:val="20"/>
          <w:szCs w:val="20"/>
          <w:lang w:val="es-PA"/>
        </w:rPr>
        <w:t xml:space="preserve">bienes </w:t>
      </w:r>
      <w:r>
        <w:rPr>
          <w:rFonts w:asciiTheme="majorHAnsi" w:hAnsiTheme="majorHAnsi"/>
          <w:sz w:val="20"/>
          <w:szCs w:val="20"/>
          <w:lang w:val="es-PA"/>
        </w:rPr>
        <w:t xml:space="preserve">de aquella </w:t>
      </w:r>
      <w:r w:rsidR="007A4279">
        <w:rPr>
          <w:rFonts w:asciiTheme="majorHAnsi" w:hAnsiTheme="majorHAnsi"/>
          <w:sz w:val="20"/>
          <w:szCs w:val="20"/>
          <w:lang w:val="es-PA"/>
        </w:rPr>
        <w:t>fueran de origen ilícito. También alega que la realización de una investigación preliminar era un requisito previsto en las leyes sobre extinción de dominio</w:t>
      </w:r>
      <w:r w:rsidR="00F42E12">
        <w:rPr>
          <w:rFonts w:asciiTheme="majorHAnsi" w:hAnsiTheme="majorHAnsi"/>
          <w:sz w:val="20"/>
          <w:szCs w:val="20"/>
          <w:lang w:val="es-PA"/>
        </w:rPr>
        <w:t>;</w:t>
      </w:r>
      <w:r w:rsidR="007A4279">
        <w:rPr>
          <w:rFonts w:asciiTheme="majorHAnsi" w:hAnsiTheme="majorHAnsi"/>
          <w:sz w:val="20"/>
          <w:szCs w:val="20"/>
          <w:lang w:val="es-PA"/>
        </w:rPr>
        <w:t xml:space="preserve"> y que vincular a una persona a un proceso con único fundamento en vínculos familiares con</w:t>
      </w:r>
      <w:r w:rsidR="00797C93">
        <w:rPr>
          <w:rFonts w:asciiTheme="majorHAnsi" w:hAnsiTheme="majorHAnsi"/>
          <w:sz w:val="20"/>
          <w:szCs w:val="20"/>
          <w:lang w:val="es-PA"/>
        </w:rPr>
        <w:t>figura un trato discriminatorio incompatible con el ordenamiento jurídico</w:t>
      </w:r>
      <w:r w:rsidR="007A4279">
        <w:rPr>
          <w:rFonts w:asciiTheme="majorHAnsi" w:hAnsiTheme="majorHAnsi"/>
          <w:sz w:val="20"/>
          <w:szCs w:val="20"/>
          <w:lang w:val="es-PA"/>
        </w:rPr>
        <w:t xml:space="preserve">. Por estas razones, el peticionario califica la vinculación de la presunta víctima </w:t>
      </w:r>
      <w:r w:rsidR="00F42E12">
        <w:rPr>
          <w:rFonts w:asciiTheme="majorHAnsi" w:hAnsiTheme="majorHAnsi"/>
          <w:sz w:val="20"/>
          <w:szCs w:val="20"/>
          <w:lang w:val="es-PA"/>
        </w:rPr>
        <w:t xml:space="preserve">al proceso </w:t>
      </w:r>
      <w:r w:rsidR="007A4279">
        <w:rPr>
          <w:rFonts w:asciiTheme="majorHAnsi" w:hAnsiTheme="majorHAnsi"/>
          <w:sz w:val="20"/>
          <w:szCs w:val="20"/>
          <w:lang w:val="es-PA"/>
        </w:rPr>
        <w:t>como un “falso positivo judicial”.</w:t>
      </w:r>
    </w:p>
    <w:p w14:paraId="2980D6A5" w14:textId="77777777" w:rsidR="002F5577" w:rsidRPr="0054307F" w:rsidRDefault="002F5577" w:rsidP="002F5577">
      <w:pPr>
        <w:suppressAutoHyphens/>
        <w:jc w:val="both"/>
        <w:rPr>
          <w:rFonts w:asciiTheme="majorHAnsi" w:hAnsiTheme="majorHAnsi"/>
          <w:b/>
          <w:bCs/>
          <w:sz w:val="20"/>
          <w:szCs w:val="20"/>
          <w:lang w:val="es-ES"/>
        </w:rPr>
      </w:pPr>
    </w:p>
    <w:p w14:paraId="391A92B9" w14:textId="289EF5A1" w:rsidR="0054307F" w:rsidRPr="001A0D96" w:rsidRDefault="001A0D96"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P</w:t>
      </w:r>
      <w:r w:rsidR="0054307F">
        <w:rPr>
          <w:rFonts w:asciiTheme="majorHAnsi" w:hAnsiTheme="majorHAnsi"/>
          <w:sz w:val="20"/>
          <w:szCs w:val="20"/>
          <w:lang w:val="es-ES"/>
        </w:rPr>
        <w:t xml:space="preserve">aralelamente al proceso de extinción de dominio, </w:t>
      </w:r>
      <w:r w:rsidR="00164D65">
        <w:rPr>
          <w:rFonts w:asciiTheme="majorHAnsi" w:hAnsiTheme="majorHAnsi"/>
          <w:sz w:val="20"/>
          <w:szCs w:val="20"/>
          <w:lang w:val="es-ES"/>
        </w:rPr>
        <w:t xml:space="preserve">la Fiscalía 14 </w:t>
      </w:r>
      <w:r>
        <w:rPr>
          <w:rFonts w:asciiTheme="majorHAnsi" w:hAnsiTheme="majorHAnsi"/>
          <w:sz w:val="20"/>
          <w:szCs w:val="20"/>
          <w:lang w:val="es-ES"/>
        </w:rPr>
        <w:t>E</w:t>
      </w:r>
      <w:r w:rsidR="00164D65">
        <w:rPr>
          <w:rFonts w:asciiTheme="majorHAnsi" w:hAnsiTheme="majorHAnsi"/>
          <w:sz w:val="20"/>
          <w:szCs w:val="20"/>
          <w:lang w:val="es-ES"/>
        </w:rPr>
        <w:t>specializada de Bogotá i</w:t>
      </w:r>
      <w:r w:rsidR="0054307F">
        <w:rPr>
          <w:rFonts w:asciiTheme="majorHAnsi" w:hAnsiTheme="majorHAnsi"/>
          <w:sz w:val="20"/>
          <w:szCs w:val="20"/>
          <w:lang w:val="es-ES"/>
        </w:rPr>
        <w:t xml:space="preserve">nició </w:t>
      </w:r>
      <w:r w:rsidR="00164D65">
        <w:rPr>
          <w:rFonts w:asciiTheme="majorHAnsi" w:hAnsiTheme="majorHAnsi"/>
          <w:sz w:val="20"/>
          <w:szCs w:val="20"/>
          <w:lang w:val="es-ES"/>
        </w:rPr>
        <w:t>una investigación</w:t>
      </w:r>
      <w:r w:rsidR="0054307F">
        <w:rPr>
          <w:rFonts w:asciiTheme="majorHAnsi" w:hAnsiTheme="majorHAnsi"/>
          <w:sz w:val="20"/>
          <w:szCs w:val="20"/>
          <w:lang w:val="es-ES"/>
        </w:rPr>
        <w:t xml:space="preserve"> penal </w:t>
      </w:r>
      <w:r w:rsidR="00F42E12">
        <w:rPr>
          <w:rFonts w:asciiTheme="majorHAnsi" w:hAnsiTheme="majorHAnsi"/>
          <w:sz w:val="20"/>
          <w:szCs w:val="20"/>
          <w:lang w:val="es-ES"/>
        </w:rPr>
        <w:t xml:space="preserve">contra la presunta víctima </w:t>
      </w:r>
      <w:r w:rsidR="0054307F">
        <w:rPr>
          <w:rFonts w:asciiTheme="majorHAnsi" w:hAnsiTheme="majorHAnsi"/>
          <w:sz w:val="20"/>
          <w:szCs w:val="20"/>
          <w:lang w:val="es-ES"/>
        </w:rPr>
        <w:t>por testaferrato</w:t>
      </w:r>
      <w:r w:rsidR="00EF5C81">
        <w:rPr>
          <w:rFonts w:asciiTheme="majorHAnsi" w:hAnsiTheme="majorHAnsi"/>
          <w:sz w:val="20"/>
          <w:szCs w:val="20"/>
          <w:lang w:val="es-ES"/>
        </w:rPr>
        <w:t xml:space="preserve"> </w:t>
      </w:r>
      <w:r w:rsidR="0054307F">
        <w:rPr>
          <w:rFonts w:asciiTheme="majorHAnsi" w:hAnsiTheme="majorHAnsi"/>
          <w:sz w:val="20"/>
          <w:szCs w:val="20"/>
          <w:lang w:val="es-ES"/>
        </w:rPr>
        <w:t>y enriquecimiento ilícito de particulares</w:t>
      </w:r>
      <w:r w:rsidR="00EF5C81">
        <w:rPr>
          <w:rStyle w:val="FootnoteReference"/>
          <w:rFonts w:asciiTheme="majorHAnsi" w:hAnsiTheme="majorHAnsi"/>
          <w:sz w:val="20"/>
          <w:szCs w:val="20"/>
          <w:lang w:val="es-ES"/>
        </w:rPr>
        <w:footnoteReference w:id="6"/>
      </w:r>
      <w:r w:rsidR="00164D65">
        <w:rPr>
          <w:rFonts w:asciiTheme="majorHAnsi" w:hAnsiTheme="majorHAnsi"/>
          <w:sz w:val="20"/>
          <w:szCs w:val="20"/>
          <w:lang w:val="es-ES"/>
        </w:rPr>
        <w:t xml:space="preserve">. El peticionario indica que el 2 de agosto de 2007 esta investigación fue precluida a favor de la presunta víctima luego de que este demostrara que todo su patrimonio tenía origen lícito. </w:t>
      </w:r>
      <w:r w:rsidR="009A5DB4">
        <w:rPr>
          <w:rFonts w:asciiTheme="majorHAnsi" w:hAnsiTheme="majorHAnsi"/>
          <w:sz w:val="20"/>
          <w:szCs w:val="20"/>
          <w:lang w:val="es-ES"/>
        </w:rPr>
        <w:t>Destaca además</w:t>
      </w:r>
      <w:r w:rsidR="00164D65">
        <w:rPr>
          <w:rFonts w:asciiTheme="majorHAnsi" w:hAnsiTheme="majorHAnsi"/>
          <w:sz w:val="20"/>
          <w:szCs w:val="20"/>
          <w:lang w:val="es-ES"/>
        </w:rPr>
        <w:t xml:space="preserve"> que en el ordenamiento colombiano las decisiones de preclusión equivalen a una sentencia </w:t>
      </w:r>
      <w:r w:rsidR="009A5DB4">
        <w:rPr>
          <w:rFonts w:asciiTheme="majorHAnsi" w:hAnsiTheme="majorHAnsi"/>
          <w:sz w:val="20"/>
          <w:szCs w:val="20"/>
          <w:lang w:val="es-ES"/>
        </w:rPr>
        <w:t>absolutoria</w:t>
      </w:r>
      <w:r w:rsidR="001E27D8">
        <w:rPr>
          <w:rFonts w:asciiTheme="majorHAnsi" w:hAnsiTheme="majorHAnsi"/>
          <w:sz w:val="20"/>
          <w:szCs w:val="20"/>
          <w:lang w:val="es-ES"/>
        </w:rPr>
        <w:t>,</w:t>
      </w:r>
      <w:r w:rsidR="009A5DB4">
        <w:rPr>
          <w:rFonts w:asciiTheme="majorHAnsi" w:hAnsiTheme="majorHAnsi"/>
          <w:sz w:val="20"/>
          <w:szCs w:val="20"/>
          <w:lang w:val="es-ES"/>
        </w:rPr>
        <w:t xml:space="preserve"> y que </w:t>
      </w:r>
      <w:r w:rsidR="001E27D8">
        <w:rPr>
          <w:rFonts w:asciiTheme="majorHAnsi" w:hAnsiTheme="majorHAnsi"/>
          <w:sz w:val="20"/>
          <w:szCs w:val="20"/>
          <w:lang w:val="es-ES"/>
        </w:rPr>
        <w:t xml:space="preserve">en el caso de </w:t>
      </w:r>
      <w:r w:rsidR="009A5DB4">
        <w:rPr>
          <w:rFonts w:asciiTheme="majorHAnsi" w:hAnsiTheme="majorHAnsi"/>
          <w:sz w:val="20"/>
          <w:szCs w:val="20"/>
          <w:lang w:val="es-ES"/>
        </w:rPr>
        <w:t xml:space="preserve">la presunta víctima </w:t>
      </w:r>
      <w:r w:rsidR="001E27D8">
        <w:rPr>
          <w:rFonts w:asciiTheme="majorHAnsi" w:hAnsiTheme="majorHAnsi"/>
          <w:sz w:val="20"/>
          <w:szCs w:val="20"/>
          <w:lang w:val="es-ES"/>
        </w:rPr>
        <w:t xml:space="preserve">la decisión </w:t>
      </w:r>
      <w:r w:rsidR="009A5DB4">
        <w:rPr>
          <w:rFonts w:asciiTheme="majorHAnsi" w:hAnsiTheme="majorHAnsi"/>
          <w:sz w:val="20"/>
          <w:szCs w:val="20"/>
          <w:lang w:val="es-ES"/>
        </w:rPr>
        <w:t>ha</w:t>
      </w:r>
      <w:r w:rsidR="001E27D8">
        <w:rPr>
          <w:rFonts w:asciiTheme="majorHAnsi" w:hAnsiTheme="majorHAnsi"/>
          <w:sz w:val="20"/>
          <w:szCs w:val="20"/>
          <w:lang w:val="es-ES"/>
        </w:rPr>
        <w:t xml:space="preserve"> adquirido carácter de</w:t>
      </w:r>
      <w:r w:rsidR="009A5DB4">
        <w:rPr>
          <w:rFonts w:asciiTheme="majorHAnsi" w:hAnsiTheme="majorHAnsi"/>
          <w:sz w:val="20"/>
          <w:szCs w:val="20"/>
          <w:lang w:val="es-ES"/>
        </w:rPr>
        <w:t xml:space="preserve"> cosa juzgada.</w:t>
      </w:r>
    </w:p>
    <w:p w14:paraId="34E70EF0" w14:textId="77777777" w:rsidR="001A0D96" w:rsidRPr="009A5DB4" w:rsidRDefault="001A0D96" w:rsidP="001A0D96">
      <w:pPr>
        <w:suppressAutoHyphens/>
        <w:jc w:val="both"/>
        <w:rPr>
          <w:rFonts w:asciiTheme="majorHAnsi" w:hAnsiTheme="majorHAnsi"/>
          <w:b/>
          <w:bCs/>
          <w:sz w:val="20"/>
          <w:szCs w:val="20"/>
          <w:lang w:val="es-ES"/>
        </w:rPr>
      </w:pPr>
    </w:p>
    <w:p w14:paraId="6C75BE65" w14:textId="51715403" w:rsidR="009A5DB4" w:rsidRPr="001A0D96" w:rsidRDefault="00870F5A"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 xml:space="preserve">La </w:t>
      </w:r>
      <w:r w:rsidR="001E27D8">
        <w:rPr>
          <w:rFonts w:asciiTheme="majorHAnsi" w:hAnsiTheme="majorHAnsi"/>
          <w:sz w:val="20"/>
          <w:szCs w:val="20"/>
          <w:lang w:val="es-ES"/>
        </w:rPr>
        <w:t xml:space="preserve">parte </w:t>
      </w:r>
      <w:r>
        <w:rPr>
          <w:rFonts w:asciiTheme="majorHAnsi" w:hAnsiTheme="majorHAnsi"/>
          <w:sz w:val="20"/>
          <w:szCs w:val="20"/>
          <w:lang w:val="es-ES"/>
        </w:rPr>
        <w:t>petici</w:t>
      </w:r>
      <w:r w:rsidR="001E27D8">
        <w:rPr>
          <w:rFonts w:asciiTheme="majorHAnsi" w:hAnsiTheme="majorHAnsi"/>
          <w:sz w:val="20"/>
          <w:szCs w:val="20"/>
          <w:lang w:val="es-ES"/>
        </w:rPr>
        <w:t>onaria</w:t>
      </w:r>
      <w:r>
        <w:rPr>
          <w:rFonts w:asciiTheme="majorHAnsi" w:hAnsiTheme="majorHAnsi"/>
          <w:sz w:val="20"/>
          <w:szCs w:val="20"/>
          <w:lang w:val="es-ES"/>
        </w:rPr>
        <w:t xml:space="preserve"> denuncia que, pese a haber sido absuelt</w:t>
      </w:r>
      <w:r w:rsidR="001E27D8">
        <w:rPr>
          <w:rFonts w:asciiTheme="majorHAnsi" w:hAnsiTheme="majorHAnsi"/>
          <w:sz w:val="20"/>
          <w:szCs w:val="20"/>
          <w:lang w:val="es-ES"/>
        </w:rPr>
        <w:t>a</w:t>
      </w:r>
      <w:r>
        <w:rPr>
          <w:rFonts w:asciiTheme="majorHAnsi" w:hAnsiTheme="majorHAnsi"/>
          <w:sz w:val="20"/>
          <w:szCs w:val="20"/>
          <w:lang w:val="es-ES"/>
        </w:rPr>
        <w:t xml:space="preserve"> definitivamente de testaferrato y enriquecimiento ilícito, la presunta víctima ha </w:t>
      </w:r>
      <w:r w:rsidR="00792191">
        <w:rPr>
          <w:rFonts w:asciiTheme="majorHAnsi" w:hAnsiTheme="majorHAnsi"/>
          <w:sz w:val="20"/>
          <w:szCs w:val="20"/>
          <w:lang w:val="es-ES"/>
        </w:rPr>
        <w:t xml:space="preserve">seguido </w:t>
      </w:r>
      <w:r>
        <w:rPr>
          <w:rFonts w:asciiTheme="majorHAnsi" w:hAnsiTheme="majorHAnsi"/>
          <w:sz w:val="20"/>
          <w:szCs w:val="20"/>
          <w:lang w:val="es-ES"/>
        </w:rPr>
        <w:t>sometid</w:t>
      </w:r>
      <w:r w:rsidR="00792191">
        <w:rPr>
          <w:rFonts w:asciiTheme="majorHAnsi" w:hAnsiTheme="majorHAnsi"/>
          <w:sz w:val="20"/>
          <w:szCs w:val="20"/>
          <w:lang w:val="es-ES"/>
        </w:rPr>
        <w:t>a</w:t>
      </w:r>
      <w:r>
        <w:rPr>
          <w:rFonts w:asciiTheme="majorHAnsi" w:hAnsiTheme="majorHAnsi"/>
          <w:sz w:val="20"/>
          <w:szCs w:val="20"/>
          <w:lang w:val="es-ES"/>
        </w:rPr>
        <w:t xml:space="preserve"> al proceso de extinción de domini</w:t>
      </w:r>
      <w:r w:rsidR="00797C93">
        <w:rPr>
          <w:rFonts w:asciiTheme="majorHAnsi" w:hAnsiTheme="majorHAnsi"/>
          <w:sz w:val="20"/>
          <w:szCs w:val="20"/>
          <w:lang w:val="es-ES"/>
        </w:rPr>
        <w:t>o; dentro del cual se han dictado medidas cautelares sobre 19 de sus bienes</w:t>
      </w:r>
      <w:r w:rsidR="00792191">
        <w:rPr>
          <w:rStyle w:val="FootnoteReference"/>
          <w:rFonts w:asciiTheme="majorHAnsi" w:hAnsiTheme="majorHAnsi"/>
          <w:sz w:val="20"/>
          <w:szCs w:val="20"/>
          <w:lang w:val="es-ES"/>
        </w:rPr>
        <w:footnoteReference w:id="7"/>
      </w:r>
      <w:r w:rsidR="00C86693">
        <w:rPr>
          <w:rFonts w:asciiTheme="majorHAnsi" w:hAnsiTheme="majorHAnsi"/>
          <w:sz w:val="20"/>
          <w:szCs w:val="20"/>
          <w:lang w:val="es-ES"/>
        </w:rPr>
        <w:t xml:space="preserve">. </w:t>
      </w:r>
      <w:r w:rsidR="00792191">
        <w:rPr>
          <w:rFonts w:asciiTheme="majorHAnsi" w:hAnsiTheme="majorHAnsi"/>
          <w:sz w:val="20"/>
          <w:szCs w:val="20"/>
          <w:lang w:val="es-ES"/>
        </w:rPr>
        <w:t>E</w:t>
      </w:r>
      <w:r w:rsidR="00B85DA5">
        <w:rPr>
          <w:rFonts w:asciiTheme="majorHAnsi" w:hAnsiTheme="majorHAnsi"/>
          <w:sz w:val="20"/>
          <w:szCs w:val="20"/>
          <w:lang w:val="es-ES"/>
        </w:rPr>
        <w:t xml:space="preserve">stos bienes habrían permanecido gravados aún luego de que su origen lícito quedara corroborado por informes periciales del Cuerpo Técnico de Investigaciones (CTI) y del Departamento Administrativo de Seguridad (DAS).  </w:t>
      </w:r>
      <w:r w:rsidR="00792191">
        <w:rPr>
          <w:rFonts w:asciiTheme="majorHAnsi" w:hAnsiTheme="majorHAnsi"/>
          <w:sz w:val="20"/>
          <w:szCs w:val="20"/>
          <w:lang w:val="es-ES"/>
        </w:rPr>
        <w:t>Además,</w:t>
      </w:r>
      <w:r w:rsidR="00B85DA5">
        <w:rPr>
          <w:rFonts w:asciiTheme="majorHAnsi" w:hAnsiTheme="majorHAnsi"/>
          <w:sz w:val="20"/>
          <w:szCs w:val="20"/>
          <w:lang w:val="es-ES"/>
        </w:rPr>
        <w:t xml:space="preserve"> </w:t>
      </w:r>
      <w:r w:rsidR="00792191">
        <w:rPr>
          <w:rFonts w:asciiTheme="majorHAnsi" w:hAnsiTheme="majorHAnsi"/>
          <w:sz w:val="20"/>
          <w:szCs w:val="20"/>
          <w:lang w:val="es-ES"/>
        </w:rPr>
        <w:t xml:space="preserve">la parte peticionaria </w:t>
      </w:r>
      <w:r w:rsidR="00B85DA5">
        <w:rPr>
          <w:rFonts w:asciiTheme="majorHAnsi" w:hAnsiTheme="majorHAnsi"/>
          <w:sz w:val="20"/>
          <w:szCs w:val="20"/>
          <w:lang w:val="es-ES"/>
        </w:rPr>
        <w:t xml:space="preserve">indica que los bienes eran utilizados por la presunta víctima para desarrollar su actividad profesional como ingeniero civil y urbanizador, por lo que su vida profesional y comercial se ha visto seriamente afectada por las medidas. </w:t>
      </w:r>
      <w:r w:rsidR="000D3AA7">
        <w:rPr>
          <w:rFonts w:asciiTheme="majorHAnsi" w:hAnsiTheme="majorHAnsi"/>
          <w:sz w:val="20"/>
          <w:szCs w:val="20"/>
          <w:lang w:val="es-ES"/>
        </w:rPr>
        <w:t xml:space="preserve">En </w:t>
      </w:r>
      <w:r w:rsidR="00792191">
        <w:rPr>
          <w:rFonts w:asciiTheme="majorHAnsi" w:hAnsiTheme="majorHAnsi"/>
          <w:sz w:val="20"/>
          <w:szCs w:val="20"/>
          <w:lang w:val="es-ES"/>
        </w:rPr>
        <w:t>la</w:t>
      </w:r>
      <w:r w:rsidR="000D3AA7">
        <w:rPr>
          <w:rFonts w:asciiTheme="majorHAnsi" w:hAnsiTheme="majorHAnsi"/>
          <w:sz w:val="20"/>
          <w:szCs w:val="20"/>
          <w:lang w:val="es-ES"/>
        </w:rPr>
        <w:t xml:space="preserve"> comunicación de 7 de enero de 2015</w:t>
      </w:r>
      <w:r w:rsidR="00792191">
        <w:rPr>
          <w:rFonts w:asciiTheme="majorHAnsi" w:hAnsiTheme="majorHAnsi"/>
          <w:sz w:val="20"/>
          <w:szCs w:val="20"/>
          <w:lang w:val="es-ES"/>
        </w:rPr>
        <w:t xml:space="preserve"> se </w:t>
      </w:r>
      <w:r w:rsidR="000D3AA7">
        <w:rPr>
          <w:rFonts w:asciiTheme="majorHAnsi" w:hAnsiTheme="majorHAnsi"/>
          <w:sz w:val="20"/>
          <w:szCs w:val="20"/>
          <w:lang w:val="es-ES"/>
        </w:rPr>
        <w:t>indic</w:t>
      </w:r>
      <w:r w:rsidR="00792191">
        <w:rPr>
          <w:rFonts w:asciiTheme="majorHAnsi" w:hAnsiTheme="majorHAnsi"/>
          <w:sz w:val="20"/>
          <w:szCs w:val="20"/>
          <w:lang w:val="es-ES"/>
        </w:rPr>
        <w:t>a</w:t>
      </w:r>
      <w:r w:rsidR="000D3AA7">
        <w:rPr>
          <w:rFonts w:asciiTheme="majorHAnsi" w:hAnsiTheme="majorHAnsi"/>
          <w:sz w:val="20"/>
          <w:szCs w:val="20"/>
          <w:lang w:val="es-ES"/>
        </w:rPr>
        <w:t xml:space="preserve"> que la presunta víctima llevaba más de 10 años</w:t>
      </w:r>
      <w:r w:rsidR="00C570C3">
        <w:rPr>
          <w:rFonts w:asciiTheme="majorHAnsi" w:hAnsiTheme="majorHAnsi"/>
          <w:sz w:val="20"/>
          <w:szCs w:val="20"/>
          <w:lang w:val="es-ES"/>
        </w:rPr>
        <w:t xml:space="preserve"> vinculad</w:t>
      </w:r>
      <w:r w:rsidR="00792191">
        <w:rPr>
          <w:rFonts w:asciiTheme="majorHAnsi" w:hAnsiTheme="majorHAnsi"/>
          <w:sz w:val="20"/>
          <w:szCs w:val="20"/>
          <w:lang w:val="es-ES"/>
        </w:rPr>
        <w:t>a</w:t>
      </w:r>
      <w:r w:rsidR="00C570C3">
        <w:rPr>
          <w:rFonts w:asciiTheme="majorHAnsi" w:hAnsiTheme="majorHAnsi"/>
          <w:sz w:val="20"/>
          <w:szCs w:val="20"/>
          <w:lang w:val="es-ES"/>
        </w:rPr>
        <w:t xml:space="preserve"> al proceso de extinción de dominio</w:t>
      </w:r>
      <w:r w:rsidR="00792191">
        <w:rPr>
          <w:rFonts w:asciiTheme="majorHAnsi" w:hAnsiTheme="majorHAnsi"/>
          <w:sz w:val="20"/>
          <w:szCs w:val="20"/>
          <w:lang w:val="es-ES"/>
        </w:rPr>
        <w:t>,</w:t>
      </w:r>
      <w:r w:rsidR="00C570C3">
        <w:rPr>
          <w:rFonts w:asciiTheme="majorHAnsi" w:hAnsiTheme="majorHAnsi"/>
          <w:sz w:val="20"/>
          <w:szCs w:val="20"/>
          <w:lang w:val="es-ES"/>
        </w:rPr>
        <w:t xml:space="preserve"> pese a que las normas aplicables </w:t>
      </w:r>
      <w:r w:rsidR="00792191">
        <w:rPr>
          <w:rFonts w:asciiTheme="majorHAnsi" w:hAnsiTheme="majorHAnsi"/>
          <w:sz w:val="20"/>
          <w:szCs w:val="20"/>
          <w:lang w:val="es-ES"/>
        </w:rPr>
        <w:t xml:space="preserve">establecen que </w:t>
      </w:r>
      <w:r w:rsidR="00C570C3">
        <w:rPr>
          <w:rFonts w:asciiTheme="majorHAnsi" w:hAnsiTheme="majorHAnsi"/>
          <w:sz w:val="20"/>
          <w:szCs w:val="20"/>
          <w:lang w:val="es-ES"/>
        </w:rPr>
        <w:t>no debe</w:t>
      </w:r>
      <w:r w:rsidR="00792191">
        <w:rPr>
          <w:rFonts w:asciiTheme="majorHAnsi" w:hAnsiTheme="majorHAnsi"/>
          <w:sz w:val="20"/>
          <w:szCs w:val="20"/>
          <w:lang w:val="es-ES"/>
        </w:rPr>
        <w:t xml:space="preserve"> exceder</w:t>
      </w:r>
      <w:r w:rsidR="00C570C3">
        <w:rPr>
          <w:rFonts w:asciiTheme="majorHAnsi" w:hAnsiTheme="majorHAnsi"/>
          <w:sz w:val="20"/>
          <w:szCs w:val="20"/>
          <w:lang w:val="es-ES"/>
        </w:rPr>
        <w:t xml:space="preserve"> </w:t>
      </w:r>
      <w:r w:rsidR="00792191">
        <w:rPr>
          <w:rFonts w:asciiTheme="majorHAnsi" w:hAnsiTheme="majorHAnsi"/>
          <w:sz w:val="20"/>
          <w:szCs w:val="20"/>
          <w:lang w:val="es-ES"/>
        </w:rPr>
        <w:t>de</w:t>
      </w:r>
      <w:r w:rsidR="00C570C3">
        <w:rPr>
          <w:rFonts w:asciiTheme="majorHAnsi" w:hAnsiTheme="majorHAnsi"/>
          <w:sz w:val="20"/>
          <w:szCs w:val="20"/>
          <w:lang w:val="es-ES"/>
        </w:rPr>
        <w:t xml:space="preserve"> 6 meses. </w:t>
      </w:r>
    </w:p>
    <w:p w14:paraId="370C5D8E" w14:textId="77777777" w:rsidR="001A0D96" w:rsidRPr="00C570C3" w:rsidRDefault="001A0D96" w:rsidP="001A0D96">
      <w:pPr>
        <w:suppressAutoHyphens/>
        <w:jc w:val="both"/>
        <w:rPr>
          <w:rFonts w:asciiTheme="majorHAnsi" w:hAnsiTheme="majorHAnsi"/>
          <w:b/>
          <w:bCs/>
          <w:sz w:val="20"/>
          <w:szCs w:val="20"/>
          <w:lang w:val="es-ES"/>
        </w:rPr>
      </w:pPr>
    </w:p>
    <w:p w14:paraId="431C2679" w14:textId="6EE7A595" w:rsidR="00C570C3" w:rsidRPr="001E27D8" w:rsidRDefault="00792191"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 xml:space="preserve">La </w:t>
      </w:r>
      <w:r w:rsidR="000168E5">
        <w:rPr>
          <w:rFonts w:asciiTheme="majorHAnsi" w:hAnsiTheme="majorHAnsi"/>
          <w:sz w:val="20"/>
          <w:szCs w:val="20"/>
          <w:lang w:val="es-ES"/>
        </w:rPr>
        <w:t xml:space="preserve">presunta víctima presentó múltiples peticiones a la Fiscalía </w:t>
      </w:r>
      <w:r>
        <w:rPr>
          <w:rFonts w:asciiTheme="majorHAnsi" w:hAnsiTheme="majorHAnsi"/>
          <w:sz w:val="20"/>
          <w:szCs w:val="20"/>
          <w:lang w:val="es-ES"/>
        </w:rPr>
        <w:t xml:space="preserve">para </w:t>
      </w:r>
      <w:r w:rsidR="000168E5">
        <w:rPr>
          <w:rFonts w:asciiTheme="majorHAnsi" w:hAnsiTheme="majorHAnsi"/>
          <w:sz w:val="20"/>
          <w:szCs w:val="20"/>
          <w:lang w:val="es-ES"/>
        </w:rPr>
        <w:t xml:space="preserve">que emitiera una decisión. En </w:t>
      </w:r>
      <w:r>
        <w:rPr>
          <w:rFonts w:asciiTheme="majorHAnsi" w:hAnsiTheme="majorHAnsi"/>
          <w:sz w:val="20"/>
          <w:szCs w:val="20"/>
          <w:lang w:val="es-ES"/>
        </w:rPr>
        <w:t xml:space="preserve">la </w:t>
      </w:r>
      <w:r w:rsidR="000168E5">
        <w:rPr>
          <w:rFonts w:asciiTheme="majorHAnsi" w:hAnsiTheme="majorHAnsi"/>
          <w:sz w:val="20"/>
          <w:szCs w:val="20"/>
          <w:lang w:val="es-ES"/>
        </w:rPr>
        <w:t xml:space="preserve">comunicación de 7 de enero de 2015 </w:t>
      </w:r>
      <w:r>
        <w:rPr>
          <w:rFonts w:asciiTheme="majorHAnsi" w:hAnsiTheme="majorHAnsi"/>
          <w:sz w:val="20"/>
          <w:szCs w:val="20"/>
          <w:lang w:val="es-ES"/>
        </w:rPr>
        <w:t xml:space="preserve">se </w:t>
      </w:r>
      <w:r w:rsidR="000168E5">
        <w:rPr>
          <w:rFonts w:asciiTheme="majorHAnsi" w:hAnsiTheme="majorHAnsi"/>
          <w:sz w:val="20"/>
          <w:szCs w:val="20"/>
          <w:lang w:val="es-ES"/>
        </w:rPr>
        <w:t>indic</w:t>
      </w:r>
      <w:r>
        <w:rPr>
          <w:rFonts w:asciiTheme="majorHAnsi" w:hAnsiTheme="majorHAnsi"/>
          <w:sz w:val="20"/>
          <w:szCs w:val="20"/>
          <w:lang w:val="es-ES"/>
        </w:rPr>
        <w:t>a</w:t>
      </w:r>
      <w:r w:rsidR="000168E5">
        <w:rPr>
          <w:rFonts w:asciiTheme="majorHAnsi" w:hAnsiTheme="majorHAnsi"/>
          <w:sz w:val="20"/>
          <w:szCs w:val="20"/>
          <w:lang w:val="es-ES"/>
        </w:rPr>
        <w:t xml:space="preserve"> que la última de esas peticiones, presentada el 7 de octubre de 2014, estaba todavía pendiente de respuesta. </w:t>
      </w:r>
      <w:r>
        <w:rPr>
          <w:rFonts w:asciiTheme="majorHAnsi" w:hAnsiTheme="majorHAnsi"/>
          <w:sz w:val="20"/>
          <w:szCs w:val="20"/>
          <w:lang w:val="es-ES"/>
        </w:rPr>
        <w:t xml:space="preserve">La </w:t>
      </w:r>
      <w:r w:rsidR="000168E5">
        <w:rPr>
          <w:rFonts w:asciiTheme="majorHAnsi" w:hAnsiTheme="majorHAnsi"/>
          <w:sz w:val="20"/>
          <w:szCs w:val="20"/>
          <w:lang w:val="es-ES"/>
        </w:rPr>
        <w:t xml:space="preserve">presunta víctima </w:t>
      </w:r>
      <w:r>
        <w:rPr>
          <w:rFonts w:asciiTheme="majorHAnsi" w:hAnsiTheme="majorHAnsi"/>
          <w:sz w:val="20"/>
          <w:szCs w:val="20"/>
          <w:lang w:val="es-ES"/>
        </w:rPr>
        <w:t xml:space="preserve">también </w:t>
      </w:r>
      <w:r w:rsidR="000168E5">
        <w:rPr>
          <w:rFonts w:asciiTheme="majorHAnsi" w:hAnsiTheme="majorHAnsi"/>
          <w:sz w:val="20"/>
          <w:szCs w:val="20"/>
          <w:lang w:val="es-ES"/>
        </w:rPr>
        <w:t xml:space="preserve">interpuso en marzo de </w:t>
      </w:r>
      <w:r w:rsidR="00C04B3A">
        <w:rPr>
          <w:rFonts w:asciiTheme="majorHAnsi" w:hAnsiTheme="majorHAnsi"/>
          <w:sz w:val="20"/>
          <w:szCs w:val="20"/>
          <w:lang w:val="es-ES"/>
        </w:rPr>
        <w:t xml:space="preserve">2008 una </w:t>
      </w:r>
      <w:r w:rsidR="00DC6483">
        <w:rPr>
          <w:rFonts w:asciiTheme="majorHAnsi" w:hAnsiTheme="majorHAnsi"/>
          <w:sz w:val="20"/>
          <w:szCs w:val="20"/>
          <w:lang w:val="es-ES"/>
        </w:rPr>
        <w:t>acción de tutela contra las dilaciones injustificadas en el proceso de extinción de dominio</w:t>
      </w:r>
      <w:r>
        <w:rPr>
          <w:rFonts w:asciiTheme="majorHAnsi" w:hAnsiTheme="majorHAnsi"/>
          <w:sz w:val="20"/>
          <w:szCs w:val="20"/>
          <w:lang w:val="es-ES"/>
        </w:rPr>
        <w:t>,</w:t>
      </w:r>
      <w:r w:rsidR="00DC6483">
        <w:rPr>
          <w:rFonts w:asciiTheme="majorHAnsi" w:hAnsiTheme="majorHAnsi"/>
          <w:sz w:val="20"/>
          <w:szCs w:val="20"/>
          <w:lang w:val="es-ES"/>
        </w:rPr>
        <w:t xml:space="preserve"> </w:t>
      </w:r>
      <w:r>
        <w:rPr>
          <w:rFonts w:asciiTheme="majorHAnsi" w:hAnsiTheme="majorHAnsi"/>
          <w:sz w:val="20"/>
          <w:szCs w:val="20"/>
          <w:lang w:val="es-ES"/>
        </w:rPr>
        <w:t xml:space="preserve">que </w:t>
      </w:r>
      <w:r w:rsidR="00DC6483">
        <w:rPr>
          <w:rFonts w:asciiTheme="majorHAnsi" w:hAnsiTheme="majorHAnsi"/>
          <w:sz w:val="20"/>
          <w:szCs w:val="20"/>
          <w:lang w:val="es-ES"/>
        </w:rPr>
        <w:t>fue rechazada en primera y segunda instancia</w:t>
      </w:r>
      <w:r>
        <w:rPr>
          <w:rFonts w:asciiTheme="majorHAnsi" w:hAnsiTheme="majorHAnsi"/>
          <w:sz w:val="20"/>
          <w:szCs w:val="20"/>
          <w:lang w:val="es-ES"/>
        </w:rPr>
        <w:t>;</w:t>
      </w:r>
      <w:r w:rsidR="00DC6483">
        <w:rPr>
          <w:rFonts w:asciiTheme="majorHAnsi" w:hAnsiTheme="majorHAnsi"/>
          <w:sz w:val="20"/>
          <w:szCs w:val="20"/>
          <w:lang w:val="es-ES"/>
        </w:rPr>
        <w:t xml:space="preserve"> </w:t>
      </w:r>
      <w:r>
        <w:rPr>
          <w:rFonts w:asciiTheme="majorHAnsi" w:hAnsiTheme="majorHAnsi"/>
          <w:sz w:val="20"/>
          <w:szCs w:val="20"/>
          <w:lang w:val="es-ES"/>
        </w:rPr>
        <w:t xml:space="preserve">igualmente </w:t>
      </w:r>
      <w:r w:rsidR="00DC6483">
        <w:rPr>
          <w:rFonts w:asciiTheme="majorHAnsi" w:hAnsiTheme="majorHAnsi"/>
          <w:sz w:val="20"/>
          <w:szCs w:val="20"/>
          <w:lang w:val="es-ES"/>
        </w:rPr>
        <w:t xml:space="preserve">infructuosas </w:t>
      </w:r>
      <w:r>
        <w:rPr>
          <w:rFonts w:asciiTheme="majorHAnsi" w:hAnsiTheme="majorHAnsi"/>
          <w:sz w:val="20"/>
          <w:szCs w:val="20"/>
          <w:lang w:val="es-ES"/>
        </w:rPr>
        <w:t xml:space="preserve">resultaron </w:t>
      </w:r>
      <w:r w:rsidR="00DC6483">
        <w:rPr>
          <w:rFonts w:asciiTheme="majorHAnsi" w:hAnsiTheme="majorHAnsi"/>
          <w:sz w:val="20"/>
          <w:szCs w:val="20"/>
          <w:lang w:val="es-ES"/>
        </w:rPr>
        <w:t xml:space="preserve">las acciones para procurar que las decisiones de rechazo fueran revisadas por la Corte Constitucional. </w:t>
      </w:r>
      <w:r>
        <w:rPr>
          <w:rFonts w:asciiTheme="majorHAnsi" w:hAnsiTheme="majorHAnsi"/>
          <w:sz w:val="20"/>
          <w:szCs w:val="20"/>
          <w:lang w:val="es-ES"/>
        </w:rPr>
        <w:t>Finalmente, la</w:t>
      </w:r>
      <w:r w:rsidR="00DC6483">
        <w:rPr>
          <w:rFonts w:asciiTheme="majorHAnsi" w:hAnsiTheme="majorHAnsi"/>
          <w:sz w:val="20"/>
          <w:szCs w:val="20"/>
          <w:lang w:val="es-ES"/>
        </w:rPr>
        <w:t xml:space="preserve"> presunta víctima interpuso otra acción de tutela contra la Fiscalía 21 Especializada de Bogotá en la que denunció violaciones </w:t>
      </w:r>
      <w:r>
        <w:rPr>
          <w:rFonts w:asciiTheme="majorHAnsi" w:hAnsiTheme="majorHAnsi"/>
          <w:sz w:val="20"/>
          <w:szCs w:val="20"/>
          <w:lang w:val="es-ES"/>
        </w:rPr>
        <w:t>de</w:t>
      </w:r>
      <w:r w:rsidR="00DC6483">
        <w:rPr>
          <w:rFonts w:asciiTheme="majorHAnsi" w:hAnsiTheme="majorHAnsi"/>
          <w:sz w:val="20"/>
          <w:szCs w:val="20"/>
          <w:lang w:val="es-ES"/>
        </w:rPr>
        <w:t xml:space="preserve"> su derecho a la igualdad, </w:t>
      </w:r>
      <w:r>
        <w:rPr>
          <w:rFonts w:asciiTheme="majorHAnsi" w:hAnsiTheme="majorHAnsi"/>
          <w:sz w:val="20"/>
          <w:szCs w:val="20"/>
          <w:lang w:val="es-ES"/>
        </w:rPr>
        <w:t xml:space="preserve">que fue </w:t>
      </w:r>
      <w:r w:rsidR="00DC6483">
        <w:rPr>
          <w:rFonts w:asciiTheme="majorHAnsi" w:hAnsiTheme="majorHAnsi"/>
          <w:sz w:val="20"/>
          <w:szCs w:val="20"/>
          <w:lang w:val="es-ES"/>
        </w:rPr>
        <w:t xml:space="preserve">declarada improcedente sin pronunciamiento sobre el fondo del asunto. </w:t>
      </w:r>
    </w:p>
    <w:p w14:paraId="4CC25293" w14:textId="77777777" w:rsidR="001E27D8" w:rsidRPr="00DC6483" w:rsidRDefault="001E27D8" w:rsidP="001E27D8">
      <w:pPr>
        <w:suppressAutoHyphens/>
        <w:jc w:val="both"/>
        <w:rPr>
          <w:rFonts w:asciiTheme="majorHAnsi" w:hAnsiTheme="majorHAnsi"/>
          <w:b/>
          <w:bCs/>
          <w:sz w:val="20"/>
          <w:szCs w:val="20"/>
          <w:lang w:val="es-ES"/>
        </w:rPr>
      </w:pPr>
    </w:p>
    <w:p w14:paraId="34873004" w14:textId="7847888A" w:rsidR="00DC6483" w:rsidRPr="007D2720" w:rsidRDefault="007D2720"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El Estado, por su parte, considera que la petición debe ser inadmitida por falta de agotamiento de los recursos internos</w:t>
      </w:r>
      <w:r w:rsidR="0062178F">
        <w:rPr>
          <w:rFonts w:asciiTheme="majorHAnsi" w:hAnsiTheme="majorHAnsi"/>
          <w:sz w:val="20"/>
          <w:szCs w:val="20"/>
          <w:lang w:val="es-ES"/>
        </w:rPr>
        <w:t>;</w:t>
      </w:r>
      <w:r>
        <w:rPr>
          <w:rFonts w:asciiTheme="majorHAnsi" w:hAnsiTheme="majorHAnsi"/>
          <w:sz w:val="20"/>
          <w:szCs w:val="20"/>
          <w:lang w:val="es-ES"/>
        </w:rPr>
        <w:t xml:space="preserve"> y porque el desarrollo del proceso de extinción de dominio no evidencia </w:t>
      </w:r>
      <w:r>
        <w:rPr>
          <w:rFonts w:asciiTheme="majorHAnsi" w:hAnsiTheme="majorHAnsi"/>
          <w:i/>
          <w:iCs/>
          <w:sz w:val="20"/>
          <w:szCs w:val="20"/>
          <w:lang w:val="es-ES"/>
        </w:rPr>
        <w:t>prima facie</w:t>
      </w:r>
      <w:r>
        <w:rPr>
          <w:rFonts w:asciiTheme="majorHAnsi" w:hAnsiTheme="majorHAnsi"/>
          <w:sz w:val="20"/>
          <w:szCs w:val="20"/>
          <w:lang w:val="es-ES"/>
        </w:rPr>
        <w:t xml:space="preserve"> una vulneración de derechos consagrados en la Convención Americana. </w:t>
      </w:r>
    </w:p>
    <w:p w14:paraId="73AF0EA7" w14:textId="77777777" w:rsidR="001E27D8" w:rsidRPr="001E27D8" w:rsidRDefault="001E27D8" w:rsidP="001E27D8">
      <w:pPr>
        <w:suppressAutoHyphens/>
        <w:jc w:val="both"/>
        <w:rPr>
          <w:rFonts w:asciiTheme="majorHAnsi" w:hAnsiTheme="majorHAnsi"/>
          <w:b/>
          <w:bCs/>
          <w:sz w:val="20"/>
          <w:szCs w:val="20"/>
          <w:lang w:val="es-ES"/>
        </w:rPr>
      </w:pPr>
    </w:p>
    <w:p w14:paraId="01DB822C" w14:textId="092E5D27" w:rsidR="006769E1" w:rsidRPr="006769E1" w:rsidRDefault="0062178F"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 xml:space="preserve">Refiere </w:t>
      </w:r>
      <w:r w:rsidR="007D2720">
        <w:rPr>
          <w:rFonts w:asciiTheme="majorHAnsi" w:hAnsiTheme="majorHAnsi"/>
          <w:sz w:val="20"/>
          <w:szCs w:val="20"/>
          <w:lang w:val="es-ES"/>
        </w:rPr>
        <w:t xml:space="preserve">que el 2 de noviembre de 1999 se inició una investigación preliminar con el fin de estudiar la viabilidad de la acción de extinción de dominio respecto a los bienes de la persona condenada, </w:t>
      </w:r>
      <w:r>
        <w:rPr>
          <w:rFonts w:asciiTheme="majorHAnsi" w:hAnsiTheme="majorHAnsi"/>
          <w:sz w:val="20"/>
          <w:szCs w:val="20"/>
          <w:lang w:val="es-ES"/>
        </w:rPr>
        <w:t xml:space="preserve">y </w:t>
      </w:r>
      <w:r w:rsidR="007D2720">
        <w:rPr>
          <w:rFonts w:asciiTheme="majorHAnsi" w:hAnsiTheme="majorHAnsi"/>
          <w:sz w:val="20"/>
          <w:szCs w:val="20"/>
          <w:lang w:val="es-ES"/>
        </w:rPr>
        <w:t>que el 9 de marzo de 2004 se orden</w:t>
      </w:r>
      <w:r>
        <w:rPr>
          <w:rFonts w:asciiTheme="majorHAnsi" w:hAnsiTheme="majorHAnsi"/>
          <w:sz w:val="20"/>
          <w:szCs w:val="20"/>
          <w:lang w:val="es-ES"/>
        </w:rPr>
        <w:t>ó</w:t>
      </w:r>
      <w:r w:rsidR="007D2720">
        <w:rPr>
          <w:rFonts w:asciiTheme="majorHAnsi" w:hAnsiTheme="majorHAnsi"/>
          <w:sz w:val="20"/>
          <w:szCs w:val="20"/>
          <w:lang w:val="es-ES"/>
        </w:rPr>
        <w:t xml:space="preserve"> la citación del trámite de extinción de dominio. </w:t>
      </w:r>
      <w:r w:rsidR="00AB433F">
        <w:rPr>
          <w:rFonts w:asciiTheme="majorHAnsi" w:hAnsiTheme="majorHAnsi"/>
          <w:sz w:val="20"/>
          <w:szCs w:val="20"/>
          <w:lang w:val="es-ES"/>
        </w:rPr>
        <w:t xml:space="preserve">El Estado explica que la investigación </w:t>
      </w:r>
      <w:r>
        <w:rPr>
          <w:rFonts w:asciiTheme="majorHAnsi" w:hAnsiTheme="majorHAnsi"/>
          <w:sz w:val="20"/>
          <w:szCs w:val="20"/>
          <w:lang w:val="es-ES"/>
        </w:rPr>
        <w:t>ha incluido a</w:t>
      </w:r>
      <w:r w:rsidR="00AB433F">
        <w:rPr>
          <w:rFonts w:asciiTheme="majorHAnsi" w:hAnsiTheme="majorHAnsi"/>
          <w:sz w:val="20"/>
          <w:szCs w:val="20"/>
          <w:lang w:val="es-ES"/>
        </w:rPr>
        <w:t xml:space="preserve"> </w:t>
      </w:r>
      <w:r w:rsidR="00CF20FB">
        <w:rPr>
          <w:rFonts w:asciiTheme="majorHAnsi" w:hAnsiTheme="majorHAnsi"/>
          <w:sz w:val="20"/>
          <w:szCs w:val="20"/>
          <w:lang w:val="es-ES"/>
        </w:rPr>
        <w:t>un gran número de bienes</w:t>
      </w:r>
      <w:r w:rsidR="00AB433F">
        <w:rPr>
          <w:rFonts w:asciiTheme="majorHAnsi" w:hAnsiTheme="majorHAnsi"/>
          <w:sz w:val="20"/>
          <w:szCs w:val="20"/>
          <w:lang w:val="es-ES"/>
        </w:rPr>
        <w:t xml:space="preserve"> titulados a nombre de varias personas</w:t>
      </w:r>
      <w:r>
        <w:rPr>
          <w:rFonts w:asciiTheme="majorHAnsi" w:hAnsiTheme="majorHAnsi"/>
          <w:sz w:val="20"/>
          <w:szCs w:val="20"/>
          <w:lang w:val="es-ES"/>
        </w:rPr>
        <w:t>,</w:t>
      </w:r>
      <w:r w:rsidR="00AB433F">
        <w:rPr>
          <w:rFonts w:asciiTheme="majorHAnsi" w:hAnsiTheme="majorHAnsi"/>
          <w:sz w:val="20"/>
          <w:szCs w:val="20"/>
          <w:lang w:val="es-ES"/>
        </w:rPr>
        <w:t xml:space="preserve"> pero que se </w:t>
      </w:r>
      <w:r>
        <w:rPr>
          <w:rFonts w:asciiTheme="majorHAnsi" w:hAnsiTheme="majorHAnsi"/>
          <w:sz w:val="20"/>
          <w:szCs w:val="20"/>
          <w:lang w:val="es-ES"/>
        </w:rPr>
        <w:t xml:space="preserve">habrían </w:t>
      </w:r>
      <w:r w:rsidR="00AB433F">
        <w:rPr>
          <w:rFonts w:asciiTheme="majorHAnsi" w:hAnsiTheme="majorHAnsi"/>
          <w:sz w:val="20"/>
          <w:szCs w:val="20"/>
          <w:lang w:val="es-ES"/>
        </w:rPr>
        <w:t xml:space="preserve">adquirido del actuar ilícito y negocios de narcotráfico de la persona condenada. </w:t>
      </w:r>
      <w:r w:rsidR="00CF20FB">
        <w:rPr>
          <w:rFonts w:asciiTheme="majorHAnsi" w:hAnsiTheme="majorHAnsi"/>
          <w:sz w:val="20"/>
          <w:szCs w:val="20"/>
          <w:lang w:val="es-ES"/>
        </w:rPr>
        <w:t>Así, el proceso de extinción de dominio requirió analizar la procedencia de 166 bienes y su titulación a favor de terceros involucrados</w:t>
      </w:r>
      <w:r>
        <w:rPr>
          <w:rFonts w:asciiTheme="majorHAnsi" w:hAnsiTheme="majorHAnsi"/>
          <w:sz w:val="20"/>
          <w:szCs w:val="20"/>
          <w:lang w:val="es-ES"/>
        </w:rPr>
        <w:t>,</w:t>
      </w:r>
      <w:r w:rsidR="00CF20FB">
        <w:rPr>
          <w:rFonts w:asciiTheme="majorHAnsi" w:hAnsiTheme="majorHAnsi"/>
          <w:sz w:val="20"/>
          <w:szCs w:val="20"/>
          <w:lang w:val="es-ES"/>
        </w:rPr>
        <w:t xml:space="preserve"> tales como la presunta víctima. Indica el Estado que el 28 de junio de 2019 se decretó la procedencia de la acción de extinción de dominio sobre un total de 166 bienes</w:t>
      </w:r>
      <w:r>
        <w:rPr>
          <w:rFonts w:asciiTheme="majorHAnsi" w:hAnsiTheme="majorHAnsi"/>
          <w:sz w:val="20"/>
          <w:szCs w:val="20"/>
          <w:lang w:val="es-ES"/>
        </w:rPr>
        <w:t xml:space="preserve"> cuyo origen lícito</w:t>
      </w:r>
      <w:r w:rsidR="00CF20FB">
        <w:rPr>
          <w:rFonts w:asciiTheme="majorHAnsi" w:hAnsiTheme="majorHAnsi"/>
          <w:sz w:val="20"/>
          <w:szCs w:val="20"/>
          <w:lang w:val="es-ES"/>
        </w:rPr>
        <w:t xml:space="preserve"> no se </w:t>
      </w:r>
      <w:r>
        <w:rPr>
          <w:rFonts w:asciiTheme="majorHAnsi" w:hAnsiTheme="majorHAnsi"/>
          <w:sz w:val="20"/>
          <w:szCs w:val="20"/>
          <w:lang w:val="es-ES"/>
        </w:rPr>
        <w:t>había demostrado</w:t>
      </w:r>
      <w:r w:rsidR="00CF20FB">
        <w:rPr>
          <w:rFonts w:asciiTheme="majorHAnsi" w:hAnsiTheme="majorHAnsi"/>
          <w:sz w:val="20"/>
          <w:szCs w:val="20"/>
          <w:lang w:val="es-ES"/>
        </w:rPr>
        <w:t xml:space="preserve">. En su escrito de 28 de octubre de 2020 el Estado señaló que el proceso continuaba en curso </w:t>
      </w:r>
      <w:r>
        <w:rPr>
          <w:rFonts w:asciiTheme="majorHAnsi" w:hAnsiTheme="majorHAnsi"/>
          <w:sz w:val="20"/>
          <w:szCs w:val="20"/>
          <w:lang w:val="es-ES"/>
        </w:rPr>
        <w:t xml:space="preserve">y que </w:t>
      </w:r>
      <w:r>
        <w:rPr>
          <w:rFonts w:asciiTheme="majorHAnsi" w:hAnsiTheme="majorHAnsi"/>
          <w:sz w:val="20"/>
          <w:szCs w:val="20"/>
          <w:lang w:val="es-ES"/>
        </w:rPr>
        <w:lastRenderedPageBreak/>
        <w:t xml:space="preserve">se hallaba </w:t>
      </w:r>
      <w:r w:rsidR="00CF20FB">
        <w:rPr>
          <w:rFonts w:asciiTheme="majorHAnsi" w:hAnsiTheme="majorHAnsi"/>
          <w:sz w:val="20"/>
          <w:szCs w:val="20"/>
          <w:lang w:val="es-ES"/>
        </w:rPr>
        <w:t xml:space="preserve">pendiente la resolución de unos recursos de apelación </w:t>
      </w:r>
      <w:r w:rsidR="006769E1">
        <w:rPr>
          <w:rFonts w:asciiTheme="majorHAnsi" w:hAnsiTheme="majorHAnsi"/>
          <w:sz w:val="20"/>
          <w:szCs w:val="20"/>
          <w:lang w:val="es-ES"/>
        </w:rPr>
        <w:t>antes de que el asunto pu</w:t>
      </w:r>
      <w:r>
        <w:rPr>
          <w:rFonts w:asciiTheme="majorHAnsi" w:hAnsiTheme="majorHAnsi"/>
          <w:sz w:val="20"/>
          <w:szCs w:val="20"/>
          <w:lang w:val="es-ES"/>
        </w:rPr>
        <w:t>diera</w:t>
      </w:r>
      <w:r w:rsidR="006769E1">
        <w:rPr>
          <w:rFonts w:asciiTheme="majorHAnsi" w:hAnsiTheme="majorHAnsi"/>
          <w:sz w:val="20"/>
          <w:szCs w:val="20"/>
          <w:lang w:val="es-ES"/>
        </w:rPr>
        <w:t xml:space="preserve"> ser remitido a los jueces de </w:t>
      </w:r>
      <w:r>
        <w:rPr>
          <w:rFonts w:asciiTheme="majorHAnsi" w:hAnsiTheme="majorHAnsi"/>
          <w:sz w:val="20"/>
          <w:szCs w:val="20"/>
          <w:lang w:val="es-ES"/>
        </w:rPr>
        <w:t>e</w:t>
      </w:r>
      <w:r w:rsidR="006769E1">
        <w:rPr>
          <w:rFonts w:asciiTheme="majorHAnsi" w:hAnsiTheme="majorHAnsi"/>
          <w:sz w:val="20"/>
          <w:szCs w:val="20"/>
          <w:lang w:val="es-ES"/>
        </w:rPr>
        <w:t xml:space="preserve">xtinción de </w:t>
      </w:r>
      <w:r>
        <w:rPr>
          <w:rFonts w:asciiTheme="majorHAnsi" w:hAnsiTheme="majorHAnsi"/>
          <w:sz w:val="20"/>
          <w:szCs w:val="20"/>
          <w:lang w:val="es-ES"/>
        </w:rPr>
        <w:t>d</w:t>
      </w:r>
      <w:r w:rsidR="006769E1">
        <w:rPr>
          <w:rFonts w:asciiTheme="majorHAnsi" w:hAnsiTheme="majorHAnsi"/>
          <w:sz w:val="20"/>
          <w:szCs w:val="20"/>
          <w:lang w:val="es-ES"/>
        </w:rPr>
        <w:t xml:space="preserve">ominio en Bogotá </w:t>
      </w:r>
      <w:r>
        <w:rPr>
          <w:rFonts w:asciiTheme="majorHAnsi" w:hAnsiTheme="majorHAnsi"/>
          <w:sz w:val="20"/>
          <w:szCs w:val="20"/>
          <w:lang w:val="es-ES"/>
        </w:rPr>
        <w:t xml:space="preserve">a fin de </w:t>
      </w:r>
      <w:r w:rsidR="006769E1">
        <w:rPr>
          <w:rFonts w:asciiTheme="majorHAnsi" w:hAnsiTheme="majorHAnsi"/>
          <w:sz w:val="20"/>
          <w:szCs w:val="20"/>
          <w:lang w:val="es-ES"/>
        </w:rPr>
        <w:t>surt</w:t>
      </w:r>
      <w:r>
        <w:rPr>
          <w:rFonts w:asciiTheme="majorHAnsi" w:hAnsiTheme="majorHAnsi"/>
          <w:sz w:val="20"/>
          <w:szCs w:val="20"/>
          <w:lang w:val="es-ES"/>
        </w:rPr>
        <w:t>ir</w:t>
      </w:r>
      <w:r w:rsidR="006769E1">
        <w:rPr>
          <w:rFonts w:asciiTheme="majorHAnsi" w:hAnsiTheme="majorHAnsi"/>
          <w:sz w:val="20"/>
          <w:szCs w:val="20"/>
          <w:lang w:val="es-ES"/>
        </w:rPr>
        <w:t xml:space="preserve"> la etapa de juicio</w:t>
      </w:r>
      <w:r w:rsidR="00CF20FB">
        <w:rPr>
          <w:rFonts w:asciiTheme="majorHAnsi" w:hAnsiTheme="majorHAnsi"/>
          <w:sz w:val="20"/>
          <w:szCs w:val="20"/>
          <w:lang w:val="es-ES"/>
        </w:rPr>
        <w:t xml:space="preserve">. </w:t>
      </w:r>
      <w:r>
        <w:rPr>
          <w:rFonts w:asciiTheme="majorHAnsi" w:hAnsiTheme="majorHAnsi"/>
          <w:sz w:val="20"/>
          <w:szCs w:val="20"/>
          <w:lang w:val="es-ES"/>
        </w:rPr>
        <w:t>Afirma</w:t>
      </w:r>
      <w:r w:rsidR="00CF20FB">
        <w:rPr>
          <w:rFonts w:asciiTheme="majorHAnsi" w:hAnsiTheme="majorHAnsi"/>
          <w:sz w:val="20"/>
          <w:szCs w:val="20"/>
          <w:lang w:val="es-ES"/>
        </w:rPr>
        <w:t xml:space="preserve"> </w:t>
      </w:r>
      <w:r w:rsidR="006769E1">
        <w:rPr>
          <w:rFonts w:asciiTheme="majorHAnsi" w:hAnsiTheme="majorHAnsi"/>
          <w:sz w:val="20"/>
          <w:szCs w:val="20"/>
          <w:lang w:val="es-ES"/>
        </w:rPr>
        <w:t>que la duración del proceso ha sido razonable dada su complejidad</w:t>
      </w:r>
      <w:r>
        <w:rPr>
          <w:rFonts w:asciiTheme="majorHAnsi" w:hAnsiTheme="majorHAnsi"/>
          <w:sz w:val="20"/>
          <w:szCs w:val="20"/>
          <w:lang w:val="es-ES"/>
        </w:rPr>
        <w:t>,</w:t>
      </w:r>
      <w:r w:rsidR="006769E1">
        <w:rPr>
          <w:rFonts w:asciiTheme="majorHAnsi" w:hAnsiTheme="majorHAnsi"/>
          <w:sz w:val="20"/>
          <w:szCs w:val="20"/>
          <w:lang w:val="es-ES"/>
        </w:rPr>
        <w:t xml:space="preserve"> y que la petición no cumple con los requisitos del artículo 46.1 de la Convención Americana </w:t>
      </w:r>
      <w:r>
        <w:rPr>
          <w:rFonts w:asciiTheme="majorHAnsi" w:hAnsiTheme="majorHAnsi"/>
          <w:sz w:val="20"/>
          <w:szCs w:val="20"/>
          <w:lang w:val="es-ES"/>
        </w:rPr>
        <w:t xml:space="preserve">ya que el proceso sigue </w:t>
      </w:r>
      <w:r w:rsidR="006769E1">
        <w:rPr>
          <w:rFonts w:asciiTheme="majorHAnsi" w:hAnsiTheme="majorHAnsi"/>
          <w:sz w:val="20"/>
          <w:szCs w:val="20"/>
          <w:lang w:val="es-ES"/>
        </w:rPr>
        <w:t>pendiente.</w:t>
      </w:r>
    </w:p>
    <w:p w14:paraId="5118905B" w14:textId="77777777" w:rsidR="0062178F" w:rsidRPr="0062178F" w:rsidRDefault="0062178F" w:rsidP="0062178F">
      <w:pPr>
        <w:suppressAutoHyphens/>
        <w:jc w:val="both"/>
        <w:rPr>
          <w:rFonts w:asciiTheme="majorHAnsi" w:hAnsiTheme="majorHAnsi"/>
          <w:b/>
          <w:bCs/>
          <w:sz w:val="20"/>
          <w:szCs w:val="20"/>
          <w:lang w:val="es-ES"/>
        </w:rPr>
      </w:pPr>
    </w:p>
    <w:p w14:paraId="02173F1B" w14:textId="2A6AF0F9" w:rsidR="005941EF" w:rsidRPr="0062178F" w:rsidRDefault="00981902"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El Estado resalta que la Corte Constitucional de Colombia ha determinado que el procedimiento establecido para la acción de extinción de dominio no vulnera el derecho al debido proceso</w:t>
      </w:r>
      <w:r w:rsidR="0062178F">
        <w:rPr>
          <w:rFonts w:asciiTheme="majorHAnsi" w:hAnsiTheme="majorHAnsi"/>
          <w:sz w:val="20"/>
          <w:szCs w:val="20"/>
          <w:lang w:val="es-ES"/>
        </w:rPr>
        <w:t>,</w:t>
      </w:r>
      <w:r>
        <w:rPr>
          <w:rFonts w:asciiTheme="majorHAnsi" w:hAnsiTheme="majorHAnsi"/>
          <w:sz w:val="20"/>
          <w:szCs w:val="20"/>
          <w:lang w:val="es-ES"/>
        </w:rPr>
        <w:t xml:space="preserve"> ni </w:t>
      </w:r>
      <w:r w:rsidR="0062178F">
        <w:rPr>
          <w:rFonts w:asciiTheme="majorHAnsi" w:hAnsiTheme="majorHAnsi"/>
          <w:sz w:val="20"/>
          <w:szCs w:val="20"/>
          <w:lang w:val="es-ES"/>
        </w:rPr>
        <w:t>al</w:t>
      </w:r>
      <w:r>
        <w:rPr>
          <w:rFonts w:asciiTheme="majorHAnsi" w:hAnsiTheme="majorHAnsi"/>
          <w:sz w:val="20"/>
          <w:szCs w:val="20"/>
          <w:lang w:val="es-ES"/>
        </w:rPr>
        <w:t>gún otro derecho de las personas vinculadas a</w:t>
      </w:r>
      <w:r w:rsidR="0062178F">
        <w:rPr>
          <w:rFonts w:asciiTheme="majorHAnsi" w:hAnsiTheme="majorHAnsi"/>
          <w:sz w:val="20"/>
          <w:szCs w:val="20"/>
          <w:lang w:val="es-ES"/>
        </w:rPr>
        <w:t xml:space="preserve"> dicha</w:t>
      </w:r>
      <w:r>
        <w:rPr>
          <w:rFonts w:asciiTheme="majorHAnsi" w:hAnsiTheme="majorHAnsi"/>
          <w:sz w:val="20"/>
          <w:szCs w:val="20"/>
          <w:lang w:val="es-ES"/>
        </w:rPr>
        <w:t xml:space="preserve"> acción. </w:t>
      </w:r>
      <w:r w:rsidR="0062178F">
        <w:rPr>
          <w:rFonts w:asciiTheme="majorHAnsi" w:hAnsiTheme="majorHAnsi"/>
          <w:sz w:val="20"/>
          <w:szCs w:val="20"/>
          <w:lang w:val="es-ES"/>
        </w:rPr>
        <w:t>E</w:t>
      </w:r>
      <w:r>
        <w:rPr>
          <w:rFonts w:asciiTheme="majorHAnsi" w:hAnsiTheme="majorHAnsi"/>
          <w:sz w:val="20"/>
          <w:szCs w:val="20"/>
          <w:lang w:val="es-ES"/>
        </w:rPr>
        <w:t xml:space="preserve">xplica que en el ordenamiento colombiano la acción </w:t>
      </w:r>
      <w:r w:rsidR="00363BE4">
        <w:rPr>
          <w:rFonts w:asciiTheme="majorHAnsi" w:hAnsiTheme="majorHAnsi"/>
          <w:sz w:val="20"/>
          <w:szCs w:val="20"/>
          <w:lang w:val="es-ES"/>
        </w:rPr>
        <w:t>de extinción de dominio es autónoma y de naturaleza distinta a la acción penal</w:t>
      </w:r>
      <w:r w:rsidR="0062178F">
        <w:rPr>
          <w:rFonts w:asciiTheme="majorHAnsi" w:hAnsiTheme="majorHAnsi"/>
          <w:sz w:val="20"/>
          <w:szCs w:val="20"/>
          <w:lang w:val="es-ES"/>
        </w:rPr>
        <w:t>, ya que aquella</w:t>
      </w:r>
      <w:r w:rsidR="00363BE4">
        <w:rPr>
          <w:rFonts w:asciiTheme="majorHAnsi" w:hAnsiTheme="majorHAnsi"/>
          <w:sz w:val="20"/>
          <w:szCs w:val="20"/>
          <w:lang w:val="es-ES"/>
        </w:rPr>
        <w:t xml:space="preserve"> está encaminada a la determinación del origen de </w:t>
      </w:r>
      <w:r w:rsidR="0062178F">
        <w:rPr>
          <w:rFonts w:asciiTheme="majorHAnsi" w:hAnsiTheme="majorHAnsi"/>
          <w:sz w:val="20"/>
          <w:szCs w:val="20"/>
          <w:lang w:val="es-ES"/>
        </w:rPr>
        <w:t>los</w:t>
      </w:r>
      <w:r w:rsidR="00363BE4">
        <w:rPr>
          <w:rFonts w:asciiTheme="majorHAnsi" w:hAnsiTheme="majorHAnsi"/>
          <w:sz w:val="20"/>
          <w:szCs w:val="20"/>
          <w:lang w:val="es-ES"/>
        </w:rPr>
        <w:t xml:space="preserve"> bienes y no a la imputación de responsabilidad penal. En consecuencia, </w:t>
      </w:r>
      <w:r w:rsidR="003071E8">
        <w:rPr>
          <w:rFonts w:asciiTheme="majorHAnsi" w:hAnsiTheme="majorHAnsi"/>
          <w:sz w:val="20"/>
          <w:szCs w:val="20"/>
          <w:lang w:val="es-ES"/>
        </w:rPr>
        <w:t xml:space="preserve">alega que </w:t>
      </w:r>
      <w:r w:rsidR="00363BE4">
        <w:rPr>
          <w:rFonts w:asciiTheme="majorHAnsi" w:hAnsiTheme="majorHAnsi"/>
          <w:sz w:val="20"/>
          <w:szCs w:val="20"/>
          <w:lang w:val="es-ES"/>
        </w:rPr>
        <w:t xml:space="preserve">el desarrollo de un procedimiento judicial conjunto de la acción de extinción de dominio y la acción penal </w:t>
      </w:r>
      <w:r w:rsidR="003071E8">
        <w:rPr>
          <w:rFonts w:asciiTheme="majorHAnsi" w:hAnsiTheme="majorHAnsi"/>
          <w:sz w:val="20"/>
          <w:szCs w:val="20"/>
          <w:lang w:val="es-ES"/>
        </w:rPr>
        <w:t xml:space="preserve">no </w:t>
      </w:r>
      <w:r w:rsidR="00363BE4">
        <w:rPr>
          <w:rFonts w:asciiTheme="majorHAnsi" w:hAnsiTheme="majorHAnsi"/>
          <w:sz w:val="20"/>
          <w:szCs w:val="20"/>
          <w:lang w:val="es-ES"/>
        </w:rPr>
        <w:t xml:space="preserve">limita </w:t>
      </w:r>
      <w:r w:rsidR="003071E8">
        <w:rPr>
          <w:rFonts w:asciiTheme="majorHAnsi" w:hAnsiTheme="majorHAnsi"/>
          <w:sz w:val="20"/>
          <w:szCs w:val="20"/>
          <w:lang w:val="es-ES"/>
        </w:rPr>
        <w:t xml:space="preserve">en caso alguno </w:t>
      </w:r>
      <w:r w:rsidR="00363BE4">
        <w:rPr>
          <w:rFonts w:asciiTheme="majorHAnsi" w:hAnsiTheme="majorHAnsi"/>
          <w:sz w:val="20"/>
          <w:szCs w:val="20"/>
          <w:lang w:val="es-ES"/>
        </w:rPr>
        <w:t>la autonomía de l</w:t>
      </w:r>
      <w:r w:rsidR="003071E8">
        <w:rPr>
          <w:rFonts w:asciiTheme="majorHAnsi" w:hAnsiTheme="majorHAnsi"/>
          <w:sz w:val="20"/>
          <w:szCs w:val="20"/>
          <w:lang w:val="es-ES"/>
        </w:rPr>
        <w:t xml:space="preserve">os resultados </w:t>
      </w:r>
      <w:r w:rsidR="00363BE4">
        <w:rPr>
          <w:rFonts w:asciiTheme="majorHAnsi" w:hAnsiTheme="majorHAnsi"/>
          <w:sz w:val="20"/>
          <w:szCs w:val="20"/>
          <w:lang w:val="es-ES"/>
        </w:rPr>
        <w:t>de cada acción</w:t>
      </w:r>
      <w:r w:rsidR="003071E8">
        <w:rPr>
          <w:rFonts w:asciiTheme="majorHAnsi" w:hAnsiTheme="majorHAnsi"/>
          <w:sz w:val="20"/>
          <w:szCs w:val="20"/>
          <w:lang w:val="es-ES"/>
        </w:rPr>
        <w:t>.</w:t>
      </w:r>
      <w:r w:rsidR="00363BE4">
        <w:rPr>
          <w:rFonts w:asciiTheme="majorHAnsi" w:hAnsiTheme="majorHAnsi"/>
          <w:sz w:val="20"/>
          <w:szCs w:val="20"/>
          <w:lang w:val="es-ES"/>
        </w:rPr>
        <w:t xml:space="preserve"> </w:t>
      </w:r>
      <w:r w:rsidR="003071E8">
        <w:rPr>
          <w:rFonts w:asciiTheme="majorHAnsi" w:hAnsiTheme="majorHAnsi"/>
          <w:sz w:val="20"/>
          <w:szCs w:val="20"/>
          <w:lang w:val="es-ES"/>
        </w:rPr>
        <w:t xml:space="preserve">En tal sentido, el Estado afirma que </w:t>
      </w:r>
      <w:r w:rsidR="00363BE4">
        <w:rPr>
          <w:rFonts w:asciiTheme="majorHAnsi" w:hAnsiTheme="majorHAnsi"/>
          <w:sz w:val="20"/>
          <w:szCs w:val="20"/>
          <w:lang w:val="es-ES"/>
        </w:rPr>
        <w:t>nada obsta para que surja una exculpación dentro del proceso penal pero sí se ejecute la extinción de dominio. Por estas razones, tacha de erróneos los</w:t>
      </w:r>
      <w:r w:rsidR="005941EF">
        <w:rPr>
          <w:rFonts w:asciiTheme="majorHAnsi" w:hAnsiTheme="majorHAnsi"/>
          <w:sz w:val="20"/>
          <w:szCs w:val="20"/>
          <w:lang w:val="es-ES"/>
        </w:rPr>
        <w:t xml:space="preserve"> argumentos del peticionario respecto a que la preclusión de la investigación penal en su contra necesariamente implicara la improcedencia de la extinción de dominio respecto a sus bienes. </w:t>
      </w:r>
    </w:p>
    <w:p w14:paraId="03C7F8CD" w14:textId="77777777" w:rsidR="0062178F" w:rsidRPr="005941EF" w:rsidRDefault="0062178F" w:rsidP="0062178F">
      <w:pPr>
        <w:suppressAutoHyphens/>
        <w:jc w:val="both"/>
        <w:rPr>
          <w:rFonts w:asciiTheme="majorHAnsi" w:hAnsiTheme="majorHAnsi"/>
          <w:b/>
          <w:bCs/>
          <w:sz w:val="20"/>
          <w:szCs w:val="20"/>
          <w:lang w:val="es-ES"/>
        </w:rPr>
      </w:pPr>
    </w:p>
    <w:p w14:paraId="7549A20D" w14:textId="63AB3A26" w:rsidR="007D2720" w:rsidRPr="003071E8" w:rsidRDefault="005941EF"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 xml:space="preserve">Resalta además el Estado que la acción de extinción de dominio no representa una forma de ejercicio del poder punitivo del Estado puesto que no conlleva a sanciones contra personas sino a declaraciones sobre bienes. En este sentido, los efectos de la acción de extinción de dominio están limitados al plano patrimonial y buscan corregir el desequilibrio que se genera en la comunidad por razón de las actividades ilícitas o aquellas que deterioran gravemente la moral social. Añade el Estado que la Corte Constitucional </w:t>
      </w:r>
      <w:r w:rsidR="008941B1">
        <w:rPr>
          <w:rFonts w:asciiTheme="majorHAnsi" w:hAnsiTheme="majorHAnsi"/>
          <w:sz w:val="20"/>
          <w:szCs w:val="20"/>
          <w:lang w:val="es-ES"/>
        </w:rPr>
        <w:t>se ha referido a los requisitos establecidos en la ley para la interposición de medidas cautelares en los procesos de extinción de dominio, concluyendo que estos preservan la proporcionalidad de las medidas y evitan que estas causen restricciones ilegítimas a los derecho</w:t>
      </w:r>
      <w:r w:rsidR="004538F0">
        <w:rPr>
          <w:rFonts w:asciiTheme="majorHAnsi" w:hAnsiTheme="majorHAnsi"/>
          <w:sz w:val="20"/>
          <w:szCs w:val="20"/>
          <w:lang w:val="es-ES"/>
        </w:rPr>
        <w:t>s</w:t>
      </w:r>
      <w:r w:rsidR="008941B1">
        <w:rPr>
          <w:rFonts w:asciiTheme="majorHAnsi" w:hAnsiTheme="majorHAnsi"/>
          <w:sz w:val="20"/>
          <w:szCs w:val="20"/>
          <w:lang w:val="es-ES"/>
        </w:rPr>
        <w:t xml:space="preserve"> de las personas titulares de dominio. </w:t>
      </w:r>
    </w:p>
    <w:p w14:paraId="3AE2BEC3" w14:textId="77777777" w:rsidR="003071E8" w:rsidRPr="00BF4E8C" w:rsidRDefault="003071E8" w:rsidP="003071E8">
      <w:pPr>
        <w:suppressAutoHyphens/>
        <w:jc w:val="both"/>
        <w:rPr>
          <w:rFonts w:asciiTheme="majorHAnsi" w:hAnsiTheme="majorHAnsi"/>
          <w:b/>
          <w:bCs/>
          <w:sz w:val="20"/>
          <w:szCs w:val="20"/>
          <w:lang w:val="es-ES"/>
        </w:rPr>
      </w:pPr>
    </w:p>
    <w:p w14:paraId="3FE6F5AE" w14:textId="6484B172" w:rsidR="004C616A" w:rsidRPr="00BF4E8C" w:rsidRDefault="004C616A" w:rsidP="003071E8">
      <w:pPr>
        <w:suppressAutoHyphens/>
        <w:ind w:firstLine="720"/>
        <w:jc w:val="both"/>
        <w:rPr>
          <w:rFonts w:asciiTheme="majorHAnsi" w:hAnsiTheme="majorHAnsi"/>
          <w:b/>
          <w:bCs/>
          <w:sz w:val="20"/>
          <w:szCs w:val="20"/>
          <w:lang w:val="es-ES"/>
        </w:rPr>
      </w:pPr>
      <w:r w:rsidRPr="00BF4E8C">
        <w:rPr>
          <w:rFonts w:asciiTheme="majorHAnsi" w:hAnsiTheme="majorHAnsi"/>
          <w:b/>
          <w:bCs/>
          <w:sz w:val="20"/>
          <w:szCs w:val="20"/>
          <w:lang w:val="es-ES"/>
        </w:rPr>
        <w:t xml:space="preserve">VI. </w:t>
      </w:r>
      <w:r w:rsidRPr="00BF4E8C">
        <w:rPr>
          <w:rFonts w:asciiTheme="majorHAnsi" w:hAnsiTheme="majorHAnsi"/>
          <w:b/>
          <w:bCs/>
          <w:sz w:val="20"/>
          <w:szCs w:val="20"/>
          <w:lang w:val="es-ES"/>
        </w:rPr>
        <w:tab/>
        <w:t>AGOTAMIENTO DE LOS RECURSOS INTERNOS Y PLAZO DE PRESENTACIÓN</w:t>
      </w:r>
    </w:p>
    <w:p w14:paraId="58A29767" w14:textId="77777777" w:rsidR="003071E8" w:rsidRPr="003071E8" w:rsidRDefault="003071E8" w:rsidP="003071E8">
      <w:pPr>
        <w:suppressAutoHyphens/>
        <w:jc w:val="both"/>
        <w:rPr>
          <w:rFonts w:asciiTheme="majorHAnsi" w:hAnsiTheme="majorHAnsi"/>
          <w:b/>
          <w:bCs/>
          <w:sz w:val="20"/>
          <w:szCs w:val="20"/>
          <w:lang w:val="es-ES"/>
        </w:rPr>
      </w:pPr>
    </w:p>
    <w:p w14:paraId="6DEACF1F" w14:textId="0F836A9F" w:rsidR="0016341E" w:rsidRPr="003071E8" w:rsidRDefault="003071E8"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ES"/>
        </w:rPr>
        <w:t xml:space="preserve">La parte peticionaria </w:t>
      </w:r>
      <w:r w:rsidR="00B66907">
        <w:rPr>
          <w:rFonts w:asciiTheme="majorHAnsi" w:hAnsiTheme="majorHAnsi"/>
          <w:sz w:val="20"/>
          <w:szCs w:val="20"/>
          <w:lang w:val="es-ES"/>
        </w:rPr>
        <w:t xml:space="preserve">aduce que se han producido dilaciones indebidas en el desarrollo del proceso de extinción de dominio al que se ha vinculado a la presunta víctima. A su vez, el Estado sostiene que la petición no cumple con </w:t>
      </w:r>
      <w:r>
        <w:rPr>
          <w:rFonts w:asciiTheme="majorHAnsi" w:hAnsiTheme="majorHAnsi"/>
          <w:sz w:val="20"/>
          <w:szCs w:val="20"/>
          <w:lang w:val="es-ES"/>
        </w:rPr>
        <w:t>e</w:t>
      </w:r>
      <w:r w:rsidR="00B66907">
        <w:rPr>
          <w:rFonts w:asciiTheme="majorHAnsi" w:hAnsiTheme="majorHAnsi"/>
          <w:sz w:val="20"/>
          <w:szCs w:val="20"/>
          <w:lang w:val="es-ES"/>
        </w:rPr>
        <w:t>l requisito del artículo 46.1 de la Convención Americana</w:t>
      </w:r>
      <w:r>
        <w:rPr>
          <w:rFonts w:asciiTheme="majorHAnsi" w:hAnsiTheme="majorHAnsi"/>
          <w:sz w:val="20"/>
          <w:szCs w:val="20"/>
          <w:lang w:val="es-ES"/>
        </w:rPr>
        <w:t>,</w:t>
      </w:r>
      <w:r w:rsidR="00B66907">
        <w:rPr>
          <w:rFonts w:asciiTheme="majorHAnsi" w:hAnsiTheme="majorHAnsi"/>
          <w:sz w:val="20"/>
          <w:szCs w:val="20"/>
          <w:lang w:val="es-ES"/>
        </w:rPr>
        <w:t xml:space="preserve"> </w:t>
      </w:r>
      <w:r>
        <w:rPr>
          <w:rFonts w:asciiTheme="majorHAnsi" w:hAnsiTheme="majorHAnsi"/>
          <w:sz w:val="20"/>
          <w:szCs w:val="20"/>
          <w:lang w:val="es-ES"/>
        </w:rPr>
        <w:t>puesto</w:t>
      </w:r>
      <w:r w:rsidR="00B66907">
        <w:rPr>
          <w:rFonts w:asciiTheme="majorHAnsi" w:hAnsiTheme="majorHAnsi"/>
          <w:sz w:val="20"/>
          <w:szCs w:val="20"/>
          <w:lang w:val="es-ES"/>
        </w:rPr>
        <w:t xml:space="preserve"> que el proceso que </w:t>
      </w:r>
      <w:r>
        <w:rPr>
          <w:rFonts w:asciiTheme="majorHAnsi" w:hAnsiTheme="majorHAnsi"/>
          <w:sz w:val="20"/>
          <w:szCs w:val="20"/>
          <w:lang w:val="es-ES"/>
        </w:rPr>
        <w:t xml:space="preserve">le </w:t>
      </w:r>
      <w:r w:rsidR="00B66907">
        <w:rPr>
          <w:rFonts w:asciiTheme="majorHAnsi" w:hAnsiTheme="majorHAnsi"/>
          <w:sz w:val="20"/>
          <w:szCs w:val="20"/>
          <w:lang w:val="es-ES"/>
        </w:rPr>
        <w:t xml:space="preserve">da objeto no se encuentra concluido. </w:t>
      </w:r>
    </w:p>
    <w:p w14:paraId="5B4B0D4C" w14:textId="77777777" w:rsidR="003071E8" w:rsidRPr="00B66907" w:rsidRDefault="003071E8" w:rsidP="003071E8">
      <w:pPr>
        <w:suppressAutoHyphens/>
        <w:jc w:val="both"/>
        <w:rPr>
          <w:rFonts w:asciiTheme="majorHAnsi" w:hAnsiTheme="majorHAnsi"/>
          <w:b/>
          <w:bCs/>
          <w:sz w:val="20"/>
          <w:szCs w:val="20"/>
          <w:lang w:val="es-ES"/>
        </w:rPr>
      </w:pPr>
    </w:p>
    <w:p w14:paraId="01198D7A" w14:textId="73C03BDE" w:rsidR="00B66907" w:rsidRPr="003071E8" w:rsidRDefault="000A2C27" w:rsidP="002F5577">
      <w:pPr>
        <w:numPr>
          <w:ilvl w:val="0"/>
          <w:numId w:val="55"/>
        </w:numPr>
        <w:suppressAutoHyphens/>
        <w:jc w:val="both"/>
        <w:rPr>
          <w:rFonts w:asciiTheme="majorHAnsi" w:hAnsiTheme="majorHAnsi"/>
          <w:b/>
          <w:bCs/>
          <w:sz w:val="20"/>
          <w:szCs w:val="20"/>
          <w:lang w:val="es-ES"/>
        </w:rPr>
      </w:pPr>
      <w:r>
        <w:rPr>
          <w:rFonts w:asciiTheme="majorHAnsi" w:hAnsiTheme="majorHAnsi"/>
          <w:sz w:val="20"/>
          <w:szCs w:val="20"/>
          <w:lang w:val="es-PA"/>
        </w:rPr>
        <w:t xml:space="preserve">Según la información </w:t>
      </w:r>
      <w:r w:rsidR="003071E8">
        <w:rPr>
          <w:rFonts w:asciiTheme="majorHAnsi" w:hAnsiTheme="majorHAnsi"/>
          <w:sz w:val="20"/>
          <w:szCs w:val="20"/>
          <w:lang w:val="es-PA"/>
        </w:rPr>
        <w:t xml:space="preserve">disponible </w:t>
      </w:r>
      <w:r>
        <w:rPr>
          <w:rFonts w:asciiTheme="majorHAnsi" w:hAnsiTheme="majorHAnsi"/>
          <w:sz w:val="20"/>
          <w:szCs w:val="20"/>
          <w:lang w:val="es-PA"/>
        </w:rPr>
        <w:t xml:space="preserve">en </w:t>
      </w:r>
      <w:r w:rsidR="003071E8">
        <w:rPr>
          <w:rFonts w:asciiTheme="majorHAnsi" w:hAnsiTheme="majorHAnsi"/>
          <w:sz w:val="20"/>
          <w:szCs w:val="20"/>
          <w:lang w:val="es-PA"/>
        </w:rPr>
        <w:t xml:space="preserve">el </w:t>
      </w:r>
      <w:r>
        <w:rPr>
          <w:rFonts w:asciiTheme="majorHAnsi" w:hAnsiTheme="majorHAnsi"/>
          <w:sz w:val="20"/>
          <w:szCs w:val="20"/>
          <w:lang w:val="es-PA"/>
        </w:rPr>
        <w:t xml:space="preserve">expediente, el proceso de extinción de dominio permanecería sin decisión definitiva, </w:t>
      </w:r>
      <w:r w:rsidR="003071E8">
        <w:rPr>
          <w:rFonts w:asciiTheme="majorHAnsi" w:hAnsiTheme="majorHAnsi"/>
          <w:sz w:val="20"/>
          <w:szCs w:val="20"/>
          <w:lang w:val="es-PA"/>
        </w:rPr>
        <w:t xml:space="preserve">luego de </w:t>
      </w:r>
      <w:r w:rsidR="004538F0">
        <w:rPr>
          <w:rFonts w:asciiTheme="majorHAnsi" w:hAnsiTheme="majorHAnsi"/>
          <w:sz w:val="20"/>
          <w:szCs w:val="20"/>
          <w:lang w:val="es-PA"/>
        </w:rPr>
        <w:t>transcurrido</w:t>
      </w:r>
      <w:r w:rsidR="003071E8">
        <w:rPr>
          <w:rFonts w:asciiTheme="majorHAnsi" w:hAnsiTheme="majorHAnsi"/>
          <w:sz w:val="20"/>
          <w:szCs w:val="20"/>
          <w:lang w:val="es-PA"/>
        </w:rPr>
        <w:t>s</w:t>
      </w:r>
      <w:r>
        <w:rPr>
          <w:rFonts w:asciiTheme="majorHAnsi" w:hAnsiTheme="majorHAnsi"/>
          <w:sz w:val="20"/>
          <w:szCs w:val="20"/>
          <w:lang w:val="es-PA"/>
        </w:rPr>
        <w:t xml:space="preserve"> más de 16 años desde que la presunta víctima fue</w:t>
      </w:r>
      <w:r w:rsidR="004538F0">
        <w:rPr>
          <w:rFonts w:asciiTheme="majorHAnsi" w:hAnsiTheme="majorHAnsi"/>
          <w:sz w:val="20"/>
          <w:szCs w:val="20"/>
          <w:lang w:val="es-PA"/>
        </w:rPr>
        <w:t>ra</w:t>
      </w:r>
      <w:r>
        <w:rPr>
          <w:rFonts w:asciiTheme="majorHAnsi" w:hAnsiTheme="majorHAnsi"/>
          <w:sz w:val="20"/>
          <w:szCs w:val="20"/>
          <w:lang w:val="es-PA"/>
        </w:rPr>
        <w:t xml:space="preserve"> </w:t>
      </w:r>
      <w:r w:rsidR="003071E8">
        <w:rPr>
          <w:rFonts w:asciiTheme="majorHAnsi" w:hAnsiTheme="majorHAnsi"/>
          <w:sz w:val="20"/>
          <w:szCs w:val="20"/>
          <w:lang w:val="es-PA"/>
        </w:rPr>
        <w:t>vinculada</w:t>
      </w:r>
      <w:r>
        <w:rPr>
          <w:rFonts w:asciiTheme="majorHAnsi" w:hAnsiTheme="majorHAnsi"/>
          <w:sz w:val="20"/>
          <w:szCs w:val="20"/>
          <w:lang w:val="es-PA"/>
        </w:rPr>
        <w:t xml:space="preserve"> a</w:t>
      </w:r>
      <w:r w:rsidR="003071E8">
        <w:rPr>
          <w:rFonts w:asciiTheme="majorHAnsi" w:hAnsiTheme="majorHAnsi"/>
          <w:sz w:val="20"/>
          <w:szCs w:val="20"/>
          <w:lang w:val="es-PA"/>
        </w:rPr>
        <w:t>l mismo</w:t>
      </w:r>
      <w:r>
        <w:rPr>
          <w:rFonts w:asciiTheme="majorHAnsi" w:hAnsiTheme="majorHAnsi"/>
          <w:sz w:val="20"/>
          <w:szCs w:val="20"/>
          <w:lang w:val="es-PA"/>
        </w:rPr>
        <w:t>. Por</w:t>
      </w:r>
      <w:r w:rsidR="003071E8">
        <w:rPr>
          <w:rFonts w:asciiTheme="majorHAnsi" w:hAnsiTheme="majorHAnsi"/>
          <w:sz w:val="20"/>
          <w:szCs w:val="20"/>
          <w:lang w:val="es-PA"/>
        </w:rPr>
        <w:t xml:space="preserve"> tal</w:t>
      </w:r>
      <w:r>
        <w:rPr>
          <w:rFonts w:asciiTheme="majorHAnsi" w:hAnsiTheme="majorHAnsi"/>
          <w:sz w:val="20"/>
          <w:szCs w:val="20"/>
          <w:lang w:val="es-PA"/>
        </w:rPr>
        <w:t xml:space="preserve"> razón, la Comisión </w:t>
      </w:r>
      <w:r w:rsidR="003071E8">
        <w:rPr>
          <w:rFonts w:asciiTheme="majorHAnsi" w:hAnsiTheme="majorHAnsi"/>
          <w:sz w:val="20"/>
          <w:szCs w:val="20"/>
          <w:lang w:val="es-PA"/>
        </w:rPr>
        <w:t xml:space="preserve">Interamericana </w:t>
      </w:r>
      <w:r>
        <w:rPr>
          <w:rFonts w:asciiTheme="majorHAnsi" w:hAnsiTheme="majorHAnsi"/>
          <w:sz w:val="20"/>
          <w:szCs w:val="20"/>
          <w:lang w:val="es-PA"/>
        </w:rPr>
        <w:t xml:space="preserve">debe analizar si la excepción al requisito de agotamiento de recursos internos prevista en el artículo 46.2(c) de la Convención Americana resulta aplicable a la presente petición. </w:t>
      </w:r>
    </w:p>
    <w:p w14:paraId="462F69A8" w14:textId="77777777" w:rsidR="003071E8" w:rsidRPr="000A2C27" w:rsidRDefault="003071E8" w:rsidP="003071E8">
      <w:pPr>
        <w:suppressAutoHyphens/>
        <w:jc w:val="both"/>
        <w:rPr>
          <w:rFonts w:asciiTheme="majorHAnsi" w:hAnsiTheme="majorHAnsi"/>
          <w:b/>
          <w:bCs/>
          <w:sz w:val="20"/>
          <w:szCs w:val="20"/>
          <w:lang w:val="es-ES"/>
        </w:rPr>
      </w:pPr>
    </w:p>
    <w:p w14:paraId="04F13299" w14:textId="12BAF1BF" w:rsidR="000A2C27" w:rsidRPr="003071E8" w:rsidRDefault="003071E8" w:rsidP="002F5577">
      <w:pPr>
        <w:numPr>
          <w:ilvl w:val="0"/>
          <w:numId w:val="55"/>
        </w:numPr>
        <w:suppressAutoHyphens/>
        <w:jc w:val="both"/>
        <w:rPr>
          <w:rFonts w:asciiTheme="majorHAnsi" w:hAnsiTheme="majorHAnsi"/>
          <w:b/>
          <w:bCs/>
          <w:sz w:val="20"/>
          <w:szCs w:val="20"/>
          <w:lang w:val="es-ES"/>
        </w:rPr>
      </w:pPr>
      <w:r>
        <w:rPr>
          <w:rFonts w:ascii="Cambria" w:hAnsi="Cambria" w:cs="Calibri"/>
          <w:sz w:val="20"/>
          <w:szCs w:val="20"/>
          <w:lang w:val="es-ES_tradnl"/>
        </w:rPr>
        <w:t>P</w:t>
      </w:r>
      <w:r w:rsidRPr="000A2C27">
        <w:rPr>
          <w:rFonts w:ascii="Cambria" w:hAnsi="Cambria" w:cs="Calibri"/>
          <w:sz w:val="20"/>
          <w:szCs w:val="20"/>
          <w:lang w:val="es-ES_tradnl"/>
        </w:rPr>
        <w:t xml:space="preserve">or su naturaleza y objeto, </w:t>
      </w:r>
      <w:r>
        <w:rPr>
          <w:rFonts w:asciiTheme="majorHAnsi" w:hAnsiTheme="majorHAnsi"/>
          <w:sz w:val="20"/>
          <w:szCs w:val="20"/>
          <w:lang w:val="es-MX"/>
        </w:rPr>
        <w:t>l</w:t>
      </w:r>
      <w:r w:rsidR="000A2C27" w:rsidRPr="000A2C27">
        <w:rPr>
          <w:rFonts w:asciiTheme="majorHAnsi" w:hAnsiTheme="majorHAnsi"/>
          <w:sz w:val="20"/>
          <w:szCs w:val="20"/>
          <w:lang w:val="es-MX"/>
        </w:rPr>
        <w:t xml:space="preserve">as disposiciones de la Convención Americana que establecen excepciones al requisito de los agotamientos internos </w:t>
      </w:r>
      <w:r w:rsidR="000A2C27" w:rsidRPr="000A2C27">
        <w:rPr>
          <w:rFonts w:ascii="Cambria" w:hAnsi="Cambria" w:cs="Calibri"/>
          <w:sz w:val="20"/>
          <w:szCs w:val="20"/>
          <w:lang w:val="es-ES_tradnl"/>
        </w:rPr>
        <w:t xml:space="preserve">son normas con contenido autónomo </w:t>
      </w:r>
      <w:r w:rsidR="000A2C27" w:rsidRPr="000A2C27">
        <w:rPr>
          <w:rFonts w:ascii="Cambria" w:hAnsi="Cambria" w:cs="Calibri"/>
          <w:i/>
          <w:sz w:val="20"/>
          <w:szCs w:val="20"/>
          <w:lang w:val="es-ES_tradnl"/>
        </w:rPr>
        <w:t>vis à vis</w:t>
      </w:r>
      <w:r w:rsidR="000A2C27" w:rsidRPr="000A2C27">
        <w:rPr>
          <w:rFonts w:ascii="Cambria" w:hAnsi="Cambria" w:cs="Calibri"/>
          <w:sz w:val="20"/>
          <w:szCs w:val="20"/>
          <w:lang w:val="es-ES_tradnl"/>
        </w:rPr>
        <w:t xml:space="preserve"> las normas sustantivas de </w:t>
      </w:r>
      <w:r>
        <w:rPr>
          <w:rFonts w:ascii="Cambria" w:hAnsi="Cambria" w:cs="Calibri"/>
          <w:sz w:val="20"/>
          <w:szCs w:val="20"/>
          <w:lang w:val="es-ES_tradnl"/>
        </w:rPr>
        <w:t>dicho tratado</w:t>
      </w:r>
      <w:r w:rsidR="000A2C27" w:rsidRPr="000A2C27">
        <w:rPr>
          <w:rFonts w:ascii="Cambria" w:hAnsi="Cambria" w:cs="Calibri"/>
          <w:sz w:val="20"/>
          <w:szCs w:val="20"/>
          <w:lang w:val="es-ES_tradnl"/>
        </w:rPr>
        <w:t xml:space="preserve">. Por lo tanto, la </w:t>
      </w:r>
      <w:r>
        <w:rPr>
          <w:rFonts w:ascii="Cambria" w:hAnsi="Cambria" w:cs="Calibri"/>
          <w:sz w:val="20"/>
          <w:szCs w:val="20"/>
          <w:lang w:val="es-ES_tradnl"/>
        </w:rPr>
        <w:t xml:space="preserve">aplicabilidad de tales </w:t>
      </w:r>
      <w:r w:rsidR="000A2C27" w:rsidRPr="000A2C27">
        <w:rPr>
          <w:rFonts w:ascii="Cambria" w:hAnsi="Cambria" w:cs="Calibri"/>
          <w:sz w:val="20"/>
          <w:szCs w:val="20"/>
          <w:lang w:val="es-ES_tradnl"/>
        </w:rPr>
        <w:t>excepciones debe llevarse a cabo de manera previa y separada del análisis del fondo del asunto, ya que depende de un estándar de apreciación distinto de</w:t>
      </w:r>
      <w:r>
        <w:rPr>
          <w:rFonts w:ascii="Cambria" w:hAnsi="Cambria" w:cs="Calibri"/>
          <w:sz w:val="20"/>
          <w:szCs w:val="20"/>
          <w:lang w:val="es-ES_tradnl"/>
        </w:rPr>
        <w:t>l</w:t>
      </w:r>
      <w:r w:rsidR="000A2C27" w:rsidRPr="000A2C27">
        <w:rPr>
          <w:rFonts w:ascii="Cambria" w:hAnsi="Cambria" w:cs="Calibri"/>
          <w:sz w:val="20"/>
          <w:szCs w:val="20"/>
          <w:lang w:val="es-ES_tradnl"/>
        </w:rPr>
        <w:t xml:space="preserve"> </w:t>
      </w:r>
      <w:r>
        <w:rPr>
          <w:rFonts w:ascii="Cambria" w:hAnsi="Cambria" w:cs="Calibri"/>
          <w:sz w:val="20"/>
          <w:szCs w:val="20"/>
          <w:lang w:val="es-ES_tradnl"/>
        </w:rPr>
        <w:t xml:space="preserve">que se </w:t>
      </w:r>
      <w:r w:rsidR="000A2C27" w:rsidRPr="000A2C27">
        <w:rPr>
          <w:rFonts w:ascii="Cambria" w:hAnsi="Cambria" w:cs="Calibri"/>
          <w:sz w:val="20"/>
          <w:szCs w:val="20"/>
          <w:lang w:val="es-ES_tradnl"/>
        </w:rPr>
        <w:t>utiliza para determinar la violación de los artículos 8 y 25 de la Convención</w:t>
      </w:r>
      <w:r>
        <w:rPr>
          <w:rFonts w:ascii="Cambria" w:hAnsi="Cambria" w:cs="Calibri"/>
          <w:sz w:val="20"/>
          <w:szCs w:val="20"/>
          <w:lang w:val="es-ES_tradnl"/>
        </w:rPr>
        <w:t xml:space="preserve"> Americana</w:t>
      </w:r>
      <w:r w:rsidR="000A2C27" w:rsidRPr="00207D02">
        <w:rPr>
          <w:rStyle w:val="FootnoteReference"/>
          <w:rFonts w:ascii="Cambria" w:hAnsi="Cambria" w:cs="Calibri"/>
          <w:sz w:val="20"/>
          <w:szCs w:val="20"/>
        </w:rPr>
        <w:footnoteReference w:id="8"/>
      </w:r>
      <w:r w:rsidR="000A2C27" w:rsidRPr="000A2C27">
        <w:rPr>
          <w:rFonts w:ascii="Cambria" w:hAnsi="Cambria" w:cs="Calibri"/>
          <w:sz w:val="20"/>
          <w:szCs w:val="20"/>
          <w:lang w:val="es-ES_tradnl"/>
        </w:rPr>
        <w:t xml:space="preserve">. En el presente </w:t>
      </w:r>
      <w:r>
        <w:rPr>
          <w:rFonts w:ascii="Cambria" w:hAnsi="Cambria" w:cs="Calibri"/>
          <w:sz w:val="20"/>
          <w:szCs w:val="20"/>
          <w:lang w:val="es-ES_tradnl"/>
        </w:rPr>
        <w:t>asunto</w:t>
      </w:r>
      <w:r w:rsidR="000A2C27" w:rsidRPr="000A2C27">
        <w:rPr>
          <w:rFonts w:ascii="Cambria" w:hAnsi="Cambria" w:cs="Calibri"/>
          <w:sz w:val="20"/>
          <w:szCs w:val="20"/>
          <w:lang w:val="es-ES_tradnl"/>
        </w:rPr>
        <w:t xml:space="preserve">, a efectos de </w:t>
      </w:r>
      <w:r>
        <w:rPr>
          <w:rFonts w:ascii="Cambria" w:hAnsi="Cambria" w:cs="Calibri"/>
          <w:sz w:val="20"/>
          <w:szCs w:val="20"/>
          <w:lang w:val="es-ES_tradnl"/>
        </w:rPr>
        <w:t xml:space="preserve">la </w:t>
      </w:r>
      <w:r w:rsidR="000A2C27" w:rsidRPr="000A2C27">
        <w:rPr>
          <w:rFonts w:ascii="Cambria" w:hAnsi="Cambria" w:cs="Calibri"/>
          <w:sz w:val="20"/>
          <w:szCs w:val="20"/>
          <w:lang w:val="es-ES_tradnl"/>
        </w:rPr>
        <w:t>admisibilidad, la C</w:t>
      </w:r>
      <w:r>
        <w:rPr>
          <w:rFonts w:ascii="Cambria" w:hAnsi="Cambria" w:cs="Calibri"/>
          <w:sz w:val="20"/>
          <w:szCs w:val="20"/>
          <w:lang w:val="es-ES_tradnl"/>
        </w:rPr>
        <w:t>IDH</w:t>
      </w:r>
      <w:r w:rsidR="000A2C27" w:rsidRPr="000A2C27">
        <w:rPr>
          <w:rFonts w:ascii="Cambria" w:hAnsi="Cambria" w:cs="Calibri"/>
          <w:sz w:val="20"/>
          <w:szCs w:val="20"/>
          <w:lang w:val="es-ES_tradnl"/>
        </w:rPr>
        <w:t xml:space="preserve"> estima que el tiempo transcurrido</w:t>
      </w:r>
      <w:r w:rsidR="000A2C27">
        <w:rPr>
          <w:rFonts w:ascii="Cambria" w:hAnsi="Cambria" w:cs="Calibri"/>
          <w:sz w:val="20"/>
          <w:szCs w:val="20"/>
          <w:lang w:val="es-ES_tradnl"/>
        </w:rPr>
        <w:t xml:space="preserve"> desde que la presunta víctima fuera </w:t>
      </w:r>
      <w:r>
        <w:rPr>
          <w:rFonts w:ascii="Cambria" w:hAnsi="Cambria" w:cs="Calibri"/>
          <w:sz w:val="20"/>
          <w:szCs w:val="20"/>
          <w:lang w:val="es-ES_tradnl"/>
        </w:rPr>
        <w:t>vinculada</w:t>
      </w:r>
      <w:r w:rsidR="000A2C27">
        <w:rPr>
          <w:rFonts w:ascii="Cambria" w:hAnsi="Cambria" w:cs="Calibri"/>
          <w:sz w:val="20"/>
          <w:szCs w:val="20"/>
          <w:lang w:val="es-ES_tradnl"/>
        </w:rPr>
        <w:t xml:space="preserve"> al proceso sin una dec</w:t>
      </w:r>
      <w:r w:rsidR="004538F0">
        <w:rPr>
          <w:rFonts w:ascii="Cambria" w:hAnsi="Cambria" w:cs="Calibri"/>
          <w:sz w:val="20"/>
          <w:szCs w:val="20"/>
          <w:lang w:val="es-ES_tradnl"/>
        </w:rPr>
        <w:t xml:space="preserve">isión definitiva justifica la aplicación de la excepción al requisito de agotamiento de recursos internos prevista en el artículo 46.2(c) de la Convención Americana. </w:t>
      </w:r>
      <w:r w:rsidR="004538F0" w:rsidRPr="00207D02">
        <w:rPr>
          <w:rFonts w:ascii="Cambria" w:hAnsi="Cambria" w:cs="Calibri"/>
          <w:sz w:val="20"/>
          <w:szCs w:val="20"/>
          <w:lang w:val="es-ES_tradnl"/>
        </w:rPr>
        <w:t xml:space="preserve">Dado que la petición fue presentada </w:t>
      </w:r>
      <w:r>
        <w:rPr>
          <w:rFonts w:ascii="Cambria" w:hAnsi="Cambria" w:cs="Calibri"/>
          <w:sz w:val="20"/>
          <w:szCs w:val="20"/>
          <w:lang w:val="es-ES_tradnl"/>
        </w:rPr>
        <w:t xml:space="preserve">mientras seguían </w:t>
      </w:r>
      <w:r w:rsidR="004538F0" w:rsidRPr="00207D02">
        <w:rPr>
          <w:rFonts w:ascii="Cambria" w:hAnsi="Cambria" w:cs="Calibri"/>
          <w:sz w:val="20"/>
          <w:szCs w:val="20"/>
          <w:lang w:val="es-ES_tradnl"/>
        </w:rPr>
        <w:t>vigente</w:t>
      </w:r>
      <w:r>
        <w:rPr>
          <w:rFonts w:ascii="Cambria" w:hAnsi="Cambria" w:cs="Calibri"/>
          <w:sz w:val="20"/>
          <w:szCs w:val="20"/>
          <w:lang w:val="es-ES_tradnl"/>
        </w:rPr>
        <w:t>s</w:t>
      </w:r>
      <w:r w:rsidR="004538F0" w:rsidRPr="00207D02">
        <w:rPr>
          <w:rFonts w:ascii="Cambria" w:hAnsi="Cambria" w:cs="Calibri"/>
          <w:sz w:val="20"/>
          <w:szCs w:val="20"/>
          <w:lang w:val="es-ES_tradnl"/>
        </w:rPr>
        <w:t xml:space="preserve"> </w:t>
      </w:r>
      <w:r w:rsidR="004538F0">
        <w:rPr>
          <w:rFonts w:ascii="Cambria" w:hAnsi="Cambria" w:cs="Calibri"/>
          <w:sz w:val="20"/>
          <w:szCs w:val="20"/>
          <w:lang w:val="es-ES_tradnl"/>
        </w:rPr>
        <w:t>los agravios denunciados en ella</w:t>
      </w:r>
      <w:r w:rsidR="004538F0" w:rsidRPr="00207D02">
        <w:rPr>
          <w:rFonts w:ascii="Cambria" w:hAnsi="Cambria" w:cs="Calibri"/>
          <w:sz w:val="20"/>
          <w:szCs w:val="20"/>
          <w:lang w:val="es-ES_tradnl"/>
        </w:rPr>
        <w:t xml:space="preserve">, la Comisión también concluye que </w:t>
      </w:r>
      <w:r>
        <w:rPr>
          <w:rFonts w:ascii="Cambria" w:hAnsi="Cambria" w:cs="Calibri"/>
          <w:sz w:val="20"/>
          <w:szCs w:val="20"/>
          <w:lang w:val="es-ES_tradnl"/>
        </w:rPr>
        <w:t xml:space="preserve">se ha cumplido con el </w:t>
      </w:r>
      <w:r w:rsidR="004538F0" w:rsidRPr="00207D02">
        <w:rPr>
          <w:rFonts w:ascii="Cambria" w:hAnsi="Cambria" w:cs="Calibri"/>
          <w:sz w:val="20"/>
          <w:szCs w:val="20"/>
          <w:lang w:val="es-ES_tradnl"/>
        </w:rPr>
        <w:t xml:space="preserve">plazo razonable </w:t>
      </w:r>
      <w:r>
        <w:rPr>
          <w:rFonts w:ascii="Cambria" w:hAnsi="Cambria" w:cs="Calibri"/>
          <w:sz w:val="20"/>
          <w:szCs w:val="20"/>
          <w:lang w:val="es-ES_tradnl"/>
        </w:rPr>
        <w:t xml:space="preserve">establecido en </w:t>
      </w:r>
      <w:r w:rsidR="004538F0" w:rsidRPr="00207D02">
        <w:rPr>
          <w:rFonts w:ascii="Cambria" w:hAnsi="Cambria" w:cs="Calibri"/>
          <w:sz w:val="20"/>
          <w:szCs w:val="20"/>
          <w:lang w:val="es-ES_tradnl"/>
        </w:rPr>
        <w:t xml:space="preserve">el artículo 32.2 de su </w:t>
      </w:r>
      <w:r>
        <w:rPr>
          <w:rFonts w:ascii="Cambria" w:hAnsi="Cambria" w:cs="Calibri"/>
          <w:sz w:val="20"/>
          <w:szCs w:val="20"/>
          <w:lang w:val="es-ES_tradnl"/>
        </w:rPr>
        <w:t>R</w:t>
      </w:r>
      <w:r w:rsidR="004538F0" w:rsidRPr="00207D02">
        <w:rPr>
          <w:rFonts w:ascii="Cambria" w:hAnsi="Cambria" w:cs="Calibri"/>
          <w:sz w:val="20"/>
          <w:szCs w:val="20"/>
          <w:lang w:val="es-ES_tradnl"/>
        </w:rPr>
        <w:t xml:space="preserve">eglamento. Estas decisiones no prejuzgan sobre el fondo de la petición </w:t>
      </w:r>
      <w:r>
        <w:rPr>
          <w:rFonts w:ascii="Cambria" w:hAnsi="Cambria" w:cs="Calibri"/>
          <w:sz w:val="20"/>
          <w:szCs w:val="20"/>
          <w:lang w:val="es-ES_tradnl"/>
        </w:rPr>
        <w:t xml:space="preserve">ni sobre </w:t>
      </w:r>
      <w:r w:rsidR="004538F0" w:rsidRPr="00207D02">
        <w:rPr>
          <w:rFonts w:ascii="Cambria" w:hAnsi="Cambria" w:cs="Calibri"/>
          <w:sz w:val="20"/>
          <w:szCs w:val="20"/>
          <w:lang w:val="es-ES_tradnl"/>
        </w:rPr>
        <w:t>la veracidad de l</w:t>
      </w:r>
      <w:r>
        <w:rPr>
          <w:rFonts w:ascii="Cambria" w:hAnsi="Cambria" w:cs="Calibri"/>
          <w:sz w:val="20"/>
          <w:szCs w:val="20"/>
          <w:lang w:val="es-ES_tradnl"/>
        </w:rPr>
        <w:t>o alegado</w:t>
      </w:r>
      <w:r w:rsidR="004538F0" w:rsidRPr="00207D02">
        <w:rPr>
          <w:rFonts w:ascii="Cambria" w:hAnsi="Cambria" w:cs="Calibri"/>
          <w:sz w:val="20"/>
          <w:szCs w:val="20"/>
          <w:lang w:val="es-ES_tradnl"/>
        </w:rPr>
        <w:t>.</w:t>
      </w:r>
    </w:p>
    <w:p w14:paraId="114D0858" w14:textId="28D8F1C6" w:rsidR="003071E8" w:rsidRDefault="003071E8">
      <w:pPr>
        <w:rPr>
          <w:rFonts w:asciiTheme="majorHAnsi" w:hAnsiTheme="majorHAnsi"/>
          <w:b/>
          <w:bCs/>
          <w:sz w:val="20"/>
          <w:szCs w:val="20"/>
          <w:lang w:val="es-ES"/>
        </w:rPr>
      </w:pPr>
      <w:r>
        <w:rPr>
          <w:rFonts w:asciiTheme="majorHAnsi" w:hAnsiTheme="majorHAnsi"/>
          <w:b/>
          <w:bCs/>
          <w:sz w:val="20"/>
          <w:szCs w:val="20"/>
          <w:lang w:val="es-ES"/>
        </w:rPr>
        <w:br w:type="page"/>
      </w:r>
    </w:p>
    <w:p w14:paraId="7090A929" w14:textId="4502512E" w:rsidR="00F04591" w:rsidRPr="000A2C27" w:rsidRDefault="00F04591" w:rsidP="002F5577">
      <w:pPr>
        <w:suppressAutoHyphens/>
        <w:ind w:left="720"/>
        <w:jc w:val="both"/>
        <w:rPr>
          <w:rFonts w:asciiTheme="majorHAnsi" w:hAnsiTheme="majorHAnsi"/>
          <w:b/>
          <w:bCs/>
          <w:sz w:val="20"/>
          <w:szCs w:val="20"/>
          <w:lang w:val="es-ES"/>
        </w:rPr>
      </w:pPr>
      <w:r w:rsidRPr="000A2C27">
        <w:rPr>
          <w:rFonts w:asciiTheme="majorHAnsi" w:hAnsiTheme="majorHAnsi"/>
          <w:b/>
          <w:bCs/>
          <w:sz w:val="20"/>
          <w:szCs w:val="20"/>
          <w:lang w:val="es-ES"/>
        </w:rPr>
        <w:lastRenderedPageBreak/>
        <w:t>V</w:t>
      </w:r>
      <w:r w:rsidR="000E2789" w:rsidRPr="000A2C27">
        <w:rPr>
          <w:rFonts w:asciiTheme="majorHAnsi" w:hAnsiTheme="majorHAnsi"/>
          <w:b/>
          <w:bCs/>
          <w:sz w:val="20"/>
          <w:szCs w:val="20"/>
          <w:lang w:val="es-ES"/>
        </w:rPr>
        <w:t>I</w:t>
      </w:r>
      <w:r w:rsidRPr="000A2C27">
        <w:rPr>
          <w:rFonts w:asciiTheme="majorHAnsi" w:hAnsiTheme="majorHAnsi"/>
          <w:b/>
          <w:bCs/>
          <w:sz w:val="20"/>
          <w:szCs w:val="20"/>
          <w:lang w:val="es-ES"/>
        </w:rPr>
        <w:t xml:space="preserve">I. </w:t>
      </w:r>
      <w:r w:rsidRPr="000A2C27">
        <w:rPr>
          <w:rFonts w:asciiTheme="majorHAnsi" w:hAnsiTheme="majorHAnsi"/>
          <w:b/>
          <w:bCs/>
          <w:sz w:val="20"/>
          <w:szCs w:val="20"/>
          <w:lang w:val="es-ES"/>
        </w:rPr>
        <w:tab/>
        <w:t>CARACTERIZACIÓN</w:t>
      </w:r>
    </w:p>
    <w:p w14:paraId="04B42362" w14:textId="77777777" w:rsidR="003071E8" w:rsidRPr="003071E8" w:rsidRDefault="003071E8" w:rsidP="003071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0"/>
          <w:szCs w:val="20"/>
          <w:lang w:val="es-PE"/>
        </w:rPr>
      </w:pPr>
    </w:p>
    <w:p w14:paraId="6EB60523" w14:textId="1493833B" w:rsidR="00722E22" w:rsidRPr="003071E8" w:rsidRDefault="00E46AF9" w:rsidP="002F557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imes New Roman" w:eastAsia="Times New Roman" w:hAnsi="Times New Roman" w:cs="Times New Roman"/>
          <w:color w:val="auto"/>
          <w:sz w:val="20"/>
          <w:szCs w:val="20"/>
          <w:lang w:val="es-PE"/>
        </w:rPr>
      </w:pPr>
      <w:r w:rsidRPr="00BF4E8C">
        <w:rPr>
          <w:sz w:val="20"/>
          <w:szCs w:val="20"/>
          <w:lang w:val="es-AR"/>
        </w:rPr>
        <w:t xml:space="preserve">La </w:t>
      </w:r>
      <w:r w:rsidR="001C01B7">
        <w:rPr>
          <w:sz w:val="20"/>
          <w:szCs w:val="20"/>
          <w:lang w:val="es-AR"/>
        </w:rPr>
        <w:t xml:space="preserve">parte peticionaria </w:t>
      </w:r>
      <w:r w:rsidRPr="00BF4E8C">
        <w:rPr>
          <w:sz w:val="20"/>
          <w:szCs w:val="20"/>
          <w:lang w:val="es-AR"/>
        </w:rPr>
        <w:t>alega</w:t>
      </w:r>
      <w:r w:rsidR="009354B0" w:rsidRPr="00BF4E8C">
        <w:rPr>
          <w:sz w:val="20"/>
          <w:szCs w:val="20"/>
          <w:lang w:val="es-AR"/>
        </w:rPr>
        <w:t xml:space="preserve"> que </w:t>
      </w:r>
      <w:r w:rsidR="004538F0">
        <w:rPr>
          <w:sz w:val="20"/>
          <w:szCs w:val="20"/>
          <w:lang w:val="es-AR"/>
        </w:rPr>
        <w:t>la presunta víctima ha permanecido sometid</w:t>
      </w:r>
      <w:r w:rsidR="001C01B7">
        <w:rPr>
          <w:sz w:val="20"/>
          <w:szCs w:val="20"/>
          <w:lang w:val="es-AR"/>
        </w:rPr>
        <w:t>a</w:t>
      </w:r>
      <w:r w:rsidR="004538F0">
        <w:rPr>
          <w:sz w:val="20"/>
          <w:szCs w:val="20"/>
          <w:lang w:val="es-AR"/>
        </w:rPr>
        <w:t xml:space="preserve"> a un proceso de extinción de dominio por más de 16 años</w:t>
      </w:r>
      <w:r w:rsidR="00E41D33">
        <w:rPr>
          <w:sz w:val="20"/>
          <w:szCs w:val="20"/>
          <w:lang w:val="es-AR"/>
        </w:rPr>
        <w:t>, pese a haber sido previamente absuelt</w:t>
      </w:r>
      <w:r w:rsidR="001C01B7">
        <w:rPr>
          <w:sz w:val="20"/>
          <w:szCs w:val="20"/>
          <w:lang w:val="es-AR"/>
        </w:rPr>
        <w:t>a</w:t>
      </w:r>
      <w:r w:rsidR="00E41D33">
        <w:rPr>
          <w:sz w:val="20"/>
          <w:szCs w:val="20"/>
          <w:lang w:val="es-AR"/>
        </w:rPr>
        <w:t xml:space="preserve"> de responsabilidad penal por los mismos hechos. También se denuncia que las medidas cautelares dictadas dentro del proceso ha</w:t>
      </w:r>
      <w:r w:rsidR="00A076D3">
        <w:rPr>
          <w:sz w:val="20"/>
          <w:szCs w:val="20"/>
          <w:lang w:val="es-AR"/>
        </w:rPr>
        <w:t xml:space="preserve">n tenido un impacto desproporcionado sobre </w:t>
      </w:r>
      <w:r w:rsidR="001C01B7">
        <w:rPr>
          <w:sz w:val="20"/>
          <w:szCs w:val="20"/>
          <w:lang w:val="es-AR"/>
        </w:rPr>
        <w:t>sus</w:t>
      </w:r>
      <w:r w:rsidR="00A076D3">
        <w:rPr>
          <w:sz w:val="20"/>
          <w:szCs w:val="20"/>
          <w:lang w:val="es-AR"/>
        </w:rPr>
        <w:t xml:space="preserve"> derechos, </w:t>
      </w:r>
      <w:r w:rsidR="001C01B7">
        <w:rPr>
          <w:sz w:val="20"/>
          <w:szCs w:val="20"/>
          <w:lang w:val="es-AR"/>
        </w:rPr>
        <w:t xml:space="preserve">ya que le han privado </w:t>
      </w:r>
      <w:r w:rsidR="00A076D3">
        <w:rPr>
          <w:sz w:val="20"/>
          <w:szCs w:val="20"/>
          <w:lang w:val="es-AR"/>
        </w:rPr>
        <w:t>por largo tiempo</w:t>
      </w:r>
      <w:r w:rsidR="00E41D33">
        <w:rPr>
          <w:sz w:val="20"/>
          <w:szCs w:val="20"/>
          <w:lang w:val="es-AR"/>
        </w:rPr>
        <w:t xml:space="preserve"> </w:t>
      </w:r>
      <w:r w:rsidR="00A076D3">
        <w:rPr>
          <w:sz w:val="20"/>
          <w:szCs w:val="20"/>
          <w:lang w:val="es-AR"/>
        </w:rPr>
        <w:t>d</w:t>
      </w:r>
      <w:r w:rsidR="00E41D33">
        <w:rPr>
          <w:sz w:val="20"/>
          <w:szCs w:val="20"/>
          <w:lang w:val="es-AR"/>
        </w:rPr>
        <w:t>el goce de algunos de sus bienes</w:t>
      </w:r>
      <w:r w:rsidR="001C01B7">
        <w:rPr>
          <w:sz w:val="20"/>
          <w:szCs w:val="20"/>
          <w:lang w:val="es-AR"/>
        </w:rPr>
        <w:t>,</w:t>
      </w:r>
      <w:r w:rsidR="00E41D33">
        <w:rPr>
          <w:sz w:val="20"/>
          <w:szCs w:val="20"/>
          <w:lang w:val="es-AR"/>
        </w:rPr>
        <w:t xml:space="preserve"> inclu</w:t>
      </w:r>
      <w:r w:rsidR="001C01B7">
        <w:rPr>
          <w:sz w:val="20"/>
          <w:szCs w:val="20"/>
          <w:lang w:val="es-AR"/>
        </w:rPr>
        <w:t>so</w:t>
      </w:r>
      <w:r w:rsidR="00E41D33">
        <w:rPr>
          <w:sz w:val="20"/>
          <w:szCs w:val="20"/>
          <w:lang w:val="es-AR"/>
        </w:rPr>
        <w:t xml:space="preserve"> los que utilizaba para el ejercicio de su profesión y actividad económica. </w:t>
      </w:r>
    </w:p>
    <w:p w14:paraId="793DFC05" w14:textId="77777777" w:rsidR="003071E8" w:rsidRPr="003071E8" w:rsidRDefault="003071E8" w:rsidP="003071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0"/>
          <w:szCs w:val="20"/>
          <w:lang w:val="es-PE"/>
        </w:rPr>
      </w:pPr>
    </w:p>
    <w:p w14:paraId="6925CADA" w14:textId="7EE177BE" w:rsidR="00153012" w:rsidRPr="003071E8" w:rsidRDefault="00BC5048" w:rsidP="002F557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2F709E">
        <w:rPr>
          <w:rFonts w:asciiTheme="majorHAnsi" w:hAnsiTheme="majorHAnsi"/>
          <w:sz w:val="20"/>
          <w:szCs w:val="20"/>
          <w:lang w:val="es-MX"/>
        </w:rPr>
        <w:t>La Comisión toma nota de l</w:t>
      </w:r>
      <w:r w:rsidR="004C0B7C" w:rsidRPr="002F709E">
        <w:rPr>
          <w:rFonts w:asciiTheme="majorHAnsi" w:hAnsiTheme="majorHAnsi"/>
          <w:sz w:val="20"/>
          <w:szCs w:val="20"/>
          <w:lang w:val="es-MX"/>
        </w:rPr>
        <w:t xml:space="preserve">o indicado por el Estado respecto a </w:t>
      </w:r>
      <w:r w:rsidR="001C01B7">
        <w:rPr>
          <w:rFonts w:asciiTheme="majorHAnsi" w:hAnsiTheme="majorHAnsi"/>
          <w:sz w:val="20"/>
          <w:szCs w:val="20"/>
          <w:lang w:val="es-MX"/>
        </w:rPr>
        <w:t xml:space="preserve">la </w:t>
      </w:r>
      <w:r w:rsidR="001C01B7" w:rsidRPr="002F709E">
        <w:rPr>
          <w:rFonts w:asciiTheme="majorHAnsi" w:hAnsiTheme="majorHAnsi"/>
          <w:sz w:val="20"/>
          <w:szCs w:val="20"/>
          <w:lang w:val="es-MX"/>
        </w:rPr>
        <w:t xml:space="preserve">especial complejidad </w:t>
      </w:r>
      <w:r w:rsidR="004C0B7C" w:rsidRPr="002F709E">
        <w:rPr>
          <w:rFonts w:asciiTheme="majorHAnsi" w:hAnsiTheme="majorHAnsi"/>
          <w:sz w:val="20"/>
          <w:szCs w:val="20"/>
          <w:lang w:val="es-MX"/>
        </w:rPr>
        <w:t xml:space="preserve">que </w:t>
      </w:r>
      <w:r w:rsidR="001C01B7">
        <w:rPr>
          <w:rFonts w:asciiTheme="majorHAnsi" w:hAnsiTheme="majorHAnsi"/>
          <w:sz w:val="20"/>
          <w:szCs w:val="20"/>
          <w:lang w:val="es-MX"/>
        </w:rPr>
        <w:t xml:space="preserve">tendría </w:t>
      </w:r>
      <w:r w:rsidR="004C0B7C" w:rsidRPr="002F709E">
        <w:rPr>
          <w:rFonts w:asciiTheme="majorHAnsi" w:hAnsiTheme="majorHAnsi"/>
          <w:sz w:val="20"/>
          <w:szCs w:val="20"/>
          <w:lang w:val="es-MX"/>
        </w:rPr>
        <w:t>el proceso de extinción de dominio</w:t>
      </w:r>
      <w:r w:rsidR="001C01B7">
        <w:rPr>
          <w:rFonts w:asciiTheme="majorHAnsi" w:hAnsiTheme="majorHAnsi"/>
          <w:sz w:val="20"/>
          <w:szCs w:val="20"/>
          <w:lang w:val="es-MX"/>
        </w:rPr>
        <w:t xml:space="preserve">, lo que habría </w:t>
      </w:r>
      <w:r w:rsidR="004C0B7C" w:rsidRPr="002F709E">
        <w:rPr>
          <w:rFonts w:asciiTheme="majorHAnsi" w:hAnsiTheme="majorHAnsi"/>
          <w:sz w:val="20"/>
          <w:szCs w:val="20"/>
          <w:lang w:val="es-MX"/>
        </w:rPr>
        <w:t xml:space="preserve">incidido sobre su duración. Sin embargo, </w:t>
      </w:r>
      <w:r w:rsidR="002F709E" w:rsidRPr="002F709E">
        <w:rPr>
          <w:rFonts w:asciiTheme="majorHAnsi" w:hAnsiTheme="majorHAnsi"/>
          <w:sz w:val="20"/>
          <w:szCs w:val="20"/>
          <w:lang w:val="es-MX"/>
        </w:rPr>
        <w:t xml:space="preserve">también observa </w:t>
      </w:r>
      <w:r w:rsidR="004C0B7C" w:rsidRPr="002F709E">
        <w:rPr>
          <w:rFonts w:asciiTheme="majorHAnsi" w:hAnsiTheme="majorHAnsi"/>
          <w:sz w:val="20"/>
          <w:szCs w:val="20"/>
          <w:lang w:val="es-MX"/>
        </w:rPr>
        <w:t>que</w:t>
      </w:r>
      <w:r w:rsidR="002F709E" w:rsidRPr="002F709E">
        <w:rPr>
          <w:rFonts w:asciiTheme="majorHAnsi" w:hAnsiTheme="majorHAnsi"/>
          <w:sz w:val="20"/>
          <w:szCs w:val="20"/>
          <w:lang w:val="es-MX"/>
        </w:rPr>
        <w:t xml:space="preserve"> el proceso no habría alcanzado la etapa de juicio</w:t>
      </w:r>
      <w:r w:rsidR="001C01B7">
        <w:rPr>
          <w:rFonts w:asciiTheme="majorHAnsi" w:hAnsiTheme="majorHAnsi"/>
          <w:sz w:val="20"/>
          <w:szCs w:val="20"/>
          <w:lang w:val="es-MX"/>
        </w:rPr>
        <w:t xml:space="preserve"> luego de unos</w:t>
      </w:r>
      <w:r w:rsidR="002F709E" w:rsidRPr="002F709E">
        <w:rPr>
          <w:rFonts w:asciiTheme="majorHAnsi" w:hAnsiTheme="majorHAnsi"/>
          <w:sz w:val="20"/>
          <w:szCs w:val="20"/>
          <w:lang w:val="es-MX"/>
        </w:rPr>
        <w:t xml:space="preserve"> 16 años </w:t>
      </w:r>
      <w:r w:rsidR="001C01B7">
        <w:rPr>
          <w:rFonts w:asciiTheme="majorHAnsi" w:hAnsiTheme="majorHAnsi"/>
          <w:sz w:val="20"/>
          <w:szCs w:val="20"/>
          <w:lang w:val="es-MX"/>
        </w:rPr>
        <w:t xml:space="preserve">a partir de la vinculación de </w:t>
      </w:r>
      <w:r w:rsidR="002F709E" w:rsidRPr="002F709E">
        <w:rPr>
          <w:rFonts w:asciiTheme="majorHAnsi" w:hAnsiTheme="majorHAnsi"/>
          <w:sz w:val="20"/>
          <w:szCs w:val="20"/>
          <w:lang w:val="es-MX"/>
        </w:rPr>
        <w:t xml:space="preserve">la presunta víctima. </w:t>
      </w:r>
      <w:r w:rsidR="001C01B7">
        <w:rPr>
          <w:rFonts w:asciiTheme="majorHAnsi" w:hAnsiTheme="majorHAnsi"/>
          <w:sz w:val="20"/>
          <w:szCs w:val="20"/>
          <w:lang w:val="es-MX"/>
        </w:rPr>
        <w:t>D</w:t>
      </w:r>
      <w:r w:rsidR="002F709E" w:rsidRPr="002F709E">
        <w:rPr>
          <w:rFonts w:asciiTheme="majorHAnsi" w:hAnsiTheme="majorHAnsi"/>
          <w:sz w:val="20"/>
          <w:szCs w:val="20"/>
          <w:lang w:val="es-MX"/>
        </w:rPr>
        <w:t>urante el desarrollo del proceso la presunta víctima habría estado sometid</w:t>
      </w:r>
      <w:r w:rsidR="001C01B7">
        <w:rPr>
          <w:rFonts w:asciiTheme="majorHAnsi" w:hAnsiTheme="majorHAnsi"/>
          <w:sz w:val="20"/>
          <w:szCs w:val="20"/>
          <w:lang w:val="es-MX"/>
        </w:rPr>
        <w:t>a</w:t>
      </w:r>
      <w:r w:rsidR="002F709E" w:rsidRPr="002F709E">
        <w:rPr>
          <w:rFonts w:asciiTheme="majorHAnsi" w:hAnsiTheme="majorHAnsi"/>
          <w:sz w:val="20"/>
          <w:szCs w:val="20"/>
          <w:lang w:val="es-MX"/>
        </w:rPr>
        <w:t xml:space="preserve"> a medidas cautelares que habrían restringido el goce de sus bienes</w:t>
      </w:r>
      <w:r w:rsidR="001C01B7">
        <w:rPr>
          <w:rFonts w:asciiTheme="majorHAnsi" w:hAnsiTheme="majorHAnsi"/>
          <w:sz w:val="20"/>
          <w:szCs w:val="20"/>
          <w:lang w:val="es-MX"/>
        </w:rPr>
        <w:t>; al respecto</w:t>
      </w:r>
      <w:r w:rsidR="002F709E" w:rsidRPr="002F709E">
        <w:rPr>
          <w:rFonts w:asciiTheme="majorHAnsi" w:hAnsiTheme="majorHAnsi"/>
          <w:sz w:val="20"/>
          <w:szCs w:val="20"/>
          <w:lang w:val="es-MX"/>
        </w:rPr>
        <w:t xml:space="preserve"> la Corte Interamericana ha determinado que para analizar si un proceso ha cumplido con el plazo razonable “</w:t>
      </w:r>
      <w:r w:rsidR="002F709E" w:rsidRPr="002F709E">
        <w:rPr>
          <w:sz w:val="20"/>
          <w:szCs w:val="20"/>
          <w:lang w:val="es-PA"/>
        </w:rPr>
        <w:t>se debe tomar en cuenta la afectación generada por la duración del procedimiento en la situación jurídica de la persona involucrada”</w:t>
      </w:r>
      <w:r w:rsidR="002F709E">
        <w:rPr>
          <w:rStyle w:val="FootnoteReference"/>
          <w:sz w:val="20"/>
          <w:szCs w:val="20"/>
          <w:lang w:val="es-PA"/>
        </w:rPr>
        <w:footnoteReference w:id="9"/>
      </w:r>
      <w:r w:rsidR="002F709E" w:rsidRPr="002F709E">
        <w:rPr>
          <w:sz w:val="20"/>
          <w:szCs w:val="20"/>
          <w:lang w:val="es-PA"/>
        </w:rPr>
        <w:t>.</w:t>
      </w:r>
      <w:r w:rsidR="00A44052">
        <w:rPr>
          <w:sz w:val="20"/>
          <w:szCs w:val="20"/>
          <w:lang w:val="es-PA"/>
        </w:rPr>
        <w:t xml:space="preserve"> Por estas razones, la C</w:t>
      </w:r>
      <w:r w:rsidR="001C01B7">
        <w:rPr>
          <w:sz w:val="20"/>
          <w:szCs w:val="20"/>
          <w:lang w:val="es-PA"/>
        </w:rPr>
        <w:t>IDH</w:t>
      </w:r>
      <w:r w:rsidR="00A44052">
        <w:rPr>
          <w:sz w:val="20"/>
          <w:szCs w:val="20"/>
          <w:lang w:val="es-PA"/>
        </w:rPr>
        <w:t xml:space="preserve"> estima que no se puede tachar </w:t>
      </w:r>
      <w:r w:rsidR="00A44052" w:rsidRPr="00A44052">
        <w:rPr>
          <w:i/>
          <w:iCs/>
          <w:sz w:val="20"/>
          <w:szCs w:val="20"/>
          <w:lang w:val="es-PA"/>
        </w:rPr>
        <w:t>prima facie</w:t>
      </w:r>
      <w:r w:rsidR="00A44052">
        <w:rPr>
          <w:sz w:val="20"/>
          <w:szCs w:val="20"/>
          <w:lang w:val="es-PA"/>
        </w:rPr>
        <w:t xml:space="preserve"> de manifiestamente </w:t>
      </w:r>
      <w:r w:rsidR="001C01B7">
        <w:rPr>
          <w:sz w:val="20"/>
          <w:szCs w:val="20"/>
          <w:lang w:val="es-PA"/>
        </w:rPr>
        <w:t xml:space="preserve">infundados los alegatos </w:t>
      </w:r>
      <w:r w:rsidR="00A44052">
        <w:rPr>
          <w:sz w:val="20"/>
          <w:szCs w:val="20"/>
          <w:lang w:val="es-PA"/>
        </w:rPr>
        <w:t xml:space="preserve">de la presunta víctima respecto a </w:t>
      </w:r>
      <w:r w:rsidR="001C01B7">
        <w:rPr>
          <w:sz w:val="20"/>
          <w:szCs w:val="20"/>
          <w:lang w:val="es-PA"/>
        </w:rPr>
        <w:t xml:space="preserve">la falta de razonabilidad de la duración del </w:t>
      </w:r>
      <w:r w:rsidR="00A44052">
        <w:rPr>
          <w:sz w:val="20"/>
          <w:szCs w:val="20"/>
          <w:lang w:val="es-PA"/>
        </w:rPr>
        <w:t xml:space="preserve">proceso. Por otra parte, la Comisión ha </w:t>
      </w:r>
      <w:r w:rsidR="008A4E38">
        <w:rPr>
          <w:sz w:val="20"/>
          <w:szCs w:val="20"/>
          <w:lang w:val="es-PA"/>
        </w:rPr>
        <w:t xml:space="preserve">admitido </w:t>
      </w:r>
      <w:r w:rsidR="001C01B7">
        <w:rPr>
          <w:sz w:val="20"/>
          <w:szCs w:val="20"/>
          <w:lang w:val="es-PA"/>
        </w:rPr>
        <w:t xml:space="preserve">anteriormente </w:t>
      </w:r>
      <w:r w:rsidR="008A4E38">
        <w:rPr>
          <w:sz w:val="20"/>
          <w:szCs w:val="20"/>
          <w:lang w:val="es-PA"/>
        </w:rPr>
        <w:t>peticiones relacionadas con la acción de extinción de dominio en Colombia</w:t>
      </w:r>
      <w:r w:rsidR="001C01B7">
        <w:rPr>
          <w:sz w:val="20"/>
          <w:szCs w:val="20"/>
          <w:lang w:val="es-PA"/>
        </w:rPr>
        <w:t>;</w:t>
      </w:r>
      <w:r w:rsidR="008A4E38">
        <w:rPr>
          <w:sz w:val="20"/>
          <w:szCs w:val="20"/>
          <w:lang w:val="es-PA"/>
        </w:rPr>
        <w:t xml:space="preserve"> </w:t>
      </w:r>
      <w:r w:rsidR="001C01B7">
        <w:rPr>
          <w:sz w:val="20"/>
          <w:szCs w:val="20"/>
          <w:lang w:val="es-PA"/>
        </w:rPr>
        <w:t xml:space="preserve">la conclusión en tales asuntos ha sido </w:t>
      </w:r>
      <w:r w:rsidR="008A4E38">
        <w:rPr>
          <w:sz w:val="20"/>
          <w:szCs w:val="20"/>
          <w:lang w:val="es-PA"/>
        </w:rPr>
        <w:t xml:space="preserve">que </w:t>
      </w:r>
      <w:r w:rsidR="00C35049">
        <w:rPr>
          <w:sz w:val="20"/>
          <w:szCs w:val="20"/>
          <w:lang w:val="es-PA"/>
        </w:rPr>
        <w:t xml:space="preserve">se requiere </w:t>
      </w:r>
      <w:r w:rsidR="001C01B7">
        <w:rPr>
          <w:sz w:val="20"/>
          <w:szCs w:val="20"/>
          <w:lang w:val="es-PA"/>
        </w:rPr>
        <w:t xml:space="preserve">de </w:t>
      </w:r>
      <w:r w:rsidR="008A4E38">
        <w:rPr>
          <w:sz w:val="20"/>
          <w:szCs w:val="20"/>
          <w:lang w:val="es-PA"/>
        </w:rPr>
        <w:t xml:space="preserve">un análisis de fondo a fin de determinar </w:t>
      </w:r>
      <w:r w:rsidR="009F3E88">
        <w:rPr>
          <w:sz w:val="20"/>
          <w:szCs w:val="20"/>
          <w:lang w:val="es-PA"/>
        </w:rPr>
        <w:t xml:space="preserve">si la naturaleza de </w:t>
      </w:r>
      <w:r w:rsidR="001C01B7">
        <w:rPr>
          <w:sz w:val="20"/>
          <w:szCs w:val="20"/>
          <w:lang w:val="es-PA"/>
        </w:rPr>
        <w:t>dichos</w:t>
      </w:r>
      <w:r w:rsidR="009F3E88">
        <w:rPr>
          <w:sz w:val="20"/>
          <w:szCs w:val="20"/>
          <w:lang w:val="es-PA"/>
        </w:rPr>
        <w:t xml:space="preserve"> procesos exige la aplicación de </w:t>
      </w:r>
      <w:r w:rsidR="00C35049">
        <w:rPr>
          <w:sz w:val="20"/>
          <w:szCs w:val="20"/>
          <w:lang w:val="es-PA"/>
        </w:rPr>
        <w:t>garantías tales como la presunción de inocencia</w:t>
      </w:r>
      <w:r w:rsidR="001C01B7">
        <w:rPr>
          <w:sz w:val="20"/>
          <w:szCs w:val="20"/>
          <w:lang w:val="es-PA"/>
        </w:rPr>
        <w:t>,</w:t>
      </w:r>
      <w:r w:rsidR="00C35049">
        <w:rPr>
          <w:sz w:val="20"/>
          <w:szCs w:val="20"/>
          <w:lang w:val="es-PA"/>
        </w:rPr>
        <w:t xml:space="preserve"> o el derecho de la persona absuelta a no ser juzgada nuevamente por los mismos hechos</w:t>
      </w:r>
      <w:r w:rsidR="00C35049">
        <w:rPr>
          <w:rStyle w:val="FootnoteReference"/>
          <w:sz w:val="20"/>
          <w:szCs w:val="20"/>
          <w:lang w:val="es-PA"/>
        </w:rPr>
        <w:footnoteReference w:id="10"/>
      </w:r>
      <w:r w:rsidR="00C35049">
        <w:rPr>
          <w:sz w:val="20"/>
          <w:szCs w:val="20"/>
          <w:lang w:val="es-PA"/>
        </w:rPr>
        <w:t>.</w:t>
      </w:r>
    </w:p>
    <w:p w14:paraId="3DCC5737" w14:textId="77777777" w:rsidR="003071E8" w:rsidRPr="001C01B7" w:rsidRDefault="003071E8" w:rsidP="003071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7620B5DB" w14:textId="7093101E" w:rsidR="009F3E88" w:rsidRPr="009F3E88" w:rsidRDefault="009F3E88" w:rsidP="002F557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9F3E88">
        <w:rPr>
          <w:sz w:val="20"/>
          <w:szCs w:val="20"/>
          <w:lang w:val="es-ES"/>
        </w:rPr>
        <w:t>En atención a estas consideraciones</w:t>
      </w:r>
      <w:r w:rsidR="001C01B7">
        <w:rPr>
          <w:sz w:val="20"/>
          <w:szCs w:val="20"/>
          <w:lang w:val="es-ES"/>
        </w:rPr>
        <w:t>,</w:t>
      </w:r>
      <w:r w:rsidRPr="009F3E88">
        <w:rPr>
          <w:sz w:val="20"/>
          <w:szCs w:val="20"/>
          <w:lang w:val="es-ES"/>
        </w:rPr>
        <w:t xml:space="preserve"> y tras examinar los elementos de hecho y de derecho expuestos por las partes</w:t>
      </w:r>
      <w:r w:rsidR="001C01B7">
        <w:rPr>
          <w:sz w:val="20"/>
          <w:szCs w:val="20"/>
          <w:lang w:val="es-ES"/>
        </w:rPr>
        <w:t>,</w:t>
      </w:r>
      <w:r w:rsidRPr="009F3E88">
        <w:rPr>
          <w:sz w:val="20"/>
          <w:szCs w:val="20"/>
          <w:lang w:val="es-ES"/>
        </w:rPr>
        <w:t xml:space="preserve"> la Comisión </w:t>
      </w:r>
      <w:r w:rsidR="001C01B7">
        <w:rPr>
          <w:sz w:val="20"/>
          <w:szCs w:val="20"/>
          <w:lang w:val="es-ES"/>
        </w:rPr>
        <w:t xml:space="preserve">Interamericana </w:t>
      </w:r>
      <w:r w:rsidRPr="009F3E88">
        <w:rPr>
          <w:sz w:val="20"/>
          <w:szCs w:val="20"/>
          <w:lang w:val="es-ES"/>
        </w:rPr>
        <w:t xml:space="preserve">estima que </w:t>
      </w:r>
      <w:r w:rsidR="001C01B7">
        <w:rPr>
          <w:sz w:val="20"/>
          <w:szCs w:val="20"/>
          <w:lang w:val="es-ES"/>
        </w:rPr>
        <w:t xml:space="preserve">los alegatos </w:t>
      </w:r>
      <w:r w:rsidRPr="009F3E88">
        <w:rPr>
          <w:sz w:val="20"/>
          <w:szCs w:val="20"/>
          <w:lang w:val="es-ES"/>
        </w:rPr>
        <w:t>de la parte peticionaria no resultan manifiestamente infundad</w:t>
      </w:r>
      <w:r w:rsidR="001C01B7">
        <w:rPr>
          <w:sz w:val="20"/>
          <w:szCs w:val="20"/>
          <w:lang w:val="es-ES"/>
        </w:rPr>
        <w:t>o</w:t>
      </w:r>
      <w:r w:rsidRPr="009F3E88">
        <w:rPr>
          <w:sz w:val="20"/>
          <w:szCs w:val="20"/>
          <w:lang w:val="es-ES"/>
        </w:rPr>
        <w:t>s y requieren un estudio de fondo pues los hechos alegados, de corroborarse como ciertos</w:t>
      </w:r>
      <w:r w:rsidR="001C01B7">
        <w:rPr>
          <w:sz w:val="20"/>
          <w:szCs w:val="20"/>
          <w:lang w:val="es-ES"/>
        </w:rPr>
        <w:t>,</w:t>
      </w:r>
      <w:r w:rsidRPr="009F3E88">
        <w:rPr>
          <w:sz w:val="20"/>
          <w:szCs w:val="20"/>
          <w:lang w:val="es-ES"/>
        </w:rPr>
        <w:t xml:space="preserve"> podrían c</w:t>
      </w:r>
      <w:r w:rsidR="001C01B7">
        <w:rPr>
          <w:sz w:val="20"/>
          <w:szCs w:val="20"/>
          <w:lang w:val="es-ES"/>
        </w:rPr>
        <w:t xml:space="preserve">onstituir </w:t>
      </w:r>
      <w:r w:rsidRPr="009F3E88">
        <w:rPr>
          <w:sz w:val="20"/>
          <w:szCs w:val="20"/>
          <w:lang w:val="es-ES"/>
        </w:rPr>
        <w:t xml:space="preserve">violaciones </w:t>
      </w:r>
      <w:r w:rsidR="001C01B7">
        <w:rPr>
          <w:sz w:val="20"/>
          <w:szCs w:val="20"/>
          <w:lang w:val="es-ES"/>
        </w:rPr>
        <w:t>de</w:t>
      </w:r>
      <w:r w:rsidRPr="009F3E88">
        <w:rPr>
          <w:sz w:val="20"/>
          <w:szCs w:val="20"/>
          <w:lang w:val="es-ES"/>
        </w:rPr>
        <w:t xml:space="preserve"> los </w:t>
      </w:r>
      <w:r w:rsidR="001C01B7">
        <w:rPr>
          <w:sz w:val="20"/>
          <w:szCs w:val="20"/>
          <w:lang w:val="es-ES"/>
        </w:rPr>
        <w:t xml:space="preserve">derechos reconocidos en los </w:t>
      </w:r>
      <w:r w:rsidRPr="009F3E88">
        <w:rPr>
          <w:sz w:val="20"/>
          <w:szCs w:val="20"/>
          <w:lang w:val="es-ES"/>
        </w:rPr>
        <w:t xml:space="preserve">artículos </w:t>
      </w:r>
      <w:r w:rsidRPr="009F3E88">
        <w:rPr>
          <w:bCs/>
          <w:sz w:val="20"/>
          <w:szCs w:val="20"/>
          <w:lang w:val="es-ES"/>
        </w:rPr>
        <w:t>8 (garantías judiciales), 21 (propiedad privada) y 25 (protección judicial) de la Convención Americana</w:t>
      </w:r>
      <w:r w:rsidR="001C01B7">
        <w:rPr>
          <w:bCs/>
          <w:sz w:val="20"/>
          <w:szCs w:val="20"/>
          <w:lang w:val="es-ES"/>
        </w:rPr>
        <w:t>,</w:t>
      </w:r>
      <w:r w:rsidRPr="009F3E88">
        <w:rPr>
          <w:bCs/>
          <w:sz w:val="20"/>
          <w:szCs w:val="20"/>
          <w:lang w:val="es-ES"/>
        </w:rPr>
        <w:t xml:space="preserve"> en relación con sus artículos 1.1. (obligación de respetar los derechos) y 2 (deber de adoptar disposiciones de derecho interno)</w:t>
      </w:r>
      <w:r>
        <w:rPr>
          <w:bCs/>
          <w:sz w:val="20"/>
          <w:szCs w:val="20"/>
          <w:lang w:val="es-ES"/>
        </w:rPr>
        <w:t>.</w:t>
      </w:r>
    </w:p>
    <w:p w14:paraId="5FFEBC09" w14:textId="77777777" w:rsidR="003071E8" w:rsidRPr="00FA3273" w:rsidRDefault="003071E8" w:rsidP="002F557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9BB41F5" w14:textId="633AC0AE" w:rsidR="003239B8" w:rsidRPr="00BF4E8C" w:rsidRDefault="00EC72AB" w:rsidP="002F557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BF4E8C">
        <w:rPr>
          <w:rFonts w:asciiTheme="majorHAnsi" w:hAnsiTheme="majorHAnsi"/>
          <w:b/>
          <w:bCs/>
          <w:sz w:val="20"/>
          <w:szCs w:val="20"/>
          <w:lang w:val="es-ES"/>
        </w:rPr>
        <w:t>VI</w:t>
      </w:r>
      <w:r w:rsidR="00F04591" w:rsidRPr="00BF4E8C">
        <w:rPr>
          <w:rFonts w:asciiTheme="majorHAnsi" w:hAnsiTheme="majorHAnsi"/>
          <w:b/>
          <w:bCs/>
          <w:sz w:val="20"/>
          <w:szCs w:val="20"/>
          <w:lang w:val="es-ES"/>
        </w:rPr>
        <w:t>II</w:t>
      </w:r>
      <w:r w:rsidR="003239B8" w:rsidRPr="00BF4E8C">
        <w:rPr>
          <w:rFonts w:asciiTheme="majorHAnsi" w:hAnsiTheme="majorHAnsi"/>
          <w:b/>
          <w:bCs/>
          <w:sz w:val="20"/>
          <w:szCs w:val="20"/>
          <w:lang w:val="es-ES"/>
        </w:rPr>
        <w:t xml:space="preserve">. </w:t>
      </w:r>
      <w:r w:rsidR="003239B8" w:rsidRPr="00BF4E8C">
        <w:rPr>
          <w:rFonts w:asciiTheme="majorHAnsi" w:hAnsiTheme="majorHAnsi"/>
          <w:b/>
          <w:bCs/>
          <w:sz w:val="20"/>
          <w:szCs w:val="20"/>
          <w:lang w:val="es-ES"/>
        </w:rPr>
        <w:tab/>
        <w:t>DECISIÓN</w:t>
      </w:r>
    </w:p>
    <w:p w14:paraId="3F42BF37" w14:textId="77777777" w:rsidR="003071E8" w:rsidRPr="003071E8" w:rsidRDefault="003071E8" w:rsidP="003071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35FE56CE" w14:textId="5A3663B9" w:rsidR="00755000" w:rsidRPr="006B770C" w:rsidRDefault="003239B8" w:rsidP="002F557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BF4E8C">
        <w:rPr>
          <w:rFonts w:asciiTheme="majorHAnsi" w:hAnsiTheme="majorHAnsi"/>
          <w:sz w:val="20"/>
          <w:szCs w:val="20"/>
          <w:lang w:val="es-ES"/>
        </w:rPr>
        <w:t xml:space="preserve">Declarar </w:t>
      </w:r>
      <w:r w:rsidR="00FA5DB1" w:rsidRPr="00BF4E8C">
        <w:rPr>
          <w:rFonts w:asciiTheme="majorHAnsi" w:hAnsiTheme="majorHAnsi"/>
          <w:sz w:val="20"/>
          <w:szCs w:val="20"/>
          <w:lang w:val="es-ES"/>
        </w:rPr>
        <w:t xml:space="preserve">admisible la presente petición </w:t>
      </w:r>
      <w:r w:rsidR="004C3A7D" w:rsidRPr="00BF4E8C">
        <w:rPr>
          <w:rFonts w:asciiTheme="majorHAnsi" w:hAnsiTheme="majorHAnsi"/>
          <w:sz w:val="20"/>
          <w:szCs w:val="20"/>
          <w:lang w:val="es-ES"/>
        </w:rPr>
        <w:t xml:space="preserve">en relación con los artículos </w:t>
      </w:r>
      <w:r w:rsidR="009F3E88">
        <w:rPr>
          <w:bCs/>
          <w:sz w:val="19"/>
          <w:szCs w:val="19"/>
          <w:lang w:val="es-ES"/>
        </w:rPr>
        <w:t>8, 21 y 25 de la Convención Americana en relación con sus artículos 1.1 y 2</w:t>
      </w:r>
      <w:bookmarkStart w:id="1" w:name="_GoBack"/>
      <w:bookmarkEnd w:id="1"/>
      <w:r w:rsidR="003071E8">
        <w:rPr>
          <w:bCs/>
          <w:sz w:val="19"/>
          <w:szCs w:val="19"/>
          <w:lang w:val="es-ES"/>
        </w:rPr>
        <w:t>.</w:t>
      </w:r>
      <w:r w:rsidR="006B770C">
        <w:rPr>
          <w:bCs/>
          <w:sz w:val="19"/>
          <w:szCs w:val="19"/>
          <w:lang w:val="es-ES"/>
        </w:rPr>
        <w:t xml:space="preserve">  </w:t>
      </w:r>
    </w:p>
    <w:p w14:paraId="04A8131D" w14:textId="77777777" w:rsidR="003071E8" w:rsidRPr="003071E8" w:rsidRDefault="003071E8" w:rsidP="003071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p>
    <w:p w14:paraId="4157390F" w14:textId="1F84F340" w:rsidR="00D93A90" w:rsidRPr="00977661" w:rsidRDefault="004A6A54" w:rsidP="002F557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BF4E8C">
        <w:rPr>
          <w:rFonts w:asciiTheme="majorHAnsi" w:hAnsiTheme="majorHAnsi"/>
          <w:sz w:val="20"/>
          <w:szCs w:val="20"/>
          <w:lang w:val="es-ES"/>
        </w:rPr>
        <w:t>Notificar a las partes la presente de</w:t>
      </w:r>
      <w:r w:rsidR="00FA5DB1" w:rsidRPr="00BF4E8C">
        <w:rPr>
          <w:rFonts w:asciiTheme="majorHAnsi" w:hAnsiTheme="majorHAnsi"/>
          <w:sz w:val="20"/>
          <w:szCs w:val="20"/>
          <w:lang w:val="es-ES"/>
        </w:rPr>
        <w:t xml:space="preserve">cisión; </w:t>
      </w:r>
      <w:r w:rsidR="009F3E88">
        <w:rPr>
          <w:rFonts w:asciiTheme="majorHAnsi" w:hAnsiTheme="majorHAnsi"/>
          <w:sz w:val="20"/>
          <w:szCs w:val="20"/>
          <w:lang w:val="es-ES"/>
        </w:rPr>
        <w:t xml:space="preserve">proceder con el análisis del fondo del asunto; </w:t>
      </w:r>
      <w:r w:rsidRPr="00BF4E8C">
        <w:rPr>
          <w:rFonts w:asciiTheme="majorHAnsi" w:hAnsiTheme="majorHAnsi"/>
          <w:sz w:val="20"/>
          <w:szCs w:val="20"/>
          <w:lang w:val="es-ES"/>
        </w:rPr>
        <w:t>y publicar esta decisión e incluirla en su Informe Anual a la Asamblea General de la Organización de los Estados Americanos.</w:t>
      </w:r>
    </w:p>
    <w:p w14:paraId="75C515B4" w14:textId="77777777" w:rsidR="00977661" w:rsidRDefault="00977661" w:rsidP="00977661">
      <w:pPr>
        <w:pStyle w:val="ListParagraph"/>
        <w:rPr>
          <w:rFonts w:asciiTheme="majorHAnsi" w:hAnsiTheme="majorHAnsi"/>
          <w:color w:val="FF0000"/>
          <w:sz w:val="20"/>
          <w:szCs w:val="20"/>
          <w:lang w:val="es-ES"/>
        </w:rPr>
      </w:pPr>
    </w:p>
    <w:p w14:paraId="6F88FD31" w14:textId="08612263" w:rsidR="00977661" w:rsidRPr="00A37B82" w:rsidRDefault="00977661" w:rsidP="0097766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56641E6" w14:textId="1170E1DF" w:rsidR="00977661" w:rsidRDefault="00977661" w:rsidP="003921EC">
      <w:pPr>
        <w:suppressAutoHyphens/>
        <w:jc w:val="both"/>
        <w:rPr>
          <w:rFonts w:asciiTheme="majorHAnsi" w:hAnsiTheme="majorHAnsi" w:cs="Arial"/>
          <w:noProof/>
          <w:spacing w:val="-2"/>
          <w:sz w:val="20"/>
          <w:szCs w:val="20"/>
          <w:lang w:val="es-CL"/>
        </w:rPr>
      </w:pPr>
    </w:p>
    <w:sectPr w:rsidR="0097766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83CA" w14:textId="77777777" w:rsidR="008F64E9" w:rsidRDefault="008F64E9">
      <w:r>
        <w:separator/>
      </w:r>
    </w:p>
  </w:endnote>
  <w:endnote w:type="continuationSeparator" w:id="0">
    <w:p w14:paraId="5C6C7840" w14:textId="77777777" w:rsidR="008F64E9" w:rsidRDefault="008F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35C1" w14:textId="77777777" w:rsidR="00501BD6" w:rsidRDefault="00501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6D22706" w:rsidR="000D4E3A" w:rsidRPr="00934A2C" w:rsidRDefault="000D4E3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2CBE">
          <w:rPr>
            <w:noProof/>
            <w:sz w:val="16"/>
            <w:szCs w:val="22"/>
          </w:rPr>
          <w:t>3</w:t>
        </w:r>
        <w:r w:rsidRPr="00934A2C">
          <w:rPr>
            <w:noProof/>
            <w:sz w:val="16"/>
            <w:szCs w:val="22"/>
          </w:rPr>
          <w:fldChar w:fldCharType="end"/>
        </w:r>
      </w:p>
    </w:sdtContent>
  </w:sdt>
  <w:p w14:paraId="68530E6A" w14:textId="77777777" w:rsidR="000D4E3A" w:rsidRDefault="000D4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D4E3A" w:rsidRPr="00934A2C" w:rsidRDefault="000D4E3A">
    <w:pPr>
      <w:pStyle w:val="Footer"/>
      <w:jc w:val="center"/>
      <w:rPr>
        <w:sz w:val="16"/>
        <w:szCs w:val="22"/>
      </w:rPr>
    </w:pPr>
  </w:p>
  <w:p w14:paraId="49059CE3" w14:textId="77777777" w:rsidR="000D4E3A" w:rsidRDefault="000D4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4DA54" w14:textId="77777777" w:rsidR="008F64E9" w:rsidRPr="000F35ED" w:rsidRDefault="008F64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21C4BB" w14:textId="77777777" w:rsidR="008F64E9" w:rsidRPr="000F35ED" w:rsidRDefault="008F64E9" w:rsidP="000F35ED">
      <w:pPr>
        <w:rPr>
          <w:rFonts w:asciiTheme="majorHAnsi" w:hAnsiTheme="majorHAnsi"/>
          <w:sz w:val="16"/>
          <w:szCs w:val="16"/>
        </w:rPr>
      </w:pPr>
      <w:r w:rsidRPr="000F35ED">
        <w:rPr>
          <w:rFonts w:asciiTheme="majorHAnsi" w:hAnsiTheme="majorHAnsi"/>
          <w:sz w:val="16"/>
          <w:szCs w:val="16"/>
        </w:rPr>
        <w:separator/>
      </w:r>
    </w:p>
    <w:p w14:paraId="1685241C" w14:textId="77777777" w:rsidR="008F64E9" w:rsidRPr="000F35ED" w:rsidRDefault="008F64E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A9A6D80" w14:textId="77777777" w:rsidR="008F64E9" w:rsidRPr="000F35ED" w:rsidRDefault="008F64E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16E0F7C" w14:textId="12949559" w:rsidR="002A04A1" w:rsidRPr="00792191" w:rsidRDefault="002A04A1" w:rsidP="001A0D96">
      <w:pPr>
        <w:pStyle w:val="FootnoteText"/>
        <w:spacing w:after="120"/>
        <w:ind w:firstLine="720"/>
        <w:jc w:val="both"/>
        <w:rPr>
          <w:rFonts w:asciiTheme="majorHAnsi" w:hAnsiTheme="majorHAnsi"/>
          <w:sz w:val="16"/>
          <w:szCs w:val="16"/>
          <w:lang w:val="es-PA"/>
        </w:rPr>
      </w:pPr>
      <w:r w:rsidRPr="00792191">
        <w:rPr>
          <w:rStyle w:val="FootnoteReference"/>
          <w:rFonts w:asciiTheme="majorHAnsi" w:hAnsiTheme="majorHAnsi"/>
          <w:sz w:val="16"/>
          <w:szCs w:val="16"/>
        </w:rPr>
        <w:footnoteRef/>
      </w:r>
      <w:r w:rsidRPr="00792191">
        <w:rPr>
          <w:rFonts w:asciiTheme="majorHAnsi" w:hAnsiTheme="majorHAnsi"/>
          <w:sz w:val="16"/>
          <w:szCs w:val="16"/>
          <w:lang w:val="es-PA"/>
        </w:rPr>
        <w:t xml:space="preserve"> La petición denuncia, sin especificar instrumentos o artículos, supuestas violaciones </w:t>
      </w:r>
      <w:r w:rsidR="001C01B7">
        <w:rPr>
          <w:rFonts w:asciiTheme="majorHAnsi" w:hAnsiTheme="majorHAnsi"/>
          <w:sz w:val="16"/>
          <w:szCs w:val="16"/>
          <w:lang w:val="es-PA"/>
        </w:rPr>
        <w:t>de</w:t>
      </w:r>
      <w:r w:rsidRPr="00792191">
        <w:rPr>
          <w:rFonts w:asciiTheme="majorHAnsi" w:hAnsiTheme="majorHAnsi"/>
          <w:sz w:val="16"/>
          <w:szCs w:val="16"/>
          <w:lang w:val="es-PA"/>
        </w:rPr>
        <w:t xml:space="preserve"> los derechos al debido proceso, honra y dignidad, propiedad privada, igual protección de la ley, protección judicial y al trabajo.</w:t>
      </w:r>
    </w:p>
  </w:footnote>
  <w:footnote w:id="3">
    <w:p w14:paraId="79F07139" w14:textId="77777777" w:rsidR="000D4E3A" w:rsidRPr="00792191" w:rsidRDefault="000D4E3A" w:rsidP="001A0D96">
      <w:pPr>
        <w:pStyle w:val="FootnoteText"/>
        <w:spacing w:after="120"/>
        <w:ind w:firstLine="720"/>
        <w:jc w:val="both"/>
        <w:rPr>
          <w:rFonts w:asciiTheme="majorHAnsi" w:hAnsiTheme="majorHAnsi"/>
          <w:sz w:val="16"/>
          <w:szCs w:val="16"/>
          <w:lang w:val="es-ES"/>
        </w:rPr>
      </w:pPr>
      <w:r w:rsidRPr="00792191">
        <w:rPr>
          <w:rStyle w:val="FootnoteReference"/>
          <w:rFonts w:asciiTheme="majorHAnsi" w:hAnsiTheme="majorHAnsi"/>
          <w:sz w:val="16"/>
          <w:szCs w:val="16"/>
        </w:rPr>
        <w:footnoteRef/>
      </w:r>
      <w:r w:rsidRPr="00792191">
        <w:rPr>
          <w:rFonts w:asciiTheme="majorHAnsi" w:hAnsiTheme="majorHAnsi"/>
          <w:sz w:val="16"/>
          <w:szCs w:val="16"/>
          <w:lang w:val="es-ES"/>
        </w:rPr>
        <w:t xml:space="preserve"> Las observaciones de cada parte fueron debidamente trasladadas a la parte contraria.</w:t>
      </w:r>
    </w:p>
  </w:footnote>
  <w:footnote w:id="4">
    <w:p w14:paraId="10E78011" w14:textId="2A591171" w:rsidR="002964CA" w:rsidRPr="00792191" w:rsidRDefault="002964CA" w:rsidP="001A0D96">
      <w:pPr>
        <w:pStyle w:val="FootnoteText"/>
        <w:spacing w:after="120"/>
        <w:ind w:firstLine="720"/>
        <w:jc w:val="both"/>
        <w:rPr>
          <w:rFonts w:asciiTheme="majorHAnsi" w:hAnsiTheme="majorHAnsi"/>
          <w:sz w:val="16"/>
          <w:szCs w:val="16"/>
          <w:lang w:val="es-PA"/>
        </w:rPr>
      </w:pPr>
      <w:r w:rsidRPr="00792191">
        <w:rPr>
          <w:rStyle w:val="FootnoteReference"/>
          <w:rFonts w:asciiTheme="majorHAnsi" w:hAnsiTheme="majorHAnsi"/>
          <w:sz w:val="16"/>
          <w:szCs w:val="16"/>
        </w:rPr>
        <w:footnoteRef/>
      </w:r>
      <w:r w:rsidRPr="00792191">
        <w:rPr>
          <w:rFonts w:asciiTheme="majorHAnsi" w:hAnsiTheme="majorHAnsi"/>
          <w:sz w:val="16"/>
          <w:szCs w:val="16"/>
          <w:lang w:val="es-PA"/>
        </w:rPr>
        <w:t xml:space="preserve"> Esta fue la última comunicación de la parte peticionaria con contenido sustantivo. Sin embargo, el 4 de agosto de 2018 la parte peticionaria respondió a una consulta de interés indicando que continuaba interesada en el trámite de la causa. </w:t>
      </w:r>
    </w:p>
  </w:footnote>
  <w:footnote w:id="5">
    <w:p w14:paraId="0926E194" w14:textId="543AEEAD" w:rsidR="002964CA" w:rsidRPr="00792191" w:rsidRDefault="002964CA" w:rsidP="001A0D96">
      <w:pPr>
        <w:pStyle w:val="FootnoteText"/>
        <w:spacing w:after="120"/>
        <w:ind w:firstLine="720"/>
        <w:jc w:val="both"/>
        <w:rPr>
          <w:rFonts w:asciiTheme="majorHAnsi" w:hAnsiTheme="majorHAnsi"/>
          <w:sz w:val="16"/>
          <w:szCs w:val="16"/>
          <w:lang w:val="es-PA"/>
        </w:rPr>
      </w:pPr>
      <w:r w:rsidRPr="00792191">
        <w:rPr>
          <w:rStyle w:val="FootnoteReference"/>
          <w:rFonts w:asciiTheme="majorHAnsi" w:hAnsiTheme="majorHAnsi"/>
          <w:sz w:val="16"/>
          <w:szCs w:val="16"/>
        </w:rPr>
        <w:footnoteRef/>
      </w:r>
      <w:r w:rsidRPr="00792191">
        <w:rPr>
          <w:rFonts w:asciiTheme="majorHAnsi" w:hAnsiTheme="majorHAnsi"/>
          <w:sz w:val="16"/>
          <w:szCs w:val="16"/>
          <w:lang w:val="es-PA"/>
        </w:rPr>
        <w:t xml:space="preserve"> </w:t>
      </w:r>
      <w:r w:rsidR="00C05700" w:rsidRPr="00792191">
        <w:rPr>
          <w:rFonts w:asciiTheme="majorHAnsi" w:hAnsiTheme="majorHAnsi"/>
          <w:sz w:val="16"/>
          <w:szCs w:val="16"/>
          <w:lang w:val="es-PA"/>
        </w:rPr>
        <w:t xml:space="preserve">En adelante “la Convención Americana”. </w:t>
      </w:r>
    </w:p>
  </w:footnote>
  <w:footnote w:id="6">
    <w:p w14:paraId="5F1B6EA5" w14:textId="76AD1851" w:rsidR="00EF5C81" w:rsidRPr="00792191" w:rsidRDefault="00EF5C81" w:rsidP="001E27D8">
      <w:pPr>
        <w:pStyle w:val="Heading1"/>
        <w:numPr>
          <w:ilvl w:val="0"/>
          <w:numId w:val="0"/>
        </w:numPr>
        <w:spacing w:before="0" w:after="120"/>
        <w:ind w:right="75" w:firstLine="720"/>
        <w:jc w:val="both"/>
        <w:textAlignment w:val="baseline"/>
        <w:rPr>
          <w:rFonts w:eastAsia="Times New Roman" w:cs="Arial"/>
          <w:color w:val="333333"/>
          <w:sz w:val="16"/>
          <w:szCs w:val="16"/>
          <w:bdr w:val="none" w:sz="0" w:space="0" w:color="auto"/>
          <w:lang w:val="es-ES"/>
        </w:rPr>
      </w:pPr>
      <w:r w:rsidRPr="00792191">
        <w:rPr>
          <w:rStyle w:val="FootnoteReference"/>
          <w:sz w:val="16"/>
          <w:szCs w:val="16"/>
        </w:rPr>
        <w:footnoteRef/>
      </w:r>
      <w:r w:rsidRPr="00792191">
        <w:rPr>
          <w:sz w:val="16"/>
          <w:szCs w:val="16"/>
          <w:lang w:val="es-ES"/>
        </w:rPr>
        <w:t xml:space="preserve"> </w:t>
      </w:r>
      <w:r w:rsidRPr="00792191">
        <w:rPr>
          <w:rFonts w:eastAsia="Times New Roman" w:cs="Arial"/>
          <w:b w:val="0"/>
          <w:bCs w:val="0"/>
          <w:color w:val="333333"/>
          <w:kern w:val="36"/>
          <w:sz w:val="16"/>
          <w:szCs w:val="16"/>
          <w:bdr w:val="none" w:sz="0" w:space="0" w:color="auto"/>
          <w:lang w:val="es-ES"/>
        </w:rPr>
        <w:t xml:space="preserve">El </w:t>
      </w:r>
      <w:hyperlink r:id="rId1" w:history="1">
        <w:r w:rsidRPr="00792191">
          <w:rPr>
            <w:rStyle w:val="Hyperlink"/>
            <w:rFonts w:eastAsia="Times New Roman" w:cs="Arial"/>
            <w:b w:val="0"/>
            <w:bCs w:val="0"/>
            <w:color w:val="0000FF"/>
            <w:kern w:val="36"/>
            <w:sz w:val="16"/>
            <w:szCs w:val="16"/>
            <w:bdr w:val="none" w:sz="0" w:space="0" w:color="auto"/>
            <w:lang w:val="es-ES"/>
          </w:rPr>
          <w:t>artículo 326</w:t>
        </w:r>
      </w:hyperlink>
      <w:r w:rsidRPr="00792191">
        <w:rPr>
          <w:rStyle w:val="Hyperlink"/>
          <w:b w:val="0"/>
          <w:bCs w:val="0"/>
          <w:color w:val="0000FF"/>
          <w:sz w:val="16"/>
          <w:szCs w:val="16"/>
          <w:u w:val="none"/>
          <w:lang w:val="es-ES"/>
        </w:rPr>
        <w:t xml:space="preserve"> </w:t>
      </w:r>
      <w:r w:rsidRPr="00792191">
        <w:rPr>
          <w:rFonts w:eastAsia="Times New Roman" w:cs="Arial"/>
          <w:b w:val="0"/>
          <w:bCs w:val="0"/>
          <w:color w:val="333333"/>
          <w:kern w:val="36"/>
          <w:sz w:val="16"/>
          <w:szCs w:val="16"/>
          <w:bdr w:val="none" w:sz="0" w:space="0" w:color="auto"/>
          <w:lang w:val="es-ES"/>
        </w:rPr>
        <w:t xml:space="preserve">del </w:t>
      </w:r>
      <w:r w:rsidRPr="00792191">
        <w:rPr>
          <w:rFonts w:eastAsia="Times New Roman" w:cs="Arial"/>
          <w:b w:val="0"/>
          <w:bCs w:val="0"/>
          <w:color w:val="auto"/>
          <w:kern w:val="36"/>
          <w:sz w:val="16"/>
          <w:szCs w:val="16"/>
          <w:bdr w:val="none" w:sz="0" w:space="0" w:color="auto"/>
          <w:lang w:val="es-ES"/>
        </w:rPr>
        <w:t xml:space="preserve">Código Penal de Colombia </w:t>
      </w:r>
      <w:r w:rsidR="0062178F">
        <w:rPr>
          <w:rFonts w:eastAsia="Times New Roman" w:cs="Arial"/>
          <w:b w:val="0"/>
          <w:bCs w:val="0"/>
          <w:color w:val="auto"/>
          <w:kern w:val="36"/>
          <w:sz w:val="16"/>
          <w:szCs w:val="16"/>
          <w:bdr w:val="none" w:sz="0" w:space="0" w:color="auto"/>
          <w:lang w:val="es-ES"/>
        </w:rPr>
        <w:t>establece</w:t>
      </w:r>
      <w:r w:rsidRPr="00792191">
        <w:rPr>
          <w:rFonts w:eastAsia="Times New Roman" w:cs="Arial"/>
          <w:b w:val="0"/>
          <w:bCs w:val="0"/>
          <w:color w:val="333333"/>
          <w:kern w:val="36"/>
          <w:sz w:val="16"/>
          <w:szCs w:val="16"/>
          <w:bdr w:val="none" w:sz="0" w:space="0" w:color="auto"/>
          <w:lang w:val="es-ES"/>
        </w:rPr>
        <w:t xml:space="preserve"> que incurre en </w:t>
      </w:r>
      <w:proofErr w:type="spellStart"/>
      <w:r w:rsidR="0062178F" w:rsidRPr="00792191">
        <w:rPr>
          <w:rFonts w:eastAsia="Times New Roman" w:cs="Arial"/>
          <w:b w:val="0"/>
          <w:bCs w:val="0"/>
          <w:color w:val="333333"/>
          <w:kern w:val="36"/>
          <w:sz w:val="16"/>
          <w:szCs w:val="16"/>
          <w:bdr w:val="none" w:sz="0" w:space="0" w:color="auto"/>
          <w:lang w:val="es-ES"/>
        </w:rPr>
        <w:t>testaferrato</w:t>
      </w:r>
      <w:proofErr w:type="spellEnd"/>
      <w:r w:rsidR="0062178F" w:rsidRPr="00792191">
        <w:rPr>
          <w:rFonts w:eastAsia="Times New Roman" w:cs="Arial"/>
          <w:b w:val="0"/>
          <w:bCs w:val="0"/>
          <w:color w:val="333333"/>
          <w:kern w:val="36"/>
          <w:sz w:val="16"/>
          <w:szCs w:val="16"/>
          <w:bdr w:val="none" w:sz="0" w:space="0" w:color="auto"/>
          <w:lang w:val="es-ES"/>
        </w:rPr>
        <w:t xml:space="preserve"> </w:t>
      </w:r>
      <w:r w:rsidRPr="00792191">
        <w:rPr>
          <w:rFonts w:eastAsia="Times New Roman" w:cs="Arial"/>
          <w:b w:val="0"/>
          <w:bCs w:val="0"/>
          <w:color w:val="333333"/>
          <w:kern w:val="36"/>
          <w:sz w:val="16"/>
          <w:szCs w:val="16"/>
          <w:bdr w:val="none" w:sz="0" w:space="0" w:color="auto"/>
          <w:lang w:val="es-ES"/>
        </w:rPr>
        <w:t>“q</w:t>
      </w:r>
      <w:r w:rsidRPr="00792191">
        <w:rPr>
          <w:rFonts w:eastAsia="Times New Roman" w:cs="Arial"/>
          <w:b w:val="0"/>
          <w:bCs w:val="0"/>
          <w:color w:val="333333"/>
          <w:sz w:val="16"/>
          <w:szCs w:val="16"/>
          <w:bdr w:val="none" w:sz="0" w:space="0" w:color="auto"/>
          <w:lang w:val="es-ES"/>
        </w:rPr>
        <w:t>uien preste su nombre para adquirir bienes con dineros provenientes del delito de narcotráfico y conexos”</w:t>
      </w:r>
      <w:r w:rsidR="001E27D8" w:rsidRPr="00792191">
        <w:rPr>
          <w:rFonts w:eastAsia="Times New Roman" w:cs="Arial"/>
          <w:b w:val="0"/>
          <w:bCs w:val="0"/>
          <w:color w:val="333333"/>
          <w:sz w:val="16"/>
          <w:szCs w:val="16"/>
          <w:bdr w:val="none" w:sz="0" w:space="0" w:color="auto"/>
          <w:lang w:val="es-ES"/>
        </w:rPr>
        <w:t xml:space="preserve"> o quien realiza tal actividad “</w:t>
      </w:r>
      <w:r w:rsidRPr="00792191">
        <w:rPr>
          <w:rFonts w:eastAsia="Times New Roman" w:cs="Arial"/>
          <w:b w:val="0"/>
          <w:bCs w:val="0"/>
          <w:color w:val="333333"/>
          <w:sz w:val="16"/>
          <w:szCs w:val="16"/>
          <w:bdr w:val="none" w:sz="0" w:space="0" w:color="auto"/>
          <w:lang w:val="es-ES"/>
        </w:rPr>
        <w:t>con dineros provenientes del secuestro extorsivo, extorsión y conexos</w:t>
      </w:r>
      <w:r w:rsidR="001E27D8" w:rsidRPr="00792191">
        <w:rPr>
          <w:rFonts w:eastAsia="Times New Roman" w:cs="Arial"/>
          <w:b w:val="0"/>
          <w:bCs w:val="0"/>
          <w:color w:val="333333"/>
          <w:sz w:val="16"/>
          <w:szCs w:val="16"/>
          <w:bdr w:val="none" w:sz="0" w:space="0" w:color="auto"/>
          <w:lang w:val="es-ES"/>
        </w:rPr>
        <w:t>”. Por su parte,</w:t>
      </w:r>
      <w:r w:rsidRPr="00792191">
        <w:rPr>
          <w:rFonts w:eastAsia="Times New Roman" w:cs="Arial"/>
          <w:b w:val="0"/>
          <w:bCs w:val="0"/>
          <w:color w:val="333333"/>
          <w:sz w:val="16"/>
          <w:szCs w:val="16"/>
          <w:bdr w:val="none" w:sz="0" w:space="0" w:color="auto"/>
          <w:lang w:val="es-ES"/>
        </w:rPr>
        <w:t xml:space="preserve"> </w:t>
      </w:r>
      <w:r w:rsidR="001E27D8" w:rsidRPr="00792191">
        <w:rPr>
          <w:rFonts w:eastAsia="Times New Roman" w:cs="Arial"/>
          <w:b w:val="0"/>
          <w:bCs w:val="0"/>
          <w:color w:val="333333"/>
          <w:sz w:val="16"/>
          <w:szCs w:val="16"/>
          <w:bdr w:val="none" w:sz="0" w:space="0" w:color="auto"/>
          <w:lang w:val="es-ES"/>
        </w:rPr>
        <w:t>e</w:t>
      </w:r>
      <w:r w:rsidRPr="00792191">
        <w:rPr>
          <w:rFonts w:eastAsia="Times New Roman" w:cs="Arial"/>
          <w:b w:val="0"/>
          <w:bCs w:val="0"/>
          <w:color w:val="333333"/>
          <w:sz w:val="16"/>
          <w:szCs w:val="16"/>
          <w:bdr w:val="none" w:sz="0" w:space="0" w:color="auto"/>
          <w:lang w:val="es-ES"/>
        </w:rPr>
        <w:t xml:space="preserve">l </w:t>
      </w:r>
      <w:hyperlink r:id="rId2" w:history="1">
        <w:r w:rsidRPr="00792191">
          <w:rPr>
            <w:rStyle w:val="Hyperlink"/>
            <w:rFonts w:eastAsia="Times New Roman" w:cs="Arial"/>
            <w:b w:val="0"/>
            <w:bCs w:val="0"/>
            <w:color w:val="0000FF"/>
            <w:kern w:val="36"/>
            <w:sz w:val="16"/>
            <w:szCs w:val="16"/>
            <w:bdr w:val="none" w:sz="0" w:space="0" w:color="auto"/>
            <w:lang w:val="es-ES"/>
          </w:rPr>
          <w:t>artículo 327</w:t>
        </w:r>
      </w:hyperlink>
      <w:r w:rsidRPr="00792191">
        <w:rPr>
          <w:rFonts w:eastAsia="Times New Roman" w:cs="Arial"/>
          <w:b w:val="0"/>
          <w:bCs w:val="0"/>
          <w:color w:val="333333"/>
          <w:sz w:val="16"/>
          <w:szCs w:val="16"/>
          <w:bdr w:val="none" w:sz="0" w:space="0" w:color="auto"/>
          <w:lang w:val="es-ES"/>
        </w:rPr>
        <w:t xml:space="preserve"> de dicho Código dispone que </w:t>
      </w:r>
      <w:r w:rsidR="0062178F">
        <w:rPr>
          <w:rFonts w:eastAsia="Times New Roman" w:cs="Arial"/>
          <w:b w:val="0"/>
          <w:bCs w:val="0"/>
          <w:color w:val="333333"/>
          <w:sz w:val="16"/>
          <w:szCs w:val="16"/>
          <w:bdr w:val="none" w:sz="0" w:space="0" w:color="auto"/>
          <w:lang w:val="es-ES"/>
        </w:rPr>
        <w:t>comete</w:t>
      </w:r>
      <w:r w:rsidRPr="00792191">
        <w:rPr>
          <w:rFonts w:eastAsia="Times New Roman" w:cs="Arial"/>
          <w:b w:val="0"/>
          <w:bCs w:val="0"/>
          <w:color w:val="333333"/>
          <w:sz w:val="16"/>
          <w:szCs w:val="16"/>
          <w:bdr w:val="none" w:sz="0" w:space="0" w:color="auto"/>
          <w:lang w:val="es-ES"/>
        </w:rPr>
        <w:t xml:space="preserve"> enriquecimiento ilícito de particulares “el que de manera directa o por interpuesta persona obtenga, para sí o para otro, incremento patrimonial no justificado, derivado en una u otra forma de actividades delictivas”.</w:t>
      </w:r>
      <w:r w:rsidRPr="00792191">
        <w:rPr>
          <w:rFonts w:eastAsia="Times New Roman" w:cs="Arial"/>
          <w:color w:val="333333"/>
          <w:sz w:val="16"/>
          <w:szCs w:val="16"/>
          <w:bdr w:val="none" w:sz="0" w:space="0" w:color="auto"/>
          <w:lang w:val="es-ES"/>
        </w:rPr>
        <w:t xml:space="preserve"> </w:t>
      </w:r>
    </w:p>
  </w:footnote>
  <w:footnote w:id="7">
    <w:p w14:paraId="5AD0A13C" w14:textId="10B3096A" w:rsidR="00792191" w:rsidRPr="00792191" w:rsidRDefault="00792191" w:rsidP="00792191">
      <w:pPr>
        <w:pStyle w:val="FootnoteText"/>
        <w:ind w:firstLine="720"/>
        <w:jc w:val="both"/>
        <w:rPr>
          <w:rFonts w:asciiTheme="majorHAnsi" w:hAnsiTheme="majorHAnsi"/>
          <w:sz w:val="16"/>
          <w:szCs w:val="16"/>
          <w:lang w:val="es-ES"/>
        </w:rPr>
      </w:pPr>
      <w:r w:rsidRPr="00792191">
        <w:rPr>
          <w:rStyle w:val="FootnoteReference"/>
          <w:rFonts w:asciiTheme="majorHAnsi" w:hAnsiTheme="majorHAnsi"/>
          <w:sz w:val="16"/>
          <w:szCs w:val="16"/>
        </w:rPr>
        <w:footnoteRef/>
      </w:r>
      <w:r w:rsidRPr="00792191">
        <w:rPr>
          <w:rFonts w:asciiTheme="majorHAnsi" w:hAnsiTheme="majorHAnsi"/>
          <w:sz w:val="16"/>
          <w:szCs w:val="16"/>
          <w:lang w:val="es-ES"/>
        </w:rPr>
        <w:t xml:space="preserve"> </w:t>
      </w:r>
      <w:r>
        <w:rPr>
          <w:rFonts w:asciiTheme="majorHAnsi" w:hAnsiTheme="majorHAnsi"/>
          <w:sz w:val="16"/>
          <w:szCs w:val="16"/>
          <w:lang w:val="es-ES"/>
        </w:rPr>
        <w:t xml:space="preserve">Los bienes afectados serían los siguientes: </w:t>
      </w:r>
      <w:r w:rsidRPr="00792191">
        <w:rPr>
          <w:rFonts w:asciiTheme="majorHAnsi" w:hAnsiTheme="majorHAnsi"/>
          <w:sz w:val="16"/>
          <w:szCs w:val="16"/>
          <w:lang w:val="es-ES"/>
        </w:rPr>
        <w:t>1 oficina, 1 apartamento, 2 cuartos pequeños utilizados para guardar archivos o instrumentos de aseo, 2 espacios de estacionamiento, 11 lotes de entre 78.1 y 105 m</w:t>
      </w:r>
      <w:r w:rsidRPr="00792191">
        <w:rPr>
          <w:rFonts w:asciiTheme="majorHAnsi" w:hAnsiTheme="majorHAnsi"/>
          <w:sz w:val="16"/>
          <w:szCs w:val="16"/>
          <w:vertAlign w:val="superscript"/>
          <w:lang w:val="es-ES"/>
        </w:rPr>
        <w:t>2</w:t>
      </w:r>
      <w:r w:rsidRPr="00792191">
        <w:rPr>
          <w:rFonts w:asciiTheme="majorHAnsi" w:hAnsiTheme="majorHAnsi"/>
          <w:sz w:val="16"/>
          <w:szCs w:val="16"/>
          <w:lang w:val="es-ES"/>
        </w:rPr>
        <w:t>, 1 predio rural de 2,122 m</w:t>
      </w:r>
      <w:r w:rsidRPr="00792191">
        <w:rPr>
          <w:rFonts w:asciiTheme="majorHAnsi" w:hAnsiTheme="majorHAnsi"/>
          <w:sz w:val="16"/>
          <w:szCs w:val="16"/>
          <w:vertAlign w:val="superscript"/>
          <w:lang w:val="es-ES"/>
        </w:rPr>
        <w:t>2</w:t>
      </w:r>
      <w:proofErr w:type="gramStart"/>
      <w:r w:rsidRPr="00792191">
        <w:rPr>
          <w:rFonts w:asciiTheme="majorHAnsi" w:hAnsiTheme="majorHAnsi"/>
          <w:sz w:val="16"/>
          <w:szCs w:val="16"/>
          <w:vertAlign w:val="superscript"/>
          <w:lang w:val="es-ES"/>
        </w:rPr>
        <w:t>,</w:t>
      </w:r>
      <w:r w:rsidRPr="00792191">
        <w:rPr>
          <w:rFonts w:asciiTheme="majorHAnsi" w:hAnsiTheme="majorHAnsi"/>
          <w:sz w:val="16"/>
          <w:szCs w:val="16"/>
          <w:lang w:val="es-ES"/>
        </w:rPr>
        <w:t>,</w:t>
      </w:r>
      <w:proofErr w:type="gramEnd"/>
      <w:r w:rsidRPr="00792191">
        <w:rPr>
          <w:rFonts w:asciiTheme="majorHAnsi" w:hAnsiTheme="majorHAnsi"/>
          <w:sz w:val="16"/>
          <w:szCs w:val="16"/>
          <w:lang w:val="es-ES"/>
        </w:rPr>
        <w:t xml:space="preserve"> y 1 garaje de 21,45 m</w:t>
      </w:r>
      <w:r w:rsidRPr="00792191">
        <w:rPr>
          <w:rFonts w:asciiTheme="majorHAnsi" w:hAnsiTheme="majorHAnsi"/>
          <w:sz w:val="16"/>
          <w:szCs w:val="16"/>
          <w:vertAlign w:val="superscript"/>
          <w:lang w:val="es-ES"/>
        </w:rPr>
        <w:t>2</w:t>
      </w:r>
      <w:r w:rsidRPr="00792191">
        <w:rPr>
          <w:rFonts w:asciiTheme="majorHAnsi" w:hAnsiTheme="majorHAnsi"/>
          <w:sz w:val="16"/>
          <w:szCs w:val="16"/>
          <w:lang w:val="es-ES"/>
        </w:rPr>
        <w:t>.</w:t>
      </w:r>
    </w:p>
  </w:footnote>
  <w:footnote w:id="8">
    <w:p w14:paraId="0196D35A" w14:textId="30668E9E" w:rsidR="000A2C27" w:rsidRPr="00792191" w:rsidRDefault="000A2C27" w:rsidP="001A0D96">
      <w:pPr>
        <w:pStyle w:val="FootnoteText"/>
        <w:spacing w:after="120"/>
        <w:jc w:val="both"/>
        <w:rPr>
          <w:rFonts w:asciiTheme="majorHAnsi" w:hAnsiTheme="majorHAnsi"/>
          <w:sz w:val="16"/>
          <w:szCs w:val="16"/>
          <w:lang w:val="es-ES_tradnl"/>
        </w:rPr>
      </w:pPr>
      <w:r w:rsidRPr="00792191">
        <w:rPr>
          <w:rFonts w:asciiTheme="majorHAnsi" w:hAnsiTheme="majorHAnsi"/>
          <w:sz w:val="16"/>
          <w:szCs w:val="16"/>
          <w:lang w:val="es-ES"/>
        </w:rPr>
        <w:tab/>
      </w:r>
      <w:r w:rsidRPr="00792191">
        <w:rPr>
          <w:rStyle w:val="FootnoteReference"/>
          <w:rFonts w:asciiTheme="majorHAnsi" w:hAnsiTheme="majorHAnsi"/>
          <w:sz w:val="16"/>
          <w:szCs w:val="16"/>
        </w:rPr>
        <w:footnoteRef/>
      </w:r>
      <w:r w:rsidRPr="00792191">
        <w:rPr>
          <w:rFonts w:asciiTheme="majorHAnsi" w:hAnsiTheme="majorHAnsi"/>
          <w:sz w:val="16"/>
          <w:szCs w:val="16"/>
          <w:lang w:val="es-ES"/>
        </w:rPr>
        <w:t xml:space="preserve"> CIDH, Informe No. 71/17, Petición 271-07. Admisibilidad. Jorge Luis de la Rosa Mejía y otros. Colombia. 29 de junio de 2017, </w:t>
      </w:r>
      <w:r w:rsidR="003071E8" w:rsidRPr="00792191">
        <w:rPr>
          <w:rFonts w:asciiTheme="majorHAnsi" w:hAnsiTheme="majorHAnsi"/>
          <w:sz w:val="16"/>
          <w:szCs w:val="16"/>
          <w:lang w:val="es-ES"/>
        </w:rPr>
        <w:t>párr.</w:t>
      </w:r>
      <w:r w:rsidRPr="00792191">
        <w:rPr>
          <w:rFonts w:asciiTheme="majorHAnsi" w:hAnsiTheme="majorHAnsi"/>
          <w:sz w:val="16"/>
          <w:szCs w:val="16"/>
          <w:lang w:val="es-ES_tradnl"/>
        </w:rPr>
        <w:t xml:space="preserve"> 51.</w:t>
      </w:r>
    </w:p>
  </w:footnote>
  <w:footnote w:id="9">
    <w:p w14:paraId="09E3E8CB" w14:textId="39B49044" w:rsidR="002F709E" w:rsidRPr="00792191" w:rsidRDefault="002F709E" w:rsidP="001A0D96">
      <w:pPr>
        <w:pStyle w:val="FootnoteText"/>
        <w:spacing w:after="120"/>
        <w:ind w:firstLine="720"/>
        <w:jc w:val="both"/>
        <w:rPr>
          <w:rFonts w:asciiTheme="majorHAnsi" w:hAnsiTheme="majorHAnsi"/>
          <w:sz w:val="16"/>
          <w:szCs w:val="16"/>
          <w:lang w:val="es-PA"/>
        </w:rPr>
      </w:pPr>
      <w:r w:rsidRPr="00792191">
        <w:rPr>
          <w:rStyle w:val="FootnoteReference"/>
          <w:rFonts w:asciiTheme="majorHAnsi" w:hAnsiTheme="majorHAnsi"/>
          <w:sz w:val="16"/>
          <w:szCs w:val="16"/>
        </w:rPr>
        <w:footnoteRef/>
      </w:r>
      <w:r w:rsidRPr="00792191">
        <w:rPr>
          <w:rFonts w:asciiTheme="majorHAnsi" w:hAnsiTheme="majorHAnsi"/>
          <w:sz w:val="16"/>
          <w:szCs w:val="16"/>
          <w:lang w:val="es-PA"/>
        </w:rPr>
        <w:t xml:space="preserve"> Corte IDH, Caso Valle Jaramillo y otros vs. Colombia. Fondo, Reparaciones y Costas. Sentencia del 27 de noviembre de 2008, párr</w:t>
      </w:r>
      <w:r w:rsidR="00A44052" w:rsidRPr="00792191">
        <w:rPr>
          <w:rFonts w:asciiTheme="majorHAnsi" w:hAnsiTheme="majorHAnsi"/>
          <w:sz w:val="16"/>
          <w:szCs w:val="16"/>
          <w:lang w:val="es-PA"/>
        </w:rPr>
        <w:t>.</w:t>
      </w:r>
      <w:r w:rsidRPr="00792191">
        <w:rPr>
          <w:rFonts w:asciiTheme="majorHAnsi" w:hAnsiTheme="majorHAnsi"/>
          <w:sz w:val="16"/>
          <w:szCs w:val="16"/>
          <w:lang w:val="es-PA"/>
        </w:rPr>
        <w:t xml:space="preserve"> 155.</w:t>
      </w:r>
    </w:p>
  </w:footnote>
  <w:footnote w:id="10">
    <w:p w14:paraId="78593D4E" w14:textId="37799CDA" w:rsidR="00C35049" w:rsidRPr="00792191" w:rsidRDefault="00C35049" w:rsidP="001A0D96">
      <w:pPr>
        <w:pStyle w:val="FootnoteText"/>
        <w:spacing w:after="120"/>
        <w:ind w:firstLine="720"/>
        <w:jc w:val="both"/>
        <w:rPr>
          <w:rFonts w:asciiTheme="majorHAnsi" w:hAnsiTheme="majorHAnsi"/>
          <w:sz w:val="16"/>
          <w:szCs w:val="16"/>
          <w:lang w:val="es-PA"/>
        </w:rPr>
      </w:pPr>
      <w:r w:rsidRPr="00792191">
        <w:rPr>
          <w:rStyle w:val="FootnoteReference"/>
          <w:rFonts w:asciiTheme="majorHAnsi" w:hAnsiTheme="majorHAnsi"/>
          <w:color w:val="000000" w:themeColor="text1"/>
          <w:sz w:val="16"/>
          <w:szCs w:val="16"/>
        </w:rPr>
        <w:footnoteRef/>
      </w:r>
      <w:r w:rsidRPr="00792191">
        <w:rPr>
          <w:rFonts w:asciiTheme="majorHAnsi" w:hAnsiTheme="majorHAnsi"/>
          <w:color w:val="000000" w:themeColor="text1"/>
          <w:sz w:val="16"/>
          <w:szCs w:val="16"/>
          <w:lang w:val="es-PA"/>
        </w:rPr>
        <w:t xml:space="preserve"> </w:t>
      </w:r>
      <w:r w:rsidR="009F3E88" w:rsidRPr="00792191">
        <w:rPr>
          <w:rFonts w:asciiTheme="majorHAnsi" w:hAnsiTheme="majorHAnsi"/>
          <w:color w:val="000000" w:themeColor="text1"/>
          <w:sz w:val="16"/>
          <w:szCs w:val="16"/>
          <w:lang w:val="es-ES"/>
        </w:rPr>
        <w:t xml:space="preserve">CIDH, Informe No. 55/12, Petición 179-05. Admisibilidad. </w:t>
      </w:r>
      <w:r w:rsidR="009F3E88" w:rsidRPr="00533C89">
        <w:rPr>
          <w:rFonts w:asciiTheme="majorHAnsi" w:hAnsiTheme="majorHAnsi"/>
          <w:color w:val="000000" w:themeColor="text1"/>
          <w:sz w:val="16"/>
          <w:szCs w:val="16"/>
          <w:lang w:val="pt-BR"/>
        </w:rPr>
        <w:t xml:space="preserve">Jesús Amado Sarria Agredo e Hijos. </w:t>
      </w:r>
      <w:r w:rsidR="009F3E88" w:rsidRPr="00792191">
        <w:rPr>
          <w:rFonts w:asciiTheme="majorHAnsi" w:hAnsiTheme="majorHAnsi"/>
          <w:color w:val="000000" w:themeColor="text1"/>
          <w:sz w:val="16"/>
          <w:szCs w:val="16"/>
          <w:lang w:val="es-ES"/>
        </w:rPr>
        <w:t xml:space="preserve">Colombia. 20 de marzo de 2012, </w:t>
      </w:r>
      <w:proofErr w:type="spellStart"/>
      <w:r w:rsidR="009F3E88" w:rsidRPr="00792191">
        <w:rPr>
          <w:rFonts w:asciiTheme="majorHAnsi" w:hAnsiTheme="majorHAnsi"/>
          <w:color w:val="000000" w:themeColor="text1"/>
          <w:sz w:val="16"/>
          <w:szCs w:val="16"/>
          <w:lang w:val="es-ES"/>
        </w:rPr>
        <w:t>párr</w:t>
      </w:r>
      <w:proofErr w:type="spellEnd"/>
      <w:r w:rsidR="009F3E88" w:rsidRPr="00792191">
        <w:rPr>
          <w:rFonts w:asciiTheme="majorHAnsi" w:hAnsiTheme="majorHAnsi"/>
          <w:color w:val="000000" w:themeColor="text1"/>
          <w:sz w:val="16"/>
          <w:szCs w:val="16"/>
          <w:lang w:val="es-ES_tradnl"/>
        </w:rPr>
        <w:t xml:space="preserve">. 44; </w:t>
      </w:r>
      <w:r w:rsidR="009F3E88" w:rsidRPr="00792191">
        <w:rPr>
          <w:rFonts w:asciiTheme="majorHAnsi" w:hAnsiTheme="majorHAnsi"/>
          <w:color w:val="000000" w:themeColor="text1"/>
          <w:sz w:val="16"/>
          <w:szCs w:val="16"/>
          <w:lang w:val="es-PA"/>
        </w:rPr>
        <w:t xml:space="preserve">CIDH, Informe No. 48/17. Petición 338-07. Admisibilidad. Luis Fernando Leyva Micolta. Colombia. 25 de mayo de 2017, </w:t>
      </w:r>
      <w:proofErr w:type="spellStart"/>
      <w:r w:rsidR="009F3E88" w:rsidRPr="00792191">
        <w:rPr>
          <w:rFonts w:asciiTheme="majorHAnsi" w:hAnsiTheme="majorHAnsi"/>
          <w:color w:val="000000" w:themeColor="text1"/>
          <w:sz w:val="16"/>
          <w:szCs w:val="16"/>
          <w:lang w:val="es-PA"/>
        </w:rPr>
        <w:t>párr</w:t>
      </w:r>
      <w:proofErr w:type="spellEnd"/>
      <w:r w:rsidR="009F3E88" w:rsidRPr="00792191">
        <w:rPr>
          <w:rFonts w:asciiTheme="majorHAnsi" w:hAnsiTheme="majorHAnsi"/>
          <w:color w:val="000000" w:themeColor="text1"/>
          <w:sz w:val="16"/>
          <w:szCs w:val="16"/>
          <w:lang w:val="es-PA"/>
        </w:rPr>
        <w:t xml:space="preserve"> 11; </w:t>
      </w:r>
      <w:r w:rsidR="009F3E88" w:rsidRPr="00977661">
        <w:rPr>
          <w:rFonts w:asciiTheme="majorHAnsi" w:hAnsiTheme="majorHAnsi"/>
          <w:color w:val="000000" w:themeColor="text1"/>
          <w:sz w:val="16"/>
          <w:szCs w:val="16"/>
          <w:lang w:val="es-PA"/>
        </w:rPr>
        <w:t xml:space="preserve">CIDH, Informe No. 126/19. </w:t>
      </w:r>
      <w:r w:rsidR="009F3E88" w:rsidRPr="00792191">
        <w:rPr>
          <w:rFonts w:asciiTheme="majorHAnsi" w:hAnsiTheme="majorHAnsi"/>
          <w:color w:val="000000" w:themeColor="text1"/>
          <w:sz w:val="16"/>
          <w:szCs w:val="16"/>
          <w:lang w:val="es-ES_tradnl"/>
        </w:rPr>
        <w:t xml:space="preserve">Admisibilidad. Eduardo Enrique Dávila Armenta. Colombia. </w:t>
      </w:r>
      <w:r w:rsidR="009F3E88" w:rsidRPr="00792191">
        <w:rPr>
          <w:rFonts w:asciiTheme="majorHAnsi" w:hAnsiTheme="majorHAnsi"/>
          <w:color w:val="000000" w:themeColor="text1"/>
          <w:sz w:val="16"/>
          <w:szCs w:val="16"/>
          <w:lang w:val="es-ES"/>
        </w:rPr>
        <w:t>2 de agosto de 2019, párr.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D4E3A" w:rsidRDefault="000D4E3A"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D4E3A" w:rsidRDefault="000D4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D4E3A" w:rsidRDefault="000D4E3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D4E3A" w:rsidRPr="00EC7D62" w:rsidRDefault="008F64E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EEE4" w14:textId="77777777" w:rsidR="00501BD6" w:rsidRDefault="00501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056"/>
    <w:rsid w:val="0000036F"/>
    <w:rsid w:val="00000CDA"/>
    <w:rsid w:val="0000249E"/>
    <w:rsid w:val="00003321"/>
    <w:rsid w:val="00004713"/>
    <w:rsid w:val="00004A48"/>
    <w:rsid w:val="000065D0"/>
    <w:rsid w:val="00006B74"/>
    <w:rsid w:val="00006E1F"/>
    <w:rsid w:val="000070D7"/>
    <w:rsid w:val="000104F5"/>
    <w:rsid w:val="00015701"/>
    <w:rsid w:val="00016406"/>
    <w:rsid w:val="000168E5"/>
    <w:rsid w:val="000173E6"/>
    <w:rsid w:val="0001788C"/>
    <w:rsid w:val="0002186F"/>
    <w:rsid w:val="000337EF"/>
    <w:rsid w:val="00034010"/>
    <w:rsid w:val="00040C3A"/>
    <w:rsid w:val="000419AD"/>
    <w:rsid w:val="0004364E"/>
    <w:rsid w:val="00060649"/>
    <w:rsid w:val="00064191"/>
    <w:rsid w:val="000716C5"/>
    <w:rsid w:val="00075E23"/>
    <w:rsid w:val="00081C18"/>
    <w:rsid w:val="00086E72"/>
    <w:rsid w:val="00087D19"/>
    <w:rsid w:val="0009006E"/>
    <w:rsid w:val="00092F44"/>
    <w:rsid w:val="0009344A"/>
    <w:rsid w:val="000A19F8"/>
    <w:rsid w:val="000A2C27"/>
    <w:rsid w:val="000A3254"/>
    <w:rsid w:val="000A392E"/>
    <w:rsid w:val="000A44BB"/>
    <w:rsid w:val="000A575F"/>
    <w:rsid w:val="000A63D0"/>
    <w:rsid w:val="000B0579"/>
    <w:rsid w:val="000B0E49"/>
    <w:rsid w:val="000B6A1B"/>
    <w:rsid w:val="000B6A31"/>
    <w:rsid w:val="000C1C69"/>
    <w:rsid w:val="000C3A31"/>
    <w:rsid w:val="000D10DB"/>
    <w:rsid w:val="000D3AA7"/>
    <w:rsid w:val="000D4E3A"/>
    <w:rsid w:val="000D6148"/>
    <w:rsid w:val="000E2789"/>
    <w:rsid w:val="000E3E63"/>
    <w:rsid w:val="000E5EB5"/>
    <w:rsid w:val="000E5F4C"/>
    <w:rsid w:val="000F0B08"/>
    <w:rsid w:val="000F35ED"/>
    <w:rsid w:val="00107009"/>
    <w:rsid w:val="00107131"/>
    <w:rsid w:val="0010736F"/>
    <w:rsid w:val="00111A8A"/>
    <w:rsid w:val="00113F73"/>
    <w:rsid w:val="00121CC2"/>
    <w:rsid w:val="00124CFE"/>
    <w:rsid w:val="0012779F"/>
    <w:rsid w:val="00131D8B"/>
    <w:rsid w:val="00133EE5"/>
    <w:rsid w:val="00136E3D"/>
    <w:rsid w:val="00143EFE"/>
    <w:rsid w:val="001479C0"/>
    <w:rsid w:val="00151F08"/>
    <w:rsid w:val="00153012"/>
    <w:rsid w:val="0015330B"/>
    <w:rsid w:val="0015647F"/>
    <w:rsid w:val="00161278"/>
    <w:rsid w:val="0016341E"/>
    <w:rsid w:val="00164D65"/>
    <w:rsid w:val="00167A34"/>
    <w:rsid w:val="00176BB3"/>
    <w:rsid w:val="00177EEF"/>
    <w:rsid w:val="001853A6"/>
    <w:rsid w:val="00186909"/>
    <w:rsid w:val="00186D2C"/>
    <w:rsid w:val="00187E3D"/>
    <w:rsid w:val="00190317"/>
    <w:rsid w:val="001A0935"/>
    <w:rsid w:val="001A0D96"/>
    <w:rsid w:val="001A3E48"/>
    <w:rsid w:val="001A6683"/>
    <w:rsid w:val="001A7870"/>
    <w:rsid w:val="001B12EC"/>
    <w:rsid w:val="001B1621"/>
    <w:rsid w:val="001B27B9"/>
    <w:rsid w:val="001B3A00"/>
    <w:rsid w:val="001B442A"/>
    <w:rsid w:val="001B47C0"/>
    <w:rsid w:val="001B4C00"/>
    <w:rsid w:val="001B5816"/>
    <w:rsid w:val="001C01B7"/>
    <w:rsid w:val="001C1455"/>
    <w:rsid w:val="001C1B41"/>
    <w:rsid w:val="001C4039"/>
    <w:rsid w:val="001D1B33"/>
    <w:rsid w:val="001D65EF"/>
    <w:rsid w:val="001E1067"/>
    <w:rsid w:val="001E27D8"/>
    <w:rsid w:val="001E49E7"/>
    <w:rsid w:val="001F271B"/>
    <w:rsid w:val="001F371D"/>
    <w:rsid w:val="001F7201"/>
    <w:rsid w:val="00204931"/>
    <w:rsid w:val="0020691D"/>
    <w:rsid w:val="00211731"/>
    <w:rsid w:val="00211BDA"/>
    <w:rsid w:val="0021779A"/>
    <w:rsid w:val="002207F6"/>
    <w:rsid w:val="00221E40"/>
    <w:rsid w:val="00223A29"/>
    <w:rsid w:val="00223BAA"/>
    <w:rsid w:val="002250A3"/>
    <w:rsid w:val="00226222"/>
    <w:rsid w:val="00231294"/>
    <w:rsid w:val="00233654"/>
    <w:rsid w:val="00235217"/>
    <w:rsid w:val="002355A9"/>
    <w:rsid w:val="00241813"/>
    <w:rsid w:val="002435FF"/>
    <w:rsid w:val="00246D1F"/>
    <w:rsid w:val="002473B9"/>
    <w:rsid w:val="00247403"/>
    <w:rsid w:val="00247542"/>
    <w:rsid w:val="00247B64"/>
    <w:rsid w:val="0025012E"/>
    <w:rsid w:val="00253A97"/>
    <w:rsid w:val="00257CF9"/>
    <w:rsid w:val="00266B61"/>
    <w:rsid w:val="0026712A"/>
    <w:rsid w:val="002704DB"/>
    <w:rsid w:val="0027320E"/>
    <w:rsid w:val="00277BDA"/>
    <w:rsid w:val="00285F17"/>
    <w:rsid w:val="00286A61"/>
    <w:rsid w:val="0029575A"/>
    <w:rsid w:val="00295B50"/>
    <w:rsid w:val="002964CA"/>
    <w:rsid w:val="002A04A1"/>
    <w:rsid w:val="002A0AAE"/>
    <w:rsid w:val="002A13F9"/>
    <w:rsid w:val="002A5820"/>
    <w:rsid w:val="002A6BA5"/>
    <w:rsid w:val="002C3350"/>
    <w:rsid w:val="002D2B26"/>
    <w:rsid w:val="002D7EA2"/>
    <w:rsid w:val="002E187C"/>
    <w:rsid w:val="002E6E36"/>
    <w:rsid w:val="002E7512"/>
    <w:rsid w:val="002F0CBF"/>
    <w:rsid w:val="002F3724"/>
    <w:rsid w:val="002F5577"/>
    <w:rsid w:val="002F709E"/>
    <w:rsid w:val="00300C13"/>
    <w:rsid w:val="00302733"/>
    <w:rsid w:val="003071E8"/>
    <w:rsid w:val="003077BF"/>
    <w:rsid w:val="003121D5"/>
    <w:rsid w:val="00314078"/>
    <w:rsid w:val="0031535D"/>
    <w:rsid w:val="00315FD9"/>
    <w:rsid w:val="003207C9"/>
    <w:rsid w:val="003239B8"/>
    <w:rsid w:val="0033169F"/>
    <w:rsid w:val="00341105"/>
    <w:rsid w:val="0034224A"/>
    <w:rsid w:val="00343112"/>
    <w:rsid w:val="00343438"/>
    <w:rsid w:val="00344977"/>
    <w:rsid w:val="00346C95"/>
    <w:rsid w:val="00351155"/>
    <w:rsid w:val="00356185"/>
    <w:rsid w:val="00360380"/>
    <w:rsid w:val="0036066B"/>
    <w:rsid w:val="00363BE4"/>
    <w:rsid w:val="00363DB6"/>
    <w:rsid w:val="00367D17"/>
    <w:rsid w:val="0037519E"/>
    <w:rsid w:val="00382395"/>
    <w:rsid w:val="0038297B"/>
    <w:rsid w:val="00383A0B"/>
    <w:rsid w:val="003843E5"/>
    <w:rsid w:val="00386C6C"/>
    <w:rsid w:val="00386CF0"/>
    <w:rsid w:val="003921EC"/>
    <w:rsid w:val="003942EC"/>
    <w:rsid w:val="003957A5"/>
    <w:rsid w:val="00396562"/>
    <w:rsid w:val="0039714C"/>
    <w:rsid w:val="003A6337"/>
    <w:rsid w:val="003B4FF6"/>
    <w:rsid w:val="003B5585"/>
    <w:rsid w:val="003B70FB"/>
    <w:rsid w:val="003C18C4"/>
    <w:rsid w:val="003C20FF"/>
    <w:rsid w:val="003C4F45"/>
    <w:rsid w:val="003C6112"/>
    <w:rsid w:val="003C676B"/>
    <w:rsid w:val="003C7487"/>
    <w:rsid w:val="003D0A55"/>
    <w:rsid w:val="003D3BC2"/>
    <w:rsid w:val="003D5200"/>
    <w:rsid w:val="003E1C67"/>
    <w:rsid w:val="003E2134"/>
    <w:rsid w:val="003E3DC8"/>
    <w:rsid w:val="003E614F"/>
    <w:rsid w:val="003E6CA1"/>
    <w:rsid w:val="00400F5E"/>
    <w:rsid w:val="004065A8"/>
    <w:rsid w:val="004153F5"/>
    <w:rsid w:val="004165C2"/>
    <w:rsid w:val="00425533"/>
    <w:rsid w:val="004304AD"/>
    <w:rsid w:val="00434A3E"/>
    <w:rsid w:val="00441ECB"/>
    <w:rsid w:val="004435A3"/>
    <w:rsid w:val="00445193"/>
    <w:rsid w:val="00447AE4"/>
    <w:rsid w:val="00447CCF"/>
    <w:rsid w:val="0045229A"/>
    <w:rsid w:val="004538F0"/>
    <w:rsid w:val="004565BA"/>
    <w:rsid w:val="004601CF"/>
    <w:rsid w:val="00462C1B"/>
    <w:rsid w:val="00467B7E"/>
    <w:rsid w:val="0047080D"/>
    <w:rsid w:val="00473BB4"/>
    <w:rsid w:val="00476211"/>
    <w:rsid w:val="00477592"/>
    <w:rsid w:val="00486F1C"/>
    <w:rsid w:val="0049419D"/>
    <w:rsid w:val="004A59CC"/>
    <w:rsid w:val="004A6A54"/>
    <w:rsid w:val="004A75A1"/>
    <w:rsid w:val="004B245C"/>
    <w:rsid w:val="004B50A0"/>
    <w:rsid w:val="004C0323"/>
    <w:rsid w:val="004C0B7C"/>
    <w:rsid w:val="004C20D2"/>
    <w:rsid w:val="004C2312"/>
    <w:rsid w:val="004C3A7D"/>
    <w:rsid w:val="004C4B62"/>
    <w:rsid w:val="004C54C9"/>
    <w:rsid w:val="004C616A"/>
    <w:rsid w:val="004C731B"/>
    <w:rsid w:val="004D3119"/>
    <w:rsid w:val="004D33D4"/>
    <w:rsid w:val="004D4ABA"/>
    <w:rsid w:val="004D4DEE"/>
    <w:rsid w:val="004D6025"/>
    <w:rsid w:val="004E19B1"/>
    <w:rsid w:val="004E2649"/>
    <w:rsid w:val="004E5467"/>
    <w:rsid w:val="004F2474"/>
    <w:rsid w:val="004F2F5D"/>
    <w:rsid w:val="00501399"/>
    <w:rsid w:val="00501652"/>
    <w:rsid w:val="00501BD6"/>
    <w:rsid w:val="005025B1"/>
    <w:rsid w:val="0050633D"/>
    <w:rsid w:val="00507BC4"/>
    <w:rsid w:val="005128E4"/>
    <w:rsid w:val="005129B9"/>
    <w:rsid w:val="005133DB"/>
    <w:rsid w:val="005141C6"/>
    <w:rsid w:val="00525560"/>
    <w:rsid w:val="00533C89"/>
    <w:rsid w:val="00534ED4"/>
    <w:rsid w:val="005415E6"/>
    <w:rsid w:val="0054307F"/>
    <w:rsid w:val="00544216"/>
    <w:rsid w:val="00544C49"/>
    <w:rsid w:val="005516A1"/>
    <w:rsid w:val="005565AF"/>
    <w:rsid w:val="0055761F"/>
    <w:rsid w:val="00561776"/>
    <w:rsid w:val="00563557"/>
    <w:rsid w:val="00567B31"/>
    <w:rsid w:val="0057402A"/>
    <w:rsid w:val="00574CB7"/>
    <w:rsid w:val="005771D0"/>
    <w:rsid w:val="0059191A"/>
    <w:rsid w:val="005921FF"/>
    <w:rsid w:val="005941EF"/>
    <w:rsid w:val="00594707"/>
    <w:rsid w:val="0059763E"/>
    <w:rsid w:val="005A24ED"/>
    <w:rsid w:val="005A6C02"/>
    <w:rsid w:val="005A6D0E"/>
    <w:rsid w:val="005B00F5"/>
    <w:rsid w:val="005B37CC"/>
    <w:rsid w:val="005B52B0"/>
    <w:rsid w:val="005B6806"/>
    <w:rsid w:val="005B6D22"/>
    <w:rsid w:val="005B75B0"/>
    <w:rsid w:val="005C261A"/>
    <w:rsid w:val="005C4225"/>
    <w:rsid w:val="005C7989"/>
    <w:rsid w:val="005D09C1"/>
    <w:rsid w:val="005D13F3"/>
    <w:rsid w:val="005D4EBD"/>
    <w:rsid w:val="005D66AD"/>
    <w:rsid w:val="005D7D16"/>
    <w:rsid w:val="005E0B65"/>
    <w:rsid w:val="005E11B2"/>
    <w:rsid w:val="005E4C8B"/>
    <w:rsid w:val="005F0DAD"/>
    <w:rsid w:val="005F0F33"/>
    <w:rsid w:val="005F2E60"/>
    <w:rsid w:val="00600DEB"/>
    <w:rsid w:val="00604CA5"/>
    <w:rsid w:val="006062FA"/>
    <w:rsid w:val="006068B7"/>
    <w:rsid w:val="006070B9"/>
    <w:rsid w:val="00611CED"/>
    <w:rsid w:val="00615248"/>
    <w:rsid w:val="0061708C"/>
    <w:rsid w:val="0062178F"/>
    <w:rsid w:val="00623A34"/>
    <w:rsid w:val="006274F5"/>
    <w:rsid w:val="006277DE"/>
    <w:rsid w:val="00627C9F"/>
    <w:rsid w:val="006311E9"/>
    <w:rsid w:val="00632354"/>
    <w:rsid w:val="00642810"/>
    <w:rsid w:val="006433D6"/>
    <w:rsid w:val="00647756"/>
    <w:rsid w:val="006509DA"/>
    <w:rsid w:val="00652333"/>
    <w:rsid w:val="00654344"/>
    <w:rsid w:val="0066069F"/>
    <w:rsid w:val="00662E2F"/>
    <w:rsid w:val="00663706"/>
    <w:rsid w:val="0066550E"/>
    <w:rsid w:val="00670BF9"/>
    <w:rsid w:val="006769E1"/>
    <w:rsid w:val="006775AB"/>
    <w:rsid w:val="0068009E"/>
    <w:rsid w:val="006819E9"/>
    <w:rsid w:val="00686471"/>
    <w:rsid w:val="0068794B"/>
    <w:rsid w:val="0069157D"/>
    <w:rsid w:val="00691BBE"/>
    <w:rsid w:val="00692219"/>
    <w:rsid w:val="006928C1"/>
    <w:rsid w:val="0069402E"/>
    <w:rsid w:val="006A17D2"/>
    <w:rsid w:val="006A36BB"/>
    <w:rsid w:val="006A4D7E"/>
    <w:rsid w:val="006A73E6"/>
    <w:rsid w:val="006A7D20"/>
    <w:rsid w:val="006B1B8B"/>
    <w:rsid w:val="006B23DC"/>
    <w:rsid w:val="006B29DD"/>
    <w:rsid w:val="006B2D5C"/>
    <w:rsid w:val="006B2EE8"/>
    <w:rsid w:val="006B5A72"/>
    <w:rsid w:val="006B770C"/>
    <w:rsid w:val="006C4EB1"/>
    <w:rsid w:val="006D016F"/>
    <w:rsid w:val="006E0166"/>
    <w:rsid w:val="006E4E96"/>
    <w:rsid w:val="006E6715"/>
    <w:rsid w:val="006E772A"/>
    <w:rsid w:val="006E7B34"/>
    <w:rsid w:val="006F551A"/>
    <w:rsid w:val="006F73BE"/>
    <w:rsid w:val="007044E1"/>
    <w:rsid w:val="00706189"/>
    <w:rsid w:val="0070697F"/>
    <w:rsid w:val="0072199C"/>
    <w:rsid w:val="00722C9F"/>
    <w:rsid w:val="00722E22"/>
    <w:rsid w:val="007253B8"/>
    <w:rsid w:val="00727B0E"/>
    <w:rsid w:val="0073036F"/>
    <w:rsid w:val="00731F35"/>
    <w:rsid w:val="00732C96"/>
    <w:rsid w:val="0073598C"/>
    <w:rsid w:val="00735A5E"/>
    <w:rsid w:val="00736642"/>
    <w:rsid w:val="0073741F"/>
    <w:rsid w:val="00755000"/>
    <w:rsid w:val="0076643F"/>
    <w:rsid w:val="00777F63"/>
    <w:rsid w:val="007852B5"/>
    <w:rsid w:val="007912C8"/>
    <w:rsid w:val="00792191"/>
    <w:rsid w:val="007931F4"/>
    <w:rsid w:val="00796A37"/>
    <w:rsid w:val="00797C93"/>
    <w:rsid w:val="007A404E"/>
    <w:rsid w:val="007A4279"/>
    <w:rsid w:val="007A5817"/>
    <w:rsid w:val="007A5D4C"/>
    <w:rsid w:val="007B05C4"/>
    <w:rsid w:val="007B11C8"/>
    <w:rsid w:val="007B3BF9"/>
    <w:rsid w:val="007B60E9"/>
    <w:rsid w:val="007B6CC3"/>
    <w:rsid w:val="007C3334"/>
    <w:rsid w:val="007C402A"/>
    <w:rsid w:val="007C5E01"/>
    <w:rsid w:val="007D2720"/>
    <w:rsid w:val="007D2B98"/>
    <w:rsid w:val="007D6BA1"/>
    <w:rsid w:val="007D7C02"/>
    <w:rsid w:val="007E21BC"/>
    <w:rsid w:val="007E58FE"/>
    <w:rsid w:val="007E6869"/>
    <w:rsid w:val="007E7C82"/>
    <w:rsid w:val="007F3ABA"/>
    <w:rsid w:val="007F54FB"/>
    <w:rsid w:val="007F588D"/>
    <w:rsid w:val="00802583"/>
    <w:rsid w:val="00802748"/>
    <w:rsid w:val="00803F1C"/>
    <w:rsid w:val="0080600E"/>
    <w:rsid w:val="00807E8C"/>
    <w:rsid w:val="00817612"/>
    <w:rsid w:val="00826756"/>
    <w:rsid w:val="00827C40"/>
    <w:rsid w:val="00832EB1"/>
    <w:rsid w:val="008338A4"/>
    <w:rsid w:val="00834D49"/>
    <w:rsid w:val="00837C45"/>
    <w:rsid w:val="008411F0"/>
    <w:rsid w:val="008439BC"/>
    <w:rsid w:val="00844730"/>
    <w:rsid w:val="008448B6"/>
    <w:rsid w:val="00845123"/>
    <w:rsid w:val="008457C2"/>
    <w:rsid w:val="00851BF6"/>
    <w:rsid w:val="0085314A"/>
    <w:rsid w:val="00857A82"/>
    <w:rsid w:val="008600A3"/>
    <w:rsid w:val="0086141D"/>
    <w:rsid w:val="00870492"/>
    <w:rsid w:val="00870D95"/>
    <w:rsid w:val="00870F5A"/>
    <w:rsid w:val="00871359"/>
    <w:rsid w:val="00871526"/>
    <w:rsid w:val="00873836"/>
    <w:rsid w:val="00875668"/>
    <w:rsid w:val="008802DC"/>
    <w:rsid w:val="0088046D"/>
    <w:rsid w:val="00881E7D"/>
    <w:rsid w:val="008856AB"/>
    <w:rsid w:val="00885737"/>
    <w:rsid w:val="00890650"/>
    <w:rsid w:val="008919E9"/>
    <w:rsid w:val="008941B1"/>
    <w:rsid w:val="00897E12"/>
    <w:rsid w:val="008A0E20"/>
    <w:rsid w:val="008A0F81"/>
    <w:rsid w:val="008A310C"/>
    <w:rsid w:val="008A392C"/>
    <w:rsid w:val="008A4E38"/>
    <w:rsid w:val="008A520D"/>
    <w:rsid w:val="008A7E0F"/>
    <w:rsid w:val="008B098F"/>
    <w:rsid w:val="008B12F5"/>
    <w:rsid w:val="008B1BC2"/>
    <w:rsid w:val="008B5932"/>
    <w:rsid w:val="008B5F1D"/>
    <w:rsid w:val="008C5751"/>
    <w:rsid w:val="008C73B3"/>
    <w:rsid w:val="008D02AD"/>
    <w:rsid w:val="008D768D"/>
    <w:rsid w:val="008E0FD8"/>
    <w:rsid w:val="008E328A"/>
    <w:rsid w:val="008E3759"/>
    <w:rsid w:val="008E3BFE"/>
    <w:rsid w:val="008E7900"/>
    <w:rsid w:val="008F1912"/>
    <w:rsid w:val="008F642D"/>
    <w:rsid w:val="008F64E9"/>
    <w:rsid w:val="00900FDF"/>
    <w:rsid w:val="0090270B"/>
    <w:rsid w:val="009041DC"/>
    <w:rsid w:val="009053E2"/>
    <w:rsid w:val="009103C2"/>
    <w:rsid w:val="00910DE9"/>
    <w:rsid w:val="00911B3F"/>
    <w:rsid w:val="00917B5A"/>
    <w:rsid w:val="00920A58"/>
    <w:rsid w:val="00920A8C"/>
    <w:rsid w:val="00920AC1"/>
    <w:rsid w:val="00924F65"/>
    <w:rsid w:val="00934A2C"/>
    <w:rsid w:val="009354B0"/>
    <w:rsid w:val="00935F06"/>
    <w:rsid w:val="00937B3A"/>
    <w:rsid w:val="00943696"/>
    <w:rsid w:val="00945886"/>
    <w:rsid w:val="00953D82"/>
    <w:rsid w:val="00954B82"/>
    <w:rsid w:val="00957000"/>
    <w:rsid w:val="00962436"/>
    <w:rsid w:val="0096706E"/>
    <w:rsid w:val="00974491"/>
    <w:rsid w:val="00975C4E"/>
    <w:rsid w:val="00977573"/>
    <w:rsid w:val="00977661"/>
    <w:rsid w:val="00981902"/>
    <w:rsid w:val="00981FBA"/>
    <w:rsid w:val="00984ACE"/>
    <w:rsid w:val="00991376"/>
    <w:rsid w:val="00997BC5"/>
    <w:rsid w:val="009A4F41"/>
    <w:rsid w:val="009A5DB4"/>
    <w:rsid w:val="009A6A7A"/>
    <w:rsid w:val="009B381B"/>
    <w:rsid w:val="009C2FC5"/>
    <w:rsid w:val="009D1753"/>
    <w:rsid w:val="009D26B2"/>
    <w:rsid w:val="009D38C6"/>
    <w:rsid w:val="009D4CF0"/>
    <w:rsid w:val="009D6502"/>
    <w:rsid w:val="009D7611"/>
    <w:rsid w:val="009D78A5"/>
    <w:rsid w:val="009E08DD"/>
    <w:rsid w:val="009E0B61"/>
    <w:rsid w:val="009E53DE"/>
    <w:rsid w:val="009E7C00"/>
    <w:rsid w:val="009F3E88"/>
    <w:rsid w:val="00A0691C"/>
    <w:rsid w:val="00A076D3"/>
    <w:rsid w:val="00A11E44"/>
    <w:rsid w:val="00A154C8"/>
    <w:rsid w:val="00A15CAA"/>
    <w:rsid w:val="00A22397"/>
    <w:rsid w:val="00A32313"/>
    <w:rsid w:val="00A328B3"/>
    <w:rsid w:val="00A32A8E"/>
    <w:rsid w:val="00A42709"/>
    <w:rsid w:val="00A44052"/>
    <w:rsid w:val="00A45B88"/>
    <w:rsid w:val="00A507C8"/>
    <w:rsid w:val="00A50FCF"/>
    <w:rsid w:val="00A528D1"/>
    <w:rsid w:val="00A563EE"/>
    <w:rsid w:val="00A610CD"/>
    <w:rsid w:val="00A625E0"/>
    <w:rsid w:val="00A74947"/>
    <w:rsid w:val="00A758AA"/>
    <w:rsid w:val="00A81CA1"/>
    <w:rsid w:val="00A87543"/>
    <w:rsid w:val="00A92093"/>
    <w:rsid w:val="00A929AA"/>
    <w:rsid w:val="00A93A60"/>
    <w:rsid w:val="00A94806"/>
    <w:rsid w:val="00AA09A2"/>
    <w:rsid w:val="00AA19DA"/>
    <w:rsid w:val="00AA399C"/>
    <w:rsid w:val="00AA7996"/>
    <w:rsid w:val="00AB14BB"/>
    <w:rsid w:val="00AB433F"/>
    <w:rsid w:val="00AB5D7B"/>
    <w:rsid w:val="00AC19CB"/>
    <w:rsid w:val="00AD1886"/>
    <w:rsid w:val="00AE5488"/>
    <w:rsid w:val="00AE6F91"/>
    <w:rsid w:val="00AF0B04"/>
    <w:rsid w:val="00AF43A4"/>
    <w:rsid w:val="00AF5571"/>
    <w:rsid w:val="00AF6123"/>
    <w:rsid w:val="00AF695E"/>
    <w:rsid w:val="00B066A5"/>
    <w:rsid w:val="00B06B4E"/>
    <w:rsid w:val="00B07341"/>
    <w:rsid w:val="00B10160"/>
    <w:rsid w:val="00B202B5"/>
    <w:rsid w:val="00B2583A"/>
    <w:rsid w:val="00B30099"/>
    <w:rsid w:val="00B30539"/>
    <w:rsid w:val="00B314DB"/>
    <w:rsid w:val="00B361F2"/>
    <w:rsid w:val="00B36FBE"/>
    <w:rsid w:val="00B3718B"/>
    <w:rsid w:val="00B403E3"/>
    <w:rsid w:val="00B415FE"/>
    <w:rsid w:val="00B42FA4"/>
    <w:rsid w:val="00B4460D"/>
    <w:rsid w:val="00B45CC0"/>
    <w:rsid w:val="00B4632A"/>
    <w:rsid w:val="00B5067D"/>
    <w:rsid w:val="00B530F1"/>
    <w:rsid w:val="00B54338"/>
    <w:rsid w:val="00B543EC"/>
    <w:rsid w:val="00B57297"/>
    <w:rsid w:val="00B5798A"/>
    <w:rsid w:val="00B655BD"/>
    <w:rsid w:val="00B65EB7"/>
    <w:rsid w:val="00B66907"/>
    <w:rsid w:val="00B736AF"/>
    <w:rsid w:val="00B742BE"/>
    <w:rsid w:val="00B74BBE"/>
    <w:rsid w:val="00B85DA5"/>
    <w:rsid w:val="00B85E9F"/>
    <w:rsid w:val="00B87359"/>
    <w:rsid w:val="00B92D4A"/>
    <w:rsid w:val="00B97946"/>
    <w:rsid w:val="00BA1EAE"/>
    <w:rsid w:val="00BA276C"/>
    <w:rsid w:val="00BA5544"/>
    <w:rsid w:val="00BB0330"/>
    <w:rsid w:val="00BB306F"/>
    <w:rsid w:val="00BB3402"/>
    <w:rsid w:val="00BB3FBD"/>
    <w:rsid w:val="00BC0968"/>
    <w:rsid w:val="00BC2342"/>
    <w:rsid w:val="00BC2CBE"/>
    <w:rsid w:val="00BC5048"/>
    <w:rsid w:val="00BC6593"/>
    <w:rsid w:val="00BC6CD0"/>
    <w:rsid w:val="00BD4B89"/>
    <w:rsid w:val="00BD5922"/>
    <w:rsid w:val="00BD622A"/>
    <w:rsid w:val="00BD76D9"/>
    <w:rsid w:val="00BF02CB"/>
    <w:rsid w:val="00BF2178"/>
    <w:rsid w:val="00BF32A7"/>
    <w:rsid w:val="00BF4E8C"/>
    <w:rsid w:val="00BF514A"/>
    <w:rsid w:val="00BF6FD8"/>
    <w:rsid w:val="00BF775D"/>
    <w:rsid w:val="00C00A8C"/>
    <w:rsid w:val="00C03680"/>
    <w:rsid w:val="00C04B3A"/>
    <w:rsid w:val="00C054DF"/>
    <w:rsid w:val="00C05700"/>
    <w:rsid w:val="00C05D56"/>
    <w:rsid w:val="00C06EF7"/>
    <w:rsid w:val="00C10AFC"/>
    <w:rsid w:val="00C21562"/>
    <w:rsid w:val="00C21762"/>
    <w:rsid w:val="00C21FEF"/>
    <w:rsid w:val="00C24543"/>
    <w:rsid w:val="00C256A2"/>
    <w:rsid w:val="00C308DF"/>
    <w:rsid w:val="00C35049"/>
    <w:rsid w:val="00C35A26"/>
    <w:rsid w:val="00C4317B"/>
    <w:rsid w:val="00C44FDD"/>
    <w:rsid w:val="00C51515"/>
    <w:rsid w:val="00C530F1"/>
    <w:rsid w:val="00C53619"/>
    <w:rsid w:val="00C53910"/>
    <w:rsid w:val="00C5660B"/>
    <w:rsid w:val="00C56854"/>
    <w:rsid w:val="00C570C3"/>
    <w:rsid w:val="00C5788A"/>
    <w:rsid w:val="00C63ABE"/>
    <w:rsid w:val="00C64FB2"/>
    <w:rsid w:val="00C66B72"/>
    <w:rsid w:val="00C70BA7"/>
    <w:rsid w:val="00C80B5A"/>
    <w:rsid w:val="00C85959"/>
    <w:rsid w:val="00C86693"/>
    <w:rsid w:val="00C87628"/>
    <w:rsid w:val="00C87AC4"/>
    <w:rsid w:val="00C903F9"/>
    <w:rsid w:val="00C9529A"/>
    <w:rsid w:val="00C9567A"/>
    <w:rsid w:val="00C97A5D"/>
    <w:rsid w:val="00CA275B"/>
    <w:rsid w:val="00CA48A3"/>
    <w:rsid w:val="00CB212D"/>
    <w:rsid w:val="00CB2660"/>
    <w:rsid w:val="00CC5E90"/>
    <w:rsid w:val="00CD046C"/>
    <w:rsid w:val="00CD186A"/>
    <w:rsid w:val="00CE0020"/>
    <w:rsid w:val="00CE076C"/>
    <w:rsid w:val="00CE1BE0"/>
    <w:rsid w:val="00CE5199"/>
    <w:rsid w:val="00CE66D5"/>
    <w:rsid w:val="00CF20FB"/>
    <w:rsid w:val="00CF637A"/>
    <w:rsid w:val="00D01897"/>
    <w:rsid w:val="00D059DE"/>
    <w:rsid w:val="00D05ABD"/>
    <w:rsid w:val="00D07A47"/>
    <w:rsid w:val="00D115B2"/>
    <w:rsid w:val="00D13FCE"/>
    <w:rsid w:val="00D17E8C"/>
    <w:rsid w:val="00D20237"/>
    <w:rsid w:val="00D21B18"/>
    <w:rsid w:val="00D22FBE"/>
    <w:rsid w:val="00D24AD4"/>
    <w:rsid w:val="00D306D1"/>
    <w:rsid w:val="00D30800"/>
    <w:rsid w:val="00D34786"/>
    <w:rsid w:val="00D37BFC"/>
    <w:rsid w:val="00D37FB9"/>
    <w:rsid w:val="00D40BDC"/>
    <w:rsid w:val="00D42822"/>
    <w:rsid w:val="00D43661"/>
    <w:rsid w:val="00D45BAF"/>
    <w:rsid w:val="00D47A8E"/>
    <w:rsid w:val="00D52D14"/>
    <w:rsid w:val="00D55256"/>
    <w:rsid w:val="00D56D93"/>
    <w:rsid w:val="00D56FB8"/>
    <w:rsid w:val="00D575BC"/>
    <w:rsid w:val="00D57A30"/>
    <w:rsid w:val="00D712D3"/>
    <w:rsid w:val="00D71422"/>
    <w:rsid w:val="00D72DC6"/>
    <w:rsid w:val="00D73F5E"/>
    <w:rsid w:val="00D7558D"/>
    <w:rsid w:val="00D77503"/>
    <w:rsid w:val="00D81D92"/>
    <w:rsid w:val="00D876F9"/>
    <w:rsid w:val="00D877B6"/>
    <w:rsid w:val="00D93A90"/>
    <w:rsid w:val="00DA7B5F"/>
    <w:rsid w:val="00DB197B"/>
    <w:rsid w:val="00DB2F13"/>
    <w:rsid w:val="00DC0155"/>
    <w:rsid w:val="00DC11E7"/>
    <w:rsid w:val="00DC3D5B"/>
    <w:rsid w:val="00DC6483"/>
    <w:rsid w:val="00DC7023"/>
    <w:rsid w:val="00DC769A"/>
    <w:rsid w:val="00DD061E"/>
    <w:rsid w:val="00DD151B"/>
    <w:rsid w:val="00DD3D86"/>
    <w:rsid w:val="00DE12F0"/>
    <w:rsid w:val="00DE7D78"/>
    <w:rsid w:val="00DF1745"/>
    <w:rsid w:val="00DF1EC4"/>
    <w:rsid w:val="00DF51E9"/>
    <w:rsid w:val="00DF54A0"/>
    <w:rsid w:val="00E01943"/>
    <w:rsid w:val="00E0340B"/>
    <w:rsid w:val="00E04A90"/>
    <w:rsid w:val="00E0551F"/>
    <w:rsid w:val="00E0695F"/>
    <w:rsid w:val="00E07937"/>
    <w:rsid w:val="00E07CB1"/>
    <w:rsid w:val="00E1204C"/>
    <w:rsid w:val="00E14D45"/>
    <w:rsid w:val="00E219C7"/>
    <w:rsid w:val="00E25875"/>
    <w:rsid w:val="00E26CCA"/>
    <w:rsid w:val="00E27F56"/>
    <w:rsid w:val="00E3702D"/>
    <w:rsid w:val="00E4118C"/>
    <w:rsid w:val="00E41D33"/>
    <w:rsid w:val="00E43157"/>
    <w:rsid w:val="00E461CE"/>
    <w:rsid w:val="00E46AF9"/>
    <w:rsid w:val="00E720CA"/>
    <w:rsid w:val="00E73010"/>
    <w:rsid w:val="00E76103"/>
    <w:rsid w:val="00E81364"/>
    <w:rsid w:val="00E84EB5"/>
    <w:rsid w:val="00E85662"/>
    <w:rsid w:val="00E85D37"/>
    <w:rsid w:val="00E86C16"/>
    <w:rsid w:val="00E8789F"/>
    <w:rsid w:val="00E90973"/>
    <w:rsid w:val="00E92747"/>
    <w:rsid w:val="00E9525D"/>
    <w:rsid w:val="00E97B71"/>
    <w:rsid w:val="00EA3D34"/>
    <w:rsid w:val="00EA4E70"/>
    <w:rsid w:val="00EA4FA6"/>
    <w:rsid w:val="00EB454D"/>
    <w:rsid w:val="00EC0810"/>
    <w:rsid w:val="00EC16CC"/>
    <w:rsid w:val="00EC26E9"/>
    <w:rsid w:val="00EC72AB"/>
    <w:rsid w:val="00ED0700"/>
    <w:rsid w:val="00ED2F03"/>
    <w:rsid w:val="00ED4CBD"/>
    <w:rsid w:val="00ED549D"/>
    <w:rsid w:val="00ED76BE"/>
    <w:rsid w:val="00ED7F05"/>
    <w:rsid w:val="00EE00E9"/>
    <w:rsid w:val="00EE014D"/>
    <w:rsid w:val="00EE1764"/>
    <w:rsid w:val="00EE2B73"/>
    <w:rsid w:val="00EE50D3"/>
    <w:rsid w:val="00EF35AB"/>
    <w:rsid w:val="00EF4C44"/>
    <w:rsid w:val="00EF5C81"/>
    <w:rsid w:val="00EF619B"/>
    <w:rsid w:val="00F00B55"/>
    <w:rsid w:val="00F02AD1"/>
    <w:rsid w:val="00F04591"/>
    <w:rsid w:val="00F06044"/>
    <w:rsid w:val="00F06354"/>
    <w:rsid w:val="00F11019"/>
    <w:rsid w:val="00F11FBB"/>
    <w:rsid w:val="00F1747D"/>
    <w:rsid w:val="00F251B7"/>
    <w:rsid w:val="00F2521F"/>
    <w:rsid w:val="00F253CC"/>
    <w:rsid w:val="00F26651"/>
    <w:rsid w:val="00F332EF"/>
    <w:rsid w:val="00F3559E"/>
    <w:rsid w:val="00F37106"/>
    <w:rsid w:val="00F371C8"/>
    <w:rsid w:val="00F42E12"/>
    <w:rsid w:val="00F519CF"/>
    <w:rsid w:val="00F53168"/>
    <w:rsid w:val="00F547B9"/>
    <w:rsid w:val="00F56BA5"/>
    <w:rsid w:val="00F60E22"/>
    <w:rsid w:val="00F63B39"/>
    <w:rsid w:val="00F65CE0"/>
    <w:rsid w:val="00F71FEE"/>
    <w:rsid w:val="00F7325F"/>
    <w:rsid w:val="00F81395"/>
    <w:rsid w:val="00F81887"/>
    <w:rsid w:val="00F81BB8"/>
    <w:rsid w:val="00F917D1"/>
    <w:rsid w:val="00F9342C"/>
    <w:rsid w:val="00F95068"/>
    <w:rsid w:val="00F9653B"/>
    <w:rsid w:val="00FA3273"/>
    <w:rsid w:val="00FA56EA"/>
    <w:rsid w:val="00FA5DB1"/>
    <w:rsid w:val="00FA74C9"/>
    <w:rsid w:val="00FB15B4"/>
    <w:rsid w:val="00FB62CF"/>
    <w:rsid w:val="00FC0649"/>
    <w:rsid w:val="00FC0F4A"/>
    <w:rsid w:val="00FC3330"/>
    <w:rsid w:val="00FC5576"/>
    <w:rsid w:val="00FC7608"/>
    <w:rsid w:val="00FD1986"/>
    <w:rsid w:val="00FD1C1D"/>
    <w:rsid w:val="00FD3886"/>
    <w:rsid w:val="00FD3C3B"/>
    <w:rsid w:val="00FD6A68"/>
    <w:rsid w:val="00FE07DD"/>
    <w:rsid w:val="00FE430E"/>
    <w:rsid w:val="00FE5B2A"/>
    <w:rsid w:val="00FE6B45"/>
    <w:rsid w:val="00FF27D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5301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UnresolvedMention">
    <w:name w:val="Unresolved Mention"/>
    <w:basedOn w:val="DefaultParagraphFont"/>
    <w:uiPriority w:val="99"/>
    <w:semiHidden/>
    <w:unhideWhenUsed/>
    <w:rsid w:val="00F4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73684204">
      <w:bodyDiv w:val="1"/>
      <w:marLeft w:val="0"/>
      <w:marRight w:val="0"/>
      <w:marTop w:val="0"/>
      <w:marBottom w:val="0"/>
      <w:divBdr>
        <w:top w:val="none" w:sz="0" w:space="0" w:color="auto"/>
        <w:left w:val="none" w:sz="0" w:space="0" w:color="auto"/>
        <w:bottom w:val="none" w:sz="0" w:space="0" w:color="auto"/>
        <w:right w:val="none" w:sz="0" w:space="0" w:color="auto"/>
      </w:divBdr>
    </w:div>
    <w:div w:id="103399394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leyes.co/codigo_penal/327.htm" TargetMode="External"/><Relationship Id="rId1" Type="http://schemas.openxmlformats.org/officeDocument/2006/relationships/hyperlink" Target="https://leyes.co/codigo_penal/32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9356-63F6-482D-AC38-7870262F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12191</Characters>
  <Application>Microsoft Office Word</Application>
  <DocSecurity>0</DocSecurity>
  <Lines>225</Lines>
  <Paragraphs>60</Paragraphs>
  <ScaleCrop>false</ScaleCrop>
  <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148/21</dc:title>
  <dc:creator/>
  <cp:lastModifiedBy/>
  <cp:revision>1</cp:revision>
  <dcterms:created xsi:type="dcterms:W3CDTF">2021-07-27T15:07:00Z</dcterms:created>
  <dcterms:modified xsi:type="dcterms:W3CDTF">2021-07-27T15:16:00Z</dcterms:modified>
</cp:coreProperties>
</file>