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E5E08E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D43661" w:rsidRDefault="00D4366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D43661" w:rsidRDefault="00D4366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8C06A3" w:rsidR="00D43661" w:rsidRPr="004E2649" w:rsidRDefault="00D436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A169C">
                              <w:rPr>
                                <w:rFonts w:asciiTheme="majorHAnsi" w:hAnsiTheme="majorHAnsi" w:cs="Arial"/>
                                <w:b/>
                                <w:bCs/>
                                <w:color w:val="0D0D0D" w:themeColor="text1" w:themeTint="F2"/>
                                <w:sz w:val="36"/>
                                <w:szCs w:val="22"/>
                                <w:lang w:val="es-ES_tradnl"/>
                              </w:rPr>
                              <w:t xml:space="preserve"> 14</w:t>
                            </w:r>
                            <w:r w:rsidR="00BF2178">
                              <w:rPr>
                                <w:rFonts w:asciiTheme="majorHAnsi" w:hAnsiTheme="majorHAnsi" w:cs="Arial"/>
                                <w:b/>
                                <w:bCs/>
                                <w:color w:val="0D0D0D" w:themeColor="text1" w:themeTint="F2"/>
                                <w:sz w:val="36"/>
                                <w:szCs w:val="22"/>
                                <w:lang w:val="es-ES_tradnl"/>
                              </w:rPr>
                              <w:t>/2</w:t>
                            </w:r>
                            <w:r w:rsidR="008A169C">
                              <w:rPr>
                                <w:rFonts w:asciiTheme="majorHAnsi" w:hAnsiTheme="majorHAnsi" w:cs="Arial"/>
                                <w:b/>
                                <w:bCs/>
                                <w:color w:val="0D0D0D" w:themeColor="text1" w:themeTint="F2"/>
                                <w:sz w:val="36"/>
                                <w:szCs w:val="22"/>
                                <w:lang w:val="es-ES_tradnl"/>
                              </w:rPr>
                              <w:t>1</w:t>
                            </w:r>
                          </w:p>
                          <w:p w14:paraId="09C54AB3" w14:textId="0E56FDBB" w:rsidR="00D43661" w:rsidRDefault="00D436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1575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24E61CB5" w:rsidR="00D43661" w:rsidRPr="0010736F" w:rsidRDefault="00D4366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D43661" w:rsidRPr="0010736F" w:rsidRDefault="00D43661"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9518758" w:rsidR="00D43661" w:rsidRPr="0010736F" w:rsidRDefault="008A16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PRÍ</w:t>
                            </w:r>
                            <w:r w:rsidR="00D43661">
                              <w:rPr>
                                <w:rFonts w:asciiTheme="majorHAnsi" w:hAnsiTheme="majorHAnsi" w:cs="Arial"/>
                                <w:color w:val="0D0D0D" w:themeColor="text1" w:themeTint="F2"/>
                                <w:szCs w:val="22"/>
                                <w:lang w:val="es-ES_tradnl"/>
                              </w:rPr>
                              <w:t>NCIPE GABRIEL GONZALEZ ARANGO</w:t>
                            </w:r>
                          </w:p>
                          <w:bookmarkEnd w:id="0"/>
                          <w:p w14:paraId="35068D0D" w14:textId="144CF9C9" w:rsidR="00D43661" w:rsidRPr="0010736F" w:rsidRDefault="00D436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43661" w:rsidRPr="00AE5488" w:rsidRDefault="00D4366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88C06A3" w:rsidR="00D43661" w:rsidRPr="004E2649" w:rsidRDefault="00D436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8A169C">
                        <w:rPr>
                          <w:rFonts w:asciiTheme="majorHAnsi" w:hAnsiTheme="majorHAnsi" w:cs="Arial"/>
                          <w:b/>
                          <w:bCs/>
                          <w:color w:val="0D0D0D" w:themeColor="text1" w:themeTint="F2"/>
                          <w:sz w:val="36"/>
                          <w:szCs w:val="22"/>
                          <w:lang w:val="es-ES_tradnl"/>
                        </w:rPr>
                        <w:t xml:space="preserve"> 14</w:t>
                      </w:r>
                      <w:r w:rsidR="00BF2178">
                        <w:rPr>
                          <w:rFonts w:asciiTheme="majorHAnsi" w:hAnsiTheme="majorHAnsi" w:cs="Arial"/>
                          <w:b/>
                          <w:bCs/>
                          <w:color w:val="0D0D0D" w:themeColor="text1" w:themeTint="F2"/>
                          <w:sz w:val="36"/>
                          <w:szCs w:val="22"/>
                          <w:lang w:val="es-ES_tradnl"/>
                        </w:rPr>
                        <w:t>/2</w:t>
                      </w:r>
                      <w:r w:rsidR="008A169C">
                        <w:rPr>
                          <w:rFonts w:asciiTheme="majorHAnsi" w:hAnsiTheme="majorHAnsi" w:cs="Arial"/>
                          <w:b/>
                          <w:bCs/>
                          <w:color w:val="0D0D0D" w:themeColor="text1" w:themeTint="F2"/>
                          <w:sz w:val="36"/>
                          <w:szCs w:val="22"/>
                          <w:lang w:val="es-ES_tradnl"/>
                        </w:rPr>
                        <w:t>1</w:t>
                      </w:r>
                    </w:p>
                    <w:p w14:paraId="09C54AB3" w14:textId="0E56FDBB" w:rsidR="00D43661" w:rsidRDefault="00D436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1575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24E61CB5" w:rsidR="00D43661" w:rsidRPr="0010736F" w:rsidRDefault="00D4366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D43661" w:rsidRPr="0010736F" w:rsidRDefault="00D4366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9518758" w:rsidR="00D43661" w:rsidRPr="0010736F" w:rsidRDefault="008A169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PRÍ</w:t>
                      </w:r>
                      <w:r w:rsidR="00D43661">
                        <w:rPr>
                          <w:rFonts w:asciiTheme="majorHAnsi" w:hAnsiTheme="majorHAnsi" w:cs="Arial"/>
                          <w:color w:val="0D0D0D" w:themeColor="text1" w:themeTint="F2"/>
                          <w:szCs w:val="22"/>
                          <w:lang w:val="es-ES_tradnl"/>
                        </w:rPr>
                        <w:t>NCIPE GABRIEL GONZALEZ ARANGO</w:t>
                      </w:r>
                    </w:p>
                    <w:bookmarkEnd w:id="1"/>
                    <w:p w14:paraId="35068D0D" w14:textId="144CF9C9" w:rsidR="00D43661" w:rsidRPr="0010736F" w:rsidRDefault="00D4366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D43661" w:rsidRPr="00AE5488" w:rsidRDefault="00D43661"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47C19F3" w:rsidR="00D43661" w:rsidRPr="008A169C" w:rsidRDefault="008A169C" w:rsidP="007A5817">
                            <w:pPr>
                              <w:spacing w:line="276" w:lineRule="auto"/>
                              <w:jc w:val="right"/>
                              <w:rPr>
                                <w:rFonts w:asciiTheme="minorHAnsi" w:hAnsiTheme="minorHAnsi"/>
                                <w:color w:val="FFFFFF" w:themeColor="background1"/>
                                <w:sz w:val="22"/>
                                <w:lang w:val="es-419"/>
                              </w:rPr>
                            </w:pPr>
                            <w:r w:rsidRPr="008A169C">
                              <w:rPr>
                                <w:rFonts w:asciiTheme="minorHAnsi" w:hAnsiTheme="minorHAnsi"/>
                                <w:color w:val="FFFFFF" w:themeColor="background1"/>
                                <w:sz w:val="22"/>
                                <w:lang w:val="es-419"/>
                              </w:rPr>
                              <w:t>OEA/</w:t>
                            </w:r>
                            <w:proofErr w:type="spellStart"/>
                            <w:r w:rsidRPr="008A169C">
                              <w:rPr>
                                <w:rFonts w:asciiTheme="minorHAnsi" w:hAnsiTheme="minorHAnsi"/>
                                <w:color w:val="FFFFFF" w:themeColor="background1"/>
                                <w:sz w:val="22"/>
                                <w:lang w:val="es-419"/>
                              </w:rPr>
                              <w:t>Ser.L</w:t>
                            </w:r>
                            <w:proofErr w:type="spellEnd"/>
                            <w:r w:rsidRPr="008A169C">
                              <w:rPr>
                                <w:rFonts w:asciiTheme="minorHAnsi" w:hAnsiTheme="minorHAnsi"/>
                                <w:color w:val="FFFFFF" w:themeColor="background1"/>
                                <w:sz w:val="22"/>
                                <w:lang w:val="es-419"/>
                              </w:rPr>
                              <w:t>/V/II</w:t>
                            </w:r>
                          </w:p>
                          <w:p w14:paraId="6A41611B" w14:textId="14BC8AFE" w:rsidR="00D43661" w:rsidRPr="008A169C" w:rsidRDefault="00D43661" w:rsidP="007A5817">
                            <w:pPr>
                              <w:spacing w:line="276" w:lineRule="auto"/>
                              <w:jc w:val="right"/>
                              <w:rPr>
                                <w:rFonts w:asciiTheme="minorHAnsi" w:hAnsiTheme="minorHAnsi"/>
                                <w:color w:val="FFFFFF" w:themeColor="background1"/>
                                <w:sz w:val="22"/>
                                <w:lang w:val="es-419"/>
                              </w:rPr>
                            </w:pPr>
                            <w:r w:rsidRPr="008A169C">
                              <w:rPr>
                                <w:rFonts w:asciiTheme="minorHAnsi" w:hAnsiTheme="minorHAnsi"/>
                                <w:color w:val="FFFFFF" w:themeColor="background1"/>
                                <w:sz w:val="22"/>
                                <w:lang w:val="es-419"/>
                              </w:rPr>
                              <w:t>Doc.</w:t>
                            </w:r>
                            <w:r w:rsidR="008A169C" w:rsidRPr="008A169C">
                              <w:rPr>
                                <w:rFonts w:asciiTheme="minorHAnsi" w:hAnsiTheme="minorHAnsi"/>
                                <w:color w:val="FFFFFF" w:themeColor="background1"/>
                                <w:sz w:val="22"/>
                                <w:lang w:val="es-419"/>
                              </w:rPr>
                              <w:t xml:space="preserve"> 1</w:t>
                            </w:r>
                            <w:r w:rsidR="008A169C">
                              <w:rPr>
                                <w:rFonts w:asciiTheme="minorHAnsi" w:hAnsiTheme="minorHAnsi"/>
                                <w:color w:val="FFFFFF" w:themeColor="background1"/>
                                <w:sz w:val="22"/>
                                <w:lang w:val="es-419"/>
                              </w:rPr>
                              <w:t>6</w:t>
                            </w:r>
                          </w:p>
                          <w:p w14:paraId="69373ED2" w14:textId="3A5A16FA" w:rsidR="00D43661" w:rsidRPr="001B4C00" w:rsidRDefault="008A169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de marzo 2021</w:t>
                            </w:r>
                          </w:p>
                          <w:p w14:paraId="0771DB5B" w14:textId="77777777" w:rsidR="00D43661" w:rsidRPr="001B4C00" w:rsidRDefault="00D4366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47C19F3" w:rsidR="00D43661" w:rsidRPr="008A169C" w:rsidRDefault="008A169C" w:rsidP="007A5817">
                      <w:pPr>
                        <w:spacing w:line="276" w:lineRule="auto"/>
                        <w:jc w:val="right"/>
                        <w:rPr>
                          <w:rFonts w:asciiTheme="minorHAnsi" w:hAnsiTheme="minorHAnsi"/>
                          <w:color w:val="FFFFFF" w:themeColor="background1"/>
                          <w:sz w:val="22"/>
                          <w:lang w:val="es-419"/>
                        </w:rPr>
                      </w:pPr>
                      <w:r w:rsidRPr="008A169C">
                        <w:rPr>
                          <w:rFonts w:asciiTheme="minorHAnsi" w:hAnsiTheme="minorHAnsi"/>
                          <w:color w:val="FFFFFF" w:themeColor="background1"/>
                          <w:sz w:val="22"/>
                          <w:lang w:val="es-419"/>
                        </w:rPr>
                        <w:t>OEA/</w:t>
                      </w:r>
                      <w:proofErr w:type="spellStart"/>
                      <w:r w:rsidRPr="008A169C">
                        <w:rPr>
                          <w:rFonts w:asciiTheme="minorHAnsi" w:hAnsiTheme="minorHAnsi"/>
                          <w:color w:val="FFFFFF" w:themeColor="background1"/>
                          <w:sz w:val="22"/>
                          <w:lang w:val="es-419"/>
                        </w:rPr>
                        <w:t>Ser.L</w:t>
                      </w:r>
                      <w:proofErr w:type="spellEnd"/>
                      <w:r w:rsidRPr="008A169C">
                        <w:rPr>
                          <w:rFonts w:asciiTheme="minorHAnsi" w:hAnsiTheme="minorHAnsi"/>
                          <w:color w:val="FFFFFF" w:themeColor="background1"/>
                          <w:sz w:val="22"/>
                          <w:lang w:val="es-419"/>
                        </w:rPr>
                        <w:t>/V/II</w:t>
                      </w:r>
                    </w:p>
                    <w:p w14:paraId="6A41611B" w14:textId="14BC8AFE" w:rsidR="00D43661" w:rsidRPr="008A169C" w:rsidRDefault="00D43661" w:rsidP="007A5817">
                      <w:pPr>
                        <w:spacing w:line="276" w:lineRule="auto"/>
                        <w:jc w:val="right"/>
                        <w:rPr>
                          <w:rFonts w:asciiTheme="minorHAnsi" w:hAnsiTheme="minorHAnsi"/>
                          <w:color w:val="FFFFFF" w:themeColor="background1"/>
                          <w:sz w:val="22"/>
                          <w:lang w:val="es-419"/>
                        </w:rPr>
                      </w:pPr>
                      <w:r w:rsidRPr="008A169C">
                        <w:rPr>
                          <w:rFonts w:asciiTheme="minorHAnsi" w:hAnsiTheme="minorHAnsi"/>
                          <w:color w:val="FFFFFF" w:themeColor="background1"/>
                          <w:sz w:val="22"/>
                          <w:lang w:val="es-419"/>
                        </w:rPr>
                        <w:t>Doc.</w:t>
                      </w:r>
                      <w:r w:rsidR="008A169C" w:rsidRPr="008A169C">
                        <w:rPr>
                          <w:rFonts w:asciiTheme="minorHAnsi" w:hAnsiTheme="minorHAnsi"/>
                          <w:color w:val="FFFFFF" w:themeColor="background1"/>
                          <w:sz w:val="22"/>
                          <w:lang w:val="es-419"/>
                        </w:rPr>
                        <w:t xml:space="preserve"> 1</w:t>
                      </w:r>
                      <w:r w:rsidR="008A169C">
                        <w:rPr>
                          <w:rFonts w:asciiTheme="minorHAnsi" w:hAnsiTheme="minorHAnsi"/>
                          <w:color w:val="FFFFFF" w:themeColor="background1"/>
                          <w:sz w:val="22"/>
                          <w:lang w:val="es-419"/>
                        </w:rPr>
                        <w:t>6</w:t>
                      </w:r>
                    </w:p>
                    <w:p w14:paraId="69373ED2" w14:textId="3A5A16FA" w:rsidR="00D43661" w:rsidRPr="001B4C00" w:rsidRDefault="008A169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5 de marzo 2021</w:t>
                      </w:r>
                    </w:p>
                    <w:p w14:paraId="0771DB5B" w14:textId="77777777" w:rsidR="00D43661" w:rsidRPr="001B4C00" w:rsidRDefault="00D4366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F5747C" w:rsidRDefault="00A50FCF" w:rsidP="00040C3A">
      <w:pPr>
        <w:tabs>
          <w:tab w:val="center" w:pos="5400"/>
        </w:tabs>
        <w:suppressAutoHyphens/>
        <w:jc w:val="center"/>
        <w:rPr>
          <w:rFonts w:asciiTheme="majorHAnsi" w:hAnsiTheme="majorHAnsi"/>
          <w:sz w:val="18"/>
          <w:szCs w:val="22"/>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1" w:name="_GoBack"/>
      <w:bookmarkEnd w:id="1"/>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5AC121DC" w:rsidR="00D43661" w:rsidRPr="00890650" w:rsidRDefault="00D436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A169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A169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00BF2178">
                              <w:rPr>
                                <w:rFonts w:asciiTheme="majorHAnsi" w:hAnsiTheme="majorHAnsi"/>
                                <w:color w:val="0D0D0D" w:themeColor="text1" w:themeTint="F2"/>
                                <w:sz w:val="18"/>
                                <w:szCs w:val="22"/>
                                <w:lang w:val="es-ES"/>
                              </w:rPr>
                              <w:t>de 202</w:t>
                            </w:r>
                            <w:r w:rsidR="008A169C">
                              <w:rPr>
                                <w:rFonts w:asciiTheme="majorHAnsi" w:hAnsiTheme="majorHAnsi"/>
                                <w:color w:val="0D0D0D" w:themeColor="text1" w:themeTint="F2"/>
                                <w:sz w:val="18"/>
                                <w:szCs w:val="22"/>
                                <w:lang w:val="es-ES"/>
                              </w:rPr>
                              <w:t>1</w:t>
                            </w:r>
                            <w:r w:rsidR="00F5747C">
                              <w:rPr>
                                <w:rFonts w:asciiTheme="majorHAnsi" w:hAnsiTheme="majorHAnsi"/>
                                <w:color w:val="0D0D0D" w:themeColor="text1" w:themeTint="F2"/>
                                <w:sz w:val="18"/>
                                <w:szCs w:val="22"/>
                                <w:lang w:val="es-ES"/>
                              </w:rPr>
                              <w:t>.</w:t>
                            </w:r>
                          </w:p>
                          <w:p w14:paraId="4BDF3581" w14:textId="77777777" w:rsidR="00D43661" w:rsidRPr="007A5817" w:rsidRDefault="00D436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43661" w:rsidRPr="00167A34" w:rsidRDefault="00D4366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5AC121DC" w:rsidR="00D43661" w:rsidRPr="00890650" w:rsidRDefault="00D436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A169C">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sidR="008A169C">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00BF2178">
                        <w:rPr>
                          <w:rFonts w:asciiTheme="majorHAnsi" w:hAnsiTheme="majorHAnsi"/>
                          <w:color w:val="0D0D0D" w:themeColor="text1" w:themeTint="F2"/>
                          <w:sz w:val="18"/>
                          <w:szCs w:val="22"/>
                          <w:lang w:val="es-ES"/>
                        </w:rPr>
                        <w:t>de 202</w:t>
                      </w:r>
                      <w:r w:rsidR="008A169C">
                        <w:rPr>
                          <w:rFonts w:asciiTheme="majorHAnsi" w:hAnsiTheme="majorHAnsi"/>
                          <w:color w:val="0D0D0D" w:themeColor="text1" w:themeTint="F2"/>
                          <w:sz w:val="18"/>
                          <w:szCs w:val="22"/>
                          <w:lang w:val="es-ES"/>
                        </w:rPr>
                        <w:t>1</w:t>
                      </w:r>
                      <w:r w:rsidR="00F5747C">
                        <w:rPr>
                          <w:rFonts w:asciiTheme="majorHAnsi" w:hAnsiTheme="majorHAnsi"/>
                          <w:color w:val="0D0D0D" w:themeColor="text1" w:themeTint="F2"/>
                          <w:sz w:val="18"/>
                          <w:szCs w:val="22"/>
                          <w:lang w:val="es-ES"/>
                        </w:rPr>
                        <w:t>.</w:t>
                      </w:r>
                    </w:p>
                    <w:p w14:paraId="4BDF3581" w14:textId="77777777" w:rsidR="00D43661" w:rsidRPr="007A5817" w:rsidRDefault="00D436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43661" w:rsidRPr="00167A34" w:rsidRDefault="00D4366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6C60425" w:rsidR="00D43661" w:rsidRPr="007B05C4" w:rsidRDefault="00D4366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A169C">
                              <w:rPr>
                                <w:rFonts w:asciiTheme="majorHAnsi" w:hAnsiTheme="majorHAnsi"/>
                                <w:color w:val="595959" w:themeColor="text1" w:themeTint="A6"/>
                                <w:sz w:val="18"/>
                                <w:szCs w:val="18"/>
                                <w:lang w:val="pt-BR"/>
                              </w:rPr>
                              <w:t>14/</w:t>
                            </w:r>
                            <w:r w:rsidR="00BF2178">
                              <w:rPr>
                                <w:rFonts w:asciiTheme="majorHAnsi" w:hAnsiTheme="majorHAnsi"/>
                                <w:color w:val="595959" w:themeColor="text1" w:themeTint="A6"/>
                                <w:sz w:val="18"/>
                                <w:szCs w:val="18"/>
                                <w:lang w:val="pt-BR"/>
                              </w:rPr>
                              <w:t>2</w:t>
                            </w:r>
                            <w:r w:rsidR="008A169C">
                              <w:rPr>
                                <w:rFonts w:asciiTheme="majorHAnsi" w:hAnsiTheme="majorHAnsi"/>
                                <w:color w:val="595959" w:themeColor="text1" w:themeTint="A6"/>
                                <w:sz w:val="18"/>
                                <w:szCs w:val="18"/>
                                <w:lang w:val="pt-BR"/>
                              </w:rPr>
                              <w:t>1</w:t>
                            </w:r>
                            <w:r w:rsidRPr="00161278">
                              <w:rPr>
                                <w:rFonts w:asciiTheme="majorHAnsi" w:hAnsiTheme="majorHAnsi"/>
                                <w:color w:val="595959" w:themeColor="text1" w:themeTint="A6"/>
                                <w:sz w:val="18"/>
                                <w:szCs w:val="18"/>
                                <w:lang w:val="pt-BR"/>
                              </w:rPr>
                              <w:t xml:space="preserve">. </w:t>
                            </w:r>
                            <w:r w:rsidR="00F5747C">
                              <w:rPr>
                                <w:rFonts w:asciiTheme="majorHAnsi" w:hAnsiTheme="majorHAnsi"/>
                                <w:color w:val="595959" w:themeColor="text1" w:themeTint="A6"/>
                                <w:sz w:val="18"/>
                                <w:szCs w:val="18"/>
                                <w:lang w:val="pt-BR"/>
                              </w:rPr>
                              <w:t xml:space="preserve">Petición 1575-09.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Príncipe Gabriel González Arango. Colombia</w:t>
                            </w:r>
                            <w:r w:rsidRPr="00890650">
                              <w:rPr>
                                <w:rFonts w:asciiTheme="majorHAnsi" w:hAnsiTheme="majorHAnsi"/>
                                <w:color w:val="595959" w:themeColor="text1" w:themeTint="A6"/>
                                <w:sz w:val="18"/>
                                <w:szCs w:val="18"/>
                                <w:lang w:val="es-ES_tradnl"/>
                              </w:rPr>
                              <w:t xml:space="preserve">. </w:t>
                            </w:r>
                            <w:r w:rsidR="008A169C">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6C60425" w:rsidR="00D43661" w:rsidRPr="007B05C4" w:rsidRDefault="00D4366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A169C">
                        <w:rPr>
                          <w:rFonts w:asciiTheme="majorHAnsi" w:hAnsiTheme="majorHAnsi"/>
                          <w:color w:val="595959" w:themeColor="text1" w:themeTint="A6"/>
                          <w:sz w:val="18"/>
                          <w:szCs w:val="18"/>
                          <w:lang w:val="pt-BR"/>
                        </w:rPr>
                        <w:t>14/</w:t>
                      </w:r>
                      <w:r w:rsidR="00BF2178">
                        <w:rPr>
                          <w:rFonts w:asciiTheme="majorHAnsi" w:hAnsiTheme="majorHAnsi"/>
                          <w:color w:val="595959" w:themeColor="text1" w:themeTint="A6"/>
                          <w:sz w:val="18"/>
                          <w:szCs w:val="18"/>
                          <w:lang w:val="pt-BR"/>
                        </w:rPr>
                        <w:t>2</w:t>
                      </w:r>
                      <w:r w:rsidR="008A169C">
                        <w:rPr>
                          <w:rFonts w:asciiTheme="majorHAnsi" w:hAnsiTheme="majorHAnsi"/>
                          <w:color w:val="595959" w:themeColor="text1" w:themeTint="A6"/>
                          <w:sz w:val="18"/>
                          <w:szCs w:val="18"/>
                          <w:lang w:val="pt-BR"/>
                        </w:rPr>
                        <w:t>1</w:t>
                      </w:r>
                      <w:r w:rsidRPr="00161278">
                        <w:rPr>
                          <w:rFonts w:asciiTheme="majorHAnsi" w:hAnsiTheme="majorHAnsi"/>
                          <w:color w:val="595959" w:themeColor="text1" w:themeTint="A6"/>
                          <w:sz w:val="18"/>
                          <w:szCs w:val="18"/>
                          <w:lang w:val="pt-BR"/>
                        </w:rPr>
                        <w:t xml:space="preserve">. </w:t>
                      </w:r>
                      <w:r w:rsidR="00F5747C">
                        <w:rPr>
                          <w:rFonts w:asciiTheme="majorHAnsi" w:hAnsiTheme="majorHAnsi"/>
                          <w:color w:val="595959" w:themeColor="text1" w:themeTint="A6"/>
                          <w:sz w:val="18"/>
                          <w:szCs w:val="18"/>
                          <w:lang w:val="pt-BR"/>
                        </w:rPr>
                        <w:t xml:space="preserve">Petición 1575-09.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Príncipe Gabriel González Arango. Colombia</w:t>
                      </w:r>
                      <w:r w:rsidRPr="00890650">
                        <w:rPr>
                          <w:rFonts w:asciiTheme="majorHAnsi" w:hAnsiTheme="majorHAnsi"/>
                          <w:color w:val="595959" w:themeColor="text1" w:themeTint="A6"/>
                          <w:sz w:val="18"/>
                          <w:szCs w:val="18"/>
                          <w:lang w:val="es-ES_tradnl"/>
                        </w:rPr>
                        <w:t xml:space="preserve">. </w:t>
                      </w:r>
                      <w:r w:rsidR="008A169C">
                        <w:rPr>
                          <w:rFonts w:asciiTheme="majorHAnsi" w:hAnsiTheme="majorHAnsi"/>
                          <w:color w:val="595959" w:themeColor="text1" w:themeTint="A6"/>
                          <w:sz w:val="18"/>
                          <w:szCs w:val="18"/>
                          <w:lang w:val="es-ES"/>
                        </w:rPr>
                        <w:t>5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43661" w:rsidRPr="00D72DC6" w:rsidRDefault="00D4366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008CEF7">
                                  <wp:extent cx="1747157" cy="449456"/>
                                  <wp:effectExtent l="0" t="0" r="571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98084" cy="4625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43661" w:rsidRPr="00D72DC6" w:rsidRDefault="00D4366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008CEF7">
                            <wp:extent cx="1747157" cy="449456"/>
                            <wp:effectExtent l="0" t="0" r="571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98084" cy="462557"/>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43661" w:rsidRPr="004B7EB6" w:rsidRDefault="00D436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43661" w:rsidRPr="004B7EB6" w:rsidRDefault="00D436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77B55DBA" w:rsidR="003239B8" w:rsidRPr="00006B74" w:rsidRDefault="00F11FBB" w:rsidP="00D43661">
            <w:pPr>
              <w:jc w:val="both"/>
              <w:rPr>
                <w:rFonts w:ascii="Cambria" w:hAnsi="Cambria"/>
                <w:bCs/>
                <w:sz w:val="19"/>
                <w:szCs w:val="19"/>
                <w:lang w:val="es-ES"/>
              </w:rPr>
            </w:pPr>
            <w:r>
              <w:rPr>
                <w:rFonts w:ascii="Cambria" w:hAnsi="Cambria"/>
                <w:bCs/>
                <w:sz w:val="19"/>
                <w:szCs w:val="19"/>
                <w:lang w:val="es-ES"/>
              </w:rPr>
              <w:t>Arturo Carillo</w:t>
            </w:r>
            <w:r w:rsidR="00161278">
              <w:rPr>
                <w:rFonts w:ascii="Cambria" w:hAnsi="Cambria"/>
                <w:bCs/>
                <w:sz w:val="19"/>
                <w:szCs w:val="19"/>
                <w:lang w:val="es-ES"/>
              </w:rPr>
              <w:t xml:space="preserve"> y Human Rights First</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D4366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2CF426E" w:rsidR="003239B8" w:rsidRPr="00006B74" w:rsidRDefault="00F11FBB" w:rsidP="005B6D22">
            <w:pPr>
              <w:jc w:val="both"/>
              <w:rPr>
                <w:rFonts w:ascii="Cambria" w:hAnsi="Cambria"/>
                <w:bCs/>
                <w:sz w:val="19"/>
                <w:szCs w:val="19"/>
                <w:lang w:val="es-ES"/>
              </w:rPr>
            </w:pPr>
            <w:r>
              <w:rPr>
                <w:rFonts w:ascii="Cambria" w:hAnsi="Cambria"/>
                <w:bCs/>
                <w:sz w:val="19"/>
                <w:szCs w:val="19"/>
                <w:lang w:val="es-ES"/>
              </w:rPr>
              <w:t>Príncipe Gabriel González Arango</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21291561" w:rsidR="003239B8" w:rsidRPr="00006B74" w:rsidRDefault="00F11FBB" w:rsidP="009075A7">
            <w:pPr>
              <w:jc w:val="both"/>
              <w:rPr>
                <w:rFonts w:ascii="Cambria" w:hAnsi="Cambria"/>
                <w:bCs/>
                <w:sz w:val="19"/>
                <w:szCs w:val="19"/>
                <w:lang w:val="es-ES"/>
              </w:rPr>
            </w:pPr>
            <w:r>
              <w:rPr>
                <w:rFonts w:ascii="Cambria" w:hAnsi="Cambria"/>
                <w:bCs/>
                <w:sz w:val="19"/>
                <w:szCs w:val="19"/>
                <w:lang w:val="es-ES"/>
              </w:rPr>
              <w:t>Colombia</w:t>
            </w:r>
          </w:p>
        </w:tc>
      </w:tr>
      <w:tr w:rsidR="00D24AD4" w:rsidRPr="004B0033"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24AD4" w:rsidRDefault="001B3A00" w:rsidP="00E4118C">
            <w:pPr>
              <w:jc w:val="center"/>
              <w:rPr>
                <w:rFonts w:ascii="Cambria" w:hAnsi="Cambria"/>
                <w:bCs/>
                <w:sz w:val="19"/>
                <w:szCs w:val="19"/>
                <w:lang w:val="es-ES"/>
              </w:rPr>
            </w:pPr>
            <w:r w:rsidRPr="00D24AD4">
              <w:rPr>
                <w:rFonts w:ascii="Cambria" w:hAnsi="Cambria"/>
                <w:bCs/>
                <w:sz w:val="19"/>
                <w:szCs w:val="19"/>
                <w:lang w:val="es-ES"/>
              </w:rPr>
              <w:t xml:space="preserve">Derechos </w:t>
            </w:r>
            <w:r w:rsidR="00E4118C" w:rsidRPr="00D24AD4">
              <w:rPr>
                <w:rFonts w:ascii="Cambria" w:hAnsi="Cambria"/>
                <w:bCs/>
                <w:sz w:val="19"/>
                <w:szCs w:val="19"/>
                <w:lang w:val="es-ES"/>
              </w:rPr>
              <w:t>invocados</w:t>
            </w:r>
          </w:p>
        </w:tc>
        <w:tc>
          <w:tcPr>
            <w:tcW w:w="6570" w:type="dxa"/>
            <w:vAlign w:val="center"/>
          </w:tcPr>
          <w:p w14:paraId="6DEE1EEB" w14:textId="61034A06" w:rsidR="00223A29" w:rsidRPr="00D24AD4" w:rsidRDefault="00BF514A" w:rsidP="00161278">
            <w:pPr>
              <w:jc w:val="both"/>
              <w:rPr>
                <w:rFonts w:ascii="Cambria" w:hAnsi="Cambria"/>
                <w:bCs/>
                <w:sz w:val="19"/>
                <w:szCs w:val="19"/>
                <w:lang w:val="es-ES"/>
              </w:rPr>
            </w:pPr>
            <w:r w:rsidRPr="00D24AD4">
              <w:rPr>
                <w:rFonts w:ascii="Cambria" w:hAnsi="Cambria"/>
                <w:bCs/>
                <w:sz w:val="19"/>
                <w:szCs w:val="19"/>
                <w:lang w:val="es-ES"/>
              </w:rPr>
              <w:t>Artículos</w:t>
            </w:r>
            <w:r w:rsidR="00D24AD4">
              <w:rPr>
                <w:rFonts w:ascii="Cambria" w:hAnsi="Cambria"/>
                <w:bCs/>
                <w:sz w:val="19"/>
                <w:szCs w:val="19"/>
                <w:lang w:val="es-ES"/>
              </w:rPr>
              <w:t xml:space="preserve"> </w:t>
            </w:r>
            <w:r w:rsidR="00D24AD4" w:rsidRPr="00D24AD4">
              <w:rPr>
                <w:rFonts w:ascii="Cambria" w:hAnsi="Cambria"/>
                <w:bCs/>
                <w:sz w:val="19"/>
                <w:szCs w:val="19"/>
                <w:lang w:val="es-ES"/>
              </w:rPr>
              <w:t xml:space="preserve"> 7</w:t>
            </w:r>
            <w:r w:rsidR="00623A34">
              <w:rPr>
                <w:rFonts w:ascii="Cambria" w:hAnsi="Cambria"/>
                <w:bCs/>
                <w:sz w:val="19"/>
                <w:szCs w:val="19"/>
                <w:lang w:val="es-ES"/>
              </w:rPr>
              <w:t xml:space="preserve"> (libertad personal)</w:t>
            </w:r>
            <w:r w:rsidR="00D24AD4" w:rsidRPr="00D24AD4">
              <w:rPr>
                <w:rFonts w:ascii="Cambria" w:hAnsi="Cambria"/>
                <w:bCs/>
                <w:sz w:val="19"/>
                <w:szCs w:val="19"/>
                <w:lang w:val="es-ES"/>
              </w:rPr>
              <w:t>, 8</w:t>
            </w:r>
            <w:r w:rsidR="00623A34">
              <w:rPr>
                <w:rFonts w:ascii="Cambria" w:hAnsi="Cambria"/>
                <w:bCs/>
                <w:sz w:val="19"/>
                <w:szCs w:val="19"/>
                <w:lang w:val="es-ES"/>
              </w:rPr>
              <w:t xml:space="preserve"> (garantías judiciales)</w:t>
            </w:r>
            <w:r w:rsidR="00D24AD4" w:rsidRPr="00D24AD4">
              <w:rPr>
                <w:rFonts w:ascii="Cambria" w:hAnsi="Cambria"/>
                <w:bCs/>
                <w:sz w:val="19"/>
                <w:szCs w:val="19"/>
                <w:lang w:val="es-ES"/>
              </w:rPr>
              <w:t>, 11</w:t>
            </w:r>
            <w:r w:rsidR="00623A34">
              <w:rPr>
                <w:rFonts w:ascii="Cambria" w:hAnsi="Cambria"/>
                <w:bCs/>
                <w:sz w:val="19"/>
                <w:szCs w:val="19"/>
                <w:lang w:val="es-ES"/>
              </w:rPr>
              <w:t xml:space="preserve"> (protección de la honra y dignidad)</w:t>
            </w:r>
            <w:r w:rsidR="00D24AD4" w:rsidRPr="00D24AD4">
              <w:rPr>
                <w:rFonts w:ascii="Cambria" w:hAnsi="Cambria"/>
                <w:bCs/>
                <w:sz w:val="19"/>
                <w:szCs w:val="19"/>
                <w:lang w:val="es-ES"/>
              </w:rPr>
              <w:t>, 13</w:t>
            </w:r>
            <w:r w:rsidR="00623A34">
              <w:rPr>
                <w:rFonts w:ascii="Cambria" w:hAnsi="Cambria"/>
                <w:bCs/>
                <w:sz w:val="19"/>
                <w:szCs w:val="19"/>
                <w:lang w:val="es-ES"/>
              </w:rPr>
              <w:t xml:space="preserve"> (libertad de pensamiento y expresión)</w:t>
            </w:r>
            <w:r w:rsidR="00D24AD4" w:rsidRPr="00D24AD4">
              <w:rPr>
                <w:rFonts w:ascii="Cambria" w:hAnsi="Cambria"/>
                <w:bCs/>
                <w:sz w:val="19"/>
                <w:szCs w:val="19"/>
                <w:lang w:val="es-ES"/>
              </w:rPr>
              <w:t>, 16</w:t>
            </w:r>
            <w:r w:rsidR="00623A34">
              <w:rPr>
                <w:rFonts w:ascii="Cambria" w:hAnsi="Cambria"/>
                <w:bCs/>
                <w:sz w:val="19"/>
                <w:szCs w:val="19"/>
                <w:lang w:val="es-ES"/>
              </w:rPr>
              <w:t xml:space="preserve"> (libertad de asociación)</w:t>
            </w:r>
            <w:r w:rsidR="00D24AD4" w:rsidRPr="00D24AD4">
              <w:rPr>
                <w:rFonts w:ascii="Cambria" w:hAnsi="Cambria"/>
                <w:bCs/>
                <w:sz w:val="19"/>
                <w:szCs w:val="19"/>
                <w:lang w:val="es-ES"/>
              </w:rPr>
              <w:t xml:space="preserve"> y 25</w:t>
            </w:r>
            <w:r w:rsidRPr="00D24AD4">
              <w:rPr>
                <w:rFonts w:ascii="Cambria" w:hAnsi="Cambria"/>
                <w:bCs/>
                <w:sz w:val="19"/>
                <w:szCs w:val="19"/>
                <w:lang w:val="es-ES"/>
              </w:rPr>
              <w:t xml:space="preserve"> </w:t>
            </w:r>
            <w:r w:rsidR="00623A34">
              <w:rPr>
                <w:rFonts w:ascii="Cambria" w:hAnsi="Cambria"/>
                <w:bCs/>
                <w:sz w:val="19"/>
                <w:szCs w:val="19"/>
                <w:lang w:val="es-ES"/>
              </w:rPr>
              <w:t>(protección judicial)</w:t>
            </w:r>
            <w:r w:rsidRPr="00D24AD4">
              <w:rPr>
                <w:rFonts w:ascii="Cambria" w:hAnsi="Cambria"/>
                <w:bCs/>
                <w:sz w:val="19"/>
                <w:szCs w:val="19"/>
                <w:lang w:val="es-ES"/>
              </w:rPr>
              <w:t xml:space="preserve"> de la Convención Americana sobre Derechos Humanos</w:t>
            </w:r>
            <w:r w:rsidRPr="00D24AD4">
              <w:rPr>
                <w:rStyle w:val="FootnoteReference"/>
                <w:rFonts w:ascii="Cambria" w:hAnsi="Cambria"/>
                <w:bCs/>
                <w:sz w:val="19"/>
                <w:szCs w:val="19"/>
                <w:lang w:val="es-ES"/>
              </w:rPr>
              <w:footnoteReference w:id="2"/>
            </w:r>
            <w:r w:rsidR="00161278">
              <w:rPr>
                <w:rFonts w:ascii="Cambria" w:hAnsi="Cambria"/>
                <w:bCs/>
                <w:sz w:val="19"/>
                <w:szCs w:val="19"/>
                <w:lang w:val="es-ES"/>
              </w:rPr>
              <w:t xml:space="preserve"> en relación con sus artículos 1.1. (obligación de respetar los derechos) y 2 (deber de adoptar disposiciones de derecho interno).</w:t>
            </w:r>
          </w:p>
        </w:tc>
      </w:tr>
    </w:tbl>
    <w:p w14:paraId="20263696" w14:textId="77777777" w:rsidR="003239B8" w:rsidRPr="00D24AD4" w:rsidRDefault="003239B8" w:rsidP="007C402A">
      <w:pPr>
        <w:spacing w:before="120" w:after="120"/>
        <w:ind w:firstLine="720"/>
        <w:jc w:val="both"/>
        <w:rPr>
          <w:rFonts w:asciiTheme="majorHAnsi" w:hAnsiTheme="majorHAnsi"/>
          <w:b/>
          <w:bCs/>
          <w:sz w:val="20"/>
          <w:szCs w:val="20"/>
          <w:lang w:val="es-ES"/>
        </w:rPr>
      </w:pPr>
      <w:r w:rsidRPr="00D24AD4">
        <w:rPr>
          <w:rFonts w:asciiTheme="majorHAnsi" w:hAnsiTheme="majorHAnsi"/>
          <w:b/>
          <w:bCs/>
          <w:sz w:val="20"/>
          <w:szCs w:val="20"/>
          <w:lang w:val="es-ES"/>
        </w:rPr>
        <w:t>II.</w:t>
      </w:r>
      <w:r w:rsidRPr="00D24AD4">
        <w:rPr>
          <w:rFonts w:asciiTheme="majorHAnsi" w:hAnsiTheme="majorHAnsi"/>
          <w:b/>
          <w:bCs/>
          <w:sz w:val="20"/>
          <w:szCs w:val="20"/>
          <w:lang w:val="es-ES"/>
        </w:rPr>
        <w:tab/>
        <w:t>TRÁMITE ANTE LA CIDH</w:t>
      </w:r>
      <w:r w:rsidR="008E3BFE" w:rsidRPr="00D24AD4">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32DD047D" w:rsidR="004C2312" w:rsidRPr="0047080D" w:rsidRDefault="00F11FBB" w:rsidP="00D43661">
            <w:pPr>
              <w:jc w:val="both"/>
              <w:rPr>
                <w:rFonts w:ascii="Cambria" w:hAnsi="Cambria"/>
                <w:bCs/>
                <w:sz w:val="19"/>
                <w:szCs w:val="19"/>
                <w:lang w:val="es-ES"/>
              </w:rPr>
            </w:pPr>
            <w:r>
              <w:rPr>
                <w:rFonts w:ascii="Cambria" w:hAnsi="Cambria"/>
                <w:bCs/>
                <w:sz w:val="19"/>
                <w:szCs w:val="19"/>
                <w:lang w:val="es-ES"/>
              </w:rPr>
              <w:t>8 de diciembre de 2009</w:t>
            </w:r>
          </w:p>
        </w:tc>
      </w:tr>
      <w:tr w:rsidR="006E772A" w:rsidRPr="004B0033"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5014D728" w:rsidR="006E772A" w:rsidRPr="0047080D" w:rsidRDefault="003207C9" w:rsidP="00D43661">
            <w:pPr>
              <w:jc w:val="both"/>
              <w:rPr>
                <w:rFonts w:ascii="Cambria" w:hAnsi="Cambria"/>
                <w:bCs/>
                <w:sz w:val="19"/>
                <w:szCs w:val="19"/>
                <w:lang w:val="es-ES"/>
              </w:rPr>
            </w:pPr>
            <w:r>
              <w:rPr>
                <w:rFonts w:ascii="Cambria" w:hAnsi="Cambria"/>
                <w:bCs/>
                <w:sz w:val="19"/>
                <w:szCs w:val="19"/>
                <w:lang w:val="es-ES"/>
              </w:rPr>
              <w:t xml:space="preserve">7 de junio de 2010, 23 y 25 de agosto, 8 de diciembre de 2011, 28 de octubre de 2013, </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18D96017" w:rsidR="004C2312" w:rsidRPr="0047080D" w:rsidRDefault="003207C9" w:rsidP="00D43661">
            <w:pPr>
              <w:jc w:val="both"/>
              <w:rPr>
                <w:rFonts w:ascii="Cambria" w:hAnsi="Cambria"/>
                <w:bCs/>
                <w:sz w:val="19"/>
                <w:szCs w:val="19"/>
                <w:lang w:val="es-ES"/>
              </w:rPr>
            </w:pPr>
            <w:r>
              <w:rPr>
                <w:rFonts w:ascii="Cambria" w:hAnsi="Cambria"/>
                <w:bCs/>
                <w:sz w:val="19"/>
                <w:szCs w:val="19"/>
                <w:lang w:val="es-ES"/>
              </w:rPr>
              <w:t>9 de abril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5F2F9E56" w:rsidR="00F06354" w:rsidRPr="0047080D" w:rsidRDefault="00BB3402" w:rsidP="00F06354">
            <w:pPr>
              <w:jc w:val="both"/>
              <w:rPr>
                <w:rFonts w:ascii="Cambria" w:hAnsi="Cambria"/>
                <w:bCs/>
                <w:sz w:val="19"/>
                <w:szCs w:val="19"/>
                <w:lang w:val="es-ES"/>
              </w:rPr>
            </w:pPr>
            <w:r>
              <w:rPr>
                <w:rFonts w:ascii="Cambria" w:hAnsi="Cambria"/>
                <w:bCs/>
                <w:sz w:val="19"/>
                <w:szCs w:val="19"/>
                <w:lang w:val="es-ES"/>
              </w:rPr>
              <w:t>16 de mayo de 2016</w:t>
            </w:r>
          </w:p>
        </w:tc>
      </w:tr>
      <w:tr w:rsidR="00F06354" w:rsidRPr="004B0033"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4E16769C" w:rsidR="00F06354" w:rsidRPr="0047080D" w:rsidRDefault="008856AB" w:rsidP="00D77503">
            <w:pPr>
              <w:jc w:val="both"/>
              <w:rPr>
                <w:rFonts w:ascii="Cambria" w:hAnsi="Cambria"/>
                <w:bCs/>
                <w:sz w:val="19"/>
                <w:szCs w:val="19"/>
                <w:lang w:val="es-ES"/>
              </w:rPr>
            </w:pPr>
            <w:r>
              <w:rPr>
                <w:rFonts w:ascii="Cambria" w:hAnsi="Cambria"/>
                <w:bCs/>
                <w:sz w:val="19"/>
                <w:szCs w:val="19"/>
                <w:lang w:val="es-ES"/>
              </w:rPr>
              <w:t>13 de junio</w:t>
            </w:r>
            <w:r w:rsidR="004C731B">
              <w:rPr>
                <w:rFonts w:ascii="Cambria" w:hAnsi="Cambria"/>
                <w:bCs/>
                <w:sz w:val="19"/>
                <w:szCs w:val="19"/>
                <w:lang w:val="es-ES"/>
              </w:rPr>
              <w:t xml:space="preserve"> y</w:t>
            </w:r>
            <w:r w:rsidR="00FE430E">
              <w:rPr>
                <w:rFonts w:ascii="Cambria" w:hAnsi="Cambria"/>
                <w:bCs/>
                <w:sz w:val="19"/>
                <w:szCs w:val="19"/>
                <w:lang w:val="es-ES"/>
              </w:rPr>
              <w:t xml:space="preserve"> 14 de julio</w:t>
            </w:r>
            <w:r>
              <w:rPr>
                <w:rFonts w:ascii="Cambria" w:hAnsi="Cambria"/>
                <w:bCs/>
                <w:sz w:val="19"/>
                <w:szCs w:val="19"/>
                <w:lang w:val="es-ES"/>
              </w:rPr>
              <w:t xml:space="preserve"> de 2016</w:t>
            </w:r>
            <w:r w:rsidR="00FE430E">
              <w:rPr>
                <w:rFonts w:ascii="Cambria" w:hAnsi="Cambria"/>
                <w:bCs/>
                <w:sz w:val="19"/>
                <w:szCs w:val="19"/>
                <w:lang w:val="es-ES"/>
              </w:rPr>
              <w:t>, 20 de junio de 2017</w:t>
            </w:r>
          </w:p>
        </w:tc>
      </w:tr>
      <w:tr w:rsidR="00F06354" w:rsidRPr="00006B74"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w:t>
            </w:r>
            <w:r w:rsidR="00D77503" w:rsidRPr="0047080D">
              <w:rPr>
                <w:rFonts w:ascii="Cambria" w:hAnsi="Cambria"/>
                <w:bCs/>
                <w:color w:val="FFFFFF" w:themeColor="background1"/>
                <w:sz w:val="19"/>
                <w:szCs w:val="19"/>
                <w:lang w:val="es-ES"/>
              </w:rPr>
              <w:t>vaciones adicionales del Estado</w:t>
            </w:r>
          </w:p>
        </w:tc>
        <w:tc>
          <w:tcPr>
            <w:tcW w:w="6570" w:type="dxa"/>
            <w:vAlign w:val="center"/>
          </w:tcPr>
          <w:p w14:paraId="3CE49AFE" w14:textId="495BA442" w:rsidR="00F06354" w:rsidRPr="0047080D" w:rsidRDefault="00434A3E" w:rsidP="00F06354">
            <w:pPr>
              <w:jc w:val="both"/>
              <w:rPr>
                <w:rFonts w:ascii="Cambria" w:hAnsi="Cambria"/>
                <w:bCs/>
                <w:sz w:val="19"/>
                <w:szCs w:val="19"/>
                <w:lang w:val="es-ES"/>
              </w:rPr>
            </w:pPr>
            <w:r>
              <w:rPr>
                <w:rFonts w:ascii="Cambria" w:hAnsi="Cambria"/>
                <w:bCs/>
                <w:sz w:val="19"/>
                <w:szCs w:val="19"/>
                <w:lang w:val="es-ES"/>
              </w:rPr>
              <w:t>17 de septiembre de 2018</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63668C73" w:rsidR="006E772A" w:rsidRPr="0047080D" w:rsidRDefault="00087D19" w:rsidP="00F06354">
            <w:pPr>
              <w:jc w:val="both"/>
              <w:rPr>
                <w:rFonts w:ascii="Cambria" w:hAnsi="Cambria"/>
                <w:bCs/>
                <w:sz w:val="19"/>
                <w:szCs w:val="19"/>
                <w:lang w:val="es-ES"/>
              </w:rPr>
            </w:pPr>
            <w:r>
              <w:rPr>
                <w:rFonts w:ascii="Cambria" w:hAnsi="Cambria"/>
                <w:bCs/>
                <w:sz w:val="19"/>
                <w:szCs w:val="19"/>
                <w:lang w:val="es-ES"/>
              </w:rPr>
              <w:t>No</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3"/>
        <w:gridCol w:w="6479"/>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D43661">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30DD0FA8"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07637622"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D4366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63ACCA21"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D43661">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74EE306C" w:rsidR="003239B8" w:rsidRPr="0047080D" w:rsidRDefault="00161278" w:rsidP="00D43661">
            <w:pPr>
              <w:jc w:val="both"/>
              <w:rPr>
                <w:rFonts w:ascii="Cambria" w:hAnsi="Cambria"/>
                <w:bCs/>
                <w:sz w:val="19"/>
                <w:szCs w:val="19"/>
                <w:lang w:val="es-ES"/>
              </w:rPr>
            </w:pPr>
            <w:r>
              <w:rPr>
                <w:rFonts w:ascii="Cambria" w:hAnsi="Cambria"/>
                <w:bCs/>
                <w:sz w:val="19"/>
                <w:szCs w:val="19"/>
                <w:lang w:val="es-ES"/>
              </w:rPr>
              <w:t>Sí</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D43661">
            <w:pPr>
              <w:jc w:val="both"/>
              <w:rPr>
                <w:rFonts w:ascii="Cambria" w:hAnsi="Cambria"/>
                <w:bCs/>
                <w:sz w:val="19"/>
                <w:szCs w:val="19"/>
                <w:lang w:val="es-ES"/>
              </w:rPr>
            </w:pPr>
            <w:r>
              <w:rPr>
                <w:rFonts w:ascii="Cambria" w:hAnsi="Cambria"/>
                <w:bCs/>
                <w:sz w:val="19"/>
                <w:szCs w:val="19"/>
                <w:lang w:val="es-ES"/>
              </w:rPr>
              <w:t>No</w:t>
            </w:r>
          </w:p>
        </w:tc>
      </w:tr>
      <w:tr w:rsidR="003239B8" w:rsidRPr="004B0033"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1B229E4D" w:rsidR="003239B8" w:rsidRPr="0047080D" w:rsidRDefault="007C5E01" w:rsidP="001479C0">
            <w:pPr>
              <w:jc w:val="both"/>
              <w:rPr>
                <w:rFonts w:ascii="Cambria" w:hAnsi="Cambria"/>
                <w:bCs/>
                <w:sz w:val="19"/>
                <w:szCs w:val="19"/>
                <w:lang w:val="es-ES"/>
              </w:rPr>
            </w:pPr>
            <w:r>
              <w:rPr>
                <w:rFonts w:ascii="Cambria" w:hAnsi="Cambria"/>
                <w:bCs/>
                <w:sz w:val="19"/>
                <w:szCs w:val="19"/>
                <w:lang w:val="es-ES"/>
              </w:rPr>
              <w:t>A</w:t>
            </w:r>
            <w:r w:rsidRPr="007C5E01">
              <w:rPr>
                <w:rFonts w:ascii="Cambria" w:hAnsi="Cambria"/>
                <w:bCs/>
                <w:sz w:val="19"/>
                <w:szCs w:val="19"/>
                <w:lang w:val="es-ES"/>
              </w:rPr>
              <w:t>rtículos 7 (libertad personal), 8 (garantías judiciales), 11 (protección de la honra y dignidad)</w:t>
            </w:r>
            <w:r w:rsidR="00161278">
              <w:rPr>
                <w:rFonts w:ascii="Cambria" w:hAnsi="Cambria"/>
                <w:bCs/>
                <w:sz w:val="19"/>
                <w:szCs w:val="19"/>
                <w:lang w:val="es-ES"/>
              </w:rPr>
              <w:t>, 13 (libertad de pensamiento y expresión), 16 (libertad de asociación)</w:t>
            </w:r>
            <w:r w:rsidR="002E6E36">
              <w:rPr>
                <w:rFonts w:ascii="Cambria" w:hAnsi="Cambria"/>
                <w:bCs/>
                <w:sz w:val="19"/>
                <w:szCs w:val="19"/>
                <w:lang w:val="es-ES"/>
              </w:rPr>
              <w:t xml:space="preserve"> y 25 (protección judicial) </w:t>
            </w:r>
            <w:r w:rsidRPr="007C5E01">
              <w:rPr>
                <w:rFonts w:ascii="Cambria" w:hAnsi="Cambria"/>
                <w:bCs/>
                <w:sz w:val="19"/>
                <w:szCs w:val="19"/>
                <w:lang w:val="es-ES"/>
              </w:rPr>
              <w:t>de la Convención A</w:t>
            </w:r>
            <w:r>
              <w:rPr>
                <w:rFonts w:ascii="Cambria" w:hAnsi="Cambria"/>
                <w:bCs/>
                <w:sz w:val="19"/>
                <w:szCs w:val="19"/>
                <w:lang w:val="es-ES"/>
              </w:rPr>
              <w:t>mericana sobre Derechos Humanos</w:t>
            </w:r>
            <w:r w:rsidR="00161278">
              <w:rPr>
                <w:rFonts w:ascii="Cambria" w:hAnsi="Cambria"/>
                <w:bCs/>
                <w:sz w:val="19"/>
                <w:szCs w:val="19"/>
                <w:lang w:val="es-ES"/>
              </w:rPr>
              <w:t xml:space="preserve"> en relación con sus artículos 1.1. (obligación de respetar los derechos) y 2 (deber de adoptar disposiciones de derecho interno).</w:t>
            </w:r>
          </w:p>
        </w:tc>
      </w:tr>
      <w:tr w:rsidR="003239B8" w:rsidRPr="00161278"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118AF47A" w:rsidR="003239B8" w:rsidRPr="0047080D" w:rsidRDefault="00161278" w:rsidP="00BB3FBD">
            <w:pPr>
              <w:rPr>
                <w:rFonts w:ascii="Cambria" w:hAnsi="Cambria"/>
                <w:bCs/>
                <w:sz w:val="19"/>
                <w:szCs w:val="19"/>
                <w:lang w:val="es-ES"/>
              </w:rPr>
            </w:pPr>
            <w:r>
              <w:rPr>
                <w:rFonts w:ascii="Cambria" w:hAnsi="Cambria"/>
                <w:bCs/>
                <w:sz w:val="19"/>
                <w:szCs w:val="19"/>
                <w:lang w:val="es-ES"/>
              </w:rPr>
              <w:t>Sí</w:t>
            </w:r>
            <w:r w:rsidR="00623A34">
              <w:rPr>
                <w:rFonts w:ascii="Cambria" w:hAnsi="Cambria"/>
                <w:bCs/>
                <w:sz w:val="19"/>
                <w:szCs w:val="19"/>
                <w:lang w:val="es-ES"/>
              </w:rPr>
              <w:t>, 9 de diciembre de 2009</w:t>
            </w:r>
          </w:p>
        </w:tc>
      </w:tr>
      <w:tr w:rsidR="003239B8" w:rsidRPr="00161278"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D4366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1AD1A50B" w:rsidR="003239B8" w:rsidRPr="0047080D" w:rsidRDefault="00161278" w:rsidP="00D43661">
            <w:pPr>
              <w:rPr>
                <w:rFonts w:ascii="Cambria" w:hAnsi="Cambria"/>
                <w:bCs/>
                <w:sz w:val="19"/>
                <w:szCs w:val="19"/>
                <w:lang w:val="es-ES"/>
              </w:rPr>
            </w:pPr>
            <w:r>
              <w:rPr>
                <w:rFonts w:ascii="Cambria" w:hAnsi="Cambria"/>
                <w:bCs/>
                <w:sz w:val="19"/>
                <w:szCs w:val="19"/>
                <w:lang w:val="es-ES"/>
              </w:rPr>
              <w:t>Sí, 8 de diciembre de 2009</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7667B7AE" w14:textId="300D85A8" w:rsidR="00DE7D78" w:rsidRPr="00623A34" w:rsidRDefault="00DE7D78" w:rsidP="00DE7D78">
      <w:pPr>
        <w:numPr>
          <w:ilvl w:val="0"/>
          <w:numId w:val="55"/>
        </w:numPr>
        <w:suppressAutoHyphens/>
        <w:spacing w:after="120"/>
        <w:jc w:val="both"/>
        <w:rPr>
          <w:rFonts w:ascii="Cambria" w:hAnsi="Cambria"/>
          <w:sz w:val="20"/>
          <w:szCs w:val="20"/>
          <w:lang w:val="es-ES"/>
        </w:rPr>
      </w:pPr>
      <w:r w:rsidRPr="0048220E">
        <w:rPr>
          <w:rFonts w:ascii="Cambria" w:hAnsi="Cambria"/>
          <w:sz w:val="20"/>
          <w:szCs w:val="20"/>
          <w:lang w:val="es-ES"/>
        </w:rPr>
        <w:t>Arturo Carrillo</w:t>
      </w:r>
      <w:r w:rsidR="00FD6A68">
        <w:rPr>
          <w:rFonts w:ascii="Cambria" w:hAnsi="Cambria"/>
          <w:sz w:val="20"/>
          <w:szCs w:val="20"/>
          <w:lang w:val="es-ES"/>
        </w:rPr>
        <w:t xml:space="preserve"> y Human Rights First (en adelante, “la parte peticionaria”</w:t>
      </w:r>
      <w:r w:rsidRPr="0048220E">
        <w:rPr>
          <w:rFonts w:ascii="Cambria" w:hAnsi="Cambria"/>
          <w:sz w:val="20"/>
          <w:szCs w:val="20"/>
          <w:lang w:val="es-ES"/>
        </w:rPr>
        <w:t>) denuncia que el Estado es internacionalmente responsable por la violación a los derechos</w:t>
      </w:r>
      <w:r w:rsidR="00FD6A68">
        <w:rPr>
          <w:rFonts w:ascii="Cambria" w:hAnsi="Cambria"/>
          <w:sz w:val="20"/>
          <w:szCs w:val="20"/>
          <w:lang w:val="es-ES"/>
        </w:rPr>
        <w:t xml:space="preserve"> humanos</w:t>
      </w:r>
      <w:r w:rsidRPr="0048220E">
        <w:rPr>
          <w:rFonts w:ascii="Cambria" w:hAnsi="Cambria"/>
          <w:sz w:val="20"/>
          <w:szCs w:val="20"/>
          <w:lang w:val="es-ES"/>
        </w:rPr>
        <w:t xml:space="preserve"> del señor Príncipe Gabriel González Arango</w:t>
      </w:r>
      <w:r w:rsidR="00FD6A68">
        <w:rPr>
          <w:rFonts w:ascii="Cambria" w:hAnsi="Cambria"/>
          <w:sz w:val="20"/>
          <w:szCs w:val="20"/>
          <w:lang w:val="es-ES"/>
        </w:rPr>
        <w:t xml:space="preserve"> (en adelante “</w:t>
      </w:r>
      <w:r w:rsidRPr="0048220E">
        <w:rPr>
          <w:rFonts w:ascii="Cambria" w:hAnsi="Cambria"/>
          <w:sz w:val="20"/>
          <w:szCs w:val="20"/>
          <w:lang w:val="es-ES"/>
        </w:rPr>
        <w:t>la</w:t>
      </w:r>
      <w:r w:rsidR="00FD6A68">
        <w:rPr>
          <w:rFonts w:ascii="Cambria" w:hAnsi="Cambria"/>
          <w:sz w:val="20"/>
          <w:szCs w:val="20"/>
          <w:lang w:val="es-ES"/>
        </w:rPr>
        <w:t xml:space="preserve"> presunta ví</w:t>
      </w:r>
      <w:r w:rsidRPr="0048220E">
        <w:rPr>
          <w:rFonts w:ascii="Cambria" w:hAnsi="Cambria"/>
          <w:sz w:val="20"/>
          <w:szCs w:val="20"/>
          <w:lang w:val="es-ES"/>
        </w:rPr>
        <w:t>ctima</w:t>
      </w:r>
      <w:r w:rsidR="00FD6A68">
        <w:rPr>
          <w:rFonts w:ascii="Cambria" w:hAnsi="Cambria"/>
          <w:sz w:val="20"/>
          <w:szCs w:val="20"/>
          <w:lang w:val="es-ES"/>
        </w:rPr>
        <w:t>”</w:t>
      </w:r>
      <w:r w:rsidRPr="0048220E">
        <w:rPr>
          <w:rFonts w:ascii="Cambria" w:hAnsi="Cambria"/>
          <w:sz w:val="20"/>
          <w:szCs w:val="20"/>
          <w:lang w:val="es-ES"/>
        </w:rPr>
        <w:t>)</w:t>
      </w:r>
      <w:r w:rsidR="00FD6A68">
        <w:rPr>
          <w:rFonts w:ascii="Cambria" w:hAnsi="Cambria"/>
          <w:sz w:val="20"/>
          <w:szCs w:val="20"/>
          <w:lang w:val="es-ES"/>
        </w:rPr>
        <w:t xml:space="preserve"> quien, según se alega, es activista de derechos humanos y </w:t>
      </w:r>
      <w:r w:rsidRPr="0048220E">
        <w:rPr>
          <w:rFonts w:ascii="Cambria" w:hAnsi="Cambria"/>
          <w:sz w:val="20"/>
          <w:szCs w:val="20"/>
          <w:lang w:val="es-ES"/>
        </w:rPr>
        <w:t>en virtud de</w:t>
      </w:r>
      <w:r w:rsidR="00FD6A68">
        <w:rPr>
          <w:rFonts w:ascii="Cambria" w:hAnsi="Cambria"/>
          <w:sz w:val="20"/>
          <w:szCs w:val="20"/>
          <w:lang w:val="es-ES"/>
        </w:rPr>
        <w:t xml:space="preserve"> su activismo fue sometido</w:t>
      </w:r>
      <w:r w:rsidRPr="0048220E">
        <w:rPr>
          <w:rFonts w:ascii="Cambria" w:hAnsi="Cambria"/>
          <w:sz w:val="20"/>
          <w:szCs w:val="20"/>
          <w:lang w:val="es-ES"/>
        </w:rPr>
        <w:t xml:space="preserve"> un proceso penal </w:t>
      </w:r>
      <w:r w:rsidRPr="00623A34">
        <w:rPr>
          <w:rFonts w:ascii="Cambria" w:hAnsi="Cambria"/>
          <w:sz w:val="20"/>
          <w:szCs w:val="20"/>
          <w:lang w:val="es-ES"/>
        </w:rPr>
        <w:t xml:space="preserve">infundado </w:t>
      </w:r>
      <w:r w:rsidRPr="0048220E">
        <w:rPr>
          <w:rFonts w:ascii="Cambria" w:hAnsi="Cambria"/>
          <w:sz w:val="20"/>
          <w:szCs w:val="20"/>
          <w:lang w:val="es-ES"/>
        </w:rPr>
        <w:t>por el que fue condenado a pena privativa de la libertad</w:t>
      </w:r>
      <w:r w:rsidRPr="00623A34">
        <w:rPr>
          <w:rFonts w:ascii="Cambria" w:hAnsi="Cambria"/>
          <w:sz w:val="20"/>
          <w:szCs w:val="20"/>
          <w:lang w:val="es-ES"/>
        </w:rPr>
        <w:t>, sin poder ejercer su derecho a la defensa y desprovisto de las garantías básicas del debido proceso</w:t>
      </w:r>
      <w:r w:rsidR="00FD6A68">
        <w:rPr>
          <w:rFonts w:ascii="Cambria" w:hAnsi="Cambria"/>
          <w:sz w:val="20"/>
          <w:szCs w:val="20"/>
          <w:lang w:val="es-ES"/>
        </w:rPr>
        <w:t xml:space="preserve"> tales como control judicial de la detención, oportunidad de contra interrogar testigos y derecho a la doble instancia</w:t>
      </w:r>
      <w:r w:rsidR="005A6C02" w:rsidRPr="00623A34">
        <w:rPr>
          <w:rFonts w:ascii="Cambria" w:hAnsi="Cambria"/>
          <w:sz w:val="20"/>
          <w:szCs w:val="20"/>
          <w:lang w:val="es-ES"/>
        </w:rPr>
        <w:t>.</w:t>
      </w:r>
    </w:p>
    <w:p w14:paraId="03FE7757" w14:textId="43754573" w:rsidR="00DE7D78" w:rsidRPr="00623A34" w:rsidRDefault="00DE7D78" w:rsidP="00DE7D78">
      <w:pPr>
        <w:numPr>
          <w:ilvl w:val="0"/>
          <w:numId w:val="55"/>
        </w:numPr>
        <w:suppressAutoHyphens/>
        <w:spacing w:after="120"/>
        <w:jc w:val="both"/>
        <w:rPr>
          <w:rFonts w:ascii="Cambria" w:hAnsi="Cambria"/>
          <w:sz w:val="20"/>
          <w:szCs w:val="20"/>
          <w:lang w:val="es-ES"/>
        </w:rPr>
      </w:pPr>
      <w:r w:rsidRPr="00623A34">
        <w:rPr>
          <w:rFonts w:ascii="Cambria" w:hAnsi="Cambria"/>
          <w:sz w:val="20"/>
          <w:szCs w:val="20"/>
          <w:lang w:val="es-ES"/>
        </w:rPr>
        <w:t>El peticionario relata que la p</w:t>
      </w:r>
      <w:r w:rsidR="00881E7D">
        <w:rPr>
          <w:rFonts w:ascii="Cambria" w:hAnsi="Cambria"/>
          <w:sz w:val="20"/>
          <w:szCs w:val="20"/>
          <w:lang w:val="es-ES"/>
        </w:rPr>
        <w:t>resunta víctima es un activista</w:t>
      </w:r>
      <w:r w:rsidRPr="00623A34">
        <w:rPr>
          <w:rFonts w:ascii="Cambria" w:hAnsi="Cambria"/>
          <w:sz w:val="20"/>
          <w:szCs w:val="20"/>
          <w:lang w:val="es-ES"/>
        </w:rPr>
        <w:t xml:space="preserve"> defensor de los der</w:t>
      </w:r>
      <w:r w:rsidR="00881E7D">
        <w:rPr>
          <w:rFonts w:ascii="Cambria" w:hAnsi="Cambria"/>
          <w:sz w:val="20"/>
          <w:szCs w:val="20"/>
          <w:lang w:val="es-ES"/>
        </w:rPr>
        <w:t>echos humanos que se desempeñó como</w:t>
      </w:r>
      <w:r w:rsidR="00FD6A68">
        <w:rPr>
          <w:rFonts w:ascii="Cambria" w:hAnsi="Cambria"/>
          <w:sz w:val="20"/>
          <w:szCs w:val="20"/>
          <w:lang w:val="es-ES"/>
        </w:rPr>
        <w:t xml:space="preserve"> coordinador r</w:t>
      </w:r>
      <w:r w:rsidRPr="00623A34">
        <w:rPr>
          <w:rFonts w:ascii="Cambria" w:hAnsi="Cambria"/>
          <w:sz w:val="20"/>
          <w:szCs w:val="20"/>
          <w:lang w:val="es-ES"/>
        </w:rPr>
        <w:t xml:space="preserve">egional del Comité de Solidaridad con los Presos Políticos (en </w:t>
      </w:r>
      <w:r w:rsidRPr="00623A34">
        <w:rPr>
          <w:rFonts w:ascii="Cambria" w:hAnsi="Cambria"/>
          <w:sz w:val="20"/>
          <w:szCs w:val="20"/>
          <w:lang w:val="es-ES"/>
        </w:rPr>
        <w:lastRenderedPageBreak/>
        <w:t>adelante, CSPP) en el departamento de S</w:t>
      </w:r>
      <w:r w:rsidR="00881E7D">
        <w:rPr>
          <w:rFonts w:ascii="Cambria" w:hAnsi="Cambria"/>
          <w:sz w:val="20"/>
          <w:szCs w:val="20"/>
          <w:lang w:val="es-ES"/>
        </w:rPr>
        <w:t>antander.</w:t>
      </w:r>
      <w:r w:rsidR="000207B7">
        <w:rPr>
          <w:rFonts w:ascii="Cambria" w:hAnsi="Cambria"/>
          <w:sz w:val="20"/>
          <w:szCs w:val="20"/>
          <w:lang w:val="es-ES"/>
        </w:rPr>
        <w:t xml:space="preserve"> </w:t>
      </w:r>
      <w:r w:rsidR="000207B7" w:rsidRPr="000207B7">
        <w:rPr>
          <w:rFonts w:ascii="Cambria" w:hAnsi="Cambria"/>
          <w:sz w:val="20"/>
          <w:szCs w:val="20"/>
          <w:lang w:val="es-ES"/>
        </w:rPr>
        <w:t>Asimismo, afirma que es un destacado líder estudiantil, que ha promovido una serie de protestas estudiantiles organizadas y muy conocidas contra la Universidad Industrial de Santander (UIS)</w:t>
      </w:r>
      <w:r w:rsidR="00974794" w:rsidRPr="000207B7">
        <w:rPr>
          <w:rFonts w:ascii="Cambria" w:hAnsi="Cambria"/>
          <w:sz w:val="20"/>
          <w:szCs w:val="20"/>
          <w:lang w:val="es-ES"/>
        </w:rPr>
        <w:t>.</w:t>
      </w:r>
      <w:r w:rsidR="00974794">
        <w:rPr>
          <w:rFonts w:ascii="Cambria" w:hAnsi="Cambria"/>
          <w:sz w:val="20"/>
          <w:szCs w:val="20"/>
          <w:lang w:val="es-ES"/>
        </w:rPr>
        <w:t xml:space="preserve"> </w:t>
      </w:r>
      <w:r w:rsidR="00881E7D">
        <w:rPr>
          <w:rFonts w:ascii="Cambria" w:hAnsi="Cambria"/>
          <w:sz w:val="20"/>
          <w:szCs w:val="20"/>
          <w:lang w:val="es-ES"/>
        </w:rPr>
        <w:t>Alega</w:t>
      </w:r>
      <w:r w:rsidRPr="00623A34">
        <w:rPr>
          <w:rFonts w:ascii="Cambria" w:hAnsi="Cambria"/>
          <w:sz w:val="20"/>
          <w:szCs w:val="20"/>
          <w:lang w:val="es-ES"/>
        </w:rPr>
        <w:t xml:space="preserve"> </w:t>
      </w:r>
      <w:r w:rsidR="00881E7D">
        <w:rPr>
          <w:rFonts w:ascii="Cambria" w:hAnsi="Cambria"/>
          <w:sz w:val="20"/>
          <w:szCs w:val="20"/>
          <w:lang w:val="es-ES"/>
        </w:rPr>
        <w:t>que</w:t>
      </w:r>
      <w:r w:rsidRPr="00623A34">
        <w:rPr>
          <w:rFonts w:ascii="Cambria" w:hAnsi="Cambria"/>
          <w:sz w:val="20"/>
          <w:szCs w:val="20"/>
          <w:lang w:val="es-ES"/>
        </w:rPr>
        <w:t xml:space="preserve"> como consecuencia de su activismo comunitario </w:t>
      </w:r>
      <w:r w:rsidR="00924F65">
        <w:rPr>
          <w:rFonts w:ascii="Cambria" w:hAnsi="Cambria"/>
          <w:sz w:val="20"/>
          <w:szCs w:val="20"/>
          <w:lang w:val="es-ES"/>
        </w:rPr>
        <w:t>a favor de los derechos humanos éste</w:t>
      </w:r>
      <w:r w:rsidRPr="00623A34">
        <w:rPr>
          <w:rFonts w:ascii="Cambria" w:hAnsi="Cambria"/>
          <w:sz w:val="20"/>
          <w:szCs w:val="20"/>
          <w:lang w:val="es-ES"/>
        </w:rPr>
        <w:t xml:space="preserve"> comenzó a ser objeto de amenazas</w:t>
      </w:r>
      <w:r w:rsidR="003C20FF">
        <w:rPr>
          <w:rFonts w:ascii="Cambria" w:hAnsi="Cambria"/>
          <w:sz w:val="20"/>
          <w:szCs w:val="20"/>
          <w:lang w:val="es-ES"/>
        </w:rPr>
        <w:t xml:space="preserve"> de mu</w:t>
      </w:r>
      <w:r w:rsidR="008A392C">
        <w:rPr>
          <w:rFonts w:ascii="Cambria" w:hAnsi="Cambria"/>
          <w:sz w:val="20"/>
          <w:szCs w:val="20"/>
          <w:lang w:val="es-ES"/>
        </w:rPr>
        <w:t>erte por parte de paramilitares y</w:t>
      </w:r>
      <w:r w:rsidR="003C20FF">
        <w:rPr>
          <w:rFonts w:ascii="Cambria" w:hAnsi="Cambria"/>
          <w:sz w:val="20"/>
          <w:szCs w:val="20"/>
          <w:lang w:val="es-ES"/>
        </w:rPr>
        <w:t xml:space="preserve"> actos de hostigamiento por parte de autoridades colombianas</w:t>
      </w:r>
      <w:r w:rsidR="008A392C">
        <w:rPr>
          <w:rFonts w:ascii="Cambria" w:hAnsi="Cambria"/>
          <w:sz w:val="20"/>
          <w:szCs w:val="20"/>
          <w:lang w:val="es-ES"/>
        </w:rPr>
        <w:t>. Destaca que por est</w:t>
      </w:r>
      <w:r w:rsidR="008A392C" w:rsidRPr="000207B7">
        <w:rPr>
          <w:rFonts w:ascii="Cambria" w:hAnsi="Cambria"/>
          <w:sz w:val="20"/>
          <w:szCs w:val="20"/>
          <w:lang w:val="es-ES"/>
        </w:rPr>
        <w:t>a</w:t>
      </w:r>
      <w:r w:rsidR="000207B7" w:rsidRPr="000207B7">
        <w:rPr>
          <w:rFonts w:ascii="Cambria" w:hAnsi="Cambria"/>
          <w:sz w:val="20"/>
          <w:szCs w:val="20"/>
          <w:lang w:val="es-ES"/>
        </w:rPr>
        <w:t>s</w:t>
      </w:r>
      <w:r w:rsidR="008A392C">
        <w:rPr>
          <w:rFonts w:ascii="Cambria" w:hAnsi="Cambria"/>
          <w:sz w:val="20"/>
          <w:szCs w:val="20"/>
          <w:lang w:val="es-ES"/>
        </w:rPr>
        <w:t xml:space="preserve"> razones </w:t>
      </w:r>
      <w:r w:rsidR="00924F65">
        <w:rPr>
          <w:rFonts w:ascii="Cambria" w:hAnsi="Cambria"/>
          <w:sz w:val="20"/>
          <w:szCs w:val="20"/>
          <w:lang w:val="es-ES"/>
        </w:rPr>
        <w:t>él</w:t>
      </w:r>
      <w:r w:rsidR="008A392C">
        <w:rPr>
          <w:rFonts w:ascii="Cambria" w:hAnsi="Cambria"/>
          <w:sz w:val="20"/>
          <w:szCs w:val="20"/>
          <w:lang w:val="es-ES"/>
        </w:rPr>
        <w:t xml:space="preserve"> </w:t>
      </w:r>
      <w:r w:rsidR="00924F65">
        <w:rPr>
          <w:rFonts w:ascii="Cambria" w:hAnsi="Cambria"/>
          <w:sz w:val="20"/>
          <w:szCs w:val="20"/>
          <w:lang w:val="es-ES"/>
        </w:rPr>
        <w:t xml:space="preserve">y </w:t>
      </w:r>
      <w:r w:rsidR="008A392C">
        <w:rPr>
          <w:rFonts w:ascii="Cambria" w:hAnsi="Cambria"/>
          <w:sz w:val="20"/>
          <w:szCs w:val="20"/>
          <w:lang w:val="es-ES"/>
        </w:rPr>
        <w:t>sus compañeros del CSPP</w:t>
      </w:r>
      <w:r w:rsidRPr="00623A34">
        <w:rPr>
          <w:rFonts w:ascii="Cambria" w:hAnsi="Cambria"/>
          <w:sz w:val="20"/>
          <w:szCs w:val="20"/>
          <w:lang w:val="es-ES"/>
        </w:rPr>
        <w:t xml:space="preserve"> </w:t>
      </w:r>
      <w:r w:rsidR="008A392C">
        <w:rPr>
          <w:rFonts w:ascii="Cambria" w:hAnsi="Cambria"/>
          <w:sz w:val="20"/>
          <w:szCs w:val="20"/>
          <w:lang w:val="es-ES"/>
        </w:rPr>
        <w:t>f</w:t>
      </w:r>
      <w:r w:rsidR="00924F65">
        <w:rPr>
          <w:rFonts w:ascii="Cambria" w:hAnsi="Cambria"/>
          <w:sz w:val="20"/>
          <w:szCs w:val="20"/>
          <w:lang w:val="es-ES"/>
        </w:rPr>
        <w:t>ueron beneficiario</w:t>
      </w:r>
      <w:r w:rsidR="008A392C">
        <w:rPr>
          <w:rFonts w:ascii="Cambria" w:hAnsi="Cambria"/>
          <w:sz w:val="20"/>
          <w:szCs w:val="20"/>
          <w:lang w:val="es-ES"/>
        </w:rPr>
        <w:t>s de medias cautelares dictadas por esta Comisión</w:t>
      </w:r>
      <w:r w:rsidRPr="00623A34">
        <w:rPr>
          <w:rStyle w:val="FootnoteReference"/>
          <w:rFonts w:ascii="Cambria" w:hAnsi="Cambria"/>
          <w:sz w:val="20"/>
          <w:szCs w:val="20"/>
          <w:lang w:val="es-ES"/>
        </w:rPr>
        <w:footnoteReference w:id="4"/>
      </w:r>
      <w:r w:rsidRPr="00623A34">
        <w:rPr>
          <w:rFonts w:ascii="Cambria" w:hAnsi="Cambria"/>
          <w:sz w:val="20"/>
          <w:szCs w:val="20"/>
          <w:lang w:val="es-ES"/>
        </w:rPr>
        <w:t xml:space="preserve">. </w:t>
      </w:r>
      <w:r w:rsidR="003C20FF">
        <w:rPr>
          <w:rFonts w:ascii="Cambria" w:hAnsi="Cambria"/>
          <w:sz w:val="20"/>
          <w:szCs w:val="20"/>
          <w:lang w:val="es-AR"/>
        </w:rPr>
        <w:t xml:space="preserve">Sostiene que </w:t>
      </w:r>
      <w:r w:rsidR="00924F65">
        <w:rPr>
          <w:rFonts w:ascii="Cambria" w:hAnsi="Cambria"/>
          <w:sz w:val="20"/>
          <w:szCs w:val="20"/>
          <w:lang w:val="es-AR"/>
        </w:rPr>
        <w:t>el</w:t>
      </w:r>
      <w:r w:rsidR="003C20FF">
        <w:rPr>
          <w:rFonts w:ascii="Cambria" w:hAnsi="Cambria"/>
          <w:sz w:val="20"/>
          <w:szCs w:val="20"/>
          <w:lang w:val="es-AR"/>
        </w:rPr>
        <w:t xml:space="preserve"> </w:t>
      </w:r>
      <w:r w:rsidRPr="00623A34">
        <w:rPr>
          <w:rFonts w:ascii="Cambria" w:hAnsi="Cambria"/>
          <w:sz w:val="20"/>
          <w:szCs w:val="20"/>
          <w:lang w:val="es-AR"/>
        </w:rPr>
        <w:t>trabajo</w:t>
      </w:r>
      <w:r w:rsidR="00924F65">
        <w:rPr>
          <w:rFonts w:ascii="Cambria" w:hAnsi="Cambria"/>
          <w:sz w:val="20"/>
          <w:szCs w:val="20"/>
          <w:lang w:val="es-AR"/>
        </w:rPr>
        <w:t xml:space="preserve"> de la presunta víctima</w:t>
      </w:r>
      <w:r w:rsidRPr="00623A34">
        <w:rPr>
          <w:rFonts w:ascii="Cambria" w:hAnsi="Cambria"/>
          <w:sz w:val="20"/>
          <w:szCs w:val="20"/>
          <w:lang w:val="es-AR"/>
        </w:rPr>
        <w:t xml:space="preserve"> consistía en visitar prisioneros políticos, conducir seminarios sobre derechos humanos y asuntos jurídicos relacionados, y en algunas oportunidades proveer referencias para la localización de defensores públicos o abogados para los prisioneros políticos.</w:t>
      </w:r>
      <w:r w:rsidRPr="00623A34">
        <w:rPr>
          <w:rFonts w:ascii="Cambria" w:hAnsi="Cambria"/>
          <w:sz w:val="20"/>
          <w:szCs w:val="20"/>
          <w:lang w:val="es-ES"/>
        </w:rPr>
        <w:t xml:space="preserve"> </w:t>
      </w:r>
    </w:p>
    <w:p w14:paraId="7A1C65AC" w14:textId="0CF82451" w:rsidR="00CE0020" w:rsidRPr="00CE0020" w:rsidRDefault="00DE7D78" w:rsidP="00CE0020">
      <w:pPr>
        <w:numPr>
          <w:ilvl w:val="0"/>
          <w:numId w:val="55"/>
        </w:numPr>
        <w:suppressAutoHyphens/>
        <w:spacing w:after="120"/>
        <w:jc w:val="both"/>
        <w:rPr>
          <w:rFonts w:ascii="Cambria" w:hAnsi="Cambria"/>
          <w:sz w:val="20"/>
          <w:szCs w:val="20"/>
          <w:lang w:val="es-ES"/>
        </w:rPr>
      </w:pPr>
      <w:r w:rsidRPr="00623A34">
        <w:rPr>
          <w:rFonts w:ascii="Cambria" w:hAnsi="Cambria"/>
          <w:sz w:val="20"/>
          <w:szCs w:val="20"/>
          <w:lang w:val="es-ES"/>
        </w:rPr>
        <w:t xml:space="preserve">Alega </w:t>
      </w:r>
      <w:r w:rsidR="009075A7" w:rsidRPr="00623A34">
        <w:rPr>
          <w:rFonts w:ascii="Cambria" w:hAnsi="Cambria"/>
          <w:sz w:val="20"/>
          <w:szCs w:val="20"/>
          <w:lang w:val="es-ES"/>
        </w:rPr>
        <w:t>que,</w:t>
      </w:r>
      <w:r w:rsidRPr="00623A34">
        <w:rPr>
          <w:rFonts w:ascii="Cambria" w:hAnsi="Cambria"/>
          <w:sz w:val="20"/>
          <w:szCs w:val="20"/>
          <w:lang w:val="es-ES"/>
        </w:rPr>
        <w:t xml:space="preserve"> e</w:t>
      </w:r>
      <w:r w:rsidRPr="00623A34">
        <w:rPr>
          <w:rFonts w:ascii="Cambria" w:hAnsi="Cambria"/>
          <w:sz w:val="20"/>
          <w:szCs w:val="20"/>
          <w:lang w:val="es-AR"/>
        </w:rPr>
        <w:t xml:space="preserve">n diciembre de 2005, la Oficina de la Fiscalía en Pamplona, en el Norte de Santander inició una acusación contra la presunta víctima por el presunto crimen de rebelión. </w:t>
      </w:r>
      <w:r w:rsidR="00EA4FA6">
        <w:rPr>
          <w:rFonts w:ascii="Cambria" w:hAnsi="Cambria"/>
          <w:sz w:val="20"/>
          <w:szCs w:val="20"/>
          <w:lang w:val="es-AR"/>
        </w:rPr>
        <w:t>Destaca que l</w:t>
      </w:r>
      <w:r w:rsidRPr="00623A34">
        <w:rPr>
          <w:rFonts w:ascii="Cambria" w:hAnsi="Cambria"/>
          <w:sz w:val="20"/>
          <w:szCs w:val="20"/>
          <w:lang w:val="es-AR"/>
        </w:rPr>
        <w:t xml:space="preserve">a </w:t>
      </w:r>
      <w:r w:rsidR="00EA4FA6">
        <w:rPr>
          <w:rFonts w:ascii="Cambria" w:hAnsi="Cambria"/>
          <w:sz w:val="20"/>
          <w:szCs w:val="20"/>
          <w:lang w:val="es-AR"/>
        </w:rPr>
        <w:t>acusación</w:t>
      </w:r>
      <w:r w:rsidRPr="00623A34">
        <w:rPr>
          <w:rFonts w:ascii="Cambria" w:hAnsi="Cambria"/>
          <w:sz w:val="20"/>
          <w:szCs w:val="20"/>
          <w:lang w:val="es-AR"/>
        </w:rPr>
        <w:t xml:space="preserve"> </w:t>
      </w:r>
      <w:r w:rsidR="00EA4FA6">
        <w:rPr>
          <w:rFonts w:ascii="Cambria" w:hAnsi="Cambria"/>
          <w:sz w:val="20"/>
          <w:szCs w:val="20"/>
          <w:lang w:val="es-AR"/>
        </w:rPr>
        <w:t>tenía como únicos fundamentos</w:t>
      </w:r>
      <w:r w:rsidRPr="00623A34">
        <w:rPr>
          <w:rFonts w:ascii="Cambria" w:hAnsi="Cambria"/>
          <w:sz w:val="20"/>
          <w:szCs w:val="20"/>
          <w:lang w:val="es-AR"/>
        </w:rPr>
        <w:t xml:space="preserve"> informes de inteligencia preparados por la </w:t>
      </w:r>
      <w:r w:rsidRPr="00623A34">
        <w:rPr>
          <w:rFonts w:ascii="Cambria" w:hAnsi="Cambria"/>
          <w:iCs/>
          <w:sz w:val="20"/>
          <w:szCs w:val="20"/>
          <w:lang w:val="es-AR"/>
        </w:rPr>
        <w:t>Unidad de Reacción Inmediata</w:t>
      </w:r>
      <w:r w:rsidRPr="00623A34">
        <w:rPr>
          <w:rFonts w:ascii="Cambria" w:hAnsi="Cambria"/>
          <w:sz w:val="20"/>
          <w:szCs w:val="20"/>
          <w:lang w:val="es-AR"/>
        </w:rPr>
        <w:t xml:space="preserve"> y el Cuerpo Técnico de Investigación, así como los testimonios de dos </w:t>
      </w:r>
      <w:r w:rsidR="00EA4FA6">
        <w:rPr>
          <w:rFonts w:ascii="Cambria" w:hAnsi="Cambria"/>
          <w:iCs/>
          <w:sz w:val="20"/>
          <w:szCs w:val="20"/>
          <w:lang w:val="es-AR"/>
        </w:rPr>
        <w:t>ex-combatientes de la</w:t>
      </w:r>
      <w:r w:rsidRPr="00623A34">
        <w:rPr>
          <w:rFonts w:ascii="Cambria" w:hAnsi="Cambria"/>
          <w:iCs/>
          <w:sz w:val="20"/>
          <w:szCs w:val="20"/>
          <w:lang w:val="es-AR"/>
        </w:rPr>
        <w:t xml:space="preserve"> FARC</w:t>
      </w:r>
      <w:r w:rsidR="00EA4FA6">
        <w:rPr>
          <w:rFonts w:ascii="Cambria" w:hAnsi="Cambria"/>
          <w:iCs/>
          <w:sz w:val="20"/>
          <w:szCs w:val="20"/>
          <w:lang w:val="es-AR"/>
        </w:rPr>
        <w:t xml:space="preserve"> que habían sido “reinsertados” a cambio de beneficios económicos y sociales otorgados por el Estado</w:t>
      </w:r>
      <w:r w:rsidR="004F2474">
        <w:rPr>
          <w:rFonts w:ascii="Cambria" w:hAnsi="Cambria"/>
          <w:iCs/>
          <w:sz w:val="20"/>
          <w:szCs w:val="20"/>
          <w:lang w:val="es-AR"/>
        </w:rPr>
        <w:t xml:space="preserve"> y quienes </w:t>
      </w:r>
      <w:r w:rsidR="004F2474" w:rsidRPr="00623A34">
        <w:rPr>
          <w:rFonts w:ascii="Cambria" w:hAnsi="Cambria"/>
          <w:sz w:val="20"/>
          <w:szCs w:val="20"/>
          <w:lang w:val="es-AR"/>
        </w:rPr>
        <w:t>pretendieron identificar a la presunta víctima como el comandante de un grupo de milicia urbana en Pamplona vinculado con las FARC</w:t>
      </w:r>
      <w:r w:rsidRPr="00623A34">
        <w:rPr>
          <w:rFonts w:ascii="Cambria" w:hAnsi="Cambria"/>
          <w:iCs/>
          <w:sz w:val="20"/>
          <w:szCs w:val="20"/>
          <w:lang w:val="es-AR"/>
        </w:rPr>
        <w:t>.</w:t>
      </w:r>
      <w:r w:rsidR="00EA4FA6">
        <w:rPr>
          <w:rFonts w:ascii="Cambria" w:hAnsi="Cambria"/>
          <w:iCs/>
          <w:sz w:val="20"/>
          <w:szCs w:val="20"/>
          <w:lang w:val="es-AR"/>
        </w:rPr>
        <w:t xml:space="preserve"> Considera que los testimonios de personas “reinsertadas” por su naturaleza son poco confiables.</w:t>
      </w:r>
      <w:r w:rsidR="00CE0020">
        <w:rPr>
          <w:rFonts w:ascii="Cambria" w:hAnsi="Cambria"/>
          <w:sz w:val="20"/>
          <w:szCs w:val="20"/>
          <w:lang w:val="es-ES"/>
        </w:rPr>
        <w:t xml:space="preserve"> </w:t>
      </w:r>
      <w:r w:rsidR="00EA4FA6" w:rsidRPr="00CE0020">
        <w:rPr>
          <w:rFonts w:ascii="Cambria" w:hAnsi="Cambria"/>
          <w:iCs/>
          <w:sz w:val="20"/>
          <w:szCs w:val="20"/>
          <w:lang w:val="es-ES"/>
        </w:rPr>
        <w:t>Continúa relatando que</w:t>
      </w:r>
      <w:r w:rsidR="00EA4FA6" w:rsidRPr="00CE0020">
        <w:rPr>
          <w:rFonts w:ascii="Cambria" w:hAnsi="Cambria"/>
          <w:iCs/>
          <w:sz w:val="20"/>
          <w:szCs w:val="20"/>
          <w:lang w:val="es-AR"/>
        </w:rPr>
        <w:t xml:space="preserve"> </w:t>
      </w:r>
      <w:r w:rsidR="00EA4FA6" w:rsidRPr="00CE0020">
        <w:rPr>
          <w:rFonts w:ascii="Cambria" w:hAnsi="Cambria"/>
          <w:sz w:val="20"/>
          <w:szCs w:val="20"/>
          <w:lang w:val="es-AR"/>
        </w:rPr>
        <w:t>e</w:t>
      </w:r>
      <w:r w:rsidRPr="00CE0020">
        <w:rPr>
          <w:rFonts w:ascii="Cambria" w:hAnsi="Cambria"/>
          <w:sz w:val="20"/>
          <w:szCs w:val="20"/>
          <w:lang w:val="es-AR"/>
        </w:rPr>
        <w:t>l 30 de diciembre de 2005, el Fiscal Primero del Circuito de Bucaramanga y Coordinador de la Unidad de Reacción Inmediata, emitió una orden de arresto contra la presunta víctima</w:t>
      </w:r>
      <w:r w:rsidR="00EA4FA6" w:rsidRPr="00CE0020">
        <w:rPr>
          <w:rFonts w:ascii="Cambria" w:hAnsi="Cambria"/>
          <w:sz w:val="20"/>
          <w:szCs w:val="20"/>
          <w:lang w:val="es-AR"/>
        </w:rPr>
        <w:t xml:space="preserve">; </w:t>
      </w:r>
      <w:r w:rsidR="009075A7" w:rsidRPr="00CE0020">
        <w:rPr>
          <w:rFonts w:ascii="Cambria" w:hAnsi="Cambria"/>
          <w:sz w:val="20"/>
          <w:szCs w:val="20"/>
          <w:lang w:val="es-AR"/>
        </w:rPr>
        <w:t>quien fue</w:t>
      </w:r>
      <w:r w:rsidR="00EA4FA6" w:rsidRPr="00CE0020">
        <w:rPr>
          <w:rFonts w:ascii="Cambria" w:hAnsi="Cambria"/>
          <w:sz w:val="20"/>
          <w:szCs w:val="20"/>
          <w:lang w:val="es-AR"/>
        </w:rPr>
        <w:t xml:space="preserve"> arrestad</w:t>
      </w:r>
      <w:r w:rsidR="009075A7">
        <w:rPr>
          <w:rFonts w:ascii="Cambria" w:hAnsi="Cambria"/>
          <w:sz w:val="20"/>
          <w:szCs w:val="20"/>
          <w:lang w:val="es-AR"/>
        </w:rPr>
        <w:t>a</w:t>
      </w:r>
      <w:r w:rsidRPr="00CE0020">
        <w:rPr>
          <w:rFonts w:ascii="Cambria" w:hAnsi="Cambria"/>
          <w:sz w:val="20"/>
          <w:szCs w:val="20"/>
          <w:lang w:val="es-AR"/>
        </w:rPr>
        <w:t xml:space="preserve"> en la noche del 4 de enero de 2006 por varios hombres armados vestidos de civil</w:t>
      </w:r>
      <w:r w:rsidR="00F251B7" w:rsidRPr="00CE0020">
        <w:rPr>
          <w:rFonts w:ascii="Cambria" w:hAnsi="Cambria"/>
          <w:sz w:val="20"/>
          <w:szCs w:val="20"/>
          <w:lang w:val="es-AR"/>
        </w:rPr>
        <w:t xml:space="preserve"> </w:t>
      </w:r>
      <w:r w:rsidR="00CE0020">
        <w:rPr>
          <w:rFonts w:ascii="Cambria" w:hAnsi="Cambria"/>
          <w:sz w:val="20"/>
          <w:szCs w:val="20"/>
          <w:lang w:val="es-AR"/>
        </w:rPr>
        <w:t>los que</w:t>
      </w:r>
      <w:r w:rsidR="00F251B7" w:rsidRPr="00CE0020">
        <w:rPr>
          <w:rFonts w:ascii="Cambria" w:hAnsi="Cambria"/>
          <w:sz w:val="20"/>
          <w:szCs w:val="20"/>
          <w:lang w:val="es-AR"/>
        </w:rPr>
        <w:t xml:space="preserve"> no le informaron de los cargos en su contra y</w:t>
      </w:r>
      <w:r w:rsidRPr="00CE0020">
        <w:rPr>
          <w:rFonts w:ascii="Cambria" w:hAnsi="Cambria"/>
          <w:sz w:val="20"/>
          <w:szCs w:val="20"/>
          <w:lang w:val="es-AR"/>
        </w:rPr>
        <w:t xml:space="preserve"> lo </w:t>
      </w:r>
      <w:r w:rsidR="00F251B7" w:rsidRPr="00CE0020">
        <w:rPr>
          <w:rFonts w:ascii="Cambria" w:hAnsi="Cambria"/>
          <w:sz w:val="20"/>
          <w:szCs w:val="20"/>
          <w:lang w:val="es-AR"/>
        </w:rPr>
        <w:t>trasladaron</w:t>
      </w:r>
      <w:r w:rsidRPr="00CE0020">
        <w:rPr>
          <w:rFonts w:ascii="Cambria" w:hAnsi="Cambria"/>
          <w:sz w:val="20"/>
          <w:szCs w:val="20"/>
          <w:lang w:val="es-AR"/>
        </w:rPr>
        <w:t xml:space="preserve"> a un centro de detención donde fue interrogado por un destacamento especial contr</w:t>
      </w:r>
      <w:r w:rsidR="00F251B7" w:rsidRPr="00CE0020">
        <w:rPr>
          <w:rFonts w:ascii="Cambria" w:hAnsi="Cambria"/>
          <w:sz w:val="20"/>
          <w:szCs w:val="20"/>
          <w:lang w:val="es-AR"/>
        </w:rPr>
        <w:t>a-guerrillero. Al día siguiente</w:t>
      </w:r>
      <w:r w:rsidR="00CE0020">
        <w:rPr>
          <w:rFonts w:ascii="Cambria" w:hAnsi="Cambria"/>
          <w:sz w:val="20"/>
          <w:szCs w:val="20"/>
          <w:lang w:val="es-AR"/>
        </w:rPr>
        <w:t>,</w:t>
      </w:r>
      <w:r w:rsidR="00F251B7" w:rsidRPr="00CE0020">
        <w:rPr>
          <w:rFonts w:ascii="Cambria" w:hAnsi="Cambria"/>
          <w:sz w:val="20"/>
          <w:szCs w:val="20"/>
          <w:lang w:val="es-AR"/>
        </w:rPr>
        <w:t xml:space="preserve"> </w:t>
      </w:r>
      <w:r w:rsidRPr="00CE0020">
        <w:rPr>
          <w:rFonts w:ascii="Cambria" w:hAnsi="Cambria"/>
          <w:sz w:val="20"/>
          <w:szCs w:val="20"/>
          <w:lang w:val="es-AR"/>
        </w:rPr>
        <w:t xml:space="preserve">fue transferido a una estación policial en Bucaramanga donde fue informado de la apertura de instrucción en su contra e interrogado en presencia de su abogado defensor. </w:t>
      </w:r>
      <w:r w:rsidR="00B42FA4">
        <w:rPr>
          <w:rFonts w:ascii="Cambria" w:hAnsi="Cambria"/>
          <w:sz w:val="20"/>
          <w:szCs w:val="20"/>
          <w:lang w:val="es-AR"/>
        </w:rPr>
        <w:t xml:space="preserve">Resalta que la detención de la presunta víctima se ejecutó con fundamento en la ley 600 de 2000 que permite que el fiscal en su calidad de agente con funciones </w:t>
      </w:r>
      <w:proofErr w:type="spellStart"/>
      <w:r w:rsidR="00B42FA4">
        <w:rPr>
          <w:rFonts w:ascii="Cambria" w:hAnsi="Cambria"/>
          <w:sz w:val="20"/>
          <w:szCs w:val="20"/>
          <w:lang w:val="es-AR"/>
        </w:rPr>
        <w:t>quasi</w:t>
      </w:r>
      <w:proofErr w:type="spellEnd"/>
      <w:r w:rsidR="00B42FA4">
        <w:rPr>
          <w:rFonts w:ascii="Cambria" w:hAnsi="Cambria"/>
          <w:sz w:val="20"/>
          <w:szCs w:val="20"/>
          <w:lang w:val="es-AR"/>
        </w:rPr>
        <w:t>-judiciales ordene una detención</w:t>
      </w:r>
      <w:r w:rsidR="00034010">
        <w:rPr>
          <w:rFonts w:ascii="Cambria" w:hAnsi="Cambria"/>
          <w:sz w:val="20"/>
          <w:szCs w:val="20"/>
          <w:lang w:val="es-AR"/>
        </w:rPr>
        <w:t xml:space="preserve"> sin que exista un control previo o </w:t>
      </w:r>
      <w:r w:rsidR="00B30099">
        <w:rPr>
          <w:rFonts w:ascii="Cambria" w:hAnsi="Cambria"/>
          <w:sz w:val="20"/>
          <w:szCs w:val="20"/>
          <w:lang w:val="es-AR"/>
        </w:rPr>
        <w:t xml:space="preserve">posterior por parte de una autoridad judicial independiente a la investigación. </w:t>
      </w:r>
    </w:p>
    <w:p w14:paraId="2C5EB190" w14:textId="77777777" w:rsidR="00097E1C" w:rsidRDefault="0039714C" w:rsidP="004F2474">
      <w:pPr>
        <w:numPr>
          <w:ilvl w:val="0"/>
          <w:numId w:val="55"/>
        </w:numPr>
        <w:suppressAutoHyphens/>
        <w:spacing w:after="120"/>
        <w:jc w:val="both"/>
        <w:rPr>
          <w:rFonts w:ascii="Cambria" w:hAnsi="Cambria"/>
          <w:sz w:val="20"/>
          <w:szCs w:val="20"/>
          <w:lang w:val="es-ES"/>
        </w:rPr>
      </w:pPr>
      <w:r>
        <w:rPr>
          <w:rFonts w:ascii="Cambria" w:hAnsi="Cambria"/>
          <w:sz w:val="20"/>
          <w:szCs w:val="20"/>
          <w:lang w:val="es-AR"/>
        </w:rPr>
        <w:t xml:space="preserve">Indica que la presunta víctima presentó una </w:t>
      </w:r>
      <w:r w:rsidR="00DE7D78" w:rsidRPr="00623A34">
        <w:rPr>
          <w:rFonts w:ascii="Cambria" w:hAnsi="Cambria"/>
          <w:sz w:val="20"/>
          <w:szCs w:val="20"/>
          <w:lang w:val="es-AR"/>
        </w:rPr>
        <w:t>solicitud de libertad condicional</w:t>
      </w:r>
      <w:r>
        <w:rPr>
          <w:rFonts w:ascii="Cambria" w:hAnsi="Cambria"/>
          <w:sz w:val="20"/>
          <w:szCs w:val="20"/>
          <w:lang w:val="es-AR"/>
        </w:rPr>
        <w:t xml:space="preserve"> la que</w:t>
      </w:r>
      <w:r w:rsidR="00DE7D78" w:rsidRPr="00623A34">
        <w:rPr>
          <w:rFonts w:ascii="Cambria" w:hAnsi="Cambria"/>
          <w:sz w:val="20"/>
          <w:szCs w:val="20"/>
          <w:lang w:val="es-AR"/>
        </w:rPr>
        <w:t xml:space="preserve"> fue denegada el 13 de enero de 2006</w:t>
      </w:r>
      <w:r w:rsidR="00DF54A0">
        <w:rPr>
          <w:rFonts w:ascii="Cambria" w:hAnsi="Cambria"/>
          <w:sz w:val="20"/>
          <w:szCs w:val="20"/>
          <w:lang w:val="es-AR"/>
        </w:rPr>
        <w:t>. Señala que el fiscal argumentó</w:t>
      </w:r>
      <w:r w:rsidR="00DE7D78" w:rsidRPr="00623A34">
        <w:rPr>
          <w:rFonts w:ascii="Cambria" w:hAnsi="Cambria"/>
          <w:sz w:val="20"/>
          <w:szCs w:val="20"/>
          <w:lang w:val="es-AR"/>
        </w:rPr>
        <w:t xml:space="preserve"> que la detención era necesaria para prevenir la comisión de futuros crímenes, por lo que dictó una medida de aseguramiento</w:t>
      </w:r>
      <w:r w:rsidR="00DF54A0">
        <w:rPr>
          <w:rFonts w:ascii="Cambria" w:hAnsi="Cambria"/>
          <w:sz w:val="20"/>
          <w:szCs w:val="20"/>
          <w:lang w:val="es-AR"/>
        </w:rPr>
        <w:t xml:space="preserve"> (detención preventiva).</w:t>
      </w:r>
      <w:r w:rsidR="00DE7D78" w:rsidRPr="00623A34">
        <w:rPr>
          <w:rFonts w:ascii="Cambria" w:hAnsi="Cambria"/>
          <w:sz w:val="20"/>
          <w:szCs w:val="20"/>
          <w:lang w:val="es-AR"/>
        </w:rPr>
        <w:t xml:space="preserve"> La presunta víctim</w:t>
      </w:r>
      <w:r w:rsidR="009075A7">
        <w:rPr>
          <w:rFonts w:ascii="Cambria" w:hAnsi="Cambria"/>
          <w:sz w:val="20"/>
          <w:szCs w:val="20"/>
          <w:lang w:val="es-AR"/>
        </w:rPr>
        <w:t>a fue posteriormente transferida</w:t>
      </w:r>
      <w:r w:rsidR="00DE7D78" w:rsidRPr="00623A34">
        <w:rPr>
          <w:rFonts w:ascii="Cambria" w:hAnsi="Cambria"/>
          <w:sz w:val="20"/>
          <w:szCs w:val="20"/>
          <w:lang w:val="es-AR"/>
        </w:rPr>
        <w:t xml:space="preserve"> a la Prisión Modelo de Bucaramanga, donde permaneció por seis semanas para luego ser llevado a la Prisión de Máxima Seguridad de Palo Gordo, donde permaneció en detención preventiva por quince meses, siendo finalmente liberado en abril de 2007.</w:t>
      </w:r>
      <w:r w:rsidR="00DE7D78" w:rsidRPr="00623A34">
        <w:rPr>
          <w:rFonts w:ascii="Cambria" w:hAnsi="Cambria"/>
          <w:sz w:val="20"/>
          <w:szCs w:val="20"/>
          <w:lang w:val="es-ES"/>
        </w:rPr>
        <w:t xml:space="preserve"> </w:t>
      </w:r>
      <w:r w:rsidR="00DF54A0">
        <w:rPr>
          <w:rFonts w:ascii="Cambria" w:hAnsi="Cambria"/>
          <w:sz w:val="20"/>
          <w:szCs w:val="20"/>
          <w:lang w:val="es-ES"/>
        </w:rPr>
        <w:t xml:space="preserve"> </w:t>
      </w:r>
    </w:p>
    <w:p w14:paraId="0E3819A6" w14:textId="5422ED57" w:rsidR="00DE7D78" w:rsidRPr="0001758A" w:rsidRDefault="00DF54A0" w:rsidP="0001758A">
      <w:pPr>
        <w:numPr>
          <w:ilvl w:val="0"/>
          <w:numId w:val="55"/>
        </w:numPr>
        <w:suppressAutoHyphens/>
        <w:spacing w:after="120"/>
        <w:jc w:val="both"/>
        <w:rPr>
          <w:rFonts w:ascii="Cambria" w:hAnsi="Cambria"/>
          <w:sz w:val="20"/>
          <w:szCs w:val="20"/>
          <w:lang w:val="es-ES"/>
        </w:rPr>
      </w:pPr>
      <w:r>
        <w:rPr>
          <w:rFonts w:ascii="Cambria" w:hAnsi="Cambria"/>
          <w:sz w:val="20"/>
          <w:szCs w:val="20"/>
          <w:lang w:val="es-ES"/>
        </w:rPr>
        <w:t xml:space="preserve">Sostiene que el proceso adelantando contra la presunta víctima forma parte de un patrón de </w:t>
      </w:r>
      <w:r w:rsidR="00B36FBE">
        <w:rPr>
          <w:rFonts w:ascii="Cambria" w:hAnsi="Cambria"/>
          <w:sz w:val="20"/>
          <w:szCs w:val="20"/>
          <w:lang w:val="es-ES"/>
        </w:rPr>
        <w:t>persecución judicial contra defensores de derechos humanos, el cual alega ha existido en Colombia por décadas y ha sido ampliamente documentado por organizaciones nacionales e internacionales de derechos humanos.</w:t>
      </w:r>
      <w:r w:rsidR="000207B7">
        <w:rPr>
          <w:rFonts w:ascii="Cambria" w:hAnsi="Cambria"/>
          <w:sz w:val="20"/>
          <w:szCs w:val="20"/>
          <w:lang w:val="es-ES"/>
        </w:rPr>
        <w:t xml:space="preserve"> </w:t>
      </w:r>
      <w:r w:rsidR="000207B7" w:rsidRPr="000207B7">
        <w:rPr>
          <w:rFonts w:ascii="Cambria" w:hAnsi="Cambria"/>
          <w:sz w:val="20"/>
          <w:szCs w:val="20"/>
          <w:lang w:val="es-ES"/>
        </w:rPr>
        <w:t xml:space="preserve">En este sentido, indica que el intenso activismo y la participación en actividades de protesta social de la presunta víctima constituirían una de las principales razones de la persecución judicial. </w:t>
      </w:r>
      <w:r w:rsidR="00B36FBE" w:rsidRPr="000207B7">
        <w:rPr>
          <w:rFonts w:ascii="Cambria" w:hAnsi="Cambria"/>
          <w:sz w:val="20"/>
          <w:szCs w:val="20"/>
          <w:lang w:val="es-ES"/>
        </w:rPr>
        <w:t xml:space="preserve"> </w:t>
      </w:r>
      <w:r w:rsidR="00807E8C" w:rsidRPr="0001758A">
        <w:rPr>
          <w:rFonts w:ascii="Cambria" w:hAnsi="Cambria"/>
          <w:sz w:val="20"/>
          <w:szCs w:val="20"/>
          <w:lang w:val="es-ES"/>
        </w:rPr>
        <w:t xml:space="preserve">También aduce que el proceso adelantado contra la presunta víctima tenía la finalidad de intimidar a las personas defensoras de derechos humanos e inhibir la libre circulación de ideas </w:t>
      </w:r>
      <w:r w:rsidR="0001758A">
        <w:rPr>
          <w:rFonts w:ascii="Cambria" w:hAnsi="Cambria"/>
          <w:sz w:val="20"/>
          <w:szCs w:val="20"/>
          <w:lang w:val="es-ES"/>
        </w:rPr>
        <w:t xml:space="preserve">y opiniones </w:t>
      </w:r>
      <w:r w:rsidR="00807E8C" w:rsidRPr="0001758A">
        <w:rPr>
          <w:rFonts w:ascii="Cambria" w:hAnsi="Cambria"/>
          <w:sz w:val="20"/>
          <w:szCs w:val="20"/>
          <w:lang w:val="es-ES"/>
        </w:rPr>
        <w:t>en Colombia, en violación a los artículos 13 y 16 de la Convención Americana.</w:t>
      </w:r>
    </w:p>
    <w:p w14:paraId="2A86F470" w14:textId="11B61C92" w:rsidR="00827C40" w:rsidRDefault="009075A7" w:rsidP="00DE7D78">
      <w:pPr>
        <w:numPr>
          <w:ilvl w:val="0"/>
          <w:numId w:val="55"/>
        </w:numPr>
        <w:suppressAutoHyphens/>
        <w:spacing w:after="120"/>
        <w:jc w:val="both"/>
        <w:rPr>
          <w:rFonts w:ascii="Cambria" w:hAnsi="Cambria"/>
          <w:sz w:val="20"/>
          <w:szCs w:val="20"/>
          <w:lang w:val="es-AR"/>
        </w:rPr>
      </w:pPr>
      <w:r>
        <w:rPr>
          <w:rFonts w:ascii="Cambria" w:hAnsi="Cambria"/>
          <w:sz w:val="20"/>
          <w:szCs w:val="20"/>
          <w:lang w:val="es-AR"/>
        </w:rPr>
        <w:t>Señala que</w:t>
      </w:r>
      <w:r w:rsidR="004F2474">
        <w:rPr>
          <w:rFonts w:ascii="Cambria" w:hAnsi="Cambria"/>
          <w:sz w:val="20"/>
          <w:szCs w:val="20"/>
          <w:lang w:val="es-AR"/>
        </w:rPr>
        <w:t xml:space="preserve"> e</w:t>
      </w:r>
      <w:r w:rsidR="00DE7D78" w:rsidRPr="00623A34">
        <w:rPr>
          <w:rFonts w:ascii="Cambria" w:hAnsi="Cambria"/>
          <w:sz w:val="20"/>
          <w:szCs w:val="20"/>
          <w:lang w:val="es-AR"/>
        </w:rPr>
        <w:t xml:space="preserve">l 26 de abril de 2006, casi cuatro meses después de su </w:t>
      </w:r>
      <w:r w:rsidR="004F2474">
        <w:rPr>
          <w:rFonts w:ascii="Cambria" w:hAnsi="Cambria"/>
          <w:sz w:val="20"/>
          <w:szCs w:val="20"/>
          <w:lang w:val="es-AR"/>
        </w:rPr>
        <w:t>detención</w:t>
      </w:r>
      <w:r w:rsidR="00DE7D78" w:rsidRPr="00623A34">
        <w:rPr>
          <w:rFonts w:ascii="Cambria" w:hAnsi="Cambria"/>
          <w:sz w:val="20"/>
          <w:szCs w:val="20"/>
          <w:lang w:val="es-AR"/>
        </w:rPr>
        <w:t xml:space="preserve">, el señor González Arango fue llevado ante el Juzgado Octavo Penal del Circuito de Bucaramanga bajo el cargo de rebelión agravada por presuntamente haber sido comandante de una “fuerza militar urbana” en Pamplona, ser miembro de una “red urbana de asistencia” para prisioneros de las FARC en Bucaramanga, y proveer de medicinas e insumos a miembros de las FARC. Las audiencias preparatorias tuvieron lugar entre el 5 de diciembre de 2006 y el 1 de febrero de 2007. </w:t>
      </w:r>
      <w:r w:rsidR="008C73B3">
        <w:rPr>
          <w:rFonts w:ascii="Cambria" w:hAnsi="Cambria"/>
          <w:sz w:val="20"/>
          <w:szCs w:val="20"/>
          <w:lang w:val="es-AR"/>
        </w:rPr>
        <w:t>Alega que durante</w:t>
      </w:r>
      <w:r w:rsidR="00DE7D78" w:rsidRPr="00623A34">
        <w:rPr>
          <w:rFonts w:ascii="Cambria" w:hAnsi="Cambria"/>
          <w:sz w:val="20"/>
          <w:szCs w:val="20"/>
          <w:lang w:val="es-AR"/>
        </w:rPr>
        <w:t xml:space="preserve"> la etapa de </w:t>
      </w:r>
      <w:r w:rsidR="008C73B3">
        <w:rPr>
          <w:rFonts w:ascii="Cambria" w:hAnsi="Cambria"/>
          <w:sz w:val="20"/>
          <w:szCs w:val="20"/>
          <w:lang w:val="es-AR"/>
        </w:rPr>
        <w:t>juicio</w:t>
      </w:r>
      <w:r w:rsidR="00DE7D78" w:rsidRPr="00623A34">
        <w:rPr>
          <w:rFonts w:ascii="Cambria" w:hAnsi="Cambria"/>
          <w:sz w:val="20"/>
          <w:szCs w:val="20"/>
          <w:lang w:val="es-AR"/>
        </w:rPr>
        <w:t xml:space="preserve"> la defen</w:t>
      </w:r>
      <w:r w:rsidR="008C73B3">
        <w:rPr>
          <w:rFonts w:ascii="Cambria" w:hAnsi="Cambria"/>
          <w:sz w:val="20"/>
          <w:szCs w:val="20"/>
          <w:lang w:val="es-AR"/>
        </w:rPr>
        <w:t xml:space="preserve">sa ofreció diversos </w:t>
      </w:r>
      <w:r>
        <w:rPr>
          <w:rFonts w:ascii="Cambria" w:hAnsi="Cambria"/>
          <w:sz w:val="20"/>
          <w:szCs w:val="20"/>
          <w:lang w:val="es-AR"/>
        </w:rPr>
        <w:t>testimonios,</w:t>
      </w:r>
      <w:r w:rsidR="008C73B3">
        <w:rPr>
          <w:rFonts w:ascii="Cambria" w:hAnsi="Cambria"/>
          <w:sz w:val="20"/>
          <w:szCs w:val="20"/>
          <w:lang w:val="es-AR"/>
        </w:rPr>
        <w:t xml:space="preserve"> pero la Fiscalía</w:t>
      </w:r>
      <w:r w:rsidR="00DE7D78" w:rsidRPr="00623A34">
        <w:rPr>
          <w:rFonts w:ascii="Cambria" w:hAnsi="Cambria"/>
          <w:sz w:val="20"/>
          <w:szCs w:val="20"/>
          <w:lang w:val="es-AR"/>
        </w:rPr>
        <w:t xml:space="preserve"> no presentó </w:t>
      </w:r>
      <w:r w:rsidR="008C73B3">
        <w:rPr>
          <w:rFonts w:ascii="Cambria" w:hAnsi="Cambria"/>
          <w:sz w:val="20"/>
          <w:szCs w:val="20"/>
          <w:lang w:val="es-AR"/>
        </w:rPr>
        <w:t>sus únicos dos testigos por lo que la</w:t>
      </w:r>
      <w:r w:rsidR="00341105">
        <w:rPr>
          <w:rFonts w:ascii="Cambria" w:hAnsi="Cambria"/>
          <w:sz w:val="20"/>
          <w:szCs w:val="20"/>
          <w:lang w:val="es-AR"/>
        </w:rPr>
        <w:t xml:space="preserve"> defensa de la</w:t>
      </w:r>
      <w:r w:rsidR="008C73B3">
        <w:rPr>
          <w:rFonts w:ascii="Cambria" w:hAnsi="Cambria"/>
          <w:sz w:val="20"/>
          <w:szCs w:val="20"/>
          <w:lang w:val="es-AR"/>
        </w:rPr>
        <w:t xml:space="preserve"> presunta víctima no tuvo la oportunidad de contrainterrogarlos</w:t>
      </w:r>
      <w:r w:rsidR="00341105">
        <w:rPr>
          <w:rFonts w:ascii="Cambria" w:hAnsi="Cambria"/>
          <w:sz w:val="20"/>
          <w:szCs w:val="20"/>
          <w:lang w:val="es-AR"/>
        </w:rPr>
        <w:t xml:space="preserve"> en vulneración al artículo 8.2(f) de la Convención Americana</w:t>
      </w:r>
      <w:r w:rsidR="00DE7D78" w:rsidRPr="00623A34">
        <w:rPr>
          <w:rFonts w:ascii="Cambria" w:hAnsi="Cambria"/>
          <w:sz w:val="20"/>
          <w:szCs w:val="20"/>
          <w:lang w:val="es-AR"/>
        </w:rPr>
        <w:t xml:space="preserve">. </w:t>
      </w:r>
      <w:r w:rsidR="00827C40">
        <w:rPr>
          <w:rFonts w:ascii="Cambria" w:hAnsi="Cambria"/>
          <w:sz w:val="20"/>
          <w:szCs w:val="20"/>
          <w:lang w:val="es-AR"/>
        </w:rPr>
        <w:t>Resalta que una larga línea jurisprudencial  de la Corte Suprema de Justicia ha avalado</w:t>
      </w:r>
      <w:r w:rsidR="00984ACE">
        <w:rPr>
          <w:rFonts w:ascii="Cambria" w:hAnsi="Cambria"/>
          <w:sz w:val="20"/>
          <w:szCs w:val="20"/>
          <w:lang w:val="es-AR"/>
        </w:rPr>
        <w:t xml:space="preserve">, </w:t>
      </w:r>
      <w:r w:rsidR="00827C40">
        <w:rPr>
          <w:rFonts w:ascii="Cambria" w:hAnsi="Cambria"/>
          <w:sz w:val="20"/>
          <w:szCs w:val="20"/>
          <w:lang w:val="es-AR"/>
        </w:rPr>
        <w:t xml:space="preserve">que el derecho de contrainterrogar testigos no forma parte del debido proceso en casos que se procesan, como el de la presunta víctima, </w:t>
      </w:r>
      <w:r w:rsidR="00984ACE">
        <w:rPr>
          <w:rFonts w:ascii="Cambria" w:hAnsi="Cambria"/>
          <w:sz w:val="20"/>
          <w:szCs w:val="20"/>
          <w:lang w:val="es-AR"/>
        </w:rPr>
        <w:t>conforme</w:t>
      </w:r>
      <w:r w:rsidR="00827C40">
        <w:rPr>
          <w:rFonts w:ascii="Cambria" w:hAnsi="Cambria"/>
          <w:sz w:val="20"/>
          <w:szCs w:val="20"/>
          <w:lang w:val="es-AR"/>
        </w:rPr>
        <w:t xml:space="preserve"> la ley 600 </w:t>
      </w:r>
      <w:r w:rsidR="00827C40">
        <w:rPr>
          <w:rFonts w:ascii="Cambria" w:hAnsi="Cambria"/>
          <w:sz w:val="20"/>
          <w:szCs w:val="20"/>
          <w:lang w:val="es-AR"/>
        </w:rPr>
        <w:lastRenderedPageBreak/>
        <w:t>de 2000</w:t>
      </w:r>
      <w:r w:rsidR="00984ACE">
        <w:rPr>
          <w:rStyle w:val="FootnoteReference"/>
          <w:rFonts w:ascii="Cambria" w:hAnsi="Cambria"/>
          <w:sz w:val="20"/>
          <w:szCs w:val="20"/>
          <w:lang w:val="es-AR"/>
        </w:rPr>
        <w:footnoteReference w:id="5"/>
      </w:r>
      <w:r w:rsidR="00984ACE">
        <w:rPr>
          <w:rFonts w:ascii="Cambria" w:hAnsi="Cambria"/>
          <w:sz w:val="20"/>
          <w:szCs w:val="20"/>
          <w:lang w:val="es-AR"/>
        </w:rPr>
        <w:t>.</w:t>
      </w:r>
      <w:r w:rsidR="00223BAA">
        <w:rPr>
          <w:rFonts w:ascii="Cambria" w:hAnsi="Cambria"/>
          <w:sz w:val="20"/>
          <w:szCs w:val="20"/>
          <w:lang w:val="es-AR"/>
        </w:rPr>
        <w:t xml:space="preserve"> Sostiene que dicha línea jurisprudencial se avala en una interpretación errada de los precedentes de la Corte Interamericana. </w:t>
      </w:r>
    </w:p>
    <w:p w14:paraId="602B7420" w14:textId="52AFDE55" w:rsidR="00F71FEE" w:rsidRDefault="00223BAA" w:rsidP="00DE7D78">
      <w:pPr>
        <w:numPr>
          <w:ilvl w:val="0"/>
          <w:numId w:val="55"/>
        </w:numPr>
        <w:suppressAutoHyphens/>
        <w:spacing w:after="120"/>
        <w:jc w:val="both"/>
        <w:rPr>
          <w:rFonts w:ascii="Cambria" w:hAnsi="Cambria"/>
          <w:sz w:val="20"/>
          <w:szCs w:val="20"/>
          <w:lang w:val="es-AR"/>
        </w:rPr>
      </w:pPr>
      <w:r>
        <w:rPr>
          <w:rFonts w:ascii="Cambria" w:hAnsi="Cambria"/>
          <w:sz w:val="20"/>
          <w:szCs w:val="20"/>
          <w:lang w:val="es-AR"/>
        </w:rPr>
        <w:t xml:space="preserve">Indica que </w:t>
      </w:r>
      <w:r w:rsidR="000207B7">
        <w:rPr>
          <w:rFonts w:ascii="Cambria" w:hAnsi="Cambria"/>
          <w:sz w:val="20"/>
          <w:szCs w:val="20"/>
          <w:lang w:val="es-AR"/>
        </w:rPr>
        <w:t>e</w:t>
      </w:r>
      <w:r w:rsidR="000207B7" w:rsidRPr="00623A34">
        <w:rPr>
          <w:rFonts w:ascii="Cambria" w:hAnsi="Cambria"/>
          <w:sz w:val="20"/>
          <w:szCs w:val="20"/>
          <w:lang w:val="es-AR"/>
        </w:rPr>
        <w:t xml:space="preserve">l </w:t>
      </w:r>
      <w:r w:rsidR="00DE7D78" w:rsidRPr="00623A34">
        <w:rPr>
          <w:rFonts w:ascii="Cambria" w:hAnsi="Cambria"/>
          <w:sz w:val="20"/>
          <w:szCs w:val="20"/>
          <w:lang w:val="es-AR"/>
        </w:rPr>
        <w:t>30 de marzo de 2007, el juez de primera instancia concluyó que el proceso penal carecía de fundamento probatorio suficiente para remontar la presunción de inocencia constitucional que cobijaba al acusado, absolviendo a la presunta víctima de los cargos y concediéndole la libertad provisional avalada bajo caución prendaria. Alega que el juez, aplicando el criterio de la sana crítica, reconoció que tanto la forma de la prueba</w:t>
      </w:r>
      <w:r w:rsidR="00EE1764">
        <w:rPr>
          <w:rFonts w:ascii="Cambria" w:hAnsi="Cambria"/>
          <w:sz w:val="20"/>
          <w:szCs w:val="20"/>
          <w:lang w:val="es-AR"/>
        </w:rPr>
        <w:t xml:space="preserve"> </w:t>
      </w:r>
      <w:r w:rsidR="00DE7D78" w:rsidRPr="00623A34">
        <w:rPr>
          <w:rFonts w:ascii="Cambria" w:hAnsi="Cambria"/>
          <w:sz w:val="20"/>
          <w:szCs w:val="20"/>
          <w:lang w:val="es-AR"/>
        </w:rPr>
        <w:t xml:space="preserve">como su contenido, hacían difícil otorgarles a los testimonios la credibilidad necesaria para “demostrar más allá de la duda razonable la incursión en el delito del ciudadano y desvirtuar sus descargos”. </w:t>
      </w:r>
    </w:p>
    <w:p w14:paraId="193CBF1D" w14:textId="2385C7F0" w:rsidR="00DE7D78" w:rsidRPr="00623A34" w:rsidRDefault="00EE1764" w:rsidP="00DE7D78">
      <w:pPr>
        <w:numPr>
          <w:ilvl w:val="0"/>
          <w:numId w:val="55"/>
        </w:numPr>
        <w:suppressAutoHyphens/>
        <w:spacing w:after="120"/>
        <w:jc w:val="both"/>
        <w:rPr>
          <w:rFonts w:ascii="Cambria" w:hAnsi="Cambria"/>
          <w:sz w:val="20"/>
          <w:szCs w:val="20"/>
          <w:lang w:val="es-AR"/>
        </w:rPr>
      </w:pPr>
      <w:r>
        <w:rPr>
          <w:rFonts w:ascii="Cambria" w:hAnsi="Cambria"/>
          <w:sz w:val="20"/>
          <w:szCs w:val="20"/>
          <w:lang w:val="es-AR"/>
        </w:rPr>
        <w:t>L</w:t>
      </w:r>
      <w:r w:rsidR="00DE7D78" w:rsidRPr="00623A34">
        <w:rPr>
          <w:rFonts w:ascii="Cambria" w:hAnsi="Cambria"/>
          <w:sz w:val="20"/>
          <w:szCs w:val="20"/>
          <w:lang w:val="es-AR"/>
        </w:rPr>
        <w:t>a decisión absolutoria</w:t>
      </w:r>
      <w:r>
        <w:rPr>
          <w:rFonts w:ascii="Cambria" w:hAnsi="Cambria"/>
          <w:sz w:val="20"/>
          <w:szCs w:val="20"/>
          <w:lang w:val="es-AR"/>
        </w:rPr>
        <w:t xml:space="preserve"> fue apelada por el procurador judicial asignado el caso, resultando en que el 24 de febrero de 2009</w:t>
      </w:r>
      <w:r w:rsidR="00DE7D78" w:rsidRPr="00623A34">
        <w:rPr>
          <w:rFonts w:ascii="Cambria" w:hAnsi="Cambria"/>
          <w:sz w:val="20"/>
          <w:szCs w:val="20"/>
          <w:lang w:val="es-AR"/>
        </w:rPr>
        <w:t xml:space="preserve"> el </w:t>
      </w:r>
      <w:r w:rsidR="00DE7D78" w:rsidRPr="00623A34">
        <w:rPr>
          <w:rFonts w:ascii="Cambria" w:hAnsi="Cambria"/>
          <w:iCs/>
          <w:sz w:val="20"/>
          <w:szCs w:val="20"/>
          <w:lang w:val="es-AR"/>
        </w:rPr>
        <w:t>Tribunal Superior del Distrito Judicial de</w:t>
      </w:r>
      <w:r w:rsidR="00DE7D78" w:rsidRPr="00623A34">
        <w:rPr>
          <w:rFonts w:ascii="Cambria" w:hAnsi="Cambria"/>
          <w:sz w:val="20"/>
          <w:szCs w:val="20"/>
          <w:lang w:val="es-AR"/>
        </w:rPr>
        <w:t xml:space="preserve"> </w:t>
      </w:r>
      <w:r w:rsidR="00DE7D78" w:rsidRPr="00623A34">
        <w:rPr>
          <w:rFonts w:ascii="Cambria" w:hAnsi="Cambria"/>
          <w:iCs/>
          <w:sz w:val="20"/>
          <w:szCs w:val="20"/>
          <w:lang w:val="es-AR"/>
        </w:rPr>
        <w:t xml:space="preserve">Bucaramanga </w:t>
      </w:r>
      <w:r>
        <w:rPr>
          <w:rFonts w:ascii="Cambria" w:hAnsi="Cambria"/>
          <w:sz w:val="20"/>
          <w:szCs w:val="20"/>
          <w:lang w:val="es-AR"/>
        </w:rPr>
        <w:t>revocara</w:t>
      </w:r>
      <w:r w:rsidR="00DE7D78" w:rsidRPr="00623A34">
        <w:rPr>
          <w:rFonts w:ascii="Cambria" w:hAnsi="Cambria"/>
          <w:sz w:val="20"/>
          <w:szCs w:val="20"/>
          <w:lang w:val="es-AR"/>
        </w:rPr>
        <w:t xml:space="preserve"> la decisión </w:t>
      </w:r>
      <w:r>
        <w:rPr>
          <w:rFonts w:ascii="Cambria" w:hAnsi="Cambria"/>
          <w:sz w:val="20"/>
          <w:szCs w:val="20"/>
          <w:lang w:val="es-AR"/>
        </w:rPr>
        <w:t>de primera instancia y sentenciara</w:t>
      </w:r>
      <w:r w:rsidR="00DE7D78" w:rsidRPr="00623A34">
        <w:rPr>
          <w:rFonts w:ascii="Cambria" w:hAnsi="Cambria"/>
          <w:sz w:val="20"/>
          <w:szCs w:val="20"/>
          <w:lang w:val="es-AR"/>
        </w:rPr>
        <w:t xml:space="preserve"> al peticionario a 81 meses de prisión y</w:t>
      </w:r>
      <w:r>
        <w:rPr>
          <w:rFonts w:ascii="Cambria" w:hAnsi="Cambria"/>
          <w:sz w:val="20"/>
          <w:szCs w:val="20"/>
          <w:lang w:val="es-AR"/>
        </w:rPr>
        <w:t xml:space="preserve"> una multa pecuniaria</w:t>
      </w:r>
      <w:r w:rsidR="00DE7D78" w:rsidRPr="00623A34">
        <w:rPr>
          <w:rFonts w:ascii="Cambria" w:hAnsi="Cambria"/>
          <w:sz w:val="20"/>
          <w:szCs w:val="20"/>
          <w:lang w:val="es-AR"/>
        </w:rPr>
        <w:t>.</w:t>
      </w:r>
      <w:r>
        <w:rPr>
          <w:rFonts w:ascii="Cambria" w:hAnsi="Cambria"/>
          <w:sz w:val="20"/>
          <w:szCs w:val="20"/>
          <w:lang w:val="es-AR"/>
        </w:rPr>
        <w:t xml:space="preserve"> Alega que</w:t>
      </w:r>
      <w:r w:rsidR="00300C13">
        <w:rPr>
          <w:rFonts w:ascii="Cambria" w:hAnsi="Cambria"/>
          <w:sz w:val="20"/>
          <w:szCs w:val="20"/>
          <w:lang w:val="es-AR"/>
        </w:rPr>
        <w:t xml:space="preserve"> esta decisión de revocatoria se dio sin que se aportara prueba nueva y que la Sala Penal del Tribunal consideró</w:t>
      </w:r>
      <w:r w:rsidR="00DE7D78" w:rsidRPr="00623A34">
        <w:rPr>
          <w:rFonts w:ascii="Cambria" w:hAnsi="Cambria"/>
          <w:sz w:val="20"/>
          <w:szCs w:val="20"/>
          <w:lang w:val="es-AR"/>
        </w:rPr>
        <w:t xml:space="preserve"> </w:t>
      </w:r>
      <w:r w:rsidR="00300C13">
        <w:rPr>
          <w:rFonts w:ascii="Cambria" w:hAnsi="Cambria"/>
          <w:sz w:val="20"/>
          <w:szCs w:val="20"/>
          <w:lang w:val="es-AR"/>
        </w:rPr>
        <w:t xml:space="preserve">que </w:t>
      </w:r>
      <w:r w:rsidR="00DE7D78" w:rsidRPr="00623A34">
        <w:rPr>
          <w:rFonts w:ascii="Cambria" w:hAnsi="Cambria"/>
          <w:sz w:val="20"/>
          <w:szCs w:val="20"/>
          <w:lang w:val="es-AR"/>
        </w:rPr>
        <w:t>las declaraciones de los</w:t>
      </w:r>
      <w:r w:rsidR="00300C13">
        <w:rPr>
          <w:rFonts w:ascii="Cambria" w:hAnsi="Cambria"/>
          <w:sz w:val="20"/>
          <w:szCs w:val="20"/>
          <w:lang w:val="es-AR"/>
        </w:rPr>
        <w:t xml:space="preserve"> dos </w:t>
      </w:r>
      <w:r w:rsidR="00DE7D78" w:rsidRPr="00623A34">
        <w:rPr>
          <w:rFonts w:ascii="Cambria" w:hAnsi="Cambria"/>
          <w:sz w:val="20"/>
          <w:szCs w:val="20"/>
          <w:lang w:val="es-AR"/>
        </w:rPr>
        <w:t xml:space="preserve"> testigos </w:t>
      </w:r>
      <w:r w:rsidR="00300C13">
        <w:rPr>
          <w:rFonts w:ascii="Cambria" w:hAnsi="Cambria"/>
          <w:sz w:val="20"/>
          <w:szCs w:val="20"/>
          <w:lang w:val="es-AR"/>
        </w:rPr>
        <w:t>“reinsertados” presentaban</w:t>
      </w:r>
      <w:r w:rsidR="00DE7D78" w:rsidRPr="00623A34">
        <w:rPr>
          <w:rFonts w:ascii="Cambria" w:hAnsi="Cambria"/>
          <w:sz w:val="20"/>
          <w:szCs w:val="20"/>
          <w:lang w:val="es-AR"/>
        </w:rPr>
        <w:t xml:space="preserve"> una concordancia y coherencia suficiente para establecer más allá de toda duda razonable que la presunta víctima habí</w:t>
      </w:r>
      <w:r w:rsidR="00FC7608">
        <w:rPr>
          <w:rFonts w:ascii="Cambria" w:hAnsi="Cambria"/>
          <w:sz w:val="20"/>
          <w:szCs w:val="20"/>
          <w:lang w:val="es-AR"/>
        </w:rPr>
        <w:t>a perpetrado la acción criminal</w:t>
      </w:r>
      <w:r w:rsidR="00300C13">
        <w:rPr>
          <w:rFonts w:ascii="Cambria" w:hAnsi="Cambria"/>
          <w:sz w:val="20"/>
          <w:szCs w:val="20"/>
          <w:lang w:val="es-AR"/>
        </w:rPr>
        <w:t>; por el sólo hecho de que</w:t>
      </w:r>
      <w:r w:rsidR="00DE7D78" w:rsidRPr="00623A34">
        <w:rPr>
          <w:rFonts w:ascii="Cambria" w:hAnsi="Cambria"/>
          <w:sz w:val="20"/>
          <w:szCs w:val="20"/>
          <w:lang w:val="es-AR"/>
        </w:rPr>
        <w:t xml:space="preserve"> ambos coincidían en identificar al señor González Arango como miembro de las FARC</w:t>
      </w:r>
      <w:r w:rsidR="00300C13">
        <w:rPr>
          <w:rFonts w:ascii="Cambria" w:hAnsi="Cambria"/>
          <w:sz w:val="20"/>
          <w:szCs w:val="20"/>
          <w:lang w:val="es-AR"/>
        </w:rPr>
        <w:t xml:space="preserve"> y pese a que las declaraciones eran inconsistentes con respecto a muchos otros detalles</w:t>
      </w:r>
      <w:r w:rsidR="00DE7D78" w:rsidRPr="00623A34">
        <w:rPr>
          <w:rFonts w:ascii="Cambria" w:hAnsi="Cambria"/>
          <w:sz w:val="20"/>
          <w:szCs w:val="20"/>
          <w:lang w:val="es-AR"/>
        </w:rPr>
        <w:t>.</w:t>
      </w:r>
      <w:r w:rsidR="00300C13">
        <w:rPr>
          <w:rFonts w:ascii="Cambria" w:hAnsi="Cambria"/>
          <w:sz w:val="20"/>
          <w:szCs w:val="20"/>
          <w:lang w:val="es-AR"/>
        </w:rPr>
        <w:t xml:space="preserve"> Destaca que e</w:t>
      </w:r>
      <w:r w:rsidR="00DE7D78" w:rsidRPr="00623A34">
        <w:rPr>
          <w:rFonts w:ascii="Cambria" w:hAnsi="Cambria"/>
          <w:sz w:val="20"/>
          <w:szCs w:val="20"/>
          <w:lang w:val="es-AR"/>
        </w:rPr>
        <w:t xml:space="preserve">l Tribunal no celebró ninguna audiencia y la defensa no tuvo la oportunidad de presentar testigos, ni contrainterrogar a los </w:t>
      </w:r>
      <w:r w:rsidR="00300C13">
        <w:rPr>
          <w:rFonts w:ascii="Cambria" w:hAnsi="Cambria"/>
          <w:sz w:val="20"/>
          <w:szCs w:val="20"/>
          <w:lang w:val="es-AR"/>
        </w:rPr>
        <w:t>dos testigos de la Fiscalía</w:t>
      </w:r>
      <w:r w:rsidR="00DE7D78" w:rsidRPr="00623A34">
        <w:rPr>
          <w:rFonts w:ascii="Cambria" w:hAnsi="Cambria"/>
          <w:sz w:val="20"/>
          <w:szCs w:val="20"/>
          <w:lang w:val="es-AR"/>
        </w:rPr>
        <w:t xml:space="preserve"> para verificar la ver</w:t>
      </w:r>
      <w:r w:rsidR="00300C13">
        <w:rPr>
          <w:rFonts w:ascii="Cambria" w:hAnsi="Cambria"/>
          <w:sz w:val="20"/>
          <w:szCs w:val="20"/>
          <w:lang w:val="es-AR"/>
        </w:rPr>
        <w:t>acidad de sus afirmaciones.</w:t>
      </w:r>
      <w:r w:rsidR="00BF32A7">
        <w:rPr>
          <w:rFonts w:ascii="Cambria" w:hAnsi="Cambria"/>
          <w:sz w:val="20"/>
          <w:szCs w:val="20"/>
          <w:lang w:val="es-AR"/>
        </w:rPr>
        <w:t xml:space="preserve"> Destaca que e</w:t>
      </w:r>
      <w:r w:rsidR="00300C13">
        <w:rPr>
          <w:rFonts w:ascii="Cambria" w:hAnsi="Cambria"/>
          <w:sz w:val="20"/>
          <w:szCs w:val="20"/>
          <w:lang w:val="es-AR"/>
        </w:rPr>
        <w:t>l T</w:t>
      </w:r>
      <w:r w:rsidR="00DE7D78" w:rsidRPr="00623A34">
        <w:rPr>
          <w:rFonts w:ascii="Cambria" w:hAnsi="Cambria"/>
          <w:sz w:val="20"/>
          <w:szCs w:val="20"/>
          <w:lang w:val="es-AR"/>
        </w:rPr>
        <w:t xml:space="preserve">ribunal reconoció que los informes de inteligencia carecían de </w:t>
      </w:r>
      <w:r w:rsidR="00BF32A7">
        <w:rPr>
          <w:rFonts w:ascii="Cambria" w:hAnsi="Cambria"/>
          <w:sz w:val="20"/>
          <w:szCs w:val="20"/>
          <w:lang w:val="es-AR"/>
        </w:rPr>
        <w:t>valor probatorio por sí mismos por lo que la condena se basó únicamente en el testimonio de los dos ex-combatientes “reinsertados”</w:t>
      </w:r>
      <w:r w:rsidR="00DE7D78" w:rsidRPr="00623A34">
        <w:rPr>
          <w:rFonts w:ascii="Cambria" w:hAnsi="Cambria"/>
          <w:sz w:val="20"/>
          <w:szCs w:val="20"/>
          <w:lang w:val="es-AR"/>
        </w:rPr>
        <w:t xml:space="preserve">. Por último, </w:t>
      </w:r>
      <w:r w:rsidR="00BF32A7">
        <w:rPr>
          <w:rFonts w:ascii="Cambria" w:hAnsi="Cambria"/>
          <w:sz w:val="20"/>
          <w:szCs w:val="20"/>
          <w:lang w:val="es-AR"/>
        </w:rPr>
        <w:t xml:space="preserve">señala que </w:t>
      </w:r>
      <w:r w:rsidR="00DE7D78" w:rsidRPr="00623A34">
        <w:rPr>
          <w:rFonts w:ascii="Cambria" w:hAnsi="Cambria"/>
          <w:sz w:val="20"/>
          <w:szCs w:val="20"/>
          <w:lang w:val="es-AR"/>
        </w:rPr>
        <w:t>la condena se profirió por medio del tribunal de segunda instancia conforme al procedimiento del antiguo sistema inquisitivo de la Ley 600 de 2000</w:t>
      </w:r>
      <w:r w:rsidR="00BF32A7">
        <w:rPr>
          <w:rFonts w:ascii="Cambria" w:hAnsi="Cambria"/>
          <w:sz w:val="20"/>
          <w:szCs w:val="20"/>
          <w:lang w:val="es-AR"/>
        </w:rPr>
        <w:t xml:space="preserve">; </w:t>
      </w:r>
      <w:r w:rsidR="00060649">
        <w:rPr>
          <w:rFonts w:ascii="Cambria" w:hAnsi="Cambria"/>
          <w:sz w:val="20"/>
          <w:szCs w:val="20"/>
          <w:lang w:val="es-AR"/>
        </w:rPr>
        <w:t>s</w:t>
      </w:r>
      <w:r w:rsidR="009075A7">
        <w:rPr>
          <w:rFonts w:ascii="Cambria" w:hAnsi="Cambria"/>
          <w:sz w:val="20"/>
          <w:szCs w:val="20"/>
          <w:lang w:val="es-AR"/>
        </w:rPr>
        <w:t>istema que no le concedía</w:t>
      </w:r>
      <w:r w:rsidR="003077BF">
        <w:rPr>
          <w:rFonts w:ascii="Cambria" w:hAnsi="Cambria"/>
          <w:sz w:val="20"/>
          <w:szCs w:val="20"/>
          <w:lang w:val="es-AR"/>
        </w:rPr>
        <w:t xml:space="preserve"> a una persona condenada en esas condiciones apelar la condena ante una autoridad superior que pudiera realizar una revisión integral del fallo</w:t>
      </w:r>
      <w:r w:rsidR="00DE7D78" w:rsidRPr="00623A34">
        <w:rPr>
          <w:rFonts w:ascii="Cambria" w:hAnsi="Cambria"/>
          <w:sz w:val="20"/>
          <w:szCs w:val="20"/>
          <w:lang w:val="es-AR"/>
        </w:rPr>
        <w:t>.</w:t>
      </w:r>
      <w:r w:rsidR="00DE7D78" w:rsidRPr="00623A34">
        <w:rPr>
          <w:lang w:val="es-AR"/>
        </w:rPr>
        <w:t xml:space="preserve"> </w:t>
      </w:r>
      <w:r w:rsidR="003077BF">
        <w:rPr>
          <w:rFonts w:asciiTheme="majorHAnsi" w:hAnsiTheme="majorHAnsi"/>
          <w:sz w:val="20"/>
          <w:szCs w:val="20"/>
          <w:lang w:val="es-AR"/>
        </w:rPr>
        <w:t>Considera que éste sistema era incompatible con el artículo 8.2(h) de la Convención Americana y la jurisprudencia de la Corte Interamericana con</w:t>
      </w:r>
      <w:r w:rsidR="00060649">
        <w:rPr>
          <w:rFonts w:asciiTheme="majorHAnsi" w:hAnsiTheme="majorHAnsi"/>
          <w:sz w:val="20"/>
          <w:szCs w:val="20"/>
          <w:lang w:val="es-AR"/>
        </w:rPr>
        <w:t xml:space="preserve"> respecto al principio de doble instancia en materia penal</w:t>
      </w:r>
      <w:r w:rsidR="00060649">
        <w:rPr>
          <w:rStyle w:val="FootnoteReference"/>
          <w:rFonts w:asciiTheme="majorHAnsi" w:hAnsiTheme="majorHAnsi"/>
          <w:sz w:val="20"/>
          <w:szCs w:val="20"/>
          <w:lang w:val="es-AR"/>
        </w:rPr>
        <w:footnoteReference w:id="6"/>
      </w:r>
      <w:r w:rsidR="00060649">
        <w:rPr>
          <w:rFonts w:asciiTheme="majorHAnsi" w:hAnsiTheme="majorHAnsi"/>
          <w:sz w:val="20"/>
          <w:szCs w:val="20"/>
          <w:lang w:val="es-AR"/>
        </w:rPr>
        <w:t>.</w:t>
      </w:r>
      <w:r w:rsidR="003077BF">
        <w:rPr>
          <w:rFonts w:asciiTheme="majorHAnsi" w:hAnsiTheme="majorHAnsi"/>
          <w:sz w:val="20"/>
          <w:szCs w:val="20"/>
          <w:lang w:val="es-AR"/>
        </w:rPr>
        <w:t xml:space="preserve"> </w:t>
      </w:r>
      <w:r w:rsidR="00223BAA">
        <w:rPr>
          <w:rFonts w:asciiTheme="majorHAnsi" w:hAnsiTheme="majorHAnsi"/>
          <w:sz w:val="20"/>
          <w:szCs w:val="20"/>
          <w:lang w:val="es-AR"/>
        </w:rPr>
        <w:t xml:space="preserve">Destaca que </w:t>
      </w:r>
      <w:r w:rsidR="007B11C8">
        <w:rPr>
          <w:rFonts w:asciiTheme="majorHAnsi" w:hAnsiTheme="majorHAnsi"/>
          <w:sz w:val="20"/>
          <w:szCs w:val="20"/>
          <w:lang w:val="es-AR"/>
        </w:rPr>
        <w:t>una larga línea jurisprudencial</w:t>
      </w:r>
      <w:r w:rsidR="00223BAA">
        <w:rPr>
          <w:rFonts w:asciiTheme="majorHAnsi" w:hAnsiTheme="majorHAnsi"/>
          <w:sz w:val="20"/>
          <w:szCs w:val="20"/>
          <w:lang w:val="es-AR"/>
        </w:rPr>
        <w:t xml:space="preserve"> dom</w:t>
      </w:r>
      <w:r w:rsidR="007B11C8">
        <w:rPr>
          <w:rFonts w:asciiTheme="majorHAnsi" w:hAnsiTheme="majorHAnsi"/>
          <w:sz w:val="20"/>
          <w:szCs w:val="20"/>
          <w:lang w:val="es-AR"/>
        </w:rPr>
        <w:t>éstica ha entendido que no existe una violación al debido proceso ante la imposibilidad de apelar la decisión condenatoria de segunda instancia cuando la de primera instancia fue absolutoria</w:t>
      </w:r>
      <w:r w:rsidR="007B11C8">
        <w:rPr>
          <w:rStyle w:val="FootnoteReference"/>
          <w:rFonts w:asciiTheme="majorHAnsi" w:hAnsiTheme="majorHAnsi"/>
          <w:sz w:val="20"/>
          <w:szCs w:val="20"/>
          <w:lang w:val="es-AR"/>
        </w:rPr>
        <w:footnoteReference w:id="7"/>
      </w:r>
      <w:r w:rsidR="007B11C8">
        <w:rPr>
          <w:rFonts w:asciiTheme="majorHAnsi" w:hAnsiTheme="majorHAnsi"/>
          <w:sz w:val="20"/>
          <w:szCs w:val="20"/>
          <w:lang w:val="es-AR"/>
        </w:rPr>
        <w:t>.</w:t>
      </w:r>
    </w:p>
    <w:p w14:paraId="7C98056A" w14:textId="3E285C76" w:rsidR="00851BF6" w:rsidRDefault="00DE7D78" w:rsidP="004601CF">
      <w:pPr>
        <w:numPr>
          <w:ilvl w:val="0"/>
          <w:numId w:val="55"/>
        </w:numPr>
        <w:suppressAutoHyphens/>
        <w:spacing w:after="120"/>
        <w:jc w:val="both"/>
        <w:rPr>
          <w:rFonts w:ascii="Cambria" w:hAnsi="Cambria"/>
          <w:sz w:val="20"/>
          <w:szCs w:val="20"/>
          <w:lang w:val="es-AR"/>
        </w:rPr>
      </w:pPr>
      <w:r w:rsidRPr="00623A34">
        <w:rPr>
          <w:rFonts w:ascii="Cambria" w:hAnsi="Cambria"/>
          <w:sz w:val="20"/>
          <w:szCs w:val="20"/>
          <w:lang w:val="es-AR"/>
        </w:rPr>
        <w:t xml:space="preserve">El 2 de junio de 2009, la presunta víctima presentó una solicitud de recurso extraordinario de casación ante la Sala Penal de la Corte Suprema de Justicia. </w:t>
      </w:r>
      <w:r w:rsidR="0086141D">
        <w:rPr>
          <w:rFonts w:ascii="Cambria" w:hAnsi="Cambria"/>
          <w:sz w:val="20"/>
          <w:szCs w:val="20"/>
          <w:lang w:val="es-AR"/>
        </w:rPr>
        <w:t>Luego</w:t>
      </w:r>
      <w:r w:rsidRPr="00623A34">
        <w:rPr>
          <w:rFonts w:ascii="Cambria" w:hAnsi="Cambria"/>
          <w:sz w:val="20"/>
          <w:szCs w:val="20"/>
          <w:lang w:val="es-AR"/>
        </w:rPr>
        <w:t xml:space="preserve"> el 9 de diciembre de 2009 la Corte Suprema de Colombia declinó admitir la solicitud de casación argumentando que no reunía los estrictos requerimientos exigidos para la admisión de tal recurso extraordinario</w:t>
      </w:r>
      <w:r w:rsidR="0086141D" w:rsidRPr="00623A34">
        <w:rPr>
          <w:rFonts w:ascii="Cambria" w:hAnsi="Cambria"/>
          <w:sz w:val="20"/>
          <w:szCs w:val="20"/>
          <w:vertAlign w:val="superscript"/>
        </w:rPr>
        <w:footnoteReference w:id="8"/>
      </w:r>
      <w:r w:rsidRPr="00623A34">
        <w:rPr>
          <w:rFonts w:ascii="Cambria" w:hAnsi="Cambria"/>
          <w:sz w:val="20"/>
          <w:szCs w:val="20"/>
          <w:lang w:val="es-AR"/>
        </w:rPr>
        <w:t xml:space="preserve">. Como resultado de tal denegatoria, la condena del tribunal de apelaciones fue confirmada, y una orden de arresto fue emitida en enero de 2010 contra la presunta víctima. </w:t>
      </w:r>
      <w:r w:rsidR="0086141D">
        <w:rPr>
          <w:rFonts w:ascii="Cambria" w:hAnsi="Cambria"/>
          <w:sz w:val="20"/>
          <w:szCs w:val="20"/>
          <w:lang w:val="es-AR"/>
        </w:rPr>
        <w:t xml:space="preserve"> Considera que el recurso de casación,</w:t>
      </w:r>
      <w:r w:rsidR="0061708C">
        <w:rPr>
          <w:rFonts w:ascii="Cambria" w:hAnsi="Cambria"/>
          <w:sz w:val="20"/>
          <w:szCs w:val="20"/>
          <w:lang w:val="es-AR"/>
        </w:rPr>
        <w:t xml:space="preserve"> único procedente contra la condena proferida contra la presunta víctima,</w:t>
      </w:r>
      <w:r w:rsidR="0086141D">
        <w:rPr>
          <w:rFonts w:ascii="Cambria" w:hAnsi="Cambria"/>
          <w:sz w:val="20"/>
          <w:szCs w:val="20"/>
          <w:lang w:val="es-AR"/>
        </w:rPr>
        <w:t xml:space="preserve"> no permite la revisión inte</w:t>
      </w:r>
      <w:r w:rsidR="0061708C">
        <w:rPr>
          <w:rFonts w:ascii="Cambria" w:hAnsi="Cambria"/>
          <w:sz w:val="20"/>
          <w:szCs w:val="20"/>
          <w:lang w:val="es-AR"/>
        </w:rPr>
        <w:t>gral del fallo y no satisface los requisitos del artículo 8.2(h) de la Convención Americana</w:t>
      </w:r>
      <w:r w:rsidR="00C87628">
        <w:rPr>
          <w:rFonts w:ascii="Cambria" w:hAnsi="Cambria"/>
          <w:sz w:val="20"/>
          <w:szCs w:val="20"/>
          <w:lang w:val="es-AR"/>
        </w:rPr>
        <w:t>.</w:t>
      </w:r>
      <w:r w:rsidR="0061708C">
        <w:rPr>
          <w:rFonts w:ascii="Cambria" w:hAnsi="Cambria"/>
          <w:sz w:val="20"/>
          <w:szCs w:val="20"/>
          <w:lang w:val="es-AR"/>
        </w:rPr>
        <w:t xml:space="preserve"> </w:t>
      </w:r>
    </w:p>
    <w:p w14:paraId="014B8879" w14:textId="18E45AE4" w:rsidR="004601CF" w:rsidRPr="008802DC" w:rsidRDefault="00851BF6" w:rsidP="008802DC">
      <w:pPr>
        <w:numPr>
          <w:ilvl w:val="0"/>
          <w:numId w:val="55"/>
        </w:numPr>
        <w:suppressAutoHyphens/>
        <w:spacing w:after="120"/>
        <w:jc w:val="both"/>
        <w:rPr>
          <w:rFonts w:ascii="Cambria" w:hAnsi="Cambria"/>
          <w:sz w:val="20"/>
          <w:szCs w:val="20"/>
          <w:lang w:val="es-AR"/>
        </w:rPr>
      </w:pPr>
      <w:r>
        <w:rPr>
          <w:rFonts w:ascii="Cambria" w:hAnsi="Cambria"/>
          <w:sz w:val="20"/>
          <w:szCs w:val="20"/>
          <w:lang w:val="es-AR"/>
        </w:rPr>
        <w:t xml:space="preserve">El peticionario denuncia que como consecuencia de la orden de arresto dictada en el proceso arbitrario e injusto, la presunta víctima </w:t>
      </w:r>
      <w:r w:rsidR="004601CF">
        <w:rPr>
          <w:rFonts w:ascii="Cambria" w:hAnsi="Cambria"/>
          <w:sz w:val="20"/>
          <w:szCs w:val="20"/>
          <w:lang w:val="es-AR"/>
        </w:rPr>
        <w:t>fue ca</w:t>
      </w:r>
      <w:r>
        <w:rPr>
          <w:rFonts w:ascii="Cambria" w:hAnsi="Cambria"/>
          <w:sz w:val="20"/>
          <w:szCs w:val="20"/>
          <w:lang w:val="es-AR"/>
        </w:rPr>
        <w:t xml:space="preserve">pturado el 18 de agosto de 2011 en Pamplona por una persona de civil quien le pidió los documentos, identificándose posteriormente como policía, alega que luego llegaron un grupo de personas armadas vestidas de civil en una camioneta sin ningún tipo de distintivo de la </w:t>
      </w:r>
      <w:r w:rsidR="00977573">
        <w:rPr>
          <w:rFonts w:ascii="Cambria" w:hAnsi="Cambria"/>
          <w:sz w:val="20"/>
          <w:szCs w:val="20"/>
          <w:lang w:val="es-AR"/>
        </w:rPr>
        <w:t>Policía</w:t>
      </w:r>
      <w:r>
        <w:rPr>
          <w:rFonts w:ascii="Cambria" w:hAnsi="Cambria"/>
          <w:sz w:val="20"/>
          <w:szCs w:val="20"/>
          <w:lang w:val="es-AR"/>
        </w:rPr>
        <w:t xml:space="preserve"> Nacional, quienes no le mostraron la orden de captura, obligándolo a subir al </w:t>
      </w:r>
      <w:r w:rsidR="00977573">
        <w:rPr>
          <w:rFonts w:ascii="Cambria" w:hAnsi="Cambria"/>
          <w:sz w:val="20"/>
          <w:szCs w:val="20"/>
          <w:lang w:val="es-AR"/>
        </w:rPr>
        <w:t>vehículo</w:t>
      </w:r>
      <w:r>
        <w:rPr>
          <w:rFonts w:ascii="Cambria" w:hAnsi="Cambria"/>
          <w:sz w:val="20"/>
          <w:szCs w:val="20"/>
          <w:lang w:val="es-AR"/>
        </w:rPr>
        <w:t xml:space="preserve"> al señor </w:t>
      </w:r>
      <w:r w:rsidR="00977573">
        <w:rPr>
          <w:rFonts w:ascii="Cambria" w:hAnsi="Cambria"/>
          <w:sz w:val="20"/>
          <w:szCs w:val="20"/>
          <w:lang w:val="es-AR"/>
        </w:rPr>
        <w:t>González</w:t>
      </w:r>
      <w:r>
        <w:rPr>
          <w:rFonts w:ascii="Cambria" w:hAnsi="Cambria"/>
          <w:sz w:val="20"/>
          <w:szCs w:val="20"/>
          <w:lang w:val="es-AR"/>
        </w:rPr>
        <w:t xml:space="preserve"> Arango y a su hermana</w:t>
      </w:r>
      <w:r w:rsidR="009053E2">
        <w:rPr>
          <w:rFonts w:ascii="Cambria" w:hAnsi="Cambria"/>
          <w:sz w:val="20"/>
          <w:szCs w:val="20"/>
          <w:lang w:val="es-AR"/>
        </w:rPr>
        <w:t>.</w:t>
      </w:r>
      <w:r>
        <w:rPr>
          <w:rFonts w:ascii="Cambria" w:hAnsi="Cambria"/>
          <w:sz w:val="20"/>
          <w:szCs w:val="20"/>
          <w:lang w:val="es-AR"/>
        </w:rPr>
        <w:t xml:space="preserve"> Alega que estos he</w:t>
      </w:r>
      <w:r w:rsidR="009075A7">
        <w:rPr>
          <w:rFonts w:ascii="Cambria" w:hAnsi="Cambria"/>
          <w:sz w:val="20"/>
          <w:szCs w:val="20"/>
          <w:lang w:val="es-AR"/>
        </w:rPr>
        <w:t xml:space="preserve">chos ocurrieron a pocos metros </w:t>
      </w:r>
      <w:r>
        <w:rPr>
          <w:rFonts w:ascii="Cambria" w:hAnsi="Cambria"/>
          <w:sz w:val="20"/>
          <w:szCs w:val="20"/>
          <w:lang w:val="es-AR"/>
        </w:rPr>
        <w:t xml:space="preserve">de una CAI de la policía por lo que se trasladaron allí y esperaron 20 minutos a que llegara una patrulla ordinaria de la </w:t>
      </w:r>
      <w:r w:rsidR="008802DC">
        <w:rPr>
          <w:rFonts w:ascii="Cambria" w:hAnsi="Cambria"/>
          <w:sz w:val="20"/>
          <w:szCs w:val="20"/>
          <w:lang w:val="es-AR"/>
        </w:rPr>
        <w:t xml:space="preserve">policía. Denuncia que en esos momentos la presunta </w:t>
      </w:r>
      <w:r w:rsidR="00977573">
        <w:rPr>
          <w:rFonts w:ascii="Cambria" w:hAnsi="Cambria"/>
          <w:sz w:val="20"/>
          <w:szCs w:val="20"/>
          <w:lang w:val="es-AR"/>
        </w:rPr>
        <w:t>víctima</w:t>
      </w:r>
      <w:r w:rsidR="008802DC">
        <w:rPr>
          <w:rFonts w:ascii="Cambria" w:hAnsi="Cambria"/>
          <w:sz w:val="20"/>
          <w:szCs w:val="20"/>
          <w:lang w:val="es-AR"/>
        </w:rPr>
        <w:t xml:space="preserve"> fue amenazada y golpeada por estas personas civiles que quedaron identificadas como miembros de la Seccional de </w:t>
      </w:r>
      <w:r w:rsidR="00977573">
        <w:rPr>
          <w:rFonts w:ascii="Cambria" w:hAnsi="Cambria"/>
          <w:sz w:val="20"/>
          <w:szCs w:val="20"/>
          <w:lang w:val="es-AR"/>
        </w:rPr>
        <w:t>Investigación</w:t>
      </w:r>
      <w:r w:rsidR="008802DC">
        <w:rPr>
          <w:rFonts w:ascii="Cambria" w:hAnsi="Cambria"/>
          <w:sz w:val="20"/>
          <w:szCs w:val="20"/>
          <w:lang w:val="es-AR"/>
        </w:rPr>
        <w:t xml:space="preserve"> de la </w:t>
      </w:r>
      <w:r w:rsidR="00977573">
        <w:rPr>
          <w:rFonts w:ascii="Cambria" w:hAnsi="Cambria"/>
          <w:sz w:val="20"/>
          <w:szCs w:val="20"/>
          <w:lang w:val="es-AR"/>
        </w:rPr>
        <w:t>Policía</w:t>
      </w:r>
      <w:r w:rsidR="008802DC">
        <w:rPr>
          <w:rFonts w:ascii="Cambria" w:hAnsi="Cambria"/>
          <w:sz w:val="20"/>
          <w:szCs w:val="20"/>
          <w:lang w:val="es-AR"/>
        </w:rPr>
        <w:t xml:space="preserve"> Nacional. Posteriormente lo trasladaron a él y a </w:t>
      </w:r>
      <w:r w:rsidR="008802DC">
        <w:rPr>
          <w:rFonts w:ascii="Cambria" w:hAnsi="Cambria"/>
          <w:sz w:val="20"/>
          <w:szCs w:val="20"/>
          <w:lang w:val="es-AR"/>
        </w:rPr>
        <w:lastRenderedPageBreak/>
        <w:t xml:space="preserve">su hermana al calabozo de la </w:t>
      </w:r>
      <w:r w:rsidR="00977573">
        <w:rPr>
          <w:rFonts w:ascii="Cambria" w:hAnsi="Cambria"/>
          <w:sz w:val="20"/>
          <w:szCs w:val="20"/>
          <w:lang w:val="es-AR"/>
        </w:rPr>
        <w:t>Estación</w:t>
      </w:r>
      <w:r w:rsidR="008802DC">
        <w:rPr>
          <w:rFonts w:ascii="Cambria" w:hAnsi="Cambria"/>
          <w:sz w:val="20"/>
          <w:szCs w:val="20"/>
          <w:lang w:val="es-AR"/>
        </w:rPr>
        <w:t xml:space="preserve"> de </w:t>
      </w:r>
      <w:r w:rsidR="00977573">
        <w:rPr>
          <w:rFonts w:ascii="Cambria" w:hAnsi="Cambria"/>
          <w:sz w:val="20"/>
          <w:szCs w:val="20"/>
          <w:lang w:val="es-AR"/>
        </w:rPr>
        <w:t>Policía</w:t>
      </w:r>
      <w:r w:rsidR="008802DC">
        <w:rPr>
          <w:rFonts w:ascii="Cambria" w:hAnsi="Cambria"/>
          <w:sz w:val="20"/>
          <w:szCs w:val="20"/>
          <w:lang w:val="es-AR"/>
        </w:rPr>
        <w:t xml:space="preserve"> de Pamplona, donde ambos quedaron detenidos, pese a que su hermana fue liberada el mismo </w:t>
      </w:r>
      <w:r w:rsidR="00977573">
        <w:rPr>
          <w:rFonts w:ascii="Cambria" w:hAnsi="Cambria"/>
          <w:sz w:val="20"/>
          <w:szCs w:val="20"/>
          <w:lang w:val="es-AR"/>
        </w:rPr>
        <w:t>día</w:t>
      </w:r>
      <w:r w:rsidR="008802DC">
        <w:rPr>
          <w:rFonts w:ascii="Cambria" w:hAnsi="Cambria"/>
          <w:sz w:val="20"/>
          <w:szCs w:val="20"/>
          <w:lang w:val="es-AR"/>
        </w:rPr>
        <w:t xml:space="preserve">. </w:t>
      </w:r>
      <w:r w:rsidR="009053E2">
        <w:rPr>
          <w:rFonts w:ascii="Cambria" w:hAnsi="Cambria"/>
          <w:sz w:val="20"/>
          <w:szCs w:val="20"/>
          <w:lang w:val="es-AR"/>
        </w:rPr>
        <w:t>Relata que la presunta víctima</w:t>
      </w:r>
      <w:r w:rsidR="008802DC" w:rsidRPr="008802DC">
        <w:rPr>
          <w:rFonts w:ascii="Cambria" w:hAnsi="Cambria"/>
          <w:sz w:val="20"/>
          <w:szCs w:val="20"/>
          <w:lang w:val="es-AR"/>
        </w:rPr>
        <w:t xml:space="preserve"> fue puesto a </w:t>
      </w:r>
      <w:r w:rsidR="00977573" w:rsidRPr="008802DC">
        <w:rPr>
          <w:rFonts w:ascii="Cambria" w:hAnsi="Cambria"/>
          <w:sz w:val="20"/>
          <w:szCs w:val="20"/>
          <w:lang w:val="es-AR"/>
        </w:rPr>
        <w:t>disposición</w:t>
      </w:r>
      <w:r w:rsidR="008802DC" w:rsidRPr="008802DC">
        <w:rPr>
          <w:rFonts w:ascii="Cambria" w:hAnsi="Cambria"/>
          <w:sz w:val="20"/>
          <w:szCs w:val="20"/>
          <w:lang w:val="es-AR"/>
        </w:rPr>
        <w:t xml:space="preserve"> del Juez Octavo Penal del Circuito de Bucaramanga,</w:t>
      </w:r>
      <w:r w:rsidR="008802DC">
        <w:rPr>
          <w:rFonts w:ascii="Cambria" w:hAnsi="Cambria"/>
          <w:sz w:val="20"/>
          <w:szCs w:val="20"/>
          <w:lang w:val="es-AR"/>
        </w:rPr>
        <w:t xml:space="preserve"> </w:t>
      </w:r>
      <w:r w:rsidR="008802DC" w:rsidRPr="008802DC">
        <w:rPr>
          <w:rFonts w:ascii="Cambria" w:hAnsi="Cambria"/>
          <w:sz w:val="20"/>
          <w:szCs w:val="20"/>
          <w:lang w:val="es-AR"/>
        </w:rPr>
        <w:t xml:space="preserve">el mismo que lo </w:t>
      </w:r>
      <w:r w:rsidR="00977573" w:rsidRPr="008802DC">
        <w:rPr>
          <w:rFonts w:ascii="Cambria" w:hAnsi="Cambria"/>
          <w:sz w:val="20"/>
          <w:szCs w:val="20"/>
          <w:lang w:val="es-AR"/>
        </w:rPr>
        <w:t>había</w:t>
      </w:r>
      <w:r w:rsidR="008802DC" w:rsidRPr="008802DC">
        <w:rPr>
          <w:rFonts w:ascii="Cambria" w:hAnsi="Cambria"/>
          <w:sz w:val="20"/>
          <w:szCs w:val="20"/>
          <w:lang w:val="es-AR"/>
        </w:rPr>
        <w:t xml:space="preserve"> absuelto de todos </w:t>
      </w:r>
      <w:r w:rsidR="00977573">
        <w:rPr>
          <w:rFonts w:ascii="Cambria" w:hAnsi="Cambria"/>
          <w:sz w:val="20"/>
          <w:szCs w:val="20"/>
          <w:lang w:val="es-AR"/>
        </w:rPr>
        <w:t>los cargos en primera instancia</w:t>
      </w:r>
      <w:r w:rsidR="009053E2">
        <w:rPr>
          <w:rFonts w:ascii="Cambria" w:hAnsi="Cambria"/>
          <w:sz w:val="20"/>
          <w:szCs w:val="20"/>
          <w:lang w:val="es-AR"/>
        </w:rPr>
        <w:t>, por otro lado, la</w:t>
      </w:r>
      <w:r w:rsidR="008802DC" w:rsidRPr="008802DC">
        <w:rPr>
          <w:rFonts w:ascii="Cambria" w:hAnsi="Cambria"/>
          <w:sz w:val="20"/>
          <w:szCs w:val="20"/>
          <w:lang w:val="es-AR"/>
        </w:rPr>
        <w:t xml:space="preserve"> </w:t>
      </w:r>
      <w:r w:rsidR="00F71FEE">
        <w:rPr>
          <w:rFonts w:ascii="Cambria" w:hAnsi="Cambria"/>
          <w:sz w:val="20"/>
          <w:szCs w:val="20"/>
          <w:lang w:val="es-AR"/>
        </w:rPr>
        <w:t>p</w:t>
      </w:r>
      <w:r w:rsidR="00977573" w:rsidRPr="008802DC">
        <w:rPr>
          <w:rFonts w:ascii="Cambria" w:hAnsi="Cambria"/>
          <w:sz w:val="20"/>
          <w:szCs w:val="20"/>
          <w:lang w:val="es-AR"/>
        </w:rPr>
        <w:t>olicía</w:t>
      </w:r>
      <w:r w:rsidR="009053E2">
        <w:rPr>
          <w:rFonts w:ascii="Cambria" w:hAnsi="Cambria"/>
          <w:sz w:val="20"/>
          <w:szCs w:val="20"/>
          <w:lang w:val="es-AR"/>
        </w:rPr>
        <w:t xml:space="preserve"> lo obligó</w:t>
      </w:r>
      <w:r w:rsidR="008802DC" w:rsidRPr="008802DC">
        <w:rPr>
          <w:rFonts w:ascii="Cambria" w:hAnsi="Cambria"/>
          <w:sz w:val="20"/>
          <w:szCs w:val="20"/>
          <w:lang w:val="es-AR"/>
        </w:rPr>
        <w:t xml:space="preserve"> a</w:t>
      </w:r>
      <w:r w:rsidR="008802DC">
        <w:rPr>
          <w:rFonts w:ascii="Cambria" w:hAnsi="Cambria"/>
          <w:sz w:val="20"/>
          <w:szCs w:val="20"/>
          <w:lang w:val="es-AR"/>
        </w:rPr>
        <w:t xml:space="preserve"> </w:t>
      </w:r>
      <w:r w:rsidR="008802DC" w:rsidRPr="008802DC">
        <w:rPr>
          <w:rFonts w:ascii="Cambria" w:hAnsi="Cambria"/>
          <w:sz w:val="20"/>
          <w:szCs w:val="20"/>
          <w:lang w:val="es-AR"/>
        </w:rPr>
        <w:t>hacer un video de la captura que demostrara q</w:t>
      </w:r>
      <w:r w:rsidR="00977573">
        <w:rPr>
          <w:rFonts w:ascii="Cambria" w:hAnsi="Cambria"/>
          <w:sz w:val="20"/>
          <w:szCs w:val="20"/>
          <w:lang w:val="es-AR"/>
        </w:rPr>
        <w:t xml:space="preserve">ue la ejecutaron correctamente. Allí </w:t>
      </w:r>
      <w:r w:rsidR="008802DC" w:rsidRPr="008802DC">
        <w:rPr>
          <w:rFonts w:ascii="Cambria" w:hAnsi="Cambria"/>
          <w:sz w:val="20"/>
          <w:szCs w:val="20"/>
          <w:lang w:val="es-AR"/>
        </w:rPr>
        <w:t>le fue</w:t>
      </w:r>
      <w:r w:rsidR="008802DC">
        <w:rPr>
          <w:rFonts w:ascii="Cambria" w:hAnsi="Cambria"/>
          <w:sz w:val="20"/>
          <w:szCs w:val="20"/>
          <w:lang w:val="es-AR"/>
        </w:rPr>
        <w:t xml:space="preserve"> </w:t>
      </w:r>
      <w:r w:rsidR="008802DC" w:rsidRPr="008802DC">
        <w:rPr>
          <w:rFonts w:ascii="Cambria" w:hAnsi="Cambria"/>
          <w:sz w:val="20"/>
          <w:szCs w:val="20"/>
          <w:lang w:val="es-AR"/>
        </w:rPr>
        <w:t xml:space="preserve">manifestado que </w:t>
      </w:r>
      <w:r w:rsidR="00977573" w:rsidRPr="008802DC">
        <w:rPr>
          <w:rFonts w:ascii="Cambria" w:hAnsi="Cambria"/>
          <w:sz w:val="20"/>
          <w:szCs w:val="20"/>
          <w:lang w:val="es-AR"/>
        </w:rPr>
        <w:t>tenía</w:t>
      </w:r>
      <w:r w:rsidR="008802DC" w:rsidRPr="008802DC">
        <w:rPr>
          <w:rFonts w:ascii="Cambria" w:hAnsi="Cambria"/>
          <w:sz w:val="20"/>
          <w:szCs w:val="20"/>
          <w:lang w:val="es-AR"/>
        </w:rPr>
        <w:t xml:space="preserve"> orden de captura emitida por el Juzgado Octavo Penal del Circuito,</w:t>
      </w:r>
      <w:r w:rsidR="008802DC">
        <w:rPr>
          <w:rFonts w:ascii="Cambria" w:hAnsi="Cambria"/>
          <w:sz w:val="20"/>
          <w:szCs w:val="20"/>
          <w:lang w:val="es-AR"/>
        </w:rPr>
        <w:t xml:space="preserve"> </w:t>
      </w:r>
      <w:r w:rsidR="008802DC" w:rsidRPr="008802DC">
        <w:rPr>
          <w:rFonts w:ascii="Cambria" w:hAnsi="Cambria"/>
          <w:sz w:val="20"/>
          <w:szCs w:val="20"/>
          <w:lang w:val="es-AR"/>
        </w:rPr>
        <w:t>cumpliendo la orden emitida por el Tribunal Superior del Distrito de Bucaramanga, y lo pusieron</w:t>
      </w:r>
      <w:r w:rsidR="008802DC">
        <w:rPr>
          <w:rFonts w:ascii="Cambria" w:hAnsi="Cambria"/>
          <w:sz w:val="20"/>
          <w:szCs w:val="20"/>
          <w:lang w:val="es-AR"/>
        </w:rPr>
        <w:t xml:space="preserve"> </w:t>
      </w:r>
      <w:r w:rsidR="008802DC" w:rsidRPr="008802DC">
        <w:rPr>
          <w:rFonts w:ascii="Cambria" w:hAnsi="Cambria"/>
          <w:sz w:val="20"/>
          <w:szCs w:val="20"/>
          <w:lang w:val="es-AR"/>
        </w:rPr>
        <w:t xml:space="preserve">a </w:t>
      </w:r>
      <w:r w:rsidR="00977573" w:rsidRPr="008802DC">
        <w:rPr>
          <w:rFonts w:ascii="Cambria" w:hAnsi="Cambria"/>
          <w:sz w:val="20"/>
          <w:szCs w:val="20"/>
          <w:lang w:val="es-AR"/>
        </w:rPr>
        <w:t>disposición</w:t>
      </w:r>
      <w:r w:rsidR="008802DC" w:rsidRPr="008802DC">
        <w:rPr>
          <w:rFonts w:ascii="Cambria" w:hAnsi="Cambria"/>
          <w:sz w:val="20"/>
          <w:szCs w:val="20"/>
          <w:lang w:val="es-AR"/>
        </w:rPr>
        <w:t xml:space="preserve"> de este juzgado. Luego fue trasladado al centro penitenciario de Pamplona, donde</w:t>
      </w:r>
      <w:r w:rsidR="008802DC">
        <w:rPr>
          <w:rFonts w:ascii="Cambria" w:hAnsi="Cambria"/>
          <w:sz w:val="20"/>
          <w:szCs w:val="20"/>
          <w:lang w:val="es-AR"/>
        </w:rPr>
        <w:t xml:space="preserve"> quedó recluido.</w:t>
      </w:r>
    </w:p>
    <w:p w14:paraId="3E54CDD7" w14:textId="469C4837" w:rsidR="003C20FF" w:rsidRPr="00623A34" w:rsidRDefault="00B54338" w:rsidP="00DE7D78">
      <w:pPr>
        <w:numPr>
          <w:ilvl w:val="0"/>
          <w:numId w:val="55"/>
        </w:numPr>
        <w:suppressAutoHyphens/>
        <w:spacing w:after="120"/>
        <w:jc w:val="both"/>
        <w:rPr>
          <w:rFonts w:ascii="Cambria" w:hAnsi="Cambria"/>
          <w:sz w:val="20"/>
          <w:szCs w:val="20"/>
          <w:lang w:val="es-AR"/>
        </w:rPr>
      </w:pPr>
      <w:r>
        <w:rPr>
          <w:rFonts w:ascii="Cambria" w:hAnsi="Cambria"/>
          <w:sz w:val="20"/>
          <w:szCs w:val="20"/>
          <w:lang w:val="es-AR"/>
        </w:rPr>
        <w:t>La parte peticionaria</w:t>
      </w:r>
      <w:r w:rsidR="00C87628">
        <w:rPr>
          <w:rFonts w:ascii="Cambria" w:hAnsi="Cambria"/>
          <w:sz w:val="20"/>
          <w:szCs w:val="20"/>
          <w:lang w:val="es-AR"/>
        </w:rPr>
        <w:t xml:space="preserve"> informa que</w:t>
      </w:r>
      <w:r w:rsidR="003C20FF">
        <w:rPr>
          <w:rFonts w:ascii="Cambria" w:hAnsi="Cambria"/>
          <w:sz w:val="20"/>
          <w:szCs w:val="20"/>
          <w:lang w:val="es-AR"/>
        </w:rPr>
        <w:t xml:space="preserve"> el 22 de julio de 2013, la presunta </w:t>
      </w:r>
      <w:r w:rsidR="00E73010">
        <w:rPr>
          <w:rFonts w:ascii="Cambria" w:hAnsi="Cambria"/>
          <w:sz w:val="20"/>
          <w:szCs w:val="20"/>
          <w:lang w:val="es-AR"/>
        </w:rPr>
        <w:t>víctima</w:t>
      </w:r>
      <w:r w:rsidR="003C20FF">
        <w:rPr>
          <w:rFonts w:ascii="Cambria" w:hAnsi="Cambria"/>
          <w:sz w:val="20"/>
          <w:szCs w:val="20"/>
          <w:lang w:val="es-AR"/>
        </w:rPr>
        <w:t xml:space="preserve"> fue liberada del Establecimiento Penitenciario de Mediana Seguridad y Carcelario de P</w:t>
      </w:r>
      <w:r w:rsidR="00E73010">
        <w:rPr>
          <w:rFonts w:ascii="Cambria" w:hAnsi="Cambria"/>
          <w:sz w:val="20"/>
          <w:szCs w:val="20"/>
          <w:lang w:val="es-AR"/>
        </w:rPr>
        <w:t>amplona, luego de cumplir</w:t>
      </w:r>
      <w:r w:rsidR="003C20FF">
        <w:rPr>
          <w:rFonts w:ascii="Cambria" w:hAnsi="Cambria"/>
          <w:sz w:val="20"/>
          <w:szCs w:val="20"/>
          <w:lang w:val="es-AR"/>
        </w:rPr>
        <w:t xml:space="preserve"> 3/5 partes de la pena</w:t>
      </w:r>
      <w:r w:rsidR="00C87628">
        <w:rPr>
          <w:rFonts w:ascii="Cambria" w:hAnsi="Cambria"/>
          <w:sz w:val="20"/>
          <w:szCs w:val="20"/>
          <w:lang w:val="es-AR"/>
        </w:rPr>
        <w:t>. D</w:t>
      </w:r>
      <w:r w:rsidR="003C20FF">
        <w:rPr>
          <w:rFonts w:ascii="Cambria" w:hAnsi="Cambria"/>
          <w:sz w:val="20"/>
          <w:szCs w:val="20"/>
          <w:lang w:val="es-AR"/>
        </w:rPr>
        <w:t>enuncia</w:t>
      </w:r>
      <w:r w:rsidR="00C87628">
        <w:rPr>
          <w:rFonts w:ascii="Cambria" w:hAnsi="Cambria"/>
          <w:sz w:val="20"/>
          <w:szCs w:val="20"/>
          <w:lang w:val="es-AR"/>
        </w:rPr>
        <w:t xml:space="preserve"> que durante su encarcelamiento</w:t>
      </w:r>
      <w:r w:rsidR="003C20FF">
        <w:rPr>
          <w:rFonts w:ascii="Cambria" w:hAnsi="Cambria"/>
          <w:sz w:val="20"/>
          <w:szCs w:val="20"/>
          <w:lang w:val="es-AR"/>
        </w:rPr>
        <w:t xml:space="preserve"> la presunta </w:t>
      </w:r>
      <w:r w:rsidR="00E73010">
        <w:rPr>
          <w:rFonts w:ascii="Cambria" w:hAnsi="Cambria"/>
          <w:sz w:val="20"/>
          <w:szCs w:val="20"/>
          <w:lang w:val="es-AR"/>
        </w:rPr>
        <w:t>víctima</w:t>
      </w:r>
      <w:r w:rsidR="003C20FF">
        <w:rPr>
          <w:rFonts w:ascii="Cambria" w:hAnsi="Cambria"/>
          <w:sz w:val="20"/>
          <w:szCs w:val="20"/>
          <w:lang w:val="es-AR"/>
        </w:rPr>
        <w:t xml:space="preserve"> fue objeto de nuevas judicializaciones por su calidad de defensor de los derecho</w:t>
      </w:r>
      <w:r w:rsidR="00E73010">
        <w:rPr>
          <w:rFonts w:ascii="Cambria" w:hAnsi="Cambria"/>
          <w:sz w:val="20"/>
          <w:szCs w:val="20"/>
          <w:lang w:val="es-AR"/>
        </w:rPr>
        <w:t xml:space="preserve">s humanos, dirigidas a que no pudiera recobrar su libertad; </w:t>
      </w:r>
      <w:r w:rsidR="00C87628">
        <w:rPr>
          <w:rFonts w:ascii="Cambria" w:hAnsi="Cambria"/>
          <w:sz w:val="20"/>
          <w:szCs w:val="20"/>
          <w:lang w:val="es-AR"/>
        </w:rPr>
        <w:t>así como que</w:t>
      </w:r>
      <w:r w:rsidR="00E73010">
        <w:rPr>
          <w:rFonts w:ascii="Cambria" w:hAnsi="Cambria"/>
          <w:sz w:val="20"/>
          <w:szCs w:val="20"/>
          <w:lang w:val="es-AR"/>
        </w:rPr>
        <w:t xml:space="preserve"> fue víctima de constante hostigamiento y presión por parte de autoridades colombianas mientras el mismo se encontraba privado de libertad.</w:t>
      </w:r>
      <w:r w:rsidR="00807E8C">
        <w:rPr>
          <w:rFonts w:ascii="Cambria" w:hAnsi="Cambria"/>
          <w:sz w:val="20"/>
          <w:szCs w:val="20"/>
          <w:lang w:val="es-AR"/>
        </w:rPr>
        <w:t xml:space="preserve"> Resalta que el proceso adelantado contra la presunta víctima y su condena han afectado a ésta en su honra y dignidad conllevando a que perdiera la credibilidad necesaria para su desarrollo profesional y su labor como activista de derechos humanos.</w:t>
      </w:r>
    </w:p>
    <w:p w14:paraId="77884015" w14:textId="547421C9" w:rsidR="002A6BA5" w:rsidRPr="002A6BA5" w:rsidRDefault="002A6BA5" w:rsidP="002A6BA5">
      <w:pPr>
        <w:numPr>
          <w:ilvl w:val="0"/>
          <w:numId w:val="55"/>
        </w:numPr>
        <w:suppressAutoHyphens/>
        <w:spacing w:after="120"/>
        <w:jc w:val="both"/>
        <w:rPr>
          <w:rFonts w:ascii="Cambria" w:hAnsi="Cambria"/>
          <w:sz w:val="20"/>
          <w:szCs w:val="20"/>
          <w:lang w:val="es-AR"/>
        </w:rPr>
      </w:pPr>
      <w:r w:rsidRPr="002A6BA5">
        <w:rPr>
          <w:rFonts w:ascii="Cambria" w:hAnsi="Cambria"/>
          <w:sz w:val="20"/>
          <w:szCs w:val="20"/>
          <w:lang w:val="es-AR"/>
        </w:rPr>
        <w:t>Por su parte, el Estado alega que la presente petición se sustenta sobre los argumentos que tuvo en cuenta el juez de primera instancia para absolver al señor González Arango, los cuales, fueron puntualm</w:t>
      </w:r>
      <w:r w:rsidR="00C87628">
        <w:rPr>
          <w:rFonts w:ascii="Cambria" w:hAnsi="Cambria"/>
          <w:sz w:val="20"/>
          <w:szCs w:val="20"/>
          <w:lang w:val="es-AR"/>
        </w:rPr>
        <w:t>ente rebatidos en derecho por el tribunal de</w:t>
      </w:r>
      <w:r w:rsidRPr="002A6BA5">
        <w:rPr>
          <w:rFonts w:ascii="Cambria" w:hAnsi="Cambria"/>
          <w:sz w:val="20"/>
          <w:szCs w:val="20"/>
          <w:lang w:val="es-AR"/>
        </w:rPr>
        <w:t xml:space="preserve"> segunda instancia.</w:t>
      </w:r>
      <w:r w:rsidR="00C87628">
        <w:rPr>
          <w:rFonts w:ascii="Cambria" w:hAnsi="Cambria"/>
          <w:sz w:val="20"/>
          <w:szCs w:val="20"/>
          <w:lang w:val="es-AR"/>
        </w:rPr>
        <w:t xml:space="preserve"> Resalta que e</w:t>
      </w:r>
      <w:r w:rsidRPr="002A6BA5">
        <w:rPr>
          <w:rFonts w:ascii="Cambria" w:hAnsi="Cambria"/>
          <w:sz w:val="20"/>
          <w:szCs w:val="20"/>
          <w:lang w:val="es-AR"/>
        </w:rPr>
        <w:t xml:space="preserve">l Tribunal Superior de Bucaramanga le otorgó plena credibilidad a la narrativa de los testigos en razón a que la misma fue concordante y coherente con la acusación formulada, dicha sentencia se </w:t>
      </w:r>
      <w:r>
        <w:rPr>
          <w:rFonts w:ascii="Cambria" w:hAnsi="Cambria"/>
          <w:sz w:val="20"/>
          <w:szCs w:val="20"/>
          <w:lang w:val="es-AR"/>
        </w:rPr>
        <w:t>encontraba debidamente fundada</w:t>
      </w:r>
      <w:r w:rsidRPr="002A6BA5">
        <w:rPr>
          <w:rFonts w:ascii="Cambria" w:hAnsi="Cambria"/>
          <w:sz w:val="20"/>
          <w:szCs w:val="20"/>
          <w:lang w:val="es-AR"/>
        </w:rPr>
        <w:t>, dando lugar a la condena de la presunta víctima.</w:t>
      </w:r>
      <w:r w:rsidR="00AF695E">
        <w:rPr>
          <w:rFonts w:ascii="Cambria" w:hAnsi="Cambria"/>
          <w:sz w:val="20"/>
          <w:szCs w:val="20"/>
          <w:lang w:val="es-AR"/>
        </w:rPr>
        <w:t xml:space="preserve"> Agrega que conforme a los criterios que preveía el orden jurídico vigente el Tribunal determinó que no era viable cuestionar la credibilidad de la información suministrada por los testigos por su condición de “reintegrados” puesto que la regla de la experiencia concerniente a valorar la personalidad de los declarantes no era un postulado absoluto sino que debía ceder cuando los hechos se podían inferir como ciertos pues “lo contrario dejaría de lado la posibilidad de conocer un delito como el de la especia por meras circunstancias de formalidad, cuando ha de prevalecer la sustancia”.</w:t>
      </w:r>
    </w:p>
    <w:p w14:paraId="410F6395" w14:textId="5A973599" w:rsidR="002A6BA5" w:rsidRPr="002A6BA5" w:rsidRDefault="007F54FB" w:rsidP="002A6BA5">
      <w:pPr>
        <w:numPr>
          <w:ilvl w:val="0"/>
          <w:numId w:val="55"/>
        </w:numPr>
        <w:suppressAutoHyphens/>
        <w:spacing w:after="120"/>
        <w:jc w:val="both"/>
        <w:rPr>
          <w:rFonts w:ascii="Cambria" w:hAnsi="Cambria"/>
          <w:sz w:val="20"/>
          <w:szCs w:val="20"/>
          <w:lang w:val="es-AR"/>
        </w:rPr>
      </w:pPr>
      <w:r>
        <w:rPr>
          <w:rFonts w:ascii="Cambria" w:hAnsi="Cambria"/>
          <w:sz w:val="20"/>
          <w:szCs w:val="20"/>
          <w:lang w:val="es-AR"/>
        </w:rPr>
        <w:t xml:space="preserve">Considera </w:t>
      </w:r>
      <w:r w:rsidR="002A6BA5" w:rsidRPr="002A6BA5">
        <w:rPr>
          <w:rFonts w:ascii="Cambria" w:hAnsi="Cambria"/>
          <w:sz w:val="20"/>
          <w:szCs w:val="20"/>
          <w:lang w:val="es-AR"/>
        </w:rPr>
        <w:t>que</w:t>
      </w:r>
      <w:r w:rsidR="00107009">
        <w:rPr>
          <w:rFonts w:ascii="Cambria" w:hAnsi="Cambria"/>
          <w:sz w:val="20"/>
          <w:szCs w:val="20"/>
          <w:lang w:val="es-AR"/>
        </w:rPr>
        <w:t xml:space="preserve"> de acuerdo a la “fórmula de la cuarta instancia”</w:t>
      </w:r>
      <w:r w:rsidR="002A6BA5" w:rsidRPr="002A6BA5">
        <w:rPr>
          <w:rFonts w:ascii="Cambria" w:hAnsi="Cambria"/>
          <w:sz w:val="20"/>
          <w:szCs w:val="20"/>
          <w:lang w:val="es-AR"/>
        </w:rPr>
        <w:t xml:space="preserve"> la admisibilidad de una petición </w:t>
      </w:r>
      <w:r>
        <w:rPr>
          <w:rFonts w:ascii="Cambria" w:hAnsi="Cambria"/>
          <w:sz w:val="20"/>
          <w:szCs w:val="20"/>
          <w:lang w:val="es-AR"/>
        </w:rPr>
        <w:t xml:space="preserve">que reclame sobre el </w:t>
      </w:r>
      <w:r w:rsidR="002A6BA5" w:rsidRPr="002A6BA5">
        <w:rPr>
          <w:rFonts w:ascii="Cambria" w:hAnsi="Cambria"/>
          <w:sz w:val="20"/>
          <w:szCs w:val="20"/>
          <w:lang w:val="es-AR"/>
        </w:rPr>
        <w:t>contenido de una sentencia adoptada en el seno de la jurisdicción interna, solo será posible c</w:t>
      </w:r>
      <w:r w:rsidR="002A6BA5">
        <w:rPr>
          <w:rFonts w:ascii="Cambria" w:hAnsi="Cambria"/>
          <w:sz w:val="20"/>
          <w:szCs w:val="20"/>
          <w:lang w:val="es-AR"/>
        </w:rPr>
        <w:t>u</w:t>
      </w:r>
      <w:r w:rsidR="002A6BA5" w:rsidRPr="002A6BA5">
        <w:rPr>
          <w:rFonts w:ascii="Cambria" w:hAnsi="Cambria"/>
          <w:sz w:val="20"/>
          <w:szCs w:val="20"/>
          <w:lang w:val="es-AR"/>
        </w:rPr>
        <w:t>ando el fallo cuestionado presente graves vicios que lo descalifiquen como acto jurisdiccional, por resultar contrario a las garantías consagradas</w:t>
      </w:r>
      <w:r>
        <w:rPr>
          <w:rFonts w:ascii="Cambria" w:hAnsi="Cambria"/>
          <w:sz w:val="20"/>
          <w:szCs w:val="20"/>
          <w:lang w:val="es-AR"/>
        </w:rPr>
        <w:t xml:space="preserve"> en la Convención. Sostiene que, sin embargo, </w:t>
      </w:r>
      <w:r w:rsidR="002A6BA5" w:rsidRPr="002A6BA5">
        <w:rPr>
          <w:rFonts w:ascii="Cambria" w:hAnsi="Cambria"/>
          <w:sz w:val="20"/>
          <w:szCs w:val="20"/>
          <w:lang w:val="es-AR"/>
        </w:rPr>
        <w:t xml:space="preserve">la presente petición se encuentra fundada en discrepancias frente a la interpretación de las normas aplicadas, o en la valoración de las pruebas practicadas en el curso de los recursos promovidos, por lo tanto es manifiestamente infundada en razón a la naturaleza subsidiaria y complementaria del sistema de protección interamericano, el cual no es una instancia procesal que posibilite la reconsideración de los puntos de hecho y derecho sobre los que exista inconformidad. </w:t>
      </w:r>
    </w:p>
    <w:p w14:paraId="6A015CCB" w14:textId="0C470531" w:rsidR="002A6BA5" w:rsidRPr="002A6BA5" w:rsidRDefault="002A6BA5" w:rsidP="002A6BA5">
      <w:pPr>
        <w:numPr>
          <w:ilvl w:val="0"/>
          <w:numId w:val="55"/>
        </w:numPr>
        <w:suppressAutoHyphens/>
        <w:spacing w:after="120"/>
        <w:jc w:val="both"/>
        <w:rPr>
          <w:rFonts w:asciiTheme="majorHAnsi" w:hAnsiTheme="majorHAnsi"/>
          <w:b/>
          <w:bCs/>
          <w:sz w:val="20"/>
          <w:szCs w:val="20"/>
          <w:lang w:val="es-ES"/>
        </w:rPr>
      </w:pPr>
      <w:r w:rsidRPr="002A6BA5">
        <w:rPr>
          <w:rFonts w:ascii="Cambria" w:hAnsi="Cambria"/>
          <w:sz w:val="20"/>
          <w:szCs w:val="20"/>
          <w:lang w:val="es-AR"/>
        </w:rPr>
        <w:t xml:space="preserve">Por lo </w:t>
      </w:r>
      <w:r w:rsidR="009075A7" w:rsidRPr="002A6BA5">
        <w:rPr>
          <w:rFonts w:ascii="Cambria" w:hAnsi="Cambria"/>
          <w:sz w:val="20"/>
          <w:szCs w:val="20"/>
          <w:lang w:val="es-AR"/>
        </w:rPr>
        <w:t>tanto,</w:t>
      </w:r>
      <w:r w:rsidRPr="002A6BA5">
        <w:rPr>
          <w:rFonts w:ascii="Cambria" w:hAnsi="Cambria"/>
          <w:sz w:val="20"/>
          <w:szCs w:val="20"/>
          <w:lang w:val="es-AR"/>
        </w:rPr>
        <w:t xml:space="preserve"> sostiene que el sometimiento del presente asunto al examen de la </w:t>
      </w:r>
      <w:r w:rsidR="009075A7" w:rsidRPr="002A6BA5">
        <w:rPr>
          <w:rFonts w:ascii="Cambria" w:hAnsi="Cambria"/>
          <w:sz w:val="20"/>
          <w:szCs w:val="20"/>
          <w:lang w:val="es-AR"/>
        </w:rPr>
        <w:t>Comisión, cuando</w:t>
      </w:r>
      <w:r w:rsidRPr="002A6BA5">
        <w:rPr>
          <w:rFonts w:ascii="Cambria" w:hAnsi="Cambria"/>
          <w:sz w:val="20"/>
          <w:szCs w:val="20"/>
          <w:lang w:val="es-AR"/>
        </w:rPr>
        <w:t xml:space="preserve"> habido un correcto agotamiento de recursos, adecuado y eficaz, para el tratamiento del delito que vincula a la presunta víctima, excluye la naturaleza subsidiaria y c</w:t>
      </w:r>
      <w:r w:rsidR="00871359">
        <w:rPr>
          <w:rFonts w:ascii="Cambria" w:hAnsi="Cambria"/>
          <w:sz w:val="20"/>
          <w:szCs w:val="20"/>
          <w:lang w:val="es-AR"/>
        </w:rPr>
        <w:t>omplementaria de la Comisión, d</w:t>
      </w:r>
      <w:r w:rsidRPr="002A6BA5">
        <w:rPr>
          <w:rFonts w:ascii="Cambria" w:hAnsi="Cambria"/>
          <w:sz w:val="20"/>
          <w:szCs w:val="20"/>
          <w:lang w:val="es-AR"/>
        </w:rPr>
        <w:t>ado que el recurso penal fue surtido con observancia del pleno de garantías constitucionales y convencionales.</w:t>
      </w:r>
      <w:r w:rsidR="007F54FB">
        <w:rPr>
          <w:rFonts w:ascii="Cambria" w:hAnsi="Cambria"/>
          <w:sz w:val="20"/>
          <w:szCs w:val="20"/>
          <w:lang w:val="es-AR"/>
        </w:rPr>
        <w:t xml:space="preserve"> También destaca que la jurisdicción </w:t>
      </w:r>
      <w:r w:rsidR="009075A7">
        <w:rPr>
          <w:rFonts w:ascii="Cambria" w:hAnsi="Cambria"/>
          <w:sz w:val="20"/>
          <w:szCs w:val="20"/>
          <w:lang w:val="es-AR"/>
        </w:rPr>
        <w:t>colombiana</w:t>
      </w:r>
      <w:r w:rsidR="007F54FB">
        <w:rPr>
          <w:rFonts w:ascii="Cambria" w:hAnsi="Cambria"/>
          <w:sz w:val="20"/>
          <w:szCs w:val="20"/>
          <w:lang w:val="es-AR"/>
        </w:rPr>
        <w:t xml:space="preserve"> proveía a la presunta víctima de recursos adecuados y efectivos a los que podía haber acudido, tales como la acción de habeas corpus (si consideraba que su detención era ilegitima), la acción de tutela, si lo que pretendía era la protección de derechos fundamentales que consideraba le estaban siendo vulnerados y la acción de tutela contra providencia judicial por medio de la cual se hubiera podido revisar la decisión.</w:t>
      </w:r>
    </w:p>
    <w:p w14:paraId="3FE6F5AE" w14:textId="5151C85D" w:rsidR="004C616A" w:rsidRPr="00006B74" w:rsidRDefault="002A6BA5" w:rsidP="002A6BA5">
      <w:pP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 </w:t>
      </w:r>
      <w:r w:rsidR="004C616A" w:rsidRPr="00006B74">
        <w:rPr>
          <w:rFonts w:asciiTheme="majorHAnsi" w:hAnsiTheme="majorHAnsi"/>
          <w:b/>
          <w:bCs/>
          <w:sz w:val="20"/>
          <w:szCs w:val="20"/>
          <w:lang w:val="es-ES"/>
        </w:rPr>
        <w:t xml:space="preserve">VI. </w:t>
      </w:r>
      <w:r w:rsidR="004C616A" w:rsidRPr="00006B74">
        <w:rPr>
          <w:rFonts w:asciiTheme="majorHAnsi" w:hAnsiTheme="majorHAnsi"/>
          <w:b/>
          <w:bCs/>
          <w:sz w:val="20"/>
          <w:szCs w:val="20"/>
          <w:lang w:val="es-ES"/>
        </w:rPr>
        <w:tab/>
        <w:t>AGOTAMIENTO DE LOS RECURSOS INTERNOS Y PLAZO DE PRESENTACIÓN</w:t>
      </w:r>
    </w:p>
    <w:p w14:paraId="062A661C" w14:textId="70CBFBE1" w:rsidR="00004713" w:rsidRDefault="00004713" w:rsidP="00004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Comisión toma nota que ambas partes coinciden en que la presunta víctima fue condenada y sentenciada a 81 meses de prisión </w:t>
      </w:r>
      <w:r w:rsidR="009F734C">
        <w:rPr>
          <w:rFonts w:ascii="Cambria" w:hAnsi="Cambria"/>
          <w:sz w:val="20"/>
          <w:szCs w:val="20"/>
          <w:lang w:val="es-ES"/>
        </w:rPr>
        <w:t xml:space="preserve">y al pago de </w:t>
      </w:r>
      <w:r>
        <w:rPr>
          <w:rFonts w:ascii="Cambria" w:hAnsi="Cambria"/>
          <w:sz w:val="20"/>
          <w:szCs w:val="20"/>
          <w:lang w:val="es-ES"/>
        </w:rPr>
        <w:t>una multa</w:t>
      </w:r>
      <w:r w:rsidR="009F734C">
        <w:rPr>
          <w:rFonts w:ascii="Cambria" w:hAnsi="Cambria"/>
          <w:sz w:val="20"/>
          <w:szCs w:val="20"/>
          <w:lang w:val="es-ES"/>
        </w:rPr>
        <w:t>,</w:t>
      </w:r>
      <w:r>
        <w:rPr>
          <w:rFonts w:ascii="Cambria" w:hAnsi="Cambria"/>
          <w:sz w:val="20"/>
          <w:szCs w:val="20"/>
          <w:lang w:val="es-ES"/>
        </w:rPr>
        <w:t xml:space="preserve"> y que dicha condena fue impuesta por la Sala Penal del Tribunal Superior del Distrito de Bucaramanga el </w:t>
      </w:r>
      <w:r w:rsidRPr="00004713">
        <w:rPr>
          <w:rFonts w:ascii="Cambria" w:hAnsi="Cambria"/>
          <w:sz w:val="20"/>
          <w:szCs w:val="20"/>
          <w:lang w:val="es-ES"/>
        </w:rPr>
        <w:t>24 de febrero de 2009</w:t>
      </w:r>
      <w:r w:rsidR="009F734C">
        <w:rPr>
          <w:rFonts w:ascii="Cambria" w:hAnsi="Cambria"/>
          <w:sz w:val="20"/>
          <w:szCs w:val="20"/>
          <w:lang w:val="es-ES"/>
        </w:rPr>
        <w:t>. F</w:t>
      </w:r>
      <w:r>
        <w:rPr>
          <w:rFonts w:ascii="Cambria" w:hAnsi="Cambria"/>
          <w:sz w:val="20"/>
          <w:szCs w:val="20"/>
          <w:lang w:val="es-ES"/>
        </w:rPr>
        <w:t xml:space="preserve">rente a esa sentencia se impuso un recurso extraordinario de casación ante la Corte Suprema de Colombia, </w:t>
      </w:r>
      <w:r w:rsidR="009F734C">
        <w:rPr>
          <w:rFonts w:ascii="Cambria" w:hAnsi="Cambria"/>
          <w:sz w:val="20"/>
          <w:szCs w:val="20"/>
          <w:lang w:val="es-ES"/>
        </w:rPr>
        <w:t xml:space="preserve">que </w:t>
      </w:r>
      <w:r>
        <w:rPr>
          <w:rFonts w:ascii="Cambria" w:hAnsi="Cambria"/>
          <w:sz w:val="20"/>
          <w:szCs w:val="20"/>
          <w:lang w:val="es-ES"/>
        </w:rPr>
        <w:t xml:space="preserve">desestimó el recurso el </w:t>
      </w:r>
      <w:r w:rsidRPr="00004713">
        <w:rPr>
          <w:rFonts w:ascii="Cambria" w:hAnsi="Cambria"/>
          <w:sz w:val="20"/>
          <w:szCs w:val="20"/>
          <w:lang w:val="es-ES"/>
        </w:rPr>
        <w:t>9 de diciembre de 2009</w:t>
      </w:r>
      <w:r>
        <w:rPr>
          <w:rFonts w:ascii="Cambria" w:hAnsi="Cambria"/>
          <w:sz w:val="20"/>
          <w:szCs w:val="20"/>
          <w:lang w:val="es-ES"/>
        </w:rPr>
        <w:t>.</w:t>
      </w:r>
      <w:r w:rsidR="007B11C8">
        <w:rPr>
          <w:rFonts w:ascii="Cambria" w:hAnsi="Cambria"/>
          <w:sz w:val="20"/>
          <w:szCs w:val="20"/>
          <w:lang w:val="es-ES"/>
        </w:rPr>
        <w:t xml:space="preserve"> El Estado </w:t>
      </w:r>
      <w:r w:rsidR="00D21B18">
        <w:rPr>
          <w:rFonts w:ascii="Cambria" w:hAnsi="Cambria"/>
          <w:sz w:val="20"/>
          <w:szCs w:val="20"/>
          <w:lang w:val="es-ES"/>
        </w:rPr>
        <w:t>ha indicado que los recursos de habeas corpus, tutela y tutela contra providencia judicial no han sido agotados.</w:t>
      </w:r>
    </w:p>
    <w:p w14:paraId="4BA457DC" w14:textId="4B9AC6EA" w:rsidR="00D21B18" w:rsidRPr="00211731" w:rsidRDefault="00AB14BB" w:rsidP="00004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6E4E96">
        <w:rPr>
          <w:rFonts w:asciiTheme="majorHAnsi" w:hAnsiTheme="majorHAnsi"/>
          <w:sz w:val="20"/>
          <w:szCs w:val="20"/>
          <w:lang w:val="es-ES"/>
        </w:rPr>
        <w:lastRenderedPageBreak/>
        <w:t xml:space="preserve">La Comisión observa que la parte peticionaria ha reclamado que el sistema doméstico no garantizaba que una persona que </w:t>
      </w:r>
      <w:r w:rsidR="005D13F3">
        <w:rPr>
          <w:rFonts w:asciiTheme="majorHAnsi" w:hAnsiTheme="majorHAnsi"/>
          <w:sz w:val="20"/>
          <w:szCs w:val="20"/>
          <w:lang w:val="es-ES"/>
        </w:rPr>
        <w:t>hubiese sido</w:t>
      </w:r>
      <w:r w:rsidRPr="006E4E96">
        <w:rPr>
          <w:rFonts w:asciiTheme="majorHAnsi" w:hAnsiTheme="majorHAnsi"/>
          <w:sz w:val="20"/>
          <w:szCs w:val="20"/>
          <w:lang w:val="es-ES"/>
        </w:rPr>
        <w:t xml:space="preserve"> detenida (en la</w:t>
      </w:r>
      <w:r w:rsidR="00B415FE" w:rsidRPr="006E4E96">
        <w:rPr>
          <w:rFonts w:asciiTheme="majorHAnsi" w:hAnsiTheme="majorHAnsi"/>
          <w:sz w:val="20"/>
          <w:szCs w:val="20"/>
          <w:lang w:val="es-ES"/>
        </w:rPr>
        <w:t>s</w:t>
      </w:r>
      <w:r w:rsidRPr="006E4E96">
        <w:rPr>
          <w:rFonts w:asciiTheme="majorHAnsi" w:hAnsiTheme="majorHAnsi"/>
          <w:sz w:val="20"/>
          <w:szCs w:val="20"/>
          <w:lang w:val="es-ES"/>
        </w:rPr>
        <w:t xml:space="preserve"> condiciones en que lo fue la presunta víctima) fuera pre</w:t>
      </w:r>
      <w:r w:rsidR="00B415FE" w:rsidRPr="006E4E96">
        <w:rPr>
          <w:rFonts w:asciiTheme="majorHAnsi" w:hAnsiTheme="majorHAnsi"/>
          <w:sz w:val="20"/>
          <w:szCs w:val="20"/>
          <w:lang w:val="es-ES"/>
        </w:rPr>
        <w:t>sentada sin demora ante una autoridad judicial. En este sentido, la Comisión recuerda que ya ha expresado que “</w:t>
      </w:r>
      <w:r w:rsidR="00B415FE" w:rsidRPr="006E4E96">
        <w:rPr>
          <w:rFonts w:asciiTheme="majorHAnsi" w:hAnsiTheme="majorHAnsi"/>
          <w:sz w:val="20"/>
          <w:szCs w:val="20"/>
          <w:lang w:val="es-PA"/>
        </w:rPr>
        <w:t>de acuerdo con el régimen establecido por la Convención Americana, el control judicial efectivo de la detención o aprehensión de una persona implica dos deberes fundamentales por parte del Estado –independientes y complementarios entre sí–: la obligación de presentar al detenido sin demora ante una autoridad judicial u otra autorizada para ejercer funciones judiciales (artículo 7.5), y el deber de permitir el acceso inmediato del detenido a una autoridad judicial competente que revise sin demora la legalidad de la detención, es decir, el hábeas corpus o exhibición personal (artículo 7.6)</w:t>
      </w:r>
      <w:r w:rsidR="006E4E96">
        <w:rPr>
          <w:rFonts w:asciiTheme="majorHAnsi" w:hAnsiTheme="majorHAnsi"/>
          <w:sz w:val="20"/>
          <w:szCs w:val="20"/>
          <w:lang w:val="es-PA"/>
        </w:rPr>
        <w:t>”</w:t>
      </w:r>
      <w:r w:rsidR="006E4E96">
        <w:rPr>
          <w:rStyle w:val="FootnoteReference"/>
          <w:rFonts w:asciiTheme="majorHAnsi" w:hAnsiTheme="majorHAnsi"/>
          <w:sz w:val="20"/>
          <w:szCs w:val="20"/>
          <w:lang w:val="es-PA"/>
        </w:rPr>
        <w:footnoteReference w:id="9"/>
      </w:r>
      <w:r w:rsidR="00B415FE" w:rsidRPr="006E4E96">
        <w:rPr>
          <w:rFonts w:asciiTheme="majorHAnsi" w:hAnsiTheme="majorHAnsi"/>
          <w:sz w:val="20"/>
          <w:szCs w:val="20"/>
          <w:lang w:val="es-PA"/>
        </w:rPr>
        <w:t>.</w:t>
      </w:r>
      <w:r w:rsidR="005D13F3">
        <w:rPr>
          <w:rFonts w:asciiTheme="majorHAnsi" w:hAnsiTheme="majorHAnsi"/>
          <w:sz w:val="20"/>
          <w:szCs w:val="20"/>
          <w:lang w:val="es-PA"/>
        </w:rPr>
        <w:t xml:space="preserve"> Dado que la garantía </w:t>
      </w:r>
      <w:r w:rsidR="004D4DEE">
        <w:rPr>
          <w:rFonts w:asciiTheme="majorHAnsi" w:hAnsiTheme="majorHAnsi"/>
          <w:sz w:val="20"/>
          <w:szCs w:val="20"/>
          <w:lang w:val="es-PA"/>
        </w:rPr>
        <w:t>cuyo incumplimiento reclama la parte peticionaria</w:t>
      </w:r>
      <w:r w:rsidR="005D13F3">
        <w:rPr>
          <w:rFonts w:asciiTheme="majorHAnsi" w:hAnsiTheme="majorHAnsi"/>
          <w:sz w:val="20"/>
          <w:szCs w:val="20"/>
          <w:lang w:val="es-PA"/>
        </w:rPr>
        <w:t xml:space="preserve"> es independiente y complementaria a la garantía de solicitar la revisión judicial de la legalidad de la detención mediante acción de habeas corpus, la Comisión estima que la acción de habeas corpus no hubiera constituido un recurso idóneo para que este reclamo de la parte peticionaria fuera atendido a nivel doméstico.</w:t>
      </w:r>
    </w:p>
    <w:p w14:paraId="64C31EF3" w14:textId="44B14734" w:rsidR="00211731" w:rsidRPr="00D43661" w:rsidRDefault="004D4DEE" w:rsidP="00D436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211731">
        <w:rPr>
          <w:rFonts w:asciiTheme="majorHAnsi" w:hAnsiTheme="majorHAnsi"/>
          <w:sz w:val="20"/>
          <w:szCs w:val="20"/>
          <w:lang w:val="es-PA"/>
        </w:rPr>
        <w:t>En cuanto a la alegada falta de agotamiento de las acciones de tutela o tutela contra providencia judicial</w:t>
      </w:r>
      <w:r w:rsidR="00211731" w:rsidRPr="00211731">
        <w:rPr>
          <w:rFonts w:asciiTheme="majorHAnsi" w:hAnsiTheme="majorHAnsi"/>
          <w:sz w:val="20"/>
          <w:szCs w:val="20"/>
          <w:lang w:val="es-PA"/>
        </w:rPr>
        <w:t xml:space="preserve"> la Comisión recuerda que “</w:t>
      </w:r>
      <w:r w:rsidR="00211731" w:rsidRPr="00211731">
        <w:rPr>
          <w:rFonts w:asciiTheme="majorHAnsi" w:hAnsiTheme="majorHAnsi" w:cs="Calibri"/>
          <w:sz w:val="20"/>
          <w:szCs w:val="20"/>
          <w:lang w:val="es-ES"/>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211731" w:rsidRPr="00F25C03">
        <w:rPr>
          <w:rStyle w:val="FootnoteReference"/>
          <w:rFonts w:asciiTheme="majorHAnsi" w:hAnsiTheme="majorHAnsi" w:cs="Calibri"/>
          <w:sz w:val="20"/>
          <w:szCs w:val="20"/>
          <w:lang w:val="es-ES"/>
        </w:rPr>
        <w:footnoteReference w:id="10"/>
      </w:r>
      <w:r w:rsidR="00211731" w:rsidRPr="00211731">
        <w:rPr>
          <w:rFonts w:asciiTheme="majorHAnsi" w:hAnsiTheme="majorHAnsi" w:cs="Calibri"/>
          <w:sz w:val="20"/>
          <w:szCs w:val="20"/>
          <w:lang w:val="es-ES"/>
        </w:rPr>
        <w:t xml:space="preserve"> y que ya ha determinado que no es exigible el agotamiento de recursos internos que sean ineficaces</w:t>
      </w:r>
      <w:r w:rsidR="00211731">
        <w:rPr>
          <w:rStyle w:val="FootnoteReference"/>
          <w:rFonts w:ascii="Univers" w:hAnsi="Univers"/>
          <w:sz w:val="20"/>
          <w:szCs w:val="20"/>
          <w:lang w:val="es-ES"/>
        </w:rPr>
        <w:footnoteReference w:id="11"/>
      </w:r>
      <w:r w:rsidR="00211731" w:rsidRPr="00211731">
        <w:rPr>
          <w:rFonts w:asciiTheme="majorHAnsi" w:hAnsiTheme="majorHAnsi" w:cs="Calibri"/>
          <w:sz w:val="20"/>
          <w:szCs w:val="20"/>
          <w:lang w:val="es-ES"/>
        </w:rPr>
        <w:t>.</w:t>
      </w:r>
      <w:r w:rsidR="00211731" w:rsidRPr="00211731">
        <w:rPr>
          <w:rFonts w:asciiTheme="majorHAnsi" w:hAnsiTheme="majorHAnsi"/>
          <w:sz w:val="20"/>
          <w:szCs w:val="20"/>
          <w:lang w:val="es-PA"/>
        </w:rPr>
        <w:t xml:space="preserve"> L</w:t>
      </w:r>
      <w:r w:rsidRPr="00211731">
        <w:rPr>
          <w:rFonts w:asciiTheme="majorHAnsi" w:hAnsiTheme="majorHAnsi"/>
          <w:sz w:val="20"/>
          <w:szCs w:val="20"/>
          <w:lang w:val="es-PA"/>
        </w:rPr>
        <w:t>a Comisión observa que la parte peticionaria ha indicado y el Estado no ha controvertido que la jurisprudencia doméstica ya se había pronunciado reiteradamente en el sentido de que la imposibilidad de contrainterrogar testigos en la fase juicio y de recurrir una decisión co</w:t>
      </w:r>
      <w:r w:rsidR="00211731">
        <w:rPr>
          <w:rFonts w:asciiTheme="majorHAnsi" w:hAnsiTheme="majorHAnsi"/>
          <w:sz w:val="20"/>
          <w:szCs w:val="20"/>
          <w:lang w:val="es-PA"/>
        </w:rPr>
        <w:t>ndenatoria de segunda instancia  (</w:t>
      </w:r>
      <w:r w:rsidRPr="00211731">
        <w:rPr>
          <w:rFonts w:asciiTheme="majorHAnsi" w:hAnsiTheme="majorHAnsi"/>
          <w:sz w:val="20"/>
          <w:szCs w:val="20"/>
          <w:lang w:val="es-PA"/>
        </w:rPr>
        <w:t>luego de que la de primera instancia fuera absolutoria</w:t>
      </w:r>
      <w:r w:rsidR="00367D17">
        <w:rPr>
          <w:rFonts w:asciiTheme="majorHAnsi" w:hAnsiTheme="majorHAnsi"/>
          <w:sz w:val="20"/>
          <w:szCs w:val="20"/>
          <w:lang w:val="es-PA"/>
        </w:rPr>
        <w:t>)</w:t>
      </w:r>
      <w:r w:rsidRPr="00211731">
        <w:rPr>
          <w:rFonts w:asciiTheme="majorHAnsi" w:hAnsiTheme="majorHAnsi"/>
          <w:sz w:val="20"/>
          <w:szCs w:val="20"/>
          <w:lang w:val="es-PA"/>
        </w:rPr>
        <w:t xml:space="preserve"> no constituyen violaciones </w:t>
      </w:r>
      <w:r w:rsidR="00367D17">
        <w:rPr>
          <w:rFonts w:asciiTheme="majorHAnsi" w:hAnsiTheme="majorHAnsi"/>
          <w:sz w:val="20"/>
          <w:szCs w:val="20"/>
          <w:lang w:val="es-PA"/>
        </w:rPr>
        <w:t>al debido proceso</w:t>
      </w:r>
      <w:r w:rsidRPr="00211731">
        <w:rPr>
          <w:rFonts w:asciiTheme="majorHAnsi" w:hAnsiTheme="majorHAnsi"/>
          <w:sz w:val="20"/>
          <w:szCs w:val="20"/>
          <w:lang w:val="es-PA"/>
        </w:rPr>
        <w:t xml:space="preserve">. </w:t>
      </w:r>
      <w:r w:rsidR="005E4C8B" w:rsidRPr="00211731">
        <w:rPr>
          <w:rFonts w:asciiTheme="majorHAnsi" w:hAnsiTheme="majorHAnsi"/>
          <w:sz w:val="20"/>
          <w:szCs w:val="20"/>
          <w:lang w:val="es-PA"/>
        </w:rPr>
        <w:t>En estas condiciones,</w:t>
      </w:r>
      <w:r w:rsidR="00211731">
        <w:rPr>
          <w:rFonts w:asciiTheme="majorHAnsi" w:hAnsiTheme="majorHAnsi"/>
          <w:sz w:val="20"/>
          <w:szCs w:val="20"/>
          <w:lang w:val="es-PA"/>
        </w:rPr>
        <w:t xml:space="preserve"> la Comisión estima </w:t>
      </w:r>
      <w:r w:rsidR="00367D17">
        <w:rPr>
          <w:rFonts w:asciiTheme="majorHAnsi" w:hAnsiTheme="majorHAnsi"/>
          <w:sz w:val="20"/>
          <w:szCs w:val="20"/>
          <w:lang w:val="es-PA"/>
        </w:rPr>
        <w:t>que el Estado tuvo oportunidad razonable de remediar los reclamos planteados por el peticionario y que no puede considerarse, para efectos de admisibilidad, que las acciones de tutela o de tutela contra providencia judicial tuvieran razonables perspectivas de éxito a la luz de la sostenida jurisprudencia doméstica</w:t>
      </w:r>
      <w:r w:rsidR="00367D17">
        <w:rPr>
          <w:rStyle w:val="FootnoteReference"/>
          <w:rFonts w:asciiTheme="majorHAnsi" w:hAnsiTheme="majorHAnsi"/>
          <w:sz w:val="20"/>
          <w:szCs w:val="20"/>
          <w:lang w:val="es-PA"/>
        </w:rPr>
        <w:footnoteReference w:id="12"/>
      </w:r>
      <w:r w:rsidR="00367D17">
        <w:rPr>
          <w:rFonts w:asciiTheme="majorHAnsi" w:hAnsiTheme="majorHAnsi"/>
          <w:sz w:val="20"/>
          <w:szCs w:val="20"/>
          <w:lang w:val="es-PA"/>
        </w:rPr>
        <w:t>.</w:t>
      </w:r>
    </w:p>
    <w:p w14:paraId="7B73A43F" w14:textId="4E4C0336" w:rsidR="00004713" w:rsidRPr="00FD1C1D" w:rsidRDefault="00D43661" w:rsidP="00FD1C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Por estas razones, la Comisión concluye que los recursos internos fueron agotados con la decisión emitida por la Corte Suprema de Justicia el 9 de diciembre de 2009 desestimando el recurso de casación interpuesto por el peticionario y que la </w:t>
      </w:r>
      <w:r w:rsidR="00004713" w:rsidRPr="00FD1C1D">
        <w:rPr>
          <w:rFonts w:ascii="Cambria" w:hAnsi="Cambria"/>
          <w:sz w:val="20"/>
          <w:szCs w:val="20"/>
          <w:lang w:val="es-ES"/>
        </w:rPr>
        <w:t>presente petición cumple con los requisitos de agotamiento de los recursos internos y presentación dentro de plazo en los términos de los artículos 46.1(a) y (b) de la Convención Americana</w:t>
      </w:r>
      <w:r>
        <w:rPr>
          <w:rFonts w:ascii="Cambria" w:hAnsi="Cambria"/>
          <w:sz w:val="20"/>
          <w:szCs w:val="20"/>
          <w:lang w:val="es-ES"/>
        </w:rPr>
        <w:t>.</w:t>
      </w:r>
    </w:p>
    <w:p w14:paraId="7090A929" w14:textId="1E70F608" w:rsidR="00F04591" w:rsidRPr="00006B74" w:rsidRDefault="00004713" w:rsidP="0000471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 </w:t>
      </w:r>
      <w:r w:rsidR="00F04591"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00F04591" w:rsidRPr="00006B74">
        <w:rPr>
          <w:rFonts w:asciiTheme="majorHAnsi" w:hAnsiTheme="majorHAnsi"/>
          <w:b/>
          <w:bCs/>
          <w:sz w:val="20"/>
          <w:szCs w:val="20"/>
          <w:lang w:val="es-ES"/>
        </w:rPr>
        <w:t xml:space="preserve">I. </w:t>
      </w:r>
      <w:r w:rsidR="00F04591" w:rsidRPr="00006B74">
        <w:rPr>
          <w:rFonts w:asciiTheme="majorHAnsi" w:hAnsiTheme="majorHAnsi"/>
          <w:b/>
          <w:bCs/>
          <w:sz w:val="20"/>
          <w:szCs w:val="20"/>
          <w:lang w:val="es-ES"/>
        </w:rPr>
        <w:tab/>
        <w:t>CARACTERIZACIÓN</w:t>
      </w:r>
    </w:p>
    <w:p w14:paraId="09DC4CDB" w14:textId="32B49D5F" w:rsidR="00D43661" w:rsidRDefault="0066069F" w:rsidP="000047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observa que la presente petición incluye alegaciones con respecto</w:t>
      </w:r>
      <w:r w:rsidR="00D43661">
        <w:rPr>
          <w:rFonts w:ascii="Cambria" w:hAnsi="Cambria"/>
          <w:sz w:val="20"/>
          <w:szCs w:val="20"/>
          <w:lang w:val="es-ES"/>
        </w:rPr>
        <w:t xml:space="preserve"> </w:t>
      </w:r>
      <w:r w:rsidR="000207B7">
        <w:rPr>
          <w:rFonts w:ascii="Cambria" w:hAnsi="Cambria"/>
          <w:sz w:val="20"/>
          <w:szCs w:val="20"/>
          <w:lang w:val="es-ES"/>
        </w:rPr>
        <w:t xml:space="preserve">a </w:t>
      </w:r>
      <w:r w:rsidR="00D43661">
        <w:rPr>
          <w:rFonts w:ascii="Cambria" w:hAnsi="Cambria"/>
          <w:sz w:val="20"/>
          <w:szCs w:val="20"/>
          <w:lang w:val="es-ES"/>
        </w:rPr>
        <w:t xml:space="preserve">que la presunta víctima fue </w:t>
      </w:r>
      <w:r w:rsidR="00D575BC">
        <w:rPr>
          <w:rFonts w:ascii="Cambria" w:hAnsi="Cambria"/>
          <w:sz w:val="20"/>
          <w:szCs w:val="20"/>
          <w:lang w:val="es-ES"/>
        </w:rPr>
        <w:t xml:space="preserve">condenada en </w:t>
      </w:r>
      <w:r w:rsidR="00D43661">
        <w:rPr>
          <w:rFonts w:ascii="Cambria" w:hAnsi="Cambria"/>
          <w:sz w:val="20"/>
          <w:szCs w:val="20"/>
          <w:lang w:val="es-ES"/>
        </w:rPr>
        <w:t xml:space="preserve">un proceso penal como represalia por su actividad como defensor de derechos humanos y con la finalidad de </w:t>
      </w:r>
      <w:r w:rsidR="00F04C7A">
        <w:rPr>
          <w:rFonts w:ascii="Cambria" w:hAnsi="Cambria"/>
          <w:sz w:val="20"/>
          <w:szCs w:val="20"/>
          <w:lang w:val="es-ES"/>
        </w:rPr>
        <w:t xml:space="preserve">afectar su trabajo como defensor de derechos humanos, </w:t>
      </w:r>
      <w:r w:rsidR="000207B7">
        <w:rPr>
          <w:rFonts w:ascii="Cambria" w:hAnsi="Cambria"/>
          <w:sz w:val="20"/>
          <w:szCs w:val="20"/>
          <w:lang w:val="es-ES"/>
        </w:rPr>
        <w:t>silenciar su</w:t>
      </w:r>
      <w:r w:rsidR="00F04C7A">
        <w:rPr>
          <w:rFonts w:ascii="Cambria" w:hAnsi="Cambria"/>
          <w:sz w:val="20"/>
          <w:szCs w:val="20"/>
          <w:lang w:val="es-ES"/>
        </w:rPr>
        <w:t xml:space="preserve"> ejercicio de la libertad de expresión a través de la protesta,</w:t>
      </w:r>
      <w:r w:rsidR="000207B7">
        <w:rPr>
          <w:rFonts w:ascii="Cambria" w:hAnsi="Cambria"/>
          <w:sz w:val="20"/>
          <w:szCs w:val="20"/>
          <w:lang w:val="es-ES"/>
        </w:rPr>
        <w:t xml:space="preserve"> </w:t>
      </w:r>
      <w:r w:rsidR="00D43661">
        <w:rPr>
          <w:rFonts w:ascii="Cambria" w:hAnsi="Cambria"/>
          <w:sz w:val="20"/>
          <w:szCs w:val="20"/>
          <w:lang w:val="es-ES"/>
        </w:rPr>
        <w:t>afec</w:t>
      </w:r>
      <w:r w:rsidR="00D575BC">
        <w:rPr>
          <w:rFonts w:ascii="Cambria" w:hAnsi="Cambria"/>
          <w:sz w:val="20"/>
          <w:szCs w:val="20"/>
          <w:lang w:val="es-ES"/>
        </w:rPr>
        <w:t xml:space="preserve">tar su credibilidad </w:t>
      </w:r>
      <w:r w:rsidR="00F04C7A">
        <w:rPr>
          <w:rFonts w:ascii="Cambria" w:hAnsi="Cambria"/>
          <w:sz w:val="20"/>
          <w:szCs w:val="20"/>
          <w:lang w:val="es-ES"/>
        </w:rPr>
        <w:t>e</w:t>
      </w:r>
      <w:r w:rsidR="000207B7">
        <w:rPr>
          <w:rFonts w:ascii="Cambria" w:hAnsi="Cambria"/>
          <w:sz w:val="20"/>
          <w:szCs w:val="20"/>
          <w:lang w:val="es-ES"/>
        </w:rPr>
        <w:t xml:space="preserve">  inhibir a otras personas de manifestar libremente sus ideas.</w:t>
      </w:r>
      <w:r w:rsidR="00D575BC">
        <w:rPr>
          <w:rFonts w:ascii="Cambria" w:hAnsi="Cambria"/>
          <w:sz w:val="20"/>
          <w:szCs w:val="20"/>
          <w:lang w:val="es-ES"/>
        </w:rPr>
        <w:t>; que se le vulneró el debido proceso por que no se le concedió la oportunidad de contrainterrogar los testigos en cuyo testimonio se basó su condena, que luego de su detención no fue presentado ante una autoridad con funciones judiciales sin demora; y que el sistema doméstico no le garantizó su derecho a obtener una revisión integral del fallo condenatorio.</w:t>
      </w:r>
    </w:p>
    <w:p w14:paraId="60482CEC" w14:textId="2C830FCC" w:rsidR="002E6E36" w:rsidRDefault="002E6E36" w:rsidP="002E6E3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p>
    <w:p w14:paraId="14C4E5CE" w14:textId="0F78BED2" w:rsidR="00107009" w:rsidRPr="0066069F" w:rsidRDefault="0066069F" w:rsidP="0010700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66069F">
        <w:rPr>
          <w:rFonts w:asciiTheme="majorHAnsi" w:hAnsiTheme="majorHAnsi"/>
          <w:sz w:val="20"/>
          <w:szCs w:val="20"/>
          <w:lang w:val="es-ES"/>
        </w:rPr>
        <w:lastRenderedPageBreak/>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945886" w:rsidRPr="0066069F">
        <w:rPr>
          <w:rFonts w:asciiTheme="majorHAnsi" w:hAnsiTheme="majorHAnsi"/>
          <w:sz w:val="20"/>
          <w:szCs w:val="20"/>
          <w:lang w:val="es-ES"/>
        </w:rPr>
        <w:t>7 (libertad personal), 8 (garantías judiciales), 11 (protección de la honra y dignidad),</w:t>
      </w:r>
      <w:r w:rsidR="002E6E36" w:rsidRPr="0066069F">
        <w:rPr>
          <w:rFonts w:asciiTheme="majorHAnsi" w:hAnsiTheme="majorHAnsi"/>
          <w:sz w:val="20"/>
          <w:szCs w:val="20"/>
          <w:lang w:val="es-ES"/>
        </w:rPr>
        <w:t xml:space="preserve"> 13 (libertad de expresión), 16 (libertad de asociación)</w:t>
      </w:r>
      <w:r w:rsidR="00945886" w:rsidRPr="0066069F">
        <w:rPr>
          <w:rFonts w:asciiTheme="majorHAnsi" w:hAnsiTheme="majorHAnsi"/>
          <w:sz w:val="20"/>
          <w:szCs w:val="20"/>
          <w:lang w:val="es-ES"/>
        </w:rPr>
        <w:t xml:space="preserve">  y 25 (protección judicial) de la Convención Americana sobre Derechos Humanos</w:t>
      </w:r>
      <w:r w:rsidR="002E6E36" w:rsidRPr="0066069F">
        <w:rPr>
          <w:rFonts w:asciiTheme="majorHAnsi" w:hAnsiTheme="majorHAnsi"/>
          <w:sz w:val="20"/>
          <w:szCs w:val="20"/>
          <w:lang w:val="es-ES"/>
        </w:rPr>
        <w:t xml:space="preserve"> en relación con sus artículos 1.1. (obligación de respetar los derechos) y 2 (deber de adoptar disposiciones de derecho interno).</w:t>
      </w:r>
    </w:p>
    <w:p w14:paraId="260DCC32" w14:textId="77777777" w:rsidR="0004364E" w:rsidRDefault="0004364E" w:rsidP="0004364E">
      <w:pPr>
        <w:pStyle w:val="ListParagraph"/>
        <w:rPr>
          <w:sz w:val="20"/>
          <w:szCs w:val="20"/>
          <w:lang w:val="es-ES"/>
        </w:rPr>
      </w:pPr>
    </w:p>
    <w:p w14:paraId="159B82C7" w14:textId="014D74F5" w:rsidR="0004364E" w:rsidRPr="0004364E" w:rsidRDefault="0004364E" w:rsidP="0004364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sidRPr="0004364E">
        <w:rPr>
          <w:rFonts w:ascii="Cambria" w:hAnsi="Cambria" w:cs="Calibri"/>
          <w:sz w:val="20"/>
          <w:szCs w:val="20"/>
          <w:lang w:val="es-ES_tradnl"/>
        </w:rPr>
        <w:t xml:space="preserve">Respecto a los alegatos del Estado referidos a la fórmula de cuarta instancia, la Comisión </w:t>
      </w:r>
      <w:r w:rsidR="00C01A1D">
        <w:rPr>
          <w:rFonts w:ascii="Cambria" w:hAnsi="Cambria" w:cs="Calibri"/>
          <w:sz w:val="20"/>
          <w:szCs w:val="20"/>
          <w:lang w:val="es-ES_tradnl"/>
        </w:rPr>
        <w:t>reitera</w:t>
      </w:r>
      <w:r>
        <w:rPr>
          <w:rFonts w:ascii="Cambria" w:hAnsi="Cambria" w:cs="Calibri"/>
          <w:sz w:val="20"/>
          <w:szCs w:val="20"/>
          <w:lang w:val="es-ES_tradnl"/>
        </w:rPr>
        <w:t xml:space="preserve"> que ya ha establecido </w:t>
      </w:r>
      <w:r w:rsidR="00C01A1D">
        <w:rPr>
          <w:rFonts w:ascii="Cambria" w:hAnsi="Cambria" w:cs="Calibri"/>
          <w:sz w:val="20"/>
          <w:szCs w:val="20"/>
          <w:lang w:val="es-ES_tradnl"/>
        </w:rPr>
        <w:t xml:space="preserve">que </w:t>
      </w:r>
      <w:r>
        <w:rPr>
          <w:rFonts w:ascii="Cambria" w:eastAsia="Batang" w:hAnsi="Cambria" w:cs="Calibri"/>
          <w:bCs/>
          <w:spacing w:val="-2"/>
          <w:sz w:val="20"/>
          <w:szCs w:val="20"/>
          <w:lang w:val="es-ES_tradnl"/>
        </w:rPr>
        <w:t xml:space="preserve">es competente </w:t>
      </w:r>
      <w:r w:rsidRPr="00FC2B4A">
        <w:rPr>
          <w:rFonts w:ascii="Cambria" w:eastAsia="Batang" w:hAnsi="Cambria" w:cs="Calibri"/>
          <w:bCs/>
          <w:sz w:val="20"/>
          <w:szCs w:val="20"/>
          <w:lang w:val="es-MX"/>
        </w:rPr>
        <w:t>para declarar admisible una petición y fallar sobre su fundamento cuando ésta se refiere a una sentencia judicial nacional que ha sido dictada al margen del debido proceso o que aparentemente viola cualquier otro derech</w:t>
      </w:r>
      <w:r>
        <w:rPr>
          <w:rFonts w:ascii="Cambria" w:eastAsia="Batang" w:hAnsi="Cambria" w:cs="Calibri"/>
          <w:bCs/>
          <w:sz w:val="20"/>
          <w:szCs w:val="20"/>
          <w:lang w:val="es-MX"/>
        </w:rPr>
        <w:t>o garantizado por la Convención</w:t>
      </w:r>
      <w:r w:rsidR="00E81364" w:rsidRPr="00FC2B4A">
        <w:rPr>
          <w:rStyle w:val="FootnoteReference"/>
          <w:rFonts w:ascii="Cambria" w:eastAsia="Batang" w:hAnsi="Cambria" w:cs="Calibri"/>
          <w:bCs/>
          <w:sz w:val="20"/>
          <w:szCs w:val="20"/>
          <w:lang w:val="es-MX"/>
        </w:rPr>
        <w:footnoteReference w:id="13"/>
      </w:r>
      <w:r w:rsidR="00E81364">
        <w:rPr>
          <w:rFonts w:ascii="Cambria" w:eastAsia="Batang" w:hAnsi="Cambria" w:cs="Calibri"/>
          <w:bCs/>
          <w:sz w:val="20"/>
          <w:szCs w:val="20"/>
          <w:lang w:val="es-MX"/>
        </w:rPr>
        <w:t>.</w:t>
      </w:r>
      <w:r>
        <w:rPr>
          <w:rFonts w:ascii="Cambria" w:hAnsi="Cambria" w:cs="Calibri"/>
          <w:sz w:val="20"/>
          <w:szCs w:val="20"/>
          <w:lang w:val="es-ES_tradnl"/>
        </w:rPr>
        <w:t xml:space="preserve"> </w:t>
      </w:r>
    </w:p>
    <w:p w14:paraId="29BB41F5" w14:textId="5C7F2AD8" w:rsidR="003239B8" w:rsidRPr="0004364E" w:rsidRDefault="00EC72AB" w:rsidP="000436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sz w:val="20"/>
          <w:szCs w:val="20"/>
          <w:lang w:val="es-ES"/>
        </w:rPr>
      </w:pPr>
      <w:r w:rsidRPr="0004364E">
        <w:rPr>
          <w:rFonts w:asciiTheme="majorHAnsi" w:hAnsiTheme="majorHAnsi"/>
          <w:b/>
          <w:bCs/>
          <w:sz w:val="20"/>
          <w:szCs w:val="20"/>
          <w:lang w:val="es-ES"/>
        </w:rPr>
        <w:t>VI</w:t>
      </w:r>
      <w:r w:rsidR="00F04591" w:rsidRPr="0004364E">
        <w:rPr>
          <w:rFonts w:asciiTheme="majorHAnsi" w:hAnsiTheme="majorHAnsi"/>
          <w:b/>
          <w:bCs/>
          <w:sz w:val="20"/>
          <w:szCs w:val="20"/>
          <w:lang w:val="es-ES"/>
        </w:rPr>
        <w:t>II</w:t>
      </w:r>
      <w:r w:rsidR="003239B8" w:rsidRPr="0004364E">
        <w:rPr>
          <w:rFonts w:asciiTheme="majorHAnsi" w:hAnsiTheme="majorHAnsi"/>
          <w:b/>
          <w:bCs/>
          <w:sz w:val="20"/>
          <w:szCs w:val="20"/>
          <w:lang w:val="es-ES"/>
        </w:rPr>
        <w:t xml:space="preserve">. </w:t>
      </w:r>
      <w:r w:rsidR="003239B8" w:rsidRPr="0004364E">
        <w:rPr>
          <w:rFonts w:asciiTheme="majorHAnsi" w:hAnsiTheme="majorHAnsi"/>
          <w:b/>
          <w:bCs/>
          <w:sz w:val="20"/>
          <w:szCs w:val="20"/>
          <w:lang w:val="es-ES"/>
        </w:rPr>
        <w:tab/>
        <w:t>DECISIÓN</w:t>
      </w:r>
    </w:p>
    <w:p w14:paraId="0FDE1D10" w14:textId="53163DB0" w:rsidR="003239B8" w:rsidRPr="00006B74"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Declarar admisible la presente petición en relación con</w:t>
      </w:r>
      <w:r w:rsidR="003A6337" w:rsidRPr="00006B74">
        <w:rPr>
          <w:rFonts w:asciiTheme="majorHAnsi" w:hAnsiTheme="majorHAnsi"/>
          <w:sz w:val="20"/>
          <w:szCs w:val="20"/>
          <w:lang w:val="es-ES"/>
        </w:rPr>
        <w:t xml:space="preserve"> los </w:t>
      </w:r>
      <w:r w:rsidR="003A6337" w:rsidRPr="00006B74">
        <w:rPr>
          <w:rFonts w:ascii="Cambria" w:hAnsi="Cambria"/>
          <w:bCs/>
          <w:sz w:val="20"/>
          <w:szCs w:val="20"/>
          <w:lang w:val="es-ES"/>
        </w:rPr>
        <w:t xml:space="preserve">artículos </w:t>
      </w:r>
      <w:r w:rsidR="00E81364">
        <w:rPr>
          <w:rFonts w:ascii="Cambria" w:hAnsi="Cambria"/>
          <w:bCs/>
          <w:sz w:val="20"/>
          <w:szCs w:val="20"/>
          <w:lang w:val="es-ES"/>
        </w:rPr>
        <w:t xml:space="preserve">7, 8, 11, 13, 16, y 25 de la Convención Americana en relación con sus artículos 1.1. y 2. </w:t>
      </w:r>
    </w:p>
    <w:p w14:paraId="4157390F" w14:textId="1C88F10E" w:rsidR="00D93A90" w:rsidRPr="008A169C"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las partes la presente decisión; </w:t>
      </w:r>
      <w:r w:rsidRPr="00945886">
        <w:rPr>
          <w:rFonts w:asciiTheme="majorHAnsi" w:hAnsiTheme="majorHAnsi"/>
          <w:sz w:val="20"/>
          <w:szCs w:val="20"/>
          <w:lang w:val="es-ES"/>
        </w:rPr>
        <w:t xml:space="preserve">continuar con el análisis del fondo de la cuestión;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664D5A0E" w14:textId="03994B3F" w:rsidR="008A169C" w:rsidRPr="00A37B82" w:rsidRDefault="008A169C" w:rsidP="008A169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C947895" w14:textId="77777777" w:rsidR="008A169C" w:rsidRPr="008E0FD8" w:rsidRDefault="008A169C" w:rsidP="004B003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p>
    <w:sectPr w:rsidR="008A169C" w:rsidRPr="008E0FD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C2E25" w14:textId="77777777" w:rsidR="00B35E8E" w:rsidRDefault="00B35E8E">
      <w:r>
        <w:separator/>
      </w:r>
    </w:p>
  </w:endnote>
  <w:endnote w:type="continuationSeparator" w:id="0">
    <w:p w14:paraId="7DD2267C" w14:textId="77777777" w:rsidR="00B35E8E" w:rsidRDefault="00B3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A4B80" w14:textId="77777777" w:rsidR="00880BD9" w:rsidRDefault="00880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97EA63C" w:rsidR="00D43661" w:rsidRPr="00934A2C" w:rsidRDefault="00D4366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747C">
          <w:rPr>
            <w:noProof/>
            <w:sz w:val="16"/>
            <w:szCs w:val="22"/>
          </w:rPr>
          <w:t>6</w:t>
        </w:r>
        <w:r w:rsidRPr="00934A2C">
          <w:rPr>
            <w:noProof/>
            <w:sz w:val="16"/>
            <w:szCs w:val="22"/>
          </w:rPr>
          <w:fldChar w:fldCharType="end"/>
        </w:r>
      </w:p>
    </w:sdtContent>
  </w:sdt>
  <w:p w14:paraId="68530E6A" w14:textId="77777777" w:rsidR="00D43661" w:rsidRDefault="00D43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D43661" w:rsidRPr="00934A2C" w:rsidRDefault="00D43661">
    <w:pPr>
      <w:pStyle w:val="Footer"/>
      <w:jc w:val="center"/>
      <w:rPr>
        <w:sz w:val="16"/>
        <w:szCs w:val="22"/>
      </w:rPr>
    </w:pPr>
  </w:p>
  <w:p w14:paraId="49059CE3" w14:textId="77777777" w:rsidR="00D43661" w:rsidRDefault="00D43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2D6F" w14:textId="77777777" w:rsidR="00B35E8E" w:rsidRPr="000F35ED" w:rsidRDefault="00B35E8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8E3A75F" w14:textId="77777777" w:rsidR="00B35E8E" w:rsidRPr="000F35ED" w:rsidRDefault="00B35E8E" w:rsidP="000F35ED">
      <w:pPr>
        <w:rPr>
          <w:rFonts w:asciiTheme="majorHAnsi" w:hAnsiTheme="majorHAnsi"/>
          <w:sz w:val="16"/>
          <w:szCs w:val="16"/>
        </w:rPr>
      </w:pPr>
      <w:r w:rsidRPr="000F35ED">
        <w:rPr>
          <w:rFonts w:asciiTheme="majorHAnsi" w:hAnsiTheme="majorHAnsi"/>
          <w:sz w:val="16"/>
          <w:szCs w:val="16"/>
        </w:rPr>
        <w:separator/>
      </w:r>
    </w:p>
    <w:p w14:paraId="6098BAD5" w14:textId="77777777" w:rsidR="00B35E8E" w:rsidRPr="000F35ED" w:rsidRDefault="00B35E8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EBBD20C" w14:textId="77777777" w:rsidR="00B35E8E" w:rsidRPr="000F35ED" w:rsidRDefault="00B35E8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3D2F5FA7" w:rsidR="00D43661" w:rsidRPr="00DE7D78" w:rsidRDefault="00D43661" w:rsidP="00060649">
      <w:pPr>
        <w:pStyle w:val="FootnoteText"/>
        <w:ind w:firstLine="720"/>
        <w:jc w:val="both"/>
        <w:rPr>
          <w:rFonts w:ascii="Cambria" w:hAnsi="Cambria"/>
          <w:sz w:val="16"/>
          <w:szCs w:val="16"/>
          <w:lang w:val="es-ES"/>
        </w:rPr>
      </w:pPr>
      <w:r w:rsidRPr="00DE7D78">
        <w:rPr>
          <w:rStyle w:val="FootnoteReference"/>
          <w:rFonts w:ascii="Cambria" w:hAnsi="Cambria"/>
          <w:sz w:val="16"/>
          <w:szCs w:val="16"/>
        </w:rPr>
        <w:footnoteRef/>
      </w:r>
      <w:r w:rsidRPr="00DE7D78">
        <w:rPr>
          <w:rFonts w:ascii="Cambria" w:hAnsi="Cambria"/>
          <w:sz w:val="16"/>
          <w:szCs w:val="16"/>
          <w:lang w:val="es-ES"/>
        </w:rPr>
        <w:t xml:space="preserve"> En adelante “la Convención Americana” o “la Convención”.</w:t>
      </w:r>
    </w:p>
  </w:footnote>
  <w:footnote w:id="3">
    <w:p w14:paraId="79F07139" w14:textId="77777777" w:rsidR="00D43661" w:rsidRPr="00DE7D78" w:rsidRDefault="00D43661" w:rsidP="00060649">
      <w:pPr>
        <w:pStyle w:val="FootnoteText"/>
        <w:ind w:firstLine="720"/>
        <w:jc w:val="both"/>
        <w:rPr>
          <w:rFonts w:ascii="Cambria" w:hAnsi="Cambria"/>
          <w:sz w:val="16"/>
          <w:szCs w:val="16"/>
          <w:lang w:val="es-ES"/>
        </w:rPr>
      </w:pPr>
      <w:r w:rsidRPr="00DE7D78">
        <w:rPr>
          <w:rStyle w:val="FootnoteReference"/>
          <w:rFonts w:ascii="Cambria" w:hAnsi="Cambria"/>
          <w:sz w:val="16"/>
          <w:szCs w:val="16"/>
        </w:rPr>
        <w:footnoteRef/>
      </w:r>
      <w:r w:rsidRPr="00DE7D78">
        <w:rPr>
          <w:rFonts w:ascii="Cambria" w:hAnsi="Cambria"/>
          <w:sz w:val="16"/>
          <w:szCs w:val="16"/>
          <w:lang w:val="es-ES"/>
        </w:rPr>
        <w:t xml:space="preserve"> Las observaciones de cada parte fueron debidamente trasladadas a la parte contraria.</w:t>
      </w:r>
    </w:p>
  </w:footnote>
  <w:footnote w:id="4">
    <w:p w14:paraId="16FD45F1" w14:textId="3207F49E" w:rsidR="00D43661" w:rsidRPr="00DE7D78" w:rsidRDefault="00D43661" w:rsidP="00060649">
      <w:pPr>
        <w:pStyle w:val="FootnoteText"/>
        <w:ind w:firstLine="720"/>
        <w:jc w:val="both"/>
        <w:rPr>
          <w:lang w:val="es-AR"/>
        </w:rPr>
      </w:pPr>
      <w:r w:rsidRPr="00DE7D78">
        <w:rPr>
          <w:rStyle w:val="FootnoteReference"/>
          <w:rFonts w:ascii="Cambria" w:hAnsi="Cambria"/>
          <w:sz w:val="16"/>
          <w:szCs w:val="16"/>
        </w:rPr>
        <w:footnoteRef/>
      </w:r>
      <w:r w:rsidRPr="00DE7D78">
        <w:rPr>
          <w:rFonts w:ascii="Cambria" w:hAnsi="Cambria"/>
          <w:sz w:val="16"/>
          <w:szCs w:val="16"/>
          <w:lang w:val="es-AR"/>
        </w:rPr>
        <w:t xml:space="preserve"> </w:t>
      </w:r>
      <w:r>
        <w:rPr>
          <w:rFonts w:ascii="Cambria" w:hAnsi="Cambria"/>
          <w:sz w:val="16"/>
          <w:szCs w:val="16"/>
          <w:lang w:val="es-AR"/>
        </w:rPr>
        <w:t xml:space="preserve">CIDH, Miembros del Comité de Solidaridad con los Presos Políticos, </w:t>
      </w:r>
      <w:r w:rsidRPr="005A6C02">
        <w:rPr>
          <w:rFonts w:ascii="Cambria" w:hAnsi="Cambria"/>
          <w:sz w:val="16"/>
          <w:szCs w:val="16"/>
          <w:lang w:val="es-AR"/>
        </w:rPr>
        <w:t>Medida C</w:t>
      </w:r>
      <w:r>
        <w:rPr>
          <w:rFonts w:ascii="Cambria" w:hAnsi="Cambria"/>
          <w:sz w:val="16"/>
          <w:szCs w:val="16"/>
          <w:lang w:val="es-AR"/>
        </w:rPr>
        <w:t xml:space="preserve">autelar N° 83-99.  </w:t>
      </w:r>
    </w:p>
  </w:footnote>
  <w:footnote w:id="5">
    <w:p w14:paraId="735F88F8" w14:textId="573AA4C8" w:rsidR="00D43661" w:rsidRPr="00984ACE" w:rsidRDefault="00D43661" w:rsidP="00984ACE">
      <w:pPr>
        <w:pStyle w:val="FootnoteText"/>
        <w:ind w:firstLine="720"/>
        <w:jc w:val="both"/>
        <w:rPr>
          <w:rFonts w:asciiTheme="majorHAnsi" w:hAnsiTheme="majorHAnsi"/>
          <w:sz w:val="16"/>
          <w:szCs w:val="16"/>
          <w:lang w:val="es-PA"/>
        </w:rPr>
      </w:pPr>
      <w:r>
        <w:rPr>
          <w:rStyle w:val="FootnoteReference"/>
        </w:rPr>
        <w:footnoteRef/>
      </w:r>
      <w:r w:rsidRPr="00984ACE">
        <w:rPr>
          <w:lang w:val="es-PA"/>
        </w:rPr>
        <w:t xml:space="preserve"> </w:t>
      </w:r>
      <w:r>
        <w:rPr>
          <w:rFonts w:asciiTheme="majorHAnsi" w:hAnsiTheme="majorHAnsi"/>
          <w:sz w:val="16"/>
          <w:szCs w:val="16"/>
          <w:lang w:val="es-PA"/>
        </w:rPr>
        <w:t xml:space="preserve">Cita Proceso No. 25066 Corte Suprema de Justicia. Sala de Casación Penal, Magistrado Ponente Julio Enrique </w:t>
      </w:r>
      <w:proofErr w:type="spellStart"/>
      <w:r>
        <w:rPr>
          <w:rFonts w:asciiTheme="majorHAnsi" w:hAnsiTheme="majorHAnsi"/>
          <w:sz w:val="16"/>
          <w:szCs w:val="16"/>
          <w:lang w:val="es-PA"/>
        </w:rPr>
        <w:t>Socha</w:t>
      </w:r>
      <w:proofErr w:type="spellEnd"/>
      <w:r>
        <w:rPr>
          <w:rFonts w:asciiTheme="majorHAnsi" w:hAnsiTheme="majorHAnsi"/>
          <w:sz w:val="16"/>
          <w:szCs w:val="16"/>
          <w:lang w:val="es-PA"/>
        </w:rPr>
        <w:t xml:space="preserve"> Salamanca, Aprobado Acta No. 191 (1 de julio de 2009), p. 23.</w:t>
      </w:r>
    </w:p>
  </w:footnote>
  <w:footnote w:id="6">
    <w:p w14:paraId="0B0DE602" w14:textId="306CDA1D" w:rsidR="00D43661" w:rsidRPr="00060649" w:rsidRDefault="00D43661" w:rsidP="00060649">
      <w:pPr>
        <w:pStyle w:val="FootnoteText"/>
        <w:ind w:firstLine="720"/>
        <w:jc w:val="both"/>
        <w:rPr>
          <w:rFonts w:asciiTheme="majorHAnsi" w:hAnsiTheme="majorHAnsi"/>
          <w:sz w:val="16"/>
          <w:szCs w:val="16"/>
          <w:lang w:val="es-PA"/>
        </w:rPr>
      </w:pPr>
      <w:r w:rsidRPr="00060649">
        <w:rPr>
          <w:rStyle w:val="FootnoteReference"/>
          <w:rFonts w:asciiTheme="majorHAnsi" w:hAnsiTheme="majorHAnsi"/>
          <w:sz w:val="16"/>
          <w:szCs w:val="16"/>
        </w:rPr>
        <w:footnoteRef/>
      </w:r>
      <w:r w:rsidRPr="00060649">
        <w:rPr>
          <w:rFonts w:asciiTheme="majorHAnsi" w:hAnsiTheme="majorHAnsi"/>
          <w:sz w:val="16"/>
          <w:szCs w:val="16"/>
          <w:lang w:val="es-PA"/>
        </w:rPr>
        <w:t xml:space="preserve"> </w:t>
      </w:r>
      <w:r>
        <w:rPr>
          <w:rFonts w:asciiTheme="majorHAnsi" w:hAnsiTheme="majorHAnsi"/>
          <w:sz w:val="16"/>
          <w:szCs w:val="16"/>
          <w:lang w:val="es-PA"/>
        </w:rPr>
        <w:t xml:space="preserve">Cita Corte IDH. Herrera </w:t>
      </w:r>
      <w:proofErr w:type="spellStart"/>
      <w:r>
        <w:rPr>
          <w:rFonts w:asciiTheme="majorHAnsi" w:hAnsiTheme="majorHAnsi"/>
          <w:sz w:val="16"/>
          <w:szCs w:val="16"/>
          <w:lang w:val="es-PA"/>
        </w:rPr>
        <w:t>Hulloa</w:t>
      </w:r>
      <w:proofErr w:type="spellEnd"/>
      <w:r>
        <w:rPr>
          <w:rFonts w:asciiTheme="majorHAnsi" w:hAnsiTheme="majorHAnsi"/>
          <w:sz w:val="16"/>
          <w:szCs w:val="16"/>
          <w:lang w:val="es-PA"/>
        </w:rPr>
        <w:t xml:space="preserve"> v. Costa Rica, Excepciones Preliminares, Fondo, Reparaciones y Costas. Sentencia de 2 de julio de 2004</w:t>
      </w:r>
    </w:p>
  </w:footnote>
  <w:footnote w:id="7">
    <w:p w14:paraId="47DA4744" w14:textId="3159388C" w:rsidR="00D43661" w:rsidRPr="007B11C8" w:rsidRDefault="00D43661" w:rsidP="007B11C8">
      <w:pPr>
        <w:pStyle w:val="FootnoteText"/>
        <w:ind w:firstLine="720"/>
        <w:jc w:val="both"/>
        <w:rPr>
          <w:rFonts w:asciiTheme="majorHAnsi" w:hAnsiTheme="majorHAnsi"/>
          <w:sz w:val="16"/>
          <w:szCs w:val="16"/>
          <w:lang w:val="es-PA"/>
        </w:rPr>
      </w:pPr>
      <w:r>
        <w:rPr>
          <w:rStyle w:val="FootnoteReference"/>
        </w:rPr>
        <w:footnoteRef/>
      </w:r>
      <w:r w:rsidRPr="007B11C8">
        <w:rPr>
          <w:lang w:val="es-PA"/>
        </w:rPr>
        <w:t xml:space="preserve"> </w:t>
      </w:r>
      <w:r>
        <w:rPr>
          <w:rFonts w:asciiTheme="majorHAnsi" w:hAnsiTheme="majorHAnsi"/>
          <w:sz w:val="16"/>
          <w:szCs w:val="16"/>
          <w:lang w:val="es-PA"/>
        </w:rPr>
        <w:t xml:space="preserve">Cita, Montealegre. Decisión de la Corte Constitucional de Colombia, Sentencia C-040 (2002). </w:t>
      </w:r>
    </w:p>
  </w:footnote>
  <w:footnote w:id="8">
    <w:p w14:paraId="3A42A704" w14:textId="77777777" w:rsidR="00D43661" w:rsidRPr="00DE7D78" w:rsidRDefault="00D43661" w:rsidP="0086141D">
      <w:pPr>
        <w:pStyle w:val="FootnoteText"/>
        <w:ind w:firstLine="720"/>
        <w:jc w:val="both"/>
        <w:rPr>
          <w:sz w:val="16"/>
          <w:szCs w:val="16"/>
          <w:lang w:val="es-AR"/>
        </w:rPr>
      </w:pPr>
      <w:r w:rsidRPr="00060649">
        <w:rPr>
          <w:rStyle w:val="FootnoteReference"/>
          <w:rFonts w:asciiTheme="majorHAnsi" w:hAnsiTheme="majorHAnsi" w:cs="Times New Roman"/>
          <w:sz w:val="16"/>
          <w:szCs w:val="16"/>
        </w:rPr>
        <w:footnoteRef/>
      </w:r>
      <w:r w:rsidRPr="00060649">
        <w:rPr>
          <w:rFonts w:asciiTheme="majorHAnsi" w:hAnsiTheme="majorHAnsi" w:cs="Times New Roman"/>
          <w:sz w:val="16"/>
          <w:szCs w:val="16"/>
          <w:lang w:val="es-AR"/>
        </w:rPr>
        <w:t xml:space="preserve"> Para que proceda la solicitud bajo el artículo 207 del Código de Procedimiento Penal de 2000, el </w:t>
      </w:r>
      <w:proofErr w:type="spellStart"/>
      <w:r w:rsidRPr="00060649">
        <w:rPr>
          <w:rFonts w:asciiTheme="majorHAnsi" w:hAnsiTheme="majorHAnsi" w:cs="Times New Roman"/>
          <w:sz w:val="16"/>
          <w:szCs w:val="16"/>
          <w:lang w:val="es-AR"/>
        </w:rPr>
        <w:t>casacionista</w:t>
      </w:r>
      <w:proofErr w:type="spellEnd"/>
      <w:r w:rsidRPr="00060649">
        <w:rPr>
          <w:rFonts w:asciiTheme="majorHAnsi" w:hAnsiTheme="majorHAnsi" w:cs="Times New Roman"/>
          <w:sz w:val="16"/>
          <w:szCs w:val="16"/>
          <w:lang w:val="es-AR"/>
        </w:rPr>
        <w:t xml:space="preserve"> debe sostener que la providencia demandada se emitió en un juicio viciado de nulidad, “por la comprobada existencia de irregularidades sustanciales que afectaron el debido proceso con incidencia directa en derecho de defensa material y técnica al haber sido proferida con base en declaraciones que nunca pudieron ser controvertidas”.</w:t>
      </w:r>
    </w:p>
  </w:footnote>
  <w:footnote w:id="9">
    <w:p w14:paraId="73F2634E" w14:textId="29F718E7" w:rsidR="00D43661" w:rsidRPr="00367D17" w:rsidRDefault="00D43661" w:rsidP="00367D17">
      <w:pPr>
        <w:pStyle w:val="FootnoteText"/>
        <w:ind w:firstLine="720"/>
        <w:jc w:val="both"/>
        <w:rPr>
          <w:rFonts w:asciiTheme="majorHAnsi" w:hAnsiTheme="majorHAnsi"/>
          <w:sz w:val="16"/>
          <w:szCs w:val="16"/>
          <w:lang w:val="es-PA"/>
        </w:rPr>
      </w:pPr>
      <w:r w:rsidRPr="00367D17">
        <w:rPr>
          <w:rStyle w:val="FootnoteReference"/>
          <w:rFonts w:asciiTheme="majorHAnsi" w:hAnsiTheme="majorHAnsi"/>
          <w:sz w:val="16"/>
          <w:szCs w:val="16"/>
        </w:rPr>
        <w:footnoteRef/>
      </w:r>
      <w:r w:rsidRPr="00367D17">
        <w:rPr>
          <w:rFonts w:asciiTheme="majorHAnsi" w:hAnsiTheme="majorHAnsi"/>
          <w:sz w:val="16"/>
          <w:szCs w:val="16"/>
          <w:lang w:val="es-PA"/>
        </w:rPr>
        <w:t xml:space="preserve"> CIDH, </w:t>
      </w:r>
      <w:hyperlink r:id="rId1" w:history="1">
        <w:r w:rsidRPr="00367D17">
          <w:rPr>
            <w:rStyle w:val="Hyperlink"/>
            <w:rFonts w:asciiTheme="majorHAnsi" w:eastAsia="Times New Roman" w:hAnsiTheme="majorHAnsi" w:cs="Times New Roman"/>
            <w:color w:val="auto"/>
            <w:sz w:val="16"/>
            <w:szCs w:val="16"/>
            <w:u w:val="none"/>
            <w:lang w:val="es-PA"/>
          </w:rPr>
          <w:t>Informe</w:t>
        </w:r>
      </w:hyperlink>
      <w:r w:rsidRPr="00367D17">
        <w:rPr>
          <w:rStyle w:val="Hyperlink"/>
          <w:rFonts w:asciiTheme="majorHAnsi" w:eastAsia="Times New Roman" w:hAnsiTheme="majorHAnsi" w:cs="Times New Roman"/>
          <w:color w:val="auto"/>
          <w:sz w:val="16"/>
          <w:szCs w:val="16"/>
          <w:u w:val="none"/>
          <w:lang w:val="es-PA"/>
        </w:rPr>
        <w:t xml:space="preserve"> Sobre los Derechos Humanos de las Personas Privadas de Libertad en las Américas</w:t>
      </w:r>
      <w:r w:rsidRPr="00367D17">
        <w:rPr>
          <w:rFonts w:asciiTheme="majorHAnsi" w:eastAsia="Times New Roman" w:hAnsiTheme="majorHAnsi" w:cs="Times New Roman"/>
          <w:sz w:val="16"/>
          <w:szCs w:val="16"/>
          <w:lang w:val="es-PA"/>
        </w:rPr>
        <w:t>, OEA/Ser.L/V/II.1Doc.64, 2011, Párr. 119.</w:t>
      </w:r>
    </w:p>
  </w:footnote>
  <w:footnote w:id="10">
    <w:p w14:paraId="573890E8" w14:textId="77777777" w:rsidR="00D43661" w:rsidRPr="00367D17" w:rsidRDefault="00D43661" w:rsidP="00367D17">
      <w:pPr>
        <w:pStyle w:val="FootnoteText"/>
        <w:ind w:firstLine="720"/>
        <w:jc w:val="both"/>
        <w:rPr>
          <w:rFonts w:asciiTheme="majorHAnsi" w:hAnsiTheme="majorHAnsi"/>
          <w:color w:val="000000" w:themeColor="text1"/>
          <w:sz w:val="16"/>
          <w:szCs w:val="16"/>
          <w:lang w:val="es-PA"/>
        </w:rPr>
      </w:pPr>
      <w:r w:rsidRPr="00367D17">
        <w:rPr>
          <w:rStyle w:val="FootnoteReference"/>
          <w:rFonts w:asciiTheme="majorHAnsi" w:hAnsiTheme="majorHAnsi"/>
          <w:color w:val="000000" w:themeColor="text1"/>
          <w:sz w:val="16"/>
          <w:szCs w:val="16"/>
        </w:rPr>
        <w:footnoteRef/>
      </w:r>
      <w:r w:rsidRPr="00367D17">
        <w:rPr>
          <w:rFonts w:asciiTheme="majorHAnsi" w:hAnsiTheme="majorHAnsi"/>
          <w:color w:val="000000" w:themeColor="text1"/>
          <w:sz w:val="16"/>
          <w:szCs w:val="16"/>
          <w:lang w:val="es-PA"/>
        </w:rPr>
        <w:t xml:space="preserve"> </w:t>
      </w:r>
      <w:r w:rsidRPr="00367D17">
        <w:rPr>
          <w:rFonts w:asciiTheme="majorHAnsi" w:hAnsiTheme="majorHAnsi"/>
          <w:color w:val="000000" w:themeColor="text1"/>
          <w:sz w:val="16"/>
          <w:szCs w:val="16"/>
          <w:lang w:val="es-ES"/>
        </w:rPr>
        <w:t>CIDH, Informe No. 16/18. Admisibilidad. Victoria Piedad Palacios Tejada de Saavedra. Perú. 24 de febrero de 2018, párr. 12.</w:t>
      </w:r>
    </w:p>
  </w:footnote>
  <w:footnote w:id="11">
    <w:p w14:paraId="3E69F58C" w14:textId="77777777" w:rsidR="00D43661" w:rsidRPr="00367D17" w:rsidRDefault="00D43661" w:rsidP="00367D17">
      <w:pPr>
        <w:pStyle w:val="FootnoteText"/>
        <w:ind w:firstLine="720"/>
        <w:jc w:val="both"/>
        <w:rPr>
          <w:rFonts w:asciiTheme="majorHAnsi" w:hAnsiTheme="majorHAnsi"/>
          <w:sz w:val="16"/>
          <w:szCs w:val="16"/>
          <w:lang w:val="es-MX"/>
        </w:rPr>
      </w:pPr>
      <w:r w:rsidRPr="00367D17">
        <w:rPr>
          <w:rStyle w:val="FootnoteReference"/>
          <w:rFonts w:asciiTheme="majorHAnsi" w:hAnsiTheme="majorHAnsi"/>
          <w:sz w:val="16"/>
          <w:szCs w:val="16"/>
        </w:rPr>
        <w:footnoteRef/>
      </w:r>
      <w:r w:rsidRPr="00367D17">
        <w:rPr>
          <w:rFonts w:asciiTheme="majorHAnsi" w:hAnsiTheme="majorHAnsi"/>
          <w:sz w:val="16"/>
          <w:szCs w:val="16"/>
          <w:lang w:val="es-MX"/>
        </w:rPr>
        <w:t xml:space="preserve"> CIDH, Informe 26/06, Petición 434-03, Admisibilidad, </w:t>
      </w:r>
      <w:proofErr w:type="spellStart"/>
      <w:r w:rsidRPr="00367D17">
        <w:rPr>
          <w:rFonts w:asciiTheme="majorHAnsi" w:hAnsiTheme="majorHAnsi"/>
          <w:i/>
          <w:sz w:val="16"/>
          <w:szCs w:val="16"/>
          <w:lang w:val="es-MX"/>
        </w:rPr>
        <w:t>Isamu</w:t>
      </w:r>
      <w:proofErr w:type="spellEnd"/>
      <w:r w:rsidRPr="00367D17">
        <w:rPr>
          <w:rFonts w:asciiTheme="majorHAnsi" w:hAnsiTheme="majorHAnsi"/>
          <w:i/>
          <w:sz w:val="16"/>
          <w:szCs w:val="16"/>
          <w:lang w:val="es-MX"/>
        </w:rPr>
        <w:t xml:space="preserve"> Carlos </w:t>
      </w:r>
      <w:proofErr w:type="spellStart"/>
      <w:r w:rsidRPr="00367D17">
        <w:rPr>
          <w:rFonts w:asciiTheme="majorHAnsi" w:hAnsiTheme="majorHAnsi"/>
          <w:i/>
          <w:sz w:val="16"/>
          <w:szCs w:val="16"/>
          <w:lang w:val="es-MX"/>
        </w:rPr>
        <w:t>Shibayama</w:t>
      </w:r>
      <w:proofErr w:type="spellEnd"/>
      <w:r w:rsidRPr="00367D17">
        <w:rPr>
          <w:rFonts w:asciiTheme="majorHAnsi" w:hAnsiTheme="majorHAnsi"/>
          <w:i/>
          <w:sz w:val="16"/>
          <w:szCs w:val="16"/>
          <w:lang w:val="es-MX"/>
        </w:rPr>
        <w:t xml:space="preserve"> y otros</w:t>
      </w:r>
      <w:r w:rsidRPr="00367D17">
        <w:rPr>
          <w:rFonts w:asciiTheme="majorHAnsi" w:hAnsiTheme="majorHAnsi"/>
          <w:sz w:val="16"/>
          <w:szCs w:val="16"/>
          <w:lang w:val="es-MX"/>
        </w:rPr>
        <w:t xml:space="preserve">, Estados Unidos, 16 de marzo de 2006, párr. 48; Informe No. 16/04, Petición 129-2002, Admisibilidad, </w:t>
      </w:r>
      <w:r w:rsidRPr="00367D17">
        <w:rPr>
          <w:rFonts w:asciiTheme="majorHAnsi" w:hAnsiTheme="majorHAnsi"/>
          <w:i/>
          <w:sz w:val="16"/>
          <w:szCs w:val="16"/>
          <w:lang w:val="es-MX"/>
        </w:rPr>
        <w:t xml:space="preserve">Tracy Lee </w:t>
      </w:r>
      <w:proofErr w:type="spellStart"/>
      <w:r w:rsidRPr="00367D17">
        <w:rPr>
          <w:rFonts w:asciiTheme="majorHAnsi" w:hAnsiTheme="majorHAnsi"/>
          <w:i/>
          <w:sz w:val="16"/>
          <w:szCs w:val="16"/>
          <w:lang w:val="es-MX"/>
        </w:rPr>
        <w:t>Housel</w:t>
      </w:r>
      <w:proofErr w:type="spellEnd"/>
      <w:r w:rsidRPr="00367D17">
        <w:rPr>
          <w:rFonts w:asciiTheme="majorHAnsi" w:hAnsiTheme="majorHAnsi"/>
          <w:sz w:val="16"/>
          <w:szCs w:val="16"/>
          <w:lang w:val="es-MX"/>
        </w:rPr>
        <w:t xml:space="preserve">, Estados Unidos, 27 de febrero de 2004, párrs. 34 y 36 e; Informe, No. 51/00, Caso 11.193, Admisibilidad, </w:t>
      </w:r>
      <w:r w:rsidRPr="00367D17">
        <w:rPr>
          <w:rFonts w:asciiTheme="majorHAnsi" w:hAnsiTheme="majorHAnsi"/>
          <w:i/>
          <w:sz w:val="16"/>
          <w:szCs w:val="16"/>
          <w:lang w:val="es-MX"/>
        </w:rPr>
        <w:t xml:space="preserve">Gary T. Graham actualmente conocido como </w:t>
      </w:r>
      <w:proofErr w:type="spellStart"/>
      <w:r w:rsidRPr="00367D17">
        <w:rPr>
          <w:rFonts w:asciiTheme="majorHAnsi" w:hAnsiTheme="majorHAnsi"/>
          <w:i/>
          <w:sz w:val="16"/>
          <w:szCs w:val="16"/>
          <w:lang w:val="es-MX"/>
        </w:rPr>
        <w:t>Shaka</w:t>
      </w:r>
      <w:proofErr w:type="spellEnd"/>
      <w:r w:rsidRPr="00367D17">
        <w:rPr>
          <w:rFonts w:asciiTheme="majorHAnsi" w:hAnsiTheme="majorHAnsi"/>
          <w:i/>
          <w:sz w:val="16"/>
          <w:szCs w:val="16"/>
          <w:lang w:val="es-MX"/>
        </w:rPr>
        <w:t xml:space="preserve"> </w:t>
      </w:r>
      <w:proofErr w:type="spellStart"/>
      <w:r w:rsidRPr="00367D17">
        <w:rPr>
          <w:rFonts w:asciiTheme="majorHAnsi" w:hAnsiTheme="majorHAnsi"/>
          <w:i/>
          <w:sz w:val="16"/>
          <w:szCs w:val="16"/>
          <w:lang w:val="es-MX"/>
        </w:rPr>
        <w:t>Sankofa</w:t>
      </w:r>
      <w:proofErr w:type="spellEnd"/>
      <w:r w:rsidRPr="00367D17">
        <w:rPr>
          <w:rFonts w:asciiTheme="majorHAnsi" w:hAnsiTheme="majorHAnsi"/>
          <w:sz w:val="16"/>
          <w:szCs w:val="16"/>
          <w:lang w:val="es-MX"/>
        </w:rPr>
        <w:t>, Estados Unidos, 15 de junio de 2000, párr. 60.</w:t>
      </w:r>
    </w:p>
  </w:footnote>
  <w:footnote w:id="12">
    <w:p w14:paraId="72A59673" w14:textId="45DFDD4A" w:rsidR="00D43661" w:rsidRPr="00367D17" w:rsidRDefault="00D43661" w:rsidP="00367D17">
      <w:pPr>
        <w:pStyle w:val="FootnoteText"/>
        <w:ind w:firstLine="720"/>
        <w:jc w:val="both"/>
        <w:rPr>
          <w:rFonts w:asciiTheme="majorHAnsi" w:hAnsiTheme="majorHAnsi"/>
          <w:sz w:val="16"/>
          <w:szCs w:val="16"/>
          <w:lang w:val="es-PA"/>
        </w:rPr>
      </w:pPr>
      <w:r w:rsidRPr="00367D17">
        <w:rPr>
          <w:rStyle w:val="FootnoteReference"/>
          <w:rFonts w:asciiTheme="majorHAnsi" w:hAnsiTheme="majorHAnsi"/>
          <w:sz w:val="16"/>
          <w:szCs w:val="16"/>
        </w:rPr>
        <w:footnoteRef/>
      </w:r>
      <w:r w:rsidRPr="00367D17">
        <w:rPr>
          <w:rFonts w:asciiTheme="majorHAnsi" w:hAnsiTheme="majorHAnsi"/>
          <w:sz w:val="16"/>
          <w:szCs w:val="16"/>
          <w:lang w:val="es-PA"/>
        </w:rPr>
        <w:t xml:space="preserve"> </w:t>
      </w:r>
      <w:r w:rsidRPr="00367D17">
        <w:rPr>
          <w:rFonts w:asciiTheme="majorHAnsi" w:hAnsiTheme="majorHAnsi"/>
          <w:color w:val="000000" w:themeColor="text1"/>
          <w:sz w:val="16"/>
          <w:szCs w:val="16"/>
          <w:lang w:val="es-PA"/>
        </w:rPr>
        <w:t xml:space="preserve">CIDH, </w:t>
      </w:r>
      <w:r w:rsidRPr="00367D17">
        <w:rPr>
          <w:rFonts w:asciiTheme="majorHAnsi" w:hAnsiTheme="majorHAnsi"/>
          <w:color w:val="000000" w:themeColor="text1"/>
          <w:sz w:val="16"/>
          <w:szCs w:val="16"/>
          <w:lang w:val="es-ES"/>
        </w:rPr>
        <w:t xml:space="preserve">Informe Nº 18/12 (Admisibilidad), Petición 161-06, Adolescentes condenados a cadena perpetua sin libertad condicional, Estado Unidos, 20 de marzo de 2012, párr. 57; </w:t>
      </w:r>
      <w:r w:rsidRPr="00367D17">
        <w:rPr>
          <w:rFonts w:asciiTheme="majorHAnsi" w:hAnsiTheme="majorHAnsi"/>
          <w:sz w:val="16"/>
          <w:szCs w:val="16"/>
          <w:lang w:val="es-PA"/>
        </w:rPr>
        <w:t xml:space="preserve">CIDH, Informe No. 73/19. Admisibilidad. Santiago Efraín Velázquez Coello y Jorge Guillermo Alvear Macías. Ecuador. </w:t>
      </w:r>
      <w:r w:rsidRPr="0066069F">
        <w:rPr>
          <w:rFonts w:asciiTheme="majorHAnsi" w:hAnsiTheme="majorHAnsi"/>
          <w:sz w:val="16"/>
          <w:szCs w:val="16"/>
          <w:lang w:val="es-PA"/>
        </w:rPr>
        <w:t>19 de mayo de 2019, párr 16.</w:t>
      </w:r>
    </w:p>
  </w:footnote>
  <w:footnote w:id="13">
    <w:p w14:paraId="19F36462" w14:textId="1B95EEE6" w:rsidR="00E81364" w:rsidRPr="006132CC" w:rsidRDefault="00E81364" w:rsidP="00E81364">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64/14</w:t>
      </w:r>
      <w:r>
        <w:rPr>
          <w:rFonts w:ascii="Cambria" w:hAnsi="Cambria"/>
          <w:sz w:val="16"/>
          <w:szCs w:val="16"/>
          <w:lang w:val="es-ES"/>
        </w:rPr>
        <w:t>, Petición 806-06</w:t>
      </w:r>
      <w:r w:rsidRPr="006132CC">
        <w:rPr>
          <w:rFonts w:ascii="Cambria" w:hAnsi="Cambria"/>
          <w:sz w:val="16"/>
          <w:szCs w:val="16"/>
          <w:lang w:val="es-ES"/>
        </w:rPr>
        <w:t>. Admisibilidad. Laureano Brizuela Wilde. México. 25 de julio de 2014,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D43661" w:rsidRDefault="00D43661"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43661" w:rsidRDefault="00D43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D43661" w:rsidRDefault="00D4366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43661" w:rsidRPr="00EC7D62" w:rsidRDefault="00B35E8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C771" w14:textId="77777777" w:rsidR="00880BD9" w:rsidRDefault="00880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713"/>
    <w:rsid w:val="000065D0"/>
    <w:rsid w:val="00006B74"/>
    <w:rsid w:val="00006E1F"/>
    <w:rsid w:val="000070D7"/>
    <w:rsid w:val="000104F5"/>
    <w:rsid w:val="00011F3E"/>
    <w:rsid w:val="00015701"/>
    <w:rsid w:val="0001758A"/>
    <w:rsid w:val="0001788C"/>
    <w:rsid w:val="000207B7"/>
    <w:rsid w:val="0002186F"/>
    <w:rsid w:val="000242BD"/>
    <w:rsid w:val="000337EF"/>
    <w:rsid w:val="00034010"/>
    <w:rsid w:val="00040C3A"/>
    <w:rsid w:val="000419AD"/>
    <w:rsid w:val="0004364E"/>
    <w:rsid w:val="00060649"/>
    <w:rsid w:val="000716C5"/>
    <w:rsid w:val="00075E23"/>
    <w:rsid w:val="00087D19"/>
    <w:rsid w:val="0009006E"/>
    <w:rsid w:val="0009344A"/>
    <w:rsid w:val="00097E1C"/>
    <w:rsid w:val="000A19F8"/>
    <w:rsid w:val="000A3254"/>
    <w:rsid w:val="000A392E"/>
    <w:rsid w:val="000A575F"/>
    <w:rsid w:val="000A63D0"/>
    <w:rsid w:val="000B0579"/>
    <w:rsid w:val="000C1C69"/>
    <w:rsid w:val="000C3A31"/>
    <w:rsid w:val="000D10DB"/>
    <w:rsid w:val="000E2789"/>
    <w:rsid w:val="000E5EB5"/>
    <w:rsid w:val="000F0B08"/>
    <w:rsid w:val="000F35ED"/>
    <w:rsid w:val="00107009"/>
    <w:rsid w:val="00107131"/>
    <w:rsid w:val="0010736F"/>
    <w:rsid w:val="00111A8A"/>
    <w:rsid w:val="00113F73"/>
    <w:rsid w:val="00121CC2"/>
    <w:rsid w:val="0012779F"/>
    <w:rsid w:val="00131D8B"/>
    <w:rsid w:val="00133EE5"/>
    <w:rsid w:val="00136E3D"/>
    <w:rsid w:val="00143EFE"/>
    <w:rsid w:val="001479C0"/>
    <w:rsid w:val="0015330B"/>
    <w:rsid w:val="00161278"/>
    <w:rsid w:val="00167A34"/>
    <w:rsid w:val="00176BB3"/>
    <w:rsid w:val="00177EEF"/>
    <w:rsid w:val="001A7870"/>
    <w:rsid w:val="001B3A00"/>
    <w:rsid w:val="001B4C00"/>
    <w:rsid w:val="001C1455"/>
    <w:rsid w:val="001C1B41"/>
    <w:rsid w:val="001D65EF"/>
    <w:rsid w:val="001E49E7"/>
    <w:rsid w:val="001F271B"/>
    <w:rsid w:val="001F7201"/>
    <w:rsid w:val="00204931"/>
    <w:rsid w:val="00211731"/>
    <w:rsid w:val="0021779A"/>
    <w:rsid w:val="00223A29"/>
    <w:rsid w:val="00223BAA"/>
    <w:rsid w:val="002250A3"/>
    <w:rsid w:val="00231294"/>
    <w:rsid w:val="00233654"/>
    <w:rsid w:val="00235217"/>
    <w:rsid w:val="002355A9"/>
    <w:rsid w:val="00242D18"/>
    <w:rsid w:val="00244A1A"/>
    <w:rsid w:val="00246D1F"/>
    <w:rsid w:val="00247403"/>
    <w:rsid w:val="00247542"/>
    <w:rsid w:val="00266B61"/>
    <w:rsid w:val="0026712A"/>
    <w:rsid w:val="002704DB"/>
    <w:rsid w:val="00277BDA"/>
    <w:rsid w:val="0029575A"/>
    <w:rsid w:val="002A0AAE"/>
    <w:rsid w:val="002A5820"/>
    <w:rsid w:val="002A6BA5"/>
    <w:rsid w:val="002B0FC4"/>
    <w:rsid w:val="002C3350"/>
    <w:rsid w:val="002D2B26"/>
    <w:rsid w:val="002D7EA2"/>
    <w:rsid w:val="002E187C"/>
    <w:rsid w:val="002E6E36"/>
    <w:rsid w:val="002E7512"/>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4977"/>
    <w:rsid w:val="00346C95"/>
    <w:rsid w:val="00351155"/>
    <w:rsid w:val="00356185"/>
    <w:rsid w:val="00360380"/>
    <w:rsid w:val="00367D17"/>
    <w:rsid w:val="0037519E"/>
    <w:rsid w:val="00386C6C"/>
    <w:rsid w:val="00386CF0"/>
    <w:rsid w:val="003942EC"/>
    <w:rsid w:val="0039714C"/>
    <w:rsid w:val="003A6337"/>
    <w:rsid w:val="003B4FF6"/>
    <w:rsid w:val="003B5585"/>
    <w:rsid w:val="003B70FB"/>
    <w:rsid w:val="003C20FF"/>
    <w:rsid w:val="003C6112"/>
    <w:rsid w:val="003C676B"/>
    <w:rsid w:val="003D0A55"/>
    <w:rsid w:val="003D3BC2"/>
    <w:rsid w:val="003E614F"/>
    <w:rsid w:val="003E6CA1"/>
    <w:rsid w:val="004065A8"/>
    <w:rsid w:val="004153F5"/>
    <w:rsid w:val="004165C2"/>
    <w:rsid w:val="004304AD"/>
    <w:rsid w:val="00434A3E"/>
    <w:rsid w:val="00441ECB"/>
    <w:rsid w:val="004435A3"/>
    <w:rsid w:val="00445193"/>
    <w:rsid w:val="00447CCF"/>
    <w:rsid w:val="004565BA"/>
    <w:rsid w:val="004601CF"/>
    <w:rsid w:val="00462C1B"/>
    <w:rsid w:val="00467B7E"/>
    <w:rsid w:val="0047080D"/>
    <w:rsid w:val="00473BB4"/>
    <w:rsid w:val="00476211"/>
    <w:rsid w:val="00477592"/>
    <w:rsid w:val="00486F1C"/>
    <w:rsid w:val="0049419D"/>
    <w:rsid w:val="004A59CC"/>
    <w:rsid w:val="004A6A54"/>
    <w:rsid w:val="004B0033"/>
    <w:rsid w:val="004B245C"/>
    <w:rsid w:val="004B50A0"/>
    <w:rsid w:val="004C20D2"/>
    <w:rsid w:val="004C2312"/>
    <w:rsid w:val="004C4B62"/>
    <w:rsid w:val="004C54C9"/>
    <w:rsid w:val="004C616A"/>
    <w:rsid w:val="004C731B"/>
    <w:rsid w:val="004D33D4"/>
    <w:rsid w:val="004D4ABA"/>
    <w:rsid w:val="004D4DEE"/>
    <w:rsid w:val="004D6025"/>
    <w:rsid w:val="004E19B1"/>
    <w:rsid w:val="004E2649"/>
    <w:rsid w:val="004F2474"/>
    <w:rsid w:val="004F2F5D"/>
    <w:rsid w:val="00501399"/>
    <w:rsid w:val="00501652"/>
    <w:rsid w:val="0050633D"/>
    <w:rsid w:val="00507BC4"/>
    <w:rsid w:val="005128E4"/>
    <w:rsid w:val="005133DB"/>
    <w:rsid w:val="005141C6"/>
    <w:rsid w:val="00525560"/>
    <w:rsid w:val="00534ED4"/>
    <w:rsid w:val="005415E6"/>
    <w:rsid w:val="00544216"/>
    <w:rsid w:val="00544C49"/>
    <w:rsid w:val="005516A1"/>
    <w:rsid w:val="00563557"/>
    <w:rsid w:val="0057402A"/>
    <w:rsid w:val="00574CB7"/>
    <w:rsid w:val="005771D0"/>
    <w:rsid w:val="0059191A"/>
    <w:rsid w:val="005921FF"/>
    <w:rsid w:val="00594707"/>
    <w:rsid w:val="005A24ED"/>
    <w:rsid w:val="005A6C02"/>
    <w:rsid w:val="005A6D0E"/>
    <w:rsid w:val="005B37CC"/>
    <w:rsid w:val="005B4F53"/>
    <w:rsid w:val="005B52B0"/>
    <w:rsid w:val="005B6806"/>
    <w:rsid w:val="005B6D22"/>
    <w:rsid w:val="005C261A"/>
    <w:rsid w:val="005C4225"/>
    <w:rsid w:val="005C7989"/>
    <w:rsid w:val="005D13F3"/>
    <w:rsid w:val="005D66AD"/>
    <w:rsid w:val="005E0B65"/>
    <w:rsid w:val="005E11B2"/>
    <w:rsid w:val="005E4C8B"/>
    <w:rsid w:val="005F0DAD"/>
    <w:rsid w:val="005F0F33"/>
    <w:rsid w:val="00600DEB"/>
    <w:rsid w:val="006068B7"/>
    <w:rsid w:val="0061708C"/>
    <w:rsid w:val="00623A34"/>
    <w:rsid w:val="006277DE"/>
    <w:rsid w:val="00627C9F"/>
    <w:rsid w:val="006311E9"/>
    <w:rsid w:val="00632354"/>
    <w:rsid w:val="00642810"/>
    <w:rsid w:val="00647756"/>
    <w:rsid w:val="006509DA"/>
    <w:rsid w:val="00652333"/>
    <w:rsid w:val="00654344"/>
    <w:rsid w:val="00655053"/>
    <w:rsid w:val="0066069F"/>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4E96"/>
    <w:rsid w:val="006E772A"/>
    <w:rsid w:val="006E7B34"/>
    <w:rsid w:val="006F5C7A"/>
    <w:rsid w:val="0070697F"/>
    <w:rsid w:val="0072199C"/>
    <w:rsid w:val="00722C9F"/>
    <w:rsid w:val="007253B8"/>
    <w:rsid w:val="00727B0E"/>
    <w:rsid w:val="0073598C"/>
    <w:rsid w:val="0073741F"/>
    <w:rsid w:val="0076643F"/>
    <w:rsid w:val="00777F63"/>
    <w:rsid w:val="007852B5"/>
    <w:rsid w:val="007912C8"/>
    <w:rsid w:val="00796A37"/>
    <w:rsid w:val="007A5817"/>
    <w:rsid w:val="007B05C4"/>
    <w:rsid w:val="007B11C8"/>
    <w:rsid w:val="007B60E9"/>
    <w:rsid w:val="007B6CC3"/>
    <w:rsid w:val="007C3334"/>
    <w:rsid w:val="007C402A"/>
    <w:rsid w:val="007C5E01"/>
    <w:rsid w:val="007D2B98"/>
    <w:rsid w:val="007D7C02"/>
    <w:rsid w:val="007E21BC"/>
    <w:rsid w:val="007E58FE"/>
    <w:rsid w:val="007E7C82"/>
    <w:rsid w:val="007F54FB"/>
    <w:rsid w:val="007F588D"/>
    <w:rsid w:val="00802748"/>
    <w:rsid w:val="00803F1C"/>
    <w:rsid w:val="0080600E"/>
    <w:rsid w:val="00807E8C"/>
    <w:rsid w:val="00817612"/>
    <w:rsid w:val="00827C40"/>
    <w:rsid w:val="008331D1"/>
    <w:rsid w:val="008338A4"/>
    <w:rsid w:val="00834D49"/>
    <w:rsid w:val="00837C45"/>
    <w:rsid w:val="008411F0"/>
    <w:rsid w:val="008439BC"/>
    <w:rsid w:val="00844730"/>
    <w:rsid w:val="008457C2"/>
    <w:rsid w:val="00851BF6"/>
    <w:rsid w:val="00857A82"/>
    <w:rsid w:val="0086141D"/>
    <w:rsid w:val="00861869"/>
    <w:rsid w:val="00871359"/>
    <w:rsid w:val="00871526"/>
    <w:rsid w:val="00873836"/>
    <w:rsid w:val="00875668"/>
    <w:rsid w:val="008802DC"/>
    <w:rsid w:val="00880BD9"/>
    <w:rsid w:val="00881E7D"/>
    <w:rsid w:val="008856AB"/>
    <w:rsid w:val="00885737"/>
    <w:rsid w:val="00890650"/>
    <w:rsid w:val="00897E12"/>
    <w:rsid w:val="008A0F81"/>
    <w:rsid w:val="008A169C"/>
    <w:rsid w:val="008A310C"/>
    <w:rsid w:val="008A392C"/>
    <w:rsid w:val="008A7E0F"/>
    <w:rsid w:val="008B12F5"/>
    <w:rsid w:val="008B5932"/>
    <w:rsid w:val="008C5751"/>
    <w:rsid w:val="008C73B3"/>
    <w:rsid w:val="008D768D"/>
    <w:rsid w:val="008E0FD8"/>
    <w:rsid w:val="008E328A"/>
    <w:rsid w:val="008E3759"/>
    <w:rsid w:val="008E3BFE"/>
    <w:rsid w:val="008E7900"/>
    <w:rsid w:val="008F1912"/>
    <w:rsid w:val="0090270B"/>
    <w:rsid w:val="009041DC"/>
    <w:rsid w:val="009053E2"/>
    <w:rsid w:val="009075A7"/>
    <w:rsid w:val="00917B5A"/>
    <w:rsid w:val="00920A58"/>
    <w:rsid w:val="00920A8C"/>
    <w:rsid w:val="00924F65"/>
    <w:rsid w:val="00934A2C"/>
    <w:rsid w:val="00935F06"/>
    <w:rsid w:val="00937B3A"/>
    <w:rsid w:val="00945886"/>
    <w:rsid w:val="00954B82"/>
    <w:rsid w:val="00957000"/>
    <w:rsid w:val="00962436"/>
    <w:rsid w:val="0096706E"/>
    <w:rsid w:val="00974491"/>
    <w:rsid w:val="00974794"/>
    <w:rsid w:val="00975C4E"/>
    <w:rsid w:val="00977573"/>
    <w:rsid w:val="00981FBA"/>
    <w:rsid w:val="00984ACE"/>
    <w:rsid w:val="00997BC5"/>
    <w:rsid w:val="009A4F41"/>
    <w:rsid w:val="009B381B"/>
    <w:rsid w:val="009C2FC5"/>
    <w:rsid w:val="009D1753"/>
    <w:rsid w:val="009D6502"/>
    <w:rsid w:val="009D7611"/>
    <w:rsid w:val="009D78A5"/>
    <w:rsid w:val="009E08DD"/>
    <w:rsid w:val="009E0B61"/>
    <w:rsid w:val="009E53DE"/>
    <w:rsid w:val="009E7C00"/>
    <w:rsid w:val="009F734C"/>
    <w:rsid w:val="00A0691C"/>
    <w:rsid w:val="00A11E44"/>
    <w:rsid w:val="00A154C8"/>
    <w:rsid w:val="00A22397"/>
    <w:rsid w:val="00A32313"/>
    <w:rsid w:val="00A328B3"/>
    <w:rsid w:val="00A50FCF"/>
    <w:rsid w:val="00A528D1"/>
    <w:rsid w:val="00A610CD"/>
    <w:rsid w:val="00A625E0"/>
    <w:rsid w:val="00A74947"/>
    <w:rsid w:val="00A7501E"/>
    <w:rsid w:val="00A758AA"/>
    <w:rsid w:val="00A92093"/>
    <w:rsid w:val="00AA09A2"/>
    <w:rsid w:val="00AA7996"/>
    <w:rsid w:val="00AB14BB"/>
    <w:rsid w:val="00AC19CB"/>
    <w:rsid w:val="00AC3909"/>
    <w:rsid w:val="00AD1886"/>
    <w:rsid w:val="00AE5488"/>
    <w:rsid w:val="00AE6F91"/>
    <w:rsid w:val="00AF5571"/>
    <w:rsid w:val="00AF695E"/>
    <w:rsid w:val="00B06B4E"/>
    <w:rsid w:val="00B07341"/>
    <w:rsid w:val="00B10160"/>
    <w:rsid w:val="00B202B5"/>
    <w:rsid w:val="00B30099"/>
    <w:rsid w:val="00B30539"/>
    <w:rsid w:val="00B314DB"/>
    <w:rsid w:val="00B35E8E"/>
    <w:rsid w:val="00B361F2"/>
    <w:rsid w:val="00B36FBE"/>
    <w:rsid w:val="00B3718B"/>
    <w:rsid w:val="00B415FE"/>
    <w:rsid w:val="00B42FA4"/>
    <w:rsid w:val="00B45CC0"/>
    <w:rsid w:val="00B4632A"/>
    <w:rsid w:val="00B5067D"/>
    <w:rsid w:val="00B530F1"/>
    <w:rsid w:val="00B54338"/>
    <w:rsid w:val="00B57297"/>
    <w:rsid w:val="00B736AF"/>
    <w:rsid w:val="00B742BE"/>
    <w:rsid w:val="00B87359"/>
    <w:rsid w:val="00B97946"/>
    <w:rsid w:val="00BA276C"/>
    <w:rsid w:val="00BA5544"/>
    <w:rsid w:val="00BB306F"/>
    <w:rsid w:val="00BB3402"/>
    <w:rsid w:val="00BB3FBD"/>
    <w:rsid w:val="00BC6CD0"/>
    <w:rsid w:val="00BD4B89"/>
    <w:rsid w:val="00BD5922"/>
    <w:rsid w:val="00BD76D9"/>
    <w:rsid w:val="00BF02CB"/>
    <w:rsid w:val="00BF2178"/>
    <w:rsid w:val="00BF32A7"/>
    <w:rsid w:val="00BF514A"/>
    <w:rsid w:val="00BF6FD8"/>
    <w:rsid w:val="00BF775D"/>
    <w:rsid w:val="00C01A1D"/>
    <w:rsid w:val="00C03680"/>
    <w:rsid w:val="00C054DF"/>
    <w:rsid w:val="00C05D56"/>
    <w:rsid w:val="00C10AFC"/>
    <w:rsid w:val="00C21562"/>
    <w:rsid w:val="00C21762"/>
    <w:rsid w:val="00C21FEF"/>
    <w:rsid w:val="00C24543"/>
    <w:rsid w:val="00C256A2"/>
    <w:rsid w:val="00C308DF"/>
    <w:rsid w:val="00C35A26"/>
    <w:rsid w:val="00C36442"/>
    <w:rsid w:val="00C51515"/>
    <w:rsid w:val="00C53910"/>
    <w:rsid w:val="00C5660B"/>
    <w:rsid w:val="00C56854"/>
    <w:rsid w:val="00C5788A"/>
    <w:rsid w:val="00C66B72"/>
    <w:rsid w:val="00C87628"/>
    <w:rsid w:val="00C87AC4"/>
    <w:rsid w:val="00C9567A"/>
    <w:rsid w:val="00CA48A3"/>
    <w:rsid w:val="00CB212D"/>
    <w:rsid w:val="00CB2660"/>
    <w:rsid w:val="00CC5E90"/>
    <w:rsid w:val="00CD046C"/>
    <w:rsid w:val="00CD186A"/>
    <w:rsid w:val="00CE0020"/>
    <w:rsid w:val="00CE076C"/>
    <w:rsid w:val="00CE5199"/>
    <w:rsid w:val="00CE66D5"/>
    <w:rsid w:val="00CF637A"/>
    <w:rsid w:val="00D059DE"/>
    <w:rsid w:val="00D05ABD"/>
    <w:rsid w:val="00D07A47"/>
    <w:rsid w:val="00D13FCE"/>
    <w:rsid w:val="00D17E8C"/>
    <w:rsid w:val="00D21B18"/>
    <w:rsid w:val="00D24AD4"/>
    <w:rsid w:val="00D306D1"/>
    <w:rsid w:val="00D30800"/>
    <w:rsid w:val="00D34786"/>
    <w:rsid w:val="00D37BFC"/>
    <w:rsid w:val="00D42822"/>
    <w:rsid w:val="00D43661"/>
    <w:rsid w:val="00D47A8E"/>
    <w:rsid w:val="00D52D14"/>
    <w:rsid w:val="00D55256"/>
    <w:rsid w:val="00D56D93"/>
    <w:rsid w:val="00D575BC"/>
    <w:rsid w:val="00D712D3"/>
    <w:rsid w:val="00D71422"/>
    <w:rsid w:val="00D72DC6"/>
    <w:rsid w:val="00D73F5E"/>
    <w:rsid w:val="00D7558D"/>
    <w:rsid w:val="00D77503"/>
    <w:rsid w:val="00D81D92"/>
    <w:rsid w:val="00D876F9"/>
    <w:rsid w:val="00D877B6"/>
    <w:rsid w:val="00D93A90"/>
    <w:rsid w:val="00DA7B5F"/>
    <w:rsid w:val="00DC11E7"/>
    <w:rsid w:val="00DC7023"/>
    <w:rsid w:val="00DC769A"/>
    <w:rsid w:val="00DD061E"/>
    <w:rsid w:val="00DD151B"/>
    <w:rsid w:val="00DD3D86"/>
    <w:rsid w:val="00DE12F0"/>
    <w:rsid w:val="00DE7D78"/>
    <w:rsid w:val="00DF1EC4"/>
    <w:rsid w:val="00DF51E9"/>
    <w:rsid w:val="00DF54A0"/>
    <w:rsid w:val="00E01943"/>
    <w:rsid w:val="00E0340B"/>
    <w:rsid w:val="00E04A90"/>
    <w:rsid w:val="00E0551F"/>
    <w:rsid w:val="00E219C7"/>
    <w:rsid w:val="00E26CCA"/>
    <w:rsid w:val="00E27F56"/>
    <w:rsid w:val="00E4118C"/>
    <w:rsid w:val="00E43157"/>
    <w:rsid w:val="00E461CE"/>
    <w:rsid w:val="00E720CA"/>
    <w:rsid w:val="00E73010"/>
    <w:rsid w:val="00E81364"/>
    <w:rsid w:val="00E84EB5"/>
    <w:rsid w:val="00E85662"/>
    <w:rsid w:val="00E8789F"/>
    <w:rsid w:val="00E90973"/>
    <w:rsid w:val="00E92747"/>
    <w:rsid w:val="00E9525D"/>
    <w:rsid w:val="00E97B71"/>
    <w:rsid w:val="00EA3D34"/>
    <w:rsid w:val="00EA4FA6"/>
    <w:rsid w:val="00EB454D"/>
    <w:rsid w:val="00EC16CC"/>
    <w:rsid w:val="00EC26E9"/>
    <w:rsid w:val="00EC72AB"/>
    <w:rsid w:val="00ED2F03"/>
    <w:rsid w:val="00ED4CBD"/>
    <w:rsid w:val="00ED549D"/>
    <w:rsid w:val="00ED76BE"/>
    <w:rsid w:val="00ED7F05"/>
    <w:rsid w:val="00EE00E9"/>
    <w:rsid w:val="00EE014D"/>
    <w:rsid w:val="00EE1764"/>
    <w:rsid w:val="00EF35AB"/>
    <w:rsid w:val="00EF4C44"/>
    <w:rsid w:val="00EF619B"/>
    <w:rsid w:val="00F00B55"/>
    <w:rsid w:val="00F02AD1"/>
    <w:rsid w:val="00F04591"/>
    <w:rsid w:val="00F04C7A"/>
    <w:rsid w:val="00F06354"/>
    <w:rsid w:val="00F11019"/>
    <w:rsid w:val="00F11FBB"/>
    <w:rsid w:val="00F251B7"/>
    <w:rsid w:val="00F253CC"/>
    <w:rsid w:val="00F332EF"/>
    <w:rsid w:val="00F37106"/>
    <w:rsid w:val="00F519CF"/>
    <w:rsid w:val="00F53168"/>
    <w:rsid w:val="00F56BA5"/>
    <w:rsid w:val="00F5747C"/>
    <w:rsid w:val="00F60E22"/>
    <w:rsid w:val="00F63B39"/>
    <w:rsid w:val="00F71FEE"/>
    <w:rsid w:val="00F81395"/>
    <w:rsid w:val="00F81887"/>
    <w:rsid w:val="00F81BB8"/>
    <w:rsid w:val="00F917D1"/>
    <w:rsid w:val="00F9342C"/>
    <w:rsid w:val="00F9653B"/>
    <w:rsid w:val="00FA56EA"/>
    <w:rsid w:val="00FB6131"/>
    <w:rsid w:val="00FB62CF"/>
    <w:rsid w:val="00FC0F4A"/>
    <w:rsid w:val="00FC3330"/>
    <w:rsid w:val="00FC7608"/>
    <w:rsid w:val="00FD1C1D"/>
    <w:rsid w:val="00FD3C3B"/>
    <w:rsid w:val="00FD6A68"/>
    <w:rsid w:val="00FE07DD"/>
    <w:rsid w:val="00FE430E"/>
    <w:rsid w:val="00FE6B45"/>
    <w:rsid w:val="00FF455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dh.oas.org/pdf%20files/MESOAMERICA%202011%20ESP%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2715-6BF4-4DB6-83A3-E7E7178D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3701</Words>
  <Characters>19657</Characters>
  <Application>Microsoft Office Word</Application>
  <DocSecurity>0</DocSecurity>
  <Lines>327</Lines>
  <Paragraphs>83</Paragraphs>
  <ScaleCrop>false</ScaleCrop>
  <Company/>
  <LinksUpToDate>false</LinksUpToDate>
  <CharactersWithSpaces>23275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14/21</dc:title>
  <dc:creator/>
  <cp:lastModifiedBy/>
  <cp:revision>1</cp:revision>
  <dcterms:created xsi:type="dcterms:W3CDTF">2021-04-01T14:40:00Z</dcterms:created>
  <dcterms:modified xsi:type="dcterms:W3CDTF">2021-04-01T14:41:00Z</dcterms:modified>
</cp:coreProperties>
</file>