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E6058" w:rsidRDefault="00D306D1" w:rsidP="00627C9F">
      <w:pPr>
        <w:jc w:val="both"/>
        <w:rPr>
          <w:rFonts w:asciiTheme="majorHAnsi" w:hAnsiTheme="majorHAnsi" w:cs="Univers"/>
          <w:b/>
          <w:bCs/>
          <w:sz w:val="22"/>
          <w:szCs w:val="22"/>
          <w:lang w:val="es-ES_tradnl"/>
        </w:rPr>
      </w:pPr>
      <w:r w:rsidRPr="001E605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E31AC5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E605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995" w:rsidRDefault="00F31995"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31995" w:rsidRDefault="00F31995"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1E6058">
        <w:rPr>
          <w:rFonts w:asciiTheme="majorHAnsi" w:hAnsiTheme="majorHAnsi" w:cs="Univers"/>
          <w:b/>
          <w:bCs/>
          <w:sz w:val="22"/>
          <w:szCs w:val="22"/>
          <w:lang w:val="es-ES_tradnl"/>
        </w:rPr>
        <w:t xml:space="preserve"> </w:t>
      </w:r>
    </w:p>
    <w:p w:rsidR="00040C3A" w:rsidRPr="001E6058" w:rsidRDefault="00040C3A" w:rsidP="00040C3A">
      <w:pPr>
        <w:tabs>
          <w:tab w:val="center" w:pos="5400"/>
        </w:tabs>
        <w:suppressAutoHyphens/>
        <w:jc w:val="both"/>
        <w:rPr>
          <w:rFonts w:asciiTheme="majorHAnsi" w:hAnsiTheme="majorHAnsi"/>
          <w:sz w:val="22"/>
          <w:szCs w:val="22"/>
          <w:lang w:val="es-ES_tradnl"/>
        </w:rPr>
      </w:pPr>
    </w:p>
    <w:p w:rsidR="00040C3A" w:rsidRPr="001E6058" w:rsidRDefault="00040C3A" w:rsidP="00040C3A">
      <w:pPr>
        <w:tabs>
          <w:tab w:val="center" w:pos="5400"/>
        </w:tabs>
        <w:suppressAutoHyphens/>
        <w:jc w:val="both"/>
        <w:rPr>
          <w:rFonts w:asciiTheme="majorHAnsi" w:hAnsiTheme="majorHAnsi"/>
          <w:sz w:val="22"/>
          <w:szCs w:val="22"/>
          <w:lang w:val="es-ES_tradnl"/>
        </w:rPr>
      </w:pPr>
    </w:p>
    <w:p w:rsidR="005128E4" w:rsidRPr="001E6058" w:rsidRDefault="005128E4" w:rsidP="00040C3A">
      <w:pPr>
        <w:tabs>
          <w:tab w:val="center" w:pos="5400"/>
        </w:tabs>
        <w:suppressAutoHyphens/>
        <w:rPr>
          <w:rFonts w:asciiTheme="majorHAnsi" w:hAnsiTheme="majorHAnsi"/>
          <w:sz w:val="22"/>
          <w:szCs w:val="22"/>
          <w:lang w:val="es-ES_tradnl"/>
        </w:rPr>
      </w:pPr>
    </w:p>
    <w:p w:rsidR="005128E4" w:rsidRPr="001E6058" w:rsidRDefault="005128E4" w:rsidP="00040C3A">
      <w:pPr>
        <w:tabs>
          <w:tab w:val="center" w:pos="5400"/>
        </w:tabs>
        <w:suppressAutoHyphens/>
        <w:rPr>
          <w:rFonts w:asciiTheme="majorHAnsi" w:hAnsiTheme="majorHAnsi"/>
          <w:sz w:val="22"/>
          <w:szCs w:val="22"/>
          <w:lang w:val="es-ES_tradnl"/>
        </w:rPr>
      </w:pPr>
    </w:p>
    <w:p w:rsidR="005128E4" w:rsidRPr="001E6058" w:rsidRDefault="005128E4" w:rsidP="00040C3A">
      <w:pPr>
        <w:tabs>
          <w:tab w:val="center" w:pos="5400"/>
        </w:tabs>
        <w:suppressAutoHyphens/>
        <w:rPr>
          <w:rFonts w:asciiTheme="majorHAnsi" w:hAnsiTheme="majorHAnsi"/>
          <w:sz w:val="22"/>
          <w:szCs w:val="22"/>
          <w:lang w:val="es-ES_tradnl"/>
        </w:rPr>
      </w:pPr>
    </w:p>
    <w:p w:rsidR="00040C3A" w:rsidRPr="001E6058" w:rsidRDefault="00040C3A" w:rsidP="005128E4">
      <w:pPr>
        <w:tabs>
          <w:tab w:val="center" w:pos="5400"/>
        </w:tabs>
        <w:suppressAutoHyphens/>
        <w:jc w:val="center"/>
        <w:rPr>
          <w:rFonts w:asciiTheme="majorHAnsi" w:hAnsiTheme="majorHAnsi"/>
          <w:sz w:val="22"/>
          <w:szCs w:val="22"/>
          <w:lang w:val="es-ES_tradnl"/>
        </w:rPr>
      </w:pPr>
    </w:p>
    <w:p w:rsidR="00040C3A" w:rsidRPr="001E6058" w:rsidRDefault="00040C3A" w:rsidP="005128E4">
      <w:pPr>
        <w:tabs>
          <w:tab w:val="center" w:pos="5400"/>
        </w:tabs>
        <w:suppressAutoHyphens/>
        <w:jc w:val="center"/>
        <w:rPr>
          <w:rFonts w:asciiTheme="majorHAnsi" w:hAnsiTheme="majorHAnsi"/>
          <w:sz w:val="22"/>
          <w:szCs w:val="22"/>
          <w:lang w:val="es-ES_tradnl"/>
        </w:rPr>
      </w:pPr>
    </w:p>
    <w:p w:rsidR="005B52B0" w:rsidRPr="001E6058" w:rsidRDefault="005B52B0" w:rsidP="005128E4">
      <w:pPr>
        <w:tabs>
          <w:tab w:val="center" w:pos="5400"/>
        </w:tabs>
        <w:suppressAutoHyphens/>
        <w:jc w:val="center"/>
        <w:rPr>
          <w:rFonts w:asciiTheme="majorHAnsi" w:hAnsiTheme="majorHAnsi"/>
          <w:sz w:val="22"/>
          <w:szCs w:val="22"/>
          <w:lang w:val="es-ES_tradnl"/>
        </w:rPr>
      </w:pPr>
    </w:p>
    <w:p w:rsidR="005B52B0" w:rsidRPr="001E6058" w:rsidRDefault="005B52B0" w:rsidP="005128E4">
      <w:pPr>
        <w:tabs>
          <w:tab w:val="center" w:pos="5400"/>
        </w:tabs>
        <w:suppressAutoHyphens/>
        <w:jc w:val="center"/>
        <w:rPr>
          <w:rFonts w:asciiTheme="majorHAnsi" w:hAnsiTheme="majorHAnsi"/>
          <w:sz w:val="22"/>
          <w:szCs w:val="22"/>
          <w:lang w:val="es-ES_tradnl"/>
        </w:rPr>
      </w:pPr>
    </w:p>
    <w:p w:rsidR="005B52B0" w:rsidRPr="001E6058" w:rsidRDefault="005B52B0" w:rsidP="005128E4">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3D3BC2" w:rsidP="00040C3A">
      <w:pPr>
        <w:tabs>
          <w:tab w:val="center" w:pos="5400"/>
        </w:tabs>
        <w:suppressAutoHyphens/>
        <w:jc w:val="center"/>
        <w:rPr>
          <w:rFonts w:asciiTheme="majorHAnsi" w:hAnsiTheme="majorHAnsi"/>
          <w:sz w:val="22"/>
          <w:szCs w:val="22"/>
          <w:lang w:val="es-ES_tradnl"/>
        </w:rPr>
      </w:pPr>
      <w:r w:rsidRPr="001E605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995" w:rsidRPr="004E2649" w:rsidRDefault="00F3199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9671CC">
                              <w:rPr>
                                <w:rFonts w:asciiTheme="majorHAnsi" w:hAnsiTheme="majorHAnsi" w:cs="Arial"/>
                                <w:b/>
                                <w:bCs/>
                                <w:color w:val="0D0D0D" w:themeColor="text1" w:themeTint="F2"/>
                                <w:sz w:val="36"/>
                                <w:szCs w:val="40"/>
                                <w:lang w:val="es-ES_tradnl"/>
                              </w:rPr>
                              <w:t>.</w:t>
                            </w:r>
                            <w:r w:rsidRPr="009671CC">
                              <w:rPr>
                                <w:rFonts w:asciiTheme="majorHAnsi" w:hAnsiTheme="majorHAnsi" w:cs="Arial"/>
                                <w:b/>
                                <w:bCs/>
                                <w:color w:val="0D0D0D" w:themeColor="text1" w:themeTint="F2"/>
                                <w:sz w:val="36"/>
                                <w:szCs w:val="22"/>
                                <w:lang w:val="es-ES_tradnl"/>
                              </w:rPr>
                              <w:t xml:space="preserve"> </w:t>
                            </w:r>
                            <w:r w:rsidR="00F34022">
                              <w:rPr>
                                <w:rFonts w:asciiTheme="majorHAnsi" w:hAnsiTheme="majorHAnsi" w:cs="Arial"/>
                                <w:b/>
                                <w:bCs/>
                                <w:color w:val="0D0D0D" w:themeColor="text1" w:themeTint="F2"/>
                                <w:sz w:val="36"/>
                                <w:szCs w:val="22"/>
                                <w:lang w:val="es-ES_tradnl"/>
                              </w:rPr>
                              <w:t>46</w:t>
                            </w:r>
                            <w:r w:rsidR="00374E3C" w:rsidRPr="009671CC">
                              <w:rPr>
                                <w:rFonts w:asciiTheme="majorHAnsi" w:hAnsiTheme="majorHAnsi" w:cs="Arial"/>
                                <w:b/>
                                <w:bCs/>
                                <w:color w:val="0D0D0D" w:themeColor="text1" w:themeTint="F2"/>
                                <w:sz w:val="36"/>
                                <w:szCs w:val="22"/>
                                <w:lang w:val="es-ES_tradnl"/>
                              </w:rPr>
                              <w:t>/21</w:t>
                            </w:r>
                          </w:p>
                          <w:p w:rsidR="00F31995" w:rsidRDefault="00F3199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1165-11</w:t>
                            </w:r>
                            <w:r w:rsidRPr="004E2649">
                              <w:rPr>
                                <w:rFonts w:asciiTheme="majorHAnsi" w:hAnsiTheme="majorHAnsi" w:cs="Arial"/>
                                <w:b/>
                                <w:color w:val="0D0D0D" w:themeColor="text1" w:themeTint="F2"/>
                                <w:sz w:val="36"/>
                                <w:szCs w:val="22"/>
                                <w:lang w:val="es-ES_tradnl"/>
                              </w:rPr>
                              <w:t xml:space="preserve"> </w:t>
                            </w:r>
                          </w:p>
                          <w:p w:rsidR="00F31995" w:rsidRPr="0010736F" w:rsidRDefault="00F3199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F31995" w:rsidRPr="0010736F" w:rsidRDefault="00F31995" w:rsidP="00997BC5">
                            <w:pPr>
                              <w:spacing w:line="276" w:lineRule="auto"/>
                              <w:rPr>
                                <w:rFonts w:asciiTheme="majorHAnsi" w:hAnsiTheme="majorHAnsi" w:cs="Arial"/>
                                <w:color w:val="0D0D0D" w:themeColor="text1" w:themeTint="F2"/>
                                <w:szCs w:val="22"/>
                                <w:lang w:val="es-ES_tradnl"/>
                              </w:rPr>
                            </w:pPr>
                            <w:bookmarkStart w:id="0" w:name="_ftnref1"/>
                          </w:p>
                          <w:p w:rsidR="00F31995" w:rsidRPr="0010736F" w:rsidRDefault="00F3199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CIRO RAMÍREZ PINZÓN</w:t>
                            </w:r>
                          </w:p>
                          <w:bookmarkEnd w:id="0"/>
                          <w:p w:rsidR="00F31995" w:rsidRPr="0010736F" w:rsidRDefault="00F3199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F31995" w:rsidRPr="00AE5488" w:rsidRDefault="00F31995"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31995" w:rsidRPr="004E2649" w:rsidRDefault="00F31995"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9671CC">
                        <w:rPr>
                          <w:rFonts w:asciiTheme="majorHAnsi" w:hAnsiTheme="majorHAnsi" w:cs="Arial"/>
                          <w:b/>
                          <w:bCs/>
                          <w:color w:val="0D0D0D" w:themeColor="text1" w:themeTint="F2"/>
                          <w:sz w:val="36"/>
                          <w:szCs w:val="40"/>
                          <w:lang w:val="es-ES_tradnl"/>
                        </w:rPr>
                        <w:t>.</w:t>
                      </w:r>
                      <w:r w:rsidRPr="009671CC">
                        <w:rPr>
                          <w:rFonts w:asciiTheme="majorHAnsi" w:hAnsiTheme="majorHAnsi" w:cs="Arial"/>
                          <w:b/>
                          <w:bCs/>
                          <w:color w:val="0D0D0D" w:themeColor="text1" w:themeTint="F2"/>
                          <w:sz w:val="36"/>
                          <w:szCs w:val="22"/>
                          <w:lang w:val="es-ES_tradnl"/>
                        </w:rPr>
                        <w:t xml:space="preserve"> </w:t>
                      </w:r>
                      <w:r w:rsidR="00F34022">
                        <w:rPr>
                          <w:rFonts w:asciiTheme="majorHAnsi" w:hAnsiTheme="majorHAnsi" w:cs="Arial"/>
                          <w:b/>
                          <w:bCs/>
                          <w:color w:val="0D0D0D" w:themeColor="text1" w:themeTint="F2"/>
                          <w:sz w:val="36"/>
                          <w:szCs w:val="22"/>
                          <w:lang w:val="es-ES_tradnl"/>
                        </w:rPr>
                        <w:t>46</w:t>
                      </w:r>
                      <w:r w:rsidR="00374E3C" w:rsidRPr="009671CC">
                        <w:rPr>
                          <w:rFonts w:asciiTheme="majorHAnsi" w:hAnsiTheme="majorHAnsi" w:cs="Arial"/>
                          <w:b/>
                          <w:bCs/>
                          <w:color w:val="0D0D0D" w:themeColor="text1" w:themeTint="F2"/>
                          <w:sz w:val="36"/>
                          <w:szCs w:val="22"/>
                          <w:lang w:val="es-ES_tradnl"/>
                        </w:rPr>
                        <w:t>/21</w:t>
                      </w:r>
                    </w:p>
                    <w:p w:rsidR="00F31995" w:rsidRDefault="00F31995"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1165-11</w:t>
                      </w:r>
                      <w:r w:rsidRPr="004E2649">
                        <w:rPr>
                          <w:rFonts w:asciiTheme="majorHAnsi" w:hAnsiTheme="majorHAnsi" w:cs="Arial"/>
                          <w:b/>
                          <w:color w:val="0D0D0D" w:themeColor="text1" w:themeTint="F2"/>
                          <w:sz w:val="36"/>
                          <w:szCs w:val="22"/>
                          <w:lang w:val="es-ES_tradnl"/>
                        </w:rPr>
                        <w:t xml:space="preserve"> </w:t>
                      </w:r>
                    </w:p>
                    <w:p w:rsidR="00F31995" w:rsidRPr="0010736F" w:rsidRDefault="00F31995"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F31995" w:rsidRPr="0010736F" w:rsidRDefault="00F31995" w:rsidP="00997BC5">
                      <w:pPr>
                        <w:spacing w:line="276" w:lineRule="auto"/>
                        <w:rPr>
                          <w:rFonts w:asciiTheme="majorHAnsi" w:hAnsiTheme="majorHAnsi" w:cs="Arial"/>
                          <w:color w:val="0D0D0D" w:themeColor="text1" w:themeTint="F2"/>
                          <w:szCs w:val="22"/>
                          <w:lang w:val="es-ES_tradnl"/>
                        </w:rPr>
                      </w:pPr>
                      <w:bookmarkStart w:id="1" w:name="_ftnref1"/>
                    </w:p>
                    <w:p w:rsidR="00F31995" w:rsidRPr="0010736F" w:rsidRDefault="00F3199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CIRO RAMÍREZ PINZÓN</w:t>
                      </w:r>
                    </w:p>
                    <w:bookmarkEnd w:id="1"/>
                    <w:p w:rsidR="00F31995" w:rsidRPr="0010736F" w:rsidRDefault="00F3199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F31995" w:rsidRPr="00AE5488" w:rsidRDefault="00F31995" w:rsidP="007A5817">
                      <w:pPr>
                        <w:rPr>
                          <w:color w:val="0D0D0D" w:themeColor="text1" w:themeTint="F2"/>
                          <w:lang w:val="es-ES_tradnl"/>
                        </w:rPr>
                      </w:pPr>
                    </w:p>
                  </w:txbxContent>
                </v:textbox>
              </v:shape>
            </w:pict>
          </mc:Fallback>
        </mc:AlternateContent>
      </w:r>
      <w:r w:rsidR="004E2649" w:rsidRPr="001E6058">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995" w:rsidRPr="00F34022" w:rsidRDefault="00F31995" w:rsidP="007A5817">
                            <w:pPr>
                              <w:spacing w:line="276" w:lineRule="auto"/>
                              <w:jc w:val="right"/>
                              <w:rPr>
                                <w:rFonts w:asciiTheme="minorHAnsi" w:hAnsiTheme="minorHAnsi"/>
                                <w:color w:val="FFFFFF" w:themeColor="background1"/>
                                <w:sz w:val="22"/>
                                <w:lang w:val="es-419"/>
                              </w:rPr>
                            </w:pPr>
                            <w:r w:rsidRPr="00F34022">
                              <w:rPr>
                                <w:rFonts w:asciiTheme="minorHAnsi" w:hAnsiTheme="minorHAnsi"/>
                                <w:color w:val="FFFFFF" w:themeColor="background1"/>
                                <w:sz w:val="22"/>
                                <w:lang w:val="es-419"/>
                              </w:rPr>
                              <w:t>OEA/</w:t>
                            </w:r>
                            <w:proofErr w:type="spellStart"/>
                            <w:r w:rsidRPr="00F34022">
                              <w:rPr>
                                <w:rFonts w:asciiTheme="minorHAnsi" w:hAnsiTheme="minorHAnsi"/>
                                <w:color w:val="FFFFFF" w:themeColor="background1"/>
                                <w:sz w:val="22"/>
                                <w:lang w:val="es-419"/>
                              </w:rPr>
                              <w:t>Ser.L</w:t>
                            </w:r>
                            <w:proofErr w:type="spellEnd"/>
                            <w:r w:rsidR="00F34022" w:rsidRPr="00F34022">
                              <w:rPr>
                                <w:rFonts w:asciiTheme="minorHAnsi" w:hAnsiTheme="minorHAnsi"/>
                                <w:color w:val="FFFFFF" w:themeColor="background1"/>
                                <w:sz w:val="22"/>
                                <w:lang w:val="es-419"/>
                              </w:rPr>
                              <w:t>/V/II</w:t>
                            </w:r>
                          </w:p>
                          <w:p w:rsidR="00F31995" w:rsidRPr="00F34022" w:rsidRDefault="00F34022"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50</w:t>
                            </w:r>
                          </w:p>
                          <w:p w:rsidR="00F31995" w:rsidRPr="00C25ADB" w:rsidRDefault="00F3402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374E3C">
                              <w:rPr>
                                <w:rFonts w:asciiTheme="minorHAnsi" w:hAnsiTheme="minorHAnsi"/>
                                <w:color w:val="FFFFFF" w:themeColor="background1"/>
                                <w:sz w:val="22"/>
                                <w:lang w:val="es-PA"/>
                              </w:rPr>
                              <w:t xml:space="preserve"> 2021</w:t>
                            </w:r>
                          </w:p>
                          <w:p w:rsidR="00F31995" w:rsidRPr="00C25ADB" w:rsidRDefault="00F3199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31995" w:rsidRPr="00F34022" w:rsidRDefault="00F31995" w:rsidP="007A5817">
                      <w:pPr>
                        <w:spacing w:line="276" w:lineRule="auto"/>
                        <w:jc w:val="right"/>
                        <w:rPr>
                          <w:rFonts w:asciiTheme="minorHAnsi" w:hAnsiTheme="minorHAnsi"/>
                          <w:color w:val="FFFFFF" w:themeColor="background1"/>
                          <w:sz w:val="22"/>
                          <w:lang w:val="es-419"/>
                        </w:rPr>
                      </w:pPr>
                      <w:r w:rsidRPr="00F34022">
                        <w:rPr>
                          <w:rFonts w:asciiTheme="minorHAnsi" w:hAnsiTheme="minorHAnsi"/>
                          <w:color w:val="FFFFFF" w:themeColor="background1"/>
                          <w:sz w:val="22"/>
                          <w:lang w:val="es-419"/>
                        </w:rPr>
                        <w:t>OEA/Ser.L</w:t>
                      </w:r>
                      <w:r w:rsidR="00F34022" w:rsidRPr="00F34022">
                        <w:rPr>
                          <w:rFonts w:asciiTheme="minorHAnsi" w:hAnsiTheme="minorHAnsi"/>
                          <w:color w:val="FFFFFF" w:themeColor="background1"/>
                          <w:sz w:val="22"/>
                          <w:lang w:val="es-419"/>
                        </w:rPr>
                        <w:t>/V/II</w:t>
                      </w:r>
                    </w:p>
                    <w:p w:rsidR="00F31995" w:rsidRPr="00F34022" w:rsidRDefault="00F34022"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50</w:t>
                      </w:r>
                    </w:p>
                    <w:p w:rsidR="00F31995" w:rsidRPr="00C25ADB" w:rsidRDefault="00F3402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374E3C">
                        <w:rPr>
                          <w:rFonts w:asciiTheme="minorHAnsi" w:hAnsiTheme="minorHAnsi"/>
                          <w:color w:val="FFFFFF" w:themeColor="background1"/>
                          <w:sz w:val="22"/>
                          <w:lang w:val="es-PA"/>
                        </w:rPr>
                        <w:t xml:space="preserve"> 2021</w:t>
                      </w:r>
                    </w:p>
                    <w:p w:rsidR="00F31995" w:rsidRPr="00C25ADB" w:rsidRDefault="00F31995"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cs="Arial"/>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5128E4" w:rsidRPr="001E6058" w:rsidRDefault="005128E4"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5128E4" w:rsidRPr="001E6058" w:rsidRDefault="005128E4" w:rsidP="00040C3A">
      <w:pPr>
        <w:tabs>
          <w:tab w:val="center" w:pos="5400"/>
        </w:tabs>
        <w:suppressAutoHyphens/>
        <w:jc w:val="center"/>
        <w:rPr>
          <w:rFonts w:asciiTheme="majorHAnsi" w:hAnsiTheme="majorHAnsi"/>
          <w:sz w:val="22"/>
          <w:szCs w:val="22"/>
          <w:lang w:val="es-ES_tradnl"/>
        </w:rPr>
      </w:pPr>
    </w:p>
    <w:p w:rsidR="005128E4" w:rsidRPr="001E6058" w:rsidRDefault="005128E4" w:rsidP="00040C3A">
      <w:pPr>
        <w:tabs>
          <w:tab w:val="center" w:pos="5400"/>
        </w:tabs>
        <w:suppressAutoHyphens/>
        <w:jc w:val="center"/>
        <w:rPr>
          <w:rFonts w:asciiTheme="majorHAnsi" w:hAnsiTheme="majorHAnsi"/>
          <w:sz w:val="22"/>
          <w:szCs w:val="22"/>
          <w:lang w:val="es-ES_tradnl"/>
        </w:rPr>
      </w:pPr>
    </w:p>
    <w:p w:rsidR="005128E4" w:rsidRPr="001E6058" w:rsidRDefault="005128E4"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p>
    <w:p w:rsidR="00040C3A" w:rsidRPr="001E6058" w:rsidRDefault="00040C3A" w:rsidP="00040C3A">
      <w:pPr>
        <w:tabs>
          <w:tab w:val="center" w:pos="5400"/>
        </w:tabs>
        <w:suppressAutoHyphens/>
        <w:jc w:val="center"/>
        <w:rPr>
          <w:rFonts w:asciiTheme="majorHAnsi" w:hAnsiTheme="majorHAnsi"/>
          <w:sz w:val="22"/>
          <w:szCs w:val="22"/>
          <w:lang w:val="es-ES_tradnl"/>
        </w:rPr>
      </w:pPr>
      <w:bookmarkStart w:id="1" w:name="_GoBack"/>
      <w:bookmarkEnd w:id="1"/>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90270B" w:rsidP="00040C3A">
      <w:pPr>
        <w:tabs>
          <w:tab w:val="center" w:pos="5400"/>
        </w:tabs>
        <w:suppressAutoHyphens/>
        <w:jc w:val="center"/>
        <w:rPr>
          <w:rFonts w:asciiTheme="majorHAnsi" w:hAnsiTheme="majorHAnsi"/>
          <w:sz w:val="18"/>
          <w:szCs w:val="22"/>
          <w:lang w:val="es-ES_tradnl"/>
        </w:rPr>
      </w:pPr>
      <w:r w:rsidRPr="001E6058">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995" w:rsidRPr="00890650" w:rsidRDefault="00F31995" w:rsidP="00DD3D86">
                            <w:pPr>
                              <w:tabs>
                                <w:tab w:val="center" w:pos="5400"/>
                              </w:tabs>
                              <w:suppressAutoHyphens/>
                              <w:spacing w:before="60"/>
                              <w:rPr>
                                <w:rFonts w:asciiTheme="majorHAnsi" w:hAnsiTheme="majorHAnsi"/>
                                <w:color w:val="0D0D0D" w:themeColor="text1" w:themeTint="F2"/>
                                <w:sz w:val="18"/>
                                <w:szCs w:val="22"/>
                                <w:lang w:val="es-ES"/>
                              </w:rPr>
                            </w:pPr>
                            <w:r w:rsidRPr="009671CC">
                              <w:rPr>
                                <w:rFonts w:asciiTheme="majorHAnsi" w:hAnsiTheme="majorHAnsi"/>
                                <w:color w:val="0D0D0D" w:themeColor="text1" w:themeTint="F2"/>
                                <w:sz w:val="18"/>
                                <w:szCs w:val="22"/>
                                <w:lang w:val="es-ES"/>
                              </w:rPr>
                              <w:t xml:space="preserve">Aprobado </w:t>
                            </w:r>
                            <w:proofErr w:type="spellStart"/>
                            <w:r w:rsidRPr="009671CC">
                              <w:rPr>
                                <w:rFonts w:asciiTheme="majorHAnsi" w:hAnsiTheme="majorHAnsi"/>
                                <w:color w:val="0D0D0D" w:themeColor="text1" w:themeTint="F2"/>
                                <w:sz w:val="18"/>
                                <w:szCs w:val="22"/>
                                <w:lang w:val="es-ES"/>
                              </w:rPr>
                              <w:t>electr</w:t>
                            </w:r>
                            <w:r w:rsidRPr="009671CC">
                              <w:rPr>
                                <w:rFonts w:asciiTheme="majorHAnsi" w:hAnsiTheme="majorHAnsi"/>
                                <w:color w:val="0D0D0D" w:themeColor="text1" w:themeTint="F2"/>
                                <w:sz w:val="18"/>
                                <w:szCs w:val="22"/>
                                <w:lang w:val="es-ES_tradnl"/>
                              </w:rPr>
                              <w:t>ónicamente</w:t>
                            </w:r>
                            <w:proofErr w:type="spellEnd"/>
                            <w:r w:rsidRPr="009671CC">
                              <w:rPr>
                                <w:rFonts w:asciiTheme="majorHAnsi" w:hAnsiTheme="majorHAnsi"/>
                                <w:color w:val="0D0D0D" w:themeColor="text1" w:themeTint="F2"/>
                                <w:sz w:val="18"/>
                                <w:szCs w:val="22"/>
                                <w:lang w:val="es-ES"/>
                              </w:rPr>
                              <w:t xml:space="preserve"> por la Comisión el </w:t>
                            </w:r>
                            <w:r w:rsidR="00F34022">
                              <w:rPr>
                                <w:rFonts w:asciiTheme="majorHAnsi" w:hAnsiTheme="majorHAnsi"/>
                                <w:color w:val="0D0D0D" w:themeColor="text1" w:themeTint="F2"/>
                                <w:sz w:val="18"/>
                                <w:szCs w:val="22"/>
                                <w:lang w:val="es-ES"/>
                              </w:rPr>
                              <w:t>9</w:t>
                            </w:r>
                            <w:r w:rsidRPr="009671CC">
                              <w:rPr>
                                <w:rFonts w:asciiTheme="majorHAnsi" w:hAnsiTheme="majorHAnsi"/>
                                <w:color w:val="0D0D0D" w:themeColor="text1" w:themeTint="F2"/>
                                <w:sz w:val="18"/>
                                <w:szCs w:val="22"/>
                                <w:lang w:val="es-ES"/>
                              </w:rPr>
                              <w:t xml:space="preserve"> de </w:t>
                            </w:r>
                            <w:r w:rsidR="00F3402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34022">
                              <w:rPr>
                                <w:rFonts w:asciiTheme="majorHAnsi" w:hAnsiTheme="majorHAnsi"/>
                                <w:color w:val="0D0D0D" w:themeColor="text1" w:themeTint="F2"/>
                                <w:sz w:val="18"/>
                                <w:szCs w:val="22"/>
                                <w:lang w:val="es-ES"/>
                              </w:rPr>
                              <w:t>21</w:t>
                            </w:r>
                            <w:r w:rsidR="00631209">
                              <w:rPr>
                                <w:rFonts w:asciiTheme="majorHAnsi" w:hAnsiTheme="majorHAnsi"/>
                                <w:color w:val="0D0D0D" w:themeColor="text1" w:themeTint="F2"/>
                                <w:sz w:val="18"/>
                                <w:szCs w:val="22"/>
                                <w:lang w:val="es-ES"/>
                              </w:rPr>
                              <w:t>.</w:t>
                            </w:r>
                          </w:p>
                          <w:p w:rsidR="00F31995" w:rsidRPr="007A5817" w:rsidRDefault="00F31995" w:rsidP="00247403">
                            <w:pPr>
                              <w:tabs>
                                <w:tab w:val="center" w:pos="5400"/>
                              </w:tabs>
                              <w:suppressAutoHyphens/>
                              <w:spacing w:before="60"/>
                              <w:rPr>
                                <w:rFonts w:asciiTheme="minorHAnsi" w:hAnsiTheme="minorHAnsi" w:cs="Univers"/>
                                <w:color w:val="0D0D0D" w:themeColor="text1" w:themeTint="F2"/>
                                <w:sz w:val="20"/>
                                <w:szCs w:val="20"/>
                                <w:lang w:val="es-ES"/>
                              </w:rPr>
                            </w:pPr>
                          </w:p>
                          <w:p w:rsidR="00F31995" w:rsidRPr="00167A34" w:rsidRDefault="00F31995"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31995" w:rsidRPr="00890650" w:rsidRDefault="00F31995" w:rsidP="00DD3D86">
                      <w:pPr>
                        <w:tabs>
                          <w:tab w:val="center" w:pos="5400"/>
                        </w:tabs>
                        <w:suppressAutoHyphens/>
                        <w:spacing w:before="60"/>
                        <w:rPr>
                          <w:rFonts w:asciiTheme="majorHAnsi" w:hAnsiTheme="majorHAnsi"/>
                          <w:color w:val="0D0D0D" w:themeColor="text1" w:themeTint="F2"/>
                          <w:sz w:val="18"/>
                          <w:szCs w:val="22"/>
                          <w:lang w:val="es-ES"/>
                        </w:rPr>
                      </w:pPr>
                      <w:r w:rsidRPr="009671CC">
                        <w:rPr>
                          <w:rFonts w:asciiTheme="majorHAnsi" w:hAnsiTheme="majorHAnsi"/>
                          <w:color w:val="0D0D0D" w:themeColor="text1" w:themeTint="F2"/>
                          <w:sz w:val="18"/>
                          <w:szCs w:val="22"/>
                          <w:lang w:val="es-ES"/>
                        </w:rPr>
                        <w:t xml:space="preserve">Aprobado </w:t>
                      </w:r>
                      <w:proofErr w:type="spellStart"/>
                      <w:r w:rsidRPr="009671CC">
                        <w:rPr>
                          <w:rFonts w:asciiTheme="majorHAnsi" w:hAnsiTheme="majorHAnsi"/>
                          <w:color w:val="0D0D0D" w:themeColor="text1" w:themeTint="F2"/>
                          <w:sz w:val="18"/>
                          <w:szCs w:val="22"/>
                          <w:lang w:val="es-ES"/>
                        </w:rPr>
                        <w:t>electr</w:t>
                      </w:r>
                      <w:r w:rsidRPr="009671CC">
                        <w:rPr>
                          <w:rFonts w:asciiTheme="majorHAnsi" w:hAnsiTheme="majorHAnsi"/>
                          <w:color w:val="0D0D0D" w:themeColor="text1" w:themeTint="F2"/>
                          <w:sz w:val="18"/>
                          <w:szCs w:val="22"/>
                          <w:lang w:val="es-ES_tradnl"/>
                        </w:rPr>
                        <w:t>ónicamente</w:t>
                      </w:r>
                      <w:proofErr w:type="spellEnd"/>
                      <w:r w:rsidRPr="009671CC">
                        <w:rPr>
                          <w:rFonts w:asciiTheme="majorHAnsi" w:hAnsiTheme="majorHAnsi"/>
                          <w:color w:val="0D0D0D" w:themeColor="text1" w:themeTint="F2"/>
                          <w:sz w:val="18"/>
                          <w:szCs w:val="22"/>
                          <w:lang w:val="es-ES"/>
                        </w:rPr>
                        <w:t xml:space="preserve"> por la Comisión el </w:t>
                      </w:r>
                      <w:r w:rsidR="00F34022">
                        <w:rPr>
                          <w:rFonts w:asciiTheme="majorHAnsi" w:hAnsiTheme="majorHAnsi"/>
                          <w:color w:val="0D0D0D" w:themeColor="text1" w:themeTint="F2"/>
                          <w:sz w:val="18"/>
                          <w:szCs w:val="22"/>
                          <w:lang w:val="es-ES"/>
                        </w:rPr>
                        <w:t>9</w:t>
                      </w:r>
                      <w:r w:rsidRPr="009671CC">
                        <w:rPr>
                          <w:rFonts w:asciiTheme="majorHAnsi" w:hAnsiTheme="majorHAnsi"/>
                          <w:color w:val="0D0D0D" w:themeColor="text1" w:themeTint="F2"/>
                          <w:sz w:val="18"/>
                          <w:szCs w:val="22"/>
                          <w:lang w:val="es-ES"/>
                        </w:rPr>
                        <w:t xml:space="preserve"> de </w:t>
                      </w:r>
                      <w:r w:rsidR="00F34022">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34022">
                        <w:rPr>
                          <w:rFonts w:asciiTheme="majorHAnsi" w:hAnsiTheme="majorHAnsi"/>
                          <w:color w:val="0D0D0D" w:themeColor="text1" w:themeTint="F2"/>
                          <w:sz w:val="18"/>
                          <w:szCs w:val="22"/>
                          <w:lang w:val="es-ES"/>
                        </w:rPr>
                        <w:t>21</w:t>
                      </w:r>
                      <w:r w:rsidR="00631209">
                        <w:rPr>
                          <w:rFonts w:asciiTheme="majorHAnsi" w:hAnsiTheme="majorHAnsi"/>
                          <w:color w:val="0D0D0D" w:themeColor="text1" w:themeTint="F2"/>
                          <w:sz w:val="18"/>
                          <w:szCs w:val="22"/>
                          <w:lang w:val="es-ES"/>
                        </w:rPr>
                        <w:t>.</w:t>
                      </w:r>
                    </w:p>
                    <w:p w:rsidR="00F31995" w:rsidRPr="007A5817" w:rsidRDefault="00F31995" w:rsidP="00247403">
                      <w:pPr>
                        <w:tabs>
                          <w:tab w:val="center" w:pos="5400"/>
                        </w:tabs>
                        <w:suppressAutoHyphens/>
                        <w:spacing w:before="60"/>
                        <w:rPr>
                          <w:rFonts w:asciiTheme="minorHAnsi" w:hAnsiTheme="minorHAnsi" w:cs="Univers"/>
                          <w:color w:val="0D0D0D" w:themeColor="text1" w:themeTint="F2"/>
                          <w:sz w:val="20"/>
                          <w:szCs w:val="20"/>
                          <w:lang w:val="es-ES"/>
                        </w:rPr>
                      </w:pPr>
                    </w:p>
                    <w:p w:rsidR="00F31995" w:rsidRPr="00167A34" w:rsidRDefault="00F31995"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A50FCF" w:rsidRPr="001E6058" w:rsidRDefault="0090270B" w:rsidP="00040C3A">
      <w:pPr>
        <w:tabs>
          <w:tab w:val="center" w:pos="5400"/>
        </w:tabs>
        <w:suppressAutoHyphens/>
        <w:jc w:val="center"/>
        <w:rPr>
          <w:rFonts w:asciiTheme="majorHAnsi" w:hAnsiTheme="majorHAnsi"/>
          <w:sz w:val="18"/>
          <w:szCs w:val="22"/>
          <w:lang w:val="es-ES_tradnl"/>
        </w:rPr>
      </w:pPr>
      <w:r w:rsidRPr="001E6058">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39339C4" wp14:editId="721C18E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995" w:rsidRPr="007B05C4" w:rsidRDefault="00F3199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9671CC">
                              <w:rPr>
                                <w:rFonts w:asciiTheme="majorHAnsi" w:hAnsiTheme="majorHAnsi"/>
                                <w:color w:val="595959" w:themeColor="text1" w:themeTint="A6"/>
                                <w:sz w:val="18"/>
                                <w:szCs w:val="18"/>
                                <w:lang w:val="pt-BR"/>
                              </w:rPr>
                              <w:t xml:space="preserve">. </w:t>
                            </w:r>
                            <w:r w:rsidR="00F34022" w:rsidRPr="00F34022">
                              <w:rPr>
                                <w:rFonts w:asciiTheme="majorHAnsi" w:hAnsiTheme="majorHAnsi"/>
                                <w:color w:val="595959" w:themeColor="text1" w:themeTint="A6"/>
                                <w:sz w:val="18"/>
                                <w:szCs w:val="18"/>
                                <w:lang w:val="pt-BR"/>
                              </w:rPr>
                              <w:t>46</w:t>
                            </w:r>
                            <w:r w:rsidRPr="00F34022">
                              <w:rPr>
                                <w:rFonts w:asciiTheme="majorHAnsi" w:hAnsiTheme="majorHAnsi"/>
                                <w:color w:val="595959" w:themeColor="text1" w:themeTint="A6"/>
                                <w:sz w:val="18"/>
                                <w:szCs w:val="18"/>
                                <w:lang w:val="pt-BR"/>
                              </w:rPr>
                              <w:t>/</w:t>
                            </w:r>
                            <w:r w:rsidR="00F34022" w:rsidRPr="00F34022">
                              <w:rPr>
                                <w:rFonts w:asciiTheme="majorHAnsi" w:hAnsiTheme="majorHAnsi"/>
                                <w:color w:val="595959" w:themeColor="text1" w:themeTint="A6"/>
                                <w:sz w:val="18"/>
                                <w:szCs w:val="18"/>
                                <w:lang w:val="pt-BR"/>
                              </w:rPr>
                              <w:t>21</w:t>
                            </w:r>
                            <w:r w:rsidRPr="00F34022">
                              <w:rPr>
                                <w:rFonts w:asciiTheme="majorHAnsi" w:hAnsiTheme="majorHAnsi"/>
                                <w:color w:val="595959" w:themeColor="text1" w:themeTint="A6"/>
                                <w:sz w:val="18"/>
                                <w:szCs w:val="18"/>
                                <w:lang w:val="pt-BR"/>
                              </w:rPr>
                              <w:t xml:space="preserve">. </w:t>
                            </w:r>
                            <w:proofErr w:type="spellStart"/>
                            <w:r w:rsidRPr="009671CC">
                              <w:rPr>
                                <w:rFonts w:asciiTheme="majorHAnsi" w:hAnsiTheme="majorHAnsi"/>
                                <w:color w:val="595959" w:themeColor="text1" w:themeTint="A6"/>
                                <w:sz w:val="18"/>
                                <w:szCs w:val="18"/>
                                <w:lang w:val="es-ES_tradnl"/>
                              </w:rPr>
                              <w:t>Petici</w:t>
                            </w:r>
                            <w:r w:rsidRPr="009671CC">
                              <w:rPr>
                                <w:rFonts w:asciiTheme="majorHAnsi" w:hAnsiTheme="majorHAnsi"/>
                                <w:color w:val="595959" w:themeColor="text1" w:themeTint="A6"/>
                                <w:sz w:val="18"/>
                                <w:szCs w:val="18"/>
                                <w:lang w:val="es-ES"/>
                              </w:rPr>
                              <w:t>ón</w:t>
                            </w:r>
                            <w:proofErr w:type="spellEnd"/>
                            <w:r w:rsidRPr="009671CC">
                              <w:rPr>
                                <w:rFonts w:asciiTheme="majorHAnsi" w:hAnsiTheme="majorHAnsi"/>
                                <w:color w:val="595959" w:themeColor="text1" w:themeTint="A6"/>
                                <w:sz w:val="18"/>
                                <w:szCs w:val="18"/>
                                <w:lang w:val="es-ES"/>
                              </w:rPr>
                              <w:t xml:space="preserve"> 1165-11. </w:t>
                            </w:r>
                            <w:r w:rsidRPr="009671CC">
                              <w:rPr>
                                <w:rFonts w:asciiTheme="majorHAnsi" w:hAnsiTheme="majorHAnsi"/>
                                <w:color w:val="595959" w:themeColor="text1" w:themeTint="A6"/>
                                <w:sz w:val="18"/>
                                <w:szCs w:val="18"/>
                                <w:lang w:val="es-ES_tradnl"/>
                              </w:rPr>
                              <w:t xml:space="preserve">Admisibilidad. Ciro Ramírez Pinzón. Colombia. </w:t>
                            </w:r>
                            <w:r w:rsidR="00F34022">
                              <w:rPr>
                                <w:rFonts w:asciiTheme="majorHAnsi" w:hAnsiTheme="majorHAnsi"/>
                                <w:color w:val="595959" w:themeColor="text1" w:themeTint="A6"/>
                                <w:sz w:val="18"/>
                                <w:szCs w:val="18"/>
                                <w:lang w:val="es-ES"/>
                              </w:rPr>
                              <w:t>9 de marzo de 2021</w:t>
                            </w:r>
                            <w:r w:rsidRPr="009671C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9339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31995" w:rsidRPr="007B05C4" w:rsidRDefault="00F31995"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9671CC">
                        <w:rPr>
                          <w:rFonts w:asciiTheme="majorHAnsi" w:hAnsiTheme="majorHAnsi"/>
                          <w:color w:val="595959" w:themeColor="text1" w:themeTint="A6"/>
                          <w:sz w:val="18"/>
                          <w:szCs w:val="18"/>
                          <w:lang w:val="pt-BR"/>
                        </w:rPr>
                        <w:t xml:space="preserve">. </w:t>
                      </w:r>
                      <w:r w:rsidR="00F34022" w:rsidRPr="00F34022">
                        <w:rPr>
                          <w:rFonts w:asciiTheme="majorHAnsi" w:hAnsiTheme="majorHAnsi"/>
                          <w:color w:val="595959" w:themeColor="text1" w:themeTint="A6"/>
                          <w:sz w:val="18"/>
                          <w:szCs w:val="18"/>
                          <w:lang w:val="pt-BR"/>
                        </w:rPr>
                        <w:t>46</w:t>
                      </w:r>
                      <w:r w:rsidRPr="00F34022">
                        <w:rPr>
                          <w:rFonts w:asciiTheme="majorHAnsi" w:hAnsiTheme="majorHAnsi"/>
                          <w:color w:val="595959" w:themeColor="text1" w:themeTint="A6"/>
                          <w:sz w:val="18"/>
                          <w:szCs w:val="18"/>
                          <w:lang w:val="pt-BR"/>
                        </w:rPr>
                        <w:t>/</w:t>
                      </w:r>
                      <w:r w:rsidR="00F34022" w:rsidRPr="00F34022">
                        <w:rPr>
                          <w:rFonts w:asciiTheme="majorHAnsi" w:hAnsiTheme="majorHAnsi"/>
                          <w:color w:val="595959" w:themeColor="text1" w:themeTint="A6"/>
                          <w:sz w:val="18"/>
                          <w:szCs w:val="18"/>
                          <w:lang w:val="pt-BR"/>
                        </w:rPr>
                        <w:t>21</w:t>
                      </w:r>
                      <w:r w:rsidRPr="00F34022">
                        <w:rPr>
                          <w:rFonts w:asciiTheme="majorHAnsi" w:hAnsiTheme="majorHAnsi"/>
                          <w:color w:val="595959" w:themeColor="text1" w:themeTint="A6"/>
                          <w:sz w:val="18"/>
                          <w:szCs w:val="18"/>
                          <w:lang w:val="pt-BR"/>
                        </w:rPr>
                        <w:t xml:space="preserve">. </w:t>
                      </w:r>
                      <w:r w:rsidRPr="009671CC">
                        <w:rPr>
                          <w:rFonts w:asciiTheme="majorHAnsi" w:hAnsiTheme="majorHAnsi"/>
                          <w:color w:val="595959" w:themeColor="text1" w:themeTint="A6"/>
                          <w:sz w:val="18"/>
                          <w:szCs w:val="18"/>
                          <w:lang w:val="es-ES_tradnl"/>
                        </w:rPr>
                        <w:t>Petici</w:t>
                      </w:r>
                      <w:r w:rsidRPr="009671CC">
                        <w:rPr>
                          <w:rFonts w:asciiTheme="majorHAnsi" w:hAnsiTheme="majorHAnsi"/>
                          <w:color w:val="595959" w:themeColor="text1" w:themeTint="A6"/>
                          <w:sz w:val="18"/>
                          <w:szCs w:val="18"/>
                          <w:lang w:val="es-ES"/>
                        </w:rPr>
                        <w:t xml:space="preserve">ón 1165-11. </w:t>
                      </w:r>
                      <w:r w:rsidRPr="009671CC">
                        <w:rPr>
                          <w:rFonts w:asciiTheme="majorHAnsi" w:hAnsiTheme="majorHAnsi"/>
                          <w:color w:val="595959" w:themeColor="text1" w:themeTint="A6"/>
                          <w:sz w:val="18"/>
                          <w:szCs w:val="18"/>
                          <w:lang w:val="es-ES_tradnl"/>
                        </w:rPr>
                        <w:t xml:space="preserve">Admisibilidad. Ciro Ramírez Pinzón. Colombia. </w:t>
                      </w:r>
                      <w:r w:rsidR="00F34022">
                        <w:rPr>
                          <w:rFonts w:asciiTheme="majorHAnsi" w:hAnsiTheme="majorHAnsi"/>
                          <w:color w:val="595959" w:themeColor="text1" w:themeTint="A6"/>
                          <w:sz w:val="18"/>
                          <w:szCs w:val="18"/>
                          <w:lang w:val="es-ES"/>
                        </w:rPr>
                        <w:t>9 de marzo de 2021</w:t>
                      </w:r>
                      <w:r w:rsidRPr="009671CC">
                        <w:rPr>
                          <w:rFonts w:asciiTheme="majorHAnsi" w:hAnsiTheme="majorHAnsi"/>
                          <w:color w:val="595959" w:themeColor="text1" w:themeTint="A6"/>
                          <w:sz w:val="18"/>
                          <w:szCs w:val="18"/>
                          <w:lang w:val="es-ES"/>
                        </w:rPr>
                        <w:t>.</w:t>
                      </w:r>
                    </w:p>
                  </w:txbxContent>
                </v:textbox>
              </v:shape>
            </w:pict>
          </mc:Fallback>
        </mc:AlternateContent>
      </w:r>
    </w:p>
    <w:p w:rsidR="00A50FCF" w:rsidRPr="001E6058" w:rsidRDefault="00A50FCF" w:rsidP="00040C3A">
      <w:pPr>
        <w:tabs>
          <w:tab w:val="center" w:pos="5400"/>
        </w:tabs>
        <w:suppressAutoHyphens/>
        <w:jc w:val="center"/>
        <w:rPr>
          <w:rFonts w:asciiTheme="majorHAnsi" w:hAnsiTheme="majorHAnsi"/>
          <w:sz w:val="18"/>
          <w:szCs w:val="22"/>
          <w:lang w:val="es-ES_tradnl"/>
        </w:rPr>
      </w:pPr>
    </w:p>
    <w:p w:rsidR="0090270B" w:rsidRPr="001E6058" w:rsidRDefault="00D306D1" w:rsidP="005516A1">
      <w:pPr>
        <w:tabs>
          <w:tab w:val="center" w:pos="5400"/>
        </w:tabs>
        <w:suppressAutoHyphens/>
        <w:jc w:val="center"/>
        <w:rPr>
          <w:rFonts w:asciiTheme="majorHAnsi" w:hAnsiTheme="majorHAnsi"/>
          <w:b/>
          <w:sz w:val="20"/>
          <w:lang w:val="es-ES_tradnl"/>
        </w:rPr>
      </w:pPr>
      <w:r w:rsidRPr="001E605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995" w:rsidRPr="00D72DC6" w:rsidRDefault="00B35695"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31995" w:rsidRPr="00D72DC6" w:rsidRDefault="00B35695"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E605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995" w:rsidRPr="004B7EB6" w:rsidRDefault="00F3199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31995" w:rsidRPr="004B7EB6" w:rsidRDefault="00F31995"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1E6058" w:rsidRDefault="004A6A54" w:rsidP="005516A1">
      <w:pPr>
        <w:tabs>
          <w:tab w:val="center" w:pos="5400"/>
        </w:tabs>
        <w:suppressAutoHyphens/>
        <w:jc w:val="center"/>
        <w:rPr>
          <w:rFonts w:asciiTheme="majorHAnsi" w:hAnsiTheme="majorHAnsi"/>
          <w:b/>
          <w:sz w:val="20"/>
          <w:lang w:val="es-ES_tradnl"/>
        </w:rPr>
        <w:sectPr w:rsidR="0070697F" w:rsidRPr="001E605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E6058">
        <w:rPr>
          <w:rFonts w:asciiTheme="majorHAnsi" w:hAnsiTheme="majorHAnsi"/>
          <w:b/>
          <w:sz w:val="20"/>
          <w:lang w:val="es-ES_tradnl"/>
        </w:rPr>
        <w:tab/>
      </w:r>
    </w:p>
    <w:p w:rsidR="003239B8" w:rsidRPr="001E6058" w:rsidRDefault="003239B8" w:rsidP="004A6A54">
      <w:pPr>
        <w:spacing w:after="240"/>
        <w:ind w:firstLine="720"/>
        <w:jc w:val="both"/>
        <w:rPr>
          <w:rFonts w:asciiTheme="majorHAnsi" w:hAnsiTheme="majorHAnsi"/>
          <w:b/>
          <w:bCs/>
          <w:sz w:val="20"/>
          <w:szCs w:val="20"/>
          <w:lang w:val="es-ES_tradnl"/>
        </w:rPr>
      </w:pPr>
      <w:r w:rsidRPr="001E6058">
        <w:rPr>
          <w:rFonts w:asciiTheme="majorHAnsi" w:hAnsiTheme="majorHAnsi"/>
          <w:b/>
          <w:bCs/>
          <w:sz w:val="20"/>
          <w:szCs w:val="20"/>
          <w:lang w:val="es-ES_tradnl"/>
        </w:rPr>
        <w:lastRenderedPageBreak/>
        <w:t>I.</w:t>
      </w:r>
      <w:r w:rsidRPr="001E6058">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E6058" w:rsidTr="004A6A54">
        <w:tc>
          <w:tcPr>
            <w:tcW w:w="3600" w:type="dxa"/>
            <w:tcBorders>
              <w:top w:val="single" w:sz="4" w:space="0" w:color="auto"/>
              <w:bottom w:val="single" w:sz="6" w:space="0" w:color="auto"/>
            </w:tcBorders>
            <w:shd w:val="clear" w:color="auto" w:fill="386294"/>
            <w:vAlign w:val="center"/>
          </w:tcPr>
          <w:p w:rsidR="003239B8" w:rsidRPr="001E6058" w:rsidRDefault="003239B8"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Parte peticionaria:</w:t>
            </w:r>
          </w:p>
        </w:tc>
        <w:tc>
          <w:tcPr>
            <w:tcW w:w="5760" w:type="dxa"/>
            <w:vAlign w:val="center"/>
          </w:tcPr>
          <w:p w:rsidR="003239B8" w:rsidRPr="001E6058" w:rsidRDefault="004E7C19" w:rsidP="00F31995">
            <w:pPr>
              <w:jc w:val="both"/>
              <w:rPr>
                <w:rFonts w:ascii="Cambria" w:hAnsi="Cambria"/>
                <w:bCs/>
                <w:sz w:val="20"/>
                <w:szCs w:val="20"/>
                <w:lang w:val="es-ES_tradnl"/>
              </w:rPr>
            </w:pPr>
            <w:r w:rsidRPr="001E6058">
              <w:rPr>
                <w:rFonts w:ascii="Cambria" w:hAnsi="Cambria"/>
                <w:bCs/>
                <w:sz w:val="20"/>
                <w:szCs w:val="20"/>
                <w:lang w:val="es-ES_tradnl"/>
              </w:rPr>
              <w:t>Corporación Foro Ciudadano</w:t>
            </w:r>
            <w:r w:rsidRPr="001E6058">
              <w:rPr>
                <w:rStyle w:val="FootnoteReference"/>
                <w:rFonts w:ascii="Cambria" w:hAnsi="Cambria"/>
                <w:bCs/>
                <w:sz w:val="20"/>
                <w:szCs w:val="20"/>
                <w:lang w:val="es-ES_tradnl"/>
              </w:rPr>
              <w:footnoteReference w:id="2"/>
            </w:r>
          </w:p>
        </w:tc>
      </w:tr>
      <w:tr w:rsidR="003239B8" w:rsidRPr="001E6058" w:rsidTr="004A6A54">
        <w:tc>
          <w:tcPr>
            <w:tcW w:w="3600" w:type="dxa"/>
            <w:tcBorders>
              <w:top w:val="single" w:sz="6" w:space="0" w:color="auto"/>
              <w:bottom w:val="single" w:sz="6" w:space="0" w:color="auto"/>
            </w:tcBorders>
            <w:shd w:val="clear" w:color="auto" w:fill="386294"/>
            <w:vAlign w:val="center"/>
          </w:tcPr>
          <w:p w:rsidR="003239B8" w:rsidRPr="001E6058" w:rsidRDefault="00E82491" w:rsidP="00F31995">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E6058">
                  <w:rPr>
                    <w:rFonts w:ascii="Cambria" w:hAnsi="Cambria"/>
                    <w:b/>
                    <w:bCs/>
                    <w:color w:val="FFFFFF" w:themeColor="background1"/>
                    <w:sz w:val="20"/>
                    <w:szCs w:val="20"/>
                    <w:lang w:val="es-ES_tradnl"/>
                  </w:rPr>
                  <w:t>Presunta víctima</w:t>
                </w:r>
              </w:sdtContent>
            </w:sdt>
            <w:r w:rsidR="003239B8" w:rsidRPr="001E6058">
              <w:rPr>
                <w:rFonts w:ascii="Cambria" w:hAnsi="Cambria"/>
                <w:b/>
                <w:bCs/>
                <w:color w:val="FFFFFF" w:themeColor="background1"/>
                <w:sz w:val="20"/>
                <w:szCs w:val="20"/>
                <w:lang w:val="es-ES_tradnl"/>
              </w:rPr>
              <w:t>:</w:t>
            </w:r>
          </w:p>
        </w:tc>
        <w:tc>
          <w:tcPr>
            <w:tcW w:w="5760" w:type="dxa"/>
            <w:vAlign w:val="center"/>
          </w:tcPr>
          <w:p w:rsidR="003239B8" w:rsidRPr="001E6058" w:rsidRDefault="004E7C19" w:rsidP="00F31995">
            <w:pPr>
              <w:jc w:val="both"/>
              <w:rPr>
                <w:rFonts w:ascii="Cambria" w:hAnsi="Cambria"/>
                <w:bCs/>
                <w:sz w:val="20"/>
                <w:szCs w:val="20"/>
                <w:lang w:val="es-ES_tradnl"/>
              </w:rPr>
            </w:pPr>
            <w:r w:rsidRPr="001E6058">
              <w:rPr>
                <w:rFonts w:ascii="Cambria" w:hAnsi="Cambria"/>
                <w:bCs/>
                <w:sz w:val="20"/>
                <w:szCs w:val="20"/>
                <w:lang w:val="es-ES_tradnl"/>
              </w:rPr>
              <w:t>Ciro Ramírez Pinzón</w:t>
            </w:r>
          </w:p>
        </w:tc>
      </w:tr>
      <w:tr w:rsidR="003239B8" w:rsidRPr="001E6058" w:rsidTr="004A6A54">
        <w:tc>
          <w:tcPr>
            <w:tcW w:w="3600" w:type="dxa"/>
            <w:tcBorders>
              <w:top w:val="single" w:sz="6" w:space="0" w:color="auto"/>
              <w:bottom w:val="single" w:sz="6" w:space="0" w:color="auto"/>
            </w:tcBorders>
            <w:shd w:val="clear" w:color="auto" w:fill="386294"/>
            <w:vAlign w:val="center"/>
          </w:tcPr>
          <w:p w:rsidR="003239B8" w:rsidRPr="001E6058" w:rsidRDefault="003239B8"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Estado denunciado:</w:t>
            </w:r>
          </w:p>
        </w:tc>
        <w:tc>
          <w:tcPr>
            <w:tcW w:w="5760" w:type="dxa"/>
            <w:vAlign w:val="center"/>
          </w:tcPr>
          <w:p w:rsidR="003239B8" w:rsidRPr="001E6058" w:rsidRDefault="004E7C19" w:rsidP="00F31995">
            <w:pPr>
              <w:jc w:val="both"/>
              <w:rPr>
                <w:rFonts w:ascii="Cambria" w:hAnsi="Cambria"/>
                <w:bCs/>
                <w:sz w:val="20"/>
                <w:szCs w:val="20"/>
                <w:lang w:val="es-ES_tradnl"/>
              </w:rPr>
            </w:pPr>
            <w:r w:rsidRPr="001E6058">
              <w:rPr>
                <w:rFonts w:ascii="Cambria" w:hAnsi="Cambria"/>
                <w:bCs/>
                <w:sz w:val="20"/>
                <w:szCs w:val="20"/>
                <w:lang w:val="es-ES_tradnl"/>
              </w:rPr>
              <w:t>Colombia</w:t>
            </w:r>
          </w:p>
        </w:tc>
      </w:tr>
      <w:tr w:rsidR="00223A29" w:rsidRPr="00B35695" w:rsidTr="004A6A54">
        <w:tc>
          <w:tcPr>
            <w:tcW w:w="3600" w:type="dxa"/>
            <w:tcBorders>
              <w:top w:val="single" w:sz="6" w:space="0" w:color="auto"/>
              <w:bottom w:val="single" w:sz="6" w:space="0" w:color="auto"/>
            </w:tcBorders>
            <w:shd w:val="clear" w:color="auto" w:fill="386294"/>
            <w:vAlign w:val="center"/>
          </w:tcPr>
          <w:p w:rsidR="00223A29" w:rsidRPr="001E6058" w:rsidRDefault="001B3A00" w:rsidP="00E4118C">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 xml:space="preserve">Derechos </w:t>
            </w:r>
            <w:r w:rsidR="00E4118C" w:rsidRPr="001E6058">
              <w:rPr>
                <w:rFonts w:ascii="Cambria" w:hAnsi="Cambria"/>
                <w:b/>
                <w:bCs/>
                <w:color w:val="FFFFFF" w:themeColor="background1"/>
                <w:sz w:val="20"/>
                <w:szCs w:val="20"/>
                <w:lang w:val="es-ES_tradnl"/>
              </w:rPr>
              <w:t>invocados</w:t>
            </w:r>
            <w:r w:rsidRPr="001E6058">
              <w:rPr>
                <w:rFonts w:ascii="Cambria" w:hAnsi="Cambria"/>
                <w:b/>
                <w:bCs/>
                <w:color w:val="FFFFFF" w:themeColor="background1"/>
                <w:sz w:val="20"/>
                <w:szCs w:val="20"/>
                <w:lang w:val="es-ES_tradnl"/>
              </w:rPr>
              <w:t>:</w:t>
            </w:r>
          </w:p>
        </w:tc>
        <w:tc>
          <w:tcPr>
            <w:tcW w:w="5760" w:type="dxa"/>
            <w:vAlign w:val="center"/>
          </w:tcPr>
          <w:p w:rsidR="00223A29" w:rsidRPr="001E6058" w:rsidRDefault="00E51FBA" w:rsidP="00F31995">
            <w:pPr>
              <w:jc w:val="both"/>
              <w:rPr>
                <w:rFonts w:ascii="Cambria" w:hAnsi="Cambria"/>
                <w:bCs/>
                <w:sz w:val="20"/>
                <w:szCs w:val="20"/>
                <w:lang w:val="es-ES_tradnl"/>
              </w:rPr>
            </w:pPr>
            <w:r w:rsidRPr="001E6058">
              <w:rPr>
                <w:rFonts w:ascii="Cambria" w:hAnsi="Cambria"/>
                <w:bCs/>
                <w:sz w:val="20"/>
                <w:szCs w:val="20"/>
                <w:lang w:val="es-ES_tradnl"/>
              </w:rPr>
              <w:t xml:space="preserve">Artículos 5 (integridad personal), 7 (libertad personal), 8 (garantías judiciales), 9 (principio de legalidad y de retroactividad), </w:t>
            </w:r>
            <w:r w:rsidR="00774912" w:rsidRPr="001E6058">
              <w:rPr>
                <w:rFonts w:ascii="Cambria" w:hAnsi="Cambria"/>
                <w:bCs/>
                <w:sz w:val="20"/>
                <w:szCs w:val="20"/>
                <w:lang w:val="es-ES_tradnl"/>
              </w:rPr>
              <w:t xml:space="preserve">10 (indemnización), 11 (protección de la honra y de la dignidad), </w:t>
            </w:r>
            <w:r w:rsidRPr="001E6058">
              <w:rPr>
                <w:rFonts w:ascii="Cambria" w:hAnsi="Cambria"/>
                <w:bCs/>
                <w:sz w:val="20"/>
                <w:szCs w:val="20"/>
                <w:lang w:val="es-ES_tradnl"/>
              </w:rPr>
              <w:t>21 (propiedad privada)</w:t>
            </w:r>
            <w:r w:rsidR="00774912" w:rsidRPr="001E6058">
              <w:rPr>
                <w:rFonts w:ascii="Cambria" w:hAnsi="Cambria"/>
                <w:bCs/>
                <w:sz w:val="20"/>
                <w:szCs w:val="20"/>
                <w:lang w:val="es-ES_tradnl"/>
              </w:rPr>
              <w:t>, 24 (igualdad ante la ley)</w:t>
            </w:r>
            <w:r w:rsidRPr="001E6058">
              <w:rPr>
                <w:rFonts w:ascii="Cambria" w:hAnsi="Cambria"/>
                <w:bCs/>
                <w:sz w:val="20"/>
                <w:szCs w:val="20"/>
                <w:lang w:val="es-ES_tradnl"/>
              </w:rPr>
              <w:t xml:space="preserve"> y 25 (protección judicial) de la Convención Americana sobre Derechos Humanos</w:t>
            </w:r>
            <w:r w:rsidRPr="001E6058">
              <w:rPr>
                <w:rStyle w:val="FootnoteReference"/>
                <w:rFonts w:ascii="Cambria" w:hAnsi="Cambria"/>
                <w:bCs/>
                <w:sz w:val="20"/>
                <w:szCs w:val="20"/>
                <w:lang w:val="es-ES_tradnl"/>
              </w:rPr>
              <w:footnoteReference w:id="3"/>
            </w:r>
            <w:r w:rsidRPr="001E6058">
              <w:rPr>
                <w:rFonts w:ascii="Cambria" w:hAnsi="Cambria"/>
                <w:bCs/>
                <w:sz w:val="20"/>
                <w:szCs w:val="20"/>
                <w:lang w:val="es-ES_tradnl"/>
              </w:rPr>
              <w:t>, en relación con sus artículos 1.1 (obligación de respetar los derechos) y 2 (deber de adoptar disposiciones de derecho interno)</w:t>
            </w:r>
          </w:p>
        </w:tc>
      </w:tr>
    </w:tbl>
    <w:p w:rsidR="003239B8" w:rsidRPr="001E6058" w:rsidRDefault="003239B8" w:rsidP="003239B8">
      <w:pPr>
        <w:spacing w:before="240" w:after="240"/>
        <w:ind w:firstLine="720"/>
        <w:jc w:val="both"/>
        <w:rPr>
          <w:rFonts w:asciiTheme="majorHAnsi" w:hAnsiTheme="majorHAnsi"/>
          <w:b/>
          <w:bCs/>
          <w:sz w:val="20"/>
          <w:szCs w:val="20"/>
          <w:lang w:val="es-ES_tradnl"/>
        </w:rPr>
      </w:pPr>
      <w:r w:rsidRPr="001E6058">
        <w:rPr>
          <w:rFonts w:asciiTheme="majorHAnsi" w:hAnsiTheme="majorHAnsi"/>
          <w:b/>
          <w:bCs/>
          <w:sz w:val="20"/>
          <w:szCs w:val="20"/>
          <w:lang w:val="es-ES_tradnl"/>
        </w:rPr>
        <w:t>II.</w:t>
      </w:r>
      <w:r w:rsidRPr="001E6058">
        <w:rPr>
          <w:rFonts w:asciiTheme="majorHAnsi" w:hAnsiTheme="majorHAnsi"/>
          <w:b/>
          <w:bCs/>
          <w:sz w:val="20"/>
          <w:szCs w:val="20"/>
          <w:lang w:val="es-ES_tradnl"/>
        </w:rPr>
        <w:tab/>
        <w:t>TRÁMITE ANTE LA CIDH</w:t>
      </w:r>
      <w:r w:rsidR="008E3BFE" w:rsidRPr="001E6058">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E6058" w:rsidTr="004A6A54">
        <w:tc>
          <w:tcPr>
            <w:tcW w:w="3600" w:type="dxa"/>
            <w:tcBorders>
              <w:top w:val="single" w:sz="6" w:space="0" w:color="auto"/>
              <w:bottom w:val="single" w:sz="6" w:space="0" w:color="auto"/>
            </w:tcBorders>
            <w:shd w:val="clear" w:color="auto" w:fill="386294"/>
            <w:vAlign w:val="center"/>
          </w:tcPr>
          <w:p w:rsidR="004C2312" w:rsidRPr="001E6058" w:rsidRDefault="004A6A54" w:rsidP="004A6A54">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P</w:t>
            </w:r>
            <w:r w:rsidR="004C2312" w:rsidRPr="001E6058">
              <w:rPr>
                <w:rFonts w:ascii="Cambria" w:hAnsi="Cambria"/>
                <w:b/>
                <w:bCs/>
                <w:color w:val="FFFFFF" w:themeColor="background1"/>
                <w:sz w:val="20"/>
                <w:szCs w:val="20"/>
                <w:lang w:val="es-ES_tradnl"/>
              </w:rPr>
              <w:t>resentación de la petición:</w:t>
            </w:r>
          </w:p>
        </w:tc>
        <w:tc>
          <w:tcPr>
            <w:tcW w:w="5760" w:type="dxa"/>
            <w:vAlign w:val="center"/>
          </w:tcPr>
          <w:p w:rsidR="004C2312" w:rsidRPr="001E6058" w:rsidRDefault="004E7C19" w:rsidP="00F31995">
            <w:pPr>
              <w:jc w:val="both"/>
              <w:rPr>
                <w:rFonts w:ascii="Cambria" w:hAnsi="Cambria"/>
                <w:bCs/>
                <w:sz w:val="20"/>
                <w:szCs w:val="20"/>
                <w:lang w:val="es-ES_tradnl"/>
              </w:rPr>
            </w:pPr>
            <w:r w:rsidRPr="001E6058">
              <w:rPr>
                <w:rFonts w:ascii="Cambria" w:hAnsi="Cambria"/>
                <w:bCs/>
                <w:sz w:val="20"/>
                <w:szCs w:val="20"/>
                <w:lang w:val="es-ES_tradnl"/>
              </w:rPr>
              <w:t>28 de agosto de 2011</w:t>
            </w:r>
          </w:p>
        </w:tc>
      </w:tr>
      <w:tr w:rsidR="00131425" w:rsidRPr="00B35695" w:rsidTr="004A6A54">
        <w:tc>
          <w:tcPr>
            <w:tcW w:w="3600" w:type="dxa"/>
            <w:tcBorders>
              <w:top w:val="single" w:sz="6" w:space="0" w:color="auto"/>
              <w:bottom w:val="single" w:sz="6" w:space="0" w:color="auto"/>
            </w:tcBorders>
            <w:shd w:val="clear" w:color="auto" w:fill="386294"/>
            <w:vAlign w:val="center"/>
          </w:tcPr>
          <w:p w:rsidR="00131425" w:rsidRPr="001E6058" w:rsidRDefault="00131425" w:rsidP="004A6A54">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Información adicional recibida durante la etapa de estudio:</w:t>
            </w:r>
          </w:p>
        </w:tc>
        <w:tc>
          <w:tcPr>
            <w:tcW w:w="5760" w:type="dxa"/>
            <w:vAlign w:val="center"/>
          </w:tcPr>
          <w:p w:rsidR="00131425" w:rsidRPr="001E6058" w:rsidRDefault="00E51FBA" w:rsidP="00F31995">
            <w:pPr>
              <w:jc w:val="both"/>
              <w:rPr>
                <w:rFonts w:ascii="Cambria" w:hAnsi="Cambria"/>
                <w:bCs/>
                <w:sz w:val="20"/>
                <w:szCs w:val="20"/>
                <w:lang w:val="es-ES_tradnl"/>
              </w:rPr>
            </w:pPr>
            <w:r w:rsidRPr="001E6058">
              <w:rPr>
                <w:rFonts w:ascii="Cambria" w:hAnsi="Cambria"/>
                <w:bCs/>
                <w:sz w:val="20"/>
                <w:szCs w:val="20"/>
                <w:lang w:val="es-ES_tradnl"/>
              </w:rPr>
              <w:t>28 de noviembre de 2012</w:t>
            </w:r>
            <w:r w:rsidR="00B858E4" w:rsidRPr="001E6058">
              <w:rPr>
                <w:rFonts w:ascii="Cambria" w:hAnsi="Cambria"/>
                <w:bCs/>
                <w:sz w:val="20"/>
                <w:szCs w:val="20"/>
                <w:lang w:val="es-ES_tradnl"/>
              </w:rPr>
              <w:t xml:space="preserve"> y</w:t>
            </w:r>
            <w:r w:rsidR="005A282C" w:rsidRPr="001E6058">
              <w:rPr>
                <w:rFonts w:ascii="Cambria" w:hAnsi="Cambria"/>
                <w:bCs/>
                <w:sz w:val="20"/>
                <w:szCs w:val="20"/>
                <w:lang w:val="es-ES_tradnl"/>
              </w:rPr>
              <w:t xml:space="preserve"> 31 de agosto de 2018</w:t>
            </w:r>
          </w:p>
        </w:tc>
      </w:tr>
      <w:tr w:rsidR="004C2312" w:rsidRPr="001E6058" w:rsidTr="004A6A54">
        <w:tc>
          <w:tcPr>
            <w:tcW w:w="3600" w:type="dxa"/>
            <w:tcBorders>
              <w:top w:val="single" w:sz="6" w:space="0" w:color="auto"/>
              <w:bottom w:val="single" w:sz="6" w:space="0" w:color="auto"/>
            </w:tcBorders>
            <w:shd w:val="clear" w:color="auto" w:fill="386294"/>
            <w:vAlign w:val="center"/>
          </w:tcPr>
          <w:p w:rsidR="004C2312" w:rsidRPr="001E6058" w:rsidRDefault="004A6A54" w:rsidP="004A6A54">
            <w:pPr>
              <w:jc w:val="center"/>
              <w:rPr>
                <w:rFonts w:ascii="Cambria" w:hAnsi="Cambria"/>
                <w:b/>
                <w:bCs/>
                <w:color w:val="FFFFFF" w:themeColor="background1"/>
                <w:sz w:val="20"/>
                <w:szCs w:val="20"/>
                <w:lang w:val="es-ES_tradnl"/>
              </w:rPr>
            </w:pPr>
            <w:r w:rsidRPr="001E6058">
              <w:rPr>
                <w:rFonts w:ascii="Cambria" w:hAnsi="Cambria"/>
                <w:b/>
                <w:color w:val="FFFFFF" w:themeColor="background1"/>
                <w:sz w:val="20"/>
                <w:szCs w:val="20"/>
                <w:lang w:val="es-ES_tradnl"/>
              </w:rPr>
              <w:t>N</w:t>
            </w:r>
            <w:r w:rsidR="004C2312" w:rsidRPr="001E6058">
              <w:rPr>
                <w:rFonts w:ascii="Cambria" w:hAnsi="Cambria"/>
                <w:b/>
                <w:color w:val="FFFFFF" w:themeColor="background1"/>
                <w:sz w:val="20"/>
                <w:szCs w:val="20"/>
                <w:lang w:val="es-ES_tradnl"/>
              </w:rPr>
              <w:t>otificación de la petición al Estado:</w:t>
            </w:r>
          </w:p>
        </w:tc>
        <w:tc>
          <w:tcPr>
            <w:tcW w:w="5760" w:type="dxa"/>
            <w:vAlign w:val="center"/>
          </w:tcPr>
          <w:p w:rsidR="004C2312" w:rsidRPr="001E6058" w:rsidRDefault="00E51FBA" w:rsidP="00F31995">
            <w:pPr>
              <w:jc w:val="both"/>
              <w:rPr>
                <w:rFonts w:ascii="Cambria" w:hAnsi="Cambria"/>
                <w:bCs/>
                <w:sz w:val="20"/>
                <w:szCs w:val="20"/>
                <w:lang w:val="es-ES_tradnl"/>
              </w:rPr>
            </w:pPr>
            <w:r w:rsidRPr="001E6058">
              <w:rPr>
                <w:rFonts w:ascii="Cambria" w:hAnsi="Cambria"/>
                <w:bCs/>
                <w:sz w:val="20"/>
                <w:szCs w:val="20"/>
                <w:lang w:val="es-ES_tradnl"/>
              </w:rPr>
              <w:t>16 de diciembre de 2015</w:t>
            </w:r>
          </w:p>
        </w:tc>
      </w:tr>
      <w:tr w:rsidR="004C2312" w:rsidRPr="001E6058" w:rsidTr="004A6A54">
        <w:tc>
          <w:tcPr>
            <w:tcW w:w="3600" w:type="dxa"/>
            <w:tcBorders>
              <w:top w:val="single" w:sz="6" w:space="0" w:color="auto"/>
              <w:bottom w:val="single" w:sz="6" w:space="0" w:color="auto"/>
            </w:tcBorders>
            <w:shd w:val="clear" w:color="auto" w:fill="386294"/>
            <w:vAlign w:val="center"/>
          </w:tcPr>
          <w:p w:rsidR="004C2312" w:rsidRPr="001E6058" w:rsidRDefault="004A6A54" w:rsidP="004A6A54">
            <w:pPr>
              <w:jc w:val="center"/>
              <w:rPr>
                <w:rFonts w:ascii="Cambria" w:hAnsi="Cambria"/>
                <w:b/>
                <w:bCs/>
                <w:color w:val="FFFFFF" w:themeColor="background1"/>
                <w:sz w:val="20"/>
                <w:szCs w:val="20"/>
                <w:lang w:val="es-ES_tradnl"/>
              </w:rPr>
            </w:pPr>
            <w:r w:rsidRPr="001E6058">
              <w:rPr>
                <w:rFonts w:ascii="Cambria" w:hAnsi="Cambria"/>
                <w:b/>
                <w:color w:val="FFFFFF" w:themeColor="background1"/>
                <w:sz w:val="20"/>
                <w:szCs w:val="20"/>
                <w:lang w:val="es-ES_tradnl"/>
              </w:rPr>
              <w:t>P</w:t>
            </w:r>
            <w:r w:rsidR="004C2312" w:rsidRPr="001E6058">
              <w:rPr>
                <w:rFonts w:ascii="Cambria" w:hAnsi="Cambria"/>
                <w:b/>
                <w:color w:val="FFFFFF" w:themeColor="background1"/>
                <w:sz w:val="20"/>
                <w:szCs w:val="20"/>
                <w:lang w:val="es-ES_tradnl"/>
              </w:rPr>
              <w:t>rimera respuesta del Estado:</w:t>
            </w:r>
          </w:p>
        </w:tc>
        <w:tc>
          <w:tcPr>
            <w:tcW w:w="5760" w:type="dxa"/>
            <w:vAlign w:val="center"/>
          </w:tcPr>
          <w:p w:rsidR="004C2312" w:rsidRPr="001E6058" w:rsidRDefault="005A282C" w:rsidP="00F31995">
            <w:pPr>
              <w:jc w:val="both"/>
              <w:rPr>
                <w:rFonts w:ascii="Cambria" w:hAnsi="Cambria"/>
                <w:bCs/>
                <w:sz w:val="20"/>
                <w:szCs w:val="20"/>
                <w:lang w:val="es-ES_tradnl"/>
              </w:rPr>
            </w:pPr>
            <w:r w:rsidRPr="001E6058">
              <w:rPr>
                <w:rFonts w:ascii="Cambria" w:hAnsi="Cambria"/>
                <w:bCs/>
                <w:sz w:val="20"/>
                <w:szCs w:val="20"/>
                <w:lang w:val="es-ES_tradnl"/>
              </w:rPr>
              <w:t>14 de noviembre de 2016</w:t>
            </w:r>
          </w:p>
        </w:tc>
      </w:tr>
      <w:tr w:rsidR="004C2312" w:rsidRPr="001E6058" w:rsidTr="004A6A54">
        <w:tc>
          <w:tcPr>
            <w:tcW w:w="3600" w:type="dxa"/>
            <w:tcBorders>
              <w:top w:val="single" w:sz="6" w:space="0" w:color="auto"/>
              <w:bottom w:val="single" w:sz="6" w:space="0" w:color="auto"/>
            </w:tcBorders>
            <w:shd w:val="clear" w:color="auto" w:fill="386294"/>
            <w:vAlign w:val="center"/>
          </w:tcPr>
          <w:p w:rsidR="004C2312" w:rsidRPr="001E6058" w:rsidRDefault="008E3BFE" w:rsidP="008E3BFE">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Observaciones adicionales de la parte peticionaria:</w:t>
            </w:r>
          </w:p>
        </w:tc>
        <w:tc>
          <w:tcPr>
            <w:tcW w:w="5760" w:type="dxa"/>
            <w:vAlign w:val="center"/>
          </w:tcPr>
          <w:p w:rsidR="004C2312" w:rsidRPr="001E6058" w:rsidRDefault="005A282C" w:rsidP="00F31995">
            <w:pPr>
              <w:jc w:val="both"/>
              <w:rPr>
                <w:rFonts w:ascii="Cambria" w:hAnsi="Cambria"/>
                <w:bCs/>
                <w:sz w:val="20"/>
                <w:szCs w:val="20"/>
                <w:lang w:val="es-ES_tradnl"/>
              </w:rPr>
            </w:pPr>
            <w:r w:rsidRPr="001E6058">
              <w:rPr>
                <w:rFonts w:ascii="Cambria" w:hAnsi="Cambria"/>
                <w:bCs/>
                <w:sz w:val="20"/>
                <w:szCs w:val="20"/>
                <w:lang w:val="es-ES_tradnl"/>
              </w:rPr>
              <w:t>5 de mayo de 2018</w:t>
            </w:r>
          </w:p>
        </w:tc>
      </w:tr>
    </w:tbl>
    <w:p w:rsidR="003239B8" w:rsidRPr="001E6058" w:rsidRDefault="003239B8" w:rsidP="003239B8">
      <w:pPr>
        <w:spacing w:before="240" w:after="240"/>
        <w:ind w:firstLine="720"/>
        <w:jc w:val="both"/>
        <w:rPr>
          <w:rFonts w:asciiTheme="majorHAnsi" w:hAnsiTheme="majorHAnsi"/>
          <w:b/>
          <w:bCs/>
          <w:sz w:val="20"/>
          <w:szCs w:val="20"/>
          <w:lang w:val="es-ES_tradnl"/>
        </w:rPr>
      </w:pPr>
      <w:r w:rsidRPr="001E6058">
        <w:rPr>
          <w:rFonts w:asciiTheme="majorHAnsi" w:hAnsiTheme="majorHAnsi"/>
          <w:b/>
          <w:bCs/>
          <w:sz w:val="20"/>
          <w:szCs w:val="20"/>
          <w:lang w:val="es-ES_tradnl"/>
        </w:rPr>
        <w:t xml:space="preserve">III. </w:t>
      </w:r>
      <w:r w:rsidRPr="001E6058">
        <w:rPr>
          <w:rFonts w:asciiTheme="majorHAnsi" w:hAnsiTheme="majorHAnsi"/>
          <w:b/>
          <w:bCs/>
          <w:sz w:val="20"/>
          <w:szCs w:val="20"/>
          <w:lang w:val="es-ES_tradnl"/>
        </w:rPr>
        <w:tab/>
        <w:t>COMPETENCIA</w:t>
      </w:r>
      <w:r w:rsidR="00EE00E9" w:rsidRPr="001E6058">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E6058" w:rsidTr="004A6A54">
        <w:trPr>
          <w:cantSplit/>
        </w:trPr>
        <w:tc>
          <w:tcPr>
            <w:tcW w:w="3600" w:type="dxa"/>
            <w:tcBorders>
              <w:top w:val="single" w:sz="4" w:space="0" w:color="auto"/>
              <w:bottom w:val="single" w:sz="6" w:space="0" w:color="auto"/>
            </w:tcBorders>
            <w:shd w:val="clear" w:color="auto" w:fill="386294"/>
            <w:vAlign w:val="center"/>
          </w:tcPr>
          <w:p w:rsidR="003239B8" w:rsidRPr="001E6058" w:rsidRDefault="003239B8" w:rsidP="00F31995">
            <w:pPr>
              <w:jc w:val="center"/>
              <w:rPr>
                <w:rFonts w:ascii="Cambria" w:hAnsi="Cambria"/>
                <w:b/>
                <w:bCs/>
                <w:i/>
                <w:color w:val="FFFFFF" w:themeColor="background1"/>
                <w:sz w:val="20"/>
                <w:szCs w:val="20"/>
                <w:lang w:val="es-ES_tradnl"/>
              </w:rPr>
            </w:pPr>
            <w:r w:rsidRPr="001E6058">
              <w:rPr>
                <w:rFonts w:ascii="Cambria" w:hAnsi="Cambria"/>
                <w:b/>
                <w:bCs/>
                <w:color w:val="FFFFFF" w:themeColor="background1"/>
                <w:sz w:val="20"/>
                <w:szCs w:val="20"/>
                <w:lang w:val="es-ES_tradnl"/>
              </w:rPr>
              <w:t>Competencia</w:t>
            </w:r>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Ratione</w:t>
            </w:r>
            <w:proofErr w:type="spellEnd"/>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personae</w:t>
            </w:r>
            <w:proofErr w:type="spellEnd"/>
            <w:r w:rsidRPr="001E6058">
              <w:rPr>
                <w:rFonts w:ascii="Cambria" w:hAnsi="Cambria"/>
                <w:b/>
                <w:bCs/>
                <w:i/>
                <w:color w:val="FFFFFF" w:themeColor="background1"/>
                <w:sz w:val="20"/>
                <w:szCs w:val="20"/>
                <w:lang w:val="es-ES_tradnl"/>
              </w:rPr>
              <w:t>:</w:t>
            </w:r>
          </w:p>
        </w:tc>
        <w:tc>
          <w:tcPr>
            <w:tcW w:w="5760" w:type="dxa"/>
            <w:vAlign w:val="center"/>
          </w:tcPr>
          <w:p w:rsidR="003239B8" w:rsidRPr="001E6058" w:rsidRDefault="004E7C19" w:rsidP="00F31995">
            <w:pPr>
              <w:rPr>
                <w:rFonts w:ascii="Cambria" w:hAnsi="Cambria"/>
                <w:bCs/>
                <w:sz w:val="20"/>
                <w:szCs w:val="20"/>
                <w:lang w:val="es-ES_tradnl"/>
              </w:rPr>
            </w:pPr>
            <w:r w:rsidRPr="001E6058">
              <w:rPr>
                <w:rFonts w:ascii="Cambria" w:hAnsi="Cambria"/>
                <w:bCs/>
                <w:sz w:val="20"/>
                <w:szCs w:val="20"/>
                <w:lang w:val="es-ES_tradnl"/>
              </w:rPr>
              <w:t>Sí</w:t>
            </w:r>
          </w:p>
        </w:tc>
      </w:tr>
      <w:tr w:rsidR="003239B8" w:rsidRPr="001E6058" w:rsidTr="004A6A54">
        <w:trPr>
          <w:cantSplit/>
        </w:trPr>
        <w:tc>
          <w:tcPr>
            <w:tcW w:w="3600" w:type="dxa"/>
            <w:tcBorders>
              <w:top w:val="single" w:sz="6" w:space="0" w:color="auto"/>
              <w:bottom w:val="single" w:sz="6" w:space="0" w:color="auto"/>
            </w:tcBorders>
            <w:shd w:val="clear" w:color="auto" w:fill="386294"/>
            <w:vAlign w:val="center"/>
          </w:tcPr>
          <w:p w:rsidR="003239B8" w:rsidRPr="001E6058" w:rsidRDefault="003239B8"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Competencia</w:t>
            </w:r>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Ratione</w:t>
            </w:r>
            <w:proofErr w:type="spellEnd"/>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loci</w:t>
            </w:r>
            <w:proofErr w:type="spellEnd"/>
            <w:r w:rsidRPr="001E6058">
              <w:rPr>
                <w:rFonts w:ascii="Cambria" w:hAnsi="Cambria"/>
                <w:b/>
                <w:bCs/>
                <w:color w:val="FFFFFF" w:themeColor="background1"/>
                <w:sz w:val="20"/>
                <w:szCs w:val="20"/>
                <w:lang w:val="es-ES_tradnl"/>
              </w:rPr>
              <w:t>:</w:t>
            </w:r>
          </w:p>
        </w:tc>
        <w:tc>
          <w:tcPr>
            <w:tcW w:w="5760" w:type="dxa"/>
            <w:vAlign w:val="center"/>
          </w:tcPr>
          <w:p w:rsidR="003239B8" w:rsidRPr="001E6058" w:rsidRDefault="004E7C19" w:rsidP="00F31995">
            <w:pPr>
              <w:rPr>
                <w:rFonts w:ascii="Cambria" w:hAnsi="Cambria"/>
                <w:bCs/>
                <w:sz w:val="20"/>
                <w:szCs w:val="20"/>
                <w:lang w:val="es-ES_tradnl"/>
              </w:rPr>
            </w:pPr>
            <w:r w:rsidRPr="001E6058">
              <w:rPr>
                <w:rFonts w:ascii="Cambria" w:hAnsi="Cambria"/>
                <w:bCs/>
                <w:sz w:val="20"/>
                <w:szCs w:val="20"/>
                <w:lang w:val="es-ES_tradnl"/>
              </w:rPr>
              <w:t>Sí</w:t>
            </w:r>
          </w:p>
        </w:tc>
      </w:tr>
      <w:tr w:rsidR="003239B8" w:rsidRPr="001E6058" w:rsidTr="004A6A54">
        <w:trPr>
          <w:cantSplit/>
        </w:trPr>
        <w:tc>
          <w:tcPr>
            <w:tcW w:w="3600" w:type="dxa"/>
            <w:tcBorders>
              <w:top w:val="single" w:sz="6" w:space="0" w:color="auto"/>
              <w:bottom w:val="single" w:sz="6" w:space="0" w:color="auto"/>
            </w:tcBorders>
            <w:shd w:val="clear" w:color="auto" w:fill="386294"/>
            <w:vAlign w:val="center"/>
          </w:tcPr>
          <w:p w:rsidR="003239B8" w:rsidRPr="001E6058" w:rsidRDefault="003239B8"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Competencia</w:t>
            </w:r>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Ratione</w:t>
            </w:r>
            <w:proofErr w:type="spellEnd"/>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temporis</w:t>
            </w:r>
            <w:proofErr w:type="spellEnd"/>
            <w:r w:rsidRPr="001E6058">
              <w:rPr>
                <w:rFonts w:ascii="Cambria" w:hAnsi="Cambria"/>
                <w:b/>
                <w:bCs/>
                <w:color w:val="FFFFFF" w:themeColor="background1"/>
                <w:sz w:val="20"/>
                <w:szCs w:val="20"/>
                <w:lang w:val="es-ES_tradnl"/>
              </w:rPr>
              <w:t>:</w:t>
            </w:r>
          </w:p>
        </w:tc>
        <w:tc>
          <w:tcPr>
            <w:tcW w:w="5760" w:type="dxa"/>
            <w:vAlign w:val="center"/>
          </w:tcPr>
          <w:p w:rsidR="003239B8" w:rsidRPr="001E6058" w:rsidRDefault="004E7C19" w:rsidP="00F31995">
            <w:pPr>
              <w:rPr>
                <w:rFonts w:ascii="Cambria" w:hAnsi="Cambria"/>
                <w:bCs/>
                <w:sz w:val="20"/>
                <w:szCs w:val="20"/>
                <w:lang w:val="es-ES_tradnl"/>
              </w:rPr>
            </w:pPr>
            <w:r w:rsidRPr="001E6058">
              <w:rPr>
                <w:rFonts w:ascii="Cambria" w:hAnsi="Cambria"/>
                <w:bCs/>
                <w:sz w:val="20"/>
                <w:szCs w:val="20"/>
                <w:lang w:val="es-ES_tradnl"/>
              </w:rPr>
              <w:t>Sí</w:t>
            </w:r>
          </w:p>
        </w:tc>
      </w:tr>
      <w:tr w:rsidR="003239B8" w:rsidRPr="00B35695" w:rsidTr="004A6A54">
        <w:trPr>
          <w:cantSplit/>
        </w:trPr>
        <w:tc>
          <w:tcPr>
            <w:tcW w:w="3600" w:type="dxa"/>
            <w:tcBorders>
              <w:top w:val="single" w:sz="6" w:space="0" w:color="auto"/>
              <w:bottom w:val="single" w:sz="6" w:space="0" w:color="auto"/>
            </w:tcBorders>
            <w:shd w:val="clear" w:color="auto" w:fill="386294"/>
            <w:vAlign w:val="center"/>
          </w:tcPr>
          <w:p w:rsidR="003239B8" w:rsidRPr="001E6058" w:rsidRDefault="003239B8"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Competencia</w:t>
            </w:r>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Ratione</w:t>
            </w:r>
            <w:proofErr w:type="spellEnd"/>
            <w:r w:rsidRPr="001E6058">
              <w:rPr>
                <w:rFonts w:ascii="Cambria" w:hAnsi="Cambria"/>
                <w:b/>
                <w:bCs/>
                <w:i/>
                <w:color w:val="FFFFFF" w:themeColor="background1"/>
                <w:sz w:val="20"/>
                <w:szCs w:val="20"/>
                <w:lang w:val="es-ES_tradnl"/>
              </w:rPr>
              <w:t xml:space="preserve"> </w:t>
            </w:r>
            <w:proofErr w:type="spellStart"/>
            <w:r w:rsidRPr="001E6058">
              <w:rPr>
                <w:rFonts w:ascii="Cambria" w:hAnsi="Cambria"/>
                <w:b/>
                <w:bCs/>
                <w:i/>
                <w:color w:val="FFFFFF" w:themeColor="background1"/>
                <w:sz w:val="20"/>
                <w:szCs w:val="20"/>
                <w:lang w:val="es-ES_tradnl"/>
              </w:rPr>
              <w:t>materia</w:t>
            </w:r>
            <w:r w:rsidR="00EE00E9" w:rsidRPr="001E6058">
              <w:rPr>
                <w:rFonts w:ascii="Cambria" w:hAnsi="Cambria"/>
                <w:b/>
                <w:bCs/>
                <w:i/>
                <w:color w:val="FFFFFF" w:themeColor="background1"/>
                <w:sz w:val="20"/>
                <w:szCs w:val="20"/>
                <w:lang w:val="es-ES_tradnl"/>
              </w:rPr>
              <w:t>e</w:t>
            </w:r>
            <w:proofErr w:type="spellEnd"/>
            <w:r w:rsidRPr="001E6058">
              <w:rPr>
                <w:rFonts w:ascii="Cambria" w:hAnsi="Cambria"/>
                <w:b/>
                <w:bCs/>
                <w:color w:val="FFFFFF" w:themeColor="background1"/>
                <w:sz w:val="20"/>
                <w:szCs w:val="20"/>
                <w:lang w:val="es-ES_tradnl"/>
              </w:rPr>
              <w:t>:</w:t>
            </w:r>
          </w:p>
        </w:tc>
        <w:tc>
          <w:tcPr>
            <w:tcW w:w="5760" w:type="dxa"/>
            <w:vAlign w:val="center"/>
          </w:tcPr>
          <w:p w:rsidR="003239B8" w:rsidRPr="001E6058" w:rsidRDefault="004E7C19" w:rsidP="00F31995">
            <w:pPr>
              <w:jc w:val="both"/>
              <w:rPr>
                <w:rFonts w:ascii="Cambria" w:hAnsi="Cambria"/>
                <w:bCs/>
                <w:sz w:val="20"/>
                <w:szCs w:val="20"/>
                <w:lang w:val="es-ES_tradnl"/>
              </w:rPr>
            </w:pPr>
            <w:r w:rsidRPr="001E6058">
              <w:rPr>
                <w:rFonts w:asciiTheme="majorHAnsi" w:hAnsiTheme="majorHAnsi"/>
                <w:bCs/>
                <w:sz w:val="20"/>
                <w:szCs w:val="20"/>
                <w:lang w:val="es-ES_tradnl"/>
              </w:rPr>
              <w:t>Sí, Convención Americana (depósito del instrumento de ratificación realizado el 31 de julio de 1973)</w:t>
            </w:r>
          </w:p>
        </w:tc>
      </w:tr>
    </w:tbl>
    <w:p w:rsidR="003239B8" w:rsidRPr="001E6058" w:rsidRDefault="003239B8" w:rsidP="003239B8">
      <w:pPr>
        <w:spacing w:before="240" w:after="240"/>
        <w:ind w:firstLine="720"/>
        <w:jc w:val="both"/>
        <w:rPr>
          <w:rFonts w:asciiTheme="majorHAnsi" w:hAnsiTheme="majorHAnsi"/>
          <w:b/>
          <w:bCs/>
          <w:sz w:val="20"/>
          <w:szCs w:val="20"/>
          <w:lang w:val="es-ES_tradnl"/>
        </w:rPr>
      </w:pPr>
      <w:r w:rsidRPr="001E6058">
        <w:rPr>
          <w:rFonts w:asciiTheme="majorHAnsi" w:hAnsiTheme="majorHAnsi"/>
          <w:b/>
          <w:bCs/>
          <w:sz w:val="20"/>
          <w:szCs w:val="20"/>
          <w:lang w:val="es-ES_tradnl"/>
        </w:rPr>
        <w:t xml:space="preserve">IV. </w:t>
      </w:r>
      <w:r w:rsidRPr="001E6058">
        <w:rPr>
          <w:rFonts w:asciiTheme="majorHAnsi" w:hAnsiTheme="majorHAnsi"/>
          <w:b/>
          <w:bCs/>
          <w:sz w:val="20"/>
          <w:szCs w:val="20"/>
          <w:lang w:val="es-ES_tradnl"/>
        </w:rPr>
        <w:tab/>
      </w:r>
      <w:r w:rsidR="00EE00E9" w:rsidRPr="001E6058">
        <w:rPr>
          <w:rFonts w:asciiTheme="majorHAnsi" w:hAnsiTheme="majorHAnsi"/>
          <w:b/>
          <w:bCs/>
          <w:sz w:val="20"/>
          <w:szCs w:val="20"/>
          <w:lang w:val="es-ES_tradnl"/>
        </w:rPr>
        <w:t>DUPLICACIÓN</w:t>
      </w:r>
      <w:r w:rsidR="00EE00E9" w:rsidRPr="001E6058">
        <w:rPr>
          <w:rFonts w:asciiTheme="majorHAnsi" w:hAnsiTheme="majorHAnsi"/>
          <w:b/>
          <w:bCs/>
          <w:color w:val="FFFFFF" w:themeColor="background1"/>
          <w:sz w:val="20"/>
          <w:szCs w:val="20"/>
          <w:lang w:val="es-ES_tradnl"/>
        </w:rPr>
        <w:t xml:space="preserve"> </w:t>
      </w:r>
      <w:r w:rsidR="00EE00E9" w:rsidRPr="001E6058">
        <w:rPr>
          <w:rFonts w:asciiTheme="majorHAnsi" w:hAnsiTheme="majorHAnsi"/>
          <w:b/>
          <w:bCs/>
          <w:sz w:val="20"/>
          <w:szCs w:val="20"/>
          <w:lang w:val="es-ES_tradnl"/>
        </w:rPr>
        <w:t>DE PROCEDIMIENTOS Y COSA JUZGADA</w:t>
      </w:r>
      <w:r w:rsidR="00EE00E9" w:rsidRPr="001E6058">
        <w:rPr>
          <w:rFonts w:asciiTheme="majorHAnsi" w:hAnsiTheme="majorHAnsi"/>
          <w:b/>
          <w:bCs/>
          <w:i/>
          <w:sz w:val="20"/>
          <w:szCs w:val="20"/>
          <w:lang w:val="es-ES_tradnl"/>
        </w:rPr>
        <w:t xml:space="preserve"> </w:t>
      </w:r>
      <w:r w:rsidR="00EE00E9" w:rsidRPr="001E6058">
        <w:rPr>
          <w:rFonts w:asciiTheme="majorHAnsi" w:hAnsiTheme="majorHAnsi"/>
          <w:b/>
          <w:bCs/>
          <w:sz w:val="20"/>
          <w:szCs w:val="20"/>
          <w:lang w:val="es-ES_tradnl"/>
        </w:rPr>
        <w:t>INTERNACIONAL,</w:t>
      </w:r>
      <w:r w:rsidRPr="001E6058">
        <w:rPr>
          <w:rFonts w:asciiTheme="majorHAnsi" w:hAnsiTheme="majorHAnsi"/>
          <w:b/>
          <w:bCs/>
          <w:sz w:val="20"/>
          <w:szCs w:val="20"/>
          <w:lang w:val="es-ES_tradnl"/>
        </w:rPr>
        <w:t xml:space="preserve"> CARACTERIZACIÓN, </w:t>
      </w:r>
      <w:r w:rsidRPr="001E6058">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E6058" w:rsidTr="004A6A54">
        <w:trPr>
          <w:cantSplit/>
        </w:trPr>
        <w:tc>
          <w:tcPr>
            <w:tcW w:w="3600" w:type="dxa"/>
            <w:tcBorders>
              <w:top w:val="single" w:sz="4" w:space="0" w:color="auto"/>
              <w:bottom w:val="single" w:sz="6" w:space="0" w:color="auto"/>
            </w:tcBorders>
            <w:shd w:val="clear" w:color="auto" w:fill="386294"/>
            <w:vAlign w:val="center"/>
          </w:tcPr>
          <w:p w:rsidR="00EE00E9" w:rsidRPr="001E6058" w:rsidRDefault="00EE00E9"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Duplicación de procedimientos y cosa juzgada internacional:</w:t>
            </w:r>
          </w:p>
        </w:tc>
        <w:tc>
          <w:tcPr>
            <w:tcW w:w="5760" w:type="dxa"/>
            <w:vAlign w:val="center"/>
          </w:tcPr>
          <w:p w:rsidR="00EE00E9" w:rsidRPr="001E6058" w:rsidRDefault="003419D7" w:rsidP="00F31995">
            <w:pPr>
              <w:jc w:val="both"/>
              <w:rPr>
                <w:rFonts w:ascii="Cambria" w:hAnsi="Cambria"/>
                <w:bCs/>
                <w:sz w:val="20"/>
                <w:szCs w:val="20"/>
                <w:lang w:val="es-ES_tradnl"/>
              </w:rPr>
            </w:pPr>
            <w:r w:rsidRPr="001E6058">
              <w:rPr>
                <w:rFonts w:ascii="Cambria" w:hAnsi="Cambria"/>
                <w:bCs/>
                <w:sz w:val="20"/>
                <w:szCs w:val="20"/>
                <w:lang w:val="es-ES_tradnl"/>
              </w:rPr>
              <w:t>No</w:t>
            </w:r>
          </w:p>
        </w:tc>
      </w:tr>
      <w:tr w:rsidR="003239B8" w:rsidRPr="00B35695" w:rsidTr="004A6A54">
        <w:trPr>
          <w:cantSplit/>
        </w:trPr>
        <w:tc>
          <w:tcPr>
            <w:tcW w:w="3600" w:type="dxa"/>
            <w:tcBorders>
              <w:top w:val="single" w:sz="4" w:space="0" w:color="auto"/>
              <w:bottom w:val="single" w:sz="6" w:space="0" w:color="auto"/>
            </w:tcBorders>
            <w:shd w:val="clear" w:color="auto" w:fill="386294"/>
            <w:vAlign w:val="center"/>
          </w:tcPr>
          <w:p w:rsidR="003239B8" w:rsidRPr="001E6058" w:rsidRDefault="003239B8" w:rsidP="00F31995">
            <w:pPr>
              <w:jc w:val="center"/>
              <w:rPr>
                <w:rFonts w:ascii="Cambria" w:hAnsi="Cambria"/>
                <w:b/>
                <w:bCs/>
                <w:i/>
                <w:color w:val="FFFFFF" w:themeColor="background1"/>
                <w:sz w:val="20"/>
                <w:szCs w:val="20"/>
                <w:lang w:val="es-ES_tradnl"/>
              </w:rPr>
            </w:pPr>
            <w:r w:rsidRPr="001E6058">
              <w:rPr>
                <w:rFonts w:ascii="Cambria" w:hAnsi="Cambria"/>
                <w:b/>
                <w:bCs/>
                <w:color w:val="FFFFFF" w:themeColor="background1"/>
                <w:sz w:val="20"/>
                <w:szCs w:val="20"/>
                <w:lang w:val="es-ES_tradnl"/>
              </w:rPr>
              <w:t>Derechos declarados admisibles</w:t>
            </w:r>
            <w:r w:rsidRPr="001E6058">
              <w:rPr>
                <w:rFonts w:ascii="Cambria" w:hAnsi="Cambria"/>
                <w:b/>
                <w:bCs/>
                <w:i/>
                <w:color w:val="FFFFFF" w:themeColor="background1"/>
                <w:sz w:val="20"/>
                <w:szCs w:val="20"/>
                <w:lang w:val="es-ES_tradnl"/>
              </w:rPr>
              <w:t>:</w:t>
            </w:r>
          </w:p>
        </w:tc>
        <w:tc>
          <w:tcPr>
            <w:tcW w:w="5760" w:type="dxa"/>
            <w:vAlign w:val="center"/>
          </w:tcPr>
          <w:p w:rsidR="003239B8" w:rsidRPr="001E6058" w:rsidRDefault="00EE6AC9" w:rsidP="003E4ED6">
            <w:pPr>
              <w:jc w:val="both"/>
              <w:rPr>
                <w:rFonts w:ascii="Cambria" w:hAnsi="Cambria"/>
                <w:bCs/>
                <w:sz w:val="20"/>
                <w:szCs w:val="20"/>
                <w:lang w:val="es-ES_tradnl"/>
              </w:rPr>
            </w:pPr>
            <w:r w:rsidRPr="001E6058">
              <w:rPr>
                <w:rFonts w:asciiTheme="majorHAnsi" w:hAnsiTheme="majorHAnsi"/>
                <w:bCs/>
                <w:sz w:val="20"/>
                <w:szCs w:val="20"/>
                <w:lang w:val="es-ES_tradnl"/>
              </w:rPr>
              <w:t>Artículos 7 (libertad personal), 8 (garantías judiciales)</w:t>
            </w:r>
            <w:r w:rsidR="00BD29BE" w:rsidRPr="001E6058">
              <w:rPr>
                <w:rFonts w:asciiTheme="majorHAnsi" w:hAnsiTheme="majorHAnsi"/>
                <w:bCs/>
                <w:sz w:val="20"/>
                <w:szCs w:val="20"/>
                <w:lang w:val="es-ES_tradnl"/>
              </w:rPr>
              <w:t>, 21 (propiedad privada)</w:t>
            </w:r>
            <w:r w:rsidRPr="001E6058">
              <w:rPr>
                <w:rFonts w:asciiTheme="majorHAnsi" w:hAnsiTheme="majorHAnsi"/>
                <w:bCs/>
                <w:sz w:val="20"/>
                <w:szCs w:val="20"/>
                <w:lang w:val="es-ES_tradnl"/>
              </w:rPr>
              <w:t xml:space="preserve"> y 25 (protección judicial) de la Convención Americana, en relación con sus artículos 1.1 (obligación de respetar los derechos) y 2 (deber de adoptar disposiciones de derecho interno)</w:t>
            </w:r>
          </w:p>
        </w:tc>
      </w:tr>
      <w:tr w:rsidR="003239B8" w:rsidRPr="00B35695" w:rsidTr="004A6A54">
        <w:trPr>
          <w:cantSplit/>
        </w:trPr>
        <w:tc>
          <w:tcPr>
            <w:tcW w:w="3600" w:type="dxa"/>
            <w:tcBorders>
              <w:top w:val="single" w:sz="6" w:space="0" w:color="auto"/>
              <w:bottom w:val="single" w:sz="6" w:space="0" w:color="auto"/>
            </w:tcBorders>
            <w:shd w:val="clear" w:color="auto" w:fill="386294"/>
            <w:vAlign w:val="center"/>
          </w:tcPr>
          <w:p w:rsidR="003239B8" w:rsidRPr="001E6058" w:rsidRDefault="003239B8"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Agotamiento de recursos internos</w:t>
            </w:r>
            <w:r w:rsidR="00EE00E9" w:rsidRPr="001E6058">
              <w:rPr>
                <w:rFonts w:ascii="Cambria" w:hAnsi="Cambria"/>
                <w:b/>
                <w:bCs/>
                <w:color w:val="FFFFFF" w:themeColor="background1"/>
                <w:sz w:val="20"/>
                <w:szCs w:val="20"/>
                <w:lang w:val="es-ES_tradnl"/>
              </w:rPr>
              <w:t xml:space="preserve"> o procedencia de una excepción</w:t>
            </w:r>
            <w:r w:rsidRPr="001E6058">
              <w:rPr>
                <w:rFonts w:ascii="Cambria" w:hAnsi="Cambria"/>
                <w:b/>
                <w:bCs/>
                <w:color w:val="FFFFFF" w:themeColor="background1"/>
                <w:sz w:val="20"/>
                <w:szCs w:val="20"/>
                <w:lang w:val="es-ES_tradnl"/>
              </w:rPr>
              <w:t>:</w:t>
            </w:r>
          </w:p>
        </w:tc>
        <w:tc>
          <w:tcPr>
            <w:tcW w:w="5760" w:type="dxa"/>
            <w:vAlign w:val="center"/>
          </w:tcPr>
          <w:p w:rsidR="003239B8" w:rsidRPr="001E6058" w:rsidRDefault="00C8314C" w:rsidP="00C8314C">
            <w:pPr>
              <w:rPr>
                <w:rFonts w:ascii="Cambria" w:hAnsi="Cambria"/>
                <w:bCs/>
                <w:sz w:val="20"/>
                <w:szCs w:val="20"/>
                <w:lang w:val="es-ES_tradnl"/>
              </w:rPr>
            </w:pPr>
            <w:r w:rsidRPr="001E6058">
              <w:rPr>
                <w:rFonts w:ascii="Cambria" w:hAnsi="Cambria"/>
                <w:bCs/>
                <w:sz w:val="20"/>
                <w:szCs w:val="20"/>
                <w:lang w:val="es-ES_tradnl"/>
              </w:rPr>
              <w:t>Sí, aplica la excepción del artículo 46.2.a)</w:t>
            </w:r>
            <w:r w:rsidR="00E76902" w:rsidRPr="001E6058">
              <w:rPr>
                <w:rFonts w:ascii="Cambria" w:hAnsi="Cambria"/>
                <w:bCs/>
                <w:sz w:val="20"/>
                <w:szCs w:val="20"/>
                <w:lang w:val="es-ES_tradnl"/>
              </w:rPr>
              <w:t xml:space="preserve"> de la Convención</w:t>
            </w:r>
          </w:p>
        </w:tc>
      </w:tr>
      <w:tr w:rsidR="003239B8" w:rsidRPr="00B35695" w:rsidTr="004A6A54">
        <w:trPr>
          <w:cantSplit/>
        </w:trPr>
        <w:tc>
          <w:tcPr>
            <w:tcW w:w="3600" w:type="dxa"/>
            <w:tcBorders>
              <w:top w:val="single" w:sz="6" w:space="0" w:color="auto"/>
              <w:bottom w:val="single" w:sz="6" w:space="0" w:color="auto"/>
            </w:tcBorders>
            <w:shd w:val="clear" w:color="auto" w:fill="386294"/>
            <w:vAlign w:val="center"/>
          </w:tcPr>
          <w:p w:rsidR="003239B8" w:rsidRPr="001E6058" w:rsidRDefault="003239B8" w:rsidP="00F31995">
            <w:pPr>
              <w:jc w:val="center"/>
              <w:rPr>
                <w:rFonts w:ascii="Cambria" w:hAnsi="Cambria"/>
                <w:b/>
                <w:bCs/>
                <w:color w:val="FFFFFF" w:themeColor="background1"/>
                <w:sz w:val="20"/>
                <w:szCs w:val="20"/>
                <w:lang w:val="es-ES_tradnl"/>
              </w:rPr>
            </w:pPr>
            <w:r w:rsidRPr="001E6058">
              <w:rPr>
                <w:rFonts w:ascii="Cambria" w:hAnsi="Cambria"/>
                <w:b/>
                <w:bCs/>
                <w:color w:val="FFFFFF" w:themeColor="background1"/>
                <w:sz w:val="20"/>
                <w:szCs w:val="20"/>
                <w:lang w:val="es-ES_tradnl"/>
              </w:rPr>
              <w:t>Presentación dentro de plazo:</w:t>
            </w:r>
          </w:p>
        </w:tc>
        <w:tc>
          <w:tcPr>
            <w:tcW w:w="5760" w:type="dxa"/>
            <w:vAlign w:val="center"/>
          </w:tcPr>
          <w:p w:rsidR="003239B8" w:rsidRPr="001E6058" w:rsidRDefault="003419D7" w:rsidP="00F31995">
            <w:pPr>
              <w:rPr>
                <w:rFonts w:ascii="Cambria" w:hAnsi="Cambria"/>
                <w:bCs/>
                <w:sz w:val="20"/>
                <w:szCs w:val="20"/>
                <w:lang w:val="es-ES_tradnl"/>
              </w:rPr>
            </w:pPr>
            <w:r w:rsidRPr="001E6058">
              <w:rPr>
                <w:rFonts w:ascii="Cambria" w:hAnsi="Cambria"/>
                <w:bCs/>
                <w:sz w:val="20"/>
                <w:szCs w:val="20"/>
                <w:lang w:val="es-ES_tradnl"/>
              </w:rPr>
              <w:t>Sí</w:t>
            </w:r>
            <w:r w:rsidR="00C8314C" w:rsidRPr="001E6058">
              <w:rPr>
                <w:rFonts w:ascii="Cambria" w:hAnsi="Cambria"/>
                <w:bCs/>
                <w:sz w:val="20"/>
                <w:szCs w:val="20"/>
                <w:lang w:val="es-ES_tradnl"/>
              </w:rPr>
              <w:t>, en los términos de la sección VI</w:t>
            </w:r>
          </w:p>
        </w:tc>
      </w:tr>
    </w:tbl>
    <w:p w:rsidR="00CB4DD5" w:rsidRPr="001E6058" w:rsidRDefault="00CB4DD5" w:rsidP="00CB4DD5">
      <w:pPr>
        <w:spacing w:before="240" w:after="240"/>
        <w:jc w:val="both"/>
        <w:rPr>
          <w:rFonts w:asciiTheme="majorHAnsi" w:hAnsiTheme="majorHAnsi"/>
          <w:b/>
          <w:sz w:val="20"/>
          <w:szCs w:val="20"/>
          <w:lang w:val="es-ES_tradnl"/>
        </w:rPr>
      </w:pPr>
    </w:p>
    <w:p w:rsidR="00CB4DD5" w:rsidRPr="001E6058" w:rsidRDefault="00CB4DD5" w:rsidP="00CB4DD5">
      <w:pPr>
        <w:spacing w:before="240" w:after="240"/>
        <w:jc w:val="both"/>
        <w:rPr>
          <w:rFonts w:asciiTheme="majorHAnsi" w:hAnsiTheme="majorHAnsi"/>
          <w:b/>
          <w:sz w:val="20"/>
          <w:szCs w:val="20"/>
          <w:lang w:val="es-ES_tradnl"/>
        </w:rPr>
      </w:pPr>
    </w:p>
    <w:p w:rsidR="003239B8" w:rsidRPr="00B35695" w:rsidRDefault="00223A29" w:rsidP="00CB4DD5">
      <w:pPr>
        <w:spacing w:before="240" w:after="240"/>
        <w:ind w:firstLine="720"/>
        <w:jc w:val="both"/>
        <w:rPr>
          <w:rFonts w:ascii="Cambria" w:hAnsi="Cambria"/>
          <w:b/>
          <w:sz w:val="20"/>
          <w:szCs w:val="20"/>
          <w:lang w:val="es-ES_tradnl"/>
        </w:rPr>
      </w:pPr>
      <w:r w:rsidRPr="00B35695">
        <w:rPr>
          <w:rFonts w:ascii="Cambria" w:hAnsi="Cambria"/>
          <w:b/>
          <w:sz w:val="20"/>
          <w:szCs w:val="20"/>
          <w:lang w:val="es-ES_tradnl"/>
        </w:rPr>
        <w:t xml:space="preserve">V. </w:t>
      </w:r>
      <w:r w:rsidRPr="00B35695">
        <w:rPr>
          <w:rFonts w:ascii="Cambria" w:hAnsi="Cambria"/>
          <w:b/>
          <w:sz w:val="20"/>
          <w:szCs w:val="20"/>
          <w:lang w:val="es-ES_tradnl"/>
        </w:rPr>
        <w:tab/>
      </w:r>
      <w:r w:rsidR="003239B8" w:rsidRPr="00B35695">
        <w:rPr>
          <w:rFonts w:ascii="Cambria" w:hAnsi="Cambria"/>
          <w:b/>
          <w:sz w:val="20"/>
          <w:szCs w:val="20"/>
          <w:lang w:val="es-ES_tradnl"/>
        </w:rPr>
        <w:t xml:space="preserve">HECHOS ALEGADOS </w:t>
      </w:r>
    </w:p>
    <w:p w:rsidR="003419D7" w:rsidRPr="00B35695" w:rsidRDefault="000B3835" w:rsidP="000B38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1. </w:t>
      </w:r>
      <w:r w:rsidR="00B858E4" w:rsidRPr="00B35695">
        <w:rPr>
          <w:rFonts w:ascii="Cambria" w:hAnsi="Cambria"/>
          <w:sz w:val="20"/>
          <w:szCs w:val="20"/>
          <w:lang w:val="es-ES_tradnl"/>
        </w:rPr>
        <w:tab/>
      </w:r>
      <w:r w:rsidR="003419D7" w:rsidRPr="00B35695">
        <w:rPr>
          <w:rFonts w:ascii="Cambria" w:hAnsi="Cambria"/>
          <w:sz w:val="20"/>
          <w:szCs w:val="20"/>
          <w:lang w:val="es-ES_tradnl"/>
        </w:rPr>
        <w:t xml:space="preserve">El peticionario alega la responsabilidad internacional del Estado colombiano por la violación de los derechos humanos del señor Ciro Ramírez Pinzón, </w:t>
      </w:r>
      <w:r w:rsidR="009C7876" w:rsidRPr="00B35695">
        <w:rPr>
          <w:rFonts w:ascii="Cambria" w:hAnsi="Cambria"/>
          <w:sz w:val="20"/>
          <w:szCs w:val="20"/>
          <w:lang w:val="es-ES_tradnl"/>
        </w:rPr>
        <w:t xml:space="preserve">Senador de la República, </w:t>
      </w:r>
      <w:r w:rsidR="003419D7" w:rsidRPr="00B35695">
        <w:rPr>
          <w:rFonts w:ascii="Cambria" w:hAnsi="Cambria"/>
          <w:sz w:val="20"/>
          <w:szCs w:val="20"/>
          <w:lang w:val="es-ES_tradnl"/>
        </w:rPr>
        <w:t xml:space="preserve">en virtud de su </w:t>
      </w:r>
      <w:r w:rsidR="00774912" w:rsidRPr="00B35695">
        <w:rPr>
          <w:rFonts w:ascii="Cambria" w:hAnsi="Cambria"/>
          <w:sz w:val="20"/>
          <w:szCs w:val="20"/>
          <w:lang w:val="es-ES_tradnl"/>
        </w:rPr>
        <w:t xml:space="preserve">procesamiento </w:t>
      </w:r>
      <w:r w:rsidR="003419D7" w:rsidRPr="00B35695">
        <w:rPr>
          <w:rFonts w:ascii="Cambria" w:hAnsi="Cambria"/>
          <w:sz w:val="20"/>
          <w:szCs w:val="20"/>
          <w:lang w:val="es-ES_tradnl"/>
        </w:rPr>
        <w:t>y condena penales por la Corte Suprema de Justicia en única instancia.</w:t>
      </w:r>
    </w:p>
    <w:p w:rsidR="003419D7" w:rsidRPr="00B35695" w:rsidRDefault="000B3835" w:rsidP="000B38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2. </w:t>
      </w:r>
      <w:r w:rsidR="009C7876" w:rsidRPr="00B35695">
        <w:rPr>
          <w:rFonts w:ascii="Cambria" w:hAnsi="Cambria"/>
          <w:sz w:val="20"/>
          <w:szCs w:val="20"/>
          <w:lang w:val="es-ES_tradnl"/>
        </w:rPr>
        <w:tab/>
      </w:r>
      <w:r w:rsidR="003419D7" w:rsidRPr="00B35695">
        <w:rPr>
          <w:rFonts w:ascii="Cambria" w:hAnsi="Cambria"/>
          <w:sz w:val="20"/>
          <w:szCs w:val="20"/>
          <w:lang w:val="es-ES_tradnl"/>
        </w:rPr>
        <w:t xml:space="preserve">Se explica que el </w:t>
      </w:r>
      <w:r w:rsidR="00AB45A5" w:rsidRPr="00B35695">
        <w:rPr>
          <w:rFonts w:ascii="Cambria" w:hAnsi="Cambria"/>
          <w:sz w:val="20"/>
          <w:szCs w:val="20"/>
          <w:lang w:val="es-ES_tradnl"/>
        </w:rPr>
        <w:t>9 de mayo de 2007</w:t>
      </w:r>
      <w:r w:rsidR="003419D7" w:rsidRPr="00B35695">
        <w:rPr>
          <w:rFonts w:ascii="Cambria" w:hAnsi="Cambria"/>
          <w:sz w:val="20"/>
          <w:szCs w:val="20"/>
          <w:lang w:val="es-ES_tradnl"/>
        </w:rPr>
        <w:t xml:space="preserve"> la Corte Suprema de Justicia dispuso la apertura de investigación previa en su contra y ordenó recibir su versión libre, </w:t>
      </w:r>
      <w:r w:rsidR="00EE6AC9" w:rsidRPr="00B35695">
        <w:rPr>
          <w:rFonts w:ascii="Cambria" w:hAnsi="Cambria"/>
          <w:sz w:val="20"/>
          <w:szCs w:val="20"/>
          <w:lang w:val="es-ES_tradnl"/>
        </w:rPr>
        <w:t>a causa</w:t>
      </w:r>
      <w:r w:rsidR="003419D7" w:rsidRPr="00B35695">
        <w:rPr>
          <w:rFonts w:ascii="Cambria" w:hAnsi="Cambria"/>
          <w:sz w:val="20"/>
          <w:szCs w:val="20"/>
          <w:lang w:val="es-ES_tradnl"/>
        </w:rPr>
        <w:t xml:space="preserve"> de una compulsa de copias hecha por la Fiscalía General de la Nación por la posible comisión, en concurso, de los delitos de concierto para delinquir agravado con fines de narcotráfico, y concierto para delinquir </w:t>
      </w:r>
      <w:r w:rsidR="00B65AB6" w:rsidRPr="00B35695">
        <w:rPr>
          <w:rFonts w:ascii="Cambria" w:hAnsi="Cambria"/>
          <w:sz w:val="20"/>
          <w:szCs w:val="20"/>
          <w:lang w:val="es-ES_tradnl"/>
        </w:rPr>
        <w:t>para promocionar grupos armados al margen de la ley</w:t>
      </w:r>
      <w:r w:rsidR="00774912" w:rsidRPr="00B35695">
        <w:rPr>
          <w:rFonts w:ascii="Cambria" w:hAnsi="Cambria"/>
          <w:sz w:val="20"/>
          <w:szCs w:val="20"/>
          <w:lang w:val="es-ES_tradnl"/>
        </w:rPr>
        <w:t xml:space="preserve"> –</w:t>
      </w:r>
      <w:r w:rsidR="00B65AB6" w:rsidRPr="00B35695">
        <w:rPr>
          <w:rFonts w:ascii="Cambria" w:hAnsi="Cambria"/>
          <w:sz w:val="20"/>
          <w:szCs w:val="20"/>
          <w:lang w:val="es-ES_tradnl"/>
        </w:rPr>
        <w:t xml:space="preserve"> este</w:t>
      </w:r>
      <w:r w:rsidR="00774912" w:rsidRPr="00B35695">
        <w:rPr>
          <w:rFonts w:ascii="Cambria" w:hAnsi="Cambria"/>
          <w:sz w:val="20"/>
          <w:szCs w:val="20"/>
          <w:lang w:val="es-ES_tradnl"/>
        </w:rPr>
        <w:t xml:space="preserve"> </w:t>
      </w:r>
      <w:r w:rsidR="00B65AB6" w:rsidRPr="00B35695">
        <w:rPr>
          <w:rFonts w:ascii="Cambria" w:hAnsi="Cambria"/>
          <w:sz w:val="20"/>
          <w:szCs w:val="20"/>
          <w:lang w:val="es-ES_tradnl"/>
        </w:rPr>
        <w:t xml:space="preserve">último por </w:t>
      </w:r>
      <w:r w:rsidR="003419D7" w:rsidRPr="00B35695">
        <w:rPr>
          <w:rFonts w:ascii="Cambria" w:hAnsi="Cambria"/>
          <w:sz w:val="20"/>
          <w:szCs w:val="20"/>
          <w:lang w:val="es-ES_tradnl"/>
        </w:rPr>
        <w:t xml:space="preserve">haberse </w:t>
      </w:r>
      <w:r w:rsidR="00B65AB6" w:rsidRPr="00B35695">
        <w:rPr>
          <w:rFonts w:ascii="Cambria" w:hAnsi="Cambria"/>
          <w:sz w:val="20"/>
          <w:szCs w:val="20"/>
          <w:lang w:val="es-ES_tradnl"/>
        </w:rPr>
        <w:t xml:space="preserve">supuestamente </w:t>
      </w:r>
      <w:r w:rsidR="003419D7" w:rsidRPr="00B35695">
        <w:rPr>
          <w:rFonts w:ascii="Cambria" w:hAnsi="Cambria"/>
          <w:sz w:val="20"/>
          <w:szCs w:val="20"/>
          <w:lang w:val="es-ES_tradnl"/>
        </w:rPr>
        <w:t xml:space="preserve">asociado </w:t>
      </w:r>
      <w:r w:rsidR="00774912" w:rsidRPr="00B35695">
        <w:rPr>
          <w:rFonts w:ascii="Cambria" w:hAnsi="Cambria"/>
          <w:sz w:val="20"/>
          <w:szCs w:val="20"/>
          <w:lang w:val="es-ES_tradnl"/>
        </w:rPr>
        <w:t xml:space="preserve">el señor Ramírez </w:t>
      </w:r>
      <w:r w:rsidR="003419D7" w:rsidRPr="00B35695">
        <w:rPr>
          <w:rFonts w:ascii="Cambria" w:hAnsi="Cambria"/>
          <w:sz w:val="20"/>
          <w:szCs w:val="20"/>
          <w:lang w:val="es-ES_tradnl"/>
        </w:rPr>
        <w:t>con grupos paramilitares para ganar las elecciones legislativas, en el marco del así llamado “escándalo de la parapolítica”. El 17 de enero de 2</w:t>
      </w:r>
      <w:r w:rsidR="00AB45A5" w:rsidRPr="00B35695">
        <w:rPr>
          <w:rFonts w:ascii="Cambria" w:hAnsi="Cambria"/>
          <w:sz w:val="20"/>
          <w:szCs w:val="20"/>
          <w:lang w:val="es-ES_tradnl"/>
        </w:rPr>
        <w:t>008 se recibió su versión libre;</w:t>
      </w:r>
      <w:r w:rsidR="003419D7" w:rsidRPr="00B35695">
        <w:rPr>
          <w:rFonts w:ascii="Cambria" w:hAnsi="Cambria"/>
          <w:sz w:val="20"/>
          <w:szCs w:val="20"/>
          <w:lang w:val="es-ES_tradnl"/>
        </w:rPr>
        <w:t xml:space="preserve"> el 25 de febrero de 2008 se dispuso la apertura de instrucción</w:t>
      </w:r>
      <w:r w:rsidR="00AB45A5" w:rsidRPr="00B35695">
        <w:rPr>
          <w:rFonts w:ascii="Cambria" w:hAnsi="Cambria"/>
          <w:sz w:val="20"/>
          <w:szCs w:val="20"/>
          <w:lang w:val="es-ES_tradnl"/>
        </w:rPr>
        <w:t>;</w:t>
      </w:r>
      <w:r w:rsidR="003419D7" w:rsidRPr="00B35695">
        <w:rPr>
          <w:rFonts w:ascii="Cambria" w:hAnsi="Cambria"/>
          <w:sz w:val="20"/>
          <w:szCs w:val="20"/>
          <w:lang w:val="es-ES_tradnl"/>
        </w:rPr>
        <w:t xml:space="preserve"> y en la misma fecha se libró orden de captura en su contra. El 4 de marzo de 2008 la Sala Penal de la Corte Suprema de Justicia le impuso la medida de aseguramiento de detención preventiva</w:t>
      </w:r>
      <w:r w:rsidR="00B65AB6" w:rsidRPr="00B35695">
        <w:rPr>
          <w:rFonts w:ascii="Cambria" w:hAnsi="Cambria"/>
          <w:sz w:val="20"/>
          <w:szCs w:val="20"/>
          <w:lang w:val="es-ES_tradnl"/>
        </w:rPr>
        <w:t xml:space="preserve"> sin derecho a libertad provisional.</w:t>
      </w:r>
    </w:p>
    <w:p w:rsidR="000131D2" w:rsidRPr="00B35695" w:rsidRDefault="000B3835" w:rsidP="000B38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3. </w:t>
      </w:r>
      <w:r w:rsidR="000131D2" w:rsidRPr="00B35695">
        <w:rPr>
          <w:rFonts w:ascii="Cambria" w:hAnsi="Cambria"/>
          <w:sz w:val="20"/>
          <w:szCs w:val="20"/>
          <w:lang w:val="es-ES_tradnl"/>
        </w:rPr>
        <w:tab/>
      </w:r>
      <w:r w:rsidR="00B65AB6" w:rsidRPr="00B35695">
        <w:rPr>
          <w:rFonts w:ascii="Cambria" w:hAnsi="Cambria"/>
          <w:sz w:val="20"/>
          <w:szCs w:val="20"/>
          <w:lang w:val="es-ES_tradnl"/>
        </w:rPr>
        <w:t xml:space="preserve">Se narra </w:t>
      </w:r>
      <w:r w:rsidR="00774912" w:rsidRPr="00B35695">
        <w:rPr>
          <w:rFonts w:ascii="Cambria" w:hAnsi="Cambria"/>
          <w:sz w:val="20"/>
          <w:szCs w:val="20"/>
          <w:lang w:val="es-ES_tradnl"/>
        </w:rPr>
        <w:t xml:space="preserve">en la petición </w:t>
      </w:r>
      <w:r w:rsidR="00B65AB6" w:rsidRPr="00B35695">
        <w:rPr>
          <w:rFonts w:ascii="Cambria" w:hAnsi="Cambria"/>
          <w:sz w:val="20"/>
          <w:szCs w:val="20"/>
          <w:lang w:val="es-ES_tradnl"/>
        </w:rPr>
        <w:t xml:space="preserve">que el señor Ramírez formaba parte de la coalición política del entonces Presidente de la República, </w:t>
      </w:r>
      <w:r w:rsidR="000131D2" w:rsidRPr="00B35695">
        <w:rPr>
          <w:rFonts w:ascii="Cambria" w:hAnsi="Cambria"/>
          <w:sz w:val="20"/>
          <w:szCs w:val="20"/>
          <w:lang w:val="es-ES_tradnl"/>
        </w:rPr>
        <w:t>Álvaro</w:t>
      </w:r>
      <w:r w:rsidR="00B65AB6" w:rsidRPr="00B35695">
        <w:rPr>
          <w:rFonts w:ascii="Cambria" w:hAnsi="Cambria"/>
          <w:sz w:val="20"/>
          <w:szCs w:val="20"/>
          <w:lang w:val="es-ES_tradnl"/>
        </w:rPr>
        <w:t xml:space="preserve"> Uribe Vélez, y que </w:t>
      </w:r>
      <w:r w:rsidR="00774912" w:rsidRPr="00B35695">
        <w:rPr>
          <w:rFonts w:ascii="Cambria" w:hAnsi="Cambria"/>
          <w:sz w:val="20"/>
          <w:szCs w:val="20"/>
          <w:lang w:val="es-ES_tradnl"/>
        </w:rPr>
        <w:t xml:space="preserve">al momento de su procesamiento penal </w:t>
      </w:r>
      <w:r w:rsidR="00B65AB6" w:rsidRPr="00B35695">
        <w:rPr>
          <w:rFonts w:ascii="Cambria" w:hAnsi="Cambria"/>
          <w:sz w:val="20"/>
          <w:szCs w:val="20"/>
          <w:lang w:val="es-ES_tradnl"/>
        </w:rPr>
        <w:t xml:space="preserve">percibió que </w:t>
      </w:r>
      <w:r w:rsidR="00EE6AC9" w:rsidRPr="00B35695">
        <w:rPr>
          <w:rFonts w:ascii="Cambria" w:hAnsi="Cambria"/>
          <w:sz w:val="20"/>
          <w:szCs w:val="20"/>
          <w:lang w:val="es-ES_tradnl"/>
        </w:rPr>
        <w:t xml:space="preserve">se vería afectado en su proceso por la existencia de </w:t>
      </w:r>
      <w:r w:rsidR="00B65AB6" w:rsidRPr="00B35695">
        <w:rPr>
          <w:rFonts w:ascii="Cambria" w:hAnsi="Cambria"/>
          <w:sz w:val="20"/>
          <w:szCs w:val="20"/>
          <w:lang w:val="es-ES_tradnl"/>
        </w:rPr>
        <w:t xml:space="preserve">un enfrentamiento grave entre dicho mandatario y la Corte Suprema de Justicia, </w:t>
      </w:r>
    </w:p>
    <w:p w:rsidR="000131D2" w:rsidRPr="00B35695" w:rsidRDefault="00B65AB6" w:rsidP="000131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B35695">
        <w:rPr>
          <w:rFonts w:ascii="Cambria" w:hAnsi="Cambria"/>
          <w:iCs/>
          <w:sz w:val="20"/>
          <w:szCs w:val="20"/>
          <w:lang w:val="es-ES_tradnl"/>
        </w:rPr>
        <w:t xml:space="preserve">hecho que es de público conocimiento tal como se prueba en copias de artículos de prensa adjuntos a la presente demanda y considerando que el mismo Ciro Ramírez Pinzón había sido el creador, ponente e impulsor en el Congreso de la República, del proyecto de ley que permitió la reelección del Presidente </w:t>
      </w:r>
      <w:r w:rsidR="000131D2" w:rsidRPr="00B35695">
        <w:rPr>
          <w:rFonts w:ascii="Cambria" w:hAnsi="Cambria"/>
          <w:iCs/>
          <w:sz w:val="20"/>
          <w:szCs w:val="20"/>
          <w:lang w:val="es-ES_tradnl"/>
        </w:rPr>
        <w:t>Álvaro</w:t>
      </w:r>
      <w:r w:rsidRPr="00B35695">
        <w:rPr>
          <w:rFonts w:ascii="Cambria" w:hAnsi="Cambria"/>
          <w:iCs/>
          <w:sz w:val="20"/>
          <w:szCs w:val="20"/>
          <w:lang w:val="es-ES_tradnl"/>
        </w:rPr>
        <w:t xml:space="preserve"> Uribe Vélez</w:t>
      </w:r>
      <w:r w:rsidR="00DD64A5" w:rsidRPr="00B35695">
        <w:rPr>
          <w:rFonts w:ascii="Cambria" w:hAnsi="Cambria"/>
          <w:iCs/>
          <w:sz w:val="20"/>
          <w:szCs w:val="20"/>
          <w:lang w:val="es-ES_tradnl"/>
        </w:rPr>
        <w:t>, hecho que lo catalogaba como “amigo del Presidente”</w:t>
      </w:r>
      <w:r w:rsidRPr="00B35695">
        <w:rPr>
          <w:rFonts w:ascii="Cambria" w:hAnsi="Cambria"/>
          <w:iCs/>
          <w:sz w:val="20"/>
          <w:szCs w:val="20"/>
          <w:lang w:val="es-ES_tradnl"/>
        </w:rPr>
        <w:t xml:space="preserve">, y considerando la gran cantidad de parlamentarios amigos del presidente </w:t>
      </w:r>
      <w:r w:rsidR="000131D2" w:rsidRPr="00B35695">
        <w:rPr>
          <w:rFonts w:ascii="Cambria" w:hAnsi="Cambria"/>
          <w:iCs/>
          <w:sz w:val="20"/>
          <w:szCs w:val="20"/>
          <w:lang w:val="es-ES_tradnl"/>
        </w:rPr>
        <w:t>Álvaro</w:t>
      </w:r>
      <w:r w:rsidRPr="00B35695">
        <w:rPr>
          <w:rFonts w:ascii="Cambria" w:hAnsi="Cambria"/>
          <w:iCs/>
          <w:sz w:val="20"/>
          <w:szCs w:val="20"/>
          <w:lang w:val="es-ES_tradnl"/>
        </w:rPr>
        <w:t xml:space="preserve"> Uribe Vélez presos por cuenta de la Corte Suprema de Justicia, y sobre todos los argumentos, especialmente buscando un juicio justo y equilibrado que contara con una segunda instancia, el Senador Ciro Ramírez Pinzón presentó renuncia a su curul</w:t>
      </w:r>
      <w:r w:rsidR="000131D2" w:rsidRPr="00B35695">
        <w:rPr>
          <w:rFonts w:ascii="Cambria" w:hAnsi="Cambria"/>
          <w:iCs/>
          <w:sz w:val="20"/>
          <w:szCs w:val="20"/>
          <w:lang w:val="es-ES_tradnl"/>
        </w:rPr>
        <w:t xml:space="preserve"> en el Congreso de la República</w:t>
      </w:r>
      <w:r w:rsidRPr="00B35695">
        <w:rPr>
          <w:rFonts w:ascii="Cambria" w:hAnsi="Cambria"/>
          <w:sz w:val="20"/>
          <w:szCs w:val="20"/>
          <w:lang w:val="es-ES_tradnl"/>
        </w:rPr>
        <w:t xml:space="preserve">. </w:t>
      </w:r>
    </w:p>
    <w:p w:rsidR="00B65AB6" w:rsidRPr="00B35695" w:rsidRDefault="00B65AB6" w:rsidP="000131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695">
        <w:rPr>
          <w:rFonts w:ascii="Cambria" w:hAnsi="Cambria"/>
          <w:sz w:val="20"/>
          <w:szCs w:val="20"/>
          <w:lang w:val="es-ES_tradnl"/>
        </w:rPr>
        <w:t>Esta renuncia fue admitida el 13 de mayo de 2008</w:t>
      </w:r>
      <w:r w:rsidR="00E43E7D" w:rsidRPr="00B35695">
        <w:rPr>
          <w:rFonts w:ascii="Cambria" w:hAnsi="Cambria"/>
          <w:sz w:val="20"/>
          <w:szCs w:val="20"/>
          <w:lang w:val="es-ES_tradnl"/>
        </w:rPr>
        <w:t>; e</w:t>
      </w:r>
      <w:r w:rsidRPr="00B35695">
        <w:rPr>
          <w:rFonts w:ascii="Cambria" w:hAnsi="Cambria"/>
          <w:sz w:val="20"/>
          <w:szCs w:val="20"/>
          <w:lang w:val="es-ES_tradnl"/>
        </w:rPr>
        <w:t xml:space="preserve">n consecuencia, el 19 de mayo de 2008 la Sala Penal de la Corte Suprema ordenó remitir por competencia la investigación a la Fiscalía General de la Nación, ya que en virtud de la jurisprudencia vigente en ese momento </w:t>
      </w:r>
      <w:r w:rsidR="00774912" w:rsidRPr="00B35695">
        <w:rPr>
          <w:rFonts w:ascii="Cambria" w:hAnsi="Cambria"/>
          <w:sz w:val="20"/>
          <w:szCs w:val="20"/>
          <w:lang w:val="es-ES_tradnl"/>
        </w:rPr>
        <w:t xml:space="preserve">el señor Ramírez </w:t>
      </w:r>
      <w:r w:rsidRPr="00B35695">
        <w:rPr>
          <w:rFonts w:ascii="Cambria" w:hAnsi="Cambria"/>
          <w:sz w:val="20"/>
          <w:szCs w:val="20"/>
          <w:lang w:val="es-ES_tradnl"/>
        </w:rPr>
        <w:t>perdía su fuero parlamentario y quedaba sometido a la</w:t>
      </w:r>
      <w:r w:rsidR="00EE6AC9" w:rsidRPr="00B35695">
        <w:rPr>
          <w:rFonts w:ascii="Cambria" w:hAnsi="Cambria"/>
          <w:sz w:val="20"/>
          <w:szCs w:val="20"/>
          <w:lang w:val="es-ES_tradnl"/>
        </w:rPr>
        <w:t>s instancias y procedimientos ordinarios de la</w:t>
      </w:r>
      <w:r w:rsidRPr="00B35695">
        <w:rPr>
          <w:rFonts w:ascii="Cambria" w:hAnsi="Cambria"/>
          <w:sz w:val="20"/>
          <w:szCs w:val="20"/>
          <w:lang w:val="es-ES_tradnl"/>
        </w:rPr>
        <w:t xml:space="preserve"> jurisdicción penal. </w:t>
      </w:r>
    </w:p>
    <w:p w:rsidR="00B65AB6" w:rsidRPr="00B35695" w:rsidRDefault="000B3835" w:rsidP="000B38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4. </w:t>
      </w:r>
      <w:r w:rsidR="00E43E7D" w:rsidRPr="00B35695">
        <w:rPr>
          <w:rFonts w:ascii="Cambria" w:hAnsi="Cambria"/>
          <w:sz w:val="20"/>
          <w:szCs w:val="20"/>
          <w:lang w:val="es-ES_tradnl"/>
        </w:rPr>
        <w:tab/>
      </w:r>
      <w:r w:rsidR="00B65AB6" w:rsidRPr="00B35695">
        <w:rPr>
          <w:rFonts w:ascii="Cambria" w:hAnsi="Cambria"/>
          <w:sz w:val="20"/>
          <w:szCs w:val="20"/>
          <w:lang w:val="es-ES_tradnl"/>
        </w:rPr>
        <w:t xml:space="preserve">El 11 de septiembre de 2008 la Fiscalía declaró cerrada la investigación, y el 6 de octubre de 2008 la Fiscal Cuarta Delegada ante la Corte Suprema de Justicia profirió resolución de acusación contra el señor Ramírez, como presunto autor del delito de concierto para delinquir agravado para cometer el delito de narcotráfico y para promocionar grupos armados al margen de la ley. La decisión fue impugnada, y confirmada por el </w:t>
      </w:r>
      <w:r w:rsidR="001E6058" w:rsidRPr="00B35695">
        <w:rPr>
          <w:rFonts w:ascii="Cambria" w:hAnsi="Cambria"/>
          <w:sz w:val="20"/>
          <w:szCs w:val="20"/>
          <w:lang w:val="es-ES_tradnl"/>
        </w:rPr>
        <w:t>Vice fiscal</w:t>
      </w:r>
      <w:r w:rsidR="00B65AB6" w:rsidRPr="00B35695">
        <w:rPr>
          <w:rFonts w:ascii="Cambria" w:hAnsi="Cambria"/>
          <w:sz w:val="20"/>
          <w:szCs w:val="20"/>
          <w:lang w:val="es-ES_tradnl"/>
        </w:rPr>
        <w:t xml:space="preserve"> General de la Nación el 13 de abril </w:t>
      </w:r>
      <w:r w:rsidR="00FF28DA" w:rsidRPr="00B35695">
        <w:rPr>
          <w:rFonts w:ascii="Cambria" w:hAnsi="Cambria"/>
          <w:sz w:val="20"/>
          <w:szCs w:val="20"/>
          <w:lang w:val="es-ES_tradnl"/>
        </w:rPr>
        <w:t>de 2009. El 23 de abril de 2009</w:t>
      </w:r>
      <w:r w:rsidR="00B65AB6" w:rsidRPr="00B35695">
        <w:rPr>
          <w:rFonts w:ascii="Cambria" w:hAnsi="Cambria"/>
          <w:sz w:val="20"/>
          <w:szCs w:val="20"/>
          <w:lang w:val="es-ES_tradnl"/>
        </w:rPr>
        <w:t xml:space="preserve"> el Juzgado Primero Penal del Circuito Especializado de Bogotá avocó conocimiento del proceso. Sin embargo, mediante providencia del 15 de septiembre de 2009 la Corte Suprema de Justicia modificó su postura jurisprudencial</w:t>
      </w:r>
      <w:r w:rsidR="00774912" w:rsidRPr="00B35695">
        <w:rPr>
          <w:rFonts w:ascii="Cambria" w:hAnsi="Cambria"/>
          <w:sz w:val="20"/>
          <w:szCs w:val="20"/>
          <w:lang w:val="es-ES_tradnl"/>
        </w:rPr>
        <w:t xml:space="preserve"> previa</w:t>
      </w:r>
      <w:r w:rsidR="00B65AB6" w:rsidRPr="00B35695">
        <w:rPr>
          <w:rFonts w:ascii="Cambria" w:hAnsi="Cambria"/>
          <w:sz w:val="20"/>
          <w:szCs w:val="20"/>
          <w:lang w:val="es-ES_tradnl"/>
        </w:rPr>
        <w:t xml:space="preserve"> sobre su propia competencia con respecto a congresistas que hubieran renunciado a sus cur</w:t>
      </w:r>
      <w:r w:rsidR="00FF28DA" w:rsidRPr="00B35695">
        <w:rPr>
          <w:rFonts w:ascii="Cambria" w:hAnsi="Cambria"/>
          <w:sz w:val="20"/>
          <w:szCs w:val="20"/>
          <w:lang w:val="es-ES_tradnl"/>
        </w:rPr>
        <w:t xml:space="preserve">ules; </w:t>
      </w:r>
      <w:r w:rsidR="00B65AB6" w:rsidRPr="00B35695">
        <w:rPr>
          <w:rFonts w:ascii="Cambria" w:hAnsi="Cambria"/>
          <w:sz w:val="20"/>
          <w:szCs w:val="20"/>
          <w:lang w:val="es-ES_tradnl"/>
        </w:rPr>
        <w:t>en consecuencia, el Juzgado Primero Penal del Circuito Especializado de Bogotá devolvió el expediente a la Sala de Casación Penal del máximo tribunal</w:t>
      </w:r>
      <w:r w:rsidR="00774912" w:rsidRPr="00B35695">
        <w:rPr>
          <w:rFonts w:ascii="Cambria" w:hAnsi="Cambria"/>
          <w:sz w:val="20"/>
          <w:szCs w:val="20"/>
          <w:lang w:val="es-ES_tradnl"/>
        </w:rPr>
        <w:t xml:space="preserve"> para que ésta, en aplicación de la nueva pauta jurisprudencial, reasumiera competencia sobre el mismo</w:t>
      </w:r>
      <w:r w:rsidR="00B65AB6" w:rsidRPr="00B35695">
        <w:rPr>
          <w:rFonts w:ascii="Cambria" w:hAnsi="Cambria"/>
          <w:sz w:val="20"/>
          <w:szCs w:val="20"/>
          <w:lang w:val="es-ES_tradnl"/>
        </w:rPr>
        <w:t xml:space="preserve">. </w:t>
      </w:r>
      <w:r w:rsidR="00774912" w:rsidRPr="00B35695">
        <w:rPr>
          <w:rFonts w:ascii="Cambria" w:hAnsi="Cambria"/>
          <w:sz w:val="20"/>
          <w:szCs w:val="20"/>
          <w:lang w:val="es-ES_tradnl"/>
        </w:rPr>
        <w:t xml:space="preserve">La </w:t>
      </w:r>
      <w:r w:rsidR="00B65AB6" w:rsidRPr="00B35695">
        <w:rPr>
          <w:rFonts w:ascii="Cambria" w:hAnsi="Cambria"/>
          <w:sz w:val="20"/>
          <w:szCs w:val="20"/>
          <w:lang w:val="es-ES_tradnl"/>
        </w:rPr>
        <w:t>Sala</w:t>
      </w:r>
      <w:r w:rsidR="00774912" w:rsidRPr="00B35695">
        <w:rPr>
          <w:rFonts w:ascii="Cambria" w:hAnsi="Cambria"/>
          <w:sz w:val="20"/>
          <w:szCs w:val="20"/>
          <w:lang w:val="es-ES_tradnl"/>
        </w:rPr>
        <w:t xml:space="preserve"> de Casación Penal</w:t>
      </w:r>
      <w:r w:rsidR="00B65AB6" w:rsidRPr="00B35695">
        <w:rPr>
          <w:rFonts w:ascii="Cambria" w:hAnsi="Cambria"/>
          <w:sz w:val="20"/>
          <w:szCs w:val="20"/>
          <w:lang w:val="es-ES_tradnl"/>
        </w:rPr>
        <w:t xml:space="preserve">, </w:t>
      </w:r>
      <w:r w:rsidR="00774912" w:rsidRPr="00B35695">
        <w:rPr>
          <w:rFonts w:ascii="Cambria" w:hAnsi="Cambria"/>
          <w:sz w:val="20"/>
          <w:szCs w:val="20"/>
          <w:lang w:val="es-ES_tradnl"/>
        </w:rPr>
        <w:t>en decisión d</w:t>
      </w:r>
      <w:r w:rsidR="00B65AB6" w:rsidRPr="00B35695">
        <w:rPr>
          <w:rFonts w:ascii="Cambria" w:hAnsi="Cambria"/>
          <w:sz w:val="20"/>
          <w:szCs w:val="20"/>
          <w:lang w:val="es-ES_tradnl"/>
        </w:rPr>
        <w:t xml:space="preserve">el 30 de septiembre de 2009, se abstuvo de avocar conocimiento sobre la causa, argumentando que dado el estado de las diligencias aún no estaba facultada para examinar si los delitos imputados se ajustaban a los parámetros definidos en la providencia del 15 de septiembre de 2009; por ello remitió nuevamente el proceso al Juzgado Primero Penal del Circuito Especializado de Bogotá, disponiendo que dicho despacho debía continuar con la audiencia pública, pero únicamente en lo relativo a los delitos relacionados con narcotráfico, </w:t>
      </w:r>
      <w:r w:rsidR="00B65AB6" w:rsidRPr="00B35695">
        <w:rPr>
          <w:rFonts w:ascii="Cambria" w:hAnsi="Cambria"/>
          <w:i/>
          <w:iCs/>
          <w:sz w:val="20"/>
          <w:szCs w:val="20"/>
          <w:lang w:val="es-ES_tradnl"/>
        </w:rPr>
        <w:t>“toda vez que lo relacionado con paramilitarismo</w:t>
      </w:r>
      <w:r w:rsidR="00B65AB6" w:rsidRPr="00B35695">
        <w:rPr>
          <w:rFonts w:ascii="Cambria" w:hAnsi="Cambria"/>
          <w:sz w:val="20"/>
          <w:szCs w:val="20"/>
          <w:lang w:val="es-ES_tradnl"/>
        </w:rPr>
        <w:t xml:space="preserve"> -explican los peticionarios-</w:t>
      </w:r>
      <w:r w:rsidR="00B65AB6" w:rsidRPr="00B35695">
        <w:rPr>
          <w:rFonts w:ascii="Cambria" w:hAnsi="Cambria"/>
          <w:i/>
          <w:iCs/>
          <w:sz w:val="20"/>
          <w:szCs w:val="20"/>
          <w:lang w:val="es-ES_tradnl"/>
        </w:rPr>
        <w:t xml:space="preserve">, se consideraba que había sido en ejercicio del cargo y en consecuencia tanto la investigación y el juzgamiento de acuerdo con mandato constitucional, le corresponde a la </w:t>
      </w:r>
      <w:r w:rsidR="00B65AB6" w:rsidRPr="00B35695">
        <w:rPr>
          <w:rFonts w:ascii="Cambria" w:hAnsi="Cambria"/>
          <w:i/>
          <w:iCs/>
          <w:sz w:val="20"/>
          <w:szCs w:val="20"/>
          <w:lang w:val="es-ES_tradnl"/>
        </w:rPr>
        <w:lastRenderedPageBreak/>
        <w:t>Corte Suprema de Justicia, por tratarse de un congresista”.</w:t>
      </w:r>
      <w:r w:rsidR="00B65AB6" w:rsidRPr="00B35695">
        <w:rPr>
          <w:rFonts w:ascii="Cambria" w:hAnsi="Cambria"/>
          <w:sz w:val="20"/>
          <w:szCs w:val="20"/>
          <w:lang w:val="es-ES_tradnl"/>
        </w:rPr>
        <w:t xml:space="preserve"> Tras esta ruptura de la unidad procesal, el 9 de octubre de 2009 el Juzgado Primero Especializado de Bogotá reasumió el conocimiento del caso, y celebró audiencia pública el 26 de octubre de 2009</w:t>
      </w:r>
      <w:r w:rsidR="009B4CE6" w:rsidRPr="00B35695">
        <w:rPr>
          <w:rFonts w:ascii="Cambria" w:hAnsi="Cambria"/>
          <w:sz w:val="20"/>
          <w:szCs w:val="20"/>
          <w:lang w:val="es-ES_tradnl"/>
        </w:rPr>
        <w:t>. El Juzgado eventualmente absolvió al señor Ramírez de los delitos relacionados con narcotráfico</w:t>
      </w:r>
      <w:r w:rsidR="007F03CE" w:rsidRPr="00B35695">
        <w:rPr>
          <w:rFonts w:ascii="Cambria" w:hAnsi="Cambria"/>
          <w:sz w:val="20"/>
          <w:szCs w:val="20"/>
          <w:lang w:val="es-ES_tradnl"/>
        </w:rPr>
        <w:t xml:space="preserve"> el 29 de diciembre de 2010;</w:t>
      </w:r>
      <w:r w:rsidR="009B4CE6" w:rsidRPr="00B35695">
        <w:rPr>
          <w:rFonts w:ascii="Cambria" w:hAnsi="Cambria"/>
          <w:sz w:val="20"/>
          <w:szCs w:val="20"/>
          <w:lang w:val="es-ES_tradnl"/>
        </w:rPr>
        <w:t xml:space="preserve"> </w:t>
      </w:r>
      <w:r w:rsidR="00C873B6" w:rsidRPr="00B35695">
        <w:rPr>
          <w:rFonts w:ascii="Cambria" w:hAnsi="Cambria"/>
          <w:sz w:val="20"/>
          <w:szCs w:val="20"/>
          <w:lang w:val="es-ES_tradnl"/>
        </w:rPr>
        <w:t xml:space="preserve">y </w:t>
      </w:r>
      <w:r w:rsidR="009B4CE6" w:rsidRPr="00B35695">
        <w:rPr>
          <w:rFonts w:ascii="Cambria" w:hAnsi="Cambria"/>
          <w:sz w:val="20"/>
          <w:szCs w:val="20"/>
          <w:lang w:val="es-ES_tradnl"/>
        </w:rPr>
        <w:t xml:space="preserve">el 10 de agosto de 2010 </w:t>
      </w:r>
      <w:r w:rsidR="00C873B6" w:rsidRPr="00B35695">
        <w:rPr>
          <w:rFonts w:ascii="Cambria" w:hAnsi="Cambria"/>
          <w:sz w:val="20"/>
          <w:szCs w:val="20"/>
          <w:lang w:val="es-ES_tradnl"/>
        </w:rPr>
        <w:t>este</w:t>
      </w:r>
      <w:r w:rsidR="007F03CE" w:rsidRPr="00B35695">
        <w:rPr>
          <w:rFonts w:ascii="Cambria" w:hAnsi="Cambria"/>
          <w:sz w:val="20"/>
          <w:szCs w:val="20"/>
          <w:lang w:val="es-ES_tradnl"/>
        </w:rPr>
        <w:t xml:space="preserve"> Juzgado </w:t>
      </w:r>
      <w:r w:rsidR="009B4CE6" w:rsidRPr="00B35695">
        <w:rPr>
          <w:rFonts w:ascii="Cambria" w:hAnsi="Cambria"/>
          <w:sz w:val="20"/>
          <w:szCs w:val="20"/>
          <w:lang w:val="es-ES_tradnl"/>
        </w:rPr>
        <w:t>reenvió el expediente a la Corte Suprema de Justicia</w:t>
      </w:r>
      <w:r w:rsidR="007F03CE" w:rsidRPr="00B35695">
        <w:rPr>
          <w:rFonts w:ascii="Cambria" w:hAnsi="Cambria"/>
          <w:sz w:val="20"/>
          <w:szCs w:val="20"/>
          <w:lang w:val="es-ES_tradnl"/>
        </w:rPr>
        <w:t xml:space="preserve"> para que </w:t>
      </w:r>
      <w:r w:rsidR="00966B54" w:rsidRPr="00B35695">
        <w:rPr>
          <w:rFonts w:ascii="Cambria" w:hAnsi="Cambria"/>
          <w:sz w:val="20"/>
          <w:szCs w:val="20"/>
          <w:lang w:val="es-ES_tradnl"/>
        </w:rPr>
        <w:t xml:space="preserve">allí </w:t>
      </w:r>
      <w:r w:rsidR="007F03CE" w:rsidRPr="00B35695">
        <w:rPr>
          <w:rFonts w:ascii="Cambria" w:hAnsi="Cambria"/>
          <w:sz w:val="20"/>
          <w:szCs w:val="20"/>
          <w:lang w:val="es-ES_tradnl"/>
        </w:rPr>
        <w:t>continuara el trámite por los delitos relacionados con paramilitarismo</w:t>
      </w:r>
      <w:r w:rsidR="009B4CE6" w:rsidRPr="00B35695">
        <w:rPr>
          <w:rFonts w:ascii="Cambria" w:hAnsi="Cambria"/>
          <w:sz w:val="20"/>
          <w:szCs w:val="20"/>
          <w:lang w:val="es-ES_tradnl"/>
        </w:rPr>
        <w:t xml:space="preserve">. </w:t>
      </w:r>
    </w:p>
    <w:p w:rsidR="009B4CE6" w:rsidRPr="00B35695" w:rsidRDefault="000B3835" w:rsidP="000B38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5. </w:t>
      </w:r>
      <w:r w:rsidR="00C873B6" w:rsidRPr="00B35695">
        <w:rPr>
          <w:rFonts w:ascii="Cambria" w:hAnsi="Cambria"/>
          <w:sz w:val="20"/>
          <w:szCs w:val="20"/>
          <w:lang w:val="es-ES_tradnl"/>
        </w:rPr>
        <w:tab/>
      </w:r>
      <w:r w:rsidR="009B4CE6" w:rsidRPr="00B35695">
        <w:rPr>
          <w:rFonts w:ascii="Cambria" w:hAnsi="Cambria"/>
          <w:sz w:val="20"/>
          <w:szCs w:val="20"/>
          <w:lang w:val="es-ES_tradnl"/>
        </w:rPr>
        <w:t>El 15 de septiembre de 2010, la Sala de Casación Penal de la Corte Suprema de Justicia reasumió el conocimiento de</w:t>
      </w:r>
      <w:r w:rsidR="00966B54" w:rsidRPr="00B35695">
        <w:rPr>
          <w:rFonts w:ascii="Cambria" w:hAnsi="Cambria"/>
          <w:sz w:val="20"/>
          <w:szCs w:val="20"/>
          <w:lang w:val="es-ES_tradnl"/>
        </w:rPr>
        <w:t>l proceso en lo referente a</w:t>
      </w:r>
      <w:r w:rsidR="009B4CE6" w:rsidRPr="00B35695">
        <w:rPr>
          <w:rFonts w:ascii="Cambria" w:hAnsi="Cambria"/>
          <w:sz w:val="20"/>
          <w:szCs w:val="20"/>
          <w:lang w:val="es-ES_tradnl"/>
        </w:rPr>
        <w:t xml:space="preserve"> las conductas relacionadas con el delito de concierto para delinquir agravado por promover grupos armados ilegales. La Sala de Casación Penal no </w:t>
      </w:r>
      <w:r w:rsidR="00966B54" w:rsidRPr="00B35695">
        <w:rPr>
          <w:rFonts w:ascii="Cambria" w:hAnsi="Cambria"/>
          <w:sz w:val="20"/>
          <w:szCs w:val="20"/>
          <w:lang w:val="es-ES_tradnl"/>
        </w:rPr>
        <w:t xml:space="preserve">profirió resolución de acusación, ni </w:t>
      </w:r>
      <w:r w:rsidR="009B4CE6" w:rsidRPr="00B35695">
        <w:rPr>
          <w:rFonts w:ascii="Cambria" w:hAnsi="Cambria"/>
          <w:sz w:val="20"/>
          <w:szCs w:val="20"/>
          <w:lang w:val="es-ES_tradnl"/>
        </w:rPr>
        <w:t xml:space="preserve">realizó audiencia pública en relación con este delito imputado al señor Ramírez, </w:t>
      </w:r>
      <w:r w:rsidR="00966B54" w:rsidRPr="00B35695">
        <w:rPr>
          <w:rFonts w:ascii="Cambria" w:hAnsi="Cambria"/>
          <w:sz w:val="20"/>
          <w:szCs w:val="20"/>
          <w:lang w:val="es-ES_tradnl"/>
        </w:rPr>
        <w:t xml:space="preserve">como tampoco </w:t>
      </w:r>
      <w:r w:rsidR="009B4CE6" w:rsidRPr="00B35695">
        <w:rPr>
          <w:rFonts w:ascii="Cambria" w:hAnsi="Cambria"/>
          <w:sz w:val="20"/>
          <w:szCs w:val="20"/>
          <w:lang w:val="es-ES_tradnl"/>
        </w:rPr>
        <w:t>adelantó tareas investigativas adicionales sobre el mismo; y el 10 de marzo de 2011</w:t>
      </w:r>
      <w:r w:rsidR="00966B54" w:rsidRPr="00B35695">
        <w:rPr>
          <w:rFonts w:ascii="Cambria" w:hAnsi="Cambria"/>
          <w:sz w:val="20"/>
          <w:szCs w:val="20"/>
          <w:lang w:val="es-ES_tradnl"/>
        </w:rPr>
        <w:t xml:space="preserve"> profirió sentencia condenatoria en su contra</w:t>
      </w:r>
      <w:r w:rsidR="009B4CE6" w:rsidRPr="00B35695">
        <w:rPr>
          <w:rFonts w:ascii="Cambria" w:hAnsi="Cambria"/>
          <w:sz w:val="20"/>
          <w:szCs w:val="20"/>
          <w:lang w:val="es-ES_tradnl"/>
        </w:rPr>
        <w:t xml:space="preserve">, en criterio de los peticionarios </w:t>
      </w:r>
      <w:r w:rsidR="009B4CE6" w:rsidRPr="00B35695">
        <w:rPr>
          <w:rFonts w:ascii="Cambria" w:hAnsi="Cambria"/>
          <w:i/>
          <w:iCs/>
          <w:sz w:val="20"/>
          <w:szCs w:val="20"/>
          <w:lang w:val="es-ES_tradnl"/>
        </w:rPr>
        <w:t>“omitiendo el mandato constitucional previsto en el numeral 3 del artículo 235 que le ordena de manera privativa ‘investigar y juzgar’ a los congresistas, sin proferir auto de llamamiento a juicio sobre los delitos que ella misma, decidió abrogarse la investigación y juzgamiento, omitiendo además el procedimiento ordenado en nuestra legislación procesal penal [sobre] apertura del juicio, audiencia preparatoria, y sin que se hubiera surtido la etapa del juicio”</w:t>
      </w:r>
      <w:r w:rsidR="009B4CE6" w:rsidRPr="00B35695">
        <w:rPr>
          <w:rFonts w:ascii="Cambria" w:hAnsi="Cambria"/>
          <w:sz w:val="20"/>
          <w:szCs w:val="20"/>
          <w:lang w:val="es-ES_tradnl"/>
        </w:rPr>
        <w:t xml:space="preserve">. De esta forma, el único llamamiento a juicio obrante en el proceso fue aquél referido a las conductas relacionadas con el narcotráfico, </w:t>
      </w:r>
      <w:r w:rsidR="009B4CE6" w:rsidRPr="00B35695">
        <w:rPr>
          <w:rFonts w:ascii="Cambria" w:hAnsi="Cambria"/>
          <w:i/>
          <w:iCs/>
          <w:sz w:val="20"/>
          <w:szCs w:val="20"/>
          <w:lang w:val="es-ES_tradnl"/>
        </w:rPr>
        <w:t xml:space="preserve">“pero la Corte habiendo declarado la ruptura de la unidad procesal, no se ocupó ni de investigar como lo ordena la </w:t>
      </w:r>
      <w:r w:rsidR="00966B54" w:rsidRPr="00B35695">
        <w:rPr>
          <w:rFonts w:ascii="Cambria" w:hAnsi="Cambria"/>
          <w:i/>
          <w:iCs/>
          <w:sz w:val="20"/>
          <w:szCs w:val="20"/>
          <w:lang w:val="es-ES_tradnl"/>
        </w:rPr>
        <w:t>C</w:t>
      </w:r>
      <w:r w:rsidR="009B4CE6" w:rsidRPr="00B35695">
        <w:rPr>
          <w:rFonts w:ascii="Cambria" w:hAnsi="Cambria"/>
          <w:i/>
          <w:iCs/>
          <w:sz w:val="20"/>
          <w:szCs w:val="20"/>
          <w:lang w:val="es-ES_tradnl"/>
        </w:rPr>
        <w:t xml:space="preserve">onstitución </w:t>
      </w:r>
      <w:r w:rsidR="00966B54" w:rsidRPr="00B35695">
        <w:rPr>
          <w:rFonts w:ascii="Cambria" w:hAnsi="Cambria"/>
          <w:i/>
          <w:iCs/>
          <w:sz w:val="20"/>
          <w:szCs w:val="20"/>
          <w:lang w:val="es-ES_tradnl"/>
        </w:rPr>
        <w:t>P</w:t>
      </w:r>
      <w:r w:rsidR="009B4CE6" w:rsidRPr="00B35695">
        <w:rPr>
          <w:rFonts w:ascii="Cambria" w:hAnsi="Cambria"/>
          <w:i/>
          <w:iCs/>
          <w:sz w:val="20"/>
          <w:szCs w:val="20"/>
          <w:lang w:val="es-ES_tradnl"/>
        </w:rPr>
        <w:t>olítica, los delitos que le correspondía juzgar, ni de hacer el llamamiento a juicio y mucho menos, se ocupó de adelantar el juicio por los delitos relacionados con paramilitarismo, en contra de Ciro Ramírez. Simplemente recibió el proceso y omitiendo efectuar el juicio sobre el concierto para delinquir con fines de paramilitarismo, dictó sentencia condenatoria”</w:t>
      </w:r>
      <w:r w:rsidR="009B4CE6" w:rsidRPr="00B35695">
        <w:rPr>
          <w:rFonts w:ascii="Cambria" w:hAnsi="Cambria"/>
          <w:sz w:val="20"/>
          <w:szCs w:val="20"/>
          <w:lang w:val="es-ES_tradnl"/>
        </w:rPr>
        <w:t>.</w:t>
      </w:r>
      <w:r w:rsidR="005A282C" w:rsidRPr="00B35695">
        <w:rPr>
          <w:rFonts w:ascii="Cambria" w:hAnsi="Cambria"/>
          <w:sz w:val="20"/>
          <w:szCs w:val="20"/>
          <w:lang w:val="es-ES_tradnl"/>
        </w:rPr>
        <w:t xml:space="preserve"> No se informa la fecha de notificación de la sentencia condenatoria del 10 de marzo de 2011.</w:t>
      </w:r>
    </w:p>
    <w:p w:rsidR="00EA111C" w:rsidRPr="00B35695" w:rsidRDefault="000B3835" w:rsidP="000B38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6. </w:t>
      </w:r>
      <w:r w:rsidR="00BB050B" w:rsidRPr="00B35695">
        <w:rPr>
          <w:rFonts w:ascii="Cambria" w:hAnsi="Cambria"/>
          <w:sz w:val="20"/>
          <w:szCs w:val="20"/>
          <w:lang w:val="es-ES_tradnl"/>
        </w:rPr>
        <w:tab/>
      </w:r>
      <w:r w:rsidR="00EA111C" w:rsidRPr="00B35695">
        <w:rPr>
          <w:rFonts w:ascii="Cambria" w:hAnsi="Cambria"/>
          <w:sz w:val="20"/>
          <w:szCs w:val="20"/>
          <w:lang w:val="es-ES_tradnl"/>
        </w:rPr>
        <w:t xml:space="preserve">En criterio de los peticionarios, con esta omisión </w:t>
      </w:r>
      <w:r w:rsidR="00966B54" w:rsidRPr="00B35695">
        <w:rPr>
          <w:rFonts w:ascii="Cambria" w:hAnsi="Cambria"/>
          <w:sz w:val="20"/>
          <w:szCs w:val="20"/>
          <w:lang w:val="es-ES_tradnl"/>
        </w:rPr>
        <w:t xml:space="preserve">por la Corte Suprema de Justicia </w:t>
      </w:r>
      <w:r w:rsidR="005E1BA7" w:rsidRPr="00B35695">
        <w:rPr>
          <w:rFonts w:ascii="Cambria" w:hAnsi="Cambria"/>
          <w:sz w:val="20"/>
          <w:szCs w:val="20"/>
          <w:lang w:val="es-ES_tradnl"/>
        </w:rPr>
        <w:t xml:space="preserve">tanto de la resolución de acusación como </w:t>
      </w:r>
      <w:r w:rsidR="00EA111C" w:rsidRPr="00B35695">
        <w:rPr>
          <w:rFonts w:ascii="Cambria" w:hAnsi="Cambria"/>
          <w:sz w:val="20"/>
          <w:szCs w:val="20"/>
          <w:lang w:val="es-ES_tradnl"/>
        </w:rPr>
        <w:t xml:space="preserve">de </w:t>
      </w:r>
      <w:r w:rsidR="00966B54" w:rsidRPr="00B35695">
        <w:rPr>
          <w:rFonts w:ascii="Cambria" w:hAnsi="Cambria"/>
          <w:sz w:val="20"/>
          <w:szCs w:val="20"/>
          <w:lang w:val="es-ES_tradnl"/>
        </w:rPr>
        <w:t xml:space="preserve">toda </w:t>
      </w:r>
      <w:r w:rsidR="00EA111C" w:rsidRPr="00B35695">
        <w:rPr>
          <w:rFonts w:ascii="Cambria" w:hAnsi="Cambria"/>
          <w:sz w:val="20"/>
          <w:szCs w:val="20"/>
          <w:lang w:val="es-ES_tradnl"/>
        </w:rPr>
        <w:t xml:space="preserve">la etapa procesal de juzgamiento en relación con el delito de concierto para delinquir con fines de promoción del paramilitarismo, se violó el debido proceso, el derecho de defensa, la presunción de inocencia y demás garantías procesales, además de que los abogados del señor Ramírez no </w:t>
      </w:r>
      <w:r w:rsidR="00BB050B" w:rsidRPr="00B35695">
        <w:rPr>
          <w:rFonts w:ascii="Cambria" w:hAnsi="Cambria"/>
          <w:sz w:val="20"/>
          <w:szCs w:val="20"/>
          <w:lang w:val="es-ES_tradnl"/>
        </w:rPr>
        <w:t>habrían podido</w:t>
      </w:r>
      <w:r w:rsidR="00EA111C" w:rsidRPr="00B35695">
        <w:rPr>
          <w:rFonts w:ascii="Cambria" w:hAnsi="Cambria"/>
          <w:sz w:val="20"/>
          <w:szCs w:val="20"/>
          <w:lang w:val="es-ES_tradnl"/>
        </w:rPr>
        <w:t xml:space="preserve"> ni controvertir las pruebas</w:t>
      </w:r>
      <w:r w:rsidR="007F03CE" w:rsidRPr="00B35695">
        <w:rPr>
          <w:rFonts w:ascii="Cambria" w:hAnsi="Cambria"/>
          <w:sz w:val="20"/>
          <w:szCs w:val="20"/>
          <w:lang w:val="es-ES_tradnl"/>
        </w:rPr>
        <w:t xml:space="preserve"> existentes, ni solicitar la práctica de pruebas a su favor,</w:t>
      </w:r>
      <w:r w:rsidR="00EA111C" w:rsidRPr="00B35695">
        <w:rPr>
          <w:rFonts w:ascii="Cambria" w:hAnsi="Cambria"/>
          <w:sz w:val="20"/>
          <w:szCs w:val="20"/>
          <w:lang w:val="es-ES_tradnl"/>
        </w:rPr>
        <w:t xml:space="preserve"> ni presentar sus alegatos exculpatorios frente a ese delito</w:t>
      </w:r>
      <w:r w:rsidR="00966B54" w:rsidRPr="00B35695">
        <w:rPr>
          <w:rFonts w:ascii="Cambria" w:hAnsi="Cambria"/>
          <w:sz w:val="20"/>
          <w:szCs w:val="20"/>
          <w:lang w:val="es-ES_tradnl"/>
        </w:rPr>
        <w:t>.</w:t>
      </w:r>
      <w:r w:rsidR="00EA111C" w:rsidRPr="00B35695">
        <w:rPr>
          <w:rFonts w:ascii="Cambria" w:hAnsi="Cambria"/>
          <w:sz w:val="20"/>
          <w:szCs w:val="20"/>
          <w:lang w:val="es-ES_tradnl"/>
        </w:rPr>
        <w:t xml:space="preserve"> </w:t>
      </w:r>
      <w:r w:rsidR="00966B54" w:rsidRPr="00B35695">
        <w:rPr>
          <w:rFonts w:ascii="Cambria" w:hAnsi="Cambria"/>
          <w:sz w:val="20"/>
          <w:szCs w:val="20"/>
          <w:lang w:val="es-ES_tradnl"/>
        </w:rPr>
        <w:t>C</w:t>
      </w:r>
      <w:r w:rsidR="00EA111C" w:rsidRPr="00B35695">
        <w:rPr>
          <w:rFonts w:ascii="Cambria" w:hAnsi="Cambria"/>
          <w:sz w:val="20"/>
          <w:szCs w:val="20"/>
          <w:lang w:val="es-ES_tradnl"/>
        </w:rPr>
        <w:t>omo consecuencia</w:t>
      </w:r>
      <w:r w:rsidR="00966B54" w:rsidRPr="00B35695">
        <w:rPr>
          <w:rFonts w:ascii="Cambria" w:hAnsi="Cambria"/>
          <w:sz w:val="20"/>
          <w:szCs w:val="20"/>
          <w:lang w:val="es-ES_tradnl"/>
        </w:rPr>
        <w:t xml:space="preserve"> de ello</w:t>
      </w:r>
      <w:r w:rsidR="00EA111C" w:rsidRPr="00B35695">
        <w:rPr>
          <w:rFonts w:ascii="Cambria" w:hAnsi="Cambria"/>
          <w:sz w:val="20"/>
          <w:szCs w:val="20"/>
          <w:lang w:val="es-ES_tradnl"/>
        </w:rPr>
        <w:t xml:space="preserve">, alegan que </w:t>
      </w:r>
      <w:r w:rsidR="00EA111C" w:rsidRPr="00B35695">
        <w:rPr>
          <w:rFonts w:ascii="Cambria" w:hAnsi="Cambria"/>
          <w:i/>
          <w:iCs/>
          <w:sz w:val="20"/>
          <w:szCs w:val="20"/>
          <w:lang w:val="es-ES_tradnl"/>
        </w:rPr>
        <w:t>“la sentencia fue dictada sin que existiera prueba de la ayuda de Ciro Ramírez a los grupos paramilitares en su calidad de congresista”</w:t>
      </w:r>
      <w:r w:rsidR="00EA111C" w:rsidRPr="00B35695">
        <w:rPr>
          <w:rFonts w:ascii="Cambria" w:hAnsi="Cambria"/>
          <w:sz w:val="20"/>
          <w:szCs w:val="20"/>
          <w:lang w:val="es-ES_tradnl"/>
        </w:rPr>
        <w:t xml:space="preserve">, resultando el señor Ramírez condenado sin juicio y pagando una condena por conductas delictivas </w:t>
      </w:r>
      <w:r w:rsidR="00EA111C" w:rsidRPr="00B35695">
        <w:rPr>
          <w:rFonts w:ascii="Cambria" w:hAnsi="Cambria"/>
          <w:i/>
          <w:iCs/>
          <w:sz w:val="20"/>
          <w:szCs w:val="20"/>
          <w:lang w:val="es-ES_tradnl"/>
        </w:rPr>
        <w:t>“que ni le fueron imputadas, ni le fueron probadas, como es el apoyo desde el congreso en las leyes tramitadas con ocasión del paramilitarismo”</w:t>
      </w:r>
      <w:r w:rsidR="00EA111C" w:rsidRPr="00B35695">
        <w:rPr>
          <w:rFonts w:ascii="Cambria" w:hAnsi="Cambria"/>
          <w:sz w:val="20"/>
          <w:szCs w:val="20"/>
          <w:lang w:val="es-ES_tradnl"/>
        </w:rPr>
        <w:t>.</w:t>
      </w:r>
      <w:r w:rsidR="007F03CE" w:rsidRPr="00B35695">
        <w:rPr>
          <w:rFonts w:ascii="Cambria" w:hAnsi="Cambria"/>
          <w:sz w:val="20"/>
          <w:szCs w:val="20"/>
          <w:lang w:val="es-ES_tradnl"/>
        </w:rPr>
        <w:t xml:space="preserve"> Se insiste en la petición a este respecto en que el </w:t>
      </w:r>
      <w:r w:rsidR="001E6058" w:rsidRPr="00B35695">
        <w:rPr>
          <w:rFonts w:ascii="Cambria" w:hAnsi="Cambria"/>
          <w:sz w:val="20"/>
          <w:szCs w:val="20"/>
          <w:lang w:val="es-ES_tradnl"/>
        </w:rPr>
        <w:t>trámite</w:t>
      </w:r>
      <w:r w:rsidR="007F03CE" w:rsidRPr="00B35695">
        <w:rPr>
          <w:rFonts w:ascii="Cambria" w:hAnsi="Cambria"/>
          <w:sz w:val="20"/>
          <w:szCs w:val="20"/>
          <w:lang w:val="es-ES_tradnl"/>
        </w:rPr>
        <w:t xml:space="preserve"> de juzgamiento surtido por el Juzgado Primero Penal del Circuito Especializado de Bogotá, en virtud de lo ordenado por la propia Corte Suprema en auto del 30 de septiembre de 2009, únicamente se refirió a los delitos relacionados con el narcotráfico -v.g. concierto para delinquir agravado, tráfico de estupefacientes y lavado de activos-, de los cuales el señor Ramírez resultó absuelto.</w:t>
      </w:r>
    </w:p>
    <w:p w:rsidR="007F03CE"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7. </w:t>
      </w:r>
      <w:r w:rsidR="00BB050B" w:rsidRPr="00B35695">
        <w:rPr>
          <w:rFonts w:ascii="Cambria" w:hAnsi="Cambria"/>
          <w:sz w:val="20"/>
          <w:szCs w:val="20"/>
          <w:lang w:val="es-ES_tradnl"/>
        </w:rPr>
        <w:tab/>
      </w:r>
      <w:r w:rsidR="00315277" w:rsidRPr="00B35695">
        <w:rPr>
          <w:rFonts w:ascii="Cambria" w:hAnsi="Cambria"/>
          <w:sz w:val="20"/>
          <w:szCs w:val="20"/>
          <w:lang w:val="es-ES_tradnl"/>
        </w:rPr>
        <w:t xml:space="preserve">Adicionalmente, dado que el proceso ante la Corte Suprema era de única instancia por tratarse de un </w:t>
      </w:r>
      <w:r w:rsidR="001E6058" w:rsidRPr="00B35695">
        <w:rPr>
          <w:rFonts w:ascii="Cambria" w:hAnsi="Cambria"/>
          <w:sz w:val="20"/>
          <w:szCs w:val="20"/>
          <w:lang w:val="es-ES_tradnl"/>
        </w:rPr>
        <w:t>ex congresista</w:t>
      </w:r>
      <w:r w:rsidR="00315277" w:rsidRPr="00B35695">
        <w:rPr>
          <w:rFonts w:ascii="Cambria" w:hAnsi="Cambria"/>
          <w:sz w:val="20"/>
          <w:szCs w:val="20"/>
          <w:lang w:val="es-ES_tradnl"/>
        </w:rPr>
        <w:t>, los peticionarios alegan que se vulneró la garantía de la doble instancia</w:t>
      </w:r>
      <w:r w:rsidR="006721A7" w:rsidRPr="00B35695">
        <w:rPr>
          <w:rFonts w:ascii="Cambria" w:hAnsi="Cambria"/>
          <w:sz w:val="20"/>
          <w:szCs w:val="20"/>
          <w:lang w:val="es-ES_tradnl"/>
        </w:rPr>
        <w:t xml:space="preserve"> consagrada en el a</w:t>
      </w:r>
      <w:r w:rsidR="00BB050B" w:rsidRPr="00B35695">
        <w:rPr>
          <w:rFonts w:ascii="Cambria" w:hAnsi="Cambria"/>
          <w:sz w:val="20"/>
          <w:szCs w:val="20"/>
          <w:lang w:val="es-ES_tradnl"/>
        </w:rPr>
        <w:t>rtículo 8.2.</w:t>
      </w:r>
      <w:r w:rsidR="00315277" w:rsidRPr="00B35695">
        <w:rPr>
          <w:rFonts w:ascii="Cambria" w:hAnsi="Cambria"/>
          <w:sz w:val="20"/>
          <w:szCs w:val="20"/>
          <w:lang w:val="es-ES_tradnl"/>
        </w:rPr>
        <w:t xml:space="preserve">h) de la Convención Americana. </w:t>
      </w:r>
      <w:r w:rsidR="007F03CE" w:rsidRPr="00B35695">
        <w:rPr>
          <w:rFonts w:ascii="Cambria" w:hAnsi="Cambria"/>
          <w:sz w:val="20"/>
          <w:szCs w:val="20"/>
          <w:lang w:val="es-ES_tradnl"/>
        </w:rPr>
        <w:t xml:space="preserve">De igual manera argumentan que se violó el principio del juez natural, puesto que en contravención de lo dispuesto en el artículo 235-3 de la Constitución, según el cual corresponde a la Corte Suprema de Justicia investigar y juzgar a los congresistas, el delito relacionado con paramilitarismo también fue investigado por la Fiscalía General de la Nación: </w:t>
      </w:r>
    </w:p>
    <w:p w:rsidR="00315277" w:rsidRPr="00B35695" w:rsidRDefault="007F03CE"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proofErr w:type="gramStart"/>
      <w:r w:rsidRPr="00B35695">
        <w:rPr>
          <w:rFonts w:ascii="Cambria" w:hAnsi="Cambria"/>
          <w:sz w:val="20"/>
          <w:szCs w:val="20"/>
          <w:lang w:val="es-ES_tradnl"/>
        </w:rPr>
        <w:t>en</w:t>
      </w:r>
      <w:proofErr w:type="gramEnd"/>
      <w:r w:rsidRPr="00B35695">
        <w:rPr>
          <w:rFonts w:ascii="Cambria" w:hAnsi="Cambria"/>
          <w:sz w:val="20"/>
          <w:szCs w:val="20"/>
          <w:lang w:val="es-ES_tradnl"/>
        </w:rPr>
        <w:t xml:space="preserve"> el proceso seguido contra Ciro Ramírez, en aras de la ruptura de la unidad procesal, se genera un desorden de marca mayor dentro del proceso de investigación, toda vez que la Fiscalía General de la Nación, también investiga y acusa al mismo tiempo por los delitos de concierto para delinquir con fines de narcotráfico y concierto para delinquir para la promoción de grupos armados al margen de la ley, dentro de un procedimiento espurio inexistente en la ley colombiana (…). Ciro Ramírez comenzó siendo investigado por la Corte Suprema de Justicia, posteriormente con ocasión de la renuncia a la curul y por ende al fuero, el proceso pasa a la Fiscalía. La Corte dicta un auto según el cual, la justicia ordinaria investiga </w:t>
      </w:r>
      <w:r w:rsidRPr="00B35695">
        <w:rPr>
          <w:rFonts w:ascii="Cambria" w:hAnsi="Cambria"/>
          <w:sz w:val="20"/>
          <w:szCs w:val="20"/>
          <w:lang w:val="es-ES_tradnl"/>
        </w:rPr>
        <w:lastRenderedPageBreak/>
        <w:t>lo relacionado con narcotráfico y la Corte cumple con lo suyo en lo relacionado con paramilitarismo. No obstante lo anterior, la Fiscalía investiga y recauda pruebas en lo relacionado con paramilitarismo a pesar de no corresponderle por mandato constitucional, pues ha debido ser la misma Corte, quien recauda la prueba en lo relacionado con paramilitarismo, toda vez que el mandato superior ordena que ‘investigue y juzgue’ a los miembros del Congreso. Luego, dentro del desorden procesal impuesto por la misma Corte Suprema de Justicia, la Fiscalía le remite a ésta las diligencias relacionadas con paramilitarismo, de las cuales también hay algunas recaudadas por la Corte y como si no fuera suficiente violación de los derechos humanos, la Corte dicta sentencia sin que se haya surtido la etapa de juicio sobre las acusaciones de concierto para promover grupos paramilitares, basándose en las investigaciones de la Fiscalía, quien para el caso de paramilitarismo adolece de legitimidad para adelantar las investigaciones en contra de un aforado.</w:t>
      </w:r>
    </w:p>
    <w:p w:rsidR="007F03CE"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8. </w:t>
      </w:r>
      <w:r w:rsidR="00B55E6A" w:rsidRPr="00B35695">
        <w:rPr>
          <w:rFonts w:ascii="Cambria" w:hAnsi="Cambria"/>
          <w:sz w:val="20"/>
          <w:szCs w:val="20"/>
          <w:lang w:val="es-ES_tradnl"/>
        </w:rPr>
        <w:tab/>
      </w:r>
      <w:r w:rsidR="007F03CE" w:rsidRPr="00B35695">
        <w:rPr>
          <w:rFonts w:ascii="Cambria" w:hAnsi="Cambria"/>
          <w:sz w:val="20"/>
          <w:szCs w:val="20"/>
          <w:lang w:val="es-ES_tradnl"/>
        </w:rPr>
        <w:t>Por otra parte, los peticionarios controvierten con detallados argumentos el sustento probatorio de la condena proferida por la Corte Suprema de Justicia, y concluyen que al carecer de evidencia sólida</w:t>
      </w:r>
      <w:r w:rsidR="004C162A" w:rsidRPr="00B35695">
        <w:rPr>
          <w:rFonts w:ascii="Cambria" w:hAnsi="Cambria"/>
          <w:sz w:val="20"/>
          <w:szCs w:val="20"/>
          <w:lang w:val="es-ES_tradnl"/>
        </w:rPr>
        <w:t xml:space="preserve"> que proveyera certeza sobre la comisión de las conductas imputadas</w:t>
      </w:r>
      <w:r w:rsidR="007F03CE" w:rsidRPr="00B35695">
        <w:rPr>
          <w:rFonts w:ascii="Cambria" w:hAnsi="Cambria"/>
          <w:sz w:val="20"/>
          <w:szCs w:val="20"/>
          <w:lang w:val="es-ES_tradnl"/>
        </w:rPr>
        <w:t>, dicha condena desconoció la presunción de inocencia que amparaba al señor Ramírez</w:t>
      </w:r>
      <w:r w:rsidR="004C162A" w:rsidRPr="00B35695">
        <w:rPr>
          <w:rFonts w:ascii="Cambria" w:hAnsi="Cambria"/>
          <w:sz w:val="20"/>
          <w:szCs w:val="20"/>
          <w:lang w:val="es-ES_tradnl"/>
        </w:rPr>
        <w:t>, y le declaró responsable por la comisión de delitos cuyos elementos típicos constitutivos no quedaron demostrados en el proceso.</w:t>
      </w:r>
    </w:p>
    <w:p w:rsidR="005E1BA7"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9. </w:t>
      </w:r>
      <w:r w:rsidR="00B55E6A" w:rsidRPr="00B35695">
        <w:rPr>
          <w:rFonts w:ascii="Cambria" w:hAnsi="Cambria"/>
          <w:sz w:val="20"/>
          <w:szCs w:val="20"/>
          <w:lang w:val="es-ES_tradnl"/>
        </w:rPr>
        <w:tab/>
        <w:t>Asi</w:t>
      </w:r>
      <w:r w:rsidR="005E1BA7" w:rsidRPr="00B35695">
        <w:rPr>
          <w:rFonts w:ascii="Cambria" w:hAnsi="Cambria"/>
          <w:sz w:val="20"/>
          <w:szCs w:val="20"/>
          <w:lang w:val="es-ES_tradnl"/>
        </w:rPr>
        <w:t xml:space="preserve">mismo, alegan que se violó el derecho a la igualdad porque se dictó una sentencia en condiciones distintas a las demás que profiere la Corte Suprema, en la medida en que la condena contra Ciro Ramírez se adoptó sin que existiera un Magistrado Ponente, </w:t>
      </w:r>
      <w:r w:rsidR="005E1BA7" w:rsidRPr="00B35695">
        <w:rPr>
          <w:rFonts w:ascii="Cambria" w:hAnsi="Cambria"/>
          <w:i/>
          <w:iCs/>
          <w:sz w:val="20"/>
          <w:szCs w:val="20"/>
          <w:lang w:val="es-ES_tradnl"/>
        </w:rPr>
        <w:t xml:space="preserve">“sino que se trata de una pieza procesal en la que la Corte, de manera espontánea y sin que exista un autor, condena al padre de la reelección del presidente </w:t>
      </w:r>
      <w:r w:rsidR="006721A7" w:rsidRPr="00B35695">
        <w:rPr>
          <w:rFonts w:ascii="Cambria" w:hAnsi="Cambria"/>
          <w:i/>
          <w:iCs/>
          <w:sz w:val="20"/>
          <w:szCs w:val="20"/>
          <w:lang w:val="es-ES_tradnl"/>
        </w:rPr>
        <w:t>Álvaro</w:t>
      </w:r>
      <w:r w:rsidR="005E1BA7" w:rsidRPr="00B35695">
        <w:rPr>
          <w:rFonts w:ascii="Cambria" w:hAnsi="Cambria"/>
          <w:i/>
          <w:iCs/>
          <w:sz w:val="20"/>
          <w:szCs w:val="20"/>
          <w:lang w:val="es-ES_tradnl"/>
        </w:rPr>
        <w:t xml:space="preserve"> Uribe Vélez (…). Al no existir ponente la Corte garantiza que no existan los incómodos salvamentos de voto que se han surtido en el pasado dentro del presente proceso, en los que los mismos magistrados acusan la violación de los derechos humanos”</w:t>
      </w:r>
      <w:r w:rsidR="005E1BA7" w:rsidRPr="00B35695">
        <w:rPr>
          <w:rFonts w:ascii="Cambria" w:hAnsi="Cambria"/>
          <w:sz w:val="20"/>
          <w:szCs w:val="20"/>
          <w:lang w:val="es-ES_tradnl"/>
        </w:rPr>
        <w:t xml:space="preserve">. También se afirma que con la imposición de una multa exorbitante en la sentencia condenatoria, </w:t>
      </w:r>
      <w:r w:rsidR="00786B16" w:rsidRPr="00B35695">
        <w:rPr>
          <w:rFonts w:ascii="Cambria" w:hAnsi="Cambria"/>
          <w:sz w:val="20"/>
          <w:szCs w:val="20"/>
          <w:lang w:val="es-ES_tradnl"/>
        </w:rPr>
        <w:t xml:space="preserve">por aproximadamente dos millones de dólares, </w:t>
      </w:r>
      <w:r w:rsidR="005E1BA7" w:rsidRPr="00B35695">
        <w:rPr>
          <w:rFonts w:ascii="Cambria" w:hAnsi="Cambria"/>
          <w:sz w:val="20"/>
          <w:szCs w:val="20"/>
          <w:lang w:val="es-ES_tradnl"/>
        </w:rPr>
        <w:t xml:space="preserve">se desconoció el derecho a la propiedad privada del señor Ramírez: </w:t>
      </w:r>
      <w:r w:rsidR="005E1BA7" w:rsidRPr="00B35695">
        <w:rPr>
          <w:rFonts w:ascii="Cambria" w:hAnsi="Cambria"/>
          <w:i/>
          <w:iCs/>
          <w:sz w:val="20"/>
          <w:szCs w:val="20"/>
          <w:lang w:val="es-ES_tradnl"/>
        </w:rPr>
        <w:t>“la injusta multa de orden pecuniario que acompaña la sentencia, está orientada a dejar en la indigencia al señor Ciro Ramírez Pinzón y a su familia, acabando de un solo tajo con el trabajo de toda una vida”</w:t>
      </w:r>
      <w:r w:rsidR="005E1BA7" w:rsidRPr="00B35695">
        <w:rPr>
          <w:rFonts w:ascii="Cambria" w:hAnsi="Cambria"/>
          <w:sz w:val="20"/>
          <w:szCs w:val="20"/>
          <w:lang w:val="es-ES_tradnl"/>
        </w:rPr>
        <w:t>. En cuanto al derecho a la libertad personal, que también se invoca como violado, los peticionarios afirman que el señor Ramírez se encuentra en libertad condicional después de haber cumplido con una parte de la pena de prisión</w:t>
      </w:r>
      <w:r w:rsidR="00966B54" w:rsidRPr="00B35695">
        <w:rPr>
          <w:rFonts w:ascii="Cambria" w:hAnsi="Cambria"/>
          <w:sz w:val="20"/>
          <w:szCs w:val="20"/>
          <w:lang w:val="es-ES_tradnl"/>
        </w:rPr>
        <w:t xml:space="preserve"> que le fuera injustamente impuesta</w:t>
      </w:r>
      <w:r w:rsidR="005E1BA7" w:rsidRPr="00B35695">
        <w:rPr>
          <w:rFonts w:ascii="Cambria" w:hAnsi="Cambria"/>
          <w:sz w:val="20"/>
          <w:szCs w:val="20"/>
          <w:lang w:val="es-ES_tradnl"/>
        </w:rPr>
        <w:t>.</w:t>
      </w:r>
      <w:r w:rsidR="00E51FBA" w:rsidRPr="00B35695">
        <w:rPr>
          <w:rFonts w:ascii="Cambria" w:hAnsi="Cambria"/>
          <w:sz w:val="20"/>
          <w:szCs w:val="20"/>
          <w:lang w:val="es-ES_tradnl"/>
        </w:rPr>
        <w:t xml:space="preserve"> Y en cuanto a</w:t>
      </w:r>
      <w:r w:rsidR="00966B54" w:rsidRPr="00B35695">
        <w:rPr>
          <w:rFonts w:ascii="Cambria" w:hAnsi="Cambria"/>
          <w:sz w:val="20"/>
          <w:szCs w:val="20"/>
          <w:lang w:val="es-ES_tradnl"/>
        </w:rPr>
        <w:t xml:space="preserve"> </w:t>
      </w:r>
      <w:r w:rsidR="00E51FBA" w:rsidRPr="00B35695">
        <w:rPr>
          <w:rFonts w:ascii="Cambria" w:hAnsi="Cambria"/>
          <w:sz w:val="20"/>
          <w:szCs w:val="20"/>
          <w:lang w:val="es-ES_tradnl"/>
        </w:rPr>
        <w:t>l</w:t>
      </w:r>
      <w:r w:rsidR="00966B54" w:rsidRPr="00B35695">
        <w:rPr>
          <w:rFonts w:ascii="Cambria" w:hAnsi="Cambria"/>
          <w:sz w:val="20"/>
          <w:szCs w:val="20"/>
          <w:lang w:val="es-ES_tradnl"/>
        </w:rPr>
        <w:t>os</w:t>
      </w:r>
      <w:r w:rsidR="00E51FBA" w:rsidRPr="00B35695">
        <w:rPr>
          <w:rFonts w:ascii="Cambria" w:hAnsi="Cambria"/>
          <w:sz w:val="20"/>
          <w:szCs w:val="20"/>
          <w:lang w:val="es-ES_tradnl"/>
        </w:rPr>
        <w:t xml:space="preserve"> derecho</w:t>
      </w:r>
      <w:r w:rsidR="00966B54" w:rsidRPr="00B35695">
        <w:rPr>
          <w:rFonts w:ascii="Cambria" w:hAnsi="Cambria"/>
          <w:sz w:val="20"/>
          <w:szCs w:val="20"/>
          <w:lang w:val="es-ES_tradnl"/>
        </w:rPr>
        <w:t>s</w:t>
      </w:r>
      <w:r w:rsidR="00E51FBA" w:rsidRPr="00B35695">
        <w:rPr>
          <w:rFonts w:ascii="Cambria" w:hAnsi="Cambria"/>
          <w:sz w:val="20"/>
          <w:szCs w:val="20"/>
          <w:lang w:val="es-ES_tradnl"/>
        </w:rPr>
        <w:t xml:space="preserve"> a la integridad personal</w:t>
      </w:r>
      <w:r w:rsidR="00966B54" w:rsidRPr="00B35695">
        <w:rPr>
          <w:rFonts w:ascii="Cambria" w:hAnsi="Cambria"/>
          <w:sz w:val="20"/>
          <w:szCs w:val="20"/>
          <w:lang w:val="es-ES_tradnl"/>
        </w:rPr>
        <w:t xml:space="preserve"> y a la honra y dignidad</w:t>
      </w:r>
      <w:r w:rsidR="00E51FBA" w:rsidRPr="00B35695">
        <w:rPr>
          <w:rFonts w:ascii="Cambria" w:hAnsi="Cambria"/>
          <w:sz w:val="20"/>
          <w:szCs w:val="20"/>
          <w:lang w:val="es-ES_tradnl"/>
        </w:rPr>
        <w:t xml:space="preserve">, se afirma que </w:t>
      </w:r>
      <w:r w:rsidR="00E51FBA" w:rsidRPr="00B35695">
        <w:rPr>
          <w:rFonts w:ascii="Cambria" w:hAnsi="Cambria"/>
          <w:i/>
          <w:iCs/>
          <w:sz w:val="20"/>
          <w:szCs w:val="20"/>
          <w:lang w:val="es-ES_tradnl"/>
        </w:rPr>
        <w:t>“Ciro Ramírez Pinzón, no solamente ha sido privado injustamente de su libertad, sino que habiendo trabajado toda su vida por ser un hombre respetado y respetable, se le ha cercenado en su patrimonio moral y su buen nombre”</w:t>
      </w:r>
      <w:r w:rsidR="00E51FBA" w:rsidRPr="00B35695">
        <w:rPr>
          <w:rFonts w:ascii="Cambria" w:hAnsi="Cambria"/>
          <w:sz w:val="20"/>
          <w:szCs w:val="20"/>
          <w:lang w:val="es-ES_tradnl"/>
        </w:rPr>
        <w:t>.</w:t>
      </w:r>
    </w:p>
    <w:p w:rsidR="005E1BA7"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10. </w:t>
      </w:r>
      <w:r w:rsidR="006721A7" w:rsidRPr="00B35695">
        <w:rPr>
          <w:rFonts w:ascii="Cambria" w:hAnsi="Cambria"/>
          <w:sz w:val="20"/>
          <w:szCs w:val="20"/>
          <w:lang w:val="es-ES_tradnl"/>
        </w:rPr>
        <w:tab/>
      </w:r>
      <w:r w:rsidR="005E1BA7" w:rsidRPr="00B35695">
        <w:rPr>
          <w:rFonts w:ascii="Cambria" w:hAnsi="Cambria"/>
          <w:sz w:val="20"/>
          <w:szCs w:val="20"/>
          <w:lang w:val="es-ES_tradnl"/>
        </w:rPr>
        <w:t xml:space="preserve">Por último, los peticionarios afirman que la aplicación </w:t>
      </w:r>
      <w:r w:rsidR="00966B54" w:rsidRPr="00B35695">
        <w:rPr>
          <w:rFonts w:ascii="Cambria" w:hAnsi="Cambria"/>
          <w:sz w:val="20"/>
          <w:szCs w:val="20"/>
          <w:lang w:val="es-ES_tradnl"/>
        </w:rPr>
        <w:t>por parte de</w:t>
      </w:r>
      <w:r w:rsidR="005E1BA7" w:rsidRPr="00B35695">
        <w:rPr>
          <w:rFonts w:ascii="Cambria" w:hAnsi="Cambria"/>
          <w:sz w:val="20"/>
          <w:szCs w:val="20"/>
          <w:lang w:val="es-ES_tradnl"/>
        </w:rPr>
        <w:t xml:space="preserve"> la Corte Suprema del cambio jurisprudencial sobre su propia competencia con posterioridad tanto a los hechos investigados como a la iniciación del proceso penal contra el señor Ramírez</w:t>
      </w:r>
      <w:r w:rsidR="006721A7" w:rsidRPr="00B35695">
        <w:rPr>
          <w:rFonts w:ascii="Cambria" w:hAnsi="Cambria"/>
          <w:sz w:val="20"/>
          <w:szCs w:val="20"/>
          <w:lang w:val="es-ES_tradnl"/>
        </w:rPr>
        <w:t>, constituyó una violación del a</w:t>
      </w:r>
      <w:r w:rsidR="005E1BA7" w:rsidRPr="00B35695">
        <w:rPr>
          <w:rFonts w:ascii="Cambria" w:hAnsi="Cambria"/>
          <w:sz w:val="20"/>
          <w:szCs w:val="20"/>
          <w:lang w:val="es-ES_tradnl"/>
        </w:rPr>
        <w:t>rtículo 9 de la Convención Americana, que prohíbe la aplicación retroactiva de la ley penal.</w:t>
      </w:r>
      <w:r w:rsidR="00C90B00" w:rsidRPr="00B35695">
        <w:rPr>
          <w:rFonts w:ascii="Cambria" w:hAnsi="Cambria"/>
          <w:sz w:val="20"/>
          <w:szCs w:val="20"/>
          <w:lang w:val="es-ES_tradnl"/>
        </w:rPr>
        <w:t xml:space="preserve"> Como consecuencia de </w:t>
      </w:r>
      <w:r w:rsidR="00966B54" w:rsidRPr="00B35695">
        <w:rPr>
          <w:rFonts w:ascii="Cambria" w:hAnsi="Cambria"/>
          <w:sz w:val="20"/>
          <w:szCs w:val="20"/>
          <w:lang w:val="es-ES_tradnl"/>
        </w:rPr>
        <w:t>todas est</w:t>
      </w:r>
      <w:r w:rsidR="00C90B00" w:rsidRPr="00B35695">
        <w:rPr>
          <w:rFonts w:ascii="Cambria" w:hAnsi="Cambria"/>
          <w:sz w:val="20"/>
          <w:szCs w:val="20"/>
          <w:lang w:val="es-ES_tradnl"/>
        </w:rPr>
        <w:t>as alegadas violaciones de los derechos humanos, los peticionarios afirman que el señor Ramírez resultó condenado en forma injusta, y presentan una enunciación de los distintos tipos de perjuicios sufridos por él</w:t>
      </w:r>
      <w:r w:rsidR="00966B54" w:rsidRPr="00B35695">
        <w:rPr>
          <w:rFonts w:ascii="Cambria" w:hAnsi="Cambria"/>
          <w:sz w:val="20"/>
          <w:szCs w:val="20"/>
          <w:lang w:val="es-ES_tradnl"/>
        </w:rPr>
        <w:t xml:space="preserve"> y su familia</w:t>
      </w:r>
      <w:r w:rsidR="00C90B00" w:rsidRPr="00B35695">
        <w:rPr>
          <w:rFonts w:ascii="Cambria" w:hAnsi="Cambria"/>
          <w:sz w:val="20"/>
          <w:szCs w:val="20"/>
          <w:lang w:val="es-ES_tradnl"/>
        </w:rPr>
        <w:t>, s</w:t>
      </w:r>
      <w:r w:rsidR="006721A7" w:rsidRPr="00B35695">
        <w:rPr>
          <w:rFonts w:ascii="Cambria" w:hAnsi="Cambria"/>
          <w:sz w:val="20"/>
          <w:szCs w:val="20"/>
          <w:lang w:val="es-ES_tradnl"/>
        </w:rPr>
        <w:t>olicitando se dé aplicación al a</w:t>
      </w:r>
      <w:r w:rsidR="00C90B00" w:rsidRPr="00B35695">
        <w:rPr>
          <w:rFonts w:ascii="Cambria" w:hAnsi="Cambria"/>
          <w:sz w:val="20"/>
          <w:szCs w:val="20"/>
          <w:lang w:val="es-ES_tradnl"/>
        </w:rPr>
        <w:t>rtículo 10 de la Convención, sobre indemnización por error judicial.</w:t>
      </w:r>
    </w:p>
    <w:p w:rsidR="004E7C19"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11. </w:t>
      </w:r>
      <w:r w:rsidR="006721A7" w:rsidRPr="00B35695">
        <w:rPr>
          <w:rFonts w:ascii="Cambria" w:hAnsi="Cambria"/>
          <w:sz w:val="20"/>
          <w:szCs w:val="20"/>
          <w:lang w:val="es-ES_tradnl"/>
        </w:rPr>
        <w:tab/>
      </w:r>
      <w:r w:rsidR="004E7C19" w:rsidRPr="00B35695">
        <w:rPr>
          <w:rFonts w:ascii="Cambria" w:hAnsi="Cambria"/>
          <w:sz w:val="20"/>
          <w:szCs w:val="20"/>
          <w:lang w:val="es-ES_tradnl"/>
        </w:rPr>
        <w:t>El Estado</w:t>
      </w:r>
      <w:r w:rsidR="006721A7" w:rsidRPr="00B35695">
        <w:rPr>
          <w:rFonts w:ascii="Cambria" w:hAnsi="Cambria"/>
          <w:sz w:val="20"/>
          <w:szCs w:val="20"/>
          <w:lang w:val="es-ES_tradnl"/>
        </w:rPr>
        <w:t>, por su parte,</w:t>
      </w:r>
      <w:r w:rsidR="004E7C19" w:rsidRPr="00B35695">
        <w:rPr>
          <w:rFonts w:ascii="Cambria" w:hAnsi="Cambria"/>
          <w:sz w:val="20"/>
          <w:szCs w:val="20"/>
          <w:lang w:val="es-ES_tradnl"/>
        </w:rPr>
        <w:t xml:space="preserve"> pide que la petición sea declarada inadmisible, en la medida en que se configura la fórmula de la cuarta instancia con respe</w:t>
      </w:r>
      <w:r w:rsidR="00966B54" w:rsidRPr="00B35695">
        <w:rPr>
          <w:rFonts w:ascii="Cambria" w:hAnsi="Cambria"/>
          <w:sz w:val="20"/>
          <w:szCs w:val="20"/>
          <w:lang w:val="es-ES_tradnl"/>
        </w:rPr>
        <w:t>c</w:t>
      </w:r>
      <w:r w:rsidR="004E7C19" w:rsidRPr="00B35695">
        <w:rPr>
          <w:rFonts w:ascii="Cambria" w:hAnsi="Cambria"/>
          <w:sz w:val="20"/>
          <w:szCs w:val="20"/>
          <w:lang w:val="es-ES_tradnl"/>
        </w:rPr>
        <w:t>to a (i)</w:t>
      </w:r>
      <w:r w:rsidR="005A282C" w:rsidRPr="00B35695">
        <w:rPr>
          <w:rFonts w:ascii="Cambria" w:hAnsi="Cambria"/>
          <w:sz w:val="20"/>
          <w:szCs w:val="20"/>
          <w:lang w:val="es-ES_tradnl"/>
        </w:rPr>
        <w:t xml:space="preserve"> el contenido de la sentencia condenatoria, que está en firme y es definitiva, habiendo sido adoptada con pleno respeto por las garantías </w:t>
      </w:r>
      <w:r w:rsidR="00786B16" w:rsidRPr="00B35695">
        <w:rPr>
          <w:rFonts w:ascii="Cambria" w:hAnsi="Cambria"/>
          <w:sz w:val="20"/>
          <w:szCs w:val="20"/>
          <w:lang w:val="es-ES_tradnl"/>
        </w:rPr>
        <w:t>judiciales</w:t>
      </w:r>
      <w:r w:rsidR="005A282C" w:rsidRPr="00B35695">
        <w:rPr>
          <w:rFonts w:ascii="Cambria" w:hAnsi="Cambria"/>
          <w:sz w:val="20"/>
          <w:szCs w:val="20"/>
          <w:lang w:val="es-ES_tradnl"/>
        </w:rPr>
        <w:t>; (ii)</w:t>
      </w:r>
      <w:r w:rsidR="004E7C19" w:rsidRPr="00B35695">
        <w:rPr>
          <w:rFonts w:ascii="Cambria" w:hAnsi="Cambria"/>
          <w:sz w:val="20"/>
          <w:szCs w:val="20"/>
          <w:lang w:val="es-ES_tradnl"/>
        </w:rPr>
        <w:t xml:space="preserve"> la supuesta violación del derecho a recurrir un fallo condenatorio penal</w:t>
      </w:r>
      <w:r w:rsidR="005A282C" w:rsidRPr="00B35695">
        <w:rPr>
          <w:rFonts w:ascii="Cambria" w:hAnsi="Cambria"/>
          <w:sz w:val="20"/>
          <w:szCs w:val="20"/>
          <w:lang w:val="es-ES_tradnl"/>
        </w:rPr>
        <w:t>;</w:t>
      </w:r>
      <w:r w:rsidR="004E7C19" w:rsidRPr="00B35695">
        <w:rPr>
          <w:rFonts w:ascii="Cambria" w:hAnsi="Cambria"/>
          <w:sz w:val="20"/>
          <w:szCs w:val="20"/>
          <w:lang w:val="es-ES_tradnl"/>
        </w:rPr>
        <w:t xml:space="preserve"> y (ii</w:t>
      </w:r>
      <w:r w:rsidR="005A282C" w:rsidRPr="00B35695">
        <w:rPr>
          <w:rFonts w:ascii="Cambria" w:hAnsi="Cambria"/>
          <w:sz w:val="20"/>
          <w:szCs w:val="20"/>
          <w:lang w:val="es-ES_tradnl"/>
        </w:rPr>
        <w:t>i</w:t>
      </w:r>
      <w:r w:rsidR="004E7C19" w:rsidRPr="00B35695">
        <w:rPr>
          <w:rFonts w:ascii="Cambria" w:hAnsi="Cambria"/>
          <w:sz w:val="20"/>
          <w:szCs w:val="20"/>
          <w:lang w:val="es-ES_tradnl"/>
        </w:rPr>
        <w:t xml:space="preserve">) la presunta vulneración del principio de no retroactividad por la aplicación de un cambio de precedente judicial, </w:t>
      </w:r>
      <w:r w:rsidR="005A282C" w:rsidRPr="00B35695">
        <w:rPr>
          <w:rFonts w:ascii="Cambria" w:hAnsi="Cambria"/>
          <w:sz w:val="20"/>
          <w:szCs w:val="20"/>
          <w:lang w:val="es-ES_tradnl"/>
        </w:rPr>
        <w:t xml:space="preserve">asuntos éstos dos últimos </w:t>
      </w:r>
      <w:r w:rsidR="004E7C19" w:rsidRPr="00B35695">
        <w:rPr>
          <w:rFonts w:ascii="Cambria" w:hAnsi="Cambria"/>
          <w:sz w:val="20"/>
          <w:szCs w:val="20"/>
          <w:lang w:val="es-ES_tradnl"/>
        </w:rPr>
        <w:t xml:space="preserve">que el Estado afirma ya fueron desestimados por los jueces nacionales mediante providencias motivadas y acorde con las garantías de la Convención Americana. En forma subsidiaria, Colombia alega que no se han agotado los recursos internos </w:t>
      </w:r>
      <w:r w:rsidR="00966B54" w:rsidRPr="00B35695">
        <w:rPr>
          <w:rFonts w:ascii="Cambria" w:hAnsi="Cambria"/>
          <w:sz w:val="20"/>
          <w:szCs w:val="20"/>
          <w:lang w:val="es-ES_tradnl"/>
        </w:rPr>
        <w:t xml:space="preserve">ni en relación con la valoración probatoria efectuada por la sentencia condenatoria, ni tampoco </w:t>
      </w:r>
      <w:r w:rsidR="004E7C19" w:rsidRPr="00B35695">
        <w:rPr>
          <w:rFonts w:ascii="Cambria" w:hAnsi="Cambria"/>
          <w:sz w:val="20"/>
          <w:szCs w:val="20"/>
          <w:lang w:val="es-ES_tradnl"/>
        </w:rPr>
        <w:t>con respecto a la solicitud de reparaciones efectuada por los peticionarios.</w:t>
      </w:r>
    </w:p>
    <w:p w:rsidR="004E7C19"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lastRenderedPageBreak/>
        <w:t xml:space="preserve">12. </w:t>
      </w:r>
      <w:r w:rsidR="001150F3" w:rsidRPr="00B35695">
        <w:rPr>
          <w:rFonts w:ascii="Cambria" w:hAnsi="Cambria"/>
          <w:sz w:val="20"/>
          <w:szCs w:val="20"/>
          <w:lang w:val="es-ES_tradnl"/>
        </w:rPr>
        <w:tab/>
      </w:r>
      <w:r w:rsidR="004E7C19" w:rsidRPr="00B35695">
        <w:rPr>
          <w:rFonts w:ascii="Cambria" w:hAnsi="Cambria"/>
          <w:sz w:val="20"/>
          <w:szCs w:val="20"/>
          <w:lang w:val="es-ES_tradnl"/>
        </w:rPr>
        <w:t xml:space="preserve">En cuanto a la posibilidad de impugnación de un fallo de única instancia dictado en casos de fuero parlamentario por la Corte Suprema de Justicia, el Estado efectúa un cuidadoso recorrido por la jurisprudencia de la Corte Interamericana de Derechos Humanos, y recuerda que en la sentencia del proceso </w:t>
      </w:r>
      <w:proofErr w:type="spellStart"/>
      <w:r w:rsidR="004E7C19" w:rsidRPr="00B35695">
        <w:rPr>
          <w:rFonts w:ascii="Cambria" w:hAnsi="Cambria"/>
          <w:sz w:val="20"/>
          <w:szCs w:val="20"/>
          <w:lang w:val="es-ES_tradnl"/>
        </w:rPr>
        <w:t>Liakat</w:t>
      </w:r>
      <w:proofErr w:type="spellEnd"/>
      <w:r w:rsidR="004E7C19" w:rsidRPr="00B35695">
        <w:rPr>
          <w:rFonts w:ascii="Cambria" w:hAnsi="Cambria"/>
          <w:sz w:val="20"/>
          <w:szCs w:val="20"/>
          <w:lang w:val="es-ES_tradnl"/>
        </w:rPr>
        <w:t xml:space="preserve"> Ali </w:t>
      </w:r>
      <w:proofErr w:type="spellStart"/>
      <w:r w:rsidR="004E7C19" w:rsidRPr="00B35695">
        <w:rPr>
          <w:rFonts w:ascii="Cambria" w:hAnsi="Cambria"/>
          <w:sz w:val="20"/>
          <w:szCs w:val="20"/>
          <w:lang w:val="es-ES_tradnl"/>
        </w:rPr>
        <w:t>Alibux</w:t>
      </w:r>
      <w:proofErr w:type="spellEnd"/>
      <w:r w:rsidR="004E7C19" w:rsidRPr="00B35695">
        <w:rPr>
          <w:rFonts w:ascii="Cambria" w:hAnsi="Cambria"/>
          <w:sz w:val="20"/>
          <w:szCs w:val="20"/>
          <w:lang w:val="es-ES_tradnl"/>
        </w:rPr>
        <w:t xml:space="preserve"> vs. Surinam, dicho tribunal explicó que en el caso de aforados judicializados por un máximo tribunal de justicia la garantía de recurrir el fallo condenatorio no implica necesariamente la revisión por parte de un juez superior; en términos del Estado, </w:t>
      </w:r>
      <w:r w:rsidR="004E7C19" w:rsidRPr="00B35695">
        <w:rPr>
          <w:rFonts w:ascii="Cambria" w:hAnsi="Cambria"/>
          <w:i/>
          <w:iCs/>
          <w:sz w:val="20"/>
          <w:szCs w:val="20"/>
          <w:lang w:val="es-ES_tradnl"/>
        </w:rPr>
        <w:t>“en relación con los procesos de única instancia ante tribunales de cierre para aforados, la garantía de recurrir el fallo se honra con la consagración de un recurso judicial que permita la revisión del fallo y la protección de los derechos del condenado, sin que se exija de manera estricta que éste recurso sea conocido y resuelto por un superior jerárquico”</w:t>
      </w:r>
      <w:r w:rsidR="004E7C19" w:rsidRPr="00B35695">
        <w:rPr>
          <w:rFonts w:ascii="Cambria" w:hAnsi="Cambria"/>
          <w:sz w:val="20"/>
          <w:szCs w:val="20"/>
          <w:lang w:val="es-ES_tradnl"/>
        </w:rPr>
        <w:t>. En este orden de ideas, Colombia asevera que en su ordenamiento jurídico doméstico existen dos vías judiciales para controvertir los fallos condenatorios de única instancia dictados por la Corte Suprema en estos casos: la acción de revisión, y la acción de tutela, ambos mecanismos de naturaleza extraordinaria y procedencia excepcional, según se explica prolijamente en la contestación. El Estado presenta en detalle las causales y requisitos de procedencia de ambas vías judiciales, y cita numerosas sentencias de la Corte Constitucional en las que ést</w:t>
      </w:r>
      <w:r w:rsidR="00786B16" w:rsidRPr="00B35695">
        <w:rPr>
          <w:rFonts w:ascii="Cambria" w:hAnsi="Cambria"/>
          <w:sz w:val="20"/>
          <w:szCs w:val="20"/>
          <w:lang w:val="es-ES_tradnl"/>
        </w:rPr>
        <w:t>e</w:t>
      </w:r>
      <w:r w:rsidR="004E7C19" w:rsidRPr="00B35695">
        <w:rPr>
          <w:rFonts w:ascii="Cambria" w:hAnsi="Cambria"/>
          <w:sz w:val="20"/>
          <w:szCs w:val="20"/>
          <w:lang w:val="es-ES_tradnl"/>
        </w:rPr>
        <w:t xml:space="preserve"> alto tribunal ha convalidado la constitucionalidad de ambas figuras, y ha afirmado expresamente que se satisfacen los derechos fundamentales y las reglas de la Constitución Política colombiana con este sistema de impugnación de los fallos de única instancia de la Corte Suprema en casos de altos funcionarios con fuero. Es a esas sentencias de la Corte Constitucional a las que el Estado hace referencia cuando afirma que se ha configurado la fórmula de la cuarta instancia en este caso; en sus propias palabras:</w:t>
      </w:r>
    </w:p>
    <w:p w:rsidR="00A11E44" w:rsidRPr="00B35695" w:rsidRDefault="004E7C19"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B35695">
        <w:rPr>
          <w:rFonts w:ascii="Cambria" w:hAnsi="Cambria"/>
          <w:sz w:val="20"/>
          <w:szCs w:val="20"/>
          <w:lang w:val="es-ES_tradnl"/>
        </w:rPr>
        <w:t>(…) el ordenamiento jurídico colombiano desde su Carta Política, contempla un proceso de investigación y juzgamiento especial para las altas autoridades del Estado que se encuentra en cabeza de la Corte Suprema de Justicia (…). Este diseño institucional ha sido avalado por la Corte Constitucional, mediante sentencias que han hecho tránsito a cosa juzgada y cuentan con efectos erga omnes. (…) En razón de lo expuesto se encuentra demostrado que los cargos referidos a la presunta violación de los artículos 8.2.h, y 2 de la Convención Americana, por el supuesto desconocimiento del derecho a recurrir el fallo penal de naturaleza condenatoria, ya fueron analizados por las autoridades jurisdiccionales nacionales mediante sentencias motivadas conforme a las garantías contempladas en la CADH. En consecuencia, los hechos resultan inadmisibles conforme con los literales b y c del artículo [46.2 de] la Convención, por incurrir en la fórmula de la cuarta instancia internacional.</w:t>
      </w:r>
    </w:p>
    <w:p w:rsidR="005A282C"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13. </w:t>
      </w:r>
      <w:r w:rsidR="00D26554" w:rsidRPr="00B35695">
        <w:rPr>
          <w:rFonts w:ascii="Cambria" w:hAnsi="Cambria"/>
          <w:sz w:val="20"/>
          <w:szCs w:val="20"/>
          <w:lang w:val="es-ES_tradnl"/>
        </w:rPr>
        <w:tab/>
      </w:r>
      <w:r w:rsidR="005A282C" w:rsidRPr="00B35695">
        <w:rPr>
          <w:rFonts w:ascii="Cambria" w:hAnsi="Cambria"/>
          <w:sz w:val="20"/>
          <w:szCs w:val="20"/>
          <w:lang w:val="es-ES_tradnl"/>
        </w:rPr>
        <w:t xml:space="preserve">En esta línea, el Estado </w:t>
      </w:r>
      <w:r w:rsidR="00D26554" w:rsidRPr="00B35695">
        <w:rPr>
          <w:rFonts w:ascii="Cambria" w:hAnsi="Cambria"/>
          <w:sz w:val="20"/>
          <w:szCs w:val="20"/>
          <w:lang w:val="es-ES_tradnl"/>
        </w:rPr>
        <w:t>sostiene</w:t>
      </w:r>
      <w:r w:rsidR="005A282C" w:rsidRPr="00B35695">
        <w:rPr>
          <w:rFonts w:ascii="Cambria" w:hAnsi="Cambria"/>
          <w:sz w:val="20"/>
          <w:szCs w:val="20"/>
          <w:lang w:val="es-ES_tradnl"/>
        </w:rPr>
        <w:t xml:space="preserve"> que el señor Ramírez no acudió a ninguno de los dos mecanismos extraordinarios de defensa referidos para impugnar </w:t>
      </w:r>
      <w:r w:rsidR="00786B16" w:rsidRPr="00B35695">
        <w:rPr>
          <w:rFonts w:ascii="Cambria" w:hAnsi="Cambria"/>
          <w:sz w:val="20"/>
          <w:szCs w:val="20"/>
          <w:lang w:val="es-ES_tradnl"/>
        </w:rPr>
        <w:t xml:space="preserve">a nivel doméstico </w:t>
      </w:r>
      <w:r w:rsidR="005A282C" w:rsidRPr="00B35695">
        <w:rPr>
          <w:rFonts w:ascii="Cambria" w:hAnsi="Cambria"/>
          <w:sz w:val="20"/>
          <w:szCs w:val="20"/>
          <w:lang w:val="es-ES_tradnl"/>
        </w:rPr>
        <w:t>la validez constitucional o legal de su condena en única instancia.</w:t>
      </w:r>
    </w:p>
    <w:p w:rsidR="00D26554"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14. </w:t>
      </w:r>
      <w:r w:rsidR="00D26554" w:rsidRPr="00B35695">
        <w:rPr>
          <w:rFonts w:ascii="Cambria" w:hAnsi="Cambria"/>
          <w:sz w:val="20"/>
          <w:szCs w:val="20"/>
          <w:lang w:val="es-ES_tradnl"/>
        </w:rPr>
        <w:tab/>
      </w:r>
      <w:r w:rsidR="004E7C19" w:rsidRPr="00B35695">
        <w:rPr>
          <w:rFonts w:ascii="Cambria" w:hAnsi="Cambria"/>
          <w:sz w:val="20"/>
          <w:szCs w:val="20"/>
          <w:lang w:val="es-ES_tradnl"/>
        </w:rPr>
        <w:t xml:space="preserve">Ahora bien, en cuanto a la alegada aplicación retroactiva de pautas jurisprudenciales sobre la competencia de la Corte Suprema de Justicia al caso del señor </w:t>
      </w:r>
      <w:r w:rsidR="005A282C" w:rsidRPr="00B35695">
        <w:rPr>
          <w:rFonts w:ascii="Cambria" w:hAnsi="Cambria"/>
          <w:sz w:val="20"/>
          <w:szCs w:val="20"/>
          <w:lang w:val="es-ES_tradnl"/>
        </w:rPr>
        <w:t>Ramírez</w:t>
      </w:r>
      <w:r w:rsidR="004E7C19" w:rsidRPr="00B35695">
        <w:rPr>
          <w:rFonts w:ascii="Cambria" w:hAnsi="Cambria"/>
          <w:sz w:val="20"/>
          <w:szCs w:val="20"/>
          <w:lang w:val="es-ES_tradnl"/>
        </w:rPr>
        <w:t xml:space="preserve">, el Estado explica en una línea similar de argumentación que dichos cargos ya fueron desestimados por los jueces nacionales mediante providencias motivadas y acordes con la Convención Americana. Colombia argumenta que </w:t>
      </w:r>
    </w:p>
    <w:p w:rsidR="00D26554" w:rsidRPr="00B35695" w:rsidRDefault="004E7C19" w:rsidP="00D265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proofErr w:type="gramStart"/>
      <w:r w:rsidRPr="00B35695">
        <w:rPr>
          <w:rFonts w:ascii="Cambria" w:hAnsi="Cambria"/>
          <w:iCs/>
          <w:sz w:val="20"/>
          <w:szCs w:val="20"/>
          <w:lang w:val="es-ES_tradnl"/>
        </w:rPr>
        <w:t>bajo</w:t>
      </w:r>
      <w:proofErr w:type="gramEnd"/>
      <w:r w:rsidRPr="00B35695">
        <w:rPr>
          <w:rFonts w:ascii="Cambria" w:hAnsi="Cambria"/>
          <w:iCs/>
          <w:sz w:val="20"/>
          <w:szCs w:val="20"/>
          <w:lang w:val="es-ES_tradnl"/>
        </w:rPr>
        <w:t xml:space="preserve"> ninguna circunstancia, la existencia de un cambio legítimo del precedente judicial y su aplicación a un proceso en curso, podría constituir una violación al principio de legalidad y de retroactividad o a las garantías judiciales. Esto en razón a que no se afecta una situación jurídica consolidada y las modificaciones razonadas a la interpretación del derecho por parte de los órganos autorizados para ello resulta concordante con el debido proceso”</w:t>
      </w:r>
      <w:r w:rsidRPr="00B35695">
        <w:rPr>
          <w:rFonts w:ascii="Cambria" w:hAnsi="Cambria"/>
          <w:sz w:val="20"/>
          <w:szCs w:val="20"/>
          <w:lang w:val="es-ES_tradnl"/>
        </w:rPr>
        <w:t xml:space="preserve">. Afirma que con este cambio jurisprudencial la Corte Suprema no modificó la ley ni la Constitución, sino que </w:t>
      </w:r>
      <w:r w:rsidR="00B73DBC" w:rsidRPr="00B35695">
        <w:rPr>
          <w:rFonts w:ascii="Cambria" w:hAnsi="Cambria"/>
          <w:sz w:val="20"/>
          <w:szCs w:val="20"/>
          <w:lang w:val="es-ES_tradnl"/>
        </w:rPr>
        <w:t xml:space="preserve">su decisión tuvo por fundamento </w:t>
      </w:r>
      <w:r w:rsidRPr="00B35695">
        <w:rPr>
          <w:rFonts w:ascii="Cambria" w:hAnsi="Cambria"/>
          <w:iCs/>
          <w:sz w:val="20"/>
          <w:szCs w:val="20"/>
          <w:lang w:val="es-ES_tradnl"/>
        </w:rPr>
        <w:t>“la necesidad de auscultar el verdadero efecto y sentido del artículo 235 de la Constitución Política</w:t>
      </w:r>
      <w:r w:rsidR="00B73DBC" w:rsidRPr="00B35695">
        <w:rPr>
          <w:rFonts w:ascii="Cambria" w:hAnsi="Cambria"/>
          <w:iCs/>
          <w:sz w:val="20"/>
          <w:szCs w:val="20"/>
          <w:lang w:val="es-ES_tradnl"/>
        </w:rPr>
        <w:t xml:space="preserve">. Dicho ejercicio se realizó a través de una </w:t>
      </w:r>
      <w:proofErr w:type="spellStart"/>
      <w:r w:rsidR="00B73DBC" w:rsidRPr="00B35695">
        <w:rPr>
          <w:rFonts w:ascii="Cambria" w:hAnsi="Cambria"/>
          <w:iCs/>
          <w:sz w:val="20"/>
          <w:szCs w:val="20"/>
          <w:lang w:val="es-ES_tradnl"/>
        </w:rPr>
        <w:t>reconceptualización</w:t>
      </w:r>
      <w:proofErr w:type="spellEnd"/>
      <w:r w:rsidR="00B73DBC" w:rsidRPr="00B35695">
        <w:rPr>
          <w:rFonts w:ascii="Cambria" w:hAnsi="Cambria"/>
          <w:iCs/>
          <w:sz w:val="20"/>
          <w:szCs w:val="20"/>
          <w:lang w:val="es-ES_tradnl"/>
        </w:rPr>
        <w:t xml:space="preserve"> debidamente motivada del precedente sobre la materia, la cual condujo a que se estableciera que el fuero constitucional se extendía a las conductas que guardan relación con la función </w:t>
      </w:r>
      <w:proofErr w:type="spellStart"/>
      <w:r w:rsidR="00B73DBC" w:rsidRPr="00B35695">
        <w:rPr>
          <w:rFonts w:ascii="Cambria" w:hAnsi="Cambria"/>
          <w:iCs/>
          <w:sz w:val="20"/>
          <w:szCs w:val="20"/>
          <w:lang w:val="es-ES_tradnl"/>
        </w:rPr>
        <w:t>congresional</w:t>
      </w:r>
      <w:proofErr w:type="spellEnd"/>
      <w:r w:rsidR="00B73DBC" w:rsidRPr="00B35695">
        <w:rPr>
          <w:rFonts w:ascii="Cambria" w:hAnsi="Cambria"/>
          <w:iCs/>
          <w:sz w:val="20"/>
          <w:szCs w:val="20"/>
          <w:lang w:val="es-ES_tradnl"/>
        </w:rPr>
        <w:t xml:space="preserve"> (superándose el concepto de delito propio de la función). Tal situación fue verificada por la Sala Penal de la Corte Suprema de Justicia, respecto de las actividades re</w:t>
      </w:r>
      <w:r w:rsidR="00D26554" w:rsidRPr="00B35695">
        <w:rPr>
          <w:rFonts w:ascii="Cambria" w:hAnsi="Cambria"/>
          <w:iCs/>
          <w:sz w:val="20"/>
          <w:szCs w:val="20"/>
          <w:lang w:val="es-ES_tradnl"/>
        </w:rPr>
        <w:t>alizadas por la presunta víctima</w:t>
      </w:r>
      <w:r w:rsidRPr="00B35695">
        <w:rPr>
          <w:rFonts w:ascii="Cambria" w:hAnsi="Cambria"/>
          <w:sz w:val="20"/>
          <w:szCs w:val="20"/>
          <w:lang w:val="es-ES_tradnl"/>
        </w:rPr>
        <w:t>.</w:t>
      </w:r>
      <w:r w:rsidR="00B73DBC" w:rsidRPr="00B35695">
        <w:rPr>
          <w:rFonts w:ascii="Cambria" w:hAnsi="Cambria"/>
          <w:sz w:val="20"/>
          <w:szCs w:val="20"/>
          <w:lang w:val="es-ES_tradnl"/>
        </w:rPr>
        <w:t xml:space="preserve"> </w:t>
      </w:r>
    </w:p>
    <w:p w:rsidR="004E7C19" w:rsidRPr="00B35695" w:rsidRDefault="00B73DBC" w:rsidP="00D265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695">
        <w:rPr>
          <w:rFonts w:ascii="Cambria" w:hAnsi="Cambria"/>
          <w:sz w:val="20"/>
          <w:szCs w:val="20"/>
          <w:lang w:val="es-ES_tradnl"/>
        </w:rPr>
        <w:lastRenderedPageBreak/>
        <w:t xml:space="preserve">Por ello, </w:t>
      </w:r>
      <w:r w:rsidR="00786B16" w:rsidRPr="00B35695">
        <w:rPr>
          <w:rFonts w:ascii="Cambria" w:hAnsi="Cambria"/>
          <w:sz w:val="20"/>
          <w:szCs w:val="20"/>
          <w:lang w:val="es-ES_tradnl"/>
        </w:rPr>
        <w:t xml:space="preserve">observa </w:t>
      </w:r>
      <w:r w:rsidRPr="00B35695">
        <w:rPr>
          <w:rFonts w:ascii="Cambria" w:hAnsi="Cambria"/>
          <w:sz w:val="20"/>
          <w:szCs w:val="20"/>
          <w:lang w:val="es-ES_tradnl"/>
        </w:rPr>
        <w:t xml:space="preserve">que el peticionario ha controvertido la aplicación de esta modificación jurisprudencial de la Corte Suprema a la investigación que se le adelantó por el delito de concierto para delinquir para promocionar grupos al margen de la ley; y afirma que, contrario a tal argumentación, la Corte Suprema procedió </w:t>
      </w:r>
      <w:r w:rsidR="00786B16" w:rsidRPr="00B35695">
        <w:rPr>
          <w:rFonts w:ascii="Cambria" w:hAnsi="Cambria"/>
          <w:sz w:val="20"/>
          <w:szCs w:val="20"/>
          <w:lang w:val="es-ES_tradnl"/>
        </w:rPr>
        <w:t xml:space="preserve">al hacerlo </w:t>
      </w:r>
      <w:r w:rsidRPr="00B35695">
        <w:rPr>
          <w:rFonts w:ascii="Cambria" w:hAnsi="Cambria"/>
          <w:sz w:val="20"/>
          <w:szCs w:val="20"/>
          <w:lang w:val="es-ES_tradnl"/>
        </w:rPr>
        <w:t xml:space="preserve">de conformidad con las garantías convencionales ya que </w:t>
      </w:r>
      <w:r w:rsidRPr="00B35695">
        <w:rPr>
          <w:rFonts w:ascii="Cambria" w:hAnsi="Cambria"/>
          <w:i/>
          <w:iCs/>
          <w:sz w:val="20"/>
          <w:szCs w:val="20"/>
          <w:lang w:val="es-ES_tradnl"/>
        </w:rPr>
        <w:t>“la modificación del precedente respondió a la necesidad de darle al parágrafo del artículo 235 Superior, una visión jurídica más acorde con los principios fundamentales que orientan la asignación de las competencias de investigación y juzgamiento en nuestro ordenamiento constitucional”</w:t>
      </w:r>
      <w:r w:rsidRPr="00B35695">
        <w:rPr>
          <w:rFonts w:ascii="Cambria" w:hAnsi="Cambria"/>
          <w:sz w:val="20"/>
          <w:szCs w:val="20"/>
          <w:lang w:val="es-ES_tradnl"/>
        </w:rPr>
        <w:t>, sin que ello implicara dar aplicación retroactiva a reformas constitucionales o legales de naturaleza sustancial. En efecto, dado que este cambio en la postura jurisprudencial fue legítimo, y su aplicación no afectó ninguna situación jurídica consolidada ni incidió sobre las normas legales aplicadas al caso, para el Estado no se afectó el principio c</w:t>
      </w:r>
      <w:r w:rsidR="006721A7" w:rsidRPr="00B35695">
        <w:rPr>
          <w:rFonts w:ascii="Cambria" w:hAnsi="Cambria"/>
          <w:sz w:val="20"/>
          <w:szCs w:val="20"/>
          <w:lang w:val="es-ES_tradnl"/>
        </w:rPr>
        <w:t>onsagrado en el a</w:t>
      </w:r>
      <w:r w:rsidRPr="00B35695">
        <w:rPr>
          <w:rFonts w:ascii="Cambria" w:hAnsi="Cambria"/>
          <w:sz w:val="20"/>
          <w:szCs w:val="20"/>
          <w:lang w:val="es-ES_tradnl"/>
        </w:rPr>
        <w:t>rtículo 9 de la Convención:</w:t>
      </w:r>
    </w:p>
    <w:p w:rsidR="00B73DBC" w:rsidRPr="00B35695" w:rsidRDefault="00B73DBC"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ES_tradnl"/>
        </w:rPr>
      </w:pPr>
      <w:r w:rsidRPr="00B35695">
        <w:rPr>
          <w:rFonts w:ascii="Cambria" w:hAnsi="Cambria"/>
          <w:sz w:val="20"/>
          <w:szCs w:val="20"/>
          <w:lang w:val="es-ES_tradnl"/>
        </w:rPr>
        <w:t xml:space="preserve">Entonces, el contenido y alcance del artículo 9 de la CADH, permite advertir que en el presente caso: (i) no existe controversia y/o duda alguna de que las conductas por las que fue condenado el señor Ciro Ramírez Pinzón se encontraban tipificadas en el código penal al momento de la ocurrencia de los hechos y por lo tanto le era posible orientar su comportamiento conforme al ordenamiento jurídico vigente. (ii) La petición bajo estudio no hace alusión a la aplicación retroactiva de preceptos legales o constitucionales con relevancia sustancial en materia penal, sino a la </w:t>
      </w:r>
      <w:proofErr w:type="spellStart"/>
      <w:r w:rsidRPr="00B35695">
        <w:rPr>
          <w:rFonts w:ascii="Cambria" w:hAnsi="Cambria"/>
          <w:sz w:val="20"/>
          <w:szCs w:val="20"/>
          <w:lang w:val="es-ES_tradnl"/>
        </w:rPr>
        <w:t>reconceptualización</w:t>
      </w:r>
      <w:proofErr w:type="spellEnd"/>
      <w:r w:rsidRPr="00B35695">
        <w:rPr>
          <w:rFonts w:ascii="Cambria" w:hAnsi="Cambria"/>
          <w:sz w:val="20"/>
          <w:szCs w:val="20"/>
          <w:lang w:val="es-ES_tradnl"/>
        </w:rPr>
        <w:t xml:space="preserve"> del precedente que determina la interpretación de una disposición superior que regula cuestiones atinentes a la competencia judicial (el parágrafo del artículo 235 de la Constitución). Desde esta perspectiva, debe considerarse que con la modificación jurisprudencial en cuestión no se afectó una situación jurídica consolidada, pues se trató de la variación de una regla de naturaleza procesal que tuvo aplicación respecto de un procedimiento judicial en curso.</w:t>
      </w:r>
    </w:p>
    <w:p w:rsidR="004E7C19"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15. </w:t>
      </w:r>
      <w:r w:rsidR="00326DEA" w:rsidRPr="00B35695">
        <w:rPr>
          <w:rFonts w:ascii="Cambria" w:hAnsi="Cambria"/>
          <w:sz w:val="20"/>
          <w:szCs w:val="20"/>
          <w:lang w:val="es-ES_tradnl"/>
        </w:rPr>
        <w:tab/>
      </w:r>
      <w:r w:rsidR="00B73DBC" w:rsidRPr="00B35695">
        <w:rPr>
          <w:rFonts w:ascii="Cambria" w:hAnsi="Cambria"/>
          <w:sz w:val="20"/>
          <w:szCs w:val="20"/>
          <w:lang w:val="es-ES_tradnl"/>
        </w:rPr>
        <w:t xml:space="preserve">En este mismo sentido, el Estado </w:t>
      </w:r>
      <w:r w:rsidR="004E7C19" w:rsidRPr="00B35695">
        <w:rPr>
          <w:rFonts w:ascii="Cambria" w:hAnsi="Cambria"/>
          <w:sz w:val="20"/>
          <w:szCs w:val="20"/>
          <w:lang w:val="es-ES_tradnl"/>
        </w:rPr>
        <w:t>afirma que si la CIDH avoca conocimiento sobre los hechos alusivos a la supuesta violación del artículo 9 de la Convención Americana, estaría actuando como un tribunal de alzada y excediendo los límites de su competencia. Sobre este tema el Estado presenta múltiples argumentos de fondo, basados tanto en el derecho colombiano como en la Convención y su interpretación por la Corte Interamericana, sobre asuntos que incluyen la variación de los precedentes judiciales en Colombia, su aplicación en materia procesal, y el alcance del artículo 9 de la Convención</w:t>
      </w:r>
      <w:r w:rsidR="00B73DBC" w:rsidRPr="00B35695">
        <w:rPr>
          <w:rFonts w:ascii="Cambria" w:hAnsi="Cambria"/>
          <w:sz w:val="20"/>
          <w:szCs w:val="20"/>
          <w:lang w:val="es-ES_tradnl"/>
        </w:rPr>
        <w:t>, así como sobre la aplicación de las reglas jurisprudenciales de competencia de la Corte Suprema al caso concreto del señor Ramírez</w:t>
      </w:r>
      <w:r w:rsidR="004E7C19" w:rsidRPr="00B35695">
        <w:rPr>
          <w:rFonts w:ascii="Cambria" w:hAnsi="Cambria"/>
          <w:sz w:val="20"/>
          <w:szCs w:val="20"/>
          <w:lang w:val="es-ES_tradnl"/>
        </w:rPr>
        <w:t xml:space="preserve">. El Estado concluye después de su minucioso análisis que </w:t>
      </w:r>
      <w:r w:rsidR="004E7C19" w:rsidRPr="00B35695">
        <w:rPr>
          <w:rFonts w:ascii="Cambria" w:hAnsi="Cambria"/>
          <w:i/>
          <w:iCs/>
          <w:sz w:val="20"/>
          <w:szCs w:val="20"/>
          <w:lang w:val="es-ES_tradnl"/>
        </w:rPr>
        <w:t>“los cargos del peticionario sobre la</w:t>
      </w:r>
      <w:r w:rsidR="00B73DBC" w:rsidRPr="00B35695">
        <w:rPr>
          <w:rFonts w:ascii="Cambria" w:hAnsi="Cambria"/>
          <w:i/>
          <w:iCs/>
          <w:sz w:val="20"/>
          <w:szCs w:val="20"/>
          <w:lang w:val="es-ES_tradnl"/>
        </w:rPr>
        <w:t>s</w:t>
      </w:r>
      <w:r w:rsidR="004E7C19" w:rsidRPr="00B35695">
        <w:rPr>
          <w:rFonts w:ascii="Cambria" w:hAnsi="Cambria"/>
          <w:i/>
          <w:iCs/>
          <w:sz w:val="20"/>
          <w:szCs w:val="20"/>
          <w:lang w:val="es-ES_tradnl"/>
        </w:rPr>
        <w:t xml:space="preserve"> presunta</w:t>
      </w:r>
      <w:r w:rsidR="00B73DBC" w:rsidRPr="00B35695">
        <w:rPr>
          <w:rFonts w:ascii="Cambria" w:hAnsi="Cambria"/>
          <w:i/>
          <w:iCs/>
          <w:sz w:val="20"/>
          <w:szCs w:val="20"/>
          <w:lang w:val="es-ES_tradnl"/>
        </w:rPr>
        <w:t>s</w:t>
      </w:r>
      <w:r w:rsidR="004E7C19" w:rsidRPr="00B35695">
        <w:rPr>
          <w:rFonts w:ascii="Cambria" w:hAnsi="Cambria"/>
          <w:i/>
          <w:iCs/>
          <w:sz w:val="20"/>
          <w:szCs w:val="20"/>
          <w:lang w:val="es-ES_tradnl"/>
        </w:rPr>
        <w:t xml:space="preserve"> violaci</w:t>
      </w:r>
      <w:r w:rsidR="00B73DBC" w:rsidRPr="00B35695">
        <w:rPr>
          <w:rFonts w:ascii="Cambria" w:hAnsi="Cambria"/>
          <w:i/>
          <w:iCs/>
          <w:sz w:val="20"/>
          <w:szCs w:val="20"/>
          <w:lang w:val="es-ES_tradnl"/>
        </w:rPr>
        <w:t>o</w:t>
      </w:r>
      <w:r w:rsidR="004E7C19" w:rsidRPr="00B35695">
        <w:rPr>
          <w:rFonts w:ascii="Cambria" w:hAnsi="Cambria"/>
          <w:i/>
          <w:iCs/>
          <w:sz w:val="20"/>
          <w:szCs w:val="20"/>
          <w:lang w:val="es-ES_tradnl"/>
        </w:rPr>
        <w:t>n</w:t>
      </w:r>
      <w:r w:rsidR="00B73DBC" w:rsidRPr="00B35695">
        <w:rPr>
          <w:rFonts w:ascii="Cambria" w:hAnsi="Cambria"/>
          <w:i/>
          <w:iCs/>
          <w:sz w:val="20"/>
          <w:szCs w:val="20"/>
          <w:lang w:val="es-ES_tradnl"/>
        </w:rPr>
        <w:t>es</w:t>
      </w:r>
      <w:r w:rsidR="004E7C19" w:rsidRPr="00B35695">
        <w:rPr>
          <w:rFonts w:ascii="Cambria" w:hAnsi="Cambria"/>
          <w:i/>
          <w:iCs/>
          <w:sz w:val="20"/>
          <w:szCs w:val="20"/>
          <w:lang w:val="es-ES_tradnl"/>
        </w:rPr>
        <w:t xml:space="preserve"> </w:t>
      </w:r>
      <w:r w:rsidR="00B73DBC" w:rsidRPr="00B35695">
        <w:rPr>
          <w:rFonts w:ascii="Cambria" w:hAnsi="Cambria"/>
          <w:i/>
          <w:iCs/>
          <w:sz w:val="20"/>
          <w:szCs w:val="20"/>
          <w:lang w:val="es-ES_tradnl"/>
        </w:rPr>
        <w:t>al principio de irretroactividad de la ley penal y a la garantía del juez natural</w:t>
      </w:r>
      <w:r w:rsidR="004E7C19" w:rsidRPr="00B35695">
        <w:rPr>
          <w:rFonts w:ascii="Cambria" w:hAnsi="Cambria"/>
          <w:i/>
          <w:iCs/>
          <w:sz w:val="20"/>
          <w:szCs w:val="20"/>
          <w:lang w:val="es-ES_tradnl"/>
        </w:rPr>
        <w:t xml:space="preserve">, </w:t>
      </w:r>
      <w:r w:rsidR="00B73DBC" w:rsidRPr="00B35695">
        <w:rPr>
          <w:rFonts w:ascii="Cambria" w:hAnsi="Cambria"/>
          <w:i/>
          <w:iCs/>
          <w:sz w:val="20"/>
          <w:szCs w:val="20"/>
          <w:lang w:val="es-ES_tradnl"/>
        </w:rPr>
        <w:t xml:space="preserve">han sido </w:t>
      </w:r>
      <w:r w:rsidR="004E7C19" w:rsidRPr="00B35695">
        <w:rPr>
          <w:rFonts w:ascii="Cambria" w:hAnsi="Cambria"/>
          <w:i/>
          <w:iCs/>
          <w:sz w:val="20"/>
          <w:szCs w:val="20"/>
          <w:lang w:val="es-ES_tradnl"/>
        </w:rPr>
        <w:t>desestimados por los jueces nacionales mediante providencias sustanciadas conforme con las garantías consagradas en la Convención. Por tanto</w:t>
      </w:r>
      <w:r w:rsidR="00B73DBC" w:rsidRPr="00B35695">
        <w:rPr>
          <w:rFonts w:ascii="Cambria" w:hAnsi="Cambria"/>
          <w:i/>
          <w:iCs/>
          <w:sz w:val="20"/>
          <w:szCs w:val="20"/>
          <w:lang w:val="es-ES_tradnl"/>
        </w:rPr>
        <w:t>,</w:t>
      </w:r>
      <w:r w:rsidR="004E7C19" w:rsidRPr="00B35695">
        <w:rPr>
          <w:rFonts w:ascii="Cambria" w:hAnsi="Cambria"/>
          <w:i/>
          <w:iCs/>
          <w:sz w:val="20"/>
          <w:szCs w:val="20"/>
          <w:lang w:val="es-ES_tradnl"/>
        </w:rPr>
        <w:t xml:space="preserve"> los alegatos referidos a dicho punto, conforme con los literales b) y c) de la CADH, resultan inadmisibles por incurrir en la fórmula de la cuarta instancia internacional”</w:t>
      </w:r>
      <w:r w:rsidR="004E7C19" w:rsidRPr="00B35695">
        <w:rPr>
          <w:rFonts w:ascii="Cambria" w:hAnsi="Cambria"/>
          <w:sz w:val="20"/>
          <w:szCs w:val="20"/>
          <w:lang w:val="es-ES_tradnl"/>
        </w:rPr>
        <w:t>.</w:t>
      </w:r>
      <w:r w:rsidR="00326DEA" w:rsidRPr="00B35695">
        <w:rPr>
          <w:rFonts w:ascii="Cambria" w:hAnsi="Cambria"/>
          <w:sz w:val="20"/>
          <w:szCs w:val="20"/>
          <w:lang w:val="es-ES_tradnl"/>
        </w:rPr>
        <w:t xml:space="preserve"> Colombia alega además que no se agotaron los recursos internos en relación con el reclamo atinente a la valoración probatoria efectuada en la sentencia condenatoria, puesto que el peticionario no acudió a la acción de tutela, que estaba a su disposición para controvertir tal aspecto de la decisión judicial que le afectó.</w:t>
      </w:r>
    </w:p>
    <w:p w:rsidR="00B73DBC" w:rsidRPr="00B35695" w:rsidRDefault="000B3835"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16. </w:t>
      </w:r>
      <w:r w:rsidR="00326DEA" w:rsidRPr="00B35695">
        <w:rPr>
          <w:rFonts w:ascii="Cambria" w:hAnsi="Cambria"/>
          <w:sz w:val="20"/>
          <w:szCs w:val="20"/>
          <w:lang w:val="es-ES_tradnl"/>
        </w:rPr>
        <w:tab/>
      </w:r>
      <w:r w:rsidR="00B73DBC" w:rsidRPr="00B35695">
        <w:rPr>
          <w:rFonts w:ascii="Cambria" w:hAnsi="Cambria"/>
          <w:sz w:val="20"/>
          <w:szCs w:val="20"/>
          <w:lang w:val="es-ES_tradnl"/>
        </w:rPr>
        <w:t xml:space="preserve">A continuación el Estado argumenta que la petición bajo examen es manifiestamente </w:t>
      </w:r>
      <w:r w:rsidR="00C90B00" w:rsidRPr="00B35695">
        <w:rPr>
          <w:rFonts w:ascii="Cambria" w:hAnsi="Cambria"/>
          <w:sz w:val="20"/>
          <w:szCs w:val="20"/>
          <w:lang w:val="es-ES_tradnl"/>
        </w:rPr>
        <w:t xml:space="preserve">infundada en cuanto a los alegatos sobre violaciones de los derechos a la libertad personal, la propiedad privada, la igualdad y el juez imparcial; </w:t>
      </w:r>
      <w:r w:rsidR="00C90B00" w:rsidRPr="00B35695">
        <w:rPr>
          <w:rFonts w:ascii="Cambria" w:hAnsi="Cambria"/>
          <w:i/>
          <w:iCs/>
          <w:sz w:val="20"/>
          <w:szCs w:val="20"/>
          <w:lang w:val="es-ES_tradnl"/>
        </w:rPr>
        <w:t>“esto en razón a que emerge una flagrante y evidente ausencia de elementos que evidencien una supuesta vulneración a las obligaciones en mención”</w:t>
      </w:r>
      <w:r w:rsidR="00C90B00" w:rsidRPr="00B35695">
        <w:rPr>
          <w:rFonts w:ascii="Cambria" w:hAnsi="Cambria"/>
          <w:sz w:val="20"/>
          <w:szCs w:val="20"/>
          <w:lang w:val="es-ES_tradnl"/>
        </w:rPr>
        <w:t>, por lo cual pide a la CIDH que dé aplicación al artículo 47(c) de la Convención y declare inadmisibles tales alegatos al carecer de argumentos fácticos o jurídicos de sustento. También pide que se desestime por las mismas razones de falta de fundamentación el alegato de los peticio</w:t>
      </w:r>
      <w:r w:rsidR="006721A7" w:rsidRPr="00B35695">
        <w:rPr>
          <w:rFonts w:ascii="Cambria" w:hAnsi="Cambria"/>
          <w:sz w:val="20"/>
          <w:szCs w:val="20"/>
          <w:lang w:val="es-ES_tradnl"/>
        </w:rPr>
        <w:t>narios sobre la aplicación del a</w:t>
      </w:r>
      <w:r w:rsidR="00C90B00" w:rsidRPr="00B35695">
        <w:rPr>
          <w:rFonts w:ascii="Cambria" w:hAnsi="Cambria"/>
          <w:sz w:val="20"/>
          <w:szCs w:val="20"/>
          <w:lang w:val="es-ES_tradnl"/>
        </w:rPr>
        <w:t>rtículo 10 de la Convención.</w:t>
      </w:r>
    </w:p>
    <w:p w:rsidR="004E7C19" w:rsidRPr="00B35695" w:rsidRDefault="00326DEA" w:rsidP="009A20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17</w:t>
      </w:r>
      <w:r w:rsidR="000B3835" w:rsidRPr="00B35695">
        <w:rPr>
          <w:rFonts w:ascii="Cambria" w:hAnsi="Cambria"/>
          <w:sz w:val="20"/>
          <w:szCs w:val="20"/>
          <w:lang w:val="es-ES_tradnl"/>
        </w:rPr>
        <w:t xml:space="preserve">. </w:t>
      </w:r>
      <w:r w:rsidRPr="00B35695">
        <w:rPr>
          <w:rFonts w:ascii="Cambria" w:hAnsi="Cambria"/>
          <w:sz w:val="20"/>
          <w:szCs w:val="20"/>
          <w:lang w:val="es-ES_tradnl"/>
        </w:rPr>
        <w:tab/>
      </w:r>
      <w:r w:rsidR="004E7C19" w:rsidRPr="00B35695">
        <w:rPr>
          <w:rFonts w:ascii="Cambria" w:hAnsi="Cambria"/>
          <w:sz w:val="20"/>
          <w:szCs w:val="20"/>
          <w:lang w:val="es-ES_tradnl"/>
        </w:rPr>
        <w:t>Finalmente</w:t>
      </w:r>
      <w:r w:rsidRPr="00B35695">
        <w:rPr>
          <w:rFonts w:ascii="Cambria" w:hAnsi="Cambria"/>
          <w:sz w:val="20"/>
          <w:szCs w:val="20"/>
          <w:lang w:val="es-ES_tradnl"/>
        </w:rPr>
        <w:t>,</w:t>
      </w:r>
      <w:r w:rsidR="004E7C19" w:rsidRPr="00B35695">
        <w:rPr>
          <w:rFonts w:ascii="Cambria" w:hAnsi="Cambria"/>
          <w:sz w:val="20"/>
          <w:szCs w:val="20"/>
          <w:lang w:val="es-ES_tradnl"/>
        </w:rPr>
        <w:t xml:space="preserve"> el Estado afirma que el señor </w:t>
      </w:r>
      <w:r w:rsidR="00C90B00" w:rsidRPr="00B35695">
        <w:rPr>
          <w:rFonts w:ascii="Cambria" w:hAnsi="Cambria"/>
          <w:sz w:val="20"/>
          <w:szCs w:val="20"/>
          <w:lang w:val="es-ES_tradnl"/>
        </w:rPr>
        <w:t xml:space="preserve">Ramírez </w:t>
      </w:r>
      <w:r w:rsidR="004E7C19" w:rsidRPr="00B35695">
        <w:rPr>
          <w:rFonts w:ascii="Cambria" w:hAnsi="Cambria"/>
          <w:sz w:val="20"/>
          <w:szCs w:val="20"/>
          <w:lang w:val="es-ES_tradnl"/>
        </w:rPr>
        <w:t>pudo haber recurrido a la acción de reparación directa ante la jurisdicción de lo contencioso-administrativo para buscar que se declarara judicialmente responsable al Estado por el hecho del legislador y se repararan sus perjuicios, pero optó por no hacerlo, por lo cual incurrió en falta de agotamiento de los recursos internos. El Estado enfatiza que</w:t>
      </w:r>
      <w:r w:rsidR="00C90B00" w:rsidRPr="00B35695">
        <w:rPr>
          <w:rFonts w:ascii="Cambria" w:hAnsi="Cambria"/>
          <w:sz w:val="20"/>
          <w:szCs w:val="20"/>
          <w:lang w:val="es-ES_tradnl"/>
        </w:rPr>
        <w:t>,</w:t>
      </w:r>
      <w:r w:rsidR="004E7C19" w:rsidRPr="00B35695">
        <w:rPr>
          <w:rFonts w:ascii="Cambria" w:hAnsi="Cambria"/>
          <w:sz w:val="20"/>
          <w:szCs w:val="20"/>
          <w:lang w:val="es-ES_tradnl"/>
        </w:rPr>
        <w:t xml:space="preserve"> de conformidad con la jurisprudencia vigente del Consejo de Estado, las reparaciones integrales otorgadas por la jurisdicción contencioso-administrativa en sede de reparación directa cumplen con los estándares de reparación del sistema interamericano, por lo cual se trataba de un recurso idóneo que debía ser agotado.</w:t>
      </w:r>
    </w:p>
    <w:p w:rsidR="003239B8" w:rsidRPr="00B35695" w:rsidRDefault="003239B8" w:rsidP="003239B8">
      <w:pPr>
        <w:spacing w:before="240" w:after="240"/>
        <w:ind w:firstLine="720"/>
        <w:jc w:val="both"/>
        <w:rPr>
          <w:rFonts w:ascii="Cambria" w:hAnsi="Cambria"/>
          <w:sz w:val="20"/>
          <w:szCs w:val="20"/>
          <w:lang w:val="es-ES_tradnl"/>
        </w:rPr>
      </w:pPr>
      <w:r w:rsidRPr="00B35695">
        <w:rPr>
          <w:rFonts w:ascii="Cambria" w:eastAsia="Cambria" w:hAnsi="Cambria" w:cs="Cambria"/>
          <w:b/>
          <w:bCs/>
          <w:color w:val="000000"/>
          <w:sz w:val="20"/>
          <w:szCs w:val="20"/>
          <w:u w:color="000000"/>
          <w:lang w:val="es-ES_tradnl" w:eastAsia="es-ES"/>
        </w:rPr>
        <w:lastRenderedPageBreak/>
        <w:t>VI.</w:t>
      </w:r>
      <w:r w:rsidRPr="00B35695">
        <w:rPr>
          <w:rFonts w:ascii="Cambria" w:eastAsia="Cambria" w:hAnsi="Cambria" w:cs="Cambria"/>
          <w:b/>
          <w:bCs/>
          <w:color w:val="000000"/>
          <w:sz w:val="20"/>
          <w:szCs w:val="20"/>
          <w:u w:color="000000"/>
          <w:lang w:val="es-ES_tradnl" w:eastAsia="es-ES"/>
        </w:rPr>
        <w:tab/>
      </w:r>
      <w:r w:rsidR="004A6A54" w:rsidRPr="00B35695">
        <w:rPr>
          <w:rFonts w:ascii="Cambria" w:hAnsi="Cambria"/>
          <w:b/>
          <w:bCs/>
          <w:sz w:val="20"/>
          <w:szCs w:val="20"/>
          <w:lang w:val="es-ES_tradnl"/>
        </w:rPr>
        <w:t xml:space="preserve">ANÁLISIS DE </w:t>
      </w:r>
      <w:r w:rsidR="00C21FEF" w:rsidRPr="00B35695">
        <w:rPr>
          <w:rFonts w:ascii="Cambria" w:hAnsi="Cambria"/>
          <w:b/>
          <w:sz w:val="20"/>
          <w:szCs w:val="20"/>
          <w:lang w:val="es-ES_tradnl"/>
        </w:rPr>
        <w:t>AGOTAMIENTO DE LOS RECURSOS INTERNOS Y PLAZO DE PRESENTACIÓN</w:t>
      </w:r>
      <w:r w:rsidR="00C21FEF" w:rsidRPr="00B35695">
        <w:rPr>
          <w:rFonts w:ascii="Cambria" w:eastAsia="Cambria" w:hAnsi="Cambria" w:cs="Cambria"/>
          <w:b/>
          <w:bCs/>
          <w:color w:val="000000"/>
          <w:sz w:val="20"/>
          <w:szCs w:val="20"/>
          <w:u w:color="000000"/>
          <w:lang w:val="es-ES_tradnl" w:eastAsia="es-ES"/>
        </w:rPr>
        <w:t xml:space="preserve"> </w:t>
      </w:r>
    </w:p>
    <w:p w:rsidR="0079593F" w:rsidRPr="00B35695" w:rsidRDefault="00F14492" w:rsidP="007959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eastAsia="Cambria" w:hAnsi="Cambria" w:cs="Cambria"/>
          <w:color w:val="000000"/>
          <w:sz w:val="20"/>
          <w:szCs w:val="20"/>
          <w:u w:color="000000"/>
          <w:lang w:val="es-ES_tradnl" w:eastAsia="es-ES"/>
        </w:rPr>
      </w:pPr>
      <w:r w:rsidRPr="00B35695">
        <w:rPr>
          <w:rFonts w:ascii="Cambria" w:eastAsia="Cambria" w:hAnsi="Cambria" w:cs="Cambria"/>
          <w:color w:val="000000"/>
          <w:sz w:val="20"/>
          <w:szCs w:val="20"/>
          <w:u w:color="000000"/>
          <w:lang w:val="es-ES_tradnl" w:eastAsia="es-ES"/>
        </w:rPr>
        <w:t>18</w:t>
      </w:r>
      <w:r w:rsidR="001F7D43" w:rsidRPr="00B35695">
        <w:rPr>
          <w:rFonts w:ascii="Cambria" w:eastAsia="Cambria" w:hAnsi="Cambria" w:cs="Cambria"/>
          <w:color w:val="000000"/>
          <w:sz w:val="20"/>
          <w:szCs w:val="20"/>
          <w:u w:color="000000"/>
          <w:lang w:val="es-ES_tradnl" w:eastAsia="es-ES"/>
        </w:rPr>
        <w:t xml:space="preserve">. </w:t>
      </w:r>
      <w:r w:rsidRPr="00B35695">
        <w:rPr>
          <w:rFonts w:ascii="Cambria" w:eastAsia="Cambria" w:hAnsi="Cambria" w:cs="Cambria"/>
          <w:color w:val="000000"/>
          <w:sz w:val="20"/>
          <w:szCs w:val="20"/>
          <w:u w:color="000000"/>
          <w:lang w:val="es-ES_tradnl" w:eastAsia="es-ES"/>
        </w:rPr>
        <w:tab/>
      </w:r>
      <w:r w:rsidR="0079593F" w:rsidRPr="00B35695">
        <w:rPr>
          <w:rFonts w:ascii="Cambria" w:eastAsia="Cambria" w:hAnsi="Cambria" w:cs="Cambria"/>
          <w:color w:val="000000"/>
          <w:sz w:val="20"/>
          <w:szCs w:val="20"/>
          <w:u w:color="000000"/>
          <w:lang w:val="es-ES_tradnl" w:eastAsia="es-ES"/>
        </w:rPr>
        <w:t xml:space="preserve">En el presente caso </w:t>
      </w:r>
      <w:r w:rsidR="0079593F" w:rsidRPr="00B35695">
        <w:rPr>
          <w:rFonts w:ascii="Cambria" w:hAnsi="Cambria"/>
          <w:sz w:val="20"/>
          <w:szCs w:val="20"/>
          <w:lang w:val="es-ES_tradnl"/>
        </w:rPr>
        <w:t xml:space="preserve">el señor Ramírez optó por no recurrir a ninguno de esos dos mecanismos extraordinarios de defensa judicial para controvertir la sentencia de la Sala Penal de la Corte Suprema dictada en su contra. Por lo tanto, al ser esta decisión esencialmente de única instancia, sin contar con la posibilidad de recursos ordinarios, la última decisión judicial adoptada en </w:t>
      </w:r>
      <w:r w:rsidR="007002BE" w:rsidRPr="00B35695">
        <w:rPr>
          <w:rFonts w:ascii="Cambria" w:hAnsi="Cambria"/>
          <w:sz w:val="20"/>
          <w:szCs w:val="20"/>
          <w:lang w:val="es-ES_tradnl"/>
        </w:rPr>
        <w:t>su</w:t>
      </w:r>
      <w:r w:rsidR="0079593F" w:rsidRPr="00B35695">
        <w:rPr>
          <w:rFonts w:ascii="Cambria" w:hAnsi="Cambria"/>
          <w:sz w:val="20"/>
          <w:szCs w:val="20"/>
          <w:lang w:val="es-ES_tradnl"/>
        </w:rPr>
        <w:t xml:space="preserve"> caso es</w:t>
      </w:r>
      <w:r w:rsidR="007002BE" w:rsidRPr="00B35695">
        <w:rPr>
          <w:rFonts w:ascii="Cambria" w:hAnsi="Cambria"/>
          <w:sz w:val="20"/>
          <w:szCs w:val="20"/>
          <w:lang w:val="es-ES_tradnl"/>
        </w:rPr>
        <w:t xml:space="preserve"> </w:t>
      </w:r>
      <w:r w:rsidR="0079593F" w:rsidRPr="00B35695">
        <w:rPr>
          <w:rFonts w:ascii="Cambria" w:hAnsi="Cambria"/>
          <w:sz w:val="20"/>
          <w:szCs w:val="20"/>
          <w:lang w:val="es-ES_tradnl"/>
        </w:rPr>
        <w:t>la decisión adoptada por la Corte Suprema de Justicia el 10 de marzo de 2011.</w:t>
      </w:r>
      <w:r w:rsidR="0079593F" w:rsidRPr="00B35695">
        <w:rPr>
          <w:rFonts w:ascii="Cambria" w:eastAsia="Cambria" w:hAnsi="Cambria" w:cs="Cambria"/>
          <w:color w:val="000000"/>
          <w:sz w:val="20"/>
          <w:szCs w:val="20"/>
          <w:u w:color="000000"/>
          <w:lang w:val="es-ES_tradnl" w:eastAsia="es-ES"/>
        </w:rPr>
        <w:t xml:space="preserve"> Los</w:t>
      </w:r>
      <w:r w:rsidR="004E7C19" w:rsidRPr="00B35695">
        <w:rPr>
          <w:rFonts w:ascii="Cambria" w:eastAsia="Cambria" w:hAnsi="Cambria" w:cs="Cambria"/>
          <w:color w:val="000000"/>
          <w:sz w:val="20"/>
          <w:szCs w:val="20"/>
          <w:u w:color="000000"/>
          <w:lang w:val="es-ES_tradnl" w:eastAsia="es-ES"/>
        </w:rPr>
        <w:t xml:space="preserve"> peticionarios </w:t>
      </w:r>
      <w:r w:rsidR="0079593F" w:rsidRPr="00B35695">
        <w:rPr>
          <w:rFonts w:ascii="Cambria" w:eastAsia="Cambria" w:hAnsi="Cambria" w:cs="Cambria"/>
          <w:color w:val="000000"/>
          <w:sz w:val="20"/>
          <w:szCs w:val="20"/>
          <w:u w:color="000000"/>
          <w:lang w:val="es-ES_tradnl" w:eastAsia="es-ES"/>
        </w:rPr>
        <w:t>alegan</w:t>
      </w:r>
      <w:r w:rsidR="004E7C19" w:rsidRPr="00B35695">
        <w:rPr>
          <w:rFonts w:ascii="Cambria" w:eastAsia="Cambria" w:hAnsi="Cambria" w:cs="Cambria"/>
          <w:color w:val="000000"/>
          <w:sz w:val="20"/>
          <w:szCs w:val="20"/>
          <w:u w:color="000000"/>
          <w:lang w:val="es-ES_tradnl" w:eastAsia="es-ES"/>
        </w:rPr>
        <w:t xml:space="preserve"> que al no proceder recurso ordinario alguno contra los fallos dictados por la Sala Penal de la Corte Suprema de Justicia frente a funcionarios con fuero constitucional, por ser éstos de única instancia, sería aplicable</w:t>
      </w:r>
      <w:r w:rsidR="006721A7" w:rsidRPr="00B35695">
        <w:rPr>
          <w:rFonts w:ascii="Cambria" w:eastAsia="Cambria" w:hAnsi="Cambria" w:cs="Cambria"/>
          <w:color w:val="000000"/>
          <w:sz w:val="20"/>
          <w:szCs w:val="20"/>
          <w:u w:color="000000"/>
          <w:lang w:val="es-ES_tradnl" w:eastAsia="es-ES"/>
        </w:rPr>
        <w:t xml:space="preserve"> la excepción consagrada en el a</w:t>
      </w:r>
      <w:r w:rsidR="00520CCE" w:rsidRPr="00B35695">
        <w:rPr>
          <w:rFonts w:ascii="Cambria" w:eastAsia="Cambria" w:hAnsi="Cambria" w:cs="Cambria"/>
          <w:color w:val="000000"/>
          <w:sz w:val="20"/>
          <w:szCs w:val="20"/>
          <w:u w:color="000000"/>
          <w:lang w:val="es-ES_tradnl" w:eastAsia="es-ES"/>
        </w:rPr>
        <w:t>rtículo 46.2.</w:t>
      </w:r>
      <w:r w:rsidR="004E7C19" w:rsidRPr="00B35695">
        <w:rPr>
          <w:rFonts w:ascii="Cambria" w:eastAsia="Cambria" w:hAnsi="Cambria" w:cs="Cambria"/>
          <w:color w:val="000000"/>
          <w:sz w:val="20"/>
          <w:szCs w:val="20"/>
          <w:u w:color="000000"/>
          <w:lang w:val="es-ES_tradnl" w:eastAsia="es-ES"/>
        </w:rPr>
        <w:t xml:space="preserve">a) de la Convención. </w:t>
      </w:r>
    </w:p>
    <w:p w:rsidR="000B3835" w:rsidRPr="00B35695" w:rsidRDefault="0079593F" w:rsidP="007959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eastAsia="Cambria" w:hAnsi="Cambria" w:cs="Cambria"/>
          <w:color w:val="000000"/>
          <w:sz w:val="20"/>
          <w:szCs w:val="20"/>
          <w:u w:color="000000"/>
          <w:lang w:val="es-ES_tradnl" w:eastAsia="es-ES"/>
        </w:rPr>
      </w:pPr>
      <w:r w:rsidRPr="00B35695">
        <w:rPr>
          <w:rFonts w:ascii="Cambria" w:eastAsia="Cambria" w:hAnsi="Cambria" w:cs="Cambria"/>
          <w:color w:val="000000"/>
          <w:sz w:val="20"/>
          <w:szCs w:val="20"/>
          <w:u w:color="000000"/>
          <w:lang w:val="es-ES_tradnl" w:eastAsia="es-ES"/>
        </w:rPr>
        <w:t>19.</w:t>
      </w:r>
      <w:r w:rsidRPr="00B35695">
        <w:rPr>
          <w:rFonts w:ascii="Cambria" w:eastAsia="Cambria" w:hAnsi="Cambria" w:cs="Cambria"/>
          <w:color w:val="000000"/>
          <w:sz w:val="20"/>
          <w:szCs w:val="20"/>
          <w:u w:color="000000"/>
          <w:lang w:val="es-ES_tradnl" w:eastAsia="es-ES"/>
        </w:rPr>
        <w:tab/>
      </w:r>
      <w:r w:rsidR="000B3835" w:rsidRPr="00B35695">
        <w:rPr>
          <w:rFonts w:ascii="Cambria" w:eastAsia="Cambria" w:hAnsi="Cambria" w:cs="Cambria"/>
          <w:color w:val="000000"/>
          <w:sz w:val="20"/>
          <w:szCs w:val="20"/>
          <w:u w:color="000000"/>
          <w:lang w:val="es-ES_tradnl" w:eastAsia="es-ES"/>
        </w:rPr>
        <w:t>L</w:t>
      </w:r>
      <w:r w:rsidR="004E7C19" w:rsidRPr="00B35695">
        <w:rPr>
          <w:rFonts w:ascii="Cambria" w:eastAsia="Cambria" w:hAnsi="Cambria" w:cs="Cambria"/>
          <w:color w:val="000000"/>
          <w:sz w:val="20"/>
          <w:szCs w:val="20"/>
          <w:u w:color="000000"/>
          <w:lang w:val="es-ES_tradnl" w:eastAsia="es-ES"/>
        </w:rPr>
        <w:t xml:space="preserve">a CIDH </w:t>
      </w:r>
      <w:r w:rsidR="000B3835" w:rsidRPr="00B35695">
        <w:rPr>
          <w:rFonts w:ascii="Cambria" w:eastAsia="Cambria" w:hAnsi="Cambria" w:cs="Cambria"/>
          <w:color w:val="000000"/>
          <w:sz w:val="20"/>
          <w:szCs w:val="20"/>
          <w:u w:color="000000"/>
          <w:lang w:val="es-ES_tradnl" w:eastAsia="es-ES"/>
        </w:rPr>
        <w:t xml:space="preserve">también </w:t>
      </w:r>
      <w:r w:rsidR="004E7C19" w:rsidRPr="00B35695">
        <w:rPr>
          <w:rFonts w:ascii="Cambria" w:eastAsia="Cambria" w:hAnsi="Cambria" w:cs="Cambria"/>
          <w:color w:val="000000"/>
          <w:sz w:val="20"/>
          <w:szCs w:val="20"/>
          <w:u w:color="000000"/>
          <w:lang w:val="es-ES_tradnl" w:eastAsia="es-ES"/>
        </w:rPr>
        <w:t xml:space="preserve">toma en consideración que, según lo explicó el Estado en su contestación, bajo el ordenamiento jurídico colombiano sí es posible interponer dos tipos de recursos judiciales extraordinarios contra tales fallos de única instancia, a saber, la acción </w:t>
      </w:r>
      <w:r w:rsidR="001F7D43" w:rsidRPr="00B35695">
        <w:rPr>
          <w:rFonts w:ascii="Cambria" w:eastAsia="Cambria" w:hAnsi="Cambria" w:cs="Cambria"/>
          <w:color w:val="000000"/>
          <w:sz w:val="20"/>
          <w:szCs w:val="20"/>
          <w:u w:color="000000"/>
          <w:lang w:val="es-ES_tradnl" w:eastAsia="es-ES"/>
        </w:rPr>
        <w:t xml:space="preserve">extraordinaria </w:t>
      </w:r>
      <w:r w:rsidR="004E7C19" w:rsidRPr="00B35695">
        <w:rPr>
          <w:rFonts w:ascii="Cambria" w:eastAsia="Cambria" w:hAnsi="Cambria" w:cs="Cambria"/>
          <w:color w:val="000000"/>
          <w:sz w:val="20"/>
          <w:szCs w:val="20"/>
          <w:u w:color="000000"/>
          <w:lang w:val="es-ES_tradnl" w:eastAsia="es-ES"/>
        </w:rPr>
        <w:t>de revisión y la acción de tutela. Esta última vía judicial, a la luz de la jurisprudencia de la Corte Constitucional, procede de manera excepcional y extraordinaria 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w:t>
      </w:r>
      <w:r w:rsidR="001F7D43" w:rsidRPr="00B35695">
        <w:rPr>
          <w:rFonts w:ascii="Cambria" w:eastAsia="Cambria" w:hAnsi="Cambria" w:cs="Cambria"/>
          <w:color w:val="000000"/>
          <w:sz w:val="20"/>
          <w:szCs w:val="20"/>
          <w:u w:color="000000"/>
          <w:lang w:val="es-ES_tradnl" w:eastAsia="es-ES"/>
        </w:rPr>
        <w:t>, como también lo es la acción de revisión</w:t>
      </w:r>
      <w:r w:rsidR="004E7C19" w:rsidRPr="00B35695">
        <w:rPr>
          <w:rFonts w:ascii="Cambria" w:eastAsia="Cambria" w:hAnsi="Cambria" w:cs="Cambria"/>
          <w:color w:val="000000"/>
          <w:sz w:val="20"/>
          <w:szCs w:val="20"/>
          <w:u w:color="000000"/>
          <w:lang w:val="es-ES_tradnl" w:eastAsia="es-ES"/>
        </w:rPr>
        <w:t xml:space="preserve">. </w:t>
      </w:r>
      <w:r w:rsidR="000B3835" w:rsidRPr="00B35695">
        <w:rPr>
          <w:rFonts w:ascii="Cambria" w:eastAsia="Cambria" w:hAnsi="Cambria" w:cs="Cambria"/>
          <w:color w:val="000000"/>
          <w:sz w:val="20"/>
          <w:szCs w:val="20"/>
          <w:u w:color="000000"/>
          <w:lang w:val="es-ES_tradnl" w:eastAsia="es-ES"/>
        </w:rPr>
        <w:t xml:space="preserve">El Estado ha alegado adicionalmente que en relación con el reclamo del señor Ramírez por indebida fundamentación probatoria del fallo condenatorio, </w:t>
      </w:r>
      <w:r w:rsidR="001F7D43" w:rsidRPr="00B35695">
        <w:rPr>
          <w:rFonts w:ascii="Cambria" w:eastAsia="Cambria" w:hAnsi="Cambria" w:cs="Cambria"/>
          <w:color w:val="000000"/>
          <w:sz w:val="20"/>
          <w:szCs w:val="20"/>
          <w:u w:color="000000"/>
          <w:lang w:val="es-ES_tradnl" w:eastAsia="es-ES"/>
        </w:rPr>
        <w:t xml:space="preserve">se </w:t>
      </w:r>
      <w:r w:rsidR="000B3835" w:rsidRPr="00B35695">
        <w:rPr>
          <w:rFonts w:ascii="Cambria" w:eastAsia="Cambria" w:hAnsi="Cambria" w:cs="Cambria"/>
          <w:color w:val="000000"/>
          <w:sz w:val="20"/>
          <w:szCs w:val="20"/>
          <w:u w:color="000000"/>
          <w:lang w:val="es-ES_tradnl" w:eastAsia="es-ES"/>
        </w:rPr>
        <w:t xml:space="preserve">pudo haber recurrido a la acción de tutela, que estaba disponible para este preciso propósito a la luz de la jurisprudencia constitucional. </w:t>
      </w:r>
    </w:p>
    <w:p w:rsidR="00321F50" w:rsidRPr="00B35695" w:rsidRDefault="00C8314C" w:rsidP="007959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20</w:t>
      </w:r>
      <w:r w:rsidR="000414FD" w:rsidRPr="00B35695">
        <w:rPr>
          <w:rFonts w:ascii="Cambria" w:hAnsi="Cambria"/>
          <w:sz w:val="20"/>
          <w:szCs w:val="20"/>
          <w:lang w:val="es-ES_tradnl"/>
        </w:rPr>
        <w:t>.</w:t>
      </w:r>
      <w:r w:rsidR="000414FD" w:rsidRPr="00B35695">
        <w:rPr>
          <w:rFonts w:ascii="Cambria" w:hAnsi="Cambria"/>
          <w:sz w:val="20"/>
          <w:szCs w:val="20"/>
          <w:lang w:val="es-ES_tradnl"/>
        </w:rPr>
        <w:tab/>
      </w:r>
      <w:r w:rsidR="00321F50" w:rsidRPr="00B35695">
        <w:rPr>
          <w:rFonts w:ascii="Cambria" w:hAnsi="Cambria"/>
          <w:sz w:val="20"/>
          <w:szCs w:val="20"/>
          <w:lang w:val="es-ES_tradnl"/>
        </w:rPr>
        <w:t>A este respecto, la Comisión observa</w:t>
      </w:r>
      <w:r w:rsidR="0079593F" w:rsidRPr="00B35695">
        <w:rPr>
          <w:rFonts w:ascii="Cambria" w:hAnsi="Cambria"/>
          <w:sz w:val="20"/>
          <w:szCs w:val="20"/>
          <w:lang w:val="es-ES_tradnl"/>
        </w:rPr>
        <w:t>,</w:t>
      </w:r>
      <w:r w:rsidR="00321F50" w:rsidRPr="00B35695">
        <w:rPr>
          <w:rFonts w:ascii="Cambria" w:hAnsi="Cambria"/>
          <w:sz w:val="20"/>
          <w:szCs w:val="20"/>
          <w:lang w:val="es-ES_tradnl"/>
        </w:rPr>
        <w:t xml:space="preserve"> en primer lugar</w:t>
      </w:r>
      <w:r w:rsidR="0079593F" w:rsidRPr="00B35695">
        <w:rPr>
          <w:rFonts w:ascii="Cambria" w:hAnsi="Cambria"/>
          <w:sz w:val="20"/>
          <w:szCs w:val="20"/>
          <w:lang w:val="es-ES_tradnl"/>
        </w:rPr>
        <w:t>,</w:t>
      </w:r>
      <w:r w:rsidR="00321F50" w:rsidRPr="00B35695">
        <w:rPr>
          <w:rFonts w:ascii="Cambria" w:hAnsi="Cambria"/>
          <w:sz w:val="20"/>
          <w:szCs w:val="20"/>
          <w:lang w:val="es-ES_tradnl"/>
        </w:rPr>
        <w:t xml:space="preserve"> que el sistema jurídico colombiano no provee recursos ordinarios (como la apelación) para controvertir los fallos adoptados por la Corte Suprema de Justicia en única instancia, asunto que constituye uno de los problemas jurídicos de fondo que habrán de resolverse en la etapa correspondiente del presente procedimiento interamericano, a la luz de los precedentes relevantes tanto de la Comisión como de la Corte Interamericana, y sobre el cual no se adopta pronunciamiento alguno en el presente informe de admisibilidad. </w:t>
      </w:r>
    </w:p>
    <w:p w:rsidR="007002BE" w:rsidRPr="00B35695" w:rsidRDefault="00321F50" w:rsidP="00321F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21.</w:t>
      </w:r>
      <w:r w:rsidRPr="00B35695">
        <w:rPr>
          <w:rFonts w:ascii="Cambria" w:hAnsi="Cambria"/>
          <w:sz w:val="20"/>
          <w:szCs w:val="20"/>
          <w:lang w:val="es-ES_tradnl"/>
        </w:rPr>
        <w:tab/>
        <w:t>Asimismo, recuerda que</w:t>
      </w:r>
      <w:r w:rsidR="0079593F" w:rsidRPr="00B35695">
        <w:rPr>
          <w:rFonts w:ascii="Cambria" w:hAnsi="Cambria"/>
          <w:sz w:val="20"/>
          <w:szCs w:val="20"/>
          <w:lang w:val="es-ES_tradnl"/>
        </w:rPr>
        <w:t>,</w:t>
      </w:r>
      <w:r w:rsidRPr="00B35695">
        <w:rPr>
          <w:rFonts w:ascii="Cambria" w:hAnsi="Cambria"/>
          <w:sz w:val="20"/>
          <w:szCs w:val="20"/>
          <w:lang w:val="es-ES_tradnl"/>
        </w:rPr>
        <w:t xml:space="preserve"> </w:t>
      </w:r>
      <w:r w:rsidRPr="00B35695">
        <w:rPr>
          <w:rFonts w:ascii="Cambria" w:hAnsi="Cambria" w:cs="Calibri"/>
          <w:sz w:val="20"/>
          <w:szCs w:val="20"/>
          <w:lang w:val="es-ES_tradnl"/>
        </w:rPr>
        <w:t xml:space="preserve">si bien en algunos casos los recursos extraordinarios pueden ser adecuados para enfrentar violaciones de derechos humanos, como norma general los únicos recursos que </w:t>
      </w:r>
      <w:r w:rsidR="0079593F" w:rsidRPr="00B35695">
        <w:rPr>
          <w:rFonts w:ascii="Cambria" w:hAnsi="Cambria" w:cs="Calibri"/>
          <w:sz w:val="20"/>
          <w:szCs w:val="20"/>
          <w:lang w:val="es-ES_tradnl"/>
        </w:rPr>
        <w:t>es necesario</w:t>
      </w:r>
      <w:r w:rsidRPr="00B35695">
        <w:rPr>
          <w:rFonts w:ascii="Cambria" w:hAnsi="Cambria" w:cs="Calibri"/>
          <w:sz w:val="20"/>
          <w:szCs w:val="20"/>
          <w:lang w:val="es-ES_tradnl"/>
        </w:rPr>
        <w:t xml:space="preserve"> agot</w:t>
      </w:r>
      <w:r w:rsidR="0079593F" w:rsidRPr="00B35695">
        <w:rPr>
          <w:rFonts w:ascii="Cambria" w:hAnsi="Cambria" w:cs="Calibri"/>
          <w:sz w:val="20"/>
          <w:szCs w:val="20"/>
          <w:lang w:val="es-ES_tradnl"/>
        </w:rPr>
        <w:t>ar son aquellos cuyas funciones dentro del sistema jurídico</w:t>
      </w:r>
      <w:r w:rsidRPr="00B35695">
        <w:rPr>
          <w:rFonts w:ascii="Cambria" w:hAnsi="Cambria" w:cs="Calibri"/>
          <w:sz w:val="20"/>
          <w:szCs w:val="20"/>
          <w:lang w:val="es-ES_tradnl"/>
        </w:rPr>
        <w:t xml:space="preserve"> </w:t>
      </w:r>
      <w:r w:rsidR="0079593F" w:rsidRPr="00B35695">
        <w:rPr>
          <w:rFonts w:ascii="Cambria" w:hAnsi="Cambria" w:cs="Calibri"/>
          <w:sz w:val="20"/>
          <w:szCs w:val="20"/>
          <w:lang w:val="es-ES_tradnl"/>
        </w:rPr>
        <w:t>los hace</w:t>
      </w:r>
      <w:r w:rsidRPr="00B35695">
        <w:rPr>
          <w:rFonts w:ascii="Cambria" w:hAnsi="Cambria" w:cs="Calibri"/>
          <w:sz w:val="20"/>
          <w:szCs w:val="20"/>
          <w:lang w:val="es-ES_tradnl"/>
        </w:rPr>
        <w:t xml:space="preserve"> apropiados para remediar una infracción de determinado derecho legal. En principio, se trata de recursos ordinarios y no extraordinario</w:t>
      </w:r>
      <w:r w:rsidR="0079593F" w:rsidRPr="00B35695">
        <w:rPr>
          <w:rFonts w:ascii="Cambria" w:hAnsi="Cambria" w:cs="Calibri"/>
          <w:sz w:val="20"/>
          <w:szCs w:val="20"/>
          <w:lang w:val="es-ES_tradnl"/>
        </w:rPr>
        <w:t>s</w:t>
      </w:r>
      <w:r w:rsidRPr="00B35695">
        <w:rPr>
          <w:rStyle w:val="FootnoteReference"/>
          <w:rFonts w:ascii="Cambria" w:hAnsi="Cambria" w:cs="Calibri"/>
          <w:sz w:val="20"/>
          <w:szCs w:val="20"/>
          <w:lang w:val="es-ES_tradnl"/>
        </w:rPr>
        <w:footnoteReference w:id="5"/>
      </w:r>
      <w:r w:rsidRPr="00B35695">
        <w:rPr>
          <w:rFonts w:ascii="Cambria" w:hAnsi="Cambria" w:cs="Calibri"/>
          <w:sz w:val="20"/>
          <w:szCs w:val="20"/>
          <w:lang w:val="es-ES_tradnl"/>
        </w:rPr>
        <w:t xml:space="preserve">. </w:t>
      </w:r>
      <w:r w:rsidRPr="00B35695">
        <w:rPr>
          <w:rFonts w:ascii="Cambria" w:eastAsia="Cambria" w:hAnsi="Cambria" w:cs="Cambria"/>
          <w:color w:val="000000"/>
          <w:sz w:val="20"/>
          <w:szCs w:val="20"/>
          <w:u w:color="000000"/>
          <w:lang w:val="es-ES_tradnl" w:eastAsia="es-ES"/>
        </w:rPr>
        <w:t>Asimismo</w:t>
      </w:r>
      <w:r w:rsidRPr="00B35695">
        <w:rPr>
          <w:rFonts w:ascii="Cambria" w:hAnsi="Cambria"/>
          <w:sz w:val="20"/>
          <w:szCs w:val="20"/>
          <w:lang w:val="es-ES_tradnl"/>
        </w:rPr>
        <w:t>, para efectos de la regla de agotamiento de los recursos internos, no son recursos idóneos para ventilar reclamos por violaciones de las garantías judiciales los recursos de tipo extraordinario que el peticionario no haya decidido voluntariamente interponer</w:t>
      </w:r>
      <w:r w:rsidRPr="00B35695">
        <w:rPr>
          <w:rStyle w:val="FootnoteReference"/>
          <w:rFonts w:ascii="Cambria" w:hAnsi="Cambria"/>
          <w:sz w:val="20"/>
          <w:szCs w:val="20"/>
          <w:lang w:val="es-ES_tradnl"/>
        </w:rPr>
        <w:footnoteReference w:id="6"/>
      </w:r>
      <w:r w:rsidRPr="00B35695">
        <w:rPr>
          <w:rFonts w:ascii="Cambria" w:hAnsi="Cambria"/>
          <w:sz w:val="20"/>
          <w:szCs w:val="20"/>
          <w:lang w:val="es-ES_tradnl"/>
        </w:rPr>
        <w:t xml:space="preserve">. </w:t>
      </w:r>
      <w:r w:rsidR="007002BE" w:rsidRPr="00B35695">
        <w:rPr>
          <w:rFonts w:ascii="Cambria" w:hAnsi="Cambria"/>
          <w:sz w:val="20"/>
          <w:szCs w:val="20"/>
          <w:lang w:val="es-ES_tradnl"/>
        </w:rPr>
        <w:t xml:space="preserve">En el presente caso los recursos que alega el Estado debía agotar el peticionario son, a juicio de la Comisión, de naturaleza extraordinaria. Así, en atención a las particularidades del presente caso la CIDH no considera que aquel debió agotarlos como requisito para acudir al Sistema Interamericana. Por lo tanto, frente al cuestionamiento del Estado relativo a la falta de agotamiento de los recursos internos la Comisión considera aplicable la excepción establecida en el artículo 46.2.a) de la Convención Americana. </w:t>
      </w:r>
    </w:p>
    <w:p w:rsidR="00321F50" w:rsidRPr="00B35695" w:rsidRDefault="007002BE" w:rsidP="00321F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22.</w:t>
      </w:r>
      <w:r w:rsidRPr="00B35695">
        <w:rPr>
          <w:rFonts w:ascii="Cambria" w:hAnsi="Cambria"/>
          <w:sz w:val="20"/>
          <w:szCs w:val="20"/>
          <w:lang w:val="es-ES_tradnl"/>
        </w:rPr>
        <w:tab/>
        <w:t>Asimismo, en atención a que la última decisión judicial adoptada en el proceso penal seguido contra el peticionario fue adoptada el 10 de marzo de 2011, y la petición presentada en la CIDH el 28 de agosto de 2011, la Comisión considera que esta fue presentada en cumplimiento del artículo 32.2 de su Reglamento.</w:t>
      </w:r>
    </w:p>
    <w:p w:rsidR="00774912" w:rsidRPr="00B35695" w:rsidRDefault="007002BE" w:rsidP="001F7D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cs="Calibri"/>
          <w:sz w:val="20"/>
          <w:szCs w:val="20"/>
          <w:lang w:val="es-ES_tradnl"/>
        </w:rPr>
      </w:pPr>
      <w:r w:rsidRPr="00B35695">
        <w:rPr>
          <w:rFonts w:ascii="Cambria" w:hAnsi="Cambria"/>
          <w:sz w:val="20"/>
          <w:szCs w:val="20"/>
          <w:lang w:val="es-ES_tradnl"/>
        </w:rPr>
        <w:t>23</w:t>
      </w:r>
      <w:r w:rsidR="001F7D43" w:rsidRPr="00B35695">
        <w:rPr>
          <w:rFonts w:ascii="Cambria" w:hAnsi="Cambria"/>
          <w:sz w:val="20"/>
          <w:szCs w:val="20"/>
          <w:lang w:val="es-ES_tradnl"/>
        </w:rPr>
        <w:t xml:space="preserve">. </w:t>
      </w:r>
      <w:r w:rsidRPr="00B35695">
        <w:rPr>
          <w:rFonts w:ascii="Cambria" w:hAnsi="Cambria"/>
          <w:sz w:val="20"/>
          <w:szCs w:val="20"/>
          <w:lang w:val="es-ES_tradnl"/>
        </w:rPr>
        <w:tab/>
        <w:t>E</w:t>
      </w:r>
      <w:r w:rsidR="00774912" w:rsidRPr="00B35695">
        <w:rPr>
          <w:rFonts w:ascii="Cambria" w:hAnsi="Cambria"/>
          <w:sz w:val="20"/>
          <w:szCs w:val="20"/>
          <w:lang w:val="es-ES_tradnl"/>
        </w:rPr>
        <w:t xml:space="preserve">s importante recordar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w:t>
      </w:r>
      <w:r w:rsidR="00774912" w:rsidRPr="00B35695">
        <w:rPr>
          <w:rFonts w:ascii="Cambria" w:hAnsi="Cambria"/>
          <w:sz w:val="20"/>
          <w:szCs w:val="20"/>
          <w:lang w:val="es-ES_tradnl"/>
        </w:rPr>
        <w:lastRenderedPageBreak/>
        <w:t xml:space="preserve">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00774912" w:rsidRPr="00B35695">
        <w:rPr>
          <w:rFonts w:ascii="Cambria" w:hAnsi="Cambria" w:cs="Calibri"/>
          <w:sz w:val="20"/>
          <w:szCs w:val="20"/>
          <w:lang w:val="es-ES_tradnl"/>
        </w:rPr>
        <w:t>Esta determinación constituye un análisis primario, que no implica prejuzgar sobre el fondo del asunto</w:t>
      </w:r>
      <w:r w:rsidR="00774912" w:rsidRPr="00B35695">
        <w:rPr>
          <w:rStyle w:val="FootnoteReference"/>
          <w:rFonts w:ascii="Cambria" w:hAnsi="Cambria" w:cs="Calibri"/>
          <w:sz w:val="20"/>
          <w:szCs w:val="20"/>
          <w:lang w:val="es-ES_tradnl"/>
        </w:rPr>
        <w:footnoteReference w:id="7"/>
      </w:r>
      <w:r w:rsidR="00774912" w:rsidRPr="00B35695">
        <w:rPr>
          <w:rFonts w:ascii="Cambria" w:hAnsi="Cambria" w:cs="Calibri"/>
          <w:sz w:val="20"/>
          <w:szCs w:val="20"/>
          <w:lang w:val="es-ES_tradnl"/>
        </w:rPr>
        <w:t xml:space="preserve">. </w:t>
      </w:r>
    </w:p>
    <w:p w:rsidR="003239B8" w:rsidRPr="00B35695" w:rsidRDefault="003239B8" w:rsidP="003239B8">
      <w:pPr>
        <w:pStyle w:val="ListParagraph"/>
        <w:spacing w:before="240" w:after="240"/>
        <w:jc w:val="both"/>
        <w:rPr>
          <w:b/>
          <w:sz w:val="20"/>
          <w:szCs w:val="20"/>
          <w:lang w:val="es-ES_tradnl"/>
        </w:rPr>
      </w:pPr>
      <w:r w:rsidRPr="00B35695">
        <w:rPr>
          <w:b/>
          <w:bCs/>
          <w:sz w:val="20"/>
          <w:szCs w:val="20"/>
          <w:lang w:val="es-ES_tradnl"/>
        </w:rPr>
        <w:t>VII.</w:t>
      </w:r>
      <w:r w:rsidRPr="00B35695">
        <w:rPr>
          <w:b/>
          <w:bCs/>
          <w:sz w:val="20"/>
          <w:szCs w:val="20"/>
          <w:lang w:val="es-ES_tradnl"/>
        </w:rPr>
        <w:tab/>
      </w:r>
      <w:r w:rsidR="004A6A54" w:rsidRPr="00B35695">
        <w:rPr>
          <w:b/>
          <w:bCs/>
          <w:sz w:val="20"/>
          <w:szCs w:val="20"/>
          <w:lang w:val="es-ES_tradnl"/>
        </w:rPr>
        <w:t xml:space="preserve">ANÁLISIS DE </w:t>
      </w:r>
      <w:r w:rsidR="00C21FEF" w:rsidRPr="00B35695">
        <w:rPr>
          <w:b/>
          <w:bCs/>
          <w:sz w:val="20"/>
          <w:szCs w:val="20"/>
          <w:lang w:val="es-ES_tradnl"/>
        </w:rPr>
        <w:t>CARACTERIZACIÓN DE LOS HECHOS ALEGADOS</w:t>
      </w:r>
    </w:p>
    <w:p w:rsidR="005178AF" w:rsidRPr="00B35695" w:rsidRDefault="00E4226A" w:rsidP="001F7D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24</w:t>
      </w:r>
      <w:r w:rsidR="001F7D43" w:rsidRPr="00B35695">
        <w:rPr>
          <w:rFonts w:ascii="Cambria" w:hAnsi="Cambria"/>
          <w:sz w:val="20"/>
          <w:szCs w:val="20"/>
          <w:lang w:val="es-ES_tradnl"/>
        </w:rPr>
        <w:t xml:space="preserve">. </w:t>
      </w:r>
      <w:r w:rsidR="009073D5" w:rsidRPr="00B35695">
        <w:rPr>
          <w:rFonts w:ascii="Cambria" w:hAnsi="Cambria"/>
          <w:sz w:val="20"/>
          <w:szCs w:val="20"/>
          <w:lang w:val="es-ES_tradnl"/>
        </w:rPr>
        <w:tab/>
      </w:r>
      <w:r w:rsidR="005178AF" w:rsidRPr="00B35695">
        <w:rPr>
          <w:rFonts w:ascii="Cambria" w:hAnsi="Cambria"/>
          <w:sz w:val="20"/>
          <w:szCs w:val="20"/>
          <w:lang w:val="es-ES_tradnl"/>
        </w:rPr>
        <w:t>El Estado</w:t>
      </w:r>
      <w:r w:rsidR="004E7C19" w:rsidRPr="00B35695">
        <w:rPr>
          <w:rFonts w:ascii="Cambria" w:hAnsi="Cambria"/>
          <w:sz w:val="20"/>
          <w:szCs w:val="20"/>
          <w:lang w:val="es-ES_tradnl"/>
        </w:rPr>
        <w:t xml:space="preserve"> argumenta que en el presente caso el peticionario acude a la CIDH como </w:t>
      </w:r>
      <w:r w:rsidR="005178AF" w:rsidRPr="00B35695">
        <w:rPr>
          <w:rFonts w:ascii="Cambria" w:hAnsi="Cambria"/>
          <w:sz w:val="20"/>
          <w:szCs w:val="20"/>
          <w:lang w:val="es-ES_tradnl"/>
        </w:rPr>
        <w:t>lo que da en llamar</w:t>
      </w:r>
      <w:r w:rsidR="004E7C19" w:rsidRPr="00B35695">
        <w:rPr>
          <w:rFonts w:ascii="Cambria" w:hAnsi="Cambria"/>
          <w:sz w:val="20"/>
          <w:szCs w:val="20"/>
          <w:lang w:val="es-ES_tradnl"/>
        </w:rPr>
        <w:t xml:space="preserve"> </w:t>
      </w:r>
      <w:r w:rsidR="005178AF" w:rsidRPr="00B35695">
        <w:rPr>
          <w:rFonts w:ascii="Cambria" w:hAnsi="Cambria"/>
          <w:sz w:val="20"/>
          <w:szCs w:val="20"/>
          <w:lang w:val="es-ES_tradnl"/>
        </w:rPr>
        <w:t>“</w:t>
      </w:r>
      <w:r w:rsidR="004E7C19" w:rsidRPr="00B35695">
        <w:rPr>
          <w:rFonts w:ascii="Cambria" w:hAnsi="Cambria"/>
          <w:sz w:val="20"/>
          <w:szCs w:val="20"/>
          <w:lang w:val="es-ES_tradnl"/>
        </w:rPr>
        <w:t>una cuarta instancia</w:t>
      </w:r>
      <w:r w:rsidR="005178AF" w:rsidRPr="00B35695">
        <w:rPr>
          <w:rFonts w:ascii="Cambria" w:hAnsi="Cambria"/>
          <w:sz w:val="20"/>
          <w:szCs w:val="20"/>
          <w:lang w:val="es-ES_tradnl"/>
        </w:rPr>
        <w:t>”</w:t>
      </w:r>
      <w:r w:rsidR="004E7C19" w:rsidRPr="00B35695">
        <w:rPr>
          <w:rFonts w:ascii="Cambria" w:hAnsi="Cambria"/>
          <w:sz w:val="20"/>
          <w:szCs w:val="20"/>
          <w:lang w:val="es-ES_tradnl"/>
        </w:rPr>
        <w:t>, porque sus alegatos de fondo sobre las presuntas violaciones de la Convención Americana ya han sido materia de pronunciamientos judiciales en Colombia</w:t>
      </w:r>
      <w:r w:rsidR="00C43604" w:rsidRPr="00B35695">
        <w:rPr>
          <w:rFonts w:ascii="Cambria" w:hAnsi="Cambria"/>
          <w:sz w:val="20"/>
          <w:szCs w:val="20"/>
          <w:lang w:val="es-ES_tradnl"/>
        </w:rPr>
        <w:t>.</w:t>
      </w:r>
      <w:r w:rsidR="004E7C19" w:rsidRPr="00B35695">
        <w:rPr>
          <w:rFonts w:ascii="Cambria" w:hAnsi="Cambria"/>
          <w:sz w:val="20"/>
          <w:szCs w:val="20"/>
          <w:lang w:val="es-ES_tradnl"/>
        </w:rPr>
        <w:t xml:space="preserve"> </w:t>
      </w:r>
      <w:r w:rsidR="00C43604" w:rsidRPr="00B35695">
        <w:rPr>
          <w:rFonts w:ascii="Cambria" w:hAnsi="Cambria"/>
          <w:sz w:val="20"/>
          <w:szCs w:val="20"/>
          <w:lang w:val="es-ES_tradnl"/>
        </w:rPr>
        <w:t>E</w:t>
      </w:r>
      <w:r w:rsidR="004E7C19" w:rsidRPr="00B35695">
        <w:rPr>
          <w:rFonts w:ascii="Cambria" w:hAnsi="Cambria"/>
          <w:sz w:val="20"/>
          <w:szCs w:val="20"/>
          <w:lang w:val="es-ES_tradnl"/>
        </w:rPr>
        <w:t xml:space="preserve">specíficamente, el Estado trae a colación numerosas sentencias de la Corte Constitucional colombiana, en los cuales se ha declarado que el sistema de juzgamiento de funcionarios aforados por la Corte Suprema en única instancia es compatible con la Constitución Política y con las obligaciones internacionales del Estado; dichas sentencias se adoptaron en casos y procesos distintos al del señor </w:t>
      </w:r>
      <w:r w:rsidR="00C43604" w:rsidRPr="00B35695">
        <w:rPr>
          <w:rFonts w:ascii="Cambria" w:hAnsi="Cambria"/>
          <w:sz w:val="20"/>
          <w:szCs w:val="20"/>
          <w:lang w:val="es-ES_tradnl"/>
        </w:rPr>
        <w:t xml:space="preserve">Ramírez </w:t>
      </w:r>
      <w:r w:rsidR="004E7C19" w:rsidRPr="00B35695">
        <w:rPr>
          <w:rFonts w:ascii="Cambria" w:hAnsi="Cambria"/>
          <w:sz w:val="20"/>
          <w:szCs w:val="20"/>
          <w:lang w:val="es-ES_tradnl"/>
        </w:rPr>
        <w:t xml:space="preserve">y configuran precedentes jurisprudenciales vigentes en el país, en términos generales. En esta línea, el Estado argumenta que si la CIDH asume competencia sobre el presente caso, estaría desconociendo los múltiples pronunciamientos definitivos del máximo tribunal constitucional colombiano que ya resolvieron el tema de la compatibilidad entre el referido sistema de juzgamiento de aforados en única instancia, la Constitución Política y la Convención Americana. </w:t>
      </w:r>
    </w:p>
    <w:p w:rsidR="004E7C19" w:rsidRPr="00B35695" w:rsidRDefault="00E4226A" w:rsidP="001F7D4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25</w:t>
      </w:r>
      <w:r w:rsidR="005178AF" w:rsidRPr="00B35695">
        <w:rPr>
          <w:rFonts w:ascii="Cambria" w:hAnsi="Cambria"/>
          <w:sz w:val="20"/>
          <w:szCs w:val="20"/>
          <w:lang w:val="es-ES_tradnl"/>
        </w:rPr>
        <w:t>.</w:t>
      </w:r>
      <w:r w:rsidR="005178AF" w:rsidRPr="00B35695">
        <w:rPr>
          <w:rFonts w:ascii="Cambria" w:hAnsi="Cambria"/>
          <w:sz w:val="20"/>
          <w:szCs w:val="20"/>
          <w:lang w:val="es-ES_tradnl"/>
        </w:rPr>
        <w:tab/>
      </w:r>
      <w:r w:rsidR="004E7C19" w:rsidRPr="00B35695">
        <w:rPr>
          <w:rFonts w:ascii="Cambria" w:hAnsi="Cambria"/>
          <w:sz w:val="20"/>
          <w:szCs w:val="20"/>
          <w:lang w:val="es-ES_tradnl"/>
        </w:rPr>
        <w:t xml:space="preserve">Sin embargo, </w:t>
      </w:r>
      <w:r w:rsidR="005178AF" w:rsidRPr="00B35695">
        <w:rPr>
          <w:rFonts w:ascii="Cambria" w:hAnsi="Cambria"/>
          <w:sz w:val="20"/>
          <w:szCs w:val="20"/>
          <w:lang w:val="es-ES_tradnl"/>
        </w:rPr>
        <w:t>e</w:t>
      </w:r>
      <w:r w:rsidR="004E7C19" w:rsidRPr="00B35695">
        <w:rPr>
          <w:rFonts w:ascii="Cambria" w:hAnsi="Cambria"/>
          <w:sz w:val="20"/>
          <w:szCs w:val="20"/>
          <w:lang w:val="es-ES_tradnl"/>
        </w:rPr>
        <w:t xml:space="preserve">l hecho de que los asuntos jurídicos de fondo que se plantean a la CIDH ya hayan sido abordados por sentencias judiciales nacionales no enerva de ninguna manera la competencia de la CIDH para </w:t>
      </w:r>
      <w:r w:rsidR="005178AF" w:rsidRPr="00B35695">
        <w:rPr>
          <w:rFonts w:ascii="Cambria" w:hAnsi="Cambria"/>
          <w:sz w:val="20"/>
          <w:szCs w:val="20"/>
          <w:lang w:val="es-ES_tradnl"/>
        </w:rPr>
        <w:t xml:space="preserve">conocer de una petición. </w:t>
      </w:r>
      <w:r w:rsidR="004E7C19" w:rsidRPr="00B35695">
        <w:rPr>
          <w:rFonts w:ascii="Cambria" w:hAnsi="Cambria"/>
          <w:sz w:val="20"/>
          <w:szCs w:val="20"/>
          <w:lang w:val="es-ES_tradnl"/>
        </w:rPr>
        <w:t>Si la competencia de la CIDH resultara obstruida por el hecho de que los temas propios del ámbito de los derechos humanos ya han sido materia de algún pronunciamiento judicial en sede nacional, o porque existe alguna jurisprudencia doméstica sobre los problemas jurídicos planteados, sería imposible que la Comisión cumpliera su función propia, puesto que es difícil identificar un tema de derechos humanos que no haya sido ya materia de algún tipo de pronunciamiento judicial a nivel nacional.</w:t>
      </w:r>
      <w:r w:rsidR="005178AF" w:rsidRPr="00B35695">
        <w:rPr>
          <w:rFonts w:ascii="Cambria" w:hAnsi="Cambria"/>
          <w:sz w:val="20"/>
          <w:szCs w:val="20"/>
          <w:lang w:val="es-ES_tradnl"/>
        </w:rPr>
        <w:t xml:space="preserve"> </w:t>
      </w:r>
      <w:r w:rsidR="00680EFA" w:rsidRPr="00B35695">
        <w:rPr>
          <w:rFonts w:ascii="Cambria" w:hAnsi="Cambria"/>
          <w:sz w:val="20"/>
          <w:szCs w:val="20"/>
          <w:lang w:val="es-ES_tradnl"/>
        </w:rPr>
        <w:t>A</w:t>
      </w:r>
      <w:r w:rsidR="005178AF" w:rsidRPr="00B35695">
        <w:rPr>
          <w:rFonts w:ascii="Cambria" w:hAnsi="Cambria"/>
          <w:sz w:val="20"/>
          <w:szCs w:val="20"/>
          <w:lang w:val="es-ES_tradnl"/>
        </w:rPr>
        <w:t>demás</w:t>
      </w:r>
      <w:r w:rsidR="00680EFA" w:rsidRPr="00B35695">
        <w:rPr>
          <w:rFonts w:ascii="Cambria" w:hAnsi="Cambria"/>
          <w:sz w:val="20"/>
          <w:szCs w:val="20"/>
          <w:lang w:val="es-ES_tradnl"/>
        </w:rPr>
        <w:t>,</w:t>
      </w:r>
      <w:r w:rsidR="005178AF" w:rsidRPr="00B35695">
        <w:rPr>
          <w:rFonts w:ascii="Cambria" w:hAnsi="Cambria"/>
          <w:sz w:val="20"/>
          <w:szCs w:val="20"/>
          <w:lang w:val="es-ES_tradnl"/>
        </w:rPr>
        <w:t xml:space="preserve"> porque el agotamiento de los recursos internos es el principal requisito de admisibilidad de una petición.</w:t>
      </w:r>
      <w:r w:rsidR="004E7C19" w:rsidRPr="00B35695">
        <w:rPr>
          <w:rFonts w:ascii="Cambria" w:hAnsi="Cambria"/>
          <w:sz w:val="20"/>
          <w:szCs w:val="20"/>
          <w:lang w:val="es-ES_tradnl"/>
        </w:rPr>
        <w:t xml:space="preserve"> </w:t>
      </w:r>
    </w:p>
    <w:p w:rsidR="00E4226A" w:rsidRPr="00B35695" w:rsidRDefault="00E4226A" w:rsidP="00E42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26. </w:t>
      </w:r>
      <w:r w:rsidRPr="00B35695">
        <w:rPr>
          <w:rFonts w:ascii="Cambria" w:hAnsi="Cambria"/>
          <w:sz w:val="20"/>
          <w:szCs w:val="20"/>
          <w:lang w:val="es-ES_tradnl"/>
        </w:rPr>
        <w:tab/>
        <w:t>La Comisión reitera que dentro del marco de su mandato sí es competente para declarar admisible una petición y fallar sobre el fondo cuando ésta se refiere a procesos judiciales internos que podrían ser violatorios de derechos garantizados por la Convención</w:t>
      </w:r>
      <w:r w:rsidRPr="00B35695">
        <w:rPr>
          <w:rStyle w:val="FootnoteReference"/>
          <w:rFonts w:ascii="Cambria" w:hAnsi="Cambria"/>
          <w:sz w:val="20"/>
          <w:szCs w:val="20"/>
          <w:lang w:val="es-ES_tradnl"/>
        </w:rPr>
        <w:footnoteReference w:id="8"/>
      </w:r>
      <w:r w:rsidRPr="00B35695">
        <w:rPr>
          <w:rFonts w:ascii="Cambria" w:hAnsi="Cambria"/>
          <w:sz w:val="20"/>
          <w:szCs w:val="20"/>
          <w:lang w:val="es-ES_tradnl"/>
        </w:rPr>
        <w:t>. Por esta razón, los alegatos de la parte peticionaria que controvierten el sustento probatorio de la condena emitida en contra del señor Ramírez por la Corte Suprema de Justicia no serán admitidos, ya que mediante este reclamo en particular se pretende que la CIDH entre a revisar el contenido, el sentido, la argumentación y la valoración probatoria efectuada por la Sala Penal del máximo tribunal de la justicia penal colombiana, lo cual es improcedente.</w:t>
      </w:r>
    </w:p>
    <w:p w:rsidR="004E7C19" w:rsidRPr="00B35695" w:rsidRDefault="001F7D43" w:rsidP="005178A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27. </w:t>
      </w:r>
      <w:r w:rsidR="005178AF" w:rsidRPr="00B35695">
        <w:rPr>
          <w:rFonts w:ascii="Cambria" w:hAnsi="Cambria"/>
          <w:sz w:val="20"/>
          <w:szCs w:val="20"/>
          <w:lang w:val="es-ES_tradnl"/>
        </w:rPr>
        <w:tab/>
      </w:r>
      <w:r w:rsidR="004E7C19" w:rsidRPr="00B35695">
        <w:rPr>
          <w:rFonts w:ascii="Cambria" w:hAnsi="Cambria"/>
          <w:sz w:val="20"/>
          <w:szCs w:val="20"/>
          <w:lang w:val="es-ES_tradnl"/>
        </w:rPr>
        <w:t xml:space="preserve">Frente al alegato de la parte peticionaria </w:t>
      </w:r>
      <w:r w:rsidR="00E4226A" w:rsidRPr="00B35695">
        <w:rPr>
          <w:rFonts w:ascii="Cambria" w:hAnsi="Cambria"/>
          <w:sz w:val="20"/>
          <w:szCs w:val="20"/>
          <w:lang w:val="es-ES_tradnl"/>
        </w:rPr>
        <w:t>de</w:t>
      </w:r>
      <w:r w:rsidR="004E7C19" w:rsidRPr="00B35695">
        <w:rPr>
          <w:rFonts w:ascii="Cambria" w:hAnsi="Cambria"/>
          <w:sz w:val="20"/>
          <w:szCs w:val="20"/>
          <w:lang w:val="es-ES_tradnl"/>
        </w:rPr>
        <w:t xml:space="preserve"> que se vulneró el artículo 9 de la Convención Americana porque la Corte Suprema de Justicia </w:t>
      </w:r>
      <w:r w:rsidR="00E4226A" w:rsidRPr="00B35695">
        <w:rPr>
          <w:rFonts w:ascii="Cambria" w:hAnsi="Cambria"/>
          <w:sz w:val="20"/>
          <w:szCs w:val="20"/>
          <w:lang w:val="es-ES_tradnl"/>
        </w:rPr>
        <w:t>aplicó retroactivamente</w:t>
      </w:r>
      <w:r w:rsidR="004E7C19" w:rsidRPr="00B35695">
        <w:rPr>
          <w:rFonts w:ascii="Cambria" w:hAnsi="Cambria"/>
          <w:sz w:val="20"/>
          <w:szCs w:val="20"/>
          <w:lang w:val="es-ES_tradnl"/>
        </w:rPr>
        <w:t xml:space="preserve"> una postura jurisprudencial que asumió con respecto a su propia competencia para conocer de procesos penales contra miembros o </w:t>
      </w:r>
      <w:r w:rsidR="001E6058" w:rsidRPr="00B35695">
        <w:rPr>
          <w:rFonts w:ascii="Cambria" w:hAnsi="Cambria"/>
          <w:sz w:val="20"/>
          <w:szCs w:val="20"/>
          <w:lang w:val="es-ES_tradnl"/>
        </w:rPr>
        <w:t>ex miembros</w:t>
      </w:r>
      <w:r w:rsidR="004E7C19" w:rsidRPr="00B35695">
        <w:rPr>
          <w:rFonts w:ascii="Cambria" w:hAnsi="Cambria"/>
          <w:sz w:val="20"/>
          <w:szCs w:val="20"/>
          <w:lang w:val="es-ES_tradnl"/>
        </w:rPr>
        <w:t xml:space="preserve"> del Congreso de la República, la CIDH debe expresar su desacuerdo, ya que no es ese el sentido del principio de retroactividad plasmado en la Convención. Según lo ha precisado con claridad la Corte Interamericana, el principio de legalidad y de retroactividad únicamente es aplicable a las disposiciones legales de tipo sustantivo, y no a las disposiciones de índole procesal. En efecto, en su sentencia sobre el caso </w:t>
      </w:r>
      <w:proofErr w:type="spellStart"/>
      <w:r w:rsidR="004E7C19" w:rsidRPr="00B35695">
        <w:rPr>
          <w:rFonts w:ascii="Cambria" w:hAnsi="Cambria"/>
          <w:sz w:val="20"/>
          <w:szCs w:val="20"/>
          <w:lang w:val="es-ES_tradnl"/>
        </w:rPr>
        <w:t>Liakat</w:t>
      </w:r>
      <w:proofErr w:type="spellEnd"/>
      <w:r w:rsidR="004E7C19" w:rsidRPr="00B35695">
        <w:rPr>
          <w:rFonts w:ascii="Cambria" w:hAnsi="Cambria"/>
          <w:sz w:val="20"/>
          <w:szCs w:val="20"/>
          <w:lang w:val="es-ES_tradnl"/>
        </w:rPr>
        <w:t xml:space="preserve"> Ali </w:t>
      </w:r>
      <w:proofErr w:type="spellStart"/>
      <w:r w:rsidR="004E7C19" w:rsidRPr="00B35695">
        <w:rPr>
          <w:rFonts w:ascii="Cambria" w:hAnsi="Cambria"/>
          <w:sz w:val="20"/>
          <w:szCs w:val="20"/>
          <w:lang w:val="es-ES_tradnl"/>
        </w:rPr>
        <w:t>Alibux</w:t>
      </w:r>
      <w:proofErr w:type="spellEnd"/>
      <w:r w:rsidR="004E7C19" w:rsidRPr="00B35695">
        <w:rPr>
          <w:rFonts w:ascii="Cambria" w:hAnsi="Cambria"/>
          <w:sz w:val="20"/>
          <w:szCs w:val="20"/>
          <w:lang w:val="es-ES_tradnl"/>
        </w:rPr>
        <w:t xml:space="preserve"> v. Surinam, en el cual se le planteó a la Corte un problema jurídico consistente en la posible aplicación retroactiva de una legislación en concreto, el tribunal determinó que el artículo 9 de la Convención Americana únicamente es aplicable a aquellas normas que, independientemente de su denominación o clasificación formal, </w:t>
      </w:r>
      <w:r w:rsidR="004E7C19" w:rsidRPr="00B35695">
        <w:rPr>
          <w:rFonts w:ascii="Cambria" w:hAnsi="Cambria"/>
          <w:sz w:val="20"/>
          <w:szCs w:val="20"/>
          <w:lang w:val="es-ES_tradnl"/>
        </w:rPr>
        <w:lastRenderedPageBreak/>
        <w:t xml:space="preserve">contengan reglas de derecho penal material, o sea aquellas que tienen incidencia sobre los tipos penales o sobre las penas aplicadas; específicamente, la Corte Interamericana explicó: </w:t>
      </w:r>
    </w:p>
    <w:p w:rsidR="004E7C19" w:rsidRPr="00B35695" w:rsidRDefault="004E7C19" w:rsidP="004E7C19">
      <w:pPr>
        <w:spacing w:before="88"/>
        <w:ind w:left="567" w:right="571"/>
        <w:jc w:val="both"/>
        <w:rPr>
          <w:rFonts w:ascii="Cambria" w:hAnsi="Cambria"/>
          <w:i/>
          <w:sz w:val="20"/>
          <w:szCs w:val="20"/>
          <w:lang w:val="es-ES_tradnl"/>
        </w:rPr>
      </w:pPr>
      <w:proofErr w:type="gramStart"/>
      <w:r w:rsidRPr="00B35695">
        <w:rPr>
          <w:rFonts w:ascii="Cambria" w:hAnsi="Cambria"/>
          <w:sz w:val="20"/>
          <w:szCs w:val="20"/>
          <w:lang w:val="es-ES_tradnl"/>
        </w:rPr>
        <w:t>la</w:t>
      </w:r>
      <w:proofErr w:type="gramEnd"/>
      <w:r w:rsidRPr="00B35695">
        <w:rPr>
          <w:rFonts w:ascii="Cambria" w:hAnsi="Cambria"/>
          <w:sz w:val="20"/>
          <w:szCs w:val="20"/>
          <w:lang w:val="es-ES_tradnl"/>
        </w:rPr>
        <w:t xml:space="preserve"> aplicación de normas que regulan el procedimiento de manera inmediata, no vulnera el artículo 9 convencional, debido a que se toma como referencia el momento en el que tiene lugar el acto procesal y no aquél de la comisión del ilícito penal, a diferencia de las normas que</w:t>
      </w:r>
      <w:r w:rsidRPr="00B35695">
        <w:rPr>
          <w:rFonts w:ascii="Cambria" w:hAnsi="Cambria"/>
          <w:spacing w:val="-4"/>
          <w:sz w:val="20"/>
          <w:szCs w:val="20"/>
          <w:lang w:val="es-ES_tradnl"/>
        </w:rPr>
        <w:t xml:space="preserve"> </w:t>
      </w:r>
      <w:r w:rsidRPr="00B35695">
        <w:rPr>
          <w:rFonts w:ascii="Cambria" w:hAnsi="Cambria"/>
          <w:sz w:val="20"/>
          <w:szCs w:val="20"/>
          <w:lang w:val="es-ES_tradnl"/>
        </w:rPr>
        <w:t>establecen</w:t>
      </w:r>
      <w:r w:rsidRPr="00B35695">
        <w:rPr>
          <w:rFonts w:ascii="Cambria" w:hAnsi="Cambria"/>
          <w:spacing w:val="-4"/>
          <w:sz w:val="20"/>
          <w:szCs w:val="20"/>
          <w:lang w:val="es-ES_tradnl"/>
        </w:rPr>
        <w:t xml:space="preserve"> </w:t>
      </w:r>
      <w:r w:rsidRPr="00B35695">
        <w:rPr>
          <w:rFonts w:ascii="Cambria" w:hAnsi="Cambria"/>
          <w:sz w:val="20"/>
          <w:szCs w:val="20"/>
          <w:lang w:val="es-ES_tradnl"/>
        </w:rPr>
        <w:t>delitos</w:t>
      </w:r>
      <w:r w:rsidRPr="00B35695">
        <w:rPr>
          <w:rFonts w:ascii="Cambria" w:hAnsi="Cambria"/>
          <w:spacing w:val="-4"/>
          <w:sz w:val="20"/>
          <w:szCs w:val="20"/>
          <w:lang w:val="es-ES_tradnl"/>
        </w:rPr>
        <w:t xml:space="preserve"> </w:t>
      </w:r>
      <w:r w:rsidRPr="00B35695">
        <w:rPr>
          <w:rFonts w:ascii="Cambria" w:hAnsi="Cambria"/>
          <w:sz w:val="20"/>
          <w:szCs w:val="20"/>
          <w:lang w:val="es-ES_tradnl"/>
        </w:rPr>
        <w:t>y</w:t>
      </w:r>
      <w:r w:rsidRPr="00B35695">
        <w:rPr>
          <w:rFonts w:ascii="Cambria" w:hAnsi="Cambria"/>
          <w:spacing w:val="-3"/>
          <w:sz w:val="20"/>
          <w:szCs w:val="20"/>
          <w:lang w:val="es-ES_tradnl"/>
        </w:rPr>
        <w:t xml:space="preserve"> </w:t>
      </w:r>
      <w:r w:rsidRPr="00B35695">
        <w:rPr>
          <w:rFonts w:ascii="Cambria" w:hAnsi="Cambria"/>
          <w:sz w:val="20"/>
          <w:szCs w:val="20"/>
          <w:lang w:val="es-ES_tradnl"/>
        </w:rPr>
        <w:t>penas</w:t>
      </w:r>
      <w:r w:rsidRPr="00B35695">
        <w:rPr>
          <w:rFonts w:ascii="Cambria" w:hAnsi="Cambria"/>
          <w:spacing w:val="-3"/>
          <w:sz w:val="20"/>
          <w:szCs w:val="20"/>
          <w:lang w:val="es-ES_tradnl"/>
        </w:rPr>
        <w:t xml:space="preserve"> </w:t>
      </w:r>
      <w:r w:rsidRPr="00B35695">
        <w:rPr>
          <w:rFonts w:ascii="Cambria" w:hAnsi="Cambria"/>
          <w:sz w:val="20"/>
          <w:szCs w:val="20"/>
          <w:lang w:val="es-ES_tradnl"/>
        </w:rPr>
        <w:t>(sustantivas),</w:t>
      </w:r>
      <w:r w:rsidRPr="00B35695">
        <w:rPr>
          <w:rFonts w:ascii="Cambria" w:hAnsi="Cambria"/>
          <w:spacing w:val="-3"/>
          <w:sz w:val="20"/>
          <w:szCs w:val="20"/>
          <w:lang w:val="es-ES_tradnl"/>
        </w:rPr>
        <w:t xml:space="preserve"> </w:t>
      </w:r>
      <w:r w:rsidRPr="00B35695">
        <w:rPr>
          <w:rFonts w:ascii="Cambria" w:hAnsi="Cambria"/>
          <w:sz w:val="20"/>
          <w:szCs w:val="20"/>
          <w:lang w:val="es-ES_tradnl"/>
        </w:rPr>
        <w:t>en</w:t>
      </w:r>
      <w:r w:rsidRPr="00B35695">
        <w:rPr>
          <w:rFonts w:ascii="Cambria" w:hAnsi="Cambria"/>
          <w:spacing w:val="-3"/>
          <w:sz w:val="20"/>
          <w:szCs w:val="20"/>
          <w:lang w:val="es-ES_tradnl"/>
        </w:rPr>
        <w:t xml:space="preserve"> </w:t>
      </w:r>
      <w:r w:rsidRPr="00B35695">
        <w:rPr>
          <w:rFonts w:ascii="Cambria" w:hAnsi="Cambria"/>
          <w:sz w:val="20"/>
          <w:szCs w:val="20"/>
          <w:lang w:val="es-ES_tradnl"/>
        </w:rPr>
        <w:t>donde</w:t>
      </w:r>
      <w:r w:rsidRPr="00B35695">
        <w:rPr>
          <w:rFonts w:ascii="Cambria" w:hAnsi="Cambria"/>
          <w:spacing w:val="-3"/>
          <w:sz w:val="20"/>
          <w:szCs w:val="20"/>
          <w:lang w:val="es-ES_tradnl"/>
        </w:rPr>
        <w:t xml:space="preserve"> </w:t>
      </w:r>
      <w:r w:rsidRPr="00B35695">
        <w:rPr>
          <w:rFonts w:ascii="Cambria" w:hAnsi="Cambria"/>
          <w:sz w:val="20"/>
          <w:szCs w:val="20"/>
          <w:lang w:val="es-ES_tradnl"/>
        </w:rPr>
        <w:t>el</w:t>
      </w:r>
      <w:r w:rsidRPr="00B35695">
        <w:rPr>
          <w:rFonts w:ascii="Cambria" w:hAnsi="Cambria"/>
          <w:spacing w:val="-3"/>
          <w:sz w:val="20"/>
          <w:szCs w:val="20"/>
          <w:lang w:val="es-ES_tradnl"/>
        </w:rPr>
        <w:t xml:space="preserve"> </w:t>
      </w:r>
      <w:r w:rsidRPr="00B35695">
        <w:rPr>
          <w:rFonts w:ascii="Cambria" w:hAnsi="Cambria"/>
          <w:sz w:val="20"/>
          <w:szCs w:val="20"/>
          <w:lang w:val="es-ES_tradnl"/>
        </w:rPr>
        <w:t>patrón</w:t>
      </w:r>
      <w:r w:rsidRPr="00B35695">
        <w:rPr>
          <w:rFonts w:ascii="Cambria" w:hAnsi="Cambria"/>
          <w:spacing w:val="-3"/>
          <w:sz w:val="20"/>
          <w:szCs w:val="20"/>
          <w:lang w:val="es-ES_tradnl"/>
        </w:rPr>
        <w:t xml:space="preserve"> </w:t>
      </w:r>
      <w:r w:rsidRPr="00B35695">
        <w:rPr>
          <w:rFonts w:ascii="Cambria" w:hAnsi="Cambria"/>
          <w:sz w:val="20"/>
          <w:szCs w:val="20"/>
          <w:lang w:val="es-ES_tradnl"/>
        </w:rPr>
        <w:t>de</w:t>
      </w:r>
      <w:r w:rsidRPr="00B35695">
        <w:rPr>
          <w:rFonts w:ascii="Cambria" w:hAnsi="Cambria"/>
          <w:spacing w:val="-3"/>
          <w:sz w:val="20"/>
          <w:szCs w:val="20"/>
          <w:lang w:val="es-ES_tradnl"/>
        </w:rPr>
        <w:t xml:space="preserve"> </w:t>
      </w:r>
      <w:r w:rsidRPr="00B35695">
        <w:rPr>
          <w:rFonts w:ascii="Cambria" w:hAnsi="Cambria"/>
          <w:sz w:val="20"/>
          <w:szCs w:val="20"/>
          <w:lang w:val="es-ES_tradnl"/>
        </w:rPr>
        <w:t>aplicación</w:t>
      </w:r>
      <w:r w:rsidRPr="00B35695">
        <w:rPr>
          <w:rFonts w:ascii="Cambria" w:hAnsi="Cambria"/>
          <w:spacing w:val="-3"/>
          <w:sz w:val="20"/>
          <w:szCs w:val="20"/>
          <w:lang w:val="es-ES_tradnl"/>
        </w:rPr>
        <w:t xml:space="preserve"> </w:t>
      </w:r>
      <w:r w:rsidRPr="00B35695">
        <w:rPr>
          <w:rFonts w:ascii="Cambria" w:hAnsi="Cambria"/>
          <w:sz w:val="20"/>
          <w:szCs w:val="20"/>
          <w:lang w:val="es-ES_tradnl"/>
        </w:rPr>
        <w:t>es</w:t>
      </w:r>
      <w:r w:rsidRPr="00B35695">
        <w:rPr>
          <w:rFonts w:ascii="Cambria" w:hAnsi="Cambria"/>
          <w:spacing w:val="-3"/>
          <w:sz w:val="20"/>
          <w:szCs w:val="20"/>
          <w:lang w:val="es-ES_tradnl"/>
        </w:rPr>
        <w:t xml:space="preserve"> </w:t>
      </w:r>
      <w:r w:rsidRPr="00B35695">
        <w:rPr>
          <w:rFonts w:ascii="Cambria" w:hAnsi="Cambria"/>
          <w:sz w:val="20"/>
          <w:szCs w:val="20"/>
          <w:lang w:val="es-ES_tradnl"/>
        </w:rPr>
        <w:t>justamente,</w:t>
      </w:r>
      <w:r w:rsidRPr="00B35695">
        <w:rPr>
          <w:rFonts w:ascii="Cambria" w:hAnsi="Cambria"/>
          <w:spacing w:val="-4"/>
          <w:sz w:val="20"/>
          <w:szCs w:val="20"/>
          <w:lang w:val="es-ES_tradnl"/>
        </w:rPr>
        <w:t xml:space="preserve"> </w:t>
      </w:r>
      <w:r w:rsidRPr="00B35695">
        <w:rPr>
          <w:rFonts w:ascii="Cambria" w:hAnsi="Cambria"/>
          <w:sz w:val="20"/>
          <w:szCs w:val="20"/>
          <w:lang w:val="es-ES_tradnl"/>
        </w:rPr>
        <w:t>el momento</w:t>
      </w:r>
      <w:r w:rsidRPr="00B35695">
        <w:rPr>
          <w:rFonts w:ascii="Cambria" w:hAnsi="Cambria"/>
          <w:spacing w:val="-9"/>
          <w:sz w:val="20"/>
          <w:szCs w:val="20"/>
          <w:lang w:val="es-ES_tradnl"/>
        </w:rPr>
        <w:t xml:space="preserve"> </w:t>
      </w:r>
      <w:r w:rsidRPr="00B35695">
        <w:rPr>
          <w:rFonts w:ascii="Cambria" w:hAnsi="Cambria"/>
          <w:sz w:val="20"/>
          <w:szCs w:val="20"/>
          <w:lang w:val="es-ES_tradnl"/>
        </w:rPr>
        <w:t>de</w:t>
      </w:r>
      <w:r w:rsidRPr="00B35695">
        <w:rPr>
          <w:rFonts w:ascii="Cambria" w:hAnsi="Cambria"/>
          <w:spacing w:val="-8"/>
          <w:sz w:val="20"/>
          <w:szCs w:val="20"/>
          <w:lang w:val="es-ES_tradnl"/>
        </w:rPr>
        <w:t xml:space="preserve"> </w:t>
      </w:r>
      <w:r w:rsidRPr="00B35695">
        <w:rPr>
          <w:rFonts w:ascii="Cambria" w:hAnsi="Cambria"/>
          <w:sz w:val="20"/>
          <w:szCs w:val="20"/>
          <w:lang w:val="es-ES_tradnl"/>
        </w:rPr>
        <w:t>la</w:t>
      </w:r>
      <w:r w:rsidRPr="00B35695">
        <w:rPr>
          <w:rFonts w:ascii="Cambria" w:hAnsi="Cambria"/>
          <w:spacing w:val="-8"/>
          <w:sz w:val="20"/>
          <w:szCs w:val="20"/>
          <w:lang w:val="es-ES_tradnl"/>
        </w:rPr>
        <w:t xml:space="preserve"> </w:t>
      </w:r>
      <w:r w:rsidRPr="00B35695">
        <w:rPr>
          <w:rFonts w:ascii="Cambria" w:hAnsi="Cambria"/>
          <w:sz w:val="20"/>
          <w:szCs w:val="20"/>
          <w:lang w:val="es-ES_tradnl"/>
        </w:rPr>
        <w:t>comisión</w:t>
      </w:r>
      <w:r w:rsidRPr="00B35695">
        <w:rPr>
          <w:rFonts w:ascii="Cambria" w:hAnsi="Cambria"/>
          <w:spacing w:val="-8"/>
          <w:sz w:val="20"/>
          <w:szCs w:val="20"/>
          <w:lang w:val="es-ES_tradnl"/>
        </w:rPr>
        <w:t xml:space="preserve"> </w:t>
      </w:r>
      <w:r w:rsidRPr="00B35695">
        <w:rPr>
          <w:rFonts w:ascii="Cambria" w:hAnsi="Cambria"/>
          <w:sz w:val="20"/>
          <w:szCs w:val="20"/>
          <w:lang w:val="es-ES_tradnl"/>
        </w:rPr>
        <w:t>del</w:t>
      </w:r>
      <w:r w:rsidRPr="00B35695">
        <w:rPr>
          <w:rFonts w:ascii="Cambria" w:hAnsi="Cambria"/>
          <w:spacing w:val="-8"/>
          <w:sz w:val="20"/>
          <w:szCs w:val="20"/>
          <w:lang w:val="es-ES_tradnl"/>
        </w:rPr>
        <w:t xml:space="preserve"> </w:t>
      </w:r>
      <w:r w:rsidRPr="00B35695">
        <w:rPr>
          <w:rFonts w:ascii="Cambria" w:hAnsi="Cambria"/>
          <w:sz w:val="20"/>
          <w:szCs w:val="20"/>
          <w:lang w:val="es-ES_tradnl"/>
        </w:rPr>
        <w:t>delito.</w:t>
      </w:r>
      <w:r w:rsidRPr="00B35695">
        <w:rPr>
          <w:rFonts w:ascii="Cambria" w:hAnsi="Cambria"/>
          <w:spacing w:val="-8"/>
          <w:sz w:val="20"/>
          <w:szCs w:val="20"/>
          <w:lang w:val="es-ES_tradnl"/>
        </w:rPr>
        <w:t xml:space="preserve"> </w:t>
      </w:r>
      <w:r w:rsidRPr="00B35695">
        <w:rPr>
          <w:rFonts w:ascii="Cambria" w:hAnsi="Cambria"/>
          <w:sz w:val="20"/>
          <w:szCs w:val="20"/>
          <w:lang w:val="es-ES_tradnl"/>
        </w:rPr>
        <w:t>Es</w:t>
      </w:r>
      <w:r w:rsidRPr="00B35695">
        <w:rPr>
          <w:rFonts w:ascii="Cambria" w:hAnsi="Cambria"/>
          <w:spacing w:val="-8"/>
          <w:sz w:val="20"/>
          <w:szCs w:val="20"/>
          <w:lang w:val="es-ES_tradnl"/>
        </w:rPr>
        <w:t xml:space="preserve"> </w:t>
      </w:r>
      <w:r w:rsidRPr="00B35695">
        <w:rPr>
          <w:rFonts w:ascii="Cambria" w:hAnsi="Cambria"/>
          <w:sz w:val="20"/>
          <w:szCs w:val="20"/>
          <w:lang w:val="es-ES_tradnl"/>
        </w:rPr>
        <w:t>decir,</w:t>
      </w:r>
      <w:r w:rsidRPr="00B35695">
        <w:rPr>
          <w:rFonts w:ascii="Cambria" w:hAnsi="Cambria"/>
          <w:spacing w:val="-8"/>
          <w:sz w:val="20"/>
          <w:szCs w:val="20"/>
          <w:lang w:val="es-ES_tradnl"/>
        </w:rPr>
        <w:t xml:space="preserve"> </w:t>
      </w:r>
      <w:r w:rsidRPr="00B35695">
        <w:rPr>
          <w:rFonts w:ascii="Cambria" w:hAnsi="Cambria"/>
          <w:i/>
          <w:sz w:val="20"/>
          <w:szCs w:val="20"/>
          <w:lang w:val="es-ES_tradnl"/>
        </w:rPr>
        <w:t>los</w:t>
      </w:r>
      <w:r w:rsidRPr="00B35695">
        <w:rPr>
          <w:rFonts w:ascii="Cambria" w:hAnsi="Cambria"/>
          <w:i/>
          <w:spacing w:val="-8"/>
          <w:sz w:val="20"/>
          <w:szCs w:val="20"/>
          <w:lang w:val="es-ES_tradnl"/>
        </w:rPr>
        <w:t xml:space="preserve"> </w:t>
      </w:r>
      <w:r w:rsidRPr="00B35695">
        <w:rPr>
          <w:rFonts w:ascii="Cambria" w:hAnsi="Cambria"/>
          <w:i/>
          <w:sz w:val="20"/>
          <w:szCs w:val="20"/>
          <w:lang w:val="es-ES_tradnl"/>
        </w:rPr>
        <w:t>actos</w:t>
      </w:r>
      <w:r w:rsidRPr="00B35695">
        <w:rPr>
          <w:rFonts w:ascii="Cambria" w:hAnsi="Cambria"/>
          <w:i/>
          <w:spacing w:val="-8"/>
          <w:sz w:val="20"/>
          <w:szCs w:val="20"/>
          <w:lang w:val="es-ES_tradnl"/>
        </w:rPr>
        <w:t xml:space="preserve"> </w:t>
      </w:r>
      <w:r w:rsidRPr="00B35695">
        <w:rPr>
          <w:rFonts w:ascii="Cambria" w:hAnsi="Cambria"/>
          <w:i/>
          <w:sz w:val="20"/>
          <w:szCs w:val="20"/>
          <w:lang w:val="es-ES_tradnl"/>
        </w:rPr>
        <w:t>que</w:t>
      </w:r>
      <w:r w:rsidRPr="00B35695">
        <w:rPr>
          <w:rFonts w:ascii="Cambria" w:hAnsi="Cambria"/>
          <w:i/>
          <w:spacing w:val="-8"/>
          <w:sz w:val="20"/>
          <w:szCs w:val="20"/>
          <w:lang w:val="es-ES_tradnl"/>
        </w:rPr>
        <w:t xml:space="preserve"> </w:t>
      </w:r>
      <w:r w:rsidRPr="00B35695">
        <w:rPr>
          <w:rFonts w:ascii="Cambria" w:hAnsi="Cambria"/>
          <w:i/>
          <w:sz w:val="20"/>
          <w:szCs w:val="20"/>
          <w:lang w:val="es-ES_tradnl"/>
        </w:rPr>
        <w:t>conforman</w:t>
      </w:r>
      <w:r w:rsidRPr="00B35695">
        <w:rPr>
          <w:rFonts w:ascii="Cambria" w:hAnsi="Cambria"/>
          <w:i/>
          <w:spacing w:val="-8"/>
          <w:sz w:val="20"/>
          <w:szCs w:val="20"/>
          <w:lang w:val="es-ES_tradnl"/>
        </w:rPr>
        <w:t xml:space="preserve"> </w:t>
      </w:r>
      <w:r w:rsidRPr="00B35695">
        <w:rPr>
          <w:rFonts w:ascii="Cambria" w:hAnsi="Cambria"/>
          <w:i/>
          <w:sz w:val="20"/>
          <w:szCs w:val="20"/>
          <w:lang w:val="es-ES_tradnl"/>
        </w:rPr>
        <w:t>el</w:t>
      </w:r>
      <w:r w:rsidRPr="00B35695">
        <w:rPr>
          <w:rFonts w:ascii="Cambria" w:hAnsi="Cambria"/>
          <w:i/>
          <w:spacing w:val="-8"/>
          <w:sz w:val="20"/>
          <w:szCs w:val="20"/>
          <w:lang w:val="es-ES_tradnl"/>
        </w:rPr>
        <w:t xml:space="preserve"> </w:t>
      </w:r>
      <w:r w:rsidRPr="00B35695">
        <w:rPr>
          <w:rFonts w:ascii="Cambria" w:hAnsi="Cambria"/>
          <w:i/>
          <w:sz w:val="20"/>
          <w:szCs w:val="20"/>
          <w:lang w:val="es-ES_tradnl"/>
        </w:rPr>
        <w:t>procedimiento</w:t>
      </w:r>
      <w:r w:rsidRPr="00B35695">
        <w:rPr>
          <w:rFonts w:ascii="Cambria" w:hAnsi="Cambria"/>
          <w:i/>
          <w:spacing w:val="-8"/>
          <w:sz w:val="20"/>
          <w:szCs w:val="20"/>
          <w:lang w:val="es-ES_tradnl"/>
        </w:rPr>
        <w:t xml:space="preserve"> </w:t>
      </w:r>
      <w:r w:rsidRPr="00B35695">
        <w:rPr>
          <w:rFonts w:ascii="Cambria" w:hAnsi="Cambria"/>
          <w:i/>
          <w:sz w:val="20"/>
          <w:szCs w:val="20"/>
          <w:lang w:val="es-ES_tradnl"/>
        </w:rPr>
        <w:t>se</w:t>
      </w:r>
      <w:r w:rsidRPr="00B35695">
        <w:rPr>
          <w:rFonts w:ascii="Cambria" w:hAnsi="Cambria"/>
          <w:i/>
          <w:spacing w:val="-8"/>
          <w:sz w:val="20"/>
          <w:szCs w:val="20"/>
          <w:lang w:val="es-ES_tradnl"/>
        </w:rPr>
        <w:t xml:space="preserve"> </w:t>
      </w:r>
      <w:r w:rsidRPr="00B35695">
        <w:rPr>
          <w:rFonts w:ascii="Cambria" w:hAnsi="Cambria"/>
          <w:i/>
          <w:sz w:val="20"/>
          <w:szCs w:val="20"/>
          <w:lang w:val="es-ES_tradnl"/>
        </w:rPr>
        <w:t xml:space="preserve">agotan de acuerdo a la etapa procesal en que se van originando y se rigen por la norma vigente que los regula </w:t>
      </w:r>
      <w:r w:rsidRPr="00B35695">
        <w:rPr>
          <w:rFonts w:ascii="Cambria" w:hAnsi="Cambria"/>
          <w:sz w:val="20"/>
          <w:szCs w:val="20"/>
          <w:lang w:val="es-ES_tradnl"/>
        </w:rPr>
        <w:t xml:space="preserve">(…). En virtud de ello, y al ser el proceso una secuencia jurídica en constante movimiento, </w:t>
      </w:r>
      <w:r w:rsidRPr="00B35695">
        <w:rPr>
          <w:rFonts w:ascii="Cambria" w:hAnsi="Cambria"/>
          <w:i/>
          <w:sz w:val="20"/>
          <w:szCs w:val="20"/>
          <w:lang w:val="es-ES_tradnl"/>
        </w:rPr>
        <w:t xml:space="preserve">la aplicación de una norma que regula el procedimiento con posterioridad a la comisión de un supuesto hecho delictivo no contraviene </w:t>
      </w:r>
      <w:r w:rsidRPr="00B35695">
        <w:rPr>
          <w:rFonts w:ascii="Cambria" w:hAnsi="Cambria"/>
          <w:sz w:val="20"/>
          <w:szCs w:val="20"/>
          <w:lang w:val="es-ES_tradnl"/>
        </w:rPr>
        <w:t xml:space="preserve">per se, </w:t>
      </w:r>
      <w:r w:rsidRPr="00B35695">
        <w:rPr>
          <w:rFonts w:ascii="Cambria" w:hAnsi="Cambria"/>
          <w:i/>
          <w:sz w:val="20"/>
          <w:szCs w:val="20"/>
          <w:lang w:val="es-ES_tradnl"/>
        </w:rPr>
        <w:t>el principio de</w:t>
      </w:r>
      <w:r w:rsidRPr="00B35695">
        <w:rPr>
          <w:rFonts w:ascii="Cambria" w:hAnsi="Cambria"/>
          <w:i/>
          <w:spacing w:val="-9"/>
          <w:sz w:val="20"/>
          <w:szCs w:val="20"/>
          <w:lang w:val="es-ES_tradnl"/>
        </w:rPr>
        <w:t xml:space="preserve"> </w:t>
      </w:r>
      <w:r w:rsidRPr="00B35695">
        <w:rPr>
          <w:rFonts w:ascii="Cambria" w:hAnsi="Cambria"/>
          <w:i/>
          <w:sz w:val="20"/>
          <w:szCs w:val="20"/>
          <w:lang w:val="es-ES_tradnl"/>
        </w:rPr>
        <w:t xml:space="preserve">legalidad. || </w:t>
      </w:r>
      <w:r w:rsidRPr="00B35695">
        <w:rPr>
          <w:rFonts w:ascii="Cambria" w:hAnsi="Cambria"/>
          <w:sz w:val="20"/>
          <w:szCs w:val="20"/>
          <w:lang w:val="es-ES_tradnl"/>
        </w:rPr>
        <w:t xml:space="preserve">En razón de lo anterior, </w:t>
      </w:r>
      <w:r w:rsidRPr="00B35695">
        <w:rPr>
          <w:rFonts w:ascii="Cambria" w:hAnsi="Cambria"/>
          <w:i/>
          <w:sz w:val="20"/>
          <w:szCs w:val="20"/>
          <w:lang w:val="es-ES_tradnl"/>
        </w:rPr>
        <w:t>el principio de legalidad</w:t>
      </w:r>
      <w:r w:rsidRPr="00B35695">
        <w:rPr>
          <w:rFonts w:ascii="Cambria" w:hAnsi="Cambria"/>
          <w:sz w:val="20"/>
          <w:szCs w:val="20"/>
          <w:lang w:val="es-ES_tradnl"/>
        </w:rPr>
        <w:t>, en el sentido que exista una ley previa a la comisión</w:t>
      </w:r>
      <w:r w:rsidRPr="00B35695">
        <w:rPr>
          <w:rFonts w:ascii="Cambria" w:hAnsi="Cambria"/>
          <w:spacing w:val="-5"/>
          <w:sz w:val="20"/>
          <w:szCs w:val="20"/>
          <w:lang w:val="es-ES_tradnl"/>
        </w:rPr>
        <w:t xml:space="preserve"> </w:t>
      </w:r>
      <w:r w:rsidRPr="00B35695">
        <w:rPr>
          <w:rFonts w:ascii="Cambria" w:hAnsi="Cambria"/>
          <w:sz w:val="20"/>
          <w:szCs w:val="20"/>
          <w:lang w:val="es-ES_tradnl"/>
        </w:rPr>
        <w:t>del</w:t>
      </w:r>
      <w:r w:rsidRPr="00B35695">
        <w:rPr>
          <w:rFonts w:ascii="Cambria" w:hAnsi="Cambria"/>
          <w:spacing w:val="-4"/>
          <w:sz w:val="20"/>
          <w:szCs w:val="20"/>
          <w:lang w:val="es-ES_tradnl"/>
        </w:rPr>
        <w:t xml:space="preserve"> </w:t>
      </w:r>
      <w:r w:rsidRPr="00B35695">
        <w:rPr>
          <w:rFonts w:ascii="Cambria" w:hAnsi="Cambria"/>
          <w:sz w:val="20"/>
          <w:szCs w:val="20"/>
          <w:lang w:val="es-ES_tradnl"/>
        </w:rPr>
        <w:t>delito,</w:t>
      </w:r>
      <w:r w:rsidRPr="00B35695">
        <w:rPr>
          <w:rFonts w:ascii="Cambria" w:hAnsi="Cambria"/>
          <w:spacing w:val="-4"/>
          <w:sz w:val="20"/>
          <w:szCs w:val="20"/>
          <w:lang w:val="es-ES_tradnl"/>
        </w:rPr>
        <w:t xml:space="preserve"> </w:t>
      </w:r>
      <w:r w:rsidRPr="00B35695">
        <w:rPr>
          <w:rFonts w:ascii="Cambria" w:hAnsi="Cambria"/>
          <w:i/>
          <w:sz w:val="20"/>
          <w:szCs w:val="20"/>
          <w:lang w:val="es-ES_tradnl"/>
        </w:rPr>
        <w:t>no</w:t>
      </w:r>
      <w:r w:rsidRPr="00B35695">
        <w:rPr>
          <w:rFonts w:ascii="Cambria" w:hAnsi="Cambria"/>
          <w:i/>
          <w:spacing w:val="-5"/>
          <w:sz w:val="20"/>
          <w:szCs w:val="20"/>
          <w:lang w:val="es-ES_tradnl"/>
        </w:rPr>
        <w:t xml:space="preserve"> </w:t>
      </w:r>
      <w:r w:rsidRPr="00B35695">
        <w:rPr>
          <w:rFonts w:ascii="Cambria" w:hAnsi="Cambria"/>
          <w:i/>
          <w:sz w:val="20"/>
          <w:szCs w:val="20"/>
          <w:lang w:val="es-ES_tradnl"/>
        </w:rPr>
        <w:t>se</w:t>
      </w:r>
      <w:r w:rsidRPr="00B35695">
        <w:rPr>
          <w:rFonts w:ascii="Cambria" w:hAnsi="Cambria"/>
          <w:i/>
          <w:spacing w:val="-4"/>
          <w:sz w:val="20"/>
          <w:szCs w:val="20"/>
          <w:lang w:val="es-ES_tradnl"/>
        </w:rPr>
        <w:t xml:space="preserve"> </w:t>
      </w:r>
      <w:r w:rsidRPr="00B35695">
        <w:rPr>
          <w:rFonts w:ascii="Cambria" w:hAnsi="Cambria"/>
          <w:i/>
          <w:sz w:val="20"/>
          <w:szCs w:val="20"/>
          <w:lang w:val="es-ES_tradnl"/>
        </w:rPr>
        <w:t>aplica</w:t>
      </w:r>
      <w:r w:rsidRPr="00B35695">
        <w:rPr>
          <w:rFonts w:ascii="Cambria" w:hAnsi="Cambria"/>
          <w:i/>
          <w:spacing w:val="-4"/>
          <w:sz w:val="20"/>
          <w:szCs w:val="20"/>
          <w:lang w:val="es-ES_tradnl"/>
        </w:rPr>
        <w:t xml:space="preserve"> </w:t>
      </w:r>
      <w:r w:rsidRPr="00B35695">
        <w:rPr>
          <w:rFonts w:ascii="Cambria" w:hAnsi="Cambria"/>
          <w:i/>
          <w:sz w:val="20"/>
          <w:szCs w:val="20"/>
          <w:lang w:val="es-ES_tradnl"/>
        </w:rPr>
        <w:t>a</w:t>
      </w:r>
      <w:r w:rsidRPr="00B35695">
        <w:rPr>
          <w:rFonts w:ascii="Cambria" w:hAnsi="Cambria"/>
          <w:i/>
          <w:spacing w:val="-4"/>
          <w:sz w:val="20"/>
          <w:szCs w:val="20"/>
          <w:lang w:val="es-ES_tradnl"/>
        </w:rPr>
        <w:t xml:space="preserve"> </w:t>
      </w:r>
      <w:r w:rsidRPr="00B35695">
        <w:rPr>
          <w:rFonts w:ascii="Cambria" w:hAnsi="Cambria"/>
          <w:i/>
          <w:sz w:val="20"/>
          <w:szCs w:val="20"/>
          <w:lang w:val="es-ES_tradnl"/>
        </w:rPr>
        <w:t>normas</w:t>
      </w:r>
      <w:r w:rsidRPr="00B35695">
        <w:rPr>
          <w:rFonts w:ascii="Cambria" w:hAnsi="Cambria"/>
          <w:i/>
          <w:spacing w:val="-5"/>
          <w:sz w:val="20"/>
          <w:szCs w:val="20"/>
          <w:lang w:val="es-ES_tradnl"/>
        </w:rPr>
        <w:t xml:space="preserve"> </w:t>
      </w:r>
      <w:r w:rsidRPr="00B35695">
        <w:rPr>
          <w:rFonts w:ascii="Cambria" w:hAnsi="Cambria"/>
          <w:i/>
          <w:sz w:val="20"/>
          <w:szCs w:val="20"/>
          <w:lang w:val="es-ES_tradnl"/>
        </w:rPr>
        <w:t>que</w:t>
      </w:r>
      <w:r w:rsidRPr="00B35695">
        <w:rPr>
          <w:rFonts w:ascii="Cambria" w:hAnsi="Cambria"/>
          <w:i/>
          <w:spacing w:val="-4"/>
          <w:sz w:val="20"/>
          <w:szCs w:val="20"/>
          <w:lang w:val="es-ES_tradnl"/>
        </w:rPr>
        <w:t xml:space="preserve"> </w:t>
      </w:r>
      <w:r w:rsidRPr="00B35695">
        <w:rPr>
          <w:rFonts w:ascii="Cambria" w:hAnsi="Cambria"/>
          <w:i/>
          <w:sz w:val="20"/>
          <w:szCs w:val="20"/>
          <w:lang w:val="es-ES_tradnl"/>
        </w:rPr>
        <w:t>regulan</w:t>
      </w:r>
      <w:r w:rsidRPr="00B35695">
        <w:rPr>
          <w:rFonts w:ascii="Cambria" w:hAnsi="Cambria"/>
          <w:i/>
          <w:spacing w:val="-4"/>
          <w:sz w:val="20"/>
          <w:szCs w:val="20"/>
          <w:lang w:val="es-ES_tradnl"/>
        </w:rPr>
        <w:t xml:space="preserve"> </w:t>
      </w:r>
      <w:r w:rsidRPr="00B35695">
        <w:rPr>
          <w:rFonts w:ascii="Cambria" w:hAnsi="Cambria"/>
          <w:i/>
          <w:sz w:val="20"/>
          <w:szCs w:val="20"/>
          <w:lang w:val="es-ES_tradnl"/>
        </w:rPr>
        <w:t>el</w:t>
      </w:r>
      <w:r w:rsidRPr="00B35695">
        <w:rPr>
          <w:rFonts w:ascii="Cambria" w:hAnsi="Cambria"/>
          <w:i/>
          <w:spacing w:val="-5"/>
          <w:sz w:val="20"/>
          <w:szCs w:val="20"/>
          <w:lang w:val="es-ES_tradnl"/>
        </w:rPr>
        <w:t xml:space="preserve"> </w:t>
      </w:r>
      <w:r w:rsidRPr="00B35695">
        <w:rPr>
          <w:rFonts w:ascii="Cambria" w:hAnsi="Cambria"/>
          <w:i/>
          <w:sz w:val="20"/>
          <w:szCs w:val="20"/>
          <w:lang w:val="es-ES_tradnl"/>
        </w:rPr>
        <w:t>procedimiento,</w:t>
      </w:r>
      <w:r w:rsidRPr="00B35695">
        <w:rPr>
          <w:rFonts w:ascii="Cambria" w:hAnsi="Cambria"/>
          <w:i/>
          <w:spacing w:val="-4"/>
          <w:sz w:val="20"/>
          <w:szCs w:val="20"/>
          <w:lang w:val="es-ES_tradnl"/>
        </w:rPr>
        <w:t xml:space="preserve"> </w:t>
      </w:r>
      <w:r w:rsidRPr="00B35695">
        <w:rPr>
          <w:rFonts w:ascii="Cambria" w:hAnsi="Cambria"/>
          <w:i/>
          <w:sz w:val="20"/>
          <w:szCs w:val="20"/>
          <w:lang w:val="es-ES_tradnl"/>
        </w:rPr>
        <w:t>a</w:t>
      </w:r>
      <w:r w:rsidRPr="00B35695">
        <w:rPr>
          <w:rFonts w:ascii="Cambria" w:hAnsi="Cambria"/>
          <w:i/>
          <w:spacing w:val="-4"/>
          <w:sz w:val="20"/>
          <w:szCs w:val="20"/>
          <w:lang w:val="es-ES_tradnl"/>
        </w:rPr>
        <w:t xml:space="preserve"> </w:t>
      </w:r>
      <w:r w:rsidRPr="00B35695">
        <w:rPr>
          <w:rFonts w:ascii="Cambria" w:hAnsi="Cambria"/>
          <w:i/>
          <w:sz w:val="20"/>
          <w:szCs w:val="20"/>
          <w:lang w:val="es-ES_tradnl"/>
        </w:rPr>
        <w:t>menos</w:t>
      </w:r>
      <w:r w:rsidRPr="00B35695">
        <w:rPr>
          <w:rFonts w:ascii="Cambria" w:hAnsi="Cambria"/>
          <w:i/>
          <w:spacing w:val="-4"/>
          <w:sz w:val="20"/>
          <w:szCs w:val="20"/>
          <w:lang w:val="es-ES_tradnl"/>
        </w:rPr>
        <w:t xml:space="preserve"> </w:t>
      </w:r>
      <w:r w:rsidRPr="00B35695">
        <w:rPr>
          <w:rFonts w:ascii="Cambria" w:hAnsi="Cambria"/>
          <w:i/>
          <w:sz w:val="20"/>
          <w:szCs w:val="20"/>
          <w:lang w:val="es-ES_tradnl"/>
        </w:rPr>
        <w:t>que</w:t>
      </w:r>
      <w:r w:rsidRPr="00B35695">
        <w:rPr>
          <w:rFonts w:ascii="Cambria" w:hAnsi="Cambria"/>
          <w:i/>
          <w:spacing w:val="-5"/>
          <w:sz w:val="20"/>
          <w:szCs w:val="20"/>
          <w:lang w:val="es-ES_tradnl"/>
        </w:rPr>
        <w:t xml:space="preserve"> </w:t>
      </w:r>
      <w:r w:rsidRPr="00B35695">
        <w:rPr>
          <w:rFonts w:ascii="Cambria" w:hAnsi="Cambria"/>
          <w:i/>
          <w:sz w:val="20"/>
          <w:szCs w:val="20"/>
          <w:lang w:val="es-ES_tradnl"/>
        </w:rPr>
        <w:t>puedan tener un impacto en la tipificación de acciones u omisiones que en el momento de cometerse no</w:t>
      </w:r>
      <w:r w:rsidRPr="00B35695">
        <w:rPr>
          <w:rFonts w:ascii="Cambria" w:hAnsi="Cambria"/>
          <w:i/>
          <w:spacing w:val="-4"/>
          <w:sz w:val="20"/>
          <w:szCs w:val="20"/>
          <w:lang w:val="es-ES_tradnl"/>
        </w:rPr>
        <w:t xml:space="preserve"> </w:t>
      </w:r>
      <w:r w:rsidRPr="00B35695">
        <w:rPr>
          <w:rFonts w:ascii="Cambria" w:hAnsi="Cambria"/>
          <w:i/>
          <w:sz w:val="20"/>
          <w:szCs w:val="20"/>
          <w:lang w:val="es-ES_tradnl"/>
        </w:rPr>
        <w:t>fueran</w:t>
      </w:r>
      <w:r w:rsidRPr="00B35695">
        <w:rPr>
          <w:rFonts w:ascii="Cambria" w:hAnsi="Cambria"/>
          <w:i/>
          <w:spacing w:val="-4"/>
          <w:sz w:val="20"/>
          <w:szCs w:val="20"/>
          <w:lang w:val="es-ES_tradnl"/>
        </w:rPr>
        <w:t xml:space="preserve"> </w:t>
      </w:r>
      <w:r w:rsidRPr="00B35695">
        <w:rPr>
          <w:rFonts w:ascii="Cambria" w:hAnsi="Cambria"/>
          <w:i/>
          <w:sz w:val="20"/>
          <w:szCs w:val="20"/>
          <w:lang w:val="es-ES_tradnl"/>
        </w:rPr>
        <w:t>delictivos</w:t>
      </w:r>
      <w:r w:rsidRPr="00B35695">
        <w:rPr>
          <w:rFonts w:ascii="Cambria" w:hAnsi="Cambria"/>
          <w:i/>
          <w:spacing w:val="-4"/>
          <w:sz w:val="20"/>
          <w:szCs w:val="20"/>
          <w:lang w:val="es-ES_tradnl"/>
        </w:rPr>
        <w:t xml:space="preserve"> </w:t>
      </w:r>
      <w:r w:rsidRPr="00B35695">
        <w:rPr>
          <w:rFonts w:ascii="Cambria" w:hAnsi="Cambria"/>
          <w:i/>
          <w:sz w:val="20"/>
          <w:szCs w:val="20"/>
          <w:lang w:val="es-ES_tradnl"/>
        </w:rPr>
        <w:t>según</w:t>
      </w:r>
      <w:r w:rsidRPr="00B35695">
        <w:rPr>
          <w:rFonts w:ascii="Cambria" w:hAnsi="Cambria"/>
          <w:i/>
          <w:spacing w:val="-4"/>
          <w:sz w:val="20"/>
          <w:szCs w:val="20"/>
          <w:lang w:val="es-ES_tradnl"/>
        </w:rPr>
        <w:t xml:space="preserve"> </w:t>
      </w:r>
      <w:r w:rsidRPr="00B35695">
        <w:rPr>
          <w:rFonts w:ascii="Cambria" w:hAnsi="Cambria"/>
          <w:i/>
          <w:sz w:val="20"/>
          <w:szCs w:val="20"/>
          <w:lang w:val="es-ES_tradnl"/>
        </w:rPr>
        <w:t>el</w:t>
      </w:r>
      <w:r w:rsidRPr="00B35695">
        <w:rPr>
          <w:rFonts w:ascii="Cambria" w:hAnsi="Cambria"/>
          <w:i/>
          <w:spacing w:val="-4"/>
          <w:sz w:val="20"/>
          <w:szCs w:val="20"/>
          <w:lang w:val="es-ES_tradnl"/>
        </w:rPr>
        <w:t xml:space="preserve"> </w:t>
      </w:r>
      <w:r w:rsidRPr="00B35695">
        <w:rPr>
          <w:rFonts w:ascii="Cambria" w:hAnsi="Cambria"/>
          <w:i/>
          <w:sz w:val="20"/>
          <w:szCs w:val="20"/>
          <w:lang w:val="es-ES_tradnl"/>
        </w:rPr>
        <w:t>derecho</w:t>
      </w:r>
      <w:r w:rsidRPr="00B35695">
        <w:rPr>
          <w:rFonts w:ascii="Cambria" w:hAnsi="Cambria"/>
          <w:i/>
          <w:spacing w:val="-4"/>
          <w:sz w:val="20"/>
          <w:szCs w:val="20"/>
          <w:lang w:val="es-ES_tradnl"/>
        </w:rPr>
        <w:t xml:space="preserve"> </w:t>
      </w:r>
      <w:r w:rsidRPr="00B35695">
        <w:rPr>
          <w:rFonts w:ascii="Cambria" w:hAnsi="Cambria"/>
          <w:i/>
          <w:sz w:val="20"/>
          <w:szCs w:val="20"/>
          <w:lang w:val="es-ES_tradnl"/>
        </w:rPr>
        <w:t>aplicable</w:t>
      </w:r>
      <w:r w:rsidRPr="00B35695">
        <w:rPr>
          <w:rFonts w:ascii="Cambria" w:hAnsi="Cambria"/>
          <w:i/>
          <w:spacing w:val="-3"/>
          <w:sz w:val="20"/>
          <w:szCs w:val="20"/>
          <w:lang w:val="es-ES_tradnl"/>
        </w:rPr>
        <w:t xml:space="preserve"> </w:t>
      </w:r>
      <w:r w:rsidRPr="00B35695">
        <w:rPr>
          <w:rFonts w:ascii="Cambria" w:hAnsi="Cambria"/>
          <w:i/>
          <w:sz w:val="20"/>
          <w:szCs w:val="20"/>
          <w:lang w:val="es-ES_tradnl"/>
        </w:rPr>
        <w:t>o</w:t>
      </w:r>
      <w:r w:rsidRPr="00B35695">
        <w:rPr>
          <w:rFonts w:ascii="Cambria" w:hAnsi="Cambria"/>
          <w:i/>
          <w:spacing w:val="-4"/>
          <w:sz w:val="20"/>
          <w:szCs w:val="20"/>
          <w:lang w:val="es-ES_tradnl"/>
        </w:rPr>
        <w:t xml:space="preserve"> </w:t>
      </w:r>
      <w:r w:rsidRPr="00B35695">
        <w:rPr>
          <w:rFonts w:ascii="Cambria" w:hAnsi="Cambria"/>
          <w:i/>
          <w:sz w:val="20"/>
          <w:szCs w:val="20"/>
          <w:lang w:val="es-ES_tradnl"/>
        </w:rPr>
        <w:t>en</w:t>
      </w:r>
      <w:r w:rsidRPr="00B35695">
        <w:rPr>
          <w:rFonts w:ascii="Cambria" w:hAnsi="Cambria"/>
          <w:i/>
          <w:spacing w:val="-4"/>
          <w:sz w:val="20"/>
          <w:szCs w:val="20"/>
          <w:lang w:val="es-ES_tradnl"/>
        </w:rPr>
        <w:t xml:space="preserve"> </w:t>
      </w:r>
      <w:r w:rsidRPr="00B35695">
        <w:rPr>
          <w:rFonts w:ascii="Cambria" w:hAnsi="Cambria"/>
          <w:i/>
          <w:sz w:val="20"/>
          <w:szCs w:val="20"/>
          <w:lang w:val="es-ES_tradnl"/>
        </w:rPr>
        <w:t>la</w:t>
      </w:r>
      <w:r w:rsidRPr="00B35695">
        <w:rPr>
          <w:rFonts w:ascii="Cambria" w:hAnsi="Cambria"/>
          <w:i/>
          <w:spacing w:val="-4"/>
          <w:sz w:val="20"/>
          <w:szCs w:val="20"/>
          <w:lang w:val="es-ES_tradnl"/>
        </w:rPr>
        <w:t xml:space="preserve"> </w:t>
      </w:r>
      <w:r w:rsidRPr="00B35695">
        <w:rPr>
          <w:rFonts w:ascii="Cambria" w:hAnsi="Cambria"/>
          <w:i/>
          <w:sz w:val="20"/>
          <w:szCs w:val="20"/>
          <w:lang w:val="es-ES_tradnl"/>
        </w:rPr>
        <w:t>imposición</w:t>
      </w:r>
      <w:r w:rsidRPr="00B35695">
        <w:rPr>
          <w:rFonts w:ascii="Cambria" w:hAnsi="Cambria"/>
          <w:i/>
          <w:spacing w:val="-4"/>
          <w:sz w:val="20"/>
          <w:szCs w:val="20"/>
          <w:lang w:val="es-ES_tradnl"/>
        </w:rPr>
        <w:t xml:space="preserve"> </w:t>
      </w:r>
      <w:r w:rsidRPr="00B35695">
        <w:rPr>
          <w:rFonts w:ascii="Cambria" w:hAnsi="Cambria"/>
          <w:i/>
          <w:sz w:val="20"/>
          <w:szCs w:val="20"/>
          <w:lang w:val="es-ES_tradnl"/>
        </w:rPr>
        <w:t>de</w:t>
      </w:r>
      <w:r w:rsidRPr="00B35695">
        <w:rPr>
          <w:rFonts w:ascii="Cambria" w:hAnsi="Cambria"/>
          <w:i/>
          <w:spacing w:val="-4"/>
          <w:sz w:val="20"/>
          <w:szCs w:val="20"/>
          <w:lang w:val="es-ES_tradnl"/>
        </w:rPr>
        <w:t xml:space="preserve"> </w:t>
      </w:r>
      <w:r w:rsidRPr="00B35695">
        <w:rPr>
          <w:rFonts w:ascii="Cambria" w:hAnsi="Cambria"/>
          <w:i/>
          <w:sz w:val="20"/>
          <w:szCs w:val="20"/>
          <w:lang w:val="es-ES_tradnl"/>
        </w:rPr>
        <w:t>una</w:t>
      </w:r>
      <w:r w:rsidRPr="00B35695">
        <w:rPr>
          <w:rFonts w:ascii="Cambria" w:hAnsi="Cambria"/>
          <w:i/>
          <w:spacing w:val="-4"/>
          <w:sz w:val="20"/>
          <w:szCs w:val="20"/>
          <w:lang w:val="es-ES_tradnl"/>
        </w:rPr>
        <w:t xml:space="preserve"> </w:t>
      </w:r>
      <w:r w:rsidRPr="00B35695">
        <w:rPr>
          <w:rFonts w:ascii="Cambria" w:hAnsi="Cambria"/>
          <w:i/>
          <w:sz w:val="20"/>
          <w:szCs w:val="20"/>
          <w:lang w:val="es-ES_tradnl"/>
        </w:rPr>
        <w:t>pena</w:t>
      </w:r>
      <w:r w:rsidRPr="00B35695">
        <w:rPr>
          <w:rFonts w:ascii="Cambria" w:hAnsi="Cambria"/>
          <w:i/>
          <w:spacing w:val="-3"/>
          <w:sz w:val="20"/>
          <w:szCs w:val="20"/>
          <w:lang w:val="es-ES_tradnl"/>
        </w:rPr>
        <w:t xml:space="preserve"> </w:t>
      </w:r>
      <w:r w:rsidRPr="00B35695">
        <w:rPr>
          <w:rFonts w:ascii="Cambria" w:hAnsi="Cambria"/>
          <w:i/>
          <w:sz w:val="20"/>
          <w:szCs w:val="20"/>
          <w:lang w:val="es-ES_tradnl"/>
        </w:rPr>
        <w:t>más</w:t>
      </w:r>
      <w:r w:rsidRPr="00B35695">
        <w:rPr>
          <w:rFonts w:ascii="Cambria" w:hAnsi="Cambria"/>
          <w:i/>
          <w:spacing w:val="-4"/>
          <w:sz w:val="20"/>
          <w:szCs w:val="20"/>
          <w:lang w:val="es-ES_tradnl"/>
        </w:rPr>
        <w:t xml:space="preserve"> </w:t>
      </w:r>
      <w:r w:rsidRPr="00B35695">
        <w:rPr>
          <w:rFonts w:ascii="Cambria" w:hAnsi="Cambria"/>
          <w:i/>
          <w:sz w:val="20"/>
          <w:szCs w:val="20"/>
          <w:lang w:val="es-ES_tradnl"/>
        </w:rPr>
        <w:t>grave</w:t>
      </w:r>
      <w:r w:rsidRPr="00B35695">
        <w:rPr>
          <w:rFonts w:ascii="Cambria" w:hAnsi="Cambria"/>
          <w:i/>
          <w:spacing w:val="-4"/>
          <w:sz w:val="20"/>
          <w:szCs w:val="20"/>
          <w:lang w:val="es-ES_tradnl"/>
        </w:rPr>
        <w:t xml:space="preserve"> </w:t>
      </w:r>
      <w:r w:rsidRPr="00B35695">
        <w:rPr>
          <w:rFonts w:ascii="Cambria" w:hAnsi="Cambria"/>
          <w:i/>
          <w:sz w:val="20"/>
          <w:szCs w:val="20"/>
          <w:lang w:val="es-ES_tradnl"/>
        </w:rPr>
        <w:t>que la existente al momento de la perpetración del ilícito</w:t>
      </w:r>
      <w:r w:rsidRPr="00B35695">
        <w:rPr>
          <w:rFonts w:ascii="Cambria" w:hAnsi="Cambria"/>
          <w:i/>
          <w:spacing w:val="-2"/>
          <w:sz w:val="20"/>
          <w:szCs w:val="20"/>
          <w:lang w:val="es-ES_tradnl"/>
        </w:rPr>
        <w:t xml:space="preserve"> </w:t>
      </w:r>
      <w:r w:rsidRPr="00B35695">
        <w:rPr>
          <w:rFonts w:ascii="Cambria" w:hAnsi="Cambria"/>
          <w:i/>
          <w:sz w:val="20"/>
          <w:szCs w:val="20"/>
          <w:lang w:val="es-ES_tradnl"/>
        </w:rPr>
        <w:t>penal.</w:t>
      </w:r>
      <w:r w:rsidRPr="00B35695">
        <w:rPr>
          <w:rStyle w:val="FootnoteReference"/>
          <w:rFonts w:ascii="Cambria" w:hAnsi="Cambria"/>
          <w:i/>
          <w:sz w:val="20"/>
          <w:szCs w:val="20"/>
          <w:lang w:val="es-ES_tradnl"/>
        </w:rPr>
        <w:footnoteReference w:id="9"/>
      </w:r>
    </w:p>
    <w:p w:rsidR="004E7C19" w:rsidRPr="00B35695" w:rsidRDefault="004E7C19" w:rsidP="004E7C1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Cs/>
          <w:sz w:val="20"/>
          <w:szCs w:val="20"/>
          <w:lang w:val="es-ES_tradnl"/>
        </w:rPr>
      </w:pPr>
    </w:p>
    <w:p w:rsidR="004E7C19" w:rsidRPr="00B35695" w:rsidRDefault="001F7D43" w:rsidP="00E422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28. </w:t>
      </w:r>
      <w:r w:rsidR="00E4226A" w:rsidRPr="00B35695">
        <w:rPr>
          <w:rFonts w:ascii="Cambria" w:hAnsi="Cambria"/>
          <w:sz w:val="20"/>
          <w:szCs w:val="20"/>
          <w:lang w:val="es-ES_tradnl"/>
        </w:rPr>
        <w:tab/>
      </w:r>
      <w:r w:rsidR="004E7C19" w:rsidRPr="00B35695">
        <w:rPr>
          <w:rFonts w:ascii="Cambria" w:hAnsi="Cambria"/>
          <w:sz w:val="20"/>
          <w:szCs w:val="20"/>
          <w:lang w:val="es-ES_tradnl"/>
        </w:rPr>
        <w:t>En aplicación del refe</w:t>
      </w:r>
      <w:r w:rsidR="00C82387" w:rsidRPr="00B35695">
        <w:rPr>
          <w:rFonts w:ascii="Cambria" w:hAnsi="Cambria"/>
          <w:sz w:val="20"/>
          <w:szCs w:val="20"/>
          <w:lang w:val="es-ES_tradnl"/>
        </w:rPr>
        <w:t>rido precedente jurisprudencial</w:t>
      </w:r>
      <w:r w:rsidR="004E7C19" w:rsidRPr="00B35695">
        <w:rPr>
          <w:rFonts w:ascii="Cambria" w:hAnsi="Cambria"/>
          <w:sz w:val="20"/>
          <w:szCs w:val="20"/>
          <w:lang w:val="es-ES_tradnl"/>
        </w:rPr>
        <w:t xml:space="preserve"> la CIDH nota</w:t>
      </w:r>
      <w:r w:rsidR="00C43604" w:rsidRPr="00B35695">
        <w:rPr>
          <w:rFonts w:ascii="Cambria" w:hAnsi="Cambria"/>
          <w:sz w:val="20"/>
          <w:szCs w:val="20"/>
          <w:lang w:val="es-ES_tradnl"/>
        </w:rPr>
        <w:t>, en coincidencia con la postura del Estado,</w:t>
      </w:r>
      <w:r w:rsidR="004E7C19" w:rsidRPr="00B35695">
        <w:rPr>
          <w:rFonts w:ascii="Cambria" w:hAnsi="Cambria"/>
          <w:sz w:val="20"/>
          <w:szCs w:val="20"/>
          <w:lang w:val="es-ES_tradnl"/>
        </w:rPr>
        <w:t xml:space="preserve"> que los peticionarios no han demostrado que el cambio jurisprudencial efectuado por la Sala Penal de la Corte Suprema de Justicia haya tenido un impacto sobre la tipificación de los delitos por los que fue procesado el señor </w:t>
      </w:r>
      <w:r w:rsidR="00C43604" w:rsidRPr="00B35695">
        <w:rPr>
          <w:rFonts w:ascii="Cambria" w:hAnsi="Cambria"/>
          <w:sz w:val="20"/>
          <w:szCs w:val="20"/>
          <w:lang w:val="es-ES_tradnl"/>
        </w:rPr>
        <w:t>Ramírez</w:t>
      </w:r>
      <w:r w:rsidR="004E7C19" w:rsidRPr="00B35695">
        <w:rPr>
          <w:rFonts w:ascii="Cambria" w:hAnsi="Cambria"/>
          <w:sz w:val="20"/>
          <w:szCs w:val="20"/>
          <w:lang w:val="es-ES_tradnl"/>
        </w:rPr>
        <w:t xml:space="preserve">, ni sobre la cuantificación de las penas aplicables. Se trató, así, de lo que el Estado ha descrito como la actualización legítima de un precedente judicial en materia de competencia, esto es, un asunto netamente procedimental. En cualquier caso, en este caso se está frente a pronunciamientos judiciales y no frente a disposiciones legales, siendo que el artículo 9 de la Convención se refiere es a las leyes o normas escritas, y no a las decisiones de los jueces que las interpretan y aplican. Por lo tanto, no se considera que se hayan caracterizado en la petición violaciones del Artículo 9 de la Convención Americana tal y como éste ha sido entendido por los órganos del Sistema Interamericano de Derechos Humanos, y en consecuencia dicho artículo será inadmitido. </w:t>
      </w:r>
    </w:p>
    <w:p w:rsidR="00C43604" w:rsidRPr="00B35695" w:rsidRDefault="001F7D43" w:rsidP="00C823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29. </w:t>
      </w:r>
      <w:r w:rsidR="00C82387" w:rsidRPr="00B35695">
        <w:rPr>
          <w:rFonts w:ascii="Cambria" w:hAnsi="Cambria"/>
          <w:sz w:val="20"/>
          <w:szCs w:val="20"/>
          <w:lang w:val="es-ES_tradnl"/>
        </w:rPr>
        <w:tab/>
      </w:r>
      <w:r w:rsidR="004E7C19" w:rsidRPr="00B35695">
        <w:rPr>
          <w:rFonts w:ascii="Cambria" w:hAnsi="Cambria"/>
          <w:sz w:val="20"/>
          <w:szCs w:val="20"/>
          <w:lang w:val="es-ES_tradnl"/>
        </w:rPr>
        <w:t xml:space="preserve">Lo anterior no </w:t>
      </w:r>
      <w:r w:rsidRPr="00B35695">
        <w:rPr>
          <w:rFonts w:ascii="Cambria" w:hAnsi="Cambria"/>
          <w:sz w:val="20"/>
          <w:szCs w:val="20"/>
          <w:lang w:val="es-ES_tradnl"/>
        </w:rPr>
        <w:t xml:space="preserve">es óbice </w:t>
      </w:r>
      <w:r w:rsidR="004E7C19" w:rsidRPr="00B35695">
        <w:rPr>
          <w:rFonts w:ascii="Cambria" w:hAnsi="Cambria"/>
          <w:sz w:val="20"/>
          <w:szCs w:val="20"/>
          <w:lang w:val="es-ES_tradnl"/>
        </w:rPr>
        <w:t xml:space="preserve">para que la CIDH examine, en la etapa de fondo del presente procedimiento, las repercusiones que haya podido tener sobre el derecho a un juez natural el cambio en la asignación del proceso contra el señor </w:t>
      </w:r>
      <w:r w:rsidR="00C43604" w:rsidRPr="00B35695">
        <w:rPr>
          <w:rFonts w:ascii="Cambria" w:hAnsi="Cambria"/>
          <w:sz w:val="20"/>
          <w:szCs w:val="20"/>
          <w:lang w:val="es-ES_tradnl"/>
        </w:rPr>
        <w:t xml:space="preserve">Ramírez </w:t>
      </w:r>
      <w:r w:rsidR="004E7C19" w:rsidRPr="00B35695">
        <w:rPr>
          <w:rFonts w:ascii="Cambria" w:hAnsi="Cambria"/>
          <w:sz w:val="20"/>
          <w:szCs w:val="20"/>
          <w:lang w:val="es-ES_tradnl"/>
        </w:rPr>
        <w:t>en la etapa procesal en la que tal modificación competencial tuvo lugar.</w:t>
      </w:r>
      <w:r w:rsidR="00C43604" w:rsidRPr="00B35695">
        <w:rPr>
          <w:rFonts w:ascii="Cambria" w:hAnsi="Cambria"/>
          <w:sz w:val="20"/>
          <w:szCs w:val="20"/>
          <w:lang w:val="es-ES_tradnl"/>
        </w:rPr>
        <w:t xml:space="preserve"> El mismo principio del juez natural está potencialmente comprometido por los alegatos planteados en la petición sobre el incumplimiento del mandato constitucional colombiano según el cual la Corte Suprema de Justicia, en los casos de funcionarios aforados, debe realizar tanto la investigación como el juzgamiento de las conductas delictivas imputadas, dado que la investigación en el caso del señor Ramírez habría sido realizada, así fuera parcialmente, por la Fiscalía General de la Nación. </w:t>
      </w:r>
    </w:p>
    <w:p w:rsidR="004E7C19" w:rsidRPr="00B35695" w:rsidRDefault="001F7D43" w:rsidP="00C823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sz w:val="20"/>
          <w:szCs w:val="20"/>
          <w:lang w:val="es-ES_tradnl"/>
        </w:rPr>
        <w:t xml:space="preserve">30. </w:t>
      </w:r>
      <w:r w:rsidR="00C82387" w:rsidRPr="00B35695">
        <w:rPr>
          <w:rFonts w:ascii="Cambria" w:hAnsi="Cambria"/>
          <w:sz w:val="20"/>
          <w:szCs w:val="20"/>
          <w:lang w:val="es-ES_tradnl"/>
        </w:rPr>
        <w:tab/>
      </w:r>
      <w:r w:rsidR="004E7C19" w:rsidRPr="00B35695">
        <w:rPr>
          <w:rFonts w:ascii="Cambria" w:hAnsi="Cambria"/>
          <w:sz w:val="20"/>
          <w:szCs w:val="20"/>
          <w:lang w:val="es-ES_tradnl"/>
        </w:rPr>
        <w:t xml:space="preserve">También se han </w:t>
      </w:r>
      <w:r w:rsidR="00C82387" w:rsidRPr="00B35695">
        <w:rPr>
          <w:rFonts w:ascii="Cambria" w:hAnsi="Cambria"/>
          <w:sz w:val="20"/>
          <w:szCs w:val="20"/>
          <w:lang w:val="es-ES_tradnl"/>
        </w:rPr>
        <w:t>planteado</w:t>
      </w:r>
      <w:r w:rsidR="004E7C19" w:rsidRPr="00B35695">
        <w:rPr>
          <w:rFonts w:ascii="Cambria" w:hAnsi="Cambria"/>
          <w:sz w:val="20"/>
          <w:szCs w:val="20"/>
          <w:lang w:val="es-ES_tradnl"/>
        </w:rPr>
        <w:t xml:space="preserve"> en la petición posibles violaciones del derecho de defensa del señor </w:t>
      </w:r>
      <w:r w:rsidR="00C43604" w:rsidRPr="00B35695">
        <w:rPr>
          <w:rFonts w:ascii="Cambria" w:hAnsi="Cambria"/>
          <w:sz w:val="20"/>
          <w:szCs w:val="20"/>
          <w:lang w:val="es-ES_tradnl"/>
        </w:rPr>
        <w:t>Ramírez</w:t>
      </w:r>
      <w:r w:rsidR="004E7C19" w:rsidRPr="00B35695">
        <w:rPr>
          <w:rFonts w:ascii="Cambria" w:hAnsi="Cambria"/>
          <w:sz w:val="20"/>
          <w:szCs w:val="20"/>
          <w:lang w:val="es-ES_tradnl"/>
        </w:rPr>
        <w:t xml:space="preserve">, en la medida en que, según alega, </w:t>
      </w:r>
      <w:r w:rsidR="00C43604" w:rsidRPr="00B35695">
        <w:rPr>
          <w:rFonts w:ascii="Cambria" w:hAnsi="Cambria"/>
          <w:sz w:val="20"/>
          <w:szCs w:val="20"/>
          <w:lang w:val="es-ES_tradnl"/>
        </w:rPr>
        <w:t xml:space="preserve">la Corte Suprema omitió proferir una resolución de acusación, llevar a cabo las audiencias previstas en la ley procesal y en general realizar una fase de juzgamiento independiente para el delito de concierto para delinquir relacionado con las actividades de los grupos paramilitares; en esta medida, se ha planteado en la petición un alegato sustantivo sobre la falta de </w:t>
      </w:r>
      <w:r w:rsidR="004E7C19" w:rsidRPr="00B35695">
        <w:rPr>
          <w:rFonts w:ascii="Cambria" w:hAnsi="Cambria"/>
          <w:sz w:val="20"/>
          <w:szCs w:val="20"/>
          <w:lang w:val="es-ES_tradnl"/>
        </w:rPr>
        <w:t xml:space="preserve">oportunidad </w:t>
      </w:r>
      <w:r w:rsidR="00C43604" w:rsidRPr="00B35695">
        <w:rPr>
          <w:rFonts w:ascii="Cambria" w:hAnsi="Cambria"/>
          <w:sz w:val="20"/>
          <w:szCs w:val="20"/>
          <w:lang w:val="es-ES_tradnl"/>
        </w:rPr>
        <w:t xml:space="preserve">del señor Ramírez para </w:t>
      </w:r>
      <w:r w:rsidR="004E7C19" w:rsidRPr="00B35695">
        <w:rPr>
          <w:rFonts w:ascii="Cambria" w:hAnsi="Cambria"/>
          <w:sz w:val="20"/>
          <w:szCs w:val="20"/>
          <w:lang w:val="es-ES_tradnl"/>
        </w:rPr>
        <w:t>expresar sus alegatos ante la Corte Suprema de Justicia</w:t>
      </w:r>
      <w:r w:rsidR="00C43604" w:rsidRPr="00B35695">
        <w:rPr>
          <w:rFonts w:ascii="Cambria" w:hAnsi="Cambria"/>
          <w:sz w:val="20"/>
          <w:szCs w:val="20"/>
          <w:lang w:val="es-ES_tradnl"/>
        </w:rPr>
        <w:t>, pedir pruebas y ejercer su derecho de defensa</w:t>
      </w:r>
      <w:r w:rsidR="004E7C19" w:rsidRPr="00B35695">
        <w:rPr>
          <w:rFonts w:ascii="Cambria" w:hAnsi="Cambria"/>
          <w:sz w:val="20"/>
          <w:szCs w:val="20"/>
          <w:lang w:val="es-ES_tradnl"/>
        </w:rPr>
        <w:t xml:space="preserve">. </w:t>
      </w:r>
      <w:r w:rsidRPr="00B35695">
        <w:rPr>
          <w:rFonts w:ascii="Cambria" w:hAnsi="Cambria"/>
          <w:sz w:val="20"/>
          <w:szCs w:val="20"/>
          <w:lang w:val="es-ES_tradnl"/>
        </w:rPr>
        <w:t xml:space="preserve">Estos </w:t>
      </w:r>
      <w:r w:rsidR="004E7C19" w:rsidRPr="00B35695">
        <w:rPr>
          <w:rFonts w:ascii="Cambria" w:hAnsi="Cambria"/>
          <w:sz w:val="20"/>
          <w:szCs w:val="20"/>
          <w:lang w:val="es-ES_tradnl"/>
        </w:rPr>
        <w:t>temas entran bajo la órbita de los artículos 8 y 25 de la Convención Americana y serán materia de pronunciamiento en etapas subsiguientes del presente procedimiento.</w:t>
      </w:r>
    </w:p>
    <w:p w:rsidR="001A520D" w:rsidRPr="00B35695" w:rsidRDefault="00AB1BA1" w:rsidP="00AB1B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Cs/>
          <w:sz w:val="20"/>
          <w:szCs w:val="20"/>
          <w:lang w:val="es-ES_tradnl"/>
        </w:rPr>
      </w:pPr>
      <w:r w:rsidRPr="00B35695">
        <w:rPr>
          <w:rFonts w:ascii="Cambria" w:hAnsi="Cambria"/>
          <w:sz w:val="20"/>
          <w:szCs w:val="20"/>
          <w:lang w:val="es-ES_tradnl"/>
        </w:rPr>
        <w:t>31</w:t>
      </w:r>
      <w:r w:rsidR="001F7D43" w:rsidRPr="00B35695">
        <w:rPr>
          <w:rFonts w:ascii="Cambria" w:hAnsi="Cambria"/>
          <w:sz w:val="20"/>
          <w:szCs w:val="20"/>
          <w:lang w:val="es-ES_tradnl"/>
        </w:rPr>
        <w:t xml:space="preserve">. </w:t>
      </w:r>
      <w:r w:rsidRPr="00B35695">
        <w:rPr>
          <w:rFonts w:ascii="Cambria" w:hAnsi="Cambria"/>
          <w:sz w:val="20"/>
          <w:szCs w:val="20"/>
          <w:lang w:val="es-ES_tradnl"/>
        </w:rPr>
        <w:tab/>
      </w:r>
      <w:r w:rsidR="004E7C19" w:rsidRPr="00B35695">
        <w:rPr>
          <w:rFonts w:ascii="Cambria" w:hAnsi="Cambria"/>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a los artículos</w:t>
      </w:r>
      <w:r w:rsidR="004E7C19" w:rsidRPr="00B35695">
        <w:rPr>
          <w:rFonts w:ascii="Cambria" w:hAnsi="Cambria"/>
          <w:bCs/>
          <w:sz w:val="20"/>
          <w:szCs w:val="20"/>
          <w:lang w:val="es-ES_tradnl"/>
        </w:rPr>
        <w:t xml:space="preserve"> </w:t>
      </w:r>
      <w:r w:rsidR="00774912" w:rsidRPr="00B35695">
        <w:rPr>
          <w:rFonts w:ascii="Cambria" w:hAnsi="Cambria"/>
          <w:bCs/>
          <w:sz w:val="20"/>
          <w:szCs w:val="20"/>
          <w:lang w:val="es-ES_tradnl"/>
        </w:rPr>
        <w:t xml:space="preserve">7 (libertad personal), </w:t>
      </w:r>
      <w:r w:rsidR="004E7C19" w:rsidRPr="00B35695">
        <w:rPr>
          <w:rFonts w:ascii="Cambria" w:hAnsi="Cambria"/>
          <w:bCs/>
          <w:sz w:val="20"/>
          <w:szCs w:val="20"/>
          <w:lang w:val="es-ES_tradnl"/>
        </w:rPr>
        <w:t>8 (garantías judiciales)</w:t>
      </w:r>
      <w:r w:rsidR="00774912" w:rsidRPr="00B35695">
        <w:rPr>
          <w:rFonts w:ascii="Cambria" w:hAnsi="Cambria"/>
          <w:bCs/>
          <w:sz w:val="20"/>
          <w:szCs w:val="20"/>
          <w:lang w:val="es-ES_tradnl"/>
        </w:rPr>
        <w:t>, 21 (propiedad privada)</w:t>
      </w:r>
      <w:r w:rsidR="004E7C19" w:rsidRPr="00B35695">
        <w:rPr>
          <w:rFonts w:ascii="Cambria" w:hAnsi="Cambria"/>
          <w:bCs/>
          <w:sz w:val="20"/>
          <w:szCs w:val="20"/>
          <w:lang w:val="es-ES_tradnl"/>
        </w:rPr>
        <w:t xml:space="preserve"> y 25 (protección judicial) de la Convención Americana, en relación con sus artículos 1.1 (obligación </w:t>
      </w:r>
      <w:r w:rsidR="004E7C19" w:rsidRPr="00B35695">
        <w:rPr>
          <w:rFonts w:ascii="Cambria" w:hAnsi="Cambria"/>
          <w:bCs/>
          <w:sz w:val="20"/>
          <w:szCs w:val="20"/>
          <w:lang w:val="es-ES_tradnl"/>
        </w:rPr>
        <w:lastRenderedPageBreak/>
        <w:t xml:space="preserve">de respetar los derechos) y 2 (deber de adoptar disposiciones de derecho interno), en perjuicio del señor </w:t>
      </w:r>
      <w:r w:rsidRPr="00B35695">
        <w:rPr>
          <w:rFonts w:ascii="Cambria" w:hAnsi="Cambria"/>
          <w:bCs/>
          <w:sz w:val="20"/>
          <w:szCs w:val="20"/>
          <w:lang w:val="es-ES_tradnl"/>
        </w:rPr>
        <w:t xml:space="preserve">Ciro </w:t>
      </w:r>
      <w:r w:rsidR="00774912" w:rsidRPr="00B35695">
        <w:rPr>
          <w:rFonts w:ascii="Cambria" w:hAnsi="Cambria"/>
          <w:bCs/>
          <w:sz w:val="20"/>
          <w:szCs w:val="20"/>
          <w:lang w:val="es-ES_tradnl"/>
        </w:rPr>
        <w:t xml:space="preserve">Ramírez </w:t>
      </w:r>
      <w:r w:rsidRPr="00B35695">
        <w:rPr>
          <w:rFonts w:ascii="Cambria" w:hAnsi="Cambria"/>
          <w:bCs/>
          <w:sz w:val="20"/>
          <w:szCs w:val="20"/>
          <w:lang w:val="es-ES_tradnl"/>
        </w:rPr>
        <w:t xml:space="preserve">Pinzón. </w:t>
      </w:r>
    </w:p>
    <w:p w:rsidR="00AB1BA1" w:rsidRPr="00B35695" w:rsidRDefault="00AB1BA1" w:rsidP="00AB1B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B35695">
        <w:rPr>
          <w:rFonts w:ascii="Cambria" w:hAnsi="Cambria"/>
          <w:bCs/>
          <w:sz w:val="20"/>
          <w:szCs w:val="20"/>
          <w:lang w:val="es-ES_tradnl"/>
        </w:rPr>
        <w:t>32.</w:t>
      </w:r>
      <w:r w:rsidRPr="00B35695">
        <w:rPr>
          <w:rFonts w:ascii="Cambria" w:hAnsi="Cambria"/>
          <w:bCs/>
          <w:sz w:val="20"/>
          <w:szCs w:val="20"/>
          <w:lang w:val="es-ES_tradnl"/>
        </w:rPr>
        <w:tab/>
      </w:r>
      <w:r w:rsidR="005F31F3" w:rsidRPr="00B35695">
        <w:rPr>
          <w:rFonts w:ascii="Cambria" w:hAnsi="Cambria"/>
          <w:bCs/>
          <w:sz w:val="20"/>
          <w:szCs w:val="20"/>
          <w:lang w:val="es-ES_tradnl"/>
        </w:rPr>
        <w:t xml:space="preserve">En cuanto al reclamo sobre la presunta violación de los artículos 5 (derecho a la integridad personal), 10 (derecho a indemnización), 11 (protección de la honra y de la dignidad) y 24 (igualdad ante la ley) de la Convención Americana; además del artículo 9 (principio de legalidad y retroactividad) ya desarrollado extensamente, la Comisión observa que los peticionarios no han ofrecido alegatos o sustento suficiente que permita considerar </w:t>
      </w:r>
      <w:r w:rsidR="005F31F3" w:rsidRPr="00B35695">
        <w:rPr>
          <w:rFonts w:ascii="Cambria" w:hAnsi="Cambria"/>
          <w:bCs/>
          <w:i/>
          <w:sz w:val="20"/>
          <w:szCs w:val="20"/>
          <w:lang w:val="es-ES_tradnl"/>
        </w:rPr>
        <w:t>prima facie</w:t>
      </w:r>
      <w:r w:rsidR="005F31F3" w:rsidRPr="00B35695">
        <w:rPr>
          <w:rFonts w:ascii="Cambria" w:hAnsi="Cambria"/>
          <w:bCs/>
          <w:sz w:val="20"/>
          <w:szCs w:val="20"/>
          <w:lang w:val="es-ES_tradnl"/>
        </w:rPr>
        <w:t xml:space="preserve"> su posible violación.</w:t>
      </w:r>
    </w:p>
    <w:p w:rsidR="003239B8" w:rsidRPr="00B35695" w:rsidRDefault="003239B8" w:rsidP="003239B8">
      <w:pPr>
        <w:pStyle w:val="ListParagraph"/>
        <w:spacing w:before="240" w:after="240"/>
        <w:jc w:val="both"/>
        <w:rPr>
          <w:b/>
          <w:bCs/>
          <w:sz w:val="20"/>
          <w:szCs w:val="20"/>
          <w:lang w:val="es-ES_tradnl"/>
        </w:rPr>
      </w:pPr>
      <w:r w:rsidRPr="00B35695">
        <w:rPr>
          <w:b/>
          <w:bCs/>
          <w:sz w:val="20"/>
          <w:szCs w:val="20"/>
          <w:lang w:val="es-ES_tradnl"/>
        </w:rPr>
        <w:t xml:space="preserve">VIII. </w:t>
      </w:r>
      <w:r w:rsidRPr="00B35695">
        <w:rPr>
          <w:b/>
          <w:bCs/>
          <w:sz w:val="20"/>
          <w:szCs w:val="20"/>
          <w:lang w:val="es-ES_tradnl"/>
        </w:rPr>
        <w:tab/>
        <w:t>DECISIÓN</w:t>
      </w:r>
    </w:p>
    <w:p w:rsidR="003239B8" w:rsidRPr="00B35695"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695">
        <w:rPr>
          <w:rFonts w:ascii="Cambria" w:hAnsi="Cambria"/>
          <w:sz w:val="20"/>
          <w:szCs w:val="20"/>
          <w:lang w:val="es-ES_tradnl"/>
        </w:rPr>
        <w:t xml:space="preserve">Declarar admisible la presente petición en relación con </w:t>
      </w:r>
      <w:r w:rsidR="001E6058" w:rsidRPr="00B35695">
        <w:rPr>
          <w:rFonts w:ascii="Cambria" w:hAnsi="Cambria"/>
          <w:sz w:val="20"/>
          <w:szCs w:val="20"/>
          <w:lang w:val="es-ES_tradnl"/>
        </w:rPr>
        <w:t xml:space="preserve">los artículos 7, 8, </w:t>
      </w:r>
      <w:r w:rsidR="00774912" w:rsidRPr="00B35695">
        <w:rPr>
          <w:rFonts w:ascii="Cambria" w:hAnsi="Cambria"/>
          <w:sz w:val="20"/>
          <w:szCs w:val="20"/>
          <w:lang w:val="es-ES_tradnl"/>
        </w:rPr>
        <w:t>21 y 25 de la Convención Americana, en conexión con sus artículos 1.1 y 2</w:t>
      </w:r>
      <w:r w:rsidR="00A758AA" w:rsidRPr="00B35695">
        <w:rPr>
          <w:rFonts w:ascii="Cambria" w:hAnsi="Cambria"/>
          <w:sz w:val="20"/>
          <w:szCs w:val="20"/>
          <w:lang w:val="es-ES_tradnl"/>
        </w:rPr>
        <w:t>;</w:t>
      </w:r>
    </w:p>
    <w:p w:rsidR="000419AD" w:rsidRPr="00B35695" w:rsidRDefault="000419AD" w:rsidP="00774912">
      <w:pPr>
        <w:pStyle w:val="ListParagraph"/>
        <w:numPr>
          <w:ilvl w:val="0"/>
          <w:numId w:val="55"/>
        </w:numPr>
        <w:jc w:val="both"/>
        <w:rPr>
          <w:rFonts w:eastAsia="Arial Unicode MS" w:cs="Times New Roman"/>
          <w:color w:val="auto"/>
          <w:sz w:val="20"/>
          <w:szCs w:val="20"/>
          <w:lang w:val="es-ES_tradnl" w:eastAsia="en-US"/>
        </w:rPr>
      </w:pPr>
      <w:r w:rsidRPr="00B35695">
        <w:rPr>
          <w:rFonts w:eastAsia="Arial Unicode MS" w:cs="Times New Roman"/>
          <w:color w:val="auto"/>
          <w:sz w:val="20"/>
          <w:szCs w:val="20"/>
          <w:lang w:val="es-ES_tradnl" w:eastAsia="en-US"/>
        </w:rPr>
        <w:t xml:space="preserve">Declarar inadmisible la presente petición en relación con </w:t>
      </w:r>
      <w:r w:rsidR="00DE5ECC" w:rsidRPr="00B35695">
        <w:rPr>
          <w:rFonts w:eastAsia="Arial Unicode MS" w:cs="Times New Roman"/>
          <w:color w:val="auto"/>
          <w:sz w:val="20"/>
          <w:szCs w:val="20"/>
          <w:lang w:val="es-ES_tradnl" w:eastAsia="en-US"/>
        </w:rPr>
        <w:t xml:space="preserve">los artículos </w:t>
      </w:r>
      <w:r w:rsidR="001E6058" w:rsidRPr="00B35695">
        <w:rPr>
          <w:rFonts w:eastAsia="Arial Unicode MS" w:cs="Times New Roman"/>
          <w:color w:val="auto"/>
          <w:sz w:val="20"/>
          <w:szCs w:val="20"/>
          <w:lang w:val="es-ES_tradnl" w:eastAsia="en-US"/>
        </w:rPr>
        <w:t xml:space="preserve">5, </w:t>
      </w:r>
      <w:r w:rsidR="00DE5ECC" w:rsidRPr="00B35695">
        <w:rPr>
          <w:rFonts w:eastAsia="Arial Unicode MS" w:cs="Times New Roman"/>
          <w:color w:val="auto"/>
          <w:sz w:val="20"/>
          <w:szCs w:val="20"/>
          <w:lang w:val="es-ES_tradnl" w:eastAsia="en-US"/>
        </w:rPr>
        <w:t>9</w:t>
      </w:r>
      <w:r w:rsidR="001E6058" w:rsidRPr="00B35695">
        <w:rPr>
          <w:rFonts w:eastAsia="Arial Unicode MS" w:cs="Times New Roman"/>
          <w:color w:val="auto"/>
          <w:sz w:val="20"/>
          <w:szCs w:val="20"/>
          <w:lang w:val="es-ES_tradnl" w:eastAsia="en-US"/>
        </w:rPr>
        <w:t>, 10, 11</w:t>
      </w:r>
      <w:r w:rsidR="00DE5ECC" w:rsidRPr="00B35695">
        <w:rPr>
          <w:rFonts w:eastAsia="Arial Unicode MS" w:cs="Times New Roman"/>
          <w:color w:val="auto"/>
          <w:sz w:val="20"/>
          <w:szCs w:val="20"/>
          <w:lang w:val="es-ES_tradnl" w:eastAsia="en-US"/>
        </w:rPr>
        <w:t xml:space="preserve"> y 24 de la Convención Americana</w:t>
      </w:r>
      <w:r w:rsidR="00A758AA" w:rsidRPr="00B35695">
        <w:rPr>
          <w:rFonts w:eastAsia="Arial Unicode MS" w:cs="Times New Roman"/>
          <w:color w:val="auto"/>
          <w:sz w:val="20"/>
          <w:szCs w:val="20"/>
          <w:lang w:val="es-ES_tradnl" w:eastAsia="en-US"/>
        </w:rPr>
        <w:t>;</w:t>
      </w:r>
      <w:r w:rsidR="004A6A54" w:rsidRPr="00B35695">
        <w:rPr>
          <w:rFonts w:eastAsia="Arial Unicode MS" w:cs="Times New Roman"/>
          <w:color w:val="auto"/>
          <w:sz w:val="20"/>
          <w:szCs w:val="20"/>
          <w:lang w:val="es-ES_tradnl" w:eastAsia="en-US"/>
        </w:rPr>
        <w:t xml:space="preserve"> y</w:t>
      </w:r>
    </w:p>
    <w:p w:rsidR="000419AD" w:rsidRPr="00B35695" w:rsidRDefault="000419AD" w:rsidP="000419AD">
      <w:pPr>
        <w:pStyle w:val="ListParagraph"/>
        <w:rPr>
          <w:rFonts w:eastAsia="Arial Unicode MS" w:cs="Times New Roman"/>
          <w:color w:val="auto"/>
          <w:sz w:val="20"/>
          <w:szCs w:val="20"/>
          <w:lang w:val="es-ES_tradnl" w:eastAsia="en-US"/>
        </w:rPr>
      </w:pPr>
    </w:p>
    <w:p w:rsidR="00F34022" w:rsidRPr="00B35695" w:rsidRDefault="004A6A54" w:rsidP="00F340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35695">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F34022" w:rsidRPr="00B35695" w:rsidRDefault="00F34022" w:rsidP="00F34022">
      <w:pPr>
        <w:ind w:firstLine="720"/>
        <w:jc w:val="both"/>
        <w:rPr>
          <w:rFonts w:ascii="Cambria" w:hAnsi="Cambria" w:cs="Arial"/>
          <w:noProof/>
          <w:spacing w:val="-2"/>
          <w:sz w:val="20"/>
          <w:szCs w:val="20"/>
          <w:lang w:val="es-CL"/>
        </w:rPr>
      </w:pPr>
      <w:r w:rsidRPr="00B35695">
        <w:rPr>
          <w:rFonts w:ascii="Cambria" w:hAnsi="Cambria" w:cs="Arial"/>
          <w:noProof/>
          <w:spacing w:val="-2"/>
          <w:sz w:val="20"/>
          <w:szCs w:val="20"/>
          <w:lang w:val="es-CL"/>
        </w:rPr>
        <w:t>Aprobado por la Comisión Interamericana de Derechos Humanos  a los 9 días del mes de marzo de 2021.  (Firmado): Joel Hernández, Presidente; Antonia Urrejola, Primera Vicepresidenta; Esmeralda E. Arosemena Bernal de Troitiño y Stuardo Ralón Orellana, Miembros de la Comisión.</w:t>
      </w:r>
      <w:r w:rsidRPr="00B35695">
        <w:rPr>
          <w:rFonts w:ascii="Cambria" w:hAnsi="Cambria" w:cs="Arial"/>
          <w:noProof/>
          <w:sz w:val="20"/>
          <w:szCs w:val="20"/>
          <w:lang w:val="es-CL"/>
        </w:rPr>
        <w:t xml:space="preserve"> </w:t>
      </w:r>
    </w:p>
    <w:p w:rsidR="00F34022" w:rsidRPr="00B35695" w:rsidRDefault="00F34022" w:rsidP="00F34022">
      <w:pPr>
        <w:suppressAutoHyphens/>
        <w:ind w:firstLine="720"/>
        <w:jc w:val="both"/>
        <w:rPr>
          <w:rFonts w:ascii="Cambria" w:hAnsi="Cambria" w:cs="Arial"/>
          <w:noProof/>
          <w:spacing w:val="-2"/>
          <w:sz w:val="20"/>
          <w:szCs w:val="20"/>
          <w:lang w:val="es-CL"/>
        </w:rPr>
      </w:pPr>
    </w:p>
    <w:sectPr w:rsidR="00F34022" w:rsidRPr="00B3569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91" w:rsidRDefault="00E82491">
      <w:r>
        <w:separator/>
      </w:r>
    </w:p>
  </w:endnote>
  <w:endnote w:type="continuationSeparator" w:id="0">
    <w:p w:rsidR="00E82491" w:rsidRDefault="00E8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A5" w:rsidRDefault="00464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F31995" w:rsidRPr="00934A2C" w:rsidRDefault="00F3199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31209">
          <w:rPr>
            <w:noProof/>
            <w:sz w:val="16"/>
            <w:szCs w:val="22"/>
          </w:rPr>
          <w:t>10</w:t>
        </w:r>
        <w:r w:rsidRPr="00934A2C">
          <w:rPr>
            <w:noProof/>
            <w:sz w:val="16"/>
            <w:szCs w:val="22"/>
          </w:rPr>
          <w:fldChar w:fldCharType="end"/>
        </w:r>
      </w:p>
    </w:sdtContent>
  </w:sdt>
  <w:p w:rsidR="00F31995" w:rsidRDefault="00F319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95" w:rsidRPr="00934A2C" w:rsidRDefault="00F31995">
    <w:pPr>
      <w:pStyle w:val="Footer"/>
      <w:jc w:val="center"/>
      <w:rPr>
        <w:sz w:val="16"/>
        <w:szCs w:val="22"/>
      </w:rPr>
    </w:pPr>
  </w:p>
  <w:p w:rsidR="00F31995" w:rsidRDefault="00F3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91" w:rsidRPr="000F35ED" w:rsidRDefault="00E8249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E82491" w:rsidRPr="000F35ED" w:rsidRDefault="00E82491" w:rsidP="000F35ED">
      <w:pPr>
        <w:rPr>
          <w:rFonts w:asciiTheme="majorHAnsi" w:hAnsiTheme="majorHAnsi"/>
          <w:sz w:val="16"/>
          <w:szCs w:val="16"/>
        </w:rPr>
      </w:pPr>
      <w:r w:rsidRPr="000F35ED">
        <w:rPr>
          <w:rFonts w:asciiTheme="majorHAnsi" w:hAnsiTheme="majorHAnsi"/>
          <w:sz w:val="16"/>
          <w:szCs w:val="16"/>
        </w:rPr>
        <w:separator/>
      </w:r>
    </w:p>
    <w:p w:rsidR="00E82491" w:rsidRPr="000F35ED" w:rsidRDefault="00E8249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E82491" w:rsidRPr="000F35ED" w:rsidRDefault="00E8249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31995" w:rsidRPr="004E7C19" w:rsidRDefault="00F31995" w:rsidP="004E7C19">
      <w:pPr>
        <w:pStyle w:val="FootnoteText"/>
        <w:ind w:firstLine="720"/>
        <w:rPr>
          <w:rFonts w:asciiTheme="majorHAnsi" w:hAnsiTheme="majorHAnsi"/>
          <w:sz w:val="16"/>
          <w:szCs w:val="16"/>
          <w:lang w:val="es-CO"/>
        </w:rPr>
      </w:pPr>
      <w:r w:rsidRPr="004E7C19">
        <w:rPr>
          <w:rStyle w:val="FootnoteReference"/>
          <w:rFonts w:asciiTheme="majorHAnsi" w:hAnsiTheme="majorHAnsi"/>
          <w:sz w:val="16"/>
          <w:szCs w:val="16"/>
        </w:rPr>
        <w:footnoteRef/>
      </w:r>
      <w:r w:rsidRPr="004E7C19">
        <w:rPr>
          <w:rFonts w:asciiTheme="majorHAnsi" w:hAnsiTheme="majorHAnsi"/>
          <w:sz w:val="16"/>
          <w:szCs w:val="16"/>
          <w:lang w:val="es-CO"/>
        </w:rPr>
        <w:t xml:space="preserve"> Organización representada ante la CIDH por el abogado Ricardo Cifuentes Salamanca.</w:t>
      </w:r>
    </w:p>
  </w:footnote>
  <w:footnote w:id="3">
    <w:p w:rsidR="00F31995" w:rsidRPr="00E51FBA" w:rsidRDefault="00F31995" w:rsidP="00E51FBA">
      <w:pPr>
        <w:pStyle w:val="FootnoteText"/>
        <w:ind w:firstLine="720"/>
        <w:rPr>
          <w:rFonts w:asciiTheme="majorHAnsi" w:hAnsiTheme="majorHAnsi"/>
          <w:sz w:val="16"/>
          <w:szCs w:val="16"/>
          <w:lang w:val="es-CO"/>
        </w:rPr>
      </w:pPr>
      <w:r w:rsidRPr="00E51FBA">
        <w:rPr>
          <w:rStyle w:val="FootnoteReference"/>
          <w:rFonts w:asciiTheme="majorHAnsi" w:hAnsiTheme="majorHAnsi"/>
          <w:sz w:val="16"/>
          <w:szCs w:val="16"/>
        </w:rPr>
        <w:footnoteRef/>
      </w:r>
      <w:r w:rsidRPr="00E51FBA">
        <w:rPr>
          <w:rFonts w:asciiTheme="majorHAnsi" w:hAnsiTheme="majorHAnsi"/>
          <w:sz w:val="16"/>
          <w:szCs w:val="16"/>
          <w:lang w:val="es-CO"/>
        </w:rPr>
        <w:t xml:space="preserve"> En adelante, “la Convención Americana” o “la Convención”.</w:t>
      </w:r>
    </w:p>
  </w:footnote>
  <w:footnote w:id="4">
    <w:p w:rsidR="00F31995" w:rsidRPr="00306F33" w:rsidRDefault="00F31995"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r w:rsidR="00AA6E38">
        <w:rPr>
          <w:rFonts w:asciiTheme="majorHAnsi" w:hAnsiTheme="majorHAnsi"/>
          <w:sz w:val="16"/>
          <w:szCs w:val="16"/>
          <w:lang w:val="es-ES"/>
        </w:rPr>
        <w:t xml:space="preserve"> En 2021 el peticionario solicitó se le diera celeridad al trámite de su petición. </w:t>
      </w:r>
    </w:p>
  </w:footnote>
  <w:footnote w:id="5">
    <w:p w:rsidR="00321F50" w:rsidRPr="00F752CD" w:rsidRDefault="00321F50" w:rsidP="00321F50">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161/17, Petición 29-07. Admisibilidad. </w:t>
      </w:r>
      <w:r w:rsidRPr="00B35695">
        <w:rPr>
          <w:rFonts w:ascii="Cambria" w:hAnsi="Cambria"/>
          <w:sz w:val="16"/>
          <w:szCs w:val="16"/>
          <w:lang w:val="es-US"/>
        </w:rPr>
        <w:t xml:space="preserve">Andy Williams Garcés Suárez y familia. </w:t>
      </w:r>
      <w:r w:rsidRPr="00F752CD">
        <w:rPr>
          <w:rFonts w:ascii="Cambria" w:hAnsi="Cambria"/>
          <w:sz w:val="16"/>
          <w:szCs w:val="16"/>
          <w:lang w:val="es-ES"/>
        </w:rPr>
        <w:t>Perú. 30 de noviembre de 2017, párr. 12.</w:t>
      </w:r>
    </w:p>
  </w:footnote>
  <w:footnote w:id="6">
    <w:p w:rsidR="00321F50" w:rsidRPr="00950DEA" w:rsidRDefault="00321F50" w:rsidP="00321F50">
      <w:pPr>
        <w:pStyle w:val="FootnoteText"/>
        <w:ind w:firstLine="720"/>
        <w:jc w:val="both"/>
        <w:rPr>
          <w:rFonts w:asciiTheme="majorHAnsi" w:hAnsiTheme="majorHAnsi"/>
          <w:sz w:val="16"/>
          <w:szCs w:val="16"/>
          <w:lang w:val="es-CO"/>
        </w:rPr>
      </w:pPr>
      <w:r w:rsidRPr="00950DEA">
        <w:rPr>
          <w:rStyle w:val="FootnoteReference"/>
          <w:rFonts w:asciiTheme="majorHAnsi" w:hAnsiTheme="majorHAnsi"/>
          <w:sz w:val="16"/>
          <w:szCs w:val="16"/>
        </w:rPr>
        <w:footnoteRef/>
      </w:r>
      <w:r w:rsidRPr="00950DEA">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11 y </w:t>
      </w:r>
      <w:proofErr w:type="spellStart"/>
      <w:r w:rsidRPr="00950DEA">
        <w:rPr>
          <w:rFonts w:asciiTheme="majorHAnsi" w:hAnsiTheme="majorHAnsi"/>
          <w:sz w:val="16"/>
          <w:szCs w:val="16"/>
          <w:lang w:val="es-CO"/>
        </w:rPr>
        <w:t>ss</w:t>
      </w:r>
      <w:proofErr w:type="spellEnd"/>
      <w:r w:rsidRPr="00950DEA">
        <w:rPr>
          <w:rFonts w:asciiTheme="majorHAnsi" w:hAnsiTheme="majorHAnsi"/>
          <w:sz w:val="16"/>
          <w:szCs w:val="16"/>
          <w:lang w:val="es-CO"/>
        </w:rPr>
        <w:t xml:space="preserve">; Informe No. 167/17. Admisibilidad. Alberto </w:t>
      </w:r>
      <w:proofErr w:type="spellStart"/>
      <w:r w:rsidRPr="00950DEA">
        <w:rPr>
          <w:rFonts w:asciiTheme="majorHAnsi" w:hAnsiTheme="majorHAnsi"/>
          <w:sz w:val="16"/>
          <w:szCs w:val="16"/>
          <w:lang w:val="es-CO"/>
        </w:rPr>
        <w:t>Patishtán</w:t>
      </w:r>
      <w:proofErr w:type="spellEnd"/>
      <w:r w:rsidRPr="00950DEA">
        <w:rPr>
          <w:rFonts w:asciiTheme="majorHAnsi" w:hAnsiTheme="majorHAnsi"/>
          <w:sz w:val="16"/>
          <w:szCs w:val="16"/>
          <w:lang w:val="es-CO"/>
        </w:rPr>
        <w:t xml:space="preserve"> Gómez. México. 1º de diciembre de 2017, </w:t>
      </w:r>
      <w:proofErr w:type="spellStart"/>
      <w:r w:rsidRPr="00950DEA">
        <w:rPr>
          <w:rFonts w:asciiTheme="majorHAnsi" w:hAnsiTheme="majorHAnsi"/>
          <w:sz w:val="16"/>
          <w:szCs w:val="16"/>
          <w:lang w:val="es-CO"/>
        </w:rPr>
        <w:t>párrs</w:t>
      </w:r>
      <w:proofErr w:type="spellEnd"/>
      <w:r w:rsidRPr="00950DEA">
        <w:rPr>
          <w:rFonts w:asciiTheme="majorHAnsi" w:hAnsiTheme="majorHAnsi"/>
          <w:sz w:val="16"/>
          <w:szCs w:val="16"/>
          <w:lang w:val="es-CO"/>
        </w:rPr>
        <w:t xml:space="preserve">. 13 y ss. </w:t>
      </w:r>
    </w:p>
  </w:footnote>
  <w:footnote w:id="7">
    <w:p w:rsidR="00F31995" w:rsidRPr="00F94050" w:rsidRDefault="00F31995" w:rsidP="00774912">
      <w:pPr>
        <w:pStyle w:val="FootnoteText"/>
        <w:ind w:firstLine="720"/>
        <w:jc w:val="both"/>
        <w:rPr>
          <w:rFonts w:asciiTheme="majorHAnsi" w:hAnsiTheme="majorHAnsi"/>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w:t>
      </w:r>
      <w:r w:rsidRPr="00F94050">
        <w:rPr>
          <w:rFonts w:asciiTheme="majorHAnsi" w:hAnsiTheme="majorHAnsi"/>
          <w:sz w:val="16"/>
          <w:szCs w:val="16"/>
          <w:lang w:val="es-ES_tradnl"/>
        </w:rPr>
        <w:t xml:space="preserve"> Petición 681-00. Admisibilidad. Guillermo Patricio Lynn. Argentina. 16 de octubre de 2008, párr. 48.</w:t>
      </w:r>
    </w:p>
  </w:footnote>
  <w:footnote w:id="8">
    <w:p w:rsidR="00E4226A" w:rsidRPr="00C91314" w:rsidRDefault="00E4226A" w:rsidP="00E4226A">
      <w:pPr>
        <w:pStyle w:val="FootnoteText"/>
        <w:ind w:firstLine="720"/>
        <w:rPr>
          <w:lang w:val="es-CO"/>
        </w:rPr>
      </w:pPr>
      <w:r w:rsidRPr="00EF1242">
        <w:rPr>
          <w:rStyle w:val="FootnoteReference"/>
          <w:rFonts w:asciiTheme="majorHAnsi" w:hAnsiTheme="majorHAnsi"/>
          <w:sz w:val="16"/>
          <w:szCs w:val="16"/>
        </w:rPr>
        <w:footnoteRef/>
      </w:r>
      <w:r w:rsidRPr="00EF1242">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w:t>
      </w:r>
      <w:proofErr w:type="spellStart"/>
      <w:r w:rsidRPr="00EF1242">
        <w:rPr>
          <w:rFonts w:asciiTheme="majorHAnsi" w:hAnsiTheme="majorHAnsi"/>
          <w:sz w:val="16"/>
          <w:szCs w:val="16"/>
          <w:lang w:val="es-CO"/>
        </w:rPr>
        <w:t>Ballivián</w:t>
      </w:r>
      <w:proofErr w:type="spellEnd"/>
      <w:r w:rsidRPr="00EF1242">
        <w:rPr>
          <w:rFonts w:asciiTheme="majorHAnsi" w:hAnsiTheme="majorHAnsi"/>
          <w:sz w:val="16"/>
          <w:szCs w:val="16"/>
          <w:lang w:val="es-CO"/>
        </w:rPr>
        <w:t xml:space="preserve"> Jiménez. Argentina. 3 de julio de 2019, párr. 16; Informe No. 111/19. Petición 335-08. Admisibilidad. Marcelo Gerardo Pereyra. </w:t>
      </w:r>
      <w:r w:rsidRPr="00B858E4">
        <w:rPr>
          <w:rFonts w:asciiTheme="majorHAnsi" w:hAnsiTheme="majorHAnsi"/>
          <w:sz w:val="16"/>
          <w:szCs w:val="16"/>
          <w:lang w:val="es-CO"/>
        </w:rPr>
        <w:t>Argentina. 7 de junio de 2019, párr. 13.</w:t>
      </w:r>
    </w:p>
  </w:footnote>
  <w:footnote w:id="9">
    <w:p w:rsidR="00F31995" w:rsidRPr="003156C2" w:rsidRDefault="00F31995" w:rsidP="004E7C19">
      <w:pPr>
        <w:pStyle w:val="FootnoteText"/>
        <w:ind w:firstLine="720"/>
        <w:rPr>
          <w:rFonts w:asciiTheme="majorHAnsi" w:hAnsiTheme="majorHAnsi"/>
          <w:sz w:val="16"/>
          <w:szCs w:val="16"/>
          <w:lang w:val="es-CO"/>
        </w:rPr>
      </w:pPr>
      <w:r w:rsidRPr="003156C2">
        <w:rPr>
          <w:rStyle w:val="FootnoteReference"/>
          <w:rFonts w:asciiTheme="majorHAnsi" w:hAnsiTheme="majorHAnsi"/>
          <w:sz w:val="16"/>
          <w:szCs w:val="16"/>
        </w:rPr>
        <w:footnoteRef/>
      </w:r>
      <w:r w:rsidRPr="00F34022">
        <w:rPr>
          <w:rFonts w:asciiTheme="majorHAnsi" w:hAnsiTheme="majorHAnsi"/>
          <w:sz w:val="16"/>
          <w:szCs w:val="16"/>
          <w:lang w:val="pt-BR"/>
        </w:rPr>
        <w:t xml:space="preserve"> </w:t>
      </w:r>
      <w:r w:rsidRPr="00F34022">
        <w:rPr>
          <w:rFonts w:asciiTheme="majorHAnsi" w:hAnsiTheme="majorHAnsi"/>
          <w:sz w:val="16"/>
          <w:szCs w:val="16"/>
          <w:lang w:val="pt-BR"/>
        </w:rPr>
        <w:t xml:space="preserve">Corte IDH. Caso Liakat Ali Alibux v. Surinam. </w:t>
      </w:r>
      <w:r w:rsidRPr="003156C2">
        <w:rPr>
          <w:rFonts w:asciiTheme="majorHAnsi" w:hAnsiTheme="majorHAnsi"/>
          <w:sz w:val="16"/>
          <w:szCs w:val="16"/>
          <w:lang w:val="es-CO"/>
        </w:rPr>
        <w:t xml:space="preserve">Excepciones Preliminares, Fondo, Reparaciones y Costas. Sentencia de 30 de enero de 2014. Serie C No. 276, </w:t>
      </w:r>
      <w:proofErr w:type="spellStart"/>
      <w:r w:rsidRPr="003156C2">
        <w:rPr>
          <w:rFonts w:asciiTheme="majorHAnsi" w:hAnsiTheme="majorHAnsi"/>
          <w:sz w:val="16"/>
          <w:szCs w:val="16"/>
          <w:lang w:val="es-CO"/>
        </w:rPr>
        <w:t>párrs</w:t>
      </w:r>
      <w:proofErr w:type="spellEnd"/>
      <w:r w:rsidRPr="003156C2">
        <w:rPr>
          <w:rFonts w:asciiTheme="majorHAnsi" w:hAnsiTheme="majorHAnsi"/>
          <w:sz w:val="16"/>
          <w:szCs w:val="16"/>
          <w:lang w:val="es-CO"/>
        </w:rPr>
        <w:t>. 69-70.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95" w:rsidRDefault="00F31995" w:rsidP="00F3199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31995" w:rsidRDefault="00F31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95" w:rsidRDefault="00F31995"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31995" w:rsidRPr="00EC7D62" w:rsidRDefault="00E82491"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A5" w:rsidRDefault="00464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33"/>
  </w:num>
  <w:num w:numId="60">
    <w:abstractNumId w:val="33"/>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5D01"/>
    <w:rsid w:val="00006E1F"/>
    <w:rsid w:val="000070D7"/>
    <w:rsid w:val="000131D2"/>
    <w:rsid w:val="0001788C"/>
    <w:rsid w:val="000337EF"/>
    <w:rsid w:val="00040C3A"/>
    <w:rsid w:val="000414FD"/>
    <w:rsid w:val="000419AD"/>
    <w:rsid w:val="000433C9"/>
    <w:rsid w:val="00043AD6"/>
    <w:rsid w:val="0005382B"/>
    <w:rsid w:val="00071174"/>
    <w:rsid w:val="000716C5"/>
    <w:rsid w:val="00075E23"/>
    <w:rsid w:val="0009344A"/>
    <w:rsid w:val="000A392E"/>
    <w:rsid w:val="000A575F"/>
    <w:rsid w:val="000B3835"/>
    <w:rsid w:val="000D05CB"/>
    <w:rsid w:val="000D10DB"/>
    <w:rsid w:val="000E5EB5"/>
    <w:rsid w:val="000F35ED"/>
    <w:rsid w:val="00107131"/>
    <w:rsid w:val="0010736F"/>
    <w:rsid w:val="00113F73"/>
    <w:rsid w:val="001150F3"/>
    <w:rsid w:val="00121CC2"/>
    <w:rsid w:val="00131425"/>
    <w:rsid w:val="00133EE5"/>
    <w:rsid w:val="00167A34"/>
    <w:rsid w:val="001863F6"/>
    <w:rsid w:val="001A520D"/>
    <w:rsid w:val="001A7870"/>
    <w:rsid w:val="001B3A00"/>
    <w:rsid w:val="001C1B41"/>
    <w:rsid w:val="001D65EF"/>
    <w:rsid w:val="001E49E7"/>
    <w:rsid w:val="001E6058"/>
    <w:rsid w:val="001F7201"/>
    <w:rsid w:val="001F7D43"/>
    <w:rsid w:val="00217177"/>
    <w:rsid w:val="00223A29"/>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05835"/>
    <w:rsid w:val="00306F33"/>
    <w:rsid w:val="00314078"/>
    <w:rsid w:val="00315277"/>
    <w:rsid w:val="0031535D"/>
    <w:rsid w:val="00321F50"/>
    <w:rsid w:val="003239B8"/>
    <w:rsid w:val="00326DEA"/>
    <w:rsid w:val="0033169F"/>
    <w:rsid w:val="003419D7"/>
    <w:rsid w:val="00344977"/>
    <w:rsid w:val="00346C95"/>
    <w:rsid w:val="00356185"/>
    <w:rsid w:val="00360380"/>
    <w:rsid w:val="00374E3C"/>
    <w:rsid w:val="0037519E"/>
    <w:rsid w:val="00386CF0"/>
    <w:rsid w:val="003B70FB"/>
    <w:rsid w:val="003C0610"/>
    <w:rsid w:val="003C676B"/>
    <w:rsid w:val="003D3BC2"/>
    <w:rsid w:val="003E4ED6"/>
    <w:rsid w:val="003E6CA1"/>
    <w:rsid w:val="003F5154"/>
    <w:rsid w:val="00405F9C"/>
    <w:rsid w:val="004065A8"/>
    <w:rsid w:val="004165C2"/>
    <w:rsid w:val="00441ECB"/>
    <w:rsid w:val="00445193"/>
    <w:rsid w:val="00462C1B"/>
    <w:rsid w:val="004641A5"/>
    <w:rsid w:val="00467B7E"/>
    <w:rsid w:val="00473BB4"/>
    <w:rsid w:val="00477592"/>
    <w:rsid w:val="00486F1C"/>
    <w:rsid w:val="0049419D"/>
    <w:rsid w:val="004A6A54"/>
    <w:rsid w:val="004B421C"/>
    <w:rsid w:val="004C162A"/>
    <w:rsid w:val="004C20D2"/>
    <w:rsid w:val="004C2312"/>
    <w:rsid w:val="004C4B62"/>
    <w:rsid w:val="004C54C9"/>
    <w:rsid w:val="004D4ABA"/>
    <w:rsid w:val="004D6025"/>
    <w:rsid w:val="004E2649"/>
    <w:rsid w:val="004E7C19"/>
    <w:rsid w:val="004F626F"/>
    <w:rsid w:val="00501379"/>
    <w:rsid w:val="00501399"/>
    <w:rsid w:val="005047ED"/>
    <w:rsid w:val="0050633D"/>
    <w:rsid w:val="00506596"/>
    <w:rsid w:val="00507BC4"/>
    <w:rsid w:val="005128E4"/>
    <w:rsid w:val="005133DB"/>
    <w:rsid w:val="00514504"/>
    <w:rsid w:val="005178AF"/>
    <w:rsid w:val="00520CCE"/>
    <w:rsid w:val="00521E1F"/>
    <w:rsid w:val="00525560"/>
    <w:rsid w:val="00544C49"/>
    <w:rsid w:val="005516A1"/>
    <w:rsid w:val="005559EF"/>
    <w:rsid w:val="00563557"/>
    <w:rsid w:val="0057402A"/>
    <w:rsid w:val="005771D0"/>
    <w:rsid w:val="0059191A"/>
    <w:rsid w:val="005921FF"/>
    <w:rsid w:val="005A24ED"/>
    <w:rsid w:val="005A282C"/>
    <w:rsid w:val="005A33A2"/>
    <w:rsid w:val="005A6D0E"/>
    <w:rsid w:val="005A776F"/>
    <w:rsid w:val="005B52B0"/>
    <w:rsid w:val="005B6806"/>
    <w:rsid w:val="005C4225"/>
    <w:rsid w:val="005E1BA7"/>
    <w:rsid w:val="005F0DAD"/>
    <w:rsid w:val="005F0F33"/>
    <w:rsid w:val="005F31F3"/>
    <w:rsid w:val="00600DEB"/>
    <w:rsid w:val="00616341"/>
    <w:rsid w:val="00627C9F"/>
    <w:rsid w:val="006311E9"/>
    <w:rsid w:val="00631209"/>
    <w:rsid w:val="00632354"/>
    <w:rsid w:val="00635421"/>
    <w:rsid w:val="00642810"/>
    <w:rsid w:val="00652333"/>
    <w:rsid w:val="006721A7"/>
    <w:rsid w:val="0068009E"/>
    <w:rsid w:val="00680EFA"/>
    <w:rsid w:val="00692219"/>
    <w:rsid w:val="006A17D2"/>
    <w:rsid w:val="006A73E6"/>
    <w:rsid w:val="006B2D5C"/>
    <w:rsid w:val="006C0ECF"/>
    <w:rsid w:val="006C4EB1"/>
    <w:rsid w:val="006C6FEE"/>
    <w:rsid w:val="006E0166"/>
    <w:rsid w:val="006E2FFB"/>
    <w:rsid w:val="006E7B34"/>
    <w:rsid w:val="007002BE"/>
    <w:rsid w:val="0070697F"/>
    <w:rsid w:val="007103C4"/>
    <w:rsid w:val="0072199C"/>
    <w:rsid w:val="00722C9F"/>
    <w:rsid w:val="007253B8"/>
    <w:rsid w:val="0073741F"/>
    <w:rsid w:val="007650C5"/>
    <w:rsid w:val="0076643F"/>
    <w:rsid w:val="00770A1C"/>
    <w:rsid w:val="00774912"/>
    <w:rsid w:val="00777F63"/>
    <w:rsid w:val="00786B16"/>
    <w:rsid w:val="0079593F"/>
    <w:rsid w:val="007A5817"/>
    <w:rsid w:val="007B05C4"/>
    <w:rsid w:val="007B3EA2"/>
    <w:rsid w:val="007B60E9"/>
    <w:rsid w:val="007B6CC3"/>
    <w:rsid w:val="007B76D3"/>
    <w:rsid w:val="007C3334"/>
    <w:rsid w:val="007D2B98"/>
    <w:rsid w:val="007E21BC"/>
    <w:rsid w:val="007E7C82"/>
    <w:rsid w:val="007F03CE"/>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E0F"/>
    <w:rsid w:val="008B12F5"/>
    <w:rsid w:val="008C5E2D"/>
    <w:rsid w:val="008D768D"/>
    <w:rsid w:val="008E3759"/>
    <w:rsid w:val="008E3BFE"/>
    <w:rsid w:val="008F1912"/>
    <w:rsid w:val="0090270B"/>
    <w:rsid w:val="009041DC"/>
    <w:rsid w:val="009073D5"/>
    <w:rsid w:val="00917B5A"/>
    <w:rsid w:val="00920A58"/>
    <w:rsid w:val="00920A8C"/>
    <w:rsid w:val="00923A0D"/>
    <w:rsid w:val="00934A2C"/>
    <w:rsid w:val="00966B54"/>
    <w:rsid w:val="0096706E"/>
    <w:rsid w:val="009671CC"/>
    <w:rsid w:val="00974491"/>
    <w:rsid w:val="00975C4E"/>
    <w:rsid w:val="00981FBA"/>
    <w:rsid w:val="009852B0"/>
    <w:rsid w:val="00997BC5"/>
    <w:rsid w:val="009A204E"/>
    <w:rsid w:val="009A4F41"/>
    <w:rsid w:val="009B381B"/>
    <w:rsid w:val="009B4CE6"/>
    <w:rsid w:val="009C7876"/>
    <w:rsid w:val="009D1753"/>
    <w:rsid w:val="009D7611"/>
    <w:rsid w:val="009E0B61"/>
    <w:rsid w:val="009E53DE"/>
    <w:rsid w:val="00A11212"/>
    <w:rsid w:val="00A11E44"/>
    <w:rsid w:val="00A30100"/>
    <w:rsid w:val="00A328B3"/>
    <w:rsid w:val="00A50FCF"/>
    <w:rsid w:val="00A528D1"/>
    <w:rsid w:val="00A610CD"/>
    <w:rsid w:val="00A758AA"/>
    <w:rsid w:val="00A9246E"/>
    <w:rsid w:val="00AA09A2"/>
    <w:rsid w:val="00AA6E38"/>
    <w:rsid w:val="00AA7996"/>
    <w:rsid w:val="00AB1BA1"/>
    <w:rsid w:val="00AB2293"/>
    <w:rsid w:val="00AB45A5"/>
    <w:rsid w:val="00AC19CB"/>
    <w:rsid w:val="00AC4A6A"/>
    <w:rsid w:val="00AE5488"/>
    <w:rsid w:val="00AE6F91"/>
    <w:rsid w:val="00AF5571"/>
    <w:rsid w:val="00B07341"/>
    <w:rsid w:val="00B30539"/>
    <w:rsid w:val="00B314DB"/>
    <w:rsid w:val="00B35695"/>
    <w:rsid w:val="00B361F2"/>
    <w:rsid w:val="00B3718B"/>
    <w:rsid w:val="00B3745F"/>
    <w:rsid w:val="00B44127"/>
    <w:rsid w:val="00B4632A"/>
    <w:rsid w:val="00B530F1"/>
    <w:rsid w:val="00B55E6A"/>
    <w:rsid w:val="00B65AB6"/>
    <w:rsid w:val="00B73DBC"/>
    <w:rsid w:val="00B858E4"/>
    <w:rsid w:val="00B93D7F"/>
    <w:rsid w:val="00BA276C"/>
    <w:rsid w:val="00BB019D"/>
    <w:rsid w:val="00BB050B"/>
    <w:rsid w:val="00BB306F"/>
    <w:rsid w:val="00BD0FF5"/>
    <w:rsid w:val="00BD29BE"/>
    <w:rsid w:val="00BD4B89"/>
    <w:rsid w:val="00BD5922"/>
    <w:rsid w:val="00BF02CB"/>
    <w:rsid w:val="00BF6FD8"/>
    <w:rsid w:val="00C03680"/>
    <w:rsid w:val="00C054DF"/>
    <w:rsid w:val="00C21762"/>
    <w:rsid w:val="00C21FEF"/>
    <w:rsid w:val="00C23BA4"/>
    <w:rsid w:val="00C24468"/>
    <w:rsid w:val="00C24543"/>
    <w:rsid w:val="00C256A2"/>
    <w:rsid w:val="00C25ADB"/>
    <w:rsid w:val="00C43604"/>
    <w:rsid w:val="00C51515"/>
    <w:rsid w:val="00C5660B"/>
    <w:rsid w:val="00C66B72"/>
    <w:rsid w:val="00C82387"/>
    <w:rsid w:val="00C8314C"/>
    <w:rsid w:val="00C873B6"/>
    <w:rsid w:val="00C87AC4"/>
    <w:rsid w:val="00C90B00"/>
    <w:rsid w:val="00C9567A"/>
    <w:rsid w:val="00CB212D"/>
    <w:rsid w:val="00CB2660"/>
    <w:rsid w:val="00CB4DD5"/>
    <w:rsid w:val="00CC5E90"/>
    <w:rsid w:val="00CD046C"/>
    <w:rsid w:val="00CE076C"/>
    <w:rsid w:val="00CE5199"/>
    <w:rsid w:val="00CE66D5"/>
    <w:rsid w:val="00CF637A"/>
    <w:rsid w:val="00CF66BF"/>
    <w:rsid w:val="00D059DE"/>
    <w:rsid w:val="00D05ABD"/>
    <w:rsid w:val="00D13FCE"/>
    <w:rsid w:val="00D26554"/>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4214"/>
    <w:rsid w:val="00DC7023"/>
    <w:rsid w:val="00DC769A"/>
    <w:rsid w:val="00DD3D86"/>
    <w:rsid w:val="00DD4AD2"/>
    <w:rsid w:val="00DD64A5"/>
    <w:rsid w:val="00DE2862"/>
    <w:rsid w:val="00DE5ECC"/>
    <w:rsid w:val="00DF1EC4"/>
    <w:rsid w:val="00E0340B"/>
    <w:rsid w:val="00E04A90"/>
    <w:rsid w:val="00E0551F"/>
    <w:rsid w:val="00E219C7"/>
    <w:rsid w:val="00E4069D"/>
    <w:rsid w:val="00E4118C"/>
    <w:rsid w:val="00E4226A"/>
    <w:rsid w:val="00E43157"/>
    <w:rsid w:val="00E43E7D"/>
    <w:rsid w:val="00E461CE"/>
    <w:rsid w:val="00E51FBA"/>
    <w:rsid w:val="00E573E4"/>
    <w:rsid w:val="00E64C3D"/>
    <w:rsid w:val="00E720CA"/>
    <w:rsid w:val="00E76902"/>
    <w:rsid w:val="00E82491"/>
    <w:rsid w:val="00E84EB5"/>
    <w:rsid w:val="00E85662"/>
    <w:rsid w:val="00E8789F"/>
    <w:rsid w:val="00E97B71"/>
    <w:rsid w:val="00EA111C"/>
    <w:rsid w:val="00EA3D34"/>
    <w:rsid w:val="00EB454D"/>
    <w:rsid w:val="00ED549D"/>
    <w:rsid w:val="00ED5E10"/>
    <w:rsid w:val="00ED76BE"/>
    <w:rsid w:val="00EE00E9"/>
    <w:rsid w:val="00EE6AC9"/>
    <w:rsid w:val="00EF1AAA"/>
    <w:rsid w:val="00EF619B"/>
    <w:rsid w:val="00F00B55"/>
    <w:rsid w:val="00F02AD1"/>
    <w:rsid w:val="00F14492"/>
    <w:rsid w:val="00F253CC"/>
    <w:rsid w:val="00F31995"/>
    <w:rsid w:val="00F34022"/>
    <w:rsid w:val="00F37106"/>
    <w:rsid w:val="00F44E25"/>
    <w:rsid w:val="00F519CF"/>
    <w:rsid w:val="00F56BA5"/>
    <w:rsid w:val="00F60E22"/>
    <w:rsid w:val="00F7542E"/>
    <w:rsid w:val="00F81395"/>
    <w:rsid w:val="00F81BB8"/>
    <w:rsid w:val="00F82887"/>
    <w:rsid w:val="00F90C64"/>
    <w:rsid w:val="00F917D1"/>
    <w:rsid w:val="00F9653B"/>
    <w:rsid w:val="00FB62CF"/>
    <w:rsid w:val="00FD3C3B"/>
    <w:rsid w:val="00FE07DD"/>
    <w:rsid w:val="00FE6B45"/>
    <w:rsid w:val="00FF28D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0414F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0414FD"/>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E7C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Heading5Char">
    <w:name w:val="Heading 5 Char"/>
    <w:basedOn w:val="DefaultParagraphFont"/>
    <w:link w:val="Heading5"/>
    <w:uiPriority w:val="9"/>
    <w:rsid w:val="000414FD"/>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0414FD"/>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42E5C"/>
    <w:rsid w:val="00394049"/>
    <w:rsid w:val="003B0C71"/>
    <w:rsid w:val="004B5BBB"/>
    <w:rsid w:val="004F2DF8"/>
    <w:rsid w:val="00517E2A"/>
    <w:rsid w:val="00693EC8"/>
    <w:rsid w:val="006F24A1"/>
    <w:rsid w:val="007F0463"/>
    <w:rsid w:val="009A261B"/>
    <w:rsid w:val="00AA2E17"/>
    <w:rsid w:val="00AC15A4"/>
    <w:rsid w:val="00B0336C"/>
    <w:rsid w:val="00B82626"/>
    <w:rsid w:val="00D241E9"/>
    <w:rsid w:val="00D7750D"/>
    <w:rsid w:val="00E555E2"/>
    <w:rsid w:val="00F00D2F"/>
    <w:rsid w:val="00F128DF"/>
    <w:rsid w:val="00F75596"/>
    <w:rsid w:val="00F8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533F-3BDE-4CA2-8F0A-0A303481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6745</Words>
  <Characters>34944</Characters>
  <Application>Microsoft Office Word</Application>
  <DocSecurity>0</DocSecurity>
  <Lines>743</Lines>
  <Paragraphs>258</Paragraphs>
  <ScaleCrop>false</ScaleCrop>
  <Company/>
  <LinksUpToDate>false</LinksUpToDate>
  <CharactersWithSpaces>41431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46/21</dc:title>
  <dc:creator/>
  <cp:lastModifiedBy/>
  <cp:revision>1</cp:revision>
  <dcterms:created xsi:type="dcterms:W3CDTF">2021-04-19T16:34:00Z</dcterms:created>
  <dcterms:modified xsi:type="dcterms:W3CDTF">2021-04-19T16:35:00Z</dcterms:modified>
</cp:coreProperties>
</file>