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1376" w14:textId="77777777" w:rsidR="00040C3A" w:rsidRPr="00116A43" w:rsidRDefault="00D306D1" w:rsidP="005F7FE2">
      <w:pPr>
        <w:jc w:val="both"/>
        <w:rPr>
          <w:rFonts w:ascii="Cambria" w:hAnsi="Cambria" w:cs="Univers"/>
          <w:b/>
          <w:bCs/>
          <w:sz w:val="20"/>
          <w:szCs w:val="20"/>
        </w:rPr>
      </w:pPr>
      <w:r w:rsidRPr="00116A43">
        <w:rPr>
          <w:rFonts w:ascii="Cambria" w:hAnsi="Cambria"/>
          <w:noProof/>
          <w:sz w:val="20"/>
          <w:szCs w:val="20"/>
          <w:lang w:val="en-US"/>
        </w:rPr>
        <mc:AlternateContent>
          <mc:Choice Requires="wps">
            <w:drawing>
              <wp:anchor distT="0" distB="0" distL="114300" distR="114300" simplePos="0" relativeHeight="251661311" behindDoc="0" locked="0" layoutInCell="1" allowOverlap="1" wp14:anchorId="5A3D3A31" wp14:editId="79EE3CF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306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16A43">
        <w:rPr>
          <w:rFonts w:ascii="Cambria" w:hAnsi="Cambria"/>
          <w:noProof/>
          <w:sz w:val="20"/>
          <w:szCs w:val="20"/>
          <w:lang w:val="en-US"/>
        </w:rPr>
        <mc:AlternateContent>
          <mc:Choice Requires="wps">
            <w:drawing>
              <wp:anchor distT="0" distB="0" distL="114300" distR="114300" simplePos="0" relativeHeight="251673600" behindDoc="0" locked="0" layoutInCell="1" allowOverlap="1" wp14:anchorId="43A5E7C3" wp14:editId="4EB8EC7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432E7" w14:textId="77777777" w:rsidR="00F640DA" w:rsidRDefault="00F640DA" w:rsidP="00AE5488">
                            <w:r>
                              <w:rPr>
                                <w:noProof/>
                                <w:lang w:val="en-US"/>
                              </w:rPr>
                              <w:drawing>
                                <wp:inline distT="0" distB="0" distL="0" distR="0" wp14:anchorId="3B4CB2EA" wp14:editId="087899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7C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C1432E7" w14:textId="77777777" w:rsidR="00F640DA" w:rsidRDefault="00F640DA" w:rsidP="00AE5488">
                      <w:r>
                        <w:rPr>
                          <w:noProof/>
                          <w:lang w:val="en-US"/>
                        </w:rPr>
                        <w:drawing>
                          <wp:inline distT="0" distB="0" distL="0" distR="0" wp14:anchorId="3B4CB2EA" wp14:editId="087899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4EC47EC" w14:textId="77777777" w:rsidR="00040C3A" w:rsidRPr="00116A43" w:rsidRDefault="00040C3A" w:rsidP="005F7FE2">
      <w:pPr>
        <w:tabs>
          <w:tab w:val="center" w:pos="5400"/>
        </w:tabs>
        <w:suppressAutoHyphens/>
        <w:jc w:val="both"/>
        <w:rPr>
          <w:rFonts w:ascii="Cambria" w:hAnsi="Cambria"/>
          <w:sz w:val="20"/>
          <w:szCs w:val="20"/>
        </w:rPr>
      </w:pPr>
    </w:p>
    <w:p w14:paraId="778FE918" w14:textId="77777777" w:rsidR="00040C3A" w:rsidRPr="00116A43" w:rsidRDefault="00040C3A" w:rsidP="005F7FE2">
      <w:pPr>
        <w:tabs>
          <w:tab w:val="center" w:pos="5400"/>
        </w:tabs>
        <w:suppressAutoHyphens/>
        <w:jc w:val="both"/>
        <w:rPr>
          <w:rFonts w:ascii="Cambria" w:hAnsi="Cambria"/>
          <w:sz w:val="20"/>
          <w:szCs w:val="20"/>
        </w:rPr>
      </w:pPr>
    </w:p>
    <w:p w14:paraId="66EE3F0B" w14:textId="77777777" w:rsidR="005128E4" w:rsidRPr="00116A43" w:rsidRDefault="005128E4" w:rsidP="005F7FE2">
      <w:pPr>
        <w:tabs>
          <w:tab w:val="center" w:pos="5400"/>
        </w:tabs>
        <w:suppressAutoHyphens/>
        <w:rPr>
          <w:rFonts w:ascii="Cambria" w:hAnsi="Cambria"/>
          <w:sz w:val="20"/>
          <w:szCs w:val="20"/>
        </w:rPr>
      </w:pPr>
    </w:p>
    <w:p w14:paraId="5CF5769D" w14:textId="77777777" w:rsidR="005128E4" w:rsidRPr="00116A43" w:rsidRDefault="005128E4" w:rsidP="005F7FE2">
      <w:pPr>
        <w:tabs>
          <w:tab w:val="center" w:pos="5400"/>
        </w:tabs>
        <w:suppressAutoHyphens/>
        <w:rPr>
          <w:rFonts w:ascii="Cambria" w:hAnsi="Cambria"/>
          <w:sz w:val="20"/>
          <w:szCs w:val="20"/>
        </w:rPr>
      </w:pPr>
    </w:p>
    <w:p w14:paraId="4FD45B45" w14:textId="77777777" w:rsidR="005128E4" w:rsidRPr="00116A43" w:rsidRDefault="005128E4" w:rsidP="005F7FE2">
      <w:pPr>
        <w:tabs>
          <w:tab w:val="center" w:pos="5400"/>
        </w:tabs>
        <w:suppressAutoHyphens/>
        <w:rPr>
          <w:rFonts w:ascii="Cambria" w:hAnsi="Cambria"/>
          <w:sz w:val="20"/>
          <w:szCs w:val="20"/>
        </w:rPr>
      </w:pPr>
    </w:p>
    <w:p w14:paraId="20BE5809" w14:textId="77777777" w:rsidR="00040C3A" w:rsidRPr="00116A43" w:rsidRDefault="00040C3A" w:rsidP="005F7FE2">
      <w:pPr>
        <w:tabs>
          <w:tab w:val="center" w:pos="5400"/>
        </w:tabs>
        <w:suppressAutoHyphens/>
        <w:jc w:val="center"/>
        <w:rPr>
          <w:rFonts w:ascii="Cambria" w:hAnsi="Cambria"/>
          <w:sz w:val="20"/>
          <w:szCs w:val="20"/>
        </w:rPr>
      </w:pPr>
    </w:p>
    <w:p w14:paraId="41440F4F" w14:textId="77777777" w:rsidR="00040C3A" w:rsidRPr="00116A43" w:rsidRDefault="00040C3A" w:rsidP="005F7FE2">
      <w:pPr>
        <w:tabs>
          <w:tab w:val="center" w:pos="5400"/>
        </w:tabs>
        <w:suppressAutoHyphens/>
        <w:jc w:val="center"/>
        <w:rPr>
          <w:rFonts w:ascii="Cambria" w:hAnsi="Cambria"/>
          <w:sz w:val="20"/>
          <w:szCs w:val="20"/>
        </w:rPr>
      </w:pPr>
    </w:p>
    <w:p w14:paraId="6B0C32D2" w14:textId="77777777" w:rsidR="005B52B0" w:rsidRPr="00116A43" w:rsidRDefault="005B52B0" w:rsidP="005F7FE2">
      <w:pPr>
        <w:tabs>
          <w:tab w:val="center" w:pos="5400"/>
        </w:tabs>
        <w:suppressAutoHyphens/>
        <w:jc w:val="center"/>
        <w:rPr>
          <w:rFonts w:ascii="Cambria" w:hAnsi="Cambria"/>
          <w:sz w:val="20"/>
          <w:szCs w:val="20"/>
        </w:rPr>
      </w:pPr>
    </w:p>
    <w:p w14:paraId="4E069C6C" w14:textId="77777777" w:rsidR="005B52B0" w:rsidRPr="00116A43" w:rsidRDefault="005B52B0" w:rsidP="005F7FE2">
      <w:pPr>
        <w:tabs>
          <w:tab w:val="center" w:pos="5400"/>
        </w:tabs>
        <w:suppressAutoHyphens/>
        <w:jc w:val="center"/>
        <w:rPr>
          <w:rFonts w:ascii="Cambria" w:hAnsi="Cambria"/>
          <w:sz w:val="20"/>
          <w:szCs w:val="20"/>
        </w:rPr>
      </w:pPr>
    </w:p>
    <w:p w14:paraId="6EABB811" w14:textId="77777777" w:rsidR="005B52B0" w:rsidRPr="00116A43" w:rsidRDefault="005B52B0" w:rsidP="005F7FE2">
      <w:pPr>
        <w:tabs>
          <w:tab w:val="center" w:pos="5400"/>
        </w:tabs>
        <w:suppressAutoHyphens/>
        <w:jc w:val="center"/>
        <w:rPr>
          <w:rFonts w:ascii="Cambria" w:hAnsi="Cambria"/>
          <w:sz w:val="20"/>
          <w:szCs w:val="20"/>
        </w:rPr>
      </w:pPr>
    </w:p>
    <w:p w14:paraId="4CC16667" w14:textId="77777777" w:rsidR="00040C3A" w:rsidRPr="00116A43" w:rsidRDefault="00040C3A" w:rsidP="005F7FE2">
      <w:pPr>
        <w:tabs>
          <w:tab w:val="center" w:pos="5400"/>
        </w:tabs>
        <w:suppressAutoHyphens/>
        <w:jc w:val="center"/>
        <w:rPr>
          <w:rFonts w:ascii="Cambria" w:hAnsi="Cambria"/>
          <w:sz w:val="20"/>
          <w:szCs w:val="20"/>
        </w:rPr>
      </w:pPr>
    </w:p>
    <w:p w14:paraId="32824B92" w14:textId="77777777" w:rsidR="00040C3A" w:rsidRPr="00116A43" w:rsidRDefault="00040C3A" w:rsidP="005F7FE2">
      <w:pPr>
        <w:tabs>
          <w:tab w:val="center" w:pos="5400"/>
        </w:tabs>
        <w:suppressAutoHyphens/>
        <w:jc w:val="center"/>
        <w:rPr>
          <w:rFonts w:ascii="Cambria" w:hAnsi="Cambria"/>
          <w:sz w:val="20"/>
          <w:szCs w:val="20"/>
        </w:rPr>
      </w:pPr>
    </w:p>
    <w:p w14:paraId="4B99E4D3" w14:textId="77777777" w:rsidR="00040C3A" w:rsidRPr="00116A43" w:rsidRDefault="003D3BC2" w:rsidP="005F7FE2">
      <w:pPr>
        <w:tabs>
          <w:tab w:val="center" w:pos="5400"/>
        </w:tabs>
        <w:suppressAutoHyphens/>
        <w:jc w:val="center"/>
        <w:rPr>
          <w:rFonts w:ascii="Cambria" w:hAnsi="Cambria"/>
          <w:sz w:val="20"/>
          <w:szCs w:val="20"/>
        </w:rPr>
      </w:pPr>
      <w:r w:rsidRPr="00116A43">
        <w:rPr>
          <w:rFonts w:ascii="Cambria" w:hAnsi="Cambria"/>
          <w:noProof/>
          <w:sz w:val="20"/>
          <w:szCs w:val="20"/>
          <w:lang w:val="en-US"/>
        </w:rPr>
        <mc:AlternateContent>
          <mc:Choice Requires="wps">
            <w:drawing>
              <wp:anchor distT="0" distB="0" distL="114300" distR="114300" simplePos="0" relativeHeight="251669504" behindDoc="0" locked="0" layoutInCell="1" allowOverlap="1" wp14:anchorId="2753ABA1" wp14:editId="4FEC0DA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AF976" w14:textId="22C52115" w:rsidR="00F640DA" w:rsidRPr="00A31AD5" w:rsidRDefault="00F640DA"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297/21</w:t>
                            </w:r>
                          </w:p>
                          <w:p w14:paraId="0B0104E7" w14:textId="5725590B" w:rsidR="00F640DA" w:rsidRPr="007053BE" w:rsidRDefault="00375047" w:rsidP="00997BC5">
                            <w:pPr>
                              <w:spacing w:line="276" w:lineRule="auto"/>
                              <w:rPr>
                                <w:rFonts w:asciiTheme="majorHAnsi" w:hAnsiTheme="majorHAnsi" w:cs="Arial"/>
                                <w:b/>
                                <w:color w:val="0D0D0D" w:themeColor="text1" w:themeTint="F2"/>
                                <w:sz w:val="36"/>
                                <w:szCs w:val="22"/>
                                <w:lang w:val="es-UY"/>
                              </w:rPr>
                            </w:pPr>
                            <w:r>
                              <w:rPr>
                                <w:rFonts w:asciiTheme="majorHAnsi" w:hAnsiTheme="majorHAnsi" w:cs="Arial"/>
                                <w:b/>
                                <w:color w:val="0D0D0D" w:themeColor="text1" w:themeTint="F2"/>
                                <w:sz w:val="36"/>
                                <w:szCs w:val="22"/>
                                <w:lang w:val="es-UY"/>
                              </w:rPr>
                              <w:t xml:space="preserve">CASO </w:t>
                            </w:r>
                            <w:r w:rsidR="00F640DA">
                              <w:rPr>
                                <w:rFonts w:asciiTheme="majorHAnsi" w:hAnsiTheme="majorHAnsi" w:cs="Arial"/>
                                <w:b/>
                                <w:color w:val="0D0D0D" w:themeColor="text1" w:themeTint="F2"/>
                                <w:sz w:val="36"/>
                                <w:szCs w:val="22"/>
                                <w:lang w:val="es-UY"/>
                              </w:rPr>
                              <w:t>13.639</w:t>
                            </w:r>
                          </w:p>
                          <w:p w14:paraId="4125CE03" w14:textId="70247236" w:rsidR="00F640DA" w:rsidRDefault="00F640DA" w:rsidP="00997BC5">
                            <w:pPr>
                              <w:spacing w:line="276" w:lineRule="auto"/>
                              <w:rPr>
                                <w:rFonts w:asciiTheme="majorHAnsi" w:hAnsiTheme="majorHAnsi" w:cs="Arial"/>
                                <w:color w:val="0D0D0D" w:themeColor="text1" w:themeTint="F2"/>
                                <w:szCs w:val="22"/>
                                <w:lang w:val="es-UY"/>
                              </w:rPr>
                            </w:pPr>
                            <w:r w:rsidRPr="007053BE">
                              <w:rPr>
                                <w:rFonts w:asciiTheme="majorHAnsi" w:hAnsiTheme="majorHAnsi" w:cs="Arial"/>
                                <w:color w:val="0D0D0D" w:themeColor="text1" w:themeTint="F2"/>
                                <w:szCs w:val="22"/>
                                <w:lang w:val="es-UY"/>
                              </w:rPr>
                              <w:t>INFORME</w:t>
                            </w:r>
                            <w:r>
                              <w:rPr>
                                <w:rFonts w:asciiTheme="majorHAnsi" w:hAnsiTheme="majorHAnsi" w:cs="Arial"/>
                                <w:color w:val="0D0D0D" w:themeColor="text1" w:themeTint="F2"/>
                                <w:szCs w:val="22"/>
                                <w:lang w:val="es-UY"/>
                              </w:rPr>
                              <w:t xml:space="preserve"> DE ADMISIBILIDAD</w:t>
                            </w:r>
                            <w:r w:rsidRPr="007053BE">
                              <w:rPr>
                                <w:rFonts w:asciiTheme="majorHAnsi" w:hAnsiTheme="majorHAnsi" w:cs="Arial"/>
                                <w:color w:val="0D0D0D" w:themeColor="text1" w:themeTint="F2"/>
                                <w:szCs w:val="22"/>
                                <w:lang w:val="es-UY"/>
                              </w:rPr>
                              <w:t xml:space="preserve"> </w:t>
                            </w:r>
                            <w:bookmarkStart w:id="0" w:name="_ftnref1"/>
                            <w:r>
                              <w:rPr>
                                <w:rFonts w:asciiTheme="majorHAnsi" w:hAnsiTheme="majorHAnsi" w:cs="Arial"/>
                                <w:color w:val="0D0D0D" w:themeColor="text1" w:themeTint="F2"/>
                                <w:szCs w:val="22"/>
                                <w:lang w:val="es-UY"/>
                              </w:rPr>
                              <w:t>Y FONDO (PUBLICACI</w:t>
                            </w:r>
                            <w:proofErr w:type="spellStart"/>
                            <w:r>
                              <w:rPr>
                                <w:rFonts w:asciiTheme="majorHAnsi" w:hAnsiTheme="majorHAnsi" w:cs="Arial"/>
                                <w:color w:val="0D0D0D" w:themeColor="text1" w:themeTint="F2"/>
                                <w:szCs w:val="22"/>
                              </w:rPr>
                              <w:t>Ó</w:t>
                            </w:r>
                            <w:proofErr w:type="spellEnd"/>
                            <w:r>
                              <w:rPr>
                                <w:rFonts w:asciiTheme="majorHAnsi" w:hAnsiTheme="majorHAnsi" w:cs="Arial"/>
                                <w:color w:val="0D0D0D" w:themeColor="text1" w:themeTint="F2"/>
                                <w:szCs w:val="22"/>
                                <w:lang w:val="es-UY"/>
                              </w:rPr>
                              <w:t>N)</w:t>
                            </w:r>
                          </w:p>
                          <w:p w14:paraId="625D167D" w14:textId="77777777" w:rsidR="00F640DA" w:rsidRPr="007053BE" w:rsidRDefault="00F640DA" w:rsidP="00997BC5">
                            <w:pPr>
                              <w:spacing w:line="276" w:lineRule="auto"/>
                              <w:rPr>
                                <w:rFonts w:asciiTheme="majorHAnsi" w:hAnsiTheme="majorHAnsi" w:cs="Arial"/>
                                <w:color w:val="0D0D0D" w:themeColor="text1" w:themeTint="F2"/>
                                <w:szCs w:val="22"/>
                                <w:lang w:val="es-UY"/>
                              </w:rPr>
                            </w:pPr>
                          </w:p>
                          <w:p w14:paraId="2834AB9A" w14:textId="5C065E0F" w:rsidR="00F640DA" w:rsidRPr="007053BE" w:rsidRDefault="00460990" w:rsidP="00997BC5">
                            <w:pPr>
                              <w:spacing w:line="276" w:lineRule="auto"/>
                              <w:rPr>
                                <w:rFonts w:asciiTheme="majorHAnsi" w:hAnsiTheme="majorHAnsi" w:cs="Arial"/>
                                <w:color w:val="0D0D0D" w:themeColor="text1" w:themeTint="F2"/>
                                <w:szCs w:val="22"/>
                                <w:lang w:val="es-UY"/>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F640DA">
                                  <w:rPr>
                                    <w:rFonts w:asciiTheme="majorHAnsi" w:hAnsiTheme="majorHAnsi" w:cs="Arial"/>
                                    <w:color w:val="0D0D0D" w:themeColor="text1" w:themeTint="F2"/>
                                    <w:szCs w:val="22"/>
                                    <w:lang w:val="es-ES_tradnl"/>
                                  </w:rPr>
                                  <w:t>YOANI MARÍA SÁNCHEZ CORDERO</w:t>
                                </w:r>
                              </w:sdtContent>
                            </w:sdt>
                          </w:p>
                          <w:bookmarkEnd w:id="0"/>
                          <w:p w14:paraId="07A805E5" w14:textId="77777777" w:rsidR="00F640DA" w:rsidRPr="00E34111" w:rsidRDefault="00460990" w:rsidP="00997BC5">
                            <w:pPr>
                              <w:spacing w:line="276" w:lineRule="auto"/>
                              <w:rPr>
                                <w:rFonts w:asciiTheme="majorHAnsi" w:hAnsiTheme="majorHAnsi" w:cs="Arial"/>
                                <w:color w:val="0D0D0D" w:themeColor="text1" w:themeTint="F2"/>
                                <w:szCs w:val="22"/>
                                <w:lang w:val="es-PE"/>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F640DA">
                                  <w:rPr>
                                    <w:rFonts w:asciiTheme="majorHAnsi" w:hAnsiTheme="majorHAnsi" w:cs="Arial"/>
                                    <w:bCs/>
                                    <w:color w:val="0D0D0D" w:themeColor="text1" w:themeTint="F2"/>
                                    <w:szCs w:val="22"/>
                                  </w:rPr>
                                  <w:t>CUBA</w:t>
                                </w:r>
                              </w:sdtContent>
                            </w:sdt>
                          </w:p>
                          <w:p w14:paraId="53F6D897" w14:textId="77777777" w:rsidR="00F640DA" w:rsidRPr="00375047" w:rsidRDefault="00F640DA"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ABA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7BAF976" w14:textId="22C52115" w:rsidR="00F640DA" w:rsidRPr="00A31AD5" w:rsidRDefault="00F640DA"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297/21</w:t>
                      </w:r>
                    </w:p>
                    <w:p w14:paraId="0B0104E7" w14:textId="5725590B" w:rsidR="00F640DA" w:rsidRPr="007053BE" w:rsidRDefault="00375047" w:rsidP="00997BC5">
                      <w:pPr>
                        <w:spacing w:line="276" w:lineRule="auto"/>
                        <w:rPr>
                          <w:rFonts w:asciiTheme="majorHAnsi" w:hAnsiTheme="majorHAnsi" w:cs="Arial"/>
                          <w:b/>
                          <w:color w:val="0D0D0D" w:themeColor="text1" w:themeTint="F2"/>
                          <w:sz w:val="36"/>
                          <w:szCs w:val="22"/>
                          <w:lang w:val="es-UY"/>
                        </w:rPr>
                      </w:pPr>
                      <w:r>
                        <w:rPr>
                          <w:rFonts w:asciiTheme="majorHAnsi" w:hAnsiTheme="majorHAnsi" w:cs="Arial"/>
                          <w:b/>
                          <w:color w:val="0D0D0D" w:themeColor="text1" w:themeTint="F2"/>
                          <w:sz w:val="36"/>
                          <w:szCs w:val="22"/>
                          <w:lang w:val="es-UY"/>
                        </w:rPr>
                        <w:t xml:space="preserve">CASO </w:t>
                      </w:r>
                      <w:r w:rsidR="00F640DA">
                        <w:rPr>
                          <w:rFonts w:asciiTheme="majorHAnsi" w:hAnsiTheme="majorHAnsi" w:cs="Arial"/>
                          <w:b/>
                          <w:color w:val="0D0D0D" w:themeColor="text1" w:themeTint="F2"/>
                          <w:sz w:val="36"/>
                          <w:szCs w:val="22"/>
                          <w:lang w:val="es-UY"/>
                        </w:rPr>
                        <w:t>13.639</w:t>
                      </w:r>
                    </w:p>
                    <w:p w14:paraId="4125CE03" w14:textId="70247236" w:rsidR="00F640DA" w:rsidRDefault="00F640DA" w:rsidP="00997BC5">
                      <w:pPr>
                        <w:spacing w:line="276" w:lineRule="auto"/>
                        <w:rPr>
                          <w:rFonts w:asciiTheme="majorHAnsi" w:hAnsiTheme="majorHAnsi" w:cs="Arial"/>
                          <w:color w:val="0D0D0D" w:themeColor="text1" w:themeTint="F2"/>
                          <w:szCs w:val="22"/>
                          <w:lang w:val="es-UY"/>
                        </w:rPr>
                      </w:pPr>
                      <w:r w:rsidRPr="007053BE">
                        <w:rPr>
                          <w:rFonts w:asciiTheme="majorHAnsi" w:hAnsiTheme="majorHAnsi" w:cs="Arial"/>
                          <w:color w:val="0D0D0D" w:themeColor="text1" w:themeTint="F2"/>
                          <w:szCs w:val="22"/>
                          <w:lang w:val="es-UY"/>
                        </w:rPr>
                        <w:t>INFORME</w:t>
                      </w:r>
                      <w:r>
                        <w:rPr>
                          <w:rFonts w:asciiTheme="majorHAnsi" w:hAnsiTheme="majorHAnsi" w:cs="Arial"/>
                          <w:color w:val="0D0D0D" w:themeColor="text1" w:themeTint="F2"/>
                          <w:szCs w:val="22"/>
                          <w:lang w:val="es-UY"/>
                        </w:rPr>
                        <w:t xml:space="preserve"> DE ADMISIBILIDAD</w:t>
                      </w:r>
                      <w:r w:rsidRPr="007053BE">
                        <w:rPr>
                          <w:rFonts w:asciiTheme="majorHAnsi" w:hAnsiTheme="majorHAnsi" w:cs="Arial"/>
                          <w:color w:val="0D0D0D" w:themeColor="text1" w:themeTint="F2"/>
                          <w:szCs w:val="22"/>
                          <w:lang w:val="es-UY"/>
                        </w:rPr>
                        <w:t xml:space="preserve"> </w:t>
                      </w:r>
                      <w:bookmarkStart w:id="1" w:name="_ftnref1"/>
                      <w:r>
                        <w:rPr>
                          <w:rFonts w:asciiTheme="majorHAnsi" w:hAnsiTheme="majorHAnsi" w:cs="Arial"/>
                          <w:color w:val="0D0D0D" w:themeColor="text1" w:themeTint="F2"/>
                          <w:szCs w:val="22"/>
                          <w:lang w:val="es-UY"/>
                        </w:rPr>
                        <w:t>Y FONDO (PUBLICACI</w:t>
                      </w:r>
                      <w:proofErr w:type="spellStart"/>
                      <w:r>
                        <w:rPr>
                          <w:rFonts w:asciiTheme="majorHAnsi" w:hAnsiTheme="majorHAnsi" w:cs="Arial"/>
                          <w:color w:val="0D0D0D" w:themeColor="text1" w:themeTint="F2"/>
                          <w:szCs w:val="22"/>
                        </w:rPr>
                        <w:t>Ó</w:t>
                      </w:r>
                      <w:proofErr w:type="spellEnd"/>
                      <w:r>
                        <w:rPr>
                          <w:rFonts w:asciiTheme="majorHAnsi" w:hAnsiTheme="majorHAnsi" w:cs="Arial"/>
                          <w:color w:val="0D0D0D" w:themeColor="text1" w:themeTint="F2"/>
                          <w:szCs w:val="22"/>
                          <w:lang w:val="es-UY"/>
                        </w:rPr>
                        <w:t>N)</w:t>
                      </w:r>
                    </w:p>
                    <w:p w14:paraId="625D167D" w14:textId="77777777" w:rsidR="00F640DA" w:rsidRPr="007053BE" w:rsidRDefault="00F640DA" w:rsidP="00997BC5">
                      <w:pPr>
                        <w:spacing w:line="276" w:lineRule="auto"/>
                        <w:rPr>
                          <w:rFonts w:asciiTheme="majorHAnsi" w:hAnsiTheme="majorHAnsi" w:cs="Arial"/>
                          <w:color w:val="0D0D0D" w:themeColor="text1" w:themeTint="F2"/>
                          <w:szCs w:val="22"/>
                          <w:lang w:val="es-UY"/>
                        </w:rPr>
                      </w:pPr>
                    </w:p>
                    <w:p w14:paraId="2834AB9A" w14:textId="5C065E0F" w:rsidR="00F640DA" w:rsidRPr="007053BE" w:rsidRDefault="00460990" w:rsidP="00997BC5">
                      <w:pPr>
                        <w:spacing w:line="276" w:lineRule="auto"/>
                        <w:rPr>
                          <w:rFonts w:asciiTheme="majorHAnsi" w:hAnsiTheme="majorHAnsi" w:cs="Arial"/>
                          <w:color w:val="0D0D0D" w:themeColor="text1" w:themeTint="F2"/>
                          <w:szCs w:val="22"/>
                          <w:lang w:val="es-UY"/>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F640DA">
                            <w:rPr>
                              <w:rFonts w:asciiTheme="majorHAnsi" w:hAnsiTheme="majorHAnsi" w:cs="Arial"/>
                              <w:color w:val="0D0D0D" w:themeColor="text1" w:themeTint="F2"/>
                              <w:szCs w:val="22"/>
                              <w:lang w:val="es-ES_tradnl"/>
                            </w:rPr>
                            <w:t>YOANI MARÍA SÁNCHEZ CORDERO</w:t>
                          </w:r>
                        </w:sdtContent>
                      </w:sdt>
                    </w:p>
                    <w:bookmarkEnd w:id="1"/>
                    <w:p w14:paraId="07A805E5" w14:textId="77777777" w:rsidR="00F640DA" w:rsidRPr="00E34111" w:rsidRDefault="00460990" w:rsidP="00997BC5">
                      <w:pPr>
                        <w:spacing w:line="276" w:lineRule="auto"/>
                        <w:rPr>
                          <w:rFonts w:asciiTheme="majorHAnsi" w:hAnsiTheme="majorHAnsi" w:cs="Arial"/>
                          <w:color w:val="0D0D0D" w:themeColor="text1" w:themeTint="F2"/>
                          <w:szCs w:val="22"/>
                          <w:lang w:val="es-PE"/>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F640DA">
                            <w:rPr>
                              <w:rFonts w:asciiTheme="majorHAnsi" w:hAnsiTheme="majorHAnsi" w:cs="Arial"/>
                              <w:bCs/>
                              <w:color w:val="0D0D0D" w:themeColor="text1" w:themeTint="F2"/>
                              <w:szCs w:val="22"/>
                            </w:rPr>
                            <w:t>CUBA</w:t>
                          </w:r>
                        </w:sdtContent>
                      </w:sdt>
                    </w:p>
                    <w:p w14:paraId="53F6D897" w14:textId="77777777" w:rsidR="00F640DA" w:rsidRPr="00375047" w:rsidRDefault="00F640DA" w:rsidP="007A5817">
                      <w:pPr>
                        <w:rPr>
                          <w:color w:val="0D0D0D" w:themeColor="text1" w:themeTint="F2"/>
                          <w:lang w:val="es-US"/>
                        </w:rPr>
                      </w:pPr>
                    </w:p>
                  </w:txbxContent>
                </v:textbox>
              </v:shape>
            </w:pict>
          </mc:Fallback>
        </mc:AlternateContent>
      </w:r>
      <w:r w:rsidR="004E2649" w:rsidRPr="00116A43">
        <w:rPr>
          <w:rFonts w:ascii="Cambria" w:hAnsi="Cambria"/>
          <w:noProof/>
          <w:sz w:val="20"/>
          <w:szCs w:val="20"/>
          <w:lang w:val="en-US"/>
        </w:rPr>
        <mc:AlternateContent>
          <mc:Choice Requires="wps">
            <w:drawing>
              <wp:anchor distT="0" distB="0" distL="114300" distR="114300" simplePos="0" relativeHeight="251671552" behindDoc="0" locked="0" layoutInCell="1" allowOverlap="1" wp14:anchorId="2DD4115D" wp14:editId="3BAAECE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0B0E0" w14:textId="4535610A" w:rsidR="00F640DA" w:rsidRPr="00644687" w:rsidRDefault="00F640DA" w:rsidP="007A5817">
                            <w:pPr>
                              <w:spacing w:line="276" w:lineRule="auto"/>
                              <w:jc w:val="right"/>
                              <w:rPr>
                                <w:rFonts w:asciiTheme="minorHAnsi" w:hAnsiTheme="minorHAnsi"/>
                                <w:color w:val="FFFFFF" w:themeColor="background1"/>
                                <w:sz w:val="22"/>
                                <w:lang w:val="es-US"/>
                              </w:rPr>
                            </w:pPr>
                            <w:r w:rsidRPr="00644687">
                              <w:rPr>
                                <w:rFonts w:asciiTheme="minorHAnsi" w:hAnsiTheme="minorHAnsi"/>
                                <w:color w:val="FFFFFF" w:themeColor="background1"/>
                                <w:sz w:val="22"/>
                                <w:lang w:val="es-US"/>
                              </w:rPr>
                              <w:t>OEA/Ser.L/V/II</w:t>
                            </w:r>
                          </w:p>
                          <w:p w14:paraId="717E37D8" w14:textId="652F1C8B" w:rsidR="00F640DA" w:rsidRPr="00644687" w:rsidRDefault="00F640DA" w:rsidP="007A5817">
                            <w:pPr>
                              <w:spacing w:line="276" w:lineRule="auto"/>
                              <w:jc w:val="right"/>
                              <w:rPr>
                                <w:rFonts w:asciiTheme="minorHAnsi" w:hAnsiTheme="minorHAnsi"/>
                                <w:color w:val="FFFFFF" w:themeColor="background1"/>
                                <w:sz w:val="22"/>
                                <w:lang w:val="es-US"/>
                              </w:rPr>
                            </w:pPr>
                            <w:r w:rsidRPr="00644687">
                              <w:rPr>
                                <w:rFonts w:asciiTheme="minorHAnsi" w:hAnsiTheme="minorHAnsi"/>
                                <w:color w:val="FFFFFF" w:themeColor="background1"/>
                                <w:sz w:val="22"/>
                                <w:lang w:val="es-US"/>
                              </w:rPr>
                              <w:t xml:space="preserve">Doc. </w:t>
                            </w:r>
                            <w:r>
                              <w:rPr>
                                <w:rFonts w:asciiTheme="minorHAnsi" w:hAnsiTheme="minorHAnsi"/>
                                <w:color w:val="FFFFFF" w:themeColor="background1"/>
                                <w:sz w:val="22"/>
                                <w:lang w:val="es-US"/>
                              </w:rPr>
                              <w:t>307</w:t>
                            </w:r>
                          </w:p>
                          <w:p w14:paraId="12315BB2" w14:textId="32367F83" w:rsidR="00F640DA" w:rsidRPr="004E2649" w:rsidRDefault="00F640D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Pr="009736BF">
                              <w:rPr>
                                <w:rFonts w:asciiTheme="minorHAnsi" w:hAnsiTheme="minorHAnsi"/>
                                <w:color w:val="FFFFFF" w:themeColor="background1"/>
                                <w:sz w:val="22"/>
                              </w:rPr>
                              <w:t xml:space="preserve"> </w:t>
                            </w:r>
                            <w:r>
                              <w:rPr>
                                <w:rFonts w:asciiTheme="minorHAnsi" w:hAnsiTheme="minorHAnsi"/>
                                <w:color w:val="FFFFFF" w:themeColor="background1"/>
                                <w:sz w:val="22"/>
                              </w:rPr>
                              <w:t>octubre</w:t>
                            </w:r>
                            <w:r w:rsidRPr="009736BF">
                              <w:rPr>
                                <w:rFonts w:asciiTheme="minorHAnsi" w:hAnsiTheme="minorHAnsi"/>
                                <w:color w:val="FFFFFF" w:themeColor="background1"/>
                                <w:sz w:val="22"/>
                              </w:rPr>
                              <w:t xml:space="preserve"> </w:t>
                            </w:r>
                            <w:r>
                              <w:rPr>
                                <w:rFonts w:asciiTheme="minorHAnsi" w:hAnsiTheme="minorHAnsi"/>
                                <w:color w:val="FFFFFF" w:themeColor="background1"/>
                                <w:sz w:val="22"/>
                              </w:rPr>
                              <w:t>2021</w:t>
                            </w:r>
                          </w:p>
                          <w:p w14:paraId="0A9789D1" w14:textId="77777777" w:rsidR="00F640DA" w:rsidRPr="00E334AB" w:rsidRDefault="00F640D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115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CB0B0E0" w14:textId="4535610A" w:rsidR="00F640DA" w:rsidRPr="00644687" w:rsidRDefault="00F640DA" w:rsidP="007A5817">
                      <w:pPr>
                        <w:spacing w:line="276" w:lineRule="auto"/>
                        <w:jc w:val="right"/>
                        <w:rPr>
                          <w:rFonts w:asciiTheme="minorHAnsi" w:hAnsiTheme="minorHAnsi"/>
                          <w:color w:val="FFFFFF" w:themeColor="background1"/>
                          <w:sz w:val="22"/>
                          <w:lang w:val="es-US"/>
                        </w:rPr>
                      </w:pPr>
                      <w:r w:rsidRPr="00644687">
                        <w:rPr>
                          <w:rFonts w:asciiTheme="minorHAnsi" w:hAnsiTheme="minorHAnsi"/>
                          <w:color w:val="FFFFFF" w:themeColor="background1"/>
                          <w:sz w:val="22"/>
                          <w:lang w:val="es-US"/>
                        </w:rPr>
                        <w:t>OEA/Ser.L/V/II</w:t>
                      </w:r>
                    </w:p>
                    <w:p w14:paraId="717E37D8" w14:textId="652F1C8B" w:rsidR="00F640DA" w:rsidRPr="00644687" w:rsidRDefault="00F640DA" w:rsidP="007A5817">
                      <w:pPr>
                        <w:spacing w:line="276" w:lineRule="auto"/>
                        <w:jc w:val="right"/>
                        <w:rPr>
                          <w:rFonts w:asciiTheme="minorHAnsi" w:hAnsiTheme="minorHAnsi"/>
                          <w:color w:val="FFFFFF" w:themeColor="background1"/>
                          <w:sz w:val="22"/>
                          <w:lang w:val="es-US"/>
                        </w:rPr>
                      </w:pPr>
                      <w:r w:rsidRPr="00644687">
                        <w:rPr>
                          <w:rFonts w:asciiTheme="minorHAnsi" w:hAnsiTheme="minorHAnsi"/>
                          <w:color w:val="FFFFFF" w:themeColor="background1"/>
                          <w:sz w:val="22"/>
                          <w:lang w:val="es-US"/>
                        </w:rPr>
                        <w:t xml:space="preserve">Doc. </w:t>
                      </w:r>
                      <w:r>
                        <w:rPr>
                          <w:rFonts w:asciiTheme="minorHAnsi" w:hAnsiTheme="minorHAnsi"/>
                          <w:color w:val="FFFFFF" w:themeColor="background1"/>
                          <w:sz w:val="22"/>
                          <w:lang w:val="es-US"/>
                        </w:rPr>
                        <w:t>307</w:t>
                      </w:r>
                    </w:p>
                    <w:p w14:paraId="12315BB2" w14:textId="32367F83" w:rsidR="00F640DA" w:rsidRPr="004E2649" w:rsidRDefault="00F640D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Pr="009736BF">
                        <w:rPr>
                          <w:rFonts w:asciiTheme="minorHAnsi" w:hAnsiTheme="minorHAnsi"/>
                          <w:color w:val="FFFFFF" w:themeColor="background1"/>
                          <w:sz w:val="22"/>
                        </w:rPr>
                        <w:t xml:space="preserve"> </w:t>
                      </w:r>
                      <w:r>
                        <w:rPr>
                          <w:rFonts w:asciiTheme="minorHAnsi" w:hAnsiTheme="minorHAnsi"/>
                          <w:color w:val="FFFFFF" w:themeColor="background1"/>
                          <w:sz w:val="22"/>
                        </w:rPr>
                        <w:t>octubre</w:t>
                      </w:r>
                      <w:r w:rsidRPr="009736BF">
                        <w:rPr>
                          <w:rFonts w:asciiTheme="minorHAnsi" w:hAnsiTheme="minorHAnsi"/>
                          <w:color w:val="FFFFFF" w:themeColor="background1"/>
                          <w:sz w:val="22"/>
                        </w:rPr>
                        <w:t xml:space="preserve"> </w:t>
                      </w:r>
                      <w:r>
                        <w:rPr>
                          <w:rFonts w:asciiTheme="minorHAnsi" w:hAnsiTheme="minorHAnsi"/>
                          <w:color w:val="FFFFFF" w:themeColor="background1"/>
                          <w:sz w:val="22"/>
                        </w:rPr>
                        <w:t>2021</w:t>
                      </w:r>
                    </w:p>
                    <w:p w14:paraId="0A9789D1" w14:textId="77777777" w:rsidR="00F640DA" w:rsidRPr="00E334AB" w:rsidRDefault="00F640D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Pr>
                              <w:rFonts w:asciiTheme="minorHAnsi" w:hAnsiTheme="minorHAnsi"/>
                              <w:color w:val="FFFFFF" w:themeColor="background1"/>
                              <w:sz w:val="22"/>
                            </w:rPr>
                            <w:t>español</w:t>
                          </w:r>
                        </w:sdtContent>
                      </w:sdt>
                    </w:p>
                  </w:txbxContent>
                </v:textbox>
              </v:shape>
            </w:pict>
          </mc:Fallback>
        </mc:AlternateContent>
      </w:r>
    </w:p>
    <w:p w14:paraId="69EC42C0" w14:textId="77777777" w:rsidR="00040C3A" w:rsidRPr="00116A43" w:rsidRDefault="00040C3A" w:rsidP="005F7FE2">
      <w:pPr>
        <w:tabs>
          <w:tab w:val="center" w:pos="5400"/>
        </w:tabs>
        <w:suppressAutoHyphens/>
        <w:jc w:val="center"/>
        <w:rPr>
          <w:rFonts w:ascii="Cambria" w:hAnsi="Cambria"/>
          <w:sz w:val="20"/>
          <w:szCs w:val="20"/>
        </w:rPr>
      </w:pPr>
    </w:p>
    <w:p w14:paraId="27C9A042" w14:textId="77777777" w:rsidR="00040C3A" w:rsidRPr="00116A43" w:rsidRDefault="00040C3A" w:rsidP="005F7FE2">
      <w:pPr>
        <w:tabs>
          <w:tab w:val="center" w:pos="5400"/>
        </w:tabs>
        <w:suppressAutoHyphens/>
        <w:jc w:val="center"/>
        <w:rPr>
          <w:rFonts w:ascii="Cambria" w:hAnsi="Cambria"/>
          <w:sz w:val="20"/>
          <w:szCs w:val="20"/>
        </w:rPr>
      </w:pPr>
    </w:p>
    <w:p w14:paraId="7D15DC04" w14:textId="77777777" w:rsidR="00040C3A" w:rsidRPr="00116A43" w:rsidRDefault="00040C3A" w:rsidP="005F7FE2">
      <w:pPr>
        <w:tabs>
          <w:tab w:val="center" w:pos="5400"/>
        </w:tabs>
        <w:suppressAutoHyphens/>
        <w:jc w:val="center"/>
        <w:rPr>
          <w:rFonts w:ascii="Cambria" w:hAnsi="Cambria" w:cs="Arial"/>
          <w:sz w:val="20"/>
          <w:szCs w:val="20"/>
        </w:rPr>
      </w:pPr>
    </w:p>
    <w:p w14:paraId="4AA66FB3" w14:textId="77777777" w:rsidR="00040C3A" w:rsidRPr="00116A43" w:rsidRDefault="00040C3A" w:rsidP="005F7FE2">
      <w:pPr>
        <w:tabs>
          <w:tab w:val="center" w:pos="5400"/>
        </w:tabs>
        <w:suppressAutoHyphens/>
        <w:jc w:val="center"/>
        <w:rPr>
          <w:rFonts w:ascii="Cambria" w:hAnsi="Cambria"/>
          <w:sz w:val="20"/>
          <w:szCs w:val="20"/>
        </w:rPr>
      </w:pPr>
    </w:p>
    <w:p w14:paraId="6E1815BE" w14:textId="77777777" w:rsidR="00040C3A" w:rsidRPr="00116A43" w:rsidRDefault="00040C3A" w:rsidP="005F7FE2">
      <w:pPr>
        <w:tabs>
          <w:tab w:val="center" w:pos="5400"/>
        </w:tabs>
        <w:suppressAutoHyphens/>
        <w:jc w:val="center"/>
        <w:rPr>
          <w:rFonts w:ascii="Cambria" w:hAnsi="Cambria"/>
          <w:sz w:val="20"/>
          <w:szCs w:val="20"/>
        </w:rPr>
      </w:pPr>
    </w:p>
    <w:p w14:paraId="2D07138F" w14:textId="77777777" w:rsidR="00040C3A" w:rsidRPr="00116A43" w:rsidRDefault="00040C3A" w:rsidP="005F7FE2">
      <w:pPr>
        <w:tabs>
          <w:tab w:val="center" w:pos="5400"/>
        </w:tabs>
        <w:suppressAutoHyphens/>
        <w:jc w:val="center"/>
        <w:rPr>
          <w:rFonts w:ascii="Cambria" w:hAnsi="Cambria"/>
          <w:sz w:val="20"/>
          <w:szCs w:val="20"/>
        </w:rPr>
      </w:pPr>
    </w:p>
    <w:p w14:paraId="03862068" w14:textId="77777777" w:rsidR="00040C3A" w:rsidRPr="00116A43" w:rsidRDefault="00040C3A" w:rsidP="005F7FE2">
      <w:pPr>
        <w:tabs>
          <w:tab w:val="center" w:pos="5400"/>
        </w:tabs>
        <w:suppressAutoHyphens/>
        <w:jc w:val="center"/>
        <w:rPr>
          <w:rFonts w:ascii="Cambria" w:hAnsi="Cambria"/>
          <w:sz w:val="20"/>
          <w:szCs w:val="20"/>
        </w:rPr>
      </w:pPr>
    </w:p>
    <w:p w14:paraId="4B95E5E3" w14:textId="77777777" w:rsidR="005128E4" w:rsidRPr="00116A43" w:rsidRDefault="005128E4" w:rsidP="005F7FE2">
      <w:pPr>
        <w:tabs>
          <w:tab w:val="center" w:pos="5400"/>
        </w:tabs>
        <w:suppressAutoHyphens/>
        <w:jc w:val="center"/>
        <w:rPr>
          <w:rFonts w:ascii="Cambria" w:hAnsi="Cambria"/>
          <w:sz w:val="20"/>
          <w:szCs w:val="20"/>
        </w:rPr>
      </w:pPr>
    </w:p>
    <w:p w14:paraId="50A10078" w14:textId="77777777" w:rsidR="00040C3A" w:rsidRPr="00116A43" w:rsidRDefault="00040C3A" w:rsidP="005F7FE2">
      <w:pPr>
        <w:tabs>
          <w:tab w:val="center" w:pos="5400"/>
        </w:tabs>
        <w:suppressAutoHyphens/>
        <w:jc w:val="center"/>
        <w:rPr>
          <w:rFonts w:ascii="Cambria" w:hAnsi="Cambria"/>
          <w:sz w:val="20"/>
          <w:szCs w:val="20"/>
        </w:rPr>
      </w:pPr>
    </w:p>
    <w:p w14:paraId="4B9BCE9D" w14:textId="77777777" w:rsidR="005128E4" w:rsidRPr="00116A43" w:rsidRDefault="005128E4" w:rsidP="005F7FE2">
      <w:pPr>
        <w:tabs>
          <w:tab w:val="center" w:pos="5400"/>
        </w:tabs>
        <w:suppressAutoHyphens/>
        <w:jc w:val="center"/>
        <w:rPr>
          <w:rFonts w:ascii="Cambria" w:hAnsi="Cambria"/>
          <w:sz w:val="20"/>
          <w:szCs w:val="20"/>
        </w:rPr>
      </w:pPr>
    </w:p>
    <w:p w14:paraId="335240C4" w14:textId="77777777" w:rsidR="005128E4" w:rsidRPr="00116A43" w:rsidRDefault="005128E4" w:rsidP="005F7FE2">
      <w:pPr>
        <w:tabs>
          <w:tab w:val="center" w:pos="5400"/>
        </w:tabs>
        <w:suppressAutoHyphens/>
        <w:jc w:val="center"/>
        <w:rPr>
          <w:rFonts w:ascii="Cambria" w:hAnsi="Cambria"/>
          <w:sz w:val="20"/>
          <w:szCs w:val="20"/>
        </w:rPr>
      </w:pPr>
    </w:p>
    <w:p w14:paraId="758B6FF9" w14:textId="77777777" w:rsidR="005128E4" w:rsidRPr="00116A43" w:rsidRDefault="005128E4" w:rsidP="005F7FE2">
      <w:pPr>
        <w:tabs>
          <w:tab w:val="center" w:pos="5400"/>
        </w:tabs>
        <w:suppressAutoHyphens/>
        <w:jc w:val="center"/>
        <w:rPr>
          <w:rFonts w:ascii="Cambria" w:hAnsi="Cambria"/>
          <w:sz w:val="20"/>
          <w:szCs w:val="20"/>
        </w:rPr>
      </w:pPr>
    </w:p>
    <w:p w14:paraId="01539C52" w14:textId="77777777" w:rsidR="00040C3A" w:rsidRPr="00116A43" w:rsidRDefault="00040C3A" w:rsidP="005F7FE2">
      <w:pPr>
        <w:tabs>
          <w:tab w:val="center" w:pos="5400"/>
        </w:tabs>
        <w:suppressAutoHyphens/>
        <w:jc w:val="center"/>
        <w:rPr>
          <w:rFonts w:ascii="Cambria" w:hAnsi="Cambria"/>
          <w:sz w:val="20"/>
          <w:szCs w:val="20"/>
        </w:rPr>
      </w:pPr>
    </w:p>
    <w:p w14:paraId="7FA0A8D0" w14:textId="77777777" w:rsidR="00040C3A" w:rsidRPr="00116A43" w:rsidRDefault="00040C3A" w:rsidP="005F7FE2">
      <w:pPr>
        <w:tabs>
          <w:tab w:val="center" w:pos="5400"/>
        </w:tabs>
        <w:suppressAutoHyphens/>
        <w:jc w:val="center"/>
        <w:rPr>
          <w:rFonts w:ascii="Cambria" w:hAnsi="Cambria"/>
          <w:sz w:val="20"/>
          <w:szCs w:val="20"/>
        </w:rPr>
      </w:pPr>
    </w:p>
    <w:p w14:paraId="51792827" w14:textId="77777777" w:rsidR="00A50FCF" w:rsidRPr="00116A43" w:rsidRDefault="00A50FCF" w:rsidP="005F7FE2">
      <w:pPr>
        <w:tabs>
          <w:tab w:val="center" w:pos="5400"/>
        </w:tabs>
        <w:suppressAutoHyphens/>
        <w:jc w:val="center"/>
        <w:rPr>
          <w:rFonts w:ascii="Cambria" w:hAnsi="Cambria"/>
          <w:sz w:val="20"/>
          <w:szCs w:val="20"/>
        </w:rPr>
      </w:pPr>
    </w:p>
    <w:p w14:paraId="30063776" w14:textId="77777777" w:rsidR="00A50FCF" w:rsidRPr="00116A43" w:rsidRDefault="00A50FCF" w:rsidP="005F7FE2">
      <w:pPr>
        <w:tabs>
          <w:tab w:val="center" w:pos="5400"/>
        </w:tabs>
        <w:suppressAutoHyphens/>
        <w:jc w:val="center"/>
        <w:rPr>
          <w:rFonts w:ascii="Cambria" w:hAnsi="Cambria"/>
          <w:sz w:val="20"/>
          <w:szCs w:val="20"/>
        </w:rPr>
      </w:pPr>
    </w:p>
    <w:p w14:paraId="798A74CB" w14:textId="77777777" w:rsidR="00A50FCF" w:rsidRPr="00116A43" w:rsidRDefault="00A50FCF" w:rsidP="005F7FE2">
      <w:pPr>
        <w:tabs>
          <w:tab w:val="center" w:pos="5400"/>
        </w:tabs>
        <w:suppressAutoHyphens/>
        <w:jc w:val="center"/>
        <w:rPr>
          <w:rFonts w:ascii="Cambria" w:hAnsi="Cambria"/>
          <w:sz w:val="20"/>
          <w:szCs w:val="20"/>
        </w:rPr>
      </w:pPr>
    </w:p>
    <w:p w14:paraId="4FAF8229" w14:textId="77777777" w:rsidR="00A50FCF" w:rsidRPr="00116A43" w:rsidRDefault="00A50FCF" w:rsidP="005F7FE2">
      <w:pPr>
        <w:tabs>
          <w:tab w:val="center" w:pos="5400"/>
        </w:tabs>
        <w:suppressAutoHyphens/>
        <w:jc w:val="center"/>
        <w:rPr>
          <w:rFonts w:ascii="Cambria" w:hAnsi="Cambria"/>
          <w:sz w:val="20"/>
          <w:szCs w:val="20"/>
        </w:rPr>
      </w:pPr>
    </w:p>
    <w:p w14:paraId="1B2146D3" w14:textId="77777777" w:rsidR="00A50FCF" w:rsidRPr="00116A43" w:rsidRDefault="00A50FCF" w:rsidP="005F7FE2">
      <w:pPr>
        <w:tabs>
          <w:tab w:val="center" w:pos="5400"/>
        </w:tabs>
        <w:suppressAutoHyphens/>
        <w:jc w:val="center"/>
        <w:rPr>
          <w:rFonts w:ascii="Cambria" w:hAnsi="Cambria"/>
          <w:sz w:val="20"/>
          <w:szCs w:val="20"/>
        </w:rPr>
      </w:pPr>
    </w:p>
    <w:p w14:paraId="66A6BDA7" w14:textId="77777777" w:rsidR="00A50FCF" w:rsidRPr="00116A43" w:rsidRDefault="00A50FCF" w:rsidP="005F7FE2">
      <w:pPr>
        <w:tabs>
          <w:tab w:val="center" w:pos="5400"/>
        </w:tabs>
        <w:suppressAutoHyphens/>
        <w:jc w:val="center"/>
        <w:rPr>
          <w:rFonts w:ascii="Cambria" w:hAnsi="Cambria"/>
          <w:sz w:val="20"/>
          <w:szCs w:val="20"/>
        </w:rPr>
      </w:pPr>
    </w:p>
    <w:p w14:paraId="25C6A7EE" w14:textId="77777777" w:rsidR="00A50FCF" w:rsidRPr="00116A43" w:rsidRDefault="00A50FCF" w:rsidP="005F7FE2">
      <w:pPr>
        <w:tabs>
          <w:tab w:val="center" w:pos="5400"/>
        </w:tabs>
        <w:suppressAutoHyphens/>
        <w:jc w:val="center"/>
        <w:rPr>
          <w:rFonts w:ascii="Cambria" w:hAnsi="Cambria"/>
          <w:sz w:val="20"/>
          <w:szCs w:val="20"/>
        </w:rPr>
      </w:pPr>
    </w:p>
    <w:p w14:paraId="51251D64" w14:textId="77777777" w:rsidR="00A50FCF" w:rsidRPr="00116A43" w:rsidRDefault="00A50FCF" w:rsidP="005F7FE2">
      <w:pPr>
        <w:tabs>
          <w:tab w:val="center" w:pos="5400"/>
        </w:tabs>
        <w:suppressAutoHyphens/>
        <w:jc w:val="center"/>
        <w:rPr>
          <w:rFonts w:ascii="Cambria" w:hAnsi="Cambria"/>
          <w:sz w:val="20"/>
          <w:szCs w:val="20"/>
        </w:rPr>
      </w:pPr>
    </w:p>
    <w:p w14:paraId="17E56D8E" w14:textId="77777777" w:rsidR="00A50FCF" w:rsidRPr="00116A43" w:rsidRDefault="00A50FCF" w:rsidP="005F7FE2">
      <w:pPr>
        <w:tabs>
          <w:tab w:val="center" w:pos="5400"/>
        </w:tabs>
        <w:suppressAutoHyphens/>
        <w:jc w:val="center"/>
        <w:rPr>
          <w:rFonts w:ascii="Cambria" w:hAnsi="Cambria"/>
          <w:sz w:val="20"/>
          <w:szCs w:val="20"/>
        </w:rPr>
      </w:pPr>
    </w:p>
    <w:p w14:paraId="57A8AD76" w14:textId="77777777" w:rsidR="00A50FCF" w:rsidRPr="00116A43" w:rsidRDefault="00A50FCF" w:rsidP="005F7FE2">
      <w:pPr>
        <w:tabs>
          <w:tab w:val="center" w:pos="5400"/>
        </w:tabs>
        <w:suppressAutoHyphens/>
        <w:jc w:val="center"/>
        <w:rPr>
          <w:rFonts w:ascii="Cambria" w:hAnsi="Cambria"/>
          <w:sz w:val="20"/>
          <w:szCs w:val="20"/>
        </w:rPr>
      </w:pPr>
    </w:p>
    <w:p w14:paraId="7D136FA4" w14:textId="77777777" w:rsidR="00A50FCF" w:rsidRPr="00116A43" w:rsidRDefault="00A50FCF" w:rsidP="005F7FE2">
      <w:pPr>
        <w:tabs>
          <w:tab w:val="center" w:pos="5400"/>
        </w:tabs>
        <w:suppressAutoHyphens/>
        <w:jc w:val="center"/>
        <w:rPr>
          <w:rFonts w:ascii="Cambria" w:hAnsi="Cambria"/>
          <w:sz w:val="20"/>
          <w:szCs w:val="20"/>
        </w:rPr>
      </w:pPr>
    </w:p>
    <w:p w14:paraId="6DAED65E" w14:textId="77777777" w:rsidR="00A50FCF" w:rsidRPr="00116A43" w:rsidRDefault="00A50FCF" w:rsidP="005F7FE2">
      <w:pPr>
        <w:tabs>
          <w:tab w:val="center" w:pos="5400"/>
        </w:tabs>
        <w:suppressAutoHyphens/>
        <w:jc w:val="center"/>
        <w:rPr>
          <w:rFonts w:ascii="Cambria" w:hAnsi="Cambria"/>
          <w:sz w:val="20"/>
          <w:szCs w:val="20"/>
        </w:rPr>
      </w:pPr>
    </w:p>
    <w:p w14:paraId="6762D4A6" w14:textId="77777777" w:rsidR="00A50FCF" w:rsidRPr="00116A43" w:rsidRDefault="00A50FCF" w:rsidP="005F7FE2">
      <w:pPr>
        <w:tabs>
          <w:tab w:val="center" w:pos="5400"/>
        </w:tabs>
        <w:suppressAutoHyphens/>
        <w:jc w:val="center"/>
        <w:rPr>
          <w:rFonts w:ascii="Cambria" w:hAnsi="Cambria"/>
          <w:sz w:val="20"/>
          <w:szCs w:val="20"/>
        </w:rPr>
      </w:pPr>
    </w:p>
    <w:p w14:paraId="5584D1EC" w14:textId="77777777" w:rsidR="00A50FCF" w:rsidRPr="00116A43" w:rsidRDefault="00A50FCF" w:rsidP="005F7FE2">
      <w:pPr>
        <w:tabs>
          <w:tab w:val="center" w:pos="5400"/>
        </w:tabs>
        <w:suppressAutoHyphens/>
        <w:jc w:val="center"/>
        <w:rPr>
          <w:rFonts w:ascii="Cambria" w:hAnsi="Cambria"/>
          <w:sz w:val="20"/>
          <w:szCs w:val="20"/>
        </w:rPr>
      </w:pPr>
    </w:p>
    <w:p w14:paraId="637640F8" w14:textId="77777777" w:rsidR="00A50FCF" w:rsidRPr="00116A43" w:rsidRDefault="0090270B" w:rsidP="005F7FE2">
      <w:pPr>
        <w:tabs>
          <w:tab w:val="center" w:pos="5400"/>
        </w:tabs>
        <w:suppressAutoHyphens/>
        <w:jc w:val="center"/>
        <w:rPr>
          <w:rFonts w:ascii="Cambria" w:hAnsi="Cambria"/>
          <w:sz w:val="20"/>
          <w:szCs w:val="20"/>
        </w:rPr>
      </w:pPr>
      <w:r w:rsidRPr="00116A43">
        <w:rPr>
          <w:rFonts w:ascii="Cambria" w:hAnsi="Cambria"/>
          <w:noProof/>
          <w:sz w:val="20"/>
          <w:szCs w:val="20"/>
          <w:lang w:val="en-US"/>
        </w:rPr>
        <mc:AlternateContent>
          <mc:Choice Requires="wps">
            <w:drawing>
              <wp:anchor distT="0" distB="0" distL="114300" distR="114300" simplePos="0" relativeHeight="251670528" behindDoc="0" locked="0" layoutInCell="1" allowOverlap="1" wp14:anchorId="274E7A9C" wp14:editId="6C0ACF35">
                <wp:simplePos x="0" y="0"/>
                <wp:positionH relativeFrom="column">
                  <wp:posOffset>1343025</wp:posOffset>
                </wp:positionH>
                <wp:positionV relativeFrom="paragraph">
                  <wp:posOffset>23495</wp:posOffset>
                </wp:positionV>
                <wp:extent cx="4933950" cy="371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sz w:val="18"/>
                                <w:szCs w:val="20"/>
                              </w:rPr>
                              <w:alias w:val="Tipo de Aprobación"/>
                              <w:tag w:val="Tipo de Aprobación"/>
                              <w:id w:val="1680085251"/>
                              <w:docPartList>
                                <w:docPartGallery w:val="AutoText"/>
                                <w:docPartCategory w:val="Tipo de Aprobación"/>
                              </w:docPartList>
                            </w:sdtPr>
                            <w:sdtEndPr/>
                            <w:sdtContent>
                              <w:p w14:paraId="3AC20F90" w14:textId="34F7F10F" w:rsidR="00F640DA" w:rsidRPr="009736BF" w:rsidRDefault="00F640DA" w:rsidP="003D0D74">
                                <w:pPr>
                                  <w:tabs>
                                    <w:tab w:val="center" w:pos="5400"/>
                                  </w:tabs>
                                  <w:suppressAutoHyphens/>
                                  <w:spacing w:before="60"/>
                                  <w:jc w:val="both"/>
                                  <w:rPr>
                                    <w:rFonts w:asciiTheme="majorHAnsi" w:hAnsiTheme="majorHAnsi"/>
                                    <w:sz w:val="18"/>
                                    <w:szCs w:val="20"/>
                                  </w:rPr>
                                </w:pPr>
                                <w:r w:rsidRPr="009736BF">
                                  <w:rPr>
                                    <w:rFonts w:asciiTheme="majorHAnsi" w:hAnsiTheme="majorHAnsi"/>
                                    <w:sz w:val="18"/>
                                    <w:szCs w:val="20"/>
                                  </w:rPr>
                                  <w:t xml:space="preserve">Aprobado electrónicamente por la Comisión el </w:t>
                                </w:r>
                                <w:r>
                                  <w:rPr>
                                    <w:rFonts w:asciiTheme="majorHAnsi" w:hAnsiTheme="majorHAnsi"/>
                                    <w:sz w:val="18"/>
                                    <w:szCs w:val="20"/>
                                  </w:rPr>
                                  <w:t>30</w:t>
                                </w:r>
                                <w:r w:rsidRPr="0021135C">
                                  <w:rPr>
                                    <w:rFonts w:asciiTheme="majorHAnsi" w:hAnsiTheme="majorHAnsi"/>
                                    <w:sz w:val="18"/>
                                    <w:szCs w:val="20"/>
                                  </w:rPr>
                                  <w:t xml:space="preserve"> de </w:t>
                                </w:r>
                                <w:r>
                                  <w:rPr>
                                    <w:rFonts w:asciiTheme="majorHAnsi" w:hAnsiTheme="majorHAnsi"/>
                                    <w:sz w:val="18"/>
                                    <w:szCs w:val="20"/>
                                  </w:rPr>
                                  <w:t>octubre</w:t>
                                </w:r>
                                <w:r w:rsidRPr="009736BF">
                                  <w:rPr>
                                    <w:rFonts w:asciiTheme="majorHAnsi" w:hAnsiTheme="majorHAnsi"/>
                                    <w:sz w:val="18"/>
                                    <w:szCs w:val="20"/>
                                  </w:rPr>
                                  <w:t xml:space="preserve"> de 2021.</w:t>
                                </w:r>
                              </w:p>
                            </w:sdtContent>
                          </w:sdt>
                          <w:p w14:paraId="41DBE666" w14:textId="77777777" w:rsidR="00F640DA" w:rsidRPr="007A5817" w:rsidRDefault="00F640DA" w:rsidP="00247403">
                            <w:pPr>
                              <w:tabs>
                                <w:tab w:val="center" w:pos="5400"/>
                              </w:tabs>
                              <w:suppressAutoHyphens/>
                              <w:spacing w:before="60"/>
                              <w:rPr>
                                <w:rFonts w:asciiTheme="minorHAnsi" w:hAnsiTheme="minorHAnsi" w:cs="Univers"/>
                                <w:color w:val="0D0D0D" w:themeColor="text1" w:themeTint="F2"/>
                                <w:sz w:val="20"/>
                                <w:szCs w:val="20"/>
                              </w:rPr>
                            </w:pPr>
                          </w:p>
                          <w:p w14:paraId="2C229DCA" w14:textId="77777777" w:rsidR="00F640DA" w:rsidRPr="00167A34" w:rsidRDefault="00F640DA"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7A9C" id="Text Box 7" o:spid="_x0000_s1029" type="#_x0000_t202" style="position:absolute;left:0;text-align:left;margin-left:105.75pt;margin-top:1.85pt;width:388.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" filled="f" stroked="f" strokeweight=".5pt">
                <v:textbox>
                  <w:txbxContent>
                    <w:sdt>
                      <w:sdtPr>
                        <w:rPr>
                          <w:rFonts w:asciiTheme="majorHAnsi" w:hAnsiTheme="majorHAnsi"/>
                          <w:sz w:val="18"/>
                          <w:szCs w:val="20"/>
                        </w:rPr>
                        <w:alias w:val="Tipo de Aprobación"/>
                        <w:tag w:val="Tipo de Aprobación"/>
                        <w:id w:val="1680085251"/>
                        <w:docPartList>
                          <w:docPartGallery w:val="AutoText"/>
                          <w:docPartCategory w:val="Tipo de Aprobación"/>
                        </w:docPartList>
                      </w:sdtPr>
                      <w:sdtEndPr/>
                      <w:sdtContent>
                        <w:p w14:paraId="3AC20F90" w14:textId="34F7F10F" w:rsidR="00F640DA" w:rsidRPr="009736BF" w:rsidRDefault="00F640DA" w:rsidP="003D0D74">
                          <w:pPr>
                            <w:tabs>
                              <w:tab w:val="center" w:pos="5400"/>
                            </w:tabs>
                            <w:suppressAutoHyphens/>
                            <w:spacing w:before="60"/>
                            <w:jc w:val="both"/>
                            <w:rPr>
                              <w:rFonts w:asciiTheme="majorHAnsi" w:hAnsiTheme="majorHAnsi"/>
                              <w:sz w:val="18"/>
                              <w:szCs w:val="20"/>
                            </w:rPr>
                          </w:pPr>
                          <w:r w:rsidRPr="009736BF">
                            <w:rPr>
                              <w:rFonts w:asciiTheme="majorHAnsi" w:hAnsiTheme="majorHAnsi"/>
                              <w:sz w:val="18"/>
                              <w:szCs w:val="20"/>
                            </w:rPr>
                            <w:t xml:space="preserve">Aprobado electrónicamente por la Comisión el </w:t>
                          </w:r>
                          <w:r>
                            <w:rPr>
                              <w:rFonts w:asciiTheme="majorHAnsi" w:hAnsiTheme="majorHAnsi"/>
                              <w:sz w:val="18"/>
                              <w:szCs w:val="20"/>
                            </w:rPr>
                            <w:t>30</w:t>
                          </w:r>
                          <w:r w:rsidRPr="0021135C">
                            <w:rPr>
                              <w:rFonts w:asciiTheme="majorHAnsi" w:hAnsiTheme="majorHAnsi"/>
                              <w:sz w:val="18"/>
                              <w:szCs w:val="20"/>
                            </w:rPr>
                            <w:t xml:space="preserve"> de </w:t>
                          </w:r>
                          <w:r>
                            <w:rPr>
                              <w:rFonts w:asciiTheme="majorHAnsi" w:hAnsiTheme="majorHAnsi"/>
                              <w:sz w:val="18"/>
                              <w:szCs w:val="20"/>
                            </w:rPr>
                            <w:t>octubre</w:t>
                          </w:r>
                          <w:r w:rsidRPr="009736BF">
                            <w:rPr>
                              <w:rFonts w:asciiTheme="majorHAnsi" w:hAnsiTheme="majorHAnsi"/>
                              <w:sz w:val="18"/>
                              <w:szCs w:val="20"/>
                            </w:rPr>
                            <w:t xml:space="preserve"> de 2021.</w:t>
                          </w:r>
                        </w:p>
                      </w:sdtContent>
                    </w:sdt>
                    <w:p w14:paraId="41DBE666" w14:textId="77777777" w:rsidR="00F640DA" w:rsidRPr="007A5817" w:rsidRDefault="00F640DA" w:rsidP="00247403">
                      <w:pPr>
                        <w:tabs>
                          <w:tab w:val="center" w:pos="5400"/>
                        </w:tabs>
                        <w:suppressAutoHyphens/>
                        <w:spacing w:before="60"/>
                        <w:rPr>
                          <w:rFonts w:asciiTheme="minorHAnsi" w:hAnsiTheme="minorHAnsi" w:cs="Univers"/>
                          <w:color w:val="0D0D0D" w:themeColor="text1" w:themeTint="F2"/>
                          <w:sz w:val="20"/>
                          <w:szCs w:val="20"/>
                        </w:rPr>
                      </w:pPr>
                    </w:p>
                    <w:p w14:paraId="2C229DCA" w14:textId="77777777" w:rsidR="00F640DA" w:rsidRPr="00167A34" w:rsidRDefault="00F640DA"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AA75C0F" w14:textId="77777777" w:rsidR="00A50FCF" w:rsidRPr="00116A43" w:rsidRDefault="00A50FCF" w:rsidP="005F7FE2">
      <w:pPr>
        <w:tabs>
          <w:tab w:val="center" w:pos="5400"/>
        </w:tabs>
        <w:suppressAutoHyphens/>
        <w:jc w:val="center"/>
        <w:rPr>
          <w:rFonts w:ascii="Cambria" w:hAnsi="Cambria"/>
          <w:sz w:val="20"/>
          <w:szCs w:val="20"/>
        </w:rPr>
      </w:pPr>
    </w:p>
    <w:p w14:paraId="11838FDB" w14:textId="77777777" w:rsidR="00A50FCF" w:rsidRPr="00116A43" w:rsidRDefault="00A50FCF" w:rsidP="005F7FE2">
      <w:pPr>
        <w:tabs>
          <w:tab w:val="center" w:pos="5400"/>
        </w:tabs>
        <w:suppressAutoHyphens/>
        <w:jc w:val="center"/>
        <w:rPr>
          <w:rFonts w:ascii="Cambria" w:hAnsi="Cambria"/>
          <w:sz w:val="20"/>
          <w:szCs w:val="20"/>
        </w:rPr>
      </w:pPr>
    </w:p>
    <w:p w14:paraId="12E6D2CA" w14:textId="770FE348" w:rsidR="00A50FCF" w:rsidRPr="00116A43" w:rsidRDefault="00C244A4" w:rsidP="005F7FE2">
      <w:pPr>
        <w:tabs>
          <w:tab w:val="center" w:pos="5400"/>
        </w:tabs>
        <w:suppressAutoHyphens/>
        <w:jc w:val="center"/>
        <w:rPr>
          <w:rFonts w:ascii="Cambria" w:hAnsi="Cambria"/>
          <w:sz w:val="20"/>
          <w:szCs w:val="20"/>
        </w:rPr>
      </w:pPr>
      <w:r w:rsidRPr="00116A43">
        <w:rPr>
          <w:rFonts w:ascii="Cambria" w:hAnsi="Cambria"/>
          <w:noProof/>
          <w:sz w:val="20"/>
          <w:szCs w:val="20"/>
          <w:lang w:val="en-US"/>
        </w:rPr>
        <mc:AlternateContent>
          <mc:Choice Requires="wps">
            <w:drawing>
              <wp:anchor distT="0" distB="0" distL="114300" distR="114300" simplePos="0" relativeHeight="251678720" behindDoc="0" locked="0" layoutInCell="1" allowOverlap="1" wp14:anchorId="2A50525E" wp14:editId="749A493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078E" w14:textId="74C8A93D" w:rsidR="00F640DA" w:rsidRPr="0063685A" w:rsidRDefault="00F640DA" w:rsidP="007053BE">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297</w:t>
                            </w:r>
                            <w:r w:rsidRPr="00644687">
                              <w:rPr>
                                <w:rFonts w:asciiTheme="majorHAnsi" w:hAnsiTheme="majorHAnsi"/>
                                <w:color w:val="595959" w:themeColor="text1" w:themeTint="A6"/>
                                <w:sz w:val="18"/>
                                <w:szCs w:val="18"/>
                                <w:lang w:val="pt-BR"/>
                              </w:rPr>
                              <w:t xml:space="preserve">/21. </w:t>
                            </w:r>
                            <w:r>
                              <w:rPr>
                                <w:rFonts w:asciiTheme="majorHAnsi" w:hAnsiTheme="majorHAnsi"/>
                                <w:color w:val="595959" w:themeColor="text1" w:themeTint="A6"/>
                                <w:sz w:val="18"/>
                                <w:szCs w:val="18"/>
                                <w:lang w:val="es-ES_tradnl"/>
                              </w:rPr>
                              <w:t xml:space="preserve">Caso 13.639. Admisibilidad y Fondo (Publicación). Yoani María Sánchez </w:t>
                            </w:r>
                            <w:r w:rsidR="002C1F23">
                              <w:rPr>
                                <w:rFonts w:asciiTheme="majorHAnsi" w:hAnsiTheme="majorHAnsi"/>
                                <w:color w:val="595959" w:themeColor="text1" w:themeTint="A6"/>
                                <w:sz w:val="18"/>
                                <w:szCs w:val="18"/>
                                <w:lang w:val="es-ES_tradnl"/>
                              </w:rPr>
                              <w:t>Cordero</w:t>
                            </w:r>
                            <w:r>
                              <w:rPr>
                                <w:rFonts w:asciiTheme="majorHAnsi" w:hAnsiTheme="majorHAnsi"/>
                                <w:color w:val="595959" w:themeColor="text1" w:themeTint="A6"/>
                                <w:sz w:val="18"/>
                                <w:szCs w:val="18"/>
                                <w:lang w:val="es-ES_tradnl"/>
                              </w:rPr>
                              <w:t>. Cuba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30 de octubre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525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562078E" w14:textId="74C8A93D" w:rsidR="00F640DA" w:rsidRPr="0063685A" w:rsidRDefault="00F640DA" w:rsidP="007053BE">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297</w:t>
                      </w:r>
                      <w:r w:rsidRPr="00644687">
                        <w:rPr>
                          <w:rFonts w:asciiTheme="majorHAnsi" w:hAnsiTheme="majorHAnsi"/>
                          <w:color w:val="595959" w:themeColor="text1" w:themeTint="A6"/>
                          <w:sz w:val="18"/>
                          <w:szCs w:val="18"/>
                          <w:lang w:val="pt-BR"/>
                        </w:rPr>
                        <w:t xml:space="preserve">/21. </w:t>
                      </w:r>
                      <w:r>
                        <w:rPr>
                          <w:rFonts w:asciiTheme="majorHAnsi" w:hAnsiTheme="majorHAnsi"/>
                          <w:color w:val="595959" w:themeColor="text1" w:themeTint="A6"/>
                          <w:sz w:val="18"/>
                          <w:szCs w:val="18"/>
                          <w:lang w:val="es-ES_tradnl"/>
                        </w:rPr>
                        <w:t xml:space="preserve">Caso 13.639. Admisibilidad y Fondo (Publicación). Yoani María Sánchez </w:t>
                      </w:r>
                      <w:r w:rsidR="002C1F23">
                        <w:rPr>
                          <w:rFonts w:asciiTheme="majorHAnsi" w:hAnsiTheme="majorHAnsi"/>
                          <w:color w:val="595959" w:themeColor="text1" w:themeTint="A6"/>
                          <w:sz w:val="18"/>
                          <w:szCs w:val="18"/>
                          <w:lang w:val="es-ES_tradnl"/>
                        </w:rPr>
                        <w:t>Cordero</w:t>
                      </w:r>
                      <w:r>
                        <w:rPr>
                          <w:rFonts w:asciiTheme="majorHAnsi" w:hAnsiTheme="majorHAnsi"/>
                          <w:color w:val="595959" w:themeColor="text1" w:themeTint="A6"/>
                          <w:sz w:val="18"/>
                          <w:szCs w:val="18"/>
                          <w:lang w:val="es-ES_tradnl"/>
                        </w:rPr>
                        <w:t>. Cuba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30 de octubre de 2021.</w:t>
                      </w:r>
                    </w:p>
                  </w:txbxContent>
                </v:textbox>
              </v:shape>
            </w:pict>
          </mc:Fallback>
        </mc:AlternateContent>
      </w:r>
    </w:p>
    <w:p w14:paraId="3C3144E2" w14:textId="77777777" w:rsidR="00A50FCF" w:rsidRPr="00116A43" w:rsidRDefault="00A50FCF" w:rsidP="005F7FE2">
      <w:pPr>
        <w:tabs>
          <w:tab w:val="center" w:pos="5400"/>
        </w:tabs>
        <w:suppressAutoHyphens/>
        <w:jc w:val="center"/>
        <w:rPr>
          <w:rFonts w:ascii="Cambria" w:hAnsi="Cambria"/>
          <w:sz w:val="20"/>
          <w:szCs w:val="20"/>
        </w:rPr>
      </w:pPr>
    </w:p>
    <w:p w14:paraId="492C601A" w14:textId="77777777" w:rsidR="0090270B" w:rsidRPr="00116A43" w:rsidRDefault="00D306D1" w:rsidP="005F7FE2">
      <w:pPr>
        <w:tabs>
          <w:tab w:val="center" w:pos="5400"/>
        </w:tabs>
        <w:suppressAutoHyphens/>
        <w:jc w:val="center"/>
        <w:rPr>
          <w:rFonts w:ascii="Cambria" w:hAnsi="Cambria"/>
          <w:b/>
          <w:sz w:val="20"/>
          <w:szCs w:val="20"/>
        </w:rPr>
      </w:pPr>
      <w:r w:rsidRPr="00116A43">
        <w:rPr>
          <w:rFonts w:ascii="Cambria" w:hAnsi="Cambria"/>
          <w:noProof/>
          <w:sz w:val="20"/>
          <w:szCs w:val="20"/>
          <w:lang w:val="en-US"/>
        </w:rPr>
        <mc:AlternateContent>
          <mc:Choice Requires="wps">
            <w:drawing>
              <wp:anchor distT="0" distB="0" distL="114300" distR="114300" simplePos="0" relativeHeight="251680768" behindDoc="0" locked="0" layoutInCell="1" allowOverlap="1" wp14:anchorId="2491CD4B" wp14:editId="7C59C91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C5591" w14:textId="173351EC" w:rsidR="00F640DA" w:rsidRPr="00D72DC6" w:rsidRDefault="00375047" w:rsidP="00F02AD1">
                            <w:pPr>
                              <w:rPr>
                                <w:color w:val="FFFFFF" w:themeColor="background1"/>
                                <w14:textFill>
                                  <w14:noFill/>
                                </w14:textFill>
                              </w:rPr>
                            </w:pPr>
                            <w:r>
                              <w:rPr>
                                <w:noProof/>
                                <w:color w:val="FFFFFF" w:themeColor="background1"/>
                              </w:rPr>
                              <w:drawing>
                                <wp:inline distT="0" distB="0" distL="0" distR="0" wp14:anchorId="26DA7FB6" wp14:editId="1508B46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CD4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ABC5591" w14:textId="173351EC" w:rsidR="00F640DA" w:rsidRPr="00D72DC6" w:rsidRDefault="00375047" w:rsidP="00F02AD1">
                      <w:pPr>
                        <w:rPr>
                          <w:color w:val="FFFFFF" w:themeColor="background1"/>
                          <w14:textFill>
                            <w14:noFill/>
                          </w14:textFill>
                        </w:rPr>
                      </w:pPr>
                      <w:r>
                        <w:rPr>
                          <w:noProof/>
                          <w:color w:val="FFFFFF" w:themeColor="background1"/>
                        </w:rPr>
                        <w:drawing>
                          <wp:inline distT="0" distB="0" distL="0" distR="0" wp14:anchorId="26DA7FB6" wp14:editId="1508B46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6A43">
        <w:rPr>
          <w:rFonts w:ascii="Cambria" w:hAnsi="Cambria"/>
          <w:noProof/>
          <w:sz w:val="20"/>
          <w:szCs w:val="20"/>
          <w:lang w:val="en-US"/>
        </w:rPr>
        <mc:AlternateContent>
          <mc:Choice Requires="wps">
            <w:drawing>
              <wp:anchor distT="0" distB="0" distL="114300" distR="114300" simplePos="0" relativeHeight="251682816" behindDoc="0" locked="0" layoutInCell="1" allowOverlap="1" wp14:anchorId="531BF887" wp14:editId="731A2D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DF738" w14:textId="77777777" w:rsidR="00F640DA" w:rsidRPr="004B7EB6" w:rsidRDefault="00F640D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F88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3DF738" w14:textId="77777777" w:rsidR="00F640DA" w:rsidRPr="004B7EB6" w:rsidRDefault="00F640D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66FA2A8" w14:textId="77777777" w:rsidR="0070697F" w:rsidRPr="00116A43" w:rsidRDefault="0070697F" w:rsidP="005F7FE2">
      <w:pPr>
        <w:tabs>
          <w:tab w:val="center" w:pos="5400"/>
        </w:tabs>
        <w:suppressAutoHyphens/>
        <w:jc w:val="center"/>
        <w:rPr>
          <w:rFonts w:ascii="Cambria" w:hAnsi="Cambria"/>
          <w:b/>
          <w:sz w:val="20"/>
          <w:szCs w:val="20"/>
        </w:rPr>
        <w:sectPr w:rsidR="0070697F" w:rsidRPr="00116A4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C63CDFF" w14:textId="6EC48BD7" w:rsidR="006D1FF4" w:rsidRPr="00116A43" w:rsidRDefault="006D1FF4" w:rsidP="005F7FE2">
      <w:pPr>
        <w:tabs>
          <w:tab w:val="center" w:pos="5400"/>
        </w:tabs>
        <w:suppressAutoHyphens/>
        <w:jc w:val="center"/>
        <w:rPr>
          <w:rStyle w:val="Style1"/>
          <w:sz w:val="20"/>
          <w:szCs w:val="20"/>
        </w:rPr>
      </w:pPr>
    </w:p>
    <w:p w14:paraId="43B18ED0" w14:textId="15BE367D" w:rsidR="006D1FF4" w:rsidRPr="00375047" w:rsidRDefault="006D1FF4" w:rsidP="005F7FE2">
      <w:pPr>
        <w:tabs>
          <w:tab w:val="center" w:pos="5400"/>
        </w:tabs>
        <w:suppressAutoHyphens/>
        <w:jc w:val="center"/>
        <w:rPr>
          <w:rStyle w:val="Style1"/>
          <w:rFonts w:asciiTheme="majorHAnsi" w:hAnsiTheme="majorHAnsi"/>
          <w:b/>
          <w:bCs/>
          <w:sz w:val="20"/>
          <w:szCs w:val="20"/>
        </w:rPr>
      </w:pPr>
      <w:r w:rsidRPr="00375047">
        <w:rPr>
          <w:rStyle w:val="Style1"/>
          <w:rFonts w:asciiTheme="majorHAnsi" w:hAnsiTheme="majorHAnsi"/>
          <w:b/>
          <w:bCs/>
          <w:sz w:val="20"/>
          <w:szCs w:val="20"/>
        </w:rPr>
        <w:t>ÍNDICE</w:t>
      </w:r>
    </w:p>
    <w:sdt>
      <w:sdtPr>
        <w:rPr>
          <w:bdr w:val="nil"/>
        </w:rPr>
        <w:id w:val="-319274877"/>
        <w:docPartObj>
          <w:docPartGallery w:val="Table of Contents"/>
          <w:docPartUnique/>
        </w:docPartObj>
      </w:sdtPr>
      <w:sdtEndPr>
        <w:rPr>
          <w:rFonts w:ascii="Times New Roman" w:eastAsia="Arial Unicode MS" w:hAnsi="Times New Roman" w:cs="Times New Roman"/>
          <w:b/>
          <w:bCs/>
          <w:noProof/>
          <w:color w:val="auto"/>
          <w:sz w:val="22"/>
          <w:szCs w:val="22"/>
          <w:lang w:val="es-ES"/>
        </w:rPr>
      </w:sdtEndPr>
      <w:sdtContent>
        <w:p w14:paraId="45E8C6EF" w14:textId="3D437789" w:rsidR="00536F65" w:rsidRPr="00F8335B" w:rsidRDefault="00536F65" w:rsidP="00BD38FE">
          <w:pPr>
            <w:pStyle w:val="TOCHeading"/>
            <w:tabs>
              <w:tab w:val="left" w:pos="720"/>
            </w:tabs>
            <w:rPr>
              <w:sz w:val="20"/>
              <w:szCs w:val="20"/>
            </w:rPr>
          </w:pPr>
        </w:p>
        <w:p w14:paraId="3791F554" w14:textId="0EE1E0EA" w:rsidR="00F8335B" w:rsidRPr="00F8335B" w:rsidRDefault="00536F65" w:rsidP="00BD38FE">
          <w:pPr>
            <w:pStyle w:val="TOC1"/>
            <w:tabs>
              <w:tab w:val="left" w:pos="720"/>
            </w:tabs>
            <w:rPr>
              <w:rFonts w:eastAsiaTheme="minorEastAsia" w:cstheme="minorBidi"/>
              <w:bdr w:val="none" w:sz="0" w:space="0" w:color="auto"/>
              <w:lang w:val="es-US" w:eastAsia="zh-CN"/>
            </w:rPr>
          </w:pPr>
          <w:r w:rsidRPr="00F8335B">
            <w:rPr>
              <w:noProof w:val="0"/>
            </w:rPr>
            <w:fldChar w:fldCharType="begin"/>
          </w:r>
          <w:r w:rsidRPr="00F8335B">
            <w:instrText xml:space="preserve"> TOC \o "1-3" \h \z \u </w:instrText>
          </w:r>
          <w:r w:rsidRPr="00F8335B">
            <w:rPr>
              <w:noProof w:val="0"/>
            </w:rPr>
            <w:fldChar w:fldCharType="separate"/>
          </w:r>
          <w:hyperlink w:anchor="_Toc89157550" w:history="1">
            <w:r w:rsidR="00F8335B" w:rsidRPr="00F8335B">
              <w:rPr>
                <w:rStyle w:val="Hyperlink"/>
              </w:rPr>
              <w:t>I.</w:t>
            </w:r>
            <w:r w:rsidR="00F8335B" w:rsidRPr="00F8335B">
              <w:rPr>
                <w:rFonts w:eastAsiaTheme="minorEastAsia" w:cstheme="minorBidi"/>
                <w:bdr w:val="none" w:sz="0" w:space="0" w:color="auto"/>
                <w:lang w:val="es-US" w:eastAsia="zh-CN"/>
              </w:rPr>
              <w:tab/>
            </w:r>
            <w:r w:rsidR="00F8335B" w:rsidRPr="00F8335B">
              <w:rPr>
                <w:rStyle w:val="Hyperlink"/>
              </w:rPr>
              <w:t>INTRODUCCIÓN</w:t>
            </w:r>
            <w:r w:rsidR="00F8335B" w:rsidRPr="00F8335B">
              <w:rPr>
                <w:webHidden/>
              </w:rPr>
              <w:tab/>
            </w:r>
            <w:r w:rsidR="00F8335B" w:rsidRPr="00F8335B">
              <w:rPr>
                <w:webHidden/>
              </w:rPr>
              <w:fldChar w:fldCharType="begin"/>
            </w:r>
            <w:r w:rsidR="00F8335B" w:rsidRPr="00F8335B">
              <w:rPr>
                <w:webHidden/>
              </w:rPr>
              <w:instrText xml:space="preserve"> PAGEREF _Toc89157550 \h </w:instrText>
            </w:r>
            <w:r w:rsidR="00F8335B" w:rsidRPr="00F8335B">
              <w:rPr>
                <w:webHidden/>
              </w:rPr>
            </w:r>
            <w:r w:rsidR="00F8335B" w:rsidRPr="00F8335B">
              <w:rPr>
                <w:webHidden/>
              </w:rPr>
              <w:fldChar w:fldCharType="separate"/>
            </w:r>
            <w:r w:rsidR="00BD38FE">
              <w:rPr>
                <w:webHidden/>
              </w:rPr>
              <w:t>3</w:t>
            </w:r>
            <w:r w:rsidR="00F8335B" w:rsidRPr="00F8335B">
              <w:rPr>
                <w:webHidden/>
              </w:rPr>
              <w:fldChar w:fldCharType="end"/>
            </w:r>
          </w:hyperlink>
        </w:p>
        <w:p w14:paraId="757D67E9" w14:textId="68257047"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51" w:history="1">
            <w:r w:rsidR="00F8335B" w:rsidRPr="00F8335B">
              <w:rPr>
                <w:rStyle w:val="Hyperlink"/>
              </w:rPr>
              <w:t>II.</w:t>
            </w:r>
            <w:r w:rsidR="00F8335B" w:rsidRPr="00F8335B">
              <w:rPr>
                <w:rFonts w:eastAsiaTheme="minorEastAsia" w:cstheme="minorBidi"/>
                <w:bdr w:val="none" w:sz="0" w:space="0" w:color="auto"/>
                <w:lang w:val="es-US" w:eastAsia="zh-CN"/>
              </w:rPr>
              <w:tab/>
            </w:r>
            <w:r w:rsidR="00F8335B" w:rsidRPr="00F8335B">
              <w:rPr>
                <w:rStyle w:val="Hyperlink"/>
              </w:rPr>
              <w:t>ALEGATOS DE LAS PARTES</w:t>
            </w:r>
            <w:r w:rsidR="00F8335B" w:rsidRPr="00F8335B">
              <w:rPr>
                <w:webHidden/>
              </w:rPr>
              <w:tab/>
            </w:r>
            <w:r w:rsidR="00F8335B" w:rsidRPr="00F8335B">
              <w:rPr>
                <w:webHidden/>
              </w:rPr>
              <w:fldChar w:fldCharType="begin"/>
            </w:r>
            <w:r w:rsidR="00F8335B" w:rsidRPr="00F8335B">
              <w:rPr>
                <w:webHidden/>
              </w:rPr>
              <w:instrText xml:space="preserve"> PAGEREF _Toc89157551 \h </w:instrText>
            </w:r>
            <w:r w:rsidR="00F8335B" w:rsidRPr="00F8335B">
              <w:rPr>
                <w:webHidden/>
              </w:rPr>
            </w:r>
            <w:r w:rsidR="00F8335B" w:rsidRPr="00F8335B">
              <w:rPr>
                <w:webHidden/>
              </w:rPr>
              <w:fldChar w:fldCharType="separate"/>
            </w:r>
            <w:r w:rsidR="00BD38FE">
              <w:rPr>
                <w:webHidden/>
              </w:rPr>
              <w:t>3</w:t>
            </w:r>
            <w:r w:rsidR="00F8335B" w:rsidRPr="00F8335B">
              <w:rPr>
                <w:webHidden/>
              </w:rPr>
              <w:fldChar w:fldCharType="end"/>
            </w:r>
          </w:hyperlink>
        </w:p>
        <w:p w14:paraId="67085206" w14:textId="086F206B"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52" w:history="1">
            <w:r w:rsidR="00F8335B" w:rsidRPr="00F8335B">
              <w:rPr>
                <w:rStyle w:val="Hyperlink"/>
              </w:rPr>
              <w:t>A.</w:t>
            </w:r>
            <w:r w:rsidR="00F8335B" w:rsidRPr="00F8335B">
              <w:rPr>
                <w:rFonts w:eastAsiaTheme="minorEastAsia" w:cstheme="minorBidi"/>
                <w:bdr w:val="none" w:sz="0" w:space="0" w:color="auto"/>
                <w:lang w:val="es-US" w:eastAsia="zh-CN"/>
              </w:rPr>
              <w:tab/>
            </w:r>
            <w:r w:rsidR="00F8335B" w:rsidRPr="00F8335B">
              <w:rPr>
                <w:rStyle w:val="Hyperlink"/>
              </w:rPr>
              <w:t>Posición de la parte peticionaria</w:t>
            </w:r>
            <w:r w:rsidR="00F8335B" w:rsidRPr="00F8335B">
              <w:rPr>
                <w:webHidden/>
              </w:rPr>
              <w:tab/>
            </w:r>
            <w:r w:rsidR="00F8335B" w:rsidRPr="00F8335B">
              <w:rPr>
                <w:webHidden/>
              </w:rPr>
              <w:fldChar w:fldCharType="begin"/>
            </w:r>
            <w:r w:rsidR="00F8335B" w:rsidRPr="00F8335B">
              <w:rPr>
                <w:webHidden/>
              </w:rPr>
              <w:instrText xml:space="preserve"> PAGEREF _Toc89157552 \h </w:instrText>
            </w:r>
            <w:r w:rsidR="00F8335B" w:rsidRPr="00F8335B">
              <w:rPr>
                <w:webHidden/>
              </w:rPr>
            </w:r>
            <w:r w:rsidR="00F8335B" w:rsidRPr="00F8335B">
              <w:rPr>
                <w:webHidden/>
              </w:rPr>
              <w:fldChar w:fldCharType="separate"/>
            </w:r>
            <w:r w:rsidR="00BD38FE">
              <w:rPr>
                <w:webHidden/>
              </w:rPr>
              <w:t>3</w:t>
            </w:r>
            <w:r w:rsidR="00F8335B" w:rsidRPr="00F8335B">
              <w:rPr>
                <w:webHidden/>
              </w:rPr>
              <w:fldChar w:fldCharType="end"/>
            </w:r>
          </w:hyperlink>
        </w:p>
        <w:p w14:paraId="453F9E19" w14:textId="2A6FC04C"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53" w:history="1">
            <w:r w:rsidR="00F8335B" w:rsidRPr="00F8335B">
              <w:rPr>
                <w:rStyle w:val="Hyperlink"/>
              </w:rPr>
              <w:t xml:space="preserve">B. </w:t>
            </w:r>
            <w:r w:rsidR="00F8335B" w:rsidRPr="00F8335B">
              <w:rPr>
                <w:rFonts w:eastAsiaTheme="minorEastAsia" w:cstheme="minorBidi"/>
                <w:bdr w:val="none" w:sz="0" w:space="0" w:color="auto"/>
                <w:lang w:val="es-US" w:eastAsia="zh-CN"/>
              </w:rPr>
              <w:tab/>
            </w:r>
            <w:r w:rsidR="00F8335B" w:rsidRPr="00F8335B">
              <w:rPr>
                <w:rStyle w:val="Hyperlink"/>
              </w:rPr>
              <w:t>Posición del Estado</w:t>
            </w:r>
            <w:r w:rsidR="00F8335B" w:rsidRPr="00F8335B">
              <w:rPr>
                <w:webHidden/>
              </w:rPr>
              <w:tab/>
            </w:r>
            <w:r w:rsidR="00F8335B" w:rsidRPr="00F8335B">
              <w:rPr>
                <w:webHidden/>
              </w:rPr>
              <w:fldChar w:fldCharType="begin"/>
            </w:r>
            <w:r w:rsidR="00F8335B" w:rsidRPr="00F8335B">
              <w:rPr>
                <w:webHidden/>
              </w:rPr>
              <w:instrText xml:space="preserve"> PAGEREF _Toc89157553 \h </w:instrText>
            </w:r>
            <w:r w:rsidR="00F8335B" w:rsidRPr="00F8335B">
              <w:rPr>
                <w:webHidden/>
              </w:rPr>
            </w:r>
            <w:r w:rsidR="00F8335B" w:rsidRPr="00F8335B">
              <w:rPr>
                <w:webHidden/>
              </w:rPr>
              <w:fldChar w:fldCharType="separate"/>
            </w:r>
            <w:r w:rsidR="00BD38FE">
              <w:rPr>
                <w:webHidden/>
              </w:rPr>
              <w:t>6</w:t>
            </w:r>
            <w:r w:rsidR="00F8335B" w:rsidRPr="00F8335B">
              <w:rPr>
                <w:webHidden/>
              </w:rPr>
              <w:fldChar w:fldCharType="end"/>
            </w:r>
          </w:hyperlink>
        </w:p>
        <w:p w14:paraId="34A110D4" w14:textId="4E7F0CD8"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54" w:history="1">
            <w:r w:rsidR="00F8335B" w:rsidRPr="00F8335B">
              <w:rPr>
                <w:rStyle w:val="Hyperlink"/>
              </w:rPr>
              <w:t>III.</w:t>
            </w:r>
            <w:r w:rsidR="00F8335B" w:rsidRPr="00F8335B">
              <w:rPr>
                <w:rFonts w:eastAsiaTheme="minorEastAsia" w:cstheme="minorBidi"/>
                <w:bdr w:val="none" w:sz="0" w:space="0" w:color="auto"/>
                <w:lang w:val="es-US" w:eastAsia="zh-CN"/>
              </w:rPr>
              <w:tab/>
            </w:r>
            <w:r w:rsidR="00F8335B" w:rsidRPr="00F8335B">
              <w:rPr>
                <w:rStyle w:val="Hyperlink"/>
              </w:rPr>
              <w:t>ANÁLISIS DE ADMISIBILIDAD</w:t>
            </w:r>
            <w:r w:rsidR="00F8335B" w:rsidRPr="00F8335B">
              <w:rPr>
                <w:webHidden/>
              </w:rPr>
              <w:tab/>
            </w:r>
            <w:r w:rsidR="00F8335B" w:rsidRPr="00F8335B">
              <w:rPr>
                <w:webHidden/>
              </w:rPr>
              <w:fldChar w:fldCharType="begin"/>
            </w:r>
            <w:r w:rsidR="00F8335B" w:rsidRPr="00F8335B">
              <w:rPr>
                <w:webHidden/>
              </w:rPr>
              <w:instrText xml:space="preserve"> PAGEREF _Toc89157554 \h </w:instrText>
            </w:r>
            <w:r w:rsidR="00F8335B" w:rsidRPr="00F8335B">
              <w:rPr>
                <w:webHidden/>
              </w:rPr>
            </w:r>
            <w:r w:rsidR="00F8335B" w:rsidRPr="00F8335B">
              <w:rPr>
                <w:webHidden/>
              </w:rPr>
              <w:fldChar w:fldCharType="separate"/>
            </w:r>
            <w:r w:rsidR="00BD38FE">
              <w:rPr>
                <w:webHidden/>
              </w:rPr>
              <w:t>6</w:t>
            </w:r>
            <w:r w:rsidR="00F8335B" w:rsidRPr="00F8335B">
              <w:rPr>
                <w:webHidden/>
              </w:rPr>
              <w:fldChar w:fldCharType="end"/>
            </w:r>
          </w:hyperlink>
        </w:p>
        <w:p w14:paraId="220F7680" w14:textId="4CF88D5C"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55" w:history="1">
            <w:r w:rsidR="00F8335B" w:rsidRPr="00F8335B">
              <w:rPr>
                <w:rStyle w:val="Hyperlink"/>
              </w:rPr>
              <w:t xml:space="preserve">A. </w:t>
            </w:r>
            <w:r w:rsidR="00F8335B" w:rsidRPr="00F8335B">
              <w:rPr>
                <w:rFonts w:eastAsiaTheme="minorEastAsia" w:cstheme="minorBidi"/>
                <w:bdr w:val="none" w:sz="0" w:space="0" w:color="auto"/>
                <w:lang w:val="es-US" w:eastAsia="zh-CN"/>
              </w:rPr>
              <w:tab/>
            </w:r>
            <w:r w:rsidR="00F8335B" w:rsidRPr="00F8335B">
              <w:rPr>
                <w:rStyle w:val="Hyperlink"/>
              </w:rPr>
              <w:t>Competencia, duplicación de procedimientos y cosa juzgada internacional</w:t>
            </w:r>
            <w:r w:rsidR="00F8335B" w:rsidRPr="00F8335B">
              <w:rPr>
                <w:webHidden/>
              </w:rPr>
              <w:tab/>
            </w:r>
            <w:r w:rsidR="00F8335B" w:rsidRPr="00F8335B">
              <w:rPr>
                <w:webHidden/>
              </w:rPr>
              <w:fldChar w:fldCharType="begin"/>
            </w:r>
            <w:r w:rsidR="00F8335B" w:rsidRPr="00F8335B">
              <w:rPr>
                <w:webHidden/>
              </w:rPr>
              <w:instrText xml:space="preserve"> PAGEREF _Toc89157555 \h </w:instrText>
            </w:r>
            <w:r w:rsidR="00F8335B" w:rsidRPr="00F8335B">
              <w:rPr>
                <w:webHidden/>
              </w:rPr>
            </w:r>
            <w:r w:rsidR="00F8335B" w:rsidRPr="00F8335B">
              <w:rPr>
                <w:webHidden/>
              </w:rPr>
              <w:fldChar w:fldCharType="separate"/>
            </w:r>
            <w:r w:rsidR="00BD38FE">
              <w:rPr>
                <w:webHidden/>
              </w:rPr>
              <w:t>6</w:t>
            </w:r>
            <w:r w:rsidR="00F8335B" w:rsidRPr="00F8335B">
              <w:rPr>
                <w:webHidden/>
              </w:rPr>
              <w:fldChar w:fldCharType="end"/>
            </w:r>
          </w:hyperlink>
        </w:p>
        <w:p w14:paraId="4641CC0A" w14:textId="3C36084C"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56" w:history="1">
            <w:r w:rsidR="00F8335B" w:rsidRPr="00F8335B">
              <w:rPr>
                <w:rStyle w:val="Hyperlink"/>
              </w:rPr>
              <w:t xml:space="preserve">B. </w:t>
            </w:r>
            <w:r w:rsidR="00F8335B" w:rsidRPr="00F8335B">
              <w:rPr>
                <w:rFonts w:eastAsiaTheme="minorEastAsia" w:cstheme="minorBidi"/>
                <w:bdr w:val="none" w:sz="0" w:space="0" w:color="auto"/>
                <w:lang w:val="es-US" w:eastAsia="zh-CN"/>
              </w:rPr>
              <w:tab/>
            </w:r>
            <w:r w:rsidR="00F8335B" w:rsidRPr="00F8335B">
              <w:rPr>
                <w:rStyle w:val="Hyperlink"/>
              </w:rPr>
              <w:t>Requisitos de admisibilida</w:t>
            </w:r>
            <w:r w:rsidR="00F8335B" w:rsidRPr="00F8335B">
              <w:rPr>
                <w:rStyle w:val="Hyperlink"/>
                <w:lang w:eastAsia="ja-JP"/>
              </w:rPr>
              <w:t>d</w:t>
            </w:r>
            <w:r w:rsidR="00F8335B" w:rsidRPr="00F8335B">
              <w:rPr>
                <w:webHidden/>
              </w:rPr>
              <w:tab/>
            </w:r>
            <w:r w:rsidR="00F8335B" w:rsidRPr="00F8335B">
              <w:rPr>
                <w:webHidden/>
              </w:rPr>
              <w:fldChar w:fldCharType="begin"/>
            </w:r>
            <w:r w:rsidR="00F8335B" w:rsidRPr="00F8335B">
              <w:rPr>
                <w:webHidden/>
              </w:rPr>
              <w:instrText xml:space="preserve"> PAGEREF _Toc89157556 \h </w:instrText>
            </w:r>
            <w:r w:rsidR="00F8335B" w:rsidRPr="00F8335B">
              <w:rPr>
                <w:webHidden/>
              </w:rPr>
            </w:r>
            <w:r w:rsidR="00F8335B" w:rsidRPr="00F8335B">
              <w:rPr>
                <w:webHidden/>
              </w:rPr>
              <w:fldChar w:fldCharType="separate"/>
            </w:r>
            <w:r w:rsidR="00BD38FE">
              <w:rPr>
                <w:webHidden/>
              </w:rPr>
              <w:t>6</w:t>
            </w:r>
            <w:r w:rsidR="00F8335B" w:rsidRPr="00F8335B">
              <w:rPr>
                <w:webHidden/>
              </w:rPr>
              <w:fldChar w:fldCharType="end"/>
            </w:r>
          </w:hyperlink>
        </w:p>
        <w:p w14:paraId="653D76AB" w14:textId="754C08AF"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57" w:history="1">
            <w:r w:rsidR="00F8335B" w:rsidRPr="00F8335B">
              <w:rPr>
                <w:rStyle w:val="Hyperlink"/>
              </w:rPr>
              <w:t xml:space="preserve">1. </w:t>
            </w:r>
            <w:r w:rsidR="00F8335B" w:rsidRPr="00F8335B">
              <w:rPr>
                <w:rFonts w:eastAsiaTheme="minorEastAsia" w:cstheme="minorBidi"/>
                <w:bdr w:val="none" w:sz="0" w:space="0" w:color="auto"/>
                <w:lang w:val="es-US" w:eastAsia="zh-CN"/>
              </w:rPr>
              <w:tab/>
            </w:r>
            <w:r w:rsidR="00F8335B" w:rsidRPr="00F8335B">
              <w:rPr>
                <w:rStyle w:val="Hyperlink"/>
              </w:rPr>
              <w:t>Agotamiento de los recursos internos</w:t>
            </w:r>
            <w:r w:rsidR="00F8335B" w:rsidRPr="00F8335B">
              <w:rPr>
                <w:webHidden/>
              </w:rPr>
              <w:tab/>
            </w:r>
            <w:r w:rsidR="00F8335B" w:rsidRPr="00F8335B">
              <w:rPr>
                <w:webHidden/>
              </w:rPr>
              <w:fldChar w:fldCharType="begin"/>
            </w:r>
            <w:r w:rsidR="00F8335B" w:rsidRPr="00F8335B">
              <w:rPr>
                <w:webHidden/>
              </w:rPr>
              <w:instrText xml:space="preserve"> PAGEREF _Toc89157557 \h </w:instrText>
            </w:r>
            <w:r w:rsidR="00F8335B" w:rsidRPr="00F8335B">
              <w:rPr>
                <w:webHidden/>
              </w:rPr>
            </w:r>
            <w:r w:rsidR="00F8335B" w:rsidRPr="00F8335B">
              <w:rPr>
                <w:webHidden/>
              </w:rPr>
              <w:fldChar w:fldCharType="separate"/>
            </w:r>
            <w:r w:rsidR="00BD38FE">
              <w:rPr>
                <w:webHidden/>
              </w:rPr>
              <w:t>6</w:t>
            </w:r>
            <w:r w:rsidR="00F8335B" w:rsidRPr="00F8335B">
              <w:rPr>
                <w:webHidden/>
              </w:rPr>
              <w:fldChar w:fldCharType="end"/>
            </w:r>
          </w:hyperlink>
        </w:p>
        <w:p w14:paraId="01FE7290" w14:textId="2DEC8AE6"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58" w:history="1">
            <w:r w:rsidR="00F8335B" w:rsidRPr="00F8335B">
              <w:rPr>
                <w:rStyle w:val="Hyperlink"/>
              </w:rPr>
              <w:t xml:space="preserve">2. </w:t>
            </w:r>
            <w:r w:rsidR="00F8335B" w:rsidRPr="00F8335B">
              <w:rPr>
                <w:rFonts w:eastAsiaTheme="minorEastAsia" w:cstheme="minorBidi"/>
                <w:bdr w:val="none" w:sz="0" w:space="0" w:color="auto"/>
                <w:lang w:val="es-US" w:eastAsia="zh-CN"/>
              </w:rPr>
              <w:tab/>
            </w:r>
            <w:r w:rsidR="00F8335B" w:rsidRPr="00F8335B">
              <w:rPr>
                <w:rStyle w:val="Hyperlink"/>
              </w:rPr>
              <w:t>Plazo para presentación de la petición</w:t>
            </w:r>
            <w:r w:rsidR="00F8335B" w:rsidRPr="00F8335B">
              <w:rPr>
                <w:webHidden/>
              </w:rPr>
              <w:tab/>
            </w:r>
            <w:r w:rsidR="00F8335B" w:rsidRPr="00F8335B">
              <w:rPr>
                <w:webHidden/>
              </w:rPr>
              <w:fldChar w:fldCharType="begin"/>
            </w:r>
            <w:r w:rsidR="00F8335B" w:rsidRPr="00F8335B">
              <w:rPr>
                <w:webHidden/>
              </w:rPr>
              <w:instrText xml:space="preserve"> PAGEREF _Toc89157558 \h </w:instrText>
            </w:r>
            <w:r w:rsidR="00F8335B" w:rsidRPr="00F8335B">
              <w:rPr>
                <w:webHidden/>
              </w:rPr>
            </w:r>
            <w:r w:rsidR="00F8335B" w:rsidRPr="00F8335B">
              <w:rPr>
                <w:webHidden/>
              </w:rPr>
              <w:fldChar w:fldCharType="separate"/>
            </w:r>
            <w:r w:rsidR="00BD38FE">
              <w:rPr>
                <w:webHidden/>
              </w:rPr>
              <w:t>9</w:t>
            </w:r>
            <w:r w:rsidR="00F8335B" w:rsidRPr="00F8335B">
              <w:rPr>
                <w:webHidden/>
              </w:rPr>
              <w:fldChar w:fldCharType="end"/>
            </w:r>
          </w:hyperlink>
        </w:p>
        <w:p w14:paraId="197DBC22" w14:textId="04DC2C8D"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59" w:history="1">
            <w:r w:rsidR="00F8335B" w:rsidRPr="00F8335B">
              <w:rPr>
                <w:rStyle w:val="Hyperlink"/>
              </w:rPr>
              <w:t xml:space="preserve">3. </w:t>
            </w:r>
            <w:r w:rsidR="00F8335B" w:rsidRPr="00F8335B">
              <w:rPr>
                <w:rFonts w:eastAsiaTheme="minorEastAsia" w:cstheme="minorBidi"/>
                <w:bdr w:val="none" w:sz="0" w:space="0" w:color="auto"/>
                <w:lang w:val="es-US" w:eastAsia="zh-CN"/>
              </w:rPr>
              <w:tab/>
            </w:r>
            <w:r w:rsidR="00F8335B" w:rsidRPr="00F8335B">
              <w:rPr>
                <w:rStyle w:val="Hyperlink"/>
              </w:rPr>
              <w:t>Caracterización de los hechos alegados</w:t>
            </w:r>
            <w:r w:rsidR="00F8335B" w:rsidRPr="00F8335B">
              <w:rPr>
                <w:webHidden/>
              </w:rPr>
              <w:tab/>
            </w:r>
            <w:r w:rsidR="00F8335B" w:rsidRPr="00F8335B">
              <w:rPr>
                <w:webHidden/>
              </w:rPr>
              <w:fldChar w:fldCharType="begin"/>
            </w:r>
            <w:r w:rsidR="00F8335B" w:rsidRPr="00F8335B">
              <w:rPr>
                <w:webHidden/>
              </w:rPr>
              <w:instrText xml:space="preserve"> PAGEREF _Toc89157559 \h </w:instrText>
            </w:r>
            <w:r w:rsidR="00F8335B" w:rsidRPr="00F8335B">
              <w:rPr>
                <w:webHidden/>
              </w:rPr>
            </w:r>
            <w:r w:rsidR="00F8335B" w:rsidRPr="00F8335B">
              <w:rPr>
                <w:webHidden/>
              </w:rPr>
              <w:fldChar w:fldCharType="separate"/>
            </w:r>
            <w:r w:rsidR="00BD38FE">
              <w:rPr>
                <w:webHidden/>
              </w:rPr>
              <w:t>10</w:t>
            </w:r>
            <w:r w:rsidR="00F8335B" w:rsidRPr="00F8335B">
              <w:rPr>
                <w:webHidden/>
              </w:rPr>
              <w:fldChar w:fldCharType="end"/>
            </w:r>
          </w:hyperlink>
        </w:p>
        <w:p w14:paraId="07A71237" w14:textId="4DD58140"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60" w:history="1">
            <w:r w:rsidR="00F8335B" w:rsidRPr="00F8335B">
              <w:rPr>
                <w:rStyle w:val="Hyperlink"/>
              </w:rPr>
              <w:t>IV.</w:t>
            </w:r>
            <w:r w:rsidR="00F8335B" w:rsidRPr="00F8335B">
              <w:rPr>
                <w:rFonts w:eastAsiaTheme="minorEastAsia" w:cstheme="minorBidi"/>
                <w:bdr w:val="none" w:sz="0" w:space="0" w:color="auto"/>
                <w:lang w:val="es-US" w:eastAsia="zh-CN"/>
              </w:rPr>
              <w:tab/>
            </w:r>
            <w:r w:rsidR="00F8335B" w:rsidRPr="00F8335B">
              <w:rPr>
                <w:rStyle w:val="Hyperlink"/>
              </w:rPr>
              <w:t>DETERMINACIONES DE HECHO</w:t>
            </w:r>
            <w:r w:rsidR="00F8335B" w:rsidRPr="00F8335B">
              <w:rPr>
                <w:webHidden/>
              </w:rPr>
              <w:tab/>
            </w:r>
            <w:r w:rsidR="00F8335B" w:rsidRPr="00F8335B">
              <w:rPr>
                <w:webHidden/>
              </w:rPr>
              <w:fldChar w:fldCharType="begin"/>
            </w:r>
            <w:r w:rsidR="00F8335B" w:rsidRPr="00F8335B">
              <w:rPr>
                <w:webHidden/>
              </w:rPr>
              <w:instrText xml:space="preserve"> PAGEREF _Toc89157560 \h </w:instrText>
            </w:r>
            <w:r w:rsidR="00F8335B" w:rsidRPr="00F8335B">
              <w:rPr>
                <w:webHidden/>
              </w:rPr>
            </w:r>
            <w:r w:rsidR="00F8335B" w:rsidRPr="00F8335B">
              <w:rPr>
                <w:webHidden/>
              </w:rPr>
              <w:fldChar w:fldCharType="separate"/>
            </w:r>
            <w:r w:rsidR="00BD38FE">
              <w:rPr>
                <w:webHidden/>
              </w:rPr>
              <w:t>10</w:t>
            </w:r>
            <w:r w:rsidR="00F8335B" w:rsidRPr="00F8335B">
              <w:rPr>
                <w:webHidden/>
              </w:rPr>
              <w:fldChar w:fldCharType="end"/>
            </w:r>
          </w:hyperlink>
        </w:p>
        <w:p w14:paraId="2F727264" w14:textId="7882A707"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1" w:history="1">
            <w:r w:rsidR="00F8335B" w:rsidRPr="00F8335B">
              <w:rPr>
                <w:rStyle w:val="Hyperlink"/>
              </w:rPr>
              <w:t>A.</w:t>
            </w:r>
            <w:r w:rsidR="00F8335B" w:rsidRPr="00F8335B">
              <w:rPr>
                <w:rFonts w:eastAsiaTheme="minorEastAsia" w:cstheme="minorBidi"/>
                <w:bdr w:val="none" w:sz="0" w:space="0" w:color="auto"/>
                <w:lang w:val="es-US" w:eastAsia="zh-CN"/>
              </w:rPr>
              <w:tab/>
            </w:r>
            <w:r w:rsidR="00F8335B" w:rsidRPr="00F8335B">
              <w:rPr>
                <w:rStyle w:val="Hyperlink"/>
              </w:rPr>
              <w:t>Regulación constitucional del derecho a la libertad de expresión</w:t>
            </w:r>
            <w:r w:rsidR="00F8335B" w:rsidRPr="00F8335B">
              <w:rPr>
                <w:webHidden/>
              </w:rPr>
              <w:tab/>
            </w:r>
            <w:r w:rsidR="00F8335B" w:rsidRPr="00F8335B">
              <w:rPr>
                <w:webHidden/>
              </w:rPr>
              <w:fldChar w:fldCharType="begin"/>
            </w:r>
            <w:r w:rsidR="00F8335B" w:rsidRPr="00F8335B">
              <w:rPr>
                <w:webHidden/>
              </w:rPr>
              <w:instrText xml:space="preserve"> PAGEREF _Toc89157561 \h </w:instrText>
            </w:r>
            <w:r w:rsidR="00F8335B" w:rsidRPr="00F8335B">
              <w:rPr>
                <w:webHidden/>
              </w:rPr>
            </w:r>
            <w:r w:rsidR="00F8335B" w:rsidRPr="00F8335B">
              <w:rPr>
                <w:webHidden/>
              </w:rPr>
              <w:fldChar w:fldCharType="separate"/>
            </w:r>
            <w:r w:rsidR="00BD38FE">
              <w:rPr>
                <w:webHidden/>
              </w:rPr>
              <w:t>11</w:t>
            </w:r>
            <w:r w:rsidR="00F8335B" w:rsidRPr="00F8335B">
              <w:rPr>
                <w:webHidden/>
              </w:rPr>
              <w:fldChar w:fldCharType="end"/>
            </w:r>
          </w:hyperlink>
        </w:p>
        <w:p w14:paraId="549B38D3" w14:textId="17A3BB00"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2" w:history="1">
            <w:r w:rsidR="00F8335B" w:rsidRPr="00F8335B">
              <w:rPr>
                <w:rStyle w:val="Hyperlink"/>
              </w:rPr>
              <w:t>B.</w:t>
            </w:r>
            <w:r w:rsidR="00F8335B" w:rsidRPr="00F8335B">
              <w:rPr>
                <w:rFonts w:eastAsiaTheme="minorEastAsia" w:cstheme="minorBidi"/>
                <w:bdr w:val="none" w:sz="0" w:space="0" w:color="auto"/>
                <w:lang w:val="es-US" w:eastAsia="zh-CN"/>
              </w:rPr>
              <w:tab/>
            </w:r>
            <w:r w:rsidR="00F8335B" w:rsidRPr="00F8335B">
              <w:rPr>
                <w:rStyle w:val="Hyperlink"/>
              </w:rPr>
              <w:t>Contexto de persecución de periodistas disidentes políticos en Cuba</w:t>
            </w:r>
            <w:r w:rsidR="00F8335B" w:rsidRPr="00F8335B">
              <w:rPr>
                <w:webHidden/>
              </w:rPr>
              <w:tab/>
            </w:r>
            <w:r w:rsidR="00F8335B" w:rsidRPr="00F8335B">
              <w:rPr>
                <w:webHidden/>
              </w:rPr>
              <w:fldChar w:fldCharType="begin"/>
            </w:r>
            <w:r w:rsidR="00F8335B" w:rsidRPr="00F8335B">
              <w:rPr>
                <w:webHidden/>
              </w:rPr>
              <w:instrText xml:space="preserve"> PAGEREF _Toc89157562 \h </w:instrText>
            </w:r>
            <w:r w:rsidR="00F8335B" w:rsidRPr="00F8335B">
              <w:rPr>
                <w:webHidden/>
              </w:rPr>
            </w:r>
            <w:r w:rsidR="00F8335B" w:rsidRPr="00F8335B">
              <w:rPr>
                <w:webHidden/>
              </w:rPr>
              <w:fldChar w:fldCharType="separate"/>
            </w:r>
            <w:r w:rsidR="00BD38FE">
              <w:rPr>
                <w:webHidden/>
              </w:rPr>
              <w:t>12</w:t>
            </w:r>
            <w:r w:rsidR="00F8335B" w:rsidRPr="00F8335B">
              <w:rPr>
                <w:webHidden/>
              </w:rPr>
              <w:fldChar w:fldCharType="end"/>
            </w:r>
          </w:hyperlink>
        </w:p>
        <w:p w14:paraId="61DFCFF7" w14:textId="597DE3C5"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3" w:history="1">
            <w:r w:rsidR="00F8335B" w:rsidRPr="00F8335B">
              <w:rPr>
                <w:rStyle w:val="Hyperlink"/>
              </w:rPr>
              <w:t>C.</w:t>
            </w:r>
            <w:r w:rsidR="00F8335B" w:rsidRPr="00F8335B">
              <w:rPr>
                <w:rFonts w:eastAsiaTheme="minorEastAsia" w:cstheme="minorBidi"/>
                <w:bdr w:val="none" w:sz="0" w:space="0" w:color="auto"/>
                <w:lang w:val="es-US" w:eastAsia="zh-CN"/>
              </w:rPr>
              <w:tab/>
            </w:r>
            <w:r w:rsidR="00F8335B" w:rsidRPr="00F8335B">
              <w:rPr>
                <w:rStyle w:val="Hyperlink"/>
              </w:rPr>
              <w:t>Sobre la periodista y bloguera Yoani Maria Sánchez Cordero</w:t>
            </w:r>
            <w:r w:rsidR="00F8335B" w:rsidRPr="00F8335B">
              <w:rPr>
                <w:webHidden/>
              </w:rPr>
              <w:tab/>
            </w:r>
            <w:r w:rsidR="00F8335B" w:rsidRPr="00F8335B">
              <w:rPr>
                <w:webHidden/>
              </w:rPr>
              <w:fldChar w:fldCharType="begin"/>
            </w:r>
            <w:r w:rsidR="00F8335B" w:rsidRPr="00F8335B">
              <w:rPr>
                <w:webHidden/>
              </w:rPr>
              <w:instrText xml:space="preserve"> PAGEREF _Toc89157563 \h </w:instrText>
            </w:r>
            <w:r w:rsidR="00F8335B" w:rsidRPr="00F8335B">
              <w:rPr>
                <w:webHidden/>
              </w:rPr>
            </w:r>
            <w:r w:rsidR="00F8335B" w:rsidRPr="00F8335B">
              <w:rPr>
                <w:webHidden/>
              </w:rPr>
              <w:fldChar w:fldCharType="separate"/>
            </w:r>
            <w:r w:rsidR="00BD38FE">
              <w:rPr>
                <w:webHidden/>
              </w:rPr>
              <w:t>16</w:t>
            </w:r>
            <w:r w:rsidR="00F8335B" w:rsidRPr="00F8335B">
              <w:rPr>
                <w:webHidden/>
              </w:rPr>
              <w:fldChar w:fldCharType="end"/>
            </w:r>
          </w:hyperlink>
        </w:p>
        <w:p w14:paraId="623A2459" w14:textId="762AB6F5"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4" w:history="1">
            <w:r w:rsidR="00F8335B" w:rsidRPr="00F8335B">
              <w:rPr>
                <w:rStyle w:val="Hyperlink"/>
              </w:rPr>
              <w:t>D.</w:t>
            </w:r>
            <w:r w:rsidR="00F8335B" w:rsidRPr="00F8335B">
              <w:rPr>
                <w:rFonts w:eastAsiaTheme="minorEastAsia" w:cstheme="minorBidi"/>
                <w:bdr w:val="none" w:sz="0" w:space="0" w:color="auto"/>
                <w:lang w:val="es-US" w:eastAsia="zh-CN"/>
              </w:rPr>
              <w:tab/>
            </w:r>
            <w:r w:rsidR="00F8335B" w:rsidRPr="00F8335B">
              <w:rPr>
                <w:rStyle w:val="Hyperlink"/>
              </w:rPr>
              <w:t>Detenciones y agresiones contra Yoani Sánchez Cordero durante la privación de su libertad</w:t>
            </w:r>
            <w:r w:rsidR="00F8335B" w:rsidRPr="00F8335B">
              <w:rPr>
                <w:webHidden/>
              </w:rPr>
              <w:tab/>
            </w:r>
            <w:r w:rsidR="00F8335B" w:rsidRPr="00F8335B">
              <w:rPr>
                <w:webHidden/>
              </w:rPr>
              <w:fldChar w:fldCharType="begin"/>
            </w:r>
            <w:r w:rsidR="00F8335B" w:rsidRPr="00F8335B">
              <w:rPr>
                <w:webHidden/>
              </w:rPr>
              <w:instrText xml:space="preserve"> PAGEREF _Toc89157564 \h </w:instrText>
            </w:r>
            <w:r w:rsidR="00F8335B" w:rsidRPr="00F8335B">
              <w:rPr>
                <w:webHidden/>
              </w:rPr>
            </w:r>
            <w:r w:rsidR="00F8335B" w:rsidRPr="00F8335B">
              <w:rPr>
                <w:webHidden/>
              </w:rPr>
              <w:fldChar w:fldCharType="separate"/>
            </w:r>
            <w:r w:rsidR="00BD38FE">
              <w:rPr>
                <w:webHidden/>
              </w:rPr>
              <w:t>17</w:t>
            </w:r>
            <w:r w:rsidR="00F8335B" w:rsidRPr="00F8335B">
              <w:rPr>
                <w:webHidden/>
              </w:rPr>
              <w:fldChar w:fldCharType="end"/>
            </w:r>
          </w:hyperlink>
        </w:p>
        <w:p w14:paraId="6B916091" w14:textId="76957B68"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5" w:history="1">
            <w:r w:rsidR="00F8335B" w:rsidRPr="00F8335B">
              <w:rPr>
                <w:rStyle w:val="Hyperlink"/>
              </w:rPr>
              <w:t>E.</w:t>
            </w:r>
            <w:r w:rsidR="00F8335B" w:rsidRPr="00F8335B">
              <w:rPr>
                <w:rFonts w:eastAsiaTheme="minorEastAsia" w:cstheme="minorBidi"/>
                <w:bdr w:val="none" w:sz="0" w:space="0" w:color="auto"/>
                <w:lang w:val="es-US" w:eastAsia="zh-CN"/>
              </w:rPr>
              <w:tab/>
            </w:r>
            <w:r w:rsidR="00F8335B" w:rsidRPr="00F8335B">
              <w:rPr>
                <w:rStyle w:val="Hyperlink"/>
              </w:rPr>
              <w:t>Los impedimentos de salida del país de Yoani Sánchez Cordero de 2007 a 2012</w:t>
            </w:r>
            <w:r w:rsidR="00F8335B" w:rsidRPr="00F8335B">
              <w:rPr>
                <w:webHidden/>
              </w:rPr>
              <w:tab/>
            </w:r>
            <w:r w:rsidR="00F8335B" w:rsidRPr="00F8335B">
              <w:rPr>
                <w:webHidden/>
              </w:rPr>
              <w:fldChar w:fldCharType="begin"/>
            </w:r>
            <w:r w:rsidR="00F8335B" w:rsidRPr="00F8335B">
              <w:rPr>
                <w:webHidden/>
              </w:rPr>
              <w:instrText xml:space="preserve"> PAGEREF _Toc89157565 \h </w:instrText>
            </w:r>
            <w:r w:rsidR="00F8335B" w:rsidRPr="00F8335B">
              <w:rPr>
                <w:webHidden/>
              </w:rPr>
            </w:r>
            <w:r w:rsidR="00F8335B" w:rsidRPr="00F8335B">
              <w:rPr>
                <w:webHidden/>
              </w:rPr>
              <w:fldChar w:fldCharType="separate"/>
            </w:r>
            <w:r w:rsidR="00BD38FE">
              <w:rPr>
                <w:webHidden/>
              </w:rPr>
              <w:t>18</w:t>
            </w:r>
            <w:r w:rsidR="00F8335B" w:rsidRPr="00F8335B">
              <w:rPr>
                <w:webHidden/>
              </w:rPr>
              <w:fldChar w:fldCharType="end"/>
            </w:r>
          </w:hyperlink>
        </w:p>
        <w:p w14:paraId="43328CA4" w14:textId="65BD94A9"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6" w:history="1">
            <w:r w:rsidR="00F8335B" w:rsidRPr="00F8335B">
              <w:rPr>
                <w:rStyle w:val="Hyperlink"/>
              </w:rPr>
              <w:t>F.</w:t>
            </w:r>
            <w:r w:rsidR="00F8335B" w:rsidRPr="00F8335B">
              <w:rPr>
                <w:rFonts w:eastAsiaTheme="minorEastAsia" w:cstheme="minorBidi"/>
                <w:bdr w:val="none" w:sz="0" w:space="0" w:color="auto"/>
                <w:lang w:val="es-US" w:eastAsia="zh-CN"/>
              </w:rPr>
              <w:tab/>
            </w:r>
            <w:r w:rsidR="00F8335B" w:rsidRPr="00F8335B">
              <w:rPr>
                <w:rStyle w:val="Hyperlink"/>
              </w:rPr>
              <w:t>Denuncias por las detenciones de 2009 y 2010</w:t>
            </w:r>
            <w:r w:rsidR="00F8335B" w:rsidRPr="00F8335B">
              <w:rPr>
                <w:webHidden/>
              </w:rPr>
              <w:tab/>
            </w:r>
            <w:r w:rsidR="00F8335B" w:rsidRPr="00F8335B">
              <w:rPr>
                <w:webHidden/>
              </w:rPr>
              <w:fldChar w:fldCharType="begin"/>
            </w:r>
            <w:r w:rsidR="00F8335B" w:rsidRPr="00F8335B">
              <w:rPr>
                <w:webHidden/>
              </w:rPr>
              <w:instrText xml:space="preserve"> PAGEREF _Toc89157566 \h </w:instrText>
            </w:r>
            <w:r w:rsidR="00F8335B" w:rsidRPr="00F8335B">
              <w:rPr>
                <w:webHidden/>
              </w:rPr>
            </w:r>
            <w:r w:rsidR="00F8335B" w:rsidRPr="00F8335B">
              <w:rPr>
                <w:webHidden/>
              </w:rPr>
              <w:fldChar w:fldCharType="separate"/>
            </w:r>
            <w:r w:rsidR="00BD38FE">
              <w:rPr>
                <w:webHidden/>
              </w:rPr>
              <w:t>19</w:t>
            </w:r>
            <w:r w:rsidR="00F8335B" w:rsidRPr="00F8335B">
              <w:rPr>
                <w:webHidden/>
              </w:rPr>
              <w:fldChar w:fldCharType="end"/>
            </w:r>
          </w:hyperlink>
        </w:p>
        <w:p w14:paraId="054A5410" w14:textId="30368210"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7" w:history="1">
            <w:r w:rsidR="00F8335B" w:rsidRPr="00F8335B">
              <w:rPr>
                <w:rStyle w:val="Hyperlink"/>
              </w:rPr>
              <w:t>G.</w:t>
            </w:r>
            <w:r w:rsidR="00F8335B" w:rsidRPr="00F8335B">
              <w:rPr>
                <w:rFonts w:eastAsiaTheme="minorEastAsia" w:cstheme="minorBidi"/>
                <w:bdr w:val="none" w:sz="0" w:space="0" w:color="auto"/>
                <w:lang w:val="es-US" w:eastAsia="zh-CN"/>
              </w:rPr>
              <w:tab/>
            </w:r>
            <w:r w:rsidR="00F8335B" w:rsidRPr="00F8335B">
              <w:rPr>
                <w:rStyle w:val="Hyperlink"/>
              </w:rPr>
              <w:t>Solicitud de respuesta y recurso de alzada ante la Dirección de Inmigración y Extranjería y el Ministerio del Interior por el impedimento de salida del país entre 2007 y 2012</w:t>
            </w:r>
            <w:r w:rsidR="00F8335B" w:rsidRPr="00F8335B">
              <w:rPr>
                <w:webHidden/>
              </w:rPr>
              <w:tab/>
            </w:r>
            <w:r w:rsidR="00F8335B" w:rsidRPr="00F8335B">
              <w:rPr>
                <w:webHidden/>
              </w:rPr>
              <w:fldChar w:fldCharType="begin"/>
            </w:r>
            <w:r w:rsidR="00F8335B" w:rsidRPr="00F8335B">
              <w:rPr>
                <w:webHidden/>
              </w:rPr>
              <w:instrText xml:space="preserve"> PAGEREF _Toc89157567 \h </w:instrText>
            </w:r>
            <w:r w:rsidR="00F8335B" w:rsidRPr="00F8335B">
              <w:rPr>
                <w:webHidden/>
              </w:rPr>
            </w:r>
            <w:r w:rsidR="00F8335B" w:rsidRPr="00F8335B">
              <w:rPr>
                <w:webHidden/>
              </w:rPr>
              <w:fldChar w:fldCharType="separate"/>
            </w:r>
            <w:r w:rsidR="00BD38FE">
              <w:rPr>
                <w:webHidden/>
              </w:rPr>
              <w:t>20</w:t>
            </w:r>
            <w:r w:rsidR="00F8335B" w:rsidRPr="00F8335B">
              <w:rPr>
                <w:webHidden/>
              </w:rPr>
              <w:fldChar w:fldCharType="end"/>
            </w:r>
          </w:hyperlink>
        </w:p>
        <w:p w14:paraId="0F878D2F" w14:textId="0DAC643F"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68" w:history="1">
            <w:r w:rsidR="00F8335B" w:rsidRPr="00F8335B">
              <w:rPr>
                <w:rStyle w:val="Hyperlink"/>
              </w:rPr>
              <w:t>H.</w:t>
            </w:r>
            <w:r w:rsidR="00F8335B" w:rsidRPr="00F8335B">
              <w:rPr>
                <w:rFonts w:eastAsiaTheme="minorEastAsia" w:cstheme="minorBidi"/>
                <w:bdr w:val="none" w:sz="0" w:space="0" w:color="auto"/>
                <w:lang w:val="es-US" w:eastAsia="zh-CN"/>
              </w:rPr>
              <w:tab/>
            </w:r>
            <w:r w:rsidR="00F8335B" w:rsidRPr="00F8335B">
              <w:rPr>
                <w:rStyle w:val="Hyperlink"/>
              </w:rPr>
              <w:t>Sobre la interceptación telefónica, vigilancia de residencia, actos de intimidación y ataques en contra de la periodista y bloguera</w:t>
            </w:r>
            <w:r w:rsidR="00F8335B" w:rsidRPr="00F8335B">
              <w:rPr>
                <w:webHidden/>
              </w:rPr>
              <w:tab/>
            </w:r>
            <w:r w:rsidR="00F8335B" w:rsidRPr="00F8335B">
              <w:rPr>
                <w:webHidden/>
              </w:rPr>
              <w:fldChar w:fldCharType="begin"/>
            </w:r>
            <w:r w:rsidR="00F8335B" w:rsidRPr="00F8335B">
              <w:rPr>
                <w:webHidden/>
              </w:rPr>
              <w:instrText xml:space="preserve"> PAGEREF _Toc89157568 \h </w:instrText>
            </w:r>
            <w:r w:rsidR="00F8335B" w:rsidRPr="00F8335B">
              <w:rPr>
                <w:webHidden/>
              </w:rPr>
            </w:r>
            <w:r w:rsidR="00F8335B" w:rsidRPr="00F8335B">
              <w:rPr>
                <w:webHidden/>
              </w:rPr>
              <w:fldChar w:fldCharType="separate"/>
            </w:r>
            <w:r w:rsidR="00BD38FE">
              <w:rPr>
                <w:webHidden/>
              </w:rPr>
              <w:t>20</w:t>
            </w:r>
            <w:r w:rsidR="00F8335B" w:rsidRPr="00F8335B">
              <w:rPr>
                <w:webHidden/>
              </w:rPr>
              <w:fldChar w:fldCharType="end"/>
            </w:r>
          </w:hyperlink>
        </w:p>
        <w:p w14:paraId="5E3FED5C" w14:textId="2FB4AB30"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69" w:history="1">
            <w:r w:rsidR="00F8335B" w:rsidRPr="00F8335B">
              <w:rPr>
                <w:rStyle w:val="Hyperlink"/>
              </w:rPr>
              <w:t>V.</w:t>
            </w:r>
            <w:r w:rsidR="00F8335B" w:rsidRPr="00F8335B">
              <w:rPr>
                <w:rFonts w:eastAsiaTheme="minorEastAsia" w:cstheme="minorBidi"/>
                <w:bdr w:val="none" w:sz="0" w:space="0" w:color="auto"/>
                <w:lang w:val="es-US" w:eastAsia="zh-CN"/>
              </w:rPr>
              <w:tab/>
            </w:r>
            <w:r w:rsidR="00F8335B" w:rsidRPr="00F8335B">
              <w:rPr>
                <w:rStyle w:val="Hyperlink"/>
              </w:rPr>
              <w:t>ANÁLISIS DE DERECHO</w:t>
            </w:r>
            <w:r w:rsidR="00F8335B" w:rsidRPr="00F8335B">
              <w:rPr>
                <w:webHidden/>
              </w:rPr>
              <w:tab/>
            </w:r>
            <w:r w:rsidR="00F8335B" w:rsidRPr="00F8335B">
              <w:rPr>
                <w:webHidden/>
              </w:rPr>
              <w:fldChar w:fldCharType="begin"/>
            </w:r>
            <w:r w:rsidR="00F8335B" w:rsidRPr="00F8335B">
              <w:rPr>
                <w:webHidden/>
              </w:rPr>
              <w:instrText xml:space="preserve"> PAGEREF _Toc89157569 \h </w:instrText>
            </w:r>
            <w:r w:rsidR="00F8335B" w:rsidRPr="00F8335B">
              <w:rPr>
                <w:webHidden/>
              </w:rPr>
            </w:r>
            <w:r w:rsidR="00F8335B" w:rsidRPr="00F8335B">
              <w:rPr>
                <w:webHidden/>
              </w:rPr>
              <w:fldChar w:fldCharType="separate"/>
            </w:r>
            <w:r w:rsidR="00BD38FE">
              <w:rPr>
                <w:webHidden/>
              </w:rPr>
              <w:t>21</w:t>
            </w:r>
            <w:r w:rsidR="00F8335B" w:rsidRPr="00F8335B">
              <w:rPr>
                <w:webHidden/>
              </w:rPr>
              <w:fldChar w:fldCharType="end"/>
            </w:r>
          </w:hyperlink>
        </w:p>
        <w:p w14:paraId="5581BF7B" w14:textId="66B379F8"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0" w:history="1">
            <w:r w:rsidR="00F8335B" w:rsidRPr="00F8335B">
              <w:rPr>
                <w:rStyle w:val="Hyperlink"/>
              </w:rPr>
              <w:t>A.</w:t>
            </w:r>
            <w:r w:rsidR="00F8335B" w:rsidRPr="00F8335B">
              <w:rPr>
                <w:rFonts w:eastAsiaTheme="minorEastAsia" w:cstheme="minorBidi"/>
                <w:bdr w:val="none" w:sz="0" w:space="0" w:color="auto"/>
                <w:lang w:val="es-US" w:eastAsia="zh-CN"/>
              </w:rPr>
              <w:tab/>
            </w:r>
            <w:r w:rsidR="00F8335B" w:rsidRPr="00F8335B">
              <w:rPr>
                <w:rStyle w:val="Hyperlink"/>
              </w:rPr>
              <w:t>Cuestión Preliminar: aplicación e interpretación de la Declaración Americana de los Derechos y Deberes del Hombre</w:t>
            </w:r>
            <w:r w:rsidR="00F8335B" w:rsidRPr="00F8335B">
              <w:rPr>
                <w:webHidden/>
              </w:rPr>
              <w:tab/>
            </w:r>
            <w:r w:rsidR="00F8335B" w:rsidRPr="00F8335B">
              <w:rPr>
                <w:webHidden/>
              </w:rPr>
              <w:fldChar w:fldCharType="begin"/>
            </w:r>
            <w:r w:rsidR="00F8335B" w:rsidRPr="00F8335B">
              <w:rPr>
                <w:webHidden/>
              </w:rPr>
              <w:instrText xml:space="preserve"> PAGEREF _Toc89157570 \h </w:instrText>
            </w:r>
            <w:r w:rsidR="00F8335B" w:rsidRPr="00F8335B">
              <w:rPr>
                <w:webHidden/>
              </w:rPr>
            </w:r>
            <w:r w:rsidR="00F8335B" w:rsidRPr="00F8335B">
              <w:rPr>
                <w:webHidden/>
              </w:rPr>
              <w:fldChar w:fldCharType="separate"/>
            </w:r>
            <w:r w:rsidR="00BD38FE">
              <w:rPr>
                <w:webHidden/>
              </w:rPr>
              <w:t>22</w:t>
            </w:r>
            <w:r w:rsidR="00F8335B" w:rsidRPr="00F8335B">
              <w:rPr>
                <w:webHidden/>
              </w:rPr>
              <w:fldChar w:fldCharType="end"/>
            </w:r>
          </w:hyperlink>
        </w:p>
        <w:p w14:paraId="6D9BC273" w14:textId="7AC44048"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1" w:history="1">
            <w:r w:rsidR="00F8335B" w:rsidRPr="00F8335B">
              <w:rPr>
                <w:rStyle w:val="Hyperlink"/>
              </w:rPr>
              <w:t>B.</w:t>
            </w:r>
            <w:r w:rsidR="00F8335B" w:rsidRPr="00F8335B">
              <w:rPr>
                <w:rFonts w:eastAsiaTheme="minorEastAsia" w:cstheme="minorBidi"/>
                <w:bdr w:val="none" w:sz="0" w:space="0" w:color="auto"/>
                <w:lang w:val="es-US" w:eastAsia="zh-CN"/>
              </w:rPr>
              <w:tab/>
            </w:r>
            <w:r w:rsidR="00F8335B" w:rsidRPr="00F8335B">
              <w:rPr>
                <w:rStyle w:val="Hyperlink"/>
                <w:rFonts w:eastAsia="SimSun"/>
              </w:rPr>
              <w:t>Derecho a la vida, a la libertad, a la seguridad e integridad de la persona</w:t>
            </w:r>
            <w:r w:rsidR="00F8335B" w:rsidRPr="00F8335B">
              <w:rPr>
                <w:rStyle w:val="Hyperlink"/>
              </w:rPr>
              <w:t xml:space="preserve"> (artículo I)</w:t>
            </w:r>
            <w:r w:rsidR="00F8335B" w:rsidRPr="00F8335B">
              <w:rPr>
                <w:rStyle w:val="Hyperlink"/>
                <w:vertAlign w:val="superscript"/>
              </w:rPr>
              <w:t xml:space="preserve"> </w:t>
            </w:r>
            <w:r w:rsidR="00F8335B" w:rsidRPr="00F8335B">
              <w:rPr>
                <w:rStyle w:val="Hyperlink"/>
              </w:rPr>
              <w:t>, a la igualdad (artículo II), y derecho de protección contra la detención arbitraria (artículo XXV)</w:t>
            </w:r>
            <w:r w:rsidR="00F8335B" w:rsidRPr="00F8335B">
              <w:rPr>
                <w:webHidden/>
              </w:rPr>
              <w:tab/>
            </w:r>
            <w:r w:rsidR="00F8335B" w:rsidRPr="00F8335B">
              <w:rPr>
                <w:webHidden/>
              </w:rPr>
              <w:fldChar w:fldCharType="begin"/>
            </w:r>
            <w:r w:rsidR="00F8335B" w:rsidRPr="00F8335B">
              <w:rPr>
                <w:webHidden/>
              </w:rPr>
              <w:instrText xml:space="preserve"> PAGEREF _Toc89157571 \h </w:instrText>
            </w:r>
            <w:r w:rsidR="00F8335B" w:rsidRPr="00F8335B">
              <w:rPr>
                <w:webHidden/>
              </w:rPr>
            </w:r>
            <w:r w:rsidR="00F8335B" w:rsidRPr="00F8335B">
              <w:rPr>
                <w:webHidden/>
              </w:rPr>
              <w:fldChar w:fldCharType="separate"/>
            </w:r>
            <w:r w:rsidR="00BD38FE">
              <w:rPr>
                <w:webHidden/>
              </w:rPr>
              <w:t>23</w:t>
            </w:r>
            <w:r w:rsidR="00F8335B" w:rsidRPr="00F8335B">
              <w:rPr>
                <w:webHidden/>
              </w:rPr>
              <w:fldChar w:fldCharType="end"/>
            </w:r>
          </w:hyperlink>
        </w:p>
        <w:p w14:paraId="0B7F9DC8" w14:textId="1E23EDCD"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72" w:history="1">
            <w:r w:rsidR="00F8335B" w:rsidRPr="00F8335B">
              <w:rPr>
                <w:rStyle w:val="Hyperlink"/>
                <w:lang w:val="es-PE"/>
              </w:rPr>
              <w:t>1.</w:t>
            </w:r>
            <w:r w:rsidR="00F8335B" w:rsidRPr="00F8335B">
              <w:rPr>
                <w:rFonts w:eastAsiaTheme="minorEastAsia" w:cstheme="minorBidi"/>
                <w:bdr w:val="none" w:sz="0" w:space="0" w:color="auto"/>
                <w:lang w:val="es-US" w:eastAsia="zh-CN"/>
              </w:rPr>
              <w:tab/>
            </w:r>
            <w:r w:rsidR="00F8335B" w:rsidRPr="00F8335B">
              <w:rPr>
                <w:rStyle w:val="Hyperlink"/>
                <w:lang w:val="es-PE"/>
              </w:rPr>
              <w:t>Sobre la ilegalidad y arbitrariedad de las detenciones</w:t>
            </w:r>
            <w:r w:rsidR="00F8335B" w:rsidRPr="00F8335B">
              <w:rPr>
                <w:webHidden/>
              </w:rPr>
              <w:tab/>
            </w:r>
            <w:r w:rsidR="00F8335B" w:rsidRPr="00F8335B">
              <w:rPr>
                <w:webHidden/>
              </w:rPr>
              <w:fldChar w:fldCharType="begin"/>
            </w:r>
            <w:r w:rsidR="00F8335B" w:rsidRPr="00F8335B">
              <w:rPr>
                <w:webHidden/>
              </w:rPr>
              <w:instrText xml:space="preserve"> PAGEREF _Toc89157572 \h </w:instrText>
            </w:r>
            <w:r w:rsidR="00F8335B" w:rsidRPr="00F8335B">
              <w:rPr>
                <w:webHidden/>
              </w:rPr>
            </w:r>
            <w:r w:rsidR="00F8335B" w:rsidRPr="00F8335B">
              <w:rPr>
                <w:webHidden/>
              </w:rPr>
              <w:fldChar w:fldCharType="separate"/>
            </w:r>
            <w:r w:rsidR="00BD38FE">
              <w:rPr>
                <w:webHidden/>
              </w:rPr>
              <w:t>23</w:t>
            </w:r>
            <w:r w:rsidR="00F8335B" w:rsidRPr="00F8335B">
              <w:rPr>
                <w:webHidden/>
              </w:rPr>
              <w:fldChar w:fldCharType="end"/>
            </w:r>
          </w:hyperlink>
        </w:p>
        <w:p w14:paraId="39D4B9A1" w14:textId="4FCCCAEE"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73" w:history="1">
            <w:r w:rsidR="00F8335B" w:rsidRPr="00F8335B">
              <w:rPr>
                <w:rStyle w:val="Hyperlink"/>
              </w:rPr>
              <w:t>2.</w:t>
            </w:r>
            <w:r w:rsidR="00F8335B" w:rsidRPr="00F8335B">
              <w:rPr>
                <w:rFonts w:eastAsiaTheme="minorEastAsia" w:cstheme="minorBidi"/>
                <w:bdr w:val="none" w:sz="0" w:space="0" w:color="auto"/>
                <w:lang w:val="es-US" w:eastAsia="zh-CN"/>
              </w:rPr>
              <w:tab/>
            </w:r>
            <w:r w:rsidR="00F8335B" w:rsidRPr="00F8335B">
              <w:rPr>
                <w:rStyle w:val="Hyperlink"/>
              </w:rPr>
              <w:t>Sobre la integridad personal de las personas bajo custodia del Estado, derecho a la igualdad y no discriminación y la violencia por razón de género contra la mujer</w:t>
            </w:r>
            <w:r w:rsidR="00F8335B" w:rsidRPr="00F8335B">
              <w:rPr>
                <w:webHidden/>
              </w:rPr>
              <w:tab/>
            </w:r>
            <w:r w:rsidR="00F8335B" w:rsidRPr="00F8335B">
              <w:rPr>
                <w:webHidden/>
              </w:rPr>
              <w:fldChar w:fldCharType="begin"/>
            </w:r>
            <w:r w:rsidR="00F8335B" w:rsidRPr="00F8335B">
              <w:rPr>
                <w:webHidden/>
              </w:rPr>
              <w:instrText xml:space="preserve"> PAGEREF _Toc89157573 \h </w:instrText>
            </w:r>
            <w:r w:rsidR="00F8335B" w:rsidRPr="00F8335B">
              <w:rPr>
                <w:webHidden/>
              </w:rPr>
            </w:r>
            <w:r w:rsidR="00F8335B" w:rsidRPr="00F8335B">
              <w:rPr>
                <w:webHidden/>
              </w:rPr>
              <w:fldChar w:fldCharType="separate"/>
            </w:r>
            <w:r w:rsidR="00BD38FE">
              <w:rPr>
                <w:webHidden/>
              </w:rPr>
              <w:t>24</w:t>
            </w:r>
            <w:r w:rsidR="00F8335B" w:rsidRPr="00F8335B">
              <w:rPr>
                <w:webHidden/>
              </w:rPr>
              <w:fldChar w:fldCharType="end"/>
            </w:r>
          </w:hyperlink>
        </w:p>
        <w:p w14:paraId="30E22344" w14:textId="4B207270"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74" w:history="1">
            <w:r w:rsidR="00F8335B" w:rsidRPr="00F8335B">
              <w:rPr>
                <w:rStyle w:val="Hyperlink"/>
              </w:rPr>
              <w:t>3.</w:t>
            </w:r>
            <w:r w:rsidR="00F8335B" w:rsidRPr="00F8335B">
              <w:rPr>
                <w:rFonts w:eastAsiaTheme="minorEastAsia" w:cstheme="minorBidi"/>
                <w:bdr w:val="none" w:sz="0" w:space="0" w:color="auto"/>
                <w:lang w:val="es-US" w:eastAsia="zh-CN"/>
              </w:rPr>
              <w:tab/>
            </w:r>
            <w:r w:rsidR="00F8335B" w:rsidRPr="00F8335B">
              <w:rPr>
                <w:rStyle w:val="Hyperlink"/>
              </w:rPr>
              <w:t>Análisis del caso</w:t>
            </w:r>
            <w:r w:rsidR="00F8335B" w:rsidRPr="00F8335B">
              <w:rPr>
                <w:webHidden/>
              </w:rPr>
              <w:tab/>
            </w:r>
            <w:r w:rsidR="00F8335B" w:rsidRPr="00F8335B">
              <w:rPr>
                <w:webHidden/>
              </w:rPr>
              <w:fldChar w:fldCharType="begin"/>
            </w:r>
            <w:r w:rsidR="00F8335B" w:rsidRPr="00F8335B">
              <w:rPr>
                <w:webHidden/>
              </w:rPr>
              <w:instrText xml:space="preserve"> PAGEREF _Toc89157574 \h </w:instrText>
            </w:r>
            <w:r w:rsidR="00F8335B" w:rsidRPr="00F8335B">
              <w:rPr>
                <w:webHidden/>
              </w:rPr>
            </w:r>
            <w:r w:rsidR="00F8335B" w:rsidRPr="00F8335B">
              <w:rPr>
                <w:webHidden/>
              </w:rPr>
              <w:fldChar w:fldCharType="separate"/>
            </w:r>
            <w:r w:rsidR="00BD38FE">
              <w:rPr>
                <w:webHidden/>
              </w:rPr>
              <w:t>28</w:t>
            </w:r>
            <w:r w:rsidR="00F8335B" w:rsidRPr="00F8335B">
              <w:rPr>
                <w:webHidden/>
              </w:rPr>
              <w:fldChar w:fldCharType="end"/>
            </w:r>
          </w:hyperlink>
        </w:p>
        <w:p w14:paraId="6E6FB002" w14:textId="70B9BB49"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5" w:history="1">
            <w:r w:rsidR="00F8335B" w:rsidRPr="00F8335B">
              <w:rPr>
                <w:rStyle w:val="Hyperlink"/>
              </w:rPr>
              <w:t>C.</w:t>
            </w:r>
            <w:r w:rsidR="00F8335B" w:rsidRPr="00F8335B">
              <w:rPr>
                <w:rFonts w:eastAsiaTheme="minorEastAsia" w:cstheme="minorBidi"/>
                <w:bdr w:val="none" w:sz="0" w:space="0" w:color="auto"/>
                <w:lang w:val="es-US" w:eastAsia="zh-CN"/>
              </w:rPr>
              <w:tab/>
            </w:r>
            <w:r w:rsidR="00F8335B" w:rsidRPr="00F8335B">
              <w:rPr>
                <w:rStyle w:val="Hyperlink"/>
              </w:rPr>
              <w:t>Derecho de residencia y tránsito (artículo VIII)</w:t>
            </w:r>
            <w:r w:rsidR="00F8335B" w:rsidRPr="00F8335B">
              <w:rPr>
                <w:webHidden/>
              </w:rPr>
              <w:tab/>
            </w:r>
            <w:r w:rsidR="00F8335B" w:rsidRPr="00F8335B">
              <w:rPr>
                <w:webHidden/>
              </w:rPr>
              <w:fldChar w:fldCharType="begin"/>
            </w:r>
            <w:r w:rsidR="00F8335B" w:rsidRPr="00F8335B">
              <w:rPr>
                <w:webHidden/>
              </w:rPr>
              <w:instrText xml:space="preserve"> PAGEREF _Toc89157575 \h </w:instrText>
            </w:r>
            <w:r w:rsidR="00F8335B" w:rsidRPr="00F8335B">
              <w:rPr>
                <w:webHidden/>
              </w:rPr>
            </w:r>
            <w:r w:rsidR="00F8335B" w:rsidRPr="00F8335B">
              <w:rPr>
                <w:webHidden/>
              </w:rPr>
              <w:fldChar w:fldCharType="separate"/>
            </w:r>
            <w:r w:rsidR="00BD38FE">
              <w:rPr>
                <w:webHidden/>
              </w:rPr>
              <w:t>30</w:t>
            </w:r>
            <w:r w:rsidR="00F8335B" w:rsidRPr="00F8335B">
              <w:rPr>
                <w:webHidden/>
              </w:rPr>
              <w:fldChar w:fldCharType="end"/>
            </w:r>
          </w:hyperlink>
        </w:p>
        <w:p w14:paraId="4DC0216E" w14:textId="0663B80D"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6" w:history="1">
            <w:r w:rsidR="00F8335B" w:rsidRPr="00F8335B">
              <w:rPr>
                <w:rStyle w:val="Hyperlink"/>
              </w:rPr>
              <w:t>D.</w:t>
            </w:r>
            <w:r w:rsidR="00F8335B" w:rsidRPr="00F8335B">
              <w:rPr>
                <w:rFonts w:eastAsiaTheme="minorEastAsia" w:cstheme="minorBidi"/>
                <w:bdr w:val="none" w:sz="0" w:space="0" w:color="auto"/>
                <w:lang w:val="es-US" w:eastAsia="zh-CN"/>
              </w:rPr>
              <w:tab/>
            </w:r>
            <w:r w:rsidR="00F8335B" w:rsidRPr="00F8335B">
              <w:rPr>
                <w:rStyle w:val="Hyperlink"/>
              </w:rPr>
              <w:t>Derecho a la libertad de reunión (artículo XXI) y de asociación (artículo XXII)</w:t>
            </w:r>
            <w:r w:rsidR="00F8335B" w:rsidRPr="00F8335B">
              <w:rPr>
                <w:webHidden/>
              </w:rPr>
              <w:tab/>
            </w:r>
            <w:r w:rsidR="00F8335B" w:rsidRPr="00F8335B">
              <w:rPr>
                <w:webHidden/>
              </w:rPr>
              <w:fldChar w:fldCharType="begin"/>
            </w:r>
            <w:r w:rsidR="00F8335B" w:rsidRPr="00F8335B">
              <w:rPr>
                <w:webHidden/>
              </w:rPr>
              <w:instrText xml:space="preserve"> PAGEREF _Toc89157576 \h </w:instrText>
            </w:r>
            <w:r w:rsidR="00F8335B" w:rsidRPr="00F8335B">
              <w:rPr>
                <w:webHidden/>
              </w:rPr>
            </w:r>
            <w:r w:rsidR="00F8335B" w:rsidRPr="00F8335B">
              <w:rPr>
                <w:webHidden/>
              </w:rPr>
              <w:fldChar w:fldCharType="separate"/>
            </w:r>
            <w:r w:rsidR="00BD38FE">
              <w:rPr>
                <w:webHidden/>
              </w:rPr>
              <w:t>32</w:t>
            </w:r>
            <w:r w:rsidR="00F8335B" w:rsidRPr="00F8335B">
              <w:rPr>
                <w:webHidden/>
              </w:rPr>
              <w:fldChar w:fldCharType="end"/>
            </w:r>
          </w:hyperlink>
        </w:p>
        <w:p w14:paraId="5ECF5798" w14:textId="4ABCD334"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7" w:history="1">
            <w:r w:rsidR="00F8335B" w:rsidRPr="00F8335B">
              <w:rPr>
                <w:rStyle w:val="Hyperlink"/>
              </w:rPr>
              <w:t>E.</w:t>
            </w:r>
            <w:r w:rsidR="00F8335B" w:rsidRPr="00F8335B">
              <w:rPr>
                <w:rFonts w:eastAsiaTheme="minorEastAsia" w:cstheme="minorBidi"/>
                <w:bdr w:val="none" w:sz="0" w:space="0" w:color="auto"/>
                <w:lang w:val="es-US" w:eastAsia="zh-CN"/>
              </w:rPr>
              <w:tab/>
            </w:r>
            <w:r w:rsidR="00F8335B" w:rsidRPr="00F8335B">
              <w:rPr>
                <w:rStyle w:val="Hyperlink"/>
              </w:rPr>
              <w:t>Derecho a la inviolabilidad del domicilio (artículo IX) y a la inviolabilidad y circulación de la correspondencia (artículo X)</w:t>
            </w:r>
            <w:r w:rsidR="00F8335B" w:rsidRPr="00F8335B">
              <w:rPr>
                <w:webHidden/>
              </w:rPr>
              <w:tab/>
            </w:r>
            <w:r w:rsidR="00F8335B" w:rsidRPr="00F8335B">
              <w:rPr>
                <w:webHidden/>
              </w:rPr>
              <w:fldChar w:fldCharType="begin"/>
            </w:r>
            <w:r w:rsidR="00F8335B" w:rsidRPr="00F8335B">
              <w:rPr>
                <w:webHidden/>
              </w:rPr>
              <w:instrText xml:space="preserve"> PAGEREF _Toc89157577 \h </w:instrText>
            </w:r>
            <w:r w:rsidR="00F8335B" w:rsidRPr="00F8335B">
              <w:rPr>
                <w:webHidden/>
              </w:rPr>
            </w:r>
            <w:r w:rsidR="00F8335B" w:rsidRPr="00F8335B">
              <w:rPr>
                <w:webHidden/>
              </w:rPr>
              <w:fldChar w:fldCharType="separate"/>
            </w:r>
            <w:r w:rsidR="00BD38FE">
              <w:rPr>
                <w:webHidden/>
              </w:rPr>
              <w:t>33</w:t>
            </w:r>
            <w:r w:rsidR="00F8335B" w:rsidRPr="00F8335B">
              <w:rPr>
                <w:webHidden/>
              </w:rPr>
              <w:fldChar w:fldCharType="end"/>
            </w:r>
          </w:hyperlink>
        </w:p>
        <w:p w14:paraId="53604BDE" w14:textId="0A05DB0E"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78" w:history="1">
            <w:r w:rsidR="00F8335B" w:rsidRPr="00F8335B">
              <w:rPr>
                <w:rStyle w:val="Hyperlink"/>
              </w:rPr>
              <w:t>F.</w:t>
            </w:r>
            <w:r w:rsidR="00F8335B" w:rsidRPr="00F8335B">
              <w:rPr>
                <w:rFonts w:eastAsiaTheme="minorEastAsia" w:cstheme="minorBidi"/>
                <w:bdr w:val="none" w:sz="0" w:space="0" w:color="auto"/>
                <w:lang w:val="es-US" w:eastAsia="zh-CN"/>
              </w:rPr>
              <w:tab/>
            </w:r>
            <w:r w:rsidR="00F8335B" w:rsidRPr="00F8335B">
              <w:rPr>
                <w:rStyle w:val="Hyperlink"/>
              </w:rPr>
              <w:t>Derecho de libertad de investigación, opinión, expresión y difusión (artículo IV), derecho de sufragio y de participación en el gobierno (artículo XX) y derecho a la protección a la honra, la reputación personal y la vida privada (artículo V) de la Declaración Americana</w:t>
            </w:r>
            <w:r w:rsidR="00F8335B" w:rsidRPr="00F8335B">
              <w:rPr>
                <w:webHidden/>
              </w:rPr>
              <w:tab/>
            </w:r>
            <w:r w:rsidR="00F8335B" w:rsidRPr="00F8335B">
              <w:rPr>
                <w:webHidden/>
              </w:rPr>
              <w:fldChar w:fldCharType="begin"/>
            </w:r>
            <w:r w:rsidR="00F8335B" w:rsidRPr="00F8335B">
              <w:rPr>
                <w:webHidden/>
              </w:rPr>
              <w:instrText xml:space="preserve"> PAGEREF _Toc89157578 \h </w:instrText>
            </w:r>
            <w:r w:rsidR="00F8335B" w:rsidRPr="00F8335B">
              <w:rPr>
                <w:webHidden/>
              </w:rPr>
            </w:r>
            <w:r w:rsidR="00F8335B" w:rsidRPr="00F8335B">
              <w:rPr>
                <w:webHidden/>
              </w:rPr>
              <w:fldChar w:fldCharType="separate"/>
            </w:r>
            <w:r w:rsidR="00BD38FE">
              <w:rPr>
                <w:webHidden/>
              </w:rPr>
              <w:t>35</w:t>
            </w:r>
            <w:r w:rsidR="00F8335B" w:rsidRPr="00F8335B">
              <w:rPr>
                <w:webHidden/>
              </w:rPr>
              <w:fldChar w:fldCharType="end"/>
            </w:r>
          </w:hyperlink>
        </w:p>
        <w:p w14:paraId="304B61D6" w14:textId="562A3F02"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79" w:history="1">
            <w:r w:rsidR="00F8335B" w:rsidRPr="00F8335B">
              <w:rPr>
                <w:rStyle w:val="Hyperlink"/>
              </w:rPr>
              <w:t>1.</w:t>
            </w:r>
            <w:r w:rsidR="00F8335B" w:rsidRPr="00F8335B">
              <w:rPr>
                <w:rFonts w:eastAsiaTheme="minorEastAsia" w:cstheme="minorBidi"/>
                <w:bdr w:val="none" w:sz="0" w:space="0" w:color="auto"/>
                <w:lang w:val="es-US" w:eastAsia="zh-CN"/>
              </w:rPr>
              <w:tab/>
            </w:r>
            <w:r w:rsidR="00F8335B" w:rsidRPr="00F8335B">
              <w:rPr>
                <w:rStyle w:val="Hyperlink"/>
              </w:rPr>
              <w:t>Sobre el derecho a la libertad de expresión</w:t>
            </w:r>
            <w:r w:rsidR="00F8335B" w:rsidRPr="00F8335B">
              <w:rPr>
                <w:webHidden/>
              </w:rPr>
              <w:tab/>
            </w:r>
            <w:r w:rsidR="00F8335B" w:rsidRPr="00F8335B">
              <w:rPr>
                <w:webHidden/>
              </w:rPr>
              <w:fldChar w:fldCharType="begin"/>
            </w:r>
            <w:r w:rsidR="00F8335B" w:rsidRPr="00F8335B">
              <w:rPr>
                <w:webHidden/>
              </w:rPr>
              <w:instrText xml:space="preserve"> PAGEREF _Toc89157579 \h </w:instrText>
            </w:r>
            <w:r w:rsidR="00F8335B" w:rsidRPr="00F8335B">
              <w:rPr>
                <w:webHidden/>
              </w:rPr>
            </w:r>
            <w:r w:rsidR="00F8335B" w:rsidRPr="00F8335B">
              <w:rPr>
                <w:webHidden/>
              </w:rPr>
              <w:fldChar w:fldCharType="separate"/>
            </w:r>
            <w:r w:rsidR="00BD38FE">
              <w:rPr>
                <w:webHidden/>
              </w:rPr>
              <w:t>35</w:t>
            </w:r>
            <w:r w:rsidR="00F8335B" w:rsidRPr="00F8335B">
              <w:rPr>
                <w:webHidden/>
              </w:rPr>
              <w:fldChar w:fldCharType="end"/>
            </w:r>
          </w:hyperlink>
        </w:p>
        <w:p w14:paraId="56F50E94" w14:textId="78E23524"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80" w:history="1">
            <w:r w:rsidR="00F8335B" w:rsidRPr="00F8335B">
              <w:rPr>
                <w:rStyle w:val="Hyperlink"/>
              </w:rPr>
              <w:t>2.</w:t>
            </w:r>
            <w:r w:rsidR="00F8335B" w:rsidRPr="00F8335B">
              <w:rPr>
                <w:rFonts w:eastAsiaTheme="minorEastAsia" w:cstheme="minorBidi"/>
                <w:bdr w:val="none" w:sz="0" w:space="0" w:color="auto"/>
                <w:lang w:val="es-US" w:eastAsia="zh-CN"/>
              </w:rPr>
              <w:tab/>
            </w:r>
            <w:r w:rsidR="00F8335B" w:rsidRPr="00F8335B">
              <w:rPr>
                <w:rStyle w:val="Hyperlink"/>
              </w:rPr>
              <w:t>Sobre la participación en el gobierno</w:t>
            </w:r>
            <w:r w:rsidR="00F8335B" w:rsidRPr="00F8335B">
              <w:rPr>
                <w:webHidden/>
              </w:rPr>
              <w:tab/>
            </w:r>
            <w:r w:rsidR="00F8335B" w:rsidRPr="00F8335B">
              <w:rPr>
                <w:webHidden/>
              </w:rPr>
              <w:fldChar w:fldCharType="begin"/>
            </w:r>
            <w:r w:rsidR="00F8335B" w:rsidRPr="00F8335B">
              <w:rPr>
                <w:webHidden/>
              </w:rPr>
              <w:instrText xml:space="preserve"> PAGEREF _Toc89157580 \h </w:instrText>
            </w:r>
            <w:r w:rsidR="00F8335B" w:rsidRPr="00F8335B">
              <w:rPr>
                <w:webHidden/>
              </w:rPr>
            </w:r>
            <w:r w:rsidR="00F8335B" w:rsidRPr="00F8335B">
              <w:rPr>
                <w:webHidden/>
              </w:rPr>
              <w:fldChar w:fldCharType="separate"/>
            </w:r>
            <w:r w:rsidR="00BD38FE">
              <w:rPr>
                <w:webHidden/>
              </w:rPr>
              <w:t>40</w:t>
            </w:r>
            <w:r w:rsidR="00F8335B" w:rsidRPr="00F8335B">
              <w:rPr>
                <w:webHidden/>
              </w:rPr>
              <w:fldChar w:fldCharType="end"/>
            </w:r>
          </w:hyperlink>
        </w:p>
        <w:p w14:paraId="123D3AAE" w14:textId="7D1B8057"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81" w:history="1">
            <w:r w:rsidR="00F8335B" w:rsidRPr="00F8335B">
              <w:rPr>
                <w:rStyle w:val="Hyperlink"/>
                <w:lang w:val="es-PE"/>
              </w:rPr>
              <w:t>3.</w:t>
            </w:r>
            <w:r w:rsidR="00F8335B" w:rsidRPr="00F8335B">
              <w:rPr>
                <w:rFonts w:eastAsiaTheme="minorEastAsia" w:cstheme="minorBidi"/>
                <w:bdr w:val="none" w:sz="0" w:space="0" w:color="auto"/>
                <w:lang w:val="es-US" w:eastAsia="zh-CN"/>
              </w:rPr>
              <w:tab/>
            </w:r>
            <w:r w:rsidR="00F8335B" w:rsidRPr="00F8335B">
              <w:rPr>
                <w:rStyle w:val="Hyperlink"/>
                <w:lang w:val="es-PE"/>
              </w:rPr>
              <w:t>Sobre el derecho a la honra, reputación y declaraciones estigmatizantes</w:t>
            </w:r>
            <w:r w:rsidR="00F8335B" w:rsidRPr="00F8335B">
              <w:rPr>
                <w:webHidden/>
              </w:rPr>
              <w:tab/>
            </w:r>
            <w:r w:rsidR="00F8335B" w:rsidRPr="00F8335B">
              <w:rPr>
                <w:webHidden/>
              </w:rPr>
              <w:fldChar w:fldCharType="begin"/>
            </w:r>
            <w:r w:rsidR="00F8335B" w:rsidRPr="00F8335B">
              <w:rPr>
                <w:webHidden/>
              </w:rPr>
              <w:instrText xml:space="preserve"> PAGEREF _Toc89157581 \h </w:instrText>
            </w:r>
            <w:r w:rsidR="00F8335B" w:rsidRPr="00F8335B">
              <w:rPr>
                <w:webHidden/>
              </w:rPr>
            </w:r>
            <w:r w:rsidR="00F8335B" w:rsidRPr="00F8335B">
              <w:rPr>
                <w:webHidden/>
              </w:rPr>
              <w:fldChar w:fldCharType="separate"/>
            </w:r>
            <w:r w:rsidR="00BD38FE">
              <w:rPr>
                <w:webHidden/>
              </w:rPr>
              <w:t>40</w:t>
            </w:r>
            <w:r w:rsidR="00F8335B" w:rsidRPr="00F8335B">
              <w:rPr>
                <w:webHidden/>
              </w:rPr>
              <w:fldChar w:fldCharType="end"/>
            </w:r>
          </w:hyperlink>
        </w:p>
        <w:p w14:paraId="5200E2CD" w14:textId="7F719F8B" w:rsidR="00F8335B" w:rsidRPr="00F8335B" w:rsidRDefault="00460990" w:rsidP="00BD38FE">
          <w:pPr>
            <w:pStyle w:val="TOC3"/>
            <w:tabs>
              <w:tab w:val="left" w:pos="720"/>
            </w:tabs>
            <w:rPr>
              <w:rFonts w:eastAsiaTheme="minorEastAsia" w:cstheme="minorBidi"/>
              <w:bdr w:val="none" w:sz="0" w:space="0" w:color="auto"/>
              <w:lang w:val="es-US" w:eastAsia="zh-CN"/>
            </w:rPr>
          </w:pPr>
          <w:hyperlink w:anchor="_Toc89157582" w:history="1">
            <w:r w:rsidR="00F8335B" w:rsidRPr="00F8335B">
              <w:rPr>
                <w:rStyle w:val="Hyperlink"/>
                <w:lang w:val="es-PE"/>
              </w:rPr>
              <w:t>4.</w:t>
            </w:r>
            <w:r w:rsidR="00F8335B" w:rsidRPr="00F8335B">
              <w:rPr>
                <w:rFonts w:eastAsiaTheme="minorEastAsia" w:cstheme="minorBidi"/>
                <w:bdr w:val="none" w:sz="0" w:space="0" w:color="auto"/>
                <w:lang w:val="es-US" w:eastAsia="zh-CN"/>
              </w:rPr>
              <w:tab/>
            </w:r>
            <w:r w:rsidR="00F8335B" w:rsidRPr="00F8335B">
              <w:rPr>
                <w:rStyle w:val="Hyperlink"/>
                <w:lang w:val="es-PE"/>
              </w:rPr>
              <w:t>Análisis del caso</w:t>
            </w:r>
            <w:r w:rsidR="00F8335B" w:rsidRPr="00F8335B">
              <w:rPr>
                <w:webHidden/>
              </w:rPr>
              <w:tab/>
            </w:r>
            <w:r w:rsidR="00F8335B" w:rsidRPr="00F8335B">
              <w:rPr>
                <w:webHidden/>
              </w:rPr>
              <w:fldChar w:fldCharType="begin"/>
            </w:r>
            <w:r w:rsidR="00F8335B" w:rsidRPr="00F8335B">
              <w:rPr>
                <w:webHidden/>
              </w:rPr>
              <w:instrText xml:space="preserve"> PAGEREF _Toc89157582 \h </w:instrText>
            </w:r>
            <w:r w:rsidR="00F8335B" w:rsidRPr="00F8335B">
              <w:rPr>
                <w:webHidden/>
              </w:rPr>
            </w:r>
            <w:r w:rsidR="00F8335B" w:rsidRPr="00F8335B">
              <w:rPr>
                <w:webHidden/>
              </w:rPr>
              <w:fldChar w:fldCharType="separate"/>
            </w:r>
            <w:r w:rsidR="00BD38FE">
              <w:rPr>
                <w:webHidden/>
              </w:rPr>
              <w:t>41</w:t>
            </w:r>
            <w:r w:rsidR="00F8335B" w:rsidRPr="00F8335B">
              <w:rPr>
                <w:webHidden/>
              </w:rPr>
              <w:fldChar w:fldCharType="end"/>
            </w:r>
          </w:hyperlink>
        </w:p>
        <w:p w14:paraId="0709B827" w14:textId="1B023FA7"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83" w:history="1">
            <w:r w:rsidR="00F8335B" w:rsidRPr="00F8335B">
              <w:rPr>
                <w:rStyle w:val="Hyperlink"/>
              </w:rPr>
              <w:t>G.</w:t>
            </w:r>
            <w:r w:rsidR="00F8335B" w:rsidRPr="00F8335B">
              <w:rPr>
                <w:rFonts w:eastAsiaTheme="minorEastAsia" w:cstheme="minorBidi"/>
                <w:bdr w:val="none" w:sz="0" w:space="0" w:color="auto"/>
                <w:lang w:val="es-US" w:eastAsia="zh-CN"/>
              </w:rPr>
              <w:tab/>
            </w:r>
            <w:r w:rsidR="00F8335B" w:rsidRPr="00F8335B">
              <w:rPr>
                <w:rStyle w:val="Hyperlink"/>
              </w:rPr>
              <w:t>Derecho de justicia (artículo XVIII), derecho de petición (artículo XXIV) y  derecho a proceso regular (artículo XXVI)</w:t>
            </w:r>
            <w:r w:rsidR="00F8335B" w:rsidRPr="00F8335B">
              <w:rPr>
                <w:webHidden/>
              </w:rPr>
              <w:tab/>
            </w:r>
            <w:r w:rsidR="00F8335B" w:rsidRPr="00F8335B">
              <w:rPr>
                <w:webHidden/>
              </w:rPr>
              <w:fldChar w:fldCharType="begin"/>
            </w:r>
            <w:r w:rsidR="00F8335B" w:rsidRPr="00F8335B">
              <w:rPr>
                <w:webHidden/>
              </w:rPr>
              <w:instrText xml:space="preserve"> PAGEREF _Toc89157583 \h </w:instrText>
            </w:r>
            <w:r w:rsidR="00F8335B" w:rsidRPr="00F8335B">
              <w:rPr>
                <w:webHidden/>
              </w:rPr>
            </w:r>
            <w:r w:rsidR="00F8335B" w:rsidRPr="00F8335B">
              <w:rPr>
                <w:webHidden/>
              </w:rPr>
              <w:fldChar w:fldCharType="separate"/>
            </w:r>
            <w:r w:rsidR="00BD38FE">
              <w:rPr>
                <w:webHidden/>
              </w:rPr>
              <w:t>45</w:t>
            </w:r>
            <w:r w:rsidR="00F8335B" w:rsidRPr="00F8335B">
              <w:rPr>
                <w:webHidden/>
              </w:rPr>
              <w:fldChar w:fldCharType="end"/>
            </w:r>
          </w:hyperlink>
        </w:p>
        <w:p w14:paraId="1AEA764E" w14:textId="073754C9" w:rsidR="00F8335B" w:rsidRPr="00F8335B" w:rsidRDefault="00460990" w:rsidP="00BD38FE">
          <w:pPr>
            <w:pStyle w:val="TOC2"/>
            <w:tabs>
              <w:tab w:val="left" w:pos="720"/>
            </w:tabs>
            <w:rPr>
              <w:rFonts w:eastAsiaTheme="minorEastAsia" w:cstheme="minorBidi"/>
              <w:bdr w:val="none" w:sz="0" w:space="0" w:color="auto"/>
              <w:lang w:val="es-US" w:eastAsia="zh-CN"/>
            </w:rPr>
          </w:pPr>
          <w:hyperlink w:anchor="_Toc89157584" w:history="1">
            <w:r w:rsidR="00F8335B" w:rsidRPr="00F8335B">
              <w:rPr>
                <w:rStyle w:val="Hyperlink"/>
              </w:rPr>
              <w:t>H.</w:t>
            </w:r>
            <w:r w:rsidR="00F8335B" w:rsidRPr="00F8335B">
              <w:rPr>
                <w:rFonts w:eastAsiaTheme="minorEastAsia" w:cstheme="minorBidi"/>
                <w:bdr w:val="none" w:sz="0" w:space="0" w:color="auto"/>
                <w:lang w:val="es-US" w:eastAsia="zh-CN"/>
              </w:rPr>
              <w:tab/>
            </w:r>
            <w:r w:rsidR="00F8335B" w:rsidRPr="00F8335B">
              <w:rPr>
                <w:rStyle w:val="Hyperlink"/>
              </w:rPr>
              <w:t>Derecho a la igualdad (artículo II)</w:t>
            </w:r>
            <w:r w:rsidR="00F8335B" w:rsidRPr="00F8335B">
              <w:rPr>
                <w:webHidden/>
              </w:rPr>
              <w:tab/>
            </w:r>
            <w:r w:rsidR="00F8335B" w:rsidRPr="00F8335B">
              <w:rPr>
                <w:webHidden/>
              </w:rPr>
              <w:fldChar w:fldCharType="begin"/>
            </w:r>
            <w:r w:rsidR="00F8335B" w:rsidRPr="00F8335B">
              <w:rPr>
                <w:webHidden/>
              </w:rPr>
              <w:instrText xml:space="preserve"> PAGEREF _Toc89157584 \h </w:instrText>
            </w:r>
            <w:r w:rsidR="00F8335B" w:rsidRPr="00F8335B">
              <w:rPr>
                <w:webHidden/>
              </w:rPr>
            </w:r>
            <w:r w:rsidR="00F8335B" w:rsidRPr="00F8335B">
              <w:rPr>
                <w:webHidden/>
              </w:rPr>
              <w:fldChar w:fldCharType="separate"/>
            </w:r>
            <w:r w:rsidR="00BD38FE">
              <w:rPr>
                <w:webHidden/>
              </w:rPr>
              <w:t>48</w:t>
            </w:r>
            <w:r w:rsidR="00F8335B" w:rsidRPr="00F8335B">
              <w:rPr>
                <w:webHidden/>
              </w:rPr>
              <w:fldChar w:fldCharType="end"/>
            </w:r>
          </w:hyperlink>
        </w:p>
        <w:p w14:paraId="2FC9426A" w14:textId="7CD296CD"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85" w:history="1">
            <w:r w:rsidR="00F8335B" w:rsidRPr="00F8335B">
              <w:rPr>
                <w:rStyle w:val="Hyperlink"/>
                <w:lang w:val="es-ES_tradnl"/>
              </w:rPr>
              <w:t>VI.</w:t>
            </w:r>
            <w:r w:rsidR="00F8335B" w:rsidRPr="00F8335B">
              <w:rPr>
                <w:rFonts w:eastAsiaTheme="minorEastAsia" w:cstheme="minorBidi"/>
                <w:bdr w:val="none" w:sz="0" w:space="0" w:color="auto"/>
                <w:lang w:val="es-US" w:eastAsia="zh-CN"/>
              </w:rPr>
              <w:tab/>
            </w:r>
            <w:r w:rsidR="00F8335B" w:rsidRPr="00F8335B">
              <w:rPr>
                <w:rStyle w:val="Hyperlink"/>
                <w:lang w:val="es-ES_tradnl"/>
              </w:rPr>
              <w:t>INFORME No. 102/21 E INFORMACIÓN SOBRE CUMPLIMIENTO</w:t>
            </w:r>
            <w:r w:rsidR="00F8335B" w:rsidRPr="00F8335B">
              <w:rPr>
                <w:webHidden/>
              </w:rPr>
              <w:tab/>
            </w:r>
            <w:r w:rsidR="00F8335B" w:rsidRPr="00F8335B">
              <w:rPr>
                <w:webHidden/>
              </w:rPr>
              <w:fldChar w:fldCharType="begin"/>
            </w:r>
            <w:r w:rsidR="00F8335B" w:rsidRPr="00F8335B">
              <w:rPr>
                <w:webHidden/>
              </w:rPr>
              <w:instrText xml:space="preserve"> PAGEREF _Toc89157585 \h </w:instrText>
            </w:r>
            <w:r w:rsidR="00F8335B" w:rsidRPr="00F8335B">
              <w:rPr>
                <w:webHidden/>
              </w:rPr>
            </w:r>
            <w:r w:rsidR="00F8335B" w:rsidRPr="00F8335B">
              <w:rPr>
                <w:webHidden/>
              </w:rPr>
              <w:fldChar w:fldCharType="separate"/>
            </w:r>
            <w:r w:rsidR="00BD38FE">
              <w:rPr>
                <w:webHidden/>
              </w:rPr>
              <w:t>50</w:t>
            </w:r>
            <w:r w:rsidR="00F8335B" w:rsidRPr="00F8335B">
              <w:rPr>
                <w:webHidden/>
              </w:rPr>
              <w:fldChar w:fldCharType="end"/>
            </w:r>
          </w:hyperlink>
        </w:p>
        <w:p w14:paraId="57059933" w14:textId="631FCF5E"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86" w:history="1">
            <w:r w:rsidR="00F8335B" w:rsidRPr="00F8335B">
              <w:rPr>
                <w:rStyle w:val="Hyperlink"/>
                <w:lang w:val="es-ES_tradnl"/>
              </w:rPr>
              <w:t>VII.</w:t>
            </w:r>
            <w:r w:rsidR="00F8335B" w:rsidRPr="00F8335B">
              <w:rPr>
                <w:rFonts w:eastAsiaTheme="minorEastAsia" w:cstheme="minorBidi"/>
                <w:bdr w:val="none" w:sz="0" w:space="0" w:color="auto"/>
                <w:lang w:val="es-US" w:eastAsia="zh-CN"/>
              </w:rPr>
              <w:tab/>
            </w:r>
            <w:r w:rsidR="00F8335B" w:rsidRPr="00F8335B">
              <w:rPr>
                <w:rStyle w:val="Hyperlink"/>
                <w:lang w:val="es-ES_tradnl"/>
              </w:rPr>
              <w:t>ACTUACIONES POSTERIORES AL INFORME No. 267/21 E INFORMACIÓN SOBRE CUMPLIMIENTO</w:t>
            </w:r>
            <w:r w:rsidR="00F8335B" w:rsidRPr="00F8335B">
              <w:rPr>
                <w:webHidden/>
              </w:rPr>
              <w:tab/>
            </w:r>
            <w:r w:rsidR="00F8335B" w:rsidRPr="00F8335B">
              <w:rPr>
                <w:webHidden/>
              </w:rPr>
              <w:fldChar w:fldCharType="begin"/>
            </w:r>
            <w:r w:rsidR="00F8335B" w:rsidRPr="00F8335B">
              <w:rPr>
                <w:webHidden/>
              </w:rPr>
              <w:instrText xml:space="preserve"> PAGEREF _Toc89157586 \h </w:instrText>
            </w:r>
            <w:r w:rsidR="00F8335B" w:rsidRPr="00F8335B">
              <w:rPr>
                <w:webHidden/>
              </w:rPr>
            </w:r>
            <w:r w:rsidR="00F8335B" w:rsidRPr="00F8335B">
              <w:rPr>
                <w:webHidden/>
              </w:rPr>
              <w:fldChar w:fldCharType="separate"/>
            </w:r>
            <w:r w:rsidR="00BD38FE">
              <w:rPr>
                <w:webHidden/>
              </w:rPr>
              <w:t>51</w:t>
            </w:r>
            <w:r w:rsidR="00F8335B" w:rsidRPr="00F8335B">
              <w:rPr>
                <w:webHidden/>
              </w:rPr>
              <w:fldChar w:fldCharType="end"/>
            </w:r>
          </w:hyperlink>
        </w:p>
        <w:p w14:paraId="0CD31851" w14:textId="38544520"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87" w:history="1">
            <w:r w:rsidR="00F8335B" w:rsidRPr="00F8335B">
              <w:rPr>
                <w:rStyle w:val="Hyperlink"/>
              </w:rPr>
              <w:t>VIII.</w:t>
            </w:r>
            <w:r w:rsidR="00F8335B" w:rsidRPr="00F8335B">
              <w:rPr>
                <w:rFonts w:eastAsiaTheme="minorEastAsia" w:cstheme="minorBidi"/>
                <w:bdr w:val="none" w:sz="0" w:space="0" w:color="auto"/>
                <w:lang w:val="es-US" w:eastAsia="zh-CN"/>
              </w:rPr>
              <w:tab/>
            </w:r>
            <w:r w:rsidR="00F8335B" w:rsidRPr="00F8335B">
              <w:rPr>
                <w:rStyle w:val="Hyperlink"/>
              </w:rPr>
              <w:t>CONCLUSIONES Y RECOMENDACIONES FINALES</w:t>
            </w:r>
            <w:r w:rsidR="00F8335B" w:rsidRPr="00F8335B">
              <w:rPr>
                <w:webHidden/>
              </w:rPr>
              <w:tab/>
            </w:r>
            <w:r w:rsidR="00F8335B" w:rsidRPr="00F8335B">
              <w:rPr>
                <w:webHidden/>
              </w:rPr>
              <w:fldChar w:fldCharType="begin"/>
            </w:r>
            <w:r w:rsidR="00F8335B" w:rsidRPr="00F8335B">
              <w:rPr>
                <w:webHidden/>
              </w:rPr>
              <w:instrText xml:space="preserve"> PAGEREF _Toc89157587 \h </w:instrText>
            </w:r>
            <w:r w:rsidR="00F8335B" w:rsidRPr="00F8335B">
              <w:rPr>
                <w:webHidden/>
              </w:rPr>
            </w:r>
            <w:r w:rsidR="00F8335B" w:rsidRPr="00F8335B">
              <w:rPr>
                <w:webHidden/>
              </w:rPr>
              <w:fldChar w:fldCharType="separate"/>
            </w:r>
            <w:r w:rsidR="00BD38FE">
              <w:rPr>
                <w:webHidden/>
              </w:rPr>
              <w:t>52</w:t>
            </w:r>
            <w:r w:rsidR="00F8335B" w:rsidRPr="00F8335B">
              <w:rPr>
                <w:webHidden/>
              </w:rPr>
              <w:fldChar w:fldCharType="end"/>
            </w:r>
          </w:hyperlink>
        </w:p>
        <w:p w14:paraId="1958864A" w14:textId="6268873A" w:rsidR="00F8335B" w:rsidRPr="00F8335B" w:rsidRDefault="00460990" w:rsidP="00BD38FE">
          <w:pPr>
            <w:pStyle w:val="TOC1"/>
            <w:tabs>
              <w:tab w:val="left" w:pos="720"/>
            </w:tabs>
            <w:rPr>
              <w:rFonts w:eastAsiaTheme="minorEastAsia" w:cstheme="minorBidi"/>
              <w:bdr w:val="none" w:sz="0" w:space="0" w:color="auto"/>
              <w:lang w:val="es-US" w:eastAsia="zh-CN"/>
            </w:rPr>
          </w:pPr>
          <w:hyperlink w:anchor="_Toc89157588" w:history="1">
            <w:r w:rsidR="00F8335B" w:rsidRPr="00F8335B">
              <w:rPr>
                <w:rStyle w:val="Hyperlink"/>
                <w:rFonts w:eastAsia="Times New Roman" w:cs="Tahoma"/>
                <w:bdr w:val="none" w:sz="0" w:space="0" w:color="auto" w:frame="1"/>
              </w:rPr>
              <w:t>IX.</w:t>
            </w:r>
            <w:r w:rsidR="00F8335B" w:rsidRPr="00F8335B">
              <w:rPr>
                <w:rFonts w:eastAsiaTheme="minorEastAsia" w:cstheme="minorBidi"/>
                <w:bdr w:val="none" w:sz="0" w:space="0" w:color="auto"/>
                <w:lang w:val="es-US" w:eastAsia="zh-CN"/>
              </w:rPr>
              <w:tab/>
            </w:r>
            <w:r w:rsidR="00F8335B" w:rsidRPr="00F8335B">
              <w:rPr>
                <w:rStyle w:val="Hyperlink"/>
                <w:rFonts w:eastAsia="Times New Roman" w:cs="Tahoma"/>
                <w:bdr w:val="none" w:sz="0" w:space="0" w:color="auto" w:frame="1"/>
              </w:rPr>
              <w:t>PUBLICACIÓN</w:t>
            </w:r>
            <w:r w:rsidR="00F8335B" w:rsidRPr="00F8335B">
              <w:rPr>
                <w:webHidden/>
              </w:rPr>
              <w:tab/>
            </w:r>
            <w:r w:rsidR="00F8335B" w:rsidRPr="00F8335B">
              <w:rPr>
                <w:webHidden/>
              </w:rPr>
              <w:fldChar w:fldCharType="begin"/>
            </w:r>
            <w:r w:rsidR="00F8335B" w:rsidRPr="00F8335B">
              <w:rPr>
                <w:webHidden/>
              </w:rPr>
              <w:instrText xml:space="preserve"> PAGEREF _Toc89157588 \h </w:instrText>
            </w:r>
            <w:r w:rsidR="00F8335B" w:rsidRPr="00F8335B">
              <w:rPr>
                <w:webHidden/>
              </w:rPr>
            </w:r>
            <w:r w:rsidR="00F8335B" w:rsidRPr="00F8335B">
              <w:rPr>
                <w:webHidden/>
              </w:rPr>
              <w:fldChar w:fldCharType="separate"/>
            </w:r>
            <w:r w:rsidR="00BD38FE">
              <w:rPr>
                <w:webHidden/>
              </w:rPr>
              <w:t>53</w:t>
            </w:r>
            <w:r w:rsidR="00F8335B" w:rsidRPr="00F8335B">
              <w:rPr>
                <w:webHidden/>
              </w:rPr>
              <w:fldChar w:fldCharType="end"/>
            </w:r>
          </w:hyperlink>
        </w:p>
        <w:p w14:paraId="4526C25E" w14:textId="74247476" w:rsidR="00417F2F" w:rsidRPr="00A74620" w:rsidRDefault="00536F65" w:rsidP="00BD38FE">
          <w:pPr>
            <w:tabs>
              <w:tab w:val="left" w:pos="720"/>
            </w:tabs>
            <w:rPr>
              <w:rFonts w:asciiTheme="majorHAnsi" w:hAnsiTheme="majorHAnsi"/>
              <w:b/>
              <w:bCs/>
              <w:noProof/>
              <w:sz w:val="22"/>
              <w:szCs w:val="22"/>
            </w:rPr>
          </w:pPr>
          <w:r w:rsidRPr="00F8335B">
            <w:rPr>
              <w:rFonts w:asciiTheme="majorHAnsi" w:hAnsiTheme="majorHAnsi"/>
              <w:b/>
              <w:bCs/>
              <w:noProof/>
              <w:sz w:val="20"/>
              <w:szCs w:val="20"/>
            </w:rPr>
            <w:fldChar w:fldCharType="end"/>
          </w:r>
        </w:p>
      </w:sdtContent>
    </w:sdt>
    <w:p w14:paraId="521C9674" w14:textId="56228B24" w:rsidR="0007748F" w:rsidRPr="00B06D27" w:rsidRDefault="00575B69" w:rsidP="00B06D27">
      <w:pPr>
        <w:rPr>
          <w:rStyle w:val="Style1"/>
          <w:b/>
          <w:caps w:val="0"/>
          <w:sz w:val="20"/>
          <w:szCs w:val="20"/>
          <w:lang w:val="es-UY"/>
        </w:rPr>
      </w:pPr>
      <w:r>
        <w:rPr>
          <w:rFonts w:ascii="Cambria" w:hAnsi="Cambria"/>
          <w:b/>
          <w:sz w:val="20"/>
          <w:szCs w:val="20"/>
          <w:lang w:val="es-UY"/>
        </w:rPr>
        <w:br w:type="page"/>
      </w:r>
    </w:p>
    <w:p w14:paraId="2220B485" w14:textId="039672AD" w:rsidR="0050332B" w:rsidRPr="00375047" w:rsidRDefault="007C748F" w:rsidP="00375047">
      <w:pPr>
        <w:pStyle w:val="Heading1"/>
      </w:pPr>
      <w:bookmarkStart w:id="2" w:name="_Toc65509785"/>
      <w:bookmarkStart w:id="3" w:name="_Toc89157550"/>
      <w:bookmarkEnd w:id="2"/>
      <w:r w:rsidRPr="00375047">
        <w:lastRenderedPageBreak/>
        <w:t>INTRODUCCIÓN</w:t>
      </w:r>
      <w:bookmarkEnd w:id="3"/>
      <w:r w:rsidRPr="00375047">
        <w:t xml:space="preserve"> </w:t>
      </w:r>
    </w:p>
    <w:p w14:paraId="3DBA0B73" w14:textId="77777777" w:rsidR="00536F65" w:rsidRPr="00116A43" w:rsidRDefault="00536F65" w:rsidP="005F7FE2">
      <w:pPr>
        <w:rPr>
          <w:lang w:val="es-UY"/>
        </w:rPr>
      </w:pPr>
    </w:p>
    <w:p w14:paraId="0E1D84A6" w14:textId="3005B9B5" w:rsidR="0050332B" w:rsidRPr="00116A43" w:rsidRDefault="0050332B"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El 28 de septiembre de 2012 la Comisión Interamericana de Derechos Humanos (en adelante “la Comisión Interamericana”, “la Comisión” o “la CIDH”) recibió una petición presentada por J.A.O, B.A. y H.</w:t>
      </w:r>
      <w:proofErr w:type="gramStart"/>
      <w:r w:rsidRPr="00116A43">
        <w:rPr>
          <w:rFonts w:ascii="Cambria" w:hAnsi="Cambria"/>
          <w:sz w:val="20"/>
          <w:szCs w:val="20"/>
        </w:rPr>
        <w:t>E.S</w:t>
      </w:r>
      <w:proofErr w:type="gramEnd"/>
      <w:r w:rsidR="001B0AD2" w:rsidRPr="00116A43">
        <w:rPr>
          <w:rStyle w:val="FootnoteReference"/>
          <w:sz w:val="20"/>
          <w:szCs w:val="20"/>
          <w:lang w:val="es-PE"/>
        </w:rPr>
        <w:footnoteReference w:id="2"/>
      </w:r>
      <w:r w:rsidR="001B0AD2" w:rsidRPr="00116A43">
        <w:rPr>
          <w:sz w:val="20"/>
          <w:szCs w:val="20"/>
          <w:lang w:val="es-PE"/>
        </w:rPr>
        <w:t xml:space="preserve"> </w:t>
      </w:r>
      <w:r w:rsidR="001F3980" w:rsidRPr="00116A43">
        <w:rPr>
          <w:rFonts w:ascii="Cambria" w:hAnsi="Cambria"/>
          <w:sz w:val="20"/>
          <w:szCs w:val="20"/>
        </w:rPr>
        <w:t>(en ad</w:t>
      </w:r>
      <w:r w:rsidRPr="00116A43">
        <w:rPr>
          <w:rFonts w:ascii="Cambria" w:hAnsi="Cambria"/>
          <w:sz w:val="20"/>
          <w:szCs w:val="20"/>
        </w:rPr>
        <w:t>elante “la parte peticionaria”</w:t>
      </w:r>
      <w:r w:rsidR="009E5B17" w:rsidRPr="00116A43">
        <w:rPr>
          <w:rFonts w:ascii="Cambria" w:hAnsi="Cambria"/>
          <w:sz w:val="20"/>
          <w:szCs w:val="20"/>
        </w:rPr>
        <w:t xml:space="preserve"> o “</w:t>
      </w:r>
      <w:r w:rsidR="0007748F" w:rsidRPr="00116A43">
        <w:rPr>
          <w:rFonts w:ascii="Cambria" w:hAnsi="Cambria"/>
          <w:sz w:val="20"/>
          <w:szCs w:val="20"/>
        </w:rPr>
        <w:t xml:space="preserve">“los peticionarios”), representantes de la señora Yoani María Sanchez Cordero (en adelante “la presunta víctima”), una conocida </w:t>
      </w:r>
      <w:r w:rsidR="00A65DA7">
        <w:rPr>
          <w:rFonts w:ascii="Cambria" w:hAnsi="Cambria"/>
          <w:sz w:val="20"/>
          <w:szCs w:val="20"/>
        </w:rPr>
        <w:t>periodista independiente</w:t>
      </w:r>
      <w:r w:rsidR="00A65DA7" w:rsidRPr="00116A43">
        <w:rPr>
          <w:rFonts w:ascii="Cambria" w:hAnsi="Cambria"/>
          <w:sz w:val="20"/>
          <w:szCs w:val="20"/>
        </w:rPr>
        <w:t xml:space="preserve"> </w:t>
      </w:r>
      <w:r w:rsidR="0007748F" w:rsidRPr="00116A43">
        <w:rPr>
          <w:rFonts w:ascii="Cambria" w:hAnsi="Cambria"/>
          <w:sz w:val="20"/>
          <w:szCs w:val="20"/>
        </w:rPr>
        <w:t>en Cuba. En la petición, se alega la responsabilidad internacional de la República de Cuba (en adelante “el Estado” o “Cuba”) por la presunta vulneración de diversos derechos consagrados en la Declaración Americana de los Derechos y Deberes del Hombre (en adelante “la Declaración Americana”</w:t>
      </w:r>
      <w:r w:rsidR="007D208A" w:rsidRPr="00116A43">
        <w:rPr>
          <w:rFonts w:ascii="Cambria" w:hAnsi="Cambria"/>
          <w:sz w:val="20"/>
          <w:szCs w:val="20"/>
        </w:rPr>
        <w:t xml:space="preserve"> o la “Declaración”</w:t>
      </w:r>
      <w:r w:rsidR="0007748F" w:rsidRPr="00116A43">
        <w:rPr>
          <w:rFonts w:ascii="Cambria" w:hAnsi="Cambria"/>
          <w:sz w:val="20"/>
          <w:szCs w:val="20"/>
        </w:rPr>
        <w:t xml:space="preserve">), como consecuencia de interceptaciones telefónicas, vigilancia de residencia, persecución, amenazas, detenciones, malos tratos, prohibición de ingreso a sitios públicos y negativas de autorización para viajes al exterior que </w:t>
      </w:r>
      <w:r w:rsidR="007034F7" w:rsidRPr="00116A43">
        <w:rPr>
          <w:rFonts w:ascii="Cambria" w:eastAsia="Cambria" w:hAnsi="Cambria" w:cs="Cambria"/>
          <w:sz w:val="20"/>
          <w:szCs w:val="20"/>
          <w:lang w:val="es-ES_tradnl"/>
        </w:rPr>
        <w:t>se cometieron en contra de la presunta víctima como medidas de represalia por el ejercicio de su derecho a la libertad de expresión. La petición señala que todo esto se</w:t>
      </w:r>
      <w:r w:rsidR="007034F7" w:rsidRPr="00A65DA7">
        <w:rPr>
          <w:rFonts w:ascii="Cambria" w:eastAsia="Cambria" w:hAnsi="Cambria" w:cs="Cambria"/>
          <w:sz w:val="20"/>
          <w:szCs w:val="20"/>
          <w:lang w:val="es-US"/>
        </w:rPr>
        <w:t xml:space="preserve"> </w:t>
      </w:r>
      <w:proofErr w:type="spellStart"/>
      <w:r w:rsidR="007034F7" w:rsidRPr="00A65DA7">
        <w:rPr>
          <w:rFonts w:ascii="Cambria" w:eastAsia="Cambria" w:hAnsi="Cambria" w:cs="Cambria"/>
          <w:sz w:val="20"/>
          <w:szCs w:val="20"/>
          <w:lang w:val="es-US"/>
        </w:rPr>
        <w:t>acompa</w:t>
      </w:r>
      <w:r w:rsidR="007034F7" w:rsidRPr="00116A43">
        <w:rPr>
          <w:rFonts w:ascii="Cambria" w:eastAsia="Cambria" w:hAnsi="Cambria" w:cs="Cambria"/>
          <w:sz w:val="20"/>
          <w:szCs w:val="20"/>
          <w:lang w:val="es-ES_tradnl"/>
        </w:rPr>
        <w:t>ñó</w:t>
      </w:r>
      <w:proofErr w:type="spellEnd"/>
      <w:r w:rsidR="007034F7" w:rsidRPr="00116A43">
        <w:rPr>
          <w:rFonts w:ascii="Cambria" w:eastAsia="Cambria" w:hAnsi="Cambria" w:cs="Cambria"/>
          <w:sz w:val="20"/>
          <w:szCs w:val="20"/>
          <w:lang w:val="es-ES_tradnl"/>
        </w:rPr>
        <w:t xml:space="preserve"> de la falta de respuestas a denuncias y peticiones administrativas presentadas por Yoani Sánchez Cordero a nivel interno por parte del Estado.</w:t>
      </w:r>
    </w:p>
    <w:p w14:paraId="552CFCE5" w14:textId="77777777" w:rsidR="00536F65" w:rsidRPr="00116A43" w:rsidRDefault="00536F65"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7B01673" w14:textId="2C016608" w:rsidR="00665E73" w:rsidRPr="00116A43" w:rsidRDefault="00785FBA" w:rsidP="00375047">
      <w:pPr>
        <w:pStyle w:val="ListParagraph"/>
        <w:numPr>
          <w:ilvl w:val="0"/>
          <w:numId w:val="55"/>
        </w:numPr>
        <w:ind w:firstLine="0"/>
        <w:jc w:val="both"/>
        <w:rPr>
          <w:rFonts w:eastAsia="Arial Unicode MS" w:cs="Times New Roman"/>
          <w:color w:val="auto"/>
          <w:sz w:val="20"/>
          <w:szCs w:val="20"/>
          <w:lang w:val="es-ES" w:eastAsia="en-US"/>
        </w:rPr>
      </w:pPr>
      <w:r w:rsidRPr="00116A43">
        <w:rPr>
          <w:sz w:val="20"/>
          <w:szCs w:val="20"/>
          <w:lang w:val="es-PE"/>
        </w:rPr>
        <w:t>El 9 de noviembre de 2012</w:t>
      </w:r>
      <w:r w:rsidR="00D02ED2" w:rsidRPr="00116A43">
        <w:rPr>
          <w:sz w:val="20"/>
          <w:szCs w:val="20"/>
          <w:lang w:val="es-PE"/>
        </w:rPr>
        <w:t xml:space="preserve"> </w:t>
      </w:r>
      <w:r w:rsidR="0007748F" w:rsidRPr="00116A43">
        <w:rPr>
          <w:sz w:val="20"/>
          <w:szCs w:val="20"/>
          <w:lang w:val="es-PE"/>
        </w:rPr>
        <w:t>la CIDH decidió otorgar me</w:t>
      </w:r>
      <w:r w:rsidR="00384EF0" w:rsidRPr="00116A43">
        <w:rPr>
          <w:sz w:val="20"/>
          <w:szCs w:val="20"/>
          <w:lang w:val="es-PE"/>
        </w:rPr>
        <w:t>didas cautelares (MC-</w:t>
      </w:r>
      <w:r w:rsidR="00D02ED2" w:rsidRPr="00116A43">
        <w:rPr>
          <w:sz w:val="20"/>
          <w:szCs w:val="20"/>
          <w:lang w:val="es-PE"/>
        </w:rPr>
        <w:t>350-</w:t>
      </w:r>
      <w:r w:rsidR="0007748F" w:rsidRPr="00116A43">
        <w:rPr>
          <w:sz w:val="20"/>
          <w:szCs w:val="20"/>
          <w:lang w:val="es-PE"/>
        </w:rPr>
        <w:t>12)</w:t>
      </w:r>
      <w:r w:rsidR="001B0AD2" w:rsidRPr="00116A43">
        <w:rPr>
          <w:rStyle w:val="FootnoteReference"/>
          <w:sz w:val="20"/>
          <w:szCs w:val="20"/>
          <w:lang w:val="es-PE"/>
        </w:rPr>
        <w:footnoteReference w:id="3"/>
      </w:r>
      <w:r w:rsidR="001B0AD2" w:rsidRPr="00116A43">
        <w:rPr>
          <w:sz w:val="20"/>
          <w:szCs w:val="20"/>
          <w:lang w:val="es-PE"/>
        </w:rPr>
        <w:t>.</w:t>
      </w:r>
      <w:r w:rsidRPr="00116A43">
        <w:rPr>
          <w:sz w:val="20"/>
          <w:szCs w:val="20"/>
          <w:lang w:val="es-PE"/>
        </w:rPr>
        <w:t xml:space="preserve"> La CIDH solic</w:t>
      </w:r>
      <w:r w:rsidR="001F3980" w:rsidRPr="00116A43">
        <w:rPr>
          <w:sz w:val="20"/>
          <w:szCs w:val="20"/>
          <w:lang w:val="es-PE"/>
        </w:rPr>
        <w:t>itó al Estado de Cuba que adoptara</w:t>
      </w:r>
      <w:r w:rsidRPr="00116A43">
        <w:rPr>
          <w:sz w:val="20"/>
          <w:szCs w:val="20"/>
          <w:lang w:val="es-PE"/>
        </w:rPr>
        <w:t xml:space="preserve"> las medidas necesarias para garantizar la vida y la integridad física de</w:t>
      </w:r>
      <w:r w:rsidR="00470646" w:rsidRPr="00116A43">
        <w:rPr>
          <w:sz w:val="20"/>
          <w:szCs w:val="20"/>
          <w:lang w:val="es-PE"/>
        </w:rPr>
        <w:t xml:space="preserve"> </w:t>
      </w:r>
      <w:r w:rsidRPr="00116A43">
        <w:rPr>
          <w:sz w:val="20"/>
          <w:szCs w:val="20"/>
          <w:lang w:val="es-PE"/>
        </w:rPr>
        <w:t>Yoani Mar</w:t>
      </w:r>
      <w:r w:rsidR="00470646" w:rsidRPr="00116A43">
        <w:rPr>
          <w:sz w:val="20"/>
          <w:szCs w:val="20"/>
          <w:lang w:val="es-PE"/>
        </w:rPr>
        <w:t>ía Sánchez Cordero y su familia;</w:t>
      </w:r>
      <w:r w:rsidRPr="00116A43">
        <w:rPr>
          <w:sz w:val="20"/>
          <w:szCs w:val="20"/>
          <w:lang w:val="es-PE"/>
        </w:rPr>
        <w:t xml:space="preserve"> que </w:t>
      </w:r>
      <w:r w:rsidR="001F3980" w:rsidRPr="00116A43">
        <w:rPr>
          <w:sz w:val="20"/>
          <w:szCs w:val="20"/>
          <w:lang w:val="es-PE"/>
        </w:rPr>
        <w:t>concertara</w:t>
      </w:r>
      <w:r w:rsidRPr="00116A43">
        <w:rPr>
          <w:sz w:val="20"/>
          <w:szCs w:val="20"/>
          <w:lang w:val="es-PE"/>
        </w:rPr>
        <w:t xml:space="preserve"> las medidas a adoptarse con la beneficiaria y sus </w:t>
      </w:r>
      <w:r w:rsidR="00470646" w:rsidRPr="00116A43">
        <w:rPr>
          <w:sz w:val="20"/>
          <w:szCs w:val="20"/>
          <w:lang w:val="es-PE"/>
        </w:rPr>
        <w:t>representantes</w:t>
      </w:r>
      <w:r w:rsidR="0007748F" w:rsidRPr="00116A43">
        <w:rPr>
          <w:sz w:val="20"/>
          <w:szCs w:val="20"/>
          <w:lang w:val="es-PE"/>
        </w:rPr>
        <w:t>,</w:t>
      </w:r>
      <w:r w:rsidR="00470646" w:rsidRPr="00116A43">
        <w:rPr>
          <w:sz w:val="20"/>
          <w:szCs w:val="20"/>
          <w:lang w:val="es-PE"/>
        </w:rPr>
        <w:t xml:space="preserve"> </w:t>
      </w:r>
      <w:r w:rsidR="001F3980" w:rsidRPr="00116A43">
        <w:rPr>
          <w:sz w:val="20"/>
          <w:szCs w:val="20"/>
          <w:lang w:val="es-PE"/>
        </w:rPr>
        <w:t>y que informara</w:t>
      </w:r>
      <w:r w:rsidRPr="00116A43">
        <w:rPr>
          <w:sz w:val="20"/>
          <w:szCs w:val="20"/>
          <w:lang w:val="es-PE"/>
        </w:rPr>
        <w:t xml:space="preserve"> sobre las acciones adoptadas a fin de investigar los hechos que dieron lugar a la adopción de medidas cautelares</w:t>
      </w:r>
      <w:r w:rsidR="00665E73" w:rsidRPr="00116A43">
        <w:rPr>
          <w:sz w:val="20"/>
          <w:szCs w:val="20"/>
          <w:lang w:val="es-PE"/>
        </w:rPr>
        <w:t xml:space="preserve">. </w:t>
      </w:r>
      <w:r w:rsidR="00303BE7" w:rsidRPr="00116A43">
        <w:rPr>
          <w:rFonts w:eastAsia="Arial Unicode MS" w:cs="Times New Roman"/>
          <w:color w:val="auto"/>
          <w:sz w:val="20"/>
          <w:szCs w:val="20"/>
          <w:lang w:val="es-ES" w:eastAsia="en-US"/>
        </w:rPr>
        <w:t xml:space="preserve">El Estado no adoptó ninguna medida ni remitió información del estado de </w:t>
      </w:r>
      <w:proofErr w:type="gramStart"/>
      <w:r w:rsidR="00303BE7" w:rsidRPr="00116A43">
        <w:rPr>
          <w:rFonts w:eastAsia="Arial Unicode MS" w:cs="Times New Roman"/>
          <w:color w:val="auto"/>
          <w:sz w:val="20"/>
          <w:szCs w:val="20"/>
          <w:lang w:val="es-ES" w:eastAsia="en-US"/>
        </w:rPr>
        <w:t>las mismas</w:t>
      </w:r>
      <w:proofErr w:type="gramEnd"/>
      <w:r w:rsidR="00303BE7" w:rsidRPr="00116A43">
        <w:rPr>
          <w:rFonts w:eastAsia="Arial Unicode MS" w:cs="Times New Roman"/>
          <w:color w:val="auto"/>
          <w:sz w:val="20"/>
          <w:szCs w:val="20"/>
          <w:lang w:val="es-ES" w:eastAsia="en-US"/>
        </w:rPr>
        <w:t xml:space="preserve"> a la CIDH.</w:t>
      </w:r>
      <w:r w:rsidR="0007748F" w:rsidRPr="00116A43">
        <w:rPr>
          <w:rFonts w:eastAsia="Arial Unicode MS" w:cs="Times New Roman"/>
          <w:color w:val="auto"/>
          <w:sz w:val="20"/>
          <w:szCs w:val="20"/>
          <w:lang w:val="es-ES" w:eastAsia="en-US"/>
        </w:rPr>
        <w:t xml:space="preserve"> </w:t>
      </w:r>
    </w:p>
    <w:p w14:paraId="6AC334FA" w14:textId="3A7EC49F" w:rsidR="00536F65" w:rsidRPr="00116A43" w:rsidRDefault="00536F65" w:rsidP="00375047">
      <w:pPr>
        <w:jc w:val="both"/>
        <w:rPr>
          <w:sz w:val="20"/>
          <w:szCs w:val="20"/>
        </w:rPr>
      </w:pPr>
    </w:p>
    <w:p w14:paraId="5F2508BB" w14:textId="6D20157C" w:rsidR="00665E73" w:rsidRPr="00116A43" w:rsidRDefault="00665E73" w:rsidP="00375047">
      <w:pPr>
        <w:pStyle w:val="parrafos"/>
        <w:numPr>
          <w:ilvl w:val="0"/>
          <w:numId w:val="55"/>
        </w:numPr>
        <w:ind w:firstLine="0"/>
        <w:rPr>
          <w:rFonts w:ascii="Cambria" w:hAnsi="Cambria"/>
        </w:rPr>
      </w:pPr>
      <w:r w:rsidRPr="00116A43">
        <w:rPr>
          <w:rFonts w:ascii="Cambria" w:hAnsi="Cambria"/>
        </w:rPr>
        <w:t>El 23 de julio de 2018 la Comisión comunicó a las partes que, de acuerdo con la Resolución 1/16, d</w:t>
      </w:r>
      <w:r w:rsidR="007034F7" w:rsidRPr="00116A43">
        <w:rPr>
          <w:rFonts w:ascii="Cambria" w:hAnsi="Cambria"/>
        </w:rPr>
        <w:t>ecidió diferir</w:t>
      </w:r>
      <w:r w:rsidRPr="00116A43">
        <w:rPr>
          <w:rFonts w:ascii="Cambria" w:hAnsi="Cambria"/>
        </w:rPr>
        <w:t xml:space="preserve"> el tratamiento de la admisibilidad de la cuestión hasta el debate y decisión sobre el fondo, pues el caso se relacionaba con una medida cautelar vigente</w:t>
      </w:r>
      <w:r w:rsidR="00303BE7" w:rsidRPr="00116A43">
        <w:rPr>
          <w:rStyle w:val="FootnoteReference"/>
          <w:rFonts w:ascii="Cambria" w:hAnsi="Cambria"/>
        </w:rPr>
        <w:footnoteReference w:id="4"/>
      </w:r>
      <w:r w:rsidRPr="00116A43">
        <w:rPr>
          <w:rFonts w:ascii="Cambria" w:hAnsi="Cambria"/>
        </w:rPr>
        <w:t>. La Comisión se puso a disposición de las partes a fin de iniciar un proceso de solución amistosa sin que se dieran las condiciones para tal efecto. Las partes contaron con los plazos reglamentarios para presentar sus observaciones sobre el caso. Toda la información recibida fue debidamente trasladada entre las partes</w:t>
      </w:r>
      <w:r w:rsidR="007034F7" w:rsidRPr="00116A43">
        <w:rPr>
          <w:rFonts w:ascii="Cambria" w:hAnsi="Cambria"/>
        </w:rPr>
        <w:t>. E</w:t>
      </w:r>
      <w:r w:rsidRPr="00116A43">
        <w:rPr>
          <w:rFonts w:ascii="Cambria" w:hAnsi="Cambria"/>
        </w:rPr>
        <w:t xml:space="preserve">l Estado no presentó observaciones de admisibilidad </w:t>
      </w:r>
      <w:r w:rsidR="0007748F" w:rsidRPr="00116A43">
        <w:rPr>
          <w:rFonts w:ascii="Cambria" w:hAnsi="Cambria"/>
        </w:rPr>
        <w:t>ni</w:t>
      </w:r>
      <w:r w:rsidR="001B0AD2" w:rsidRPr="00116A43">
        <w:rPr>
          <w:rFonts w:ascii="Cambria" w:hAnsi="Cambria"/>
        </w:rPr>
        <w:t xml:space="preserve"> </w:t>
      </w:r>
      <w:r w:rsidR="00D02ED2" w:rsidRPr="00116A43">
        <w:rPr>
          <w:rFonts w:ascii="Cambria" w:hAnsi="Cambria"/>
        </w:rPr>
        <w:t xml:space="preserve">de </w:t>
      </w:r>
      <w:r w:rsidRPr="00116A43">
        <w:rPr>
          <w:rFonts w:ascii="Cambria" w:hAnsi="Cambria"/>
        </w:rPr>
        <w:t>fondo</w:t>
      </w:r>
      <w:r w:rsidRPr="00116A43">
        <w:rPr>
          <w:rStyle w:val="FootnoteReference"/>
          <w:rFonts w:ascii="Cambria" w:hAnsi="Cambria"/>
        </w:rPr>
        <w:footnoteReference w:id="5"/>
      </w:r>
      <w:r w:rsidRPr="00116A43">
        <w:rPr>
          <w:rFonts w:ascii="Cambria" w:hAnsi="Cambria"/>
        </w:rPr>
        <w:t>.</w:t>
      </w:r>
    </w:p>
    <w:p w14:paraId="2EAB61FA" w14:textId="5FB438A4" w:rsidR="00536F65" w:rsidRPr="00116A43" w:rsidRDefault="00536F65" w:rsidP="005F7FE2">
      <w:pPr>
        <w:pStyle w:val="parrafos"/>
        <w:rPr>
          <w:rFonts w:ascii="Cambria" w:hAnsi="Cambria"/>
        </w:rPr>
      </w:pPr>
    </w:p>
    <w:p w14:paraId="1EBAC2CB" w14:textId="52A5692B" w:rsidR="002C183C" w:rsidRPr="00116A43" w:rsidRDefault="002C183C" w:rsidP="00375047">
      <w:pPr>
        <w:pStyle w:val="Heading1"/>
      </w:pPr>
      <w:bookmarkStart w:id="4" w:name="_Toc89157551"/>
      <w:r w:rsidRPr="00116A43">
        <w:t>ALEGATOS DE LAS PARTE</w:t>
      </w:r>
      <w:r w:rsidR="000215AD">
        <w:t>S</w:t>
      </w:r>
      <w:bookmarkEnd w:id="4"/>
    </w:p>
    <w:p w14:paraId="0B67B34C" w14:textId="77777777" w:rsidR="00536F65" w:rsidRPr="00116A43" w:rsidRDefault="00536F65" w:rsidP="005F7FE2">
      <w:pPr>
        <w:rPr>
          <w:rFonts w:ascii="Cambria" w:hAnsi="Cambria"/>
          <w:sz w:val="20"/>
          <w:szCs w:val="20"/>
          <w:lang w:val="es-UY"/>
        </w:rPr>
      </w:pPr>
    </w:p>
    <w:p w14:paraId="7274E25E" w14:textId="2065A60C" w:rsidR="002C183C" w:rsidRPr="00375047" w:rsidRDefault="002C183C" w:rsidP="004F709F">
      <w:pPr>
        <w:pStyle w:val="Heading2"/>
      </w:pPr>
      <w:bookmarkStart w:id="5" w:name="_Toc89157552"/>
      <w:r w:rsidRPr="00375047">
        <w:t>Posición de la parte peticionaria</w:t>
      </w:r>
      <w:bookmarkEnd w:id="5"/>
    </w:p>
    <w:p w14:paraId="3F2D0B99" w14:textId="77777777" w:rsidR="00536F65" w:rsidRPr="00116A43" w:rsidRDefault="00536F65" w:rsidP="005F7FE2">
      <w:pPr>
        <w:pStyle w:val="ListParagraph"/>
        <w:ind w:left="1440"/>
        <w:rPr>
          <w:sz w:val="20"/>
          <w:szCs w:val="20"/>
          <w:lang w:val="es-PE"/>
        </w:rPr>
      </w:pPr>
    </w:p>
    <w:p w14:paraId="1ADCC970" w14:textId="5ECA5CFD" w:rsidR="00887ECA" w:rsidRPr="00116A43" w:rsidRDefault="00665E7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Los peticionarios indican que </w:t>
      </w:r>
      <w:r w:rsidR="00C530C1" w:rsidRPr="00116A43">
        <w:rPr>
          <w:rFonts w:ascii="Cambria" w:hAnsi="Cambria"/>
          <w:sz w:val="20"/>
          <w:szCs w:val="20"/>
          <w:lang w:val="es-PE"/>
        </w:rPr>
        <w:t xml:space="preserve">en 2004 </w:t>
      </w:r>
      <w:r w:rsidRPr="00116A43">
        <w:rPr>
          <w:rFonts w:ascii="Cambria" w:hAnsi="Cambria"/>
          <w:sz w:val="20"/>
          <w:szCs w:val="20"/>
          <w:lang w:val="es-PE"/>
        </w:rPr>
        <w:t>Yoani María Sánchez Cordero fundó</w:t>
      </w:r>
      <w:r w:rsidR="00C530C1" w:rsidRPr="00116A43">
        <w:rPr>
          <w:rFonts w:ascii="Cambria" w:hAnsi="Cambria"/>
          <w:sz w:val="20"/>
          <w:szCs w:val="20"/>
          <w:lang w:val="es-PE"/>
        </w:rPr>
        <w:t>,</w:t>
      </w:r>
      <w:r w:rsidRPr="00116A43">
        <w:rPr>
          <w:rFonts w:ascii="Cambria" w:hAnsi="Cambria"/>
          <w:sz w:val="20"/>
          <w:szCs w:val="20"/>
          <w:lang w:val="es-PE"/>
        </w:rPr>
        <w:t xml:space="preserve"> junto con un grupo de cubanos</w:t>
      </w:r>
      <w:r w:rsidR="00C530C1" w:rsidRPr="00116A43">
        <w:rPr>
          <w:rFonts w:ascii="Cambria" w:hAnsi="Cambria"/>
          <w:sz w:val="20"/>
          <w:szCs w:val="20"/>
          <w:lang w:val="es-PE"/>
        </w:rPr>
        <w:t>,</w:t>
      </w:r>
      <w:r w:rsidRPr="00116A43">
        <w:rPr>
          <w:rFonts w:ascii="Cambria" w:hAnsi="Cambria"/>
          <w:sz w:val="20"/>
          <w:szCs w:val="20"/>
          <w:lang w:val="es-PE"/>
        </w:rPr>
        <w:t xml:space="preserve"> la revista de reflexión y debate “Consenso”. Adicionalmente, en abril de 2007 decidió iniciar un blog llamado “Generación Y”, cr</w:t>
      </w:r>
      <w:r w:rsidR="00C530C1" w:rsidRPr="00116A43">
        <w:rPr>
          <w:rFonts w:ascii="Cambria" w:hAnsi="Cambria"/>
          <w:sz w:val="20"/>
          <w:szCs w:val="20"/>
          <w:lang w:val="es-PE"/>
        </w:rPr>
        <w:t>í</w:t>
      </w:r>
      <w:r w:rsidRPr="00116A43">
        <w:rPr>
          <w:rFonts w:ascii="Cambria" w:hAnsi="Cambria"/>
          <w:sz w:val="20"/>
          <w:szCs w:val="20"/>
          <w:lang w:val="es-PE"/>
        </w:rPr>
        <w:t>tico al régimen cubano</w:t>
      </w:r>
      <w:r w:rsidR="00F16AC1" w:rsidRPr="00116A43">
        <w:rPr>
          <w:rFonts w:ascii="Cambria" w:hAnsi="Cambria"/>
          <w:sz w:val="20"/>
          <w:szCs w:val="20"/>
          <w:lang w:val="es-PE"/>
        </w:rPr>
        <w:t>, que le permitía expresar en este espacio, lo que le estaba vedado en el accionar cívico.</w:t>
      </w:r>
      <w:r w:rsidRPr="00116A43">
        <w:rPr>
          <w:rFonts w:ascii="Cambria" w:hAnsi="Cambria"/>
          <w:sz w:val="20"/>
          <w:szCs w:val="20"/>
          <w:lang w:val="es-PE"/>
        </w:rPr>
        <w:t xml:space="preserve"> Afirman que su </w:t>
      </w:r>
      <w:r w:rsidR="00C530C1" w:rsidRPr="00116A43">
        <w:rPr>
          <w:rFonts w:ascii="Cambria" w:hAnsi="Cambria"/>
          <w:sz w:val="20"/>
          <w:szCs w:val="20"/>
          <w:lang w:val="es-PE"/>
        </w:rPr>
        <w:t>b</w:t>
      </w:r>
      <w:r w:rsidRPr="00116A43">
        <w:rPr>
          <w:rFonts w:ascii="Cambria" w:hAnsi="Cambria"/>
          <w:sz w:val="20"/>
          <w:szCs w:val="20"/>
          <w:lang w:val="es-PE"/>
        </w:rPr>
        <w:t>log</w:t>
      </w:r>
      <w:r w:rsidR="00303BE7" w:rsidRPr="00116A43">
        <w:rPr>
          <w:rFonts w:ascii="Cambria" w:hAnsi="Cambria"/>
          <w:sz w:val="20"/>
          <w:szCs w:val="20"/>
          <w:lang w:val="es-PE"/>
        </w:rPr>
        <w:t xml:space="preserve"> ganó reconocimiento mund</w:t>
      </w:r>
      <w:r w:rsidRPr="00116A43">
        <w:rPr>
          <w:rFonts w:ascii="Cambria" w:hAnsi="Cambria"/>
          <w:sz w:val="20"/>
          <w:szCs w:val="20"/>
          <w:lang w:val="es-PE"/>
        </w:rPr>
        <w:t xml:space="preserve">ial. </w:t>
      </w:r>
    </w:p>
    <w:p w14:paraId="145E3CDD" w14:textId="77777777" w:rsidR="00415F0D" w:rsidRPr="00116A43" w:rsidRDefault="00415F0D"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501C5CD" w14:textId="3E58E423" w:rsidR="00D05F2F" w:rsidRPr="00116A43" w:rsidRDefault="002C183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Los peticionarios afirman </w:t>
      </w:r>
      <w:r w:rsidR="009E5B17" w:rsidRPr="00116A43">
        <w:rPr>
          <w:rFonts w:ascii="Cambria" w:hAnsi="Cambria"/>
          <w:sz w:val="20"/>
          <w:szCs w:val="20"/>
          <w:lang w:val="es-PE"/>
        </w:rPr>
        <w:t>que,</w:t>
      </w:r>
      <w:r w:rsidRPr="00116A43">
        <w:rPr>
          <w:rFonts w:ascii="Cambria" w:hAnsi="Cambria"/>
          <w:sz w:val="20"/>
          <w:szCs w:val="20"/>
          <w:lang w:val="es-PE"/>
        </w:rPr>
        <w:t xml:space="preserve"> desde marzo de 2008, el gobierno de Cuba implementó un filtro informático que impide </w:t>
      </w:r>
      <w:r w:rsidR="00C530C1" w:rsidRPr="00116A43">
        <w:rPr>
          <w:rFonts w:ascii="Cambria" w:hAnsi="Cambria"/>
          <w:sz w:val="20"/>
          <w:szCs w:val="20"/>
          <w:lang w:val="es-PE"/>
        </w:rPr>
        <w:t xml:space="preserve">acceder al </w:t>
      </w:r>
      <w:r w:rsidRPr="00116A43">
        <w:rPr>
          <w:rFonts w:ascii="Cambria" w:hAnsi="Cambria"/>
          <w:sz w:val="20"/>
          <w:szCs w:val="20"/>
          <w:lang w:val="es-PE"/>
        </w:rPr>
        <w:t xml:space="preserve">blog </w:t>
      </w:r>
      <w:r w:rsidR="00C530C1" w:rsidRPr="00116A43">
        <w:rPr>
          <w:rFonts w:ascii="Cambria" w:hAnsi="Cambria"/>
          <w:sz w:val="20"/>
          <w:szCs w:val="20"/>
          <w:lang w:val="es-PE"/>
        </w:rPr>
        <w:t xml:space="preserve">“Generación Y” </w:t>
      </w:r>
      <w:r w:rsidRPr="00116A43">
        <w:rPr>
          <w:rFonts w:ascii="Cambria" w:hAnsi="Cambria"/>
          <w:sz w:val="20"/>
          <w:szCs w:val="20"/>
          <w:lang w:val="es-PE"/>
        </w:rPr>
        <w:t>en los siti</w:t>
      </w:r>
      <w:r w:rsidR="00775122" w:rsidRPr="00116A43">
        <w:rPr>
          <w:rFonts w:ascii="Cambria" w:hAnsi="Cambria"/>
          <w:sz w:val="20"/>
          <w:szCs w:val="20"/>
          <w:lang w:val="es-PE"/>
        </w:rPr>
        <w:t xml:space="preserve">os públicos de Internet en Cuba. </w:t>
      </w:r>
      <w:r w:rsidRPr="00116A43">
        <w:rPr>
          <w:rFonts w:ascii="Cambria" w:hAnsi="Cambria"/>
          <w:sz w:val="20"/>
          <w:szCs w:val="20"/>
          <w:lang w:val="es-PE"/>
        </w:rPr>
        <w:t xml:space="preserve">Debido a esto, señalan que la presunta víctima necesita de “la solidaridad de amigos fuera de la Isla para colgar sus textos en la red”. </w:t>
      </w:r>
    </w:p>
    <w:p w14:paraId="66A5D02B" w14:textId="40F5E190" w:rsidR="00536F65" w:rsidRPr="00116A43" w:rsidRDefault="00536F65" w:rsidP="005F7FE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97FFA9C" w14:textId="57F58002" w:rsidR="00BB2233" w:rsidRPr="00116A43" w:rsidRDefault="00D05F2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lastRenderedPageBreak/>
        <w:t xml:space="preserve">También </w:t>
      </w:r>
      <w:r w:rsidR="00871168" w:rsidRPr="00116A43">
        <w:rPr>
          <w:rFonts w:ascii="Cambria" w:hAnsi="Cambria"/>
          <w:sz w:val="20"/>
          <w:szCs w:val="20"/>
          <w:lang w:val="es-PE"/>
        </w:rPr>
        <w:t>indican</w:t>
      </w:r>
      <w:r w:rsidR="002C183C" w:rsidRPr="00116A43">
        <w:rPr>
          <w:rFonts w:ascii="Cambria" w:hAnsi="Cambria"/>
          <w:sz w:val="20"/>
          <w:szCs w:val="20"/>
          <w:lang w:val="es-PE"/>
        </w:rPr>
        <w:t xml:space="preserve"> que la presunta víctima gan</w:t>
      </w:r>
      <w:r w:rsidR="00D9349C" w:rsidRPr="00116A43">
        <w:rPr>
          <w:rFonts w:ascii="Cambria" w:hAnsi="Cambria"/>
          <w:sz w:val="20"/>
          <w:szCs w:val="20"/>
          <w:lang w:val="es-PE"/>
        </w:rPr>
        <w:t>ó</w:t>
      </w:r>
      <w:r w:rsidR="002C183C" w:rsidRPr="00116A43">
        <w:rPr>
          <w:rFonts w:ascii="Cambria" w:hAnsi="Cambria"/>
          <w:sz w:val="20"/>
          <w:szCs w:val="20"/>
          <w:lang w:val="es-PE"/>
        </w:rPr>
        <w:t xml:space="preserve"> diversos premios</w:t>
      </w:r>
      <w:r w:rsidR="00985C09" w:rsidRPr="00116A43">
        <w:rPr>
          <w:rFonts w:ascii="Cambria" w:hAnsi="Cambria"/>
          <w:sz w:val="20"/>
          <w:szCs w:val="20"/>
          <w:lang w:val="es-PE"/>
        </w:rPr>
        <w:t xml:space="preserve"> por su trabajo en el blog</w:t>
      </w:r>
      <w:r w:rsidR="002C183C" w:rsidRPr="00116A43">
        <w:rPr>
          <w:rFonts w:ascii="Cambria" w:hAnsi="Cambria"/>
          <w:sz w:val="20"/>
          <w:szCs w:val="20"/>
          <w:lang w:val="es-PE"/>
        </w:rPr>
        <w:t xml:space="preserve">, los cuales no ha podido recoger personalmente “debido a la denegación del derecho de salir de su propio país”. En este sentido, informan que entre 2007 y 2012 </w:t>
      </w:r>
      <w:r w:rsidR="005D3E9D" w:rsidRPr="00116A43">
        <w:rPr>
          <w:rFonts w:ascii="Cambria" w:hAnsi="Cambria"/>
          <w:sz w:val="20"/>
          <w:szCs w:val="20"/>
          <w:lang w:val="es-PE"/>
        </w:rPr>
        <w:t>la señora Sánchez solicitó en 20</w:t>
      </w:r>
      <w:r w:rsidR="002C183C" w:rsidRPr="00116A43">
        <w:rPr>
          <w:rFonts w:ascii="Cambria" w:hAnsi="Cambria"/>
          <w:sz w:val="20"/>
          <w:szCs w:val="20"/>
          <w:lang w:val="es-PE"/>
        </w:rPr>
        <w:t xml:space="preserve"> ocasiones el permiso para salir de Cuba y que en todas las ocasiones la respuesta habría sido la denegación o el retraso de la respuesta pasada la fecha de vigencia del respectivo visado.</w:t>
      </w:r>
    </w:p>
    <w:p w14:paraId="6BA57F5B" w14:textId="77777777" w:rsidR="00BB2233" w:rsidRPr="00116A43" w:rsidRDefault="00BB2233" w:rsidP="00375047">
      <w:pPr>
        <w:pStyle w:val="ListParagraph"/>
        <w:ind w:left="0"/>
        <w:rPr>
          <w:sz w:val="20"/>
          <w:szCs w:val="20"/>
          <w:lang w:val="es-PE"/>
        </w:rPr>
      </w:pPr>
    </w:p>
    <w:p w14:paraId="17D976C4" w14:textId="004B39CD" w:rsidR="00BB2233" w:rsidRPr="00116A43" w:rsidRDefault="00BB223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Adicionalmente, la parte peticionaria indica que como consecuencia de</w:t>
      </w:r>
      <w:r w:rsidR="00985C09" w:rsidRPr="00116A43">
        <w:rPr>
          <w:rFonts w:ascii="Cambria" w:hAnsi="Cambria"/>
          <w:sz w:val="20"/>
          <w:szCs w:val="20"/>
          <w:lang w:val="es-PE"/>
        </w:rPr>
        <w:t>l</w:t>
      </w:r>
      <w:r w:rsidRPr="00116A43">
        <w:rPr>
          <w:rFonts w:ascii="Cambria" w:hAnsi="Cambria"/>
          <w:sz w:val="20"/>
          <w:szCs w:val="20"/>
          <w:lang w:val="es-PE"/>
        </w:rPr>
        <w:t xml:space="preserve"> ejercicio de </w:t>
      </w:r>
      <w:r w:rsidR="00985C09" w:rsidRPr="00116A43">
        <w:rPr>
          <w:rFonts w:ascii="Cambria" w:hAnsi="Cambria"/>
          <w:sz w:val="20"/>
          <w:szCs w:val="20"/>
          <w:lang w:val="es-PE"/>
        </w:rPr>
        <w:t>su derecho a la</w:t>
      </w:r>
      <w:r w:rsidRPr="00116A43">
        <w:rPr>
          <w:rFonts w:ascii="Cambria" w:hAnsi="Cambria"/>
          <w:sz w:val="20"/>
          <w:szCs w:val="20"/>
          <w:lang w:val="es-PE"/>
        </w:rPr>
        <w:t xml:space="preserve"> libertad de expresión </w:t>
      </w:r>
      <w:r w:rsidR="00890095" w:rsidRPr="00116A43">
        <w:rPr>
          <w:rFonts w:ascii="Cambria" w:hAnsi="Cambria"/>
          <w:sz w:val="20"/>
          <w:szCs w:val="20"/>
          <w:lang w:val="es-PE"/>
        </w:rPr>
        <w:t>a través de</w:t>
      </w:r>
      <w:r w:rsidRPr="00116A43">
        <w:rPr>
          <w:rFonts w:ascii="Cambria" w:hAnsi="Cambria"/>
          <w:sz w:val="20"/>
          <w:szCs w:val="20"/>
          <w:lang w:val="es-PE"/>
        </w:rPr>
        <w:t xml:space="preserve"> su blog “Generación Y”, </w:t>
      </w:r>
      <w:r w:rsidR="00985C09" w:rsidRPr="00116A43">
        <w:rPr>
          <w:rFonts w:ascii="Cambria" w:hAnsi="Cambria"/>
          <w:sz w:val="20"/>
          <w:szCs w:val="20"/>
          <w:lang w:val="es-PE"/>
        </w:rPr>
        <w:t xml:space="preserve">desde finales de 2007, </w:t>
      </w:r>
      <w:r w:rsidRPr="00116A43">
        <w:rPr>
          <w:rFonts w:ascii="Cambria" w:hAnsi="Cambria"/>
          <w:sz w:val="20"/>
          <w:szCs w:val="20"/>
          <w:lang w:val="es-PE"/>
        </w:rPr>
        <w:t>la señora Sánchez</w:t>
      </w:r>
      <w:r w:rsidR="00F16AC1" w:rsidRPr="00116A43">
        <w:rPr>
          <w:rFonts w:ascii="Cambria" w:hAnsi="Cambria"/>
          <w:sz w:val="20"/>
          <w:szCs w:val="20"/>
          <w:lang w:val="es-PE"/>
        </w:rPr>
        <w:t xml:space="preserve"> ha sido víctima de diversos actos de persecución y agresión física por parte de las fuerzas policiales y grupos sociales afines al régimen cubano.</w:t>
      </w:r>
      <w:r w:rsidRPr="00116A43">
        <w:rPr>
          <w:rFonts w:ascii="Cambria" w:hAnsi="Cambria"/>
          <w:sz w:val="20"/>
          <w:szCs w:val="20"/>
          <w:lang w:val="es-PE"/>
        </w:rPr>
        <w:t xml:space="preserve"> Los peticionarios indican que </w:t>
      </w:r>
      <w:r w:rsidR="00F16AC1" w:rsidRPr="00116A43">
        <w:rPr>
          <w:rFonts w:ascii="Cambria" w:hAnsi="Cambria"/>
          <w:sz w:val="20"/>
          <w:szCs w:val="20"/>
          <w:lang w:val="es-PE"/>
        </w:rPr>
        <w:t xml:space="preserve">los actos de intimidación y persecución </w:t>
      </w:r>
      <w:r w:rsidR="00CC75F5">
        <w:rPr>
          <w:rFonts w:ascii="Cambria" w:hAnsi="Cambria"/>
          <w:sz w:val="20"/>
          <w:szCs w:val="20"/>
          <w:lang w:val="es-PE"/>
        </w:rPr>
        <w:t>s</w:t>
      </w:r>
      <w:r w:rsidR="00F16AC1" w:rsidRPr="00116A43">
        <w:rPr>
          <w:rFonts w:ascii="Cambria" w:hAnsi="Cambria"/>
          <w:sz w:val="20"/>
          <w:szCs w:val="20"/>
          <w:lang w:val="es-PE"/>
        </w:rPr>
        <w:t>e traducen en</w:t>
      </w:r>
      <w:r w:rsidR="00C26E03" w:rsidRPr="00116A43">
        <w:rPr>
          <w:rFonts w:ascii="Cambria" w:hAnsi="Cambria"/>
          <w:sz w:val="20"/>
          <w:szCs w:val="20"/>
          <w:lang w:val="es-PE"/>
        </w:rPr>
        <w:t>:</w:t>
      </w:r>
      <w:r w:rsidR="00F16AC1" w:rsidRPr="00116A43">
        <w:rPr>
          <w:rFonts w:ascii="Cambria" w:hAnsi="Cambria"/>
          <w:sz w:val="20"/>
          <w:szCs w:val="20"/>
          <w:lang w:val="es-PE"/>
        </w:rPr>
        <w:t xml:space="preserve"> la</w:t>
      </w:r>
      <w:r w:rsidRPr="00116A43">
        <w:rPr>
          <w:rFonts w:ascii="Cambria" w:hAnsi="Cambria"/>
          <w:sz w:val="20"/>
          <w:szCs w:val="20"/>
          <w:lang w:val="es-PE"/>
        </w:rPr>
        <w:t xml:space="preserve"> interceptación de sus teléfonos; intimidación de su entorno físico y familiar; vigilancia de su residencia; </w:t>
      </w:r>
      <w:r w:rsidR="00C26E03" w:rsidRPr="00116A43">
        <w:rPr>
          <w:rFonts w:ascii="Cambria" w:hAnsi="Cambria"/>
          <w:sz w:val="20"/>
          <w:szCs w:val="20"/>
          <w:lang w:val="es-PE"/>
        </w:rPr>
        <w:t>presión sobre su entorno social para suspender contacto con la presunta víctima</w:t>
      </w:r>
      <w:r w:rsidRPr="00116A43">
        <w:rPr>
          <w:rFonts w:ascii="Cambria" w:hAnsi="Cambria"/>
          <w:sz w:val="20"/>
          <w:szCs w:val="20"/>
          <w:lang w:val="es-PE"/>
        </w:rPr>
        <w:t>; campaña de desprestigio a través de la televisión; amenazas verbales directas; restricción de acceso a lugares públicos, principalmente espacios culturales y de ponencia pública; y diseño de una campaña de acoso mediático a través de Internet</w:t>
      </w:r>
      <w:r w:rsidR="00C26E03" w:rsidRPr="00116A43">
        <w:rPr>
          <w:rFonts w:ascii="Cambria" w:hAnsi="Cambria"/>
          <w:sz w:val="20"/>
          <w:szCs w:val="20"/>
          <w:lang w:val="es-PE"/>
        </w:rPr>
        <w:t xml:space="preserve">,  lo anterior </w:t>
      </w:r>
      <w:r w:rsidR="00A65DA7">
        <w:rPr>
          <w:rFonts w:ascii="Cambria" w:hAnsi="Cambria"/>
          <w:sz w:val="20"/>
          <w:szCs w:val="20"/>
          <w:lang w:val="es-PE"/>
        </w:rPr>
        <w:t xml:space="preserve">se </w:t>
      </w:r>
      <w:r w:rsidR="00C26E03" w:rsidRPr="00116A43">
        <w:rPr>
          <w:rFonts w:ascii="Cambria" w:hAnsi="Cambria"/>
          <w:sz w:val="20"/>
          <w:szCs w:val="20"/>
          <w:lang w:val="es-PE"/>
        </w:rPr>
        <w:t>suma a la denegación del debido proceso en su intento de acceder a la justicia ante la administración pública</w:t>
      </w:r>
      <w:r w:rsidRPr="00116A43">
        <w:rPr>
          <w:rFonts w:ascii="Cambria" w:hAnsi="Cambria"/>
          <w:sz w:val="20"/>
          <w:szCs w:val="20"/>
          <w:lang w:val="es-PE"/>
        </w:rPr>
        <w:t>. Asimismo, informan que su</w:t>
      </w:r>
      <w:r w:rsidR="00C26E03" w:rsidRPr="00116A43">
        <w:rPr>
          <w:rFonts w:ascii="Cambria" w:hAnsi="Cambria"/>
          <w:sz w:val="20"/>
          <w:szCs w:val="20"/>
          <w:lang w:val="es-PE"/>
        </w:rPr>
        <w:t xml:space="preserve"> esposo</w:t>
      </w:r>
      <w:r w:rsidRPr="00116A43">
        <w:rPr>
          <w:rFonts w:ascii="Cambria" w:hAnsi="Cambria"/>
          <w:sz w:val="20"/>
          <w:szCs w:val="20"/>
          <w:lang w:val="es-PE"/>
        </w:rPr>
        <w:t xml:space="preserve">, Ronaldo Escobar, habría sido víctima de agresiones, intimidaciones y detenciones cometidas por personas afines al régimen cubano. </w:t>
      </w:r>
    </w:p>
    <w:p w14:paraId="468D05A4" w14:textId="77777777" w:rsidR="00BB2233" w:rsidRPr="00116A43" w:rsidRDefault="00BB2233" w:rsidP="00375047">
      <w:pPr>
        <w:pStyle w:val="ListParagraph"/>
        <w:ind w:left="0"/>
        <w:rPr>
          <w:sz w:val="20"/>
          <w:szCs w:val="20"/>
          <w:lang w:val="es-PE"/>
        </w:rPr>
      </w:pPr>
    </w:p>
    <w:p w14:paraId="2D6953D0" w14:textId="1F55DE36" w:rsidR="00BB2233" w:rsidRPr="00116A43" w:rsidRDefault="00BB223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Además, según los peticionarios, la presunta víctima fue </w:t>
      </w:r>
      <w:r w:rsidR="00080804" w:rsidRPr="00116A43">
        <w:rPr>
          <w:rFonts w:ascii="Cambria" w:hAnsi="Cambria"/>
          <w:sz w:val="20"/>
          <w:szCs w:val="20"/>
          <w:lang w:val="es-PE"/>
        </w:rPr>
        <w:t xml:space="preserve">detenida arbitrariamente por periodos de corta duración </w:t>
      </w:r>
      <w:r w:rsidRPr="00116A43">
        <w:rPr>
          <w:rFonts w:ascii="Cambria" w:hAnsi="Cambria"/>
          <w:sz w:val="20"/>
          <w:szCs w:val="20"/>
          <w:lang w:val="es-PE"/>
        </w:rPr>
        <w:t>en tr</w:t>
      </w:r>
      <w:r w:rsidR="00890095" w:rsidRPr="00116A43">
        <w:rPr>
          <w:rFonts w:ascii="Cambria" w:hAnsi="Cambria"/>
          <w:sz w:val="20"/>
          <w:szCs w:val="20"/>
          <w:lang w:val="es-PE"/>
        </w:rPr>
        <w:t xml:space="preserve">es </w:t>
      </w:r>
      <w:r w:rsidRPr="00116A43">
        <w:rPr>
          <w:rFonts w:ascii="Cambria" w:hAnsi="Cambria"/>
          <w:sz w:val="20"/>
          <w:szCs w:val="20"/>
          <w:lang w:val="es-PE"/>
        </w:rPr>
        <w:t xml:space="preserve">ocasiones por </w:t>
      </w:r>
      <w:r w:rsidR="00B8528E" w:rsidRPr="00116A43">
        <w:rPr>
          <w:rFonts w:ascii="Cambria" w:hAnsi="Cambria"/>
          <w:sz w:val="20"/>
          <w:szCs w:val="20"/>
          <w:lang w:val="es-PE"/>
        </w:rPr>
        <w:t>“</w:t>
      </w:r>
      <w:r w:rsidRPr="00116A43">
        <w:rPr>
          <w:rFonts w:ascii="Cambria" w:hAnsi="Cambria"/>
          <w:sz w:val="20"/>
          <w:szCs w:val="20"/>
          <w:lang w:val="es-PE"/>
        </w:rPr>
        <w:t xml:space="preserve">autoridades públicas con el fin de intimidarla y tratar de restringir su libertad de expresión” y </w:t>
      </w:r>
      <w:r w:rsidR="00B8528E" w:rsidRPr="00116A43">
        <w:rPr>
          <w:rFonts w:ascii="Cambria" w:hAnsi="Cambria"/>
          <w:sz w:val="20"/>
          <w:szCs w:val="20"/>
          <w:lang w:val="es-PE"/>
        </w:rPr>
        <w:t>fue</w:t>
      </w:r>
      <w:r w:rsidRPr="00116A43">
        <w:rPr>
          <w:rFonts w:ascii="Cambria" w:hAnsi="Cambria"/>
          <w:sz w:val="20"/>
          <w:szCs w:val="20"/>
          <w:lang w:val="es-PE"/>
        </w:rPr>
        <w:t xml:space="preserve"> sometida a tratos crueles, inhumanos y degradantes. Indican que la primera detención arbitraria se produjo el 6 de noviembre de 2009 por personas vestidas de civil</w:t>
      </w:r>
      <w:r w:rsidR="00B8528E" w:rsidRPr="00116A43">
        <w:rPr>
          <w:rFonts w:ascii="Cambria" w:hAnsi="Cambria"/>
          <w:sz w:val="20"/>
          <w:szCs w:val="20"/>
          <w:lang w:val="es-PE"/>
        </w:rPr>
        <w:t>;</w:t>
      </w:r>
      <w:r w:rsidRPr="00116A43">
        <w:rPr>
          <w:rFonts w:ascii="Cambria" w:hAnsi="Cambria"/>
          <w:sz w:val="20"/>
          <w:szCs w:val="20"/>
          <w:lang w:val="es-PE"/>
        </w:rPr>
        <w:t xml:space="preserve"> la segunda el 24 de febrero de 2010, por polic</w:t>
      </w:r>
      <w:r w:rsidR="00B8528E" w:rsidRPr="00116A43">
        <w:rPr>
          <w:rFonts w:ascii="Cambria" w:hAnsi="Cambria"/>
          <w:sz w:val="20"/>
          <w:szCs w:val="20"/>
          <w:lang w:val="es-PE"/>
        </w:rPr>
        <w:t>ías</w:t>
      </w:r>
      <w:r w:rsidRPr="00116A43">
        <w:rPr>
          <w:rFonts w:ascii="Cambria" w:hAnsi="Cambria"/>
          <w:sz w:val="20"/>
          <w:szCs w:val="20"/>
          <w:lang w:val="es-PE"/>
        </w:rPr>
        <w:t xml:space="preserve">, y la tercera de 4 de octubre de 2012, también por agentes del Estado. La parte peticionaria también señala que las detenciones </w:t>
      </w:r>
      <w:r w:rsidR="00B8528E" w:rsidRPr="00116A43">
        <w:rPr>
          <w:rFonts w:ascii="Cambria" w:hAnsi="Cambria"/>
          <w:sz w:val="20"/>
          <w:szCs w:val="20"/>
          <w:lang w:val="es-PE"/>
        </w:rPr>
        <w:t xml:space="preserve">no </w:t>
      </w:r>
      <w:r w:rsidR="00490D0A" w:rsidRPr="00116A43">
        <w:rPr>
          <w:rFonts w:ascii="Cambria" w:hAnsi="Cambria"/>
          <w:sz w:val="20"/>
          <w:szCs w:val="20"/>
          <w:lang w:val="es-PE"/>
        </w:rPr>
        <w:t>contaron</w:t>
      </w:r>
      <w:r w:rsidRPr="00116A43">
        <w:rPr>
          <w:rFonts w:ascii="Cambria" w:hAnsi="Cambria"/>
          <w:sz w:val="20"/>
          <w:szCs w:val="20"/>
          <w:lang w:val="es-PE"/>
        </w:rPr>
        <w:t xml:space="preserve"> </w:t>
      </w:r>
      <w:r w:rsidR="00B8528E" w:rsidRPr="00116A43">
        <w:rPr>
          <w:rFonts w:ascii="Cambria" w:hAnsi="Cambria"/>
          <w:sz w:val="20"/>
          <w:szCs w:val="20"/>
          <w:lang w:val="es-PE"/>
        </w:rPr>
        <w:t>ó</w:t>
      </w:r>
      <w:r w:rsidRPr="00116A43">
        <w:rPr>
          <w:rFonts w:ascii="Cambria" w:hAnsi="Cambria"/>
          <w:sz w:val="20"/>
          <w:szCs w:val="20"/>
          <w:lang w:val="es-PE"/>
        </w:rPr>
        <w:t>rdenes emitida</w:t>
      </w:r>
      <w:r w:rsidR="00B8528E" w:rsidRPr="00116A43">
        <w:rPr>
          <w:rFonts w:ascii="Cambria" w:hAnsi="Cambria"/>
          <w:sz w:val="20"/>
          <w:szCs w:val="20"/>
          <w:lang w:val="es-PE"/>
        </w:rPr>
        <w:t>s</w:t>
      </w:r>
      <w:r w:rsidRPr="00116A43">
        <w:rPr>
          <w:rFonts w:ascii="Cambria" w:hAnsi="Cambria"/>
          <w:sz w:val="20"/>
          <w:szCs w:val="20"/>
          <w:lang w:val="es-PE"/>
        </w:rPr>
        <w:t xml:space="preserve"> por un juez y que la presunta víctima jamás fue informada de los cargos formulados en su contra. </w:t>
      </w:r>
    </w:p>
    <w:p w14:paraId="3DE773F3" w14:textId="77777777" w:rsidR="00BB2233" w:rsidRPr="00116A43" w:rsidRDefault="00BB2233" w:rsidP="00375047">
      <w:pPr>
        <w:pStyle w:val="ListParagraph"/>
        <w:ind w:left="0"/>
        <w:rPr>
          <w:sz w:val="20"/>
          <w:szCs w:val="20"/>
          <w:lang w:val="es-PE"/>
        </w:rPr>
      </w:pPr>
    </w:p>
    <w:p w14:paraId="6BAF8D38" w14:textId="3F1B0E66" w:rsidR="00945A3A" w:rsidRPr="00116A43" w:rsidRDefault="001C17C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Ante los hechos alegados, </w:t>
      </w:r>
      <w:r w:rsidR="001818AC" w:rsidRPr="00116A43">
        <w:rPr>
          <w:rFonts w:ascii="Cambria" w:hAnsi="Cambria"/>
          <w:sz w:val="20"/>
          <w:szCs w:val="20"/>
        </w:rPr>
        <w:t xml:space="preserve">la parte peticionaria afirma que la presunta víctima presentó una denuncia ante la Fiscalía </w:t>
      </w:r>
      <w:r w:rsidR="00F62B1A" w:rsidRPr="00116A43">
        <w:rPr>
          <w:rFonts w:ascii="Cambria" w:hAnsi="Cambria"/>
          <w:sz w:val="20"/>
          <w:szCs w:val="20"/>
        </w:rPr>
        <w:t xml:space="preserve">Militar y la Fiscalía General a finales de 2009, </w:t>
      </w:r>
      <w:r w:rsidR="001818AC" w:rsidRPr="00116A43">
        <w:rPr>
          <w:rFonts w:ascii="Cambria" w:hAnsi="Cambria"/>
          <w:sz w:val="20"/>
          <w:szCs w:val="20"/>
        </w:rPr>
        <w:t>luego de la detención de</w:t>
      </w:r>
      <w:r w:rsidR="00F62B1A" w:rsidRPr="00116A43">
        <w:rPr>
          <w:rFonts w:ascii="Cambria" w:hAnsi="Cambria"/>
          <w:sz w:val="20"/>
          <w:szCs w:val="20"/>
        </w:rPr>
        <w:t>l 6 de noviembre de</w:t>
      </w:r>
      <w:r w:rsidR="001818AC" w:rsidRPr="00116A43">
        <w:rPr>
          <w:rFonts w:ascii="Cambria" w:hAnsi="Cambria"/>
          <w:sz w:val="20"/>
          <w:szCs w:val="20"/>
        </w:rPr>
        <w:t xml:space="preserve"> </w:t>
      </w:r>
      <w:r w:rsidR="00F62B1A" w:rsidRPr="00116A43">
        <w:rPr>
          <w:rFonts w:ascii="Cambria" w:hAnsi="Cambria"/>
          <w:sz w:val="20"/>
          <w:szCs w:val="20"/>
        </w:rPr>
        <w:t>2</w:t>
      </w:r>
      <w:r w:rsidR="001818AC" w:rsidRPr="00116A43">
        <w:rPr>
          <w:rFonts w:ascii="Cambria" w:hAnsi="Cambria"/>
          <w:sz w:val="20"/>
          <w:szCs w:val="20"/>
        </w:rPr>
        <w:t xml:space="preserve">009, pero </w:t>
      </w:r>
      <w:r w:rsidR="00C7448C" w:rsidRPr="00116A43">
        <w:rPr>
          <w:rFonts w:ascii="Cambria" w:hAnsi="Cambria"/>
          <w:sz w:val="20"/>
          <w:szCs w:val="20"/>
        </w:rPr>
        <w:t xml:space="preserve">que </w:t>
      </w:r>
      <w:r w:rsidR="00F62B1A" w:rsidRPr="00116A43">
        <w:rPr>
          <w:rFonts w:ascii="Cambria" w:hAnsi="Cambria"/>
          <w:sz w:val="20"/>
          <w:szCs w:val="20"/>
        </w:rPr>
        <w:t>nunca obtuvo respuesta de las autoridades</w:t>
      </w:r>
      <w:r w:rsidR="001818AC" w:rsidRPr="00116A43">
        <w:rPr>
          <w:rFonts w:ascii="Cambria" w:hAnsi="Cambria"/>
          <w:sz w:val="20"/>
          <w:szCs w:val="20"/>
        </w:rPr>
        <w:t xml:space="preserve">. </w:t>
      </w:r>
      <w:r w:rsidR="00C7448C" w:rsidRPr="00116A43">
        <w:rPr>
          <w:rFonts w:ascii="Cambria" w:hAnsi="Cambria"/>
          <w:sz w:val="20"/>
          <w:szCs w:val="20"/>
          <w:lang w:val="es-PE"/>
        </w:rPr>
        <w:t xml:space="preserve">Asimismo, luego de la </w:t>
      </w:r>
      <w:r w:rsidR="00744640" w:rsidRPr="00116A43">
        <w:rPr>
          <w:rFonts w:ascii="Cambria" w:hAnsi="Cambria"/>
          <w:sz w:val="20"/>
          <w:szCs w:val="20"/>
          <w:lang w:val="es-PE"/>
        </w:rPr>
        <w:t xml:space="preserve">segunda </w:t>
      </w:r>
      <w:r w:rsidR="00C7448C" w:rsidRPr="00116A43">
        <w:rPr>
          <w:rFonts w:ascii="Cambria" w:hAnsi="Cambria"/>
          <w:sz w:val="20"/>
          <w:szCs w:val="20"/>
          <w:lang w:val="es-PE"/>
        </w:rPr>
        <w:t>detención de febrero de 2010</w:t>
      </w:r>
      <w:r w:rsidR="00744640" w:rsidRPr="00116A43">
        <w:rPr>
          <w:rFonts w:ascii="Cambria" w:hAnsi="Cambria"/>
          <w:sz w:val="20"/>
          <w:szCs w:val="20"/>
          <w:lang w:val="es-PE"/>
        </w:rPr>
        <w:t>, presentó otra denuncia ante la Fiscalía</w:t>
      </w:r>
      <w:r w:rsidR="00A31081" w:rsidRPr="00116A43">
        <w:rPr>
          <w:rFonts w:ascii="Cambria" w:hAnsi="Cambria"/>
          <w:sz w:val="20"/>
          <w:szCs w:val="20"/>
          <w:lang w:val="es-PE"/>
        </w:rPr>
        <w:t xml:space="preserve"> el 10 de marzo de 2010</w:t>
      </w:r>
      <w:r w:rsidR="00744640" w:rsidRPr="00116A43">
        <w:rPr>
          <w:rFonts w:ascii="Cambria" w:hAnsi="Cambria"/>
          <w:sz w:val="20"/>
          <w:szCs w:val="20"/>
          <w:lang w:val="es-PE"/>
        </w:rPr>
        <w:t xml:space="preserve">, sobre la cual tampoco recibió respuesta alguna. </w:t>
      </w:r>
      <w:r w:rsidR="00514641" w:rsidRPr="00116A43">
        <w:rPr>
          <w:rFonts w:ascii="Cambria" w:hAnsi="Cambria"/>
          <w:sz w:val="20"/>
          <w:szCs w:val="20"/>
          <w:lang w:val="es-PE"/>
        </w:rPr>
        <w:t xml:space="preserve">Los peticionarios señalan que es “imposible en el actual sistema judicial cubano recurrir por vía judicial”. </w:t>
      </w:r>
    </w:p>
    <w:p w14:paraId="48C9874B" w14:textId="77777777" w:rsidR="00945A3A" w:rsidRPr="00116A43" w:rsidRDefault="00945A3A"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6581C16" w14:textId="5A190C7C" w:rsidR="00945A3A" w:rsidRPr="00116A43" w:rsidRDefault="00945A3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Asimismo, </w:t>
      </w:r>
      <w:r w:rsidR="00A31081" w:rsidRPr="00116A43">
        <w:rPr>
          <w:rFonts w:ascii="Cambria" w:hAnsi="Cambria"/>
          <w:sz w:val="20"/>
          <w:szCs w:val="20"/>
        </w:rPr>
        <w:t xml:space="preserve">con motivo de la denegación del permiso de salida del país de Yoani Sánchez y la falta de explicación de </w:t>
      </w:r>
      <w:proofErr w:type="gramStart"/>
      <w:r w:rsidR="00A31081" w:rsidRPr="00116A43">
        <w:rPr>
          <w:rFonts w:ascii="Cambria" w:hAnsi="Cambria"/>
          <w:sz w:val="20"/>
          <w:szCs w:val="20"/>
        </w:rPr>
        <w:t>las mismas</w:t>
      </w:r>
      <w:proofErr w:type="gramEnd"/>
      <w:r w:rsidR="00A31081" w:rsidRPr="00116A43">
        <w:rPr>
          <w:rFonts w:ascii="Cambria" w:hAnsi="Cambria"/>
          <w:sz w:val="20"/>
          <w:szCs w:val="20"/>
        </w:rPr>
        <w:t xml:space="preserve">, </w:t>
      </w:r>
      <w:r w:rsidR="001818AC" w:rsidRPr="00116A43">
        <w:rPr>
          <w:rFonts w:ascii="Cambria" w:hAnsi="Cambria"/>
          <w:sz w:val="20"/>
          <w:szCs w:val="20"/>
          <w:lang w:val="es-PE"/>
        </w:rPr>
        <w:t>los peticionarios señalan que el 5 de noviembre de 2010 la presunta víctima presentó una “solicitud de respuesta” formal a la Dirección de Inmigración y Extranje</w:t>
      </w:r>
      <w:r w:rsidR="00A31081" w:rsidRPr="00116A43">
        <w:rPr>
          <w:rFonts w:ascii="Cambria" w:hAnsi="Cambria"/>
          <w:sz w:val="20"/>
          <w:szCs w:val="20"/>
          <w:lang w:val="es-PE"/>
        </w:rPr>
        <w:t>ría del Ministerio del Interior. Esta solicitu</w:t>
      </w:r>
      <w:r w:rsidR="00887ECA" w:rsidRPr="00116A43">
        <w:rPr>
          <w:rFonts w:ascii="Cambria" w:hAnsi="Cambria"/>
          <w:sz w:val="20"/>
          <w:szCs w:val="20"/>
          <w:lang w:val="es-PE"/>
        </w:rPr>
        <w:t xml:space="preserve">d </w:t>
      </w:r>
      <w:r w:rsidR="00A31081" w:rsidRPr="00116A43">
        <w:rPr>
          <w:rFonts w:ascii="Cambria" w:hAnsi="Cambria"/>
          <w:sz w:val="20"/>
          <w:szCs w:val="20"/>
          <w:lang w:val="es-PE"/>
        </w:rPr>
        <w:t xml:space="preserve">no </w:t>
      </w:r>
      <w:r w:rsidR="001818AC" w:rsidRPr="00116A43">
        <w:rPr>
          <w:rFonts w:ascii="Cambria" w:hAnsi="Cambria"/>
          <w:sz w:val="20"/>
          <w:szCs w:val="20"/>
          <w:lang w:val="es-PE"/>
        </w:rPr>
        <w:t xml:space="preserve">fue contestada. </w:t>
      </w:r>
      <w:r w:rsidR="00A31081" w:rsidRPr="00116A43">
        <w:rPr>
          <w:rFonts w:ascii="Cambria" w:hAnsi="Cambria"/>
          <w:sz w:val="20"/>
          <w:szCs w:val="20"/>
          <w:lang w:val="es-PE"/>
        </w:rPr>
        <w:t xml:space="preserve">Ante dicho “silencio”, </w:t>
      </w:r>
      <w:r w:rsidR="001818AC" w:rsidRPr="00116A43">
        <w:rPr>
          <w:rFonts w:ascii="Cambria" w:hAnsi="Cambria"/>
          <w:sz w:val="20"/>
          <w:szCs w:val="20"/>
          <w:lang w:val="es-PE"/>
        </w:rPr>
        <w:t xml:space="preserve">señalan que el 30 de marzo de 2012 la señora Sánchez presentó un recurso de alzada contra el Ministro del Interior de Cuba. Afirman que hasta la fecha dicho recurso tampoco ha sido respondido por el gobierno cubano. </w:t>
      </w:r>
    </w:p>
    <w:p w14:paraId="6BF715A7" w14:textId="77777777" w:rsidR="00D45901" w:rsidRPr="00116A43" w:rsidRDefault="00D45901" w:rsidP="00375047">
      <w:pPr>
        <w:pStyle w:val="ListParagraph"/>
        <w:ind w:left="0"/>
        <w:rPr>
          <w:sz w:val="20"/>
          <w:szCs w:val="20"/>
          <w:lang w:val="es-PE"/>
        </w:rPr>
      </w:pPr>
    </w:p>
    <w:p w14:paraId="2B4A2482" w14:textId="4533D708" w:rsidR="00D45901" w:rsidRPr="00116A43" w:rsidRDefault="00945A3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Para los peticionarios, </w:t>
      </w:r>
      <w:r w:rsidR="00A31081" w:rsidRPr="00116A43">
        <w:rPr>
          <w:rFonts w:ascii="Cambria" w:hAnsi="Cambria"/>
          <w:sz w:val="20"/>
          <w:szCs w:val="20"/>
          <w:lang w:val="es-PE"/>
        </w:rPr>
        <w:t xml:space="preserve">si bien la presunta víctima intentó agotar los recursos de la jurisdicción interna, </w:t>
      </w:r>
      <w:r w:rsidRPr="00116A43">
        <w:rPr>
          <w:rFonts w:ascii="Cambria" w:hAnsi="Cambria"/>
          <w:sz w:val="20"/>
          <w:szCs w:val="20"/>
          <w:lang w:val="es-PE"/>
        </w:rPr>
        <w:t xml:space="preserve">el </w:t>
      </w:r>
      <w:r w:rsidR="00A31081" w:rsidRPr="00116A43">
        <w:rPr>
          <w:rFonts w:ascii="Cambria" w:hAnsi="Cambria"/>
          <w:sz w:val="20"/>
          <w:szCs w:val="20"/>
          <w:lang w:val="es-PE"/>
        </w:rPr>
        <w:t xml:space="preserve">permanente </w:t>
      </w:r>
      <w:r w:rsidRPr="00116A43">
        <w:rPr>
          <w:rFonts w:ascii="Cambria" w:hAnsi="Cambria"/>
          <w:sz w:val="20"/>
          <w:szCs w:val="20"/>
          <w:lang w:val="es-PE"/>
        </w:rPr>
        <w:t xml:space="preserve">silencio </w:t>
      </w:r>
      <w:r w:rsidR="00A31081" w:rsidRPr="00116A43">
        <w:rPr>
          <w:rFonts w:ascii="Cambria" w:hAnsi="Cambria"/>
          <w:sz w:val="20"/>
          <w:szCs w:val="20"/>
          <w:lang w:val="es-PE"/>
        </w:rPr>
        <w:t xml:space="preserve">y la falta de respuesta del Estado demuestra que </w:t>
      </w:r>
      <w:r w:rsidRPr="00116A43">
        <w:rPr>
          <w:rFonts w:ascii="Cambria" w:hAnsi="Cambria"/>
          <w:sz w:val="20"/>
          <w:szCs w:val="20"/>
          <w:lang w:val="es-PE"/>
        </w:rPr>
        <w:t>fue impedida de agotar los recursos internos</w:t>
      </w:r>
      <w:r w:rsidR="00A31081" w:rsidRPr="00116A43">
        <w:rPr>
          <w:rFonts w:ascii="Cambria" w:hAnsi="Cambria"/>
          <w:sz w:val="20"/>
          <w:szCs w:val="20"/>
          <w:lang w:val="es-PE"/>
        </w:rPr>
        <w:t xml:space="preserve">, no existen o </w:t>
      </w:r>
      <w:r w:rsidRPr="00116A43">
        <w:rPr>
          <w:rFonts w:ascii="Cambria" w:hAnsi="Cambria"/>
          <w:sz w:val="20"/>
          <w:szCs w:val="20"/>
          <w:lang w:val="es-PE"/>
        </w:rPr>
        <w:t xml:space="preserve">no ha tenido acceso a ellos, </w:t>
      </w:r>
      <w:r w:rsidR="00A31081" w:rsidRPr="00116A43">
        <w:rPr>
          <w:rFonts w:ascii="Cambria" w:hAnsi="Cambria"/>
          <w:sz w:val="20"/>
          <w:szCs w:val="20"/>
          <w:lang w:val="es-PE"/>
        </w:rPr>
        <w:t xml:space="preserve">“en el sentido de todas las excepciones a la </w:t>
      </w:r>
      <w:r w:rsidR="00AF28C8" w:rsidRPr="00116A43">
        <w:rPr>
          <w:rFonts w:ascii="Cambria" w:hAnsi="Cambria"/>
          <w:sz w:val="20"/>
          <w:szCs w:val="20"/>
          <w:lang w:val="es-PE"/>
        </w:rPr>
        <w:t>o</w:t>
      </w:r>
      <w:r w:rsidR="00A31081" w:rsidRPr="00116A43">
        <w:rPr>
          <w:rFonts w:ascii="Cambria" w:hAnsi="Cambria"/>
          <w:sz w:val="20"/>
          <w:szCs w:val="20"/>
          <w:lang w:val="es-PE"/>
        </w:rPr>
        <w:t xml:space="preserve">bligación del agotamiento de los recursos internos previstas en el párrafo 2 del </w:t>
      </w:r>
      <w:r w:rsidRPr="00116A43">
        <w:rPr>
          <w:rFonts w:ascii="Cambria" w:hAnsi="Cambria"/>
          <w:sz w:val="20"/>
          <w:szCs w:val="20"/>
          <w:lang w:val="es-PE"/>
        </w:rPr>
        <w:t xml:space="preserve">artículo </w:t>
      </w:r>
      <w:r w:rsidR="00A31081" w:rsidRPr="00116A43">
        <w:rPr>
          <w:rFonts w:ascii="Cambria" w:hAnsi="Cambria"/>
          <w:sz w:val="20"/>
          <w:szCs w:val="20"/>
          <w:lang w:val="es-PE"/>
        </w:rPr>
        <w:t xml:space="preserve">1 </w:t>
      </w:r>
      <w:r w:rsidRPr="00116A43">
        <w:rPr>
          <w:rFonts w:ascii="Cambria" w:hAnsi="Cambria"/>
          <w:sz w:val="20"/>
          <w:szCs w:val="20"/>
          <w:lang w:val="es-PE"/>
        </w:rPr>
        <w:t xml:space="preserve">del Reglamento de la </w:t>
      </w:r>
      <w:r w:rsidR="00A31081" w:rsidRPr="00116A43">
        <w:rPr>
          <w:rFonts w:ascii="Cambria" w:hAnsi="Cambria"/>
          <w:sz w:val="20"/>
          <w:szCs w:val="20"/>
          <w:lang w:val="es-PE"/>
        </w:rPr>
        <w:t>[</w:t>
      </w:r>
      <w:r w:rsidRPr="00116A43">
        <w:rPr>
          <w:rFonts w:ascii="Cambria" w:hAnsi="Cambria"/>
          <w:sz w:val="20"/>
          <w:szCs w:val="20"/>
          <w:lang w:val="es-PE"/>
        </w:rPr>
        <w:t>CID</w:t>
      </w:r>
      <w:r w:rsidR="00A31081" w:rsidRPr="00116A43">
        <w:rPr>
          <w:rFonts w:ascii="Cambria" w:hAnsi="Cambria"/>
          <w:sz w:val="20"/>
          <w:szCs w:val="20"/>
          <w:lang w:val="es-PE"/>
        </w:rPr>
        <w:t>H]”</w:t>
      </w:r>
      <w:r w:rsidRPr="00116A43">
        <w:rPr>
          <w:rFonts w:ascii="Cambria" w:hAnsi="Cambria"/>
          <w:sz w:val="20"/>
          <w:szCs w:val="20"/>
          <w:lang w:val="es-PE"/>
        </w:rPr>
        <w:t xml:space="preserve">. </w:t>
      </w:r>
    </w:p>
    <w:p w14:paraId="0C00BC57" w14:textId="77777777" w:rsidR="00D45901" w:rsidRPr="00116A43" w:rsidRDefault="00D45901"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C3EFEA4" w14:textId="1CBE49A8" w:rsidR="00155DCF" w:rsidRPr="00116A43" w:rsidRDefault="00155DC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Respecto</w:t>
      </w:r>
      <w:r w:rsidR="00440CDD" w:rsidRPr="00116A43">
        <w:rPr>
          <w:rFonts w:ascii="Cambria" w:hAnsi="Cambria"/>
          <w:sz w:val="20"/>
          <w:szCs w:val="20"/>
        </w:rPr>
        <w:t xml:space="preserve"> d</w:t>
      </w:r>
      <w:r w:rsidR="00F57E35" w:rsidRPr="00116A43">
        <w:rPr>
          <w:rFonts w:ascii="Cambria" w:hAnsi="Cambria"/>
          <w:sz w:val="20"/>
          <w:szCs w:val="20"/>
        </w:rPr>
        <w:t xml:space="preserve">e los alegatos de </w:t>
      </w:r>
      <w:r w:rsidR="00440CDD" w:rsidRPr="00116A43">
        <w:rPr>
          <w:rFonts w:ascii="Cambria" w:hAnsi="Cambria"/>
          <w:sz w:val="20"/>
          <w:szCs w:val="20"/>
        </w:rPr>
        <w:t xml:space="preserve">fondo, la parte peticionaria alega que Cuba violó </w:t>
      </w:r>
      <w:r w:rsidR="00440CDD" w:rsidRPr="00116A43">
        <w:rPr>
          <w:rFonts w:ascii="Cambria" w:hAnsi="Cambria"/>
          <w:sz w:val="20"/>
          <w:szCs w:val="20"/>
          <w:lang w:val="es-PE"/>
        </w:rPr>
        <w:t>el derecho</w:t>
      </w:r>
      <w:r w:rsidRPr="00116A43">
        <w:rPr>
          <w:rFonts w:ascii="Cambria" w:hAnsi="Cambria"/>
          <w:sz w:val="20"/>
          <w:szCs w:val="20"/>
          <w:lang w:val="es-PE"/>
        </w:rPr>
        <w:t xml:space="preserve"> de la presunta víctima </w:t>
      </w:r>
      <w:r w:rsidR="00867FE1" w:rsidRPr="00116A43">
        <w:rPr>
          <w:rFonts w:ascii="Cambria" w:hAnsi="Cambria"/>
          <w:sz w:val="20"/>
          <w:szCs w:val="20"/>
          <w:lang w:val="es-PE"/>
        </w:rPr>
        <w:t xml:space="preserve">a </w:t>
      </w:r>
      <w:r w:rsidRPr="00116A43">
        <w:rPr>
          <w:rFonts w:ascii="Cambria" w:hAnsi="Cambria"/>
          <w:b/>
          <w:sz w:val="20"/>
          <w:szCs w:val="20"/>
          <w:lang w:val="es-PE"/>
        </w:rPr>
        <w:t>no ser detenida arbitrariamente</w:t>
      </w:r>
      <w:r w:rsidRPr="00116A43">
        <w:rPr>
          <w:rFonts w:ascii="Cambria" w:hAnsi="Cambria"/>
          <w:sz w:val="20"/>
          <w:szCs w:val="20"/>
          <w:lang w:val="es-PE"/>
        </w:rPr>
        <w:t xml:space="preserve"> (artículo XXV</w:t>
      </w:r>
      <w:r w:rsidR="00887832" w:rsidRPr="00116A43">
        <w:rPr>
          <w:rFonts w:ascii="Cambria" w:hAnsi="Cambria"/>
          <w:sz w:val="20"/>
          <w:szCs w:val="20"/>
          <w:lang w:val="es-PE"/>
        </w:rPr>
        <w:t xml:space="preserve"> </w:t>
      </w:r>
      <w:r w:rsidRPr="00116A43">
        <w:rPr>
          <w:rFonts w:ascii="Cambria" w:hAnsi="Cambria"/>
          <w:sz w:val="20"/>
          <w:szCs w:val="20"/>
          <w:lang w:val="es-PE"/>
        </w:rPr>
        <w:t>de la Declaración Americana) como consecuencia de las detenciones</w:t>
      </w:r>
      <w:r w:rsidR="00867FE1" w:rsidRPr="00116A43">
        <w:rPr>
          <w:rFonts w:ascii="Cambria" w:hAnsi="Cambria"/>
          <w:sz w:val="20"/>
          <w:szCs w:val="20"/>
          <w:lang w:val="es-PE"/>
        </w:rPr>
        <w:t xml:space="preserve"> sufridas en 2009, 2010 y 2012 sin orden judicial y sin que fuera informada de los motivos de su detención.</w:t>
      </w:r>
      <w:r w:rsidR="00D74723" w:rsidRPr="00116A43">
        <w:rPr>
          <w:rFonts w:ascii="Cambria" w:hAnsi="Cambria"/>
          <w:sz w:val="20"/>
          <w:szCs w:val="20"/>
        </w:rPr>
        <w:t xml:space="preserve"> </w:t>
      </w:r>
    </w:p>
    <w:p w14:paraId="4A416746" w14:textId="4FDFF71F" w:rsidR="00887ECA" w:rsidRPr="00116A43" w:rsidRDefault="00887ECA"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04E809E" w14:textId="0E3A0A17" w:rsidR="00801453" w:rsidRPr="00116A43" w:rsidRDefault="007D208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Los peticionarios argumentan que Cuba violó el </w:t>
      </w:r>
      <w:r w:rsidRPr="00116A43">
        <w:rPr>
          <w:rFonts w:ascii="Cambria" w:hAnsi="Cambria"/>
          <w:b/>
          <w:sz w:val="20"/>
          <w:szCs w:val="20"/>
          <w:lang w:val="es-PE"/>
        </w:rPr>
        <w:t xml:space="preserve">derecho a la vida, a la libertad, a la seguridad e integridad </w:t>
      </w:r>
      <w:r w:rsidRPr="00116A43">
        <w:rPr>
          <w:rFonts w:ascii="Cambria" w:hAnsi="Cambria"/>
          <w:sz w:val="20"/>
          <w:szCs w:val="20"/>
          <w:lang w:val="es-PE"/>
        </w:rPr>
        <w:t>de Yoani Sánchez (artículo I de la Declaración Americana) debido a que la violación del derecho a la protección contra la detención arbitraria trae como consecuencia</w:t>
      </w:r>
      <w:r w:rsidR="00A13F1C" w:rsidRPr="00116A43">
        <w:rPr>
          <w:rFonts w:ascii="Cambria" w:hAnsi="Cambria"/>
          <w:sz w:val="20"/>
          <w:szCs w:val="20"/>
          <w:lang w:val="es-PE"/>
        </w:rPr>
        <w:t xml:space="preserve"> a su vez,</w:t>
      </w:r>
      <w:r w:rsidRPr="00116A43">
        <w:rPr>
          <w:rFonts w:ascii="Cambria" w:hAnsi="Cambria"/>
          <w:sz w:val="20"/>
          <w:szCs w:val="20"/>
          <w:lang w:val="es-PE"/>
        </w:rPr>
        <w:t xml:space="preserve"> </w:t>
      </w:r>
      <w:r w:rsidR="00A13F1C" w:rsidRPr="00116A43">
        <w:rPr>
          <w:rFonts w:ascii="Cambria" w:hAnsi="Cambria"/>
          <w:sz w:val="20"/>
          <w:szCs w:val="20"/>
          <w:lang w:val="es-PE"/>
        </w:rPr>
        <w:t xml:space="preserve">la vulneración del artículo I. Señalan que Yoani no puede circular con seguridad por La Habana y que los frecuentes ataques contra ella en medios de comunicación la ponen en una posición de especial vulnerabilidad. Destacan que en cualquier </w:t>
      </w:r>
      <w:r w:rsidR="00A13F1C" w:rsidRPr="00116A43">
        <w:rPr>
          <w:rFonts w:ascii="Cambria" w:hAnsi="Cambria"/>
          <w:sz w:val="20"/>
          <w:szCs w:val="20"/>
          <w:lang w:val="es-PE"/>
        </w:rPr>
        <w:lastRenderedPageBreak/>
        <w:t>momento puede ser nuevamente detenida arbitrariamente o incluso puede sufrir un atentado contra su vida, lo cual quedaría en impunidad, como ocurre con otros disidentes de la Isla.</w:t>
      </w:r>
      <w:r w:rsidR="00D74723" w:rsidRPr="00116A43">
        <w:rPr>
          <w:rFonts w:ascii="Cambria" w:hAnsi="Cambria"/>
          <w:sz w:val="20"/>
          <w:szCs w:val="20"/>
        </w:rPr>
        <w:t xml:space="preserve"> La parte peticionaria alega que, durante </w:t>
      </w:r>
      <w:r w:rsidR="00775122" w:rsidRPr="00116A43">
        <w:rPr>
          <w:rFonts w:ascii="Cambria" w:hAnsi="Cambria"/>
          <w:sz w:val="20"/>
          <w:szCs w:val="20"/>
        </w:rPr>
        <w:t>las detenciones sufrió tratos crueles, inhumanos y degradantes. Señala que durante l</w:t>
      </w:r>
      <w:r w:rsidR="00D74723" w:rsidRPr="00116A43">
        <w:rPr>
          <w:rFonts w:ascii="Cambria" w:hAnsi="Cambria"/>
          <w:sz w:val="20"/>
          <w:szCs w:val="20"/>
        </w:rPr>
        <w:t xml:space="preserve">a detención </w:t>
      </w:r>
      <w:r w:rsidR="00775122" w:rsidRPr="00116A43">
        <w:rPr>
          <w:rFonts w:ascii="Cambria" w:hAnsi="Cambria"/>
          <w:sz w:val="20"/>
          <w:szCs w:val="20"/>
        </w:rPr>
        <w:t xml:space="preserve">en 2009 </w:t>
      </w:r>
      <w:r w:rsidR="00D74723" w:rsidRPr="00116A43">
        <w:rPr>
          <w:rFonts w:ascii="Cambria" w:hAnsi="Cambria"/>
          <w:sz w:val="20"/>
          <w:szCs w:val="20"/>
        </w:rPr>
        <w:t xml:space="preserve">la presunta víctima </w:t>
      </w:r>
      <w:r w:rsidR="00775122" w:rsidRPr="00116A43">
        <w:rPr>
          <w:rFonts w:ascii="Cambria" w:hAnsi="Cambria"/>
          <w:sz w:val="20"/>
          <w:szCs w:val="20"/>
        </w:rPr>
        <w:t xml:space="preserve">fue </w:t>
      </w:r>
      <w:r w:rsidR="00D74723" w:rsidRPr="00116A43">
        <w:rPr>
          <w:rFonts w:ascii="Cambria" w:hAnsi="Cambria"/>
          <w:sz w:val="20"/>
          <w:szCs w:val="20"/>
        </w:rPr>
        <w:t>g</w:t>
      </w:r>
      <w:r w:rsidR="00775122" w:rsidRPr="00116A43">
        <w:rPr>
          <w:rFonts w:ascii="Cambria" w:hAnsi="Cambria"/>
          <w:sz w:val="20"/>
          <w:szCs w:val="20"/>
        </w:rPr>
        <w:t>olpeada en diversas partes del</w:t>
      </w:r>
      <w:r w:rsidR="00D74723" w:rsidRPr="00116A43">
        <w:rPr>
          <w:rFonts w:ascii="Cambria" w:hAnsi="Cambria"/>
          <w:sz w:val="20"/>
          <w:szCs w:val="20"/>
        </w:rPr>
        <w:t xml:space="preserve"> cuerpo y </w:t>
      </w:r>
      <w:r w:rsidR="00775122" w:rsidRPr="00116A43">
        <w:rPr>
          <w:rFonts w:ascii="Cambria" w:hAnsi="Cambria"/>
          <w:sz w:val="20"/>
          <w:szCs w:val="20"/>
        </w:rPr>
        <w:t xml:space="preserve">como consecuencia de dicha violencia tuvo </w:t>
      </w:r>
      <w:r w:rsidR="00D74723" w:rsidRPr="00116A43">
        <w:rPr>
          <w:rFonts w:ascii="Cambria" w:hAnsi="Cambria"/>
          <w:sz w:val="20"/>
          <w:szCs w:val="20"/>
        </w:rPr>
        <w:t>que usar muleta</w:t>
      </w:r>
      <w:r w:rsidR="00775122" w:rsidRPr="00116A43">
        <w:rPr>
          <w:rFonts w:ascii="Cambria" w:hAnsi="Cambria"/>
          <w:sz w:val="20"/>
          <w:szCs w:val="20"/>
        </w:rPr>
        <w:t>s</w:t>
      </w:r>
      <w:r w:rsidR="00D74723" w:rsidRPr="00116A43">
        <w:rPr>
          <w:rFonts w:ascii="Cambria" w:hAnsi="Cambria"/>
          <w:sz w:val="20"/>
          <w:szCs w:val="20"/>
        </w:rPr>
        <w:t xml:space="preserve"> por un</w:t>
      </w:r>
      <w:r w:rsidR="00775122" w:rsidRPr="00116A43">
        <w:rPr>
          <w:rFonts w:ascii="Cambria" w:hAnsi="Cambria"/>
          <w:sz w:val="20"/>
          <w:szCs w:val="20"/>
        </w:rPr>
        <w:t xml:space="preserve">a semana. En 2010 y 2012, nuevamente fue golpeada durante la detención. </w:t>
      </w:r>
      <w:r w:rsidR="00D74723" w:rsidRPr="00116A43">
        <w:rPr>
          <w:rFonts w:ascii="Cambria" w:hAnsi="Cambria"/>
          <w:sz w:val="20"/>
          <w:szCs w:val="20"/>
        </w:rPr>
        <w:t xml:space="preserve">En esta última ocasión, </w:t>
      </w:r>
      <w:r w:rsidR="00775122" w:rsidRPr="00116A43">
        <w:rPr>
          <w:rFonts w:ascii="Cambria" w:hAnsi="Cambria"/>
          <w:sz w:val="20"/>
          <w:szCs w:val="20"/>
        </w:rPr>
        <w:t xml:space="preserve">indican los peticionarios, </w:t>
      </w:r>
      <w:r w:rsidR="00D74723" w:rsidRPr="00116A43">
        <w:rPr>
          <w:rFonts w:ascii="Cambria" w:hAnsi="Cambria"/>
          <w:sz w:val="20"/>
          <w:szCs w:val="20"/>
        </w:rPr>
        <w:t xml:space="preserve">la presunta víctima </w:t>
      </w:r>
      <w:r w:rsidR="00775122" w:rsidRPr="00116A43">
        <w:rPr>
          <w:rFonts w:ascii="Cambria" w:hAnsi="Cambria"/>
          <w:sz w:val="20"/>
          <w:szCs w:val="20"/>
        </w:rPr>
        <w:t>fue</w:t>
      </w:r>
      <w:r w:rsidR="00D74723" w:rsidRPr="00116A43">
        <w:rPr>
          <w:rFonts w:ascii="Cambria" w:hAnsi="Cambria"/>
          <w:sz w:val="20"/>
          <w:szCs w:val="20"/>
        </w:rPr>
        <w:t xml:space="preserve"> sometida</w:t>
      </w:r>
      <w:r w:rsidR="00775122" w:rsidRPr="00116A43">
        <w:rPr>
          <w:rFonts w:ascii="Cambria" w:hAnsi="Cambria"/>
          <w:sz w:val="20"/>
          <w:szCs w:val="20"/>
        </w:rPr>
        <w:t xml:space="preserve"> a actos de violencia que le causaron la fractura de un diente y contusiones en las costillas, incluso fue sometida a un intento de desnudez forzada.</w:t>
      </w:r>
    </w:p>
    <w:p w14:paraId="72251B9B" w14:textId="77777777" w:rsidR="00D74723" w:rsidRPr="00116A43" w:rsidRDefault="00D74723"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E863770" w14:textId="65CAD8E5" w:rsidR="00801453" w:rsidRPr="00116A43" w:rsidRDefault="0080145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La parte peticionaria también sostiene que Cuba violó el </w:t>
      </w:r>
      <w:r w:rsidRPr="00116A43">
        <w:rPr>
          <w:rFonts w:ascii="Cambria" w:hAnsi="Cambria"/>
          <w:b/>
          <w:sz w:val="20"/>
          <w:szCs w:val="20"/>
        </w:rPr>
        <w:t>derecho</w:t>
      </w:r>
      <w:r w:rsidRPr="00116A43">
        <w:rPr>
          <w:rFonts w:ascii="Cambria" w:hAnsi="Cambria"/>
          <w:b/>
          <w:sz w:val="20"/>
          <w:szCs w:val="20"/>
          <w:lang w:val="es-PE"/>
        </w:rPr>
        <w:t xml:space="preserve"> de residencia y tránsito</w:t>
      </w:r>
      <w:r w:rsidRPr="00116A43">
        <w:rPr>
          <w:rFonts w:ascii="Cambria" w:hAnsi="Cambria"/>
          <w:sz w:val="20"/>
          <w:szCs w:val="20"/>
          <w:lang w:val="es-PE"/>
        </w:rPr>
        <w:t xml:space="preserve"> de la presunta víctima (artículo VIII de la Declaración Americana) el cual incluye el derecho de una persona a salir de su país por voluntad propia, ya que </w:t>
      </w:r>
      <w:r w:rsidR="00AF60B1" w:rsidRPr="00116A43">
        <w:rPr>
          <w:rFonts w:ascii="Cambria" w:hAnsi="Cambria"/>
          <w:sz w:val="20"/>
          <w:szCs w:val="20"/>
          <w:lang w:val="es-PE"/>
        </w:rPr>
        <w:t xml:space="preserve">no autorizó la salida de la periodista para recibir varios premios de periodismo y como bloguera, sin justificar o explicar de qué forma dicha limitación sería necesaria y compatible con sus derechos. </w:t>
      </w:r>
      <w:r w:rsidRPr="00116A43">
        <w:rPr>
          <w:rFonts w:ascii="Cambria" w:hAnsi="Cambria"/>
          <w:sz w:val="20"/>
          <w:szCs w:val="20"/>
          <w:lang w:val="es-PE"/>
        </w:rPr>
        <w:t>Asimismo,</w:t>
      </w:r>
      <w:r w:rsidR="00AF60B1" w:rsidRPr="00116A43">
        <w:rPr>
          <w:rFonts w:ascii="Cambria" w:hAnsi="Cambria"/>
          <w:sz w:val="20"/>
          <w:szCs w:val="20"/>
          <w:lang w:val="es-PE"/>
        </w:rPr>
        <w:t xml:space="preserve"> señalan que</w:t>
      </w:r>
      <w:r w:rsidRPr="00116A43">
        <w:rPr>
          <w:rFonts w:ascii="Cambria" w:hAnsi="Cambria"/>
          <w:sz w:val="20"/>
          <w:szCs w:val="20"/>
          <w:lang w:val="es-PE"/>
        </w:rPr>
        <w:t xml:space="preserve"> Cuba violó</w:t>
      </w:r>
      <w:r w:rsidRPr="00116A43">
        <w:rPr>
          <w:rFonts w:ascii="Cambria" w:hAnsi="Cambria"/>
          <w:b/>
          <w:sz w:val="20"/>
          <w:szCs w:val="20"/>
          <w:lang w:val="es-PE"/>
        </w:rPr>
        <w:t xml:space="preserve"> el derecho de justicia y </w:t>
      </w:r>
      <w:r w:rsidR="00AF60B1" w:rsidRPr="00116A43">
        <w:rPr>
          <w:rFonts w:ascii="Cambria" w:hAnsi="Cambria"/>
          <w:b/>
          <w:sz w:val="20"/>
          <w:szCs w:val="20"/>
          <w:lang w:val="es-PE"/>
        </w:rPr>
        <w:t xml:space="preserve">el </w:t>
      </w:r>
      <w:r w:rsidRPr="00116A43">
        <w:rPr>
          <w:rFonts w:ascii="Cambria" w:hAnsi="Cambria"/>
          <w:b/>
          <w:sz w:val="20"/>
          <w:szCs w:val="20"/>
          <w:lang w:val="es-PE"/>
        </w:rPr>
        <w:t>derecho de petición</w:t>
      </w:r>
      <w:r w:rsidRPr="00116A43">
        <w:rPr>
          <w:rFonts w:ascii="Cambria" w:hAnsi="Cambria"/>
          <w:sz w:val="20"/>
          <w:szCs w:val="20"/>
          <w:lang w:val="es-PE"/>
        </w:rPr>
        <w:t xml:space="preserve"> (artículos XVIII y XXIV de la Declaración Americana), pues no contestó ninguno de los recursos interpuestos por la presunta víctima en el ámbito interno en relación con la negativa de las autoridades de autorizar su salida del país y con las denuncias acerca de las detenciones y malos tratos sufridos. </w:t>
      </w:r>
    </w:p>
    <w:p w14:paraId="2F9687C4" w14:textId="61FBA3B9" w:rsidR="00155DCF" w:rsidRPr="00116A43" w:rsidRDefault="00155DCF"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B1370BD" w14:textId="6AB5589F" w:rsidR="00A547F1" w:rsidRPr="00116A43" w:rsidRDefault="00AB1CA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lang w:val="es-PE"/>
        </w:rPr>
      </w:pPr>
      <w:r w:rsidRPr="00116A43">
        <w:rPr>
          <w:rFonts w:ascii="Cambria" w:hAnsi="Cambria"/>
          <w:sz w:val="20"/>
          <w:szCs w:val="20"/>
        </w:rPr>
        <w:t xml:space="preserve">Los peticionarios también indican que </w:t>
      </w:r>
      <w:r w:rsidR="00111F53" w:rsidRPr="00116A43">
        <w:rPr>
          <w:rFonts w:ascii="Cambria" w:hAnsi="Cambria"/>
          <w:sz w:val="20"/>
          <w:szCs w:val="20"/>
        </w:rPr>
        <w:t xml:space="preserve">el impedimento para que </w:t>
      </w:r>
      <w:r w:rsidR="00155DCF" w:rsidRPr="00116A43">
        <w:rPr>
          <w:rFonts w:ascii="Cambria" w:hAnsi="Cambria"/>
          <w:sz w:val="20"/>
          <w:szCs w:val="20"/>
          <w:lang w:val="es-PE"/>
        </w:rPr>
        <w:t xml:space="preserve">la presunta víctima </w:t>
      </w:r>
      <w:r w:rsidR="00111F53" w:rsidRPr="00116A43">
        <w:rPr>
          <w:rFonts w:ascii="Cambria" w:hAnsi="Cambria"/>
          <w:sz w:val="20"/>
          <w:szCs w:val="20"/>
          <w:lang w:val="es-PE"/>
        </w:rPr>
        <w:t>acceda a diversos sitios y reuniones públicas, entre ellas, las manifestaciones por la muerte de Oswaldo Payá, sumado a la incitación al aislamiento social instigado y promovido por el gobierno cubano con el fin de que sus amigos y conocidos no se relacionen socialmente con ella al haber sido declarada una paria de la sociedad cubana, violaron su</w:t>
      </w:r>
      <w:r w:rsidR="00155DCF" w:rsidRPr="00116A43">
        <w:rPr>
          <w:rFonts w:ascii="Cambria" w:hAnsi="Cambria"/>
          <w:sz w:val="20"/>
          <w:szCs w:val="20"/>
          <w:lang w:val="es-PE"/>
        </w:rPr>
        <w:t xml:space="preserve"> </w:t>
      </w:r>
      <w:r w:rsidR="00155DCF" w:rsidRPr="00116A43">
        <w:rPr>
          <w:rFonts w:ascii="Cambria" w:hAnsi="Cambria"/>
          <w:b/>
          <w:sz w:val="20"/>
          <w:szCs w:val="20"/>
          <w:lang w:val="es-PE"/>
        </w:rPr>
        <w:t xml:space="preserve">derecho </w:t>
      </w:r>
      <w:r w:rsidR="00111F53" w:rsidRPr="00116A43">
        <w:rPr>
          <w:rFonts w:ascii="Cambria" w:hAnsi="Cambria"/>
          <w:b/>
          <w:sz w:val="20"/>
          <w:szCs w:val="20"/>
          <w:lang w:val="es-PE"/>
        </w:rPr>
        <w:t>de</w:t>
      </w:r>
      <w:r w:rsidR="00111F53" w:rsidRPr="00116A43">
        <w:rPr>
          <w:rFonts w:ascii="Cambria" w:hAnsi="Cambria"/>
          <w:sz w:val="20"/>
          <w:szCs w:val="20"/>
          <w:lang w:val="es-PE"/>
        </w:rPr>
        <w:t xml:space="preserve"> </w:t>
      </w:r>
      <w:r w:rsidR="00111F53" w:rsidRPr="00116A43">
        <w:rPr>
          <w:rFonts w:ascii="Cambria" w:hAnsi="Cambria"/>
          <w:b/>
          <w:sz w:val="20"/>
          <w:szCs w:val="20"/>
          <w:lang w:val="es-PE"/>
        </w:rPr>
        <w:t>reunión y asociación</w:t>
      </w:r>
      <w:r w:rsidR="00155DCF" w:rsidRPr="00116A43">
        <w:rPr>
          <w:rFonts w:ascii="Cambria" w:hAnsi="Cambria"/>
          <w:sz w:val="20"/>
          <w:szCs w:val="20"/>
          <w:lang w:val="es-PE"/>
        </w:rPr>
        <w:t xml:space="preserve"> (artículos XXI y XXII de la Declaración Americana). </w:t>
      </w:r>
    </w:p>
    <w:p w14:paraId="4A15AF44" w14:textId="18DA5E88" w:rsidR="00111F53" w:rsidRPr="00116A43" w:rsidRDefault="00111F53"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22DD8A26" w14:textId="48D63F11" w:rsidR="00E70608" w:rsidRPr="00116A43" w:rsidRDefault="00E3209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La parte peticionaria alega que desde el 2007 Yoani Sánchez ha sido objeto de acusaciones inverosímiles para promover su aislamiento social y descré</w:t>
      </w:r>
      <w:r w:rsidR="00A547F1" w:rsidRPr="00116A43">
        <w:rPr>
          <w:rFonts w:ascii="Cambria" w:hAnsi="Cambria"/>
          <w:sz w:val="20"/>
          <w:szCs w:val="20"/>
          <w:lang w:val="es-PE"/>
        </w:rPr>
        <w:t xml:space="preserve">dito </w:t>
      </w:r>
      <w:r w:rsidRPr="00116A43">
        <w:rPr>
          <w:rFonts w:ascii="Cambria" w:hAnsi="Cambria"/>
          <w:sz w:val="20"/>
          <w:szCs w:val="20"/>
          <w:lang w:val="es-PE"/>
        </w:rPr>
        <w:t xml:space="preserve">a través de programas de televisión de medios de comunicación cubanos en los que se le cataloga, sin prueba alguna, como “mercenaria” de los Estados Unidos o “terrorista”. Señala también que el Estado cubano ha incitado a la población civil a causarle daños físicos. Todo lo anterior violó el </w:t>
      </w:r>
      <w:r w:rsidRPr="00116A43">
        <w:rPr>
          <w:rFonts w:ascii="Cambria" w:hAnsi="Cambria"/>
          <w:b/>
          <w:sz w:val="20"/>
          <w:szCs w:val="20"/>
          <w:lang w:val="es-PE"/>
        </w:rPr>
        <w:t xml:space="preserve">derecho a la protección de </w:t>
      </w:r>
      <w:r w:rsidR="00A547F1" w:rsidRPr="00116A43">
        <w:rPr>
          <w:rFonts w:ascii="Cambria" w:hAnsi="Cambria"/>
          <w:b/>
          <w:sz w:val="20"/>
          <w:szCs w:val="20"/>
          <w:lang w:val="es-PE"/>
        </w:rPr>
        <w:t>la honra y reputación</w:t>
      </w:r>
      <w:r w:rsidRPr="00116A43">
        <w:rPr>
          <w:rFonts w:ascii="Cambria" w:hAnsi="Cambria"/>
          <w:b/>
          <w:sz w:val="20"/>
          <w:szCs w:val="20"/>
          <w:lang w:val="es-PE"/>
        </w:rPr>
        <w:t xml:space="preserve"> personal</w:t>
      </w:r>
      <w:r w:rsidRPr="00116A43">
        <w:rPr>
          <w:rFonts w:ascii="Cambria" w:hAnsi="Cambria"/>
          <w:sz w:val="20"/>
          <w:szCs w:val="20"/>
          <w:lang w:val="es-PE"/>
        </w:rPr>
        <w:t xml:space="preserve"> de la bloguera (</w:t>
      </w:r>
      <w:r w:rsidR="00A547F1" w:rsidRPr="00116A43">
        <w:rPr>
          <w:rFonts w:ascii="Cambria" w:hAnsi="Cambria"/>
          <w:sz w:val="20"/>
          <w:szCs w:val="20"/>
          <w:lang w:val="es-PE"/>
        </w:rPr>
        <w:t>artículo V de la Declaración Americana</w:t>
      </w:r>
      <w:r w:rsidRPr="00116A43">
        <w:rPr>
          <w:rFonts w:ascii="Cambria" w:hAnsi="Cambria"/>
          <w:sz w:val="20"/>
          <w:szCs w:val="20"/>
          <w:lang w:val="es-PE"/>
        </w:rPr>
        <w:t>)</w:t>
      </w:r>
      <w:r w:rsidR="00E70608" w:rsidRPr="00116A43">
        <w:rPr>
          <w:rFonts w:ascii="Cambria" w:hAnsi="Cambria"/>
          <w:sz w:val="20"/>
          <w:szCs w:val="20"/>
          <w:lang w:val="es-PE"/>
        </w:rPr>
        <w:t xml:space="preserve">. </w:t>
      </w:r>
      <w:r w:rsidR="00F162FA" w:rsidRPr="00116A43">
        <w:rPr>
          <w:rFonts w:ascii="Cambria" w:hAnsi="Cambria"/>
          <w:sz w:val="20"/>
          <w:szCs w:val="20"/>
          <w:lang w:val="es-PE"/>
        </w:rPr>
        <w:t>Asimismo,</w:t>
      </w:r>
      <w:r w:rsidR="00E70608" w:rsidRPr="00116A43">
        <w:rPr>
          <w:rFonts w:ascii="Cambria" w:hAnsi="Cambria"/>
          <w:sz w:val="20"/>
          <w:szCs w:val="20"/>
          <w:lang w:val="es-PE"/>
        </w:rPr>
        <w:t xml:space="preserve"> los peticionarios señalan que</w:t>
      </w:r>
      <w:r w:rsidR="00A547F1" w:rsidRPr="00116A43">
        <w:rPr>
          <w:rFonts w:ascii="Cambria" w:hAnsi="Cambria"/>
          <w:sz w:val="20"/>
          <w:szCs w:val="20"/>
          <w:lang w:val="es-PE"/>
        </w:rPr>
        <w:t xml:space="preserve"> la interceptación telefónica</w:t>
      </w:r>
      <w:r w:rsidR="00E70608" w:rsidRPr="00116A43">
        <w:rPr>
          <w:rFonts w:ascii="Cambria" w:hAnsi="Cambria"/>
          <w:sz w:val="20"/>
          <w:szCs w:val="20"/>
          <w:lang w:val="es-PE"/>
        </w:rPr>
        <w:t xml:space="preserve"> y de las comunicaciones de Yoani es una práctica común y sistemática de las autoridades policiales en contra de personas consideradas como disidentes políticos con el fin de que el gobierno </w:t>
      </w:r>
      <w:r w:rsidR="00F162FA" w:rsidRPr="00116A43">
        <w:rPr>
          <w:rFonts w:ascii="Cambria" w:hAnsi="Cambria"/>
          <w:sz w:val="20"/>
          <w:szCs w:val="20"/>
          <w:lang w:val="es-PE"/>
        </w:rPr>
        <w:t xml:space="preserve">se informe sobre las reuniones y manifestaciones planificadas por estos.  Lo anterior </w:t>
      </w:r>
      <w:r w:rsidRPr="00116A43">
        <w:rPr>
          <w:rFonts w:ascii="Cambria" w:hAnsi="Cambria"/>
          <w:sz w:val="20"/>
          <w:szCs w:val="20"/>
          <w:lang w:val="es-PE"/>
        </w:rPr>
        <w:t>violó</w:t>
      </w:r>
      <w:r w:rsidR="00A547F1" w:rsidRPr="00116A43">
        <w:rPr>
          <w:rFonts w:ascii="Cambria" w:hAnsi="Cambria"/>
          <w:sz w:val="20"/>
          <w:szCs w:val="20"/>
          <w:lang w:val="es-PE"/>
        </w:rPr>
        <w:t xml:space="preserve"> el </w:t>
      </w:r>
      <w:r w:rsidR="00A547F1" w:rsidRPr="00116A43">
        <w:rPr>
          <w:rFonts w:ascii="Cambria" w:hAnsi="Cambria"/>
          <w:b/>
          <w:sz w:val="20"/>
          <w:szCs w:val="20"/>
          <w:lang w:val="es-PE"/>
        </w:rPr>
        <w:t>derecho a la inviolabilidad y circulación de la correspondencia</w:t>
      </w:r>
      <w:r w:rsidRPr="00116A43">
        <w:rPr>
          <w:rFonts w:ascii="Cambria" w:hAnsi="Cambria"/>
          <w:sz w:val="20"/>
          <w:szCs w:val="20"/>
          <w:lang w:val="es-PE"/>
        </w:rPr>
        <w:t xml:space="preserve"> </w:t>
      </w:r>
      <w:r w:rsidR="00F162FA" w:rsidRPr="00116A43">
        <w:rPr>
          <w:rFonts w:ascii="Cambria" w:hAnsi="Cambria"/>
          <w:sz w:val="20"/>
          <w:szCs w:val="20"/>
          <w:lang w:val="es-PE"/>
        </w:rPr>
        <w:t xml:space="preserve">de la bloguera </w:t>
      </w:r>
      <w:r w:rsidRPr="00116A43">
        <w:rPr>
          <w:rFonts w:ascii="Cambria" w:hAnsi="Cambria"/>
          <w:sz w:val="20"/>
          <w:szCs w:val="20"/>
          <w:lang w:val="es-PE"/>
        </w:rPr>
        <w:t>(artículo</w:t>
      </w:r>
      <w:r w:rsidR="00A547F1" w:rsidRPr="00116A43">
        <w:rPr>
          <w:rFonts w:ascii="Cambria" w:hAnsi="Cambria"/>
          <w:sz w:val="20"/>
          <w:szCs w:val="20"/>
          <w:lang w:val="es-PE"/>
        </w:rPr>
        <w:t xml:space="preserve"> X de la Declaración Americana). </w:t>
      </w:r>
    </w:p>
    <w:p w14:paraId="670793DC" w14:textId="77777777" w:rsidR="00E70608" w:rsidRPr="00116A43" w:rsidRDefault="00E70608" w:rsidP="00375047">
      <w:pPr>
        <w:pStyle w:val="ListParagraph"/>
        <w:ind w:left="0"/>
        <w:rPr>
          <w:sz w:val="20"/>
          <w:szCs w:val="20"/>
          <w:lang w:val="es-PE"/>
        </w:rPr>
      </w:pPr>
    </w:p>
    <w:p w14:paraId="602A9902" w14:textId="3FB26210" w:rsidR="00A547F1" w:rsidRPr="00116A43" w:rsidRDefault="007E2E8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Señalan que personas vinculadas al régimen vigilan constantemente los entornos de la residencia de la presunta víctima, incluso algunas veces interrogando a las personas que visitan a la bloguera, lo cual constituye una violación a su </w:t>
      </w:r>
      <w:r w:rsidR="00E70608" w:rsidRPr="00116A43">
        <w:rPr>
          <w:rFonts w:ascii="Cambria" w:hAnsi="Cambria"/>
          <w:b/>
          <w:sz w:val="20"/>
          <w:szCs w:val="20"/>
          <w:lang w:val="es-PE"/>
        </w:rPr>
        <w:t>derecho a la inviolabilidad del domicilio</w:t>
      </w:r>
      <w:r w:rsidRPr="00116A43">
        <w:rPr>
          <w:rFonts w:ascii="Cambria" w:hAnsi="Cambria"/>
          <w:sz w:val="20"/>
          <w:szCs w:val="20"/>
          <w:lang w:val="es-PE"/>
        </w:rPr>
        <w:t xml:space="preserve"> (artículo</w:t>
      </w:r>
      <w:r w:rsidR="00E70608" w:rsidRPr="00116A43">
        <w:rPr>
          <w:rFonts w:ascii="Cambria" w:hAnsi="Cambria"/>
          <w:sz w:val="20"/>
          <w:szCs w:val="20"/>
          <w:lang w:val="es-PE"/>
        </w:rPr>
        <w:t xml:space="preserve"> IX de </w:t>
      </w:r>
      <w:r w:rsidRPr="00116A43">
        <w:rPr>
          <w:rFonts w:ascii="Cambria" w:hAnsi="Cambria"/>
          <w:sz w:val="20"/>
          <w:szCs w:val="20"/>
          <w:lang w:val="es-PE"/>
        </w:rPr>
        <w:t>la Declaración Americana).</w:t>
      </w:r>
    </w:p>
    <w:p w14:paraId="2DC0F5D0" w14:textId="77777777" w:rsidR="00D74723" w:rsidRPr="00116A43" w:rsidRDefault="00D74723" w:rsidP="00375047">
      <w:pPr>
        <w:pStyle w:val="ListParagraph"/>
        <w:ind w:left="0"/>
        <w:rPr>
          <w:sz w:val="20"/>
          <w:szCs w:val="20"/>
          <w:lang w:val="es-PE"/>
        </w:rPr>
      </w:pPr>
    </w:p>
    <w:p w14:paraId="509D179A" w14:textId="16C32464" w:rsidR="00D4004F" w:rsidRPr="00116A43" w:rsidRDefault="00D4004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La parte peticionaria señala que el Estado violó el </w:t>
      </w:r>
      <w:r w:rsidRPr="00116A43">
        <w:rPr>
          <w:rFonts w:ascii="Cambria" w:hAnsi="Cambria"/>
          <w:b/>
          <w:sz w:val="20"/>
          <w:szCs w:val="20"/>
        </w:rPr>
        <w:t>derecho a la</w:t>
      </w:r>
      <w:r w:rsidRPr="00116A43">
        <w:rPr>
          <w:rFonts w:ascii="Cambria" w:hAnsi="Cambria"/>
          <w:b/>
          <w:sz w:val="20"/>
          <w:szCs w:val="20"/>
          <w:lang w:val="es-PE"/>
        </w:rPr>
        <w:t xml:space="preserve"> libertad de expresión</w:t>
      </w:r>
      <w:r w:rsidRPr="00116A43">
        <w:rPr>
          <w:rFonts w:ascii="Cambria" w:hAnsi="Cambria"/>
          <w:sz w:val="20"/>
          <w:szCs w:val="20"/>
          <w:lang w:val="es-PE"/>
        </w:rPr>
        <w:t xml:space="preserve"> (artículo IV de la Declaración Americana) </w:t>
      </w:r>
      <w:r w:rsidR="00AA2D14" w:rsidRPr="00116A43">
        <w:rPr>
          <w:rFonts w:ascii="Cambria" w:hAnsi="Cambria"/>
          <w:sz w:val="20"/>
          <w:szCs w:val="20"/>
          <w:lang w:val="es-PE"/>
        </w:rPr>
        <w:t xml:space="preserve">de la bloguera debido a que las denegaciones de salida del país; las campañas públicas de descrédito, insulto y amenaza, así como las detenciones arbitrarias tienen su origen en el ejercicio de su derecho a la libertad de expresión y constituyen una forma de represalia. Asimismo, destacan que el impedimento de acceder al blog “Generación Y” en los sitios públicos de internet en Cuba, a través de la implementación de un filtro informático por el Estado, también viola este derecho. La persecución, al decir de los peticionarios, se inserta </w:t>
      </w:r>
      <w:r w:rsidRPr="00116A43">
        <w:rPr>
          <w:rFonts w:ascii="Cambria" w:hAnsi="Cambria"/>
          <w:sz w:val="20"/>
          <w:szCs w:val="20"/>
          <w:lang w:val="es-PE"/>
        </w:rPr>
        <w:t>en un panorama general de perse</w:t>
      </w:r>
      <w:r w:rsidR="00AA2D14" w:rsidRPr="00116A43">
        <w:rPr>
          <w:rFonts w:ascii="Cambria" w:hAnsi="Cambria"/>
          <w:sz w:val="20"/>
          <w:szCs w:val="20"/>
          <w:lang w:val="es-PE"/>
        </w:rPr>
        <w:t>cución a periodistas y falta de</w:t>
      </w:r>
      <w:r w:rsidRPr="00116A43">
        <w:rPr>
          <w:rFonts w:ascii="Cambria" w:hAnsi="Cambria"/>
          <w:sz w:val="20"/>
          <w:szCs w:val="20"/>
          <w:lang w:val="es-PE"/>
        </w:rPr>
        <w:t xml:space="preserve"> reconocimiento del derecho a libertad</w:t>
      </w:r>
      <w:r w:rsidR="00AA2D14" w:rsidRPr="00116A43">
        <w:rPr>
          <w:rFonts w:ascii="Cambria" w:hAnsi="Cambria"/>
          <w:sz w:val="20"/>
          <w:szCs w:val="20"/>
          <w:lang w:val="es-PE"/>
        </w:rPr>
        <w:t xml:space="preserve"> de expresión en Cuba, el cual l</w:t>
      </w:r>
      <w:r w:rsidRPr="00116A43">
        <w:rPr>
          <w:rFonts w:ascii="Cambria" w:hAnsi="Cambria"/>
          <w:sz w:val="20"/>
          <w:szCs w:val="20"/>
          <w:lang w:val="es-PE"/>
        </w:rPr>
        <w:t xml:space="preserve">a CIDH ya habría identificado. </w:t>
      </w:r>
    </w:p>
    <w:p w14:paraId="4DBD3651" w14:textId="77777777" w:rsidR="00AA2D14" w:rsidRPr="00116A43" w:rsidRDefault="00AA2D14" w:rsidP="00375047">
      <w:pPr>
        <w:pStyle w:val="ListParagraph"/>
        <w:ind w:left="0"/>
        <w:rPr>
          <w:sz w:val="20"/>
          <w:szCs w:val="20"/>
          <w:lang w:val="es-PE"/>
        </w:rPr>
      </w:pPr>
    </w:p>
    <w:p w14:paraId="1AFC587E" w14:textId="10036674" w:rsidR="00440CDD" w:rsidRPr="00116A43" w:rsidRDefault="001E65E4"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lang w:val="es-PE"/>
        </w:rPr>
      </w:pPr>
      <w:r w:rsidRPr="00116A43">
        <w:rPr>
          <w:rFonts w:ascii="Cambria" w:hAnsi="Cambria"/>
          <w:sz w:val="20"/>
          <w:szCs w:val="20"/>
        </w:rPr>
        <w:t>L</w:t>
      </w:r>
      <w:r w:rsidRPr="00116A43">
        <w:rPr>
          <w:rFonts w:ascii="Cambria" w:hAnsi="Cambria"/>
          <w:sz w:val="20"/>
          <w:szCs w:val="20"/>
          <w:lang w:val="es-PE"/>
        </w:rPr>
        <w:t>a</w:t>
      </w:r>
      <w:r w:rsidR="00F81C89" w:rsidRPr="00116A43">
        <w:rPr>
          <w:rFonts w:ascii="Cambria" w:hAnsi="Cambria"/>
          <w:sz w:val="20"/>
          <w:szCs w:val="20"/>
          <w:lang w:val="es-PE"/>
        </w:rPr>
        <w:t xml:space="preserve"> </w:t>
      </w:r>
      <w:r w:rsidRPr="00116A43">
        <w:rPr>
          <w:rFonts w:ascii="Cambria" w:hAnsi="Cambria"/>
          <w:sz w:val="20"/>
          <w:szCs w:val="20"/>
          <w:lang w:val="es-PE"/>
        </w:rPr>
        <w:t>parte</w:t>
      </w:r>
      <w:r w:rsidR="00440CDD" w:rsidRPr="00116A43">
        <w:rPr>
          <w:rFonts w:ascii="Cambria" w:hAnsi="Cambria"/>
          <w:sz w:val="20"/>
          <w:szCs w:val="20"/>
          <w:lang w:val="es-PE"/>
        </w:rPr>
        <w:t xml:space="preserve"> peticionaria</w:t>
      </w:r>
      <w:r w:rsidRPr="00116A43">
        <w:rPr>
          <w:rFonts w:ascii="Cambria" w:hAnsi="Cambria"/>
          <w:sz w:val="20"/>
          <w:szCs w:val="20"/>
          <w:lang w:val="es-PE"/>
        </w:rPr>
        <w:t xml:space="preserve"> también</w:t>
      </w:r>
      <w:r w:rsidR="00440CDD" w:rsidRPr="00116A43">
        <w:rPr>
          <w:rFonts w:ascii="Cambria" w:hAnsi="Cambria"/>
          <w:sz w:val="20"/>
          <w:szCs w:val="20"/>
          <w:lang w:val="es-PE"/>
        </w:rPr>
        <w:t xml:space="preserve"> </w:t>
      </w:r>
      <w:r w:rsidRPr="00116A43">
        <w:rPr>
          <w:rFonts w:ascii="Cambria" w:hAnsi="Cambria"/>
          <w:sz w:val="20"/>
          <w:szCs w:val="20"/>
          <w:lang w:val="es-PE"/>
        </w:rPr>
        <w:t>considera que el Estado violó</w:t>
      </w:r>
      <w:r w:rsidR="00440CDD" w:rsidRPr="00116A43">
        <w:rPr>
          <w:rFonts w:ascii="Cambria" w:hAnsi="Cambria"/>
          <w:sz w:val="20"/>
          <w:szCs w:val="20"/>
          <w:lang w:val="es-PE"/>
        </w:rPr>
        <w:t xml:space="preserve"> </w:t>
      </w:r>
      <w:r w:rsidRPr="00116A43">
        <w:rPr>
          <w:rFonts w:ascii="Cambria" w:hAnsi="Cambria"/>
          <w:sz w:val="20"/>
          <w:szCs w:val="20"/>
          <w:lang w:val="es-PE"/>
        </w:rPr>
        <w:t>e</w:t>
      </w:r>
      <w:r w:rsidR="00440CDD" w:rsidRPr="00116A43">
        <w:rPr>
          <w:rFonts w:ascii="Cambria" w:hAnsi="Cambria"/>
          <w:sz w:val="20"/>
          <w:szCs w:val="20"/>
          <w:lang w:val="es-PE"/>
        </w:rPr>
        <w:t xml:space="preserve">l </w:t>
      </w:r>
      <w:r w:rsidR="00440CDD" w:rsidRPr="00116A43">
        <w:rPr>
          <w:rFonts w:ascii="Cambria" w:hAnsi="Cambria"/>
          <w:b/>
          <w:sz w:val="20"/>
          <w:szCs w:val="20"/>
          <w:lang w:val="es-PE"/>
        </w:rPr>
        <w:t>derecho de sufragio y participación en el gobierno</w:t>
      </w:r>
      <w:r w:rsidR="00B650ED" w:rsidRPr="00116A43">
        <w:rPr>
          <w:rFonts w:ascii="Cambria" w:hAnsi="Cambria"/>
          <w:sz w:val="20"/>
          <w:szCs w:val="20"/>
          <w:lang w:val="es-PE"/>
        </w:rPr>
        <w:t xml:space="preserve"> </w:t>
      </w:r>
      <w:r w:rsidR="00D4004F" w:rsidRPr="00116A43">
        <w:rPr>
          <w:rFonts w:ascii="Cambria" w:hAnsi="Cambria"/>
          <w:sz w:val="20"/>
          <w:szCs w:val="20"/>
          <w:lang w:val="es-PE"/>
        </w:rPr>
        <w:t xml:space="preserve">de Yoani Sánchez </w:t>
      </w:r>
      <w:r w:rsidR="00B650ED" w:rsidRPr="00116A43">
        <w:rPr>
          <w:rFonts w:ascii="Cambria" w:hAnsi="Cambria"/>
          <w:sz w:val="20"/>
          <w:szCs w:val="20"/>
          <w:lang w:val="es-PE"/>
        </w:rPr>
        <w:t>(</w:t>
      </w:r>
      <w:r w:rsidR="00440CDD" w:rsidRPr="00116A43">
        <w:rPr>
          <w:rFonts w:ascii="Cambria" w:hAnsi="Cambria"/>
          <w:sz w:val="20"/>
          <w:szCs w:val="20"/>
          <w:lang w:val="es-PE"/>
        </w:rPr>
        <w:t>artículo XX de la Declaración Americana</w:t>
      </w:r>
      <w:r w:rsidR="00B650ED" w:rsidRPr="00116A43">
        <w:rPr>
          <w:rFonts w:ascii="Cambria" w:hAnsi="Cambria"/>
          <w:sz w:val="20"/>
          <w:szCs w:val="20"/>
          <w:lang w:val="es-PE"/>
        </w:rPr>
        <w:t>)</w:t>
      </w:r>
      <w:r w:rsidRPr="00116A43">
        <w:rPr>
          <w:rFonts w:ascii="Cambria" w:hAnsi="Cambria"/>
          <w:sz w:val="20"/>
          <w:szCs w:val="20"/>
          <w:lang w:val="es-PE"/>
        </w:rPr>
        <w:t>. Indica que este derecho incluye el poder</w:t>
      </w:r>
      <w:r w:rsidR="00440CDD" w:rsidRPr="00116A43">
        <w:rPr>
          <w:rFonts w:ascii="Cambria" w:hAnsi="Cambria"/>
          <w:sz w:val="20"/>
          <w:szCs w:val="20"/>
          <w:lang w:val="es-PE"/>
        </w:rPr>
        <w:t xml:space="preserve"> manifestar libre</w:t>
      </w:r>
      <w:r w:rsidRPr="00116A43">
        <w:rPr>
          <w:rFonts w:ascii="Cambria" w:hAnsi="Cambria"/>
          <w:sz w:val="20"/>
          <w:szCs w:val="20"/>
          <w:lang w:val="es-PE"/>
        </w:rPr>
        <w:t>mente críticas al gobierno y pro</w:t>
      </w:r>
      <w:r w:rsidR="00D4004F" w:rsidRPr="00116A43">
        <w:rPr>
          <w:rFonts w:ascii="Cambria" w:hAnsi="Cambria"/>
          <w:sz w:val="20"/>
          <w:szCs w:val="20"/>
          <w:lang w:val="es-PE"/>
        </w:rPr>
        <w:t xml:space="preserve">poner reformas políticas. Los peticionarios señalan que el Estado </w:t>
      </w:r>
      <w:r w:rsidRPr="00116A43">
        <w:rPr>
          <w:rFonts w:ascii="Cambria" w:hAnsi="Cambria"/>
          <w:sz w:val="20"/>
          <w:szCs w:val="20"/>
          <w:lang w:val="es-PE"/>
        </w:rPr>
        <w:t>violó</w:t>
      </w:r>
      <w:r w:rsidR="00D4004F" w:rsidRPr="00116A43">
        <w:rPr>
          <w:rFonts w:ascii="Cambria" w:hAnsi="Cambria"/>
          <w:sz w:val="20"/>
          <w:szCs w:val="20"/>
          <w:lang w:val="es-PE"/>
        </w:rPr>
        <w:t xml:space="preserve"> este derecho</w:t>
      </w:r>
      <w:r w:rsidRPr="00116A43">
        <w:rPr>
          <w:rFonts w:ascii="Cambria" w:hAnsi="Cambria"/>
          <w:sz w:val="20"/>
          <w:szCs w:val="20"/>
          <w:lang w:val="es-PE"/>
        </w:rPr>
        <w:t xml:space="preserve"> debido a la persecución policial y detenciones </w:t>
      </w:r>
      <w:r w:rsidR="00D4004F" w:rsidRPr="00116A43">
        <w:rPr>
          <w:rFonts w:ascii="Cambria" w:hAnsi="Cambria"/>
          <w:sz w:val="20"/>
          <w:szCs w:val="20"/>
          <w:lang w:val="es-PE"/>
        </w:rPr>
        <w:t xml:space="preserve">efectuadas </w:t>
      </w:r>
      <w:r w:rsidRPr="00116A43">
        <w:rPr>
          <w:rFonts w:ascii="Cambria" w:hAnsi="Cambria"/>
          <w:sz w:val="20"/>
          <w:szCs w:val="20"/>
          <w:lang w:val="es-PE"/>
        </w:rPr>
        <w:t>contra la bloguera con motivo de su</w:t>
      </w:r>
      <w:r w:rsidR="00D4004F" w:rsidRPr="00116A43">
        <w:rPr>
          <w:rFonts w:ascii="Cambria" w:hAnsi="Cambria"/>
          <w:sz w:val="20"/>
          <w:szCs w:val="20"/>
          <w:lang w:val="es-PE"/>
        </w:rPr>
        <w:t>s</w:t>
      </w:r>
      <w:r w:rsidRPr="00116A43">
        <w:rPr>
          <w:rFonts w:ascii="Cambria" w:hAnsi="Cambria"/>
          <w:sz w:val="20"/>
          <w:szCs w:val="20"/>
          <w:lang w:val="es-PE"/>
        </w:rPr>
        <w:t xml:space="preserve"> expresi</w:t>
      </w:r>
      <w:r w:rsidR="00D4004F" w:rsidRPr="00116A43">
        <w:rPr>
          <w:rFonts w:ascii="Cambria" w:hAnsi="Cambria"/>
          <w:sz w:val="20"/>
          <w:szCs w:val="20"/>
          <w:lang w:val="es-PE"/>
        </w:rPr>
        <w:t>ones</w:t>
      </w:r>
      <w:r w:rsidRPr="00116A43">
        <w:rPr>
          <w:rFonts w:ascii="Cambria" w:hAnsi="Cambria"/>
          <w:sz w:val="20"/>
          <w:szCs w:val="20"/>
          <w:lang w:val="es-PE"/>
        </w:rPr>
        <w:t xml:space="preserve"> de </w:t>
      </w:r>
      <w:r w:rsidR="00D4004F" w:rsidRPr="00116A43">
        <w:rPr>
          <w:rFonts w:ascii="Cambria" w:hAnsi="Cambria"/>
          <w:sz w:val="20"/>
          <w:szCs w:val="20"/>
          <w:lang w:val="es-PE"/>
        </w:rPr>
        <w:t>rechazo contra el gobierno y sus denuncias sobre</w:t>
      </w:r>
      <w:r w:rsidRPr="00116A43">
        <w:rPr>
          <w:rFonts w:ascii="Cambria" w:hAnsi="Cambria"/>
          <w:sz w:val="20"/>
          <w:szCs w:val="20"/>
          <w:lang w:val="es-PE"/>
        </w:rPr>
        <w:t xml:space="preserve"> los abusos y falta de libertades </w:t>
      </w:r>
      <w:r w:rsidRPr="00116A43">
        <w:rPr>
          <w:rFonts w:ascii="Cambria" w:hAnsi="Cambria"/>
          <w:sz w:val="20"/>
          <w:szCs w:val="20"/>
          <w:lang w:val="es-PE"/>
        </w:rPr>
        <w:lastRenderedPageBreak/>
        <w:t>en Cuba.</w:t>
      </w:r>
      <w:r w:rsidR="00440CDD" w:rsidRPr="00116A43">
        <w:rPr>
          <w:rFonts w:ascii="Cambria" w:hAnsi="Cambria"/>
          <w:sz w:val="20"/>
          <w:szCs w:val="20"/>
          <w:lang w:val="es-PE"/>
        </w:rPr>
        <w:t xml:space="preserve"> Los peticionarios afirman que la libertad de expresión es esencial para “la toma de decisiones que afectan la comunidad” y, por eso, tiene íntima relación con el sufragio y participación política.</w:t>
      </w:r>
      <w:r w:rsidR="00D349B1" w:rsidRPr="00116A43">
        <w:rPr>
          <w:rFonts w:ascii="Cambria" w:hAnsi="Cambria"/>
          <w:sz w:val="20"/>
          <w:szCs w:val="20"/>
          <w:lang w:val="es-PE"/>
        </w:rPr>
        <w:t xml:space="preserve"> </w:t>
      </w:r>
    </w:p>
    <w:p w14:paraId="41D58ACF" w14:textId="77777777" w:rsidR="00D4004F" w:rsidRPr="00116A43" w:rsidRDefault="00D4004F"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46071A56" w14:textId="39EA27B5" w:rsidR="00D4004F" w:rsidRPr="00116A43" w:rsidRDefault="00D4004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PE"/>
        </w:rPr>
        <w:t xml:space="preserve">Finalmente, la parte peticionaria sostiene que Yoani Sánchez es perseguida, torturada y le es denegada la salida del país únicamente con base en sus opiniones políticas y el ejercicio de su derecho a la libertad de expresión. La parte peticionaria señala que existen personas que pueden salir sin mayor problema y que pueden expresar libremente sus opiniones políticas siempre que estén alineadas con el socialismo y la doctrina oficial del gobierno cubano. Este trato diferenciado acarrea la violación del </w:t>
      </w:r>
      <w:r w:rsidRPr="00116A43">
        <w:rPr>
          <w:rFonts w:ascii="Cambria" w:hAnsi="Cambria"/>
          <w:b/>
          <w:sz w:val="20"/>
          <w:szCs w:val="20"/>
          <w:lang w:val="es-PE"/>
        </w:rPr>
        <w:t>derecho a la</w:t>
      </w:r>
      <w:r w:rsidRPr="00116A43">
        <w:rPr>
          <w:rFonts w:ascii="Cambria" w:hAnsi="Cambria"/>
          <w:sz w:val="20"/>
          <w:szCs w:val="20"/>
          <w:lang w:val="es-PE"/>
        </w:rPr>
        <w:t xml:space="preserve"> </w:t>
      </w:r>
      <w:r w:rsidRPr="00116A43">
        <w:rPr>
          <w:rFonts w:ascii="Cambria" w:hAnsi="Cambria"/>
          <w:b/>
          <w:sz w:val="20"/>
          <w:szCs w:val="20"/>
          <w:lang w:val="es-PE"/>
        </w:rPr>
        <w:t>igualdad ante la ley</w:t>
      </w:r>
      <w:r w:rsidRPr="00116A43">
        <w:rPr>
          <w:rFonts w:ascii="Cambria" w:hAnsi="Cambria"/>
          <w:sz w:val="20"/>
          <w:szCs w:val="20"/>
          <w:lang w:val="es-PE"/>
        </w:rPr>
        <w:t xml:space="preserve"> (artículo II de la Declaración Americana).  </w:t>
      </w:r>
      <w:r w:rsidRPr="00116A43">
        <w:rPr>
          <w:rFonts w:ascii="Cambria" w:hAnsi="Cambria"/>
          <w:sz w:val="20"/>
          <w:szCs w:val="20"/>
        </w:rPr>
        <w:t xml:space="preserve"> </w:t>
      </w:r>
    </w:p>
    <w:p w14:paraId="1698CBD6" w14:textId="39A1FEFE" w:rsidR="00536F65" w:rsidRPr="00116A43" w:rsidRDefault="00536F65" w:rsidP="005F7FE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34185E3" w14:textId="48D86CC7" w:rsidR="00B44D0F" w:rsidRPr="00116A43" w:rsidRDefault="00B44D0F" w:rsidP="004F709F">
      <w:pPr>
        <w:pStyle w:val="Heading2"/>
      </w:pPr>
      <w:bookmarkStart w:id="6" w:name="_Toc89157553"/>
      <w:r w:rsidRPr="00116A43">
        <w:t>Posición del Estado</w:t>
      </w:r>
      <w:bookmarkEnd w:id="6"/>
    </w:p>
    <w:p w14:paraId="4A7D4C38" w14:textId="77777777" w:rsidR="009523C6" w:rsidRPr="00116A43" w:rsidRDefault="009523C6" w:rsidP="005F7FE2">
      <w:pPr>
        <w:rPr>
          <w:rFonts w:ascii="Cambria" w:hAnsi="Cambria"/>
          <w:sz w:val="20"/>
          <w:szCs w:val="20"/>
          <w:lang w:val="es-PE"/>
        </w:rPr>
      </w:pPr>
    </w:p>
    <w:p w14:paraId="2236D4B5" w14:textId="02E53222" w:rsidR="00B44D0F"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Hasta e</w:t>
      </w:r>
      <w:r w:rsidR="00303BE7" w:rsidRPr="00116A43">
        <w:rPr>
          <w:rFonts w:ascii="Cambria" w:hAnsi="Cambria"/>
          <w:sz w:val="20"/>
          <w:szCs w:val="20"/>
        </w:rPr>
        <w:t xml:space="preserve">l momento de la adopción del presente informe, el Estado no ha proporcionado sus observaciones sobre la admisibilidad de la petición ni </w:t>
      </w:r>
      <w:r w:rsidR="003936BA" w:rsidRPr="00116A43">
        <w:rPr>
          <w:rFonts w:ascii="Cambria" w:hAnsi="Cambria"/>
          <w:sz w:val="20"/>
          <w:szCs w:val="20"/>
        </w:rPr>
        <w:t xml:space="preserve">sobre </w:t>
      </w:r>
      <w:r w:rsidR="00303BE7" w:rsidRPr="00116A43">
        <w:rPr>
          <w:rFonts w:ascii="Cambria" w:hAnsi="Cambria"/>
          <w:sz w:val="20"/>
          <w:szCs w:val="20"/>
        </w:rPr>
        <w:t>el fondo del caso</w:t>
      </w:r>
      <w:r w:rsidR="00B44D0F" w:rsidRPr="00116A43">
        <w:rPr>
          <w:rFonts w:ascii="Cambria" w:hAnsi="Cambria"/>
          <w:sz w:val="20"/>
          <w:szCs w:val="20"/>
        </w:rPr>
        <w:t>.</w:t>
      </w:r>
      <w:r w:rsidR="008A4602" w:rsidRPr="00116A43">
        <w:rPr>
          <w:rFonts w:ascii="Cambria" w:hAnsi="Cambria"/>
          <w:sz w:val="20"/>
          <w:szCs w:val="20"/>
        </w:rPr>
        <w:t xml:space="preserve"> </w:t>
      </w:r>
    </w:p>
    <w:p w14:paraId="375E8334" w14:textId="77777777" w:rsidR="009523C6" w:rsidRPr="00116A43" w:rsidRDefault="009523C6" w:rsidP="005F7FE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4C5DA8B" w14:textId="4B22176B" w:rsidR="001F3980" w:rsidRPr="00116A43" w:rsidRDefault="001F3980" w:rsidP="00375047">
      <w:pPr>
        <w:pStyle w:val="Heading1"/>
      </w:pPr>
      <w:bookmarkStart w:id="7" w:name="_Toc89157554"/>
      <w:r w:rsidRPr="00116A43">
        <w:t>ANÁLISIS DE ADMISIBILIDAD</w:t>
      </w:r>
      <w:bookmarkEnd w:id="7"/>
    </w:p>
    <w:p w14:paraId="75E94D84" w14:textId="77777777" w:rsidR="009523C6" w:rsidRPr="00116A43" w:rsidRDefault="009523C6" w:rsidP="005F7FE2">
      <w:pPr>
        <w:rPr>
          <w:sz w:val="20"/>
          <w:szCs w:val="20"/>
          <w:lang w:val="es-UY"/>
        </w:rPr>
      </w:pPr>
    </w:p>
    <w:p w14:paraId="3444D20F" w14:textId="710790E0" w:rsidR="009523C6" w:rsidRPr="004F709F" w:rsidRDefault="00C116BD" w:rsidP="004F709F">
      <w:pPr>
        <w:pStyle w:val="Heading2"/>
      </w:pPr>
      <w:bookmarkStart w:id="8" w:name="_Toc89157555"/>
      <w:r w:rsidRPr="004F709F">
        <w:t>A</w:t>
      </w:r>
      <w:r w:rsidR="00E510E5" w:rsidRPr="004F709F">
        <w:t xml:space="preserve">. </w:t>
      </w:r>
      <w:r w:rsidR="009523C6" w:rsidRPr="004F709F">
        <w:tab/>
      </w:r>
      <w:r w:rsidR="00FA2A97" w:rsidRPr="004F709F">
        <w:t>Competencia, duplicación de procedimientos y cosa juzgada internacional</w:t>
      </w:r>
      <w:bookmarkEnd w:id="8"/>
      <w:r w:rsidR="00FA2A97" w:rsidRPr="004F709F">
        <w:t xml:space="preserve"> </w:t>
      </w:r>
    </w:p>
    <w:p w14:paraId="5538D985" w14:textId="0E5F9CD2" w:rsidR="00801F7E" w:rsidRPr="00116A43" w:rsidRDefault="00801F7E" w:rsidP="004F709F">
      <w:pPr>
        <w:pStyle w:val="Heading2"/>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796"/>
      </w:tblGrid>
      <w:tr w:rsidR="00F67B40" w:rsidRPr="00116A43" w14:paraId="4AB37A14" w14:textId="77777777" w:rsidTr="0057466A">
        <w:trPr>
          <w:cantSplit/>
          <w:trHeight w:val="260"/>
        </w:trPr>
        <w:tc>
          <w:tcPr>
            <w:tcW w:w="3492" w:type="dxa"/>
            <w:tcBorders>
              <w:top w:val="single" w:sz="4" w:space="0" w:color="auto"/>
              <w:bottom w:val="single" w:sz="6" w:space="0" w:color="auto"/>
            </w:tcBorders>
            <w:shd w:val="clear" w:color="auto" w:fill="386294"/>
            <w:vAlign w:val="center"/>
          </w:tcPr>
          <w:p w14:paraId="31D1C24D" w14:textId="77777777" w:rsidR="00F67B40" w:rsidRPr="00116A43" w:rsidRDefault="00F67B40" w:rsidP="005F7FE2">
            <w:pPr>
              <w:jc w:val="center"/>
              <w:rPr>
                <w:rFonts w:ascii="Cambria" w:hAnsi="Cambria"/>
                <w:b/>
                <w:bCs/>
                <w:i/>
                <w:color w:val="FFFFFF"/>
                <w:sz w:val="20"/>
                <w:szCs w:val="20"/>
              </w:rPr>
            </w:pPr>
            <w:r w:rsidRPr="00116A43">
              <w:rPr>
                <w:rFonts w:ascii="Cambria" w:hAnsi="Cambria"/>
                <w:b/>
                <w:bCs/>
                <w:color w:val="FFFFFF"/>
                <w:sz w:val="20"/>
                <w:szCs w:val="20"/>
              </w:rPr>
              <w:t>Competencia</w:t>
            </w:r>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Ratione</w:t>
            </w:r>
            <w:proofErr w:type="spellEnd"/>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personae</w:t>
            </w:r>
            <w:proofErr w:type="spellEnd"/>
            <w:r w:rsidRPr="00116A43">
              <w:rPr>
                <w:rFonts w:ascii="Cambria" w:hAnsi="Cambria"/>
                <w:b/>
                <w:bCs/>
                <w:i/>
                <w:color w:val="FFFFFF"/>
                <w:sz w:val="20"/>
                <w:szCs w:val="20"/>
              </w:rPr>
              <w:t>:</w:t>
            </w:r>
          </w:p>
        </w:tc>
        <w:tc>
          <w:tcPr>
            <w:tcW w:w="5796" w:type="dxa"/>
            <w:shd w:val="clear" w:color="auto" w:fill="auto"/>
            <w:vAlign w:val="center"/>
          </w:tcPr>
          <w:p w14:paraId="5717E4DB" w14:textId="77777777" w:rsidR="00F67B40" w:rsidRPr="00116A43" w:rsidRDefault="00F67B40" w:rsidP="005F7FE2">
            <w:pPr>
              <w:rPr>
                <w:rFonts w:ascii="Cambria" w:hAnsi="Cambria"/>
                <w:bCs/>
                <w:sz w:val="20"/>
                <w:szCs w:val="20"/>
              </w:rPr>
            </w:pPr>
            <w:r w:rsidRPr="00116A43">
              <w:rPr>
                <w:rFonts w:ascii="Cambria" w:hAnsi="Cambria" w:cs="Univers"/>
                <w:color w:val="0D0D0D"/>
                <w:sz w:val="20"/>
                <w:szCs w:val="20"/>
                <w:lang w:val="es-ES_tradnl"/>
              </w:rPr>
              <w:t>Sí</w:t>
            </w:r>
          </w:p>
        </w:tc>
      </w:tr>
      <w:tr w:rsidR="00F67B40" w:rsidRPr="00116A43" w14:paraId="661E2A32" w14:textId="77777777" w:rsidTr="0057466A">
        <w:trPr>
          <w:cantSplit/>
          <w:trHeight w:val="300"/>
        </w:trPr>
        <w:tc>
          <w:tcPr>
            <w:tcW w:w="3492" w:type="dxa"/>
            <w:tcBorders>
              <w:top w:val="single" w:sz="6" w:space="0" w:color="auto"/>
              <w:bottom w:val="single" w:sz="6" w:space="0" w:color="auto"/>
            </w:tcBorders>
            <w:shd w:val="clear" w:color="auto" w:fill="386294"/>
            <w:vAlign w:val="center"/>
          </w:tcPr>
          <w:p w14:paraId="625F26E8" w14:textId="77777777" w:rsidR="00F67B40" w:rsidRPr="00116A43" w:rsidRDefault="00F67B40" w:rsidP="005F7FE2">
            <w:pPr>
              <w:jc w:val="center"/>
              <w:rPr>
                <w:rFonts w:ascii="Cambria" w:hAnsi="Cambria"/>
                <w:b/>
                <w:bCs/>
                <w:color w:val="FFFFFF"/>
                <w:sz w:val="20"/>
                <w:szCs w:val="20"/>
              </w:rPr>
            </w:pPr>
            <w:r w:rsidRPr="00116A43">
              <w:rPr>
                <w:rFonts w:ascii="Cambria" w:hAnsi="Cambria"/>
                <w:b/>
                <w:bCs/>
                <w:color w:val="FFFFFF"/>
                <w:sz w:val="20"/>
                <w:szCs w:val="20"/>
              </w:rPr>
              <w:t>Competencia</w:t>
            </w:r>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Ratione</w:t>
            </w:r>
            <w:proofErr w:type="spellEnd"/>
            <w:r w:rsidRPr="00116A43">
              <w:rPr>
                <w:rFonts w:ascii="Cambria" w:hAnsi="Cambria"/>
                <w:b/>
                <w:bCs/>
                <w:i/>
                <w:color w:val="FFFFFF"/>
                <w:sz w:val="20"/>
                <w:szCs w:val="20"/>
              </w:rPr>
              <w:t xml:space="preserve"> loci</w:t>
            </w:r>
            <w:r w:rsidRPr="00116A43">
              <w:rPr>
                <w:rFonts w:ascii="Cambria" w:hAnsi="Cambria"/>
                <w:b/>
                <w:bCs/>
                <w:color w:val="FFFFFF"/>
                <w:sz w:val="20"/>
                <w:szCs w:val="20"/>
              </w:rPr>
              <w:t>:</w:t>
            </w:r>
          </w:p>
        </w:tc>
        <w:tc>
          <w:tcPr>
            <w:tcW w:w="5796" w:type="dxa"/>
            <w:shd w:val="clear" w:color="auto" w:fill="auto"/>
            <w:vAlign w:val="center"/>
          </w:tcPr>
          <w:p w14:paraId="776483B8" w14:textId="77777777" w:rsidR="00F67B40" w:rsidRPr="00116A43" w:rsidRDefault="00F67B40" w:rsidP="005F7FE2">
            <w:pPr>
              <w:rPr>
                <w:rFonts w:ascii="Cambria" w:hAnsi="Cambria"/>
                <w:bCs/>
                <w:sz w:val="20"/>
                <w:szCs w:val="20"/>
              </w:rPr>
            </w:pPr>
            <w:r w:rsidRPr="00116A43">
              <w:rPr>
                <w:rFonts w:ascii="Cambria" w:hAnsi="Cambria" w:cs="Univers"/>
                <w:color w:val="0D0D0D"/>
                <w:sz w:val="20"/>
                <w:szCs w:val="20"/>
                <w:lang w:val="es-ES_tradnl"/>
              </w:rPr>
              <w:t>Sí</w:t>
            </w:r>
          </w:p>
        </w:tc>
      </w:tr>
      <w:tr w:rsidR="00F67B40" w:rsidRPr="00116A43" w14:paraId="12607822" w14:textId="77777777" w:rsidTr="0057466A">
        <w:trPr>
          <w:cantSplit/>
          <w:trHeight w:val="282"/>
        </w:trPr>
        <w:tc>
          <w:tcPr>
            <w:tcW w:w="3492" w:type="dxa"/>
            <w:tcBorders>
              <w:top w:val="single" w:sz="6" w:space="0" w:color="auto"/>
              <w:bottom w:val="single" w:sz="6" w:space="0" w:color="auto"/>
            </w:tcBorders>
            <w:shd w:val="clear" w:color="auto" w:fill="386294"/>
            <w:vAlign w:val="center"/>
          </w:tcPr>
          <w:p w14:paraId="2E459FD9" w14:textId="77777777" w:rsidR="00F67B40" w:rsidRPr="00116A43" w:rsidRDefault="00F67B40" w:rsidP="005F7FE2">
            <w:pPr>
              <w:jc w:val="center"/>
              <w:rPr>
                <w:rFonts w:ascii="Cambria" w:hAnsi="Cambria"/>
                <w:b/>
                <w:bCs/>
                <w:color w:val="FFFFFF"/>
                <w:sz w:val="20"/>
                <w:szCs w:val="20"/>
              </w:rPr>
            </w:pPr>
            <w:r w:rsidRPr="00116A43">
              <w:rPr>
                <w:rFonts w:ascii="Cambria" w:hAnsi="Cambria"/>
                <w:b/>
                <w:bCs/>
                <w:color w:val="FFFFFF"/>
                <w:sz w:val="20"/>
                <w:szCs w:val="20"/>
              </w:rPr>
              <w:t>Competencia</w:t>
            </w:r>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Ratione</w:t>
            </w:r>
            <w:proofErr w:type="spellEnd"/>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temporis</w:t>
            </w:r>
            <w:proofErr w:type="spellEnd"/>
            <w:r w:rsidRPr="00116A43">
              <w:rPr>
                <w:rFonts w:ascii="Cambria" w:hAnsi="Cambria"/>
                <w:b/>
                <w:bCs/>
                <w:color w:val="FFFFFF"/>
                <w:sz w:val="20"/>
                <w:szCs w:val="20"/>
              </w:rPr>
              <w:t>:</w:t>
            </w:r>
          </w:p>
        </w:tc>
        <w:tc>
          <w:tcPr>
            <w:tcW w:w="5796" w:type="dxa"/>
            <w:shd w:val="clear" w:color="auto" w:fill="auto"/>
            <w:vAlign w:val="center"/>
          </w:tcPr>
          <w:p w14:paraId="40121FF3" w14:textId="77777777" w:rsidR="00F67B40" w:rsidRPr="00116A43" w:rsidRDefault="00F67B40" w:rsidP="005F7FE2">
            <w:pPr>
              <w:rPr>
                <w:rFonts w:ascii="Cambria" w:hAnsi="Cambria"/>
                <w:bCs/>
                <w:sz w:val="20"/>
                <w:szCs w:val="20"/>
              </w:rPr>
            </w:pPr>
            <w:r w:rsidRPr="00116A43">
              <w:rPr>
                <w:rFonts w:ascii="Cambria" w:hAnsi="Cambria" w:cs="Univers"/>
                <w:color w:val="0D0D0D"/>
                <w:sz w:val="20"/>
                <w:szCs w:val="20"/>
                <w:lang w:val="es-ES_tradnl"/>
              </w:rPr>
              <w:t>Sí</w:t>
            </w:r>
          </w:p>
        </w:tc>
      </w:tr>
      <w:tr w:rsidR="00F67B40" w:rsidRPr="00116A43" w14:paraId="4DBAA6A2" w14:textId="77777777" w:rsidTr="0057466A">
        <w:trPr>
          <w:cantSplit/>
          <w:trHeight w:val="516"/>
        </w:trPr>
        <w:tc>
          <w:tcPr>
            <w:tcW w:w="3492" w:type="dxa"/>
            <w:tcBorders>
              <w:top w:val="single" w:sz="6" w:space="0" w:color="auto"/>
              <w:bottom w:val="single" w:sz="6" w:space="0" w:color="auto"/>
            </w:tcBorders>
            <w:shd w:val="clear" w:color="auto" w:fill="386294"/>
            <w:vAlign w:val="center"/>
          </w:tcPr>
          <w:p w14:paraId="19ED7570" w14:textId="77777777" w:rsidR="00F67B40" w:rsidRPr="00116A43" w:rsidRDefault="00F67B40" w:rsidP="005F7FE2">
            <w:pPr>
              <w:jc w:val="center"/>
              <w:rPr>
                <w:rFonts w:ascii="Cambria" w:hAnsi="Cambria"/>
                <w:b/>
                <w:bCs/>
                <w:color w:val="FFFFFF"/>
                <w:sz w:val="20"/>
                <w:szCs w:val="20"/>
              </w:rPr>
            </w:pPr>
            <w:r w:rsidRPr="00116A43">
              <w:rPr>
                <w:rFonts w:ascii="Cambria" w:hAnsi="Cambria"/>
                <w:b/>
                <w:bCs/>
                <w:color w:val="FFFFFF"/>
                <w:sz w:val="20"/>
                <w:szCs w:val="20"/>
              </w:rPr>
              <w:t>Competencia</w:t>
            </w:r>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Ratione</w:t>
            </w:r>
            <w:proofErr w:type="spellEnd"/>
            <w:r w:rsidRPr="00116A43">
              <w:rPr>
                <w:rFonts w:ascii="Cambria" w:hAnsi="Cambria"/>
                <w:b/>
                <w:bCs/>
                <w:i/>
                <w:color w:val="FFFFFF"/>
                <w:sz w:val="20"/>
                <w:szCs w:val="20"/>
              </w:rPr>
              <w:t xml:space="preserve"> </w:t>
            </w:r>
            <w:proofErr w:type="spellStart"/>
            <w:r w:rsidRPr="00116A43">
              <w:rPr>
                <w:rFonts w:ascii="Cambria" w:hAnsi="Cambria"/>
                <w:b/>
                <w:bCs/>
                <w:i/>
                <w:color w:val="FFFFFF"/>
                <w:sz w:val="20"/>
                <w:szCs w:val="20"/>
              </w:rPr>
              <w:t>materiae</w:t>
            </w:r>
            <w:proofErr w:type="spellEnd"/>
            <w:r w:rsidRPr="00116A43">
              <w:rPr>
                <w:rFonts w:ascii="Cambria" w:hAnsi="Cambria"/>
                <w:b/>
                <w:bCs/>
                <w:color w:val="FFFFFF"/>
                <w:sz w:val="20"/>
                <w:szCs w:val="20"/>
              </w:rPr>
              <w:t>:</w:t>
            </w:r>
          </w:p>
        </w:tc>
        <w:tc>
          <w:tcPr>
            <w:tcW w:w="5796" w:type="dxa"/>
            <w:shd w:val="clear" w:color="auto" w:fill="auto"/>
            <w:vAlign w:val="center"/>
          </w:tcPr>
          <w:p w14:paraId="45BF0F4C" w14:textId="69BC8BE3" w:rsidR="00F67B40" w:rsidRPr="00116A43" w:rsidRDefault="00F67B40" w:rsidP="005F7FE2">
            <w:pPr>
              <w:rPr>
                <w:rFonts w:ascii="Cambria" w:hAnsi="Cambria"/>
                <w:bCs/>
                <w:sz w:val="20"/>
                <w:szCs w:val="20"/>
              </w:rPr>
            </w:pPr>
            <w:r w:rsidRPr="00116A43">
              <w:rPr>
                <w:rFonts w:ascii="Cambria" w:hAnsi="Cambria" w:cs="Univers"/>
                <w:color w:val="0D0D0D"/>
                <w:sz w:val="20"/>
                <w:szCs w:val="20"/>
                <w:lang w:val="es-ES_tradnl"/>
              </w:rPr>
              <w:t xml:space="preserve">Sí, </w:t>
            </w:r>
            <w:r w:rsidRPr="00116A43">
              <w:rPr>
                <w:rFonts w:ascii="Cambria" w:hAnsi="Cambria"/>
                <w:bCs/>
                <w:sz w:val="20"/>
                <w:szCs w:val="20"/>
              </w:rPr>
              <w:t>Declaración Americana</w:t>
            </w:r>
            <w:r w:rsidR="00E510E5" w:rsidRPr="00116A43">
              <w:rPr>
                <w:rFonts w:ascii="Cambria" w:hAnsi="Cambria"/>
                <w:bCs/>
                <w:sz w:val="20"/>
                <w:szCs w:val="20"/>
              </w:rPr>
              <w:t xml:space="preserve"> (</w:t>
            </w:r>
            <w:r w:rsidR="00642C6F" w:rsidRPr="00116A43">
              <w:rPr>
                <w:rFonts w:ascii="Cambria" w:hAnsi="Cambria"/>
                <w:bCs/>
                <w:sz w:val="20"/>
                <w:szCs w:val="20"/>
                <w:lang w:val="es-419"/>
              </w:rPr>
              <w:t xml:space="preserve">depósito del instrumento de ratificación de la Carta de la OEA realizado el </w:t>
            </w:r>
            <w:r w:rsidR="00226409" w:rsidRPr="00116A43">
              <w:rPr>
                <w:rFonts w:ascii="Cambria" w:hAnsi="Cambria"/>
                <w:bCs/>
                <w:sz w:val="20"/>
                <w:szCs w:val="20"/>
                <w:lang w:val="es-419"/>
              </w:rPr>
              <w:t>16 de julio de 1952</w:t>
            </w:r>
            <w:r w:rsidR="00642C6F" w:rsidRPr="00116A43">
              <w:rPr>
                <w:rFonts w:ascii="Cambria" w:hAnsi="Cambria"/>
                <w:bCs/>
                <w:sz w:val="20"/>
                <w:szCs w:val="20"/>
                <w:lang w:val="es-419"/>
              </w:rPr>
              <w:t>)</w:t>
            </w:r>
          </w:p>
        </w:tc>
      </w:tr>
      <w:tr w:rsidR="00F67B40" w:rsidRPr="00116A43" w14:paraId="57687B48" w14:textId="77777777" w:rsidTr="0057466A">
        <w:trPr>
          <w:cantSplit/>
          <w:trHeight w:val="516"/>
        </w:trPr>
        <w:tc>
          <w:tcPr>
            <w:tcW w:w="3492" w:type="dxa"/>
            <w:tcBorders>
              <w:top w:val="single" w:sz="6" w:space="0" w:color="auto"/>
              <w:bottom w:val="single" w:sz="6" w:space="0" w:color="auto"/>
            </w:tcBorders>
            <w:shd w:val="clear" w:color="auto" w:fill="386294"/>
            <w:vAlign w:val="center"/>
          </w:tcPr>
          <w:p w14:paraId="0C976E65" w14:textId="77777777" w:rsidR="00F67B40" w:rsidRPr="00116A43" w:rsidRDefault="00F67B40" w:rsidP="005F7FE2">
            <w:pPr>
              <w:jc w:val="center"/>
              <w:rPr>
                <w:rFonts w:ascii="Cambria" w:hAnsi="Cambria"/>
                <w:b/>
                <w:bCs/>
                <w:color w:val="FFFFFF"/>
                <w:sz w:val="20"/>
                <w:szCs w:val="20"/>
                <w:lang w:val="es-MX"/>
              </w:rPr>
            </w:pPr>
            <w:r w:rsidRPr="00116A43">
              <w:rPr>
                <w:rFonts w:ascii="Cambria" w:hAnsi="Cambria"/>
                <w:b/>
                <w:bCs/>
                <w:color w:val="FFFFFF"/>
                <w:sz w:val="20"/>
                <w:szCs w:val="20"/>
                <w:lang w:val="es-MX"/>
              </w:rPr>
              <w:t>Duplicación de procedimientos  y cosa juzgada internacional</w:t>
            </w:r>
          </w:p>
        </w:tc>
        <w:tc>
          <w:tcPr>
            <w:tcW w:w="5796" w:type="dxa"/>
            <w:shd w:val="clear" w:color="auto" w:fill="auto"/>
            <w:vAlign w:val="center"/>
          </w:tcPr>
          <w:p w14:paraId="2872CE7E" w14:textId="77777777" w:rsidR="00F67B40" w:rsidRPr="00116A43" w:rsidRDefault="00F67B40" w:rsidP="005F7FE2">
            <w:pPr>
              <w:rPr>
                <w:rFonts w:ascii="Cambria" w:hAnsi="Cambria" w:cs="Univers"/>
                <w:color w:val="0D0D0D"/>
                <w:sz w:val="20"/>
                <w:szCs w:val="20"/>
              </w:rPr>
            </w:pPr>
            <w:r w:rsidRPr="00116A43">
              <w:rPr>
                <w:rFonts w:ascii="Cambria" w:hAnsi="Cambria" w:cs="Univers"/>
                <w:color w:val="0D0D0D"/>
                <w:sz w:val="20"/>
                <w:szCs w:val="20"/>
              </w:rPr>
              <w:t>No</w:t>
            </w:r>
          </w:p>
        </w:tc>
      </w:tr>
    </w:tbl>
    <w:p w14:paraId="16B40C5F" w14:textId="77777777" w:rsidR="00536F65" w:rsidRPr="00116A43" w:rsidRDefault="00536F65" w:rsidP="004F709F">
      <w:pPr>
        <w:pStyle w:val="Heading2"/>
      </w:pPr>
    </w:p>
    <w:p w14:paraId="69A78B89" w14:textId="7014B688" w:rsidR="009523C6" w:rsidRPr="00116A43" w:rsidRDefault="00C116BD" w:rsidP="004F709F">
      <w:pPr>
        <w:pStyle w:val="Heading2"/>
      </w:pPr>
      <w:bookmarkStart w:id="9" w:name="_Toc89157556"/>
      <w:r w:rsidRPr="00116A43">
        <w:t>B</w:t>
      </w:r>
      <w:r w:rsidR="00E510E5" w:rsidRPr="00116A43">
        <w:t xml:space="preserve">. </w:t>
      </w:r>
      <w:r w:rsidR="009523C6" w:rsidRPr="00116A43">
        <w:tab/>
        <w:t>R</w:t>
      </w:r>
      <w:r w:rsidR="00E510E5" w:rsidRPr="00116A43">
        <w:t>equisitos de admisibilida</w:t>
      </w:r>
      <w:r w:rsidRPr="00116A43">
        <w:rPr>
          <w:lang w:eastAsia="ja-JP"/>
        </w:rPr>
        <w:t>d</w:t>
      </w:r>
      <w:bookmarkEnd w:id="9"/>
    </w:p>
    <w:p w14:paraId="75C60916" w14:textId="77777777" w:rsidR="00036CAA" w:rsidRPr="00116A43" w:rsidRDefault="00036CAA" w:rsidP="005F7FE2">
      <w:pPr>
        <w:rPr>
          <w:rFonts w:ascii="Cambria" w:hAnsi="Cambria"/>
          <w:sz w:val="20"/>
          <w:szCs w:val="20"/>
          <w:lang w:val="es-PE" w:eastAsia="ja-JP"/>
        </w:rPr>
      </w:pPr>
    </w:p>
    <w:p w14:paraId="0FEBC086" w14:textId="6CF74870" w:rsidR="00C116BD" w:rsidRPr="00375047" w:rsidRDefault="00C116BD" w:rsidP="00577F2D">
      <w:pPr>
        <w:pStyle w:val="Heading3"/>
      </w:pPr>
      <w:bookmarkStart w:id="10" w:name="_Toc89157557"/>
      <w:r w:rsidRPr="00375047">
        <w:t>Agotamiento de los recursos internos</w:t>
      </w:r>
      <w:bookmarkEnd w:id="10"/>
    </w:p>
    <w:p w14:paraId="64759408" w14:textId="77777777" w:rsidR="00036CAA" w:rsidRPr="00116A43" w:rsidRDefault="00036CAA" w:rsidP="005F7FE2">
      <w:pPr>
        <w:rPr>
          <w:rFonts w:ascii="Cambria" w:hAnsi="Cambria"/>
          <w:sz w:val="20"/>
          <w:szCs w:val="20"/>
        </w:rPr>
      </w:pPr>
    </w:p>
    <w:p w14:paraId="0AE980F4" w14:textId="23EB06B1" w:rsidR="00036CAA" w:rsidRPr="00116A43" w:rsidRDefault="00C116B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El artículo 31.1 del Reglamento</w:t>
      </w:r>
      <w:r w:rsidR="009721AC" w:rsidRPr="00116A43">
        <w:rPr>
          <w:rFonts w:ascii="Cambria" w:hAnsi="Cambria"/>
          <w:sz w:val="20"/>
          <w:szCs w:val="20"/>
        </w:rPr>
        <w:t xml:space="preserve"> de la CIDH (en adelante, </w:t>
      </w:r>
      <w:r w:rsidR="0064066E" w:rsidRPr="00116A43">
        <w:rPr>
          <w:rFonts w:ascii="Cambria" w:hAnsi="Cambria"/>
          <w:sz w:val="20"/>
          <w:szCs w:val="20"/>
        </w:rPr>
        <w:t xml:space="preserve">el </w:t>
      </w:r>
      <w:r w:rsidR="009721AC" w:rsidRPr="00116A43">
        <w:rPr>
          <w:rFonts w:ascii="Cambria" w:hAnsi="Cambria"/>
          <w:sz w:val="20"/>
          <w:szCs w:val="20"/>
        </w:rPr>
        <w:t>“</w:t>
      </w:r>
      <w:r w:rsidR="00195DDA" w:rsidRPr="00116A43">
        <w:rPr>
          <w:rFonts w:ascii="Cambria" w:hAnsi="Cambria"/>
          <w:sz w:val="20"/>
          <w:szCs w:val="20"/>
        </w:rPr>
        <w:t>Reglamento</w:t>
      </w:r>
      <w:r w:rsidR="009721AC" w:rsidRPr="00116A43">
        <w:rPr>
          <w:rFonts w:ascii="Cambria" w:hAnsi="Cambria"/>
          <w:sz w:val="20"/>
          <w:szCs w:val="20"/>
        </w:rPr>
        <w:t>”)</w:t>
      </w:r>
      <w:r w:rsidRPr="00116A43">
        <w:rPr>
          <w:rFonts w:ascii="Cambria" w:hAnsi="Cambria"/>
          <w:sz w:val="20"/>
          <w:szCs w:val="20"/>
        </w:rPr>
        <w:t xml:space="preserve"> exige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 Por su parte, el artículo 31.2 del Reglamento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r w:rsidR="00A27F89" w:rsidRPr="00116A43">
        <w:rPr>
          <w:rStyle w:val="FootnoteReference"/>
          <w:rFonts w:ascii="Cambria" w:hAnsi="Cambria"/>
          <w:sz w:val="20"/>
          <w:szCs w:val="20"/>
        </w:rPr>
        <w:footnoteReference w:id="6"/>
      </w:r>
      <w:r w:rsidRPr="00116A43">
        <w:rPr>
          <w:rFonts w:ascii="Cambria" w:hAnsi="Cambria"/>
          <w:sz w:val="20"/>
          <w:szCs w:val="20"/>
        </w:rPr>
        <w:t>.</w:t>
      </w:r>
    </w:p>
    <w:p w14:paraId="370A97CD" w14:textId="77777777" w:rsidR="00036CAA" w:rsidRPr="00116A43" w:rsidRDefault="00036CAA"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BB746B8" w14:textId="2003133C" w:rsidR="00415F0D" w:rsidRPr="00116A43" w:rsidRDefault="00415F0D" w:rsidP="00375047">
      <w:pPr>
        <w:pStyle w:val="CommentText"/>
        <w:numPr>
          <w:ilvl w:val="0"/>
          <w:numId w:val="55"/>
        </w:numPr>
        <w:suppressAutoHyphens/>
        <w:ind w:firstLine="0"/>
        <w:jc w:val="both"/>
        <w:rPr>
          <w:rFonts w:ascii="Cambria" w:hAnsi="Cambria"/>
        </w:rPr>
      </w:pPr>
      <w:r w:rsidRPr="00116A43">
        <w:rPr>
          <w:rFonts w:ascii="Cambria" w:hAnsi="Cambria" w:cs="Arial"/>
        </w:rPr>
        <w:t xml:space="preserve">La parte peticionaria alega que Yoani Sánchez fue detenida en tres ocasiones. La primera detención ocurrió el </w:t>
      </w:r>
      <w:r w:rsidRPr="00116A43">
        <w:rPr>
          <w:rFonts w:ascii="Cambria" w:hAnsi="Cambria"/>
        </w:rPr>
        <w:t xml:space="preserve">6 de noviembre de 2009, </w:t>
      </w:r>
      <w:r w:rsidR="009A28B8" w:rsidRPr="00116A43">
        <w:rPr>
          <w:rFonts w:ascii="Cambria" w:hAnsi="Cambria"/>
        </w:rPr>
        <w:t>luego de</w:t>
      </w:r>
      <w:r w:rsidRPr="00116A43">
        <w:rPr>
          <w:rFonts w:ascii="Cambria" w:hAnsi="Cambria"/>
        </w:rPr>
        <w:t xml:space="preserve"> la cual</w:t>
      </w:r>
      <w:r w:rsidR="009A28B8" w:rsidRPr="00116A43">
        <w:rPr>
          <w:rFonts w:ascii="Cambria" w:hAnsi="Cambria"/>
        </w:rPr>
        <w:t xml:space="preserve"> </w:t>
      </w:r>
      <w:r w:rsidRPr="00116A43">
        <w:rPr>
          <w:rFonts w:ascii="Cambria" w:hAnsi="Cambria"/>
        </w:rPr>
        <w:t>la presunta víctima interpuso una denuncia al respecto. La segunda detención ocurrió el 24 de febrero de 2010, por lo que la parte peticionaria alega que el 10 de marzo de 2010 la presunta víctima interpuso denuncias en las</w:t>
      </w:r>
      <w:r w:rsidR="009A28B8" w:rsidRPr="00116A43">
        <w:rPr>
          <w:rFonts w:ascii="Cambria" w:hAnsi="Cambria"/>
        </w:rPr>
        <w:t xml:space="preserve"> </w:t>
      </w:r>
      <w:r w:rsidRPr="00116A43">
        <w:rPr>
          <w:rFonts w:ascii="Cambria" w:hAnsi="Cambria"/>
        </w:rPr>
        <w:t>Fiscalías General y Militar y ante la Asamblea Nacional, el Consejo del Estado</w:t>
      </w:r>
      <w:r w:rsidRPr="00116A43">
        <w:rPr>
          <w:rFonts w:ascii="Cambria" w:hAnsi="Cambria" w:cs="Arial"/>
        </w:rPr>
        <w:t xml:space="preserve">, </w:t>
      </w:r>
      <w:r w:rsidR="009A28B8" w:rsidRPr="00116A43">
        <w:rPr>
          <w:rFonts w:ascii="Cambria" w:hAnsi="Cambria" w:cs="Arial"/>
        </w:rPr>
        <w:t>la</w:t>
      </w:r>
      <w:r w:rsidRPr="00116A43">
        <w:rPr>
          <w:rFonts w:ascii="Cambria" w:hAnsi="Cambria" w:cs="Arial"/>
        </w:rPr>
        <w:t xml:space="preserve"> P</w:t>
      </w:r>
      <w:r w:rsidR="009A28B8" w:rsidRPr="00116A43">
        <w:rPr>
          <w:rFonts w:ascii="Cambria" w:hAnsi="Cambria" w:cs="Arial"/>
        </w:rPr>
        <w:t>olicía Nacional Revolucionaria (P</w:t>
      </w:r>
      <w:r w:rsidRPr="00116A43">
        <w:rPr>
          <w:rFonts w:ascii="Cambria" w:hAnsi="Cambria" w:cs="Arial"/>
        </w:rPr>
        <w:t>NR</w:t>
      </w:r>
      <w:r w:rsidR="009A28B8" w:rsidRPr="00116A43">
        <w:rPr>
          <w:rFonts w:ascii="Cambria" w:hAnsi="Cambria" w:cs="Arial"/>
        </w:rPr>
        <w:t>)</w:t>
      </w:r>
      <w:r w:rsidRPr="00116A43">
        <w:rPr>
          <w:rFonts w:ascii="Cambria" w:hAnsi="Cambria" w:cs="Arial"/>
        </w:rPr>
        <w:t xml:space="preserve"> y la estación </w:t>
      </w:r>
      <w:r w:rsidR="002D7815">
        <w:rPr>
          <w:rFonts w:ascii="Cambria" w:hAnsi="Cambria" w:cs="Arial"/>
        </w:rPr>
        <w:t>I</w:t>
      </w:r>
      <w:r w:rsidRPr="00116A43">
        <w:rPr>
          <w:rFonts w:ascii="Cambria" w:hAnsi="Cambria" w:cs="Arial"/>
        </w:rPr>
        <w:t xml:space="preserve">nfanta y Manglar. La tercera detención ocurrió el 4 de octubre de 2012. La presunta víctima no informó a la CIDH si presentó una denuncia respecto de esta detención, ni ello puede verificarse del expediente ante esta instancia. </w:t>
      </w:r>
    </w:p>
    <w:p w14:paraId="4121070A" w14:textId="77777777" w:rsidR="00415F0D" w:rsidRPr="00116A43" w:rsidRDefault="00415F0D" w:rsidP="00375047">
      <w:pPr>
        <w:pStyle w:val="CommentText"/>
        <w:suppressAutoHyphens/>
        <w:jc w:val="both"/>
        <w:rPr>
          <w:rFonts w:ascii="Cambria" w:hAnsi="Cambria"/>
        </w:rPr>
      </w:pPr>
    </w:p>
    <w:p w14:paraId="2B17F0C3" w14:textId="614A2A90" w:rsidR="00415F0D" w:rsidRPr="00116A43" w:rsidRDefault="00415F0D" w:rsidP="00375047">
      <w:pPr>
        <w:pStyle w:val="Comment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hAnsi="Cambria" w:cs="Arial"/>
        </w:rPr>
      </w:pPr>
      <w:r w:rsidRPr="00116A43">
        <w:rPr>
          <w:rFonts w:ascii="Cambria" w:hAnsi="Cambria" w:cs="Arial"/>
        </w:rPr>
        <w:lastRenderedPageBreak/>
        <w:t>La Comisión nota que el Estado no ha presentado sus observaciones respecto de la admisibilidad o fondo del presente caso</w:t>
      </w:r>
      <w:r w:rsidRPr="00116A43">
        <w:rPr>
          <w:rFonts w:ascii="Cambria" w:hAnsi="Cambria"/>
        </w:rPr>
        <w:t xml:space="preserve">, por lo que, con base en el artículo 38 del Reglamento, </w:t>
      </w:r>
      <w:r w:rsidRPr="00116A43">
        <w:rPr>
          <w:rFonts w:ascii="Cambria" w:hAnsi="Cambria" w:cs="Arial"/>
        </w:rPr>
        <w:t>los hechos presentados por la parte peticionaria se presumen verdaderos</w:t>
      </w:r>
      <w:r w:rsidR="00315752" w:rsidRPr="00116A43">
        <w:rPr>
          <w:rFonts w:ascii="Cambria" w:hAnsi="Cambria" w:cs="Arial"/>
        </w:rPr>
        <w:t>, a menos que de otros elementos de convicción se llegue a una conclusión contraria</w:t>
      </w:r>
      <w:r w:rsidRPr="00116A43">
        <w:rPr>
          <w:rFonts w:ascii="Cambria" w:hAnsi="Cambria" w:cs="Arial"/>
        </w:rPr>
        <w:t xml:space="preserve">. Además, el Estado tampoco presentó alegatos </w:t>
      </w:r>
      <w:r w:rsidR="00315752" w:rsidRPr="00116A43">
        <w:rPr>
          <w:rFonts w:ascii="Cambria" w:hAnsi="Cambria" w:cs="Arial"/>
        </w:rPr>
        <w:t>sobre el</w:t>
      </w:r>
      <w:r w:rsidRPr="00116A43">
        <w:rPr>
          <w:rFonts w:ascii="Cambria" w:hAnsi="Cambria" w:cs="Arial"/>
        </w:rPr>
        <w:t xml:space="preserve"> agotamiento de los recursos internos ni fueron controvertidos por este. El artículo 31.3 del Reglamento de la CIDH establece que, cuando los peticionarios alegan que aplica una de las excepciones al agotamiento de los recursos internos, corresponde al Estado demostrar que estos no han sido agotados, a menos que ello se deduzca claramente del expediente. En este sentido, s</w:t>
      </w:r>
      <w:r w:rsidRPr="00116A43">
        <w:rPr>
          <w:rFonts w:ascii="Cambria" w:hAnsi="Cambria"/>
        </w:rPr>
        <w:t xml:space="preserve">i bien la CIDH no cuenta con prueba respecto de la denuncia sobre la detención de 6 de noviembre de 2009, la peticionaria sostuvo que dichos hechos ocurrieron, lo cual no fue controvertido por el Estado. Debido a lo anterior, la CIDH estima que la presunta víctima presentó una denuncia por la primera detención. </w:t>
      </w:r>
      <w:r w:rsidR="00315752" w:rsidRPr="00116A43">
        <w:rPr>
          <w:rFonts w:ascii="Cambria" w:hAnsi="Cambria"/>
        </w:rPr>
        <w:t>En relación con</w:t>
      </w:r>
      <w:r w:rsidRPr="00116A43">
        <w:rPr>
          <w:rFonts w:ascii="Cambria" w:hAnsi="Cambria"/>
        </w:rPr>
        <w:t xml:space="preserve"> la segunda detención, la CIDH cuenta con pruebas de que una serie de denuncias fueron </w:t>
      </w:r>
      <w:r w:rsidR="00315752" w:rsidRPr="00116A43">
        <w:rPr>
          <w:rFonts w:ascii="Cambria" w:hAnsi="Cambria"/>
        </w:rPr>
        <w:t>interpuestas</w:t>
      </w:r>
      <w:r w:rsidRPr="00116A43">
        <w:rPr>
          <w:rFonts w:ascii="Cambria" w:hAnsi="Cambria"/>
        </w:rPr>
        <w:t xml:space="preserve"> ante las autoridades cubanas</w:t>
      </w:r>
      <w:r w:rsidR="00315752" w:rsidRPr="00116A43">
        <w:rPr>
          <w:rFonts w:ascii="Cambria" w:hAnsi="Cambria"/>
        </w:rPr>
        <w:t>, además de los alegatos de la parte peticionaria a este respecto, que tampoco fueron controvertidos por el Estado</w:t>
      </w:r>
      <w:r w:rsidRPr="00116A43">
        <w:rPr>
          <w:rFonts w:ascii="Cambria" w:hAnsi="Cambria"/>
        </w:rPr>
        <w:t>. De la información con la que cuenta la CIDH no se deduce que la periodista haya interpuesto una denuncia por la tercera detención.</w:t>
      </w:r>
    </w:p>
    <w:p w14:paraId="507C326B" w14:textId="77777777" w:rsidR="00415F0D" w:rsidRPr="00116A43" w:rsidRDefault="00415F0D" w:rsidP="00375047">
      <w:pPr>
        <w:pStyle w:val="Comment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jc w:val="both"/>
        <w:rPr>
          <w:rFonts w:ascii="Cambria" w:hAnsi="Cambria" w:cs="Arial"/>
        </w:rPr>
      </w:pPr>
    </w:p>
    <w:p w14:paraId="47A71AF2" w14:textId="11A0863E" w:rsidR="00415F0D" w:rsidRPr="00116A43" w:rsidRDefault="00415F0D" w:rsidP="00375047">
      <w:pPr>
        <w:pStyle w:val="CommentText"/>
        <w:numPr>
          <w:ilvl w:val="0"/>
          <w:numId w:val="55"/>
        </w:numPr>
        <w:suppressAutoHyphens/>
        <w:ind w:firstLine="0"/>
        <w:jc w:val="both"/>
        <w:rPr>
          <w:rFonts w:ascii="Cambria" w:hAnsi="Cambria"/>
        </w:rPr>
      </w:pPr>
      <w:r w:rsidRPr="00116A43">
        <w:rPr>
          <w:rFonts w:ascii="Cambria" w:hAnsi="Cambria" w:cs="Arial"/>
        </w:rPr>
        <w:t xml:space="preserve">Por otro lado, el 5 de noviembre de 2010 la presunta víctima también interpuso una “solicitud de respuesta” y con posterioridad, </w:t>
      </w:r>
      <w:r w:rsidR="00315752" w:rsidRPr="00116A43">
        <w:rPr>
          <w:rFonts w:ascii="Cambria" w:hAnsi="Cambria" w:cs="Arial"/>
        </w:rPr>
        <w:t xml:space="preserve">el 30 de marzo de 2012, </w:t>
      </w:r>
      <w:r w:rsidRPr="00116A43">
        <w:rPr>
          <w:rFonts w:ascii="Cambria" w:hAnsi="Cambria" w:cs="Arial"/>
        </w:rPr>
        <w:t>al no recibir noticia alguna por parte del Estado, presentó un recurso de alzada ante el Ministerio del Interior, con el fin de que se le expli</w:t>
      </w:r>
      <w:r w:rsidR="004663B1" w:rsidRPr="00116A43">
        <w:rPr>
          <w:rFonts w:ascii="Cambria" w:hAnsi="Cambria" w:cs="Arial"/>
        </w:rPr>
        <w:t>casen</w:t>
      </w:r>
      <w:r w:rsidRPr="00116A43">
        <w:rPr>
          <w:rFonts w:ascii="Cambria" w:hAnsi="Cambria" w:cs="Arial"/>
        </w:rPr>
        <w:t xml:space="preserve"> los motivos por los cuales el Estado no autorizó </w:t>
      </w:r>
      <w:r w:rsidRPr="00116A43">
        <w:rPr>
          <w:rFonts w:ascii="Cambria" w:hAnsi="Cambria"/>
        </w:rPr>
        <w:t xml:space="preserve">sus permisos de salida del país entre 2007 y 2012 y se anule la prohibición. </w:t>
      </w:r>
    </w:p>
    <w:p w14:paraId="70C19B37" w14:textId="77777777" w:rsidR="00415F0D" w:rsidRPr="00116A43" w:rsidRDefault="00415F0D" w:rsidP="00375047">
      <w:pPr>
        <w:pStyle w:val="CommentText"/>
        <w:suppressAutoHyphens/>
        <w:jc w:val="both"/>
        <w:rPr>
          <w:rFonts w:ascii="Cambria" w:hAnsi="Cambria"/>
        </w:rPr>
      </w:pPr>
    </w:p>
    <w:p w14:paraId="4E6C7CFF" w14:textId="0A730524" w:rsidR="00415F0D" w:rsidRPr="00116A43" w:rsidRDefault="00415F0D" w:rsidP="00375047">
      <w:pPr>
        <w:pStyle w:val="CommentText"/>
        <w:numPr>
          <w:ilvl w:val="0"/>
          <w:numId w:val="55"/>
        </w:numPr>
        <w:suppressAutoHyphens/>
        <w:ind w:firstLine="0"/>
        <w:jc w:val="both"/>
        <w:rPr>
          <w:rFonts w:ascii="Cambria" w:hAnsi="Cambria"/>
        </w:rPr>
      </w:pPr>
      <w:r w:rsidRPr="00116A43">
        <w:rPr>
          <w:rFonts w:ascii="Cambria" w:hAnsi="Cambria"/>
        </w:rPr>
        <w:t>Con base en la información con la que cuenta la CIDH, hasta la fecha, el Estado cubano no ha dado trámite a ninguna de las denuncias presentadas, no ha iniciado investigaciones ni ha brindado respuestas a l</w:t>
      </w:r>
      <w:r w:rsidR="004663B1" w:rsidRPr="00116A43">
        <w:rPr>
          <w:rFonts w:ascii="Cambria" w:hAnsi="Cambria"/>
        </w:rPr>
        <w:t>as peticiones</w:t>
      </w:r>
      <w:r w:rsidRPr="00116A43">
        <w:rPr>
          <w:rFonts w:ascii="Cambria" w:hAnsi="Cambria"/>
        </w:rPr>
        <w:t xml:space="preserve"> interpuest</w:t>
      </w:r>
      <w:r w:rsidR="004663B1" w:rsidRPr="00116A43">
        <w:rPr>
          <w:rFonts w:ascii="Cambria" w:hAnsi="Cambria"/>
        </w:rPr>
        <w:t>a</w:t>
      </w:r>
      <w:r w:rsidRPr="00116A43">
        <w:rPr>
          <w:rFonts w:ascii="Cambria" w:hAnsi="Cambria"/>
        </w:rPr>
        <w:t>s ante el Ministerio del Interior en referencia al impedimento de salida del país de Yoani Sánchez, después de más de once años de su presentación, aproximadamente.</w:t>
      </w:r>
    </w:p>
    <w:p w14:paraId="330431C2" w14:textId="77777777" w:rsidR="00415F0D" w:rsidRPr="00116A43" w:rsidRDefault="00415F0D" w:rsidP="00375047">
      <w:pPr>
        <w:pStyle w:val="CommentText"/>
        <w:suppressAutoHyphens/>
        <w:jc w:val="both"/>
        <w:rPr>
          <w:rFonts w:ascii="Cambria" w:hAnsi="Cambria"/>
        </w:rPr>
      </w:pPr>
    </w:p>
    <w:p w14:paraId="42F5A144" w14:textId="77777777" w:rsidR="00415F0D" w:rsidRPr="00116A43" w:rsidRDefault="00415F0D" w:rsidP="00375047">
      <w:pPr>
        <w:pStyle w:val="Comment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lang w:val="es-PE" w:eastAsia="es-ES"/>
        </w:rPr>
      </w:pPr>
      <w:r w:rsidRPr="00116A43">
        <w:rPr>
          <w:rFonts w:ascii="Cambria" w:hAnsi="Cambria"/>
        </w:rPr>
        <w:t xml:space="preserve">La parte peticionaria sostiene que la ausencia de respuesta a los trámites intentados en la jurisdicción interna demuestra que no </w:t>
      </w:r>
      <w:r w:rsidRPr="00116A43">
        <w:rPr>
          <w:rFonts w:ascii="Cambria" w:hAnsi="Cambria"/>
          <w:lang w:val="es-PE" w:eastAsia="es-ES"/>
        </w:rPr>
        <w:t>existían o no le eran accesibles recursos eficaces, especialmente debido a que era una periodista crítica del régimen de Cuba.</w:t>
      </w:r>
    </w:p>
    <w:p w14:paraId="6438739C" w14:textId="77777777" w:rsidR="00415F0D" w:rsidRPr="00116A43" w:rsidRDefault="00415F0D" w:rsidP="00375047">
      <w:pPr>
        <w:pStyle w:val="ListParagraph"/>
        <w:suppressAutoHyphens/>
        <w:ind w:left="0"/>
        <w:jc w:val="both"/>
        <w:rPr>
          <w:sz w:val="20"/>
          <w:szCs w:val="20"/>
          <w:lang w:val="es-PE"/>
        </w:rPr>
      </w:pPr>
    </w:p>
    <w:p w14:paraId="64B81391" w14:textId="7998E5A8" w:rsidR="00415F0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La Comisión nota que, de </w:t>
      </w:r>
      <w:r w:rsidR="004663B1" w:rsidRPr="00116A43">
        <w:rPr>
          <w:rFonts w:ascii="Cambria" w:hAnsi="Cambria"/>
          <w:sz w:val="20"/>
          <w:szCs w:val="20"/>
        </w:rPr>
        <w:t xml:space="preserve">conformidad con los </w:t>
      </w:r>
      <w:r w:rsidRPr="00116A43">
        <w:rPr>
          <w:rFonts w:ascii="Cambria" w:hAnsi="Cambria"/>
          <w:sz w:val="20"/>
          <w:szCs w:val="20"/>
        </w:rPr>
        <w:t>alegatos de la parte peticionaria, se presentaron algunos recursos a nivel interno que nunca fueron tramitados por el Estado cubano. Asimismo, observa que existieron ciertos hechos que no fueron denunciados ante la ausencia absoluta de respuesta por parte del Estado. Ante ello, la CIDH hará un análisis del agotamiento de recursos internos con base en la excepción recogida en el inciso a) del artículo 31.2 del Reglamento.</w:t>
      </w:r>
    </w:p>
    <w:p w14:paraId="04D39119" w14:textId="77777777" w:rsidR="00415F0D" w:rsidRPr="00116A43" w:rsidRDefault="00415F0D"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3722361" w14:textId="41FB59F0" w:rsidR="00415F0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lang w:val="es-ES_tradnl"/>
        </w:rPr>
        <w:t xml:space="preserve">Como primera medida, es importante </w:t>
      </w:r>
      <w:r w:rsidRPr="00116A43">
        <w:rPr>
          <w:rFonts w:ascii="Cambria" w:hAnsi="Cambria"/>
          <w:sz w:val="20"/>
          <w:szCs w:val="20"/>
          <w:lang w:val="es-CO"/>
        </w:rPr>
        <w:t>recordar que la invocación de las excepciones a la regla de agotamiento de los recursos internos previstas en el artículo 31.2 del Reglamento se encuentra estrechamente ligada a la determinación de posibles violaciones a ciertos derechos consagrados en la Declaración Americana, tales como el derecho de justicia</w:t>
      </w:r>
      <w:r w:rsidR="001D5ECE">
        <w:rPr>
          <w:rFonts w:ascii="Cambria" w:hAnsi="Cambria"/>
          <w:sz w:val="20"/>
          <w:szCs w:val="20"/>
          <w:lang w:val="es-CO"/>
        </w:rPr>
        <w:t xml:space="preserve">, </w:t>
      </w:r>
      <w:r w:rsidRPr="00116A43">
        <w:rPr>
          <w:rFonts w:ascii="Cambria" w:hAnsi="Cambria"/>
          <w:sz w:val="20"/>
          <w:szCs w:val="20"/>
          <w:lang w:val="es-CO"/>
        </w:rPr>
        <w:t>petición</w:t>
      </w:r>
      <w:r w:rsidR="001D5ECE">
        <w:rPr>
          <w:rFonts w:ascii="Cambria" w:hAnsi="Cambria"/>
          <w:sz w:val="20"/>
          <w:szCs w:val="20"/>
          <w:lang w:val="es-CO"/>
        </w:rPr>
        <w:t xml:space="preserve"> y a proceso regular</w:t>
      </w:r>
      <w:r w:rsidRPr="00116A43">
        <w:rPr>
          <w:rFonts w:ascii="Cambria" w:hAnsi="Cambria"/>
          <w:sz w:val="20"/>
          <w:szCs w:val="20"/>
          <w:lang w:val="es-CO"/>
        </w:rPr>
        <w:t>. Sin embargo, la regla del agotamiento de los recursos internos, por su naturaleza y objeto, es una norma con contenido autónomo frente a las normas sustantivas de derechos humanos.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w:t>
      </w:r>
      <w:r w:rsidRPr="00116A43">
        <w:rPr>
          <w:rStyle w:val="FootnoteReference"/>
          <w:rFonts w:ascii="Cambria" w:hAnsi="Cambria"/>
          <w:sz w:val="20"/>
          <w:szCs w:val="20"/>
          <w:lang w:val="es-CO"/>
        </w:rPr>
        <w:footnoteReference w:id="7"/>
      </w:r>
      <w:r w:rsidRPr="00116A43">
        <w:rPr>
          <w:rFonts w:ascii="Cambria" w:hAnsi="Cambria"/>
          <w:sz w:val="20"/>
          <w:szCs w:val="20"/>
          <w:lang w:val="es-CO"/>
        </w:rPr>
        <w:t xml:space="preserve"> de aquél utilizado para determinar la posible violación de artículos de la Declaración Americana. </w:t>
      </w:r>
    </w:p>
    <w:p w14:paraId="0CC41C07" w14:textId="77777777" w:rsidR="00415F0D" w:rsidRPr="00116A43" w:rsidRDefault="00415F0D"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910600E" w14:textId="38C71218" w:rsidR="00F1033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sz w:val="20"/>
          <w:szCs w:val="20"/>
        </w:rPr>
        <w:t xml:space="preserve">La Comisión recuerda que </w:t>
      </w:r>
      <w:r w:rsidRPr="00116A43">
        <w:rPr>
          <w:rFonts w:ascii="Cambria" w:hAnsi="Cambria" w:cs="Calibri"/>
          <w:sz w:val="20"/>
          <w:szCs w:val="20"/>
        </w:rPr>
        <w:t xml:space="preserve">el criterio de evaluación de la fase de admisibilidad difiere del que se utiliza para pronunciarse sobre el fondo de una petición. La Comisión debe realizar una evaluación </w:t>
      </w:r>
      <w:r w:rsidRPr="00116A43">
        <w:rPr>
          <w:rFonts w:ascii="Cambria" w:hAnsi="Cambria" w:cs="Calibri"/>
          <w:i/>
          <w:iCs/>
          <w:sz w:val="20"/>
          <w:szCs w:val="20"/>
        </w:rPr>
        <w:t>prima facie</w:t>
      </w:r>
      <w:r w:rsidRPr="00116A43">
        <w:rPr>
          <w:rFonts w:ascii="Cambria" w:hAnsi="Cambria" w:cs="Calibri"/>
          <w:sz w:val="20"/>
          <w:szCs w:val="20"/>
        </w:rPr>
        <w:t xml:space="preserve"> para determinar si la petición establece el fundamento de la violación, posible o potencial, de un derecho garantizado por la Declaración, pero no para establecer la existencia de una violación de derechos. Esta determinación sobre la caracterización de violaciones de la Declaración Americana constituye un análisis primario, que no implica prejuzgar sobre el fondo del asunto</w:t>
      </w:r>
      <w:r w:rsidRPr="00116A43">
        <w:rPr>
          <w:rStyle w:val="FootnoteReference"/>
          <w:rFonts w:ascii="Cambria" w:hAnsi="Cambria" w:cs="Calibri"/>
          <w:sz w:val="20"/>
          <w:szCs w:val="20"/>
        </w:rPr>
        <w:footnoteReference w:id="8"/>
      </w:r>
      <w:r w:rsidRPr="00116A43">
        <w:rPr>
          <w:rFonts w:ascii="Cambria" w:hAnsi="Cambria" w:cs="Calibri"/>
          <w:sz w:val="20"/>
          <w:szCs w:val="20"/>
        </w:rPr>
        <w:t>. Esto significa que en el presente caso</w:t>
      </w:r>
      <w:r w:rsidR="00A25764" w:rsidRPr="00116A43">
        <w:rPr>
          <w:rFonts w:ascii="Cambria" w:hAnsi="Cambria" w:cs="Calibri"/>
          <w:sz w:val="20"/>
          <w:szCs w:val="20"/>
        </w:rPr>
        <w:t>,</w:t>
      </w:r>
      <w:r w:rsidRPr="00116A43">
        <w:rPr>
          <w:rFonts w:ascii="Cambria" w:hAnsi="Cambria" w:cs="Calibri"/>
          <w:sz w:val="20"/>
          <w:szCs w:val="20"/>
        </w:rPr>
        <w:t xml:space="preserve"> el análisis </w:t>
      </w:r>
      <w:r w:rsidR="00A25764" w:rsidRPr="00116A43">
        <w:rPr>
          <w:rFonts w:ascii="Cambria" w:hAnsi="Cambria" w:cs="Calibri"/>
          <w:sz w:val="20"/>
          <w:szCs w:val="20"/>
        </w:rPr>
        <w:t>sobre el acceso a la justicia</w:t>
      </w:r>
      <w:r w:rsidRPr="00116A43">
        <w:rPr>
          <w:rFonts w:ascii="Cambria" w:hAnsi="Cambria" w:cs="Calibri"/>
          <w:sz w:val="20"/>
          <w:szCs w:val="20"/>
        </w:rPr>
        <w:t xml:space="preserve"> en Cuba ha de ser materia de un pronunciamiento sustantivo en la fase de fondo del presente </w:t>
      </w:r>
      <w:r w:rsidRPr="00116A43">
        <w:rPr>
          <w:rFonts w:ascii="Cambria" w:hAnsi="Cambria" w:cs="Calibri"/>
          <w:sz w:val="20"/>
          <w:szCs w:val="20"/>
        </w:rPr>
        <w:lastRenderedPageBreak/>
        <w:t xml:space="preserve">procedimiento; pero al mismo tiempo, estos asuntos han de ser examinados bajo el criterio de evaluación </w:t>
      </w:r>
      <w:r w:rsidRPr="00116A43">
        <w:rPr>
          <w:rFonts w:ascii="Cambria" w:hAnsi="Cambria" w:cs="Calibri"/>
          <w:i/>
          <w:iCs/>
          <w:sz w:val="20"/>
          <w:szCs w:val="20"/>
        </w:rPr>
        <w:t>a priori</w:t>
      </w:r>
      <w:r w:rsidRPr="00116A43">
        <w:rPr>
          <w:rFonts w:ascii="Cambria" w:hAnsi="Cambria" w:cs="Calibri"/>
          <w:sz w:val="20"/>
          <w:szCs w:val="20"/>
        </w:rPr>
        <w:t xml:space="preserve"> en el presente apartado, exclusivamente para los efectos de determinar la admisibilidad de la petición, sin entrar a prejuzgar sobre sus méritos, lo cual ser</w:t>
      </w:r>
      <w:r w:rsidR="009A28B8" w:rsidRPr="00116A43">
        <w:rPr>
          <w:rFonts w:ascii="Cambria" w:hAnsi="Cambria" w:cs="Calibri"/>
          <w:sz w:val="20"/>
          <w:szCs w:val="20"/>
        </w:rPr>
        <w:t>á</w:t>
      </w:r>
      <w:r w:rsidRPr="00116A43">
        <w:rPr>
          <w:rFonts w:ascii="Cambria" w:hAnsi="Cambria" w:cs="Calibri"/>
          <w:sz w:val="20"/>
          <w:szCs w:val="20"/>
        </w:rPr>
        <w:t xml:space="preserve"> analizado en la sección correspondiente al análisis de derecho.</w:t>
      </w:r>
    </w:p>
    <w:p w14:paraId="2F208BBC" w14:textId="77777777" w:rsidR="00415F0D" w:rsidRPr="00116A43" w:rsidRDefault="00415F0D"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E9D8344" w14:textId="7E2F689C" w:rsidR="00415F0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sz w:val="20"/>
          <w:szCs w:val="20"/>
        </w:rPr>
      </w:pPr>
      <w:r w:rsidRPr="00116A43">
        <w:rPr>
          <w:rFonts w:asciiTheme="majorHAnsi" w:hAnsiTheme="majorHAnsi" w:cs="Calibri"/>
          <w:sz w:val="20"/>
          <w:szCs w:val="20"/>
        </w:rPr>
        <w:t>En este sentido, desde el momento de los hechos planteados en la petición hasta la actualidad, la CIDH ha constatado reiteradamente la falta de independencia judicial en Cuba. Así sucedió, entre otras: (i) en el Informe Anual de 2007</w:t>
      </w:r>
      <w:r w:rsidRPr="00116A43">
        <w:rPr>
          <w:rStyle w:val="FootnoteReference"/>
          <w:rFonts w:asciiTheme="majorHAnsi" w:hAnsiTheme="majorHAnsi" w:cs="Calibri"/>
          <w:sz w:val="20"/>
          <w:szCs w:val="20"/>
        </w:rPr>
        <w:footnoteReference w:id="9"/>
      </w:r>
      <w:r w:rsidRPr="00116A43">
        <w:rPr>
          <w:rFonts w:asciiTheme="majorHAnsi" w:hAnsiTheme="majorHAnsi" w:cs="Calibri"/>
          <w:sz w:val="20"/>
          <w:szCs w:val="20"/>
        </w:rPr>
        <w:t>; (ii) en el Informe Anual de 2008</w:t>
      </w:r>
      <w:r w:rsidRPr="00116A43">
        <w:rPr>
          <w:rStyle w:val="FootnoteReference"/>
          <w:rFonts w:asciiTheme="majorHAnsi" w:hAnsiTheme="majorHAnsi" w:cs="Calibri"/>
          <w:sz w:val="20"/>
          <w:szCs w:val="20"/>
        </w:rPr>
        <w:footnoteReference w:id="10"/>
      </w:r>
      <w:r w:rsidRPr="00116A43">
        <w:rPr>
          <w:rFonts w:asciiTheme="majorHAnsi" w:hAnsiTheme="majorHAnsi" w:cs="Calibri"/>
          <w:sz w:val="20"/>
          <w:szCs w:val="20"/>
        </w:rPr>
        <w:t>; (iii) en el Informe Anual de 2009</w:t>
      </w:r>
      <w:r w:rsidRPr="00116A43">
        <w:rPr>
          <w:rStyle w:val="FootnoteReference"/>
          <w:rFonts w:asciiTheme="majorHAnsi" w:hAnsiTheme="majorHAnsi" w:cs="Calibri"/>
          <w:sz w:val="20"/>
          <w:szCs w:val="20"/>
        </w:rPr>
        <w:footnoteReference w:id="11"/>
      </w:r>
      <w:r w:rsidRPr="00116A43">
        <w:rPr>
          <w:rFonts w:asciiTheme="majorHAnsi" w:hAnsiTheme="majorHAnsi" w:cs="Calibri"/>
          <w:sz w:val="20"/>
          <w:szCs w:val="20"/>
        </w:rPr>
        <w:t>; (iv) en el Informe Anual de 2010</w:t>
      </w:r>
      <w:r w:rsidRPr="00116A43">
        <w:rPr>
          <w:rStyle w:val="FootnoteReference"/>
          <w:rFonts w:asciiTheme="majorHAnsi" w:hAnsiTheme="majorHAnsi" w:cs="Calibri"/>
          <w:sz w:val="20"/>
          <w:szCs w:val="20"/>
        </w:rPr>
        <w:footnoteReference w:id="12"/>
      </w:r>
      <w:r w:rsidRPr="00116A43">
        <w:rPr>
          <w:rFonts w:asciiTheme="majorHAnsi" w:hAnsiTheme="majorHAnsi" w:cs="Calibri"/>
          <w:sz w:val="20"/>
          <w:szCs w:val="20"/>
        </w:rPr>
        <w:t>; (v) en el Informe Anual de 2011</w:t>
      </w:r>
      <w:r w:rsidRPr="00116A43">
        <w:rPr>
          <w:rStyle w:val="FootnoteReference"/>
          <w:rFonts w:asciiTheme="majorHAnsi" w:hAnsiTheme="majorHAnsi" w:cs="Calibri"/>
          <w:sz w:val="20"/>
          <w:szCs w:val="20"/>
        </w:rPr>
        <w:footnoteReference w:id="13"/>
      </w:r>
      <w:r w:rsidRPr="00116A43">
        <w:rPr>
          <w:rFonts w:asciiTheme="majorHAnsi" w:hAnsiTheme="majorHAnsi" w:cs="Calibri"/>
          <w:sz w:val="20"/>
          <w:szCs w:val="20"/>
        </w:rPr>
        <w:t>; (vi) en el Informe Anual de 2012</w:t>
      </w:r>
      <w:r w:rsidRPr="00116A43">
        <w:rPr>
          <w:rStyle w:val="FootnoteReference"/>
          <w:rFonts w:asciiTheme="majorHAnsi" w:hAnsiTheme="majorHAnsi" w:cs="Calibri"/>
          <w:sz w:val="20"/>
          <w:szCs w:val="20"/>
        </w:rPr>
        <w:footnoteReference w:id="14"/>
      </w:r>
      <w:r w:rsidRPr="00116A43">
        <w:rPr>
          <w:rFonts w:asciiTheme="majorHAnsi" w:hAnsiTheme="majorHAnsi" w:cs="Calibri"/>
          <w:sz w:val="20"/>
          <w:szCs w:val="20"/>
        </w:rPr>
        <w:t>; (vii) en el Informe Anual de 2013</w:t>
      </w:r>
      <w:r w:rsidRPr="00116A43">
        <w:rPr>
          <w:rStyle w:val="FootnoteReference"/>
          <w:rFonts w:asciiTheme="majorHAnsi" w:hAnsiTheme="majorHAnsi" w:cs="Calibri"/>
          <w:sz w:val="20"/>
          <w:szCs w:val="20"/>
        </w:rPr>
        <w:footnoteReference w:id="15"/>
      </w:r>
      <w:r w:rsidRPr="00116A43">
        <w:rPr>
          <w:rFonts w:asciiTheme="majorHAnsi" w:hAnsiTheme="majorHAnsi" w:cs="Calibri"/>
          <w:sz w:val="20"/>
          <w:szCs w:val="20"/>
        </w:rPr>
        <w:t>; (viii) en el Informe Anual de 2014</w:t>
      </w:r>
      <w:r w:rsidRPr="00116A43">
        <w:rPr>
          <w:rStyle w:val="FootnoteReference"/>
          <w:rFonts w:asciiTheme="majorHAnsi" w:hAnsiTheme="majorHAnsi" w:cs="Calibri"/>
          <w:sz w:val="20"/>
          <w:szCs w:val="20"/>
        </w:rPr>
        <w:footnoteReference w:id="16"/>
      </w:r>
      <w:r w:rsidRPr="00116A43">
        <w:rPr>
          <w:rFonts w:asciiTheme="majorHAnsi" w:hAnsiTheme="majorHAnsi" w:cs="Calibri"/>
          <w:sz w:val="20"/>
          <w:szCs w:val="20"/>
        </w:rPr>
        <w:t>; (ix) en el Informe Anual de 2015</w:t>
      </w:r>
      <w:r w:rsidRPr="00116A43">
        <w:rPr>
          <w:rStyle w:val="FootnoteReference"/>
          <w:rFonts w:asciiTheme="majorHAnsi" w:hAnsiTheme="majorHAnsi" w:cs="Calibri"/>
          <w:sz w:val="20"/>
          <w:szCs w:val="20"/>
        </w:rPr>
        <w:footnoteReference w:id="17"/>
      </w:r>
      <w:r w:rsidRPr="00116A43">
        <w:rPr>
          <w:rFonts w:asciiTheme="majorHAnsi" w:hAnsiTheme="majorHAnsi" w:cs="Calibri"/>
          <w:sz w:val="20"/>
          <w:szCs w:val="20"/>
        </w:rPr>
        <w:t>; (x) en el Informe Anual de 2016</w:t>
      </w:r>
      <w:r w:rsidRPr="00116A43">
        <w:rPr>
          <w:rStyle w:val="FootnoteReference"/>
          <w:rFonts w:asciiTheme="majorHAnsi" w:hAnsiTheme="majorHAnsi" w:cs="Calibri"/>
          <w:sz w:val="20"/>
          <w:szCs w:val="20"/>
        </w:rPr>
        <w:footnoteReference w:id="18"/>
      </w:r>
      <w:r w:rsidRPr="00116A43">
        <w:rPr>
          <w:rFonts w:asciiTheme="majorHAnsi" w:hAnsiTheme="majorHAnsi" w:cs="Calibri"/>
          <w:sz w:val="20"/>
          <w:szCs w:val="20"/>
        </w:rPr>
        <w:t>; (xi) en el Informe Anual de 2017</w:t>
      </w:r>
      <w:r w:rsidRPr="00116A43">
        <w:rPr>
          <w:rStyle w:val="FootnoteReference"/>
          <w:rFonts w:asciiTheme="majorHAnsi" w:hAnsiTheme="majorHAnsi" w:cs="Calibri"/>
          <w:sz w:val="20"/>
          <w:szCs w:val="20"/>
        </w:rPr>
        <w:footnoteReference w:id="19"/>
      </w:r>
      <w:r w:rsidRPr="00116A43">
        <w:rPr>
          <w:rFonts w:asciiTheme="majorHAnsi" w:hAnsiTheme="majorHAnsi" w:cs="Calibri"/>
          <w:sz w:val="20"/>
          <w:szCs w:val="20"/>
        </w:rPr>
        <w:t>; (xii) en el Informe Anual de 2018</w:t>
      </w:r>
      <w:r w:rsidRPr="00116A43">
        <w:rPr>
          <w:rStyle w:val="FootnoteReference"/>
          <w:rFonts w:asciiTheme="majorHAnsi" w:hAnsiTheme="majorHAnsi" w:cs="Calibri"/>
          <w:sz w:val="20"/>
          <w:szCs w:val="20"/>
        </w:rPr>
        <w:footnoteReference w:id="20"/>
      </w:r>
      <w:r w:rsidRPr="00116A43">
        <w:rPr>
          <w:rFonts w:asciiTheme="majorHAnsi" w:hAnsiTheme="majorHAnsi" w:cs="Calibri"/>
          <w:sz w:val="20"/>
          <w:szCs w:val="20"/>
        </w:rPr>
        <w:t>; (xiii) en el informe “Situación de la Libertad de Expresión en Cuba” de 2018</w:t>
      </w:r>
      <w:r w:rsidRPr="00116A43">
        <w:rPr>
          <w:rStyle w:val="FootnoteReference"/>
          <w:rFonts w:asciiTheme="majorHAnsi" w:hAnsiTheme="majorHAnsi" w:cs="Calibri"/>
          <w:sz w:val="20"/>
          <w:szCs w:val="20"/>
        </w:rPr>
        <w:footnoteReference w:id="21"/>
      </w:r>
      <w:r w:rsidRPr="00116A43">
        <w:rPr>
          <w:rFonts w:asciiTheme="majorHAnsi" w:hAnsiTheme="majorHAnsi" w:cs="Calibri"/>
          <w:sz w:val="20"/>
          <w:szCs w:val="20"/>
        </w:rPr>
        <w:t>; (xiv) en el Informe Anual de 2019</w:t>
      </w:r>
      <w:r w:rsidRPr="00116A43">
        <w:rPr>
          <w:rStyle w:val="FootnoteReference"/>
          <w:rFonts w:asciiTheme="majorHAnsi" w:hAnsiTheme="majorHAnsi" w:cs="Calibri"/>
          <w:sz w:val="20"/>
          <w:szCs w:val="20"/>
        </w:rPr>
        <w:footnoteReference w:id="22"/>
      </w:r>
      <w:r w:rsidRPr="00116A43">
        <w:rPr>
          <w:rFonts w:asciiTheme="majorHAnsi" w:hAnsiTheme="majorHAnsi" w:cs="Calibri"/>
          <w:sz w:val="20"/>
          <w:szCs w:val="20"/>
        </w:rPr>
        <w:t>; y (xv) en el informe “Situación de Derechos Humanos en Cuba” de 2020</w:t>
      </w:r>
      <w:r w:rsidRPr="00116A43">
        <w:rPr>
          <w:rStyle w:val="FootnoteReference"/>
          <w:rFonts w:asciiTheme="majorHAnsi" w:hAnsiTheme="majorHAnsi" w:cs="Calibri"/>
          <w:sz w:val="20"/>
          <w:szCs w:val="20"/>
        </w:rPr>
        <w:footnoteReference w:id="23"/>
      </w:r>
      <w:r w:rsidRPr="00116A43">
        <w:rPr>
          <w:rFonts w:asciiTheme="majorHAnsi" w:hAnsiTheme="majorHAnsi" w:cs="Calibri"/>
          <w:sz w:val="20"/>
          <w:szCs w:val="20"/>
        </w:rPr>
        <w:t xml:space="preserve">. </w:t>
      </w:r>
    </w:p>
    <w:p w14:paraId="796145A2" w14:textId="77777777" w:rsidR="009A28B8" w:rsidRPr="00116A43" w:rsidRDefault="009A28B8" w:rsidP="00375047">
      <w:pPr>
        <w:pStyle w:val="ListParagraph"/>
        <w:suppressAutoHyphens/>
        <w:ind w:left="0"/>
        <w:jc w:val="both"/>
        <w:rPr>
          <w:rFonts w:asciiTheme="majorHAnsi" w:hAnsiTheme="majorHAnsi"/>
          <w:sz w:val="20"/>
          <w:szCs w:val="20"/>
          <w:lang w:val="es-PE"/>
        </w:rPr>
      </w:pPr>
    </w:p>
    <w:p w14:paraId="7BCD117F" w14:textId="14F2E8D1" w:rsidR="009A28B8" w:rsidRPr="00F04C39" w:rsidRDefault="00FF3C4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Theme="majorHAnsi" w:eastAsia="Cambria" w:hAnsiTheme="majorHAnsi" w:cs="Cambria"/>
          <w:color w:val="000000"/>
          <w:sz w:val="20"/>
          <w:szCs w:val="20"/>
        </w:rPr>
        <w:t xml:space="preserve">Sumado a lo anterior, </w:t>
      </w:r>
      <w:r w:rsidR="00F1033D" w:rsidRPr="00116A43">
        <w:rPr>
          <w:rFonts w:asciiTheme="majorHAnsi" w:eastAsia="Cambria" w:hAnsiTheme="majorHAnsi" w:cs="Cambria"/>
          <w:color w:val="000000"/>
          <w:sz w:val="20"/>
          <w:szCs w:val="20"/>
        </w:rPr>
        <w:t xml:space="preserve">la CIDH destaca que </w:t>
      </w:r>
      <w:r w:rsidR="009A28B8" w:rsidRPr="00116A43">
        <w:rPr>
          <w:rFonts w:asciiTheme="majorHAnsi" w:eastAsia="Cambria" w:hAnsiTheme="majorHAnsi" w:cs="Cambria"/>
          <w:color w:val="000000"/>
          <w:sz w:val="20"/>
          <w:szCs w:val="20"/>
        </w:rPr>
        <w:t>Cuba ha sido incluida en el Capítulo IV, o su equivalente, del Informe Anual en los años 1984-1985 a 1994, e ininterrumpidamente desde 1996 hasta 20</w:t>
      </w:r>
      <w:r w:rsidR="001D5ECE">
        <w:rPr>
          <w:rFonts w:asciiTheme="majorHAnsi" w:eastAsia="Cambria" w:hAnsiTheme="majorHAnsi" w:cs="Cambria"/>
          <w:sz w:val="20"/>
          <w:szCs w:val="20"/>
        </w:rPr>
        <w:t>20</w:t>
      </w:r>
      <w:r w:rsidR="009A28B8" w:rsidRPr="00116A43">
        <w:rPr>
          <w:rFonts w:asciiTheme="majorHAnsi" w:eastAsia="Cambria" w:hAnsiTheme="majorHAnsi" w:cs="Cambria"/>
          <w:color w:val="000000"/>
          <w:sz w:val="20"/>
          <w:szCs w:val="20"/>
        </w:rPr>
        <w:t xml:space="preserve">. A partir de la reforma reglamentaria del 2013, la inclusión de Cuba en los informes anuales se ha basado en los criterios contenidos en el artículo 59 </w:t>
      </w:r>
      <w:r w:rsidR="00F1033D" w:rsidRPr="00116A43">
        <w:rPr>
          <w:rFonts w:asciiTheme="majorHAnsi" w:eastAsia="Cambria" w:hAnsiTheme="majorHAnsi" w:cs="Cambria"/>
          <w:color w:val="000000"/>
          <w:sz w:val="20"/>
          <w:szCs w:val="20"/>
        </w:rPr>
        <w:t>del Reglamento</w:t>
      </w:r>
      <w:r w:rsidR="00F1033D" w:rsidRPr="00116A43">
        <w:rPr>
          <w:rStyle w:val="FootnoteReference"/>
          <w:rFonts w:asciiTheme="majorHAnsi" w:eastAsia="Cambria" w:hAnsiTheme="majorHAnsi" w:cs="Cambria"/>
          <w:color w:val="000000"/>
          <w:sz w:val="20"/>
          <w:szCs w:val="20"/>
        </w:rPr>
        <w:footnoteReference w:id="24"/>
      </w:r>
      <w:r w:rsidR="00F1033D" w:rsidRPr="00116A43">
        <w:rPr>
          <w:rFonts w:asciiTheme="majorHAnsi" w:eastAsia="Cambria" w:hAnsiTheme="majorHAnsi" w:cs="Cambria"/>
          <w:color w:val="000000"/>
          <w:sz w:val="20"/>
          <w:szCs w:val="20"/>
        </w:rPr>
        <w:t xml:space="preserve">. Es decir que </w:t>
      </w:r>
      <w:r w:rsidR="00015BD8" w:rsidRPr="00116A43">
        <w:rPr>
          <w:rFonts w:asciiTheme="majorHAnsi" w:eastAsia="Cambria" w:hAnsiTheme="majorHAnsi" w:cs="Cambria"/>
          <w:color w:val="000000"/>
          <w:sz w:val="20"/>
          <w:szCs w:val="20"/>
        </w:rPr>
        <w:t xml:space="preserve">la CIDH ha considerado, </w:t>
      </w:r>
      <w:r w:rsidR="00F1033D" w:rsidRPr="00116A43">
        <w:rPr>
          <w:rFonts w:asciiTheme="majorHAnsi" w:eastAsia="Cambria" w:hAnsiTheme="majorHAnsi" w:cs="Cambria"/>
          <w:color w:val="000000"/>
          <w:sz w:val="20"/>
          <w:szCs w:val="20"/>
        </w:rPr>
        <w:t>de manera reiterada y sostenida</w:t>
      </w:r>
      <w:r w:rsidR="00015BD8" w:rsidRPr="00116A43">
        <w:rPr>
          <w:rFonts w:asciiTheme="majorHAnsi" w:eastAsia="Cambria" w:hAnsiTheme="majorHAnsi" w:cs="Cambria"/>
          <w:color w:val="000000"/>
          <w:sz w:val="20"/>
          <w:szCs w:val="20"/>
        </w:rPr>
        <w:t xml:space="preserve">, que </w:t>
      </w:r>
      <w:r w:rsidR="009B6010" w:rsidRPr="00F04C39">
        <w:rPr>
          <w:rFonts w:ascii="Cambria" w:eastAsia="Cambria" w:hAnsi="Cambria" w:cs="Cambria"/>
          <w:color w:val="000000"/>
          <w:sz w:val="20"/>
          <w:szCs w:val="20"/>
        </w:rPr>
        <w:t xml:space="preserve">en </w:t>
      </w:r>
      <w:r w:rsidR="00015BD8" w:rsidRPr="00F04C39">
        <w:rPr>
          <w:rFonts w:ascii="Cambria" w:eastAsia="Cambria" w:hAnsi="Cambria" w:cs="Cambria"/>
          <w:color w:val="000000"/>
          <w:sz w:val="20"/>
          <w:szCs w:val="20"/>
        </w:rPr>
        <w:t>Cuba</w:t>
      </w:r>
      <w:r w:rsidR="00F1033D" w:rsidRPr="00F04C39">
        <w:rPr>
          <w:rFonts w:ascii="Cambria" w:eastAsia="Cambria" w:hAnsi="Cambria" w:cs="Cambria"/>
          <w:color w:val="000000"/>
          <w:sz w:val="20"/>
          <w:szCs w:val="20"/>
        </w:rPr>
        <w:t xml:space="preserve"> </w:t>
      </w:r>
      <w:r w:rsidR="009B6010" w:rsidRPr="00F04C39">
        <w:rPr>
          <w:rFonts w:ascii="Cambria" w:eastAsia="Cambria" w:hAnsi="Cambria" w:cs="Cambria"/>
          <w:color w:val="000000"/>
          <w:sz w:val="20"/>
          <w:szCs w:val="20"/>
        </w:rPr>
        <w:t xml:space="preserve">se han cometido </w:t>
      </w:r>
      <w:r w:rsidR="009B6010" w:rsidRPr="00F04C39">
        <w:rPr>
          <w:rFonts w:ascii="Cambria" w:hAnsi="Cambria"/>
          <w:sz w:val="20"/>
          <w:szCs w:val="20"/>
          <w:lang w:val="es-PE"/>
        </w:rPr>
        <w:t xml:space="preserve">graves violaciones a los derechos fundamentales, violaciones masivas, graves y sistemáticas de los derechos humanos garantizados en la Declaración Americana y violaciones en contra de las instituciones de la democracia representativa, tales como la falta de independencia de los poderes del Estado. </w:t>
      </w:r>
    </w:p>
    <w:p w14:paraId="4EEE542F" w14:textId="73CD9640" w:rsidR="006D11E1" w:rsidRPr="00116A43" w:rsidRDefault="006D11E1"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4147878" w14:textId="02AFD8A8" w:rsidR="00EE5F84"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cs="Calibri"/>
          <w:sz w:val="20"/>
          <w:szCs w:val="20"/>
        </w:rPr>
      </w:pPr>
      <w:r w:rsidRPr="00116A43">
        <w:rPr>
          <w:rFonts w:ascii="Cambria" w:hAnsi="Cambria" w:cs="Calibri"/>
          <w:sz w:val="20"/>
          <w:szCs w:val="20"/>
        </w:rPr>
        <w:t xml:space="preserve">Las constataciones de la CIDH en cada uno de estos informes han sido minuciosas y contundentes, en forma tal que, para los propósitos del presente examen de admisibilidad, puede concluirse </w:t>
      </w:r>
      <w:r w:rsidRPr="00116A43">
        <w:rPr>
          <w:rFonts w:ascii="Cambria" w:hAnsi="Cambria"/>
          <w:sz w:val="20"/>
          <w:szCs w:val="20"/>
          <w:lang w:val="es-AR"/>
        </w:rPr>
        <w:t>–</w:t>
      </w:r>
      <w:r w:rsidRPr="00116A43">
        <w:rPr>
          <w:rFonts w:ascii="Cambria" w:hAnsi="Cambria" w:cs="Calibri"/>
          <w:sz w:val="20"/>
          <w:szCs w:val="20"/>
        </w:rPr>
        <w:t>sin que ello implique pronunciamiento alguno sobre el fondo del presente caso</w:t>
      </w:r>
      <w:r w:rsidRPr="00116A43">
        <w:rPr>
          <w:rFonts w:ascii="Cambria" w:hAnsi="Cambria"/>
          <w:sz w:val="20"/>
          <w:szCs w:val="20"/>
          <w:lang w:val="es-AR"/>
        </w:rPr>
        <w:t>–</w:t>
      </w:r>
      <w:r w:rsidRPr="00116A43">
        <w:rPr>
          <w:rFonts w:ascii="Cambria" w:hAnsi="Cambria" w:cs="Calibri"/>
          <w:sz w:val="20"/>
          <w:szCs w:val="20"/>
        </w:rPr>
        <w:t xml:space="preserve"> que, en Cuba, en principio, no se garantiza la independencia judicial, el debido proceso legal ni el acceso a la justicia, especialmente a las personas consideradas disidentes o</w:t>
      </w:r>
      <w:r w:rsidR="00A65DA7">
        <w:rPr>
          <w:rFonts w:ascii="Cambria" w:hAnsi="Cambria" w:cs="Calibri"/>
          <w:sz w:val="20"/>
          <w:szCs w:val="20"/>
        </w:rPr>
        <w:t xml:space="preserve"> señaladas como</w:t>
      </w:r>
      <w:r w:rsidRPr="00116A43">
        <w:rPr>
          <w:rFonts w:ascii="Cambria" w:hAnsi="Cambria" w:cs="Calibri"/>
          <w:sz w:val="20"/>
          <w:szCs w:val="20"/>
        </w:rPr>
        <w:t xml:space="preserve"> enemigas del gobierno cubano. </w:t>
      </w:r>
      <w:r w:rsidR="006D11E1" w:rsidRPr="00116A43">
        <w:rPr>
          <w:rFonts w:ascii="Cambria" w:hAnsi="Cambria" w:cs="Arial"/>
          <w:sz w:val="20"/>
          <w:szCs w:val="20"/>
        </w:rPr>
        <w:t>Para ellos, la existencia de recursos es meramente formal. En muchas oportunidades, los órganos del Poder Judicial o las autoridades administrativas no aplican las normas constitucionales con independencia e imparcialidad en los procesos relacionados con este tipo de personas</w:t>
      </w:r>
      <w:r w:rsidR="006D11E1" w:rsidRPr="00116A43">
        <w:rPr>
          <w:rStyle w:val="FootnoteReference"/>
          <w:rFonts w:ascii="Cambria" w:hAnsi="Cambria" w:cs="Arial"/>
          <w:sz w:val="20"/>
          <w:szCs w:val="20"/>
        </w:rPr>
        <w:footnoteReference w:id="25"/>
      </w:r>
      <w:r w:rsidR="006D11E1" w:rsidRPr="00116A43">
        <w:rPr>
          <w:rFonts w:ascii="Cambria" w:hAnsi="Cambria" w:cs="Arial"/>
          <w:sz w:val="20"/>
          <w:szCs w:val="20"/>
        </w:rPr>
        <w:t xml:space="preserve">. </w:t>
      </w:r>
    </w:p>
    <w:p w14:paraId="4BDBC8C4" w14:textId="77777777" w:rsidR="00EE5F84" w:rsidRPr="00116A43" w:rsidRDefault="00EE5F84"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p>
    <w:p w14:paraId="56D89BC5" w14:textId="14EC55F9" w:rsidR="00EE5F84" w:rsidRPr="00116A43" w:rsidRDefault="006D11E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cs="Calibri"/>
          <w:sz w:val="20"/>
          <w:szCs w:val="20"/>
        </w:rPr>
      </w:pPr>
      <w:r w:rsidRPr="00116A43">
        <w:rPr>
          <w:rFonts w:ascii="Cambria" w:hAnsi="Cambria" w:cs="Arial"/>
          <w:sz w:val="20"/>
          <w:szCs w:val="20"/>
        </w:rPr>
        <w:t xml:space="preserve">En efecto, </w:t>
      </w:r>
      <w:r w:rsidRPr="00116A43">
        <w:rPr>
          <w:rFonts w:ascii="Cambria" w:hAnsi="Cambria" w:cs="Calibri"/>
          <w:sz w:val="20"/>
          <w:szCs w:val="20"/>
        </w:rPr>
        <w:t>l</w:t>
      </w:r>
      <w:r w:rsidR="00415F0D" w:rsidRPr="00116A43">
        <w:rPr>
          <w:rFonts w:ascii="Cambria" w:hAnsi="Cambria" w:cs="Calibri"/>
          <w:sz w:val="20"/>
          <w:szCs w:val="20"/>
        </w:rPr>
        <w:t xml:space="preserve">a información recibida por la CIDH ha apuntado a que el Poder Judicial está sometido al Poder Ejecutivo desde la Constitución de Cuba de 1976 cuyo artículo 121 establecía la subordinación de los </w:t>
      </w:r>
      <w:r w:rsidR="00415F0D" w:rsidRPr="00116A43">
        <w:rPr>
          <w:rFonts w:ascii="Cambria" w:hAnsi="Cambria" w:cs="Calibri"/>
          <w:sz w:val="20"/>
          <w:szCs w:val="20"/>
        </w:rPr>
        <w:lastRenderedPageBreak/>
        <w:t xml:space="preserve">tribunales al Consejo de Estado, encabezado por el </w:t>
      </w:r>
      <w:proofErr w:type="gramStart"/>
      <w:r w:rsidR="00415F0D" w:rsidRPr="00116A43">
        <w:rPr>
          <w:rFonts w:ascii="Cambria" w:hAnsi="Cambria" w:cs="Calibri"/>
          <w:sz w:val="20"/>
          <w:szCs w:val="20"/>
        </w:rPr>
        <w:t>Jefe</w:t>
      </w:r>
      <w:proofErr w:type="gramEnd"/>
      <w:r w:rsidR="00415F0D" w:rsidRPr="00116A43">
        <w:rPr>
          <w:rFonts w:ascii="Cambria" w:hAnsi="Cambria" w:cs="Calibri"/>
          <w:sz w:val="20"/>
          <w:szCs w:val="20"/>
        </w:rPr>
        <w:t xml:space="preserve"> del Estado, lo cual representaba una dependencia directa del Poder Judicial a las directrices del Poder Ejecutivo</w:t>
      </w:r>
      <w:r w:rsidR="00415F0D" w:rsidRPr="00116A43">
        <w:rPr>
          <w:rStyle w:val="FootnoteReference"/>
          <w:rFonts w:ascii="Cambria" w:hAnsi="Cambria" w:cs="Calibri"/>
          <w:sz w:val="20"/>
          <w:szCs w:val="20"/>
        </w:rPr>
        <w:footnoteReference w:id="26"/>
      </w:r>
      <w:r w:rsidR="00415F0D" w:rsidRPr="00116A43">
        <w:rPr>
          <w:rFonts w:ascii="Cambria" w:hAnsi="Cambria" w:cs="Calibri"/>
          <w:sz w:val="20"/>
          <w:szCs w:val="20"/>
        </w:rPr>
        <w:t>. Dicha situación ha continuado con la reforma constitucional, ya que en la actual Constitución de 2019 las Asambleas de Poder Popular tienen alta injerencia en el nombramiento de jueces, a la que deben rendirles cuentas de sus actos y pueden ser revocados por el órgano que los elige, por lo que no existen normas que garanticen a los jueces administrar justicia cuando sus decisiones puedan resultar contrarias a los intereses políticos del gobierno</w:t>
      </w:r>
      <w:r w:rsidR="00415F0D" w:rsidRPr="00116A43">
        <w:rPr>
          <w:rStyle w:val="FootnoteReference"/>
          <w:rFonts w:ascii="Cambria" w:hAnsi="Cambria" w:cs="Calibri"/>
          <w:sz w:val="20"/>
          <w:szCs w:val="20"/>
        </w:rPr>
        <w:footnoteReference w:id="27"/>
      </w:r>
      <w:r w:rsidR="00415F0D" w:rsidRPr="00116A43">
        <w:rPr>
          <w:rFonts w:ascii="Cambria" w:hAnsi="Cambria" w:cs="Calibri"/>
          <w:sz w:val="20"/>
          <w:szCs w:val="20"/>
        </w:rPr>
        <w:t>.</w:t>
      </w:r>
      <w:r w:rsidR="00415F0D" w:rsidRPr="00116A43">
        <w:rPr>
          <w:rFonts w:ascii="Cambria" w:hAnsi="Cambria"/>
          <w:sz w:val="20"/>
          <w:szCs w:val="20"/>
        </w:rPr>
        <w:t xml:space="preserve"> </w:t>
      </w:r>
      <w:r w:rsidR="00415F0D" w:rsidRPr="00116A43">
        <w:rPr>
          <w:rFonts w:ascii="Cambria" w:hAnsi="Cambria" w:cs="Calibri"/>
          <w:sz w:val="20"/>
          <w:szCs w:val="20"/>
        </w:rPr>
        <w:t>Este cúmulo abrumador de información verificada por la CIDH en la que no existe base legal ni práctica política que permita la real independencia de la administración de justiciar en Cuba, particularmente en casos como el presente, sustenta el hecho excepcional de que se esté aplicando la excepción del artículo 36.2.a)</w:t>
      </w:r>
      <w:r w:rsidR="005C2A46" w:rsidRPr="00116A43">
        <w:rPr>
          <w:rFonts w:ascii="Cambria" w:hAnsi="Cambria" w:cs="Calibri"/>
          <w:sz w:val="20"/>
          <w:szCs w:val="20"/>
        </w:rPr>
        <w:t>. C</w:t>
      </w:r>
      <w:r w:rsidR="003F4C7A" w:rsidRPr="00116A43">
        <w:rPr>
          <w:rFonts w:ascii="Cambria" w:hAnsi="Cambria" w:cs="Calibri"/>
          <w:sz w:val="20"/>
          <w:szCs w:val="20"/>
        </w:rPr>
        <w:t>omo lo ha señalado la CIDH de forma sostenida, l</w:t>
      </w:r>
      <w:r w:rsidR="00EE5F84" w:rsidRPr="00116A43">
        <w:rPr>
          <w:rFonts w:ascii="Cambria" w:hAnsi="Cambria" w:cs="Calibri"/>
          <w:sz w:val="20"/>
          <w:szCs w:val="20"/>
        </w:rPr>
        <w:t xml:space="preserve">o anterior se </w:t>
      </w:r>
      <w:r w:rsidR="003F4C7A" w:rsidRPr="00116A43">
        <w:rPr>
          <w:rFonts w:ascii="Cambria" w:hAnsi="Cambria" w:cs="Calibri"/>
          <w:sz w:val="20"/>
          <w:szCs w:val="20"/>
        </w:rPr>
        <w:t xml:space="preserve">inserta en un contexto </w:t>
      </w:r>
      <w:r w:rsidR="00EE5F84" w:rsidRPr="00116A43">
        <w:rPr>
          <w:rFonts w:ascii="Cambria" w:hAnsi="Cambria"/>
          <w:sz w:val="20"/>
          <w:szCs w:val="20"/>
        </w:rPr>
        <w:t>de grave inobservancia de los elementos esenciales de la democracia rep</w:t>
      </w:r>
      <w:r w:rsidR="003F4C7A" w:rsidRPr="00116A43">
        <w:rPr>
          <w:rFonts w:ascii="Cambria" w:hAnsi="Cambria"/>
          <w:sz w:val="20"/>
          <w:szCs w:val="20"/>
        </w:rPr>
        <w:t xml:space="preserve">resentativa y sus instituciones debido a que Cuba es un </w:t>
      </w:r>
      <w:r w:rsidR="00EE5F84" w:rsidRPr="00116A43">
        <w:rPr>
          <w:rFonts w:ascii="Cambria" w:hAnsi="Cambria"/>
          <w:sz w:val="20"/>
          <w:szCs w:val="20"/>
        </w:rPr>
        <w:t xml:space="preserve">Estado gobernado por un partido único </w:t>
      </w:r>
      <w:r w:rsidR="003F4C7A" w:rsidRPr="00116A43">
        <w:rPr>
          <w:rFonts w:ascii="Cambria" w:hAnsi="Cambria"/>
          <w:sz w:val="20"/>
          <w:szCs w:val="20"/>
        </w:rPr>
        <w:t xml:space="preserve">comunista </w:t>
      </w:r>
      <w:r w:rsidR="00EE5F84" w:rsidRPr="00116A43">
        <w:rPr>
          <w:rFonts w:ascii="Cambria" w:hAnsi="Cambria"/>
          <w:sz w:val="20"/>
          <w:szCs w:val="20"/>
        </w:rPr>
        <w:t>que impide</w:t>
      </w:r>
      <w:r w:rsidR="005C2A46" w:rsidRPr="00116A43">
        <w:rPr>
          <w:rFonts w:ascii="Cambria" w:hAnsi="Cambria"/>
          <w:sz w:val="20"/>
          <w:szCs w:val="20"/>
        </w:rPr>
        <w:t xml:space="preserve"> y reprime</w:t>
      </w:r>
      <w:r w:rsidR="00EE5F84" w:rsidRPr="00116A43">
        <w:rPr>
          <w:rFonts w:ascii="Cambria" w:hAnsi="Cambria"/>
          <w:sz w:val="20"/>
          <w:szCs w:val="20"/>
        </w:rPr>
        <w:t xml:space="preserve"> las vías de disenso político</w:t>
      </w:r>
      <w:r w:rsidR="003F4C7A" w:rsidRPr="00116A43">
        <w:rPr>
          <w:rFonts w:ascii="Cambria" w:hAnsi="Cambria"/>
          <w:sz w:val="20"/>
          <w:szCs w:val="20"/>
        </w:rPr>
        <w:t xml:space="preserve">, </w:t>
      </w:r>
      <w:r w:rsidR="005C2A46" w:rsidRPr="00116A43">
        <w:rPr>
          <w:rFonts w:ascii="Cambria" w:hAnsi="Cambria"/>
          <w:sz w:val="20"/>
          <w:szCs w:val="20"/>
        </w:rPr>
        <w:t xml:space="preserve">que impide </w:t>
      </w:r>
      <w:r w:rsidR="003F4C7A" w:rsidRPr="00116A43">
        <w:rPr>
          <w:rFonts w:ascii="Cambria" w:hAnsi="Cambria"/>
          <w:sz w:val="20"/>
          <w:szCs w:val="20"/>
        </w:rPr>
        <w:t>la celebración de elecciones carente</w:t>
      </w:r>
      <w:r w:rsidR="005C2A46" w:rsidRPr="00116A43">
        <w:rPr>
          <w:rFonts w:ascii="Cambria" w:hAnsi="Cambria"/>
          <w:sz w:val="20"/>
          <w:szCs w:val="20"/>
        </w:rPr>
        <w:t>s de pluralidad e independencia</w:t>
      </w:r>
      <w:r w:rsidR="003F4C7A" w:rsidRPr="00116A43">
        <w:rPr>
          <w:rFonts w:ascii="Cambria" w:hAnsi="Cambria"/>
          <w:sz w:val="20"/>
          <w:szCs w:val="20"/>
        </w:rPr>
        <w:t xml:space="preserve"> y los partidos de oposición</w:t>
      </w:r>
      <w:r w:rsidR="003F4C7A" w:rsidRPr="00116A43">
        <w:rPr>
          <w:rStyle w:val="FootnoteReference"/>
          <w:rFonts w:ascii="Cambria" w:hAnsi="Cambria"/>
          <w:sz w:val="20"/>
          <w:szCs w:val="20"/>
        </w:rPr>
        <w:footnoteReference w:id="28"/>
      </w:r>
      <w:r w:rsidR="003F4C7A" w:rsidRPr="00116A43">
        <w:rPr>
          <w:rFonts w:ascii="Cambria" w:hAnsi="Cambria"/>
          <w:sz w:val="20"/>
          <w:szCs w:val="20"/>
        </w:rPr>
        <w:t xml:space="preserve">. Su propia Constitución establece disposiciones </w:t>
      </w:r>
      <w:r w:rsidR="00EE5F84" w:rsidRPr="00116A43">
        <w:rPr>
          <w:rFonts w:ascii="Cambria" w:hAnsi="Cambria"/>
          <w:sz w:val="20"/>
          <w:szCs w:val="20"/>
          <w:lang w:val="es-PE"/>
        </w:rPr>
        <w:t xml:space="preserve">sobre la defensa a la patria socialista y la determinación de la traición a la patria como </w:t>
      </w:r>
      <w:r w:rsidR="003F4C7A" w:rsidRPr="00116A43">
        <w:rPr>
          <w:rFonts w:ascii="Cambria" w:hAnsi="Cambria"/>
          <w:sz w:val="20"/>
          <w:szCs w:val="20"/>
          <w:lang w:val="es-PE"/>
        </w:rPr>
        <w:t>el más grave de los crímenes, lo cual constituye</w:t>
      </w:r>
      <w:r w:rsidR="00EE5F84" w:rsidRPr="00116A43">
        <w:rPr>
          <w:rFonts w:ascii="Cambria" w:hAnsi="Cambria"/>
          <w:sz w:val="20"/>
          <w:szCs w:val="20"/>
          <w:lang w:val="es-PE"/>
        </w:rPr>
        <w:t xml:space="preserve"> la c</w:t>
      </w:r>
      <w:r w:rsidR="003F4C7A" w:rsidRPr="00116A43">
        <w:rPr>
          <w:rFonts w:ascii="Cambria" w:hAnsi="Cambria"/>
          <w:sz w:val="20"/>
          <w:szCs w:val="20"/>
          <w:lang w:val="es-PE"/>
        </w:rPr>
        <w:t xml:space="preserve">aracterización de las bases de un </w:t>
      </w:r>
      <w:r w:rsidR="00EE5F84" w:rsidRPr="00116A43">
        <w:rPr>
          <w:rFonts w:ascii="Cambria" w:hAnsi="Cambria"/>
          <w:sz w:val="20"/>
          <w:szCs w:val="20"/>
          <w:lang w:val="es-PE"/>
        </w:rPr>
        <w:t>Estado</w:t>
      </w:r>
      <w:r w:rsidR="003F4C7A" w:rsidRPr="00116A43">
        <w:rPr>
          <w:rFonts w:ascii="Cambria" w:hAnsi="Cambria"/>
          <w:sz w:val="20"/>
          <w:szCs w:val="20"/>
          <w:lang w:val="es-PE"/>
        </w:rPr>
        <w:t xml:space="preserve"> que</w:t>
      </w:r>
      <w:r w:rsidR="00EE5F84" w:rsidRPr="00116A43">
        <w:rPr>
          <w:rFonts w:ascii="Cambria" w:hAnsi="Cambria"/>
          <w:sz w:val="20"/>
          <w:szCs w:val="20"/>
          <w:lang w:val="es-PE"/>
        </w:rPr>
        <w:t xml:space="preserve"> no brinda garantías </w:t>
      </w:r>
      <w:r w:rsidR="00EE5F84" w:rsidRPr="00BA6ADA">
        <w:rPr>
          <w:rFonts w:ascii="Cambria" w:hAnsi="Cambria"/>
          <w:sz w:val="20"/>
          <w:szCs w:val="20"/>
          <w:lang w:val="es-PE"/>
        </w:rPr>
        <w:t>institucionales para un Estado de Derecho que proteja los derechos de todas las personas sin distinción política</w:t>
      </w:r>
      <w:r w:rsidR="003F4C7A" w:rsidRPr="00BA6ADA">
        <w:rPr>
          <w:rStyle w:val="FootnoteReference"/>
          <w:rFonts w:ascii="Cambria" w:hAnsi="Cambria"/>
          <w:sz w:val="20"/>
          <w:szCs w:val="20"/>
          <w:lang w:val="es-PE"/>
        </w:rPr>
        <w:footnoteReference w:id="29"/>
      </w:r>
      <w:r w:rsidR="00EE5F84" w:rsidRPr="00BA6ADA">
        <w:rPr>
          <w:rFonts w:ascii="Cambria" w:hAnsi="Cambria"/>
          <w:sz w:val="20"/>
          <w:szCs w:val="20"/>
          <w:lang w:val="es-PE"/>
        </w:rPr>
        <w:t>.</w:t>
      </w:r>
      <w:r w:rsidR="00620819" w:rsidRPr="00BA6ADA">
        <w:rPr>
          <w:rFonts w:ascii="Cambria" w:hAnsi="Cambria"/>
          <w:sz w:val="20"/>
          <w:szCs w:val="20"/>
          <w:lang w:val="es-PE"/>
        </w:rPr>
        <w:t xml:space="preserve"> </w:t>
      </w:r>
      <w:r w:rsidR="00324B28" w:rsidRPr="00BA6ADA">
        <w:rPr>
          <w:rFonts w:ascii="Cambria" w:hAnsi="Cambria"/>
          <w:sz w:val="20"/>
          <w:szCs w:val="20"/>
          <w:lang w:val="es-PE"/>
        </w:rPr>
        <w:t>Dicho planteamiento, de jerarquía constitucional, es un condicionamiento</w:t>
      </w:r>
      <w:r w:rsidR="00A004A4" w:rsidRPr="00BA6ADA">
        <w:rPr>
          <w:rFonts w:ascii="Cambria" w:hAnsi="Cambria"/>
          <w:sz w:val="20"/>
          <w:szCs w:val="20"/>
          <w:lang w:val="es-PE"/>
        </w:rPr>
        <w:t xml:space="preserve"> genérico y ampliamente </w:t>
      </w:r>
      <w:r w:rsidR="00324B28" w:rsidRPr="00BA6ADA">
        <w:rPr>
          <w:rFonts w:ascii="Cambria" w:hAnsi="Cambria"/>
          <w:sz w:val="20"/>
          <w:szCs w:val="20"/>
          <w:lang w:val="es-PE"/>
        </w:rPr>
        <w:t>discrecional</w:t>
      </w:r>
      <w:r w:rsidR="00A004A4" w:rsidRPr="00BA6ADA">
        <w:rPr>
          <w:rFonts w:ascii="Cambria" w:hAnsi="Cambria"/>
          <w:sz w:val="20"/>
          <w:szCs w:val="20"/>
          <w:lang w:val="es-PE"/>
        </w:rPr>
        <w:t xml:space="preserve">, el cual no contribuye con la creación de un marco jurídico propicio </w:t>
      </w:r>
      <w:r w:rsidR="00324B28" w:rsidRPr="00BA6ADA">
        <w:rPr>
          <w:rFonts w:ascii="Cambria" w:hAnsi="Cambria"/>
          <w:sz w:val="20"/>
          <w:szCs w:val="20"/>
          <w:lang w:val="es-PE"/>
        </w:rPr>
        <w:t>para el ejercicio de la libertad de expresión</w:t>
      </w:r>
      <w:r w:rsidR="00A004A4" w:rsidRPr="00BA6ADA">
        <w:rPr>
          <w:rFonts w:ascii="Cambria" w:hAnsi="Cambria"/>
          <w:sz w:val="20"/>
          <w:szCs w:val="20"/>
          <w:lang w:val="es-PE"/>
        </w:rPr>
        <w:t xml:space="preserve"> y de los demás derechos humanos.</w:t>
      </w:r>
    </w:p>
    <w:p w14:paraId="074A4B2F" w14:textId="77777777" w:rsidR="00EE5F84" w:rsidRPr="00116A43" w:rsidRDefault="00EE5F84"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PE"/>
        </w:rPr>
      </w:pPr>
    </w:p>
    <w:p w14:paraId="47AA0D0C" w14:textId="080E0E9A" w:rsidR="00415F0D" w:rsidRPr="00116A43" w:rsidRDefault="005C2A46"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cs="Calibri"/>
          <w:sz w:val="20"/>
          <w:szCs w:val="20"/>
        </w:rPr>
        <w:t>En este contexto</w:t>
      </w:r>
      <w:r w:rsidR="00415F0D" w:rsidRPr="00116A43">
        <w:rPr>
          <w:rFonts w:ascii="Cambria" w:hAnsi="Cambria" w:cs="Calibri"/>
          <w:sz w:val="20"/>
          <w:szCs w:val="20"/>
        </w:rPr>
        <w:t xml:space="preserve">, si bien la presunta víctima presentó denuncias y solicitudes a nivel administrativo con la intención de agotar algunos de los recursos existentes, la absoluta ausencia de respuesta del Estado, </w:t>
      </w:r>
      <w:r w:rsidR="00324B28">
        <w:rPr>
          <w:rFonts w:ascii="Cambria" w:hAnsi="Cambria" w:cs="Calibri"/>
          <w:sz w:val="20"/>
          <w:szCs w:val="20"/>
        </w:rPr>
        <w:t xml:space="preserve">en contraste con las activas </w:t>
      </w:r>
      <w:r w:rsidR="00415F0D" w:rsidRPr="00116A43">
        <w:rPr>
          <w:rFonts w:ascii="Cambria" w:hAnsi="Cambria" w:cs="Calibri"/>
          <w:sz w:val="20"/>
          <w:szCs w:val="20"/>
        </w:rPr>
        <w:t xml:space="preserve">campañas de desprestigio y ataques en su contra al ser considerada como una disidente política debido al contenido de sus expresiones críticas contra el gobierno cubano, son indicios que, </w:t>
      </w:r>
      <w:r w:rsidR="00415F0D" w:rsidRPr="00116A43">
        <w:rPr>
          <w:rFonts w:ascii="Cambria" w:hAnsi="Cambria" w:cs="Calibri"/>
          <w:i/>
          <w:iCs/>
          <w:sz w:val="20"/>
          <w:szCs w:val="20"/>
        </w:rPr>
        <w:t>prima facie</w:t>
      </w:r>
      <w:r w:rsidR="00415F0D" w:rsidRPr="00116A43">
        <w:rPr>
          <w:rFonts w:ascii="Cambria" w:hAnsi="Cambria" w:cs="Calibri"/>
          <w:sz w:val="20"/>
          <w:szCs w:val="20"/>
        </w:rPr>
        <w:t xml:space="preserve">, materializan en el caso concreto, lo que la CIDH ha constatado en los informes citados en </w:t>
      </w:r>
      <w:r w:rsidR="006D11E1" w:rsidRPr="00116A43">
        <w:rPr>
          <w:rFonts w:ascii="Cambria" w:hAnsi="Cambria" w:cs="Calibri"/>
          <w:sz w:val="20"/>
          <w:szCs w:val="20"/>
        </w:rPr>
        <w:t xml:space="preserve">los </w:t>
      </w:r>
      <w:r w:rsidR="00415F0D" w:rsidRPr="00116A43">
        <w:rPr>
          <w:rFonts w:ascii="Cambria" w:hAnsi="Cambria" w:cs="Calibri"/>
          <w:sz w:val="20"/>
          <w:szCs w:val="20"/>
        </w:rPr>
        <w:t>párrafo</w:t>
      </w:r>
      <w:r w:rsidR="006D11E1" w:rsidRPr="00116A43">
        <w:rPr>
          <w:rFonts w:ascii="Cambria" w:hAnsi="Cambria" w:cs="Calibri"/>
          <w:sz w:val="20"/>
          <w:szCs w:val="20"/>
        </w:rPr>
        <w:t>s</w:t>
      </w:r>
      <w:r w:rsidR="00415F0D" w:rsidRPr="00116A43">
        <w:rPr>
          <w:rFonts w:ascii="Cambria" w:hAnsi="Cambria" w:cs="Calibri"/>
          <w:sz w:val="20"/>
          <w:szCs w:val="20"/>
        </w:rPr>
        <w:t xml:space="preserve"> precedente</w:t>
      </w:r>
      <w:r w:rsidR="006D11E1" w:rsidRPr="00116A43">
        <w:rPr>
          <w:rFonts w:ascii="Cambria" w:hAnsi="Cambria" w:cs="Calibri"/>
          <w:sz w:val="20"/>
          <w:szCs w:val="20"/>
        </w:rPr>
        <w:t>s</w:t>
      </w:r>
      <w:r w:rsidR="00415F0D" w:rsidRPr="00116A43">
        <w:rPr>
          <w:rFonts w:ascii="Cambria" w:hAnsi="Cambria" w:cs="Calibri"/>
          <w:sz w:val="20"/>
          <w:szCs w:val="20"/>
        </w:rPr>
        <w:t>.</w:t>
      </w:r>
    </w:p>
    <w:p w14:paraId="61C361BF" w14:textId="77777777" w:rsidR="00415F0D" w:rsidRPr="00116A43" w:rsidRDefault="00415F0D" w:rsidP="003750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F89B4CE" w14:textId="77777777" w:rsidR="00415F0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hAnsi="Cambria"/>
          <w:sz w:val="20"/>
          <w:szCs w:val="20"/>
        </w:rPr>
      </w:pPr>
      <w:r w:rsidRPr="00116A43">
        <w:rPr>
          <w:rFonts w:ascii="Cambria" w:hAnsi="Cambria" w:cs="Calibri"/>
          <w:sz w:val="20"/>
          <w:szCs w:val="20"/>
        </w:rPr>
        <w:t>Por esta razón, la CIDH declara aplicable la excepción al deber de agotamiento de recursos internos plasmada en el artículo 36.2.a) del Reglamento de la CIDH.</w:t>
      </w:r>
    </w:p>
    <w:p w14:paraId="764F4836" w14:textId="77777777" w:rsidR="00713A1F" w:rsidRPr="00116A43" w:rsidRDefault="00713A1F" w:rsidP="00A85002">
      <w:pPr>
        <w:pStyle w:val="ListParagraph"/>
        <w:jc w:val="both"/>
        <w:rPr>
          <w:rFonts w:cs="Calibri"/>
          <w:sz w:val="20"/>
          <w:szCs w:val="20"/>
          <w:lang w:val="es-PE"/>
        </w:rPr>
      </w:pPr>
    </w:p>
    <w:p w14:paraId="3EBDF420" w14:textId="65A2E86C" w:rsidR="0027004C" w:rsidRPr="00116A43" w:rsidRDefault="0027004C" w:rsidP="00577F2D">
      <w:pPr>
        <w:pStyle w:val="Heading3"/>
      </w:pPr>
      <w:bookmarkStart w:id="11" w:name="_Toc89157558"/>
      <w:r w:rsidRPr="00116A43">
        <w:t>Plazo para presentación de la petición</w:t>
      </w:r>
      <w:bookmarkEnd w:id="11"/>
    </w:p>
    <w:p w14:paraId="3AB3FA3D" w14:textId="77777777" w:rsidR="00917905" w:rsidRPr="00116A43" w:rsidRDefault="00917905" w:rsidP="0028618A">
      <w:pPr>
        <w:rPr>
          <w:lang w:val="es-PE"/>
        </w:rPr>
      </w:pPr>
    </w:p>
    <w:p w14:paraId="315AE7B3" w14:textId="24195A7C" w:rsidR="0027004C" w:rsidRPr="00116A43" w:rsidRDefault="0027004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hAnsi="Cambria" w:cs="Arial"/>
          <w:sz w:val="20"/>
          <w:szCs w:val="20"/>
        </w:rPr>
      </w:pPr>
      <w:r w:rsidRPr="00116A43">
        <w:rPr>
          <w:rFonts w:ascii="Cambria" w:eastAsia="SimSun" w:hAnsi="Cambria"/>
          <w:sz w:val="20"/>
          <w:szCs w:val="20"/>
        </w:rPr>
        <w:t xml:space="preserve">El artículo </w:t>
      </w:r>
      <w:r w:rsidR="00415F0D" w:rsidRPr="00116A43">
        <w:rPr>
          <w:rFonts w:ascii="Cambria" w:eastAsia="SimSun" w:hAnsi="Cambria"/>
          <w:sz w:val="20"/>
          <w:szCs w:val="20"/>
        </w:rPr>
        <w:t xml:space="preserve">32.1 del Reglamento establece que para que una petición resulte admisible por la Comisión se requerirá que sea presentada dentro del plazo de seis meses a partir de la fecha en que la persona presuntamente lesionada haya sido notificada de la decisión definitiva. En el reclamo bajo análisis, la CIDH ha establecido la aplicación de la excepción al agotamiento de los recursos internos conforme al artículo 31.2.a) del Reglamento. Al respecto, el artículo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w:t>
      </w:r>
      <w:r w:rsidRPr="00116A43">
        <w:rPr>
          <w:rFonts w:ascii="Cambria" w:eastAsia="SimSun" w:hAnsi="Cambria"/>
          <w:sz w:val="20"/>
          <w:szCs w:val="20"/>
        </w:rPr>
        <w:t>de cada caso</w:t>
      </w:r>
      <w:r w:rsidR="00FD5A31" w:rsidRPr="00116A43">
        <w:rPr>
          <w:rStyle w:val="FootnoteReference"/>
          <w:rFonts w:ascii="Cambria" w:eastAsia="SimSun" w:hAnsi="Cambria"/>
          <w:sz w:val="20"/>
          <w:szCs w:val="20"/>
        </w:rPr>
        <w:footnoteReference w:id="30"/>
      </w:r>
      <w:r w:rsidRPr="00116A43">
        <w:rPr>
          <w:rFonts w:ascii="Cambria" w:eastAsia="SimSun" w:hAnsi="Cambria"/>
          <w:sz w:val="20"/>
          <w:szCs w:val="20"/>
        </w:rPr>
        <w:t xml:space="preserve">. </w:t>
      </w:r>
    </w:p>
    <w:p w14:paraId="2D5D481A" w14:textId="77777777" w:rsidR="00917905" w:rsidRPr="00116A43" w:rsidRDefault="00917905"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jc w:val="both"/>
        <w:rPr>
          <w:rFonts w:ascii="Cambria" w:hAnsi="Cambria" w:cs="Arial"/>
          <w:sz w:val="20"/>
          <w:szCs w:val="20"/>
        </w:rPr>
      </w:pPr>
    </w:p>
    <w:p w14:paraId="3351A011" w14:textId="77777777" w:rsidR="00415F0D" w:rsidRPr="00116A43" w:rsidRDefault="00415F0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Cambria" w:eastAsia="SimSun" w:hAnsi="Cambria"/>
          <w:sz w:val="20"/>
          <w:szCs w:val="20"/>
        </w:rPr>
      </w:pPr>
      <w:r w:rsidRPr="00116A43">
        <w:rPr>
          <w:rFonts w:ascii="Cambria" w:eastAsia="SimSun" w:hAnsi="Cambria"/>
          <w:sz w:val="20"/>
          <w:szCs w:val="20"/>
        </w:rPr>
        <w:t xml:space="preserve">En el caso bajo análisis, la CIDH ha establecido la aplicación de la excepción al agotamiento de los recursos internos conforme al artículo 31.2.a) del Reglamento. La petición ante la CIDH fue recibida el 28 de septiembre de 2012 y los presuntos hechos materia del reclamo se iniciaron en el año 2007 y sus efectos se extenderían hasta el presente. Por lo tanto, en vista del contexto y las características del presente caso, la </w:t>
      </w:r>
      <w:r w:rsidRPr="00116A43">
        <w:rPr>
          <w:rFonts w:ascii="Cambria" w:eastAsia="SimSun" w:hAnsi="Cambria"/>
          <w:sz w:val="20"/>
          <w:szCs w:val="20"/>
        </w:rPr>
        <w:lastRenderedPageBreak/>
        <w:t>Comisión considera que la petición fue presentada dentro de un plazo razonable y que debe darse por satisfecho el requisito de admisibilidad referente al plazo de presentación.</w:t>
      </w:r>
      <w:r w:rsidRPr="00116A43">
        <w:rPr>
          <w:rFonts w:ascii="Cambria" w:hAnsi="Cambria"/>
          <w:sz w:val="20"/>
          <w:szCs w:val="20"/>
        </w:rPr>
        <w:t xml:space="preserve"> </w:t>
      </w:r>
    </w:p>
    <w:p w14:paraId="780AF676" w14:textId="77777777" w:rsidR="00415F0D" w:rsidRPr="00116A43" w:rsidRDefault="00415F0D" w:rsidP="00415F0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autoSpaceDE w:val="0"/>
        <w:autoSpaceDN w:val="0"/>
        <w:adjustRightInd w:val="0"/>
        <w:ind w:left="720"/>
        <w:jc w:val="both"/>
        <w:rPr>
          <w:rFonts w:ascii="Cambria" w:eastAsia="SimSun" w:hAnsi="Cambria"/>
          <w:sz w:val="20"/>
          <w:szCs w:val="20"/>
        </w:rPr>
      </w:pPr>
    </w:p>
    <w:p w14:paraId="00060D18" w14:textId="35BB5B44" w:rsidR="0027004C" w:rsidRPr="00116A43" w:rsidRDefault="0027004C" w:rsidP="00577F2D">
      <w:pPr>
        <w:pStyle w:val="Heading3"/>
      </w:pPr>
      <w:bookmarkStart w:id="12" w:name="_Toc89157559"/>
      <w:r w:rsidRPr="00116A43">
        <w:t>Caracterización de los hechos alegados</w:t>
      </w:r>
      <w:bookmarkEnd w:id="12"/>
    </w:p>
    <w:p w14:paraId="1B9EDAB4" w14:textId="77777777" w:rsidR="00917905" w:rsidRPr="00116A43" w:rsidRDefault="00917905" w:rsidP="005F7FE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autoSpaceDE w:val="0"/>
        <w:autoSpaceDN w:val="0"/>
        <w:adjustRightInd w:val="0"/>
        <w:ind w:left="1440"/>
        <w:jc w:val="both"/>
        <w:rPr>
          <w:rFonts w:eastAsia="SimSun"/>
          <w:b/>
          <w:sz w:val="20"/>
          <w:szCs w:val="20"/>
          <w:lang w:val="es-PE"/>
        </w:rPr>
      </w:pPr>
    </w:p>
    <w:p w14:paraId="267301BC" w14:textId="443C5897" w:rsidR="0027004C" w:rsidRPr="00116A43" w:rsidRDefault="0027004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eastAsia="SimSun" w:hAnsi="Cambria"/>
          <w:sz w:val="20"/>
          <w:szCs w:val="20"/>
        </w:rPr>
      </w:pPr>
      <w:r w:rsidRPr="00116A43">
        <w:rPr>
          <w:rFonts w:ascii="Cambria" w:eastAsia="SimSun" w:hAnsi="Cambria"/>
          <w:sz w:val="20"/>
          <w:szCs w:val="20"/>
        </w:rPr>
        <w:t xml:space="preserve">A efectos de la admisibilidad, la Comisión debe decidir si los hechos alegados pueden caracterizar una violación de derechos, según lo estipulado en el artículo 34.a del Reglamento, o si la petición es "manifiestamente infundada" o es "evidente su total improcedencia", conforme al artículo 34.b del Reglamento.  </w:t>
      </w:r>
    </w:p>
    <w:p w14:paraId="240E7343" w14:textId="77777777" w:rsidR="008C5A53" w:rsidRPr="00116A43" w:rsidRDefault="008C5A53" w:rsidP="00375047">
      <w:pPr>
        <w:suppressAutoHyphens/>
        <w:jc w:val="both"/>
        <w:rPr>
          <w:rFonts w:eastAsia="SimSun"/>
          <w:sz w:val="20"/>
          <w:szCs w:val="20"/>
          <w:lang w:val="es-PE"/>
        </w:rPr>
      </w:pPr>
    </w:p>
    <w:p w14:paraId="61880534" w14:textId="5A1F7C22" w:rsidR="0027004C" w:rsidRPr="00116A43" w:rsidRDefault="0027004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eastAsia="SimSun" w:hAnsi="Cambria"/>
          <w:sz w:val="20"/>
          <w:szCs w:val="20"/>
        </w:rPr>
      </w:pPr>
      <w:r w:rsidRPr="00116A43">
        <w:rPr>
          <w:rFonts w:ascii="Cambria" w:eastAsia="SimSun" w:hAnsi="Cambria"/>
          <w:sz w:val="20"/>
          <w:szCs w:val="20"/>
        </w:rPr>
        <w:t xml:space="preserve">Los peticionarios sostienen que </w:t>
      </w:r>
      <w:r w:rsidR="00226539" w:rsidRPr="00116A43">
        <w:rPr>
          <w:rFonts w:ascii="Cambria" w:eastAsia="SimSun" w:hAnsi="Cambria"/>
          <w:sz w:val="20"/>
          <w:szCs w:val="20"/>
        </w:rPr>
        <w:t>entre</w:t>
      </w:r>
      <w:r w:rsidRPr="00116A43">
        <w:rPr>
          <w:rFonts w:ascii="Cambria" w:eastAsia="SimSun" w:hAnsi="Cambria"/>
          <w:sz w:val="20"/>
          <w:szCs w:val="20"/>
        </w:rPr>
        <w:t xml:space="preserve"> 2007</w:t>
      </w:r>
      <w:r w:rsidR="00226539" w:rsidRPr="00116A43">
        <w:rPr>
          <w:rFonts w:ascii="Cambria" w:eastAsia="SimSun" w:hAnsi="Cambria"/>
          <w:sz w:val="20"/>
          <w:szCs w:val="20"/>
        </w:rPr>
        <w:t xml:space="preserve"> y 2012</w:t>
      </w:r>
      <w:r w:rsidRPr="00116A43">
        <w:rPr>
          <w:rFonts w:ascii="Cambria" w:eastAsia="SimSun" w:hAnsi="Cambria"/>
          <w:sz w:val="20"/>
          <w:szCs w:val="20"/>
        </w:rPr>
        <w:t xml:space="preserve"> </w:t>
      </w:r>
      <w:r w:rsidR="00080139" w:rsidRPr="00116A43">
        <w:rPr>
          <w:rFonts w:ascii="Cambria" w:eastAsia="SimSun" w:hAnsi="Cambria"/>
          <w:sz w:val="20"/>
          <w:szCs w:val="20"/>
        </w:rPr>
        <w:t xml:space="preserve">Yoani María Sánchez Cordero se vio impedida de salir de Cuba para recibir “diversos y prestigiosos premios internacionales al periodismo y por su actividad de bloguera” </w:t>
      </w:r>
      <w:r w:rsidR="00226539" w:rsidRPr="00116A43">
        <w:rPr>
          <w:rFonts w:ascii="Cambria" w:eastAsia="SimSun" w:hAnsi="Cambria"/>
          <w:sz w:val="20"/>
          <w:szCs w:val="20"/>
        </w:rPr>
        <w:t xml:space="preserve">con motivo de la falta de autorización por parte de </w:t>
      </w:r>
      <w:r w:rsidRPr="00116A43">
        <w:rPr>
          <w:rFonts w:ascii="Cambria" w:eastAsia="SimSun" w:hAnsi="Cambria"/>
          <w:sz w:val="20"/>
          <w:szCs w:val="20"/>
        </w:rPr>
        <w:t>las autoridades cubanas</w:t>
      </w:r>
      <w:r w:rsidR="00080139" w:rsidRPr="00116A43">
        <w:rPr>
          <w:rFonts w:ascii="Cambria" w:eastAsia="SimSun" w:hAnsi="Cambria"/>
          <w:sz w:val="20"/>
          <w:szCs w:val="20"/>
        </w:rPr>
        <w:t>.</w:t>
      </w:r>
      <w:r w:rsidRPr="00116A43">
        <w:rPr>
          <w:rFonts w:ascii="Cambria" w:eastAsia="SimSun" w:hAnsi="Cambria"/>
          <w:sz w:val="20"/>
          <w:szCs w:val="20"/>
        </w:rPr>
        <w:t xml:space="preserve"> Afirman que</w:t>
      </w:r>
      <w:r w:rsidR="003C5088" w:rsidRPr="00116A43">
        <w:rPr>
          <w:rFonts w:ascii="Cambria" w:eastAsia="SimSun" w:hAnsi="Cambria"/>
          <w:sz w:val="20"/>
          <w:szCs w:val="20"/>
        </w:rPr>
        <w:t>,</w:t>
      </w:r>
      <w:r w:rsidRPr="00116A43">
        <w:rPr>
          <w:rFonts w:ascii="Cambria" w:eastAsia="SimSun" w:hAnsi="Cambria"/>
          <w:sz w:val="20"/>
          <w:szCs w:val="20"/>
        </w:rPr>
        <w:t xml:space="preserve"> debido a su</w:t>
      </w:r>
      <w:r w:rsidR="00C953F7" w:rsidRPr="00116A43">
        <w:rPr>
          <w:rFonts w:ascii="Cambria" w:eastAsia="SimSun" w:hAnsi="Cambria"/>
          <w:sz w:val="20"/>
          <w:szCs w:val="20"/>
        </w:rPr>
        <w:t xml:space="preserve"> labor</w:t>
      </w:r>
      <w:r w:rsidR="00C31CD1" w:rsidRPr="00116A43">
        <w:rPr>
          <w:rFonts w:ascii="Cambria" w:eastAsia="SimSun" w:hAnsi="Cambria"/>
          <w:sz w:val="20"/>
          <w:szCs w:val="20"/>
        </w:rPr>
        <w:t xml:space="preserve"> como periodista y bloguera</w:t>
      </w:r>
      <w:r w:rsidR="003C5088" w:rsidRPr="00116A43">
        <w:rPr>
          <w:rFonts w:ascii="Cambria" w:eastAsia="SimSun" w:hAnsi="Cambria"/>
          <w:sz w:val="20"/>
          <w:szCs w:val="20"/>
        </w:rPr>
        <w:t xml:space="preserve"> y sus </w:t>
      </w:r>
      <w:r w:rsidR="00C95875" w:rsidRPr="00116A43">
        <w:rPr>
          <w:rFonts w:ascii="Cambria" w:eastAsia="SimSun" w:hAnsi="Cambria"/>
          <w:sz w:val="20"/>
          <w:szCs w:val="20"/>
        </w:rPr>
        <w:t xml:space="preserve">críticas del gobierno cubano, </w:t>
      </w:r>
      <w:r w:rsidRPr="00116A43">
        <w:rPr>
          <w:rFonts w:ascii="Cambria" w:eastAsia="SimSun" w:hAnsi="Cambria"/>
          <w:sz w:val="20"/>
          <w:szCs w:val="20"/>
        </w:rPr>
        <w:t xml:space="preserve">ha sufrido “diversos actos de persecución y agresión física por parte de las fuerzas policiales y por grupos </w:t>
      </w:r>
      <w:r w:rsidR="00FD2927" w:rsidRPr="00116A43">
        <w:rPr>
          <w:rFonts w:ascii="Cambria" w:eastAsia="SimSun" w:hAnsi="Cambria"/>
          <w:sz w:val="20"/>
          <w:szCs w:val="20"/>
        </w:rPr>
        <w:t>sociales afines al régimen cuban</w:t>
      </w:r>
      <w:r w:rsidRPr="00116A43">
        <w:rPr>
          <w:rFonts w:ascii="Cambria" w:eastAsia="SimSun" w:hAnsi="Cambria"/>
          <w:sz w:val="20"/>
          <w:szCs w:val="20"/>
        </w:rPr>
        <w:t>o”. S</w:t>
      </w:r>
      <w:r w:rsidR="00FD2927" w:rsidRPr="00116A43">
        <w:rPr>
          <w:rFonts w:ascii="Cambria" w:eastAsia="SimSun" w:hAnsi="Cambria"/>
          <w:sz w:val="20"/>
          <w:szCs w:val="20"/>
        </w:rPr>
        <w:t xml:space="preserve">egún los peticionarios, Yoani </w:t>
      </w:r>
      <w:r w:rsidRPr="00116A43">
        <w:rPr>
          <w:rFonts w:ascii="Cambria" w:eastAsia="SimSun" w:hAnsi="Cambria"/>
          <w:sz w:val="20"/>
          <w:szCs w:val="20"/>
        </w:rPr>
        <w:t xml:space="preserve">Sánchez </w:t>
      </w:r>
      <w:r w:rsidR="0006300D" w:rsidRPr="00116A43">
        <w:rPr>
          <w:rFonts w:ascii="Cambria" w:eastAsia="SimSun" w:hAnsi="Cambria"/>
          <w:sz w:val="20"/>
          <w:szCs w:val="20"/>
        </w:rPr>
        <w:t>fue</w:t>
      </w:r>
      <w:r w:rsidRPr="00116A43">
        <w:rPr>
          <w:rFonts w:ascii="Cambria" w:eastAsia="SimSun" w:hAnsi="Cambria"/>
          <w:sz w:val="20"/>
          <w:szCs w:val="20"/>
        </w:rPr>
        <w:t xml:space="preserve"> detenida arbitrariamente en d</w:t>
      </w:r>
      <w:r w:rsidR="00031FE6" w:rsidRPr="00116A43">
        <w:rPr>
          <w:rFonts w:ascii="Cambria" w:eastAsia="SimSun" w:hAnsi="Cambria"/>
          <w:sz w:val="20"/>
          <w:szCs w:val="20"/>
        </w:rPr>
        <w:t xml:space="preserve">istintas </w:t>
      </w:r>
      <w:r w:rsidRPr="00116A43">
        <w:rPr>
          <w:rFonts w:ascii="Cambria" w:eastAsia="SimSun" w:hAnsi="Cambria"/>
          <w:sz w:val="20"/>
          <w:szCs w:val="20"/>
        </w:rPr>
        <w:t>ocasiones por las autoridades del Estado</w:t>
      </w:r>
      <w:r w:rsidR="00D75EF6" w:rsidRPr="00116A43">
        <w:rPr>
          <w:rFonts w:ascii="Cambria" w:eastAsia="SimSun" w:hAnsi="Cambria"/>
          <w:sz w:val="20"/>
          <w:szCs w:val="20"/>
        </w:rPr>
        <w:t xml:space="preserve"> y fue víctima de tratos crueles, inhumanos y degradantes durante </w:t>
      </w:r>
      <w:r w:rsidR="009D6195" w:rsidRPr="00116A43">
        <w:rPr>
          <w:rFonts w:ascii="Cambria" w:eastAsia="SimSun" w:hAnsi="Cambria"/>
          <w:sz w:val="20"/>
          <w:szCs w:val="20"/>
        </w:rPr>
        <w:t>la privación de su libertad.</w:t>
      </w:r>
      <w:r w:rsidRPr="00116A43">
        <w:rPr>
          <w:rFonts w:ascii="Cambria" w:eastAsia="SimSun" w:hAnsi="Cambria"/>
          <w:sz w:val="20"/>
          <w:szCs w:val="20"/>
        </w:rPr>
        <w:t xml:space="preserve"> Señalan que la presunta víctima </w:t>
      </w:r>
      <w:r w:rsidR="00031FE6" w:rsidRPr="00116A43">
        <w:rPr>
          <w:rFonts w:ascii="Cambria" w:eastAsia="SimSun" w:hAnsi="Cambria"/>
          <w:sz w:val="20"/>
          <w:szCs w:val="20"/>
        </w:rPr>
        <w:t>es</w:t>
      </w:r>
      <w:r w:rsidRPr="00116A43">
        <w:rPr>
          <w:rFonts w:ascii="Cambria" w:eastAsia="SimSun" w:hAnsi="Cambria"/>
          <w:sz w:val="20"/>
          <w:szCs w:val="20"/>
        </w:rPr>
        <w:t xml:space="preserve"> “constantemente” vigilada, sus comunicaciones telefónicas privadas s</w:t>
      </w:r>
      <w:r w:rsidR="00031FE6" w:rsidRPr="00116A43">
        <w:rPr>
          <w:rFonts w:ascii="Cambria" w:eastAsia="SimSun" w:hAnsi="Cambria"/>
          <w:sz w:val="20"/>
          <w:szCs w:val="20"/>
        </w:rPr>
        <w:t>on</w:t>
      </w:r>
      <w:r w:rsidRPr="00116A43">
        <w:rPr>
          <w:rFonts w:ascii="Cambria" w:eastAsia="SimSun" w:hAnsi="Cambria"/>
          <w:sz w:val="20"/>
          <w:szCs w:val="20"/>
        </w:rPr>
        <w:t xml:space="preserve"> interceptadas, exist</w:t>
      </w:r>
      <w:r w:rsidR="002967A2" w:rsidRPr="00116A43">
        <w:rPr>
          <w:rFonts w:ascii="Cambria" w:eastAsia="SimSun" w:hAnsi="Cambria"/>
          <w:sz w:val="20"/>
          <w:szCs w:val="20"/>
        </w:rPr>
        <w:t>e</w:t>
      </w:r>
      <w:r w:rsidRPr="00116A43">
        <w:rPr>
          <w:rFonts w:ascii="Cambria" w:eastAsia="SimSun" w:hAnsi="Cambria"/>
          <w:sz w:val="20"/>
          <w:szCs w:val="20"/>
        </w:rPr>
        <w:t xml:space="preserve"> presión sobre su entorno social para suspender “todo contacto con ella”, t</w:t>
      </w:r>
      <w:r w:rsidR="002967A2" w:rsidRPr="00116A43">
        <w:rPr>
          <w:rFonts w:ascii="Cambria" w:eastAsia="SimSun" w:hAnsi="Cambria"/>
          <w:sz w:val="20"/>
          <w:szCs w:val="20"/>
        </w:rPr>
        <w:t>iene</w:t>
      </w:r>
      <w:r w:rsidRPr="00116A43">
        <w:rPr>
          <w:rFonts w:ascii="Cambria" w:eastAsia="SimSun" w:hAnsi="Cambria"/>
          <w:sz w:val="20"/>
          <w:szCs w:val="20"/>
        </w:rPr>
        <w:t xml:space="preserve"> vedado el acceso a distintos lugares y eventos públicos en Cuba y se </w:t>
      </w:r>
      <w:r w:rsidR="00AD7DD5" w:rsidRPr="00116A43">
        <w:rPr>
          <w:rFonts w:ascii="Cambria" w:eastAsia="SimSun" w:hAnsi="Cambria"/>
          <w:sz w:val="20"/>
          <w:szCs w:val="20"/>
        </w:rPr>
        <w:t xml:space="preserve">le </w:t>
      </w:r>
      <w:r w:rsidR="002967A2" w:rsidRPr="00116A43">
        <w:rPr>
          <w:rFonts w:ascii="Cambria" w:eastAsia="SimSun" w:hAnsi="Cambria"/>
          <w:sz w:val="20"/>
          <w:szCs w:val="20"/>
        </w:rPr>
        <w:t>han denegado</w:t>
      </w:r>
      <w:r w:rsidRPr="00116A43">
        <w:rPr>
          <w:rFonts w:ascii="Cambria" w:eastAsia="SimSun" w:hAnsi="Cambria"/>
          <w:sz w:val="20"/>
          <w:szCs w:val="20"/>
        </w:rPr>
        <w:t xml:space="preserve"> “los elementos más esenciales al debido proceso en su contacto con la administración pública”. </w:t>
      </w:r>
      <w:r w:rsidR="00AD7DD5" w:rsidRPr="00116A43">
        <w:rPr>
          <w:rFonts w:ascii="Cambria" w:eastAsia="SimSun" w:hAnsi="Cambria"/>
          <w:sz w:val="20"/>
          <w:szCs w:val="20"/>
        </w:rPr>
        <w:t xml:space="preserve">Todo lo anterior, </w:t>
      </w:r>
      <w:r w:rsidR="00F84528" w:rsidRPr="00116A43">
        <w:rPr>
          <w:rFonts w:ascii="Cambria" w:eastAsia="SimSun" w:hAnsi="Cambria"/>
          <w:sz w:val="20"/>
          <w:szCs w:val="20"/>
        </w:rPr>
        <w:t xml:space="preserve">según los peticionarios, </w:t>
      </w:r>
      <w:r w:rsidR="00952C42" w:rsidRPr="00116A43">
        <w:rPr>
          <w:rFonts w:ascii="Cambria" w:eastAsia="SimSun" w:hAnsi="Cambria"/>
          <w:sz w:val="20"/>
          <w:szCs w:val="20"/>
        </w:rPr>
        <w:t xml:space="preserve">serían formas de represalia </w:t>
      </w:r>
      <w:r w:rsidR="008A4E0A" w:rsidRPr="00116A43">
        <w:rPr>
          <w:rFonts w:ascii="Cambria" w:eastAsia="SimSun" w:hAnsi="Cambria"/>
          <w:sz w:val="20"/>
          <w:szCs w:val="20"/>
        </w:rPr>
        <w:t xml:space="preserve">por el ejercicio de su </w:t>
      </w:r>
      <w:r w:rsidR="0000774E" w:rsidRPr="00116A43">
        <w:rPr>
          <w:rFonts w:ascii="Cambria" w:eastAsia="SimSun" w:hAnsi="Cambria"/>
          <w:sz w:val="20"/>
          <w:szCs w:val="20"/>
        </w:rPr>
        <w:t xml:space="preserve">derecho a la </w:t>
      </w:r>
      <w:r w:rsidR="008A4E0A" w:rsidRPr="00116A43">
        <w:rPr>
          <w:rFonts w:ascii="Cambria" w:eastAsia="SimSun" w:hAnsi="Cambria"/>
          <w:sz w:val="20"/>
          <w:szCs w:val="20"/>
        </w:rPr>
        <w:t>libertad de expresión</w:t>
      </w:r>
      <w:r w:rsidR="0000774E" w:rsidRPr="00116A43">
        <w:rPr>
          <w:rFonts w:ascii="Cambria" w:eastAsia="SimSun" w:hAnsi="Cambria"/>
          <w:sz w:val="20"/>
          <w:szCs w:val="20"/>
        </w:rPr>
        <w:t xml:space="preserve"> a través de su labor periodística y de su blog cr</w:t>
      </w:r>
      <w:r w:rsidR="006B3D01" w:rsidRPr="00116A43">
        <w:rPr>
          <w:rFonts w:ascii="Cambria" w:eastAsia="SimSun" w:hAnsi="Cambria"/>
          <w:sz w:val="20"/>
          <w:szCs w:val="20"/>
        </w:rPr>
        <w:t>í</w:t>
      </w:r>
      <w:r w:rsidR="0000774E" w:rsidRPr="00116A43">
        <w:rPr>
          <w:rFonts w:ascii="Cambria" w:eastAsia="SimSun" w:hAnsi="Cambria"/>
          <w:sz w:val="20"/>
          <w:szCs w:val="20"/>
        </w:rPr>
        <w:t>tico al Estado</w:t>
      </w:r>
      <w:r w:rsidR="00B2397B" w:rsidRPr="00116A43">
        <w:rPr>
          <w:rFonts w:ascii="Cambria" w:eastAsia="SimSun" w:hAnsi="Cambria"/>
          <w:sz w:val="20"/>
          <w:szCs w:val="20"/>
        </w:rPr>
        <w:t xml:space="preserve">, cuyo acceso </w:t>
      </w:r>
      <w:r w:rsidR="00AB656B" w:rsidRPr="00116A43">
        <w:rPr>
          <w:rFonts w:ascii="Cambria" w:eastAsia="SimSun" w:hAnsi="Cambria"/>
          <w:sz w:val="20"/>
          <w:szCs w:val="20"/>
        </w:rPr>
        <w:t>en</w:t>
      </w:r>
      <w:r w:rsidR="00B2397B" w:rsidRPr="00116A43">
        <w:rPr>
          <w:rFonts w:ascii="Cambria" w:eastAsia="SimSun" w:hAnsi="Cambria"/>
          <w:sz w:val="20"/>
          <w:szCs w:val="20"/>
        </w:rPr>
        <w:t xml:space="preserve"> </w:t>
      </w:r>
      <w:r w:rsidR="00AB656B" w:rsidRPr="00116A43">
        <w:rPr>
          <w:rFonts w:ascii="Cambria" w:hAnsi="Cambria"/>
          <w:sz w:val="20"/>
          <w:szCs w:val="20"/>
          <w:lang w:val="es-PE"/>
        </w:rPr>
        <w:t>los sitios públicos de Internet en Cuba</w:t>
      </w:r>
      <w:r w:rsidR="00B2397B" w:rsidRPr="00116A43">
        <w:rPr>
          <w:rFonts w:ascii="Cambria" w:eastAsia="SimSun" w:hAnsi="Cambria"/>
          <w:sz w:val="20"/>
          <w:szCs w:val="20"/>
        </w:rPr>
        <w:t xml:space="preserve">, </w:t>
      </w:r>
      <w:r w:rsidR="00B93AA6" w:rsidRPr="00116A43">
        <w:rPr>
          <w:rFonts w:ascii="Cambria" w:eastAsia="SimSun" w:hAnsi="Cambria"/>
          <w:sz w:val="20"/>
          <w:szCs w:val="20"/>
        </w:rPr>
        <w:t xml:space="preserve">se encuentra </w:t>
      </w:r>
      <w:r w:rsidR="00B2397B" w:rsidRPr="00116A43">
        <w:rPr>
          <w:rFonts w:ascii="Cambria" w:eastAsia="SimSun" w:hAnsi="Cambria"/>
          <w:sz w:val="20"/>
          <w:szCs w:val="20"/>
        </w:rPr>
        <w:t>bloqueado por las autoridades.</w:t>
      </w:r>
      <w:r w:rsidR="00AB656B" w:rsidRPr="00116A43">
        <w:rPr>
          <w:rFonts w:ascii="Cambria" w:eastAsia="SimSun" w:hAnsi="Cambria"/>
          <w:sz w:val="20"/>
          <w:szCs w:val="20"/>
        </w:rPr>
        <w:t xml:space="preserve"> </w:t>
      </w:r>
    </w:p>
    <w:p w14:paraId="3D09582B" w14:textId="77777777" w:rsidR="006C17EA" w:rsidRPr="00116A43" w:rsidRDefault="006C17EA" w:rsidP="00375047">
      <w:pPr>
        <w:suppressAutoHyphens/>
        <w:jc w:val="both"/>
        <w:rPr>
          <w:rFonts w:eastAsia="SimSun"/>
          <w:sz w:val="20"/>
          <w:szCs w:val="20"/>
          <w:lang w:val="es-PE"/>
        </w:rPr>
      </w:pPr>
    </w:p>
    <w:p w14:paraId="52B6773E" w14:textId="176C5ABB" w:rsidR="006C17EA" w:rsidRPr="00116A43" w:rsidRDefault="00401E0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eastAsia="SimSun" w:hAnsi="Cambria"/>
          <w:sz w:val="20"/>
          <w:szCs w:val="20"/>
        </w:rPr>
      </w:pPr>
      <w:r w:rsidRPr="00116A43">
        <w:rPr>
          <w:rFonts w:ascii="Cambria" w:hAnsi="Cambria"/>
          <w:sz w:val="20"/>
          <w:szCs w:val="20"/>
        </w:rPr>
        <w:t xml:space="preserve">Por su parte, hasta </w:t>
      </w:r>
      <w:r w:rsidRPr="00116A43">
        <w:rPr>
          <w:rFonts w:ascii="Cambria" w:eastAsia="SimSun" w:hAnsi="Cambria"/>
          <w:sz w:val="20"/>
          <w:szCs w:val="20"/>
        </w:rPr>
        <w:t>el momento de la redacción del presente informe,</w:t>
      </w:r>
      <w:r w:rsidRPr="00116A43">
        <w:rPr>
          <w:rFonts w:ascii="Cambria" w:hAnsi="Cambria"/>
          <w:sz w:val="20"/>
          <w:szCs w:val="20"/>
        </w:rPr>
        <w:t xml:space="preserve"> e</w:t>
      </w:r>
      <w:r w:rsidR="006C17EA" w:rsidRPr="00116A43">
        <w:rPr>
          <w:rFonts w:ascii="Cambria" w:hAnsi="Cambria"/>
          <w:sz w:val="20"/>
          <w:szCs w:val="20"/>
        </w:rPr>
        <w:t xml:space="preserve">l Estado no </w:t>
      </w:r>
      <w:r w:rsidRPr="00116A43">
        <w:rPr>
          <w:rFonts w:ascii="Cambria" w:hAnsi="Cambria"/>
          <w:sz w:val="20"/>
          <w:szCs w:val="20"/>
        </w:rPr>
        <w:t xml:space="preserve">ha </w:t>
      </w:r>
      <w:r w:rsidR="006C17EA" w:rsidRPr="00116A43">
        <w:rPr>
          <w:rFonts w:ascii="Cambria" w:hAnsi="Cambria"/>
          <w:sz w:val="20"/>
          <w:szCs w:val="20"/>
        </w:rPr>
        <w:t>present</w:t>
      </w:r>
      <w:r w:rsidRPr="00116A43">
        <w:rPr>
          <w:rFonts w:ascii="Cambria" w:hAnsi="Cambria"/>
          <w:sz w:val="20"/>
          <w:szCs w:val="20"/>
        </w:rPr>
        <w:t>ado</w:t>
      </w:r>
      <w:r w:rsidR="006C17EA" w:rsidRPr="00116A43">
        <w:rPr>
          <w:rFonts w:ascii="Cambria" w:hAnsi="Cambria"/>
          <w:sz w:val="20"/>
          <w:szCs w:val="20"/>
        </w:rPr>
        <w:t xml:space="preserve"> observaciones de admisibilidad ni de fondo</w:t>
      </w:r>
      <w:r w:rsidRPr="00116A43">
        <w:rPr>
          <w:rFonts w:ascii="Cambria" w:hAnsi="Cambria"/>
          <w:sz w:val="20"/>
          <w:szCs w:val="20"/>
        </w:rPr>
        <w:t>.</w:t>
      </w:r>
    </w:p>
    <w:p w14:paraId="71560997" w14:textId="549DC5EA" w:rsidR="008C5A53" w:rsidRPr="00116A43" w:rsidRDefault="008C5A53"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jc w:val="both"/>
        <w:rPr>
          <w:rFonts w:ascii="Cambria" w:eastAsia="SimSun" w:hAnsi="Cambria"/>
          <w:sz w:val="20"/>
          <w:szCs w:val="20"/>
        </w:rPr>
      </w:pPr>
    </w:p>
    <w:p w14:paraId="6EF7AFE5" w14:textId="22947DFF" w:rsidR="00415F0D" w:rsidRPr="00116A43" w:rsidRDefault="0027004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ascii="Cambria" w:eastAsia="SimSun" w:hAnsi="Cambria"/>
          <w:sz w:val="20"/>
          <w:szCs w:val="20"/>
        </w:rPr>
      </w:pPr>
      <w:r w:rsidRPr="00116A43">
        <w:rPr>
          <w:rFonts w:ascii="Cambria" w:eastAsia="SimSun" w:hAnsi="Cambria"/>
          <w:sz w:val="20"/>
          <w:szCs w:val="20"/>
        </w:rPr>
        <w:t>En vista de los elementos de hecho y de derecho presentados por los peticionarios y la naturaleza del asunto puesto bajo su conocimiento, la CIDH considera que</w:t>
      </w:r>
      <w:r w:rsidR="008A4A2E" w:rsidRPr="00116A43">
        <w:rPr>
          <w:rFonts w:ascii="Cambria" w:eastAsia="SimSun" w:hAnsi="Cambria"/>
          <w:sz w:val="20"/>
          <w:szCs w:val="20"/>
        </w:rPr>
        <w:t xml:space="preserve"> los alegatos expuestos</w:t>
      </w:r>
      <w:r w:rsidR="005A73CB" w:rsidRPr="00116A43">
        <w:rPr>
          <w:rFonts w:ascii="Cambria" w:hAnsi="Cambria"/>
          <w:sz w:val="20"/>
          <w:szCs w:val="20"/>
        </w:rPr>
        <w:t xml:space="preserve"> no son manifiestamente infundados y requieren un</w:t>
      </w:r>
      <w:r w:rsidR="006A6275" w:rsidRPr="00116A43">
        <w:rPr>
          <w:rFonts w:ascii="Cambria" w:hAnsi="Cambria"/>
          <w:sz w:val="20"/>
          <w:szCs w:val="20"/>
        </w:rPr>
        <w:t xml:space="preserve"> análisis de fondo, pues si se corroboran como ciertos, todos podrían configurar violaciones de </w:t>
      </w:r>
      <w:r w:rsidRPr="00116A43">
        <w:rPr>
          <w:rFonts w:ascii="Cambria" w:eastAsia="SimSun" w:hAnsi="Cambria"/>
          <w:sz w:val="20"/>
          <w:szCs w:val="20"/>
        </w:rPr>
        <w:t>los derechos protegidos en los artículos I (</w:t>
      </w:r>
      <w:r w:rsidR="00DD1211" w:rsidRPr="00116A43">
        <w:rPr>
          <w:rFonts w:ascii="Cambria" w:eastAsia="SimSun" w:hAnsi="Cambria"/>
          <w:sz w:val="20"/>
          <w:szCs w:val="20"/>
        </w:rPr>
        <w:t>d</w:t>
      </w:r>
      <w:r w:rsidRPr="00116A43">
        <w:rPr>
          <w:rFonts w:ascii="Cambria" w:eastAsia="SimSun" w:hAnsi="Cambria"/>
          <w:sz w:val="20"/>
          <w:szCs w:val="20"/>
        </w:rPr>
        <w:t>erecho a la vida, a la libertad, a la seguridad e integridad de la persona), II (</w:t>
      </w:r>
      <w:r w:rsidR="00DD1211" w:rsidRPr="00116A43">
        <w:rPr>
          <w:rFonts w:ascii="Cambria" w:eastAsia="SimSun" w:hAnsi="Cambria"/>
          <w:sz w:val="20"/>
          <w:szCs w:val="20"/>
        </w:rPr>
        <w:t>d</w:t>
      </w:r>
      <w:r w:rsidRPr="00116A43">
        <w:rPr>
          <w:rFonts w:ascii="Cambria" w:eastAsia="SimSun" w:hAnsi="Cambria"/>
          <w:sz w:val="20"/>
          <w:szCs w:val="20"/>
        </w:rPr>
        <w:t>erecho de igualdad ante la Ley), IV (</w:t>
      </w:r>
      <w:r w:rsidR="00DD1211" w:rsidRPr="00116A43">
        <w:rPr>
          <w:rFonts w:ascii="Cambria" w:eastAsia="SimSun" w:hAnsi="Cambria"/>
          <w:sz w:val="20"/>
          <w:szCs w:val="20"/>
        </w:rPr>
        <w:t>d</w:t>
      </w:r>
      <w:r w:rsidRPr="00116A43">
        <w:rPr>
          <w:rFonts w:ascii="Cambria" w:eastAsia="SimSun" w:hAnsi="Cambria"/>
          <w:sz w:val="20"/>
          <w:szCs w:val="20"/>
        </w:rPr>
        <w:t>erecho de libertad de investigación, opinión, expresión y difusión), V (</w:t>
      </w:r>
      <w:r w:rsidR="00DD1211" w:rsidRPr="00116A43">
        <w:rPr>
          <w:rFonts w:ascii="Cambria" w:eastAsia="SimSun" w:hAnsi="Cambria"/>
          <w:sz w:val="20"/>
          <w:szCs w:val="20"/>
        </w:rPr>
        <w:t>d</w:t>
      </w:r>
      <w:r w:rsidRPr="00116A43">
        <w:rPr>
          <w:rFonts w:ascii="Cambria" w:eastAsia="SimSun" w:hAnsi="Cambria"/>
          <w:sz w:val="20"/>
          <w:szCs w:val="20"/>
        </w:rPr>
        <w:t>erecho a la protección a la honra, la reputación personal y la vida privada y familiar), VIII (</w:t>
      </w:r>
      <w:r w:rsidR="00DD1211" w:rsidRPr="00116A43">
        <w:rPr>
          <w:rFonts w:ascii="Cambria" w:eastAsia="SimSun" w:hAnsi="Cambria"/>
          <w:sz w:val="20"/>
          <w:szCs w:val="20"/>
        </w:rPr>
        <w:t>d</w:t>
      </w:r>
      <w:r w:rsidRPr="00116A43">
        <w:rPr>
          <w:rFonts w:ascii="Cambria" w:eastAsia="SimSun" w:hAnsi="Cambria"/>
          <w:sz w:val="20"/>
          <w:szCs w:val="20"/>
        </w:rPr>
        <w:t>erecho de residencia y tránsito), IX (</w:t>
      </w:r>
      <w:r w:rsidR="00DD1211" w:rsidRPr="00116A43">
        <w:rPr>
          <w:rFonts w:ascii="Cambria" w:eastAsia="SimSun" w:hAnsi="Cambria"/>
          <w:sz w:val="20"/>
          <w:szCs w:val="20"/>
        </w:rPr>
        <w:t>d</w:t>
      </w:r>
      <w:r w:rsidRPr="00116A43">
        <w:rPr>
          <w:rFonts w:ascii="Cambria" w:eastAsia="SimSun" w:hAnsi="Cambria"/>
          <w:sz w:val="20"/>
          <w:szCs w:val="20"/>
        </w:rPr>
        <w:t>erecho a la inviolabilidad del domicilio), X (</w:t>
      </w:r>
      <w:r w:rsidR="00DD1211" w:rsidRPr="00116A43">
        <w:rPr>
          <w:rFonts w:ascii="Cambria" w:eastAsia="SimSun" w:hAnsi="Cambria"/>
          <w:sz w:val="20"/>
          <w:szCs w:val="20"/>
        </w:rPr>
        <w:t>d</w:t>
      </w:r>
      <w:r w:rsidRPr="00116A43">
        <w:rPr>
          <w:rFonts w:ascii="Cambria" w:eastAsia="SimSun" w:hAnsi="Cambria"/>
          <w:sz w:val="20"/>
          <w:szCs w:val="20"/>
        </w:rPr>
        <w:t>erecho a la inviolabilidad y circulación de la correspondencia), XVIII (</w:t>
      </w:r>
      <w:r w:rsidR="00DD1211" w:rsidRPr="00116A43">
        <w:rPr>
          <w:rFonts w:ascii="Cambria" w:eastAsia="SimSun" w:hAnsi="Cambria"/>
          <w:sz w:val="20"/>
          <w:szCs w:val="20"/>
        </w:rPr>
        <w:t>d</w:t>
      </w:r>
      <w:r w:rsidRPr="00116A43">
        <w:rPr>
          <w:rFonts w:ascii="Cambria" w:eastAsia="SimSun" w:hAnsi="Cambria"/>
          <w:sz w:val="20"/>
          <w:szCs w:val="20"/>
        </w:rPr>
        <w:t>erecho de justicia), XX (</w:t>
      </w:r>
      <w:r w:rsidR="00DD1211" w:rsidRPr="00116A43">
        <w:rPr>
          <w:rFonts w:ascii="Cambria" w:eastAsia="SimSun" w:hAnsi="Cambria"/>
          <w:sz w:val="20"/>
          <w:szCs w:val="20"/>
        </w:rPr>
        <w:t>d</w:t>
      </w:r>
      <w:r w:rsidRPr="00116A43">
        <w:rPr>
          <w:rFonts w:ascii="Cambria" w:eastAsia="SimSun" w:hAnsi="Cambria"/>
          <w:sz w:val="20"/>
          <w:szCs w:val="20"/>
        </w:rPr>
        <w:t>erecho de sufragio y de participación en el gobierno), XXI (</w:t>
      </w:r>
      <w:r w:rsidR="00CC1718" w:rsidRPr="00116A43">
        <w:rPr>
          <w:rFonts w:ascii="Cambria" w:eastAsia="SimSun" w:hAnsi="Cambria"/>
          <w:sz w:val="20"/>
          <w:szCs w:val="20"/>
        </w:rPr>
        <w:t>d</w:t>
      </w:r>
      <w:r w:rsidRPr="00116A43">
        <w:rPr>
          <w:rFonts w:ascii="Cambria" w:eastAsia="SimSun" w:hAnsi="Cambria"/>
          <w:sz w:val="20"/>
          <w:szCs w:val="20"/>
        </w:rPr>
        <w:t>erecho de reunión), XXII (</w:t>
      </w:r>
      <w:r w:rsidR="00CC1718" w:rsidRPr="00116A43">
        <w:rPr>
          <w:rFonts w:ascii="Cambria" w:eastAsia="SimSun" w:hAnsi="Cambria"/>
          <w:sz w:val="20"/>
          <w:szCs w:val="20"/>
        </w:rPr>
        <w:t>d</w:t>
      </w:r>
      <w:r w:rsidRPr="00116A43">
        <w:rPr>
          <w:rFonts w:ascii="Cambria" w:eastAsia="SimSun" w:hAnsi="Cambria"/>
          <w:sz w:val="20"/>
          <w:szCs w:val="20"/>
        </w:rPr>
        <w:t>erecho de asociación), XXIV (</w:t>
      </w:r>
      <w:r w:rsidR="00CC1718" w:rsidRPr="00116A43">
        <w:rPr>
          <w:rFonts w:ascii="Cambria" w:eastAsia="SimSun" w:hAnsi="Cambria"/>
          <w:sz w:val="20"/>
          <w:szCs w:val="20"/>
        </w:rPr>
        <w:t>d</w:t>
      </w:r>
      <w:r w:rsidRPr="00116A43">
        <w:rPr>
          <w:rFonts w:ascii="Cambria" w:eastAsia="SimSun" w:hAnsi="Cambria"/>
          <w:sz w:val="20"/>
          <w:szCs w:val="20"/>
        </w:rPr>
        <w:t>erecho de petición) y XXV (</w:t>
      </w:r>
      <w:r w:rsidR="00CC1718" w:rsidRPr="00116A43">
        <w:rPr>
          <w:rFonts w:ascii="Cambria" w:eastAsia="SimSun" w:hAnsi="Cambria"/>
          <w:sz w:val="20"/>
          <w:szCs w:val="20"/>
        </w:rPr>
        <w:t>d</w:t>
      </w:r>
      <w:r w:rsidRPr="00116A43">
        <w:rPr>
          <w:rFonts w:ascii="Cambria" w:eastAsia="SimSun" w:hAnsi="Cambria"/>
          <w:sz w:val="20"/>
          <w:szCs w:val="20"/>
        </w:rPr>
        <w:t>erecho de protección contra la detención arbitraria)</w:t>
      </w:r>
      <w:r w:rsidR="00CC1718" w:rsidRPr="00116A43">
        <w:rPr>
          <w:rFonts w:ascii="Cambria" w:eastAsia="SimSun" w:hAnsi="Cambria"/>
          <w:sz w:val="20"/>
          <w:szCs w:val="20"/>
        </w:rPr>
        <w:t xml:space="preserve"> </w:t>
      </w:r>
      <w:r w:rsidRPr="00116A43">
        <w:rPr>
          <w:rFonts w:ascii="Cambria" w:eastAsia="SimSun" w:hAnsi="Cambria"/>
          <w:sz w:val="20"/>
          <w:szCs w:val="20"/>
        </w:rPr>
        <w:t>de la Declaración Americana de Derechos y Deberes del Hombre.</w:t>
      </w:r>
      <w:r w:rsidR="005C2A46" w:rsidRPr="00116A43">
        <w:rPr>
          <w:rFonts w:ascii="Cambria" w:eastAsia="SimSun" w:hAnsi="Cambria"/>
          <w:sz w:val="20"/>
          <w:szCs w:val="20"/>
        </w:rPr>
        <w:t xml:space="preserve"> Asimismo, </w:t>
      </w:r>
      <w:r w:rsidR="005C2A46" w:rsidRPr="00116A43">
        <w:rPr>
          <w:rFonts w:ascii="Cambria" w:hAnsi="Cambria"/>
          <w:color w:val="000000"/>
          <w:sz w:val="20"/>
          <w:szCs w:val="20"/>
        </w:rPr>
        <w:t xml:space="preserve">en </w:t>
      </w:r>
      <w:r w:rsidR="00415F0D" w:rsidRPr="00116A43">
        <w:rPr>
          <w:rFonts w:ascii="Cambria" w:hAnsi="Cambria"/>
          <w:color w:val="000000"/>
          <w:sz w:val="20"/>
          <w:szCs w:val="20"/>
        </w:rPr>
        <w:t>virtud del principio</w:t>
      </w:r>
      <w:r w:rsidR="0075685F">
        <w:rPr>
          <w:rFonts w:ascii="Cambria" w:hAnsi="Cambria"/>
          <w:color w:val="000000"/>
          <w:sz w:val="20"/>
          <w:szCs w:val="20"/>
        </w:rPr>
        <w:t xml:space="preserve"> </w:t>
      </w:r>
      <w:proofErr w:type="spellStart"/>
      <w:r w:rsidR="00415F0D" w:rsidRPr="00116A43">
        <w:rPr>
          <w:rFonts w:ascii="Cambria" w:hAnsi="Cambria"/>
          <w:i/>
          <w:iCs/>
          <w:color w:val="000000"/>
          <w:sz w:val="20"/>
          <w:szCs w:val="20"/>
        </w:rPr>
        <w:t>iura</w:t>
      </w:r>
      <w:proofErr w:type="spellEnd"/>
      <w:r w:rsidR="00415F0D" w:rsidRPr="00116A43">
        <w:rPr>
          <w:rFonts w:ascii="Cambria" w:hAnsi="Cambria"/>
          <w:i/>
          <w:iCs/>
          <w:color w:val="000000"/>
          <w:sz w:val="20"/>
          <w:szCs w:val="20"/>
        </w:rPr>
        <w:t xml:space="preserve"> </w:t>
      </w:r>
      <w:proofErr w:type="spellStart"/>
      <w:r w:rsidR="00415F0D" w:rsidRPr="00116A43">
        <w:rPr>
          <w:rFonts w:ascii="Cambria" w:hAnsi="Cambria"/>
          <w:i/>
          <w:iCs/>
          <w:color w:val="000000"/>
          <w:sz w:val="20"/>
          <w:szCs w:val="20"/>
        </w:rPr>
        <w:t>novit</w:t>
      </w:r>
      <w:proofErr w:type="spellEnd"/>
      <w:r w:rsidR="00415F0D" w:rsidRPr="00116A43">
        <w:rPr>
          <w:rFonts w:ascii="Cambria" w:hAnsi="Cambria"/>
          <w:i/>
          <w:iCs/>
          <w:color w:val="000000"/>
          <w:sz w:val="20"/>
          <w:szCs w:val="20"/>
        </w:rPr>
        <w:t xml:space="preserve"> curia</w:t>
      </w:r>
      <w:r w:rsidR="00415F0D" w:rsidRPr="00116A43">
        <w:rPr>
          <w:rFonts w:ascii="Cambria" w:hAnsi="Cambria"/>
          <w:color w:val="000000"/>
          <w:sz w:val="20"/>
          <w:szCs w:val="20"/>
        </w:rPr>
        <w:t>, la Comisión también declara esta petición a</w:t>
      </w:r>
      <w:r w:rsidR="005C2A46" w:rsidRPr="00116A43">
        <w:rPr>
          <w:rFonts w:ascii="Cambria" w:hAnsi="Cambria"/>
          <w:color w:val="000000"/>
          <w:sz w:val="20"/>
          <w:szCs w:val="20"/>
        </w:rPr>
        <w:t xml:space="preserve">dmisible en cuanto al artículo XXVI de la Declaración </w:t>
      </w:r>
      <w:r w:rsidR="00415F0D" w:rsidRPr="00116A43">
        <w:rPr>
          <w:rFonts w:ascii="Cambria" w:hAnsi="Cambria"/>
          <w:color w:val="000000"/>
          <w:sz w:val="20"/>
          <w:szCs w:val="20"/>
        </w:rPr>
        <w:t>Americana</w:t>
      </w:r>
      <w:r w:rsidR="005C2A46" w:rsidRPr="00116A43">
        <w:rPr>
          <w:rFonts w:ascii="Cambria" w:hAnsi="Cambria"/>
          <w:color w:val="000000"/>
          <w:sz w:val="20"/>
          <w:szCs w:val="20"/>
        </w:rPr>
        <w:t xml:space="preserve"> (derecho a proceso regular)</w:t>
      </w:r>
      <w:r w:rsidR="00415F0D" w:rsidRPr="00116A43">
        <w:rPr>
          <w:rFonts w:ascii="Cambria" w:hAnsi="Cambria"/>
          <w:color w:val="000000"/>
          <w:sz w:val="20"/>
          <w:szCs w:val="20"/>
        </w:rPr>
        <w:t>, toda vez qu</w:t>
      </w:r>
      <w:r w:rsidR="005C2A46" w:rsidRPr="00116A43">
        <w:rPr>
          <w:rFonts w:ascii="Cambria" w:hAnsi="Cambria"/>
          <w:color w:val="000000"/>
          <w:sz w:val="20"/>
          <w:szCs w:val="20"/>
        </w:rPr>
        <w:t>e la falta de respuesta absoluta respecto de los recursos intentados a nivel interno podr</w:t>
      </w:r>
      <w:r w:rsidR="00D639A7" w:rsidRPr="00116A43">
        <w:rPr>
          <w:rFonts w:ascii="Cambria" w:hAnsi="Cambria"/>
          <w:color w:val="000000"/>
          <w:sz w:val="20"/>
          <w:szCs w:val="20"/>
        </w:rPr>
        <w:t>ía</w:t>
      </w:r>
      <w:r w:rsidR="00415F0D" w:rsidRPr="00116A43">
        <w:rPr>
          <w:rFonts w:ascii="Cambria" w:hAnsi="Cambria"/>
          <w:color w:val="000000"/>
          <w:sz w:val="20"/>
          <w:szCs w:val="20"/>
        </w:rPr>
        <w:t xml:space="preserve"> llegar a caracterizar un</w:t>
      </w:r>
      <w:r w:rsidR="005C2A46" w:rsidRPr="00116A43">
        <w:rPr>
          <w:rFonts w:ascii="Cambria" w:hAnsi="Cambria"/>
          <w:color w:val="000000"/>
          <w:sz w:val="20"/>
          <w:szCs w:val="20"/>
        </w:rPr>
        <w:t>a violación de</w:t>
      </w:r>
      <w:r w:rsidR="00D639A7" w:rsidRPr="00116A43">
        <w:rPr>
          <w:rFonts w:ascii="Cambria" w:hAnsi="Cambria"/>
          <w:color w:val="000000"/>
          <w:sz w:val="20"/>
          <w:szCs w:val="20"/>
        </w:rPr>
        <w:t xml:space="preserve">l derecho a contar con </w:t>
      </w:r>
      <w:r w:rsidR="00D639A7" w:rsidRPr="00116A43">
        <w:rPr>
          <w:rFonts w:ascii="Cambria" w:eastAsia="Times New Roman" w:hAnsi="Cambria" w:cs="Tahoma"/>
          <w:iCs/>
          <w:color w:val="222222"/>
          <w:sz w:val="20"/>
          <w:szCs w:val="20"/>
          <w:shd w:val="clear" w:color="auto" w:fill="FFFFFF"/>
        </w:rPr>
        <w:t xml:space="preserve">órganos o </w:t>
      </w:r>
      <w:proofErr w:type="gramStart"/>
      <w:r w:rsidR="00D639A7" w:rsidRPr="00116A43">
        <w:rPr>
          <w:rFonts w:ascii="Cambria" w:eastAsia="Times New Roman" w:hAnsi="Cambria" w:cs="Tahoma"/>
          <w:iCs/>
          <w:color w:val="222222"/>
          <w:sz w:val="20"/>
          <w:szCs w:val="20"/>
          <w:shd w:val="clear" w:color="auto" w:fill="FFFFFF"/>
        </w:rPr>
        <w:t>autoridades públicas</w:t>
      </w:r>
      <w:proofErr w:type="gramEnd"/>
      <w:r w:rsidR="00D639A7" w:rsidRPr="00116A43">
        <w:rPr>
          <w:rFonts w:ascii="Cambria" w:eastAsia="Times New Roman" w:hAnsi="Cambria" w:cs="Tahoma"/>
          <w:iCs/>
          <w:color w:val="222222"/>
          <w:sz w:val="20"/>
          <w:szCs w:val="20"/>
          <w:shd w:val="clear" w:color="auto" w:fill="FFFFFF"/>
        </w:rPr>
        <w:t xml:space="preserve"> que determinen derechos de forma independiente e imparcial.</w:t>
      </w:r>
      <w:r w:rsidR="00D639A7" w:rsidRPr="00116A43">
        <w:rPr>
          <w:rFonts w:ascii="Cambria" w:eastAsia="Times New Roman" w:hAnsi="Cambria" w:cs="Tahoma"/>
          <w:i/>
          <w:iCs/>
          <w:color w:val="222222"/>
          <w:sz w:val="20"/>
          <w:szCs w:val="20"/>
          <w:shd w:val="clear" w:color="auto" w:fill="FFFFFF"/>
        </w:rPr>
        <w:t xml:space="preserve"> </w:t>
      </w:r>
    </w:p>
    <w:p w14:paraId="0F9D00EB" w14:textId="77777777" w:rsidR="00F57E35" w:rsidRPr="00116A43" w:rsidRDefault="00F57E35" w:rsidP="003F5830">
      <w:pPr>
        <w:rPr>
          <w:rFonts w:cs="Arial"/>
          <w:sz w:val="20"/>
          <w:szCs w:val="20"/>
          <w:lang w:val="es-PE"/>
        </w:rPr>
      </w:pPr>
    </w:p>
    <w:p w14:paraId="0BEC0897" w14:textId="283C06B3" w:rsidR="00B44D0F" w:rsidRPr="00116A43" w:rsidRDefault="00195DDA" w:rsidP="00375047">
      <w:pPr>
        <w:pStyle w:val="Heading1"/>
      </w:pPr>
      <w:bookmarkStart w:id="13" w:name="_Toc89157560"/>
      <w:r w:rsidRPr="00116A43">
        <w:t>DETERMINACIONES DE HECHO</w:t>
      </w:r>
      <w:bookmarkEnd w:id="13"/>
      <w:r w:rsidR="00784C23" w:rsidRPr="00116A43">
        <w:t xml:space="preserve"> </w:t>
      </w:r>
    </w:p>
    <w:p w14:paraId="28055710" w14:textId="77777777" w:rsidR="00784C23" w:rsidRPr="00116A43" w:rsidRDefault="00784C23" w:rsidP="005F7FE2">
      <w:pPr>
        <w:ind w:left="720"/>
        <w:jc w:val="both"/>
        <w:rPr>
          <w:rFonts w:ascii="Cambria" w:hAnsi="Cambria"/>
          <w:b/>
          <w:sz w:val="20"/>
          <w:szCs w:val="20"/>
          <w:lang w:val="es-VE"/>
        </w:rPr>
      </w:pPr>
    </w:p>
    <w:p w14:paraId="430ED538" w14:textId="270C7672" w:rsidR="002C099E" w:rsidRPr="00116A43" w:rsidRDefault="00B44D0F" w:rsidP="00375047">
      <w:pPr>
        <w:pStyle w:val="ListParagraph"/>
        <w:numPr>
          <w:ilvl w:val="0"/>
          <w:numId w:val="55"/>
        </w:numPr>
        <w:suppressAutoHyphens/>
        <w:ind w:firstLine="0"/>
        <w:jc w:val="both"/>
        <w:rPr>
          <w:sz w:val="20"/>
          <w:szCs w:val="20"/>
          <w:lang w:val="es-PE"/>
        </w:rPr>
      </w:pPr>
      <w:r w:rsidRPr="00116A43">
        <w:rPr>
          <w:sz w:val="20"/>
          <w:szCs w:val="20"/>
          <w:lang w:val="es-PE"/>
        </w:rPr>
        <w:t xml:space="preserve">La Comisión toma nota de que, </w:t>
      </w:r>
      <w:r w:rsidR="002C099E" w:rsidRPr="00116A43">
        <w:rPr>
          <w:rFonts w:cs="Univers"/>
          <w:sz w:val="20"/>
          <w:szCs w:val="20"/>
          <w:lang w:val="es-ES"/>
        </w:rPr>
        <w:t>pese a sus reiteradas solicitudes, hasta el momento</w:t>
      </w:r>
      <w:r w:rsidR="00297D36" w:rsidRPr="00116A43">
        <w:rPr>
          <w:rFonts w:cs="Univers"/>
          <w:sz w:val="20"/>
          <w:szCs w:val="20"/>
          <w:lang w:val="es-ES"/>
        </w:rPr>
        <w:t xml:space="preserve">, </w:t>
      </w:r>
      <w:r w:rsidR="002C099E" w:rsidRPr="00116A43">
        <w:rPr>
          <w:rFonts w:cs="Univers"/>
          <w:sz w:val="20"/>
          <w:szCs w:val="20"/>
          <w:lang w:val="es-ES"/>
        </w:rPr>
        <w:t xml:space="preserve">el Estado no ha proporcionado observaciones, información o pruebas </w:t>
      </w:r>
      <w:r w:rsidR="00297D36" w:rsidRPr="00116A43">
        <w:rPr>
          <w:rFonts w:cs="Univers"/>
          <w:sz w:val="20"/>
          <w:szCs w:val="20"/>
          <w:lang w:val="es-ES"/>
        </w:rPr>
        <w:t>que contradigan</w:t>
      </w:r>
      <w:r w:rsidR="002C099E" w:rsidRPr="00116A43">
        <w:rPr>
          <w:rFonts w:cs="Univers"/>
          <w:sz w:val="20"/>
          <w:szCs w:val="20"/>
          <w:lang w:val="es-ES"/>
        </w:rPr>
        <w:t xml:space="preserve"> las alegaciones de los peticionarios. Asimismo, la Comisión observa que los hechos alegados por los peticionarios describen con especificidad la situación de la presunta víctima</w:t>
      </w:r>
      <w:r w:rsidR="005D1086" w:rsidRPr="00116A43">
        <w:rPr>
          <w:rFonts w:cs="Univers"/>
          <w:sz w:val="20"/>
          <w:szCs w:val="20"/>
          <w:lang w:val="es-ES"/>
        </w:rPr>
        <w:t xml:space="preserve"> y</w:t>
      </w:r>
      <w:r w:rsidR="002C099E" w:rsidRPr="00116A43">
        <w:rPr>
          <w:rFonts w:cs="Univers"/>
          <w:sz w:val="20"/>
          <w:szCs w:val="20"/>
          <w:lang w:val="es-ES"/>
        </w:rPr>
        <w:t xml:space="preserve"> que algunos de estos hechos se encuentran también corroborados por </w:t>
      </w:r>
      <w:r w:rsidR="00D35F99" w:rsidRPr="00116A43">
        <w:rPr>
          <w:rFonts w:cs="Univers"/>
          <w:sz w:val="20"/>
          <w:szCs w:val="20"/>
          <w:lang w:val="es-ES"/>
        </w:rPr>
        <w:t>medios probatorios</w:t>
      </w:r>
      <w:r w:rsidR="002C099E" w:rsidRPr="00116A43">
        <w:rPr>
          <w:rFonts w:cs="Univers"/>
          <w:sz w:val="20"/>
          <w:szCs w:val="20"/>
          <w:lang w:val="es-ES"/>
        </w:rPr>
        <w:t xml:space="preserve"> aportados en el caso</w:t>
      </w:r>
      <w:r w:rsidR="00D35F99" w:rsidRPr="00116A43">
        <w:rPr>
          <w:rFonts w:cs="Univers"/>
          <w:sz w:val="20"/>
          <w:szCs w:val="20"/>
          <w:lang w:val="es-ES"/>
        </w:rPr>
        <w:t xml:space="preserve"> o</w:t>
      </w:r>
      <w:r w:rsidR="002C099E" w:rsidRPr="00116A43">
        <w:rPr>
          <w:rFonts w:cs="Univers"/>
          <w:sz w:val="20"/>
          <w:szCs w:val="20"/>
          <w:lang w:val="es-ES"/>
        </w:rPr>
        <w:t xml:space="preserve"> documentad</w:t>
      </w:r>
      <w:r w:rsidR="00D35F99" w:rsidRPr="00116A43">
        <w:rPr>
          <w:rFonts w:cs="Univers"/>
          <w:sz w:val="20"/>
          <w:szCs w:val="20"/>
          <w:lang w:val="es-ES"/>
        </w:rPr>
        <w:t>o</w:t>
      </w:r>
      <w:r w:rsidR="002C099E" w:rsidRPr="00116A43">
        <w:rPr>
          <w:rFonts w:cs="Univers"/>
          <w:sz w:val="20"/>
          <w:szCs w:val="20"/>
          <w:lang w:val="es-ES"/>
        </w:rPr>
        <w:t xml:space="preserve">s en otras fuentes. </w:t>
      </w:r>
    </w:p>
    <w:p w14:paraId="0F1E7BD7" w14:textId="77777777" w:rsidR="00784C23" w:rsidRPr="00116A43" w:rsidRDefault="00784C23" w:rsidP="00375047">
      <w:pPr>
        <w:pStyle w:val="ListParagraph"/>
        <w:suppressAutoHyphens/>
        <w:ind w:left="0"/>
        <w:jc w:val="both"/>
        <w:rPr>
          <w:sz w:val="20"/>
          <w:szCs w:val="20"/>
          <w:lang w:val="es-PE"/>
        </w:rPr>
      </w:pPr>
    </w:p>
    <w:p w14:paraId="32766914" w14:textId="68DC51A7" w:rsidR="00B44D0F" w:rsidRPr="00116A43" w:rsidRDefault="00B44D0F" w:rsidP="00375047">
      <w:pPr>
        <w:pStyle w:val="ListParagraph"/>
        <w:numPr>
          <w:ilvl w:val="0"/>
          <w:numId w:val="55"/>
        </w:numPr>
        <w:suppressAutoHyphens/>
        <w:ind w:firstLine="0"/>
        <w:jc w:val="both"/>
        <w:rPr>
          <w:sz w:val="20"/>
          <w:szCs w:val="20"/>
          <w:lang w:val="es-PE"/>
        </w:rPr>
      </w:pPr>
      <w:r w:rsidRPr="00116A43">
        <w:rPr>
          <w:sz w:val="20"/>
          <w:szCs w:val="20"/>
          <w:lang w:val="es-PE"/>
        </w:rPr>
        <w:t xml:space="preserve">Sobre la base de estas consideraciones y tomando en cuenta la ausencia de elementos de convicción que lleven a una conclusión contraria, en el presente caso la Comisión decide aplicar el artículo 38 de su Reglamento en la medida pertinente, que establece que: </w:t>
      </w:r>
    </w:p>
    <w:p w14:paraId="6735687B" w14:textId="77777777" w:rsidR="00784C23" w:rsidRPr="00116A43" w:rsidRDefault="00784C23" w:rsidP="00A0029B">
      <w:pPr>
        <w:pStyle w:val="ListParagraph"/>
        <w:autoSpaceDE w:val="0"/>
        <w:autoSpaceDN w:val="0"/>
        <w:adjustRightInd w:val="0"/>
        <w:ind w:right="864"/>
        <w:jc w:val="both"/>
        <w:rPr>
          <w:sz w:val="20"/>
          <w:szCs w:val="20"/>
          <w:lang w:val="es-PE"/>
        </w:rPr>
      </w:pPr>
    </w:p>
    <w:p w14:paraId="28500878" w14:textId="1F45BFCF" w:rsidR="00B44D0F" w:rsidRPr="00116A43" w:rsidRDefault="00B44D0F" w:rsidP="00A0029B">
      <w:pPr>
        <w:pStyle w:val="ListParagraph"/>
        <w:autoSpaceDE w:val="0"/>
        <w:autoSpaceDN w:val="0"/>
        <w:adjustRightInd w:val="0"/>
        <w:ind w:right="864"/>
        <w:jc w:val="both"/>
        <w:rPr>
          <w:sz w:val="18"/>
          <w:szCs w:val="18"/>
          <w:lang w:val="es-PE"/>
        </w:rPr>
      </w:pPr>
      <w:r w:rsidRPr="00116A43">
        <w:rPr>
          <w:sz w:val="18"/>
          <w:szCs w:val="18"/>
          <w:lang w:val="es-PE"/>
        </w:rPr>
        <w:lastRenderedPageBreak/>
        <w:t xml:space="preserve">Se presumirán verdaderos los hechos alegados en la petición cuyas partes pertinentes hayan sido transmitidas al Estado en cuestión, si éste no suministra información relevante para controvertirlos dentro del plazo fijado por la Comisión conforme al artículo 38 del presente Reglamento, siempre que de otros elementos de convicción no resulte una conclusión contraria. </w:t>
      </w:r>
    </w:p>
    <w:p w14:paraId="51DC3620" w14:textId="77777777" w:rsidR="00784C23" w:rsidRPr="00116A43" w:rsidRDefault="00784C23" w:rsidP="005F7FE2">
      <w:pPr>
        <w:pStyle w:val="ListParagraph"/>
        <w:autoSpaceDE w:val="0"/>
        <w:autoSpaceDN w:val="0"/>
        <w:adjustRightInd w:val="0"/>
        <w:jc w:val="both"/>
        <w:rPr>
          <w:sz w:val="20"/>
          <w:szCs w:val="20"/>
          <w:lang w:val="es-PE"/>
        </w:rPr>
      </w:pPr>
    </w:p>
    <w:p w14:paraId="2161B258" w14:textId="69D32E4A" w:rsidR="00B44D0F" w:rsidRPr="00116A43" w:rsidRDefault="00B44D0F"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Por ta</w:t>
      </w:r>
      <w:r w:rsidR="00EA1447" w:rsidRPr="00116A43">
        <w:rPr>
          <w:color w:val="auto"/>
          <w:sz w:val="20"/>
          <w:szCs w:val="20"/>
          <w:lang w:val="es-PE"/>
        </w:rPr>
        <w:t>nto, siguiendo su jurisprudencia</w:t>
      </w:r>
      <w:r w:rsidRPr="00116A43">
        <w:rPr>
          <w:rStyle w:val="FootnoteReference"/>
          <w:color w:val="auto"/>
          <w:sz w:val="20"/>
          <w:szCs w:val="20"/>
          <w:lang w:val="es-PE"/>
        </w:rPr>
        <w:footnoteReference w:id="31"/>
      </w:r>
      <w:r w:rsidRPr="00116A43">
        <w:rPr>
          <w:color w:val="auto"/>
          <w:sz w:val="20"/>
          <w:szCs w:val="20"/>
          <w:lang w:val="es-PE"/>
        </w:rPr>
        <w:t>, la Comisión considera acreditados los hechos respecto de la presunta víctima que se describen en los párrafos siguiente</w:t>
      </w:r>
      <w:r w:rsidR="00784C23" w:rsidRPr="00116A43">
        <w:rPr>
          <w:color w:val="auto"/>
          <w:sz w:val="20"/>
          <w:szCs w:val="20"/>
          <w:lang w:val="es-PE"/>
        </w:rPr>
        <w:t>s</w:t>
      </w:r>
      <w:r w:rsidRPr="00116A43">
        <w:rPr>
          <w:color w:val="auto"/>
          <w:sz w:val="20"/>
          <w:szCs w:val="20"/>
          <w:lang w:val="es-PE"/>
        </w:rPr>
        <w:t>.</w:t>
      </w:r>
    </w:p>
    <w:p w14:paraId="65A3C298" w14:textId="77777777" w:rsidR="00DB2E96" w:rsidRPr="00116A43" w:rsidRDefault="00DB2E96" w:rsidP="00A975E0">
      <w:pPr>
        <w:pStyle w:val="ListParagraph"/>
        <w:autoSpaceDE w:val="0"/>
        <w:autoSpaceDN w:val="0"/>
        <w:adjustRightInd w:val="0"/>
        <w:ind w:left="0"/>
        <w:jc w:val="both"/>
        <w:rPr>
          <w:color w:val="auto"/>
          <w:sz w:val="20"/>
          <w:szCs w:val="20"/>
          <w:lang w:val="es-PE"/>
        </w:rPr>
      </w:pPr>
    </w:p>
    <w:p w14:paraId="0E1742F3" w14:textId="3B228116" w:rsidR="00FD1FF8" w:rsidRPr="004F709F" w:rsidRDefault="00FD1FF8" w:rsidP="00460990">
      <w:pPr>
        <w:pStyle w:val="Heading2"/>
        <w:numPr>
          <w:ilvl w:val="0"/>
          <w:numId w:val="63"/>
        </w:numPr>
        <w:ind w:hanging="720"/>
      </w:pPr>
      <w:bookmarkStart w:id="14" w:name="_Toc89157561"/>
      <w:r w:rsidRPr="004F709F">
        <w:t xml:space="preserve">Regulación constitucional </w:t>
      </w:r>
      <w:r w:rsidR="004F7146" w:rsidRPr="004F709F">
        <w:t>del derecho a la libertad de expresión</w:t>
      </w:r>
      <w:bookmarkEnd w:id="14"/>
      <w:r w:rsidR="004F7146" w:rsidRPr="004F709F">
        <w:t xml:space="preserve"> </w:t>
      </w:r>
    </w:p>
    <w:p w14:paraId="72897B2E" w14:textId="1F477A97" w:rsidR="00A975E0" w:rsidRPr="00116A43" w:rsidRDefault="00A975E0" w:rsidP="00A975E0">
      <w:pPr>
        <w:jc w:val="both"/>
        <w:rPr>
          <w:lang w:val="es-PE"/>
        </w:rPr>
      </w:pPr>
    </w:p>
    <w:p w14:paraId="11DC826E" w14:textId="132CEA3D" w:rsidR="00A975E0" w:rsidRPr="00116A43" w:rsidRDefault="00A975E0" w:rsidP="00375047">
      <w:pPr>
        <w:pStyle w:val="ListParagraph"/>
        <w:numPr>
          <w:ilvl w:val="0"/>
          <w:numId w:val="55"/>
        </w:numPr>
        <w:suppressAutoHyphens/>
        <w:ind w:firstLine="0"/>
        <w:jc w:val="both"/>
        <w:rPr>
          <w:color w:val="auto"/>
          <w:sz w:val="20"/>
          <w:szCs w:val="20"/>
        </w:rPr>
      </w:pPr>
      <w:r w:rsidRPr="00116A43">
        <w:rPr>
          <w:sz w:val="20"/>
          <w:szCs w:val="20"/>
          <w:lang w:val="es-PE"/>
        </w:rPr>
        <w:t>El artículo 53 de la Constitución de la República de Cuba de 1976</w:t>
      </w:r>
      <w:r w:rsidR="00933999" w:rsidRPr="00116A43">
        <w:rPr>
          <w:rStyle w:val="FootnoteReference"/>
          <w:sz w:val="20"/>
          <w:szCs w:val="20"/>
          <w:lang w:val="es-PE"/>
        </w:rPr>
        <w:footnoteReference w:id="32"/>
      </w:r>
      <w:r w:rsidRPr="00116A43">
        <w:rPr>
          <w:sz w:val="20"/>
          <w:szCs w:val="20"/>
          <w:lang w:val="es-PE"/>
        </w:rPr>
        <w:t xml:space="preserve">, vigente en la época </w:t>
      </w:r>
      <w:r w:rsidR="00D168ED">
        <w:rPr>
          <w:sz w:val="20"/>
          <w:szCs w:val="20"/>
          <w:lang w:val="es-PE"/>
        </w:rPr>
        <w:t xml:space="preserve">en la que inició la ocurrencia </w:t>
      </w:r>
      <w:r w:rsidRPr="00116A43">
        <w:rPr>
          <w:sz w:val="20"/>
          <w:szCs w:val="20"/>
          <w:lang w:val="es-PE"/>
        </w:rPr>
        <w:t>de los hechos establecía</w:t>
      </w:r>
      <w:r w:rsidRPr="00116A43">
        <w:rPr>
          <w:color w:val="auto"/>
          <w:sz w:val="20"/>
          <w:szCs w:val="20"/>
          <w:lang w:val="es-PE"/>
        </w:rPr>
        <w:t xml:space="preserve"> lo siguiente: “[s]e reconoce a los ciudadanos libertad de palabra y prensa conforme a los fines de la sociedad socialista. Las condiciones materiales para su ejercicio están dadas por el hecho de que la prensa, la radio, la televisión, el cine y otros medios de difusión masiva son de propiedad estatal o social y no pueden ser objeto, en ningún caso, de propiedad privada, lo que asegura su uso al servicio exclusivo del pueblo trabajador y del interés de la sociedad. </w:t>
      </w:r>
      <w:r w:rsidRPr="002E2475">
        <w:rPr>
          <w:color w:val="auto"/>
          <w:sz w:val="20"/>
          <w:szCs w:val="20"/>
          <w:lang w:val="es-ES_tradnl"/>
        </w:rPr>
        <w:t>La ley regula el ejercicio de estas libertades”.</w:t>
      </w:r>
    </w:p>
    <w:p w14:paraId="53847486" w14:textId="77777777" w:rsidR="00A975E0" w:rsidRPr="00116A43" w:rsidRDefault="00A975E0" w:rsidP="00375047">
      <w:pPr>
        <w:tabs>
          <w:tab w:val="num" w:pos="720"/>
        </w:tabs>
        <w:suppressAutoHyphens/>
        <w:jc w:val="both"/>
        <w:rPr>
          <w:rFonts w:ascii="Cambria" w:hAnsi="Cambria"/>
          <w:sz w:val="20"/>
          <w:szCs w:val="20"/>
        </w:rPr>
      </w:pPr>
    </w:p>
    <w:p w14:paraId="1B772C39" w14:textId="2EA4B2E5" w:rsidR="00A975E0" w:rsidRPr="00116A43" w:rsidRDefault="00A975E0"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El artículo 62 del texto constitucional de 1976 disponía que: “[n]inguna de las libertades reconocidas a los ciudadanos puede ser ejercida contra lo establecido en la Constitución y las leyes, ni contra la existencia y fines del Estado socialista, ni contra la decisión del pueblo cubano de construir el socialismo y el comunismo. La infracción de este principio es punible”.</w:t>
      </w:r>
    </w:p>
    <w:p w14:paraId="4DB5F773" w14:textId="77777777" w:rsidR="005D1086" w:rsidRPr="00116A43" w:rsidRDefault="005D1086" w:rsidP="00375047">
      <w:pPr>
        <w:pStyle w:val="ListParagraph"/>
        <w:suppressAutoHyphens/>
        <w:ind w:left="0"/>
        <w:jc w:val="both"/>
        <w:rPr>
          <w:color w:val="auto"/>
          <w:sz w:val="20"/>
          <w:szCs w:val="20"/>
          <w:lang w:val="es-PE"/>
        </w:rPr>
      </w:pPr>
    </w:p>
    <w:p w14:paraId="799128CB" w14:textId="2428CC5B" w:rsidR="00A975E0" w:rsidRPr="00116A43" w:rsidRDefault="00A975E0" w:rsidP="00375047">
      <w:pPr>
        <w:pStyle w:val="ListParagraph"/>
        <w:numPr>
          <w:ilvl w:val="0"/>
          <w:numId w:val="55"/>
        </w:numPr>
        <w:suppressAutoHyphens/>
        <w:ind w:firstLine="0"/>
        <w:jc w:val="both"/>
        <w:rPr>
          <w:rFonts w:cs="Arial"/>
          <w:sz w:val="20"/>
          <w:szCs w:val="20"/>
          <w:lang w:val="es-PE"/>
        </w:rPr>
      </w:pPr>
      <w:r w:rsidRPr="00116A43">
        <w:rPr>
          <w:sz w:val="20"/>
          <w:szCs w:val="20"/>
          <w:lang w:val="es-PE"/>
        </w:rPr>
        <w:t>Cuba proclamó una nueva Constitución el 10 de abril de 2019</w:t>
      </w:r>
      <w:r w:rsidR="00561EBD" w:rsidRPr="00116A43">
        <w:rPr>
          <w:rStyle w:val="FootnoteReference"/>
          <w:sz w:val="20"/>
          <w:szCs w:val="20"/>
          <w:lang w:val="es-PE"/>
        </w:rPr>
        <w:footnoteReference w:id="33"/>
      </w:r>
      <w:r w:rsidRPr="00116A43">
        <w:rPr>
          <w:sz w:val="20"/>
          <w:szCs w:val="20"/>
          <w:lang w:val="es-PE"/>
        </w:rPr>
        <w:t xml:space="preserve">. Los artículos 53 y 54 reconocen los derechos de acceso a la información y a la libertad de expresión, respectivamente. El primero de ellos dispone lo siguiente: </w:t>
      </w:r>
      <w:r w:rsidRPr="00116A43">
        <w:rPr>
          <w:rFonts w:cs="Arial"/>
          <w:sz w:val="20"/>
          <w:szCs w:val="20"/>
          <w:shd w:val="clear" w:color="auto" w:fill="FFFFFF"/>
          <w:lang w:val="es-PE"/>
        </w:rPr>
        <w:t>“[t]odas las personas tienen derecho a solicitar y recibir del Estado información veraz, objetiva y oportuna, y a acceder a la que se genere en los órganos del Estado y entidades, conforme a las regulaciones establecidas.</w:t>
      </w:r>
      <w:r w:rsidRPr="00116A43">
        <w:rPr>
          <w:sz w:val="20"/>
          <w:szCs w:val="20"/>
          <w:lang w:val="es-PE"/>
        </w:rPr>
        <w:t xml:space="preserve"> El segundo señala que: </w:t>
      </w:r>
      <w:r w:rsidRPr="00116A43">
        <w:rPr>
          <w:rFonts w:cs="Arial"/>
          <w:sz w:val="20"/>
          <w:szCs w:val="20"/>
          <w:lang w:val="es-PE"/>
        </w:rPr>
        <w:t>“[e]l Estado reconoce, respeta y garantiza a las personas la libertad de pensamiento, conciencia y expresión. La objeción de conciencia no puede invocarse con el propósito de evadir el cumplimiento de la ley o impedir a otro su cumplimiento o el ejercicio de sus derechos”.</w:t>
      </w:r>
      <w:r w:rsidRPr="00116A43">
        <w:rPr>
          <w:sz w:val="20"/>
          <w:szCs w:val="20"/>
          <w:lang w:val="es-PE"/>
        </w:rPr>
        <w:t xml:space="preserve"> La obligación general del Estado de reconocer, respetar y garantizar la libertad de pensamiento, conciencia y expresión no fue incluida expresamente en la Constitución de 1976</w:t>
      </w:r>
      <w:r w:rsidR="005D1086" w:rsidRPr="00116A43">
        <w:rPr>
          <w:sz w:val="20"/>
          <w:szCs w:val="20"/>
          <w:lang w:val="es-PE"/>
        </w:rPr>
        <w:t xml:space="preserve"> ni </w:t>
      </w:r>
      <w:r w:rsidRPr="00116A43">
        <w:rPr>
          <w:sz w:val="20"/>
          <w:szCs w:val="20"/>
          <w:lang w:val="es-PE"/>
        </w:rPr>
        <w:t>contiene una disposición similar.</w:t>
      </w:r>
      <w:r w:rsidRPr="00116A43">
        <w:rPr>
          <w:rFonts w:cs="Arial"/>
          <w:sz w:val="20"/>
          <w:szCs w:val="20"/>
          <w:lang w:val="es-PE"/>
        </w:rPr>
        <w:t xml:space="preserve"> </w:t>
      </w:r>
    </w:p>
    <w:p w14:paraId="50D6F5BF" w14:textId="77777777" w:rsidR="00A975E0" w:rsidRPr="00116A43" w:rsidRDefault="00A975E0" w:rsidP="00375047">
      <w:pPr>
        <w:pStyle w:val="NormalWeb"/>
        <w:suppressAutoHyphens/>
        <w:spacing w:before="0" w:beforeAutospacing="0" w:after="0" w:afterAutospacing="0"/>
        <w:jc w:val="both"/>
        <w:rPr>
          <w:rFonts w:ascii="Cambria" w:hAnsi="Cambria" w:cs="Arial"/>
          <w:sz w:val="20"/>
          <w:szCs w:val="20"/>
          <w:lang w:val="es-PE"/>
        </w:rPr>
      </w:pPr>
    </w:p>
    <w:p w14:paraId="619E7FEB" w14:textId="77777777" w:rsidR="00A975E0" w:rsidRPr="00116A43" w:rsidRDefault="00A975E0" w:rsidP="00375047">
      <w:pPr>
        <w:pStyle w:val="ListParagraph"/>
        <w:numPr>
          <w:ilvl w:val="0"/>
          <w:numId w:val="55"/>
        </w:numPr>
        <w:suppressAutoHyphens/>
        <w:ind w:firstLine="0"/>
        <w:jc w:val="both"/>
        <w:rPr>
          <w:rFonts w:cs="Arial"/>
          <w:color w:val="auto"/>
          <w:sz w:val="20"/>
          <w:szCs w:val="20"/>
          <w:lang w:val="es-PE"/>
        </w:rPr>
      </w:pPr>
      <w:r w:rsidRPr="00116A43">
        <w:rPr>
          <w:rFonts w:cs="Arial"/>
          <w:color w:val="auto"/>
          <w:sz w:val="20"/>
          <w:szCs w:val="20"/>
          <w:lang w:val="es-PE"/>
        </w:rPr>
        <w:t xml:space="preserve">El artículo 55 de la nueva Constitución reemplaza al artículo 53 de la Constitución de 1976 y establece que: “[s]e reconoce a las personas la libertad de prensa. Este derecho se ejerce de conformidad con la ley y los fines de la sociedad. Los medios fundamentales de comunicación social, en cualquiera de sus manifestaciones y soportes, son de propiedad socialista de todo el pueblo o de las organizaciones políticas, sociales y de masas; y no pueden ser objeto de otro tipo de propiedad. El Estado establece los principios de organización y funcionamiento para todos los medios de comunicación social”. </w:t>
      </w:r>
    </w:p>
    <w:p w14:paraId="189E4AEB" w14:textId="77777777" w:rsidR="00A975E0" w:rsidRPr="00116A43" w:rsidRDefault="00A975E0" w:rsidP="00375047">
      <w:pPr>
        <w:pStyle w:val="NormalWeb"/>
        <w:suppressAutoHyphens/>
        <w:spacing w:before="0" w:beforeAutospacing="0" w:after="0" w:afterAutospacing="0"/>
        <w:jc w:val="both"/>
        <w:rPr>
          <w:rFonts w:ascii="Cambria" w:hAnsi="Cambria" w:cs="Arial"/>
          <w:sz w:val="20"/>
          <w:szCs w:val="20"/>
          <w:lang w:val="es-PE"/>
        </w:rPr>
      </w:pPr>
    </w:p>
    <w:p w14:paraId="0BACC61B" w14:textId="0462C19D" w:rsidR="00A975E0" w:rsidRPr="00116A43" w:rsidRDefault="00A975E0" w:rsidP="00375047">
      <w:pPr>
        <w:pStyle w:val="ListParagraph"/>
        <w:numPr>
          <w:ilvl w:val="0"/>
          <w:numId w:val="55"/>
        </w:numPr>
        <w:suppressAutoHyphens/>
        <w:ind w:firstLine="0"/>
        <w:jc w:val="both"/>
        <w:rPr>
          <w:rFonts w:cs="Times New Roman"/>
          <w:color w:val="auto"/>
          <w:sz w:val="20"/>
          <w:szCs w:val="20"/>
          <w:lang w:val="es-PE"/>
        </w:rPr>
      </w:pPr>
      <w:r w:rsidRPr="00116A43">
        <w:rPr>
          <w:rFonts w:cs="Arial"/>
          <w:color w:val="auto"/>
          <w:sz w:val="20"/>
          <w:szCs w:val="20"/>
          <w:lang w:val="es-PE"/>
        </w:rPr>
        <w:t xml:space="preserve">La nueva Constitución mantiene </w:t>
      </w:r>
      <w:r w:rsidRPr="00116A43">
        <w:rPr>
          <w:color w:val="auto"/>
          <w:sz w:val="20"/>
          <w:szCs w:val="20"/>
          <w:lang w:val="es-PE"/>
        </w:rPr>
        <w:t xml:space="preserve">las </w:t>
      </w:r>
      <w:r w:rsidR="00297D36" w:rsidRPr="00116A43">
        <w:rPr>
          <w:color w:val="auto"/>
          <w:sz w:val="20"/>
          <w:szCs w:val="20"/>
          <w:lang w:val="es-PE"/>
        </w:rPr>
        <w:t xml:space="preserve">principales </w:t>
      </w:r>
      <w:r w:rsidRPr="00116A43">
        <w:rPr>
          <w:color w:val="auto"/>
          <w:sz w:val="20"/>
          <w:szCs w:val="20"/>
          <w:lang w:val="es-PE"/>
        </w:rPr>
        <w:t xml:space="preserve">restricciones del ordenamiento jurídico actual, en lo que respecta a la libertad de expresión. </w:t>
      </w:r>
      <w:r w:rsidR="005D1086" w:rsidRPr="00116A43">
        <w:rPr>
          <w:color w:val="auto"/>
          <w:sz w:val="20"/>
          <w:szCs w:val="20"/>
          <w:lang w:val="es-PE"/>
        </w:rPr>
        <w:t>Si bien el</w:t>
      </w:r>
      <w:r w:rsidRPr="00116A43">
        <w:rPr>
          <w:color w:val="auto"/>
          <w:sz w:val="20"/>
          <w:szCs w:val="20"/>
          <w:lang w:val="es-PE"/>
        </w:rPr>
        <w:t xml:space="preserve"> artículo 55 </w:t>
      </w:r>
      <w:r w:rsidR="00297D36" w:rsidRPr="00116A43">
        <w:rPr>
          <w:color w:val="auto"/>
          <w:sz w:val="20"/>
          <w:szCs w:val="20"/>
          <w:lang w:val="es-PE"/>
        </w:rPr>
        <w:t xml:space="preserve">ya </w:t>
      </w:r>
      <w:r w:rsidRPr="00116A43">
        <w:rPr>
          <w:color w:val="auto"/>
          <w:sz w:val="20"/>
          <w:szCs w:val="20"/>
          <w:lang w:val="es-PE"/>
        </w:rPr>
        <w:t>no establece expresamente que la libertad de prensa estar</w:t>
      </w:r>
      <w:r w:rsidR="00297D36" w:rsidRPr="00116A43">
        <w:rPr>
          <w:color w:val="auto"/>
          <w:sz w:val="20"/>
          <w:szCs w:val="20"/>
          <w:lang w:val="es-PE"/>
        </w:rPr>
        <w:t xml:space="preserve">á </w:t>
      </w:r>
      <w:r w:rsidRPr="00116A43">
        <w:rPr>
          <w:color w:val="auto"/>
          <w:sz w:val="20"/>
          <w:szCs w:val="20"/>
          <w:lang w:val="es-PE"/>
        </w:rPr>
        <w:t xml:space="preserve">sujeta a los “fines de la sociedad socialista”, mantiene el impedimento de contar con medios de comunicación privados, distintos a los estatales. Como expresamente señala la disposición, los medios de comunicación social "son de propiedad socialista de todo el pueblo". Además, la nueva Constitución mantiene al Partido Comunista como el único partido y como fuerza </w:t>
      </w:r>
      <w:r w:rsidRPr="00116A43">
        <w:rPr>
          <w:rFonts w:cs="Arial"/>
          <w:color w:val="auto"/>
          <w:sz w:val="20"/>
          <w:szCs w:val="20"/>
          <w:shd w:val="clear" w:color="auto" w:fill="FFFFFF"/>
          <w:lang w:val="es-PE"/>
        </w:rPr>
        <w:t xml:space="preserve">política dirigente superior de la sociedad y del Estado, y otras disposiciones </w:t>
      </w:r>
      <w:r w:rsidRPr="00116A43">
        <w:rPr>
          <w:color w:val="auto"/>
          <w:sz w:val="20"/>
          <w:szCs w:val="20"/>
          <w:lang w:val="es-PE"/>
        </w:rPr>
        <w:t>que impiden el pluralismo político y la propiedad no estatal en los medios de comunicación</w:t>
      </w:r>
      <w:r w:rsidR="005D1086" w:rsidRPr="00116A43">
        <w:rPr>
          <w:color w:val="auto"/>
          <w:sz w:val="20"/>
          <w:szCs w:val="20"/>
          <w:lang w:val="es-PE"/>
        </w:rPr>
        <w:t>, en cualquiera de sus manifestaciones y soportes</w:t>
      </w:r>
      <w:r w:rsidRPr="00116A43">
        <w:rPr>
          <w:color w:val="auto"/>
          <w:sz w:val="20"/>
          <w:szCs w:val="20"/>
          <w:lang w:val="es-PE"/>
        </w:rPr>
        <w:t>. La reforma tampoco establece acciones judiciales para garantizar o proteger el ejercicio de las libertades fundamentales</w:t>
      </w:r>
      <w:r w:rsidR="00F55BDD" w:rsidRPr="00116A43">
        <w:rPr>
          <w:rStyle w:val="FootnoteReference"/>
          <w:color w:val="auto"/>
          <w:sz w:val="20"/>
          <w:szCs w:val="20"/>
          <w:lang w:val="es-PE"/>
        </w:rPr>
        <w:footnoteReference w:id="34"/>
      </w:r>
      <w:r w:rsidRPr="00116A43">
        <w:rPr>
          <w:color w:val="auto"/>
          <w:sz w:val="20"/>
          <w:szCs w:val="20"/>
          <w:lang w:val="es-PE"/>
        </w:rPr>
        <w:t>.</w:t>
      </w:r>
    </w:p>
    <w:p w14:paraId="7E38BE24" w14:textId="77777777" w:rsidR="00A975E0" w:rsidRPr="00116A43" w:rsidRDefault="00A975E0" w:rsidP="00A975E0">
      <w:pPr>
        <w:pStyle w:val="NormalWeb"/>
        <w:spacing w:before="0" w:beforeAutospacing="0" w:after="0" w:afterAutospacing="0"/>
        <w:jc w:val="both"/>
        <w:textAlignment w:val="baseline"/>
        <w:rPr>
          <w:rFonts w:ascii="Cambria" w:hAnsi="Cambria" w:cs="Arial"/>
          <w:color w:val="2B2B2B"/>
          <w:sz w:val="20"/>
          <w:szCs w:val="20"/>
          <w:lang w:val="es-PE"/>
        </w:rPr>
      </w:pPr>
    </w:p>
    <w:p w14:paraId="7335712C" w14:textId="5BAA61B3" w:rsidR="00FD1FF8" w:rsidRPr="00116A43" w:rsidRDefault="00297D36" w:rsidP="004F709F">
      <w:pPr>
        <w:pStyle w:val="Heading2"/>
      </w:pPr>
      <w:bookmarkStart w:id="15" w:name="_Toc89157562"/>
      <w:r w:rsidRPr="00116A43">
        <w:lastRenderedPageBreak/>
        <w:t>Contexto</w:t>
      </w:r>
      <w:r w:rsidR="00B44D0F" w:rsidRPr="00116A43">
        <w:t xml:space="preserve"> de p</w:t>
      </w:r>
      <w:r w:rsidR="00195DDA" w:rsidRPr="00116A43">
        <w:t>ersecución de periodistas</w:t>
      </w:r>
      <w:r w:rsidR="00B44D0F" w:rsidRPr="00116A43">
        <w:t xml:space="preserve"> disidentes políticos en Cuba</w:t>
      </w:r>
      <w:bookmarkEnd w:id="15"/>
    </w:p>
    <w:p w14:paraId="4F73F1F0" w14:textId="77777777" w:rsidR="00810F85" w:rsidRPr="00116A43" w:rsidRDefault="00810F85" w:rsidP="00810F85">
      <w:pPr>
        <w:rPr>
          <w:rFonts w:ascii="Cambria" w:hAnsi="Cambria"/>
          <w:sz w:val="20"/>
          <w:szCs w:val="20"/>
          <w:lang w:val="es-PE"/>
        </w:rPr>
      </w:pPr>
    </w:p>
    <w:p w14:paraId="1BE93C76" w14:textId="624C1824" w:rsidR="00A13E9A" w:rsidRPr="00116A43" w:rsidRDefault="00C657C7" w:rsidP="00375047">
      <w:pPr>
        <w:pStyle w:val="ListParagraph"/>
        <w:numPr>
          <w:ilvl w:val="0"/>
          <w:numId w:val="55"/>
        </w:numPr>
        <w:suppressAutoHyphens/>
        <w:ind w:firstLine="0"/>
        <w:jc w:val="both"/>
        <w:rPr>
          <w:sz w:val="20"/>
          <w:szCs w:val="20"/>
          <w:lang w:val="es-419"/>
        </w:rPr>
      </w:pPr>
      <w:r w:rsidRPr="00116A43">
        <w:rPr>
          <w:color w:val="auto"/>
          <w:sz w:val="20"/>
          <w:szCs w:val="20"/>
          <w:lang w:val="es-419"/>
        </w:rPr>
        <w:t xml:space="preserve">Como fue mencionado anteriormente, </w:t>
      </w:r>
      <w:r w:rsidR="00A13E9A" w:rsidRPr="00116A43">
        <w:rPr>
          <w:color w:val="auto"/>
          <w:sz w:val="20"/>
          <w:szCs w:val="20"/>
          <w:lang w:val="es-419"/>
        </w:rPr>
        <w:t xml:space="preserve">Cuba ha sido incluido de manera reiterada en el Capítulo IV.B </w:t>
      </w:r>
      <w:r w:rsidR="00A13E9A" w:rsidRPr="00116A43">
        <w:rPr>
          <w:sz w:val="20"/>
          <w:szCs w:val="20"/>
          <w:lang w:val="es-PE"/>
        </w:rPr>
        <w:t>del Informe Anual desde 1984 a 1994, y de forma ininterrumpida desde 1996 hasta 2020, debido a que</w:t>
      </w:r>
      <w:r w:rsidR="009B6010">
        <w:rPr>
          <w:sz w:val="20"/>
          <w:szCs w:val="20"/>
          <w:lang w:val="es-PE"/>
        </w:rPr>
        <w:t xml:space="preserve"> la Comisión ha constatado la existencia de</w:t>
      </w:r>
      <w:r w:rsidR="00A13E9A" w:rsidRPr="00116A43">
        <w:rPr>
          <w:sz w:val="20"/>
          <w:szCs w:val="20"/>
          <w:lang w:val="es-PE"/>
        </w:rPr>
        <w:t xml:space="preserve"> graves violaciones a los derechos fundamentales</w:t>
      </w:r>
      <w:r w:rsidR="003C5490" w:rsidRPr="00116A43">
        <w:rPr>
          <w:sz w:val="20"/>
          <w:szCs w:val="20"/>
          <w:lang w:val="es-PE"/>
        </w:rPr>
        <w:t>, violaciones masivas, graves y sistemáticas de los derechos humanos garantizados en la Declaración Americana</w:t>
      </w:r>
      <w:r w:rsidR="00A13E9A" w:rsidRPr="00116A43">
        <w:rPr>
          <w:sz w:val="20"/>
          <w:szCs w:val="20"/>
          <w:lang w:val="es-PE"/>
        </w:rPr>
        <w:t xml:space="preserve"> y</w:t>
      </w:r>
      <w:r w:rsidR="003C5490" w:rsidRPr="00116A43">
        <w:rPr>
          <w:sz w:val="20"/>
          <w:szCs w:val="20"/>
          <w:lang w:val="es-PE"/>
        </w:rPr>
        <w:t xml:space="preserve"> violaciones en contra de </w:t>
      </w:r>
      <w:r w:rsidR="00A13E9A" w:rsidRPr="00116A43">
        <w:rPr>
          <w:sz w:val="20"/>
          <w:szCs w:val="20"/>
          <w:lang w:val="es-PE"/>
        </w:rPr>
        <w:t>las instituciones de la democracia representativa</w:t>
      </w:r>
      <w:r w:rsidR="003C5490" w:rsidRPr="00116A43">
        <w:rPr>
          <w:sz w:val="20"/>
          <w:szCs w:val="20"/>
          <w:lang w:val="es-PE"/>
        </w:rPr>
        <w:t>, tales como la falta de independencia de los poderes del Estado.</w:t>
      </w:r>
    </w:p>
    <w:p w14:paraId="44D18F93" w14:textId="28C66EA1" w:rsidR="00A13E9A" w:rsidRPr="00116A43" w:rsidRDefault="00A13E9A" w:rsidP="00375047">
      <w:pPr>
        <w:suppressAutoHyphens/>
        <w:jc w:val="both"/>
        <w:rPr>
          <w:sz w:val="20"/>
          <w:szCs w:val="20"/>
        </w:rPr>
      </w:pPr>
    </w:p>
    <w:p w14:paraId="44308830" w14:textId="6C7AFE8A" w:rsidR="00FE05C7" w:rsidRPr="00116A43" w:rsidRDefault="008E6366" w:rsidP="00375047">
      <w:pPr>
        <w:pStyle w:val="ListParagraph"/>
        <w:numPr>
          <w:ilvl w:val="0"/>
          <w:numId w:val="55"/>
        </w:numPr>
        <w:suppressAutoHyphens/>
        <w:ind w:firstLine="0"/>
        <w:jc w:val="both"/>
        <w:rPr>
          <w:color w:val="auto"/>
          <w:sz w:val="20"/>
          <w:szCs w:val="20"/>
          <w:lang w:val="es-419"/>
        </w:rPr>
      </w:pPr>
      <w:r w:rsidRPr="00116A43">
        <w:rPr>
          <w:color w:val="auto"/>
          <w:sz w:val="20"/>
          <w:szCs w:val="20"/>
          <w:lang w:val="es-ES"/>
        </w:rPr>
        <w:t xml:space="preserve">El sistema de partido único que somete el ejercicio de los derechos humanos a los fines socialistas, ha suprimido las voces críticas al gobierno que han intentado </w:t>
      </w:r>
      <w:r w:rsidRPr="00116A43">
        <w:rPr>
          <w:sz w:val="20"/>
          <w:szCs w:val="20"/>
          <w:lang w:val="es-PE"/>
        </w:rPr>
        <w:t>expresarse y participar en la conducción de los asuntos del país. Asimismo, la prohibición de asociarse con fines políticos y las arbitrarias restricciones a la libertad de expresión, el derecho de reunión, el de circulación y el debido proceso, entre otros derechos fundamentales, son muy comunes en la Isla</w:t>
      </w:r>
      <w:r w:rsidRPr="00116A43">
        <w:rPr>
          <w:rStyle w:val="FootnoteReference"/>
          <w:sz w:val="20"/>
          <w:szCs w:val="20"/>
          <w:lang w:val="es-PE"/>
        </w:rPr>
        <w:footnoteReference w:id="35"/>
      </w:r>
      <w:r w:rsidRPr="00116A43">
        <w:rPr>
          <w:sz w:val="20"/>
          <w:szCs w:val="20"/>
          <w:lang w:val="es-PE"/>
        </w:rPr>
        <w:t xml:space="preserve">. </w:t>
      </w:r>
      <w:r w:rsidRPr="00116A43">
        <w:rPr>
          <w:color w:val="auto"/>
          <w:sz w:val="20"/>
          <w:szCs w:val="20"/>
          <w:lang w:val="es-ES"/>
        </w:rPr>
        <w:t>Al respecto</w:t>
      </w:r>
      <w:r w:rsidR="003C5490" w:rsidRPr="00116A43">
        <w:rPr>
          <w:color w:val="auto"/>
          <w:sz w:val="20"/>
          <w:szCs w:val="20"/>
          <w:lang w:val="es-419"/>
        </w:rPr>
        <w:t>, e</w:t>
      </w:r>
      <w:r w:rsidR="00FE05C7" w:rsidRPr="00116A43">
        <w:rPr>
          <w:color w:val="auto"/>
          <w:sz w:val="20"/>
          <w:szCs w:val="20"/>
          <w:lang w:val="es-419"/>
        </w:rPr>
        <w:t xml:space="preserve">n las últimas décadas, incluyendo los años a que se refieren los hechos del presente caso, la Comisión ha </w:t>
      </w:r>
      <w:r w:rsidR="00614FAE">
        <w:rPr>
          <w:color w:val="auto"/>
          <w:sz w:val="20"/>
          <w:szCs w:val="20"/>
          <w:lang w:val="es-419"/>
        </w:rPr>
        <w:t>constatado el grave contexto de represión en el</w:t>
      </w:r>
      <w:r w:rsidR="0082242B">
        <w:rPr>
          <w:color w:val="auto"/>
          <w:sz w:val="20"/>
          <w:szCs w:val="20"/>
          <w:lang w:val="es-419"/>
        </w:rPr>
        <w:t xml:space="preserve"> que se encuentran</w:t>
      </w:r>
      <w:r w:rsidR="00FE05C7" w:rsidRPr="00116A43">
        <w:rPr>
          <w:color w:val="auto"/>
          <w:sz w:val="20"/>
          <w:szCs w:val="20"/>
          <w:lang w:val="es-419"/>
        </w:rPr>
        <w:t xml:space="preserve"> periodistas, defensores de derechos humanos y disidentes políticos en Cuba, especialmente </w:t>
      </w:r>
      <w:r w:rsidR="0082242B">
        <w:rPr>
          <w:color w:val="auto"/>
          <w:sz w:val="20"/>
          <w:szCs w:val="20"/>
          <w:lang w:val="es-419"/>
        </w:rPr>
        <w:t xml:space="preserve">con </w:t>
      </w:r>
      <w:r w:rsidR="00FE05C7" w:rsidRPr="00116A43">
        <w:rPr>
          <w:color w:val="auto"/>
          <w:sz w:val="20"/>
          <w:szCs w:val="20"/>
          <w:lang w:val="es-419"/>
        </w:rPr>
        <w:t>respecto al</w:t>
      </w:r>
      <w:r w:rsidR="0082242B">
        <w:rPr>
          <w:color w:val="auto"/>
          <w:sz w:val="20"/>
          <w:szCs w:val="20"/>
          <w:lang w:val="es-419"/>
        </w:rPr>
        <w:t xml:space="preserve"> ejercicio de su</w:t>
      </w:r>
      <w:r w:rsidR="00FE05C7" w:rsidRPr="00116A43">
        <w:rPr>
          <w:color w:val="auto"/>
          <w:sz w:val="20"/>
          <w:szCs w:val="20"/>
          <w:lang w:val="es-419"/>
        </w:rPr>
        <w:t xml:space="preserve"> derecho a libertad de expresión</w:t>
      </w:r>
      <w:r w:rsidR="00614FAE">
        <w:rPr>
          <w:color w:val="auto"/>
          <w:sz w:val="20"/>
          <w:szCs w:val="20"/>
          <w:lang w:val="es-419"/>
        </w:rPr>
        <w:t xml:space="preserve"> y derechos conexos</w:t>
      </w:r>
      <w:r w:rsidR="00FE05C7" w:rsidRPr="00116A43">
        <w:rPr>
          <w:color w:val="auto"/>
          <w:sz w:val="20"/>
          <w:szCs w:val="20"/>
          <w:lang w:val="es-419"/>
        </w:rPr>
        <w:t xml:space="preserve">. Restricciones de acceso a contenidos </w:t>
      </w:r>
      <w:r w:rsidR="00FE05C7" w:rsidRPr="00116A43">
        <w:rPr>
          <w:i/>
          <w:iCs/>
          <w:color w:val="auto"/>
          <w:sz w:val="20"/>
          <w:szCs w:val="20"/>
          <w:lang w:val="es-419"/>
        </w:rPr>
        <w:t>online,</w:t>
      </w:r>
      <w:r w:rsidR="00FE05C7" w:rsidRPr="00116A43">
        <w:rPr>
          <w:color w:val="auto"/>
          <w:sz w:val="20"/>
          <w:szCs w:val="20"/>
          <w:lang w:val="es-419"/>
        </w:rPr>
        <w:t xml:space="preserve"> hostigamientos, criminalización y detenciones arbitrarias de estas personas son prácticas que se perpetúan en Cuba</w:t>
      </w:r>
      <w:r w:rsidR="00FE05C7" w:rsidRPr="00116A43">
        <w:rPr>
          <w:rStyle w:val="FootnoteReference"/>
          <w:color w:val="auto"/>
          <w:sz w:val="20"/>
          <w:szCs w:val="20"/>
          <w:lang w:val="es-419"/>
        </w:rPr>
        <w:footnoteReference w:id="36"/>
      </w:r>
      <w:r w:rsidR="00FE05C7" w:rsidRPr="00116A43">
        <w:rPr>
          <w:color w:val="auto"/>
          <w:sz w:val="20"/>
          <w:szCs w:val="20"/>
          <w:lang w:val="es-419"/>
        </w:rPr>
        <w:t xml:space="preserve">. </w:t>
      </w:r>
    </w:p>
    <w:p w14:paraId="5B897418" w14:textId="2A4190B0" w:rsidR="00194104" w:rsidRPr="00116A43" w:rsidRDefault="00194104" w:rsidP="00375047">
      <w:pPr>
        <w:suppressAutoHyphens/>
        <w:jc w:val="both"/>
        <w:rPr>
          <w:sz w:val="20"/>
          <w:szCs w:val="20"/>
          <w:lang w:val="es-419"/>
        </w:rPr>
      </w:pPr>
    </w:p>
    <w:p w14:paraId="3A6BFEE6" w14:textId="60F52930" w:rsidR="00014BE7" w:rsidRPr="00116A43" w:rsidRDefault="00194104" w:rsidP="00375047">
      <w:pPr>
        <w:pStyle w:val="ListParagraph"/>
        <w:numPr>
          <w:ilvl w:val="0"/>
          <w:numId w:val="55"/>
        </w:numPr>
        <w:suppressAutoHyphens/>
        <w:ind w:firstLine="0"/>
        <w:jc w:val="both"/>
        <w:rPr>
          <w:color w:val="auto"/>
          <w:sz w:val="20"/>
          <w:szCs w:val="20"/>
          <w:lang w:val="es-419"/>
        </w:rPr>
      </w:pPr>
      <w:r w:rsidRPr="00116A43">
        <w:rPr>
          <w:sz w:val="20"/>
          <w:szCs w:val="20"/>
          <w:lang w:val="es-419"/>
        </w:rPr>
        <w:t xml:space="preserve">Además, </w:t>
      </w:r>
      <w:r w:rsidR="008E6366" w:rsidRPr="00116A43">
        <w:rPr>
          <w:sz w:val="20"/>
          <w:szCs w:val="20"/>
          <w:lang w:val="es-PE"/>
        </w:rPr>
        <w:t xml:space="preserve">Cuba se ha mantenido durante décadas entre los países del </w:t>
      </w:r>
      <w:r w:rsidR="00CC75F5">
        <w:rPr>
          <w:sz w:val="20"/>
          <w:szCs w:val="20"/>
          <w:lang w:val="es-PE"/>
        </w:rPr>
        <w:t>h</w:t>
      </w:r>
      <w:r w:rsidR="008E6366" w:rsidRPr="00116A43">
        <w:rPr>
          <w:sz w:val="20"/>
          <w:szCs w:val="20"/>
          <w:lang w:val="es-PE"/>
        </w:rPr>
        <w:t>emisferio que exhibe una de las peores situaciones y un ambiente menos propicio para el ejercicio del der</w:t>
      </w:r>
      <w:r w:rsidRPr="00116A43">
        <w:rPr>
          <w:sz w:val="20"/>
          <w:szCs w:val="20"/>
          <w:lang w:val="es-PE"/>
        </w:rPr>
        <w:t>echo a la libertad de expresión</w:t>
      </w:r>
      <w:r w:rsidR="008E6366" w:rsidRPr="00116A43">
        <w:rPr>
          <w:sz w:val="20"/>
          <w:szCs w:val="20"/>
          <w:lang w:val="es-PE"/>
        </w:rPr>
        <w:t>. La organización global Reporteros Sin Fronter</w:t>
      </w:r>
      <w:r w:rsidR="00FF134D" w:rsidRPr="00116A43">
        <w:rPr>
          <w:sz w:val="20"/>
          <w:szCs w:val="20"/>
          <w:lang w:val="es-PE"/>
        </w:rPr>
        <w:t>a (RSF) lo ubica en el lugar 171</w:t>
      </w:r>
      <w:r w:rsidR="008E6366" w:rsidRPr="00116A43">
        <w:rPr>
          <w:sz w:val="20"/>
          <w:szCs w:val="20"/>
          <w:lang w:val="es-PE"/>
        </w:rPr>
        <w:t xml:space="preserve"> de 180 países incluidos en </w:t>
      </w:r>
      <w:r w:rsidR="00FF134D" w:rsidRPr="00116A43">
        <w:rPr>
          <w:sz w:val="20"/>
          <w:szCs w:val="20"/>
          <w:lang w:val="es-PE"/>
        </w:rPr>
        <w:t>la clasificación mundial de 2020</w:t>
      </w:r>
      <w:r w:rsidR="008E6366" w:rsidRPr="00116A43">
        <w:rPr>
          <w:sz w:val="20"/>
          <w:szCs w:val="20"/>
          <w:lang w:val="es-PE"/>
        </w:rPr>
        <w:t>, que realiza en base al grado de libertad del que gozan los periodistas. Año tras año sigue siendo el país peor cal</w:t>
      </w:r>
      <w:r w:rsidRPr="00116A43">
        <w:rPr>
          <w:sz w:val="20"/>
          <w:szCs w:val="20"/>
          <w:lang w:val="es-PE"/>
        </w:rPr>
        <w:t>ificado de la región americana</w:t>
      </w:r>
      <w:r w:rsidR="00FF134D" w:rsidRPr="00116A43">
        <w:rPr>
          <w:rStyle w:val="FootnoteReference"/>
          <w:sz w:val="20"/>
          <w:szCs w:val="20"/>
          <w:lang w:val="es-PE"/>
        </w:rPr>
        <w:footnoteReference w:id="37"/>
      </w:r>
      <w:r w:rsidR="00FF134D" w:rsidRPr="00116A43">
        <w:rPr>
          <w:sz w:val="20"/>
          <w:szCs w:val="20"/>
          <w:lang w:val="es-PE"/>
        </w:rPr>
        <w:t>.</w:t>
      </w:r>
      <w:r w:rsidR="008E6366" w:rsidRPr="00116A43">
        <w:rPr>
          <w:sz w:val="20"/>
          <w:szCs w:val="20"/>
          <w:lang w:val="es-PE"/>
        </w:rPr>
        <w:t xml:space="preserve"> Según el Comité para</w:t>
      </w:r>
      <w:r w:rsidRPr="00116A43">
        <w:rPr>
          <w:sz w:val="20"/>
          <w:szCs w:val="20"/>
          <w:lang w:val="es-PE"/>
        </w:rPr>
        <w:t xml:space="preserve"> la Protección de los Periodistas (en adelante “CPJ”, por sus siglas en inglés), Cuba es uno de los 10 países con mayor censura en el mundo y el único del continente en esta lista</w:t>
      </w:r>
      <w:r w:rsidRPr="00116A43">
        <w:rPr>
          <w:rStyle w:val="FootnoteReference"/>
          <w:sz w:val="20"/>
          <w:szCs w:val="20"/>
          <w:lang w:val="es-PE"/>
        </w:rPr>
        <w:footnoteReference w:id="38"/>
      </w:r>
      <w:r w:rsidRPr="00116A43">
        <w:rPr>
          <w:sz w:val="20"/>
          <w:szCs w:val="20"/>
          <w:lang w:val="es-PE"/>
        </w:rPr>
        <w:t>. Además, el ordenamiento jurídico</w:t>
      </w:r>
      <w:r w:rsidR="00FF134D" w:rsidRPr="00116A43">
        <w:rPr>
          <w:sz w:val="20"/>
          <w:szCs w:val="20"/>
          <w:lang w:val="es-PE"/>
        </w:rPr>
        <w:t xml:space="preserve"> subordina el ejercicio de los derechos a la protección de determinadas finalidades e intereses, como lo es el Estado socialista y aquel ha mantenido un monopolio constante sobre todos los medios de comunicación social</w:t>
      </w:r>
      <w:r w:rsidR="00614FAE">
        <w:rPr>
          <w:sz w:val="20"/>
          <w:szCs w:val="20"/>
          <w:lang w:val="es-PE"/>
        </w:rPr>
        <w:t>, así como de Internet</w:t>
      </w:r>
      <w:r w:rsidR="00FF134D" w:rsidRPr="00116A43">
        <w:rPr>
          <w:rStyle w:val="FootnoteReference"/>
          <w:sz w:val="20"/>
          <w:szCs w:val="20"/>
          <w:lang w:val="es-PE"/>
        </w:rPr>
        <w:footnoteReference w:id="39"/>
      </w:r>
      <w:r w:rsidR="00FF134D" w:rsidRPr="00116A43">
        <w:rPr>
          <w:sz w:val="20"/>
          <w:szCs w:val="20"/>
          <w:lang w:val="es-PE"/>
        </w:rPr>
        <w:t xml:space="preserve">. </w:t>
      </w:r>
    </w:p>
    <w:p w14:paraId="78EE25D8" w14:textId="77777777" w:rsidR="00FF134D" w:rsidRPr="00116A43" w:rsidRDefault="00FF134D" w:rsidP="00375047">
      <w:pPr>
        <w:pStyle w:val="ListParagraph"/>
        <w:suppressAutoHyphens/>
        <w:ind w:left="0"/>
        <w:jc w:val="both"/>
        <w:rPr>
          <w:color w:val="auto"/>
          <w:sz w:val="20"/>
          <w:szCs w:val="20"/>
          <w:lang w:val="es-419"/>
        </w:rPr>
      </w:pPr>
    </w:p>
    <w:p w14:paraId="5282DEAF" w14:textId="4E8CEF97" w:rsidR="00810F85" w:rsidRPr="00116A43" w:rsidRDefault="00FF134D"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 xml:space="preserve">Todo lo anterior ha sido reiteradamente verificado por la CIDH en sus diversos informes. </w:t>
      </w:r>
      <w:r w:rsidR="00FE05C7" w:rsidRPr="00116A43">
        <w:rPr>
          <w:color w:val="auto"/>
          <w:sz w:val="20"/>
          <w:szCs w:val="20"/>
          <w:lang w:val="es-PE"/>
        </w:rPr>
        <w:t>Por ejemplo, en su informe anual de 2007, la CIDH apuntó que</w:t>
      </w:r>
      <w:r w:rsidR="00810F85" w:rsidRPr="00116A43">
        <w:rPr>
          <w:color w:val="auto"/>
          <w:sz w:val="20"/>
          <w:szCs w:val="20"/>
          <w:lang w:val="es-PE"/>
        </w:rPr>
        <w:t>:</w:t>
      </w:r>
    </w:p>
    <w:p w14:paraId="27E5075C" w14:textId="77777777" w:rsidR="00810F85" w:rsidRPr="00116A43" w:rsidRDefault="00810F85" w:rsidP="00810F85">
      <w:pPr>
        <w:autoSpaceDE w:val="0"/>
        <w:autoSpaceDN w:val="0"/>
        <w:adjustRightInd w:val="0"/>
        <w:jc w:val="both"/>
        <w:rPr>
          <w:sz w:val="20"/>
          <w:szCs w:val="20"/>
          <w:lang w:val="es-PE"/>
        </w:rPr>
      </w:pPr>
    </w:p>
    <w:p w14:paraId="42AF2F04" w14:textId="3646BCFE" w:rsidR="00FE05C7" w:rsidRPr="00116A43" w:rsidRDefault="00FE05C7" w:rsidP="00577F2D">
      <w:pPr>
        <w:pStyle w:val="ListParagraph"/>
        <w:autoSpaceDE w:val="0"/>
        <w:autoSpaceDN w:val="0"/>
        <w:adjustRightInd w:val="0"/>
        <w:ind w:right="720"/>
        <w:jc w:val="both"/>
        <w:rPr>
          <w:rFonts w:eastAsia="Arial Unicode MS" w:cs="Times New Roman"/>
          <w:sz w:val="18"/>
          <w:szCs w:val="18"/>
          <w:lang w:val="es-ES_tradnl" w:eastAsia="en-US"/>
        </w:rPr>
      </w:pPr>
      <w:r w:rsidRPr="00116A43">
        <w:rPr>
          <w:color w:val="auto"/>
          <w:sz w:val="18"/>
          <w:szCs w:val="18"/>
          <w:lang w:val="es-PE"/>
        </w:rPr>
        <w:t>“</w:t>
      </w:r>
      <w:r w:rsidRPr="00116A43">
        <w:rPr>
          <w:rFonts w:eastAsia="Arial Unicode MS" w:cs="Times New Roman"/>
          <w:sz w:val="18"/>
          <w:szCs w:val="18"/>
          <w:lang w:val="es-ES_tradnl" w:eastAsia="en-US"/>
        </w:rPr>
        <w:t xml:space="preserve">ha venido sosteniendo reiteradamente que Cuba es el único país del </w:t>
      </w:r>
      <w:r w:rsidR="003B2E20" w:rsidRPr="00116A43">
        <w:rPr>
          <w:rFonts w:eastAsia="Arial Unicode MS" w:cs="Times New Roman"/>
          <w:sz w:val="18"/>
          <w:szCs w:val="18"/>
          <w:lang w:val="es-ES_tradnl" w:eastAsia="en-US"/>
        </w:rPr>
        <w:t>hemisferio</w:t>
      </w:r>
      <w:r w:rsidRPr="00116A43">
        <w:rPr>
          <w:rFonts w:eastAsia="Arial Unicode MS" w:cs="Times New Roman"/>
          <w:sz w:val="18"/>
          <w:szCs w:val="18"/>
          <w:lang w:val="es-ES_tradnl" w:eastAsia="en-US"/>
        </w:rPr>
        <w:t xml:space="preserve"> en donde puede afirmarse categóricamente que no hay derecho a la libertad de expresión</w:t>
      </w:r>
      <w:bookmarkStart w:id="16" w:name="_ftnref290"/>
      <w:r w:rsidRPr="00116A43">
        <w:rPr>
          <w:rFonts w:eastAsia="Arial Unicode MS" w:cs="Times New Roman"/>
          <w:sz w:val="18"/>
          <w:szCs w:val="18"/>
          <w:lang w:val="es-ES_tradnl" w:eastAsia="en-US"/>
        </w:rPr>
        <w:fldChar w:fldCharType="begin"/>
      </w:r>
      <w:r w:rsidRPr="00116A43">
        <w:rPr>
          <w:rFonts w:eastAsia="Arial Unicode MS" w:cs="Times New Roman"/>
          <w:sz w:val="18"/>
          <w:szCs w:val="18"/>
          <w:lang w:val="es-ES_tradnl" w:eastAsia="en-US"/>
        </w:rPr>
        <w:instrText xml:space="preserve"> HYPERLINK "http://www.cidh.oas.org/annualrep/2008sp/cap4.Cuba.sp.htm" \l "_ftn290" \o "" </w:instrText>
      </w:r>
      <w:r w:rsidRPr="00116A43">
        <w:rPr>
          <w:rFonts w:eastAsia="Arial Unicode MS" w:cs="Times New Roman"/>
          <w:sz w:val="18"/>
          <w:szCs w:val="18"/>
          <w:lang w:val="es-ES_tradnl" w:eastAsia="en-US"/>
        </w:rPr>
        <w:fldChar w:fldCharType="end"/>
      </w:r>
      <w:bookmarkEnd w:id="16"/>
      <w:r w:rsidRPr="00116A43">
        <w:rPr>
          <w:rFonts w:eastAsia="Arial Unicode MS" w:cs="Times New Roman"/>
          <w:sz w:val="18"/>
          <w:szCs w:val="18"/>
          <w:lang w:val="es-ES_tradnl" w:eastAsia="en-US"/>
        </w:rPr>
        <w:t xml:space="preserve">. Tales afirmaciones se basan fundamentalmente en la persistente problemática reflejada en los siguientes aspectos: a) privación de la libertad personal como consecuencia de la manifestación de opiniones o críticas de periodistas y disidentes; b) restricciones al derecho de acceso a la información a través del Internet; c) las </w:t>
      </w:r>
      <w:r w:rsidRPr="00116A43">
        <w:rPr>
          <w:rFonts w:eastAsia="Arial Unicode MS" w:cs="Times New Roman"/>
          <w:sz w:val="18"/>
          <w:szCs w:val="18"/>
          <w:lang w:val="es-ES_tradnl" w:eastAsia="en-US"/>
        </w:rPr>
        <w:lastRenderedPageBreak/>
        <w:t>restricciones indirectas al ejercicio de la actividad periodística y; d) la criminalización de las manifestaciones públicas”</w:t>
      </w:r>
      <w:r w:rsidRPr="00116A43">
        <w:rPr>
          <w:rStyle w:val="FootnoteReference"/>
          <w:rFonts w:eastAsia="Arial Unicode MS" w:cs="Times New Roman"/>
          <w:sz w:val="18"/>
          <w:szCs w:val="18"/>
          <w:lang w:val="es-ES_tradnl" w:eastAsia="en-US"/>
        </w:rPr>
        <w:footnoteReference w:id="40"/>
      </w:r>
      <w:r w:rsidR="00810F85" w:rsidRPr="00116A43">
        <w:rPr>
          <w:rFonts w:eastAsia="Arial Unicode MS" w:cs="Times New Roman"/>
          <w:sz w:val="18"/>
          <w:szCs w:val="18"/>
          <w:lang w:val="es-ES_tradnl" w:eastAsia="en-US"/>
        </w:rPr>
        <w:t>.</w:t>
      </w:r>
    </w:p>
    <w:p w14:paraId="0AB19D84" w14:textId="77777777" w:rsidR="00810F85" w:rsidRPr="00116A43" w:rsidRDefault="00810F85" w:rsidP="00810F85">
      <w:pPr>
        <w:pStyle w:val="ListParagraph"/>
        <w:autoSpaceDE w:val="0"/>
        <w:autoSpaceDN w:val="0"/>
        <w:adjustRightInd w:val="0"/>
        <w:ind w:right="864"/>
        <w:jc w:val="both"/>
        <w:rPr>
          <w:rFonts w:eastAsia="Arial Unicode MS" w:cs="Times New Roman"/>
          <w:sz w:val="20"/>
          <w:szCs w:val="20"/>
          <w:lang w:val="es-ES_tradnl" w:eastAsia="en-US"/>
        </w:rPr>
      </w:pPr>
    </w:p>
    <w:p w14:paraId="55AB7F3F" w14:textId="1DBCAE9B" w:rsidR="00FE05C7" w:rsidRPr="00F04C39" w:rsidRDefault="00FE05C7" w:rsidP="00375047">
      <w:pPr>
        <w:pStyle w:val="ListParagraph"/>
        <w:numPr>
          <w:ilvl w:val="0"/>
          <w:numId w:val="55"/>
        </w:numPr>
        <w:suppressAutoHyphens/>
        <w:ind w:firstLine="0"/>
        <w:jc w:val="both"/>
        <w:rPr>
          <w:color w:val="auto"/>
          <w:sz w:val="20"/>
          <w:szCs w:val="20"/>
          <w:lang w:val="es-419"/>
        </w:rPr>
      </w:pPr>
      <w:r w:rsidRPr="00116A43">
        <w:rPr>
          <w:rFonts w:eastAsia="Arial Unicode MS" w:cs="Times New Roman"/>
          <w:sz w:val="20"/>
          <w:szCs w:val="20"/>
          <w:lang w:val="es-419" w:eastAsia="en-US"/>
        </w:rPr>
        <w:t xml:space="preserve">En </w:t>
      </w:r>
      <w:r w:rsidR="003B2E20" w:rsidRPr="00116A43">
        <w:rPr>
          <w:rFonts w:eastAsia="Arial Unicode MS" w:cs="Times New Roman"/>
          <w:sz w:val="20"/>
          <w:szCs w:val="20"/>
          <w:lang w:val="es-419" w:eastAsia="en-US"/>
        </w:rPr>
        <w:t xml:space="preserve">el </w:t>
      </w:r>
      <w:r w:rsidRPr="00116A43">
        <w:rPr>
          <w:rFonts w:eastAsia="Arial Unicode MS" w:cs="Times New Roman"/>
          <w:sz w:val="20"/>
          <w:szCs w:val="20"/>
          <w:lang w:val="es-419" w:eastAsia="en-US"/>
        </w:rPr>
        <w:t xml:space="preserve">2008, </w:t>
      </w:r>
      <w:r w:rsidR="003B2E20" w:rsidRPr="00116A43">
        <w:rPr>
          <w:rFonts w:eastAsia="Arial Unicode MS" w:cs="Times New Roman"/>
          <w:sz w:val="20"/>
          <w:szCs w:val="20"/>
          <w:lang w:val="es-419" w:eastAsia="en-US"/>
        </w:rPr>
        <w:t xml:space="preserve">a </w:t>
      </w:r>
      <w:r w:rsidRPr="00116A43">
        <w:rPr>
          <w:sz w:val="20"/>
          <w:szCs w:val="20"/>
          <w:lang w:val="es-419"/>
        </w:rPr>
        <w:t xml:space="preserve">pesar de que la CIDH </w:t>
      </w:r>
      <w:r w:rsidR="00EA2445" w:rsidRPr="00116A43">
        <w:rPr>
          <w:sz w:val="20"/>
          <w:szCs w:val="20"/>
          <w:lang w:val="es-419"/>
        </w:rPr>
        <w:t>destacó</w:t>
      </w:r>
      <w:r w:rsidRPr="00116A43">
        <w:rPr>
          <w:sz w:val="20"/>
          <w:szCs w:val="20"/>
          <w:lang w:val="es-419"/>
        </w:rPr>
        <w:t xml:space="preserve"> avances </w:t>
      </w:r>
      <w:r w:rsidR="00EA2445" w:rsidRPr="00116A43">
        <w:rPr>
          <w:sz w:val="20"/>
          <w:szCs w:val="20"/>
          <w:lang w:val="es-419"/>
        </w:rPr>
        <w:t xml:space="preserve">durante ese </w:t>
      </w:r>
      <w:r w:rsidRPr="00116A43">
        <w:rPr>
          <w:sz w:val="20"/>
          <w:szCs w:val="20"/>
          <w:lang w:val="es-419"/>
        </w:rPr>
        <w:t xml:space="preserve">año </w:t>
      </w:r>
      <w:r w:rsidR="00EA2445" w:rsidRPr="00116A43">
        <w:rPr>
          <w:sz w:val="20"/>
          <w:szCs w:val="20"/>
          <w:lang w:val="es-419"/>
        </w:rPr>
        <w:t xml:space="preserve">referentes al acceso de </w:t>
      </w:r>
      <w:r w:rsidRPr="00116A43">
        <w:rPr>
          <w:sz w:val="20"/>
          <w:szCs w:val="20"/>
          <w:lang w:val="es-419"/>
        </w:rPr>
        <w:t xml:space="preserve">la población </w:t>
      </w:r>
      <w:r w:rsidR="00EA2445" w:rsidRPr="00116A43">
        <w:rPr>
          <w:sz w:val="20"/>
          <w:szCs w:val="20"/>
          <w:lang w:val="es-419"/>
        </w:rPr>
        <w:t>al</w:t>
      </w:r>
      <w:r w:rsidRPr="00116A43">
        <w:rPr>
          <w:sz w:val="20"/>
          <w:szCs w:val="20"/>
          <w:lang w:val="es-419"/>
        </w:rPr>
        <w:t xml:space="preserve"> internet, su Relatoría para Libertad de Expresión, resaltó que “se presentaron problemas para acceder a los blogs de la plataforma desdecuba.com, entre los que figura </w:t>
      </w:r>
      <w:r w:rsidR="00A13E9A" w:rsidRPr="00116A43">
        <w:rPr>
          <w:sz w:val="20"/>
          <w:szCs w:val="20"/>
          <w:lang w:val="es-419"/>
        </w:rPr>
        <w:t>“</w:t>
      </w:r>
      <w:r w:rsidRPr="00116A43">
        <w:rPr>
          <w:sz w:val="20"/>
          <w:szCs w:val="20"/>
          <w:lang w:val="es-419"/>
        </w:rPr>
        <w:t>Generación Y</w:t>
      </w:r>
      <w:r w:rsidR="00A13E9A" w:rsidRPr="00116A43">
        <w:rPr>
          <w:sz w:val="20"/>
          <w:szCs w:val="20"/>
          <w:lang w:val="es-419"/>
        </w:rPr>
        <w:t>”</w:t>
      </w:r>
      <w:r w:rsidRPr="00116A43">
        <w:rPr>
          <w:sz w:val="20"/>
          <w:szCs w:val="20"/>
          <w:lang w:val="es-419"/>
        </w:rPr>
        <w:t xml:space="preserve"> de Yoani Sánchez, uno de los más populares del país”</w:t>
      </w:r>
      <w:r w:rsidRPr="00116A43">
        <w:rPr>
          <w:rStyle w:val="FootnoteReference"/>
          <w:sz w:val="20"/>
          <w:szCs w:val="20"/>
          <w:lang w:val="es-419"/>
        </w:rPr>
        <w:footnoteReference w:id="41"/>
      </w:r>
      <w:r w:rsidRPr="00116A43">
        <w:rPr>
          <w:sz w:val="20"/>
          <w:szCs w:val="20"/>
          <w:lang w:val="es-419"/>
        </w:rPr>
        <w:t xml:space="preserve">. Asimismo, la </w:t>
      </w:r>
      <w:r w:rsidR="00561535" w:rsidRPr="00116A43">
        <w:rPr>
          <w:sz w:val="20"/>
          <w:szCs w:val="20"/>
          <w:lang w:val="es-419"/>
        </w:rPr>
        <w:t>R</w:t>
      </w:r>
      <w:r w:rsidRPr="00116A43">
        <w:rPr>
          <w:sz w:val="20"/>
          <w:szCs w:val="20"/>
          <w:lang w:val="es-419"/>
        </w:rPr>
        <w:t>elatoría señaló que “se registraron hechos de intimidación y hostigamiento a periodistas por parte de funcionarios policiales”</w:t>
      </w:r>
      <w:r w:rsidRPr="00116A43">
        <w:rPr>
          <w:rStyle w:val="FootnoteReference"/>
          <w:sz w:val="20"/>
          <w:szCs w:val="20"/>
          <w:lang w:val="es-419"/>
        </w:rPr>
        <w:footnoteReference w:id="42"/>
      </w:r>
      <w:r w:rsidRPr="00116A43">
        <w:rPr>
          <w:sz w:val="20"/>
          <w:szCs w:val="20"/>
          <w:lang w:val="es-419"/>
        </w:rPr>
        <w:t>, que continuaban “las acciones encaminadas a reprimir manifestaciones sociales”</w:t>
      </w:r>
      <w:r w:rsidRPr="00116A43">
        <w:rPr>
          <w:rStyle w:val="FootnoteReference"/>
          <w:sz w:val="20"/>
          <w:szCs w:val="20"/>
          <w:lang w:val="es-419"/>
        </w:rPr>
        <w:footnoteReference w:id="43"/>
      </w:r>
      <w:r w:rsidRPr="00116A43">
        <w:rPr>
          <w:sz w:val="20"/>
          <w:szCs w:val="20"/>
          <w:lang w:val="es-419"/>
        </w:rPr>
        <w:t xml:space="preserve"> y que Cuba era “el país con mayor número de periodistas presos en la región”</w:t>
      </w:r>
      <w:r w:rsidRPr="00116A43">
        <w:rPr>
          <w:rStyle w:val="FootnoteReference"/>
          <w:sz w:val="20"/>
          <w:szCs w:val="20"/>
          <w:lang w:val="es-419"/>
        </w:rPr>
        <w:footnoteReference w:id="44"/>
      </w:r>
      <w:r w:rsidR="00470318" w:rsidRPr="00116A43">
        <w:rPr>
          <w:sz w:val="20"/>
          <w:szCs w:val="20"/>
          <w:lang w:val="es-419"/>
        </w:rPr>
        <w:t>.</w:t>
      </w:r>
    </w:p>
    <w:p w14:paraId="6A83419B" w14:textId="77777777" w:rsidR="0082242B" w:rsidRPr="00116A43" w:rsidRDefault="0082242B" w:rsidP="00375047">
      <w:pPr>
        <w:pStyle w:val="ListParagraph"/>
        <w:suppressAutoHyphens/>
        <w:ind w:left="0"/>
        <w:jc w:val="both"/>
        <w:rPr>
          <w:color w:val="auto"/>
          <w:sz w:val="20"/>
          <w:szCs w:val="20"/>
          <w:lang w:val="es-419"/>
        </w:rPr>
      </w:pPr>
    </w:p>
    <w:p w14:paraId="2F3D8913" w14:textId="2DAB35A8" w:rsidR="00FE05C7" w:rsidRPr="00116A43" w:rsidRDefault="0082242B" w:rsidP="00375047">
      <w:pPr>
        <w:pStyle w:val="ListParagraph"/>
        <w:numPr>
          <w:ilvl w:val="0"/>
          <w:numId w:val="55"/>
        </w:numPr>
        <w:suppressAutoHyphens/>
        <w:ind w:firstLine="0"/>
        <w:jc w:val="both"/>
        <w:rPr>
          <w:color w:val="auto"/>
          <w:sz w:val="20"/>
          <w:szCs w:val="20"/>
          <w:lang w:val="es-419"/>
        </w:rPr>
      </w:pPr>
      <w:r>
        <w:rPr>
          <w:color w:val="auto"/>
          <w:sz w:val="20"/>
          <w:szCs w:val="20"/>
          <w:lang w:val="es-419"/>
        </w:rPr>
        <w:t xml:space="preserve">Asimismo, </w:t>
      </w:r>
      <w:r w:rsidR="00FE05C7" w:rsidRPr="00116A43">
        <w:rPr>
          <w:sz w:val="20"/>
          <w:szCs w:val="20"/>
          <w:lang w:val="es-419"/>
        </w:rPr>
        <w:t xml:space="preserve">el informe de la Relatoría Especial para la Libertad de Expresión de 2009, </w:t>
      </w:r>
      <w:r>
        <w:rPr>
          <w:sz w:val="20"/>
          <w:szCs w:val="20"/>
          <w:lang w:val="es-419"/>
        </w:rPr>
        <w:t xml:space="preserve">constató </w:t>
      </w:r>
      <w:r w:rsidR="00FE05C7" w:rsidRPr="00116A43">
        <w:rPr>
          <w:sz w:val="20"/>
          <w:szCs w:val="20"/>
          <w:lang w:val="es-419"/>
        </w:rPr>
        <w:t>que “algunos periodistas que no apoyaban al gobierno cubano habrían sido objeto de amenazas y golpe</w:t>
      </w:r>
      <w:r w:rsidR="00561535" w:rsidRPr="00116A43">
        <w:rPr>
          <w:sz w:val="20"/>
          <w:szCs w:val="20"/>
          <w:lang w:val="es-419"/>
        </w:rPr>
        <w:t>s</w:t>
      </w:r>
      <w:r w:rsidR="00FE05C7" w:rsidRPr="00116A43">
        <w:rPr>
          <w:sz w:val="20"/>
          <w:szCs w:val="20"/>
          <w:lang w:val="es-419"/>
        </w:rPr>
        <w:t xml:space="preserve"> por parte de las fuerzas de seguridad”</w:t>
      </w:r>
      <w:r w:rsidR="00FE05C7" w:rsidRPr="00116A43">
        <w:rPr>
          <w:rStyle w:val="FootnoteReference"/>
          <w:sz w:val="20"/>
          <w:szCs w:val="20"/>
          <w:lang w:val="es-419"/>
        </w:rPr>
        <w:footnoteReference w:id="45"/>
      </w:r>
      <w:r w:rsidR="00FE05C7" w:rsidRPr="00116A43">
        <w:rPr>
          <w:sz w:val="20"/>
          <w:szCs w:val="20"/>
          <w:lang w:val="es-419"/>
        </w:rPr>
        <w:t xml:space="preserve">. El caso de Yoani Sánchez fue apuntado como </w:t>
      </w:r>
      <w:r w:rsidR="00FC0BCB">
        <w:rPr>
          <w:sz w:val="20"/>
          <w:szCs w:val="20"/>
          <w:lang w:val="es-419"/>
        </w:rPr>
        <w:t>uno de ellos</w:t>
      </w:r>
      <w:r w:rsidR="00FE05C7" w:rsidRPr="00116A43">
        <w:rPr>
          <w:rStyle w:val="FootnoteReference"/>
          <w:sz w:val="20"/>
          <w:szCs w:val="20"/>
          <w:lang w:val="es-419"/>
        </w:rPr>
        <w:footnoteReference w:id="46"/>
      </w:r>
      <w:r w:rsidR="00FE05C7" w:rsidRPr="00116A43">
        <w:rPr>
          <w:sz w:val="20"/>
          <w:szCs w:val="20"/>
          <w:lang w:val="es-419"/>
        </w:rPr>
        <w:t>.</w:t>
      </w:r>
    </w:p>
    <w:p w14:paraId="2F5D2D60" w14:textId="77777777" w:rsidR="00470318" w:rsidRPr="00116A43" w:rsidRDefault="00470318" w:rsidP="00375047">
      <w:pPr>
        <w:suppressAutoHyphens/>
        <w:jc w:val="both"/>
        <w:rPr>
          <w:sz w:val="20"/>
          <w:szCs w:val="20"/>
          <w:lang w:val="es-419"/>
        </w:rPr>
      </w:pPr>
    </w:p>
    <w:p w14:paraId="66C07B09" w14:textId="186AFD7C" w:rsidR="00FE05C7" w:rsidRPr="00116A43" w:rsidRDefault="00FE05C7" w:rsidP="00375047">
      <w:pPr>
        <w:pStyle w:val="ListParagraph"/>
        <w:numPr>
          <w:ilvl w:val="0"/>
          <w:numId w:val="55"/>
        </w:numPr>
        <w:suppressAutoHyphens/>
        <w:ind w:firstLine="0"/>
        <w:jc w:val="both"/>
        <w:rPr>
          <w:color w:val="auto"/>
          <w:sz w:val="20"/>
          <w:szCs w:val="20"/>
          <w:lang w:val="es-419"/>
        </w:rPr>
      </w:pPr>
      <w:r w:rsidRPr="00116A43">
        <w:rPr>
          <w:sz w:val="20"/>
          <w:szCs w:val="20"/>
          <w:lang w:val="es-419"/>
        </w:rPr>
        <w:t xml:space="preserve">En </w:t>
      </w:r>
      <w:r w:rsidR="00A6559C" w:rsidRPr="00116A43">
        <w:rPr>
          <w:sz w:val="20"/>
          <w:szCs w:val="20"/>
          <w:lang w:val="es-419"/>
        </w:rPr>
        <w:t xml:space="preserve">el </w:t>
      </w:r>
      <w:r w:rsidRPr="00116A43">
        <w:rPr>
          <w:sz w:val="20"/>
          <w:szCs w:val="20"/>
          <w:lang w:val="es-419"/>
        </w:rPr>
        <w:t xml:space="preserve">2010, </w:t>
      </w:r>
      <w:r w:rsidRPr="00116A43">
        <w:rPr>
          <w:sz w:val="20"/>
          <w:szCs w:val="20"/>
          <w:lang w:val="es-ES"/>
        </w:rPr>
        <w:t>la CIDH identificó que en Cuba había una “táctica de represión política sobre la base de arrestos sistemáticos por varias horas o pocos días, amenazas, actos de repudio y otras formas de hostigamiento contra los activistas de oposición”</w:t>
      </w:r>
      <w:r w:rsidRPr="00116A43">
        <w:rPr>
          <w:rStyle w:val="FootnoteReference"/>
          <w:sz w:val="20"/>
          <w:szCs w:val="20"/>
          <w:lang w:val="es-ES"/>
        </w:rPr>
        <w:footnoteReference w:id="47"/>
      </w:r>
      <w:r w:rsidRPr="00116A43">
        <w:rPr>
          <w:sz w:val="20"/>
          <w:szCs w:val="20"/>
          <w:lang w:val="es-ES"/>
        </w:rPr>
        <w:t xml:space="preserve">. </w:t>
      </w:r>
      <w:r w:rsidR="00A6559C" w:rsidRPr="00116A43">
        <w:rPr>
          <w:sz w:val="20"/>
          <w:szCs w:val="20"/>
          <w:lang w:val="es-ES"/>
        </w:rPr>
        <w:t>E</w:t>
      </w:r>
      <w:r w:rsidRPr="00116A43">
        <w:rPr>
          <w:sz w:val="20"/>
          <w:szCs w:val="20"/>
          <w:lang w:val="es-ES"/>
        </w:rPr>
        <w:t xml:space="preserve">n </w:t>
      </w:r>
      <w:r w:rsidR="00A6559C" w:rsidRPr="00116A43">
        <w:rPr>
          <w:sz w:val="20"/>
          <w:szCs w:val="20"/>
          <w:lang w:val="es-ES"/>
        </w:rPr>
        <w:t xml:space="preserve">el </w:t>
      </w:r>
      <w:r w:rsidRPr="00116A43">
        <w:rPr>
          <w:sz w:val="20"/>
          <w:szCs w:val="20"/>
          <w:lang w:val="es-ES"/>
        </w:rPr>
        <w:t xml:space="preserve">2011, por medio de su Relatoría para la Libertad Expresión, la CIDH </w:t>
      </w:r>
      <w:r w:rsidR="0082242B">
        <w:rPr>
          <w:sz w:val="20"/>
          <w:szCs w:val="20"/>
          <w:lang w:val="es-ES"/>
        </w:rPr>
        <w:t xml:space="preserve">constató </w:t>
      </w:r>
      <w:r w:rsidRPr="00116A43">
        <w:rPr>
          <w:sz w:val="20"/>
          <w:szCs w:val="20"/>
          <w:lang w:val="es-ES"/>
        </w:rPr>
        <w:t>“la agudización de detenciones y hostigamiento contra activistas políticos y de derechos humanos”</w:t>
      </w:r>
      <w:r w:rsidRPr="00116A43">
        <w:rPr>
          <w:rStyle w:val="FootnoteReference"/>
          <w:sz w:val="20"/>
          <w:szCs w:val="20"/>
          <w:lang w:val="es-ES"/>
        </w:rPr>
        <w:footnoteReference w:id="48"/>
      </w:r>
      <w:r w:rsidRPr="00116A43">
        <w:rPr>
          <w:sz w:val="20"/>
          <w:szCs w:val="20"/>
          <w:lang w:val="es-ES"/>
        </w:rPr>
        <w:t>.</w:t>
      </w:r>
    </w:p>
    <w:p w14:paraId="27B8B4AF" w14:textId="77777777" w:rsidR="00470318" w:rsidRPr="00116A43" w:rsidRDefault="00470318" w:rsidP="00375047">
      <w:pPr>
        <w:suppressAutoHyphens/>
        <w:jc w:val="both"/>
        <w:rPr>
          <w:sz w:val="20"/>
          <w:szCs w:val="20"/>
          <w:lang w:val="es-419"/>
        </w:rPr>
      </w:pPr>
    </w:p>
    <w:p w14:paraId="013D0002" w14:textId="5B8B2A41" w:rsidR="00FE05C7"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color w:val="auto"/>
          <w:sz w:val="20"/>
          <w:szCs w:val="20"/>
          <w:lang w:val="es-PE"/>
        </w:rPr>
        <w:t xml:space="preserve">En </w:t>
      </w:r>
      <w:r w:rsidR="00D76CC9" w:rsidRPr="00116A43">
        <w:rPr>
          <w:color w:val="auto"/>
          <w:sz w:val="20"/>
          <w:szCs w:val="20"/>
          <w:lang w:val="es-PE"/>
        </w:rPr>
        <w:t xml:space="preserve">el </w:t>
      </w:r>
      <w:r w:rsidRPr="00116A43">
        <w:rPr>
          <w:color w:val="auto"/>
          <w:sz w:val="20"/>
          <w:szCs w:val="20"/>
          <w:lang w:val="es-PE"/>
        </w:rPr>
        <w:t xml:space="preserve">2012, la Comisión </w:t>
      </w:r>
      <w:r w:rsidR="0082242B">
        <w:rPr>
          <w:color w:val="auto"/>
          <w:sz w:val="20"/>
          <w:szCs w:val="20"/>
          <w:lang w:val="es-PE"/>
        </w:rPr>
        <w:t>identificó</w:t>
      </w:r>
      <w:r w:rsidRPr="00116A43">
        <w:rPr>
          <w:color w:val="auto"/>
          <w:sz w:val="20"/>
          <w:szCs w:val="20"/>
          <w:lang w:val="es-PE"/>
        </w:rPr>
        <w:t xml:space="preserve"> “</w:t>
      </w:r>
      <w:r w:rsidRPr="00116A43">
        <w:rPr>
          <w:rFonts w:cs="Tahoma"/>
          <w:color w:val="auto"/>
          <w:sz w:val="20"/>
          <w:szCs w:val="20"/>
          <w:shd w:val="clear" w:color="auto" w:fill="FFFFFF"/>
          <w:lang w:val="es-PE"/>
        </w:rPr>
        <w:t>la persistencia de la práctica de detenciones arbitrarias temporales, que se prolongan horas o pocos días, contra personas identificadas como opositores del régimen, para evitar que participen en actividades políticas o como respuesta a manifestaciones o circulación de mensajes críticos al Gobierno”</w:t>
      </w:r>
      <w:r w:rsidRPr="00116A43">
        <w:rPr>
          <w:rStyle w:val="FootnoteReference"/>
          <w:rFonts w:cs="Tahoma"/>
          <w:color w:val="auto"/>
          <w:sz w:val="20"/>
          <w:szCs w:val="20"/>
          <w:shd w:val="clear" w:color="auto" w:fill="FFFFFF"/>
          <w:lang w:val="es-PE"/>
        </w:rPr>
        <w:footnoteReference w:id="49"/>
      </w:r>
      <w:r w:rsidRPr="00116A43">
        <w:rPr>
          <w:rFonts w:cs="Tahoma"/>
          <w:color w:val="auto"/>
          <w:sz w:val="20"/>
          <w:szCs w:val="20"/>
          <w:shd w:val="clear" w:color="auto" w:fill="FFFFFF"/>
          <w:lang w:val="es-PE"/>
        </w:rPr>
        <w:t xml:space="preserve">. </w:t>
      </w:r>
    </w:p>
    <w:p w14:paraId="7140A3E4" w14:textId="77777777" w:rsidR="00470318" w:rsidRPr="00116A43" w:rsidRDefault="00470318" w:rsidP="00375047">
      <w:pPr>
        <w:suppressAutoHyphens/>
        <w:jc w:val="both"/>
        <w:rPr>
          <w:rFonts w:cs="Tahoma"/>
          <w:bCs/>
          <w:sz w:val="20"/>
          <w:szCs w:val="20"/>
          <w:lang w:val="es-UY"/>
        </w:rPr>
      </w:pPr>
    </w:p>
    <w:p w14:paraId="1C360A3F" w14:textId="4F348ADF" w:rsidR="00FE05C7"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rFonts w:cs="Tahoma"/>
          <w:color w:val="auto"/>
          <w:sz w:val="20"/>
          <w:szCs w:val="20"/>
          <w:shd w:val="clear" w:color="auto" w:fill="FFFFFF"/>
          <w:lang w:val="es-PE"/>
        </w:rPr>
        <w:t>En el Informe Anual de este mismo año, la CIDH apuntó que estos registros hacían parte de un arquetipo de Cuba. Para la CIDH, “</w:t>
      </w:r>
      <w:r w:rsidRPr="00116A43">
        <w:rPr>
          <w:sz w:val="20"/>
          <w:szCs w:val="20"/>
          <w:lang w:val="es-ES_tradnl"/>
        </w:rPr>
        <w:t>las restricciones a los derechos políticos, de asociación, a la libertad de expresión y de difusión del pensamiento, la falta de elecciones, la falta de independencia del poder judicial y las restricciones a la libertad de movimiento, han conformado durante décadas una situación permanente y sistemática de vulneración de los derechos humanos de los habitantes en Cuba”</w:t>
      </w:r>
      <w:r w:rsidRPr="00116A43">
        <w:rPr>
          <w:rStyle w:val="FootnoteReference"/>
          <w:sz w:val="20"/>
          <w:szCs w:val="20"/>
          <w:lang w:val="es-ES_tradnl"/>
        </w:rPr>
        <w:footnoteReference w:id="50"/>
      </w:r>
      <w:r w:rsidRPr="00116A43">
        <w:rPr>
          <w:sz w:val="20"/>
          <w:szCs w:val="20"/>
          <w:lang w:val="es-ES_tradnl"/>
        </w:rPr>
        <w:t xml:space="preserve">. </w:t>
      </w:r>
    </w:p>
    <w:p w14:paraId="2DC06F2B" w14:textId="77777777" w:rsidR="00470318" w:rsidRPr="00116A43" w:rsidRDefault="00470318" w:rsidP="00375047">
      <w:pPr>
        <w:suppressAutoHyphens/>
        <w:jc w:val="both"/>
        <w:rPr>
          <w:rFonts w:cs="Tahoma"/>
          <w:bCs/>
          <w:sz w:val="20"/>
          <w:szCs w:val="20"/>
          <w:lang w:val="es-UY"/>
        </w:rPr>
      </w:pPr>
    </w:p>
    <w:p w14:paraId="6033CB3B" w14:textId="64F760D0" w:rsidR="00FE05C7"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sz w:val="20"/>
          <w:szCs w:val="20"/>
          <w:lang w:val="es-PE"/>
        </w:rPr>
        <w:t>Igualmente, en su Informe Anual de 2013, la CIDH identificó la continuación de detenciones, agresiones y amenazas contra periodistas, opositores y manifestantes, además de censura o decomiso de material periodístico</w:t>
      </w:r>
      <w:r w:rsidRPr="00116A43">
        <w:rPr>
          <w:rStyle w:val="FootnoteReference"/>
          <w:sz w:val="20"/>
          <w:szCs w:val="20"/>
          <w:lang w:val="es-PE"/>
        </w:rPr>
        <w:footnoteReference w:id="51"/>
      </w:r>
      <w:r w:rsidRPr="00116A43">
        <w:rPr>
          <w:sz w:val="20"/>
          <w:szCs w:val="20"/>
          <w:lang w:val="es-PE"/>
        </w:rPr>
        <w:t xml:space="preserve">. A vista de eso, recomendó que Cuba </w:t>
      </w:r>
      <w:r w:rsidR="00CC75F5">
        <w:rPr>
          <w:sz w:val="20"/>
          <w:szCs w:val="20"/>
          <w:lang w:val="es-PE"/>
        </w:rPr>
        <w:t>realizara</w:t>
      </w:r>
      <w:r w:rsidRPr="00116A43">
        <w:rPr>
          <w:sz w:val="20"/>
          <w:szCs w:val="20"/>
          <w:lang w:val="es-PE"/>
        </w:rPr>
        <w:t xml:space="preserve"> “investigaciones serias, imparciales y efectivas sobre las agresiones, amenazas y actos de intimidación cometidos contra periodistas y trabajadores de medios de comunicación social”</w:t>
      </w:r>
      <w:r w:rsidRPr="00116A43">
        <w:rPr>
          <w:rStyle w:val="FootnoteReference"/>
          <w:sz w:val="20"/>
          <w:szCs w:val="20"/>
          <w:lang w:val="es-PE"/>
        </w:rPr>
        <w:footnoteReference w:id="52"/>
      </w:r>
      <w:r w:rsidRPr="00116A43">
        <w:rPr>
          <w:sz w:val="20"/>
          <w:szCs w:val="20"/>
          <w:lang w:val="es-PE"/>
        </w:rPr>
        <w:t xml:space="preserve">. </w:t>
      </w:r>
    </w:p>
    <w:p w14:paraId="59EC7632" w14:textId="77777777" w:rsidR="00470318" w:rsidRPr="00116A43" w:rsidRDefault="00470318" w:rsidP="00375047">
      <w:pPr>
        <w:suppressAutoHyphens/>
        <w:jc w:val="both"/>
        <w:rPr>
          <w:rFonts w:cs="Tahoma"/>
          <w:bCs/>
          <w:sz w:val="20"/>
          <w:szCs w:val="20"/>
          <w:lang w:val="es-UY"/>
        </w:rPr>
      </w:pPr>
    </w:p>
    <w:p w14:paraId="03BB939C" w14:textId="20C23C2E" w:rsidR="00BF5220"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sz w:val="20"/>
          <w:szCs w:val="20"/>
          <w:lang w:val="es-PE"/>
        </w:rPr>
        <w:t xml:space="preserve">En </w:t>
      </w:r>
      <w:r w:rsidR="007E60BE" w:rsidRPr="00116A43">
        <w:rPr>
          <w:sz w:val="20"/>
          <w:szCs w:val="20"/>
          <w:lang w:val="es-PE"/>
        </w:rPr>
        <w:t xml:space="preserve">el </w:t>
      </w:r>
      <w:r w:rsidRPr="00116A43">
        <w:rPr>
          <w:sz w:val="20"/>
          <w:szCs w:val="20"/>
          <w:lang w:val="es-PE"/>
        </w:rPr>
        <w:t>2014, la CIDH realizó una audiencia sobre la “</w:t>
      </w:r>
      <w:r w:rsidR="000B5E1C" w:rsidRPr="00116A43">
        <w:rPr>
          <w:sz w:val="20"/>
          <w:szCs w:val="20"/>
          <w:lang w:val="es-PE"/>
        </w:rPr>
        <w:t>s</w:t>
      </w:r>
      <w:r w:rsidRPr="00116A43">
        <w:rPr>
          <w:sz w:val="20"/>
          <w:szCs w:val="20"/>
          <w:lang w:val="es-PE"/>
        </w:rPr>
        <w:t xml:space="preserve">ituación de </w:t>
      </w:r>
      <w:r w:rsidR="000B5E1C" w:rsidRPr="00116A43">
        <w:rPr>
          <w:sz w:val="20"/>
          <w:szCs w:val="20"/>
          <w:lang w:val="es-PE"/>
        </w:rPr>
        <w:t>d</w:t>
      </w:r>
      <w:r w:rsidRPr="00116A43">
        <w:rPr>
          <w:sz w:val="20"/>
          <w:szCs w:val="20"/>
          <w:lang w:val="es-PE"/>
        </w:rPr>
        <w:t xml:space="preserve">erechos </w:t>
      </w:r>
      <w:r w:rsidR="000B5E1C" w:rsidRPr="00116A43">
        <w:rPr>
          <w:sz w:val="20"/>
          <w:szCs w:val="20"/>
          <w:lang w:val="es-PE"/>
        </w:rPr>
        <w:t>h</w:t>
      </w:r>
      <w:r w:rsidRPr="00116A43">
        <w:rPr>
          <w:sz w:val="20"/>
          <w:szCs w:val="20"/>
          <w:lang w:val="es-PE"/>
        </w:rPr>
        <w:t xml:space="preserve">umanos de los </w:t>
      </w:r>
      <w:r w:rsidR="000B5E1C" w:rsidRPr="00116A43">
        <w:rPr>
          <w:sz w:val="20"/>
          <w:szCs w:val="20"/>
          <w:lang w:val="es-PE"/>
        </w:rPr>
        <w:t>p</w:t>
      </w:r>
      <w:r w:rsidRPr="00116A43">
        <w:rPr>
          <w:sz w:val="20"/>
          <w:szCs w:val="20"/>
          <w:lang w:val="es-PE"/>
        </w:rPr>
        <w:t>eriodista</w:t>
      </w:r>
      <w:r w:rsidR="00041311" w:rsidRPr="00116A43">
        <w:rPr>
          <w:sz w:val="20"/>
          <w:szCs w:val="20"/>
          <w:lang w:val="es-PE"/>
        </w:rPr>
        <w:t>s</w:t>
      </w:r>
      <w:r w:rsidRPr="00116A43">
        <w:rPr>
          <w:sz w:val="20"/>
          <w:szCs w:val="20"/>
          <w:lang w:val="es-PE"/>
        </w:rPr>
        <w:t xml:space="preserve"> en </w:t>
      </w:r>
      <w:r w:rsidR="000B5E1C" w:rsidRPr="00116A43">
        <w:rPr>
          <w:sz w:val="20"/>
          <w:szCs w:val="20"/>
          <w:lang w:val="es-PE"/>
        </w:rPr>
        <w:t>C</w:t>
      </w:r>
      <w:r w:rsidRPr="00116A43">
        <w:rPr>
          <w:sz w:val="20"/>
          <w:szCs w:val="20"/>
          <w:lang w:val="es-PE"/>
        </w:rPr>
        <w:t>uba”. En esta</w:t>
      </w:r>
      <w:r w:rsidR="00BF5220" w:rsidRPr="00116A43">
        <w:rPr>
          <w:sz w:val="20"/>
          <w:szCs w:val="20"/>
          <w:lang w:val="es-PE"/>
        </w:rPr>
        <w:t xml:space="preserve"> l</w:t>
      </w:r>
      <w:r w:rsidRPr="00116A43">
        <w:rPr>
          <w:sz w:val="20"/>
          <w:szCs w:val="20"/>
          <w:lang w:val="es-PE"/>
        </w:rPr>
        <w:t>a Comisión recibió información sobre las constantes afectaciones del derecho a la libertad de expresión, asociación y libertad de circulación de los periodistas independientes en este país. Lo anterior se manifiesta en detenciones arbitrarias, agresiones, persecuciones, hostigamientos, vigilancia, incautación de equipos de trabajo y amenazas por parte de agentes estatal</w:t>
      </w:r>
      <w:r w:rsidR="00CC75F5">
        <w:rPr>
          <w:sz w:val="20"/>
          <w:szCs w:val="20"/>
          <w:lang w:val="es-PE"/>
        </w:rPr>
        <w:t>es</w:t>
      </w:r>
      <w:r w:rsidRPr="00116A43">
        <w:rPr>
          <w:sz w:val="20"/>
          <w:szCs w:val="20"/>
          <w:lang w:val="es-PE"/>
        </w:rPr>
        <w:t>. En este sentido, los peticionarios señalaron que</w:t>
      </w:r>
      <w:r w:rsidR="00041311" w:rsidRPr="00116A43">
        <w:rPr>
          <w:sz w:val="20"/>
          <w:szCs w:val="20"/>
          <w:lang w:val="es-PE"/>
        </w:rPr>
        <w:t>,</w:t>
      </w:r>
      <w:r w:rsidRPr="00116A43">
        <w:rPr>
          <w:sz w:val="20"/>
          <w:szCs w:val="20"/>
          <w:lang w:val="es-PE"/>
        </w:rPr>
        <w:t xml:space="preserve"> en los primeros meses del año, las autoridades habrían detenido a 1817 miembros de la sociedad civil de los </w:t>
      </w:r>
      <w:r w:rsidRPr="00116A43">
        <w:rPr>
          <w:sz w:val="20"/>
          <w:szCs w:val="20"/>
          <w:lang w:val="es-PE"/>
        </w:rPr>
        <w:lastRenderedPageBreak/>
        <w:t>cual</w:t>
      </w:r>
      <w:r w:rsidR="00041311" w:rsidRPr="00116A43">
        <w:rPr>
          <w:sz w:val="20"/>
          <w:szCs w:val="20"/>
          <w:lang w:val="es-PE"/>
        </w:rPr>
        <w:t>es</w:t>
      </w:r>
      <w:r w:rsidRPr="00116A43">
        <w:rPr>
          <w:sz w:val="20"/>
          <w:szCs w:val="20"/>
          <w:lang w:val="es-PE"/>
        </w:rPr>
        <w:t xml:space="preserve"> 31 eran periodistas independientes. Asimismo, señalaron que</w:t>
      </w:r>
      <w:r w:rsidR="00041311" w:rsidRPr="00116A43">
        <w:rPr>
          <w:sz w:val="20"/>
          <w:szCs w:val="20"/>
          <w:lang w:val="es-PE"/>
        </w:rPr>
        <w:t>,</w:t>
      </w:r>
      <w:r w:rsidRPr="00116A43">
        <w:rPr>
          <w:sz w:val="20"/>
          <w:szCs w:val="20"/>
          <w:lang w:val="es-PE"/>
        </w:rPr>
        <w:t xml:space="preserve"> para ese momento, habría en el país al menos 68 activistas de derechos humanos en prisión, tres de ellos periodistas, cuyas detenciones tenían relación con haberse expresado libremente</w:t>
      </w:r>
      <w:r w:rsidRPr="00116A43">
        <w:rPr>
          <w:rStyle w:val="FootnoteReference"/>
          <w:sz w:val="20"/>
          <w:szCs w:val="20"/>
          <w:lang w:val="es-PE"/>
        </w:rPr>
        <w:footnoteReference w:id="53"/>
      </w:r>
      <w:r w:rsidRPr="00116A43">
        <w:rPr>
          <w:sz w:val="20"/>
          <w:szCs w:val="20"/>
          <w:lang w:val="es-PE"/>
        </w:rPr>
        <w:t>.</w:t>
      </w:r>
    </w:p>
    <w:p w14:paraId="2D0AEB73" w14:textId="77777777" w:rsidR="00BF5220" w:rsidRPr="00116A43" w:rsidRDefault="00BF5220" w:rsidP="00375047">
      <w:pPr>
        <w:pStyle w:val="ListParagraph"/>
        <w:suppressAutoHyphens/>
        <w:ind w:left="0"/>
        <w:jc w:val="both"/>
        <w:rPr>
          <w:rFonts w:cs="Tahoma"/>
          <w:bCs/>
          <w:color w:val="auto"/>
          <w:sz w:val="20"/>
          <w:szCs w:val="20"/>
          <w:lang w:val="es-UY"/>
        </w:rPr>
      </w:pPr>
    </w:p>
    <w:p w14:paraId="7A6A0EBF" w14:textId="381D7F8D" w:rsidR="00FE05C7"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rFonts w:cs="Tahoma"/>
          <w:bCs/>
          <w:color w:val="auto"/>
          <w:sz w:val="20"/>
          <w:szCs w:val="20"/>
          <w:lang w:val="es-UY"/>
        </w:rPr>
        <w:t xml:space="preserve">La ausencia de independencia de los órganos del </w:t>
      </w:r>
      <w:r w:rsidR="003B7E4A" w:rsidRPr="00116A43">
        <w:rPr>
          <w:rFonts w:cs="Tahoma"/>
          <w:bCs/>
          <w:color w:val="auto"/>
          <w:sz w:val="20"/>
          <w:szCs w:val="20"/>
          <w:lang w:val="es-UY"/>
        </w:rPr>
        <w:t>P</w:t>
      </w:r>
      <w:r w:rsidRPr="00116A43">
        <w:rPr>
          <w:rFonts w:cs="Tahoma"/>
          <w:bCs/>
          <w:color w:val="auto"/>
          <w:sz w:val="20"/>
          <w:szCs w:val="20"/>
          <w:lang w:val="es-UY"/>
        </w:rPr>
        <w:t xml:space="preserve">oder </w:t>
      </w:r>
      <w:r w:rsidR="003B7E4A" w:rsidRPr="00116A43">
        <w:rPr>
          <w:rFonts w:cs="Tahoma"/>
          <w:bCs/>
          <w:color w:val="auto"/>
          <w:sz w:val="20"/>
          <w:szCs w:val="20"/>
          <w:lang w:val="es-UY"/>
        </w:rPr>
        <w:t>J</w:t>
      </w:r>
      <w:r w:rsidRPr="00116A43">
        <w:rPr>
          <w:rFonts w:cs="Tahoma"/>
          <w:bCs/>
          <w:color w:val="auto"/>
          <w:sz w:val="20"/>
          <w:szCs w:val="20"/>
          <w:lang w:val="es-UY"/>
        </w:rPr>
        <w:t>udicial y de investigación en Cuba dan aún más oportunidades para los ataques contra la libertad de expresión.</w:t>
      </w:r>
      <w:r w:rsidR="007130B8" w:rsidRPr="00116A43">
        <w:rPr>
          <w:rFonts w:cs="Tahoma"/>
          <w:bCs/>
          <w:color w:val="auto"/>
          <w:sz w:val="20"/>
          <w:szCs w:val="20"/>
          <w:lang w:val="es-UY"/>
        </w:rPr>
        <w:t xml:space="preserve"> </w:t>
      </w:r>
      <w:r w:rsidR="0082242B">
        <w:rPr>
          <w:rFonts w:cs="Tahoma"/>
          <w:bCs/>
          <w:color w:val="auto"/>
          <w:sz w:val="20"/>
          <w:szCs w:val="20"/>
          <w:lang w:val="es-UY"/>
        </w:rPr>
        <w:t>R</w:t>
      </w:r>
      <w:r w:rsidR="0082242B" w:rsidRPr="00116A43">
        <w:rPr>
          <w:rFonts w:cs="Tahoma"/>
          <w:bCs/>
          <w:color w:val="auto"/>
          <w:sz w:val="20"/>
          <w:szCs w:val="20"/>
          <w:lang w:val="es-UY"/>
        </w:rPr>
        <w:t>especto del funcionamiento de los tribunales en Cuba</w:t>
      </w:r>
      <w:r w:rsidR="0082242B">
        <w:rPr>
          <w:rFonts w:cs="Tahoma"/>
          <w:bCs/>
          <w:color w:val="auto"/>
          <w:sz w:val="20"/>
          <w:szCs w:val="20"/>
          <w:lang w:val="es-UY"/>
        </w:rPr>
        <w:t xml:space="preserve">, la CIDH </w:t>
      </w:r>
      <w:r w:rsidR="00067587">
        <w:rPr>
          <w:rFonts w:cs="Tahoma"/>
          <w:bCs/>
          <w:color w:val="auto"/>
          <w:sz w:val="20"/>
          <w:szCs w:val="20"/>
          <w:lang w:val="es-UY"/>
        </w:rPr>
        <w:t xml:space="preserve">señaló lo siguiente </w:t>
      </w:r>
      <w:r w:rsidR="0082242B">
        <w:rPr>
          <w:rFonts w:cs="Tahoma"/>
          <w:bCs/>
          <w:color w:val="auto"/>
          <w:sz w:val="20"/>
          <w:szCs w:val="20"/>
          <w:lang w:val="es-UY"/>
        </w:rPr>
        <w:t>e</w:t>
      </w:r>
      <w:r w:rsidRPr="00116A43">
        <w:rPr>
          <w:rFonts w:cs="Tahoma"/>
          <w:bCs/>
          <w:color w:val="auto"/>
          <w:sz w:val="20"/>
          <w:szCs w:val="20"/>
          <w:lang w:val="es-UY"/>
        </w:rPr>
        <w:t>n su Inform</w:t>
      </w:r>
      <w:r w:rsidR="00D46CE5" w:rsidRPr="00116A43">
        <w:rPr>
          <w:rFonts w:cs="Tahoma"/>
          <w:bCs/>
          <w:color w:val="auto"/>
          <w:sz w:val="20"/>
          <w:szCs w:val="20"/>
          <w:lang w:val="es-UY"/>
        </w:rPr>
        <w:t>e</w:t>
      </w:r>
      <w:r w:rsidRPr="00116A43">
        <w:rPr>
          <w:rFonts w:cs="Tahoma"/>
          <w:bCs/>
          <w:color w:val="auto"/>
          <w:sz w:val="20"/>
          <w:szCs w:val="20"/>
          <w:lang w:val="es-UY"/>
        </w:rPr>
        <w:t xml:space="preserve"> Anual de 2015: </w:t>
      </w:r>
    </w:p>
    <w:p w14:paraId="0FA312F0" w14:textId="77777777" w:rsidR="00BF5220" w:rsidRPr="00116A43" w:rsidRDefault="00BF5220" w:rsidP="00BF5220">
      <w:pPr>
        <w:pStyle w:val="ListParagraph"/>
        <w:autoSpaceDE w:val="0"/>
        <w:autoSpaceDN w:val="0"/>
        <w:adjustRightInd w:val="0"/>
        <w:ind w:right="288"/>
        <w:jc w:val="both"/>
        <w:rPr>
          <w:rFonts w:cs="Tahoma"/>
          <w:bCs/>
          <w:color w:val="auto"/>
          <w:sz w:val="20"/>
          <w:szCs w:val="20"/>
          <w:lang w:val="es-UY"/>
        </w:rPr>
      </w:pPr>
    </w:p>
    <w:p w14:paraId="51C4A6AD" w14:textId="4AB1398A" w:rsidR="00FE05C7" w:rsidRPr="00116A43" w:rsidRDefault="00FE05C7" w:rsidP="00577F2D">
      <w:pPr>
        <w:pStyle w:val="ListParagraph"/>
        <w:autoSpaceDE w:val="0"/>
        <w:autoSpaceDN w:val="0"/>
        <w:adjustRightInd w:val="0"/>
        <w:ind w:right="720"/>
        <w:jc w:val="both"/>
        <w:rPr>
          <w:color w:val="auto"/>
          <w:sz w:val="18"/>
          <w:szCs w:val="18"/>
          <w:lang w:val="es-PE"/>
        </w:rPr>
      </w:pPr>
      <w:r w:rsidRPr="00116A43">
        <w:rPr>
          <w:color w:val="auto"/>
          <w:sz w:val="18"/>
          <w:szCs w:val="18"/>
          <w:lang w:val="es-PE"/>
        </w:rPr>
        <w:t>En cuanto a la garantía judicial relativa a la independencia de los tribunales frente a los demás poderes públicos, la Comisión ya se ha referido al artículo 121 de la Constitución de Cuba, el que contempla que los tribunales constituyen un sistema de órganos estatales, estructurado con independencia funcional de cualquier otro y subordinado jerárquicamente a la Asamblea Nacional del Poder Popular y al Consejo de Estado. A juicio de la Comisión, la subordinación de los tribunales al Consejo de Estado, encabezado por el Jefe del Estado, representa una dependencia directa del Poder Judicial a las directrices del Poder Ejecutivo. La CIDH ha considerado que esta dependencia con el Poder Ejecutivo no ofrece un Poder Judicial independiente, que sea capaz de proporcionar garantías para el goce de los derechos humanos</w:t>
      </w:r>
      <w:r w:rsidRPr="00116A43">
        <w:rPr>
          <w:sz w:val="18"/>
          <w:szCs w:val="18"/>
          <w:vertAlign w:val="superscript"/>
          <w:lang w:val="es-PE"/>
        </w:rPr>
        <w:footnoteReference w:id="54"/>
      </w:r>
      <w:r w:rsidR="00844E76" w:rsidRPr="00116A43">
        <w:rPr>
          <w:color w:val="auto"/>
          <w:sz w:val="18"/>
          <w:szCs w:val="18"/>
          <w:lang w:val="es-PE"/>
        </w:rPr>
        <w:t>.</w:t>
      </w:r>
    </w:p>
    <w:p w14:paraId="500C9C4A" w14:textId="77777777" w:rsidR="00BF5220" w:rsidRPr="00116A43" w:rsidRDefault="00BF5220" w:rsidP="00810F85">
      <w:pPr>
        <w:pStyle w:val="ListParagraph"/>
        <w:autoSpaceDE w:val="0"/>
        <w:autoSpaceDN w:val="0"/>
        <w:adjustRightInd w:val="0"/>
        <w:ind w:left="284" w:right="288"/>
        <w:jc w:val="both"/>
        <w:rPr>
          <w:color w:val="auto"/>
          <w:sz w:val="20"/>
          <w:szCs w:val="20"/>
          <w:lang w:val="es-PE"/>
        </w:rPr>
      </w:pPr>
    </w:p>
    <w:p w14:paraId="79444B30" w14:textId="0B7698FF" w:rsidR="00FE05C7" w:rsidRPr="00116A43" w:rsidRDefault="00FE05C7"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 xml:space="preserve">Como hay una estrecha relación entre el acceso a justicia y el goce de los derechos humanos, en 2016 la CIDH </w:t>
      </w:r>
      <w:r w:rsidR="00614FAE">
        <w:rPr>
          <w:color w:val="auto"/>
          <w:sz w:val="20"/>
          <w:szCs w:val="20"/>
          <w:lang w:val="es-PE"/>
        </w:rPr>
        <w:t xml:space="preserve">identificó la inexistencia de </w:t>
      </w:r>
      <w:r w:rsidRPr="00116A43">
        <w:rPr>
          <w:sz w:val="20"/>
          <w:szCs w:val="20"/>
          <w:lang w:val="es-PE"/>
        </w:rPr>
        <w:t>garant</w:t>
      </w:r>
      <w:r w:rsidR="00614FAE">
        <w:rPr>
          <w:sz w:val="20"/>
          <w:szCs w:val="20"/>
          <w:lang w:val="es-PE"/>
        </w:rPr>
        <w:t>ías para</w:t>
      </w:r>
      <w:r w:rsidRPr="00116A43">
        <w:rPr>
          <w:sz w:val="20"/>
          <w:szCs w:val="20"/>
          <w:lang w:val="es-PE"/>
        </w:rPr>
        <w:t xml:space="preserve"> el libre ejercicio periodístico y la seguridad de quienes se encuentran sometidos a un riesgo especial por el ejercicio de su derecho a la libertad de expresión, sea las amenazas provenientes de agentes del Estado o de particulares</w:t>
      </w:r>
      <w:r w:rsidR="00CC2B96" w:rsidRPr="00116A43">
        <w:rPr>
          <w:sz w:val="20"/>
          <w:szCs w:val="20"/>
          <w:lang w:val="es-PE"/>
        </w:rPr>
        <w:t xml:space="preserve">, así como </w:t>
      </w:r>
      <w:r w:rsidRPr="00116A43">
        <w:rPr>
          <w:sz w:val="20"/>
          <w:szCs w:val="20"/>
          <w:lang w:val="es-PE"/>
        </w:rPr>
        <w:t xml:space="preserve">la </w:t>
      </w:r>
      <w:r w:rsidR="001D5ECE">
        <w:rPr>
          <w:sz w:val="20"/>
          <w:szCs w:val="20"/>
          <w:lang w:val="es-PE"/>
        </w:rPr>
        <w:t>ausencia</w:t>
      </w:r>
      <w:r w:rsidRPr="00116A43">
        <w:rPr>
          <w:sz w:val="20"/>
          <w:szCs w:val="20"/>
          <w:lang w:val="es-PE"/>
        </w:rPr>
        <w:t xml:space="preserve"> de investigaciones diligentes, imparciales y efectivas</w:t>
      </w:r>
      <w:r w:rsidR="00CC2B96" w:rsidRPr="00116A43">
        <w:rPr>
          <w:sz w:val="20"/>
          <w:szCs w:val="20"/>
          <w:lang w:val="es-PE"/>
        </w:rPr>
        <w:t xml:space="preserve"> de estos</w:t>
      </w:r>
      <w:r w:rsidRPr="00116A43">
        <w:rPr>
          <w:sz w:val="20"/>
          <w:szCs w:val="20"/>
          <w:lang w:val="es-PE"/>
        </w:rPr>
        <w:t xml:space="preserve"> hechos</w:t>
      </w:r>
      <w:r w:rsidR="00CC2B96" w:rsidRPr="00116A43">
        <w:rPr>
          <w:sz w:val="20"/>
          <w:szCs w:val="20"/>
          <w:lang w:val="es-PE"/>
        </w:rPr>
        <w:t>. Además, l</w:t>
      </w:r>
      <w:r w:rsidRPr="00116A43">
        <w:rPr>
          <w:sz w:val="20"/>
          <w:szCs w:val="20"/>
          <w:lang w:val="es-PE"/>
        </w:rPr>
        <w:t>a CIDH inst</w:t>
      </w:r>
      <w:r w:rsidR="00CC2B96" w:rsidRPr="00116A43">
        <w:rPr>
          <w:sz w:val="20"/>
          <w:szCs w:val="20"/>
          <w:lang w:val="es-PE"/>
        </w:rPr>
        <w:t>ó</w:t>
      </w:r>
      <w:r w:rsidRPr="00116A43">
        <w:rPr>
          <w:sz w:val="20"/>
          <w:szCs w:val="20"/>
          <w:lang w:val="es-PE"/>
        </w:rPr>
        <w:t xml:space="preserve"> al Estado de Cuba a garantizar que los</w:t>
      </w:r>
      <w:r w:rsidR="00CC2B96" w:rsidRPr="00116A43">
        <w:rPr>
          <w:sz w:val="20"/>
          <w:szCs w:val="20"/>
          <w:lang w:val="es-PE"/>
        </w:rPr>
        <w:t xml:space="preserve"> presuntos</w:t>
      </w:r>
      <w:r w:rsidRPr="00116A43">
        <w:rPr>
          <w:sz w:val="20"/>
          <w:szCs w:val="20"/>
          <w:lang w:val="es-PE"/>
        </w:rPr>
        <w:t xml:space="preserve"> responsables sean juzgados por tribunales imparciales e independientes, removiendo los obstáculos legales </w:t>
      </w:r>
      <w:r w:rsidR="00CC2B96" w:rsidRPr="00116A43">
        <w:rPr>
          <w:sz w:val="20"/>
          <w:szCs w:val="20"/>
          <w:lang w:val="es-PE"/>
        </w:rPr>
        <w:t>que pudieran presentarse en</w:t>
      </w:r>
      <w:r w:rsidRPr="00116A43">
        <w:rPr>
          <w:sz w:val="20"/>
          <w:szCs w:val="20"/>
          <w:lang w:val="es-PE"/>
        </w:rPr>
        <w:t xml:space="preserve"> la investigación y</w:t>
      </w:r>
      <w:r w:rsidR="00CC2B96" w:rsidRPr="00116A43">
        <w:rPr>
          <w:sz w:val="20"/>
          <w:szCs w:val="20"/>
          <w:lang w:val="es-PE"/>
        </w:rPr>
        <w:t xml:space="preserve"> durante el desarrollo del proceso</w:t>
      </w:r>
      <w:r w:rsidRPr="00116A43">
        <w:rPr>
          <w:sz w:val="20"/>
          <w:szCs w:val="20"/>
          <w:vertAlign w:val="superscript"/>
        </w:rPr>
        <w:footnoteReference w:id="55"/>
      </w:r>
      <w:r w:rsidR="00844E76" w:rsidRPr="00116A43">
        <w:rPr>
          <w:sz w:val="20"/>
          <w:szCs w:val="20"/>
          <w:lang w:val="es-PE"/>
        </w:rPr>
        <w:t>.</w:t>
      </w:r>
    </w:p>
    <w:p w14:paraId="1D5AC2D7" w14:textId="77777777" w:rsidR="0031756E" w:rsidRPr="00116A43" w:rsidRDefault="0031756E" w:rsidP="00375047">
      <w:pPr>
        <w:pStyle w:val="ListParagraph"/>
        <w:tabs>
          <w:tab w:val="left" w:pos="9072"/>
        </w:tabs>
        <w:suppressAutoHyphens/>
        <w:ind w:left="0"/>
        <w:jc w:val="both"/>
        <w:rPr>
          <w:color w:val="auto"/>
          <w:sz w:val="20"/>
          <w:szCs w:val="20"/>
          <w:lang w:val="es-PE"/>
        </w:rPr>
      </w:pPr>
    </w:p>
    <w:p w14:paraId="4C056733" w14:textId="5FD81333" w:rsidR="00FE05C7" w:rsidRPr="00116A43" w:rsidRDefault="00FE05C7" w:rsidP="00375047">
      <w:pPr>
        <w:pStyle w:val="ListParagraph"/>
        <w:numPr>
          <w:ilvl w:val="0"/>
          <w:numId w:val="55"/>
        </w:numPr>
        <w:suppressAutoHyphens/>
        <w:ind w:firstLine="0"/>
        <w:jc w:val="both"/>
        <w:rPr>
          <w:rFonts w:cs="Tahoma"/>
          <w:bCs/>
          <w:color w:val="auto"/>
          <w:sz w:val="20"/>
          <w:szCs w:val="20"/>
          <w:lang w:val="es-UY"/>
        </w:rPr>
      </w:pPr>
      <w:r w:rsidRPr="00116A43">
        <w:rPr>
          <w:rFonts w:cs="Tahoma"/>
          <w:color w:val="auto"/>
          <w:sz w:val="20"/>
          <w:szCs w:val="20"/>
          <w:shd w:val="clear" w:color="auto" w:fill="FFFFFF"/>
          <w:lang w:val="es-UY"/>
        </w:rPr>
        <w:t>Asimismo, e</w:t>
      </w:r>
      <w:r w:rsidRPr="00116A43">
        <w:rPr>
          <w:rFonts w:cs="Tahoma"/>
          <w:color w:val="auto"/>
          <w:sz w:val="20"/>
          <w:szCs w:val="20"/>
          <w:shd w:val="clear" w:color="auto" w:fill="FFFFFF"/>
          <w:lang w:val="es-PE"/>
        </w:rPr>
        <w:t>n 2016, la CIDH también hizo notar “</w:t>
      </w:r>
      <w:r w:rsidRPr="00116A43">
        <w:rPr>
          <w:rFonts w:cs="Tahoma"/>
          <w:bCs/>
          <w:color w:val="auto"/>
          <w:sz w:val="20"/>
          <w:szCs w:val="20"/>
          <w:lang w:val="es-UY"/>
        </w:rPr>
        <w:t>acciones de retaliación</w:t>
      </w:r>
      <w:r w:rsidRPr="00116A43">
        <w:rPr>
          <w:rFonts w:cs="Tahoma"/>
          <w:color w:val="auto"/>
          <w:sz w:val="20"/>
          <w:szCs w:val="20"/>
          <w:lang w:val="es-UY"/>
        </w:rPr>
        <w:t> </w:t>
      </w:r>
      <w:r w:rsidRPr="00116A43">
        <w:rPr>
          <w:rFonts w:cs="Tahoma"/>
          <w:bCs/>
          <w:color w:val="auto"/>
          <w:sz w:val="20"/>
          <w:szCs w:val="20"/>
          <w:lang w:val="es-UY"/>
        </w:rPr>
        <w:t>del Estado cubano contra una organización dedicada a la defensa de la libertad de expresión”</w:t>
      </w:r>
      <w:r w:rsidRPr="00116A43">
        <w:rPr>
          <w:rStyle w:val="FootnoteReference"/>
          <w:rFonts w:cs="Tahoma"/>
          <w:bCs/>
          <w:color w:val="auto"/>
          <w:sz w:val="20"/>
          <w:szCs w:val="20"/>
          <w:lang w:val="es-UY"/>
        </w:rPr>
        <w:footnoteReference w:id="56"/>
      </w:r>
      <w:r w:rsidRPr="00116A43">
        <w:rPr>
          <w:rFonts w:cs="Tahoma"/>
          <w:bCs/>
          <w:color w:val="auto"/>
          <w:sz w:val="20"/>
          <w:szCs w:val="20"/>
          <w:lang w:val="es-UY"/>
        </w:rPr>
        <w:t>. En los años de 2017 y 2018, la CIDH, especialmente por medio de sus informes anuales, continuó atenta a</w:t>
      </w:r>
      <w:r w:rsidR="001D5ECE">
        <w:rPr>
          <w:rFonts w:cs="Tahoma"/>
          <w:bCs/>
          <w:color w:val="auto"/>
          <w:sz w:val="20"/>
          <w:szCs w:val="20"/>
          <w:lang w:val="es-UY"/>
        </w:rPr>
        <w:t xml:space="preserve">l contexto </w:t>
      </w:r>
      <w:r w:rsidRPr="00116A43">
        <w:rPr>
          <w:rFonts w:cs="Tahoma"/>
          <w:bCs/>
          <w:color w:val="auto"/>
          <w:sz w:val="20"/>
          <w:szCs w:val="20"/>
          <w:lang w:val="es-UY"/>
        </w:rPr>
        <w:t xml:space="preserve">de persecución de periodistas en Cuba y destacó la situación de impunidad tras la </w:t>
      </w:r>
      <w:r w:rsidRPr="00116A43">
        <w:rPr>
          <w:sz w:val="20"/>
          <w:szCs w:val="20"/>
          <w:lang w:val="es-PE"/>
        </w:rPr>
        <w:t>violencia por el ejercicio de la libertad de expresión. En este sentido, la CIDH apuntó que “</w:t>
      </w:r>
      <w:r w:rsidRPr="00116A43">
        <w:rPr>
          <w:color w:val="auto"/>
          <w:sz w:val="20"/>
          <w:szCs w:val="20"/>
          <w:lang w:val="es-PE"/>
        </w:rPr>
        <w:t>la falta de independencia del Poder Judicial compromete su capacidad de proporcionar garantías para el goce de los derechos humanos"</w:t>
      </w:r>
      <w:r w:rsidRPr="00116A43">
        <w:rPr>
          <w:rStyle w:val="FootnoteReference"/>
          <w:color w:val="auto"/>
          <w:sz w:val="20"/>
          <w:szCs w:val="20"/>
          <w:lang w:val="es-PE"/>
        </w:rPr>
        <w:footnoteReference w:id="57"/>
      </w:r>
      <w:r w:rsidRPr="00116A43">
        <w:rPr>
          <w:color w:val="auto"/>
          <w:sz w:val="20"/>
          <w:szCs w:val="20"/>
          <w:lang w:val="es-PE"/>
        </w:rPr>
        <w:t xml:space="preserve">. </w:t>
      </w:r>
      <w:r w:rsidR="008D424D" w:rsidRPr="00116A43">
        <w:rPr>
          <w:color w:val="auto"/>
          <w:sz w:val="20"/>
          <w:szCs w:val="20"/>
          <w:lang w:val="es-PE"/>
        </w:rPr>
        <w:t>E</w:t>
      </w:r>
      <w:r w:rsidRPr="00116A43">
        <w:rPr>
          <w:color w:val="auto"/>
          <w:sz w:val="20"/>
          <w:szCs w:val="20"/>
          <w:lang w:val="es-PE"/>
        </w:rPr>
        <w:t>n</w:t>
      </w:r>
      <w:r w:rsidR="008D424D" w:rsidRPr="00116A43">
        <w:rPr>
          <w:color w:val="auto"/>
          <w:sz w:val="20"/>
          <w:szCs w:val="20"/>
          <w:lang w:val="es-PE"/>
        </w:rPr>
        <w:t xml:space="preserve"> el</w:t>
      </w:r>
      <w:r w:rsidRPr="00116A43">
        <w:rPr>
          <w:color w:val="auto"/>
          <w:sz w:val="20"/>
          <w:szCs w:val="20"/>
          <w:lang w:val="es-PE"/>
        </w:rPr>
        <w:t xml:space="preserve"> 2018, </w:t>
      </w:r>
      <w:r w:rsidR="009F7CE7" w:rsidRPr="00116A43">
        <w:rPr>
          <w:color w:val="auto"/>
          <w:sz w:val="20"/>
          <w:szCs w:val="20"/>
          <w:lang w:val="es-PE"/>
        </w:rPr>
        <w:t>se</w:t>
      </w:r>
      <w:r w:rsidRPr="00116A43">
        <w:rPr>
          <w:color w:val="auto"/>
          <w:sz w:val="20"/>
          <w:szCs w:val="20"/>
          <w:lang w:val="es-PE"/>
        </w:rPr>
        <w:t xml:space="preserve"> registr</w:t>
      </w:r>
      <w:r w:rsidR="009F7CE7" w:rsidRPr="00116A43">
        <w:rPr>
          <w:color w:val="auto"/>
          <w:sz w:val="20"/>
          <w:szCs w:val="20"/>
          <w:lang w:val="es-PE"/>
        </w:rPr>
        <w:t>ó</w:t>
      </w:r>
      <w:r w:rsidRPr="00116A43">
        <w:rPr>
          <w:color w:val="auto"/>
          <w:sz w:val="20"/>
          <w:szCs w:val="20"/>
          <w:lang w:val="es-PE"/>
        </w:rPr>
        <w:t xml:space="preserve"> un aumento de represión contra periodistas en Cuba: </w:t>
      </w:r>
      <w:r w:rsidRPr="00116A43">
        <w:rPr>
          <w:sz w:val="20"/>
          <w:szCs w:val="20"/>
          <w:lang w:val="es-PE"/>
        </w:rPr>
        <w:t xml:space="preserve"> </w:t>
      </w:r>
    </w:p>
    <w:p w14:paraId="2E04545D" w14:textId="77777777" w:rsidR="0031756E" w:rsidRPr="00116A43" w:rsidRDefault="0031756E" w:rsidP="00130364">
      <w:pPr>
        <w:pStyle w:val="ListParagraph"/>
        <w:autoSpaceDE w:val="0"/>
        <w:autoSpaceDN w:val="0"/>
        <w:adjustRightInd w:val="0"/>
        <w:ind w:right="864"/>
        <w:jc w:val="both"/>
        <w:rPr>
          <w:rFonts w:cs="Tahoma"/>
          <w:bCs/>
          <w:color w:val="auto"/>
          <w:sz w:val="18"/>
          <w:szCs w:val="18"/>
          <w:lang w:val="es-UY"/>
        </w:rPr>
      </w:pPr>
    </w:p>
    <w:p w14:paraId="0654F403" w14:textId="69908DCA" w:rsidR="00FE05C7" w:rsidRPr="00116A43" w:rsidRDefault="00FE05C7" w:rsidP="00577F2D">
      <w:pPr>
        <w:pStyle w:val="ListParagraph"/>
        <w:autoSpaceDE w:val="0"/>
        <w:autoSpaceDN w:val="0"/>
        <w:adjustRightInd w:val="0"/>
        <w:ind w:right="720"/>
        <w:jc w:val="both"/>
        <w:rPr>
          <w:sz w:val="18"/>
          <w:szCs w:val="18"/>
          <w:lang w:val="es-PE"/>
        </w:rPr>
      </w:pPr>
      <w:r w:rsidRPr="00116A43">
        <w:rPr>
          <w:sz w:val="18"/>
          <w:szCs w:val="18"/>
          <w:lang w:val="es-PE"/>
        </w:rPr>
        <w:t>En 2018, organizaciones no gubernamentales reportaron la continuidad de una política de hostigamiento por parte de las agencias de seguridad del Estado contra, entre otros, periodistas, defensores de derechos humanos, activistas y disidentes políticos. Según estas organizaciones, existiría en Cuba un “aumento de la represión” desde el año 2017, cuando el gobierno puso en marcha sus elecciones generales. De acuerdo con la información disponible, a fin de obstaculizar el libre desarrollo de las actividades de estas personas, el Estado cubano utilizaría de detenciones arbitrarias – en general de corta duración –, instrumentalización de la justicia penal para su criminalización, deportaciones internas, citación a centros policiales, allanamientos a sus domicilios, presiones sobre familiares, restricciones de viajes, y requisa de sus instrumentos de trabajo. La información recibida da cuenta de que los afectados serían interceptados en la calle, con frecuencia agentes estatales realizarían “confiscaciones” en operativos en los que allanan viviendas, intimidan a la familia y detienen al periodista. En los casos reportados, las autoridades se habrían negado a devolver a los afectados los artículos confiscados y según se informó, en estos decomisos o incautaciones de materiales y equipos de trabajo, la policía política se negaría a entregar copia de la lista de artículos referidos</w:t>
      </w:r>
      <w:r w:rsidRPr="00116A43">
        <w:rPr>
          <w:rStyle w:val="FootnoteReference"/>
          <w:sz w:val="18"/>
          <w:szCs w:val="18"/>
          <w:lang w:val="es-PE"/>
        </w:rPr>
        <w:footnoteReference w:id="58"/>
      </w:r>
      <w:r w:rsidR="0031756E" w:rsidRPr="00116A43">
        <w:rPr>
          <w:sz w:val="18"/>
          <w:szCs w:val="18"/>
          <w:lang w:val="es-PE"/>
        </w:rPr>
        <w:t>.</w:t>
      </w:r>
    </w:p>
    <w:p w14:paraId="699C803B" w14:textId="77777777" w:rsidR="0031756E" w:rsidRPr="00116A43" w:rsidRDefault="0031756E" w:rsidP="00810F85">
      <w:pPr>
        <w:pStyle w:val="ListParagraph"/>
        <w:autoSpaceDE w:val="0"/>
        <w:autoSpaceDN w:val="0"/>
        <w:adjustRightInd w:val="0"/>
        <w:ind w:left="284" w:right="288"/>
        <w:jc w:val="both"/>
        <w:rPr>
          <w:rFonts w:cs="Tahoma"/>
          <w:bCs/>
          <w:color w:val="auto"/>
          <w:sz w:val="20"/>
          <w:szCs w:val="20"/>
          <w:lang w:val="es-PE"/>
        </w:rPr>
      </w:pPr>
    </w:p>
    <w:p w14:paraId="0421BA76" w14:textId="7F657DF0" w:rsidR="00FE05C7" w:rsidRPr="00116A43" w:rsidRDefault="00426065" w:rsidP="00375047">
      <w:pPr>
        <w:pStyle w:val="ListParagraph"/>
        <w:numPr>
          <w:ilvl w:val="0"/>
          <w:numId w:val="55"/>
        </w:numPr>
        <w:suppressAutoHyphens/>
        <w:ind w:firstLine="0"/>
        <w:jc w:val="both"/>
        <w:rPr>
          <w:rFonts w:cs="Tahoma"/>
          <w:bCs/>
          <w:color w:val="auto"/>
          <w:sz w:val="20"/>
          <w:szCs w:val="20"/>
          <w:lang w:val="es-UY"/>
        </w:rPr>
      </w:pPr>
      <w:r w:rsidRPr="00116A43">
        <w:rPr>
          <w:rFonts w:cs="Tahoma"/>
          <w:bCs/>
          <w:color w:val="auto"/>
          <w:sz w:val="20"/>
          <w:szCs w:val="20"/>
          <w:lang w:val="es-PE"/>
        </w:rPr>
        <w:t>En el 2019, l</w:t>
      </w:r>
      <w:r w:rsidR="00A73D11" w:rsidRPr="00116A43">
        <w:rPr>
          <w:rFonts w:cs="Tahoma"/>
          <w:bCs/>
          <w:color w:val="auto"/>
          <w:sz w:val="20"/>
          <w:szCs w:val="20"/>
          <w:lang w:val="es-PE"/>
        </w:rPr>
        <w:t xml:space="preserve">a </w:t>
      </w:r>
      <w:r w:rsidR="006A0D1E" w:rsidRPr="00116A43">
        <w:rPr>
          <w:rFonts w:cs="Tahoma"/>
          <w:bCs/>
          <w:color w:val="auto"/>
          <w:sz w:val="20"/>
          <w:szCs w:val="20"/>
          <w:lang w:val="es-UY"/>
        </w:rPr>
        <w:t xml:space="preserve">CIDH, a través de su </w:t>
      </w:r>
      <w:r w:rsidR="006A0D1E" w:rsidRPr="00116A43">
        <w:rPr>
          <w:rFonts w:cs="Tahoma"/>
          <w:bCs/>
          <w:color w:val="auto"/>
          <w:sz w:val="20"/>
          <w:szCs w:val="20"/>
          <w:lang w:val="es-PE"/>
        </w:rPr>
        <w:t xml:space="preserve">Relatoría Especial, </w:t>
      </w:r>
      <w:r w:rsidR="006A0D1E" w:rsidRPr="00116A43">
        <w:rPr>
          <w:rFonts w:cs="Tahoma"/>
          <w:bCs/>
          <w:color w:val="auto"/>
          <w:sz w:val="20"/>
          <w:szCs w:val="20"/>
          <w:lang w:val="es-UY"/>
        </w:rPr>
        <w:t>publicó el informe “Libertad de Expresión en Cuba”</w:t>
      </w:r>
      <w:r w:rsidRPr="00116A43">
        <w:rPr>
          <w:rFonts w:cs="Tahoma"/>
          <w:bCs/>
          <w:color w:val="auto"/>
          <w:sz w:val="20"/>
          <w:szCs w:val="20"/>
          <w:lang w:val="es-UY"/>
        </w:rPr>
        <w:t xml:space="preserve">, en el que reiteró de manera clara </w:t>
      </w:r>
      <w:r w:rsidR="00FE05C7" w:rsidRPr="00116A43">
        <w:rPr>
          <w:rFonts w:cs="Tahoma"/>
          <w:bCs/>
          <w:color w:val="auto"/>
          <w:sz w:val="20"/>
          <w:szCs w:val="20"/>
          <w:lang w:val="es-UY"/>
        </w:rPr>
        <w:t xml:space="preserve">la existencia de </w:t>
      </w:r>
      <w:r w:rsidR="001D5ECE">
        <w:rPr>
          <w:rFonts w:cs="Tahoma"/>
          <w:bCs/>
          <w:color w:val="auto"/>
          <w:sz w:val="20"/>
          <w:szCs w:val="20"/>
          <w:lang w:val="es-UY"/>
        </w:rPr>
        <w:t>un contexto</w:t>
      </w:r>
      <w:r w:rsidR="00FE05C7" w:rsidRPr="00116A43">
        <w:rPr>
          <w:rFonts w:cs="Tahoma"/>
          <w:bCs/>
          <w:color w:val="auto"/>
          <w:sz w:val="20"/>
          <w:szCs w:val="20"/>
          <w:lang w:val="es-UY"/>
        </w:rPr>
        <w:t xml:space="preserve"> de persecución a los periodistas críticos al régimen cubano en 2019</w:t>
      </w:r>
      <w:r w:rsidR="00AC0307" w:rsidRPr="00116A43">
        <w:rPr>
          <w:rFonts w:cs="Tahoma"/>
          <w:bCs/>
          <w:color w:val="auto"/>
          <w:sz w:val="20"/>
          <w:szCs w:val="20"/>
          <w:lang w:val="es-UY"/>
        </w:rPr>
        <w:t xml:space="preserve">. </w:t>
      </w:r>
      <w:r w:rsidR="00FE05C7" w:rsidRPr="00116A43">
        <w:rPr>
          <w:rFonts w:cs="Tahoma"/>
          <w:bCs/>
          <w:color w:val="auto"/>
          <w:sz w:val="20"/>
          <w:szCs w:val="20"/>
          <w:lang w:val="es-UY"/>
        </w:rPr>
        <w:t>Según la CIDH</w:t>
      </w:r>
      <w:r w:rsidR="00AC0307" w:rsidRPr="00116A43">
        <w:rPr>
          <w:rFonts w:cs="Tahoma"/>
          <w:bCs/>
          <w:color w:val="auto"/>
          <w:sz w:val="20"/>
          <w:szCs w:val="20"/>
          <w:lang w:val="es-UY"/>
        </w:rPr>
        <w:t>:</w:t>
      </w:r>
    </w:p>
    <w:p w14:paraId="251FC83E" w14:textId="77777777" w:rsidR="0031756E" w:rsidRPr="00116A43" w:rsidRDefault="0031756E" w:rsidP="0031756E">
      <w:pPr>
        <w:pStyle w:val="ListParagraph"/>
        <w:autoSpaceDE w:val="0"/>
        <w:autoSpaceDN w:val="0"/>
        <w:adjustRightInd w:val="0"/>
        <w:jc w:val="both"/>
        <w:rPr>
          <w:rFonts w:cs="Tahoma"/>
          <w:bCs/>
          <w:color w:val="auto"/>
          <w:sz w:val="20"/>
          <w:szCs w:val="20"/>
          <w:lang w:val="es-UY"/>
        </w:rPr>
      </w:pPr>
    </w:p>
    <w:p w14:paraId="1CFAEA28" w14:textId="27A2BDC5" w:rsidR="00FE05C7" w:rsidRPr="00116A43" w:rsidRDefault="00FE05C7" w:rsidP="00577F2D">
      <w:pPr>
        <w:autoSpaceDE w:val="0"/>
        <w:autoSpaceDN w:val="0"/>
        <w:adjustRightInd w:val="0"/>
        <w:ind w:left="720" w:right="720"/>
        <w:jc w:val="both"/>
        <w:rPr>
          <w:rFonts w:ascii="Cambria" w:hAnsi="Cambria"/>
          <w:sz w:val="18"/>
          <w:szCs w:val="18"/>
          <w:lang w:val="es-PE"/>
        </w:rPr>
      </w:pPr>
      <w:r w:rsidRPr="00116A43">
        <w:rPr>
          <w:rFonts w:ascii="Cambria" w:hAnsi="Cambria"/>
          <w:sz w:val="18"/>
          <w:szCs w:val="18"/>
          <w:lang w:val="es-UY"/>
        </w:rPr>
        <w:t>S</w:t>
      </w:r>
      <w:r w:rsidR="00AC0307" w:rsidRPr="00116A43">
        <w:rPr>
          <w:rFonts w:ascii="Cambria" w:hAnsi="Cambria"/>
          <w:sz w:val="18"/>
          <w:szCs w:val="18"/>
          <w:lang w:val="es-UY"/>
        </w:rPr>
        <w:t>e</w:t>
      </w:r>
      <w:r w:rsidRPr="00116A43">
        <w:rPr>
          <w:rFonts w:ascii="Cambria" w:hAnsi="Cambria"/>
          <w:sz w:val="18"/>
          <w:szCs w:val="18"/>
          <w:lang w:val="es-UY"/>
        </w:rPr>
        <w:t xml:space="preserve"> </w:t>
      </w:r>
      <w:r w:rsidRPr="00116A43">
        <w:rPr>
          <w:rFonts w:ascii="Cambria" w:hAnsi="Cambria"/>
          <w:sz w:val="18"/>
          <w:szCs w:val="18"/>
          <w:lang w:val="es-PE"/>
        </w:rPr>
        <w:t>ha advertido, de manera consistente, una grave práctica de represión de la disidencia política por denunciar la falta de libertades y derechos políticos o simplemente por pretender opinar y participar en los asuntos políticos. Entre las formas más comunes de hostigamiento, se reportan deportaciones internas, citaciones a centros policiales, allanamientos a sus domicilios o sedes de las organizaciones políticas, e impedimentos de llegar a las reuniones de sus organizaciones. Se ha informado también sobre el uso de agresiones físicas, actos vandálicos, actos de repudio, entre otros para hostigar a los disidentes del gobierno cubano</w:t>
      </w:r>
      <w:r w:rsidRPr="00116A43">
        <w:rPr>
          <w:rStyle w:val="FootnoteReference"/>
          <w:rFonts w:ascii="Cambria" w:hAnsi="Cambria"/>
          <w:sz w:val="18"/>
          <w:szCs w:val="18"/>
          <w:lang w:val="es-PE"/>
        </w:rPr>
        <w:footnoteReference w:id="59"/>
      </w:r>
      <w:r w:rsidR="0031756E" w:rsidRPr="00116A43">
        <w:rPr>
          <w:rFonts w:ascii="Cambria" w:hAnsi="Cambria"/>
          <w:sz w:val="18"/>
          <w:szCs w:val="18"/>
          <w:lang w:val="es-PE"/>
        </w:rPr>
        <w:t>.</w:t>
      </w:r>
    </w:p>
    <w:p w14:paraId="68F10DD0" w14:textId="77777777" w:rsidR="0031756E" w:rsidRPr="00116A43" w:rsidRDefault="0031756E" w:rsidP="00810F85">
      <w:pPr>
        <w:autoSpaceDE w:val="0"/>
        <w:autoSpaceDN w:val="0"/>
        <w:adjustRightInd w:val="0"/>
        <w:ind w:left="284" w:right="288"/>
        <w:jc w:val="both"/>
        <w:rPr>
          <w:rFonts w:ascii="Cambria" w:hAnsi="Cambria"/>
          <w:sz w:val="20"/>
          <w:szCs w:val="20"/>
          <w:lang w:val="es-PE"/>
        </w:rPr>
      </w:pPr>
    </w:p>
    <w:p w14:paraId="60F5B73A" w14:textId="246F502C" w:rsidR="00FE05C7" w:rsidRPr="00116A43" w:rsidRDefault="00FE05C7" w:rsidP="00375047">
      <w:pPr>
        <w:pStyle w:val="ListParagraph"/>
        <w:numPr>
          <w:ilvl w:val="0"/>
          <w:numId w:val="55"/>
        </w:numPr>
        <w:suppressAutoHyphens/>
        <w:ind w:firstLine="0"/>
        <w:jc w:val="both"/>
        <w:rPr>
          <w:color w:val="auto"/>
          <w:sz w:val="20"/>
          <w:szCs w:val="20"/>
          <w:lang w:val="es-PE"/>
        </w:rPr>
      </w:pPr>
      <w:r w:rsidRPr="00116A43">
        <w:rPr>
          <w:rFonts w:cs="Tahoma"/>
          <w:bCs/>
          <w:color w:val="auto"/>
          <w:sz w:val="20"/>
          <w:szCs w:val="20"/>
          <w:lang w:val="es-UY"/>
        </w:rPr>
        <w:t>En este sentido, la CIDH “</w:t>
      </w:r>
      <w:r w:rsidRPr="00116A43">
        <w:rPr>
          <w:color w:val="auto"/>
          <w:sz w:val="20"/>
          <w:szCs w:val="20"/>
          <w:lang w:val="es-PE"/>
        </w:rPr>
        <w:t>ha tenido conocimiento de la realización de interrogatorios de forma frecuente con el fin de intimidar a periodistas independientes. De acuerdo con la información disponible, serían directamente amenazados por agentes estatales con ser privados de libertad u otras represalias por el ejercicio del periodismo”</w:t>
      </w:r>
      <w:r w:rsidRPr="00116A43">
        <w:rPr>
          <w:rStyle w:val="FootnoteReference"/>
          <w:color w:val="auto"/>
          <w:sz w:val="20"/>
          <w:szCs w:val="20"/>
          <w:lang w:val="es-PE"/>
        </w:rPr>
        <w:footnoteReference w:id="60"/>
      </w:r>
      <w:r w:rsidRPr="00116A43">
        <w:rPr>
          <w:color w:val="auto"/>
          <w:sz w:val="20"/>
          <w:szCs w:val="20"/>
          <w:lang w:val="es-PE"/>
        </w:rPr>
        <w:t>. Simultáneamente,</w:t>
      </w:r>
      <w:r w:rsidR="003914C0" w:rsidRPr="00116A43">
        <w:rPr>
          <w:color w:val="auto"/>
          <w:sz w:val="20"/>
          <w:szCs w:val="20"/>
          <w:lang w:val="es-PE"/>
        </w:rPr>
        <w:t xml:space="preserve"> </w:t>
      </w:r>
      <w:r w:rsidRPr="00116A43">
        <w:rPr>
          <w:color w:val="auto"/>
          <w:sz w:val="20"/>
          <w:szCs w:val="20"/>
          <w:lang w:val="es-PE"/>
        </w:rPr>
        <w:t>“amenazas, vigilancia y hostigamiento a la familia y entorno de periodistas</w:t>
      </w:r>
      <w:r w:rsidR="003914C0" w:rsidRPr="00116A43">
        <w:rPr>
          <w:color w:val="auto"/>
          <w:sz w:val="20"/>
          <w:szCs w:val="20"/>
          <w:lang w:val="es-PE"/>
        </w:rPr>
        <w:t>”</w:t>
      </w:r>
      <w:r w:rsidRPr="00116A43">
        <w:rPr>
          <w:rStyle w:val="FootnoteReference"/>
          <w:color w:val="auto"/>
          <w:sz w:val="20"/>
          <w:szCs w:val="20"/>
          <w:lang w:val="es-PE"/>
        </w:rPr>
        <w:footnoteReference w:id="61"/>
      </w:r>
      <w:r w:rsidR="003914C0" w:rsidRPr="00116A43">
        <w:rPr>
          <w:color w:val="auto"/>
          <w:sz w:val="20"/>
          <w:szCs w:val="20"/>
          <w:lang w:val="es-PE"/>
        </w:rPr>
        <w:t xml:space="preserve"> se presentaban como actos frecuentes</w:t>
      </w:r>
      <w:r w:rsidRPr="00116A43">
        <w:rPr>
          <w:color w:val="auto"/>
          <w:sz w:val="20"/>
          <w:szCs w:val="20"/>
          <w:lang w:val="es-PE"/>
        </w:rPr>
        <w:t xml:space="preserve">. </w:t>
      </w:r>
    </w:p>
    <w:p w14:paraId="132FB606" w14:textId="77777777" w:rsidR="0031756E" w:rsidRPr="00116A43" w:rsidRDefault="0031756E" w:rsidP="00375047">
      <w:pPr>
        <w:pStyle w:val="ListParagraph"/>
        <w:suppressAutoHyphens/>
        <w:ind w:left="0"/>
        <w:jc w:val="both"/>
        <w:rPr>
          <w:color w:val="auto"/>
          <w:sz w:val="20"/>
          <w:szCs w:val="20"/>
          <w:lang w:val="es-PE"/>
        </w:rPr>
      </w:pPr>
    </w:p>
    <w:p w14:paraId="4D831CD6" w14:textId="32BA348D" w:rsidR="00FE05C7" w:rsidRPr="00116A43" w:rsidRDefault="00FE05C7"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La Comisión también “ha recibido información sobre el uso de detenciones arbitrarias como método de intimidación o represalia contra periodistas”, especialmente detenciones de corta duración, sin presentación de los cargos y acompañadas de malos tratos físicos. Muchas veces, “los periodistas se mantendrían incomunicados y serían hacinados en celdas junto a detenidos por delitos comunes”. Además, varias de estas detenciones tenían “el aparente fin de impedir algún desplazamiento o impedir la cobertura de actos de protesta social”</w:t>
      </w:r>
      <w:r w:rsidRPr="00116A43">
        <w:rPr>
          <w:rStyle w:val="FootnoteReference"/>
          <w:color w:val="auto"/>
          <w:sz w:val="20"/>
          <w:szCs w:val="20"/>
          <w:lang w:val="es-PE"/>
        </w:rPr>
        <w:footnoteReference w:id="62"/>
      </w:r>
      <w:r w:rsidR="00AB5D98" w:rsidRPr="00116A43">
        <w:rPr>
          <w:color w:val="auto"/>
          <w:sz w:val="20"/>
          <w:szCs w:val="20"/>
          <w:lang w:val="es-PE"/>
        </w:rPr>
        <w:t>, o</w:t>
      </w:r>
      <w:r w:rsidRPr="00116A43">
        <w:rPr>
          <w:color w:val="auto"/>
          <w:sz w:val="20"/>
          <w:szCs w:val="20"/>
          <w:lang w:val="es-PE"/>
        </w:rPr>
        <w:t xml:space="preserve"> ocurrían “en fechas cercanas a la celebración de algún evento relativo a temas de política interna, la participación en foros internacionales o sobre derechos humanos”</w:t>
      </w:r>
      <w:r w:rsidRPr="00116A43">
        <w:rPr>
          <w:rStyle w:val="FootnoteReference"/>
          <w:color w:val="auto"/>
          <w:sz w:val="20"/>
          <w:szCs w:val="20"/>
          <w:lang w:val="es-PE"/>
        </w:rPr>
        <w:footnoteReference w:id="63"/>
      </w:r>
      <w:r w:rsidRPr="00116A43">
        <w:rPr>
          <w:color w:val="auto"/>
          <w:sz w:val="20"/>
          <w:szCs w:val="20"/>
          <w:lang w:val="es-PE"/>
        </w:rPr>
        <w:t xml:space="preserve">. </w:t>
      </w:r>
    </w:p>
    <w:p w14:paraId="0686DD62" w14:textId="77777777" w:rsidR="0031756E" w:rsidRPr="00116A43" w:rsidRDefault="0031756E" w:rsidP="00375047">
      <w:pPr>
        <w:suppressAutoHyphens/>
        <w:jc w:val="both"/>
        <w:rPr>
          <w:sz w:val="20"/>
          <w:szCs w:val="20"/>
          <w:lang w:val="es-PE"/>
        </w:rPr>
      </w:pPr>
    </w:p>
    <w:p w14:paraId="39F625BE" w14:textId="67A473A6" w:rsidR="00FE05C7" w:rsidRPr="00116A43" w:rsidRDefault="00FE05C7"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 xml:space="preserve">Asimismo, la CIDH hizo notar que </w:t>
      </w:r>
      <w:r w:rsidR="004F049D" w:rsidRPr="00116A43">
        <w:rPr>
          <w:color w:val="auto"/>
          <w:sz w:val="20"/>
          <w:szCs w:val="20"/>
          <w:lang w:val="es-PE"/>
        </w:rPr>
        <w:t xml:space="preserve">era </w:t>
      </w:r>
      <w:r w:rsidRPr="00116A43">
        <w:rPr>
          <w:color w:val="auto"/>
          <w:sz w:val="20"/>
          <w:szCs w:val="20"/>
          <w:lang w:val="es-PE"/>
        </w:rPr>
        <w:t>común la práctica de prohibición de salida del país como represalia a</w:t>
      </w:r>
      <w:r w:rsidR="004F049D" w:rsidRPr="00116A43">
        <w:rPr>
          <w:color w:val="auto"/>
          <w:sz w:val="20"/>
          <w:szCs w:val="20"/>
          <w:lang w:val="es-PE"/>
        </w:rPr>
        <w:t xml:space="preserve">l </w:t>
      </w:r>
      <w:r w:rsidRPr="00116A43">
        <w:rPr>
          <w:color w:val="auto"/>
          <w:sz w:val="20"/>
          <w:szCs w:val="20"/>
          <w:lang w:val="es-PE"/>
        </w:rPr>
        <w:t>periodismo crítico o disidente en Cuba. Esta práctica se daría generalmente “a través de prohibiciones orales, sin documentos escritos o una respuesta concreta”</w:t>
      </w:r>
      <w:r w:rsidRPr="00116A43">
        <w:rPr>
          <w:rStyle w:val="FootnoteReference"/>
          <w:color w:val="auto"/>
          <w:sz w:val="20"/>
          <w:szCs w:val="20"/>
          <w:lang w:val="es-PE"/>
        </w:rPr>
        <w:footnoteReference w:id="64"/>
      </w:r>
      <w:r w:rsidRPr="00116A43">
        <w:rPr>
          <w:color w:val="auto"/>
          <w:sz w:val="20"/>
          <w:szCs w:val="20"/>
          <w:lang w:val="es-PE"/>
        </w:rPr>
        <w:t xml:space="preserve">. </w:t>
      </w:r>
    </w:p>
    <w:p w14:paraId="2940EE02" w14:textId="77777777" w:rsidR="0031756E" w:rsidRPr="00116A43" w:rsidRDefault="0031756E" w:rsidP="00375047">
      <w:pPr>
        <w:suppressAutoHyphens/>
        <w:jc w:val="both"/>
        <w:rPr>
          <w:sz w:val="20"/>
          <w:szCs w:val="20"/>
          <w:lang w:val="es-PE"/>
        </w:rPr>
      </w:pPr>
    </w:p>
    <w:p w14:paraId="729D3F32" w14:textId="4256EA12" w:rsidR="00FE05C7" w:rsidRPr="00F04C39" w:rsidRDefault="00FE05C7" w:rsidP="00375047">
      <w:pPr>
        <w:pStyle w:val="ListParagraph"/>
        <w:numPr>
          <w:ilvl w:val="0"/>
          <w:numId w:val="55"/>
        </w:numPr>
        <w:suppressAutoHyphens/>
        <w:ind w:firstLine="0"/>
        <w:jc w:val="both"/>
        <w:rPr>
          <w:sz w:val="20"/>
          <w:szCs w:val="20"/>
          <w:lang w:val="es-PE"/>
        </w:rPr>
      </w:pPr>
      <w:r w:rsidRPr="00067587">
        <w:rPr>
          <w:sz w:val="20"/>
          <w:szCs w:val="20"/>
          <w:lang w:val="es-PE"/>
        </w:rPr>
        <w:t>Ese patrón se ha co</w:t>
      </w:r>
      <w:r w:rsidR="00EE2E60" w:rsidRPr="00067587">
        <w:rPr>
          <w:sz w:val="20"/>
          <w:szCs w:val="20"/>
          <w:lang w:val="es-PE"/>
        </w:rPr>
        <w:t>metido</w:t>
      </w:r>
      <w:r w:rsidRPr="00067587">
        <w:rPr>
          <w:sz w:val="20"/>
          <w:szCs w:val="20"/>
          <w:lang w:val="es-PE"/>
        </w:rPr>
        <w:t>, a</w:t>
      </w:r>
      <w:r w:rsidR="00EE2E60" w:rsidRPr="00067587">
        <w:rPr>
          <w:sz w:val="20"/>
          <w:szCs w:val="20"/>
          <w:lang w:val="es-PE"/>
        </w:rPr>
        <w:t xml:space="preserve"> </w:t>
      </w:r>
      <w:r w:rsidRPr="00067587">
        <w:rPr>
          <w:sz w:val="20"/>
          <w:szCs w:val="20"/>
          <w:lang w:val="es-PE"/>
        </w:rPr>
        <w:t>l</w:t>
      </w:r>
      <w:r w:rsidR="00EE2E60" w:rsidRPr="00067587">
        <w:rPr>
          <w:sz w:val="20"/>
          <w:szCs w:val="20"/>
          <w:lang w:val="es-PE"/>
        </w:rPr>
        <w:t>o</w:t>
      </w:r>
      <w:r w:rsidRPr="00067587">
        <w:rPr>
          <w:sz w:val="20"/>
          <w:szCs w:val="20"/>
          <w:lang w:val="es-PE"/>
        </w:rPr>
        <w:t xml:space="preserve"> largo de los años, no solamente contra periodistas de la prensa escrita tradicional, </w:t>
      </w:r>
      <w:r w:rsidR="00EE2E60" w:rsidRPr="00067587">
        <w:rPr>
          <w:sz w:val="20"/>
          <w:szCs w:val="20"/>
          <w:lang w:val="es-PE"/>
        </w:rPr>
        <w:t>sino</w:t>
      </w:r>
      <w:r w:rsidRPr="00067587">
        <w:rPr>
          <w:sz w:val="20"/>
          <w:szCs w:val="20"/>
          <w:lang w:val="es-PE"/>
        </w:rPr>
        <w:t xml:space="preserve"> también </w:t>
      </w:r>
      <w:r w:rsidR="00403AB2" w:rsidRPr="00067587">
        <w:rPr>
          <w:sz w:val="20"/>
          <w:szCs w:val="20"/>
          <w:lang w:val="es-PE"/>
        </w:rPr>
        <w:t>contra</w:t>
      </w:r>
      <w:r w:rsidRPr="00067587">
        <w:rPr>
          <w:sz w:val="20"/>
          <w:szCs w:val="20"/>
          <w:lang w:val="es-PE"/>
        </w:rPr>
        <w:t xml:space="preserve"> </w:t>
      </w:r>
      <w:r w:rsidR="00403AB2" w:rsidRPr="00067587">
        <w:rPr>
          <w:sz w:val="20"/>
          <w:szCs w:val="20"/>
          <w:lang w:val="es-PE"/>
        </w:rPr>
        <w:t xml:space="preserve">el </w:t>
      </w:r>
      <w:r w:rsidRPr="00067587">
        <w:rPr>
          <w:sz w:val="20"/>
          <w:szCs w:val="20"/>
          <w:lang w:val="es-PE"/>
        </w:rPr>
        <w:t>periodismo en la internet. En el informe,</w:t>
      </w:r>
      <w:r w:rsidR="00403AB2" w:rsidRPr="00067587">
        <w:rPr>
          <w:sz w:val="20"/>
          <w:szCs w:val="20"/>
          <w:lang w:val="es-PE"/>
        </w:rPr>
        <w:t xml:space="preserve"> que resalta el caso de la periodista y bloguera</w:t>
      </w:r>
      <w:r w:rsidRPr="00067587">
        <w:rPr>
          <w:sz w:val="20"/>
          <w:szCs w:val="20"/>
          <w:lang w:val="es-PE"/>
        </w:rPr>
        <w:t xml:space="preserve"> Yoani Sánchez como un ejemplo, la CIDH ha </w:t>
      </w:r>
      <w:r w:rsidR="00067587" w:rsidRPr="00067587">
        <w:rPr>
          <w:sz w:val="20"/>
          <w:szCs w:val="20"/>
          <w:lang w:val="es-PE"/>
        </w:rPr>
        <w:t>señalado que</w:t>
      </w:r>
      <w:r w:rsidRPr="00067587">
        <w:rPr>
          <w:sz w:val="20"/>
          <w:szCs w:val="20"/>
          <w:lang w:val="es-PE"/>
        </w:rPr>
        <w:t xml:space="preserve"> </w:t>
      </w:r>
      <w:r w:rsidR="00067587" w:rsidRPr="00067587">
        <w:rPr>
          <w:sz w:val="20"/>
          <w:szCs w:val="20"/>
          <w:lang w:val="es-PE"/>
        </w:rPr>
        <w:t xml:space="preserve">el </w:t>
      </w:r>
      <w:r w:rsidRPr="00F04C39">
        <w:rPr>
          <w:sz w:val="20"/>
          <w:szCs w:val="20"/>
          <w:lang w:val="es-PE"/>
        </w:rPr>
        <w:t>uso de la vigilancia sobre la actividad en redes por parte del Estad</w:t>
      </w:r>
      <w:r w:rsidR="00067587" w:rsidRPr="00F04C39">
        <w:rPr>
          <w:sz w:val="20"/>
          <w:szCs w:val="20"/>
          <w:lang w:val="es-PE"/>
        </w:rPr>
        <w:t xml:space="preserve">o, </w:t>
      </w:r>
      <w:r w:rsidRPr="00F04C39">
        <w:rPr>
          <w:sz w:val="20"/>
          <w:szCs w:val="20"/>
          <w:lang w:val="es-PE"/>
        </w:rPr>
        <w:t>sería utilizado como un medio para la identificación de periodistas independientes y disidentes políticos, lo que llevaría al uso de patrones de hostigamiento -que tradicionalmente se usaban con la prensa escrita- contra quienes realizan esta clase de actividades en la red, así como detenciones arbitrarias</w:t>
      </w:r>
      <w:r w:rsidRPr="00F04C39">
        <w:rPr>
          <w:rStyle w:val="FootnoteReference"/>
          <w:sz w:val="20"/>
          <w:szCs w:val="20"/>
          <w:lang w:val="es-PE"/>
        </w:rPr>
        <w:footnoteReference w:id="65"/>
      </w:r>
      <w:r w:rsidRPr="00F04C39">
        <w:rPr>
          <w:sz w:val="20"/>
          <w:szCs w:val="20"/>
          <w:lang w:val="es-PE"/>
        </w:rPr>
        <w:t xml:space="preserve">. </w:t>
      </w:r>
    </w:p>
    <w:p w14:paraId="2A61A73A" w14:textId="77777777" w:rsidR="0031756E" w:rsidRPr="00116A43" w:rsidRDefault="0031756E" w:rsidP="00375047">
      <w:pPr>
        <w:suppressAutoHyphens/>
        <w:jc w:val="both"/>
        <w:rPr>
          <w:rFonts w:ascii="Cambria" w:hAnsi="Cambria"/>
          <w:sz w:val="20"/>
          <w:szCs w:val="20"/>
          <w:lang w:val="es-PE"/>
        </w:rPr>
      </w:pPr>
    </w:p>
    <w:p w14:paraId="158E4FD6" w14:textId="4C4C5553" w:rsidR="00FE05C7" w:rsidRPr="00116A43" w:rsidRDefault="00F94346" w:rsidP="00375047">
      <w:pPr>
        <w:pStyle w:val="ListParagraph"/>
        <w:numPr>
          <w:ilvl w:val="0"/>
          <w:numId w:val="55"/>
        </w:numPr>
        <w:suppressAutoHyphens/>
        <w:ind w:firstLine="0"/>
        <w:jc w:val="both"/>
        <w:rPr>
          <w:color w:val="auto"/>
          <w:sz w:val="20"/>
          <w:szCs w:val="20"/>
          <w:lang w:val="es-PE"/>
        </w:rPr>
      </w:pPr>
      <w:r w:rsidRPr="00116A43">
        <w:rPr>
          <w:color w:val="auto"/>
          <w:sz w:val="20"/>
          <w:szCs w:val="20"/>
          <w:lang w:val="es-PE"/>
        </w:rPr>
        <w:t xml:space="preserve">Finalmente, en el </w:t>
      </w:r>
      <w:r w:rsidR="00FE05C7" w:rsidRPr="00116A43">
        <w:rPr>
          <w:color w:val="auto"/>
          <w:sz w:val="20"/>
          <w:szCs w:val="20"/>
          <w:lang w:val="es-PE"/>
        </w:rPr>
        <w:t>2020, estas conclusiones fueron nuevamente confirmadas por la CIDH en su Informe sobre la Situación de Derechos Humanos en Cuba. Yoani Sánchez fue citad</w:t>
      </w:r>
      <w:r w:rsidR="002E4014" w:rsidRPr="00116A43">
        <w:rPr>
          <w:color w:val="auto"/>
          <w:sz w:val="20"/>
          <w:szCs w:val="20"/>
          <w:lang w:val="es-PE"/>
        </w:rPr>
        <w:t>a</w:t>
      </w:r>
      <w:r w:rsidR="00FE05C7" w:rsidRPr="00116A43">
        <w:rPr>
          <w:color w:val="auto"/>
          <w:sz w:val="20"/>
          <w:szCs w:val="20"/>
          <w:lang w:val="es-PE"/>
        </w:rPr>
        <w:t xml:space="preserve"> como una de las periodistas “que ha sido objeto de hostigamientos de manera reiterada y deliberada en Cuba en los últimos cinco años”</w:t>
      </w:r>
      <w:r w:rsidR="00FE05C7" w:rsidRPr="00116A43">
        <w:rPr>
          <w:rStyle w:val="FootnoteReference"/>
          <w:color w:val="auto"/>
          <w:sz w:val="20"/>
          <w:szCs w:val="20"/>
          <w:lang w:val="es-PE"/>
        </w:rPr>
        <w:footnoteReference w:id="66"/>
      </w:r>
      <w:r w:rsidR="00FE05C7" w:rsidRPr="00116A43">
        <w:rPr>
          <w:color w:val="auto"/>
          <w:sz w:val="20"/>
          <w:szCs w:val="20"/>
          <w:lang w:val="es-PE"/>
        </w:rPr>
        <w:t xml:space="preserve">. </w:t>
      </w:r>
    </w:p>
    <w:p w14:paraId="6CF1DDF4" w14:textId="77777777" w:rsidR="00D96FBC" w:rsidRPr="00116A43" w:rsidRDefault="00D96FBC" w:rsidP="00D96FBC">
      <w:pPr>
        <w:pStyle w:val="ListParagraph"/>
        <w:autoSpaceDE w:val="0"/>
        <w:autoSpaceDN w:val="0"/>
        <w:adjustRightInd w:val="0"/>
        <w:jc w:val="both"/>
        <w:rPr>
          <w:color w:val="auto"/>
          <w:sz w:val="20"/>
          <w:szCs w:val="20"/>
          <w:lang w:val="es-PE"/>
        </w:rPr>
      </w:pPr>
    </w:p>
    <w:p w14:paraId="51DDC4F9" w14:textId="382B9CD3" w:rsidR="00D96FBC" w:rsidRPr="00116A43" w:rsidRDefault="00FE05C7"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rFonts w:cs="Arial"/>
          <w:color w:val="auto"/>
          <w:sz w:val="20"/>
          <w:szCs w:val="20"/>
          <w:lang w:val="es-PE"/>
        </w:rPr>
      </w:pPr>
      <w:r w:rsidRPr="00116A43">
        <w:rPr>
          <w:rFonts w:cs="Arial"/>
          <w:color w:val="auto"/>
          <w:sz w:val="20"/>
          <w:szCs w:val="20"/>
          <w:lang w:val="es-PE"/>
        </w:rPr>
        <w:t xml:space="preserve">En este contexto, </w:t>
      </w:r>
      <w:r w:rsidR="006A3163" w:rsidRPr="00116A43">
        <w:rPr>
          <w:rFonts w:cs="Arial"/>
          <w:color w:val="auto"/>
          <w:sz w:val="20"/>
          <w:szCs w:val="20"/>
          <w:lang w:val="es-PE"/>
        </w:rPr>
        <w:t xml:space="preserve">la Comisión nuevamente </w:t>
      </w:r>
      <w:r w:rsidR="00067587">
        <w:rPr>
          <w:rFonts w:cs="Arial"/>
          <w:color w:val="auto"/>
          <w:sz w:val="20"/>
          <w:szCs w:val="20"/>
          <w:lang w:val="es-PE"/>
        </w:rPr>
        <w:t>constató</w:t>
      </w:r>
      <w:r w:rsidR="006A3163" w:rsidRPr="00116A43">
        <w:rPr>
          <w:rFonts w:cs="Arial"/>
          <w:color w:val="auto"/>
          <w:sz w:val="20"/>
          <w:szCs w:val="20"/>
          <w:lang w:val="es-PE"/>
        </w:rPr>
        <w:t xml:space="preserve"> la persecución sufrida por la prensa independiente en Cuba </w:t>
      </w:r>
      <w:r w:rsidR="008A70C2" w:rsidRPr="00116A43">
        <w:rPr>
          <w:rFonts w:cs="Arial"/>
          <w:color w:val="auto"/>
          <w:sz w:val="20"/>
          <w:szCs w:val="20"/>
          <w:lang w:val="es-PE"/>
        </w:rPr>
        <w:t xml:space="preserve">y destacó que </w:t>
      </w:r>
      <w:r w:rsidRPr="00116A43">
        <w:rPr>
          <w:rFonts w:cs="Arial"/>
          <w:color w:val="auto"/>
          <w:sz w:val="20"/>
          <w:szCs w:val="20"/>
          <w:lang w:val="es-PE"/>
        </w:rPr>
        <w:t xml:space="preserve">las personas periodistas y disidentes políticos están desamparados para obtener acceso a la justicia, pues </w:t>
      </w:r>
      <w:r w:rsidR="007B4149" w:rsidRPr="00116A43">
        <w:rPr>
          <w:rFonts w:cs="Arial"/>
          <w:color w:val="auto"/>
          <w:sz w:val="20"/>
          <w:szCs w:val="20"/>
          <w:lang w:val="es-PE"/>
        </w:rPr>
        <w:t>“</w:t>
      </w:r>
      <w:r w:rsidRPr="00116A43">
        <w:rPr>
          <w:rFonts w:cs="Arial"/>
          <w:color w:val="auto"/>
          <w:sz w:val="20"/>
          <w:szCs w:val="20"/>
          <w:lang w:val="es-PE"/>
        </w:rPr>
        <w:t xml:space="preserve">ha sostenido reiteradamente que en Cuba no existe una debida separación entre los poderes </w:t>
      </w:r>
      <w:r w:rsidRPr="00116A43">
        <w:rPr>
          <w:rFonts w:cs="Arial"/>
          <w:color w:val="auto"/>
          <w:sz w:val="20"/>
          <w:szCs w:val="20"/>
          <w:lang w:val="es-PE"/>
        </w:rPr>
        <w:lastRenderedPageBreak/>
        <w:t>públicos que garantice una administración de justicia libre de injerencias provenientes de los demás poderes”</w:t>
      </w:r>
      <w:r w:rsidRPr="00116A43">
        <w:rPr>
          <w:rStyle w:val="FootnoteReference"/>
          <w:rFonts w:cs="Arial"/>
          <w:color w:val="auto"/>
          <w:sz w:val="20"/>
          <w:szCs w:val="20"/>
        </w:rPr>
        <w:footnoteReference w:id="67"/>
      </w:r>
      <w:r w:rsidRPr="00116A43">
        <w:rPr>
          <w:rFonts w:cs="Arial"/>
          <w:color w:val="auto"/>
          <w:sz w:val="20"/>
          <w:szCs w:val="20"/>
          <w:lang w:val="es-PE"/>
        </w:rPr>
        <w:t xml:space="preserve">. </w:t>
      </w:r>
      <w:r w:rsidR="00745C58" w:rsidRPr="00116A43">
        <w:rPr>
          <w:rFonts w:cs="Arial"/>
          <w:color w:val="auto"/>
          <w:sz w:val="20"/>
          <w:szCs w:val="20"/>
          <w:lang w:val="es-PE"/>
        </w:rPr>
        <w:t>La CIDH señaló que:</w:t>
      </w:r>
    </w:p>
    <w:p w14:paraId="375B6C06" w14:textId="77777777" w:rsidR="00745C58" w:rsidRPr="00116A43" w:rsidRDefault="00745C58" w:rsidP="00745C5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autoSpaceDE w:val="0"/>
        <w:autoSpaceDN w:val="0"/>
        <w:adjustRightInd w:val="0"/>
        <w:jc w:val="both"/>
        <w:rPr>
          <w:rFonts w:cs="Arial"/>
          <w:sz w:val="20"/>
          <w:szCs w:val="20"/>
          <w:lang w:val="es-PE"/>
        </w:rPr>
      </w:pPr>
    </w:p>
    <w:p w14:paraId="1105ACE2" w14:textId="471C9F41" w:rsidR="00FE05C7" w:rsidRPr="00116A43" w:rsidRDefault="00FE05C7" w:rsidP="00577F2D">
      <w:pPr>
        <w:tabs>
          <w:tab w:val="left" w:pos="9072"/>
        </w:tabs>
        <w:autoSpaceDE w:val="0"/>
        <w:autoSpaceDN w:val="0"/>
        <w:adjustRightInd w:val="0"/>
        <w:ind w:left="720" w:right="720"/>
        <w:jc w:val="both"/>
        <w:rPr>
          <w:rFonts w:ascii="Cambria" w:hAnsi="Cambria" w:cs="Arial"/>
          <w:sz w:val="18"/>
          <w:szCs w:val="18"/>
          <w:lang w:val="es-PE"/>
        </w:rPr>
      </w:pPr>
      <w:r w:rsidRPr="00116A43">
        <w:rPr>
          <w:rFonts w:ascii="Cambria" w:hAnsi="Cambria" w:cs="Arial"/>
          <w:sz w:val="18"/>
          <w:szCs w:val="18"/>
          <w:lang w:val="es-PE"/>
        </w:rPr>
        <w:t xml:space="preserve">Una de las mayores preocupaciones de la Comisión respecto al acceso a la justicia en Cuba, se refiere a la efectiva aplicación de las normas constitucionales en los procesos administrativos y judiciales. La Comisión observa que la ausencia de independencia </w:t>
      </w:r>
      <w:r w:rsidR="001F47D6" w:rsidRPr="00116A43">
        <w:rPr>
          <w:rFonts w:ascii="Cambria" w:hAnsi="Cambria" w:cs="Arial"/>
          <w:sz w:val="18"/>
          <w:szCs w:val="18"/>
          <w:lang w:val="es-PE"/>
        </w:rPr>
        <w:t>judicial</w:t>
      </w:r>
      <w:r w:rsidRPr="00116A43">
        <w:rPr>
          <w:rFonts w:ascii="Cambria" w:hAnsi="Cambria" w:cs="Arial"/>
          <w:sz w:val="18"/>
          <w:szCs w:val="18"/>
          <w:lang w:val="es-PE"/>
        </w:rPr>
        <w:t xml:space="preserve"> tendría graves repercusiones en las decisiones de los jueces. En casos concretos de personas disidentes, testimonios indican que existe una ausencia de imparcialidad y no se cumplen plenamente garantías como la publicidad de los juicios”</w:t>
      </w:r>
      <w:r w:rsidRPr="00116A43">
        <w:rPr>
          <w:rStyle w:val="FootnoteReference"/>
          <w:rFonts w:ascii="Cambria" w:hAnsi="Cambria" w:cs="Arial"/>
          <w:sz w:val="18"/>
          <w:szCs w:val="18"/>
        </w:rPr>
        <w:footnoteReference w:id="68"/>
      </w:r>
      <w:r w:rsidRPr="00116A43">
        <w:rPr>
          <w:rFonts w:ascii="Cambria" w:hAnsi="Cambria" w:cs="Arial"/>
          <w:sz w:val="18"/>
          <w:szCs w:val="18"/>
          <w:lang w:val="es-PE"/>
        </w:rPr>
        <w:t>.</w:t>
      </w:r>
    </w:p>
    <w:p w14:paraId="30164BC5" w14:textId="62657F29" w:rsidR="00236F18" w:rsidRPr="00116A43" w:rsidRDefault="00236F18" w:rsidP="00B9394C">
      <w:pPr>
        <w:tabs>
          <w:tab w:val="left" w:pos="9072"/>
        </w:tabs>
        <w:autoSpaceDE w:val="0"/>
        <w:autoSpaceDN w:val="0"/>
        <w:adjustRightInd w:val="0"/>
        <w:ind w:left="720" w:right="864"/>
        <w:jc w:val="both"/>
        <w:rPr>
          <w:rFonts w:ascii="Cambria" w:hAnsi="Cambria" w:cs="Arial"/>
          <w:sz w:val="18"/>
          <w:szCs w:val="18"/>
          <w:lang w:val="es-PE"/>
        </w:rPr>
      </w:pPr>
    </w:p>
    <w:p w14:paraId="69689BEB" w14:textId="37DF6E5A" w:rsidR="00236F18" w:rsidRPr="00116A43" w:rsidRDefault="00236F18"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suppressAutoHyphens/>
        <w:ind w:firstLine="0"/>
        <w:jc w:val="both"/>
        <w:rPr>
          <w:sz w:val="20"/>
          <w:szCs w:val="20"/>
          <w:bdr w:val="none" w:sz="0" w:space="0" w:color="auto"/>
          <w:lang w:val="es-419"/>
        </w:rPr>
      </w:pPr>
      <w:r w:rsidRPr="00116A43">
        <w:rPr>
          <w:rFonts w:cs="Arial"/>
          <w:sz w:val="20"/>
          <w:szCs w:val="20"/>
          <w:lang w:val="es-PE"/>
        </w:rPr>
        <w:t xml:space="preserve">Finalmente, </w:t>
      </w:r>
      <w:r w:rsidRPr="00116A43">
        <w:rPr>
          <w:sz w:val="20"/>
          <w:szCs w:val="20"/>
          <w:bdr w:val="none" w:sz="0" w:space="0" w:color="auto"/>
          <w:lang w:val="es-419"/>
        </w:rPr>
        <w:t xml:space="preserve">la CIDH ha observado </w:t>
      </w:r>
      <w:r w:rsidR="00380C47" w:rsidRPr="00116A43">
        <w:rPr>
          <w:sz w:val="20"/>
          <w:szCs w:val="20"/>
          <w:bdr w:val="none" w:sz="0" w:space="0" w:color="auto"/>
          <w:lang w:val="es-419"/>
        </w:rPr>
        <w:t xml:space="preserve">a lo largo de los años, </w:t>
      </w:r>
      <w:r w:rsidR="00DF1E94" w:rsidRPr="00116A43">
        <w:rPr>
          <w:sz w:val="20"/>
          <w:szCs w:val="20"/>
          <w:bdr w:val="none" w:sz="0" w:space="0" w:color="auto"/>
          <w:lang w:val="es-419"/>
        </w:rPr>
        <w:t xml:space="preserve">que </w:t>
      </w:r>
      <w:r w:rsidRPr="00116A43">
        <w:rPr>
          <w:sz w:val="20"/>
          <w:szCs w:val="20"/>
          <w:bdr w:val="none" w:sz="0" w:space="0" w:color="auto"/>
          <w:lang w:val="es-419"/>
        </w:rPr>
        <w:t xml:space="preserve">la persecución de periodistas, defensores de derechos humanos y disidentes políticos en Cuba </w:t>
      </w:r>
      <w:r w:rsidR="00DF1E94" w:rsidRPr="00116A43">
        <w:rPr>
          <w:sz w:val="20"/>
          <w:szCs w:val="20"/>
          <w:bdr w:val="none" w:sz="0" w:space="0" w:color="auto"/>
          <w:lang w:val="es-419"/>
        </w:rPr>
        <w:t xml:space="preserve">se ha acompañado </w:t>
      </w:r>
      <w:r w:rsidR="004330B2" w:rsidRPr="00116A43">
        <w:rPr>
          <w:sz w:val="20"/>
          <w:szCs w:val="20"/>
          <w:bdr w:val="none" w:sz="0" w:space="0" w:color="auto"/>
          <w:lang w:val="es-419"/>
        </w:rPr>
        <w:t xml:space="preserve">de la </w:t>
      </w:r>
      <w:r w:rsidRPr="00116A43">
        <w:rPr>
          <w:sz w:val="20"/>
          <w:szCs w:val="20"/>
          <w:bdr w:val="none" w:sz="0" w:space="0" w:color="auto"/>
          <w:lang w:val="es-419"/>
        </w:rPr>
        <w:t>identificación de</w:t>
      </w:r>
      <w:r w:rsidR="004330B2" w:rsidRPr="00116A43">
        <w:rPr>
          <w:sz w:val="20"/>
          <w:szCs w:val="20"/>
          <w:bdr w:val="none" w:sz="0" w:space="0" w:color="auto"/>
          <w:lang w:val="es-419"/>
        </w:rPr>
        <w:t xml:space="preserve"> aquellos como</w:t>
      </w:r>
      <w:r w:rsidRPr="00116A43">
        <w:rPr>
          <w:sz w:val="20"/>
          <w:szCs w:val="20"/>
          <w:bdr w:val="none" w:sz="0" w:space="0" w:color="auto"/>
          <w:lang w:val="es-419"/>
        </w:rPr>
        <w:t xml:space="preserve"> personas subversivas y contrarrevolucion</w:t>
      </w:r>
      <w:r w:rsidR="00DF1E94" w:rsidRPr="00116A43">
        <w:rPr>
          <w:sz w:val="20"/>
          <w:szCs w:val="20"/>
          <w:bdr w:val="none" w:sz="0" w:space="0" w:color="auto"/>
          <w:lang w:val="es-419"/>
        </w:rPr>
        <w:t>a</w:t>
      </w:r>
      <w:r w:rsidRPr="00116A43">
        <w:rPr>
          <w:sz w:val="20"/>
          <w:szCs w:val="20"/>
          <w:bdr w:val="none" w:sz="0" w:space="0" w:color="auto"/>
          <w:lang w:val="es-419"/>
        </w:rPr>
        <w:t>rias</w:t>
      </w:r>
      <w:r w:rsidRPr="00116A43">
        <w:rPr>
          <w:sz w:val="20"/>
          <w:szCs w:val="20"/>
          <w:bdr w:val="none" w:sz="0" w:space="0" w:color="auto"/>
          <w:vertAlign w:val="superscript"/>
          <w:lang w:val="es-419"/>
        </w:rPr>
        <w:footnoteReference w:id="69"/>
      </w:r>
      <w:r w:rsidR="00FD2E9A" w:rsidRPr="00116A43">
        <w:rPr>
          <w:sz w:val="20"/>
          <w:szCs w:val="20"/>
          <w:bdr w:val="none" w:sz="0" w:space="0" w:color="auto"/>
          <w:lang w:val="es-419"/>
        </w:rPr>
        <w:t xml:space="preserve">. </w:t>
      </w:r>
      <w:r w:rsidRPr="00116A43">
        <w:rPr>
          <w:sz w:val="20"/>
          <w:szCs w:val="20"/>
          <w:bdr w:val="none" w:sz="0" w:space="0" w:color="auto"/>
          <w:lang w:val="es-419"/>
        </w:rPr>
        <w:t xml:space="preserve">Estos </w:t>
      </w:r>
      <w:r w:rsidR="00F33272" w:rsidRPr="00116A43">
        <w:rPr>
          <w:sz w:val="20"/>
          <w:szCs w:val="20"/>
          <w:bdr w:val="none" w:sz="0" w:space="0" w:color="auto"/>
          <w:lang w:val="es-419"/>
        </w:rPr>
        <w:t>calificativos</w:t>
      </w:r>
      <w:r w:rsidRPr="00116A43">
        <w:rPr>
          <w:sz w:val="20"/>
          <w:szCs w:val="20"/>
          <w:bdr w:val="none" w:sz="0" w:space="0" w:color="auto"/>
          <w:lang w:val="es-419"/>
        </w:rPr>
        <w:t xml:space="preserve"> y otros similares, como la acusación de vinculación de la persona con países extranjeros</w:t>
      </w:r>
      <w:r w:rsidRPr="00116A43">
        <w:rPr>
          <w:sz w:val="20"/>
          <w:szCs w:val="20"/>
          <w:bdr w:val="none" w:sz="0" w:space="0" w:color="auto"/>
          <w:vertAlign w:val="superscript"/>
          <w:lang w:val="es-419"/>
        </w:rPr>
        <w:footnoteReference w:id="70"/>
      </w:r>
      <w:r w:rsidR="00FD2E9A" w:rsidRPr="00116A43">
        <w:rPr>
          <w:sz w:val="20"/>
          <w:szCs w:val="20"/>
          <w:bdr w:val="none" w:sz="0" w:space="0" w:color="auto"/>
          <w:lang w:val="es-419"/>
        </w:rPr>
        <w:t xml:space="preserve"> (</w:t>
      </w:r>
      <w:r w:rsidR="00D2300F" w:rsidRPr="00116A43">
        <w:rPr>
          <w:sz w:val="20"/>
          <w:szCs w:val="20"/>
          <w:bdr w:val="none" w:sz="0" w:space="0" w:color="auto"/>
          <w:lang w:val="es-419"/>
        </w:rPr>
        <w:t>especialmente como personas que trabajan para los Estados Unidos)</w:t>
      </w:r>
      <w:r w:rsidRPr="00116A43">
        <w:rPr>
          <w:sz w:val="20"/>
          <w:szCs w:val="20"/>
          <w:bdr w:val="none" w:sz="0" w:space="0" w:color="auto"/>
          <w:lang w:val="es-419"/>
        </w:rPr>
        <w:t>, son utilizados no solamente por particulares</w:t>
      </w:r>
      <w:r w:rsidR="006A077B" w:rsidRPr="00116A43">
        <w:rPr>
          <w:sz w:val="20"/>
          <w:szCs w:val="20"/>
          <w:bdr w:val="none" w:sz="0" w:space="0" w:color="auto"/>
          <w:lang w:val="es-419"/>
        </w:rPr>
        <w:t xml:space="preserve">, </w:t>
      </w:r>
      <w:r w:rsidRPr="00116A43">
        <w:rPr>
          <w:sz w:val="20"/>
          <w:szCs w:val="20"/>
          <w:bdr w:val="none" w:sz="0" w:space="0" w:color="auto"/>
          <w:lang w:val="es-419"/>
        </w:rPr>
        <w:t>los Comités de Defensa de la Revolución y los Destacamentos Populares de Respuesta Rápida</w:t>
      </w:r>
      <w:r w:rsidRPr="00116A43">
        <w:rPr>
          <w:sz w:val="20"/>
          <w:szCs w:val="20"/>
          <w:bdr w:val="none" w:sz="0" w:space="0" w:color="auto"/>
          <w:vertAlign w:val="superscript"/>
          <w:lang w:val="es-419"/>
        </w:rPr>
        <w:footnoteReference w:id="71"/>
      </w:r>
      <w:r w:rsidRPr="00116A43">
        <w:rPr>
          <w:sz w:val="20"/>
          <w:szCs w:val="20"/>
          <w:bdr w:val="none" w:sz="0" w:space="0" w:color="auto"/>
          <w:lang w:val="es-419"/>
        </w:rPr>
        <w:t>, sino también por autoridades estatales</w:t>
      </w:r>
      <w:r w:rsidRPr="00116A43">
        <w:rPr>
          <w:sz w:val="20"/>
          <w:szCs w:val="20"/>
          <w:bdr w:val="none" w:sz="0" w:space="0" w:color="auto"/>
          <w:vertAlign w:val="superscript"/>
          <w:lang w:val="es-419"/>
        </w:rPr>
        <w:footnoteReference w:id="72"/>
      </w:r>
      <w:r w:rsidRPr="00116A43">
        <w:rPr>
          <w:sz w:val="20"/>
          <w:szCs w:val="20"/>
          <w:bdr w:val="none" w:sz="0" w:space="0" w:color="auto"/>
          <w:lang w:val="es-419"/>
        </w:rPr>
        <w:t>. E</w:t>
      </w:r>
      <w:r w:rsidR="00525EAE" w:rsidRPr="00116A43">
        <w:rPr>
          <w:sz w:val="20"/>
          <w:szCs w:val="20"/>
          <w:bdr w:val="none" w:sz="0" w:space="0" w:color="auto"/>
          <w:lang w:val="es-419"/>
        </w:rPr>
        <w:t xml:space="preserve">n este sentido, la CIDH considera </w:t>
      </w:r>
      <w:r w:rsidRPr="00116A43">
        <w:rPr>
          <w:sz w:val="20"/>
          <w:szCs w:val="20"/>
          <w:bdr w:val="none" w:sz="0" w:space="0" w:color="auto"/>
          <w:lang w:val="es-419"/>
        </w:rPr>
        <w:t xml:space="preserve">que la estigmatización de periodistas bajo </w:t>
      </w:r>
      <w:r w:rsidR="00525EAE" w:rsidRPr="00116A43">
        <w:rPr>
          <w:sz w:val="20"/>
          <w:szCs w:val="20"/>
          <w:bdr w:val="none" w:sz="0" w:space="0" w:color="auto"/>
          <w:lang w:val="es-419"/>
        </w:rPr>
        <w:t xml:space="preserve">calificativos </w:t>
      </w:r>
      <w:r w:rsidRPr="00116A43">
        <w:rPr>
          <w:sz w:val="20"/>
          <w:szCs w:val="20"/>
          <w:bdr w:val="none" w:sz="0" w:space="0" w:color="auto"/>
          <w:lang w:val="es-419"/>
        </w:rPr>
        <w:t xml:space="preserve">peyorativos se presenta como una práctica reiterada </w:t>
      </w:r>
      <w:r w:rsidR="00CC2B96" w:rsidRPr="00116A43">
        <w:rPr>
          <w:sz w:val="20"/>
          <w:szCs w:val="20"/>
          <w:bdr w:val="none" w:sz="0" w:space="0" w:color="auto"/>
          <w:lang w:val="es-419"/>
        </w:rPr>
        <w:t>en la Isla</w:t>
      </w:r>
      <w:r w:rsidRPr="00116A43">
        <w:rPr>
          <w:sz w:val="20"/>
          <w:szCs w:val="20"/>
          <w:bdr w:val="none" w:sz="0" w:space="0" w:color="auto"/>
          <w:lang w:val="es-419"/>
        </w:rPr>
        <w:t xml:space="preserve">. </w:t>
      </w:r>
    </w:p>
    <w:p w14:paraId="48DC2EC4" w14:textId="77777777" w:rsidR="004E7E99" w:rsidRPr="00116A43" w:rsidRDefault="004E7E99" w:rsidP="004E7E99">
      <w:pPr>
        <w:pBdr>
          <w:top w:val="none" w:sz="0" w:space="0" w:color="auto"/>
          <w:left w:val="none" w:sz="0" w:space="0" w:color="auto"/>
          <w:bottom w:val="none" w:sz="0" w:space="0" w:color="auto"/>
          <w:right w:val="none" w:sz="0" w:space="0" w:color="auto"/>
        </w:pBdr>
        <w:jc w:val="both"/>
        <w:rPr>
          <w:rFonts w:ascii="Cambria" w:hAnsi="Cambria"/>
          <w:sz w:val="20"/>
          <w:szCs w:val="20"/>
          <w:bdr w:val="none" w:sz="0" w:space="0" w:color="auto"/>
          <w:lang w:val="es-419"/>
        </w:rPr>
      </w:pPr>
    </w:p>
    <w:p w14:paraId="7446AB13" w14:textId="09C5426E" w:rsidR="00B44D0F" w:rsidRPr="00577F2D" w:rsidRDefault="00303BE7" w:rsidP="004F709F">
      <w:pPr>
        <w:pStyle w:val="Heading2"/>
      </w:pPr>
      <w:bookmarkStart w:id="19" w:name="_Toc89157563"/>
      <w:r w:rsidRPr="00577F2D">
        <w:t>Sobre l</w:t>
      </w:r>
      <w:r w:rsidR="007147AF" w:rsidRPr="00577F2D">
        <w:t xml:space="preserve">a </w:t>
      </w:r>
      <w:r w:rsidR="009474D6" w:rsidRPr="00577F2D">
        <w:t xml:space="preserve">periodista y </w:t>
      </w:r>
      <w:r w:rsidR="007147AF" w:rsidRPr="00577F2D">
        <w:t>bloguera Yoani Maria Sánchez Cordero</w:t>
      </w:r>
      <w:bookmarkEnd w:id="19"/>
    </w:p>
    <w:p w14:paraId="2C4B706E" w14:textId="77777777" w:rsidR="009474D6" w:rsidRPr="00116A43" w:rsidRDefault="009474D6" w:rsidP="00810F85">
      <w:pPr>
        <w:pStyle w:val="ListParagraph"/>
        <w:ind w:left="1080"/>
        <w:jc w:val="both"/>
        <w:rPr>
          <w:rFonts w:eastAsia="Arial Unicode MS" w:cs="Arial"/>
          <w:b/>
          <w:color w:val="auto"/>
          <w:sz w:val="20"/>
          <w:szCs w:val="20"/>
          <w:lang w:val="es-ES" w:eastAsia="en-US"/>
        </w:rPr>
      </w:pPr>
    </w:p>
    <w:p w14:paraId="561DF34F" w14:textId="2CC537E8" w:rsidR="00B44D0F" w:rsidRPr="00116A43" w:rsidRDefault="00B44D0F" w:rsidP="00375047">
      <w:pPr>
        <w:pStyle w:val="ListParagraph"/>
        <w:numPr>
          <w:ilvl w:val="0"/>
          <w:numId w:val="55"/>
        </w:numPr>
        <w:ind w:firstLine="0"/>
        <w:jc w:val="both"/>
        <w:rPr>
          <w:rFonts w:eastAsia="Arial Unicode MS" w:cs="Arial"/>
          <w:color w:val="auto"/>
          <w:sz w:val="20"/>
          <w:szCs w:val="20"/>
          <w:lang w:val="es-ES" w:eastAsia="en-US"/>
        </w:rPr>
      </w:pPr>
      <w:r w:rsidRPr="00116A43">
        <w:rPr>
          <w:rFonts w:eastAsia="Arial Unicode MS" w:cs="Arial"/>
          <w:color w:val="auto"/>
          <w:sz w:val="20"/>
          <w:szCs w:val="20"/>
          <w:lang w:val="es-ES" w:eastAsia="en-US"/>
        </w:rPr>
        <w:t xml:space="preserve">Yoani Maria Sánchez </w:t>
      </w:r>
      <w:r w:rsidR="00470646" w:rsidRPr="00116A43">
        <w:rPr>
          <w:rFonts w:eastAsia="Arial Unicode MS" w:cs="Arial"/>
          <w:color w:val="auto"/>
          <w:sz w:val="20"/>
          <w:szCs w:val="20"/>
          <w:lang w:val="es-ES" w:eastAsia="en-US"/>
        </w:rPr>
        <w:t xml:space="preserve">Cordero </w:t>
      </w:r>
      <w:r w:rsidRPr="00116A43">
        <w:rPr>
          <w:rFonts w:eastAsia="Arial Unicode MS" w:cs="Arial"/>
          <w:color w:val="auto"/>
          <w:sz w:val="20"/>
          <w:szCs w:val="20"/>
          <w:lang w:val="es-ES" w:eastAsia="en-US"/>
        </w:rPr>
        <w:t>nació el 4 de septiembre de 1975</w:t>
      </w:r>
      <w:r w:rsidRPr="00116A43">
        <w:rPr>
          <w:rFonts w:eastAsia="Arial Unicode MS" w:cs="Arial"/>
          <w:color w:val="auto"/>
          <w:sz w:val="20"/>
          <w:szCs w:val="20"/>
          <w:vertAlign w:val="superscript"/>
          <w:lang w:val="es-ES" w:eastAsia="en-US"/>
        </w:rPr>
        <w:footnoteReference w:id="73"/>
      </w:r>
      <w:r w:rsidRPr="00116A43">
        <w:rPr>
          <w:rFonts w:eastAsia="Arial Unicode MS" w:cs="Arial"/>
          <w:color w:val="auto"/>
          <w:sz w:val="20"/>
          <w:szCs w:val="20"/>
          <w:lang w:val="es-ES" w:eastAsia="en-US"/>
        </w:rPr>
        <w:t xml:space="preserve">. De 1995 a 2000, </w:t>
      </w:r>
      <w:r w:rsidR="009474D6" w:rsidRPr="00116A43">
        <w:rPr>
          <w:rFonts w:eastAsia="Arial Unicode MS" w:cs="Arial"/>
          <w:color w:val="auto"/>
          <w:sz w:val="20"/>
          <w:szCs w:val="20"/>
          <w:lang w:val="es-ES" w:eastAsia="en-US"/>
        </w:rPr>
        <w:t xml:space="preserve">asistió a </w:t>
      </w:r>
      <w:r w:rsidRPr="00116A43">
        <w:rPr>
          <w:rFonts w:eastAsia="Arial Unicode MS" w:cs="Arial"/>
          <w:color w:val="auto"/>
          <w:sz w:val="20"/>
          <w:szCs w:val="20"/>
          <w:lang w:val="es-ES" w:eastAsia="en-US"/>
        </w:rPr>
        <w:t>la Facultad de Artes y Letras, donde terminó la especialidad de Filología Hispánica y se especializó en literatura latinoamericana contemporánea. Después de su grado, trabajó en la Editorial Gente Nueva y como profesora de español para turistas. Emigró a Suiza en el 2002 y regresó a Cuba en el 2004</w:t>
      </w:r>
      <w:r w:rsidRPr="00116A43">
        <w:rPr>
          <w:rFonts w:eastAsia="Arial Unicode MS" w:cs="Arial"/>
          <w:color w:val="auto"/>
          <w:sz w:val="20"/>
          <w:szCs w:val="20"/>
          <w:vertAlign w:val="superscript"/>
          <w:lang w:val="es-ES" w:eastAsia="en-US"/>
        </w:rPr>
        <w:footnoteReference w:id="74"/>
      </w:r>
      <w:r w:rsidRPr="00116A43">
        <w:rPr>
          <w:rFonts w:eastAsia="Arial Unicode MS" w:cs="Arial"/>
          <w:color w:val="auto"/>
          <w:sz w:val="20"/>
          <w:szCs w:val="20"/>
          <w:lang w:val="es-ES" w:eastAsia="en-US"/>
        </w:rPr>
        <w:t xml:space="preserve">. </w:t>
      </w:r>
    </w:p>
    <w:p w14:paraId="40E3BA2A" w14:textId="77777777" w:rsidR="009474D6" w:rsidRPr="00116A43" w:rsidRDefault="009474D6" w:rsidP="00375047">
      <w:pPr>
        <w:pStyle w:val="ListParagraph"/>
        <w:ind w:left="0"/>
        <w:jc w:val="both"/>
        <w:rPr>
          <w:rFonts w:eastAsia="Arial Unicode MS" w:cs="Arial"/>
          <w:color w:val="auto"/>
          <w:sz w:val="20"/>
          <w:szCs w:val="20"/>
          <w:lang w:val="es-ES" w:eastAsia="en-US"/>
        </w:rPr>
      </w:pPr>
    </w:p>
    <w:p w14:paraId="58C78119" w14:textId="11993FE0" w:rsidR="009474D6" w:rsidRPr="00116A43" w:rsidRDefault="00B44D0F" w:rsidP="00375047">
      <w:pPr>
        <w:pStyle w:val="ListParagraph"/>
        <w:numPr>
          <w:ilvl w:val="0"/>
          <w:numId w:val="55"/>
        </w:numPr>
        <w:autoSpaceDE w:val="0"/>
        <w:autoSpaceDN w:val="0"/>
        <w:adjustRightInd w:val="0"/>
        <w:ind w:firstLine="0"/>
        <w:jc w:val="both"/>
        <w:rPr>
          <w:rFonts w:eastAsia="Arial Unicode MS" w:cs="Arial"/>
          <w:color w:val="auto"/>
          <w:sz w:val="20"/>
          <w:szCs w:val="20"/>
          <w:lang w:val="es-ES" w:eastAsia="en-US"/>
        </w:rPr>
      </w:pPr>
      <w:r w:rsidRPr="00116A43">
        <w:rPr>
          <w:rFonts w:eastAsia="Arial Unicode MS" w:cs="Arial"/>
          <w:color w:val="auto"/>
          <w:sz w:val="20"/>
          <w:szCs w:val="20"/>
          <w:lang w:val="es-ES" w:eastAsia="en-US"/>
        </w:rPr>
        <w:t>L</w:t>
      </w:r>
      <w:r w:rsidR="009474D6" w:rsidRPr="00116A43">
        <w:rPr>
          <w:rFonts w:eastAsia="Arial Unicode MS" w:cs="Arial"/>
          <w:color w:val="auto"/>
          <w:sz w:val="20"/>
          <w:szCs w:val="20"/>
          <w:lang w:val="es-ES" w:eastAsia="en-US"/>
        </w:rPr>
        <w:t>ue</w:t>
      </w:r>
      <w:r w:rsidRPr="00116A43">
        <w:rPr>
          <w:rFonts w:eastAsia="Arial Unicode MS" w:cs="Arial"/>
          <w:color w:val="auto"/>
          <w:sz w:val="20"/>
          <w:szCs w:val="20"/>
          <w:lang w:val="es-ES" w:eastAsia="en-US"/>
        </w:rPr>
        <w:t xml:space="preserve">go de su regreso, </w:t>
      </w:r>
      <w:r w:rsidR="009474D6" w:rsidRPr="00116A43">
        <w:rPr>
          <w:rFonts w:eastAsia="Arial Unicode MS" w:cs="Arial"/>
          <w:color w:val="auto"/>
          <w:sz w:val="20"/>
          <w:szCs w:val="20"/>
          <w:lang w:val="es-ES" w:eastAsia="en-US"/>
        </w:rPr>
        <w:t>fundó</w:t>
      </w:r>
      <w:r w:rsidRPr="00116A43">
        <w:rPr>
          <w:rFonts w:eastAsia="Arial Unicode MS" w:cs="Arial"/>
          <w:color w:val="auto"/>
          <w:sz w:val="20"/>
          <w:szCs w:val="20"/>
          <w:lang w:val="es-ES" w:eastAsia="en-US"/>
        </w:rPr>
        <w:t xml:space="preserve"> la revista Consenso</w:t>
      </w:r>
      <w:r w:rsidR="009474D6" w:rsidRPr="00116A43">
        <w:rPr>
          <w:rFonts w:eastAsia="Arial Unicode MS" w:cs="Arial"/>
          <w:color w:val="auto"/>
          <w:sz w:val="20"/>
          <w:szCs w:val="20"/>
          <w:lang w:val="es-ES" w:eastAsia="en-US"/>
        </w:rPr>
        <w:t>, junto con otros cubanos,</w:t>
      </w:r>
      <w:r w:rsidRPr="00116A43">
        <w:rPr>
          <w:rFonts w:eastAsia="Arial Unicode MS" w:cs="Arial"/>
          <w:color w:val="auto"/>
          <w:sz w:val="20"/>
          <w:szCs w:val="20"/>
          <w:lang w:val="es-ES" w:eastAsia="en-US"/>
        </w:rPr>
        <w:t xml:space="preserve"> y en abril de 2007, creó el blog </w:t>
      </w:r>
      <w:r w:rsidR="009474D6" w:rsidRPr="00116A43">
        <w:rPr>
          <w:rFonts w:eastAsia="Arial Unicode MS" w:cs="Arial"/>
          <w:color w:val="auto"/>
          <w:sz w:val="20"/>
          <w:szCs w:val="20"/>
          <w:lang w:val="es-ES" w:eastAsia="en-US"/>
        </w:rPr>
        <w:t>G</w:t>
      </w:r>
      <w:r w:rsidRPr="00116A43">
        <w:rPr>
          <w:rFonts w:eastAsia="Arial Unicode MS" w:cs="Arial"/>
          <w:color w:val="auto"/>
          <w:sz w:val="20"/>
          <w:szCs w:val="20"/>
          <w:lang w:val="es-ES" w:eastAsia="en-US"/>
        </w:rPr>
        <w:t>eneración Y</w:t>
      </w:r>
      <w:r w:rsidRPr="00116A43">
        <w:rPr>
          <w:rFonts w:eastAsia="Arial Unicode MS" w:cs="Arial"/>
          <w:color w:val="auto"/>
          <w:sz w:val="20"/>
          <w:szCs w:val="20"/>
          <w:vertAlign w:val="superscript"/>
          <w:lang w:val="es-ES" w:eastAsia="en-US"/>
        </w:rPr>
        <w:footnoteReference w:id="75"/>
      </w:r>
      <w:r w:rsidRPr="00116A43">
        <w:rPr>
          <w:rFonts w:eastAsia="Arial Unicode MS" w:cs="Arial"/>
          <w:color w:val="auto"/>
          <w:sz w:val="20"/>
          <w:szCs w:val="20"/>
          <w:lang w:val="es-ES" w:eastAsia="en-US"/>
        </w:rPr>
        <w:t xml:space="preserve">. </w:t>
      </w:r>
      <w:r w:rsidR="009474D6" w:rsidRPr="00116A43">
        <w:rPr>
          <w:sz w:val="20"/>
          <w:szCs w:val="20"/>
          <w:lang w:val="es-PE"/>
        </w:rPr>
        <w:t>Actualmente, se desempeña como periodista y directora del diario cubano digital 14ymedio.com</w:t>
      </w:r>
      <w:r w:rsidR="009474D6" w:rsidRPr="00116A43">
        <w:rPr>
          <w:rStyle w:val="FootnoteReference"/>
          <w:sz w:val="20"/>
          <w:szCs w:val="20"/>
          <w:lang w:val="es-PE"/>
        </w:rPr>
        <w:footnoteReference w:id="76"/>
      </w:r>
      <w:r w:rsidR="00A667B3" w:rsidRPr="00116A43">
        <w:rPr>
          <w:sz w:val="20"/>
          <w:szCs w:val="20"/>
          <w:lang w:val="es-PE"/>
        </w:rPr>
        <w:t>, el primer sitio web de noticias independiente en Cuba, fundado por Yoani Sánchez</w:t>
      </w:r>
      <w:r w:rsidR="000E34F9" w:rsidRPr="00116A43">
        <w:rPr>
          <w:sz w:val="20"/>
          <w:szCs w:val="20"/>
          <w:lang w:val="es-PE"/>
        </w:rPr>
        <w:t xml:space="preserve">, el cual </w:t>
      </w:r>
      <w:r w:rsidR="002E1F58" w:rsidRPr="00116A43">
        <w:rPr>
          <w:sz w:val="20"/>
          <w:szCs w:val="20"/>
          <w:lang w:val="es-PE"/>
        </w:rPr>
        <w:t xml:space="preserve">se encuentra alojado fuera de </w:t>
      </w:r>
      <w:r w:rsidR="009A6E91" w:rsidRPr="00116A43">
        <w:rPr>
          <w:sz w:val="20"/>
          <w:szCs w:val="20"/>
          <w:lang w:val="es-PE"/>
        </w:rPr>
        <w:t>la Isla</w:t>
      </w:r>
      <w:r w:rsidR="000E34F9" w:rsidRPr="00116A43">
        <w:rPr>
          <w:rStyle w:val="FootnoteReference"/>
          <w:sz w:val="20"/>
          <w:szCs w:val="20"/>
          <w:lang w:val="es-PE"/>
        </w:rPr>
        <w:footnoteReference w:id="77"/>
      </w:r>
      <w:r w:rsidR="000E34F9" w:rsidRPr="00116A43">
        <w:rPr>
          <w:sz w:val="20"/>
          <w:szCs w:val="20"/>
          <w:lang w:val="es-PE"/>
        </w:rPr>
        <w:t>.</w:t>
      </w:r>
    </w:p>
    <w:p w14:paraId="422FC571" w14:textId="77777777" w:rsidR="009474D6" w:rsidRPr="00116A43" w:rsidRDefault="009474D6" w:rsidP="00375047">
      <w:pPr>
        <w:pStyle w:val="ListParagraph"/>
        <w:ind w:left="0"/>
        <w:rPr>
          <w:sz w:val="20"/>
          <w:szCs w:val="20"/>
          <w:lang w:val="es-PE"/>
        </w:rPr>
      </w:pPr>
    </w:p>
    <w:p w14:paraId="5F6CAB57" w14:textId="3F342B4C" w:rsidR="00BC7E5B" w:rsidRPr="00116A43" w:rsidRDefault="009474D6" w:rsidP="00375047">
      <w:pPr>
        <w:pStyle w:val="ListParagraph"/>
        <w:numPr>
          <w:ilvl w:val="0"/>
          <w:numId w:val="55"/>
        </w:numPr>
        <w:autoSpaceDE w:val="0"/>
        <w:autoSpaceDN w:val="0"/>
        <w:adjustRightInd w:val="0"/>
        <w:ind w:firstLine="0"/>
        <w:jc w:val="both"/>
        <w:rPr>
          <w:rFonts w:eastAsia="Arial Unicode MS" w:cs="Arial"/>
          <w:color w:val="auto"/>
          <w:sz w:val="20"/>
          <w:szCs w:val="20"/>
          <w:lang w:val="es-ES" w:eastAsia="en-US"/>
        </w:rPr>
      </w:pPr>
      <w:r w:rsidRPr="00116A43">
        <w:rPr>
          <w:sz w:val="20"/>
          <w:szCs w:val="20"/>
          <w:lang w:val="es-PE"/>
        </w:rPr>
        <w:t>Yoani</w:t>
      </w:r>
      <w:r w:rsidR="00BC7E5B" w:rsidRPr="00116A43">
        <w:rPr>
          <w:sz w:val="20"/>
          <w:szCs w:val="20"/>
          <w:lang w:val="es-PE"/>
        </w:rPr>
        <w:t xml:space="preserve"> ha publicado diversos artículos críticos </w:t>
      </w:r>
      <w:r w:rsidR="009A6E91" w:rsidRPr="00116A43">
        <w:rPr>
          <w:sz w:val="20"/>
          <w:szCs w:val="20"/>
          <w:lang w:val="es-PE"/>
        </w:rPr>
        <w:t>al</w:t>
      </w:r>
      <w:r w:rsidR="00BC7E5B" w:rsidRPr="00116A43">
        <w:rPr>
          <w:sz w:val="20"/>
          <w:szCs w:val="20"/>
          <w:lang w:val="es-PE"/>
        </w:rPr>
        <w:t xml:space="preserve"> gobierno cubano.</w:t>
      </w:r>
      <w:r w:rsidR="00BC7E5B" w:rsidRPr="00116A43">
        <w:rPr>
          <w:rFonts w:cs="Arial"/>
          <w:sz w:val="20"/>
          <w:szCs w:val="20"/>
          <w:lang w:val="es-PE"/>
        </w:rPr>
        <w:t xml:space="preserve"> Tanto en sus artículos como en su blog, ha narrado episodios de su vida y de acontecimientos políticos y sociales en Cuba, la libertad de acceso a</w:t>
      </w:r>
      <w:r w:rsidR="00E76839" w:rsidRPr="00116A43">
        <w:rPr>
          <w:rFonts w:cs="Arial"/>
          <w:sz w:val="20"/>
          <w:szCs w:val="20"/>
          <w:lang w:val="es-PE"/>
        </w:rPr>
        <w:t>l</w:t>
      </w:r>
      <w:r w:rsidR="00BC7E5B" w:rsidRPr="00116A43">
        <w:rPr>
          <w:rFonts w:cs="Arial"/>
          <w:sz w:val="20"/>
          <w:szCs w:val="20"/>
          <w:lang w:val="es-PE"/>
        </w:rPr>
        <w:t xml:space="preserve"> internet en Cuba y la falta de nuevas tecnologías, las condiciones socioeconómicas de vida, la pobreza, la corrupción, la falta de libertad de expresión, los impedimentos de salida del país y la persecución de disidentes políticos</w:t>
      </w:r>
      <w:r w:rsidR="00BC7E5B" w:rsidRPr="00116A43">
        <w:rPr>
          <w:sz w:val="20"/>
          <w:szCs w:val="20"/>
          <w:vertAlign w:val="superscript"/>
        </w:rPr>
        <w:footnoteReference w:id="78"/>
      </w:r>
      <w:r w:rsidR="00BC7E5B" w:rsidRPr="00116A43">
        <w:rPr>
          <w:rFonts w:cs="Arial"/>
          <w:sz w:val="20"/>
          <w:szCs w:val="20"/>
          <w:lang w:val="es-PE"/>
        </w:rPr>
        <w:t xml:space="preserve">. </w:t>
      </w:r>
    </w:p>
    <w:p w14:paraId="46534EF5" w14:textId="6A18FE6A" w:rsidR="009A6E91" w:rsidRPr="00116A43" w:rsidRDefault="009A6E91" w:rsidP="00116A43">
      <w:pPr>
        <w:autoSpaceDE w:val="0"/>
        <w:autoSpaceDN w:val="0"/>
        <w:adjustRightInd w:val="0"/>
        <w:jc w:val="both"/>
        <w:rPr>
          <w:rFonts w:cs="Arial"/>
          <w:sz w:val="20"/>
          <w:szCs w:val="20"/>
        </w:rPr>
      </w:pPr>
    </w:p>
    <w:p w14:paraId="3903E5D5" w14:textId="4F6DE1EB" w:rsidR="00213426" w:rsidRPr="00116A43" w:rsidRDefault="00B44D0F" w:rsidP="00375047">
      <w:pPr>
        <w:pStyle w:val="ListParagraph"/>
        <w:numPr>
          <w:ilvl w:val="0"/>
          <w:numId w:val="55"/>
        </w:numPr>
        <w:autoSpaceDE w:val="0"/>
        <w:autoSpaceDN w:val="0"/>
        <w:adjustRightInd w:val="0"/>
        <w:ind w:firstLine="0"/>
        <w:jc w:val="both"/>
        <w:rPr>
          <w:rFonts w:eastAsia="Arial Unicode MS" w:cs="Arial"/>
          <w:color w:val="auto"/>
          <w:sz w:val="20"/>
          <w:szCs w:val="20"/>
          <w:lang w:val="es-ES" w:eastAsia="en-US"/>
        </w:rPr>
      </w:pPr>
      <w:r w:rsidRPr="00116A43">
        <w:rPr>
          <w:rFonts w:cs="Arial"/>
          <w:color w:val="auto"/>
          <w:sz w:val="20"/>
          <w:szCs w:val="20"/>
          <w:lang w:val="es-PE" w:eastAsia="en-US"/>
        </w:rPr>
        <w:t>El blog ha ganado reconocimiento mundial. En 2008, la presunta víctima recibió el Premio de Periodismo Ortega y Gasset</w:t>
      </w:r>
      <w:r w:rsidR="00E56C15" w:rsidRPr="00116A43">
        <w:rPr>
          <w:rStyle w:val="FootnoteReference"/>
          <w:rFonts w:eastAsia="Arial Unicode MS" w:cs="Arial"/>
          <w:color w:val="auto"/>
          <w:sz w:val="20"/>
          <w:szCs w:val="20"/>
          <w:lang w:val="es-ES" w:eastAsia="en-US"/>
        </w:rPr>
        <w:footnoteReference w:id="79"/>
      </w:r>
      <w:r w:rsidRPr="00116A43">
        <w:rPr>
          <w:rFonts w:cs="Arial"/>
          <w:color w:val="auto"/>
          <w:sz w:val="20"/>
          <w:szCs w:val="20"/>
          <w:lang w:val="es-PE" w:eastAsia="en-US"/>
        </w:rPr>
        <w:t xml:space="preserve">, </w:t>
      </w:r>
      <w:r w:rsidR="00E56C15" w:rsidRPr="00116A43">
        <w:rPr>
          <w:rFonts w:cs="Arial"/>
          <w:color w:val="auto"/>
          <w:sz w:val="20"/>
          <w:szCs w:val="20"/>
          <w:lang w:val="es-PE" w:eastAsia="en-US"/>
        </w:rPr>
        <w:t xml:space="preserve"> </w:t>
      </w:r>
      <w:r w:rsidR="00213426" w:rsidRPr="00116A43">
        <w:rPr>
          <w:rFonts w:cs="Arial"/>
          <w:sz w:val="20"/>
          <w:szCs w:val="20"/>
          <w:lang w:val="es-PE"/>
        </w:rPr>
        <w:t xml:space="preserve">fue seleccionada por la revista </w:t>
      </w:r>
      <w:r w:rsidR="00213426" w:rsidRPr="00116A43">
        <w:rPr>
          <w:rFonts w:cs="Arial"/>
          <w:i/>
          <w:sz w:val="20"/>
          <w:szCs w:val="20"/>
          <w:lang w:val="es-PE"/>
        </w:rPr>
        <w:t>Time</w:t>
      </w:r>
      <w:r w:rsidR="00213426" w:rsidRPr="00116A43">
        <w:rPr>
          <w:rFonts w:cs="Arial"/>
          <w:sz w:val="20"/>
          <w:szCs w:val="20"/>
          <w:lang w:val="es-PE"/>
        </w:rPr>
        <w:t xml:space="preserve"> entre las 100 personas más influyentes del mundo en la categoría "Héroes y pioneros"</w:t>
      </w:r>
      <w:r w:rsidR="00213426" w:rsidRPr="00116A43">
        <w:rPr>
          <w:sz w:val="20"/>
          <w:szCs w:val="20"/>
          <w:vertAlign w:val="superscript"/>
        </w:rPr>
        <w:footnoteReference w:id="80"/>
      </w:r>
      <w:r w:rsidR="00213426" w:rsidRPr="00116A43">
        <w:rPr>
          <w:rFonts w:cs="Arial"/>
          <w:sz w:val="20"/>
          <w:szCs w:val="20"/>
          <w:lang w:val="es-PE"/>
        </w:rPr>
        <w:t xml:space="preserve"> y su blog fue listado entre los 25 mejores por la misma revista, junto a </w:t>
      </w:r>
      <w:r w:rsidR="00213426" w:rsidRPr="00116A43">
        <w:rPr>
          <w:rFonts w:cs="Arial"/>
          <w:i/>
          <w:iCs/>
          <w:sz w:val="20"/>
          <w:szCs w:val="20"/>
          <w:lang w:val="es-PE"/>
        </w:rPr>
        <w:t xml:space="preserve">CNN, </w:t>
      </w:r>
      <w:r w:rsidR="00213426" w:rsidRPr="00116A43">
        <w:rPr>
          <w:rFonts w:cs="Arial"/>
          <w:sz w:val="20"/>
          <w:szCs w:val="20"/>
          <w:lang w:val="es-PE"/>
        </w:rPr>
        <w:t>en 2009</w:t>
      </w:r>
      <w:r w:rsidR="00213426" w:rsidRPr="00116A43">
        <w:rPr>
          <w:sz w:val="20"/>
          <w:szCs w:val="20"/>
          <w:vertAlign w:val="superscript"/>
        </w:rPr>
        <w:footnoteReference w:id="81"/>
      </w:r>
      <w:r w:rsidR="00213426" w:rsidRPr="00116A43">
        <w:rPr>
          <w:rFonts w:cs="Arial"/>
          <w:sz w:val="20"/>
          <w:szCs w:val="20"/>
          <w:lang w:val="es-PE"/>
        </w:rPr>
        <w:t xml:space="preserve">. También ganó el máximo galardón en </w:t>
      </w:r>
      <w:r w:rsidR="00213426" w:rsidRPr="00116A43">
        <w:rPr>
          <w:rFonts w:cs="Arial"/>
          <w:i/>
          <w:sz w:val="20"/>
          <w:szCs w:val="20"/>
          <w:lang w:val="es-PE"/>
        </w:rPr>
        <w:t>The Bob</w:t>
      </w:r>
      <w:r w:rsidR="00213426" w:rsidRPr="00116A43">
        <w:rPr>
          <w:rFonts w:cs="Arial"/>
          <w:sz w:val="20"/>
          <w:szCs w:val="20"/>
          <w:lang w:val="es-PE"/>
        </w:rPr>
        <w:t>, de la revista alem</w:t>
      </w:r>
      <w:r w:rsidR="009A6E91" w:rsidRPr="00116A43">
        <w:rPr>
          <w:rFonts w:cs="Arial"/>
          <w:sz w:val="20"/>
          <w:szCs w:val="20"/>
          <w:lang w:val="es-PE"/>
        </w:rPr>
        <w:t>ana</w:t>
      </w:r>
      <w:r w:rsidR="00213426" w:rsidRPr="00116A43">
        <w:rPr>
          <w:rFonts w:cs="Arial"/>
          <w:sz w:val="20"/>
          <w:szCs w:val="20"/>
          <w:lang w:val="es-PE"/>
        </w:rPr>
        <w:t xml:space="preserve"> </w:t>
      </w:r>
      <w:r w:rsidR="00213426" w:rsidRPr="00116A43">
        <w:rPr>
          <w:rFonts w:cs="Arial"/>
          <w:i/>
          <w:sz w:val="20"/>
          <w:szCs w:val="20"/>
          <w:lang w:val="es-PE"/>
        </w:rPr>
        <w:t>Deutsche Welle</w:t>
      </w:r>
      <w:r w:rsidR="00213426" w:rsidRPr="00116A43">
        <w:rPr>
          <w:i/>
          <w:sz w:val="20"/>
          <w:szCs w:val="20"/>
          <w:vertAlign w:val="superscript"/>
        </w:rPr>
        <w:footnoteReference w:id="82"/>
      </w:r>
      <w:r w:rsidR="00213426" w:rsidRPr="00116A43">
        <w:rPr>
          <w:rFonts w:cs="Arial"/>
          <w:sz w:val="20"/>
          <w:szCs w:val="20"/>
          <w:lang w:val="es-PE"/>
        </w:rPr>
        <w:t xml:space="preserve">. En 2009, recibió el premio </w:t>
      </w:r>
      <w:r w:rsidR="00213426" w:rsidRPr="00116A43">
        <w:rPr>
          <w:rFonts w:cs="Arial"/>
          <w:sz w:val="20"/>
          <w:szCs w:val="20"/>
          <w:shd w:val="clear" w:color="auto" w:fill="FFFFFF"/>
          <w:lang w:val="es-PE"/>
        </w:rPr>
        <w:t>María Moors Cabot de la Universidad de Columbia</w:t>
      </w:r>
      <w:r w:rsidR="00213426" w:rsidRPr="00116A43">
        <w:rPr>
          <w:sz w:val="20"/>
          <w:szCs w:val="20"/>
          <w:shd w:val="clear" w:color="auto" w:fill="FFFFFF"/>
          <w:vertAlign w:val="superscript"/>
        </w:rPr>
        <w:footnoteReference w:id="83"/>
      </w:r>
      <w:r w:rsidR="00D34AEB" w:rsidRPr="00116A43">
        <w:rPr>
          <w:rFonts w:cs="Arial"/>
          <w:sz w:val="20"/>
          <w:szCs w:val="20"/>
          <w:shd w:val="clear" w:color="auto" w:fill="FFFFFF"/>
          <w:lang w:val="es-PE"/>
        </w:rPr>
        <w:t xml:space="preserve">, y </w:t>
      </w:r>
      <w:r w:rsidR="00213426" w:rsidRPr="00116A43">
        <w:rPr>
          <w:rFonts w:cs="Arial"/>
          <w:sz w:val="20"/>
          <w:szCs w:val="20"/>
          <w:shd w:val="clear" w:color="auto" w:fill="FFFFFF"/>
          <w:lang w:val="es-PE"/>
        </w:rPr>
        <w:t>en 2011,</w:t>
      </w:r>
      <w:r w:rsidR="00C87FE3" w:rsidRPr="00116A43">
        <w:rPr>
          <w:rFonts w:cs="Arial"/>
          <w:sz w:val="20"/>
          <w:szCs w:val="20"/>
          <w:shd w:val="clear" w:color="auto" w:fill="FFFFFF"/>
          <w:lang w:val="es-PE"/>
        </w:rPr>
        <w:t xml:space="preserve"> </w:t>
      </w:r>
      <w:r w:rsidR="00213426" w:rsidRPr="00116A43">
        <w:rPr>
          <w:rFonts w:cs="Arial"/>
          <w:i/>
          <w:sz w:val="20"/>
          <w:szCs w:val="20"/>
          <w:lang w:val="es-PE"/>
        </w:rPr>
        <w:t>Foreing Policy</w:t>
      </w:r>
      <w:r w:rsidR="00213426" w:rsidRPr="00116A43">
        <w:rPr>
          <w:rFonts w:cs="Arial"/>
          <w:sz w:val="20"/>
          <w:szCs w:val="20"/>
          <w:lang w:val="es-PE"/>
        </w:rPr>
        <w:t xml:space="preserve"> la eligió en su ranking de “The FP Top 100 Global Thinkers”</w:t>
      </w:r>
      <w:r w:rsidR="00213426" w:rsidRPr="00116A43">
        <w:rPr>
          <w:sz w:val="20"/>
          <w:szCs w:val="20"/>
          <w:vertAlign w:val="superscript"/>
        </w:rPr>
        <w:footnoteReference w:id="84"/>
      </w:r>
      <w:r w:rsidR="00213426" w:rsidRPr="00116A43">
        <w:rPr>
          <w:rFonts w:cs="Arial"/>
          <w:sz w:val="20"/>
          <w:szCs w:val="20"/>
          <w:lang w:val="es-PE"/>
        </w:rPr>
        <w:t>.</w:t>
      </w:r>
    </w:p>
    <w:p w14:paraId="41B62B85" w14:textId="6E9A86B5" w:rsidR="009474D6" w:rsidRPr="00116A43" w:rsidRDefault="009474D6" w:rsidP="00375047">
      <w:pPr>
        <w:pStyle w:val="ListParagraph"/>
        <w:autoSpaceDE w:val="0"/>
        <w:autoSpaceDN w:val="0"/>
        <w:adjustRightInd w:val="0"/>
        <w:ind w:left="0"/>
        <w:jc w:val="both"/>
        <w:rPr>
          <w:rFonts w:eastAsia="Arial Unicode MS" w:cs="Arial"/>
          <w:color w:val="auto"/>
          <w:sz w:val="20"/>
          <w:szCs w:val="20"/>
          <w:lang w:val="es-PE" w:eastAsia="en-US"/>
        </w:rPr>
      </w:pPr>
    </w:p>
    <w:p w14:paraId="2515AFF1" w14:textId="23A46379" w:rsidR="00B44D0F" w:rsidRPr="00116A43" w:rsidRDefault="00B44D0F" w:rsidP="00375047">
      <w:pPr>
        <w:pStyle w:val="ListParagraph"/>
        <w:numPr>
          <w:ilvl w:val="0"/>
          <w:numId w:val="55"/>
        </w:numPr>
        <w:autoSpaceDE w:val="0"/>
        <w:autoSpaceDN w:val="0"/>
        <w:adjustRightInd w:val="0"/>
        <w:ind w:firstLine="0"/>
        <w:jc w:val="both"/>
        <w:rPr>
          <w:rFonts w:eastAsia="Arial Unicode MS" w:cs="Arial"/>
          <w:color w:val="auto"/>
          <w:sz w:val="20"/>
          <w:szCs w:val="20"/>
          <w:lang w:val="es-ES" w:eastAsia="en-US"/>
        </w:rPr>
      </w:pPr>
      <w:r w:rsidRPr="00116A43">
        <w:rPr>
          <w:rFonts w:eastAsia="Arial Unicode MS" w:cs="Arial"/>
          <w:color w:val="auto"/>
          <w:sz w:val="20"/>
          <w:szCs w:val="20"/>
          <w:lang w:val="es-ES" w:eastAsia="en-US"/>
        </w:rPr>
        <w:t>En los años siguientes, el reconocimiento público de</w:t>
      </w:r>
      <w:r w:rsidR="00303BE7" w:rsidRPr="00116A43">
        <w:rPr>
          <w:rFonts w:eastAsia="Arial Unicode MS" w:cs="Arial"/>
          <w:color w:val="auto"/>
          <w:sz w:val="20"/>
          <w:szCs w:val="20"/>
          <w:lang w:val="es-ES" w:eastAsia="en-US"/>
        </w:rPr>
        <w:t xml:space="preserve"> </w:t>
      </w:r>
      <w:r w:rsidR="009F2CA6" w:rsidRPr="00116A43">
        <w:rPr>
          <w:rFonts w:eastAsia="Arial Unicode MS" w:cs="Arial"/>
          <w:color w:val="auto"/>
          <w:sz w:val="20"/>
          <w:szCs w:val="20"/>
          <w:lang w:val="es-ES" w:eastAsia="en-US"/>
        </w:rPr>
        <w:t>Yoani</w:t>
      </w:r>
      <w:r w:rsidRPr="00116A43">
        <w:rPr>
          <w:rFonts w:eastAsia="Arial Unicode MS" w:cs="Arial"/>
          <w:color w:val="auto"/>
          <w:sz w:val="20"/>
          <w:szCs w:val="20"/>
          <w:lang w:val="es-ES" w:eastAsia="en-US"/>
        </w:rPr>
        <w:t xml:space="preserve"> Sánchez por el tra</w:t>
      </w:r>
      <w:r w:rsidR="009F2CA6" w:rsidRPr="00116A43">
        <w:rPr>
          <w:rFonts w:eastAsia="Arial Unicode MS" w:cs="Arial"/>
          <w:color w:val="auto"/>
          <w:sz w:val="20"/>
          <w:szCs w:val="20"/>
          <w:lang w:val="es-ES" w:eastAsia="en-US"/>
        </w:rPr>
        <w:t>bajo desarrollado en su blog y como periodista continuó</w:t>
      </w:r>
      <w:r w:rsidR="005B1EF5" w:rsidRPr="00116A43">
        <w:rPr>
          <w:rFonts w:eastAsia="Arial Unicode MS" w:cs="Arial"/>
          <w:color w:val="auto"/>
          <w:sz w:val="20"/>
          <w:szCs w:val="20"/>
          <w:lang w:val="es-ES" w:eastAsia="en-US"/>
        </w:rPr>
        <w:t xml:space="preserve">. Al menos </w:t>
      </w:r>
      <w:r w:rsidRPr="00116A43">
        <w:rPr>
          <w:rFonts w:eastAsia="Arial Unicode MS" w:cs="Arial"/>
          <w:color w:val="auto"/>
          <w:sz w:val="20"/>
          <w:szCs w:val="20"/>
          <w:lang w:val="es-ES" w:eastAsia="en-US"/>
        </w:rPr>
        <w:t xml:space="preserve">21 premios </w:t>
      </w:r>
      <w:r w:rsidR="005B1EF5" w:rsidRPr="00116A43">
        <w:rPr>
          <w:rFonts w:eastAsia="Arial Unicode MS" w:cs="Arial"/>
          <w:color w:val="auto"/>
          <w:sz w:val="20"/>
          <w:szCs w:val="20"/>
          <w:lang w:val="es-ES" w:eastAsia="en-US"/>
        </w:rPr>
        <w:t xml:space="preserve">fueron </w:t>
      </w:r>
      <w:r w:rsidRPr="00116A43">
        <w:rPr>
          <w:rFonts w:eastAsia="Arial Unicode MS" w:cs="Arial"/>
          <w:color w:val="auto"/>
          <w:sz w:val="20"/>
          <w:szCs w:val="20"/>
          <w:lang w:val="es-ES" w:eastAsia="en-US"/>
        </w:rPr>
        <w:t>recibidos por la presunta víctima entre 2009 y 2012, otorgados por in</w:t>
      </w:r>
      <w:r w:rsidR="005B1EF5" w:rsidRPr="00116A43">
        <w:rPr>
          <w:rFonts w:eastAsia="Arial Unicode MS" w:cs="Arial"/>
          <w:color w:val="auto"/>
          <w:sz w:val="20"/>
          <w:szCs w:val="20"/>
          <w:lang w:val="es-ES" w:eastAsia="en-US"/>
        </w:rPr>
        <w:t>st</w:t>
      </w:r>
      <w:r w:rsidRPr="00116A43">
        <w:rPr>
          <w:rFonts w:eastAsia="Arial Unicode MS" w:cs="Arial"/>
          <w:color w:val="auto"/>
          <w:sz w:val="20"/>
          <w:szCs w:val="20"/>
          <w:lang w:val="es-ES" w:eastAsia="en-US"/>
        </w:rPr>
        <w:t>i</w:t>
      </w:r>
      <w:r w:rsidR="005B1EF5" w:rsidRPr="00116A43">
        <w:rPr>
          <w:rFonts w:eastAsia="Arial Unicode MS" w:cs="Arial"/>
          <w:color w:val="auto"/>
          <w:sz w:val="20"/>
          <w:szCs w:val="20"/>
          <w:lang w:val="es-ES" w:eastAsia="en-US"/>
        </w:rPr>
        <w:t>tu</w:t>
      </w:r>
      <w:r w:rsidRPr="00116A43">
        <w:rPr>
          <w:rFonts w:eastAsia="Arial Unicode MS" w:cs="Arial"/>
          <w:color w:val="auto"/>
          <w:sz w:val="20"/>
          <w:szCs w:val="20"/>
          <w:lang w:val="es-ES" w:eastAsia="en-US"/>
        </w:rPr>
        <w:t>ciones, periódicos y revistas de Argentina, Cuba, Dinamarca, Estados Unidos, España, México</w:t>
      </w:r>
      <w:r w:rsidR="005B1EF5" w:rsidRPr="00116A43">
        <w:rPr>
          <w:rFonts w:eastAsia="Arial Unicode MS" w:cs="Arial"/>
          <w:color w:val="auto"/>
          <w:sz w:val="20"/>
          <w:szCs w:val="20"/>
          <w:lang w:val="es-ES" w:eastAsia="en-US"/>
        </w:rPr>
        <w:t>, Holanda, Reino Unido y Suiza</w:t>
      </w:r>
      <w:r w:rsidRPr="00116A43">
        <w:rPr>
          <w:rFonts w:eastAsia="Arial Unicode MS" w:cs="Arial"/>
          <w:color w:val="auto"/>
          <w:sz w:val="20"/>
          <w:szCs w:val="20"/>
          <w:vertAlign w:val="superscript"/>
          <w:lang w:val="es-ES" w:eastAsia="en-US"/>
        </w:rPr>
        <w:footnoteReference w:id="85"/>
      </w:r>
      <w:r w:rsidR="005B1EF5" w:rsidRPr="00116A43">
        <w:rPr>
          <w:rFonts w:eastAsia="Arial Unicode MS" w:cs="Arial"/>
          <w:color w:val="auto"/>
          <w:sz w:val="20"/>
          <w:szCs w:val="20"/>
          <w:lang w:val="es-ES" w:eastAsia="en-US"/>
        </w:rPr>
        <w:t>.</w:t>
      </w:r>
    </w:p>
    <w:p w14:paraId="15E136C5" w14:textId="77777777" w:rsidR="00F81C89" w:rsidRPr="00116A43" w:rsidRDefault="00F81C89" w:rsidP="00F81C89">
      <w:pPr>
        <w:autoSpaceDE w:val="0"/>
        <w:autoSpaceDN w:val="0"/>
        <w:adjustRightInd w:val="0"/>
        <w:jc w:val="both"/>
        <w:rPr>
          <w:sz w:val="20"/>
          <w:szCs w:val="20"/>
          <w:lang w:val="es-PE"/>
        </w:rPr>
      </w:pPr>
    </w:p>
    <w:p w14:paraId="59E70987" w14:textId="585BB52F" w:rsidR="00B44D0F" w:rsidRPr="00116A43" w:rsidRDefault="005B1EF5" w:rsidP="004F709F">
      <w:pPr>
        <w:pStyle w:val="Heading2"/>
      </w:pPr>
      <w:bookmarkStart w:id="20" w:name="_Toc89157564"/>
      <w:r w:rsidRPr="00116A43">
        <w:t xml:space="preserve">Detenciones </w:t>
      </w:r>
      <w:r w:rsidR="00B44D0F" w:rsidRPr="00116A43">
        <w:t xml:space="preserve">y </w:t>
      </w:r>
      <w:r w:rsidRPr="00116A43">
        <w:t>agresiones</w:t>
      </w:r>
      <w:r w:rsidR="001B2A96" w:rsidRPr="00116A43">
        <w:t xml:space="preserve"> </w:t>
      </w:r>
      <w:r w:rsidR="00EE5829" w:rsidRPr="00116A43">
        <w:t>contra</w:t>
      </w:r>
      <w:r w:rsidRPr="00116A43">
        <w:t xml:space="preserve"> Yoani Sánchez Cor</w:t>
      </w:r>
      <w:r w:rsidR="00470646" w:rsidRPr="00116A43">
        <w:t xml:space="preserve">dero </w:t>
      </w:r>
      <w:r w:rsidR="00926FA8" w:rsidRPr="00116A43">
        <w:t xml:space="preserve">durante la </w:t>
      </w:r>
      <w:r w:rsidR="007F75AD" w:rsidRPr="00116A43">
        <w:t>privación de su libertad</w:t>
      </w:r>
      <w:bookmarkEnd w:id="20"/>
      <w:r w:rsidR="00926FA8" w:rsidRPr="00116A43">
        <w:t xml:space="preserve"> </w:t>
      </w:r>
    </w:p>
    <w:p w14:paraId="34011A81" w14:textId="77777777" w:rsidR="00974376" w:rsidRPr="00116A43" w:rsidRDefault="00974376" w:rsidP="005F7FE2">
      <w:pPr>
        <w:pStyle w:val="ListParagraph"/>
        <w:autoSpaceDE w:val="0"/>
        <w:autoSpaceDN w:val="0"/>
        <w:adjustRightInd w:val="0"/>
        <w:ind w:left="1080"/>
        <w:rPr>
          <w:b/>
          <w:sz w:val="20"/>
          <w:szCs w:val="20"/>
          <w:lang w:val="es-PE"/>
        </w:rPr>
      </w:pPr>
    </w:p>
    <w:p w14:paraId="3D448FA3" w14:textId="553700EF"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El 6 de noviembre de 2009</w:t>
      </w:r>
      <w:r w:rsidR="000F4E32" w:rsidRPr="00116A43">
        <w:rPr>
          <w:sz w:val="20"/>
          <w:szCs w:val="20"/>
          <w:lang w:val="es-PE"/>
        </w:rPr>
        <w:t xml:space="preserve"> Yoani Sánchez fue privada de su libertad por </w:t>
      </w:r>
      <w:r w:rsidR="00DE7823" w:rsidRPr="00116A43">
        <w:rPr>
          <w:sz w:val="20"/>
          <w:szCs w:val="20"/>
          <w:lang w:val="es-PE"/>
        </w:rPr>
        <w:t xml:space="preserve">tres hombres vestidos de civil, quienes </w:t>
      </w:r>
      <w:r w:rsidRPr="00116A43">
        <w:rPr>
          <w:sz w:val="20"/>
          <w:szCs w:val="20"/>
          <w:lang w:val="es-PE"/>
        </w:rPr>
        <w:t xml:space="preserve">se </w:t>
      </w:r>
      <w:r w:rsidR="00DE7823" w:rsidRPr="00116A43">
        <w:rPr>
          <w:sz w:val="20"/>
          <w:szCs w:val="20"/>
          <w:lang w:val="es-PE"/>
        </w:rPr>
        <w:t xml:space="preserve">le </w:t>
      </w:r>
      <w:r w:rsidRPr="00116A43">
        <w:rPr>
          <w:sz w:val="20"/>
          <w:szCs w:val="20"/>
          <w:lang w:val="es-PE"/>
        </w:rPr>
        <w:t>acerc</w:t>
      </w:r>
      <w:r w:rsidR="00DE7823" w:rsidRPr="00116A43">
        <w:rPr>
          <w:sz w:val="20"/>
          <w:szCs w:val="20"/>
          <w:lang w:val="es-PE"/>
        </w:rPr>
        <w:t>aron en un vehículo y la secuestraron.</w:t>
      </w:r>
      <w:r w:rsidRPr="00116A43">
        <w:rPr>
          <w:sz w:val="20"/>
          <w:szCs w:val="20"/>
          <w:lang w:val="es-PE"/>
        </w:rPr>
        <w:t xml:space="preserve"> </w:t>
      </w:r>
      <w:r w:rsidR="009A6E91" w:rsidRPr="00116A43">
        <w:rPr>
          <w:sz w:val="20"/>
          <w:szCs w:val="20"/>
          <w:lang w:val="es-PE"/>
        </w:rPr>
        <w:t xml:space="preserve">Luego de un corto tiempo, la echaron del vehículo a la calle. </w:t>
      </w:r>
      <w:r w:rsidR="00343267" w:rsidRPr="00116A43">
        <w:rPr>
          <w:sz w:val="20"/>
          <w:szCs w:val="20"/>
          <w:lang w:val="es-PE"/>
        </w:rPr>
        <w:t xml:space="preserve">Durante la </w:t>
      </w:r>
      <w:r w:rsidR="006E2D94" w:rsidRPr="00116A43">
        <w:rPr>
          <w:sz w:val="20"/>
          <w:szCs w:val="20"/>
          <w:lang w:val="es-PE"/>
        </w:rPr>
        <w:t>privación de su libertad</w:t>
      </w:r>
      <w:r w:rsidR="00343267" w:rsidRPr="00116A43">
        <w:rPr>
          <w:sz w:val="20"/>
          <w:szCs w:val="20"/>
          <w:lang w:val="es-PE"/>
        </w:rPr>
        <w:t>, u</w:t>
      </w:r>
      <w:r w:rsidRPr="00116A43">
        <w:rPr>
          <w:sz w:val="20"/>
          <w:szCs w:val="20"/>
          <w:lang w:val="es-PE"/>
        </w:rPr>
        <w:t xml:space="preserve">no de los hombres puso sus rodillas sobre el esternón de la </w:t>
      </w:r>
      <w:r w:rsidR="00343267" w:rsidRPr="00116A43">
        <w:rPr>
          <w:sz w:val="20"/>
          <w:szCs w:val="20"/>
          <w:lang w:val="es-PE"/>
        </w:rPr>
        <w:t>bloguera</w:t>
      </w:r>
      <w:r w:rsidRPr="00116A43">
        <w:rPr>
          <w:sz w:val="20"/>
          <w:szCs w:val="20"/>
          <w:lang w:val="es-PE"/>
        </w:rPr>
        <w:t xml:space="preserve">, mientras otro le golpeaba las orejas </w:t>
      </w:r>
      <w:r w:rsidR="00343267" w:rsidRPr="00116A43">
        <w:rPr>
          <w:sz w:val="20"/>
          <w:szCs w:val="20"/>
          <w:lang w:val="es-PE"/>
        </w:rPr>
        <w:t>y</w:t>
      </w:r>
      <w:r w:rsidRPr="00116A43">
        <w:rPr>
          <w:sz w:val="20"/>
          <w:szCs w:val="20"/>
          <w:lang w:val="es-PE"/>
        </w:rPr>
        <w:t xml:space="preserve"> </w:t>
      </w:r>
      <w:r w:rsidR="00600A90" w:rsidRPr="00116A43">
        <w:rPr>
          <w:sz w:val="20"/>
          <w:szCs w:val="20"/>
          <w:lang w:val="es-PE"/>
        </w:rPr>
        <w:t>le jalaba</w:t>
      </w:r>
      <w:r w:rsidRPr="00116A43">
        <w:rPr>
          <w:sz w:val="20"/>
          <w:szCs w:val="20"/>
          <w:lang w:val="es-PE"/>
        </w:rPr>
        <w:t xml:space="preserve"> </w:t>
      </w:r>
      <w:r w:rsidR="00600A90" w:rsidRPr="00116A43">
        <w:rPr>
          <w:sz w:val="20"/>
          <w:szCs w:val="20"/>
          <w:lang w:val="es-PE"/>
        </w:rPr>
        <w:t>el</w:t>
      </w:r>
      <w:r w:rsidRPr="00116A43">
        <w:rPr>
          <w:sz w:val="20"/>
          <w:szCs w:val="20"/>
          <w:lang w:val="es-PE"/>
        </w:rPr>
        <w:t xml:space="preserve"> pelo. </w:t>
      </w:r>
      <w:r w:rsidR="00600A90" w:rsidRPr="00116A43">
        <w:rPr>
          <w:sz w:val="20"/>
          <w:szCs w:val="20"/>
          <w:lang w:val="es-PE"/>
        </w:rPr>
        <w:t xml:space="preserve">Con motivo de </w:t>
      </w:r>
      <w:r w:rsidRPr="00116A43">
        <w:rPr>
          <w:sz w:val="20"/>
          <w:szCs w:val="20"/>
          <w:lang w:val="es-PE"/>
        </w:rPr>
        <w:t>estas agresiones, sufrió graves lesiones corporales. Durante una semana usó muletas para andar y durante un año no pud</w:t>
      </w:r>
      <w:r w:rsidR="00D3424B">
        <w:rPr>
          <w:sz w:val="20"/>
          <w:szCs w:val="20"/>
          <w:lang w:val="es-PE"/>
        </w:rPr>
        <w:t>o</w:t>
      </w:r>
      <w:r w:rsidRPr="00116A43">
        <w:rPr>
          <w:sz w:val="20"/>
          <w:szCs w:val="20"/>
          <w:lang w:val="es-PE"/>
        </w:rPr>
        <w:t xml:space="preserve"> mover la cabeza atrás por la zona izquierda. Sin embargo, médicos del sistema de sanidad pública cubana se negaron a certificar sus lesiones</w:t>
      </w:r>
      <w:r w:rsidRPr="00116A43">
        <w:rPr>
          <w:rStyle w:val="FootnoteReference"/>
          <w:rFonts w:cs="Times New Roman"/>
          <w:sz w:val="20"/>
          <w:szCs w:val="20"/>
          <w:lang w:val="es-PE"/>
        </w:rPr>
        <w:footnoteReference w:id="86"/>
      </w:r>
      <w:r w:rsidRPr="00116A43">
        <w:rPr>
          <w:sz w:val="20"/>
          <w:szCs w:val="20"/>
          <w:lang w:val="es-PE"/>
        </w:rPr>
        <w:t xml:space="preserve">. </w:t>
      </w:r>
    </w:p>
    <w:p w14:paraId="2B045248" w14:textId="77777777" w:rsidR="005B1EF5" w:rsidRPr="00116A43" w:rsidRDefault="005B1EF5" w:rsidP="00375047">
      <w:pPr>
        <w:pStyle w:val="ListParagraph"/>
        <w:autoSpaceDE w:val="0"/>
        <w:autoSpaceDN w:val="0"/>
        <w:adjustRightInd w:val="0"/>
        <w:ind w:left="0"/>
        <w:jc w:val="both"/>
        <w:rPr>
          <w:sz w:val="20"/>
          <w:szCs w:val="20"/>
          <w:lang w:val="es-PE"/>
        </w:rPr>
      </w:pPr>
    </w:p>
    <w:p w14:paraId="79AE9442" w14:textId="06D11304" w:rsidR="008970D9" w:rsidRPr="00116A43" w:rsidRDefault="008F7B39"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E</w:t>
      </w:r>
      <w:r w:rsidR="00B44D0F" w:rsidRPr="00116A43">
        <w:rPr>
          <w:sz w:val="20"/>
          <w:szCs w:val="20"/>
          <w:lang w:val="es-PE"/>
        </w:rPr>
        <w:t>l 24 de febrero de 2010</w:t>
      </w:r>
      <w:r w:rsidRPr="00116A43">
        <w:rPr>
          <w:sz w:val="20"/>
          <w:szCs w:val="20"/>
          <w:lang w:val="es-PE"/>
        </w:rPr>
        <w:t xml:space="preserve"> </w:t>
      </w:r>
      <w:r w:rsidR="00B44D0F" w:rsidRPr="00116A43">
        <w:rPr>
          <w:sz w:val="20"/>
          <w:szCs w:val="20"/>
          <w:lang w:val="es-PE"/>
        </w:rPr>
        <w:t xml:space="preserve">personas desconocidas y vestidas de civil se acercaron </w:t>
      </w:r>
      <w:r w:rsidR="00F727AE" w:rsidRPr="00116A43">
        <w:rPr>
          <w:sz w:val="20"/>
          <w:szCs w:val="20"/>
          <w:lang w:val="es-PE"/>
        </w:rPr>
        <w:t>a la presunta víctima y a su hermana en la calle</w:t>
      </w:r>
      <w:r w:rsidR="00CB7249" w:rsidRPr="00116A43">
        <w:rPr>
          <w:sz w:val="20"/>
          <w:szCs w:val="20"/>
          <w:lang w:val="es-PE"/>
        </w:rPr>
        <w:t>,</w:t>
      </w:r>
      <w:r w:rsidR="008970D9" w:rsidRPr="00116A43">
        <w:rPr>
          <w:sz w:val="20"/>
          <w:szCs w:val="20"/>
          <w:lang w:val="es-PE"/>
        </w:rPr>
        <w:t xml:space="preserve"> </w:t>
      </w:r>
      <w:r w:rsidR="00B44D0F" w:rsidRPr="00116A43">
        <w:rPr>
          <w:sz w:val="20"/>
          <w:szCs w:val="20"/>
          <w:lang w:val="es-PE"/>
        </w:rPr>
        <w:t xml:space="preserve">cuando iban </w:t>
      </w:r>
      <w:r w:rsidR="00381DE7" w:rsidRPr="00116A43">
        <w:rPr>
          <w:sz w:val="20"/>
          <w:szCs w:val="20"/>
          <w:lang w:val="es-PE"/>
        </w:rPr>
        <w:t>a firmar libros de condolencia por la muerte</w:t>
      </w:r>
      <w:r w:rsidR="00B44D0F" w:rsidRPr="00116A43">
        <w:rPr>
          <w:sz w:val="20"/>
          <w:szCs w:val="20"/>
          <w:lang w:val="es-PE"/>
        </w:rPr>
        <w:t xml:space="preserve"> de</w:t>
      </w:r>
      <w:r w:rsidR="004D06A0" w:rsidRPr="00116A43">
        <w:rPr>
          <w:sz w:val="20"/>
          <w:szCs w:val="20"/>
          <w:lang w:val="es-PE"/>
        </w:rPr>
        <w:t xml:space="preserve"> Orlando</w:t>
      </w:r>
      <w:r w:rsidR="00B44D0F" w:rsidRPr="00116A43">
        <w:rPr>
          <w:sz w:val="20"/>
          <w:szCs w:val="20"/>
          <w:lang w:val="es-PE"/>
        </w:rPr>
        <w:t xml:space="preserve"> Zapata Tamayo</w:t>
      </w:r>
      <w:r w:rsidR="0098469E" w:rsidRPr="00116A43">
        <w:rPr>
          <w:rStyle w:val="FootnoteReference"/>
          <w:sz w:val="20"/>
          <w:szCs w:val="20"/>
          <w:lang w:val="es-PE"/>
        </w:rPr>
        <w:footnoteReference w:id="87"/>
      </w:r>
      <w:r w:rsidR="00B44D0F" w:rsidRPr="00116A43">
        <w:rPr>
          <w:sz w:val="20"/>
          <w:szCs w:val="20"/>
          <w:lang w:val="es-PE"/>
        </w:rPr>
        <w:t xml:space="preserve">. </w:t>
      </w:r>
      <w:r w:rsidR="008970D9" w:rsidRPr="00116A43">
        <w:rPr>
          <w:sz w:val="20"/>
          <w:szCs w:val="20"/>
          <w:lang w:val="es-PE"/>
        </w:rPr>
        <w:t>Los civiles</w:t>
      </w:r>
      <w:r w:rsidR="007431A8" w:rsidRPr="00116A43">
        <w:rPr>
          <w:sz w:val="20"/>
          <w:szCs w:val="20"/>
          <w:lang w:val="es-PE"/>
        </w:rPr>
        <w:t>, entre las que se encontraban dos mujeres</w:t>
      </w:r>
      <w:r w:rsidR="00115B08" w:rsidRPr="00116A43">
        <w:rPr>
          <w:sz w:val="20"/>
          <w:szCs w:val="20"/>
          <w:lang w:val="es-PE"/>
        </w:rPr>
        <w:t>,</w:t>
      </w:r>
      <w:r w:rsidR="007431A8" w:rsidRPr="00116A43">
        <w:rPr>
          <w:sz w:val="20"/>
          <w:szCs w:val="20"/>
          <w:lang w:val="es-PE"/>
        </w:rPr>
        <w:t xml:space="preserve"> retuvieron a Yoani Sánchez y le solicitaron se identificara, ante lo cual la periodista se negó</w:t>
      </w:r>
      <w:r w:rsidR="00115B08" w:rsidRPr="00116A43">
        <w:rPr>
          <w:sz w:val="20"/>
          <w:szCs w:val="20"/>
          <w:lang w:val="es-PE"/>
        </w:rPr>
        <w:t xml:space="preserve"> con base en que estaban vestidas de civil y no eran autoridades ni tenían facultades para </w:t>
      </w:r>
      <w:r w:rsidR="005B4C94" w:rsidRPr="00116A43">
        <w:rPr>
          <w:sz w:val="20"/>
          <w:szCs w:val="20"/>
          <w:lang w:val="es-PE"/>
        </w:rPr>
        <w:t>ello.</w:t>
      </w:r>
      <w:r w:rsidR="00944D46" w:rsidRPr="00116A43">
        <w:rPr>
          <w:sz w:val="20"/>
          <w:szCs w:val="20"/>
          <w:lang w:val="es-PE"/>
        </w:rPr>
        <w:t xml:space="preserve"> Las mujeres </w:t>
      </w:r>
      <w:r w:rsidR="00EB72EC" w:rsidRPr="00116A43">
        <w:rPr>
          <w:sz w:val="20"/>
          <w:szCs w:val="20"/>
          <w:lang w:val="es-PE"/>
        </w:rPr>
        <w:t>intentaron inmovilizar a Yoani y quitarle el celular, cuando la periodista intentó hacer una llamada para informar sobre lo que le estaba ocurriendo</w:t>
      </w:r>
      <w:r w:rsidR="00A957AD" w:rsidRPr="00116A43">
        <w:rPr>
          <w:rStyle w:val="FootnoteReference"/>
          <w:sz w:val="20"/>
          <w:szCs w:val="20"/>
          <w:lang w:val="es-PE"/>
        </w:rPr>
        <w:footnoteReference w:id="88"/>
      </w:r>
      <w:r w:rsidR="00EB72EC" w:rsidRPr="00116A43">
        <w:rPr>
          <w:sz w:val="20"/>
          <w:szCs w:val="20"/>
          <w:lang w:val="es-PE"/>
        </w:rPr>
        <w:t>.</w:t>
      </w:r>
    </w:p>
    <w:p w14:paraId="397A9599" w14:textId="77777777" w:rsidR="008970D9" w:rsidRPr="00116A43" w:rsidRDefault="008970D9" w:rsidP="00375047">
      <w:pPr>
        <w:pStyle w:val="ListParagraph"/>
        <w:ind w:left="0"/>
        <w:rPr>
          <w:sz w:val="20"/>
          <w:szCs w:val="20"/>
          <w:lang w:val="es-PE"/>
        </w:rPr>
      </w:pPr>
    </w:p>
    <w:p w14:paraId="0A0A3AD3" w14:textId="7D611794" w:rsidR="00D81678" w:rsidRPr="00116A43" w:rsidRDefault="00AC5A05"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Yoani</w:t>
      </w:r>
      <w:r w:rsidR="005202F6" w:rsidRPr="00116A43">
        <w:rPr>
          <w:sz w:val="20"/>
          <w:szCs w:val="20"/>
          <w:lang w:val="es-PE"/>
        </w:rPr>
        <w:t xml:space="preserve"> solicitó la ayuda de </w:t>
      </w:r>
      <w:r w:rsidR="00B44D0F" w:rsidRPr="00116A43">
        <w:rPr>
          <w:sz w:val="20"/>
          <w:szCs w:val="20"/>
          <w:lang w:val="es-PE"/>
        </w:rPr>
        <w:t>oficiales uniformados</w:t>
      </w:r>
      <w:r w:rsidR="005202F6" w:rsidRPr="00116A43">
        <w:rPr>
          <w:sz w:val="20"/>
          <w:szCs w:val="20"/>
          <w:lang w:val="es-PE"/>
        </w:rPr>
        <w:t>, los cuales</w:t>
      </w:r>
      <w:r w:rsidR="00B44D0F" w:rsidRPr="00116A43">
        <w:rPr>
          <w:sz w:val="20"/>
          <w:szCs w:val="20"/>
          <w:lang w:val="es-PE"/>
        </w:rPr>
        <w:t xml:space="preserve"> </w:t>
      </w:r>
      <w:r w:rsidR="00741694" w:rsidRPr="00116A43">
        <w:rPr>
          <w:sz w:val="20"/>
          <w:szCs w:val="20"/>
          <w:lang w:val="es-PE"/>
        </w:rPr>
        <w:t>no le brindaron protección</w:t>
      </w:r>
      <w:r w:rsidR="005202F6" w:rsidRPr="00116A43">
        <w:rPr>
          <w:sz w:val="20"/>
          <w:szCs w:val="20"/>
          <w:lang w:val="es-PE"/>
        </w:rPr>
        <w:t xml:space="preserve">, </w:t>
      </w:r>
      <w:r w:rsidR="00E375C4" w:rsidRPr="00116A43">
        <w:rPr>
          <w:sz w:val="20"/>
          <w:szCs w:val="20"/>
          <w:lang w:val="es-PE"/>
        </w:rPr>
        <w:t>sino que</w:t>
      </w:r>
      <w:r w:rsidR="00CC75F5">
        <w:rPr>
          <w:sz w:val="20"/>
          <w:szCs w:val="20"/>
          <w:lang w:val="es-PE"/>
        </w:rPr>
        <w:t>,</w:t>
      </w:r>
      <w:r w:rsidR="00E375C4" w:rsidRPr="00116A43">
        <w:rPr>
          <w:sz w:val="20"/>
          <w:szCs w:val="20"/>
          <w:lang w:val="es-PE"/>
        </w:rPr>
        <w:t xml:space="preserve"> por el contrario, </w:t>
      </w:r>
      <w:r w:rsidR="005202F6" w:rsidRPr="00116A43">
        <w:rPr>
          <w:sz w:val="20"/>
          <w:szCs w:val="20"/>
          <w:lang w:val="es-PE"/>
        </w:rPr>
        <w:t>permitie</w:t>
      </w:r>
      <w:r w:rsidR="00E375C4" w:rsidRPr="00116A43">
        <w:rPr>
          <w:sz w:val="20"/>
          <w:szCs w:val="20"/>
          <w:lang w:val="es-PE"/>
        </w:rPr>
        <w:t>ron</w:t>
      </w:r>
      <w:r w:rsidR="005202F6" w:rsidRPr="00116A43">
        <w:rPr>
          <w:sz w:val="20"/>
          <w:szCs w:val="20"/>
          <w:lang w:val="es-PE"/>
        </w:rPr>
        <w:t xml:space="preserve"> que continuaran las agresiones por parte de los civiles</w:t>
      </w:r>
      <w:r w:rsidR="00A957AD" w:rsidRPr="00116A43">
        <w:rPr>
          <w:rStyle w:val="FootnoteReference"/>
          <w:sz w:val="20"/>
          <w:szCs w:val="20"/>
          <w:lang w:val="es-PE"/>
        </w:rPr>
        <w:footnoteReference w:id="89"/>
      </w:r>
      <w:r w:rsidR="00063CA8" w:rsidRPr="00116A43">
        <w:rPr>
          <w:sz w:val="20"/>
          <w:szCs w:val="20"/>
          <w:lang w:val="es-PE"/>
        </w:rPr>
        <w:t>.</w:t>
      </w:r>
      <w:r w:rsidR="00B44D0F" w:rsidRPr="00116A43">
        <w:rPr>
          <w:sz w:val="20"/>
          <w:szCs w:val="20"/>
          <w:lang w:val="es-PE"/>
        </w:rPr>
        <w:t xml:space="preserve"> </w:t>
      </w:r>
      <w:r w:rsidR="00A957AD" w:rsidRPr="00116A43">
        <w:rPr>
          <w:sz w:val="20"/>
          <w:szCs w:val="20"/>
          <w:lang w:val="es-PE"/>
        </w:rPr>
        <w:t xml:space="preserve">La policía </w:t>
      </w:r>
      <w:r w:rsidR="0019151D" w:rsidRPr="00116A43">
        <w:rPr>
          <w:sz w:val="20"/>
          <w:szCs w:val="20"/>
          <w:lang w:val="es-PE"/>
        </w:rPr>
        <w:t xml:space="preserve">continuó </w:t>
      </w:r>
      <w:r w:rsidR="00B44D0F" w:rsidRPr="00116A43">
        <w:rPr>
          <w:sz w:val="20"/>
          <w:szCs w:val="20"/>
          <w:lang w:val="es-PE"/>
        </w:rPr>
        <w:t>golpeando</w:t>
      </w:r>
      <w:r w:rsidR="00A5524E" w:rsidRPr="00116A43">
        <w:rPr>
          <w:sz w:val="20"/>
          <w:szCs w:val="20"/>
          <w:lang w:val="es-PE"/>
        </w:rPr>
        <w:t xml:space="preserve"> a</w:t>
      </w:r>
      <w:r w:rsidR="00B44D0F" w:rsidRPr="00116A43">
        <w:rPr>
          <w:sz w:val="20"/>
          <w:szCs w:val="20"/>
          <w:lang w:val="es-PE"/>
        </w:rPr>
        <w:t xml:space="preserve"> la </w:t>
      </w:r>
      <w:r w:rsidR="002346C7" w:rsidRPr="00116A43">
        <w:rPr>
          <w:sz w:val="20"/>
          <w:szCs w:val="20"/>
          <w:lang w:val="es-PE"/>
        </w:rPr>
        <w:t>periodista</w:t>
      </w:r>
      <w:r w:rsidR="00EB60B4" w:rsidRPr="00116A43">
        <w:rPr>
          <w:sz w:val="20"/>
          <w:szCs w:val="20"/>
          <w:lang w:val="es-PE"/>
        </w:rPr>
        <w:t xml:space="preserve"> y</w:t>
      </w:r>
      <w:r w:rsidR="0019151D" w:rsidRPr="00116A43">
        <w:rPr>
          <w:sz w:val="20"/>
          <w:szCs w:val="20"/>
          <w:lang w:val="es-PE"/>
        </w:rPr>
        <w:t xml:space="preserve"> </w:t>
      </w:r>
      <w:r w:rsidR="00B44D0F" w:rsidRPr="00116A43">
        <w:rPr>
          <w:sz w:val="20"/>
          <w:szCs w:val="20"/>
          <w:lang w:val="es-PE"/>
        </w:rPr>
        <w:t>l</w:t>
      </w:r>
      <w:r w:rsidR="00A5524E" w:rsidRPr="00116A43">
        <w:rPr>
          <w:sz w:val="20"/>
          <w:szCs w:val="20"/>
          <w:lang w:val="es-PE"/>
        </w:rPr>
        <w:t>a</w:t>
      </w:r>
      <w:r w:rsidR="0019151D" w:rsidRPr="00116A43">
        <w:rPr>
          <w:sz w:val="20"/>
          <w:szCs w:val="20"/>
          <w:lang w:val="es-PE"/>
        </w:rPr>
        <w:t xml:space="preserve"> introdujeron en un “carro-jaula” </w:t>
      </w:r>
      <w:r w:rsidR="00C74651" w:rsidRPr="00116A43">
        <w:rPr>
          <w:sz w:val="20"/>
          <w:szCs w:val="20"/>
          <w:lang w:val="es-PE"/>
        </w:rPr>
        <w:t>ante lo cual Yoani se resistió</w:t>
      </w:r>
      <w:r w:rsidR="00BA5C99" w:rsidRPr="00116A43">
        <w:rPr>
          <w:sz w:val="20"/>
          <w:szCs w:val="20"/>
          <w:lang w:val="es-PE"/>
        </w:rPr>
        <w:t xml:space="preserve"> y señaló “</w:t>
      </w:r>
      <w:r w:rsidR="009A2B81" w:rsidRPr="00116A43">
        <w:rPr>
          <w:sz w:val="20"/>
          <w:szCs w:val="20"/>
          <w:lang w:val="es-PE"/>
        </w:rPr>
        <w:t>tú eres un policía y me representas a mi como ciudadana. No me puedes golpear”. El policía respondió “yo represento a la revolución cubana”</w:t>
      </w:r>
      <w:r w:rsidR="009A2B81" w:rsidRPr="00116A43">
        <w:rPr>
          <w:rStyle w:val="FootnoteReference"/>
          <w:sz w:val="20"/>
          <w:szCs w:val="20"/>
          <w:lang w:val="es-PE"/>
        </w:rPr>
        <w:footnoteReference w:id="90"/>
      </w:r>
      <w:r w:rsidR="009A2B81" w:rsidRPr="00116A43">
        <w:rPr>
          <w:sz w:val="20"/>
          <w:szCs w:val="20"/>
          <w:lang w:val="es-PE"/>
        </w:rPr>
        <w:t xml:space="preserve">. </w:t>
      </w:r>
      <w:r w:rsidR="006C61D4" w:rsidRPr="00116A43">
        <w:rPr>
          <w:sz w:val="20"/>
          <w:szCs w:val="20"/>
          <w:lang w:val="es-PE"/>
        </w:rPr>
        <w:t xml:space="preserve">El vehículo policial la trasladó a la Cuarta Estación </w:t>
      </w:r>
      <w:r w:rsidR="008176EC" w:rsidRPr="00116A43">
        <w:rPr>
          <w:sz w:val="20"/>
          <w:szCs w:val="20"/>
          <w:lang w:val="es-PE"/>
        </w:rPr>
        <w:t xml:space="preserve">de Policía de Infanta y Manglar. </w:t>
      </w:r>
      <w:r w:rsidR="00147FD7" w:rsidRPr="00116A43">
        <w:rPr>
          <w:sz w:val="20"/>
          <w:szCs w:val="20"/>
          <w:lang w:val="es-PE"/>
        </w:rPr>
        <w:t>Al llegar al lugar</w:t>
      </w:r>
      <w:r w:rsidR="004C001A" w:rsidRPr="00116A43">
        <w:rPr>
          <w:sz w:val="20"/>
          <w:szCs w:val="20"/>
          <w:lang w:val="es-PE"/>
        </w:rPr>
        <w:t>,</w:t>
      </w:r>
      <w:r w:rsidR="00147FD7" w:rsidRPr="00116A43">
        <w:rPr>
          <w:sz w:val="20"/>
          <w:szCs w:val="20"/>
          <w:lang w:val="es-PE"/>
        </w:rPr>
        <w:t xml:space="preserve"> la recibieron policías </w:t>
      </w:r>
      <w:r w:rsidR="005E2E0F" w:rsidRPr="00116A43">
        <w:rPr>
          <w:sz w:val="20"/>
          <w:szCs w:val="20"/>
          <w:lang w:val="es-PE"/>
        </w:rPr>
        <w:t>sin insignias (“chapas”)</w:t>
      </w:r>
      <w:r w:rsidR="004C001A" w:rsidRPr="00116A43">
        <w:rPr>
          <w:sz w:val="20"/>
          <w:szCs w:val="20"/>
          <w:lang w:val="es-PE"/>
        </w:rPr>
        <w:t xml:space="preserve">, </w:t>
      </w:r>
      <w:r w:rsidR="005E2E0F" w:rsidRPr="00116A43">
        <w:rPr>
          <w:sz w:val="20"/>
          <w:szCs w:val="20"/>
          <w:lang w:val="es-PE"/>
        </w:rPr>
        <w:t xml:space="preserve">la sacaron del vehículo a la fuerza, </w:t>
      </w:r>
      <w:r w:rsidR="004C001A" w:rsidRPr="00116A43">
        <w:rPr>
          <w:sz w:val="20"/>
          <w:szCs w:val="20"/>
          <w:lang w:val="es-PE"/>
        </w:rPr>
        <w:t xml:space="preserve">y </w:t>
      </w:r>
      <w:r w:rsidR="00C31336" w:rsidRPr="00116A43">
        <w:rPr>
          <w:sz w:val="20"/>
          <w:szCs w:val="20"/>
          <w:lang w:val="es-PE"/>
        </w:rPr>
        <w:t xml:space="preserve">continuaron </w:t>
      </w:r>
      <w:r w:rsidR="00C31336" w:rsidRPr="00116A43">
        <w:rPr>
          <w:sz w:val="20"/>
          <w:szCs w:val="20"/>
          <w:lang w:val="es-PE"/>
        </w:rPr>
        <w:lastRenderedPageBreak/>
        <w:t>agredi</w:t>
      </w:r>
      <w:r w:rsidR="004C001A" w:rsidRPr="00116A43">
        <w:rPr>
          <w:sz w:val="20"/>
          <w:szCs w:val="20"/>
          <w:lang w:val="es-PE"/>
        </w:rPr>
        <w:t>é</w:t>
      </w:r>
      <w:r w:rsidR="00C31336" w:rsidRPr="00116A43">
        <w:rPr>
          <w:sz w:val="20"/>
          <w:szCs w:val="20"/>
          <w:lang w:val="es-PE"/>
        </w:rPr>
        <w:t>ndo</w:t>
      </w:r>
      <w:r w:rsidR="004C001A" w:rsidRPr="00116A43">
        <w:rPr>
          <w:sz w:val="20"/>
          <w:szCs w:val="20"/>
          <w:lang w:val="es-PE"/>
        </w:rPr>
        <w:t>la</w:t>
      </w:r>
      <w:r w:rsidR="00C31336" w:rsidRPr="00116A43">
        <w:rPr>
          <w:sz w:val="20"/>
          <w:szCs w:val="20"/>
          <w:lang w:val="es-PE"/>
        </w:rPr>
        <w:t xml:space="preserve">, dándole de puntapiés para que se levantara del suelo. Yoani </w:t>
      </w:r>
      <w:r w:rsidR="007265C0" w:rsidRPr="00116A43">
        <w:rPr>
          <w:sz w:val="20"/>
          <w:szCs w:val="20"/>
          <w:lang w:val="es-PE"/>
        </w:rPr>
        <w:t>señaló que se encontraba allí en contra de su voluntad y que la detuvieron policías sin identificación, de forma arbitraria</w:t>
      </w:r>
      <w:r w:rsidR="00B44D0F" w:rsidRPr="00116A43">
        <w:rPr>
          <w:rStyle w:val="FootnoteReference"/>
          <w:rFonts w:cs="Times New Roman"/>
          <w:sz w:val="20"/>
          <w:szCs w:val="20"/>
          <w:lang w:val="es-PE"/>
        </w:rPr>
        <w:footnoteReference w:id="91"/>
      </w:r>
      <w:r w:rsidR="00A46E7B" w:rsidRPr="00116A43">
        <w:rPr>
          <w:sz w:val="20"/>
          <w:szCs w:val="20"/>
          <w:lang w:val="es-PE"/>
        </w:rPr>
        <w:t xml:space="preserve">. </w:t>
      </w:r>
    </w:p>
    <w:p w14:paraId="523F6619" w14:textId="77777777" w:rsidR="00E76839" w:rsidRPr="00116A43" w:rsidRDefault="00E76839" w:rsidP="00E76839">
      <w:pPr>
        <w:autoSpaceDE w:val="0"/>
        <w:autoSpaceDN w:val="0"/>
        <w:adjustRightInd w:val="0"/>
        <w:jc w:val="both"/>
        <w:rPr>
          <w:sz w:val="20"/>
          <w:szCs w:val="20"/>
          <w:lang w:val="es-PE"/>
        </w:rPr>
      </w:pPr>
    </w:p>
    <w:p w14:paraId="699C3BFB" w14:textId="34645E53" w:rsidR="00B44D0F" w:rsidRPr="00116A43" w:rsidRDefault="00C8732B"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Los policías llevaron a Yoani y a su hermana Yunia a un calabozo</w:t>
      </w:r>
      <w:r w:rsidR="007967A5" w:rsidRPr="00116A43">
        <w:rPr>
          <w:sz w:val="20"/>
          <w:szCs w:val="20"/>
          <w:lang w:val="es-PE"/>
        </w:rPr>
        <w:t xml:space="preserve"> de hombres</w:t>
      </w:r>
      <w:r w:rsidR="007967A5" w:rsidRPr="00116A43">
        <w:rPr>
          <w:rStyle w:val="FootnoteReference"/>
          <w:sz w:val="20"/>
          <w:szCs w:val="20"/>
          <w:lang w:val="es-PE"/>
        </w:rPr>
        <w:footnoteReference w:id="92"/>
      </w:r>
      <w:r w:rsidRPr="00116A43">
        <w:rPr>
          <w:sz w:val="20"/>
          <w:szCs w:val="20"/>
          <w:lang w:val="es-PE"/>
        </w:rPr>
        <w:t xml:space="preserve">, y </w:t>
      </w:r>
      <w:r w:rsidR="00D8352E" w:rsidRPr="00116A43">
        <w:rPr>
          <w:sz w:val="20"/>
          <w:szCs w:val="20"/>
          <w:lang w:val="es-PE"/>
        </w:rPr>
        <w:t xml:space="preserve">las catalogaron como contrarrevolucionarias, tildando a Yoani de ser la </w:t>
      </w:r>
      <w:r w:rsidR="00462692">
        <w:rPr>
          <w:sz w:val="20"/>
          <w:szCs w:val="20"/>
          <w:lang w:val="es-PE"/>
        </w:rPr>
        <w:t>“</w:t>
      </w:r>
      <w:r w:rsidR="00D8352E" w:rsidRPr="00116A43">
        <w:rPr>
          <w:sz w:val="20"/>
          <w:szCs w:val="20"/>
          <w:lang w:val="es-PE"/>
        </w:rPr>
        <w:t>cabecilla principal</w:t>
      </w:r>
      <w:r w:rsidR="00462692">
        <w:rPr>
          <w:sz w:val="20"/>
          <w:szCs w:val="20"/>
          <w:lang w:val="es-PE"/>
        </w:rPr>
        <w:t>”</w:t>
      </w:r>
      <w:r w:rsidR="00E437B8" w:rsidRPr="00116A43">
        <w:rPr>
          <w:rStyle w:val="FootnoteReference"/>
          <w:sz w:val="20"/>
          <w:szCs w:val="20"/>
          <w:lang w:val="es-PE"/>
        </w:rPr>
        <w:footnoteReference w:id="93"/>
      </w:r>
      <w:r w:rsidR="00D8352E" w:rsidRPr="00116A43">
        <w:rPr>
          <w:sz w:val="20"/>
          <w:szCs w:val="20"/>
          <w:lang w:val="es-PE"/>
        </w:rPr>
        <w:t>.</w:t>
      </w:r>
      <w:r w:rsidR="00615DD8" w:rsidRPr="00116A43">
        <w:rPr>
          <w:sz w:val="20"/>
          <w:szCs w:val="20"/>
          <w:lang w:val="es-PE"/>
        </w:rPr>
        <w:t xml:space="preserve"> </w:t>
      </w:r>
      <w:r w:rsidR="00B44D0F" w:rsidRPr="00116A43">
        <w:rPr>
          <w:sz w:val="20"/>
          <w:szCs w:val="20"/>
          <w:lang w:val="es-PE"/>
        </w:rPr>
        <w:t xml:space="preserve">La presunta víctima pudo identificar </w:t>
      </w:r>
      <w:r w:rsidR="009A2BC4" w:rsidRPr="00116A43">
        <w:rPr>
          <w:sz w:val="20"/>
          <w:szCs w:val="20"/>
          <w:lang w:val="es-PE"/>
        </w:rPr>
        <w:t xml:space="preserve">a </w:t>
      </w:r>
      <w:r w:rsidR="00B44D0F" w:rsidRPr="00116A43">
        <w:rPr>
          <w:sz w:val="20"/>
          <w:szCs w:val="20"/>
          <w:lang w:val="es-PE"/>
        </w:rPr>
        <w:t>dos policías</w:t>
      </w:r>
      <w:r w:rsidR="00D97550" w:rsidRPr="00116A43">
        <w:rPr>
          <w:sz w:val="20"/>
          <w:szCs w:val="20"/>
          <w:lang w:val="es-PE"/>
        </w:rPr>
        <w:t xml:space="preserve"> como sus agresores. </w:t>
      </w:r>
      <w:r w:rsidR="00B44D0F" w:rsidRPr="00116A43">
        <w:rPr>
          <w:sz w:val="20"/>
          <w:szCs w:val="20"/>
          <w:lang w:val="es-PE"/>
        </w:rPr>
        <w:t>Yoani Sánchez fue liberada e</w:t>
      </w:r>
      <w:r w:rsidR="009A6E91" w:rsidRPr="00116A43">
        <w:rPr>
          <w:sz w:val="20"/>
          <w:szCs w:val="20"/>
          <w:lang w:val="es-PE"/>
        </w:rPr>
        <w:t xml:space="preserve">se </w:t>
      </w:r>
      <w:r w:rsidR="00B44D0F" w:rsidRPr="00116A43">
        <w:rPr>
          <w:sz w:val="20"/>
          <w:szCs w:val="20"/>
          <w:lang w:val="es-PE"/>
        </w:rPr>
        <w:t>mismo día,</w:t>
      </w:r>
      <w:r w:rsidR="00713BBB" w:rsidRPr="00116A43">
        <w:rPr>
          <w:sz w:val="20"/>
          <w:szCs w:val="20"/>
          <w:lang w:val="es-PE"/>
        </w:rPr>
        <w:t xml:space="preserve"> </w:t>
      </w:r>
      <w:r w:rsidR="00BE0ACF" w:rsidRPr="00116A43">
        <w:rPr>
          <w:sz w:val="20"/>
          <w:szCs w:val="20"/>
          <w:lang w:val="es-PE"/>
        </w:rPr>
        <w:t>sin que se le informara</w:t>
      </w:r>
      <w:r w:rsidR="003B1890" w:rsidRPr="00116A43">
        <w:rPr>
          <w:sz w:val="20"/>
          <w:szCs w:val="20"/>
          <w:lang w:val="es-PE"/>
        </w:rPr>
        <w:t>n</w:t>
      </w:r>
      <w:r w:rsidR="00BE0ACF" w:rsidRPr="00116A43">
        <w:rPr>
          <w:sz w:val="20"/>
          <w:szCs w:val="20"/>
          <w:lang w:val="es-PE"/>
        </w:rPr>
        <w:t xml:space="preserve"> los motivos de su detención</w:t>
      </w:r>
      <w:r w:rsidR="003B1890" w:rsidRPr="00116A43">
        <w:rPr>
          <w:sz w:val="20"/>
          <w:szCs w:val="20"/>
          <w:lang w:val="es-PE"/>
        </w:rPr>
        <w:t xml:space="preserve"> y</w:t>
      </w:r>
      <w:r w:rsidR="00BE0ACF" w:rsidRPr="00116A43">
        <w:rPr>
          <w:sz w:val="20"/>
          <w:szCs w:val="20"/>
          <w:lang w:val="es-PE"/>
        </w:rPr>
        <w:t xml:space="preserve"> sin la adopción de un acta de detención </w:t>
      </w:r>
      <w:r w:rsidR="003B1890" w:rsidRPr="00116A43">
        <w:rPr>
          <w:sz w:val="20"/>
          <w:szCs w:val="20"/>
          <w:lang w:val="es-PE"/>
        </w:rPr>
        <w:t>ni</w:t>
      </w:r>
      <w:r w:rsidR="00B44D0F" w:rsidRPr="00116A43">
        <w:rPr>
          <w:sz w:val="20"/>
          <w:szCs w:val="20"/>
          <w:lang w:val="es-PE"/>
        </w:rPr>
        <w:t xml:space="preserve"> acta de su interrogatorio</w:t>
      </w:r>
      <w:r w:rsidR="00B44D0F" w:rsidRPr="00116A43">
        <w:rPr>
          <w:rStyle w:val="FootnoteReference"/>
          <w:rFonts w:cs="Times New Roman"/>
          <w:sz w:val="20"/>
          <w:szCs w:val="20"/>
          <w:lang w:val="es-PE"/>
        </w:rPr>
        <w:footnoteReference w:id="94"/>
      </w:r>
      <w:r w:rsidR="00B44D0F" w:rsidRPr="00116A43">
        <w:rPr>
          <w:sz w:val="20"/>
          <w:szCs w:val="20"/>
          <w:lang w:val="es-PE"/>
        </w:rPr>
        <w:t xml:space="preserve">. </w:t>
      </w:r>
    </w:p>
    <w:p w14:paraId="23316B5B" w14:textId="77777777" w:rsidR="005B1EF5" w:rsidRPr="00116A43" w:rsidRDefault="005B1EF5" w:rsidP="00375047">
      <w:pPr>
        <w:pStyle w:val="ListParagraph"/>
        <w:autoSpaceDE w:val="0"/>
        <w:autoSpaceDN w:val="0"/>
        <w:adjustRightInd w:val="0"/>
        <w:ind w:left="0"/>
        <w:jc w:val="both"/>
        <w:rPr>
          <w:sz w:val="20"/>
          <w:szCs w:val="20"/>
          <w:lang w:val="es-PE"/>
        </w:rPr>
      </w:pPr>
    </w:p>
    <w:p w14:paraId="44402F17" w14:textId="30300068"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El 4 de octubre de 2012</w:t>
      </w:r>
      <w:r w:rsidR="00D97550" w:rsidRPr="00116A43">
        <w:rPr>
          <w:sz w:val="20"/>
          <w:szCs w:val="20"/>
          <w:lang w:val="es-PE"/>
        </w:rPr>
        <w:t xml:space="preserve"> Yoani Sánchez </w:t>
      </w:r>
      <w:r w:rsidRPr="00116A43">
        <w:rPr>
          <w:sz w:val="20"/>
          <w:szCs w:val="20"/>
          <w:lang w:val="es-PE"/>
        </w:rPr>
        <w:t>fue</w:t>
      </w:r>
      <w:r w:rsidR="00D97550" w:rsidRPr="00116A43">
        <w:rPr>
          <w:sz w:val="20"/>
          <w:szCs w:val="20"/>
          <w:lang w:val="es-PE"/>
        </w:rPr>
        <w:t xml:space="preserve"> detenida por tercera vez, junto </w:t>
      </w:r>
      <w:r w:rsidRPr="00116A43">
        <w:rPr>
          <w:sz w:val="20"/>
          <w:szCs w:val="20"/>
          <w:lang w:val="es-PE"/>
        </w:rPr>
        <w:t>con su marido, Reynaldo Escobar, y un amigo, Agustín López</w:t>
      </w:r>
      <w:r w:rsidRPr="00116A43">
        <w:rPr>
          <w:rStyle w:val="FootnoteReference"/>
          <w:rFonts w:cs="Times New Roman"/>
          <w:sz w:val="20"/>
          <w:szCs w:val="20"/>
          <w:lang w:val="es-PE"/>
        </w:rPr>
        <w:footnoteReference w:id="95"/>
      </w:r>
      <w:r w:rsidR="00611FAF" w:rsidRPr="00116A43">
        <w:rPr>
          <w:sz w:val="20"/>
          <w:szCs w:val="20"/>
          <w:lang w:val="es-PE"/>
        </w:rPr>
        <w:t xml:space="preserve">, en la ciudad de </w:t>
      </w:r>
      <w:r w:rsidR="001C63F1" w:rsidRPr="00116A43">
        <w:rPr>
          <w:sz w:val="20"/>
          <w:szCs w:val="20"/>
          <w:lang w:val="es-PE"/>
        </w:rPr>
        <w:t>Bayamo</w:t>
      </w:r>
      <w:r w:rsidR="00FE48B0" w:rsidRPr="00116A43">
        <w:rPr>
          <w:sz w:val="20"/>
          <w:szCs w:val="20"/>
          <w:lang w:val="es-PE"/>
        </w:rPr>
        <w:t>, sin que se les informara</w:t>
      </w:r>
      <w:r w:rsidR="00233159" w:rsidRPr="00116A43">
        <w:rPr>
          <w:sz w:val="20"/>
          <w:szCs w:val="20"/>
          <w:lang w:val="es-PE"/>
        </w:rPr>
        <w:t xml:space="preserve"> sobre los motivos de la detención.</w:t>
      </w:r>
      <w:r w:rsidRPr="00116A43">
        <w:rPr>
          <w:sz w:val="20"/>
          <w:szCs w:val="20"/>
          <w:lang w:val="es-PE"/>
        </w:rPr>
        <w:t xml:space="preserve"> </w:t>
      </w:r>
      <w:r w:rsidR="001277C1" w:rsidRPr="00116A43">
        <w:rPr>
          <w:sz w:val="20"/>
          <w:szCs w:val="20"/>
          <w:lang w:val="es-PE"/>
        </w:rPr>
        <w:t>Yoani</w:t>
      </w:r>
      <w:r w:rsidR="0091525C" w:rsidRPr="00116A43">
        <w:rPr>
          <w:sz w:val="20"/>
          <w:szCs w:val="20"/>
          <w:lang w:val="es-PE"/>
        </w:rPr>
        <w:t xml:space="preserve"> se encontraba en Bayamo para reportar, a cargo del periódico El País</w:t>
      </w:r>
      <w:r w:rsidR="001277C1" w:rsidRPr="00116A43">
        <w:rPr>
          <w:sz w:val="20"/>
          <w:szCs w:val="20"/>
          <w:lang w:val="es-PE"/>
        </w:rPr>
        <w:t>,</w:t>
      </w:r>
      <w:r w:rsidR="0091525C" w:rsidRPr="00116A43">
        <w:rPr>
          <w:sz w:val="20"/>
          <w:szCs w:val="20"/>
          <w:lang w:val="es-PE"/>
        </w:rPr>
        <w:t xml:space="preserve"> </w:t>
      </w:r>
      <w:r w:rsidR="009712E2" w:rsidRPr="00116A43">
        <w:rPr>
          <w:sz w:val="20"/>
          <w:szCs w:val="20"/>
          <w:lang w:val="es-PE"/>
        </w:rPr>
        <w:t xml:space="preserve">sobre </w:t>
      </w:r>
      <w:r w:rsidR="0091525C" w:rsidRPr="00116A43">
        <w:rPr>
          <w:sz w:val="20"/>
          <w:szCs w:val="20"/>
          <w:lang w:val="es-PE"/>
        </w:rPr>
        <w:t>el juicio de Ángel Carromero, acusado por el homicidio de los disidentes políticos Oswaldo Pay</w:t>
      </w:r>
      <w:r w:rsidR="00C32CB5" w:rsidRPr="00116A43">
        <w:rPr>
          <w:sz w:val="20"/>
          <w:szCs w:val="20"/>
          <w:lang w:val="es-PE"/>
        </w:rPr>
        <w:t>á</w:t>
      </w:r>
      <w:r w:rsidR="0091525C" w:rsidRPr="00116A43">
        <w:rPr>
          <w:sz w:val="20"/>
          <w:szCs w:val="20"/>
          <w:lang w:val="es-PE"/>
        </w:rPr>
        <w:t xml:space="preserve"> Sardinas y </w:t>
      </w:r>
      <w:r w:rsidR="00BA2CFC" w:rsidRPr="00116A43">
        <w:rPr>
          <w:sz w:val="20"/>
          <w:szCs w:val="20"/>
          <w:lang w:val="es-PE"/>
        </w:rPr>
        <w:t>H</w:t>
      </w:r>
      <w:r w:rsidR="0091525C" w:rsidRPr="00116A43">
        <w:rPr>
          <w:sz w:val="20"/>
          <w:szCs w:val="20"/>
          <w:lang w:val="es-PE"/>
        </w:rPr>
        <w:t>arold Cepero</w:t>
      </w:r>
      <w:r w:rsidR="0091525C" w:rsidRPr="00116A43">
        <w:rPr>
          <w:rStyle w:val="FootnoteReference"/>
          <w:rFonts w:cs="Times New Roman"/>
          <w:sz w:val="20"/>
          <w:szCs w:val="20"/>
          <w:lang w:val="es-PE"/>
        </w:rPr>
        <w:footnoteReference w:id="96"/>
      </w:r>
      <w:r w:rsidR="001277C1" w:rsidRPr="00116A43">
        <w:rPr>
          <w:sz w:val="20"/>
          <w:szCs w:val="20"/>
          <w:lang w:val="es-PE"/>
        </w:rPr>
        <w:t xml:space="preserve">. </w:t>
      </w:r>
      <w:r w:rsidR="00D62E3A" w:rsidRPr="00116A43">
        <w:rPr>
          <w:sz w:val="20"/>
          <w:szCs w:val="20"/>
          <w:lang w:val="es-PE"/>
        </w:rPr>
        <w:t>Sus</w:t>
      </w:r>
      <w:r w:rsidRPr="00116A43">
        <w:rPr>
          <w:sz w:val="20"/>
          <w:szCs w:val="20"/>
          <w:lang w:val="es-PE"/>
        </w:rPr>
        <w:t xml:space="preserve"> móviles</w:t>
      </w:r>
      <w:r w:rsidR="00B50236" w:rsidRPr="00116A43">
        <w:rPr>
          <w:sz w:val="20"/>
          <w:szCs w:val="20"/>
          <w:lang w:val="es-PE"/>
        </w:rPr>
        <w:t xml:space="preserve"> </w:t>
      </w:r>
      <w:r w:rsidR="00D62E3A" w:rsidRPr="00116A43">
        <w:rPr>
          <w:sz w:val="20"/>
          <w:szCs w:val="20"/>
          <w:lang w:val="es-PE"/>
        </w:rPr>
        <w:t>y las cámaras que lleva</w:t>
      </w:r>
      <w:r w:rsidR="00FE48B0" w:rsidRPr="00116A43">
        <w:rPr>
          <w:sz w:val="20"/>
          <w:szCs w:val="20"/>
          <w:lang w:val="es-PE"/>
        </w:rPr>
        <w:t>ban</w:t>
      </w:r>
      <w:r w:rsidR="00D62E3A" w:rsidRPr="00116A43">
        <w:rPr>
          <w:sz w:val="20"/>
          <w:szCs w:val="20"/>
          <w:lang w:val="es-PE"/>
        </w:rPr>
        <w:t xml:space="preserve"> </w:t>
      </w:r>
      <w:r w:rsidR="00B50236" w:rsidRPr="00116A43">
        <w:rPr>
          <w:sz w:val="20"/>
          <w:szCs w:val="20"/>
          <w:lang w:val="es-PE"/>
        </w:rPr>
        <w:t xml:space="preserve">fueron </w:t>
      </w:r>
      <w:r w:rsidR="00D62E3A" w:rsidRPr="00116A43">
        <w:rPr>
          <w:sz w:val="20"/>
          <w:szCs w:val="20"/>
          <w:lang w:val="es-PE"/>
        </w:rPr>
        <w:t>requisad</w:t>
      </w:r>
      <w:r w:rsidR="00A141F5" w:rsidRPr="00116A43">
        <w:rPr>
          <w:sz w:val="20"/>
          <w:szCs w:val="20"/>
          <w:lang w:val="es-PE"/>
        </w:rPr>
        <w:t>a</w:t>
      </w:r>
      <w:r w:rsidR="00D62E3A" w:rsidRPr="00116A43">
        <w:rPr>
          <w:sz w:val="20"/>
          <w:szCs w:val="20"/>
          <w:lang w:val="es-PE"/>
        </w:rPr>
        <w:t>s</w:t>
      </w:r>
      <w:r w:rsidRPr="00116A43">
        <w:rPr>
          <w:rStyle w:val="FootnoteReference"/>
          <w:rFonts w:cs="Times New Roman"/>
          <w:sz w:val="20"/>
          <w:szCs w:val="20"/>
          <w:lang w:val="es-PE"/>
        </w:rPr>
        <w:footnoteReference w:id="97"/>
      </w:r>
      <w:r w:rsidRPr="00116A43">
        <w:rPr>
          <w:sz w:val="20"/>
          <w:szCs w:val="20"/>
          <w:lang w:val="es-PE"/>
        </w:rPr>
        <w:t xml:space="preserve">. </w:t>
      </w:r>
    </w:p>
    <w:p w14:paraId="79154650" w14:textId="7EFBA94E" w:rsidR="005B1EF5" w:rsidRPr="00116A43" w:rsidRDefault="005B1EF5" w:rsidP="00375047">
      <w:pPr>
        <w:autoSpaceDE w:val="0"/>
        <w:autoSpaceDN w:val="0"/>
        <w:adjustRightInd w:val="0"/>
        <w:jc w:val="both"/>
        <w:rPr>
          <w:sz w:val="20"/>
          <w:szCs w:val="20"/>
          <w:lang w:val="es-PE"/>
        </w:rPr>
      </w:pPr>
    </w:p>
    <w:p w14:paraId="6D5B6257" w14:textId="7EE47E7A"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 La p</w:t>
      </w:r>
      <w:r w:rsidR="00E13A7E" w:rsidRPr="00116A43">
        <w:rPr>
          <w:sz w:val="20"/>
          <w:szCs w:val="20"/>
          <w:lang w:val="es-PE"/>
        </w:rPr>
        <w:t>eriodista</w:t>
      </w:r>
      <w:r w:rsidRPr="00116A43">
        <w:rPr>
          <w:sz w:val="20"/>
          <w:szCs w:val="20"/>
          <w:lang w:val="es-PE"/>
        </w:rPr>
        <w:t xml:space="preserve"> fue llevada a la estación de la policía de Bayamo, donde </w:t>
      </w:r>
      <w:r w:rsidR="00C42BB9" w:rsidRPr="00116A43">
        <w:rPr>
          <w:sz w:val="20"/>
          <w:szCs w:val="20"/>
          <w:lang w:val="es-PE"/>
        </w:rPr>
        <w:t>tres</w:t>
      </w:r>
      <w:r w:rsidRPr="00116A43">
        <w:rPr>
          <w:sz w:val="20"/>
          <w:szCs w:val="20"/>
          <w:lang w:val="es-PE"/>
        </w:rPr>
        <w:t xml:space="preserve"> mujeres polic</w:t>
      </w:r>
      <w:r w:rsidR="00C42BB9" w:rsidRPr="00116A43">
        <w:rPr>
          <w:sz w:val="20"/>
          <w:szCs w:val="20"/>
          <w:lang w:val="es-PE"/>
        </w:rPr>
        <w:t>ías</w:t>
      </w:r>
      <w:r w:rsidRPr="00116A43">
        <w:rPr>
          <w:sz w:val="20"/>
          <w:szCs w:val="20"/>
          <w:lang w:val="es-PE"/>
        </w:rPr>
        <w:t xml:space="preserve"> l</w:t>
      </w:r>
      <w:r w:rsidR="00C42BB9" w:rsidRPr="00116A43">
        <w:rPr>
          <w:sz w:val="20"/>
          <w:szCs w:val="20"/>
          <w:lang w:val="es-PE"/>
        </w:rPr>
        <w:t>a</w:t>
      </w:r>
      <w:r w:rsidRPr="00116A43">
        <w:rPr>
          <w:sz w:val="20"/>
          <w:szCs w:val="20"/>
          <w:lang w:val="es-PE"/>
        </w:rPr>
        <w:t xml:space="preserve"> rodearon y le quitaron sus partencias </w:t>
      </w:r>
      <w:r w:rsidR="00F40873" w:rsidRPr="00116A43">
        <w:rPr>
          <w:sz w:val="20"/>
          <w:szCs w:val="20"/>
          <w:lang w:val="es-PE"/>
        </w:rPr>
        <w:t xml:space="preserve">e </w:t>
      </w:r>
      <w:r w:rsidRPr="00116A43">
        <w:rPr>
          <w:sz w:val="20"/>
          <w:szCs w:val="20"/>
          <w:lang w:val="es-PE"/>
        </w:rPr>
        <w:t xml:space="preserve">intentaron quitarle </w:t>
      </w:r>
      <w:r w:rsidR="00F40873" w:rsidRPr="00116A43">
        <w:rPr>
          <w:sz w:val="20"/>
          <w:szCs w:val="20"/>
          <w:lang w:val="es-PE"/>
        </w:rPr>
        <w:t>la</w:t>
      </w:r>
      <w:r w:rsidRPr="00116A43">
        <w:rPr>
          <w:sz w:val="20"/>
          <w:szCs w:val="20"/>
          <w:lang w:val="es-PE"/>
        </w:rPr>
        <w:t xml:space="preserve"> ropa. </w:t>
      </w:r>
      <w:r w:rsidR="00F40873" w:rsidRPr="00116A43">
        <w:rPr>
          <w:sz w:val="20"/>
          <w:szCs w:val="20"/>
          <w:lang w:val="es-PE"/>
        </w:rPr>
        <w:t>Al resistirse, l</w:t>
      </w:r>
      <w:r w:rsidR="00AF2128" w:rsidRPr="00116A43">
        <w:rPr>
          <w:sz w:val="20"/>
          <w:szCs w:val="20"/>
          <w:lang w:val="es-PE"/>
        </w:rPr>
        <w:t>a lanzaron al suelo</w:t>
      </w:r>
      <w:r w:rsidRPr="00116A43">
        <w:rPr>
          <w:sz w:val="20"/>
          <w:szCs w:val="20"/>
          <w:lang w:val="es-PE"/>
        </w:rPr>
        <w:t>, causando la fractura de un</w:t>
      </w:r>
      <w:r w:rsidR="00AF2128" w:rsidRPr="00116A43">
        <w:rPr>
          <w:sz w:val="20"/>
          <w:szCs w:val="20"/>
          <w:lang w:val="es-PE"/>
        </w:rPr>
        <w:t>o de sus</w:t>
      </w:r>
      <w:r w:rsidRPr="00116A43">
        <w:rPr>
          <w:sz w:val="20"/>
          <w:szCs w:val="20"/>
          <w:lang w:val="es-PE"/>
        </w:rPr>
        <w:t xml:space="preserve"> d</w:t>
      </w:r>
      <w:r w:rsidR="00AF2128" w:rsidRPr="00116A43">
        <w:rPr>
          <w:sz w:val="20"/>
          <w:szCs w:val="20"/>
          <w:lang w:val="es-PE"/>
        </w:rPr>
        <w:t>i</w:t>
      </w:r>
      <w:r w:rsidRPr="00116A43">
        <w:rPr>
          <w:sz w:val="20"/>
          <w:szCs w:val="20"/>
          <w:lang w:val="es-PE"/>
        </w:rPr>
        <w:t>ente</w:t>
      </w:r>
      <w:r w:rsidR="00AF2128" w:rsidRPr="00116A43">
        <w:rPr>
          <w:sz w:val="20"/>
          <w:szCs w:val="20"/>
          <w:lang w:val="es-PE"/>
        </w:rPr>
        <w:t>s</w:t>
      </w:r>
      <w:r w:rsidRPr="00116A43">
        <w:rPr>
          <w:sz w:val="20"/>
          <w:szCs w:val="20"/>
          <w:lang w:val="es-PE"/>
        </w:rPr>
        <w:t xml:space="preserve"> y contusiones en sus costillas. Después de</w:t>
      </w:r>
      <w:r w:rsidR="00716BE0" w:rsidRPr="00116A43">
        <w:rPr>
          <w:sz w:val="20"/>
          <w:szCs w:val="20"/>
          <w:lang w:val="es-PE"/>
        </w:rPr>
        <w:t xml:space="preserve"> un nuevo intento de desnudarla, </w:t>
      </w:r>
      <w:r w:rsidR="000D341D" w:rsidRPr="00116A43">
        <w:rPr>
          <w:sz w:val="20"/>
          <w:szCs w:val="20"/>
          <w:lang w:val="es-PE"/>
        </w:rPr>
        <w:t xml:space="preserve">Yoani continuó resistiéndose </w:t>
      </w:r>
      <w:r w:rsidR="005048CA" w:rsidRPr="00116A43">
        <w:rPr>
          <w:sz w:val="20"/>
          <w:szCs w:val="20"/>
          <w:lang w:val="es-PE"/>
        </w:rPr>
        <w:t>y las policías la</w:t>
      </w:r>
      <w:r w:rsidRPr="00116A43">
        <w:rPr>
          <w:sz w:val="20"/>
          <w:szCs w:val="20"/>
          <w:lang w:val="es-PE"/>
        </w:rPr>
        <w:t xml:space="preserve"> dejaron en una celda</w:t>
      </w:r>
      <w:r w:rsidR="008E4E4B" w:rsidRPr="00116A43">
        <w:rPr>
          <w:sz w:val="20"/>
          <w:szCs w:val="20"/>
          <w:lang w:val="es-PE"/>
        </w:rPr>
        <w:t xml:space="preserve"> en</w:t>
      </w:r>
      <w:r w:rsidRPr="00116A43">
        <w:rPr>
          <w:sz w:val="20"/>
          <w:szCs w:val="20"/>
          <w:lang w:val="es-PE"/>
        </w:rPr>
        <w:t xml:space="preserve"> donde la interrogaron. Un hombre film</w:t>
      </w:r>
      <w:r w:rsidR="005A6029" w:rsidRPr="00116A43">
        <w:rPr>
          <w:sz w:val="20"/>
          <w:szCs w:val="20"/>
          <w:lang w:val="es-PE"/>
        </w:rPr>
        <w:t xml:space="preserve">ó </w:t>
      </w:r>
      <w:r w:rsidR="00854ADD" w:rsidRPr="00116A43">
        <w:rPr>
          <w:sz w:val="20"/>
          <w:szCs w:val="20"/>
          <w:lang w:val="es-PE"/>
        </w:rPr>
        <w:t xml:space="preserve">parte de </w:t>
      </w:r>
      <w:r w:rsidRPr="00116A43">
        <w:rPr>
          <w:sz w:val="20"/>
          <w:szCs w:val="20"/>
          <w:lang w:val="es-PE"/>
        </w:rPr>
        <w:t>lo ocurrido. En la madrugada, permitieron que la presunta víctima llamara su hija</w:t>
      </w:r>
      <w:r w:rsidR="00854ADD" w:rsidRPr="00116A43">
        <w:rPr>
          <w:sz w:val="20"/>
          <w:szCs w:val="20"/>
          <w:lang w:val="es-PE"/>
        </w:rPr>
        <w:t xml:space="preserve">, luego de haberle negado la llamada </w:t>
      </w:r>
      <w:r w:rsidR="00CE32FA" w:rsidRPr="00116A43">
        <w:rPr>
          <w:sz w:val="20"/>
          <w:szCs w:val="20"/>
          <w:lang w:val="es-PE"/>
        </w:rPr>
        <w:t>por varias horas</w:t>
      </w:r>
      <w:r w:rsidRPr="00116A43">
        <w:rPr>
          <w:rStyle w:val="FootnoteReference"/>
          <w:rFonts w:cs="Times New Roman"/>
          <w:sz w:val="20"/>
          <w:szCs w:val="20"/>
          <w:lang w:val="es-PE"/>
        </w:rPr>
        <w:footnoteReference w:id="98"/>
      </w:r>
      <w:r w:rsidRPr="00116A43">
        <w:rPr>
          <w:sz w:val="20"/>
          <w:szCs w:val="20"/>
          <w:lang w:val="es-PE"/>
        </w:rPr>
        <w:t xml:space="preserve">. </w:t>
      </w:r>
    </w:p>
    <w:p w14:paraId="110E0ABA" w14:textId="138A50BE" w:rsidR="005B1EF5" w:rsidRPr="00116A43" w:rsidRDefault="005B1EF5" w:rsidP="00375047">
      <w:pPr>
        <w:autoSpaceDE w:val="0"/>
        <w:autoSpaceDN w:val="0"/>
        <w:adjustRightInd w:val="0"/>
        <w:jc w:val="both"/>
        <w:rPr>
          <w:sz w:val="20"/>
          <w:szCs w:val="20"/>
          <w:lang w:val="es-PE"/>
        </w:rPr>
      </w:pPr>
    </w:p>
    <w:p w14:paraId="65D88D67" w14:textId="555B668B" w:rsidR="00B44D0F"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La presunta víctima hizo huelga de alimentos y líquidos durante la detención y fue liberada </w:t>
      </w:r>
      <w:r w:rsidR="006C1E15" w:rsidRPr="00116A43">
        <w:rPr>
          <w:sz w:val="20"/>
          <w:szCs w:val="20"/>
          <w:lang w:val="es-PE"/>
        </w:rPr>
        <w:t xml:space="preserve">luego de </w:t>
      </w:r>
      <w:r w:rsidRPr="00116A43">
        <w:rPr>
          <w:sz w:val="20"/>
          <w:szCs w:val="20"/>
          <w:lang w:val="es-PE"/>
        </w:rPr>
        <w:t xml:space="preserve">más de 30 horas. </w:t>
      </w:r>
      <w:r w:rsidR="00536F72" w:rsidRPr="00116A43">
        <w:rPr>
          <w:sz w:val="20"/>
          <w:szCs w:val="20"/>
          <w:lang w:val="es-PE"/>
        </w:rPr>
        <w:t>No</w:t>
      </w:r>
      <w:r w:rsidR="009B6A16" w:rsidRPr="00116A43">
        <w:rPr>
          <w:sz w:val="20"/>
          <w:szCs w:val="20"/>
          <w:lang w:val="es-PE"/>
        </w:rPr>
        <w:t xml:space="preserve"> se le informar</w:t>
      </w:r>
      <w:r w:rsidR="00536F72" w:rsidRPr="00116A43">
        <w:rPr>
          <w:sz w:val="20"/>
          <w:szCs w:val="20"/>
          <w:lang w:val="es-PE"/>
        </w:rPr>
        <w:t>o</w:t>
      </w:r>
      <w:r w:rsidR="009B6A16" w:rsidRPr="00116A43">
        <w:rPr>
          <w:sz w:val="20"/>
          <w:szCs w:val="20"/>
          <w:lang w:val="es-PE"/>
        </w:rPr>
        <w:t>n los motivos de su detención</w:t>
      </w:r>
      <w:r w:rsidR="00E02555" w:rsidRPr="00116A43">
        <w:rPr>
          <w:sz w:val="20"/>
          <w:szCs w:val="20"/>
          <w:lang w:val="es-PE"/>
        </w:rPr>
        <w:t xml:space="preserve"> y tampoco</w:t>
      </w:r>
      <w:r w:rsidR="00536F72" w:rsidRPr="00116A43">
        <w:rPr>
          <w:sz w:val="20"/>
          <w:szCs w:val="20"/>
          <w:lang w:val="es-PE"/>
        </w:rPr>
        <w:t xml:space="preserve"> se emitió</w:t>
      </w:r>
      <w:r w:rsidR="009B6A16" w:rsidRPr="00116A43">
        <w:rPr>
          <w:sz w:val="20"/>
          <w:szCs w:val="20"/>
          <w:lang w:val="es-PE"/>
        </w:rPr>
        <w:t xml:space="preserve"> un acta de detención ni </w:t>
      </w:r>
      <w:r w:rsidR="00536F72" w:rsidRPr="00116A43">
        <w:rPr>
          <w:sz w:val="20"/>
          <w:szCs w:val="20"/>
          <w:lang w:val="es-PE"/>
        </w:rPr>
        <w:t xml:space="preserve">un </w:t>
      </w:r>
      <w:r w:rsidR="009B6A16" w:rsidRPr="00116A43">
        <w:rPr>
          <w:sz w:val="20"/>
          <w:szCs w:val="20"/>
          <w:lang w:val="es-PE"/>
        </w:rPr>
        <w:t>acta de su interrogatorio</w:t>
      </w:r>
      <w:r w:rsidRPr="00116A43">
        <w:rPr>
          <w:rStyle w:val="FootnoteReference"/>
          <w:rFonts w:cs="Times New Roman"/>
          <w:sz w:val="20"/>
          <w:szCs w:val="20"/>
          <w:lang w:val="es-PE"/>
        </w:rPr>
        <w:footnoteReference w:id="99"/>
      </w:r>
      <w:r w:rsidRPr="00116A43">
        <w:rPr>
          <w:sz w:val="20"/>
          <w:szCs w:val="20"/>
          <w:lang w:val="es-PE"/>
        </w:rPr>
        <w:t xml:space="preserve">. </w:t>
      </w:r>
    </w:p>
    <w:p w14:paraId="2E79B957" w14:textId="77777777" w:rsidR="00577F2D" w:rsidRPr="00116A43" w:rsidRDefault="00577F2D" w:rsidP="00577F2D">
      <w:pPr>
        <w:pStyle w:val="ListParagraph"/>
        <w:autoSpaceDE w:val="0"/>
        <w:autoSpaceDN w:val="0"/>
        <w:adjustRightInd w:val="0"/>
        <w:ind w:left="0"/>
        <w:jc w:val="both"/>
        <w:rPr>
          <w:sz w:val="20"/>
          <w:szCs w:val="20"/>
          <w:lang w:val="es-PE"/>
        </w:rPr>
      </w:pPr>
    </w:p>
    <w:p w14:paraId="70DD7A03" w14:textId="55FC5070" w:rsidR="00B44D0F" w:rsidRPr="00116A43" w:rsidRDefault="00B44D0F" w:rsidP="004F709F">
      <w:pPr>
        <w:pStyle w:val="Heading2"/>
      </w:pPr>
      <w:bookmarkStart w:id="21" w:name="_Toc89157565"/>
      <w:r w:rsidRPr="00116A43">
        <w:t>Los impedimentos de salida del país de</w:t>
      </w:r>
      <w:r w:rsidR="00470646" w:rsidRPr="00116A43">
        <w:t xml:space="preserve"> Yoani Sánchez Cordero</w:t>
      </w:r>
      <w:r w:rsidRPr="00116A43">
        <w:t xml:space="preserve"> </w:t>
      </w:r>
      <w:r w:rsidR="00370865" w:rsidRPr="00116A43">
        <w:t xml:space="preserve">de </w:t>
      </w:r>
      <w:r w:rsidRPr="00116A43">
        <w:t>2007</w:t>
      </w:r>
      <w:r w:rsidR="00195DDA" w:rsidRPr="00116A43">
        <w:t xml:space="preserve"> a 2012</w:t>
      </w:r>
      <w:bookmarkEnd w:id="21"/>
    </w:p>
    <w:p w14:paraId="6722980C" w14:textId="77777777" w:rsidR="005B1EF5" w:rsidRPr="00116A43" w:rsidRDefault="005B1EF5" w:rsidP="005F7FE2">
      <w:pPr>
        <w:pStyle w:val="ListParagraph"/>
        <w:autoSpaceDE w:val="0"/>
        <w:autoSpaceDN w:val="0"/>
        <w:adjustRightInd w:val="0"/>
        <w:ind w:left="1080"/>
        <w:rPr>
          <w:b/>
          <w:sz w:val="20"/>
          <w:szCs w:val="20"/>
          <w:lang w:val="es-PE"/>
        </w:rPr>
      </w:pPr>
    </w:p>
    <w:p w14:paraId="7B9EC85C" w14:textId="28A9D2C6" w:rsidR="00B44D0F" w:rsidRPr="00116A43" w:rsidRDefault="002B3BB2"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Yoani </w:t>
      </w:r>
      <w:r w:rsidR="003A3471" w:rsidRPr="00116A43">
        <w:rPr>
          <w:sz w:val="20"/>
          <w:szCs w:val="20"/>
          <w:lang w:val="es-PE"/>
        </w:rPr>
        <w:t xml:space="preserve">Sánchez recibió diversos </w:t>
      </w:r>
      <w:r w:rsidR="00B44D0F" w:rsidRPr="00116A43">
        <w:rPr>
          <w:sz w:val="20"/>
          <w:szCs w:val="20"/>
          <w:lang w:val="es-PE"/>
        </w:rPr>
        <w:t>visad</w:t>
      </w:r>
      <w:r w:rsidR="003A3471" w:rsidRPr="00116A43">
        <w:rPr>
          <w:sz w:val="20"/>
          <w:szCs w:val="20"/>
          <w:lang w:val="es-PE"/>
        </w:rPr>
        <w:t xml:space="preserve">os </w:t>
      </w:r>
      <w:r w:rsidR="006D3D82" w:rsidRPr="00116A43">
        <w:rPr>
          <w:sz w:val="20"/>
          <w:szCs w:val="20"/>
          <w:lang w:val="es-PE"/>
        </w:rPr>
        <w:t>con el fin de viajar para recibir premios y galardones por su blog y su labor de period</w:t>
      </w:r>
      <w:r w:rsidR="00AC1FBE" w:rsidRPr="00116A43">
        <w:rPr>
          <w:sz w:val="20"/>
          <w:szCs w:val="20"/>
          <w:lang w:val="es-PE"/>
        </w:rPr>
        <w:t xml:space="preserve">ística. Conforme al acervo probatorio ante la CIDH, la bloguera contaba con visas para viajar a </w:t>
      </w:r>
      <w:r w:rsidR="00B44D0F" w:rsidRPr="00116A43">
        <w:rPr>
          <w:sz w:val="20"/>
          <w:szCs w:val="20"/>
          <w:lang w:val="es-PE"/>
        </w:rPr>
        <w:t>Argentina (3 de mayo de 2010), Canadá (3 de diciembre de 2009), Brasil (25 de enero de 2012)</w:t>
      </w:r>
      <w:r w:rsidR="00C92C2B" w:rsidRPr="00116A43">
        <w:rPr>
          <w:sz w:val="20"/>
          <w:szCs w:val="20"/>
          <w:lang w:val="es-PE"/>
        </w:rPr>
        <w:t>,</w:t>
      </w:r>
      <w:r w:rsidR="00B44D0F" w:rsidRPr="00116A43">
        <w:rPr>
          <w:sz w:val="20"/>
          <w:szCs w:val="20"/>
          <w:lang w:val="es-PE"/>
        </w:rPr>
        <w:t xml:space="preserve"> Chile (23 de febrero de 2010), los Estados Unidos (13 de noviembre de 2008, 13 de noviembre de 2008, 25 de agosto de 2009, 4 de octubre de 2010, 5 de agosto de 2011</w:t>
      </w:r>
      <w:r w:rsidR="00C92C2B" w:rsidRPr="00116A43">
        <w:rPr>
          <w:sz w:val="20"/>
          <w:szCs w:val="20"/>
          <w:lang w:val="es-PE"/>
        </w:rPr>
        <w:t xml:space="preserve">, </w:t>
      </w:r>
      <w:r w:rsidR="00FD66A3" w:rsidRPr="00116A43">
        <w:rPr>
          <w:sz w:val="20"/>
          <w:szCs w:val="20"/>
          <w:lang w:val="es-PE"/>
        </w:rPr>
        <w:t xml:space="preserve">y </w:t>
      </w:r>
      <w:r w:rsidR="00B007CD" w:rsidRPr="00116A43">
        <w:rPr>
          <w:sz w:val="20"/>
          <w:szCs w:val="20"/>
          <w:lang w:val="es-PE"/>
        </w:rPr>
        <w:t xml:space="preserve">diversos </w:t>
      </w:r>
      <w:r w:rsidR="00B44D0F" w:rsidRPr="00116A43">
        <w:rPr>
          <w:sz w:val="20"/>
          <w:szCs w:val="20"/>
          <w:lang w:val="es-PE"/>
        </w:rPr>
        <w:t>Estados</w:t>
      </w:r>
      <w:r w:rsidR="00B007CD" w:rsidRPr="00116A43">
        <w:rPr>
          <w:sz w:val="20"/>
          <w:szCs w:val="20"/>
          <w:lang w:val="es-PE"/>
        </w:rPr>
        <w:t xml:space="preserve"> dentro del espacio</w:t>
      </w:r>
      <w:r w:rsidR="00B44D0F" w:rsidRPr="00116A43">
        <w:rPr>
          <w:sz w:val="20"/>
          <w:szCs w:val="20"/>
          <w:lang w:val="es-PE"/>
        </w:rPr>
        <w:t xml:space="preserve"> Schengen (1 de mayo de 2008, 15 de junio de 2009, 13 de septiembre de 2010, 14 de diciembre de 2010, 1 de mayo de 2011, 13 de octubre de 2011)</w:t>
      </w:r>
      <w:r w:rsidR="00B44D0F" w:rsidRPr="00116A43">
        <w:rPr>
          <w:rStyle w:val="FootnoteReference"/>
          <w:rFonts w:cs="Times New Roman"/>
          <w:sz w:val="20"/>
          <w:szCs w:val="20"/>
          <w:lang w:val="es-PE"/>
        </w:rPr>
        <w:footnoteReference w:id="100"/>
      </w:r>
      <w:r w:rsidR="00B44D0F" w:rsidRPr="00116A43">
        <w:rPr>
          <w:sz w:val="20"/>
          <w:szCs w:val="20"/>
          <w:lang w:val="es-PE"/>
        </w:rPr>
        <w:t>.</w:t>
      </w:r>
    </w:p>
    <w:p w14:paraId="7C0515FD" w14:textId="77777777" w:rsidR="005B1EF5" w:rsidRPr="00116A43" w:rsidRDefault="005B1EF5" w:rsidP="00375047">
      <w:pPr>
        <w:pStyle w:val="ListParagraph"/>
        <w:autoSpaceDE w:val="0"/>
        <w:autoSpaceDN w:val="0"/>
        <w:adjustRightInd w:val="0"/>
        <w:ind w:left="0"/>
        <w:jc w:val="both"/>
        <w:rPr>
          <w:sz w:val="20"/>
          <w:szCs w:val="20"/>
          <w:lang w:val="es-PE"/>
        </w:rPr>
      </w:pPr>
    </w:p>
    <w:p w14:paraId="15797A9E" w14:textId="0880E3DA"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 </w:t>
      </w:r>
      <w:r w:rsidR="0080265B" w:rsidRPr="00116A43">
        <w:rPr>
          <w:sz w:val="20"/>
          <w:szCs w:val="20"/>
          <w:lang w:val="es-PE"/>
        </w:rPr>
        <w:t xml:space="preserve">Entre el 2007 y 2012 </w:t>
      </w:r>
      <w:r w:rsidR="00E15A02" w:rsidRPr="00116A43">
        <w:rPr>
          <w:sz w:val="20"/>
          <w:szCs w:val="20"/>
          <w:lang w:val="es-PE"/>
        </w:rPr>
        <w:t>la Dirección de Inmigración y Extranjería negó</w:t>
      </w:r>
      <w:r w:rsidR="00211470" w:rsidRPr="00116A43">
        <w:rPr>
          <w:sz w:val="20"/>
          <w:szCs w:val="20"/>
          <w:lang w:val="es-PE"/>
        </w:rPr>
        <w:t xml:space="preserve"> reiteradamente</w:t>
      </w:r>
      <w:r w:rsidR="00AA678A" w:rsidRPr="00116A43">
        <w:rPr>
          <w:sz w:val="20"/>
          <w:szCs w:val="20"/>
          <w:lang w:val="es-PE"/>
        </w:rPr>
        <w:t>, al menos en 20 ocasiones,</w:t>
      </w:r>
      <w:r w:rsidR="00211470" w:rsidRPr="00116A43">
        <w:rPr>
          <w:sz w:val="20"/>
          <w:szCs w:val="20"/>
          <w:lang w:val="es-PE"/>
        </w:rPr>
        <w:t xml:space="preserve"> la</w:t>
      </w:r>
      <w:r w:rsidR="001F1D62" w:rsidRPr="00116A43">
        <w:rPr>
          <w:sz w:val="20"/>
          <w:szCs w:val="20"/>
          <w:lang w:val="es-PE"/>
        </w:rPr>
        <w:t>s</w:t>
      </w:r>
      <w:r w:rsidR="00211470" w:rsidRPr="00116A43">
        <w:rPr>
          <w:sz w:val="20"/>
          <w:szCs w:val="20"/>
          <w:lang w:val="es-PE"/>
        </w:rPr>
        <w:t xml:space="preserve"> solicit</w:t>
      </w:r>
      <w:r w:rsidR="001F1D62" w:rsidRPr="00116A43">
        <w:rPr>
          <w:sz w:val="20"/>
          <w:szCs w:val="20"/>
          <w:lang w:val="es-PE"/>
        </w:rPr>
        <w:t xml:space="preserve">udes presentadas </w:t>
      </w:r>
      <w:r w:rsidR="008C0854" w:rsidRPr="00116A43">
        <w:rPr>
          <w:sz w:val="20"/>
          <w:szCs w:val="20"/>
          <w:lang w:val="es-PE"/>
        </w:rPr>
        <w:t xml:space="preserve">por Yoani Sánchez </w:t>
      </w:r>
      <w:r w:rsidR="001F1D62" w:rsidRPr="00116A43">
        <w:rPr>
          <w:sz w:val="20"/>
          <w:szCs w:val="20"/>
          <w:lang w:val="es-PE"/>
        </w:rPr>
        <w:t>para</w:t>
      </w:r>
      <w:r w:rsidRPr="00116A43">
        <w:rPr>
          <w:sz w:val="20"/>
          <w:szCs w:val="20"/>
          <w:lang w:val="es-PE"/>
        </w:rPr>
        <w:t xml:space="preserve"> </w:t>
      </w:r>
      <w:r w:rsidR="008C0854" w:rsidRPr="00116A43">
        <w:rPr>
          <w:sz w:val="20"/>
          <w:szCs w:val="20"/>
          <w:lang w:val="es-PE"/>
        </w:rPr>
        <w:t xml:space="preserve">que se le </w:t>
      </w:r>
      <w:r w:rsidRPr="00116A43">
        <w:rPr>
          <w:sz w:val="20"/>
          <w:szCs w:val="20"/>
          <w:lang w:val="es-PE"/>
        </w:rPr>
        <w:t>autori</w:t>
      </w:r>
      <w:r w:rsidR="008C0854" w:rsidRPr="00116A43">
        <w:rPr>
          <w:sz w:val="20"/>
          <w:szCs w:val="20"/>
          <w:lang w:val="es-PE"/>
        </w:rPr>
        <w:t xml:space="preserve">ce </w:t>
      </w:r>
      <w:r w:rsidRPr="00116A43">
        <w:rPr>
          <w:sz w:val="20"/>
          <w:szCs w:val="20"/>
          <w:lang w:val="es-PE"/>
        </w:rPr>
        <w:t>viajar al exterior</w:t>
      </w:r>
      <w:r w:rsidRPr="00116A43">
        <w:rPr>
          <w:rStyle w:val="FootnoteReference"/>
          <w:rFonts w:cs="Times New Roman"/>
          <w:sz w:val="20"/>
          <w:szCs w:val="20"/>
          <w:lang w:val="es-PE"/>
        </w:rPr>
        <w:footnoteReference w:id="101"/>
      </w:r>
      <w:r w:rsidRPr="00116A43">
        <w:rPr>
          <w:sz w:val="20"/>
          <w:szCs w:val="20"/>
          <w:lang w:val="es-PE"/>
        </w:rPr>
        <w:t xml:space="preserve">. </w:t>
      </w:r>
      <w:r w:rsidR="003F6DE5" w:rsidRPr="00116A43">
        <w:rPr>
          <w:sz w:val="20"/>
          <w:szCs w:val="20"/>
          <w:lang w:val="es-PE"/>
        </w:rPr>
        <w:t>La negativa a la autorización se evidenció en su mayoría a través de la devolución por parte de d</w:t>
      </w:r>
      <w:r w:rsidR="00AA678A" w:rsidRPr="00116A43">
        <w:rPr>
          <w:sz w:val="20"/>
          <w:szCs w:val="20"/>
          <w:lang w:val="es-PE"/>
        </w:rPr>
        <w:t xml:space="preserve">icha entidad estatal </w:t>
      </w:r>
      <w:r w:rsidR="003F6DE5" w:rsidRPr="00116A43">
        <w:rPr>
          <w:sz w:val="20"/>
          <w:szCs w:val="20"/>
          <w:lang w:val="es-PE"/>
        </w:rPr>
        <w:t>de</w:t>
      </w:r>
      <w:r w:rsidRPr="00116A43">
        <w:rPr>
          <w:sz w:val="20"/>
          <w:szCs w:val="20"/>
          <w:lang w:val="es-PE"/>
        </w:rPr>
        <w:t xml:space="preserve"> la ta</w:t>
      </w:r>
      <w:r w:rsidR="003F6DE5" w:rsidRPr="00116A43">
        <w:rPr>
          <w:sz w:val="20"/>
          <w:szCs w:val="20"/>
          <w:lang w:val="es-PE"/>
        </w:rPr>
        <w:t>s</w:t>
      </w:r>
      <w:r w:rsidRPr="00116A43">
        <w:rPr>
          <w:sz w:val="20"/>
          <w:szCs w:val="20"/>
          <w:lang w:val="es-PE"/>
        </w:rPr>
        <w:t xml:space="preserve">a administrativa </w:t>
      </w:r>
      <w:r w:rsidR="00F07163" w:rsidRPr="00116A43">
        <w:rPr>
          <w:sz w:val="20"/>
          <w:szCs w:val="20"/>
          <w:lang w:val="es-PE"/>
        </w:rPr>
        <w:t xml:space="preserve">que se pagaba al solicitar el permiso de salida del país correspondiente, </w:t>
      </w:r>
      <w:r w:rsidRPr="00116A43">
        <w:rPr>
          <w:sz w:val="20"/>
          <w:szCs w:val="20"/>
          <w:lang w:val="es-PE"/>
        </w:rPr>
        <w:t xml:space="preserve">sin </w:t>
      </w:r>
      <w:r w:rsidR="00F07163" w:rsidRPr="00116A43">
        <w:rPr>
          <w:sz w:val="20"/>
          <w:szCs w:val="20"/>
          <w:lang w:val="es-PE"/>
        </w:rPr>
        <w:t xml:space="preserve">brindar </w:t>
      </w:r>
      <w:r w:rsidRPr="00116A43">
        <w:rPr>
          <w:sz w:val="20"/>
          <w:szCs w:val="20"/>
          <w:lang w:val="es-PE"/>
        </w:rPr>
        <w:t xml:space="preserve">explicación de los motivos para </w:t>
      </w:r>
      <w:r w:rsidR="00733D47" w:rsidRPr="00116A43">
        <w:rPr>
          <w:sz w:val="20"/>
          <w:szCs w:val="20"/>
          <w:lang w:val="es-PE"/>
        </w:rPr>
        <w:t>el rechazo de las solicitudes</w:t>
      </w:r>
      <w:r w:rsidR="003773FC" w:rsidRPr="00116A43">
        <w:rPr>
          <w:sz w:val="20"/>
          <w:szCs w:val="20"/>
          <w:lang w:val="es-PE"/>
        </w:rPr>
        <w:t xml:space="preserve">, </w:t>
      </w:r>
      <w:r w:rsidR="00500C97" w:rsidRPr="00116A43">
        <w:rPr>
          <w:sz w:val="20"/>
          <w:szCs w:val="20"/>
          <w:lang w:val="es-PE"/>
        </w:rPr>
        <w:t>o el retraso de la respuesta, pasada la fecha del visado respectivo</w:t>
      </w:r>
      <w:r w:rsidRPr="00116A43">
        <w:rPr>
          <w:rStyle w:val="FootnoteReference"/>
          <w:rFonts w:cs="Times New Roman"/>
          <w:sz w:val="20"/>
          <w:szCs w:val="20"/>
          <w:lang w:val="es-PE"/>
        </w:rPr>
        <w:footnoteReference w:id="102"/>
      </w:r>
      <w:r w:rsidRPr="00116A43">
        <w:rPr>
          <w:sz w:val="20"/>
          <w:szCs w:val="20"/>
          <w:lang w:val="es-PE"/>
        </w:rPr>
        <w:t xml:space="preserve">. </w:t>
      </w:r>
      <w:r w:rsidR="00033D3A" w:rsidRPr="00116A43">
        <w:rPr>
          <w:sz w:val="20"/>
          <w:szCs w:val="20"/>
          <w:lang w:val="es-PE"/>
        </w:rPr>
        <w:t>La Dirección de Inmigración y Extranjería</w:t>
      </w:r>
      <w:r w:rsidR="003F33E2" w:rsidRPr="00116A43">
        <w:rPr>
          <w:sz w:val="20"/>
          <w:szCs w:val="20"/>
          <w:lang w:val="es-PE"/>
        </w:rPr>
        <w:t xml:space="preserve"> devolvió las tasas </w:t>
      </w:r>
      <w:r w:rsidR="00C1569D" w:rsidRPr="00116A43">
        <w:rPr>
          <w:sz w:val="20"/>
          <w:szCs w:val="20"/>
          <w:lang w:val="es-PE"/>
        </w:rPr>
        <w:t xml:space="preserve">canceladas por Yoani Sánchez </w:t>
      </w:r>
      <w:r w:rsidRPr="00116A43">
        <w:rPr>
          <w:sz w:val="20"/>
          <w:szCs w:val="20"/>
          <w:lang w:val="es-PE"/>
        </w:rPr>
        <w:lastRenderedPageBreak/>
        <w:t>el 14 de mayo de 20</w:t>
      </w:r>
      <w:r w:rsidR="00C1569D" w:rsidRPr="00116A43">
        <w:rPr>
          <w:sz w:val="20"/>
          <w:szCs w:val="20"/>
          <w:lang w:val="es-PE"/>
        </w:rPr>
        <w:t>0</w:t>
      </w:r>
      <w:r w:rsidRPr="00116A43">
        <w:rPr>
          <w:sz w:val="20"/>
          <w:szCs w:val="20"/>
          <w:lang w:val="es-PE"/>
        </w:rPr>
        <w:t>8, el 20 de marzo de 2009, el 4 de mayo de 2011 y el 15 de agosto de 2011</w:t>
      </w:r>
      <w:r w:rsidR="00CD04FD" w:rsidRPr="00116A43">
        <w:rPr>
          <w:sz w:val="20"/>
          <w:szCs w:val="20"/>
          <w:lang w:val="es-PE"/>
        </w:rPr>
        <w:t xml:space="preserve">. Dichos documentos indicaron que Yoani </w:t>
      </w:r>
      <w:r w:rsidR="00137DF8" w:rsidRPr="00116A43">
        <w:rPr>
          <w:sz w:val="20"/>
          <w:szCs w:val="20"/>
          <w:lang w:val="es-PE"/>
        </w:rPr>
        <w:t xml:space="preserve">Sánchez </w:t>
      </w:r>
      <w:r w:rsidR="00CD04FD" w:rsidRPr="00116A43">
        <w:rPr>
          <w:sz w:val="20"/>
          <w:szCs w:val="20"/>
          <w:lang w:val="es-PE"/>
        </w:rPr>
        <w:t>“no viajar</w:t>
      </w:r>
      <w:r w:rsidR="00137DF8" w:rsidRPr="00116A43">
        <w:rPr>
          <w:sz w:val="20"/>
          <w:szCs w:val="20"/>
          <w:lang w:val="es-PE"/>
        </w:rPr>
        <w:t>[</w:t>
      </w:r>
      <w:r w:rsidR="00CD04FD" w:rsidRPr="00116A43">
        <w:rPr>
          <w:sz w:val="20"/>
          <w:szCs w:val="20"/>
          <w:lang w:val="es-PE"/>
        </w:rPr>
        <w:t>ía</w:t>
      </w:r>
      <w:r w:rsidR="00137DF8" w:rsidRPr="00116A43">
        <w:rPr>
          <w:sz w:val="20"/>
          <w:szCs w:val="20"/>
          <w:lang w:val="es-PE"/>
        </w:rPr>
        <w:t>]</w:t>
      </w:r>
      <w:r w:rsidR="00CD04FD" w:rsidRPr="00116A43">
        <w:rPr>
          <w:sz w:val="20"/>
          <w:szCs w:val="20"/>
          <w:lang w:val="es-PE"/>
        </w:rPr>
        <w:t xml:space="preserve"> por el momento”</w:t>
      </w:r>
      <w:r w:rsidRPr="00116A43">
        <w:rPr>
          <w:rStyle w:val="FootnoteReference"/>
          <w:rFonts w:cs="Times New Roman"/>
          <w:sz w:val="20"/>
          <w:szCs w:val="20"/>
          <w:lang w:val="es-PE"/>
        </w:rPr>
        <w:footnoteReference w:id="103"/>
      </w:r>
      <w:r w:rsidR="00CD04FD" w:rsidRPr="00116A43">
        <w:rPr>
          <w:sz w:val="20"/>
          <w:szCs w:val="20"/>
          <w:lang w:val="es-PE"/>
        </w:rPr>
        <w:t>.</w:t>
      </w:r>
    </w:p>
    <w:p w14:paraId="5F2230E8" w14:textId="7F1686C2" w:rsidR="005B1EF5" w:rsidRPr="00116A43" w:rsidRDefault="005B1EF5" w:rsidP="00375047">
      <w:pPr>
        <w:autoSpaceDE w:val="0"/>
        <w:autoSpaceDN w:val="0"/>
        <w:adjustRightInd w:val="0"/>
        <w:jc w:val="both"/>
        <w:rPr>
          <w:sz w:val="20"/>
          <w:szCs w:val="20"/>
          <w:lang w:val="es-PE"/>
        </w:rPr>
      </w:pPr>
    </w:p>
    <w:p w14:paraId="7061C95A" w14:textId="0F05E326"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El 3 de febrero de 2012, </w:t>
      </w:r>
      <w:r w:rsidR="0063790D" w:rsidRPr="00116A43">
        <w:rPr>
          <w:sz w:val="20"/>
          <w:szCs w:val="20"/>
          <w:lang w:val="es-PE"/>
        </w:rPr>
        <w:t>luego de solicitar</w:t>
      </w:r>
      <w:r w:rsidRPr="00116A43">
        <w:rPr>
          <w:sz w:val="20"/>
          <w:szCs w:val="20"/>
          <w:lang w:val="es-PE"/>
        </w:rPr>
        <w:t xml:space="preserve"> un</w:t>
      </w:r>
      <w:r w:rsidR="00AA2114" w:rsidRPr="00116A43">
        <w:rPr>
          <w:sz w:val="20"/>
          <w:szCs w:val="20"/>
          <w:lang w:val="es-PE"/>
        </w:rPr>
        <w:t>a</w:t>
      </w:r>
      <w:r w:rsidRPr="00116A43">
        <w:rPr>
          <w:sz w:val="20"/>
          <w:szCs w:val="20"/>
          <w:lang w:val="es-PE"/>
        </w:rPr>
        <w:t xml:space="preserve"> nuev</w:t>
      </w:r>
      <w:r w:rsidR="0063790D" w:rsidRPr="00116A43">
        <w:rPr>
          <w:sz w:val="20"/>
          <w:szCs w:val="20"/>
          <w:lang w:val="es-PE"/>
        </w:rPr>
        <w:t>a autorización para salir del país</w:t>
      </w:r>
      <w:r w:rsidRPr="00116A43">
        <w:rPr>
          <w:sz w:val="20"/>
          <w:szCs w:val="20"/>
          <w:lang w:val="es-PE"/>
        </w:rPr>
        <w:t>, la presunta víctima compar</w:t>
      </w:r>
      <w:r w:rsidR="00790D16" w:rsidRPr="00116A43">
        <w:rPr>
          <w:sz w:val="20"/>
          <w:szCs w:val="20"/>
          <w:lang w:val="es-PE"/>
        </w:rPr>
        <w:t>eció a</w:t>
      </w:r>
      <w:r w:rsidRPr="00116A43">
        <w:rPr>
          <w:sz w:val="20"/>
          <w:szCs w:val="20"/>
          <w:lang w:val="es-PE"/>
        </w:rPr>
        <w:t xml:space="preserve"> la oficina de Inmigración y Extranjería de la Calle 17 entre J y K (Vedado, La Habana) a las 13</w:t>
      </w:r>
      <w:r w:rsidR="004F0CA7" w:rsidRPr="00116A43">
        <w:rPr>
          <w:sz w:val="20"/>
          <w:szCs w:val="20"/>
          <w:lang w:val="es-PE"/>
        </w:rPr>
        <w:t>:</w:t>
      </w:r>
      <w:r w:rsidRPr="00116A43">
        <w:rPr>
          <w:sz w:val="20"/>
          <w:szCs w:val="20"/>
          <w:lang w:val="es-PE"/>
        </w:rPr>
        <w:t>33</w:t>
      </w:r>
      <w:r w:rsidR="004F0CA7" w:rsidRPr="00116A43">
        <w:rPr>
          <w:sz w:val="20"/>
          <w:szCs w:val="20"/>
          <w:lang w:val="es-PE"/>
        </w:rPr>
        <w:t xml:space="preserve"> horas </w:t>
      </w:r>
      <w:r w:rsidR="00650CC4" w:rsidRPr="00116A43">
        <w:rPr>
          <w:sz w:val="20"/>
          <w:szCs w:val="20"/>
          <w:lang w:val="es-PE"/>
        </w:rPr>
        <w:t xml:space="preserve">con el fin de indagar sobre </w:t>
      </w:r>
      <w:r w:rsidR="0063790D" w:rsidRPr="00116A43">
        <w:rPr>
          <w:sz w:val="20"/>
          <w:szCs w:val="20"/>
          <w:lang w:val="es-PE"/>
        </w:rPr>
        <w:t xml:space="preserve">la </w:t>
      </w:r>
      <w:r w:rsidR="00C35DC2" w:rsidRPr="00116A43">
        <w:rPr>
          <w:sz w:val="20"/>
          <w:szCs w:val="20"/>
          <w:lang w:val="es-PE"/>
        </w:rPr>
        <w:t>respuesta a la</w:t>
      </w:r>
      <w:r w:rsidR="0063790D" w:rsidRPr="00116A43">
        <w:rPr>
          <w:sz w:val="20"/>
          <w:szCs w:val="20"/>
          <w:lang w:val="es-PE"/>
        </w:rPr>
        <w:t xml:space="preserve"> solicit</w:t>
      </w:r>
      <w:r w:rsidR="00C35DC2" w:rsidRPr="00116A43">
        <w:rPr>
          <w:sz w:val="20"/>
          <w:szCs w:val="20"/>
          <w:lang w:val="es-PE"/>
        </w:rPr>
        <w:t>u</w:t>
      </w:r>
      <w:r w:rsidR="0063790D" w:rsidRPr="00116A43">
        <w:rPr>
          <w:sz w:val="20"/>
          <w:szCs w:val="20"/>
          <w:lang w:val="es-PE"/>
        </w:rPr>
        <w:t>d</w:t>
      </w:r>
      <w:r w:rsidR="00C35DC2" w:rsidRPr="00116A43">
        <w:rPr>
          <w:sz w:val="20"/>
          <w:szCs w:val="20"/>
          <w:lang w:val="es-PE"/>
        </w:rPr>
        <w:t xml:space="preserve"> presentada</w:t>
      </w:r>
      <w:r w:rsidRPr="00116A43">
        <w:rPr>
          <w:rStyle w:val="FootnoteReference"/>
          <w:rFonts w:cs="Times New Roman"/>
          <w:sz w:val="20"/>
          <w:szCs w:val="20"/>
          <w:lang w:val="es-PE"/>
        </w:rPr>
        <w:footnoteReference w:id="104"/>
      </w:r>
      <w:r w:rsidR="00C35DC2" w:rsidRPr="00116A43">
        <w:rPr>
          <w:sz w:val="20"/>
          <w:szCs w:val="20"/>
          <w:lang w:val="es-PE"/>
        </w:rPr>
        <w:t xml:space="preserve">. </w:t>
      </w:r>
      <w:r w:rsidR="005F6EA6" w:rsidRPr="00116A43">
        <w:rPr>
          <w:sz w:val="20"/>
          <w:szCs w:val="20"/>
          <w:lang w:val="es-PE"/>
        </w:rPr>
        <w:t xml:space="preserve">La </w:t>
      </w:r>
      <w:r w:rsidR="00011905" w:rsidRPr="00116A43">
        <w:rPr>
          <w:sz w:val="20"/>
          <w:szCs w:val="20"/>
          <w:lang w:val="es-PE"/>
        </w:rPr>
        <w:t>jefa</w:t>
      </w:r>
      <w:r w:rsidR="005F6EA6" w:rsidRPr="00116A43">
        <w:rPr>
          <w:sz w:val="20"/>
          <w:szCs w:val="20"/>
          <w:lang w:val="es-PE"/>
        </w:rPr>
        <w:t xml:space="preserve"> del área la llam</w:t>
      </w:r>
      <w:r w:rsidR="00CC75F5">
        <w:rPr>
          <w:sz w:val="20"/>
          <w:szCs w:val="20"/>
          <w:lang w:val="es-PE"/>
        </w:rPr>
        <w:t>ó</w:t>
      </w:r>
      <w:r w:rsidR="005F6EA6" w:rsidRPr="00116A43">
        <w:rPr>
          <w:sz w:val="20"/>
          <w:szCs w:val="20"/>
          <w:lang w:val="es-PE"/>
        </w:rPr>
        <w:t xml:space="preserve"> a una entrevista y </w:t>
      </w:r>
      <w:r w:rsidRPr="00116A43">
        <w:rPr>
          <w:sz w:val="20"/>
          <w:szCs w:val="20"/>
          <w:lang w:val="es-PE"/>
        </w:rPr>
        <w:t>le di</w:t>
      </w:r>
      <w:r w:rsidR="009A6E91" w:rsidRPr="00116A43">
        <w:rPr>
          <w:sz w:val="20"/>
          <w:szCs w:val="20"/>
          <w:lang w:val="es-PE"/>
        </w:rPr>
        <w:t>jo</w:t>
      </w:r>
      <w:r w:rsidR="00011905" w:rsidRPr="00116A43">
        <w:rPr>
          <w:sz w:val="20"/>
          <w:szCs w:val="20"/>
          <w:lang w:val="es-PE"/>
        </w:rPr>
        <w:t xml:space="preserve">: </w:t>
      </w:r>
      <w:r w:rsidRPr="00116A43">
        <w:rPr>
          <w:sz w:val="20"/>
          <w:szCs w:val="20"/>
          <w:lang w:val="es-PE"/>
        </w:rPr>
        <w:t>"</w:t>
      </w:r>
      <w:r w:rsidR="005F6EA6" w:rsidRPr="00116A43">
        <w:rPr>
          <w:sz w:val="20"/>
          <w:szCs w:val="20"/>
          <w:lang w:val="es-PE"/>
        </w:rPr>
        <w:t>[m]</w:t>
      </w:r>
      <w:r w:rsidRPr="00116A43">
        <w:rPr>
          <w:sz w:val="20"/>
          <w:szCs w:val="20"/>
          <w:lang w:val="es-PE"/>
        </w:rPr>
        <w:t>ire es para comunicarle que usted no ha sido autorizada a viajar. Le entrego su pasaporte, su cheque con el modelo para que recupere su dinero. Ahí está, en esta dirección, donde mismo lo compró”</w:t>
      </w:r>
      <w:r w:rsidRPr="00116A43">
        <w:rPr>
          <w:rStyle w:val="FootnoteReference"/>
          <w:rFonts w:cs="Times New Roman"/>
          <w:sz w:val="20"/>
          <w:szCs w:val="20"/>
          <w:lang w:val="es-PE"/>
        </w:rPr>
        <w:footnoteReference w:id="105"/>
      </w:r>
      <w:r w:rsidRPr="00116A43">
        <w:rPr>
          <w:sz w:val="20"/>
          <w:szCs w:val="20"/>
          <w:lang w:val="es-PE"/>
        </w:rPr>
        <w:t xml:space="preserve">. </w:t>
      </w:r>
      <w:r w:rsidR="00011905" w:rsidRPr="00116A43">
        <w:rPr>
          <w:sz w:val="20"/>
          <w:szCs w:val="20"/>
          <w:lang w:val="es-PE"/>
        </w:rPr>
        <w:t>Durante la interacción entre ambas, l</w:t>
      </w:r>
      <w:r w:rsidRPr="00116A43">
        <w:rPr>
          <w:sz w:val="20"/>
          <w:szCs w:val="20"/>
          <w:lang w:val="es-PE"/>
        </w:rPr>
        <w:t xml:space="preserve">a jefa confirmó que esta era la </w:t>
      </w:r>
      <w:r w:rsidR="007E198E" w:rsidRPr="00116A43">
        <w:rPr>
          <w:sz w:val="20"/>
          <w:szCs w:val="20"/>
          <w:lang w:val="es-PE"/>
        </w:rPr>
        <w:t xml:space="preserve">décimo novena oportunidad en la que Yoani había </w:t>
      </w:r>
      <w:r w:rsidR="00A165CD" w:rsidRPr="00116A43">
        <w:rPr>
          <w:sz w:val="20"/>
          <w:szCs w:val="20"/>
          <w:lang w:val="es-PE"/>
        </w:rPr>
        <w:t>solicitado un permiso de salida del país, sin éxito alguno</w:t>
      </w:r>
      <w:r w:rsidRPr="00116A43">
        <w:rPr>
          <w:sz w:val="20"/>
          <w:szCs w:val="20"/>
          <w:lang w:val="es-PE"/>
        </w:rPr>
        <w:t xml:space="preserve"> </w:t>
      </w:r>
      <w:r w:rsidR="00470646" w:rsidRPr="00116A43">
        <w:rPr>
          <w:sz w:val="20"/>
          <w:szCs w:val="20"/>
          <w:lang w:val="es-PE"/>
        </w:rPr>
        <w:t>y le inform</w:t>
      </w:r>
      <w:r w:rsidR="00A165CD" w:rsidRPr="00116A43">
        <w:rPr>
          <w:sz w:val="20"/>
          <w:szCs w:val="20"/>
          <w:lang w:val="es-PE"/>
        </w:rPr>
        <w:t>ó</w:t>
      </w:r>
      <w:r w:rsidR="00470646" w:rsidRPr="00116A43">
        <w:rPr>
          <w:sz w:val="20"/>
          <w:szCs w:val="20"/>
          <w:lang w:val="es-PE"/>
        </w:rPr>
        <w:t xml:space="preserve"> que </w:t>
      </w:r>
      <w:r w:rsidRPr="00116A43">
        <w:rPr>
          <w:sz w:val="20"/>
          <w:szCs w:val="20"/>
          <w:lang w:val="es-PE"/>
        </w:rPr>
        <w:t>Yoani Sánchez p</w:t>
      </w:r>
      <w:r w:rsidR="00A165CD" w:rsidRPr="00116A43">
        <w:rPr>
          <w:sz w:val="20"/>
          <w:szCs w:val="20"/>
          <w:lang w:val="es-PE"/>
        </w:rPr>
        <w:t>o</w:t>
      </w:r>
      <w:r w:rsidRPr="00116A43">
        <w:rPr>
          <w:sz w:val="20"/>
          <w:szCs w:val="20"/>
          <w:lang w:val="es-PE"/>
        </w:rPr>
        <w:t>dría intentar cuantas veces lo quisiera</w:t>
      </w:r>
      <w:r w:rsidRPr="00116A43">
        <w:rPr>
          <w:rStyle w:val="FootnoteReference"/>
          <w:rFonts w:cs="Times New Roman"/>
          <w:sz w:val="20"/>
          <w:szCs w:val="20"/>
          <w:lang w:val="es-PE"/>
        </w:rPr>
        <w:footnoteReference w:id="106"/>
      </w:r>
      <w:r w:rsidRPr="00116A43">
        <w:rPr>
          <w:sz w:val="20"/>
          <w:szCs w:val="20"/>
          <w:lang w:val="es-PE"/>
        </w:rPr>
        <w:t xml:space="preserve">. </w:t>
      </w:r>
    </w:p>
    <w:p w14:paraId="3D49762B" w14:textId="77777777" w:rsidR="004E0278" w:rsidRPr="00116A43" w:rsidRDefault="004E0278" w:rsidP="00375047">
      <w:pPr>
        <w:rPr>
          <w:sz w:val="20"/>
          <w:szCs w:val="20"/>
          <w:lang w:val="es-PE"/>
        </w:rPr>
      </w:pPr>
    </w:p>
    <w:p w14:paraId="425E78B4" w14:textId="11A5343C" w:rsidR="004E0278" w:rsidRPr="00116A43" w:rsidRDefault="004E0278" w:rsidP="00375047">
      <w:pPr>
        <w:pStyle w:val="ListParagraph"/>
        <w:numPr>
          <w:ilvl w:val="0"/>
          <w:numId w:val="55"/>
        </w:numPr>
        <w:autoSpaceDE w:val="0"/>
        <w:autoSpaceDN w:val="0"/>
        <w:adjustRightInd w:val="0"/>
        <w:ind w:firstLine="0"/>
        <w:jc w:val="both"/>
        <w:rPr>
          <w:sz w:val="20"/>
          <w:szCs w:val="20"/>
          <w:lang w:val="es-CO"/>
        </w:rPr>
      </w:pPr>
      <w:r w:rsidRPr="00116A43">
        <w:rPr>
          <w:rFonts w:cs="Arial"/>
          <w:sz w:val="20"/>
          <w:szCs w:val="20"/>
          <w:lang w:val="es-PE"/>
        </w:rPr>
        <w:t xml:space="preserve">En </w:t>
      </w:r>
      <w:r w:rsidR="00004343" w:rsidRPr="00116A43">
        <w:rPr>
          <w:rFonts w:cs="Arial"/>
          <w:sz w:val="20"/>
          <w:szCs w:val="20"/>
          <w:lang w:val="es-PE"/>
        </w:rPr>
        <w:t xml:space="preserve">noviembre de </w:t>
      </w:r>
      <w:r w:rsidRPr="00116A43">
        <w:rPr>
          <w:rFonts w:cs="Arial"/>
          <w:sz w:val="20"/>
          <w:szCs w:val="20"/>
          <w:lang w:val="es-PE"/>
        </w:rPr>
        <w:t xml:space="preserve">2012, </w:t>
      </w:r>
      <w:r w:rsidR="00004343" w:rsidRPr="00116A43">
        <w:rPr>
          <w:rFonts w:cs="Arial"/>
          <w:sz w:val="20"/>
          <w:szCs w:val="20"/>
          <w:lang w:val="es-PE"/>
        </w:rPr>
        <w:t xml:space="preserve">con </w:t>
      </w:r>
      <w:r w:rsidR="00004343" w:rsidRPr="00116A43">
        <w:rPr>
          <w:sz w:val="20"/>
          <w:szCs w:val="20"/>
          <w:lang w:val="es-PE"/>
        </w:rPr>
        <w:t xml:space="preserve">posterioridad a la adopción de medidas cautelares por parte de la CIDH, </w:t>
      </w:r>
      <w:r w:rsidRPr="00116A43">
        <w:rPr>
          <w:rFonts w:cs="Arial"/>
          <w:sz w:val="20"/>
          <w:szCs w:val="20"/>
          <w:lang w:val="es-PE"/>
        </w:rPr>
        <w:t>el Estado autorizó</w:t>
      </w:r>
      <w:r w:rsidR="00004343" w:rsidRPr="00116A43">
        <w:rPr>
          <w:rFonts w:cs="Arial"/>
          <w:sz w:val="20"/>
          <w:szCs w:val="20"/>
          <w:lang w:val="es-PE"/>
        </w:rPr>
        <w:t xml:space="preserve"> a</w:t>
      </w:r>
      <w:r w:rsidRPr="00116A43">
        <w:rPr>
          <w:rFonts w:cs="Arial"/>
          <w:sz w:val="20"/>
          <w:szCs w:val="20"/>
          <w:lang w:val="es-PE"/>
        </w:rPr>
        <w:t xml:space="preserve"> la presunta víctima salir del país</w:t>
      </w:r>
      <w:r w:rsidRPr="00116A43">
        <w:rPr>
          <w:rStyle w:val="FootnoteReference"/>
          <w:rFonts w:cs="Arial"/>
          <w:sz w:val="20"/>
          <w:szCs w:val="20"/>
          <w:lang w:val="es-PE"/>
        </w:rPr>
        <w:footnoteReference w:id="107"/>
      </w:r>
      <w:r w:rsidRPr="00116A43">
        <w:rPr>
          <w:rFonts w:cs="Arial"/>
          <w:sz w:val="20"/>
          <w:szCs w:val="20"/>
          <w:lang w:val="es-PE"/>
        </w:rPr>
        <w:t>.</w:t>
      </w:r>
      <w:r w:rsidR="002C601A" w:rsidRPr="00116A43">
        <w:rPr>
          <w:rFonts w:cs="Arial"/>
          <w:sz w:val="20"/>
          <w:szCs w:val="20"/>
          <w:lang w:val="es-PE"/>
        </w:rPr>
        <w:t xml:space="preserve"> </w:t>
      </w:r>
    </w:p>
    <w:p w14:paraId="4A77B7A9" w14:textId="77777777" w:rsidR="00AD2C07" w:rsidRPr="00116A43" w:rsidRDefault="00AD2C07" w:rsidP="00375047">
      <w:pPr>
        <w:pStyle w:val="ListParagraph"/>
        <w:ind w:left="0"/>
        <w:rPr>
          <w:sz w:val="20"/>
          <w:szCs w:val="20"/>
          <w:lang w:val="es-CO"/>
        </w:rPr>
      </w:pPr>
    </w:p>
    <w:p w14:paraId="09D1A370" w14:textId="71982589" w:rsidR="00AD2C07" w:rsidRPr="00577F2D" w:rsidRDefault="00AD2C07" w:rsidP="00375047">
      <w:pPr>
        <w:pStyle w:val="ListParagraph"/>
        <w:numPr>
          <w:ilvl w:val="0"/>
          <w:numId w:val="55"/>
        </w:numPr>
        <w:autoSpaceDE w:val="0"/>
        <w:autoSpaceDN w:val="0"/>
        <w:adjustRightInd w:val="0"/>
        <w:ind w:firstLine="0"/>
        <w:jc w:val="both"/>
        <w:rPr>
          <w:sz w:val="20"/>
          <w:szCs w:val="20"/>
          <w:lang w:val="es-CO"/>
        </w:rPr>
      </w:pPr>
      <w:r w:rsidRPr="00116A43">
        <w:rPr>
          <w:sz w:val="20"/>
          <w:szCs w:val="20"/>
          <w:lang w:val="es-PE"/>
        </w:rPr>
        <w:t>El 16 de octubre de 2012</w:t>
      </w:r>
      <w:r w:rsidR="00E1693B" w:rsidRPr="00116A43">
        <w:rPr>
          <w:sz w:val="20"/>
          <w:szCs w:val="20"/>
          <w:lang w:val="es-PE"/>
        </w:rPr>
        <w:t xml:space="preserve"> </w:t>
      </w:r>
      <w:r w:rsidR="005037BA" w:rsidRPr="00116A43">
        <w:rPr>
          <w:sz w:val="20"/>
          <w:szCs w:val="20"/>
          <w:lang w:val="es-PE"/>
        </w:rPr>
        <w:t>el Decreto-Ley No. 302</w:t>
      </w:r>
      <w:r w:rsidR="005037BA" w:rsidRPr="00116A43">
        <w:rPr>
          <w:rStyle w:val="FootnoteReference"/>
          <w:sz w:val="20"/>
          <w:szCs w:val="20"/>
          <w:lang w:val="es-PE"/>
        </w:rPr>
        <w:footnoteReference w:id="108"/>
      </w:r>
      <w:r w:rsidR="005037BA" w:rsidRPr="00116A43">
        <w:rPr>
          <w:sz w:val="20"/>
          <w:szCs w:val="20"/>
          <w:lang w:val="es-PE"/>
        </w:rPr>
        <w:t xml:space="preserve">, promulgado por el Consejo de Estado que modificó la Ley de Migración de 1976, </w:t>
      </w:r>
      <w:r w:rsidRPr="00116A43">
        <w:rPr>
          <w:sz w:val="20"/>
          <w:szCs w:val="20"/>
          <w:lang w:val="es-PE"/>
        </w:rPr>
        <w:t>fue publicado en la Gaceta Oficial de la República de Cuba</w:t>
      </w:r>
      <w:r w:rsidR="005037BA" w:rsidRPr="00116A43">
        <w:rPr>
          <w:sz w:val="20"/>
          <w:szCs w:val="20"/>
          <w:lang w:val="es-PE"/>
        </w:rPr>
        <w:t>. Dicha reforma</w:t>
      </w:r>
      <w:r w:rsidRPr="00116A43">
        <w:rPr>
          <w:sz w:val="20"/>
          <w:szCs w:val="20"/>
          <w:lang w:val="es-PE"/>
        </w:rPr>
        <w:t xml:space="preserve"> entró en vigencia el 14 de enero de 2013.</w:t>
      </w:r>
      <w:r w:rsidR="00E30BC2" w:rsidRPr="00116A43">
        <w:rPr>
          <w:sz w:val="20"/>
          <w:szCs w:val="20"/>
          <w:lang w:val="es-PE"/>
        </w:rPr>
        <w:t xml:space="preserve"> Entre las principales modificaciones que se introdu</w:t>
      </w:r>
      <w:r w:rsidR="00F06DC5" w:rsidRPr="00116A43">
        <w:rPr>
          <w:sz w:val="20"/>
          <w:szCs w:val="20"/>
          <w:lang w:val="es-PE"/>
        </w:rPr>
        <w:t>jeron</w:t>
      </w:r>
      <w:r w:rsidR="00E30BC2" w:rsidRPr="00116A43">
        <w:rPr>
          <w:sz w:val="20"/>
          <w:szCs w:val="20"/>
          <w:lang w:val="es-PE"/>
        </w:rPr>
        <w:t xml:space="preserve"> a la Ley de Migración se encuentran la eliminación parcial del requisito de la autorización para salir del territorio</w:t>
      </w:r>
      <w:r w:rsidR="00B87244" w:rsidRPr="00116A43">
        <w:rPr>
          <w:rStyle w:val="FootnoteReference"/>
          <w:sz w:val="20"/>
          <w:szCs w:val="20"/>
          <w:lang w:val="es-PE"/>
        </w:rPr>
        <w:footnoteReference w:id="109"/>
      </w:r>
      <w:r w:rsidR="00B87244" w:rsidRPr="00116A43">
        <w:rPr>
          <w:sz w:val="20"/>
          <w:szCs w:val="20"/>
          <w:lang w:val="es-PE"/>
        </w:rPr>
        <w:t>.</w:t>
      </w:r>
    </w:p>
    <w:p w14:paraId="74E4DE98" w14:textId="77777777" w:rsidR="00577F2D" w:rsidRPr="00116A43" w:rsidRDefault="00577F2D" w:rsidP="00577F2D">
      <w:pPr>
        <w:pStyle w:val="ListParagraph"/>
        <w:autoSpaceDE w:val="0"/>
        <w:autoSpaceDN w:val="0"/>
        <w:adjustRightInd w:val="0"/>
        <w:ind w:left="0"/>
        <w:jc w:val="both"/>
        <w:rPr>
          <w:sz w:val="20"/>
          <w:szCs w:val="20"/>
          <w:lang w:val="es-CO"/>
        </w:rPr>
      </w:pPr>
    </w:p>
    <w:p w14:paraId="1C1B8DED" w14:textId="660F6C82" w:rsidR="00B44D0F" w:rsidRPr="00116A43" w:rsidRDefault="00B44D0F" w:rsidP="004F709F">
      <w:pPr>
        <w:pStyle w:val="Heading2"/>
      </w:pPr>
      <w:bookmarkStart w:id="22" w:name="_Toc89157566"/>
      <w:r w:rsidRPr="00116A43">
        <w:t xml:space="preserve">Denuncias </w:t>
      </w:r>
      <w:r w:rsidR="00820114" w:rsidRPr="00116A43">
        <w:t>por</w:t>
      </w:r>
      <w:r w:rsidRPr="00116A43">
        <w:t xml:space="preserve"> la</w:t>
      </w:r>
      <w:r w:rsidR="00460D77" w:rsidRPr="00116A43">
        <w:t>s</w:t>
      </w:r>
      <w:r w:rsidRPr="00116A43">
        <w:t xml:space="preserve"> detenci</w:t>
      </w:r>
      <w:r w:rsidR="00460D77" w:rsidRPr="00116A43">
        <w:t>ones</w:t>
      </w:r>
      <w:r w:rsidRPr="00116A43">
        <w:t xml:space="preserve"> </w:t>
      </w:r>
      <w:r w:rsidR="00460D77" w:rsidRPr="00116A43">
        <w:t>de</w:t>
      </w:r>
      <w:r w:rsidR="00195DDA" w:rsidRPr="00116A43">
        <w:t xml:space="preserve"> 2009 y 2010</w:t>
      </w:r>
      <w:bookmarkEnd w:id="22"/>
      <w:r w:rsidR="005B1EF5" w:rsidRPr="00116A43">
        <w:t xml:space="preserve"> </w:t>
      </w:r>
    </w:p>
    <w:p w14:paraId="1E225741" w14:textId="77777777" w:rsidR="005B1EF5" w:rsidRPr="00116A43" w:rsidRDefault="005B1EF5" w:rsidP="005F7FE2">
      <w:pPr>
        <w:pStyle w:val="ListParagraph"/>
        <w:autoSpaceDE w:val="0"/>
        <w:autoSpaceDN w:val="0"/>
        <w:adjustRightInd w:val="0"/>
        <w:ind w:left="1080"/>
        <w:jc w:val="both"/>
        <w:rPr>
          <w:b/>
          <w:sz w:val="20"/>
          <w:szCs w:val="20"/>
          <w:lang w:val="es-PE"/>
        </w:rPr>
      </w:pPr>
    </w:p>
    <w:p w14:paraId="6820809B" w14:textId="057D078D" w:rsidR="00B44D0F" w:rsidRPr="00116A43" w:rsidRDefault="00470646"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A</w:t>
      </w:r>
      <w:r w:rsidR="00D9309C" w:rsidRPr="00116A43">
        <w:rPr>
          <w:sz w:val="20"/>
          <w:szCs w:val="20"/>
          <w:lang w:val="es-PE"/>
        </w:rPr>
        <w:t xml:space="preserve"> </w:t>
      </w:r>
      <w:r w:rsidRPr="00116A43">
        <w:rPr>
          <w:sz w:val="20"/>
          <w:szCs w:val="20"/>
          <w:lang w:val="es-PE"/>
        </w:rPr>
        <w:t>final</w:t>
      </w:r>
      <w:r w:rsidR="00D9309C" w:rsidRPr="00116A43">
        <w:rPr>
          <w:sz w:val="20"/>
          <w:szCs w:val="20"/>
          <w:lang w:val="es-PE"/>
        </w:rPr>
        <w:t>es</w:t>
      </w:r>
      <w:r w:rsidRPr="00116A43">
        <w:rPr>
          <w:sz w:val="20"/>
          <w:szCs w:val="20"/>
          <w:lang w:val="es-PE"/>
        </w:rPr>
        <w:t xml:space="preserve"> de 2009, </w:t>
      </w:r>
      <w:r w:rsidR="00B44D0F" w:rsidRPr="00116A43">
        <w:rPr>
          <w:sz w:val="20"/>
          <w:szCs w:val="20"/>
          <w:lang w:val="es-PE"/>
        </w:rPr>
        <w:t xml:space="preserve">Yoani Sánchez presentó una denuncia a la Fiscalía Militar y Fiscalía General respecto de la detención y agresiones </w:t>
      </w:r>
      <w:r w:rsidR="006E1A11" w:rsidRPr="00116A43">
        <w:rPr>
          <w:sz w:val="20"/>
          <w:szCs w:val="20"/>
          <w:lang w:val="es-PE"/>
        </w:rPr>
        <w:t xml:space="preserve">sufridas el </w:t>
      </w:r>
      <w:r w:rsidR="00B44D0F" w:rsidRPr="00116A43">
        <w:rPr>
          <w:sz w:val="20"/>
          <w:szCs w:val="20"/>
          <w:lang w:val="es-PE"/>
        </w:rPr>
        <w:t>6 de noviembre de 2009. Hasta la fecha, no hubo respuestas o investigaciones tras la denuncia</w:t>
      </w:r>
      <w:r w:rsidR="00480252" w:rsidRPr="00116A43">
        <w:rPr>
          <w:rStyle w:val="FootnoteReference"/>
          <w:sz w:val="20"/>
          <w:szCs w:val="20"/>
          <w:lang w:val="es-PE"/>
        </w:rPr>
        <w:footnoteReference w:id="110"/>
      </w:r>
      <w:r w:rsidR="00B44D0F" w:rsidRPr="00116A43">
        <w:rPr>
          <w:sz w:val="20"/>
          <w:szCs w:val="20"/>
          <w:lang w:val="es-PE"/>
        </w:rPr>
        <w:t xml:space="preserve">. </w:t>
      </w:r>
    </w:p>
    <w:p w14:paraId="2DD3D657" w14:textId="77777777" w:rsidR="005B1EF5" w:rsidRPr="00116A43" w:rsidRDefault="005B1EF5" w:rsidP="00375047">
      <w:pPr>
        <w:pStyle w:val="ListParagraph"/>
        <w:autoSpaceDE w:val="0"/>
        <w:autoSpaceDN w:val="0"/>
        <w:adjustRightInd w:val="0"/>
        <w:ind w:left="0"/>
        <w:jc w:val="both"/>
        <w:rPr>
          <w:sz w:val="20"/>
          <w:szCs w:val="20"/>
          <w:lang w:val="es-PE"/>
        </w:rPr>
      </w:pPr>
    </w:p>
    <w:p w14:paraId="41F2AD66" w14:textId="04FAAEF7" w:rsidR="00B44D0F"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El 10 de marzo de 2010, la presunta víctima present</w:t>
      </w:r>
      <w:r w:rsidR="00F45405" w:rsidRPr="00116A43">
        <w:rPr>
          <w:sz w:val="20"/>
          <w:szCs w:val="20"/>
          <w:lang w:val="es-PE"/>
        </w:rPr>
        <w:t>ó</w:t>
      </w:r>
      <w:r w:rsidRPr="00116A43">
        <w:rPr>
          <w:sz w:val="20"/>
          <w:szCs w:val="20"/>
          <w:lang w:val="es-PE"/>
        </w:rPr>
        <w:t xml:space="preserve"> una denuncia </w:t>
      </w:r>
      <w:r w:rsidR="00F45405" w:rsidRPr="00116A43">
        <w:rPr>
          <w:sz w:val="20"/>
          <w:szCs w:val="20"/>
          <w:lang w:val="es-PE"/>
        </w:rPr>
        <w:t>por la detención y</w:t>
      </w:r>
      <w:r w:rsidRPr="00116A43">
        <w:rPr>
          <w:sz w:val="20"/>
          <w:szCs w:val="20"/>
          <w:lang w:val="es-PE"/>
        </w:rPr>
        <w:t xml:space="preserve"> los hechos </w:t>
      </w:r>
      <w:r w:rsidR="00F45405" w:rsidRPr="00116A43">
        <w:rPr>
          <w:sz w:val="20"/>
          <w:szCs w:val="20"/>
          <w:lang w:val="es-PE"/>
        </w:rPr>
        <w:t xml:space="preserve">ocurridos </w:t>
      </w:r>
      <w:r w:rsidRPr="00116A43">
        <w:rPr>
          <w:sz w:val="20"/>
          <w:szCs w:val="20"/>
          <w:lang w:val="es-PE"/>
        </w:rPr>
        <w:t>e</w:t>
      </w:r>
      <w:r w:rsidR="00F45405" w:rsidRPr="00116A43">
        <w:rPr>
          <w:sz w:val="20"/>
          <w:szCs w:val="20"/>
          <w:lang w:val="es-PE"/>
        </w:rPr>
        <w:t>l</w:t>
      </w:r>
      <w:r w:rsidRPr="00116A43">
        <w:rPr>
          <w:sz w:val="20"/>
          <w:szCs w:val="20"/>
          <w:lang w:val="es-PE"/>
        </w:rPr>
        <w:t xml:space="preserve"> 24 de febrero de 2010 ante la Fiscalía General, la Fiscalía Militar, la Asamblea Nacional, el Consejo </w:t>
      </w:r>
      <w:r w:rsidRPr="00116A43">
        <w:rPr>
          <w:sz w:val="20"/>
          <w:szCs w:val="20"/>
          <w:lang w:val="es-PE"/>
        </w:rPr>
        <w:lastRenderedPageBreak/>
        <w:t>del Estado, la P</w:t>
      </w:r>
      <w:r w:rsidR="009A6E91" w:rsidRPr="00116A43">
        <w:rPr>
          <w:sz w:val="20"/>
          <w:szCs w:val="20"/>
          <w:lang w:val="es-PE"/>
        </w:rPr>
        <w:t>olicía Nacional Revolucionaria (P</w:t>
      </w:r>
      <w:r w:rsidRPr="00116A43">
        <w:rPr>
          <w:sz w:val="20"/>
          <w:szCs w:val="20"/>
          <w:lang w:val="es-PE"/>
        </w:rPr>
        <w:t>NR</w:t>
      </w:r>
      <w:r w:rsidR="009A6E91" w:rsidRPr="00116A43">
        <w:rPr>
          <w:sz w:val="20"/>
          <w:szCs w:val="20"/>
          <w:lang w:val="es-PE"/>
        </w:rPr>
        <w:t>)</w:t>
      </w:r>
      <w:r w:rsidRPr="00116A43">
        <w:rPr>
          <w:sz w:val="20"/>
          <w:szCs w:val="20"/>
          <w:lang w:val="es-PE"/>
        </w:rPr>
        <w:t xml:space="preserve"> y la estación Infanta y Manglar</w:t>
      </w:r>
      <w:r w:rsidRPr="00116A43">
        <w:rPr>
          <w:rStyle w:val="FootnoteReference"/>
          <w:sz w:val="20"/>
          <w:szCs w:val="20"/>
          <w:lang w:val="es-PE"/>
        </w:rPr>
        <w:footnoteReference w:id="111"/>
      </w:r>
      <w:r w:rsidRPr="00116A43">
        <w:rPr>
          <w:sz w:val="20"/>
          <w:szCs w:val="20"/>
          <w:lang w:val="es-PE"/>
        </w:rPr>
        <w:t xml:space="preserve">. </w:t>
      </w:r>
      <w:r w:rsidR="00970E90" w:rsidRPr="00116A43">
        <w:rPr>
          <w:sz w:val="20"/>
          <w:szCs w:val="20"/>
          <w:lang w:val="es-PE"/>
        </w:rPr>
        <w:t>H</w:t>
      </w:r>
      <w:r w:rsidRPr="00116A43">
        <w:rPr>
          <w:sz w:val="20"/>
          <w:szCs w:val="20"/>
          <w:lang w:val="es-PE"/>
        </w:rPr>
        <w:t>asta la fecha</w:t>
      </w:r>
      <w:r w:rsidR="000D5F63" w:rsidRPr="00116A43">
        <w:rPr>
          <w:sz w:val="20"/>
          <w:szCs w:val="20"/>
          <w:lang w:val="es-PE"/>
        </w:rPr>
        <w:t xml:space="preserve"> de adopción del presente informe</w:t>
      </w:r>
      <w:r w:rsidRPr="00116A43">
        <w:rPr>
          <w:sz w:val="20"/>
          <w:szCs w:val="20"/>
          <w:lang w:val="es-PE"/>
        </w:rPr>
        <w:t>, no hubo respuestas a estas denuncias</w:t>
      </w:r>
      <w:r w:rsidR="00970E90" w:rsidRPr="00116A43">
        <w:rPr>
          <w:sz w:val="20"/>
          <w:szCs w:val="20"/>
          <w:lang w:val="es-PE"/>
        </w:rPr>
        <w:t xml:space="preserve"> por parte del Estado.</w:t>
      </w:r>
    </w:p>
    <w:p w14:paraId="2016E56A" w14:textId="77777777" w:rsidR="00577F2D" w:rsidRPr="00116A43" w:rsidRDefault="00577F2D" w:rsidP="00577F2D">
      <w:pPr>
        <w:pStyle w:val="ListParagraph"/>
        <w:autoSpaceDE w:val="0"/>
        <w:autoSpaceDN w:val="0"/>
        <w:adjustRightInd w:val="0"/>
        <w:ind w:left="0"/>
        <w:jc w:val="both"/>
        <w:rPr>
          <w:sz w:val="20"/>
          <w:szCs w:val="20"/>
          <w:lang w:val="es-PE"/>
        </w:rPr>
      </w:pPr>
    </w:p>
    <w:p w14:paraId="15F2FBE6" w14:textId="54275A6E" w:rsidR="00B44D0F" w:rsidRPr="00116A43" w:rsidRDefault="0007660C" w:rsidP="004F709F">
      <w:pPr>
        <w:pStyle w:val="Heading2"/>
      </w:pPr>
      <w:bookmarkStart w:id="23" w:name="_Toc89157567"/>
      <w:r w:rsidRPr="00116A43">
        <w:t>Solicitud de respuesta y recurso de alzada</w:t>
      </w:r>
      <w:r w:rsidR="00B44D0F" w:rsidRPr="00116A43">
        <w:t xml:space="preserve"> </w:t>
      </w:r>
      <w:r w:rsidR="004970D1" w:rsidRPr="00116A43">
        <w:t>ante</w:t>
      </w:r>
      <w:r w:rsidR="00B00F48" w:rsidRPr="00116A43">
        <w:t xml:space="preserve"> la Dirección de </w:t>
      </w:r>
      <w:r w:rsidR="00324B26" w:rsidRPr="00116A43">
        <w:t>Inm</w:t>
      </w:r>
      <w:r w:rsidR="00B00F48" w:rsidRPr="00116A43">
        <w:t>igración y Extranjería y el Ministerio del Interior</w:t>
      </w:r>
      <w:r w:rsidR="004970D1" w:rsidRPr="00116A43">
        <w:t xml:space="preserve"> </w:t>
      </w:r>
      <w:r w:rsidR="003529BB" w:rsidRPr="00116A43">
        <w:t>por el impedimento</w:t>
      </w:r>
      <w:r w:rsidR="004970D1" w:rsidRPr="00116A43">
        <w:t xml:space="preserve"> </w:t>
      </w:r>
      <w:r w:rsidR="00B44D0F" w:rsidRPr="00116A43">
        <w:t>de salida del país entre 2007 y 201</w:t>
      </w:r>
      <w:r w:rsidR="00C330D5" w:rsidRPr="00116A43">
        <w:t>2</w:t>
      </w:r>
      <w:bookmarkEnd w:id="23"/>
    </w:p>
    <w:p w14:paraId="4958FFE2" w14:textId="77777777" w:rsidR="005B1EF5" w:rsidRPr="00116A43" w:rsidRDefault="005B1EF5" w:rsidP="005F7FE2">
      <w:pPr>
        <w:pStyle w:val="ListParagraph"/>
        <w:autoSpaceDE w:val="0"/>
        <w:autoSpaceDN w:val="0"/>
        <w:adjustRightInd w:val="0"/>
        <w:ind w:left="1080"/>
        <w:jc w:val="both"/>
        <w:rPr>
          <w:b/>
          <w:sz w:val="20"/>
          <w:szCs w:val="20"/>
          <w:lang w:val="es-PE"/>
        </w:rPr>
      </w:pPr>
    </w:p>
    <w:p w14:paraId="25B651DD" w14:textId="7FDEA402"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El 5 de noviembre de 2010</w:t>
      </w:r>
      <w:r w:rsidR="00F37C85" w:rsidRPr="00116A43">
        <w:rPr>
          <w:sz w:val="20"/>
          <w:szCs w:val="20"/>
          <w:lang w:val="es-PE"/>
        </w:rPr>
        <w:t xml:space="preserve"> Yoani Sánchez </w:t>
      </w:r>
      <w:r w:rsidRPr="00116A43">
        <w:rPr>
          <w:sz w:val="20"/>
          <w:szCs w:val="20"/>
          <w:lang w:val="es-PE"/>
        </w:rPr>
        <w:t>presentó</w:t>
      </w:r>
      <w:r w:rsidR="00F37C85" w:rsidRPr="00116A43">
        <w:rPr>
          <w:sz w:val="20"/>
          <w:szCs w:val="20"/>
          <w:lang w:val="es-PE"/>
        </w:rPr>
        <w:t xml:space="preserve"> </w:t>
      </w:r>
      <w:r w:rsidRPr="00116A43">
        <w:rPr>
          <w:sz w:val="20"/>
          <w:szCs w:val="20"/>
          <w:lang w:val="es-PE"/>
        </w:rPr>
        <w:t>a</w:t>
      </w:r>
      <w:r w:rsidR="00F37C85" w:rsidRPr="00116A43">
        <w:rPr>
          <w:sz w:val="20"/>
          <w:szCs w:val="20"/>
          <w:lang w:val="es-PE"/>
        </w:rPr>
        <w:t xml:space="preserve"> la</w:t>
      </w:r>
      <w:r w:rsidRPr="00116A43">
        <w:rPr>
          <w:sz w:val="20"/>
          <w:szCs w:val="20"/>
          <w:lang w:val="es-PE"/>
        </w:rPr>
        <w:t xml:space="preserve"> Dirección de </w:t>
      </w:r>
      <w:r w:rsidR="00324B26" w:rsidRPr="00116A43">
        <w:rPr>
          <w:sz w:val="20"/>
          <w:szCs w:val="20"/>
          <w:lang w:val="es-PE"/>
        </w:rPr>
        <w:t>Inm</w:t>
      </w:r>
      <w:r w:rsidRPr="00116A43">
        <w:rPr>
          <w:sz w:val="20"/>
          <w:szCs w:val="20"/>
          <w:lang w:val="es-PE"/>
        </w:rPr>
        <w:t>igración y Extranjería del Ministerio del Interior, una solicitud formal de respuesta</w:t>
      </w:r>
      <w:r w:rsidR="00CB0D53" w:rsidRPr="00116A43">
        <w:rPr>
          <w:sz w:val="20"/>
          <w:szCs w:val="20"/>
          <w:lang w:val="es-PE"/>
        </w:rPr>
        <w:t>, con base en el artículo 63 de la Constitución de Cuba, solicitando se le explicaran</w:t>
      </w:r>
      <w:r w:rsidRPr="00116A43">
        <w:rPr>
          <w:sz w:val="20"/>
          <w:szCs w:val="20"/>
          <w:lang w:val="es-PE"/>
        </w:rPr>
        <w:t xml:space="preserve"> los fundamentos de hecho </w:t>
      </w:r>
      <w:r w:rsidR="00324B26" w:rsidRPr="00116A43">
        <w:rPr>
          <w:sz w:val="20"/>
          <w:szCs w:val="20"/>
          <w:lang w:val="es-PE"/>
        </w:rPr>
        <w:t xml:space="preserve">y </w:t>
      </w:r>
      <w:r w:rsidRPr="00116A43">
        <w:rPr>
          <w:sz w:val="20"/>
          <w:szCs w:val="20"/>
          <w:lang w:val="es-PE"/>
        </w:rPr>
        <w:t>de derecho p</w:t>
      </w:r>
      <w:r w:rsidR="00AC68BF" w:rsidRPr="00116A43">
        <w:rPr>
          <w:sz w:val="20"/>
          <w:szCs w:val="20"/>
          <w:lang w:val="es-PE"/>
        </w:rPr>
        <w:t>or los cuales no se le permitía viajar</w:t>
      </w:r>
      <w:r w:rsidRPr="00116A43">
        <w:rPr>
          <w:sz w:val="20"/>
          <w:szCs w:val="20"/>
          <w:lang w:val="es-PE"/>
        </w:rPr>
        <w:t xml:space="preserve"> al exterior</w:t>
      </w:r>
      <w:r w:rsidR="00CA64AC" w:rsidRPr="00116A43">
        <w:rPr>
          <w:sz w:val="20"/>
          <w:szCs w:val="20"/>
          <w:lang w:val="es-PE"/>
        </w:rPr>
        <w:t>, lo cual</w:t>
      </w:r>
      <w:r w:rsidRPr="00116A43">
        <w:rPr>
          <w:sz w:val="20"/>
          <w:szCs w:val="20"/>
          <w:lang w:val="es-PE"/>
        </w:rPr>
        <w:t xml:space="preserve"> consideraba </w:t>
      </w:r>
      <w:r w:rsidR="00CA64AC" w:rsidRPr="00116A43">
        <w:rPr>
          <w:sz w:val="20"/>
          <w:szCs w:val="20"/>
          <w:lang w:val="es-PE"/>
        </w:rPr>
        <w:t>como</w:t>
      </w:r>
      <w:r w:rsidRPr="00116A43">
        <w:rPr>
          <w:sz w:val="20"/>
          <w:szCs w:val="20"/>
          <w:lang w:val="es-PE"/>
        </w:rPr>
        <w:t xml:space="preserve"> una violación a sus derechos humanos</w:t>
      </w:r>
      <w:r w:rsidRPr="00116A43">
        <w:rPr>
          <w:rStyle w:val="FootnoteReference"/>
          <w:sz w:val="20"/>
          <w:szCs w:val="20"/>
          <w:lang w:val="es-PE"/>
        </w:rPr>
        <w:footnoteReference w:id="112"/>
      </w:r>
      <w:r w:rsidRPr="00116A43">
        <w:rPr>
          <w:sz w:val="20"/>
          <w:szCs w:val="20"/>
          <w:lang w:val="es-PE"/>
        </w:rPr>
        <w:t xml:space="preserve">. </w:t>
      </w:r>
    </w:p>
    <w:p w14:paraId="2E77228D" w14:textId="77777777" w:rsidR="00BD6EA7" w:rsidRPr="00116A43" w:rsidRDefault="00BD6EA7" w:rsidP="00375047">
      <w:pPr>
        <w:pStyle w:val="ListParagraph"/>
        <w:autoSpaceDE w:val="0"/>
        <w:autoSpaceDN w:val="0"/>
        <w:adjustRightInd w:val="0"/>
        <w:ind w:left="0"/>
        <w:jc w:val="both"/>
        <w:rPr>
          <w:sz w:val="20"/>
          <w:szCs w:val="20"/>
          <w:lang w:val="es-PE"/>
        </w:rPr>
      </w:pPr>
    </w:p>
    <w:p w14:paraId="5E6F64AC" w14:textId="5E6F2B42" w:rsidR="00B44D0F" w:rsidRPr="00116A43" w:rsidRDefault="00B44D0F"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 El 30 de marzo de 2012 </w:t>
      </w:r>
      <w:r w:rsidR="000B458E" w:rsidRPr="00116A43">
        <w:rPr>
          <w:sz w:val="20"/>
          <w:szCs w:val="20"/>
          <w:lang w:val="es-PE"/>
        </w:rPr>
        <w:t>Yoani Sánchez</w:t>
      </w:r>
      <w:r w:rsidRPr="00116A43">
        <w:rPr>
          <w:sz w:val="20"/>
          <w:szCs w:val="20"/>
          <w:lang w:val="es-PE"/>
        </w:rPr>
        <w:t xml:space="preserve"> presentó un </w:t>
      </w:r>
      <w:r w:rsidR="000B458E" w:rsidRPr="00116A43">
        <w:rPr>
          <w:sz w:val="20"/>
          <w:szCs w:val="20"/>
          <w:lang w:val="es-PE"/>
        </w:rPr>
        <w:t>r</w:t>
      </w:r>
      <w:r w:rsidRPr="00116A43">
        <w:rPr>
          <w:sz w:val="20"/>
          <w:szCs w:val="20"/>
          <w:lang w:val="es-PE"/>
        </w:rPr>
        <w:t xml:space="preserve">ecurso de </w:t>
      </w:r>
      <w:r w:rsidR="00147A72" w:rsidRPr="00116A43">
        <w:rPr>
          <w:sz w:val="20"/>
          <w:szCs w:val="20"/>
          <w:lang w:val="es-PE"/>
        </w:rPr>
        <w:t>a</w:t>
      </w:r>
      <w:r w:rsidRPr="00116A43">
        <w:rPr>
          <w:sz w:val="20"/>
          <w:szCs w:val="20"/>
          <w:lang w:val="es-PE"/>
        </w:rPr>
        <w:t xml:space="preserve">lzada ante el Ministerio del Interior también con base en el artículo 63 de la Constitución de Cuba, pues no obtuvo respuestas de la Dirección de Migración y Extranjería en </w:t>
      </w:r>
      <w:r w:rsidR="009A5CC7" w:rsidRPr="00116A43">
        <w:rPr>
          <w:sz w:val="20"/>
          <w:szCs w:val="20"/>
          <w:lang w:val="es-PE"/>
        </w:rPr>
        <w:t>el</w:t>
      </w:r>
      <w:r w:rsidRPr="00116A43">
        <w:rPr>
          <w:sz w:val="20"/>
          <w:szCs w:val="20"/>
          <w:lang w:val="es-PE"/>
        </w:rPr>
        <w:t xml:space="preserve"> plazo de </w:t>
      </w:r>
      <w:r w:rsidR="00632D9B" w:rsidRPr="00116A43">
        <w:rPr>
          <w:sz w:val="20"/>
          <w:szCs w:val="20"/>
          <w:lang w:val="es-PE"/>
        </w:rPr>
        <w:t>6</w:t>
      </w:r>
      <w:r w:rsidRPr="00116A43">
        <w:rPr>
          <w:sz w:val="20"/>
          <w:szCs w:val="20"/>
          <w:lang w:val="es-PE"/>
        </w:rPr>
        <w:t>0 días</w:t>
      </w:r>
      <w:r w:rsidRPr="00116A43">
        <w:rPr>
          <w:rStyle w:val="FootnoteReference"/>
          <w:sz w:val="20"/>
          <w:szCs w:val="20"/>
          <w:lang w:val="es-PE"/>
        </w:rPr>
        <w:footnoteReference w:id="113"/>
      </w:r>
      <w:r w:rsidRPr="00116A43">
        <w:rPr>
          <w:sz w:val="20"/>
          <w:szCs w:val="20"/>
          <w:lang w:val="es-PE"/>
        </w:rPr>
        <w:t xml:space="preserve">. La presunta víctima solicitó que el </w:t>
      </w:r>
      <w:r w:rsidR="00147A72" w:rsidRPr="00116A43">
        <w:rPr>
          <w:sz w:val="20"/>
          <w:szCs w:val="20"/>
          <w:lang w:val="es-PE"/>
        </w:rPr>
        <w:t>ministro</w:t>
      </w:r>
      <w:r w:rsidRPr="00116A43">
        <w:rPr>
          <w:sz w:val="20"/>
          <w:szCs w:val="20"/>
          <w:lang w:val="es-PE"/>
        </w:rPr>
        <w:t xml:space="preserve"> del Interior </w:t>
      </w:r>
      <w:r w:rsidR="00B87EA0" w:rsidRPr="00116A43">
        <w:rPr>
          <w:sz w:val="20"/>
          <w:szCs w:val="20"/>
          <w:lang w:val="es-PE"/>
        </w:rPr>
        <w:t xml:space="preserve">conminara al Director de Inmigración y Extranjería </w:t>
      </w:r>
      <w:r w:rsidR="0086632D" w:rsidRPr="00116A43">
        <w:rPr>
          <w:sz w:val="20"/>
          <w:szCs w:val="20"/>
          <w:lang w:val="es-PE"/>
        </w:rPr>
        <w:t xml:space="preserve">a que le brindara las razones o motivos por los cuales no se le permitía salir del país y </w:t>
      </w:r>
      <w:r w:rsidRPr="00116A43">
        <w:rPr>
          <w:sz w:val="20"/>
          <w:szCs w:val="20"/>
          <w:lang w:val="es-PE"/>
        </w:rPr>
        <w:t xml:space="preserve">anulara </w:t>
      </w:r>
      <w:r w:rsidR="0086632D" w:rsidRPr="00116A43">
        <w:rPr>
          <w:sz w:val="20"/>
          <w:szCs w:val="20"/>
          <w:lang w:val="es-PE"/>
        </w:rPr>
        <w:t>dichas</w:t>
      </w:r>
      <w:r w:rsidRPr="00116A43">
        <w:rPr>
          <w:sz w:val="20"/>
          <w:szCs w:val="20"/>
          <w:lang w:val="es-PE"/>
        </w:rPr>
        <w:t xml:space="preserve"> decisi</w:t>
      </w:r>
      <w:r w:rsidR="0086632D" w:rsidRPr="00116A43">
        <w:rPr>
          <w:sz w:val="20"/>
          <w:szCs w:val="20"/>
          <w:lang w:val="es-PE"/>
        </w:rPr>
        <w:t>ones</w:t>
      </w:r>
      <w:r w:rsidRPr="00116A43">
        <w:rPr>
          <w:sz w:val="20"/>
          <w:szCs w:val="20"/>
          <w:lang w:val="es-PE"/>
        </w:rPr>
        <w:t xml:space="preserve"> ya que no fueron presentados los fundamentos para la negativa y la prohibición violaba sus derechos humanos</w:t>
      </w:r>
      <w:r w:rsidRPr="00116A43">
        <w:rPr>
          <w:rStyle w:val="FootnoteReference"/>
          <w:sz w:val="20"/>
          <w:szCs w:val="20"/>
          <w:lang w:val="es-PE"/>
        </w:rPr>
        <w:footnoteReference w:id="114"/>
      </w:r>
      <w:r w:rsidRPr="00116A43">
        <w:rPr>
          <w:sz w:val="20"/>
          <w:szCs w:val="20"/>
          <w:lang w:val="es-PE"/>
        </w:rPr>
        <w:t xml:space="preserve">. </w:t>
      </w:r>
      <w:r w:rsidR="00147A72" w:rsidRPr="00116A43">
        <w:rPr>
          <w:sz w:val="20"/>
          <w:szCs w:val="20"/>
          <w:lang w:val="es-PE"/>
        </w:rPr>
        <w:t>Hasta la fecha de adopción del presente informe</w:t>
      </w:r>
      <w:r w:rsidR="000D5F63" w:rsidRPr="00116A43">
        <w:rPr>
          <w:sz w:val="20"/>
          <w:szCs w:val="20"/>
          <w:lang w:val="es-PE"/>
        </w:rPr>
        <w:t>,</w:t>
      </w:r>
      <w:r w:rsidR="00147A72" w:rsidRPr="00116A43">
        <w:rPr>
          <w:sz w:val="20"/>
          <w:szCs w:val="20"/>
          <w:lang w:val="es-PE"/>
        </w:rPr>
        <w:t xml:space="preserve"> ninguna de estas solicitudes administrativas ha sido respondida</w:t>
      </w:r>
      <w:r w:rsidR="000B153D" w:rsidRPr="00116A43">
        <w:rPr>
          <w:sz w:val="20"/>
          <w:szCs w:val="20"/>
          <w:lang w:val="es-PE"/>
        </w:rPr>
        <w:t>.</w:t>
      </w:r>
    </w:p>
    <w:p w14:paraId="1FB84D46" w14:textId="77777777" w:rsidR="00B07F80" w:rsidRPr="00116A43" w:rsidRDefault="00B07F80" w:rsidP="00B07F80">
      <w:pPr>
        <w:pStyle w:val="ListParagraph"/>
        <w:rPr>
          <w:sz w:val="20"/>
          <w:szCs w:val="20"/>
          <w:lang w:val="es-PE"/>
        </w:rPr>
      </w:pPr>
    </w:p>
    <w:p w14:paraId="7DC10E8A" w14:textId="77777777" w:rsidR="00B07F80" w:rsidRPr="00116A43" w:rsidRDefault="00B07F80" w:rsidP="004F709F">
      <w:pPr>
        <w:pStyle w:val="Heading2"/>
      </w:pPr>
      <w:bookmarkStart w:id="24" w:name="_Toc89157568"/>
      <w:r w:rsidRPr="00116A43">
        <w:rPr>
          <w:lang w:val="es-ES"/>
        </w:rPr>
        <w:t xml:space="preserve">Sobre la </w:t>
      </w:r>
      <w:r w:rsidRPr="00116A43">
        <w:t>interceptación telefónica, vigilancia de residencia, actos de intimidación y ataques en contra de la periodista y bloguera</w:t>
      </w:r>
      <w:bookmarkEnd w:id="24"/>
    </w:p>
    <w:p w14:paraId="7257B81E" w14:textId="77777777" w:rsidR="00B07F80" w:rsidRPr="00116A43" w:rsidRDefault="00B07F80" w:rsidP="00B07F80">
      <w:pPr>
        <w:pStyle w:val="ListParagraph"/>
        <w:autoSpaceDE w:val="0"/>
        <w:autoSpaceDN w:val="0"/>
        <w:adjustRightInd w:val="0"/>
        <w:ind w:left="1080"/>
        <w:jc w:val="both"/>
        <w:rPr>
          <w:b/>
          <w:sz w:val="20"/>
          <w:szCs w:val="20"/>
          <w:lang w:val="es-PE"/>
        </w:rPr>
      </w:pPr>
    </w:p>
    <w:p w14:paraId="5C05C64B" w14:textId="4704F41E" w:rsidR="00B07F80" w:rsidRPr="00116A43" w:rsidRDefault="00B07F80" w:rsidP="00375047">
      <w:pPr>
        <w:pStyle w:val="ListParagraph"/>
        <w:numPr>
          <w:ilvl w:val="0"/>
          <w:numId w:val="55"/>
        </w:numPr>
        <w:autoSpaceDE w:val="0"/>
        <w:autoSpaceDN w:val="0"/>
        <w:adjustRightInd w:val="0"/>
        <w:ind w:firstLine="0"/>
        <w:jc w:val="both"/>
        <w:rPr>
          <w:sz w:val="20"/>
          <w:szCs w:val="20"/>
          <w:lang w:val="es-VE"/>
        </w:rPr>
      </w:pPr>
      <w:r w:rsidRPr="00116A43">
        <w:rPr>
          <w:sz w:val="20"/>
          <w:szCs w:val="20"/>
          <w:lang w:val="es-VE"/>
        </w:rPr>
        <w:t xml:space="preserve">Desde octubre 2007, el teléfono </w:t>
      </w:r>
      <w:r w:rsidR="00E053E8" w:rsidRPr="00116A43">
        <w:rPr>
          <w:sz w:val="20"/>
          <w:szCs w:val="20"/>
          <w:lang w:val="es-VE"/>
        </w:rPr>
        <w:t xml:space="preserve">de casa </w:t>
      </w:r>
      <w:r w:rsidRPr="00116A43">
        <w:rPr>
          <w:sz w:val="20"/>
          <w:szCs w:val="20"/>
          <w:lang w:val="es-VE"/>
        </w:rPr>
        <w:t>y el móvil de Yoani Sánchez han</w:t>
      </w:r>
      <w:r w:rsidR="00DC100B" w:rsidRPr="00116A43">
        <w:rPr>
          <w:sz w:val="20"/>
          <w:szCs w:val="20"/>
          <w:lang w:val="es-VE"/>
        </w:rPr>
        <w:t xml:space="preserve"> sido</w:t>
      </w:r>
      <w:r w:rsidRPr="00116A43">
        <w:rPr>
          <w:sz w:val="20"/>
          <w:szCs w:val="20"/>
          <w:lang w:val="es-VE"/>
        </w:rPr>
        <w:t xml:space="preserve"> interceptado</w:t>
      </w:r>
      <w:r w:rsidR="00821FB1" w:rsidRPr="00116A43">
        <w:rPr>
          <w:sz w:val="20"/>
          <w:szCs w:val="20"/>
          <w:lang w:val="es-VE"/>
        </w:rPr>
        <w:t>s</w:t>
      </w:r>
      <w:r w:rsidRPr="00116A43">
        <w:rPr>
          <w:sz w:val="20"/>
          <w:szCs w:val="20"/>
          <w:lang w:val="es-VE"/>
        </w:rPr>
        <w:t xml:space="preserve"> por el gobierno de Cub</w:t>
      </w:r>
      <w:r w:rsidR="00F10B4F" w:rsidRPr="00116A43">
        <w:rPr>
          <w:sz w:val="20"/>
          <w:szCs w:val="20"/>
          <w:lang w:val="es-VE"/>
        </w:rPr>
        <w:t>a</w:t>
      </w:r>
      <w:r w:rsidRPr="00116A43">
        <w:rPr>
          <w:rStyle w:val="FootnoteReference"/>
          <w:sz w:val="20"/>
          <w:szCs w:val="20"/>
          <w:lang w:val="es-VE"/>
        </w:rPr>
        <w:footnoteReference w:id="115"/>
      </w:r>
      <w:r w:rsidR="00BC21A9" w:rsidRPr="00116A43">
        <w:rPr>
          <w:sz w:val="20"/>
          <w:szCs w:val="20"/>
          <w:lang w:val="es-VE"/>
        </w:rPr>
        <w:t>.</w:t>
      </w:r>
      <w:r w:rsidRPr="00116A43">
        <w:rPr>
          <w:sz w:val="20"/>
          <w:szCs w:val="20"/>
          <w:lang w:val="es-VE"/>
        </w:rPr>
        <w:t xml:space="preserve"> También desde 2007, el Estado vigila </w:t>
      </w:r>
      <w:r w:rsidR="00821FB1" w:rsidRPr="00116A43">
        <w:rPr>
          <w:sz w:val="20"/>
          <w:szCs w:val="20"/>
          <w:lang w:val="es-VE"/>
        </w:rPr>
        <w:t xml:space="preserve">a </w:t>
      </w:r>
      <w:r w:rsidRPr="00116A43">
        <w:rPr>
          <w:sz w:val="20"/>
          <w:szCs w:val="20"/>
          <w:lang w:val="es-VE"/>
        </w:rPr>
        <w:t>Yoan</w:t>
      </w:r>
      <w:r w:rsidR="00821FB1" w:rsidRPr="00116A43">
        <w:rPr>
          <w:sz w:val="20"/>
          <w:szCs w:val="20"/>
          <w:lang w:val="es-VE"/>
        </w:rPr>
        <w:t>i</w:t>
      </w:r>
      <w:r w:rsidRPr="00116A43">
        <w:rPr>
          <w:sz w:val="20"/>
          <w:szCs w:val="20"/>
          <w:lang w:val="es-VE"/>
        </w:rPr>
        <w:t xml:space="preserve"> Sánchez y </w:t>
      </w:r>
      <w:r w:rsidR="00821FB1" w:rsidRPr="00116A43">
        <w:rPr>
          <w:sz w:val="20"/>
          <w:szCs w:val="20"/>
          <w:lang w:val="es-VE"/>
        </w:rPr>
        <w:t xml:space="preserve">a </w:t>
      </w:r>
      <w:r w:rsidRPr="00116A43">
        <w:rPr>
          <w:sz w:val="20"/>
          <w:szCs w:val="20"/>
          <w:lang w:val="es-VE"/>
        </w:rPr>
        <w:t>su familia permanentemente, interrogando</w:t>
      </w:r>
      <w:r w:rsidR="000B13D6" w:rsidRPr="00116A43">
        <w:rPr>
          <w:sz w:val="20"/>
          <w:szCs w:val="20"/>
          <w:lang w:val="es-VE"/>
        </w:rPr>
        <w:t xml:space="preserve"> a</w:t>
      </w:r>
      <w:r w:rsidRPr="00116A43">
        <w:rPr>
          <w:sz w:val="20"/>
          <w:szCs w:val="20"/>
          <w:lang w:val="es-VE"/>
        </w:rPr>
        <w:t xml:space="preserve"> personas que la visitan antes y después de entrar en su casa</w:t>
      </w:r>
      <w:r w:rsidRPr="00116A43">
        <w:rPr>
          <w:rStyle w:val="FootnoteReference"/>
          <w:sz w:val="20"/>
          <w:szCs w:val="20"/>
          <w:lang w:val="es-VE"/>
        </w:rPr>
        <w:footnoteReference w:id="116"/>
      </w:r>
      <w:r w:rsidRPr="00116A43">
        <w:rPr>
          <w:sz w:val="20"/>
          <w:szCs w:val="20"/>
          <w:lang w:val="es-VE"/>
        </w:rPr>
        <w:t xml:space="preserve">. </w:t>
      </w:r>
    </w:p>
    <w:p w14:paraId="2415FD90" w14:textId="77777777" w:rsidR="00444E2D" w:rsidRPr="00116A43" w:rsidRDefault="00444E2D" w:rsidP="00375047">
      <w:pPr>
        <w:pStyle w:val="ListParagraph"/>
        <w:autoSpaceDE w:val="0"/>
        <w:autoSpaceDN w:val="0"/>
        <w:adjustRightInd w:val="0"/>
        <w:ind w:left="0"/>
        <w:jc w:val="both"/>
        <w:rPr>
          <w:sz w:val="20"/>
          <w:szCs w:val="20"/>
          <w:lang w:val="es-VE"/>
        </w:rPr>
      </w:pPr>
    </w:p>
    <w:p w14:paraId="64951019" w14:textId="35D389D5" w:rsidR="00B07F80" w:rsidRPr="00116A43" w:rsidRDefault="00B07F80" w:rsidP="00375047">
      <w:pPr>
        <w:pStyle w:val="ListParagraph"/>
        <w:numPr>
          <w:ilvl w:val="0"/>
          <w:numId w:val="55"/>
        </w:numPr>
        <w:autoSpaceDE w:val="0"/>
        <w:autoSpaceDN w:val="0"/>
        <w:adjustRightInd w:val="0"/>
        <w:ind w:firstLine="0"/>
        <w:jc w:val="both"/>
        <w:rPr>
          <w:sz w:val="20"/>
          <w:szCs w:val="20"/>
          <w:lang w:val="es-VE"/>
        </w:rPr>
      </w:pPr>
      <w:r w:rsidRPr="00116A43">
        <w:rPr>
          <w:sz w:val="20"/>
          <w:szCs w:val="20"/>
          <w:lang w:val="es-VE"/>
        </w:rPr>
        <w:t>El 3 de diciembre de 2008 la presunta víctima fue citada para comparecer a la Policía Nacional Revolucionaria</w:t>
      </w:r>
      <w:r w:rsidR="00667B88" w:rsidRPr="00116A43">
        <w:rPr>
          <w:sz w:val="20"/>
          <w:szCs w:val="20"/>
          <w:lang w:val="es-VE"/>
        </w:rPr>
        <w:t xml:space="preserve"> </w:t>
      </w:r>
      <w:r w:rsidR="00CD5E9E" w:rsidRPr="00116A43">
        <w:rPr>
          <w:sz w:val="20"/>
          <w:szCs w:val="20"/>
          <w:lang w:val="es-VE"/>
        </w:rPr>
        <w:t xml:space="preserve">en donde </w:t>
      </w:r>
      <w:r w:rsidRPr="00116A43">
        <w:rPr>
          <w:sz w:val="20"/>
          <w:szCs w:val="20"/>
          <w:lang w:val="es-VE"/>
        </w:rPr>
        <w:t>le ad</w:t>
      </w:r>
      <w:r w:rsidR="0084205C" w:rsidRPr="00116A43">
        <w:rPr>
          <w:sz w:val="20"/>
          <w:szCs w:val="20"/>
          <w:lang w:val="es-VE"/>
        </w:rPr>
        <w:t>vir</w:t>
      </w:r>
      <w:r w:rsidR="00A25F0B" w:rsidRPr="00116A43">
        <w:rPr>
          <w:sz w:val="20"/>
          <w:szCs w:val="20"/>
          <w:lang w:val="es-VE"/>
        </w:rPr>
        <w:t>t</w:t>
      </w:r>
      <w:r w:rsidRPr="00116A43">
        <w:rPr>
          <w:sz w:val="20"/>
          <w:szCs w:val="20"/>
          <w:lang w:val="es-VE"/>
        </w:rPr>
        <w:t xml:space="preserve">ieron y amenazaron para que suspendiera un evento para capacitación de blogueros, con la participación de </w:t>
      </w:r>
      <w:r w:rsidR="00A25F0B" w:rsidRPr="00116A43">
        <w:rPr>
          <w:sz w:val="20"/>
          <w:szCs w:val="20"/>
          <w:lang w:val="es-VE"/>
        </w:rPr>
        <w:t>nueve</w:t>
      </w:r>
      <w:r w:rsidRPr="00116A43">
        <w:rPr>
          <w:sz w:val="20"/>
          <w:szCs w:val="20"/>
          <w:lang w:val="es-VE"/>
        </w:rPr>
        <w:t xml:space="preserve"> blogueros activos, </w:t>
      </w:r>
      <w:r w:rsidR="00A25F0B" w:rsidRPr="00116A43">
        <w:rPr>
          <w:sz w:val="20"/>
          <w:szCs w:val="20"/>
          <w:lang w:val="es-VE"/>
        </w:rPr>
        <w:t xml:space="preserve">que se celebraría el </w:t>
      </w:r>
      <w:r w:rsidRPr="00116A43">
        <w:rPr>
          <w:sz w:val="20"/>
          <w:szCs w:val="20"/>
          <w:lang w:val="es-VE"/>
        </w:rPr>
        <w:t>6 de diciembre de 2008</w:t>
      </w:r>
      <w:r w:rsidRPr="00116A43">
        <w:rPr>
          <w:rStyle w:val="FootnoteReference"/>
          <w:sz w:val="20"/>
          <w:szCs w:val="20"/>
          <w:lang w:val="es-VE"/>
        </w:rPr>
        <w:footnoteReference w:id="117"/>
      </w:r>
      <w:r w:rsidRPr="00116A43">
        <w:rPr>
          <w:sz w:val="20"/>
          <w:szCs w:val="20"/>
          <w:lang w:val="es-VE"/>
        </w:rPr>
        <w:t>. La policía le dijo “</w:t>
      </w:r>
      <w:r w:rsidRPr="00116A43">
        <w:rPr>
          <w:rFonts w:cs="Times New Roman"/>
          <w:sz w:val="20"/>
          <w:szCs w:val="20"/>
          <w:lang w:val="es-PE"/>
        </w:rPr>
        <w:t>queremos advertirle que usted ha transgredido todos los límites de tolerancia con su acercamiento y contacto con elementos de la contrarrevolución. Eso la descalifica totalmente para dialogar con las autoridades cubanas. La actividad prevista para los próximos días no puede ser realizada. Nosotros, por nuestra parte, tomaremos todas las medidas y haremos las denuncias pertinentes y las acciones necesarias. Esta actividad, en los momentos que vive la Nación, de recuperación de dos huracanes, no será permitida”</w:t>
      </w:r>
      <w:r w:rsidRPr="00116A43">
        <w:rPr>
          <w:rStyle w:val="FootnoteReference"/>
          <w:rFonts w:cs="Times New Roman"/>
          <w:sz w:val="20"/>
          <w:szCs w:val="20"/>
          <w:lang w:val="es-PE"/>
        </w:rPr>
        <w:footnoteReference w:id="118"/>
      </w:r>
      <w:r w:rsidRPr="00116A43">
        <w:rPr>
          <w:rFonts w:cs="Times New Roman"/>
          <w:sz w:val="20"/>
          <w:szCs w:val="20"/>
          <w:lang w:val="es-PE"/>
        </w:rPr>
        <w:t xml:space="preserve">. </w:t>
      </w:r>
      <w:r w:rsidR="009B2F1F" w:rsidRPr="00116A43">
        <w:rPr>
          <w:sz w:val="20"/>
          <w:szCs w:val="20"/>
          <w:lang w:val="es-PE"/>
        </w:rPr>
        <w:t>Con base en las amenazas</w:t>
      </w:r>
      <w:r w:rsidRPr="00116A43">
        <w:rPr>
          <w:sz w:val="20"/>
          <w:szCs w:val="20"/>
          <w:lang w:val="es-VE"/>
        </w:rPr>
        <w:t xml:space="preserve">, la </w:t>
      </w:r>
      <w:r w:rsidR="009B2F1F" w:rsidRPr="00116A43">
        <w:rPr>
          <w:sz w:val="20"/>
          <w:szCs w:val="20"/>
          <w:lang w:val="es-VE"/>
        </w:rPr>
        <w:t>bloguera</w:t>
      </w:r>
      <w:r w:rsidRPr="00116A43">
        <w:rPr>
          <w:sz w:val="20"/>
          <w:szCs w:val="20"/>
          <w:lang w:val="es-VE"/>
        </w:rPr>
        <w:t xml:space="preserve"> organizó </w:t>
      </w:r>
      <w:r w:rsidR="00E534F0" w:rsidRPr="00116A43">
        <w:rPr>
          <w:sz w:val="20"/>
          <w:szCs w:val="20"/>
          <w:lang w:val="es-VE"/>
        </w:rPr>
        <w:t>el evento</w:t>
      </w:r>
      <w:r w:rsidRPr="00116A43">
        <w:rPr>
          <w:sz w:val="20"/>
          <w:szCs w:val="20"/>
          <w:lang w:val="es-VE"/>
        </w:rPr>
        <w:t xml:space="preserve"> </w:t>
      </w:r>
      <w:r w:rsidR="00A70B72" w:rsidRPr="00116A43">
        <w:rPr>
          <w:sz w:val="20"/>
          <w:szCs w:val="20"/>
          <w:lang w:val="es-VE"/>
        </w:rPr>
        <w:t>por</w:t>
      </w:r>
      <w:r w:rsidRPr="00116A43">
        <w:rPr>
          <w:sz w:val="20"/>
          <w:szCs w:val="20"/>
          <w:lang w:val="es-VE"/>
        </w:rPr>
        <w:t xml:space="preserve"> internet y sin la conferencia pública inaugural</w:t>
      </w:r>
      <w:r w:rsidRPr="00116A43">
        <w:rPr>
          <w:rStyle w:val="FootnoteReference"/>
          <w:sz w:val="20"/>
          <w:szCs w:val="20"/>
          <w:lang w:val="es-VE"/>
        </w:rPr>
        <w:footnoteReference w:id="119"/>
      </w:r>
      <w:r w:rsidRPr="00116A43">
        <w:rPr>
          <w:sz w:val="20"/>
          <w:szCs w:val="20"/>
          <w:lang w:val="es-VE"/>
        </w:rPr>
        <w:t xml:space="preserve">. </w:t>
      </w:r>
    </w:p>
    <w:p w14:paraId="45977BA7" w14:textId="77777777" w:rsidR="00B07F80" w:rsidRPr="00116A43" w:rsidRDefault="00B07F80" w:rsidP="00375047">
      <w:pPr>
        <w:autoSpaceDE w:val="0"/>
        <w:autoSpaceDN w:val="0"/>
        <w:adjustRightInd w:val="0"/>
        <w:jc w:val="both"/>
        <w:rPr>
          <w:sz w:val="20"/>
          <w:szCs w:val="20"/>
          <w:lang w:val="es-VE"/>
        </w:rPr>
      </w:pPr>
    </w:p>
    <w:p w14:paraId="5F6F9713" w14:textId="40448A4B" w:rsidR="00B07F80" w:rsidRPr="00116A43" w:rsidRDefault="00B07F80"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VE"/>
        </w:rPr>
        <w:t xml:space="preserve">En distintas oportunidades la presunta víctima </w:t>
      </w:r>
      <w:r w:rsidR="004B44D0" w:rsidRPr="00116A43">
        <w:rPr>
          <w:sz w:val="20"/>
          <w:szCs w:val="20"/>
          <w:lang w:val="es-VE"/>
        </w:rPr>
        <w:t>fue sometida a actos de</w:t>
      </w:r>
      <w:r w:rsidRPr="00116A43">
        <w:rPr>
          <w:sz w:val="20"/>
          <w:szCs w:val="20"/>
          <w:lang w:val="es-VE"/>
        </w:rPr>
        <w:t xml:space="preserve"> </w:t>
      </w:r>
      <w:r w:rsidR="00430E03" w:rsidRPr="00116A43">
        <w:rPr>
          <w:sz w:val="20"/>
          <w:szCs w:val="20"/>
          <w:lang w:val="es-VE"/>
        </w:rPr>
        <w:t xml:space="preserve">censura, </w:t>
      </w:r>
      <w:r w:rsidRPr="00116A43">
        <w:rPr>
          <w:sz w:val="20"/>
          <w:szCs w:val="20"/>
          <w:lang w:val="es-VE"/>
        </w:rPr>
        <w:t>hostigamiento</w:t>
      </w:r>
      <w:r w:rsidR="004B44D0" w:rsidRPr="00116A43">
        <w:rPr>
          <w:sz w:val="20"/>
          <w:szCs w:val="20"/>
          <w:lang w:val="es-VE"/>
        </w:rPr>
        <w:t>,</w:t>
      </w:r>
      <w:r w:rsidRPr="00116A43">
        <w:rPr>
          <w:sz w:val="20"/>
          <w:szCs w:val="20"/>
          <w:lang w:val="es-VE"/>
        </w:rPr>
        <w:t xml:space="preserve"> ataques personales</w:t>
      </w:r>
      <w:r w:rsidR="006B2A19" w:rsidRPr="00116A43">
        <w:rPr>
          <w:sz w:val="20"/>
          <w:szCs w:val="20"/>
          <w:lang w:val="es-VE"/>
        </w:rPr>
        <w:t xml:space="preserve">, amenazas directas, </w:t>
      </w:r>
      <w:r w:rsidR="00430E03" w:rsidRPr="00116A43">
        <w:rPr>
          <w:sz w:val="20"/>
          <w:szCs w:val="20"/>
          <w:lang w:val="es-VE"/>
        </w:rPr>
        <w:t>campañas de acoso, intimidación y desprestigio a través de la televisión e internet. Por ejemplo:</w:t>
      </w:r>
      <w:r w:rsidRPr="00116A43">
        <w:rPr>
          <w:sz w:val="20"/>
          <w:szCs w:val="20"/>
          <w:lang w:val="es-VE"/>
        </w:rPr>
        <w:t xml:space="preserve"> (i) en marzo de 2008, el Estado de Cuba implementó un filtro informático para impedir </w:t>
      </w:r>
      <w:r w:rsidR="008D733E" w:rsidRPr="00116A43">
        <w:rPr>
          <w:sz w:val="20"/>
          <w:szCs w:val="20"/>
          <w:lang w:val="es-VE"/>
        </w:rPr>
        <w:t xml:space="preserve">el </w:t>
      </w:r>
      <w:r w:rsidRPr="00116A43">
        <w:rPr>
          <w:sz w:val="20"/>
          <w:szCs w:val="20"/>
          <w:lang w:val="es-VE"/>
        </w:rPr>
        <w:t xml:space="preserve">acceso al blog </w:t>
      </w:r>
      <w:r w:rsidR="008D733E" w:rsidRPr="00116A43">
        <w:rPr>
          <w:sz w:val="20"/>
          <w:szCs w:val="20"/>
          <w:lang w:val="es-VE"/>
        </w:rPr>
        <w:t>“</w:t>
      </w:r>
      <w:r w:rsidRPr="00116A43">
        <w:rPr>
          <w:sz w:val="20"/>
          <w:szCs w:val="20"/>
          <w:lang w:val="es-VE"/>
        </w:rPr>
        <w:t>Generación Y</w:t>
      </w:r>
      <w:r w:rsidR="008D733E" w:rsidRPr="00116A43">
        <w:rPr>
          <w:sz w:val="20"/>
          <w:szCs w:val="20"/>
          <w:lang w:val="es-VE"/>
        </w:rPr>
        <w:t>”</w:t>
      </w:r>
      <w:r w:rsidRPr="00116A43">
        <w:rPr>
          <w:sz w:val="20"/>
          <w:szCs w:val="20"/>
          <w:lang w:val="es-VE"/>
        </w:rPr>
        <w:t xml:space="preserve"> de</w:t>
      </w:r>
      <w:r w:rsidR="008D733E" w:rsidRPr="00116A43">
        <w:rPr>
          <w:sz w:val="20"/>
          <w:szCs w:val="20"/>
          <w:lang w:val="es-VE"/>
        </w:rPr>
        <w:t>ntro d</w:t>
      </w:r>
      <w:r w:rsidRPr="00116A43">
        <w:rPr>
          <w:sz w:val="20"/>
          <w:szCs w:val="20"/>
          <w:lang w:val="es-VE"/>
        </w:rPr>
        <w:t>el país</w:t>
      </w:r>
      <w:r w:rsidRPr="00116A43">
        <w:rPr>
          <w:rStyle w:val="FootnoteReference"/>
          <w:sz w:val="20"/>
          <w:szCs w:val="20"/>
          <w:lang w:val="es-VE"/>
        </w:rPr>
        <w:footnoteReference w:id="120"/>
      </w:r>
      <w:r w:rsidRPr="00116A43">
        <w:rPr>
          <w:sz w:val="20"/>
          <w:szCs w:val="20"/>
          <w:lang w:val="es-VE"/>
        </w:rPr>
        <w:t xml:space="preserve">; (ii) en 2009, representantes del régimen cubano se aproximaron </w:t>
      </w:r>
      <w:r w:rsidR="003A38E9" w:rsidRPr="00116A43">
        <w:rPr>
          <w:sz w:val="20"/>
          <w:szCs w:val="20"/>
          <w:lang w:val="es-VE"/>
        </w:rPr>
        <w:t>a</w:t>
      </w:r>
      <w:r w:rsidRPr="00116A43">
        <w:rPr>
          <w:sz w:val="20"/>
          <w:szCs w:val="20"/>
          <w:lang w:val="es-VE"/>
        </w:rPr>
        <w:t xml:space="preserve"> un amigo de la presunta víctima y le dijeron</w:t>
      </w:r>
      <w:r w:rsidR="006E541F" w:rsidRPr="00116A43">
        <w:rPr>
          <w:sz w:val="20"/>
          <w:szCs w:val="20"/>
          <w:lang w:val="es-VE"/>
        </w:rPr>
        <w:t xml:space="preserve"> que le advirtiera a Yoani</w:t>
      </w:r>
      <w:r w:rsidR="00FF0F93" w:rsidRPr="00116A43">
        <w:rPr>
          <w:sz w:val="20"/>
          <w:szCs w:val="20"/>
          <w:lang w:val="es-VE"/>
        </w:rPr>
        <w:t xml:space="preserve"> “que se call[ara]</w:t>
      </w:r>
      <w:r w:rsidRPr="00116A43">
        <w:rPr>
          <w:sz w:val="20"/>
          <w:szCs w:val="20"/>
          <w:lang w:val="es-VE"/>
        </w:rPr>
        <w:t>”</w:t>
      </w:r>
      <w:r w:rsidRPr="00116A43">
        <w:rPr>
          <w:rStyle w:val="FootnoteReference"/>
          <w:sz w:val="20"/>
          <w:szCs w:val="20"/>
          <w:lang w:val="es-VE"/>
        </w:rPr>
        <w:footnoteReference w:id="121"/>
      </w:r>
      <w:r w:rsidRPr="00116A43">
        <w:rPr>
          <w:sz w:val="20"/>
          <w:szCs w:val="20"/>
          <w:lang w:val="es-VE"/>
        </w:rPr>
        <w:t>; (iii) e</w:t>
      </w:r>
      <w:r w:rsidRPr="00116A43">
        <w:rPr>
          <w:sz w:val="20"/>
          <w:szCs w:val="20"/>
          <w:lang w:val="es-PE"/>
        </w:rPr>
        <w:t xml:space="preserve">n febrero de 2011, </w:t>
      </w:r>
      <w:r w:rsidR="00F21A19" w:rsidRPr="00116A43">
        <w:rPr>
          <w:sz w:val="20"/>
          <w:szCs w:val="20"/>
          <w:lang w:val="es-PE"/>
        </w:rPr>
        <w:t xml:space="preserve">Yoani difundió un video </w:t>
      </w:r>
      <w:r w:rsidR="00E80872" w:rsidRPr="00116A43">
        <w:rPr>
          <w:sz w:val="20"/>
          <w:szCs w:val="20"/>
          <w:lang w:val="es-PE"/>
        </w:rPr>
        <w:t>sobre la lucha cibernética en contra de la disidencia cubana</w:t>
      </w:r>
      <w:r w:rsidR="00A4799A" w:rsidRPr="00116A43">
        <w:rPr>
          <w:sz w:val="20"/>
          <w:szCs w:val="20"/>
          <w:lang w:val="es-PE"/>
        </w:rPr>
        <w:t xml:space="preserve"> en el </w:t>
      </w:r>
      <w:r w:rsidR="00A4799A" w:rsidRPr="00116A43">
        <w:rPr>
          <w:sz w:val="20"/>
          <w:szCs w:val="20"/>
          <w:lang w:val="es-PE"/>
        </w:rPr>
        <w:lastRenderedPageBreak/>
        <w:t xml:space="preserve">que un oficial de contra-inteligencia </w:t>
      </w:r>
      <w:r w:rsidR="002E0C6C" w:rsidRPr="00116A43">
        <w:rPr>
          <w:sz w:val="20"/>
          <w:szCs w:val="20"/>
          <w:lang w:val="es-PE"/>
        </w:rPr>
        <w:t xml:space="preserve">orientaba al auditorio de militares sobre cómo </w:t>
      </w:r>
      <w:r w:rsidR="005A46C8" w:rsidRPr="00116A43">
        <w:rPr>
          <w:sz w:val="20"/>
          <w:szCs w:val="20"/>
          <w:lang w:val="es-PE"/>
        </w:rPr>
        <w:t>neutrali</w:t>
      </w:r>
      <w:r w:rsidR="005702D4" w:rsidRPr="00116A43">
        <w:rPr>
          <w:sz w:val="20"/>
          <w:szCs w:val="20"/>
          <w:lang w:val="es-PE"/>
        </w:rPr>
        <w:t>zar</w:t>
      </w:r>
      <w:r w:rsidR="005A46C8" w:rsidRPr="00116A43">
        <w:rPr>
          <w:sz w:val="20"/>
          <w:szCs w:val="20"/>
          <w:lang w:val="es-PE"/>
        </w:rPr>
        <w:t xml:space="preserve"> el impacto de la </w:t>
      </w:r>
      <w:r w:rsidR="005702D4" w:rsidRPr="00116A43">
        <w:rPr>
          <w:sz w:val="20"/>
          <w:szCs w:val="20"/>
          <w:lang w:val="es-PE"/>
        </w:rPr>
        <w:t>blogósfera alternativa para el régimen</w:t>
      </w:r>
      <w:r w:rsidR="00D9609C" w:rsidRPr="00116A43">
        <w:rPr>
          <w:sz w:val="20"/>
          <w:szCs w:val="20"/>
          <w:lang w:val="es-PE"/>
        </w:rPr>
        <w:t xml:space="preserve"> cubano</w:t>
      </w:r>
      <w:r w:rsidR="004658D6" w:rsidRPr="00116A43">
        <w:rPr>
          <w:sz w:val="20"/>
          <w:szCs w:val="20"/>
          <w:lang w:val="es-PE"/>
        </w:rPr>
        <w:t xml:space="preserve">, con especial mención de la periodista, </w:t>
      </w:r>
      <w:r w:rsidR="00D9609C" w:rsidRPr="00116A43">
        <w:rPr>
          <w:sz w:val="20"/>
          <w:szCs w:val="20"/>
          <w:lang w:val="es-PE"/>
        </w:rPr>
        <w:t>e informó sobre</w:t>
      </w:r>
      <w:r w:rsidR="005702D4" w:rsidRPr="00116A43">
        <w:rPr>
          <w:sz w:val="20"/>
          <w:szCs w:val="20"/>
          <w:lang w:val="es-PE"/>
        </w:rPr>
        <w:t xml:space="preserve"> </w:t>
      </w:r>
      <w:r w:rsidR="00D9609C" w:rsidRPr="00116A43">
        <w:rPr>
          <w:sz w:val="20"/>
          <w:szCs w:val="20"/>
          <w:lang w:val="es-PE"/>
        </w:rPr>
        <w:t>la</w:t>
      </w:r>
      <w:r w:rsidRPr="00116A43">
        <w:rPr>
          <w:sz w:val="20"/>
          <w:szCs w:val="20"/>
          <w:lang w:val="es-PE"/>
        </w:rPr>
        <w:t xml:space="preserve"> creación de un departamento del Estado para combatir la actuación de blogueros independientes en Cuba</w:t>
      </w:r>
      <w:r w:rsidRPr="00116A43">
        <w:rPr>
          <w:rStyle w:val="FootnoteReference"/>
          <w:rFonts w:cs="Times New Roman"/>
          <w:sz w:val="20"/>
          <w:szCs w:val="20"/>
          <w:lang w:val="es-PE"/>
        </w:rPr>
        <w:footnoteReference w:id="122"/>
      </w:r>
      <w:r w:rsidRPr="00116A43">
        <w:rPr>
          <w:sz w:val="20"/>
          <w:szCs w:val="20"/>
          <w:lang w:val="es-PE"/>
        </w:rPr>
        <w:t>; (iv)</w:t>
      </w:r>
      <w:r w:rsidR="00B47222" w:rsidRPr="00116A43">
        <w:rPr>
          <w:sz w:val="20"/>
          <w:szCs w:val="20"/>
          <w:lang w:val="es-PE"/>
        </w:rPr>
        <w:t xml:space="preserve"> en la televisión oficial cubana </w:t>
      </w:r>
      <w:r w:rsidR="008D605F" w:rsidRPr="00116A43">
        <w:rPr>
          <w:sz w:val="20"/>
          <w:szCs w:val="20"/>
          <w:lang w:val="es-PE"/>
        </w:rPr>
        <w:t>la periodista fue calificada como “enemigo público”</w:t>
      </w:r>
      <w:r w:rsidR="00D869E9" w:rsidRPr="00116A43">
        <w:rPr>
          <w:sz w:val="20"/>
          <w:szCs w:val="20"/>
          <w:lang w:val="es-PE"/>
        </w:rPr>
        <w:t>,</w:t>
      </w:r>
      <w:r w:rsidR="00DE0941" w:rsidRPr="00116A43">
        <w:rPr>
          <w:sz w:val="20"/>
          <w:szCs w:val="20"/>
          <w:lang w:val="es-PE"/>
        </w:rPr>
        <w:t xml:space="preserve"> </w:t>
      </w:r>
      <w:r w:rsidR="00136DC3" w:rsidRPr="00116A43">
        <w:rPr>
          <w:sz w:val="20"/>
          <w:szCs w:val="20"/>
          <w:lang w:val="es-PE"/>
        </w:rPr>
        <w:t>“terrorista”, “falsa”, “mercenaria”, “entrenada por el Pentágono</w:t>
      </w:r>
      <w:r w:rsidR="00D869E9" w:rsidRPr="00116A43">
        <w:rPr>
          <w:sz w:val="20"/>
          <w:szCs w:val="20"/>
          <w:lang w:val="es-PE"/>
        </w:rPr>
        <w:t>” y se le acusó de “recibir apoyo de la CIA de los Estados Unidos</w:t>
      </w:r>
      <w:r w:rsidR="00136DC3" w:rsidRPr="00116A43">
        <w:rPr>
          <w:sz w:val="20"/>
          <w:szCs w:val="20"/>
          <w:lang w:val="es-PE"/>
        </w:rPr>
        <w:t>”</w:t>
      </w:r>
      <w:r w:rsidR="00060806" w:rsidRPr="00116A43">
        <w:rPr>
          <w:rStyle w:val="FootnoteReference"/>
          <w:sz w:val="20"/>
          <w:szCs w:val="20"/>
          <w:lang w:val="es-PE"/>
        </w:rPr>
        <w:footnoteReference w:id="123"/>
      </w:r>
      <w:r w:rsidR="00060806" w:rsidRPr="00116A43">
        <w:rPr>
          <w:sz w:val="20"/>
          <w:szCs w:val="20"/>
          <w:lang w:val="es-PE"/>
        </w:rPr>
        <w:t>;</w:t>
      </w:r>
      <w:r w:rsidRPr="00116A43">
        <w:rPr>
          <w:sz w:val="20"/>
          <w:szCs w:val="20"/>
          <w:lang w:val="es-PE"/>
        </w:rPr>
        <w:t xml:space="preserve"> (</w:t>
      </w:r>
      <w:r w:rsidR="00B47222" w:rsidRPr="00116A43">
        <w:rPr>
          <w:sz w:val="20"/>
          <w:szCs w:val="20"/>
          <w:lang w:val="es-PE"/>
        </w:rPr>
        <w:t>v</w:t>
      </w:r>
      <w:r w:rsidRPr="00116A43">
        <w:rPr>
          <w:sz w:val="20"/>
          <w:szCs w:val="20"/>
          <w:lang w:val="es-PE"/>
        </w:rPr>
        <w:t xml:space="preserve">) </w:t>
      </w:r>
      <w:r w:rsidR="00B47222" w:rsidRPr="00116A43">
        <w:rPr>
          <w:sz w:val="20"/>
          <w:szCs w:val="20"/>
          <w:lang w:val="es-PE"/>
        </w:rPr>
        <w:t xml:space="preserve">el 23 de marzo de 2011, se publicó el reportaje “Ciberguerra” </w:t>
      </w:r>
      <w:r w:rsidR="00350F55" w:rsidRPr="00116A43">
        <w:rPr>
          <w:sz w:val="20"/>
          <w:szCs w:val="20"/>
          <w:lang w:val="es-PE"/>
        </w:rPr>
        <w:t>como parte de la serie</w:t>
      </w:r>
      <w:r w:rsidR="00B47222" w:rsidRPr="00116A43">
        <w:rPr>
          <w:sz w:val="20"/>
          <w:szCs w:val="20"/>
          <w:lang w:val="es-PE"/>
        </w:rPr>
        <w:t xml:space="preserve"> Razones de Cuba, un programa de la “TV Cubana”</w:t>
      </w:r>
      <w:r w:rsidR="00B47222" w:rsidRPr="00116A43">
        <w:rPr>
          <w:rStyle w:val="FootnoteReference"/>
          <w:rFonts w:cs="Times New Roman"/>
          <w:sz w:val="20"/>
          <w:szCs w:val="20"/>
          <w:lang w:val="es-PE"/>
        </w:rPr>
        <w:footnoteReference w:id="124"/>
      </w:r>
      <w:r w:rsidR="00B47222" w:rsidRPr="00116A43">
        <w:rPr>
          <w:sz w:val="20"/>
          <w:szCs w:val="20"/>
          <w:lang w:val="es-PE"/>
        </w:rPr>
        <w:t>. En los videos, se presentan críticas a “</w:t>
      </w:r>
      <w:r w:rsidR="00A36717" w:rsidRPr="00116A43">
        <w:rPr>
          <w:sz w:val="20"/>
          <w:szCs w:val="20"/>
          <w:lang w:val="es-PE"/>
        </w:rPr>
        <w:t>ciber disidentes</w:t>
      </w:r>
      <w:r w:rsidR="00B47222" w:rsidRPr="00116A43">
        <w:rPr>
          <w:sz w:val="20"/>
          <w:szCs w:val="20"/>
          <w:lang w:val="es-PE"/>
        </w:rPr>
        <w:t xml:space="preserve">”, incluyendo </w:t>
      </w:r>
      <w:r w:rsidR="00A36717" w:rsidRPr="00116A43">
        <w:rPr>
          <w:sz w:val="20"/>
          <w:szCs w:val="20"/>
          <w:lang w:val="es-PE"/>
        </w:rPr>
        <w:t xml:space="preserve">a </w:t>
      </w:r>
      <w:r w:rsidR="00B47222" w:rsidRPr="00116A43">
        <w:rPr>
          <w:sz w:val="20"/>
          <w:szCs w:val="20"/>
          <w:lang w:val="es-PE"/>
        </w:rPr>
        <w:t xml:space="preserve">Yoani Sánchez y su blog “Generación Y”, </w:t>
      </w:r>
      <w:r w:rsidR="00D869E9" w:rsidRPr="00116A43">
        <w:rPr>
          <w:sz w:val="20"/>
          <w:szCs w:val="20"/>
          <w:lang w:val="es-PE"/>
        </w:rPr>
        <w:t>catalogando su actuar como</w:t>
      </w:r>
      <w:r w:rsidR="00B47222" w:rsidRPr="00116A43">
        <w:rPr>
          <w:sz w:val="20"/>
          <w:szCs w:val="20"/>
          <w:lang w:val="es-PE"/>
        </w:rPr>
        <w:t xml:space="preserve"> táctica</w:t>
      </w:r>
      <w:r w:rsidR="00D869E9" w:rsidRPr="00116A43">
        <w:rPr>
          <w:sz w:val="20"/>
          <w:szCs w:val="20"/>
          <w:lang w:val="es-PE"/>
        </w:rPr>
        <w:t>s</w:t>
      </w:r>
      <w:r w:rsidR="00B47222" w:rsidRPr="00116A43">
        <w:rPr>
          <w:sz w:val="20"/>
          <w:szCs w:val="20"/>
          <w:lang w:val="es-PE"/>
        </w:rPr>
        <w:t xml:space="preserve"> de desestabilización del gobierno cubano y alineamiento con los Estados Unidos y Europ</w:t>
      </w:r>
      <w:r w:rsidR="00A36717" w:rsidRPr="00116A43">
        <w:rPr>
          <w:sz w:val="20"/>
          <w:szCs w:val="20"/>
          <w:lang w:val="es-PE"/>
        </w:rPr>
        <w:t>a</w:t>
      </w:r>
      <w:r w:rsidR="009E14EB" w:rsidRPr="00116A43">
        <w:rPr>
          <w:sz w:val="20"/>
          <w:szCs w:val="20"/>
          <w:lang w:val="es-PE"/>
        </w:rPr>
        <w:t xml:space="preserve">, y </w:t>
      </w:r>
      <w:r w:rsidR="00B47222" w:rsidRPr="00116A43">
        <w:rPr>
          <w:sz w:val="20"/>
          <w:szCs w:val="20"/>
          <w:lang w:val="es-PE"/>
        </w:rPr>
        <w:t xml:space="preserve">(vi) </w:t>
      </w:r>
      <w:r w:rsidRPr="00116A43">
        <w:rPr>
          <w:sz w:val="20"/>
          <w:szCs w:val="20"/>
          <w:lang w:val="es-PE"/>
        </w:rPr>
        <w:t xml:space="preserve">el 8 de noviembre de 2011, Mariela Castro, hija del presidente en ejercicio a la época, Raúl Castro, utilizó la red social Twitter para </w:t>
      </w:r>
      <w:r w:rsidR="00D869E9" w:rsidRPr="00116A43">
        <w:rPr>
          <w:sz w:val="20"/>
          <w:szCs w:val="20"/>
          <w:lang w:val="es-PE"/>
        </w:rPr>
        <w:t>calificar a</w:t>
      </w:r>
      <w:r w:rsidRPr="00116A43">
        <w:rPr>
          <w:sz w:val="20"/>
          <w:szCs w:val="20"/>
          <w:lang w:val="es-PE"/>
        </w:rPr>
        <w:t xml:space="preserve"> la presunta víctima y</w:t>
      </w:r>
      <w:r w:rsidR="00D869E9" w:rsidRPr="00116A43">
        <w:rPr>
          <w:sz w:val="20"/>
          <w:szCs w:val="20"/>
          <w:lang w:val="es-PE"/>
        </w:rPr>
        <w:t xml:space="preserve"> a</w:t>
      </w:r>
      <w:r w:rsidRPr="00116A43">
        <w:rPr>
          <w:sz w:val="20"/>
          <w:szCs w:val="20"/>
          <w:lang w:val="es-PE"/>
        </w:rPr>
        <w:t xml:space="preserve"> los disidentes de “parásitos despreciables”</w:t>
      </w:r>
      <w:r w:rsidRPr="00116A43">
        <w:rPr>
          <w:rStyle w:val="FootnoteReference"/>
          <w:rFonts w:cs="Times New Roman"/>
          <w:sz w:val="20"/>
          <w:szCs w:val="20"/>
          <w:lang w:val="es-PE"/>
        </w:rPr>
        <w:footnoteReference w:id="125"/>
      </w:r>
      <w:r w:rsidRPr="00116A43">
        <w:rPr>
          <w:sz w:val="20"/>
          <w:szCs w:val="20"/>
          <w:lang w:val="es-PE"/>
        </w:rPr>
        <w:t xml:space="preserve">. </w:t>
      </w:r>
    </w:p>
    <w:p w14:paraId="570392D6" w14:textId="77777777" w:rsidR="00B07F80" w:rsidRPr="00116A43" w:rsidRDefault="00B07F80" w:rsidP="00375047">
      <w:pPr>
        <w:pStyle w:val="ListParagraph"/>
        <w:autoSpaceDE w:val="0"/>
        <w:autoSpaceDN w:val="0"/>
        <w:adjustRightInd w:val="0"/>
        <w:ind w:left="0"/>
        <w:jc w:val="both"/>
        <w:rPr>
          <w:sz w:val="20"/>
          <w:szCs w:val="20"/>
          <w:lang w:val="es-PE"/>
        </w:rPr>
      </w:pPr>
    </w:p>
    <w:p w14:paraId="3F24FAE7" w14:textId="207A2934" w:rsidR="00B07F80" w:rsidRPr="00116A43" w:rsidRDefault="00B07F80" w:rsidP="00375047">
      <w:pPr>
        <w:pStyle w:val="ListParagraph"/>
        <w:numPr>
          <w:ilvl w:val="0"/>
          <w:numId w:val="55"/>
        </w:numPr>
        <w:autoSpaceDE w:val="0"/>
        <w:autoSpaceDN w:val="0"/>
        <w:adjustRightInd w:val="0"/>
        <w:ind w:firstLine="0"/>
        <w:jc w:val="both"/>
        <w:rPr>
          <w:rFonts w:cs="Arial"/>
          <w:bCs/>
          <w:sz w:val="20"/>
          <w:szCs w:val="20"/>
          <w:lang w:val="es-PE"/>
        </w:rPr>
      </w:pPr>
      <w:r w:rsidRPr="00116A43">
        <w:rPr>
          <w:rFonts w:cs="Times New Roman"/>
          <w:sz w:val="20"/>
          <w:szCs w:val="20"/>
          <w:lang w:val="es-PE"/>
        </w:rPr>
        <w:t>El 5 de marzo de 2012 también se publicó el video “</w:t>
      </w:r>
      <w:r w:rsidRPr="00116A43">
        <w:rPr>
          <w:rFonts w:cs="Arial"/>
          <w:sz w:val="20"/>
          <w:szCs w:val="20"/>
          <w:lang w:val="es-PE"/>
        </w:rPr>
        <w:t>el fraude de Yoani Sánchez en Twitter no llega a los medios</w:t>
      </w:r>
      <w:r w:rsidRPr="00116A43">
        <w:rPr>
          <w:rFonts w:cs="Arial"/>
          <w:bCs/>
          <w:sz w:val="20"/>
          <w:szCs w:val="20"/>
          <w:lang w:val="es-PE"/>
        </w:rPr>
        <w:t>” por Cuba Información TV en su canal de Youtube</w:t>
      </w:r>
      <w:r w:rsidRPr="00116A43">
        <w:rPr>
          <w:rStyle w:val="FootnoteReference"/>
          <w:rFonts w:cs="Arial"/>
          <w:bCs/>
          <w:sz w:val="20"/>
          <w:szCs w:val="20"/>
          <w:lang w:val="es-PE"/>
        </w:rPr>
        <w:footnoteReference w:id="126"/>
      </w:r>
      <w:r w:rsidRPr="00116A43">
        <w:rPr>
          <w:rFonts w:cs="Arial"/>
          <w:bCs/>
          <w:sz w:val="20"/>
          <w:szCs w:val="20"/>
          <w:lang w:val="es-PE"/>
        </w:rPr>
        <w:t>. En el v</w:t>
      </w:r>
      <w:r w:rsidR="00D869E9" w:rsidRPr="00116A43">
        <w:rPr>
          <w:rFonts w:cs="Arial"/>
          <w:bCs/>
          <w:sz w:val="20"/>
          <w:szCs w:val="20"/>
          <w:lang w:val="es-PE"/>
        </w:rPr>
        <w:t>i</w:t>
      </w:r>
      <w:r w:rsidRPr="00116A43">
        <w:rPr>
          <w:rFonts w:cs="Arial"/>
          <w:bCs/>
          <w:sz w:val="20"/>
          <w:szCs w:val="20"/>
          <w:lang w:val="es-PE"/>
        </w:rPr>
        <w:t xml:space="preserve">deo, se habla que más de 50 mil de los seguidores de Yoani Sánchez eran cuentas fantasmas y que la presunta víctima era un personaje político mediático creado por la burguesía internacional para desprestigiar </w:t>
      </w:r>
      <w:r w:rsidR="00C502DA" w:rsidRPr="00116A43">
        <w:rPr>
          <w:rFonts w:cs="Arial"/>
          <w:bCs/>
          <w:sz w:val="20"/>
          <w:szCs w:val="20"/>
          <w:lang w:val="es-PE"/>
        </w:rPr>
        <w:t xml:space="preserve">a </w:t>
      </w:r>
      <w:r w:rsidRPr="00116A43">
        <w:rPr>
          <w:rFonts w:cs="Arial"/>
          <w:bCs/>
          <w:sz w:val="20"/>
          <w:szCs w:val="20"/>
          <w:lang w:val="es-PE"/>
        </w:rPr>
        <w:t>Cuba, con estrecha relación con los Estados Unidos</w:t>
      </w:r>
      <w:r w:rsidRPr="00116A43">
        <w:rPr>
          <w:rStyle w:val="FootnoteReference"/>
          <w:rFonts w:cs="Arial"/>
          <w:bCs/>
          <w:sz w:val="20"/>
          <w:szCs w:val="20"/>
          <w:lang w:val="es-PE"/>
        </w:rPr>
        <w:footnoteReference w:id="127"/>
      </w:r>
      <w:r w:rsidRPr="00116A43">
        <w:rPr>
          <w:rFonts w:cs="Arial"/>
          <w:bCs/>
          <w:sz w:val="20"/>
          <w:szCs w:val="20"/>
          <w:lang w:val="es-PE"/>
        </w:rPr>
        <w:t xml:space="preserve">. Además, se </w:t>
      </w:r>
      <w:r w:rsidR="00C502DA" w:rsidRPr="00116A43">
        <w:rPr>
          <w:rFonts w:cs="Arial"/>
          <w:bCs/>
          <w:sz w:val="20"/>
          <w:szCs w:val="20"/>
          <w:lang w:val="es-PE"/>
        </w:rPr>
        <w:t>indic</w:t>
      </w:r>
      <w:r w:rsidR="0080120D" w:rsidRPr="00116A43">
        <w:rPr>
          <w:rFonts w:cs="Arial"/>
          <w:bCs/>
          <w:sz w:val="20"/>
          <w:szCs w:val="20"/>
          <w:lang w:val="es-PE"/>
        </w:rPr>
        <w:t>ó</w:t>
      </w:r>
      <w:r w:rsidRPr="00116A43">
        <w:rPr>
          <w:rFonts w:cs="Arial"/>
          <w:bCs/>
          <w:sz w:val="20"/>
          <w:szCs w:val="20"/>
          <w:lang w:val="es-PE"/>
        </w:rPr>
        <w:t xml:space="preserve"> que Yoan</w:t>
      </w:r>
      <w:r w:rsidR="00C502DA" w:rsidRPr="00116A43">
        <w:rPr>
          <w:rFonts w:cs="Arial"/>
          <w:bCs/>
          <w:sz w:val="20"/>
          <w:szCs w:val="20"/>
          <w:lang w:val="es-PE"/>
        </w:rPr>
        <w:t>i</w:t>
      </w:r>
      <w:r w:rsidRPr="00116A43">
        <w:rPr>
          <w:rFonts w:cs="Arial"/>
          <w:bCs/>
          <w:sz w:val="20"/>
          <w:szCs w:val="20"/>
          <w:lang w:val="es-PE"/>
        </w:rPr>
        <w:t xml:space="preserve"> Sánchez era financiada por la oposición internacional por medio de premios en dinero y que los contenidos creados por la presunta víctima eran basura</w:t>
      </w:r>
      <w:r w:rsidRPr="00116A43">
        <w:rPr>
          <w:rStyle w:val="FootnoteReference"/>
          <w:rFonts w:cs="Arial"/>
          <w:bCs/>
          <w:sz w:val="20"/>
          <w:szCs w:val="20"/>
          <w:lang w:val="es-PE"/>
        </w:rPr>
        <w:footnoteReference w:id="128"/>
      </w:r>
      <w:r w:rsidRPr="00116A43">
        <w:rPr>
          <w:rFonts w:cs="Arial"/>
          <w:bCs/>
          <w:sz w:val="20"/>
          <w:szCs w:val="20"/>
          <w:lang w:val="es-PE"/>
        </w:rPr>
        <w:t xml:space="preserve">. </w:t>
      </w:r>
    </w:p>
    <w:p w14:paraId="08BA3D9F" w14:textId="77777777" w:rsidR="00B07F80" w:rsidRPr="00116A43" w:rsidRDefault="00B07F80" w:rsidP="00375047">
      <w:pPr>
        <w:autoSpaceDE w:val="0"/>
        <w:autoSpaceDN w:val="0"/>
        <w:adjustRightInd w:val="0"/>
        <w:jc w:val="both"/>
        <w:rPr>
          <w:rFonts w:cs="Arial"/>
          <w:bCs/>
          <w:sz w:val="20"/>
          <w:szCs w:val="20"/>
          <w:lang w:val="es-PE"/>
        </w:rPr>
      </w:pPr>
    </w:p>
    <w:p w14:paraId="6BDABE19" w14:textId="0A9050DB" w:rsidR="00B07F80" w:rsidRPr="00116A43" w:rsidRDefault="00310A4E"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VE"/>
        </w:rPr>
        <w:t>D</w:t>
      </w:r>
      <w:r w:rsidR="00B07F80" w:rsidRPr="00116A43">
        <w:rPr>
          <w:sz w:val="20"/>
          <w:szCs w:val="20"/>
          <w:lang w:val="es-VE"/>
        </w:rPr>
        <w:t>el 21 a 23 de junio de 2012, en</w:t>
      </w:r>
      <w:r w:rsidRPr="00116A43">
        <w:rPr>
          <w:sz w:val="20"/>
          <w:szCs w:val="20"/>
          <w:lang w:val="es-VE"/>
        </w:rPr>
        <w:t xml:space="preserve"> el</w:t>
      </w:r>
      <w:r w:rsidR="00B07F80" w:rsidRPr="00116A43">
        <w:rPr>
          <w:sz w:val="20"/>
          <w:szCs w:val="20"/>
          <w:lang w:val="es-VE"/>
        </w:rPr>
        <w:t xml:space="preserve"> sitio oficial del gobierno se publicó un artículo que acusaba la presunta víctima de </w:t>
      </w:r>
      <w:r w:rsidR="00B07F80" w:rsidRPr="00116A43">
        <w:rPr>
          <w:sz w:val="20"/>
          <w:szCs w:val="20"/>
          <w:lang w:val="es-PE"/>
        </w:rPr>
        <w:t>"probados y sistemáticos vínculos con el gobierno de los Estados Unidos y sus agentes”</w:t>
      </w:r>
      <w:r w:rsidR="00B07F80" w:rsidRPr="00116A43">
        <w:rPr>
          <w:rStyle w:val="FootnoteReference"/>
          <w:rFonts w:cs="Times New Roman"/>
          <w:sz w:val="20"/>
          <w:szCs w:val="20"/>
          <w:lang w:val="es-PE"/>
        </w:rPr>
        <w:footnoteReference w:id="129"/>
      </w:r>
      <w:r w:rsidR="00B07F80" w:rsidRPr="00116A43">
        <w:rPr>
          <w:sz w:val="20"/>
          <w:szCs w:val="20"/>
          <w:lang w:val="es-PE"/>
        </w:rPr>
        <w:t xml:space="preserve">. Asimismo, </w:t>
      </w:r>
      <w:r w:rsidR="000B0307" w:rsidRPr="00116A43">
        <w:rPr>
          <w:sz w:val="20"/>
          <w:szCs w:val="20"/>
          <w:lang w:val="es-PE"/>
        </w:rPr>
        <w:t>l</w:t>
      </w:r>
      <w:r w:rsidR="00B07F80" w:rsidRPr="00116A43">
        <w:rPr>
          <w:sz w:val="20"/>
          <w:szCs w:val="20"/>
          <w:lang w:val="es-PE"/>
        </w:rPr>
        <w:t>a parte peticionaria indicó que el 24 y el 25 de julio de 2012 el canal Cubavisión transmiti</w:t>
      </w:r>
      <w:r w:rsidR="00C26C7E" w:rsidRPr="00116A43">
        <w:rPr>
          <w:sz w:val="20"/>
          <w:szCs w:val="20"/>
          <w:lang w:val="es-PE"/>
        </w:rPr>
        <w:t>ó</w:t>
      </w:r>
      <w:r w:rsidR="00B07F80" w:rsidRPr="00116A43">
        <w:rPr>
          <w:sz w:val="20"/>
          <w:szCs w:val="20"/>
          <w:lang w:val="es-PE"/>
        </w:rPr>
        <w:t>, en horarios de máxima audiencia, programa</w:t>
      </w:r>
      <w:r w:rsidR="00F37462" w:rsidRPr="00116A43">
        <w:rPr>
          <w:sz w:val="20"/>
          <w:szCs w:val="20"/>
          <w:lang w:val="es-PE"/>
        </w:rPr>
        <w:t>s</w:t>
      </w:r>
      <w:r w:rsidR="00B07F80" w:rsidRPr="00116A43">
        <w:rPr>
          <w:sz w:val="20"/>
          <w:szCs w:val="20"/>
          <w:lang w:val="es-PE"/>
        </w:rPr>
        <w:t xml:space="preserve"> contra Yoani Sánchez</w:t>
      </w:r>
      <w:r w:rsidR="00B07F80" w:rsidRPr="00116A43">
        <w:rPr>
          <w:rStyle w:val="FootnoteReference"/>
          <w:rFonts w:cs="Times New Roman"/>
          <w:sz w:val="20"/>
          <w:szCs w:val="20"/>
          <w:lang w:val="es-PE"/>
        </w:rPr>
        <w:t>”</w:t>
      </w:r>
      <w:r w:rsidR="00B07F80" w:rsidRPr="00116A43">
        <w:rPr>
          <w:rStyle w:val="FootnoteReference"/>
          <w:rFonts w:cs="Times New Roman"/>
          <w:sz w:val="20"/>
          <w:szCs w:val="20"/>
          <w:lang w:val="es-PE"/>
        </w:rPr>
        <w:footnoteReference w:id="130"/>
      </w:r>
      <w:r w:rsidR="00B07F80" w:rsidRPr="00116A43">
        <w:rPr>
          <w:sz w:val="20"/>
          <w:szCs w:val="20"/>
          <w:lang w:val="es-PE"/>
        </w:rPr>
        <w:t xml:space="preserve">. </w:t>
      </w:r>
    </w:p>
    <w:p w14:paraId="41BBADE8" w14:textId="77777777" w:rsidR="00B07F80" w:rsidRPr="00116A43" w:rsidRDefault="00B07F80" w:rsidP="00375047">
      <w:pPr>
        <w:autoSpaceDE w:val="0"/>
        <w:autoSpaceDN w:val="0"/>
        <w:adjustRightInd w:val="0"/>
        <w:jc w:val="both"/>
        <w:rPr>
          <w:sz w:val="20"/>
          <w:szCs w:val="20"/>
          <w:lang w:val="es-PE"/>
        </w:rPr>
      </w:pPr>
    </w:p>
    <w:p w14:paraId="580B7B9D" w14:textId="2CF1F3B8" w:rsidR="00B07F80" w:rsidRPr="00116A43" w:rsidRDefault="00B07F80" w:rsidP="00375047">
      <w:pPr>
        <w:pStyle w:val="ListParagraph"/>
        <w:numPr>
          <w:ilvl w:val="0"/>
          <w:numId w:val="55"/>
        </w:numPr>
        <w:autoSpaceDE w:val="0"/>
        <w:autoSpaceDN w:val="0"/>
        <w:adjustRightInd w:val="0"/>
        <w:ind w:firstLine="0"/>
        <w:jc w:val="both"/>
        <w:rPr>
          <w:sz w:val="20"/>
          <w:szCs w:val="20"/>
          <w:lang w:val="es-PE"/>
        </w:rPr>
      </w:pPr>
      <w:r w:rsidRPr="00116A43">
        <w:rPr>
          <w:sz w:val="20"/>
          <w:szCs w:val="20"/>
          <w:lang w:val="es-PE"/>
        </w:rPr>
        <w:t xml:space="preserve">A la fecha de la presentación de la petición, la presunta víctima no podía acudir a diversos lugares públicos, en </w:t>
      </w:r>
      <w:r w:rsidR="00CC2B96" w:rsidRPr="00116A43">
        <w:rPr>
          <w:sz w:val="20"/>
          <w:szCs w:val="20"/>
          <w:lang w:val="es-PE"/>
        </w:rPr>
        <w:t xml:space="preserve">los </w:t>
      </w:r>
      <w:r w:rsidRPr="00116A43">
        <w:rPr>
          <w:sz w:val="20"/>
          <w:szCs w:val="20"/>
          <w:lang w:val="es-PE"/>
        </w:rPr>
        <w:t>que se habla</w:t>
      </w:r>
      <w:r w:rsidR="00CC2B96" w:rsidRPr="00116A43">
        <w:rPr>
          <w:sz w:val="20"/>
          <w:szCs w:val="20"/>
          <w:lang w:val="es-PE"/>
        </w:rPr>
        <w:t>ba</w:t>
      </w:r>
      <w:r w:rsidRPr="00116A43">
        <w:rPr>
          <w:sz w:val="20"/>
          <w:szCs w:val="20"/>
          <w:lang w:val="es-PE"/>
        </w:rPr>
        <w:t xml:space="preserve"> en público o </w:t>
      </w:r>
      <w:r w:rsidR="00CC2B96" w:rsidRPr="00116A43">
        <w:rPr>
          <w:sz w:val="20"/>
          <w:szCs w:val="20"/>
          <w:lang w:val="es-PE"/>
        </w:rPr>
        <w:t xml:space="preserve">se celebraban </w:t>
      </w:r>
      <w:r w:rsidRPr="00116A43">
        <w:rPr>
          <w:sz w:val="20"/>
          <w:szCs w:val="20"/>
          <w:lang w:val="es-PE"/>
        </w:rPr>
        <w:t xml:space="preserve">eventos culturales, pues agentes del Estado, con aquiescencia de la policía, le </w:t>
      </w:r>
      <w:r w:rsidR="00D2631F" w:rsidRPr="00116A43">
        <w:rPr>
          <w:sz w:val="20"/>
          <w:szCs w:val="20"/>
          <w:lang w:val="es-PE"/>
        </w:rPr>
        <w:t>prohibían</w:t>
      </w:r>
      <w:r w:rsidRPr="00116A43">
        <w:rPr>
          <w:sz w:val="20"/>
          <w:szCs w:val="20"/>
          <w:lang w:val="es-PE"/>
        </w:rPr>
        <w:t xml:space="preserve"> </w:t>
      </w:r>
      <w:r w:rsidR="00CC2B96" w:rsidRPr="00116A43">
        <w:rPr>
          <w:sz w:val="20"/>
          <w:szCs w:val="20"/>
          <w:lang w:val="es-PE"/>
        </w:rPr>
        <w:t xml:space="preserve">el </w:t>
      </w:r>
      <w:r w:rsidRPr="00116A43">
        <w:rPr>
          <w:sz w:val="20"/>
          <w:szCs w:val="20"/>
          <w:lang w:val="es-PE"/>
        </w:rPr>
        <w:t>acceso</w:t>
      </w:r>
      <w:r w:rsidRPr="00116A43">
        <w:rPr>
          <w:rStyle w:val="FootnoteReference"/>
          <w:rFonts w:cs="Times New Roman"/>
          <w:sz w:val="20"/>
          <w:szCs w:val="20"/>
          <w:lang w:val="es-PE"/>
        </w:rPr>
        <w:footnoteReference w:id="131"/>
      </w:r>
      <w:r w:rsidRPr="00116A43">
        <w:rPr>
          <w:sz w:val="20"/>
          <w:szCs w:val="20"/>
          <w:lang w:val="es-PE"/>
        </w:rPr>
        <w:t xml:space="preserve">. </w:t>
      </w:r>
    </w:p>
    <w:p w14:paraId="03C82848" w14:textId="77777777" w:rsidR="005D249D" w:rsidRPr="00116A43" w:rsidRDefault="005D249D" w:rsidP="005F7FE2">
      <w:pPr>
        <w:autoSpaceDE w:val="0"/>
        <w:autoSpaceDN w:val="0"/>
        <w:adjustRightInd w:val="0"/>
        <w:jc w:val="both"/>
        <w:rPr>
          <w:sz w:val="20"/>
          <w:szCs w:val="20"/>
          <w:lang w:val="es-PE"/>
        </w:rPr>
      </w:pPr>
    </w:p>
    <w:p w14:paraId="44AB5D3B" w14:textId="4386552F" w:rsidR="00061170" w:rsidRPr="00116A43" w:rsidRDefault="00061170" w:rsidP="00375047">
      <w:pPr>
        <w:pStyle w:val="Heading1"/>
      </w:pPr>
      <w:bookmarkStart w:id="25" w:name="_Toc89157569"/>
      <w:r w:rsidRPr="00116A43">
        <w:t>ANÁLISIS DE DERECHO</w:t>
      </w:r>
      <w:bookmarkEnd w:id="25"/>
    </w:p>
    <w:p w14:paraId="70F119C6" w14:textId="18D50DB0" w:rsidR="005D249D" w:rsidRPr="00116A43" w:rsidRDefault="005D249D" w:rsidP="002513E3">
      <w:pPr>
        <w:jc w:val="both"/>
        <w:rPr>
          <w:rFonts w:ascii="Cambria" w:hAnsi="Cambria"/>
          <w:sz w:val="20"/>
          <w:szCs w:val="20"/>
          <w:lang w:val="es-VE"/>
        </w:rPr>
      </w:pPr>
    </w:p>
    <w:p w14:paraId="34302D97" w14:textId="01D04674" w:rsidR="00A53D1E" w:rsidRPr="00116A43" w:rsidRDefault="00852DE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16A43">
        <w:rPr>
          <w:rFonts w:ascii="Cambria" w:hAnsi="Cambria"/>
          <w:sz w:val="20"/>
          <w:szCs w:val="20"/>
          <w:bdr w:val="none" w:sz="0" w:space="0" w:color="auto"/>
          <w:lang w:val="es-MX"/>
        </w:rPr>
        <w:t xml:space="preserve">Tal como fuera establecido en los hechos probados, Yoani Sánchez Cordero es una periodista y bloguera muy conocida en Cuba y a nivel internacional, quien a través de su trabajo periodístico y su blog </w:t>
      </w:r>
      <w:r w:rsidR="003F4AE4" w:rsidRPr="00116A43">
        <w:rPr>
          <w:rFonts w:ascii="Cambria" w:hAnsi="Cambria"/>
          <w:sz w:val="20"/>
          <w:szCs w:val="20"/>
          <w:bdr w:val="none" w:sz="0" w:space="0" w:color="auto"/>
          <w:lang w:val="es-MX"/>
        </w:rPr>
        <w:t>“</w:t>
      </w:r>
      <w:r w:rsidRPr="00116A43">
        <w:rPr>
          <w:rFonts w:ascii="Cambria" w:hAnsi="Cambria"/>
          <w:sz w:val="20"/>
          <w:szCs w:val="20"/>
          <w:bdr w:val="none" w:sz="0" w:space="0" w:color="auto"/>
          <w:lang w:val="es-MX"/>
        </w:rPr>
        <w:t>Generación Y</w:t>
      </w:r>
      <w:r w:rsidR="003F4AE4" w:rsidRPr="00116A43">
        <w:rPr>
          <w:rFonts w:ascii="Cambria" w:hAnsi="Cambria"/>
          <w:sz w:val="20"/>
          <w:szCs w:val="20"/>
          <w:bdr w:val="none" w:sz="0" w:space="0" w:color="auto"/>
          <w:lang w:val="es-MX"/>
        </w:rPr>
        <w:t>”</w:t>
      </w:r>
      <w:r w:rsidRPr="00116A43">
        <w:rPr>
          <w:rFonts w:ascii="Cambria" w:hAnsi="Cambria"/>
          <w:sz w:val="20"/>
          <w:szCs w:val="20"/>
          <w:bdr w:val="none" w:sz="0" w:space="0" w:color="auto"/>
          <w:lang w:val="es-MX"/>
        </w:rPr>
        <w:t xml:space="preserve"> ha manifestado su postura crítica del gobierno cubano y ha denunciado abusos y falta de libertades debido a la organización política en el país. Yoani Sánchez es considerada una opositora política en Cuba, y ha sido objeto de detenciones, </w:t>
      </w:r>
      <w:r w:rsidR="007E4308" w:rsidRPr="00116A43">
        <w:rPr>
          <w:rFonts w:ascii="Cambria" w:hAnsi="Cambria"/>
          <w:sz w:val="20"/>
          <w:szCs w:val="20"/>
          <w:bdr w:val="none" w:sz="0" w:space="0" w:color="auto"/>
          <w:lang w:val="es-MX"/>
        </w:rPr>
        <w:t xml:space="preserve">agresiones, </w:t>
      </w:r>
      <w:r w:rsidRPr="00116A43">
        <w:rPr>
          <w:rFonts w:ascii="Cambria" w:hAnsi="Cambria"/>
          <w:sz w:val="20"/>
          <w:szCs w:val="20"/>
          <w:bdr w:val="none" w:sz="0" w:space="0" w:color="auto"/>
          <w:lang w:val="es-MX"/>
        </w:rPr>
        <w:t xml:space="preserve">impedimentos de salida del país, interceptaciones telefónicas, intimidación, amenazas, campañas de desprestigio, </w:t>
      </w:r>
      <w:r w:rsidR="00E2601C" w:rsidRPr="00116A43">
        <w:rPr>
          <w:rFonts w:ascii="Cambria" w:hAnsi="Cambria"/>
          <w:sz w:val="20"/>
          <w:szCs w:val="20"/>
          <w:bdr w:val="none" w:sz="0" w:space="0" w:color="auto"/>
          <w:lang w:val="es-MX"/>
        </w:rPr>
        <w:t xml:space="preserve">y su blog ha sido </w:t>
      </w:r>
      <w:r w:rsidR="003808DB" w:rsidRPr="00116A43">
        <w:rPr>
          <w:rFonts w:ascii="Cambria" w:hAnsi="Cambria"/>
          <w:sz w:val="20"/>
          <w:szCs w:val="20"/>
          <w:bdr w:val="none" w:sz="0" w:space="0" w:color="auto"/>
          <w:lang w:val="es-MX"/>
        </w:rPr>
        <w:t>bloque</w:t>
      </w:r>
      <w:r w:rsidR="00E2601C" w:rsidRPr="00116A43">
        <w:rPr>
          <w:rFonts w:ascii="Cambria" w:hAnsi="Cambria"/>
          <w:sz w:val="20"/>
          <w:szCs w:val="20"/>
          <w:bdr w:val="none" w:sz="0" w:space="0" w:color="auto"/>
          <w:lang w:val="es-MX"/>
        </w:rPr>
        <w:t>ado</w:t>
      </w:r>
      <w:r w:rsidR="00A86A9F" w:rsidRPr="00116A43">
        <w:rPr>
          <w:rFonts w:ascii="Cambria" w:hAnsi="Cambria"/>
          <w:sz w:val="20"/>
          <w:szCs w:val="20"/>
          <w:bdr w:val="none" w:sz="0" w:space="0" w:color="auto"/>
          <w:lang w:val="es-MX"/>
        </w:rPr>
        <w:t xml:space="preserve"> dentro de Cuba</w:t>
      </w:r>
      <w:r w:rsidRPr="00116A43">
        <w:rPr>
          <w:rFonts w:ascii="Cambria" w:hAnsi="Cambria"/>
          <w:sz w:val="20"/>
          <w:szCs w:val="20"/>
          <w:bdr w:val="none" w:sz="0" w:space="0" w:color="auto"/>
          <w:lang w:val="es-MX"/>
        </w:rPr>
        <w:t xml:space="preserve">. </w:t>
      </w:r>
      <w:r w:rsidR="007353BA" w:rsidRPr="00116A43">
        <w:rPr>
          <w:rFonts w:ascii="Cambria" w:hAnsi="Cambria"/>
          <w:sz w:val="20"/>
          <w:szCs w:val="20"/>
          <w:bdr w:val="none" w:sz="0" w:space="0" w:color="auto"/>
          <w:lang w:val="es-MX"/>
        </w:rPr>
        <w:t xml:space="preserve">Todo lo anterior se enmarca en un contexto </w:t>
      </w:r>
      <w:r w:rsidR="00A53D1E" w:rsidRPr="00116A43">
        <w:rPr>
          <w:rFonts w:ascii="Cambria" w:hAnsi="Cambria"/>
          <w:sz w:val="20"/>
          <w:szCs w:val="20"/>
          <w:bdr w:val="none" w:sz="0" w:space="0" w:color="auto"/>
          <w:lang w:val="es-MX"/>
        </w:rPr>
        <w:t xml:space="preserve">de persecución contra periodistas disidentes políticos o críticos del gobierno en Cuba debido a las labores que realizan. </w:t>
      </w:r>
      <w:r w:rsidR="00A53D1E" w:rsidRPr="00116A43">
        <w:rPr>
          <w:rFonts w:ascii="Cambria" w:hAnsi="Cambria"/>
          <w:sz w:val="20"/>
          <w:szCs w:val="20"/>
        </w:rPr>
        <w:t xml:space="preserve">En ese sentido, la CIDH nota que el presente caso no se enfoca en el análisis de sucesos aislados, sino en una alegada persecución </w:t>
      </w:r>
      <w:r w:rsidR="002B1180" w:rsidRPr="00116A43">
        <w:rPr>
          <w:rFonts w:ascii="Cambria" w:hAnsi="Cambria"/>
          <w:sz w:val="20"/>
          <w:szCs w:val="20"/>
        </w:rPr>
        <w:t>cometida a través de</w:t>
      </w:r>
      <w:r w:rsidR="00A53D1E" w:rsidRPr="00116A43">
        <w:rPr>
          <w:rFonts w:ascii="Cambria" w:hAnsi="Cambria"/>
          <w:sz w:val="20"/>
          <w:szCs w:val="20"/>
        </w:rPr>
        <w:t xml:space="preserve"> una secuencia de alegadas violaciones de derechos humanos entre el año 2007 a la fecha</w:t>
      </w:r>
      <w:r w:rsidR="002B1180" w:rsidRPr="00116A43">
        <w:rPr>
          <w:rFonts w:ascii="Cambria" w:hAnsi="Cambria"/>
          <w:sz w:val="20"/>
          <w:szCs w:val="20"/>
        </w:rPr>
        <w:t>.</w:t>
      </w:r>
    </w:p>
    <w:p w14:paraId="2BBC1804" w14:textId="77777777" w:rsidR="00A53D1E" w:rsidRPr="00116A43" w:rsidRDefault="00A53D1E" w:rsidP="00116A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79937520" w14:textId="69635AA6" w:rsidR="007353BA" w:rsidRPr="00116A43" w:rsidRDefault="00A53D1E" w:rsidP="00375047">
      <w:pPr>
        <w:pStyle w:val="ListParagraph"/>
        <w:numPr>
          <w:ilvl w:val="0"/>
          <w:numId w:val="55"/>
        </w:numPr>
        <w:autoSpaceDE w:val="0"/>
        <w:autoSpaceDN w:val="0"/>
        <w:adjustRightInd w:val="0"/>
        <w:ind w:firstLine="0"/>
        <w:jc w:val="both"/>
        <w:rPr>
          <w:sz w:val="20"/>
          <w:szCs w:val="20"/>
          <w:lang w:val="es-CO"/>
        </w:rPr>
      </w:pPr>
      <w:r w:rsidRPr="00116A43">
        <w:rPr>
          <w:sz w:val="20"/>
          <w:szCs w:val="20"/>
          <w:bdr w:val="none" w:sz="0" w:space="0" w:color="auto"/>
          <w:lang w:val="es-MX"/>
        </w:rPr>
        <w:t xml:space="preserve"> </w:t>
      </w:r>
      <w:r w:rsidR="00852DEF" w:rsidRPr="00116A43">
        <w:rPr>
          <w:sz w:val="20"/>
          <w:szCs w:val="20"/>
          <w:bdr w:val="none" w:sz="0" w:space="0" w:color="auto"/>
          <w:lang w:val="es-MX"/>
        </w:rPr>
        <w:t xml:space="preserve">Ante ello, corresponde a la CIDH establecer si </w:t>
      </w:r>
      <w:r w:rsidRPr="00116A43">
        <w:rPr>
          <w:sz w:val="20"/>
          <w:szCs w:val="20"/>
          <w:bdr w:val="none" w:sz="0" w:space="0" w:color="auto"/>
          <w:lang w:val="es-MX"/>
        </w:rPr>
        <w:t xml:space="preserve">los </w:t>
      </w:r>
      <w:r w:rsidR="00852DEF" w:rsidRPr="00116A43">
        <w:rPr>
          <w:sz w:val="20"/>
          <w:szCs w:val="20"/>
          <w:bdr w:val="none" w:sz="0" w:space="0" w:color="auto"/>
          <w:lang w:val="es-MX"/>
        </w:rPr>
        <w:t>hechos</w:t>
      </w:r>
      <w:r w:rsidRPr="00116A43">
        <w:rPr>
          <w:sz w:val="20"/>
          <w:szCs w:val="20"/>
          <w:bdr w:val="none" w:sz="0" w:space="0" w:color="auto"/>
          <w:lang w:val="es-MX"/>
        </w:rPr>
        <w:t xml:space="preserve"> de persecución alegados</w:t>
      </w:r>
      <w:r w:rsidR="00852DEF" w:rsidRPr="00116A43">
        <w:rPr>
          <w:sz w:val="20"/>
          <w:szCs w:val="20"/>
          <w:bdr w:val="none" w:sz="0" w:space="0" w:color="auto"/>
          <w:lang w:val="es-MX"/>
        </w:rPr>
        <w:t xml:space="preserve"> le son atribuibles al Estado y si constituyeron vulneraciones a distintos derechos de la Declaración Americana, en particular </w:t>
      </w:r>
      <w:r w:rsidR="007E4308" w:rsidRPr="00116A43">
        <w:rPr>
          <w:sz w:val="20"/>
          <w:szCs w:val="20"/>
          <w:bdr w:val="none" w:sz="0" w:space="0" w:color="auto"/>
          <w:lang w:val="es-MX"/>
        </w:rPr>
        <w:t>a</w:t>
      </w:r>
      <w:r w:rsidR="00852DEF" w:rsidRPr="00116A43">
        <w:rPr>
          <w:sz w:val="20"/>
          <w:szCs w:val="20"/>
          <w:bdr w:val="none" w:sz="0" w:space="0" w:color="auto"/>
          <w:lang w:val="es-MX"/>
        </w:rPr>
        <w:t xml:space="preserve">l derecho a la libertad de expresión. </w:t>
      </w:r>
    </w:p>
    <w:p w14:paraId="375463B2" w14:textId="77777777" w:rsidR="002B16AD" w:rsidRPr="00116A43" w:rsidRDefault="002B16AD" w:rsidP="00375047">
      <w:pPr>
        <w:pStyle w:val="ListParagraph"/>
        <w:autoSpaceDE w:val="0"/>
        <w:autoSpaceDN w:val="0"/>
        <w:adjustRightInd w:val="0"/>
        <w:ind w:left="0"/>
        <w:jc w:val="both"/>
        <w:rPr>
          <w:sz w:val="20"/>
          <w:szCs w:val="20"/>
          <w:lang w:val="es-CO"/>
        </w:rPr>
      </w:pPr>
    </w:p>
    <w:p w14:paraId="4CD089B7" w14:textId="567EB785" w:rsidR="00D800E5" w:rsidRPr="00116A43" w:rsidRDefault="00852DEF" w:rsidP="00375047">
      <w:pPr>
        <w:pStyle w:val="ListParagraph"/>
        <w:numPr>
          <w:ilvl w:val="0"/>
          <w:numId w:val="55"/>
        </w:numPr>
        <w:autoSpaceDE w:val="0"/>
        <w:autoSpaceDN w:val="0"/>
        <w:adjustRightInd w:val="0"/>
        <w:ind w:firstLine="0"/>
        <w:jc w:val="both"/>
        <w:rPr>
          <w:sz w:val="20"/>
          <w:szCs w:val="20"/>
          <w:lang w:val="es-CO"/>
        </w:rPr>
      </w:pPr>
      <w:r w:rsidRPr="00116A43">
        <w:rPr>
          <w:sz w:val="20"/>
          <w:szCs w:val="20"/>
          <w:bdr w:val="none" w:sz="0" w:space="0" w:color="auto"/>
          <w:lang w:val="es-MX"/>
        </w:rPr>
        <w:t xml:space="preserve">Para ello, </w:t>
      </w:r>
      <w:r w:rsidR="002B16AD" w:rsidRPr="00116A43">
        <w:rPr>
          <w:bCs/>
          <w:sz w:val="20"/>
          <w:szCs w:val="20"/>
          <w:bdr w:val="none" w:sz="0" w:space="0" w:color="auto"/>
          <w:lang w:val="es-CO"/>
        </w:rPr>
        <w:t>tomando en cuenta los alegatos presentados, así como los hechos del presente caso,</w:t>
      </w:r>
      <w:r w:rsidR="002B16AD" w:rsidRPr="00116A43">
        <w:rPr>
          <w:sz w:val="20"/>
          <w:szCs w:val="20"/>
          <w:bdr w:val="none" w:sz="0" w:space="0" w:color="auto"/>
          <w:lang w:val="es-MX"/>
        </w:rPr>
        <w:t xml:space="preserve"> </w:t>
      </w:r>
      <w:r w:rsidRPr="00116A43">
        <w:rPr>
          <w:sz w:val="20"/>
          <w:szCs w:val="20"/>
          <w:bdr w:val="none" w:sz="0" w:space="0" w:color="auto"/>
          <w:lang w:val="es-MX"/>
        </w:rPr>
        <w:t>la Comisión abordará</w:t>
      </w:r>
      <w:r w:rsidR="002B16AD" w:rsidRPr="00116A43">
        <w:rPr>
          <w:sz w:val="20"/>
          <w:szCs w:val="20"/>
          <w:bdr w:val="none" w:sz="0" w:space="0" w:color="auto"/>
          <w:lang w:val="es-MX"/>
        </w:rPr>
        <w:t xml:space="preserve"> </w:t>
      </w:r>
      <w:r w:rsidRPr="00116A43">
        <w:rPr>
          <w:sz w:val="20"/>
          <w:szCs w:val="20"/>
          <w:bdr w:val="none" w:sz="0" w:space="0" w:color="auto"/>
          <w:lang w:val="es-MX"/>
        </w:rPr>
        <w:t>el alcance y protección de</w:t>
      </w:r>
      <w:r w:rsidR="002B16AD" w:rsidRPr="00116A43">
        <w:rPr>
          <w:sz w:val="20"/>
          <w:szCs w:val="20"/>
          <w:bdr w:val="none" w:sz="0" w:space="0" w:color="auto"/>
          <w:lang w:val="es-MX"/>
        </w:rPr>
        <w:t xml:space="preserve"> cada uno de los derechos alegados como violados</w:t>
      </w:r>
      <w:r w:rsidRPr="00116A43">
        <w:rPr>
          <w:sz w:val="20"/>
          <w:szCs w:val="20"/>
          <w:bdr w:val="none" w:sz="0" w:space="0" w:color="auto"/>
          <w:lang w:val="es-MX"/>
        </w:rPr>
        <w:t xml:space="preserve"> y precisará su doctrina sobre los límites permisibles a estos derechos. </w:t>
      </w:r>
      <w:r w:rsidR="0002045D" w:rsidRPr="00116A43">
        <w:rPr>
          <w:sz w:val="20"/>
          <w:szCs w:val="20"/>
          <w:bdr w:val="none" w:sz="0" w:space="0" w:color="auto"/>
          <w:lang w:val="es-MX"/>
        </w:rPr>
        <w:t>Sobre la base de estas consideraciones, analizará el caso concreto.</w:t>
      </w:r>
    </w:p>
    <w:p w14:paraId="407AC66B" w14:textId="77777777" w:rsidR="00D800E5" w:rsidRPr="00116A43" w:rsidRDefault="00D800E5" w:rsidP="00DF3843">
      <w:pPr>
        <w:jc w:val="both"/>
        <w:rPr>
          <w:rFonts w:asciiTheme="majorHAnsi" w:hAnsiTheme="majorHAnsi"/>
          <w:sz w:val="20"/>
          <w:szCs w:val="20"/>
          <w:lang w:val="es-US"/>
        </w:rPr>
      </w:pPr>
    </w:p>
    <w:p w14:paraId="388FAEBA" w14:textId="7269B7D9" w:rsidR="00E97D9E" w:rsidRPr="00577F2D" w:rsidRDefault="00E97D9E" w:rsidP="00460990">
      <w:pPr>
        <w:pStyle w:val="Heading2"/>
        <w:numPr>
          <w:ilvl w:val="0"/>
          <w:numId w:val="64"/>
        </w:numPr>
        <w:ind w:hanging="720"/>
      </w:pPr>
      <w:bookmarkStart w:id="26" w:name="_Toc89157570"/>
      <w:r w:rsidRPr="00577F2D">
        <w:t>Cuestión Preliminar: aplicación e interpretación de la Declaración Americana de los Derechos y Deberes del Hombre</w:t>
      </w:r>
      <w:bookmarkEnd w:id="26"/>
    </w:p>
    <w:p w14:paraId="7B2EE24B" w14:textId="77777777" w:rsidR="00E97D9E" w:rsidRPr="00116A43" w:rsidRDefault="00E97D9E" w:rsidP="005F7FE2">
      <w:pPr>
        <w:rPr>
          <w:rFonts w:asciiTheme="majorHAnsi" w:hAnsiTheme="majorHAnsi"/>
          <w:sz w:val="20"/>
          <w:szCs w:val="20"/>
          <w:lang w:val="es-CO"/>
        </w:rPr>
      </w:pPr>
    </w:p>
    <w:p w14:paraId="14696E15" w14:textId="23997284" w:rsidR="007441FB" w:rsidRPr="00116A43" w:rsidRDefault="00E97D9E" w:rsidP="00375047">
      <w:pPr>
        <w:pStyle w:val="ListParagraph"/>
        <w:numPr>
          <w:ilvl w:val="0"/>
          <w:numId w:val="55"/>
        </w:numPr>
        <w:autoSpaceDE w:val="0"/>
        <w:autoSpaceDN w:val="0"/>
        <w:adjustRightInd w:val="0"/>
        <w:ind w:firstLine="0"/>
        <w:jc w:val="both"/>
        <w:rPr>
          <w:color w:val="auto"/>
          <w:sz w:val="20"/>
          <w:szCs w:val="20"/>
          <w:lang w:val="es-PE"/>
        </w:rPr>
      </w:pPr>
      <w:r w:rsidRPr="00116A43">
        <w:rPr>
          <w:sz w:val="20"/>
          <w:szCs w:val="20"/>
          <w:lang w:val="es-CO"/>
        </w:rPr>
        <w:t xml:space="preserve">Los peticionarios alegaron que el Estado de Cuba es responsable por la violación de los derechos consagrados en los artículos I </w:t>
      </w:r>
      <w:r w:rsidRPr="00116A43">
        <w:rPr>
          <w:rFonts w:eastAsia="SimSun"/>
          <w:sz w:val="20"/>
          <w:szCs w:val="20"/>
          <w:lang w:val="es-PE"/>
        </w:rPr>
        <w:t>(Derecho a la vida, a la libertad, a la seguridad e integridad de la persona), II (Derecho de igualdad ante la Ley), IV (Derecho de libertad de investigación, opinión, expresión y difusión), V (Derecho a la protección a la honra, la reputación personal y la vida privada y familiar), VIII (Derecho de residencia y tránsito), IX (Derecho a la inviolabilidad del domicilio), X (Derecho a la inviolabilidad y circulación de la correspondencia), XVIII (Derecho de justicia), XX (Derecho de sufragio y de participación en el gobierno), XXI (Derecho de reunión), XXII (Derecho de asociación), XXIV (Derecho de petición) y XXV (Derecho de protección contra la detención arbitraria)</w:t>
      </w:r>
      <w:r w:rsidR="00370B43" w:rsidRPr="00116A43">
        <w:rPr>
          <w:rFonts w:eastAsia="SimSun"/>
          <w:sz w:val="20"/>
          <w:szCs w:val="20"/>
          <w:lang w:val="es-PE"/>
        </w:rPr>
        <w:t xml:space="preserve"> </w:t>
      </w:r>
      <w:r w:rsidRPr="00116A43">
        <w:rPr>
          <w:rFonts w:eastAsia="SimSun"/>
          <w:sz w:val="20"/>
          <w:szCs w:val="20"/>
          <w:lang w:val="es-PE"/>
        </w:rPr>
        <w:t>de la Declaración Americana de Derechos y Deberes del Hombre, en perjuicio de Yoani Sánchez Cordero.</w:t>
      </w:r>
      <w:r w:rsidR="007441FB" w:rsidRPr="00116A43">
        <w:rPr>
          <w:rFonts w:eastAsia="SimSun"/>
          <w:sz w:val="20"/>
          <w:szCs w:val="20"/>
          <w:lang w:val="es-PE"/>
        </w:rPr>
        <w:t xml:space="preserve"> E</w:t>
      </w:r>
      <w:r w:rsidR="007441FB" w:rsidRPr="00116A43">
        <w:rPr>
          <w:sz w:val="20"/>
          <w:szCs w:val="20"/>
          <w:lang w:val="es-PE"/>
        </w:rPr>
        <w:t>n virtud del principio </w:t>
      </w:r>
      <w:r w:rsidR="007441FB" w:rsidRPr="00116A43">
        <w:rPr>
          <w:i/>
          <w:iCs/>
          <w:sz w:val="20"/>
          <w:szCs w:val="20"/>
          <w:lang w:val="es-PE"/>
        </w:rPr>
        <w:t>iura novit curia</w:t>
      </w:r>
      <w:r w:rsidR="007441FB" w:rsidRPr="00116A43">
        <w:rPr>
          <w:sz w:val="20"/>
          <w:szCs w:val="20"/>
          <w:lang w:val="es-PE"/>
        </w:rPr>
        <w:t>, la Comisión también declaró admisible el artículo XXVI de la Declaración Americana (Derecho a proceso regular)</w:t>
      </w:r>
      <w:r w:rsidR="007441FB" w:rsidRPr="00116A43">
        <w:rPr>
          <w:rFonts w:eastAsia="Times New Roman" w:cs="Tahoma"/>
          <w:iCs/>
          <w:color w:val="222222"/>
          <w:sz w:val="20"/>
          <w:szCs w:val="20"/>
          <w:shd w:val="clear" w:color="auto" w:fill="FFFFFF"/>
          <w:lang w:val="es-PE"/>
        </w:rPr>
        <w:t>.</w:t>
      </w:r>
    </w:p>
    <w:p w14:paraId="0709679B" w14:textId="77777777" w:rsidR="00E948A8" w:rsidRPr="00116A43" w:rsidRDefault="00E948A8" w:rsidP="00375047">
      <w:pPr>
        <w:pStyle w:val="ListParagraph"/>
        <w:autoSpaceDE w:val="0"/>
        <w:autoSpaceDN w:val="0"/>
        <w:adjustRightInd w:val="0"/>
        <w:ind w:left="0"/>
        <w:jc w:val="both"/>
        <w:rPr>
          <w:color w:val="auto"/>
          <w:sz w:val="20"/>
          <w:szCs w:val="20"/>
          <w:lang w:val="es-PE"/>
        </w:rPr>
      </w:pPr>
    </w:p>
    <w:p w14:paraId="777D012B" w14:textId="796AAEE3" w:rsidR="00E948A8" w:rsidRPr="00116A43" w:rsidRDefault="00E948A8" w:rsidP="00375047">
      <w:pPr>
        <w:pStyle w:val="ListParagraph"/>
        <w:numPr>
          <w:ilvl w:val="0"/>
          <w:numId w:val="55"/>
        </w:numPr>
        <w:autoSpaceDE w:val="0"/>
        <w:autoSpaceDN w:val="0"/>
        <w:adjustRightInd w:val="0"/>
        <w:ind w:firstLine="0"/>
        <w:jc w:val="both"/>
        <w:rPr>
          <w:color w:val="auto"/>
          <w:sz w:val="20"/>
          <w:szCs w:val="20"/>
          <w:lang w:val="es-PE"/>
        </w:rPr>
      </w:pPr>
      <w:r w:rsidRPr="00116A43">
        <w:rPr>
          <w:sz w:val="20"/>
          <w:szCs w:val="20"/>
          <w:lang w:val="es-PE"/>
        </w:rPr>
        <w:t>La Comisión reafirma que tiene competencia para examinar peticiones y casos respecto de Cuba. En efect</w:t>
      </w:r>
      <w:r w:rsidR="0094523B" w:rsidRPr="00116A43">
        <w:rPr>
          <w:sz w:val="20"/>
          <w:szCs w:val="20"/>
          <w:lang w:val="es-PE"/>
        </w:rPr>
        <w:t>o,</w:t>
      </w:r>
      <w:r w:rsidRPr="00116A43">
        <w:rPr>
          <w:color w:val="auto"/>
          <w:sz w:val="20"/>
          <w:szCs w:val="20"/>
          <w:lang w:val="es-CO"/>
        </w:rPr>
        <w:t xml:space="preserve"> ha sostenido reiteradamente que el Estado cubano “es responsable jurídicamente ante la Comisión Interamericana en lo concerniente a los derechos humanos” puesto que “es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 Al respecto, la CIDH expuso que “[...] siempre ha considerado que el propósito de la Organización de los Estados Americanos al excluir a Cuba del sistema interamericano no fue dejar sin protección al pueblo cubano. La exclusión de este Gobierno del sistema regional no implica de modo alguno que pueda dejar de cumplir con sus obligaciones internacionales en materia de derechos humanos”</w:t>
      </w:r>
      <w:r w:rsidR="0094523B" w:rsidRPr="00116A43">
        <w:rPr>
          <w:rStyle w:val="FootnoteReference"/>
          <w:color w:val="auto"/>
          <w:sz w:val="20"/>
          <w:szCs w:val="20"/>
          <w:lang w:val="es-CO"/>
        </w:rPr>
        <w:footnoteReference w:id="132"/>
      </w:r>
      <w:r w:rsidRPr="00116A43">
        <w:rPr>
          <w:color w:val="auto"/>
          <w:sz w:val="20"/>
          <w:szCs w:val="20"/>
          <w:lang w:val="es-CO"/>
        </w:rPr>
        <w:t>.</w:t>
      </w:r>
    </w:p>
    <w:p w14:paraId="0FFD0F1C" w14:textId="5B621C1F" w:rsidR="00E948A8" w:rsidRPr="00116A43" w:rsidRDefault="00E948A8" w:rsidP="00375047">
      <w:pPr>
        <w:autoSpaceDE w:val="0"/>
        <w:autoSpaceDN w:val="0"/>
        <w:adjustRightInd w:val="0"/>
        <w:jc w:val="both"/>
        <w:rPr>
          <w:rFonts w:asciiTheme="majorHAnsi" w:hAnsiTheme="majorHAnsi"/>
          <w:sz w:val="20"/>
          <w:szCs w:val="20"/>
          <w:lang w:val="es-PE"/>
        </w:rPr>
      </w:pPr>
    </w:p>
    <w:p w14:paraId="6784FD09" w14:textId="50CAEE1F" w:rsidR="00E97D9E" w:rsidRPr="00116A43" w:rsidRDefault="00ED2CB3" w:rsidP="00375047">
      <w:pPr>
        <w:pStyle w:val="ListParagraph"/>
        <w:numPr>
          <w:ilvl w:val="0"/>
          <w:numId w:val="55"/>
        </w:numPr>
        <w:autoSpaceDE w:val="0"/>
        <w:autoSpaceDN w:val="0"/>
        <w:adjustRightInd w:val="0"/>
        <w:ind w:firstLine="0"/>
        <w:jc w:val="both"/>
        <w:rPr>
          <w:rFonts w:asciiTheme="majorHAnsi" w:hAnsiTheme="majorHAnsi"/>
          <w:sz w:val="20"/>
          <w:szCs w:val="20"/>
          <w:lang w:val="es-CO"/>
        </w:rPr>
      </w:pPr>
      <w:r w:rsidRPr="00116A43">
        <w:rPr>
          <w:rFonts w:asciiTheme="majorHAnsi" w:eastAsia="Times New Roman" w:hAnsiTheme="majorHAnsi"/>
          <w:sz w:val="20"/>
          <w:szCs w:val="20"/>
          <w:lang w:val="es-AR"/>
        </w:rPr>
        <w:t>En este sentido, c</w:t>
      </w:r>
      <w:r w:rsidR="00E97D9E" w:rsidRPr="00116A43">
        <w:rPr>
          <w:rFonts w:asciiTheme="majorHAnsi" w:eastAsia="Times New Roman" w:hAnsiTheme="majorHAnsi"/>
          <w:sz w:val="20"/>
          <w:szCs w:val="20"/>
          <w:lang w:val="es-AR"/>
        </w:rPr>
        <w:t>omo ha expresado la Comisión en reiteradas ocasiones</w:t>
      </w:r>
      <w:r w:rsidR="00E97D9E" w:rsidRPr="00116A43">
        <w:rPr>
          <w:rStyle w:val="FootnoteReference"/>
          <w:rFonts w:asciiTheme="majorHAnsi" w:eastAsia="Times New Roman" w:hAnsiTheme="majorHAnsi"/>
          <w:sz w:val="20"/>
          <w:szCs w:val="20"/>
          <w:lang w:val="es-AR"/>
        </w:rPr>
        <w:footnoteReference w:id="133"/>
      </w:r>
      <w:r w:rsidR="00E97D9E" w:rsidRPr="00116A43">
        <w:rPr>
          <w:rFonts w:asciiTheme="majorHAnsi" w:eastAsia="Times New Roman" w:hAnsiTheme="majorHAnsi"/>
          <w:sz w:val="20"/>
          <w:szCs w:val="20"/>
          <w:lang w:val="es-AR"/>
        </w:rPr>
        <w:t>, la Declaración Americana constituye una fuente de obligación jurídica internacional para todos los Estados miembros de la Organización de los Estados Americanos, incluido Cuba. Además, en relación con los Estados miembros de la OEA que no son parte de la Convención Americana, la Comisión está facultada por el artículo 20 de su</w:t>
      </w:r>
      <w:r w:rsidR="00784C23" w:rsidRPr="00116A43">
        <w:rPr>
          <w:rFonts w:asciiTheme="majorHAnsi" w:eastAsia="Times New Roman" w:hAnsiTheme="majorHAnsi"/>
          <w:sz w:val="20"/>
          <w:szCs w:val="20"/>
          <w:lang w:val="es-AR"/>
        </w:rPr>
        <w:t xml:space="preserve"> Estatuto y por los artículos 50 </w:t>
      </w:r>
      <w:r w:rsidR="00E97D9E" w:rsidRPr="00116A43">
        <w:rPr>
          <w:rFonts w:asciiTheme="majorHAnsi" w:eastAsia="Times New Roman" w:hAnsiTheme="majorHAnsi"/>
          <w:sz w:val="20"/>
          <w:szCs w:val="20"/>
          <w:lang w:val="es-AR"/>
        </w:rPr>
        <w:t>y 5</w:t>
      </w:r>
      <w:r w:rsidR="00784C23" w:rsidRPr="00116A43">
        <w:rPr>
          <w:rFonts w:asciiTheme="majorHAnsi" w:eastAsia="Times New Roman" w:hAnsiTheme="majorHAnsi"/>
          <w:sz w:val="20"/>
          <w:szCs w:val="20"/>
          <w:lang w:val="es-AR"/>
        </w:rPr>
        <w:t>1</w:t>
      </w:r>
      <w:r w:rsidR="00E97D9E" w:rsidRPr="00116A43">
        <w:rPr>
          <w:rFonts w:asciiTheme="majorHAnsi" w:eastAsia="Times New Roman" w:hAnsiTheme="majorHAnsi"/>
          <w:sz w:val="20"/>
          <w:szCs w:val="20"/>
          <w:lang w:val="es-AR"/>
        </w:rPr>
        <w:t xml:space="preserve"> de su Reglamento para recibir y examinar toda petición que contenga una denuncia de presuntas violaciones de los derechos humanos consagrados en la Declaración Americana.</w:t>
      </w:r>
    </w:p>
    <w:p w14:paraId="73EC32E2" w14:textId="77777777" w:rsidR="00E97D9E" w:rsidRPr="00116A43" w:rsidRDefault="00E97D9E" w:rsidP="00375047">
      <w:pPr>
        <w:pStyle w:val="ListParagraph"/>
        <w:ind w:left="0"/>
        <w:rPr>
          <w:rFonts w:asciiTheme="majorHAnsi" w:eastAsia="Times New Roman" w:hAnsiTheme="majorHAnsi"/>
          <w:sz w:val="20"/>
          <w:szCs w:val="20"/>
          <w:lang w:val="es-AR"/>
        </w:rPr>
      </w:pPr>
    </w:p>
    <w:p w14:paraId="47690887" w14:textId="77777777" w:rsidR="00E97D9E" w:rsidRPr="00116A43" w:rsidRDefault="00E97D9E" w:rsidP="00375047">
      <w:pPr>
        <w:pStyle w:val="ListParagraph"/>
        <w:numPr>
          <w:ilvl w:val="0"/>
          <w:numId w:val="55"/>
        </w:numPr>
        <w:autoSpaceDE w:val="0"/>
        <w:autoSpaceDN w:val="0"/>
        <w:adjustRightInd w:val="0"/>
        <w:ind w:firstLine="0"/>
        <w:jc w:val="both"/>
        <w:rPr>
          <w:rFonts w:asciiTheme="majorHAnsi" w:hAnsiTheme="majorHAnsi"/>
          <w:sz w:val="20"/>
          <w:szCs w:val="20"/>
          <w:lang w:val="es-CO"/>
        </w:rPr>
      </w:pPr>
      <w:r w:rsidRPr="00116A43">
        <w:rPr>
          <w:rFonts w:asciiTheme="majorHAnsi" w:eastAsia="Times New Roman" w:hAnsiTheme="majorHAnsi"/>
          <w:sz w:val="20"/>
          <w:szCs w:val="20"/>
          <w:lang w:val="es-AR"/>
        </w:rPr>
        <w:t>De acuerdo con la jurisprudencia del sistema interamericano de derechos humanos las disposiciones de sus instrumentos, incluida la Declaración Americana, deben ser interpretadas y aplicadas en el contexto de los sistemas interamericano e internacional de derechos humanos y en el sentido más amplio a la luz de la evolución del derecho internacional en materia de derechos humanos</w:t>
      </w:r>
      <w:r w:rsidRPr="00116A43">
        <w:rPr>
          <w:rStyle w:val="FootnoteReference"/>
          <w:rFonts w:asciiTheme="majorHAnsi" w:eastAsia="Times New Roman" w:hAnsiTheme="majorHAnsi"/>
          <w:sz w:val="20"/>
          <w:szCs w:val="20"/>
          <w:lang w:val="es-AR"/>
        </w:rPr>
        <w:footnoteReference w:id="134"/>
      </w:r>
      <w:r w:rsidRPr="00116A43">
        <w:rPr>
          <w:rFonts w:asciiTheme="majorHAnsi" w:eastAsia="Times New Roman" w:hAnsiTheme="majorHAnsi"/>
          <w:sz w:val="20"/>
          <w:szCs w:val="20"/>
          <w:lang w:val="es-AR"/>
        </w:rPr>
        <w:t>.</w:t>
      </w:r>
    </w:p>
    <w:p w14:paraId="237909C6" w14:textId="77777777" w:rsidR="00E97D9E" w:rsidRPr="00116A43" w:rsidRDefault="00E97D9E" w:rsidP="00375047">
      <w:pPr>
        <w:pStyle w:val="ListParagraph"/>
        <w:ind w:left="0"/>
        <w:rPr>
          <w:rFonts w:asciiTheme="majorHAnsi" w:eastAsia="Times New Roman" w:hAnsiTheme="majorHAnsi"/>
          <w:sz w:val="20"/>
          <w:szCs w:val="20"/>
          <w:lang w:val="es-AR"/>
        </w:rPr>
      </w:pPr>
    </w:p>
    <w:p w14:paraId="7578A587" w14:textId="767FD375" w:rsidR="00E97D9E" w:rsidRPr="00116A43" w:rsidRDefault="00E97D9E" w:rsidP="00375047">
      <w:pPr>
        <w:pStyle w:val="ListParagraph"/>
        <w:numPr>
          <w:ilvl w:val="0"/>
          <w:numId w:val="55"/>
        </w:numPr>
        <w:autoSpaceDE w:val="0"/>
        <w:autoSpaceDN w:val="0"/>
        <w:adjustRightInd w:val="0"/>
        <w:ind w:firstLine="0"/>
        <w:jc w:val="both"/>
        <w:rPr>
          <w:rFonts w:asciiTheme="majorHAnsi" w:hAnsiTheme="majorHAnsi"/>
          <w:sz w:val="20"/>
          <w:szCs w:val="20"/>
          <w:lang w:val="es-CO"/>
        </w:rPr>
      </w:pPr>
      <w:r w:rsidRPr="00116A43">
        <w:rPr>
          <w:rFonts w:asciiTheme="majorHAnsi" w:eastAsia="Times New Roman" w:hAnsiTheme="majorHAnsi"/>
          <w:sz w:val="20"/>
          <w:szCs w:val="20"/>
          <w:lang w:val="es-AR"/>
        </w:rPr>
        <w:lastRenderedPageBreak/>
        <w:t xml:space="preserve">En particular, los órganos del sistema interamericano han sostenido que la evolución del cuerpo del derecho internacional en materia de derechos humanos pertinente a la interpretación y aplicación de la Declaración Americana puede extraerse de las disposiciones de otros instrumentos internacionales y regionales de derechos humanos.  Ello incluye la Convención Americana </w:t>
      </w:r>
      <w:r w:rsidR="00E743B8">
        <w:rPr>
          <w:rFonts w:asciiTheme="majorHAnsi" w:eastAsia="Times New Roman" w:hAnsiTheme="majorHAnsi"/>
          <w:sz w:val="20"/>
          <w:szCs w:val="20"/>
          <w:lang w:val="es-AR"/>
        </w:rPr>
        <w:t>y la Convención Inter</w:t>
      </w:r>
      <w:r w:rsidR="00F40241">
        <w:rPr>
          <w:rFonts w:asciiTheme="majorHAnsi" w:eastAsia="Times New Roman" w:hAnsiTheme="majorHAnsi"/>
          <w:sz w:val="20"/>
          <w:szCs w:val="20"/>
          <w:lang w:val="es-AR"/>
        </w:rPr>
        <w:t>americana para Prevenir</w:t>
      </w:r>
      <w:r w:rsidR="00E743B8">
        <w:rPr>
          <w:rFonts w:asciiTheme="majorHAnsi" w:eastAsia="Times New Roman" w:hAnsiTheme="majorHAnsi"/>
          <w:sz w:val="20"/>
          <w:szCs w:val="20"/>
          <w:lang w:val="es-AR"/>
        </w:rPr>
        <w:t xml:space="preserve">, Sancionar y Erradicar la Violencia contra la Mujer (Convención de Belém do Pará) </w:t>
      </w:r>
      <w:r w:rsidRPr="00116A43">
        <w:rPr>
          <w:rFonts w:asciiTheme="majorHAnsi" w:eastAsia="Times New Roman" w:hAnsiTheme="majorHAnsi"/>
          <w:sz w:val="20"/>
          <w:szCs w:val="20"/>
          <w:lang w:val="es-AR"/>
        </w:rPr>
        <w:t>que, en muchas instancias, puede</w:t>
      </w:r>
      <w:r w:rsidR="00E743B8">
        <w:rPr>
          <w:rFonts w:asciiTheme="majorHAnsi" w:eastAsia="Times New Roman" w:hAnsiTheme="majorHAnsi"/>
          <w:sz w:val="20"/>
          <w:szCs w:val="20"/>
          <w:lang w:val="es-AR"/>
        </w:rPr>
        <w:t>n</w:t>
      </w:r>
      <w:r w:rsidRPr="00116A43">
        <w:rPr>
          <w:rFonts w:asciiTheme="majorHAnsi" w:eastAsia="Times New Roman" w:hAnsiTheme="majorHAnsi"/>
          <w:sz w:val="20"/>
          <w:szCs w:val="20"/>
          <w:lang w:val="es-AR"/>
        </w:rPr>
        <w:t xml:space="preserve"> ser considerada</w:t>
      </w:r>
      <w:r w:rsidR="00D2631F">
        <w:rPr>
          <w:rFonts w:asciiTheme="majorHAnsi" w:eastAsia="Times New Roman" w:hAnsiTheme="majorHAnsi"/>
          <w:sz w:val="20"/>
          <w:szCs w:val="20"/>
          <w:lang w:val="es-AR"/>
        </w:rPr>
        <w:t>s</w:t>
      </w:r>
      <w:r w:rsidRPr="00116A43">
        <w:rPr>
          <w:rFonts w:asciiTheme="majorHAnsi" w:eastAsia="Times New Roman" w:hAnsiTheme="majorHAnsi"/>
          <w:sz w:val="20"/>
          <w:szCs w:val="20"/>
          <w:lang w:val="es-AR"/>
        </w:rPr>
        <w:t xml:space="preserve"> representativa</w:t>
      </w:r>
      <w:r w:rsidR="00E743B8">
        <w:rPr>
          <w:rFonts w:asciiTheme="majorHAnsi" w:eastAsia="Times New Roman" w:hAnsiTheme="majorHAnsi"/>
          <w:sz w:val="20"/>
          <w:szCs w:val="20"/>
          <w:lang w:val="es-AR"/>
        </w:rPr>
        <w:t>s</w:t>
      </w:r>
      <w:r w:rsidRPr="00116A43">
        <w:rPr>
          <w:rFonts w:asciiTheme="majorHAnsi" w:eastAsia="Times New Roman" w:hAnsiTheme="majorHAnsi"/>
          <w:sz w:val="20"/>
          <w:szCs w:val="20"/>
          <w:lang w:val="es-AR"/>
        </w:rPr>
        <w:t xml:space="preserve"> de los principios fundamentales establecidos en la Declaración Americana. Asimismo, una evolución pertinente también ha sido derivada de las disposiciones de otros tratados multilaterales aprobados dentro y fuera del marco del sistema interamericano, incluido el Pacto Internacional de Derechos Civiles y Políticos</w:t>
      </w:r>
      <w:r w:rsidR="00E743B8">
        <w:rPr>
          <w:rFonts w:asciiTheme="majorHAnsi" w:eastAsia="Times New Roman" w:hAnsiTheme="majorHAnsi"/>
          <w:sz w:val="20"/>
          <w:szCs w:val="20"/>
          <w:lang w:val="es-AR"/>
        </w:rPr>
        <w:t xml:space="preserve"> </w:t>
      </w:r>
      <w:r w:rsidR="00E743B8" w:rsidRPr="00F04C39">
        <w:rPr>
          <w:rFonts w:eastAsia="Times New Roman"/>
          <w:sz w:val="20"/>
          <w:szCs w:val="20"/>
          <w:lang w:val="es-AR"/>
        </w:rPr>
        <w:t xml:space="preserve">y </w:t>
      </w:r>
      <w:r w:rsidR="00F40241" w:rsidRPr="00F04C39">
        <w:rPr>
          <w:rFonts w:eastAsia="Times New Roman"/>
          <w:sz w:val="20"/>
          <w:szCs w:val="20"/>
          <w:lang w:val="es-AR"/>
        </w:rPr>
        <w:t xml:space="preserve">la </w:t>
      </w:r>
      <w:r w:rsidR="00F40241" w:rsidRPr="00F04C39">
        <w:rPr>
          <w:sz w:val="20"/>
          <w:szCs w:val="20"/>
          <w:lang w:val="es-PE"/>
        </w:rPr>
        <w:t>Convención sobre Eliminación de todas las Formas de Discriminación contra la Mujer, esta última ratificada por Cuba el 17 de julio de 1980</w:t>
      </w:r>
      <w:r w:rsidRPr="00116A43">
        <w:rPr>
          <w:rStyle w:val="FootnoteReference"/>
          <w:rFonts w:asciiTheme="majorHAnsi" w:eastAsia="Times New Roman" w:hAnsiTheme="majorHAnsi"/>
          <w:sz w:val="20"/>
          <w:szCs w:val="20"/>
          <w:lang w:val="es-AR"/>
        </w:rPr>
        <w:footnoteReference w:id="135"/>
      </w:r>
      <w:r w:rsidRPr="00116A43">
        <w:rPr>
          <w:rFonts w:asciiTheme="majorHAnsi" w:hAnsiTheme="majorHAnsi"/>
          <w:sz w:val="20"/>
          <w:szCs w:val="20"/>
          <w:lang w:val="es-CO"/>
        </w:rPr>
        <w:t>.</w:t>
      </w:r>
    </w:p>
    <w:p w14:paraId="30731984" w14:textId="77777777" w:rsidR="00E97D9E" w:rsidRPr="00116A43" w:rsidRDefault="00E97D9E" w:rsidP="005F7FE2">
      <w:pPr>
        <w:pStyle w:val="ListParagraph"/>
        <w:rPr>
          <w:rFonts w:asciiTheme="majorHAnsi" w:hAnsiTheme="majorHAnsi"/>
          <w:sz w:val="20"/>
          <w:szCs w:val="20"/>
          <w:lang w:val="es-AR"/>
        </w:rPr>
      </w:pPr>
    </w:p>
    <w:p w14:paraId="4AA69EF7" w14:textId="77777777" w:rsidR="00E97D9E" w:rsidRPr="00116A43" w:rsidRDefault="00E97D9E" w:rsidP="00375047">
      <w:pPr>
        <w:pStyle w:val="ListParagraph"/>
        <w:numPr>
          <w:ilvl w:val="0"/>
          <w:numId w:val="55"/>
        </w:numPr>
        <w:autoSpaceDE w:val="0"/>
        <w:autoSpaceDN w:val="0"/>
        <w:adjustRightInd w:val="0"/>
        <w:ind w:firstLine="0"/>
        <w:jc w:val="both"/>
        <w:rPr>
          <w:rFonts w:asciiTheme="majorHAnsi" w:hAnsiTheme="majorHAnsi"/>
          <w:sz w:val="20"/>
          <w:szCs w:val="20"/>
          <w:lang w:val="es-CO"/>
        </w:rPr>
      </w:pPr>
      <w:r w:rsidRPr="00116A43">
        <w:rPr>
          <w:rFonts w:asciiTheme="majorHAnsi" w:hAnsiTheme="majorHAnsi"/>
          <w:sz w:val="20"/>
          <w:szCs w:val="20"/>
          <w:lang w:val="es-AR"/>
        </w:rPr>
        <w:t>Al efectuar su análisis en el presente caso, la Comisión –en la medida que corresponda- interpretará y aplicará las disposiciones pertinentes de la Declaración Americana a la luz de la evolución actual en el campo del derecho internacional en materia de derechos humanos, conforme lo ilustren los tratados, la costumbre y otras fuentes pertinentes del derecho internacional</w:t>
      </w:r>
      <w:r w:rsidRPr="00116A43">
        <w:rPr>
          <w:rStyle w:val="FootnoteReference"/>
          <w:rFonts w:asciiTheme="majorHAnsi" w:hAnsiTheme="majorHAnsi"/>
          <w:sz w:val="20"/>
          <w:szCs w:val="20"/>
          <w:lang w:val="es-CO"/>
        </w:rPr>
        <w:footnoteReference w:id="136"/>
      </w:r>
      <w:r w:rsidRPr="00116A43">
        <w:rPr>
          <w:rFonts w:asciiTheme="majorHAnsi" w:hAnsiTheme="majorHAnsi"/>
          <w:sz w:val="20"/>
          <w:szCs w:val="20"/>
          <w:lang w:val="es-AR"/>
        </w:rPr>
        <w:t>.</w:t>
      </w:r>
    </w:p>
    <w:p w14:paraId="752D448A" w14:textId="77777777" w:rsidR="00E97D9E" w:rsidRPr="00116A43" w:rsidRDefault="00E97D9E" w:rsidP="00375047">
      <w:pPr>
        <w:rPr>
          <w:rFonts w:asciiTheme="majorHAnsi" w:hAnsiTheme="majorHAnsi"/>
          <w:sz w:val="20"/>
          <w:szCs w:val="20"/>
          <w:lang w:val="es-CO"/>
        </w:rPr>
      </w:pPr>
    </w:p>
    <w:p w14:paraId="64AB6807" w14:textId="6C333134" w:rsidR="00E97D9E" w:rsidRDefault="00E97D9E" w:rsidP="00375047">
      <w:pPr>
        <w:pStyle w:val="ListParagraph"/>
        <w:numPr>
          <w:ilvl w:val="0"/>
          <w:numId w:val="55"/>
        </w:numPr>
        <w:autoSpaceDE w:val="0"/>
        <w:autoSpaceDN w:val="0"/>
        <w:adjustRightInd w:val="0"/>
        <w:ind w:firstLine="0"/>
        <w:jc w:val="both"/>
        <w:rPr>
          <w:rFonts w:asciiTheme="majorHAnsi" w:hAnsiTheme="majorHAnsi"/>
          <w:sz w:val="20"/>
          <w:szCs w:val="20"/>
          <w:lang w:val="es-CO"/>
        </w:rPr>
      </w:pPr>
      <w:r w:rsidRPr="00116A43">
        <w:rPr>
          <w:rFonts w:asciiTheme="majorHAnsi" w:hAnsiTheme="majorHAnsi"/>
          <w:sz w:val="20"/>
          <w:szCs w:val="20"/>
          <w:lang w:val="es-CO"/>
        </w:rPr>
        <w:t xml:space="preserve">Es a la luz de estos principios que la Comisión considerará y aplicará las disposiciones pertinentes de la Declaración Americana en el presente caso, con el fin de determinar si el Estado de Cuba </w:t>
      </w:r>
      <w:r w:rsidR="00AF4243" w:rsidRPr="00116A43">
        <w:rPr>
          <w:rFonts w:asciiTheme="majorHAnsi" w:hAnsiTheme="majorHAnsi"/>
          <w:sz w:val="20"/>
          <w:szCs w:val="20"/>
          <w:lang w:val="es-CO"/>
        </w:rPr>
        <w:t>violó</w:t>
      </w:r>
      <w:r w:rsidRPr="00116A43">
        <w:rPr>
          <w:rFonts w:asciiTheme="majorHAnsi" w:hAnsiTheme="majorHAnsi"/>
          <w:sz w:val="20"/>
          <w:szCs w:val="20"/>
          <w:lang w:val="es-CO"/>
        </w:rPr>
        <w:t xml:space="preserve"> los derechos consagrados en los artículos </w:t>
      </w:r>
      <w:r w:rsidR="00964AA8" w:rsidRPr="00116A43">
        <w:rPr>
          <w:rFonts w:asciiTheme="majorHAnsi" w:hAnsiTheme="majorHAnsi"/>
          <w:sz w:val="20"/>
          <w:szCs w:val="20"/>
          <w:lang w:val="es-CO"/>
        </w:rPr>
        <w:t xml:space="preserve">señalados anteriormente. </w:t>
      </w:r>
    </w:p>
    <w:p w14:paraId="02F37807" w14:textId="77777777" w:rsidR="00577F2D" w:rsidRPr="00116A43" w:rsidRDefault="00577F2D" w:rsidP="00577F2D">
      <w:pPr>
        <w:pStyle w:val="ListParagraph"/>
        <w:autoSpaceDE w:val="0"/>
        <w:autoSpaceDN w:val="0"/>
        <w:adjustRightInd w:val="0"/>
        <w:ind w:left="0"/>
        <w:jc w:val="both"/>
        <w:rPr>
          <w:rFonts w:asciiTheme="majorHAnsi" w:hAnsiTheme="majorHAnsi"/>
          <w:sz w:val="20"/>
          <w:szCs w:val="20"/>
          <w:lang w:val="es-CO"/>
        </w:rPr>
      </w:pPr>
    </w:p>
    <w:p w14:paraId="7C4B633F" w14:textId="5046324A" w:rsidR="00577F2D" w:rsidRDefault="000E7A7F" w:rsidP="004F709F">
      <w:pPr>
        <w:pStyle w:val="Heading2"/>
      </w:pPr>
      <w:bookmarkStart w:id="27" w:name="_Toc89157571"/>
      <w:r w:rsidRPr="003B7CC7">
        <w:t>Derecho a la vida, a la libertad, a la seguridad e integridad de la persona (artículo I)</w:t>
      </w:r>
      <w:r w:rsidR="00CD02E3" w:rsidRPr="003B7CC7">
        <w:footnoteReference w:id="137"/>
      </w:r>
      <w:r w:rsidRPr="003B7CC7">
        <w:t xml:space="preserve"> </w:t>
      </w:r>
      <w:r w:rsidR="006316CE" w:rsidRPr="003B7CC7">
        <w:t>, a la igualdad (artículo II)</w:t>
      </w:r>
      <w:r w:rsidR="006316CE" w:rsidRPr="003B7CC7">
        <w:footnoteReference w:id="138"/>
      </w:r>
      <w:r w:rsidR="006316CE" w:rsidRPr="003B7CC7">
        <w:t>, y</w:t>
      </w:r>
      <w:r w:rsidRPr="003B7CC7">
        <w:t xml:space="preserve"> d</w:t>
      </w:r>
      <w:r w:rsidR="001F0295" w:rsidRPr="003B7CC7">
        <w:t>erecho de protección contra la detención arbitraria (art</w:t>
      </w:r>
      <w:r w:rsidR="008636FE" w:rsidRPr="003B7CC7">
        <w:t>ículo</w:t>
      </w:r>
      <w:r w:rsidR="001F0295" w:rsidRPr="00116A43">
        <w:t xml:space="preserve"> XXV)</w:t>
      </w:r>
      <w:r w:rsidR="003E51C0" w:rsidRPr="00116A43">
        <w:rPr>
          <w:rStyle w:val="FootnoteReference"/>
        </w:rPr>
        <w:footnoteReference w:id="139"/>
      </w:r>
      <w:bookmarkEnd w:id="27"/>
    </w:p>
    <w:p w14:paraId="300412EE" w14:textId="77777777" w:rsidR="00577F2D" w:rsidRPr="00577F2D" w:rsidRDefault="00577F2D" w:rsidP="00577F2D">
      <w:pPr>
        <w:rPr>
          <w:lang w:val="es-PE"/>
        </w:rPr>
      </w:pPr>
    </w:p>
    <w:p w14:paraId="3B912023" w14:textId="24908E33" w:rsidR="00C96C81" w:rsidRPr="00577F2D" w:rsidRDefault="00903947" w:rsidP="00460990">
      <w:pPr>
        <w:pStyle w:val="Heading3"/>
        <w:numPr>
          <w:ilvl w:val="0"/>
          <w:numId w:val="61"/>
        </w:numPr>
        <w:ind w:left="720" w:hanging="720"/>
      </w:pPr>
      <w:bookmarkStart w:id="28" w:name="_Toc89157572"/>
      <w:r w:rsidRPr="00577F2D">
        <w:t>Sobre la ilegalidad y arbitrariedad de las detenciones</w:t>
      </w:r>
      <w:bookmarkEnd w:id="28"/>
    </w:p>
    <w:p w14:paraId="103DD643" w14:textId="77777777" w:rsidR="001F0295" w:rsidRPr="00116A43" w:rsidRDefault="001F0295" w:rsidP="005038D5">
      <w:pPr>
        <w:ind w:right="720"/>
        <w:jc w:val="both"/>
        <w:rPr>
          <w:rFonts w:ascii="Cambria" w:hAnsi="Cambria"/>
          <w:sz w:val="20"/>
          <w:szCs w:val="20"/>
          <w:lang w:val="es-PE"/>
        </w:rPr>
      </w:pPr>
    </w:p>
    <w:p w14:paraId="2F516FAE" w14:textId="43447F65" w:rsidR="001F0295" w:rsidRPr="00116A43" w:rsidRDefault="008D1964" w:rsidP="00375047">
      <w:pPr>
        <w:pStyle w:val="NormalWeb"/>
        <w:numPr>
          <w:ilvl w:val="0"/>
          <w:numId w:val="55"/>
        </w:numPr>
        <w:shd w:val="clear" w:color="auto" w:fill="FFFFFF"/>
        <w:tabs>
          <w:tab w:val="left" w:pos="360"/>
        </w:tabs>
        <w:spacing w:before="0" w:beforeAutospacing="0" w:after="0" w:afterAutospacing="0"/>
        <w:ind w:firstLine="0"/>
        <w:jc w:val="both"/>
        <w:rPr>
          <w:rFonts w:asciiTheme="majorHAnsi" w:hAnsiTheme="majorHAnsi"/>
          <w:sz w:val="20"/>
          <w:lang w:val="es-ES"/>
        </w:rPr>
      </w:pPr>
      <w:r w:rsidRPr="00116A43">
        <w:rPr>
          <w:rFonts w:asciiTheme="majorHAnsi" w:hAnsiTheme="majorHAnsi"/>
          <w:sz w:val="20"/>
          <w:lang w:val="es-AR"/>
        </w:rPr>
        <w:t>E</w:t>
      </w:r>
      <w:r w:rsidR="001F0295" w:rsidRPr="00116A43">
        <w:rPr>
          <w:rFonts w:asciiTheme="majorHAnsi" w:hAnsiTheme="majorHAnsi"/>
          <w:sz w:val="20"/>
          <w:lang w:val="es-ES"/>
        </w:rPr>
        <w:t xml:space="preserve">l </w:t>
      </w:r>
      <w:r w:rsidRPr="00116A43">
        <w:rPr>
          <w:rFonts w:asciiTheme="majorHAnsi" w:hAnsiTheme="majorHAnsi"/>
          <w:sz w:val="20"/>
          <w:lang w:val="es-ES"/>
        </w:rPr>
        <w:t>a</w:t>
      </w:r>
      <w:r w:rsidR="001F0295" w:rsidRPr="00116A43">
        <w:rPr>
          <w:rFonts w:asciiTheme="majorHAnsi" w:hAnsiTheme="majorHAnsi"/>
          <w:sz w:val="20"/>
          <w:lang w:val="es-ES"/>
        </w:rPr>
        <w:t>rtículo XXV de la Declaración Americana establece garantías que procuran la protección de las personas de la interferencia ilegal o arbitraria de su libertad por parte del Estado. La CIDH ha establecido al respecto que “entre las protecciones garantizadas están los requisitos de que toda privación de libertad se realice conforme a una ley preexistente, que se informe al detenido de las razones de su detención y sea rápidamente notificado de los cargos que se le imputan, que toda persona privada de libertad tenga derecho a un recurso jurídico, a obtener sin demora una determinación de la legalidad de su detención y que la persona sea juzgada dentro de un plazo razonable o liberada en tanto se sustancian los procedimientos”</w:t>
      </w:r>
      <w:r w:rsidR="001F0295" w:rsidRPr="00116A43">
        <w:rPr>
          <w:rStyle w:val="FootnoteReference"/>
          <w:rFonts w:ascii="Cambria" w:eastAsia="Arial Unicode MS" w:hAnsi="Cambria"/>
          <w:sz w:val="20"/>
          <w:szCs w:val="20"/>
        </w:rPr>
        <w:footnoteReference w:id="140"/>
      </w:r>
      <w:r w:rsidR="00146860" w:rsidRPr="00116A43">
        <w:rPr>
          <w:rFonts w:asciiTheme="majorHAnsi" w:hAnsiTheme="majorHAnsi"/>
          <w:sz w:val="20"/>
          <w:lang w:val="es-ES"/>
        </w:rPr>
        <w:t>.</w:t>
      </w:r>
    </w:p>
    <w:p w14:paraId="6236278C" w14:textId="77777777" w:rsidR="001F0295" w:rsidRPr="00116A43" w:rsidRDefault="001F0295" w:rsidP="00375047">
      <w:pPr>
        <w:pStyle w:val="NormalWeb"/>
        <w:shd w:val="clear" w:color="auto" w:fill="FFFFFF"/>
        <w:tabs>
          <w:tab w:val="left" w:pos="360"/>
        </w:tabs>
        <w:spacing w:before="0" w:beforeAutospacing="0" w:after="0" w:afterAutospacing="0"/>
        <w:jc w:val="both"/>
        <w:rPr>
          <w:rFonts w:asciiTheme="majorHAnsi" w:hAnsiTheme="majorHAnsi"/>
          <w:sz w:val="20"/>
          <w:lang w:val="es-ES"/>
        </w:rPr>
      </w:pPr>
    </w:p>
    <w:p w14:paraId="52980EAF" w14:textId="3549CC2D" w:rsidR="001F0295" w:rsidRPr="00116A43" w:rsidRDefault="001F0295" w:rsidP="00375047">
      <w:pPr>
        <w:pStyle w:val="NormalWeb"/>
        <w:numPr>
          <w:ilvl w:val="0"/>
          <w:numId w:val="55"/>
        </w:numPr>
        <w:shd w:val="clear" w:color="auto" w:fill="FFFFFF"/>
        <w:tabs>
          <w:tab w:val="left" w:pos="360"/>
        </w:tabs>
        <w:spacing w:before="0" w:beforeAutospacing="0" w:after="0" w:afterAutospacing="0"/>
        <w:ind w:firstLine="0"/>
        <w:jc w:val="both"/>
        <w:rPr>
          <w:rFonts w:asciiTheme="majorHAnsi" w:hAnsiTheme="majorHAnsi"/>
          <w:sz w:val="20"/>
          <w:lang w:val="es-ES"/>
        </w:rPr>
      </w:pPr>
      <w:r w:rsidRPr="00116A43">
        <w:rPr>
          <w:rFonts w:asciiTheme="majorHAnsi" w:hAnsiTheme="majorHAnsi"/>
          <w:sz w:val="20"/>
          <w:szCs w:val="20"/>
          <w:lang w:val="es-ES"/>
        </w:rPr>
        <w:t>Según las normas interamericanas de derechos humanos, nadie será sometido a detención o prisión por razones o métodos que –aunque clasificados como legales- puedan ser incompatibles con los derechos fundamentales del individuo por ser, entre otras cosas, irrazonables, imprevisibles o desproporcionados</w:t>
      </w:r>
      <w:r w:rsidRPr="00116A43">
        <w:rPr>
          <w:rStyle w:val="FootnoteReference"/>
          <w:rFonts w:asciiTheme="majorHAnsi" w:eastAsia="Arial Unicode MS" w:hAnsiTheme="majorHAnsi"/>
          <w:sz w:val="20"/>
          <w:szCs w:val="20"/>
          <w:bdr w:val="nil"/>
        </w:rPr>
        <w:footnoteReference w:id="141"/>
      </w:r>
      <w:r w:rsidR="00E938A7" w:rsidRPr="00116A43">
        <w:rPr>
          <w:rFonts w:asciiTheme="majorHAnsi" w:hAnsiTheme="majorHAnsi"/>
          <w:sz w:val="20"/>
          <w:szCs w:val="20"/>
          <w:lang w:val="es-ES"/>
        </w:rPr>
        <w:t>.</w:t>
      </w:r>
      <w:r w:rsidRPr="00116A43">
        <w:rPr>
          <w:rFonts w:asciiTheme="majorHAnsi" w:hAnsiTheme="majorHAnsi"/>
          <w:sz w:val="20"/>
          <w:szCs w:val="20"/>
          <w:lang w:val="es-ES"/>
        </w:rPr>
        <w:t xml:space="preserve"> Por tanto, toda detención, no sólo debe realizarse de acuerdo con las disposiciones de la legislación nacional, </w:t>
      </w:r>
      <w:r w:rsidRPr="00116A43">
        <w:rPr>
          <w:rFonts w:asciiTheme="majorHAnsi" w:hAnsiTheme="majorHAnsi"/>
          <w:sz w:val="20"/>
          <w:szCs w:val="20"/>
          <w:lang w:val="es-ES"/>
        </w:rPr>
        <w:lastRenderedPageBreak/>
        <w:t>sino que también es necesario que la legislación interna, el procedimiento aplicable y los principios generales expresos o implícitos relacionados sean ellos compatibles con los instrumentos y normas interamericanos</w:t>
      </w:r>
      <w:r w:rsidRPr="00116A43">
        <w:rPr>
          <w:rStyle w:val="FootnoteReference"/>
          <w:rFonts w:asciiTheme="majorHAnsi" w:hAnsiTheme="majorHAnsi"/>
          <w:sz w:val="20"/>
          <w:szCs w:val="20"/>
        </w:rPr>
        <w:footnoteReference w:id="142"/>
      </w:r>
      <w:r w:rsidR="004B4DFA" w:rsidRPr="00116A43">
        <w:rPr>
          <w:rFonts w:asciiTheme="majorHAnsi" w:hAnsiTheme="majorHAnsi"/>
          <w:sz w:val="20"/>
          <w:szCs w:val="20"/>
          <w:lang w:val="es-ES"/>
        </w:rPr>
        <w:t>.</w:t>
      </w:r>
    </w:p>
    <w:p w14:paraId="2E782DD6" w14:textId="77777777" w:rsidR="001F0295" w:rsidRPr="00116A43" w:rsidRDefault="001F0295" w:rsidP="00375047">
      <w:pPr>
        <w:pStyle w:val="NormalWeb"/>
        <w:shd w:val="clear" w:color="auto" w:fill="FFFFFF"/>
        <w:tabs>
          <w:tab w:val="left" w:pos="360"/>
        </w:tabs>
        <w:spacing w:before="0" w:beforeAutospacing="0" w:after="0" w:afterAutospacing="0"/>
        <w:jc w:val="both"/>
        <w:rPr>
          <w:rFonts w:asciiTheme="majorHAnsi" w:hAnsiTheme="majorHAnsi"/>
          <w:sz w:val="20"/>
          <w:lang w:val="es-ES"/>
        </w:rPr>
      </w:pPr>
    </w:p>
    <w:p w14:paraId="5383318C" w14:textId="5BE1ADE4" w:rsidR="001F0295" w:rsidRPr="00F04C39" w:rsidRDefault="001F0295" w:rsidP="00375047">
      <w:pPr>
        <w:pStyle w:val="NormalWeb"/>
        <w:numPr>
          <w:ilvl w:val="0"/>
          <w:numId w:val="55"/>
        </w:numPr>
        <w:shd w:val="clear" w:color="auto" w:fill="FFFFFF"/>
        <w:tabs>
          <w:tab w:val="left" w:pos="360"/>
        </w:tabs>
        <w:spacing w:before="0" w:beforeAutospacing="0" w:after="0" w:afterAutospacing="0"/>
        <w:ind w:firstLine="0"/>
        <w:jc w:val="both"/>
        <w:rPr>
          <w:rFonts w:ascii="Cambria" w:hAnsi="Cambria"/>
          <w:sz w:val="20"/>
          <w:szCs w:val="20"/>
          <w:lang w:val="es-ES"/>
        </w:rPr>
      </w:pPr>
      <w:r w:rsidRPr="00116A43">
        <w:rPr>
          <w:rFonts w:asciiTheme="majorHAnsi" w:hAnsiTheme="majorHAnsi"/>
          <w:sz w:val="20"/>
          <w:szCs w:val="20"/>
          <w:lang w:val="es-ES"/>
        </w:rPr>
        <w:t>Asimismo, de acuerdo con el Conjunto de Principios de las Naciones Unidas para la protección de todas las personas sometidas a cualquier forma de detención o prisión, “toda forma de detención o prisión y todas las medidas que afectan a los derechos humanos de las personas sometidas a cualquier forma de detención o prisión deberán ser ordenadas por un juez u otra autoridad, o quedar sujetas a la fiscalización efectiva de un juez u otra autoridad”</w:t>
      </w:r>
      <w:r w:rsidRPr="00116A43">
        <w:rPr>
          <w:rStyle w:val="FootnoteReference"/>
          <w:rFonts w:asciiTheme="majorHAnsi" w:eastAsia="Arial Unicode MS" w:hAnsiTheme="majorHAnsi"/>
          <w:sz w:val="20"/>
          <w:szCs w:val="20"/>
          <w:bdr w:val="nil"/>
        </w:rPr>
        <w:footnoteReference w:id="143"/>
      </w:r>
      <w:r w:rsidR="00036F88" w:rsidRPr="00116A43">
        <w:rPr>
          <w:rFonts w:asciiTheme="majorHAnsi" w:hAnsiTheme="majorHAnsi"/>
          <w:sz w:val="20"/>
          <w:szCs w:val="20"/>
          <w:lang w:val="es-ES"/>
        </w:rPr>
        <w:t>.</w:t>
      </w:r>
      <w:r w:rsidRPr="00116A43">
        <w:rPr>
          <w:rFonts w:asciiTheme="majorHAnsi" w:hAnsiTheme="majorHAnsi"/>
          <w:sz w:val="20"/>
          <w:szCs w:val="20"/>
          <w:lang w:val="es-ES"/>
        </w:rPr>
        <w:t xml:space="preserve"> </w:t>
      </w:r>
      <w:r w:rsidRPr="00116A43">
        <w:rPr>
          <w:rFonts w:asciiTheme="majorHAnsi" w:eastAsia="Calibri" w:hAnsiTheme="majorHAnsi"/>
          <w:sz w:val="20"/>
          <w:szCs w:val="20"/>
          <w:lang w:val="es-ES"/>
        </w:rPr>
        <w:t xml:space="preserve">El requisito de que la detención no sea dejada a la sola discreción de los agentes del Estado responsables de llevarla a cabo es tan fundamental que no puede obviarse en contexto alguno. La supervisión y el control de la detención es una salvaguarda esencial puesto que brinda garantías </w:t>
      </w:r>
      <w:r w:rsidRPr="00F04C39">
        <w:rPr>
          <w:rFonts w:ascii="Cambria" w:eastAsia="Calibri" w:hAnsi="Cambria"/>
          <w:sz w:val="20"/>
          <w:szCs w:val="20"/>
          <w:lang w:val="es-ES"/>
        </w:rPr>
        <w:t>efectivas de que el detenido no está exclusivamente a merced de la autoridad que lo detiene. En circunstancias normales, el examen de la legalidad de la detención debe realizarse sin demora, lo que en general significa tan pronto como sea posible</w:t>
      </w:r>
      <w:r w:rsidRPr="00F04C39">
        <w:rPr>
          <w:rStyle w:val="FootnoteReference"/>
          <w:rFonts w:ascii="Cambria" w:eastAsia="Calibri" w:hAnsi="Cambria"/>
          <w:sz w:val="20"/>
          <w:szCs w:val="20"/>
        </w:rPr>
        <w:footnoteReference w:id="144"/>
      </w:r>
      <w:r w:rsidR="0094743D" w:rsidRPr="00F04C39">
        <w:rPr>
          <w:rFonts w:ascii="Cambria" w:eastAsia="Calibri" w:hAnsi="Cambria"/>
          <w:sz w:val="20"/>
          <w:szCs w:val="20"/>
          <w:lang w:val="es-ES"/>
        </w:rPr>
        <w:t>.</w:t>
      </w:r>
    </w:p>
    <w:p w14:paraId="7BD8DA84" w14:textId="1C66A0AA" w:rsidR="006316CE" w:rsidRPr="00F04C39" w:rsidRDefault="006316CE" w:rsidP="00F04C39">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7BD556A1" w14:textId="69CFA4DF" w:rsidR="001F0295" w:rsidRPr="00F04C39" w:rsidRDefault="001F0295" w:rsidP="00375047">
      <w:pPr>
        <w:pStyle w:val="NormalWeb"/>
        <w:numPr>
          <w:ilvl w:val="0"/>
          <w:numId w:val="55"/>
        </w:numPr>
        <w:shd w:val="clear" w:color="auto" w:fill="FFFFFF"/>
        <w:tabs>
          <w:tab w:val="left" w:pos="360"/>
        </w:tabs>
        <w:spacing w:before="0" w:beforeAutospacing="0" w:after="0" w:afterAutospacing="0"/>
        <w:ind w:firstLine="0"/>
        <w:jc w:val="both"/>
        <w:rPr>
          <w:rFonts w:ascii="Cambria" w:hAnsi="Cambria"/>
          <w:sz w:val="20"/>
          <w:szCs w:val="20"/>
          <w:lang w:val="es-ES"/>
        </w:rPr>
      </w:pPr>
      <w:r w:rsidRPr="00F04C39">
        <w:rPr>
          <w:rFonts w:ascii="Cambria" w:hAnsi="Cambria"/>
          <w:sz w:val="20"/>
          <w:szCs w:val="20"/>
          <w:lang w:val="es-ES"/>
        </w:rPr>
        <w:t>De acuerdo con la CIDH, el análisis de la compatibilidad de la privación de libertad con la prohibición de la detención ilegal o arbitraria debe realizarse en tres pasos. El primero consiste en determinar la legalidad de la detención desde un punto de vista material y formal. Para ello, debe determinarse si la acción es compatible con las disposiciones internas del Estado en cuestión. El segundo paso conlleva el análisis de esas disposiciones internas dentro del contexto de las garantías establecidas por los instrumentos interamericanos de derechos humanos, a fin de determinar si son arbitrarias. Finalmente, aunque la detención cumpla los requisitos de una disposición jurídica interna compatible con dichos instrumentos, debe determinarse si la aplicación de la ley en el caso específico fue arbitraria</w:t>
      </w:r>
      <w:r w:rsidRPr="00F04C39">
        <w:rPr>
          <w:rStyle w:val="FootnoteReference"/>
          <w:rFonts w:ascii="Cambria" w:hAnsi="Cambria"/>
          <w:sz w:val="20"/>
          <w:szCs w:val="20"/>
        </w:rPr>
        <w:footnoteReference w:id="145"/>
      </w:r>
      <w:r w:rsidRPr="00F04C39">
        <w:rPr>
          <w:rFonts w:ascii="Cambria" w:hAnsi="Cambria"/>
          <w:sz w:val="20"/>
          <w:szCs w:val="20"/>
          <w:lang w:val="es-ES"/>
        </w:rPr>
        <w:t xml:space="preserve">. En este sentido, </w:t>
      </w:r>
      <w:r w:rsidRPr="00584516">
        <w:rPr>
          <w:rFonts w:ascii="Cambria" w:hAnsi="Cambria" w:cs="Arial"/>
          <w:sz w:val="20"/>
          <w:szCs w:val="20"/>
          <w:lang w:val="es-ES"/>
        </w:rPr>
        <w:t>la CIDH ha afirmado que el ejercicio de la libertad de expresión</w:t>
      </w:r>
      <w:r w:rsidR="0067689C" w:rsidRPr="00584516">
        <w:rPr>
          <w:rFonts w:ascii="Cambria" w:hAnsi="Cambria" w:cs="Arial"/>
          <w:sz w:val="20"/>
          <w:szCs w:val="20"/>
          <w:lang w:val="es-ES"/>
        </w:rPr>
        <w:t>, reunión</w:t>
      </w:r>
      <w:r w:rsidRPr="00584516">
        <w:rPr>
          <w:rFonts w:ascii="Cambria" w:hAnsi="Cambria" w:cs="Arial"/>
          <w:sz w:val="20"/>
          <w:szCs w:val="20"/>
          <w:lang w:val="es-ES"/>
        </w:rPr>
        <w:t xml:space="preserve"> y</w:t>
      </w:r>
      <w:r w:rsidR="0067689C" w:rsidRPr="00584516">
        <w:rPr>
          <w:rFonts w:ascii="Cambria" w:hAnsi="Cambria" w:cs="Arial"/>
          <w:sz w:val="20"/>
          <w:szCs w:val="20"/>
          <w:lang w:val="es-ES"/>
        </w:rPr>
        <w:t>/o</w:t>
      </w:r>
      <w:r w:rsidRPr="00584516">
        <w:rPr>
          <w:rFonts w:ascii="Cambria" w:hAnsi="Cambria" w:cs="Arial"/>
          <w:sz w:val="20"/>
          <w:szCs w:val="20"/>
          <w:lang w:val="es-ES"/>
        </w:rPr>
        <w:t xml:space="preserve"> asociación no puede constituir una finalidad legítima a la luz de los principios democráticos que justifique la privación de libertad de una persona y resulta en una privación de la libertad arbitraria</w:t>
      </w:r>
      <w:r w:rsidRPr="00584516">
        <w:rPr>
          <w:rStyle w:val="FootnoteReference"/>
          <w:rFonts w:ascii="Cambria" w:hAnsi="Cambria" w:cs="Arial"/>
          <w:sz w:val="20"/>
          <w:szCs w:val="20"/>
          <w:lang w:val="es-ES"/>
        </w:rPr>
        <w:footnoteReference w:id="146"/>
      </w:r>
      <w:r w:rsidRPr="00584516">
        <w:rPr>
          <w:rFonts w:ascii="Cambria" w:hAnsi="Cambria" w:cs="Arial"/>
          <w:sz w:val="20"/>
          <w:szCs w:val="20"/>
          <w:lang w:val="es-ES"/>
        </w:rPr>
        <w:t xml:space="preserve">. De ahí que la detención con este fin no satisface los criterios de compatibilidad de privación de libertad identificados por la CIDH. </w:t>
      </w:r>
    </w:p>
    <w:p w14:paraId="42696715" w14:textId="77777777" w:rsidR="001F0295" w:rsidRPr="00F04C39" w:rsidRDefault="001F0295" w:rsidP="00375047">
      <w:pPr>
        <w:pStyle w:val="ListParagraph"/>
        <w:ind w:left="0"/>
        <w:rPr>
          <w:sz w:val="20"/>
          <w:szCs w:val="20"/>
          <w:lang w:val="es-ES"/>
        </w:rPr>
      </w:pPr>
    </w:p>
    <w:p w14:paraId="1F58C679" w14:textId="69E8F07D" w:rsidR="001F0295" w:rsidRPr="00045AAA" w:rsidRDefault="001F029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b/>
          <w:bCs/>
          <w:sz w:val="20"/>
          <w:szCs w:val="20"/>
          <w:lang w:val="es-AR"/>
        </w:rPr>
      </w:pPr>
      <w:r w:rsidRPr="00584516">
        <w:rPr>
          <w:rFonts w:ascii="Cambria" w:hAnsi="Cambria"/>
          <w:sz w:val="20"/>
          <w:szCs w:val="20"/>
        </w:rPr>
        <w:t>Por otro lado, el artículo XXV de la Declaración Americana también dispone que “todo individuo que haya sido privado de su libertad tiene derecho a que el juez verifique sin demora la legalidad de la medida”. En este sentido, toda persona privada de libertad, por sí o por medio de terceros, tendrá derecho a interponer un recurso sencillo, rápido y eficaz, ante autoridades competentes, independientes e imparciales, contra actos u omisiones que violen o amenacen violar sus derechos humanos, que incluye el derecho a interponer acción de garantía alguna para salvaguardar su libertad personal o cuestionar la legalidad de su detención</w:t>
      </w:r>
      <w:r w:rsidRPr="00584516">
        <w:rPr>
          <w:rStyle w:val="FootnoteReference"/>
          <w:rFonts w:ascii="Cambria" w:hAnsi="Cambria"/>
          <w:sz w:val="20"/>
          <w:szCs w:val="20"/>
        </w:rPr>
        <w:footnoteReference w:id="147"/>
      </w:r>
      <w:r w:rsidRPr="00584516">
        <w:rPr>
          <w:rFonts w:ascii="Cambria" w:hAnsi="Cambria"/>
          <w:sz w:val="20"/>
          <w:szCs w:val="20"/>
        </w:rPr>
        <w:t xml:space="preserve">. </w:t>
      </w:r>
    </w:p>
    <w:p w14:paraId="285ECC72" w14:textId="77777777" w:rsidR="00045AAA" w:rsidRPr="00584516"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14:paraId="716BB3E7" w14:textId="6D37FFF8" w:rsidR="002910DA" w:rsidRPr="00F04C39" w:rsidRDefault="002910DA" w:rsidP="00577F2D">
      <w:pPr>
        <w:pStyle w:val="Heading3"/>
      </w:pPr>
      <w:bookmarkStart w:id="29" w:name="_Toc89157573"/>
      <w:r w:rsidRPr="00F04C39">
        <w:t>Sobre la integridad personal de las personas bajo custodia del Estado</w:t>
      </w:r>
      <w:r w:rsidR="006316CE" w:rsidRPr="00F04C39">
        <w:t xml:space="preserve">, </w:t>
      </w:r>
      <w:r w:rsidR="00584516" w:rsidRPr="00584516">
        <w:t>derecho a la igualdad y no</w:t>
      </w:r>
      <w:r w:rsidR="006316CE" w:rsidRPr="00F04C39">
        <w:t xml:space="preserve"> discriminación y</w:t>
      </w:r>
      <w:r w:rsidR="000B37DD" w:rsidRPr="00F04C39">
        <w:t xml:space="preserve"> la</w:t>
      </w:r>
      <w:r w:rsidR="006316CE" w:rsidRPr="00F04C39">
        <w:t xml:space="preserve"> violencia por razón de género contra la mujer</w:t>
      </w:r>
      <w:bookmarkEnd w:id="29"/>
    </w:p>
    <w:p w14:paraId="4BE185F3" w14:textId="77777777" w:rsidR="002910DA" w:rsidRPr="00F04C39" w:rsidRDefault="002910DA" w:rsidP="003B67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bCs/>
          <w:sz w:val="20"/>
          <w:szCs w:val="20"/>
          <w:bdr w:val="none" w:sz="0" w:space="0" w:color="auto"/>
        </w:rPr>
      </w:pPr>
    </w:p>
    <w:p w14:paraId="25DC9DCF" w14:textId="0285E958" w:rsidR="002910DA" w:rsidRPr="00584516" w:rsidRDefault="002910D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Arial"/>
          <w:sz w:val="20"/>
          <w:szCs w:val="20"/>
          <w:bdr w:val="none" w:sz="0" w:space="0" w:color="auto"/>
        </w:rPr>
      </w:pPr>
      <w:r w:rsidRPr="00584516">
        <w:rPr>
          <w:rFonts w:ascii="Cambria" w:hAnsi="Cambria"/>
          <w:sz w:val="20"/>
          <w:szCs w:val="20"/>
          <w:bdr w:val="none" w:sz="0" w:space="0" w:color="auto"/>
        </w:rPr>
        <w:t>El derecho de las personas privadas de libertad a un trato humano</w:t>
      </w:r>
      <w:r w:rsidR="00F16CE5" w:rsidRPr="00584516">
        <w:rPr>
          <w:rFonts w:ascii="Cambria" w:hAnsi="Cambria"/>
          <w:sz w:val="20"/>
          <w:szCs w:val="20"/>
          <w:bdr w:val="none" w:sz="0" w:space="0" w:color="auto"/>
        </w:rPr>
        <w:t xml:space="preserve"> y digno</w:t>
      </w:r>
      <w:r w:rsidRPr="00584516">
        <w:rPr>
          <w:rFonts w:ascii="Cambria" w:hAnsi="Cambria"/>
          <w:sz w:val="20"/>
          <w:szCs w:val="20"/>
          <w:bdr w:val="none" w:sz="0" w:space="0" w:color="auto"/>
        </w:rPr>
        <w:t xml:space="preserve"> bajo la custodia del Estado es una norma universalmente aceptada en el derecho internacional. La Declaración Americana contiene varias disposiciones a este respecto. La Comisión ha interpretado que el artículo I de la Declaración (Derecho a la vida, a la libertad, a la seguridad e integridad de la persona) contiene una prohibición similar a aquella del artículo 5 de la Convención Americana</w:t>
      </w:r>
      <w:r w:rsidRPr="00584516">
        <w:rPr>
          <w:rFonts w:ascii="Cambria" w:hAnsi="Cambria"/>
          <w:sz w:val="20"/>
          <w:szCs w:val="20"/>
          <w:bdr w:val="none" w:sz="0" w:space="0" w:color="auto"/>
          <w:vertAlign w:val="superscript"/>
        </w:rPr>
        <w:footnoteReference w:id="148"/>
      </w:r>
      <w:r w:rsidRPr="00584516">
        <w:rPr>
          <w:rFonts w:ascii="Cambria" w:hAnsi="Cambria"/>
          <w:sz w:val="20"/>
          <w:szCs w:val="20"/>
          <w:bdr w:val="none" w:sz="0" w:space="0" w:color="auto"/>
        </w:rPr>
        <w:t xml:space="preserve">. Adicionalmente, </w:t>
      </w:r>
      <w:r w:rsidR="00B1499D" w:rsidRPr="00584516">
        <w:rPr>
          <w:rFonts w:ascii="Cambria" w:hAnsi="Cambria"/>
          <w:sz w:val="20"/>
          <w:szCs w:val="20"/>
          <w:bdr w:val="none" w:sz="0" w:space="0" w:color="auto"/>
        </w:rPr>
        <w:t>el</w:t>
      </w:r>
      <w:r w:rsidRPr="00584516">
        <w:rPr>
          <w:rFonts w:ascii="Cambria" w:hAnsi="Cambria"/>
          <w:sz w:val="20"/>
          <w:szCs w:val="20"/>
          <w:bdr w:val="none" w:sz="0" w:space="0" w:color="auto"/>
        </w:rPr>
        <w:t xml:space="preserve"> artículo XXV de la Declaración se refiere al derecho al trato humano en el contexto de</w:t>
      </w:r>
      <w:r w:rsidR="00A83473" w:rsidRPr="00584516">
        <w:rPr>
          <w:rFonts w:ascii="Cambria" w:hAnsi="Cambria"/>
          <w:sz w:val="20"/>
          <w:szCs w:val="20"/>
          <w:bdr w:val="none" w:sz="0" w:space="0" w:color="auto"/>
        </w:rPr>
        <w:t>l</w:t>
      </w:r>
      <w:r w:rsidRPr="00584516">
        <w:rPr>
          <w:rFonts w:ascii="Cambria" w:hAnsi="Cambria"/>
          <w:sz w:val="20"/>
          <w:szCs w:val="20"/>
          <w:bdr w:val="none" w:sz="0" w:space="0" w:color="auto"/>
        </w:rPr>
        <w:t xml:space="preserve"> derecho a la protección contra la detención arbitraria</w:t>
      </w:r>
      <w:r w:rsidR="00E0464C" w:rsidRPr="00584516">
        <w:rPr>
          <w:rStyle w:val="FootnoteReference"/>
          <w:rFonts w:ascii="Cambria" w:hAnsi="Cambria"/>
          <w:sz w:val="20"/>
          <w:szCs w:val="20"/>
          <w:bdr w:val="none" w:sz="0" w:space="0" w:color="auto"/>
        </w:rPr>
        <w:footnoteReference w:id="149"/>
      </w:r>
      <w:r w:rsidRPr="00584516">
        <w:rPr>
          <w:rFonts w:ascii="Cambria" w:hAnsi="Cambria"/>
          <w:sz w:val="20"/>
          <w:szCs w:val="20"/>
          <w:bdr w:val="none" w:sz="0" w:space="0" w:color="auto"/>
        </w:rPr>
        <w:t>.</w:t>
      </w:r>
    </w:p>
    <w:p w14:paraId="1B9EE292" w14:textId="77777777" w:rsidR="002910DA" w:rsidRPr="00584516" w:rsidRDefault="002910DA"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bdr w:val="none" w:sz="0" w:space="0" w:color="auto"/>
        </w:rPr>
      </w:pPr>
    </w:p>
    <w:p w14:paraId="09EA533D" w14:textId="4724A622" w:rsidR="00D31043" w:rsidRPr="00584516" w:rsidRDefault="002910D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Arial"/>
          <w:sz w:val="20"/>
          <w:szCs w:val="20"/>
          <w:bdr w:val="none" w:sz="0" w:space="0" w:color="auto"/>
        </w:rPr>
      </w:pPr>
      <w:r w:rsidRPr="00584516">
        <w:rPr>
          <w:rFonts w:ascii="Cambria" w:hAnsi="Cambria"/>
          <w:bCs/>
          <w:sz w:val="20"/>
          <w:szCs w:val="20"/>
          <w:bdr w:val="none" w:sz="0" w:space="0" w:color="auto"/>
          <w:lang w:val="es-AR"/>
        </w:rPr>
        <w:lastRenderedPageBreak/>
        <w:t>Los órganos del sistema interamericano han manifestado que toda persona privada de libertad tiene el derecho a vivir en condiciones de detención compatibles con su dignidad personal y el Estado debe garantizarle el derecho a la integridad personal. En consecuencia, el Estado, como responsable de los establecimientos de detención, es el garante de estos derechos de los detenidos</w:t>
      </w:r>
      <w:r w:rsidR="003B6782" w:rsidRPr="00584516">
        <w:rPr>
          <w:rStyle w:val="FootnoteReference"/>
          <w:rFonts w:ascii="Cambria" w:hAnsi="Cambria"/>
          <w:bCs/>
          <w:sz w:val="20"/>
          <w:szCs w:val="20"/>
          <w:bdr w:val="none" w:sz="0" w:space="0" w:color="auto"/>
          <w:lang w:val="es-AR"/>
        </w:rPr>
        <w:footnoteReference w:id="150"/>
      </w:r>
      <w:r w:rsidRPr="00584516">
        <w:rPr>
          <w:rFonts w:ascii="Cambria" w:hAnsi="Cambria"/>
          <w:sz w:val="20"/>
          <w:szCs w:val="20"/>
          <w:bdr w:val="none" w:sz="0" w:space="0" w:color="auto"/>
          <w:lang w:val="es-AR"/>
        </w:rPr>
        <w:t xml:space="preserve">. </w:t>
      </w:r>
    </w:p>
    <w:p w14:paraId="640641D6" w14:textId="77777777" w:rsidR="003B6782" w:rsidRPr="00584516" w:rsidRDefault="003B6782"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bdr w:val="none" w:sz="0" w:space="0" w:color="auto"/>
        </w:rPr>
      </w:pPr>
    </w:p>
    <w:p w14:paraId="20ACE8E8" w14:textId="141DEFA2" w:rsidR="00A65C91" w:rsidRPr="00584516" w:rsidRDefault="00A65C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Arial"/>
          <w:sz w:val="20"/>
          <w:szCs w:val="20"/>
          <w:bdr w:val="none" w:sz="0" w:space="0" w:color="auto"/>
        </w:rPr>
      </w:pPr>
      <w:r w:rsidRPr="00584516">
        <w:rPr>
          <w:rFonts w:ascii="Cambria" w:eastAsia="SimSun" w:hAnsi="Cambria"/>
          <w:sz w:val="20"/>
          <w:szCs w:val="20"/>
        </w:rPr>
        <w:t>Es</w:t>
      </w:r>
      <w:r w:rsidRPr="00584516">
        <w:rPr>
          <w:rFonts w:ascii="Cambria" w:hAnsi="Cambria"/>
          <w:sz w:val="20"/>
          <w:szCs w:val="20"/>
          <w:lang w:val="es-MX"/>
        </w:rPr>
        <w:t xml:space="preserve"> un principio de la jurisprudencia del sistema interamericano que el Estado es el garante de los derechos de las personas privadas de libertad</w:t>
      </w:r>
      <w:r w:rsidR="0067689C" w:rsidRPr="00584516">
        <w:rPr>
          <w:rFonts w:ascii="Cambria" w:hAnsi="Cambria"/>
          <w:sz w:val="20"/>
          <w:szCs w:val="20"/>
          <w:lang w:val="es-MX"/>
        </w:rPr>
        <w:t xml:space="preserve"> </w:t>
      </w:r>
      <w:r w:rsidRPr="00584516">
        <w:rPr>
          <w:rFonts w:ascii="Cambria" w:hAnsi="Cambria"/>
          <w:sz w:val="20"/>
          <w:szCs w:val="20"/>
          <w:lang w:val="es-MX"/>
        </w:rPr>
        <w:t>y por ende debe tomar las medidas necesarias para respetar y garantizar los derechos de los individuos bajo su custodia</w:t>
      </w:r>
      <w:r w:rsidRPr="00584516">
        <w:rPr>
          <w:rFonts w:ascii="Cambria" w:hAnsi="Cambria"/>
          <w:sz w:val="20"/>
          <w:szCs w:val="20"/>
          <w:vertAlign w:val="superscript"/>
          <w:lang w:val="es-MX"/>
        </w:rPr>
        <w:footnoteReference w:id="151"/>
      </w:r>
      <w:r w:rsidR="0067689C" w:rsidRPr="00584516">
        <w:rPr>
          <w:rFonts w:ascii="Cambria" w:hAnsi="Cambria"/>
          <w:sz w:val="20"/>
          <w:szCs w:val="20"/>
          <w:lang w:val="es-MX"/>
        </w:rPr>
        <w:t>, sin importar el tipo de privación de la libertad de que se trate, su duración o el lugar donde esta se lleve a cabo</w:t>
      </w:r>
      <w:r w:rsidRPr="00584516">
        <w:rPr>
          <w:rFonts w:ascii="Cambria" w:hAnsi="Cambria"/>
          <w:sz w:val="20"/>
          <w:szCs w:val="20"/>
          <w:lang w:val="es-MX"/>
        </w:rPr>
        <w:t>. La Comisión ha explicado este concepto de la siguiente forma:</w:t>
      </w:r>
    </w:p>
    <w:p w14:paraId="5F57E722" w14:textId="77777777" w:rsidR="00EA0B99" w:rsidRPr="00584516" w:rsidRDefault="00EA0B99" w:rsidP="00EA0B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bdr w:val="none" w:sz="0" w:space="0" w:color="auto"/>
        </w:rPr>
      </w:pPr>
    </w:p>
    <w:p w14:paraId="71919F50" w14:textId="77777777" w:rsidR="00A65C91" w:rsidRPr="00F04C39" w:rsidRDefault="00A65C91" w:rsidP="00045AAA">
      <w:pPr>
        <w:pStyle w:val="ListParagraph"/>
        <w:pBdr>
          <w:top w:val="none" w:sz="0" w:space="0" w:color="auto"/>
          <w:left w:val="none" w:sz="0" w:space="0" w:color="auto"/>
          <w:bottom w:val="none" w:sz="0" w:space="0" w:color="auto"/>
          <w:right w:val="none" w:sz="0" w:space="0" w:color="auto"/>
        </w:pBdr>
        <w:ind w:right="720"/>
        <w:jc w:val="both"/>
        <w:rPr>
          <w:sz w:val="20"/>
          <w:szCs w:val="20"/>
          <w:lang w:val="es-MX"/>
        </w:rPr>
      </w:pPr>
      <w:r w:rsidRPr="00F04C39">
        <w:rPr>
          <w:sz w:val="20"/>
          <w:szCs w:val="20"/>
          <w:lang w:val="es-MX"/>
        </w:rPr>
        <w:t>El Estado, al privar de libertad a una persona, se coloca en una especial posición de garante de su vida e integridad física. Al momento de detener a un individuo, el Estado lo introduce en una "institución total", como es la prisión, en la cual los diversos aspectos de su vida se someten a una regulación fija, y se produce un alejamiento de su entorno natural y social, un control absoluto, una pérdida de intimidad, una limitación del espacio vital y, sobre todo, una radical disminución de las posibilidades de autoprotección. Todo ello hace que el acto de reclusión implique un compromiso específico y material de proteger la dignidad humana del recluso mientras esté bajo su custodia, lo que incluye su protección frente a las posibles circunstancias que puedan poner en peligro su vida, salud e integridad personal, entre otros derechos</w:t>
      </w:r>
      <w:r w:rsidRPr="00F04C39">
        <w:rPr>
          <w:sz w:val="20"/>
          <w:szCs w:val="20"/>
          <w:vertAlign w:val="superscript"/>
          <w:lang w:val="es-MX"/>
        </w:rPr>
        <w:footnoteReference w:id="152"/>
      </w:r>
      <w:r w:rsidRPr="00F04C39">
        <w:rPr>
          <w:sz w:val="20"/>
          <w:szCs w:val="20"/>
          <w:lang w:val="es-MX"/>
        </w:rPr>
        <w:t>.</w:t>
      </w:r>
    </w:p>
    <w:p w14:paraId="7A99BC84" w14:textId="77777777" w:rsidR="00A65C91" w:rsidRPr="00584516" w:rsidRDefault="00A65C91" w:rsidP="00A65C91">
      <w:pPr>
        <w:pStyle w:val="ListParagraph"/>
        <w:pBdr>
          <w:top w:val="none" w:sz="0" w:space="0" w:color="auto"/>
          <w:left w:val="none" w:sz="0" w:space="0" w:color="auto"/>
          <w:bottom w:val="none" w:sz="0" w:space="0" w:color="auto"/>
          <w:right w:val="none" w:sz="0" w:space="0" w:color="auto"/>
        </w:pBdr>
        <w:rPr>
          <w:sz w:val="20"/>
          <w:szCs w:val="20"/>
          <w:lang w:val="es-MX"/>
        </w:rPr>
      </w:pPr>
    </w:p>
    <w:p w14:paraId="76E208EA" w14:textId="70E429FE" w:rsidR="00A65C91" w:rsidRPr="00584516" w:rsidRDefault="00A65C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584516">
        <w:rPr>
          <w:rFonts w:ascii="Cambria" w:eastAsia="SimSun" w:hAnsi="Cambria"/>
          <w:sz w:val="20"/>
          <w:szCs w:val="20"/>
        </w:rPr>
        <w:t xml:space="preserve">La consecuencia legal de la posición de garante del Estado es la presunción </w:t>
      </w:r>
      <w:proofErr w:type="spellStart"/>
      <w:r w:rsidRPr="00584516">
        <w:rPr>
          <w:rFonts w:ascii="Cambria" w:eastAsia="SimSun" w:hAnsi="Cambria"/>
          <w:sz w:val="20"/>
          <w:szCs w:val="20"/>
        </w:rPr>
        <w:t>desvirtuable</w:t>
      </w:r>
      <w:proofErr w:type="spellEnd"/>
      <w:r w:rsidRPr="00584516">
        <w:rPr>
          <w:rFonts w:ascii="Cambria" w:eastAsia="SimSun" w:hAnsi="Cambria"/>
          <w:sz w:val="20"/>
          <w:szCs w:val="20"/>
        </w:rPr>
        <w:t xml:space="preserve"> de que el Estado es internacionalmente responsable por las violaciones de los derechos a la vida y al trato humano cometido contra personas que están bajo su custodia</w:t>
      </w:r>
      <w:r w:rsidRPr="00584516">
        <w:rPr>
          <w:rFonts w:ascii="Cambria" w:eastAsia="SimSun" w:hAnsi="Cambria"/>
          <w:sz w:val="20"/>
          <w:szCs w:val="20"/>
          <w:vertAlign w:val="superscript"/>
        </w:rPr>
        <w:footnoteReference w:id="153"/>
      </w:r>
      <w:r w:rsidRPr="00584516">
        <w:rPr>
          <w:rFonts w:ascii="Cambria" w:eastAsia="SimSun" w:hAnsi="Cambria"/>
          <w:sz w:val="20"/>
          <w:szCs w:val="20"/>
        </w:rPr>
        <w:t xml:space="preserve">. </w:t>
      </w:r>
    </w:p>
    <w:p w14:paraId="7C2BE6B6" w14:textId="77777777" w:rsidR="00EA0B99" w:rsidRPr="00584516" w:rsidRDefault="00EA0B99"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SimSun" w:hAnsi="Cambria"/>
          <w:sz w:val="20"/>
          <w:szCs w:val="20"/>
        </w:rPr>
      </w:pPr>
    </w:p>
    <w:p w14:paraId="587CE7AD" w14:textId="0999E20F" w:rsidR="00A65C91" w:rsidRPr="00584516" w:rsidRDefault="00A65C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584516">
        <w:rPr>
          <w:rFonts w:ascii="Cambria" w:eastAsia="SimSun" w:hAnsi="Cambria"/>
          <w:sz w:val="20"/>
          <w:szCs w:val="20"/>
        </w:rPr>
        <w:t>En este sentido, la CIDH ha indicado que cualquier uso de fuerza que no sea el estrictamente necesario para asegurar el comportamiento apropiado de los detenidos constituye un ataque a la dignidad de la persona</w:t>
      </w:r>
      <w:r w:rsidRPr="00584516">
        <w:rPr>
          <w:rFonts w:ascii="Cambria" w:eastAsia="SimSun" w:hAnsi="Cambria"/>
          <w:sz w:val="20"/>
          <w:szCs w:val="20"/>
          <w:vertAlign w:val="superscript"/>
        </w:rPr>
        <w:footnoteReference w:id="154"/>
      </w:r>
      <w:r w:rsidRPr="00584516">
        <w:rPr>
          <w:rFonts w:ascii="Cambria" w:eastAsia="SimSun" w:hAnsi="Cambria"/>
          <w:sz w:val="20"/>
          <w:szCs w:val="20"/>
        </w:rPr>
        <w:t xml:space="preserve">. Considerando la posición de garante del Estado, cuando se demuestra que, tras la detención y uso excesivo de la fuerza, la persona detenida sufrió lesiones físicas, el Estado </w:t>
      </w:r>
      <w:r w:rsidR="0067689C" w:rsidRPr="00584516">
        <w:rPr>
          <w:rFonts w:ascii="Cambria" w:eastAsia="SimSun" w:hAnsi="Cambria"/>
          <w:sz w:val="20"/>
          <w:szCs w:val="20"/>
        </w:rPr>
        <w:t xml:space="preserve">incurre en responsabilidad internacional por la vulneración de </w:t>
      </w:r>
      <w:r w:rsidRPr="00584516">
        <w:rPr>
          <w:rFonts w:ascii="Cambria" w:eastAsia="SimSun" w:hAnsi="Cambria"/>
          <w:sz w:val="20"/>
          <w:szCs w:val="20"/>
        </w:rPr>
        <w:t xml:space="preserve">la </w:t>
      </w:r>
      <w:r w:rsidR="00435204" w:rsidRPr="00584516">
        <w:rPr>
          <w:rFonts w:ascii="Cambria" w:eastAsia="SimSun" w:hAnsi="Cambria"/>
          <w:sz w:val="20"/>
          <w:szCs w:val="20"/>
        </w:rPr>
        <w:t>integridad</w:t>
      </w:r>
      <w:r w:rsidRPr="00584516">
        <w:rPr>
          <w:rFonts w:ascii="Cambria" w:eastAsia="SimSun" w:hAnsi="Cambria"/>
          <w:sz w:val="20"/>
          <w:szCs w:val="20"/>
        </w:rPr>
        <w:t xml:space="preserve"> y seguridad personal, en contravención del artículo I de la Declaración Americana</w:t>
      </w:r>
      <w:r w:rsidRPr="00584516">
        <w:rPr>
          <w:rFonts w:ascii="Cambria" w:eastAsia="SimSun" w:hAnsi="Cambria"/>
          <w:sz w:val="20"/>
          <w:szCs w:val="20"/>
          <w:vertAlign w:val="superscript"/>
        </w:rPr>
        <w:footnoteReference w:id="155"/>
      </w:r>
      <w:r w:rsidRPr="00584516">
        <w:rPr>
          <w:rFonts w:ascii="Cambria" w:eastAsia="SimSun" w:hAnsi="Cambria"/>
          <w:sz w:val="20"/>
          <w:szCs w:val="20"/>
        </w:rPr>
        <w:t xml:space="preserve">. </w:t>
      </w:r>
    </w:p>
    <w:p w14:paraId="3D5F54A5" w14:textId="77777777" w:rsidR="00CE1937" w:rsidRPr="00584516" w:rsidRDefault="00CE1937"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SimSun"/>
          <w:sz w:val="20"/>
          <w:szCs w:val="20"/>
          <w:lang w:val="es-ES"/>
        </w:rPr>
      </w:pPr>
    </w:p>
    <w:p w14:paraId="4AD0BCA0" w14:textId="750044BE" w:rsidR="00A65C91" w:rsidRPr="00584516" w:rsidRDefault="00A65C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584516">
        <w:rPr>
          <w:rFonts w:ascii="Cambria" w:eastAsia="SimSun" w:hAnsi="Cambria"/>
          <w:sz w:val="20"/>
          <w:szCs w:val="20"/>
        </w:rPr>
        <w:t>Ahora bien, no solamente la integridad física debe ser protegida, sino también la integridad moral y psicológica, como la CIDH ha indicado en sus Principios y Buenas Prácticas sobre la Protección de las Personas Privadas de Libertad en las Américas</w:t>
      </w:r>
      <w:r w:rsidRPr="00584516">
        <w:rPr>
          <w:rFonts w:ascii="Cambria" w:eastAsia="SimSun" w:hAnsi="Cambria"/>
          <w:sz w:val="20"/>
          <w:szCs w:val="20"/>
          <w:vertAlign w:val="superscript"/>
        </w:rPr>
        <w:footnoteReference w:id="156"/>
      </w:r>
      <w:r w:rsidRPr="00584516">
        <w:rPr>
          <w:rFonts w:ascii="Cambria" w:eastAsia="SimSun" w:hAnsi="Cambria"/>
          <w:sz w:val="20"/>
          <w:szCs w:val="20"/>
        </w:rPr>
        <w:t>. De ahí que, por ejemplo, la persona detenida no puede ser objeto de requisas innecesarias y humillantes</w:t>
      </w:r>
      <w:r w:rsidRPr="00584516">
        <w:rPr>
          <w:rFonts w:ascii="Cambria" w:eastAsia="SimSun" w:hAnsi="Cambria"/>
          <w:sz w:val="20"/>
          <w:szCs w:val="20"/>
          <w:vertAlign w:val="superscript"/>
        </w:rPr>
        <w:footnoteReference w:id="157"/>
      </w:r>
      <w:r w:rsidRPr="00584516">
        <w:rPr>
          <w:rFonts w:ascii="Cambria" w:eastAsia="SimSun" w:hAnsi="Cambria"/>
          <w:sz w:val="20"/>
          <w:szCs w:val="20"/>
        </w:rPr>
        <w:t>.</w:t>
      </w:r>
      <w:r w:rsidR="002B3D1D" w:rsidRPr="00584516">
        <w:rPr>
          <w:rFonts w:ascii="Cambria" w:eastAsia="SimSun" w:hAnsi="Cambria"/>
          <w:sz w:val="20"/>
          <w:szCs w:val="20"/>
        </w:rPr>
        <w:t xml:space="preserve"> </w:t>
      </w:r>
    </w:p>
    <w:p w14:paraId="714A3F90" w14:textId="77777777" w:rsidR="002B3D1D" w:rsidRPr="00584516" w:rsidRDefault="002B3D1D" w:rsidP="00375047">
      <w:pPr>
        <w:pStyle w:val="ListParagraph"/>
        <w:ind w:left="0"/>
        <w:rPr>
          <w:rFonts w:eastAsia="SimSun"/>
          <w:sz w:val="20"/>
          <w:szCs w:val="20"/>
          <w:lang w:val="es-PE"/>
        </w:rPr>
      </w:pPr>
    </w:p>
    <w:p w14:paraId="518862C9" w14:textId="6121A059" w:rsidR="002B3D1D" w:rsidRPr="00584516" w:rsidRDefault="002B3D1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584516">
        <w:rPr>
          <w:rFonts w:ascii="Cambria" w:eastAsia="SimSun" w:hAnsi="Cambria"/>
          <w:sz w:val="20"/>
          <w:szCs w:val="20"/>
        </w:rPr>
        <w:t>La posición de garante del Estado adquiere especiales matices cuando la persona detenida es una mujer</w:t>
      </w:r>
      <w:r w:rsidR="00060331" w:rsidRPr="00584516">
        <w:rPr>
          <w:rFonts w:ascii="Cambria" w:eastAsia="SimSun" w:hAnsi="Cambria"/>
          <w:sz w:val="20"/>
          <w:szCs w:val="20"/>
        </w:rPr>
        <w:t>, ya que</w:t>
      </w:r>
      <w:r w:rsidRPr="00584516">
        <w:rPr>
          <w:rFonts w:ascii="Cambria" w:hAnsi="Cambria"/>
          <w:sz w:val="20"/>
          <w:szCs w:val="20"/>
        </w:rPr>
        <w:t xml:space="preserve"> están expuestas a un mayor riesgo de sufrir malos tratos</w:t>
      </w:r>
      <w:r w:rsidR="00F54157" w:rsidRPr="00584516">
        <w:rPr>
          <w:rFonts w:ascii="Cambria" w:hAnsi="Cambria"/>
          <w:sz w:val="20"/>
          <w:szCs w:val="20"/>
        </w:rPr>
        <w:t xml:space="preserve"> durante la detención</w:t>
      </w:r>
      <w:r w:rsidRPr="00584516">
        <w:rPr>
          <w:rFonts w:ascii="Cambria" w:hAnsi="Cambria"/>
          <w:sz w:val="20"/>
          <w:szCs w:val="20"/>
        </w:rPr>
        <w:t>, incluido</w:t>
      </w:r>
      <w:r w:rsidR="00060331" w:rsidRPr="00584516">
        <w:rPr>
          <w:rFonts w:ascii="Cambria" w:hAnsi="Cambria"/>
          <w:sz w:val="20"/>
          <w:szCs w:val="20"/>
        </w:rPr>
        <w:t xml:space="preserve"> la </w:t>
      </w:r>
      <w:r w:rsidR="00060331" w:rsidRPr="00584516">
        <w:rPr>
          <w:rFonts w:ascii="Cambria" w:hAnsi="Cambria"/>
          <w:sz w:val="20"/>
          <w:szCs w:val="20"/>
        </w:rPr>
        <w:lastRenderedPageBreak/>
        <w:t>violencia y</w:t>
      </w:r>
      <w:r w:rsidRPr="00584516">
        <w:rPr>
          <w:rFonts w:ascii="Cambria" w:hAnsi="Cambria"/>
          <w:sz w:val="20"/>
          <w:szCs w:val="20"/>
        </w:rPr>
        <w:t xml:space="preserve"> el abuso </w:t>
      </w:r>
      <w:r w:rsidR="00060331" w:rsidRPr="00584516">
        <w:rPr>
          <w:rFonts w:ascii="Cambria" w:hAnsi="Cambria"/>
          <w:sz w:val="20"/>
          <w:szCs w:val="20"/>
        </w:rPr>
        <w:t>sexual, por parte del personal estatal</w:t>
      </w:r>
      <w:r w:rsidR="00060331" w:rsidRPr="00584516">
        <w:rPr>
          <w:rStyle w:val="FootnoteReference"/>
          <w:rFonts w:ascii="Cambria" w:hAnsi="Cambria"/>
          <w:sz w:val="20"/>
          <w:szCs w:val="20"/>
        </w:rPr>
        <w:footnoteReference w:id="158"/>
      </w:r>
      <w:r w:rsidR="00060331" w:rsidRPr="00584516">
        <w:rPr>
          <w:rFonts w:ascii="Cambria" w:hAnsi="Cambria"/>
          <w:sz w:val="20"/>
          <w:szCs w:val="20"/>
        </w:rPr>
        <w:t xml:space="preserve">, </w:t>
      </w:r>
      <w:r w:rsidR="00F54157" w:rsidRPr="00584516">
        <w:rPr>
          <w:rFonts w:ascii="Cambria" w:hAnsi="Cambria"/>
          <w:sz w:val="20"/>
          <w:szCs w:val="20"/>
        </w:rPr>
        <w:t xml:space="preserve">en especial si es </w:t>
      </w:r>
      <w:r w:rsidR="00060331" w:rsidRPr="00584516">
        <w:rPr>
          <w:rFonts w:ascii="Cambria" w:hAnsi="Cambria"/>
          <w:sz w:val="20"/>
          <w:szCs w:val="20"/>
        </w:rPr>
        <w:t>masculino</w:t>
      </w:r>
      <w:r w:rsidR="00F54157" w:rsidRPr="00584516">
        <w:rPr>
          <w:rFonts w:ascii="Cambria" w:hAnsi="Cambria"/>
          <w:sz w:val="20"/>
          <w:szCs w:val="20"/>
        </w:rPr>
        <w:t xml:space="preserve">, </w:t>
      </w:r>
      <w:r w:rsidR="007B6255" w:rsidRPr="00584516">
        <w:rPr>
          <w:rFonts w:ascii="Cambria" w:hAnsi="Cambria"/>
          <w:sz w:val="20"/>
          <w:szCs w:val="20"/>
        </w:rPr>
        <w:t xml:space="preserve">de </w:t>
      </w:r>
      <w:r w:rsidR="0075589E" w:rsidRPr="00584516">
        <w:rPr>
          <w:rFonts w:ascii="Cambria" w:hAnsi="Cambria"/>
          <w:sz w:val="20"/>
          <w:szCs w:val="20"/>
        </w:rPr>
        <w:t xml:space="preserve">allí </w:t>
      </w:r>
      <w:r w:rsidR="007B6255" w:rsidRPr="00584516">
        <w:rPr>
          <w:rFonts w:ascii="Cambria" w:hAnsi="Cambria"/>
          <w:sz w:val="20"/>
          <w:szCs w:val="20"/>
        </w:rPr>
        <w:t>que las detenidas deban ser supervisadas y revisadas por oficiales femeninas, y separarse de los detenidos hombres</w:t>
      </w:r>
      <w:r w:rsidR="007B6255" w:rsidRPr="00584516">
        <w:rPr>
          <w:rStyle w:val="FootnoteReference"/>
          <w:rFonts w:ascii="Cambria" w:hAnsi="Cambria"/>
          <w:sz w:val="20"/>
          <w:szCs w:val="20"/>
        </w:rPr>
        <w:footnoteReference w:id="159"/>
      </w:r>
      <w:r w:rsidR="007B6255" w:rsidRPr="00584516">
        <w:rPr>
          <w:rFonts w:ascii="Cambria" w:hAnsi="Cambria"/>
          <w:sz w:val="20"/>
          <w:szCs w:val="20"/>
        </w:rPr>
        <w:t>. Sin embargo, dicha violencia no deriva exclusivamente de actores masculinos</w:t>
      </w:r>
      <w:r w:rsidR="00F54157" w:rsidRPr="00584516">
        <w:rPr>
          <w:rFonts w:ascii="Cambria" w:hAnsi="Cambria"/>
          <w:sz w:val="20"/>
          <w:szCs w:val="20"/>
        </w:rPr>
        <w:t>.</w:t>
      </w:r>
      <w:r w:rsidR="00060331" w:rsidRPr="00584516">
        <w:rPr>
          <w:rFonts w:ascii="Cambria" w:hAnsi="Cambria"/>
          <w:sz w:val="20"/>
          <w:szCs w:val="20"/>
        </w:rPr>
        <w:t xml:space="preserve"> Este grave riesgo </w:t>
      </w:r>
      <w:r w:rsidR="00664536" w:rsidRPr="00584516">
        <w:rPr>
          <w:rFonts w:ascii="Cambria" w:hAnsi="Cambria"/>
          <w:sz w:val="20"/>
          <w:szCs w:val="20"/>
        </w:rPr>
        <w:t xml:space="preserve">al que se encuentras sometidas las mujeres privadas de la libertad </w:t>
      </w:r>
      <w:r w:rsidR="00060331" w:rsidRPr="00584516">
        <w:rPr>
          <w:rFonts w:ascii="Cambria" w:hAnsi="Cambria"/>
          <w:sz w:val="20"/>
          <w:szCs w:val="20"/>
        </w:rPr>
        <w:t xml:space="preserve">ha sido reconocido por la CIDH en su Declaración </w:t>
      </w:r>
      <w:r w:rsidR="0075589E" w:rsidRPr="00584516">
        <w:rPr>
          <w:rFonts w:ascii="Cambria" w:hAnsi="Cambria"/>
          <w:sz w:val="20"/>
          <w:szCs w:val="20"/>
        </w:rPr>
        <w:t>de Principios y Buenas Prácticas sobre la Protección de las Personas Privadas de Libertad en las Américas</w:t>
      </w:r>
      <w:r w:rsidR="0075589E" w:rsidRPr="00584516">
        <w:rPr>
          <w:rStyle w:val="FootnoteReference"/>
          <w:rFonts w:ascii="Cambria" w:hAnsi="Cambria"/>
          <w:sz w:val="20"/>
          <w:szCs w:val="20"/>
          <w:lang w:val="es-PE"/>
        </w:rPr>
        <w:footnoteReference w:id="160"/>
      </w:r>
      <w:r w:rsidR="0075589E" w:rsidRPr="00584516">
        <w:rPr>
          <w:rFonts w:ascii="Cambria" w:hAnsi="Cambria"/>
          <w:sz w:val="20"/>
          <w:szCs w:val="20"/>
        </w:rPr>
        <w:t xml:space="preserve">. </w:t>
      </w:r>
    </w:p>
    <w:p w14:paraId="64BFA866" w14:textId="77777777" w:rsidR="00470CEB" w:rsidRPr="00584516" w:rsidRDefault="00470CEB" w:rsidP="00116A43">
      <w:pPr>
        <w:pStyle w:val="ListParagraph"/>
        <w:rPr>
          <w:rFonts w:eastAsia="SimSun"/>
          <w:sz w:val="20"/>
          <w:szCs w:val="20"/>
          <w:lang w:val="es-PE"/>
        </w:rPr>
      </w:pPr>
    </w:p>
    <w:p w14:paraId="43F8DDA1" w14:textId="13CB3A1C" w:rsidR="00470CEB" w:rsidRPr="00F04C39" w:rsidRDefault="00470CEB"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584516">
        <w:rPr>
          <w:rFonts w:ascii="Cambria" w:hAnsi="Cambria"/>
          <w:sz w:val="20"/>
          <w:szCs w:val="20"/>
        </w:rPr>
        <w:t>Sobre el tratamiento que deben recibir las mujeres detenidas o arrestadas, el Alto Comisionado de las Naciones</w:t>
      </w:r>
      <w:r w:rsidRPr="007C6C74">
        <w:rPr>
          <w:rFonts w:ascii="Cambria" w:hAnsi="Cambria"/>
          <w:sz w:val="20"/>
          <w:szCs w:val="20"/>
        </w:rPr>
        <w:t xml:space="preserve"> Unidas para los Derechos Humanos ha señalado que “no deben sufrir discriminación, y deben ser protegidas de todas las formas de violencia”. El Comité para la Eliminación de la Discriminación contra la Mujer y el sistema interamericano han señalado que la violencia por razón de género contra la mujer constituye una forma de discriminación contra la mujer</w:t>
      </w:r>
      <w:r w:rsidR="00AA0D5E" w:rsidRPr="007C6C74">
        <w:rPr>
          <w:rStyle w:val="FootnoteReference"/>
          <w:rFonts w:ascii="Cambria" w:hAnsi="Cambria"/>
          <w:sz w:val="20"/>
          <w:szCs w:val="20"/>
        </w:rPr>
        <w:footnoteReference w:id="161"/>
      </w:r>
      <w:r w:rsidR="00AA0D5E" w:rsidRPr="007C6C74">
        <w:rPr>
          <w:rFonts w:ascii="Cambria" w:hAnsi="Cambria"/>
          <w:sz w:val="20"/>
          <w:szCs w:val="20"/>
        </w:rPr>
        <w:t>.</w:t>
      </w:r>
      <w:r w:rsidR="00AA0D5E" w:rsidRPr="007C6C74">
        <w:rPr>
          <w:rFonts w:ascii="Cambria" w:eastAsia="SimSun" w:hAnsi="Cambria"/>
          <w:sz w:val="20"/>
          <w:szCs w:val="20"/>
        </w:rPr>
        <w:t xml:space="preserve"> El Comité ha señalado que </w:t>
      </w:r>
      <w:r w:rsidR="00AA0D5E" w:rsidRPr="007C6C74">
        <w:rPr>
          <w:rFonts w:ascii="Cambria" w:hAnsi="Cambria"/>
          <w:sz w:val="20"/>
          <w:szCs w:val="20"/>
        </w:rPr>
        <w:t>d</w:t>
      </w:r>
      <w:r w:rsidRPr="007C6C74">
        <w:rPr>
          <w:rFonts w:ascii="Cambria" w:hAnsi="Cambria"/>
          <w:sz w:val="20"/>
          <w:szCs w:val="20"/>
        </w:rPr>
        <w:t xml:space="preserve">icha discriminación incluye la violencia basada en el </w:t>
      </w:r>
      <w:r w:rsidR="000B37DD" w:rsidRPr="007C6C74">
        <w:rPr>
          <w:rFonts w:ascii="Cambria" w:hAnsi="Cambria"/>
          <w:sz w:val="20"/>
          <w:szCs w:val="20"/>
        </w:rPr>
        <w:t>género</w:t>
      </w:r>
      <w:r w:rsidRPr="007C6C74">
        <w:rPr>
          <w:rFonts w:ascii="Cambria" w:hAnsi="Cambria"/>
          <w:sz w:val="20"/>
          <w:szCs w:val="20"/>
        </w:rPr>
        <w:t>, “es decir, la violencia dirigida contra la mujer porque es mujer o que l</w:t>
      </w:r>
      <w:r w:rsidRPr="00F33056">
        <w:rPr>
          <w:rFonts w:ascii="Cambria" w:hAnsi="Cambria"/>
          <w:sz w:val="20"/>
          <w:szCs w:val="20"/>
        </w:rPr>
        <w:t>a afecta en forma desproporcionada”, y que abarca “actos que infligen daños o sufrimientos de índole física, mental o sexual, amenazas de cometer esos actos, coacción y otras formas de privación de la libertad”</w:t>
      </w:r>
      <w:r w:rsidRPr="007C6C74">
        <w:rPr>
          <w:rStyle w:val="FootnoteReference"/>
          <w:rFonts w:ascii="Cambria" w:hAnsi="Cambria"/>
          <w:sz w:val="20"/>
          <w:szCs w:val="20"/>
        </w:rPr>
        <w:footnoteReference w:id="162"/>
      </w:r>
      <w:r w:rsidR="00AA0D5E" w:rsidRPr="007C6C74">
        <w:rPr>
          <w:rFonts w:ascii="Cambria" w:hAnsi="Cambria"/>
          <w:sz w:val="20"/>
          <w:szCs w:val="20"/>
        </w:rPr>
        <w:t>.</w:t>
      </w:r>
    </w:p>
    <w:p w14:paraId="0C5FE623" w14:textId="77777777" w:rsidR="000B37DD" w:rsidRPr="00F04C39" w:rsidRDefault="000B37DD" w:rsidP="00375047">
      <w:pPr>
        <w:pStyle w:val="ListParagraph"/>
        <w:ind w:left="0"/>
        <w:rPr>
          <w:rFonts w:eastAsia="SimSun"/>
          <w:sz w:val="20"/>
          <w:szCs w:val="20"/>
          <w:lang w:val="es-PE"/>
        </w:rPr>
      </w:pPr>
    </w:p>
    <w:p w14:paraId="4BACC04F" w14:textId="77777777" w:rsidR="00753EF7" w:rsidRPr="00A50C9A" w:rsidRDefault="000B37D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7C6C74">
        <w:rPr>
          <w:rFonts w:ascii="Cambria" w:eastAsia="SimSun" w:hAnsi="Cambria"/>
          <w:sz w:val="20"/>
          <w:szCs w:val="20"/>
        </w:rPr>
        <w:t xml:space="preserve">En efecto, </w:t>
      </w:r>
      <w:r w:rsidR="008A41D3" w:rsidRPr="007C6C74">
        <w:rPr>
          <w:rFonts w:ascii="Cambria" w:eastAsia="SimSun" w:hAnsi="Cambria"/>
          <w:sz w:val="20"/>
          <w:szCs w:val="20"/>
        </w:rPr>
        <w:t>el derecho de la mujer a vivir una vida libre de violencia, se encuentra íntimamente relacionado con el derecho a la no discriminación</w:t>
      </w:r>
      <w:r w:rsidR="00C34806" w:rsidRPr="007C6C74">
        <w:rPr>
          <w:rStyle w:val="FootnoteReference"/>
          <w:rFonts w:ascii="Cambria" w:eastAsia="SimSun" w:hAnsi="Cambria"/>
          <w:sz w:val="20"/>
          <w:szCs w:val="20"/>
        </w:rPr>
        <w:footnoteReference w:id="163"/>
      </w:r>
      <w:r w:rsidR="008A41D3" w:rsidRPr="007C6C74">
        <w:rPr>
          <w:rFonts w:ascii="Cambria" w:eastAsia="SimSun" w:hAnsi="Cambria"/>
          <w:sz w:val="20"/>
          <w:szCs w:val="20"/>
        </w:rPr>
        <w:t>.</w:t>
      </w:r>
      <w:r w:rsidR="00795816" w:rsidRPr="007C6C74">
        <w:rPr>
          <w:rFonts w:ascii="Cambria" w:eastAsia="SimSun" w:hAnsi="Cambria"/>
          <w:sz w:val="20"/>
          <w:szCs w:val="20"/>
        </w:rPr>
        <w:t xml:space="preserve"> El derecho </w:t>
      </w:r>
      <w:r w:rsidR="00795816" w:rsidRPr="00F04C39">
        <w:rPr>
          <w:rFonts w:ascii="Cambria" w:hAnsi="Cambria"/>
          <w:sz w:val="20"/>
          <w:szCs w:val="20"/>
        </w:rPr>
        <w:t>a la igualdad y no discriminación</w:t>
      </w:r>
      <w:r w:rsidR="00795816" w:rsidRPr="007C6C74">
        <w:rPr>
          <w:rFonts w:ascii="Cambria" w:eastAsia="SimSun" w:hAnsi="Cambria"/>
          <w:sz w:val="20"/>
          <w:szCs w:val="20"/>
        </w:rPr>
        <w:t xml:space="preserve"> </w:t>
      </w:r>
      <w:r w:rsidR="00795816" w:rsidRPr="00F04C39">
        <w:rPr>
          <w:rFonts w:ascii="Cambria" w:hAnsi="Cambria"/>
          <w:sz w:val="20"/>
          <w:szCs w:val="20"/>
        </w:rPr>
        <w:t xml:space="preserve">establecido en el artículo II de la Declaración, en la actual etapa de la evolución del derecho internacional, ha ingresado en el dominio del </w:t>
      </w:r>
      <w:r w:rsidR="00795816" w:rsidRPr="00F04C39">
        <w:rPr>
          <w:rFonts w:ascii="Cambria" w:hAnsi="Cambria"/>
          <w:i/>
          <w:sz w:val="20"/>
          <w:szCs w:val="20"/>
        </w:rPr>
        <w:t>ius cogens</w:t>
      </w:r>
      <w:r w:rsidR="00795816" w:rsidRPr="00F04C39">
        <w:rPr>
          <w:rFonts w:ascii="Cambria" w:hAnsi="Cambria"/>
          <w:sz w:val="20"/>
          <w:szCs w:val="20"/>
        </w:rPr>
        <w:t xml:space="preserve">. Sobre él descansa el andamiaje jurídico del orden público nacional e internacional y </w:t>
      </w:r>
      <w:r w:rsidR="00795816" w:rsidRPr="00A50C9A">
        <w:rPr>
          <w:rFonts w:ascii="Cambria" w:hAnsi="Cambria"/>
          <w:sz w:val="20"/>
          <w:szCs w:val="20"/>
        </w:rPr>
        <w:t>permea todo el ordenamiento jurídico</w:t>
      </w:r>
      <w:r w:rsidR="00272A31" w:rsidRPr="00A50C9A">
        <w:rPr>
          <w:rStyle w:val="FootnoteReference"/>
          <w:rFonts w:ascii="Cambria" w:hAnsi="Cambria"/>
          <w:sz w:val="20"/>
          <w:szCs w:val="20"/>
        </w:rPr>
        <w:footnoteReference w:id="164"/>
      </w:r>
      <w:r w:rsidR="00795816" w:rsidRPr="00A50C9A">
        <w:rPr>
          <w:rFonts w:ascii="Cambria" w:hAnsi="Cambria"/>
          <w:sz w:val="20"/>
          <w:szCs w:val="20"/>
        </w:rPr>
        <w:t xml:space="preserve">. </w:t>
      </w:r>
    </w:p>
    <w:p w14:paraId="6F68FD1C" w14:textId="77777777" w:rsidR="00753EF7" w:rsidRPr="00A50C9A" w:rsidRDefault="00753EF7" w:rsidP="00375047">
      <w:pPr>
        <w:pStyle w:val="ListParagraph"/>
        <w:ind w:left="0"/>
        <w:rPr>
          <w:sz w:val="20"/>
          <w:szCs w:val="20"/>
          <w:lang w:val="es-AR"/>
        </w:rPr>
      </w:pPr>
    </w:p>
    <w:p w14:paraId="4017FF92" w14:textId="3444EBF6" w:rsidR="00584516" w:rsidRPr="00A50C9A" w:rsidRDefault="00297DC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A50C9A">
        <w:rPr>
          <w:rFonts w:ascii="Cambria" w:hAnsi="Cambria"/>
          <w:sz w:val="20"/>
          <w:szCs w:val="20"/>
          <w:lang w:val="es-AR"/>
        </w:rPr>
        <w:t>A su vez, l</w:t>
      </w:r>
      <w:r w:rsidR="00795816" w:rsidRPr="00A50C9A">
        <w:rPr>
          <w:rFonts w:ascii="Cambria" w:hAnsi="Cambria"/>
          <w:sz w:val="20"/>
          <w:szCs w:val="20"/>
          <w:lang w:val="es-AR"/>
        </w:rPr>
        <w:t>a violencia basada en género es una de las formas más extremas y generalizadas de discriminación, la cual impide y nulifica de forma severa el ejercicio de los derechos de la mujer</w:t>
      </w:r>
      <w:r w:rsidR="00795816" w:rsidRPr="00A50C9A">
        <w:rPr>
          <w:rStyle w:val="FootnoteReference"/>
          <w:rFonts w:ascii="Cambria" w:hAnsi="Cambria" w:cs="Arial"/>
          <w:sz w:val="20"/>
          <w:szCs w:val="20"/>
        </w:rPr>
        <w:footnoteReference w:id="165"/>
      </w:r>
      <w:r w:rsidR="00795816" w:rsidRPr="00A50C9A">
        <w:rPr>
          <w:rFonts w:ascii="Cambria" w:hAnsi="Cambria"/>
          <w:sz w:val="20"/>
          <w:szCs w:val="20"/>
          <w:lang w:val="es-AR"/>
        </w:rPr>
        <w:t>.</w:t>
      </w:r>
      <w:r w:rsidR="00795816" w:rsidRPr="00A50C9A">
        <w:rPr>
          <w:rFonts w:ascii="Cambria" w:hAnsi="Cambria" w:cs="Arial"/>
          <w:sz w:val="20"/>
          <w:szCs w:val="20"/>
          <w:lang w:val="es-AR"/>
        </w:rPr>
        <w:t xml:space="preserve"> </w:t>
      </w:r>
      <w:r w:rsidR="00E66AD5" w:rsidRPr="00A50C9A">
        <w:rPr>
          <w:rFonts w:ascii="Cambria" w:hAnsi="Cambria" w:cs="Arial"/>
          <w:sz w:val="20"/>
          <w:szCs w:val="20"/>
          <w:lang w:val="es-AR"/>
        </w:rPr>
        <w:t xml:space="preserve">Existe un amplio consenso de la comunidad internacional en cuanto a </w:t>
      </w:r>
      <w:r w:rsidR="00E66AD5" w:rsidRPr="00A50C9A">
        <w:rPr>
          <w:rFonts w:ascii="Cambria" w:eastAsia="SimSun" w:hAnsi="Cambria"/>
          <w:sz w:val="20"/>
          <w:szCs w:val="20"/>
        </w:rPr>
        <w:t xml:space="preserve">que </w:t>
      </w:r>
      <w:r w:rsidR="00E66AD5" w:rsidRPr="00A50C9A">
        <w:rPr>
          <w:rFonts w:ascii="Cambria" w:hAnsi="Cambria"/>
          <w:sz w:val="20"/>
          <w:szCs w:val="20"/>
          <w:lang w:val="es-AR"/>
        </w:rPr>
        <w:t>la violencia de género contra la mujer es un problema de derechos humanos que requiere la acción del Estado</w:t>
      </w:r>
      <w:r w:rsidR="00F047F4" w:rsidRPr="00A50C9A">
        <w:rPr>
          <w:rStyle w:val="FootnoteReference"/>
          <w:rFonts w:ascii="Cambria" w:hAnsi="Cambria"/>
          <w:sz w:val="20"/>
          <w:szCs w:val="20"/>
          <w:lang w:val="es-AR"/>
        </w:rPr>
        <w:footnoteReference w:id="166"/>
      </w:r>
      <w:r w:rsidR="00E66AD5" w:rsidRPr="00A50C9A">
        <w:rPr>
          <w:rFonts w:ascii="Cambria" w:hAnsi="Cambria"/>
          <w:sz w:val="20"/>
          <w:szCs w:val="20"/>
          <w:lang w:val="es-AR"/>
        </w:rPr>
        <w:t xml:space="preserve">. En este sentido, </w:t>
      </w:r>
      <w:r w:rsidR="00F047F4" w:rsidRPr="00A50C9A">
        <w:rPr>
          <w:rFonts w:ascii="Cambria" w:hAnsi="Cambria"/>
          <w:sz w:val="20"/>
          <w:szCs w:val="20"/>
          <w:lang w:val="es-AR"/>
        </w:rPr>
        <w:t xml:space="preserve">el Comité ha considerado que </w:t>
      </w:r>
      <w:r w:rsidR="00F047F4" w:rsidRPr="00A50C9A">
        <w:rPr>
          <w:rFonts w:ascii="Cambria" w:hAnsi="Cambria"/>
          <w:sz w:val="20"/>
          <w:szCs w:val="20"/>
        </w:rPr>
        <w:t xml:space="preserve">“la </w:t>
      </w:r>
      <w:proofErr w:type="spellStart"/>
      <w:r w:rsidR="00F047F4" w:rsidRPr="00A50C9A">
        <w:rPr>
          <w:rFonts w:ascii="Cambria" w:hAnsi="Cambria"/>
          <w:i/>
          <w:sz w:val="20"/>
          <w:szCs w:val="20"/>
        </w:rPr>
        <w:t>opinio</w:t>
      </w:r>
      <w:proofErr w:type="spellEnd"/>
      <w:r w:rsidR="00F047F4" w:rsidRPr="00A50C9A">
        <w:rPr>
          <w:rFonts w:ascii="Cambria" w:hAnsi="Cambria"/>
          <w:i/>
          <w:sz w:val="20"/>
          <w:szCs w:val="20"/>
        </w:rPr>
        <w:t xml:space="preserve"> </w:t>
      </w:r>
      <w:proofErr w:type="spellStart"/>
      <w:r w:rsidR="00F047F4" w:rsidRPr="00A50C9A">
        <w:rPr>
          <w:rFonts w:ascii="Cambria" w:hAnsi="Cambria"/>
          <w:i/>
          <w:sz w:val="20"/>
          <w:szCs w:val="20"/>
        </w:rPr>
        <w:t>juris</w:t>
      </w:r>
      <w:proofErr w:type="spellEnd"/>
      <w:r w:rsidR="00F047F4" w:rsidRPr="00A50C9A">
        <w:rPr>
          <w:rFonts w:ascii="Cambria" w:hAnsi="Cambria"/>
          <w:sz w:val="20"/>
          <w:szCs w:val="20"/>
        </w:rPr>
        <w:t xml:space="preserve"> y la práctica de los Estados dan a entender que la prohibición de la violencia por razón de género contra la mujer ha pasado a ser un principio del derecho internacional consuetudinario”</w:t>
      </w:r>
      <w:r w:rsidR="00F047F4" w:rsidRPr="00A50C9A">
        <w:rPr>
          <w:rStyle w:val="FootnoteReference"/>
          <w:rFonts w:ascii="Cambria" w:hAnsi="Cambria"/>
          <w:sz w:val="20"/>
          <w:szCs w:val="20"/>
        </w:rPr>
        <w:footnoteReference w:id="167"/>
      </w:r>
      <w:r w:rsidR="00F047F4" w:rsidRPr="00A50C9A">
        <w:rPr>
          <w:rFonts w:ascii="Cambria" w:hAnsi="Cambria"/>
          <w:sz w:val="20"/>
          <w:szCs w:val="20"/>
        </w:rPr>
        <w:t xml:space="preserve">. </w:t>
      </w:r>
      <w:r w:rsidR="00C5484D" w:rsidRPr="00A50C9A">
        <w:rPr>
          <w:rFonts w:ascii="Cambria" w:hAnsi="Cambria"/>
          <w:sz w:val="20"/>
          <w:szCs w:val="20"/>
        </w:rPr>
        <w:t xml:space="preserve">Dicha prohibición se encuentra expresamente recogida </w:t>
      </w:r>
      <w:r w:rsidR="00584516" w:rsidRPr="00A50C9A">
        <w:rPr>
          <w:rFonts w:ascii="Cambria" w:hAnsi="Cambria"/>
          <w:sz w:val="20"/>
          <w:szCs w:val="20"/>
        </w:rPr>
        <w:t xml:space="preserve">en la </w:t>
      </w:r>
      <w:r w:rsidR="00584516" w:rsidRPr="00A50C9A">
        <w:rPr>
          <w:rFonts w:ascii="Cambria" w:hAnsi="Cambria"/>
          <w:bCs/>
          <w:sz w:val="20"/>
          <w:szCs w:val="20"/>
          <w:lang w:val="es-UY"/>
        </w:rPr>
        <w:t>Convención Interamericana para Prevenir, Sancionar y Erradicar la Violencia contra la Mujer (“Convención de Belém do Pará”</w:t>
      </w:r>
      <w:r w:rsidR="00584516" w:rsidRPr="00A50C9A">
        <w:rPr>
          <w:rFonts w:ascii="Cambria" w:hAnsi="Cambria"/>
          <w:sz w:val="20"/>
          <w:szCs w:val="20"/>
          <w:lang w:val="es-UY"/>
        </w:rPr>
        <w:t>).</w:t>
      </w:r>
    </w:p>
    <w:p w14:paraId="531D13E2" w14:textId="2BBB931B" w:rsidR="001F597B" w:rsidRPr="00F04C39" w:rsidRDefault="001F597B"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SimSun" w:hAnsi="Cambria"/>
          <w:sz w:val="20"/>
          <w:szCs w:val="20"/>
          <w:highlight w:val="cyan"/>
        </w:rPr>
      </w:pPr>
    </w:p>
    <w:p w14:paraId="0A4CC9A5" w14:textId="7F2D0451" w:rsidR="001F597B" w:rsidRPr="00F04C39" w:rsidRDefault="001F597B"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sz w:val="20"/>
          <w:szCs w:val="20"/>
          <w:lang w:val="es-AR"/>
        </w:rPr>
      </w:pPr>
      <w:r w:rsidRPr="00F04C39">
        <w:rPr>
          <w:sz w:val="20"/>
          <w:szCs w:val="20"/>
          <w:lang w:val="es-AR"/>
        </w:rPr>
        <w:t>Asimismo</w:t>
      </w:r>
      <w:r w:rsidR="00E66AD5" w:rsidRPr="00F04C39">
        <w:rPr>
          <w:sz w:val="20"/>
          <w:szCs w:val="20"/>
          <w:lang w:val="es-AR"/>
        </w:rPr>
        <w:t xml:space="preserve">, la Comisión en sus decisiones ha establecido de forma reiterada que la Declaración Americana requiere a los Estados el adoptar medidas para dar efecto legal a los derechos en ella consagrados; principio aplicable en casos en donde se alega la violación del artículo II.  La Comisión no sólo ha requerido a </w:t>
      </w:r>
      <w:r w:rsidR="00E66AD5" w:rsidRPr="00F04C39">
        <w:rPr>
          <w:sz w:val="20"/>
          <w:szCs w:val="20"/>
          <w:lang w:val="es-AR"/>
        </w:rPr>
        <w:lastRenderedPageBreak/>
        <w:t>los Estados el abstenerse de cometer violaciones de los derechos humanos en contravención d</w:t>
      </w:r>
      <w:r w:rsidRPr="00F04C39">
        <w:rPr>
          <w:sz w:val="20"/>
          <w:szCs w:val="20"/>
          <w:lang w:val="es-AR"/>
        </w:rPr>
        <w:t>e lo dispuesto en la Declaración</w:t>
      </w:r>
      <w:r w:rsidR="00E66AD5" w:rsidRPr="00F04C39">
        <w:rPr>
          <w:sz w:val="20"/>
          <w:szCs w:val="20"/>
          <w:lang w:val="es-AR"/>
        </w:rPr>
        <w:t>.  También les ha exigido a los Estados el adoptar medidas afirmativas para garantizar que las personas bajo su jurisdicción puedan ejercer y gozar de los derechos contenidos en la Declaración Americana</w:t>
      </w:r>
      <w:r w:rsidR="00E66AD5" w:rsidRPr="00F04C39">
        <w:rPr>
          <w:rStyle w:val="FootnoteReference"/>
          <w:sz w:val="20"/>
          <w:szCs w:val="20"/>
        </w:rPr>
        <w:footnoteReference w:id="168"/>
      </w:r>
      <w:r w:rsidR="00E66AD5" w:rsidRPr="00F04C39">
        <w:rPr>
          <w:sz w:val="20"/>
          <w:szCs w:val="20"/>
          <w:lang w:val="es-AR"/>
        </w:rPr>
        <w:t xml:space="preserve">.  </w:t>
      </w:r>
      <w:r w:rsidRPr="00F33056">
        <w:rPr>
          <w:sz w:val="20"/>
          <w:szCs w:val="20"/>
          <w:lang w:val="es-AR"/>
        </w:rPr>
        <w:t xml:space="preserve">En este sentido, </w:t>
      </w:r>
      <w:r w:rsidRPr="00F04C39">
        <w:rPr>
          <w:sz w:val="20"/>
          <w:szCs w:val="20"/>
          <w:lang w:val="es-AR"/>
        </w:rPr>
        <w:t>las obligaciones que establece este artículo de la Declaración comprenden el respeto, la prevención y la erradicación de la violencia contra la mujer como componente crucial del deber del Estado de eliminar formas directas e indirectas de discriminación.</w:t>
      </w:r>
      <w:r w:rsidR="00181D31" w:rsidRPr="00F04C39">
        <w:rPr>
          <w:sz w:val="20"/>
          <w:szCs w:val="20"/>
          <w:lang w:val="es-AR"/>
        </w:rPr>
        <w:t xml:space="preserve"> La adopción de dichas medidas también protege los derechos a la integridad personal y a la vida de la mujer.</w:t>
      </w:r>
    </w:p>
    <w:p w14:paraId="6862FE61" w14:textId="77777777" w:rsidR="00181D31" w:rsidRPr="00F04C39" w:rsidRDefault="00181D31" w:rsidP="00F04C39">
      <w:pPr>
        <w:pStyle w:val="ListParagraph"/>
        <w:rPr>
          <w:sz w:val="20"/>
          <w:szCs w:val="20"/>
          <w:lang w:val="es-AR"/>
        </w:rPr>
      </w:pPr>
    </w:p>
    <w:p w14:paraId="16D4FA10" w14:textId="4239C1A1" w:rsidR="00F76974" w:rsidRPr="00F33056" w:rsidRDefault="00181D31"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sz w:val="20"/>
          <w:szCs w:val="20"/>
          <w:lang w:val="es-AR"/>
        </w:rPr>
      </w:pPr>
      <w:r w:rsidRPr="00F04C39">
        <w:rPr>
          <w:sz w:val="20"/>
          <w:szCs w:val="20"/>
          <w:lang w:val="es-AR"/>
        </w:rPr>
        <w:t xml:space="preserve">Las </w:t>
      </w:r>
      <w:r w:rsidR="00EB4978" w:rsidRPr="00F04C39">
        <w:rPr>
          <w:sz w:val="20"/>
          <w:szCs w:val="20"/>
          <w:lang w:val="es-AR"/>
        </w:rPr>
        <w:t>obligaciones de los</w:t>
      </w:r>
      <w:r w:rsidRPr="00F04C39">
        <w:rPr>
          <w:sz w:val="20"/>
          <w:szCs w:val="20"/>
          <w:lang w:val="es-AR"/>
        </w:rPr>
        <w:t xml:space="preserve"> </w:t>
      </w:r>
      <w:r w:rsidR="001F597B" w:rsidRPr="00F04C39">
        <w:rPr>
          <w:sz w:val="20"/>
          <w:szCs w:val="20"/>
          <w:lang w:val="es-AR"/>
        </w:rPr>
        <w:t xml:space="preserve">Estados </w:t>
      </w:r>
      <w:r w:rsidR="007C6C74" w:rsidRPr="00F33056">
        <w:rPr>
          <w:sz w:val="20"/>
          <w:szCs w:val="20"/>
          <w:lang w:val="es-AR"/>
        </w:rPr>
        <w:t>referidas al respeto y a su actuación</w:t>
      </w:r>
      <w:r w:rsidR="00EB4978" w:rsidRPr="00F04C39">
        <w:rPr>
          <w:sz w:val="20"/>
          <w:szCs w:val="20"/>
          <w:lang w:val="es-AR"/>
        </w:rPr>
        <w:t xml:space="preserve"> con debida diligencia para proteger y prevenir actos de</w:t>
      </w:r>
      <w:r w:rsidR="001F597B" w:rsidRPr="00F04C39">
        <w:rPr>
          <w:sz w:val="20"/>
          <w:szCs w:val="20"/>
          <w:lang w:val="es-AR"/>
        </w:rPr>
        <w:t xml:space="preserve"> violencia</w:t>
      </w:r>
      <w:r w:rsidR="007C6C74" w:rsidRPr="00F33056">
        <w:rPr>
          <w:sz w:val="20"/>
          <w:szCs w:val="20"/>
          <w:lang w:val="es-AR"/>
        </w:rPr>
        <w:t>, así como para investigar, sancionar y reparar,</w:t>
      </w:r>
      <w:r w:rsidR="001F597B" w:rsidRPr="00F04C39">
        <w:rPr>
          <w:sz w:val="20"/>
          <w:szCs w:val="20"/>
          <w:lang w:val="es-AR"/>
        </w:rPr>
        <w:t xml:space="preserve"> tiene connotaciones especiales en el caso de las mujeres, debido a la discriminación histórica </w:t>
      </w:r>
      <w:r w:rsidR="00EB4978" w:rsidRPr="00F04C39">
        <w:rPr>
          <w:sz w:val="20"/>
          <w:szCs w:val="20"/>
          <w:lang w:val="es-AR"/>
        </w:rPr>
        <w:t xml:space="preserve">y estructural </w:t>
      </w:r>
      <w:r w:rsidR="001F597B" w:rsidRPr="00F04C39">
        <w:rPr>
          <w:sz w:val="20"/>
          <w:szCs w:val="20"/>
          <w:lang w:val="es-AR"/>
        </w:rPr>
        <w:t>que han sufrido como grupo</w:t>
      </w:r>
      <w:r w:rsidR="001F597B" w:rsidRPr="00F04C39">
        <w:rPr>
          <w:rStyle w:val="FootnoteReference"/>
          <w:sz w:val="20"/>
          <w:szCs w:val="20"/>
        </w:rPr>
        <w:footnoteReference w:id="169"/>
      </w:r>
      <w:r w:rsidR="001F597B" w:rsidRPr="00F04C39">
        <w:rPr>
          <w:sz w:val="20"/>
          <w:szCs w:val="20"/>
          <w:lang w:val="es-PE"/>
        </w:rPr>
        <w:t>.</w:t>
      </w:r>
      <w:r w:rsidR="00EB4978" w:rsidRPr="00F04C39">
        <w:rPr>
          <w:sz w:val="20"/>
          <w:szCs w:val="20"/>
          <w:lang w:val="es-PE"/>
        </w:rPr>
        <w:t xml:space="preserve"> La violación de dichas obligaciones </w:t>
      </w:r>
      <w:r w:rsidR="00F76974" w:rsidRPr="00F04C39">
        <w:rPr>
          <w:sz w:val="20"/>
          <w:szCs w:val="20"/>
          <w:lang w:val="es-AR"/>
        </w:rPr>
        <w:t>constituye una forma de discriminación, y una negación de su derecho a la igual protección de la ley</w:t>
      </w:r>
      <w:r w:rsidR="00F76974" w:rsidRPr="00F04C39">
        <w:rPr>
          <w:rStyle w:val="FootnoteReference"/>
          <w:sz w:val="20"/>
          <w:szCs w:val="20"/>
        </w:rPr>
        <w:footnoteReference w:id="170"/>
      </w:r>
      <w:r w:rsidR="00F76974" w:rsidRPr="00F04C39">
        <w:rPr>
          <w:sz w:val="20"/>
          <w:szCs w:val="20"/>
          <w:lang w:val="es-AR"/>
        </w:rPr>
        <w:t>.</w:t>
      </w:r>
      <w:r w:rsidR="007C6C74" w:rsidRPr="00F04C39">
        <w:rPr>
          <w:sz w:val="20"/>
          <w:szCs w:val="20"/>
          <w:lang w:val="es-AR"/>
        </w:rPr>
        <w:t xml:space="preserve"> En este sentido, </w:t>
      </w:r>
      <w:r w:rsidR="00F33056" w:rsidRPr="00F04C39">
        <w:rPr>
          <w:sz w:val="20"/>
          <w:szCs w:val="20"/>
          <w:lang w:val="es-AR"/>
        </w:rPr>
        <w:t>las obligaciones de respeto, prevención, sanción y erradicación de la violencia contra la mujer deben</w:t>
      </w:r>
      <w:r w:rsidR="007C6C74" w:rsidRPr="00F04C39">
        <w:rPr>
          <w:sz w:val="20"/>
          <w:szCs w:val="20"/>
          <w:lang w:val="es-AR"/>
        </w:rPr>
        <w:t xml:space="preserve"> comprender </w:t>
      </w:r>
      <w:r w:rsidR="00F33056" w:rsidRPr="00F04C39">
        <w:rPr>
          <w:rFonts w:cs="Arial"/>
          <w:sz w:val="20"/>
          <w:szCs w:val="20"/>
          <w:lang w:val="es-AR"/>
        </w:rPr>
        <w:t>la organización de toda la estructura estatal – incluyendo el marco legislativo, las políticas públicas, los órganos encargados de implementar la ley como la policía, y el sistema judicial – para prevenir y responder de forma adecuada y efectiva a estos problemas</w:t>
      </w:r>
      <w:r w:rsidR="00F33056" w:rsidRPr="00F04C39">
        <w:rPr>
          <w:rStyle w:val="FootnoteReference"/>
          <w:rFonts w:cs="Arial"/>
          <w:sz w:val="20"/>
          <w:szCs w:val="20"/>
          <w:lang w:val="es-AR"/>
        </w:rPr>
        <w:footnoteReference w:id="171"/>
      </w:r>
      <w:r w:rsidR="00F33056">
        <w:rPr>
          <w:rFonts w:cs="Arial"/>
          <w:sz w:val="20"/>
          <w:szCs w:val="20"/>
          <w:lang w:val="es-AR"/>
        </w:rPr>
        <w:t>.</w:t>
      </w:r>
    </w:p>
    <w:p w14:paraId="176CB71B" w14:textId="77777777" w:rsidR="00F33056" w:rsidRPr="00F04C39" w:rsidRDefault="00F33056" w:rsidP="00375047">
      <w:pPr>
        <w:pStyle w:val="ListParagraph"/>
        <w:ind w:left="0"/>
        <w:rPr>
          <w:sz w:val="20"/>
          <w:szCs w:val="20"/>
          <w:lang w:val="es-AR"/>
        </w:rPr>
      </w:pPr>
    </w:p>
    <w:p w14:paraId="53B2D0F7" w14:textId="5DED5454" w:rsidR="00F33056" w:rsidRPr="00F91ADA" w:rsidRDefault="00D4285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116A43">
        <w:rPr>
          <w:rFonts w:ascii="Cambria" w:hAnsi="Cambria"/>
          <w:sz w:val="20"/>
          <w:szCs w:val="20"/>
        </w:rPr>
        <w:t>Por su parte, la</w:t>
      </w:r>
      <w:r w:rsidR="00F91ADA">
        <w:rPr>
          <w:rFonts w:ascii="Cambria" w:hAnsi="Cambria"/>
          <w:sz w:val="20"/>
          <w:szCs w:val="20"/>
        </w:rPr>
        <w:t xml:space="preserve"> CIDH a través de su</w:t>
      </w:r>
      <w:r w:rsidRPr="00116A43">
        <w:rPr>
          <w:rFonts w:ascii="Cambria" w:hAnsi="Cambria"/>
          <w:sz w:val="20"/>
          <w:szCs w:val="20"/>
        </w:rPr>
        <w:t xml:space="preserve"> Relatoría Especial ha destacado que </w:t>
      </w:r>
      <w:r w:rsidR="002B3D1D" w:rsidRPr="00116A43">
        <w:rPr>
          <w:rFonts w:ascii="Cambria" w:hAnsi="Cambria"/>
          <w:sz w:val="20"/>
          <w:szCs w:val="20"/>
        </w:rPr>
        <w:t xml:space="preserve">los ataques documentados </w:t>
      </w:r>
      <w:r w:rsidRPr="00116A43">
        <w:rPr>
          <w:rFonts w:ascii="Cambria" w:hAnsi="Cambria"/>
          <w:sz w:val="20"/>
          <w:szCs w:val="20"/>
        </w:rPr>
        <w:t xml:space="preserve">hacia periodistas mujeres, presentan como forma diferenciada </w:t>
      </w:r>
      <w:r w:rsidR="007B6255" w:rsidRPr="00116A43">
        <w:rPr>
          <w:rFonts w:ascii="Cambria" w:hAnsi="Cambria"/>
          <w:sz w:val="20"/>
          <w:szCs w:val="20"/>
        </w:rPr>
        <w:t>la violencia sexual</w:t>
      </w:r>
      <w:r w:rsidR="002B3D1D" w:rsidRPr="00116A43">
        <w:rPr>
          <w:rFonts w:ascii="Cambria" w:hAnsi="Cambria"/>
          <w:sz w:val="20"/>
          <w:szCs w:val="20"/>
        </w:rPr>
        <w:t xml:space="preserve"> e</w:t>
      </w:r>
      <w:r w:rsidR="007B6255" w:rsidRPr="00116A43">
        <w:rPr>
          <w:rFonts w:ascii="Cambria" w:hAnsi="Cambria"/>
          <w:sz w:val="20"/>
          <w:szCs w:val="20"/>
        </w:rPr>
        <w:t>n cautiverio o bajo detención</w:t>
      </w:r>
      <w:r w:rsidR="007B6255" w:rsidRPr="00116A43">
        <w:rPr>
          <w:rStyle w:val="FootnoteReference"/>
          <w:rFonts w:ascii="Cambria" w:hAnsi="Cambria"/>
          <w:sz w:val="20"/>
          <w:szCs w:val="20"/>
        </w:rPr>
        <w:footnoteReference w:id="172"/>
      </w:r>
      <w:r w:rsidR="00F25A22" w:rsidRPr="00116A43">
        <w:rPr>
          <w:rFonts w:ascii="Cambria" w:hAnsi="Cambria"/>
          <w:sz w:val="20"/>
          <w:szCs w:val="20"/>
        </w:rPr>
        <w:t xml:space="preserve">. </w:t>
      </w:r>
      <w:r w:rsidR="00BC1DD2">
        <w:rPr>
          <w:rFonts w:ascii="Cambria" w:hAnsi="Cambria"/>
          <w:sz w:val="20"/>
          <w:szCs w:val="20"/>
          <w:lang w:val="es-AR"/>
        </w:rPr>
        <w:t>En este sentido, l</w:t>
      </w:r>
      <w:r w:rsidR="00BC1DD2" w:rsidRPr="00F91ADA">
        <w:rPr>
          <w:rFonts w:ascii="Cambria" w:hAnsi="Cambria"/>
          <w:sz w:val="20"/>
          <w:szCs w:val="20"/>
          <w:lang w:val="es-AR"/>
        </w:rPr>
        <w:t>a Comisión también ha reconocido que ciertos grupos de mujeres padecen discrimina</w:t>
      </w:r>
      <w:r w:rsidR="00BC1DD2">
        <w:rPr>
          <w:rFonts w:ascii="Cambria" w:hAnsi="Cambria"/>
          <w:sz w:val="20"/>
          <w:szCs w:val="20"/>
          <w:lang w:val="es-AR"/>
        </w:rPr>
        <w:t xml:space="preserve">ción en base a más de un factor, </w:t>
      </w:r>
      <w:r w:rsidR="00BC1DD2" w:rsidRPr="00F91ADA">
        <w:rPr>
          <w:rFonts w:ascii="Cambria" w:hAnsi="Cambria"/>
          <w:sz w:val="20"/>
          <w:szCs w:val="20"/>
          <w:lang w:val="es-AR"/>
        </w:rPr>
        <w:t>lo que aumenta su riesgo de sufrir actos de violencia</w:t>
      </w:r>
      <w:r w:rsidR="00BC1DD2" w:rsidRPr="003A47B0">
        <w:rPr>
          <w:rStyle w:val="FootnoteReference"/>
          <w:rFonts w:ascii="Cambria" w:hAnsi="Cambria" w:cs="Arial"/>
          <w:color w:val="000000"/>
          <w:sz w:val="20"/>
          <w:szCs w:val="20"/>
        </w:rPr>
        <w:footnoteReference w:id="173"/>
      </w:r>
      <w:r w:rsidR="00BC1DD2">
        <w:rPr>
          <w:rFonts w:ascii="Cambria" w:hAnsi="Cambria"/>
          <w:sz w:val="20"/>
          <w:szCs w:val="20"/>
          <w:lang w:val="es-AR"/>
        </w:rPr>
        <w:t xml:space="preserve">. </w:t>
      </w:r>
      <w:r w:rsidR="00F25A22" w:rsidRPr="00116A43">
        <w:rPr>
          <w:rFonts w:ascii="Cambria" w:hAnsi="Cambria"/>
          <w:sz w:val="20"/>
          <w:szCs w:val="20"/>
        </w:rPr>
        <w:t xml:space="preserve">El riesgo de violencia </w:t>
      </w:r>
      <w:r w:rsidR="00F25A22" w:rsidRPr="00116A43">
        <w:rPr>
          <w:rFonts w:ascii="Cambria" w:hAnsi="Cambria"/>
          <w:sz w:val="20"/>
          <w:szCs w:val="20"/>
          <w:lang w:val="es-PE"/>
        </w:rPr>
        <w:t xml:space="preserve">puede verse agravado </w:t>
      </w:r>
      <w:r w:rsidR="00BC1DD2">
        <w:rPr>
          <w:rFonts w:ascii="Cambria" w:hAnsi="Cambria"/>
          <w:sz w:val="20"/>
          <w:szCs w:val="20"/>
          <w:lang w:val="es-PE"/>
        </w:rPr>
        <w:t xml:space="preserve">no solo </w:t>
      </w:r>
      <w:proofErr w:type="gramStart"/>
      <w:r w:rsidR="00BC1DD2">
        <w:rPr>
          <w:rFonts w:ascii="Cambria" w:hAnsi="Cambria"/>
          <w:sz w:val="20"/>
          <w:szCs w:val="20"/>
          <w:lang w:val="es-AR"/>
        </w:rPr>
        <w:t>en razón de</w:t>
      </w:r>
      <w:proofErr w:type="gramEnd"/>
      <w:r w:rsidR="00BC1DD2">
        <w:rPr>
          <w:rFonts w:ascii="Cambria" w:hAnsi="Cambria"/>
          <w:sz w:val="20"/>
          <w:szCs w:val="20"/>
          <w:lang w:val="es-AR"/>
        </w:rPr>
        <w:t xml:space="preserve"> su género sino también </w:t>
      </w:r>
      <w:r w:rsidR="00F25A22" w:rsidRPr="00116A43">
        <w:rPr>
          <w:rFonts w:ascii="Cambria" w:hAnsi="Cambria"/>
          <w:sz w:val="20"/>
          <w:szCs w:val="20"/>
          <w:lang w:val="es-PE"/>
        </w:rPr>
        <w:t xml:space="preserve">por </w:t>
      </w:r>
      <w:r w:rsidR="00470CEB" w:rsidRPr="00116A43">
        <w:rPr>
          <w:rFonts w:ascii="Cambria" w:hAnsi="Cambria"/>
          <w:sz w:val="20"/>
          <w:szCs w:val="20"/>
          <w:lang w:val="es-PE"/>
        </w:rPr>
        <w:t>la labor que cumple una periodista en la sociedad y su postura de crítica, la cual puede enfrentar estereotipos machistas que reprueban su participación pública</w:t>
      </w:r>
      <w:r w:rsidR="00BC1DD2">
        <w:rPr>
          <w:rFonts w:ascii="Cambria" w:hAnsi="Cambria"/>
          <w:sz w:val="20"/>
          <w:szCs w:val="20"/>
          <w:lang w:val="es-PE"/>
        </w:rPr>
        <w:t>,</w:t>
      </w:r>
      <w:r w:rsidR="00F91ADA">
        <w:rPr>
          <w:rFonts w:ascii="Cambria" w:hAnsi="Cambria"/>
          <w:sz w:val="20"/>
          <w:szCs w:val="20"/>
          <w:lang w:val="es-AR"/>
        </w:rPr>
        <w:t xml:space="preserve"> </w:t>
      </w:r>
      <w:r w:rsidR="00BC1DD2">
        <w:rPr>
          <w:rFonts w:ascii="Cambria" w:hAnsi="Cambria"/>
          <w:sz w:val="20"/>
          <w:szCs w:val="20"/>
          <w:lang w:val="es-AR"/>
        </w:rPr>
        <w:t xml:space="preserve">sobre </w:t>
      </w:r>
      <w:r w:rsidR="00A2213B">
        <w:rPr>
          <w:rFonts w:ascii="Cambria" w:hAnsi="Cambria"/>
          <w:sz w:val="20"/>
          <w:szCs w:val="20"/>
          <w:lang w:val="es-AR"/>
        </w:rPr>
        <w:t>todo,</w:t>
      </w:r>
      <w:r w:rsidR="00BC1DD2">
        <w:rPr>
          <w:rFonts w:ascii="Cambria" w:hAnsi="Cambria"/>
          <w:sz w:val="20"/>
          <w:szCs w:val="20"/>
          <w:lang w:val="es-AR"/>
        </w:rPr>
        <w:t xml:space="preserve"> cuando tienen un alto perfil público</w:t>
      </w:r>
      <w:r w:rsidR="00A2213B" w:rsidRPr="00116A43">
        <w:rPr>
          <w:rStyle w:val="FootnoteReference"/>
          <w:rFonts w:ascii="Cambria" w:hAnsi="Cambria"/>
          <w:sz w:val="20"/>
          <w:szCs w:val="20"/>
          <w:lang w:val="es-PE"/>
        </w:rPr>
        <w:footnoteReference w:id="174"/>
      </w:r>
      <w:r w:rsidR="00F91ADA">
        <w:rPr>
          <w:rFonts w:ascii="Cambria" w:hAnsi="Cambria"/>
          <w:sz w:val="20"/>
          <w:szCs w:val="20"/>
          <w:lang w:val="es-AR"/>
        </w:rPr>
        <w:t xml:space="preserve">. Las mujeres periodistas son sometidas a violencia, en particular de tipo sexual, con el fin de acallarlas, pero también </w:t>
      </w:r>
      <w:r w:rsidR="00BC1DD2">
        <w:rPr>
          <w:rFonts w:ascii="Cambria" w:hAnsi="Cambria"/>
          <w:sz w:val="20"/>
          <w:szCs w:val="20"/>
          <w:lang w:val="es-AR"/>
        </w:rPr>
        <w:t xml:space="preserve">con el objetivo </w:t>
      </w:r>
      <w:r w:rsidR="00F91ADA">
        <w:rPr>
          <w:rFonts w:ascii="Cambria" w:hAnsi="Cambria"/>
          <w:sz w:val="20"/>
          <w:szCs w:val="20"/>
          <w:lang w:val="es-AR"/>
        </w:rPr>
        <w:t xml:space="preserve">de enviar un mensaje </w:t>
      </w:r>
      <w:r w:rsidR="00BC1DD2">
        <w:rPr>
          <w:rFonts w:ascii="Cambria" w:hAnsi="Cambria"/>
          <w:sz w:val="20"/>
          <w:szCs w:val="20"/>
          <w:lang w:val="es-AR"/>
        </w:rPr>
        <w:t>disuasorio</w:t>
      </w:r>
      <w:r w:rsidR="00F91ADA">
        <w:rPr>
          <w:rFonts w:ascii="Cambria" w:hAnsi="Cambria"/>
          <w:sz w:val="20"/>
          <w:szCs w:val="20"/>
          <w:lang w:val="es-AR"/>
        </w:rPr>
        <w:t xml:space="preserve"> </w:t>
      </w:r>
      <w:r w:rsidR="00BC1DD2">
        <w:rPr>
          <w:rFonts w:ascii="Cambria" w:hAnsi="Cambria"/>
          <w:sz w:val="20"/>
          <w:szCs w:val="20"/>
          <w:lang w:val="es-AR"/>
        </w:rPr>
        <w:t>sobre las consecuencias que podrían ocurrir contra las personas que pensaran como ella</w:t>
      </w:r>
      <w:r w:rsidR="00BC1DD2">
        <w:rPr>
          <w:rStyle w:val="FootnoteReference"/>
          <w:rFonts w:ascii="Cambria" w:hAnsi="Cambria"/>
          <w:sz w:val="20"/>
          <w:szCs w:val="20"/>
          <w:lang w:val="es-AR"/>
        </w:rPr>
        <w:footnoteReference w:id="175"/>
      </w:r>
      <w:r w:rsidR="00BC1DD2">
        <w:rPr>
          <w:rFonts w:ascii="Cambria" w:hAnsi="Cambria"/>
          <w:sz w:val="20"/>
          <w:szCs w:val="20"/>
          <w:lang w:val="es-AR"/>
        </w:rPr>
        <w:t>.</w:t>
      </w:r>
    </w:p>
    <w:p w14:paraId="4858ADE8" w14:textId="39C07FDC" w:rsidR="00CE2965" w:rsidRPr="00116A43" w:rsidRDefault="00CE2965"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68E3A972" w14:textId="22782B11" w:rsidR="009E1613" w:rsidRPr="003D0D74" w:rsidRDefault="00AC55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116A43">
        <w:rPr>
          <w:rFonts w:ascii="Cambria" w:hAnsi="Cambria"/>
          <w:sz w:val="20"/>
          <w:szCs w:val="20"/>
        </w:rPr>
        <w:t>L</w:t>
      </w:r>
      <w:r w:rsidR="00F25A22" w:rsidRPr="00116A43">
        <w:rPr>
          <w:rFonts w:ascii="Cambria" w:hAnsi="Cambria"/>
          <w:sz w:val="20"/>
          <w:szCs w:val="20"/>
        </w:rPr>
        <w:t xml:space="preserve">a desnudez forzada </w:t>
      </w:r>
      <w:r w:rsidR="009E1613" w:rsidRPr="00116A43">
        <w:rPr>
          <w:rFonts w:ascii="Cambria" w:hAnsi="Cambria"/>
          <w:sz w:val="20"/>
          <w:szCs w:val="20"/>
        </w:rPr>
        <w:t>es una for</w:t>
      </w:r>
      <w:r w:rsidR="003E0A77" w:rsidRPr="00116A43">
        <w:rPr>
          <w:rFonts w:ascii="Cambria" w:hAnsi="Cambria"/>
          <w:sz w:val="20"/>
          <w:szCs w:val="20"/>
        </w:rPr>
        <w:t>ma de violencia de género contra la mujer</w:t>
      </w:r>
      <w:r w:rsidR="009E1613" w:rsidRPr="00116A43">
        <w:rPr>
          <w:rFonts w:ascii="Cambria" w:hAnsi="Cambria"/>
          <w:sz w:val="20"/>
          <w:szCs w:val="20"/>
        </w:rPr>
        <w:t xml:space="preserve"> que puede ser cometida por su condición de mujer o puede afectarla en forma desproporcionada, como usualmente ocurre cuando </w:t>
      </w:r>
      <w:r w:rsidR="009E1613" w:rsidRPr="00116A43">
        <w:rPr>
          <w:rFonts w:ascii="Cambria" w:hAnsi="Cambria" w:hint="eastAsia"/>
          <w:color w:val="222222"/>
          <w:sz w:val="20"/>
          <w:szCs w:val="20"/>
          <w:shd w:val="clear" w:color="auto" w:fill="FFFFFF"/>
          <w:lang w:val="es-PE"/>
        </w:rPr>
        <w:t xml:space="preserve">la persona está sujeta al control absoluto del Estado, como por ejemplo durante la privación de la libertad. La desnudez forzada </w:t>
      </w:r>
      <w:r w:rsidR="002B0408" w:rsidRPr="00116A43">
        <w:rPr>
          <w:rFonts w:ascii="Cambria" w:hAnsi="Cambria" w:hint="eastAsia"/>
          <w:color w:val="222222"/>
          <w:sz w:val="20"/>
          <w:szCs w:val="20"/>
          <w:shd w:val="clear" w:color="auto" w:fill="FFFFFF"/>
          <w:lang w:val="es-PE"/>
        </w:rPr>
        <w:t>constituye una violación a la dignidad personal diferenciada respecto de los hombres, q</w:t>
      </w:r>
      <w:r w:rsidR="00B302CF" w:rsidRPr="00116A43">
        <w:rPr>
          <w:rFonts w:ascii="Cambria" w:hAnsi="Cambria"/>
          <w:color w:val="222222"/>
          <w:sz w:val="20"/>
          <w:szCs w:val="20"/>
          <w:shd w:val="clear" w:color="auto" w:fill="FFFFFF"/>
          <w:lang w:val="es-PE"/>
        </w:rPr>
        <w:t xml:space="preserve">ue </w:t>
      </w:r>
      <w:r w:rsidR="002B0408" w:rsidRPr="00116A43">
        <w:rPr>
          <w:rFonts w:ascii="Cambria" w:hAnsi="Cambria" w:hint="eastAsia"/>
          <w:color w:val="222222"/>
          <w:sz w:val="20"/>
          <w:szCs w:val="20"/>
          <w:shd w:val="clear" w:color="auto" w:fill="FFFFFF"/>
          <w:lang w:val="es-PE"/>
        </w:rPr>
        <w:t>coloca</w:t>
      </w:r>
      <w:r w:rsidR="00B302CF" w:rsidRPr="00116A43">
        <w:rPr>
          <w:rFonts w:ascii="Cambria" w:hAnsi="Cambria"/>
          <w:color w:val="222222"/>
          <w:sz w:val="20"/>
          <w:szCs w:val="20"/>
          <w:shd w:val="clear" w:color="auto" w:fill="FFFFFF"/>
          <w:lang w:val="es-PE"/>
        </w:rPr>
        <w:t xml:space="preserve"> a la mujer</w:t>
      </w:r>
      <w:r w:rsidR="002B0408" w:rsidRPr="00116A43">
        <w:rPr>
          <w:rFonts w:ascii="Cambria" w:hAnsi="Cambria" w:hint="eastAsia"/>
          <w:color w:val="222222"/>
          <w:sz w:val="20"/>
          <w:szCs w:val="20"/>
          <w:shd w:val="clear" w:color="auto" w:fill="FFFFFF"/>
          <w:lang w:val="es-PE"/>
        </w:rPr>
        <w:t xml:space="preserve"> en una situación </w:t>
      </w:r>
      <w:r w:rsidR="00B302CF" w:rsidRPr="00116A43">
        <w:rPr>
          <w:rFonts w:ascii="Cambria" w:hAnsi="Cambria"/>
          <w:color w:val="222222"/>
          <w:sz w:val="20"/>
          <w:szCs w:val="20"/>
          <w:shd w:val="clear" w:color="auto" w:fill="FFFFFF"/>
          <w:lang w:val="es-PE"/>
        </w:rPr>
        <w:t>aún</w:t>
      </w:r>
      <w:r w:rsidR="002B0408" w:rsidRPr="00116A43">
        <w:rPr>
          <w:rFonts w:ascii="Cambria" w:hAnsi="Cambria" w:hint="eastAsia"/>
          <w:color w:val="222222"/>
          <w:sz w:val="20"/>
          <w:szCs w:val="20"/>
          <w:shd w:val="clear" w:color="auto" w:fill="FFFFFF"/>
          <w:lang w:val="es-PE"/>
        </w:rPr>
        <w:t xml:space="preserve"> más vulnerable</w:t>
      </w:r>
      <w:r w:rsidR="009E1613" w:rsidRPr="00116A43">
        <w:rPr>
          <w:rFonts w:ascii="Cambria" w:hAnsi="Cambria" w:hint="eastAsia"/>
          <w:color w:val="222222"/>
          <w:sz w:val="20"/>
          <w:szCs w:val="20"/>
          <w:shd w:val="clear" w:color="auto" w:fill="FFFFFF"/>
          <w:lang w:val="es-PE"/>
        </w:rPr>
        <w:t xml:space="preserve"> </w:t>
      </w:r>
      <w:r w:rsidR="002B0408" w:rsidRPr="00116A43">
        <w:rPr>
          <w:rFonts w:ascii="Cambria" w:hAnsi="Cambria" w:hint="eastAsia"/>
          <w:color w:val="222222"/>
          <w:sz w:val="20"/>
          <w:szCs w:val="20"/>
          <w:shd w:val="clear" w:color="auto" w:fill="FFFFFF"/>
          <w:lang w:val="es-PE"/>
        </w:rPr>
        <w:t xml:space="preserve">al encontrarse </w:t>
      </w:r>
      <w:r w:rsidR="009E1613" w:rsidRPr="00116A43">
        <w:rPr>
          <w:rFonts w:ascii="Cambria" w:hAnsi="Cambria" w:hint="eastAsia"/>
          <w:color w:val="222222"/>
          <w:sz w:val="20"/>
          <w:szCs w:val="20"/>
          <w:shd w:val="clear" w:color="auto" w:fill="FFFFFF"/>
          <w:lang w:val="es-PE"/>
        </w:rPr>
        <w:t>desnuda y desvalida</w:t>
      </w:r>
      <w:r w:rsidR="00B302CF" w:rsidRPr="00116A43">
        <w:rPr>
          <w:rStyle w:val="FootnoteReference"/>
          <w:rFonts w:ascii="Cambria" w:hAnsi="Cambria"/>
          <w:color w:val="222222"/>
          <w:sz w:val="20"/>
          <w:szCs w:val="20"/>
          <w:shd w:val="clear" w:color="auto" w:fill="FFFFFF"/>
          <w:lang w:val="es-PE"/>
        </w:rPr>
        <w:footnoteReference w:id="176"/>
      </w:r>
      <w:r w:rsidR="002B0408" w:rsidRPr="00116A43">
        <w:rPr>
          <w:rFonts w:ascii="Cambria" w:hAnsi="Cambria" w:hint="eastAsia"/>
          <w:color w:val="222222"/>
          <w:sz w:val="20"/>
          <w:szCs w:val="20"/>
          <w:shd w:val="clear" w:color="auto" w:fill="FFFFFF"/>
          <w:lang w:val="es-PE"/>
        </w:rPr>
        <w:t xml:space="preserve"> durante la detención, lo cual puede incrementar el terror </w:t>
      </w:r>
      <w:r w:rsidR="009E1613" w:rsidRPr="00116A43">
        <w:rPr>
          <w:rFonts w:ascii="Cambria" w:hAnsi="Cambria"/>
          <w:color w:val="222222"/>
          <w:sz w:val="20"/>
          <w:szCs w:val="20"/>
          <w:shd w:val="clear" w:color="auto" w:fill="FFFFFF"/>
        </w:rPr>
        <w:t>psicológico</w:t>
      </w:r>
      <w:r w:rsidR="002B0408" w:rsidRPr="00116A43">
        <w:rPr>
          <w:rFonts w:ascii="Cambria" w:hAnsi="Cambria" w:hint="eastAsia"/>
          <w:color w:val="222222"/>
          <w:sz w:val="20"/>
          <w:szCs w:val="20"/>
          <w:shd w:val="clear" w:color="auto" w:fill="FFFFFF"/>
        </w:rPr>
        <w:t xml:space="preserve"> de la víctima</w:t>
      </w:r>
      <w:r w:rsidR="00B302CF" w:rsidRPr="00116A43">
        <w:rPr>
          <w:rFonts w:ascii="Cambria" w:hAnsi="Cambria"/>
          <w:color w:val="222222"/>
          <w:sz w:val="20"/>
          <w:szCs w:val="20"/>
          <w:shd w:val="clear" w:color="auto" w:fill="FFFFFF"/>
        </w:rPr>
        <w:t xml:space="preserve"> respecto a lo que le podría ocurrir</w:t>
      </w:r>
      <w:r w:rsidR="002B0408" w:rsidRPr="00116A43">
        <w:rPr>
          <w:rFonts w:ascii="Cambria" w:hAnsi="Cambria" w:hint="eastAsia"/>
          <w:color w:val="222222"/>
          <w:sz w:val="20"/>
          <w:szCs w:val="20"/>
          <w:shd w:val="clear" w:color="auto" w:fill="FFFFFF"/>
        </w:rPr>
        <w:t>.</w:t>
      </w:r>
      <w:r w:rsidR="00B302CF" w:rsidRPr="00116A43">
        <w:rPr>
          <w:rFonts w:ascii="Cambria" w:hAnsi="Cambria"/>
          <w:color w:val="222222"/>
          <w:sz w:val="20"/>
          <w:szCs w:val="20"/>
          <w:shd w:val="clear" w:color="auto" w:fill="FFFFFF"/>
        </w:rPr>
        <w:t xml:space="preserve"> </w:t>
      </w:r>
      <w:r w:rsidR="00DE3E5E" w:rsidRPr="00DE3E5E">
        <w:rPr>
          <w:rFonts w:ascii="Cambria" w:hAnsi="Cambria"/>
          <w:color w:val="222222"/>
          <w:sz w:val="20"/>
          <w:szCs w:val="20"/>
          <w:shd w:val="clear" w:color="auto" w:fill="FFFFFF"/>
        </w:rPr>
        <w:t xml:space="preserve">Constituye un acto especialmente grave </w:t>
      </w:r>
      <w:r w:rsidR="00DE3E5E" w:rsidRPr="00F04C39">
        <w:rPr>
          <w:rFonts w:ascii="Cambria" w:hAnsi="Cambria"/>
          <w:sz w:val="20"/>
          <w:szCs w:val="20"/>
        </w:rPr>
        <w:t xml:space="preserve">tomando en cuenta la vulnerabilidad de la víctima y el abuso de poder </w:t>
      </w:r>
      <w:r w:rsidR="00DE3E5E" w:rsidRPr="00F04C39">
        <w:rPr>
          <w:rFonts w:ascii="Cambria" w:hAnsi="Cambria"/>
          <w:sz w:val="20"/>
          <w:szCs w:val="20"/>
        </w:rPr>
        <w:lastRenderedPageBreak/>
        <w:t>que despliega el agente</w:t>
      </w:r>
      <w:r w:rsidR="00DE3E5E">
        <w:rPr>
          <w:rStyle w:val="FootnoteReference"/>
          <w:rFonts w:ascii="Cambria" w:hAnsi="Cambria"/>
          <w:sz w:val="20"/>
          <w:szCs w:val="20"/>
        </w:rPr>
        <w:footnoteReference w:id="177"/>
      </w:r>
      <w:r w:rsidR="00DE3E5E" w:rsidRPr="00F04C39">
        <w:rPr>
          <w:rFonts w:ascii="Cambria" w:hAnsi="Cambria"/>
          <w:sz w:val="20"/>
          <w:szCs w:val="20"/>
        </w:rPr>
        <w:t>.</w:t>
      </w:r>
      <w:r w:rsidR="00DE3E5E">
        <w:t xml:space="preserve"> </w:t>
      </w:r>
      <w:r w:rsidR="0011208E">
        <w:rPr>
          <w:rFonts w:ascii="Cambria" w:hAnsi="Cambria"/>
          <w:color w:val="222222"/>
          <w:sz w:val="20"/>
          <w:szCs w:val="20"/>
          <w:shd w:val="clear" w:color="auto" w:fill="FFFFFF"/>
        </w:rPr>
        <w:t xml:space="preserve">Asimismo, es </w:t>
      </w:r>
      <w:r w:rsidR="00B302CF" w:rsidRPr="00116A43">
        <w:rPr>
          <w:rFonts w:ascii="Cambria" w:hAnsi="Cambria"/>
          <w:color w:val="222222"/>
          <w:sz w:val="20"/>
          <w:szCs w:val="20"/>
          <w:shd w:val="clear" w:color="auto" w:fill="FFFFFF"/>
        </w:rPr>
        <w:t>considerada una forma de violencia sexual</w:t>
      </w:r>
      <w:r w:rsidR="00363B0E">
        <w:rPr>
          <w:rFonts w:ascii="Cambria" w:hAnsi="Cambria"/>
          <w:color w:val="222222"/>
          <w:sz w:val="20"/>
          <w:szCs w:val="20"/>
          <w:shd w:val="clear" w:color="auto" w:fill="FFFFFF"/>
        </w:rPr>
        <w:t xml:space="preserve"> al tener una naturaleza sexual o consistir en una forma sexualizada de violencia</w:t>
      </w:r>
      <w:r w:rsidR="00861C7E" w:rsidRPr="00116A43">
        <w:rPr>
          <w:rStyle w:val="FootnoteReference"/>
          <w:rFonts w:ascii="Cambria" w:hAnsi="Cambria"/>
          <w:color w:val="222222"/>
          <w:sz w:val="20"/>
          <w:szCs w:val="20"/>
          <w:shd w:val="clear" w:color="auto" w:fill="FFFFFF"/>
        </w:rPr>
        <w:footnoteReference w:id="178"/>
      </w:r>
      <w:r w:rsidR="00363B0E">
        <w:rPr>
          <w:rFonts w:ascii="Cambria" w:hAnsi="Cambria"/>
          <w:color w:val="222222"/>
          <w:sz w:val="20"/>
          <w:szCs w:val="20"/>
          <w:shd w:val="clear" w:color="auto" w:fill="FFFFFF"/>
        </w:rPr>
        <w:t xml:space="preserve">. El sistema interamericano ha definido a la violencia sexual </w:t>
      </w:r>
      <w:r w:rsidR="00B302CF" w:rsidRPr="00116A43">
        <w:rPr>
          <w:rFonts w:ascii="Cambria" w:hAnsi="Cambria"/>
          <w:color w:val="222222"/>
          <w:sz w:val="20"/>
          <w:szCs w:val="20"/>
          <w:shd w:val="clear" w:color="auto" w:fill="FFFFFF"/>
        </w:rPr>
        <w:t>como las “acciones de naturaleza sexual que se cometen en una persona sin su consentimiento, que además de comprender la invasión física del cuerpo humano, pueden incluir actos que no involucren penetración o incluso contacto físico alguno”</w:t>
      </w:r>
      <w:r w:rsidR="00B302CF" w:rsidRPr="00116A43">
        <w:rPr>
          <w:rStyle w:val="FootnoteReference"/>
          <w:rFonts w:ascii="Cambria" w:hAnsi="Cambria"/>
          <w:color w:val="222222"/>
          <w:sz w:val="20"/>
          <w:szCs w:val="20"/>
          <w:shd w:val="clear" w:color="auto" w:fill="FFFFFF"/>
        </w:rPr>
        <w:footnoteReference w:id="179"/>
      </w:r>
      <w:r w:rsidR="00B302CF" w:rsidRPr="00116A43">
        <w:rPr>
          <w:rFonts w:ascii="Cambria" w:hAnsi="Cambria"/>
          <w:color w:val="222222"/>
          <w:sz w:val="20"/>
          <w:szCs w:val="20"/>
          <w:shd w:val="clear" w:color="auto" w:fill="FFFFFF"/>
        </w:rPr>
        <w:t>.</w:t>
      </w:r>
      <w:r w:rsidR="00363B0E">
        <w:rPr>
          <w:rFonts w:ascii="Cambria" w:hAnsi="Cambria"/>
          <w:color w:val="222222"/>
          <w:sz w:val="20"/>
          <w:szCs w:val="20"/>
          <w:shd w:val="clear" w:color="auto" w:fill="FFFFFF"/>
        </w:rPr>
        <w:t xml:space="preserve"> </w:t>
      </w:r>
    </w:p>
    <w:p w14:paraId="7718F979" w14:textId="77777777" w:rsidR="00D2631F" w:rsidRPr="00116A43" w:rsidRDefault="00D2631F" w:rsidP="003D0D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SimSun" w:hAnsi="Cambria"/>
          <w:sz w:val="20"/>
          <w:szCs w:val="20"/>
        </w:rPr>
      </w:pPr>
    </w:p>
    <w:p w14:paraId="44DDF0C7" w14:textId="23527140" w:rsidR="009834F2" w:rsidRPr="00045AAA" w:rsidRDefault="00B302CF"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SimSun" w:hAnsi="Cambria"/>
          <w:sz w:val="20"/>
          <w:szCs w:val="20"/>
        </w:rPr>
      </w:pPr>
      <w:r w:rsidRPr="00116A43">
        <w:rPr>
          <w:rFonts w:ascii="Cambria" w:hAnsi="Cambria"/>
          <w:sz w:val="20"/>
          <w:szCs w:val="20"/>
        </w:rPr>
        <w:t xml:space="preserve">La CIDH y su Relatoría </w:t>
      </w:r>
      <w:r w:rsidR="00F31CA6" w:rsidRPr="00116A43">
        <w:rPr>
          <w:rFonts w:ascii="Cambria" w:hAnsi="Cambria"/>
          <w:sz w:val="20"/>
          <w:szCs w:val="20"/>
        </w:rPr>
        <w:t xml:space="preserve">Especial </w:t>
      </w:r>
      <w:r w:rsidR="00F91ADA">
        <w:rPr>
          <w:rFonts w:ascii="Cambria" w:hAnsi="Cambria"/>
          <w:sz w:val="20"/>
          <w:szCs w:val="20"/>
        </w:rPr>
        <w:t>han constatado que</w:t>
      </w:r>
      <w:r w:rsidR="00F31CA6" w:rsidRPr="00116A43">
        <w:rPr>
          <w:rFonts w:ascii="Cambria" w:hAnsi="Cambria"/>
          <w:sz w:val="20"/>
          <w:szCs w:val="20"/>
        </w:rPr>
        <w:t xml:space="preserve"> desde el 2011 </w:t>
      </w:r>
      <w:r w:rsidR="007807D1" w:rsidRPr="00116A43">
        <w:rPr>
          <w:rFonts w:ascii="Cambria" w:hAnsi="Cambria"/>
          <w:sz w:val="20"/>
          <w:szCs w:val="20"/>
        </w:rPr>
        <w:t>y 2012</w:t>
      </w:r>
      <w:r w:rsidR="00F91ADA">
        <w:rPr>
          <w:rFonts w:ascii="Cambria" w:hAnsi="Cambria"/>
          <w:sz w:val="20"/>
          <w:szCs w:val="20"/>
          <w:lang w:val="es-PE"/>
        </w:rPr>
        <w:t>,</w:t>
      </w:r>
      <w:r w:rsidR="009834F2" w:rsidRPr="00116A43">
        <w:rPr>
          <w:rFonts w:ascii="Cambria" w:hAnsi="Cambria"/>
          <w:sz w:val="20"/>
          <w:szCs w:val="20"/>
          <w:lang w:val="es-PE"/>
        </w:rPr>
        <w:t xml:space="preserve"> dentro de las presuntas represiones violentas que vienen ocurriendo en Cuba, habría un especial ensañamiento </w:t>
      </w:r>
      <w:r w:rsidR="00F31CA6" w:rsidRPr="00116A43">
        <w:rPr>
          <w:rFonts w:ascii="Cambria" w:hAnsi="Cambria"/>
          <w:sz w:val="20"/>
          <w:szCs w:val="20"/>
          <w:lang w:val="es-PE"/>
        </w:rPr>
        <w:t xml:space="preserve">violento </w:t>
      </w:r>
      <w:r w:rsidR="009834F2" w:rsidRPr="00116A43">
        <w:rPr>
          <w:rFonts w:ascii="Cambria" w:hAnsi="Cambria"/>
          <w:sz w:val="20"/>
          <w:szCs w:val="20"/>
          <w:lang w:val="es-PE"/>
        </w:rPr>
        <w:t>hacia las muje</w:t>
      </w:r>
      <w:r w:rsidR="00F31CA6" w:rsidRPr="00116A43">
        <w:rPr>
          <w:rFonts w:ascii="Cambria" w:hAnsi="Cambria"/>
          <w:sz w:val="20"/>
          <w:szCs w:val="20"/>
          <w:lang w:val="es-PE"/>
        </w:rPr>
        <w:t>res</w:t>
      </w:r>
      <w:r w:rsidR="009834F2" w:rsidRPr="00116A43">
        <w:rPr>
          <w:rFonts w:ascii="Cambria" w:hAnsi="Cambria"/>
          <w:sz w:val="20"/>
          <w:szCs w:val="20"/>
          <w:vertAlign w:val="superscript"/>
        </w:rPr>
        <w:footnoteReference w:id="180"/>
      </w:r>
      <w:r w:rsidR="00F31CA6" w:rsidRPr="00116A43">
        <w:rPr>
          <w:rFonts w:ascii="Cambria" w:hAnsi="Cambria"/>
          <w:sz w:val="20"/>
          <w:szCs w:val="20"/>
          <w:lang w:val="es-PE"/>
        </w:rPr>
        <w:t>.</w:t>
      </w:r>
      <w:r w:rsidR="007807D1" w:rsidRPr="00116A43">
        <w:rPr>
          <w:rFonts w:ascii="Cambria" w:hAnsi="Cambria"/>
          <w:sz w:val="20"/>
          <w:szCs w:val="20"/>
          <w:lang w:val="es-PE"/>
        </w:rPr>
        <w:t xml:space="preserve"> En estos</w:t>
      </w:r>
      <w:r w:rsidR="009834F2" w:rsidRPr="00116A43">
        <w:rPr>
          <w:rFonts w:ascii="Cambria" w:hAnsi="Cambria"/>
          <w:sz w:val="20"/>
          <w:szCs w:val="20"/>
          <w:lang w:val="es-PE"/>
        </w:rPr>
        <w:t xml:space="preserve"> informe</w:t>
      </w:r>
      <w:r w:rsidR="007807D1" w:rsidRPr="00116A43">
        <w:rPr>
          <w:rFonts w:ascii="Cambria" w:hAnsi="Cambria"/>
          <w:sz w:val="20"/>
          <w:szCs w:val="20"/>
          <w:lang w:val="es-PE"/>
        </w:rPr>
        <w:t>s</w:t>
      </w:r>
      <w:r w:rsidR="009834F2" w:rsidRPr="00116A43">
        <w:rPr>
          <w:rFonts w:ascii="Cambria" w:hAnsi="Cambria"/>
          <w:sz w:val="20"/>
          <w:szCs w:val="20"/>
          <w:lang w:val="es-PE"/>
        </w:rPr>
        <w:t>, la Comisión relató algunas prácticas violentas llevadas a cabo por agentes policiales contr</w:t>
      </w:r>
      <w:r w:rsidR="00F31CA6" w:rsidRPr="00116A43">
        <w:rPr>
          <w:rFonts w:ascii="Cambria" w:hAnsi="Cambria"/>
          <w:sz w:val="20"/>
          <w:szCs w:val="20"/>
          <w:lang w:val="es-PE"/>
        </w:rPr>
        <w:t xml:space="preserve">a mujeres durante su privación de la libertad, que incluyen un aumento considerable de la práctica de desnudar forzadamente </w:t>
      </w:r>
      <w:r w:rsidR="0011208E">
        <w:rPr>
          <w:rFonts w:ascii="Cambria" w:hAnsi="Cambria"/>
          <w:sz w:val="20"/>
          <w:szCs w:val="20"/>
          <w:lang w:val="es-PE"/>
        </w:rPr>
        <w:t xml:space="preserve">a </w:t>
      </w:r>
      <w:r w:rsidR="00F31CA6" w:rsidRPr="00116A43">
        <w:rPr>
          <w:rFonts w:ascii="Cambria" w:hAnsi="Cambria"/>
          <w:sz w:val="20"/>
          <w:szCs w:val="20"/>
          <w:lang w:val="es-PE"/>
        </w:rPr>
        <w:t>mujeres opositoras al régime</w:t>
      </w:r>
      <w:r w:rsidR="007807D1" w:rsidRPr="00116A43">
        <w:rPr>
          <w:rFonts w:ascii="Cambria" w:hAnsi="Cambria"/>
          <w:sz w:val="20"/>
          <w:szCs w:val="20"/>
          <w:lang w:val="es-PE"/>
        </w:rPr>
        <w:t>n y requisas corporales innecesarias</w:t>
      </w:r>
      <w:r w:rsidR="007807D1" w:rsidRPr="00116A43">
        <w:rPr>
          <w:rStyle w:val="FootnoteReference"/>
          <w:rFonts w:ascii="Cambria" w:hAnsi="Cambria"/>
          <w:sz w:val="20"/>
          <w:szCs w:val="20"/>
          <w:lang w:val="es-PE"/>
        </w:rPr>
        <w:footnoteReference w:id="181"/>
      </w:r>
      <w:r w:rsidR="00F91ADA">
        <w:rPr>
          <w:rFonts w:ascii="Cambria" w:hAnsi="Cambria"/>
          <w:sz w:val="20"/>
          <w:szCs w:val="20"/>
          <w:lang w:val="es-PE"/>
        </w:rPr>
        <w:t>, en la cual se insertan los hechos del presente caso</w:t>
      </w:r>
      <w:r w:rsidR="007807D1" w:rsidRPr="00116A43">
        <w:rPr>
          <w:rFonts w:ascii="Cambria" w:hAnsi="Cambria"/>
          <w:sz w:val="20"/>
          <w:szCs w:val="20"/>
          <w:lang w:val="es-PE"/>
        </w:rPr>
        <w:t>.</w:t>
      </w:r>
    </w:p>
    <w:p w14:paraId="2CCF5C13"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SimSun" w:hAnsi="Cambria"/>
          <w:sz w:val="20"/>
          <w:szCs w:val="20"/>
        </w:rPr>
      </w:pPr>
    </w:p>
    <w:p w14:paraId="3F1998AA" w14:textId="0EBB8012" w:rsidR="00661ACB" w:rsidRPr="00116A43" w:rsidRDefault="00661ACB" w:rsidP="00577F2D">
      <w:pPr>
        <w:pStyle w:val="Heading3"/>
        <w:rPr>
          <w:rFonts w:eastAsia="Arial Unicode MS"/>
        </w:rPr>
      </w:pPr>
      <w:bookmarkStart w:id="30" w:name="_Toc89157574"/>
      <w:r w:rsidRPr="00116A43">
        <w:t>Análisis del caso</w:t>
      </w:r>
      <w:bookmarkEnd w:id="30"/>
    </w:p>
    <w:p w14:paraId="0BAC70AF" w14:textId="77777777" w:rsidR="002910DA" w:rsidRPr="00DE3E5E" w:rsidRDefault="002910DA" w:rsidP="005F7F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PE"/>
        </w:rPr>
      </w:pPr>
    </w:p>
    <w:p w14:paraId="7BE2DAB0" w14:textId="7B2C5727" w:rsidR="002A7EA0" w:rsidRPr="00116A43" w:rsidRDefault="001F029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hAnsi="Cambria" w:cs="Arial"/>
          <w:sz w:val="20"/>
          <w:szCs w:val="20"/>
        </w:rPr>
        <w:t xml:space="preserve">En </w:t>
      </w:r>
      <w:r w:rsidR="00675ECD" w:rsidRPr="00116A43">
        <w:rPr>
          <w:rFonts w:ascii="Cambria" w:hAnsi="Cambria" w:cs="Arial"/>
          <w:sz w:val="20"/>
          <w:szCs w:val="20"/>
        </w:rPr>
        <w:t>el presente caso,</w:t>
      </w:r>
      <w:r w:rsidRPr="00116A43">
        <w:rPr>
          <w:rFonts w:ascii="Cambria" w:hAnsi="Cambria" w:cs="Arial"/>
          <w:sz w:val="20"/>
          <w:szCs w:val="20"/>
        </w:rPr>
        <w:t xml:space="preserve"> Yoani </w:t>
      </w:r>
      <w:r w:rsidR="005412D8" w:rsidRPr="00116A43">
        <w:rPr>
          <w:rFonts w:ascii="Cambria" w:hAnsi="Cambria" w:cs="Arial"/>
          <w:sz w:val="20"/>
          <w:szCs w:val="20"/>
        </w:rPr>
        <w:t>Sánchez</w:t>
      </w:r>
      <w:r w:rsidRPr="00116A43">
        <w:rPr>
          <w:rFonts w:ascii="Cambria" w:hAnsi="Cambria" w:cs="Arial"/>
          <w:sz w:val="20"/>
          <w:szCs w:val="20"/>
        </w:rPr>
        <w:t xml:space="preserve"> fue </w:t>
      </w:r>
      <w:r w:rsidR="00817305" w:rsidRPr="00116A43">
        <w:rPr>
          <w:rFonts w:ascii="Cambria" w:hAnsi="Cambria" w:cs="Arial"/>
          <w:sz w:val="20"/>
          <w:szCs w:val="20"/>
        </w:rPr>
        <w:t>detenida</w:t>
      </w:r>
      <w:r w:rsidRPr="00116A43">
        <w:rPr>
          <w:rFonts w:ascii="Cambria" w:hAnsi="Cambria" w:cs="Arial"/>
          <w:sz w:val="20"/>
          <w:szCs w:val="20"/>
        </w:rPr>
        <w:t xml:space="preserve"> por la policía en dos oportunidades</w:t>
      </w:r>
      <w:r w:rsidR="00397BB3" w:rsidRPr="00116A43">
        <w:rPr>
          <w:rFonts w:ascii="Cambria" w:hAnsi="Cambria" w:cs="Arial"/>
          <w:sz w:val="20"/>
          <w:szCs w:val="20"/>
        </w:rPr>
        <w:t xml:space="preserve">: </w:t>
      </w:r>
      <w:r w:rsidRPr="00116A43">
        <w:rPr>
          <w:rFonts w:ascii="Cambria" w:hAnsi="Cambria" w:cs="Arial"/>
          <w:sz w:val="20"/>
          <w:szCs w:val="20"/>
        </w:rPr>
        <w:t xml:space="preserve">el 24 de febrero de 2010 y el </w:t>
      </w:r>
      <w:r w:rsidR="00397BB3" w:rsidRPr="00116A43">
        <w:rPr>
          <w:rFonts w:ascii="Cambria" w:hAnsi="Cambria" w:cs="Arial"/>
          <w:sz w:val="20"/>
          <w:szCs w:val="20"/>
        </w:rPr>
        <w:t xml:space="preserve">5 </w:t>
      </w:r>
      <w:r w:rsidRPr="00116A43">
        <w:rPr>
          <w:rFonts w:ascii="Cambria" w:hAnsi="Cambria" w:cs="Arial"/>
          <w:sz w:val="20"/>
          <w:szCs w:val="20"/>
        </w:rPr>
        <w:t>de octubre de 2012</w:t>
      </w:r>
      <w:r w:rsidR="003101A3" w:rsidRPr="00116A43">
        <w:rPr>
          <w:rFonts w:ascii="Cambria" w:hAnsi="Cambria" w:cs="Arial"/>
          <w:sz w:val="20"/>
          <w:szCs w:val="20"/>
        </w:rPr>
        <w:t xml:space="preserve">, en esta última oportunidad fue detenida </w:t>
      </w:r>
      <w:r w:rsidR="00817305" w:rsidRPr="00116A43">
        <w:rPr>
          <w:rFonts w:ascii="Cambria" w:hAnsi="Cambria" w:cs="Arial"/>
          <w:sz w:val="20"/>
          <w:szCs w:val="20"/>
        </w:rPr>
        <w:t xml:space="preserve">por 30 horas sin que se le permitiera comunicarse con su hija durante varias horas. </w:t>
      </w:r>
      <w:r w:rsidR="009A7DF3" w:rsidRPr="00116A43">
        <w:rPr>
          <w:rFonts w:ascii="Cambria" w:hAnsi="Cambria" w:cs="Arial"/>
          <w:sz w:val="20"/>
          <w:szCs w:val="20"/>
        </w:rPr>
        <w:t>El Estado no demostró una base legal que justificara ninguna de las dos detenciones</w:t>
      </w:r>
      <w:r w:rsidR="007B141C" w:rsidRPr="00116A43">
        <w:rPr>
          <w:rFonts w:ascii="Cambria" w:hAnsi="Cambria" w:cs="Arial"/>
          <w:sz w:val="20"/>
          <w:szCs w:val="20"/>
        </w:rPr>
        <w:t xml:space="preserve">, </w:t>
      </w:r>
      <w:r w:rsidRPr="00116A43">
        <w:rPr>
          <w:rFonts w:ascii="Cambria" w:hAnsi="Cambria" w:cs="Arial"/>
          <w:sz w:val="20"/>
          <w:szCs w:val="20"/>
        </w:rPr>
        <w:t>no presentar</w:t>
      </w:r>
      <w:r w:rsidR="00560547" w:rsidRPr="00116A43">
        <w:rPr>
          <w:rFonts w:ascii="Cambria" w:hAnsi="Cambria" w:cs="Arial"/>
          <w:sz w:val="20"/>
          <w:szCs w:val="20"/>
        </w:rPr>
        <w:t>o</w:t>
      </w:r>
      <w:r w:rsidRPr="00116A43">
        <w:rPr>
          <w:rFonts w:ascii="Cambria" w:hAnsi="Cambria" w:cs="Arial"/>
          <w:sz w:val="20"/>
          <w:szCs w:val="20"/>
        </w:rPr>
        <w:t xml:space="preserve">n orden judicial para el arresto, la víctima no fue informada de </w:t>
      </w:r>
      <w:r w:rsidR="007B141C" w:rsidRPr="00116A43">
        <w:rPr>
          <w:rFonts w:ascii="Cambria" w:hAnsi="Cambria" w:cs="Arial"/>
          <w:sz w:val="20"/>
          <w:szCs w:val="20"/>
        </w:rPr>
        <w:t xml:space="preserve">los motivos de su detención ni de </w:t>
      </w:r>
      <w:r w:rsidRPr="00116A43">
        <w:rPr>
          <w:rFonts w:ascii="Cambria" w:hAnsi="Cambria" w:cs="Arial"/>
          <w:sz w:val="20"/>
          <w:szCs w:val="20"/>
        </w:rPr>
        <w:t xml:space="preserve">los </w:t>
      </w:r>
      <w:r w:rsidRPr="00116A43">
        <w:rPr>
          <w:rFonts w:ascii="Cambria" w:hAnsi="Cambria"/>
          <w:sz w:val="20"/>
          <w:szCs w:val="20"/>
        </w:rPr>
        <w:t xml:space="preserve">cargos contra ella y las autoridades policiales </w:t>
      </w:r>
      <w:r w:rsidR="00560547" w:rsidRPr="00116A43">
        <w:rPr>
          <w:rFonts w:ascii="Cambria" w:hAnsi="Cambria"/>
          <w:sz w:val="20"/>
          <w:szCs w:val="20"/>
        </w:rPr>
        <w:t>tampoco</w:t>
      </w:r>
      <w:r w:rsidRPr="00116A43">
        <w:rPr>
          <w:rFonts w:ascii="Cambria" w:hAnsi="Cambria"/>
          <w:sz w:val="20"/>
          <w:szCs w:val="20"/>
        </w:rPr>
        <w:t xml:space="preserve"> le entregaron</w:t>
      </w:r>
      <w:r w:rsidR="00560547" w:rsidRPr="00116A43">
        <w:rPr>
          <w:rFonts w:ascii="Cambria" w:hAnsi="Cambria"/>
          <w:sz w:val="20"/>
          <w:szCs w:val="20"/>
        </w:rPr>
        <w:t xml:space="preserve"> un</w:t>
      </w:r>
      <w:r w:rsidRPr="00116A43">
        <w:rPr>
          <w:rFonts w:ascii="Cambria" w:hAnsi="Cambria"/>
          <w:sz w:val="20"/>
          <w:szCs w:val="20"/>
        </w:rPr>
        <w:t xml:space="preserve"> documento con el registro de </w:t>
      </w:r>
      <w:r w:rsidR="00560547" w:rsidRPr="00116A43">
        <w:rPr>
          <w:rFonts w:ascii="Cambria" w:hAnsi="Cambria"/>
          <w:sz w:val="20"/>
          <w:szCs w:val="20"/>
        </w:rPr>
        <w:t>su</w:t>
      </w:r>
      <w:r w:rsidRPr="00116A43">
        <w:rPr>
          <w:rFonts w:ascii="Cambria" w:hAnsi="Cambria"/>
          <w:sz w:val="20"/>
          <w:szCs w:val="20"/>
        </w:rPr>
        <w:t xml:space="preserve"> detención. Tampoco consta que Yoani Sánchez haya sido detenid</w:t>
      </w:r>
      <w:r w:rsidR="00515905" w:rsidRPr="00116A43">
        <w:rPr>
          <w:rFonts w:ascii="Cambria" w:hAnsi="Cambria"/>
          <w:sz w:val="20"/>
          <w:szCs w:val="20"/>
        </w:rPr>
        <w:t>a</w:t>
      </w:r>
      <w:r w:rsidRPr="00116A43">
        <w:rPr>
          <w:rFonts w:ascii="Cambria" w:hAnsi="Cambria"/>
          <w:sz w:val="20"/>
          <w:szCs w:val="20"/>
        </w:rPr>
        <w:t xml:space="preserve"> en una circunstancia de manifiesta actividad criminal o flagrancia</w:t>
      </w:r>
      <w:r w:rsidRPr="00116A43">
        <w:rPr>
          <w:rFonts w:ascii="Cambria" w:hAnsi="Cambria"/>
          <w:sz w:val="20"/>
          <w:szCs w:val="20"/>
          <w:lang w:val="es-AR"/>
        </w:rPr>
        <w:t xml:space="preserve"> o que haya sido llevada ante un juez para que éste determine sin demora la legalidad de la medida. </w:t>
      </w:r>
    </w:p>
    <w:p w14:paraId="34031F9B" w14:textId="77777777" w:rsidR="002A7EA0" w:rsidRPr="00116A43" w:rsidRDefault="002A7EA0"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4627C064" w14:textId="08A82ED4" w:rsidR="00C85586" w:rsidRPr="00116A43" w:rsidRDefault="002A7EA0" w:rsidP="00375047">
      <w:pPr>
        <w:pStyle w:val="NormalWeb"/>
        <w:numPr>
          <w:ilvl w:val="0"/>
          <w:numId w:val="55"/>
        </w:numPr>
        <w:shd w:val="clear" w:color="auto" w:fill="FFFFFF"/>
        <w:spacing w:before="0" w:beforeAutospacing="0" w:after="0" w:afterAutospacing="0"/>
        <w:ind w:firstLine="0"/>
        <w:jc w:val="both"/>
        <w:rPr>
          <w:rFonts w:ascii="Cambria" w:hAnsi="Cambria"/>
          <w:color w:val="000000"/>
          <w:sz w:val="20"/>
          <w:szCs w:val="20"/>
          <w:lang w:val="es-PE"/>
        </w:rPr>
      </w:pPr>
      <w:r w:rsidRPr="00116A43">
        <w:rPr>
          <w:rFonts w:ascii="Cambria" w:hAnsi="Cambria"/>
          <w:sz w:val="20"/>
          <w:szCs w:val="20"/>
          <w:lang w:val="es-AR"/>
        </w:rPr>
        <w:t xml:space="preserve">Si bien el Estado no presentó alegatos </w:t>
      </w:r>
      <w:r w:rsidR="00D744C5" w:rsidRPr="00116A43">
        <w:rPr>
          <w:rFonts w:ascii="Cambria" w:hAnsi="Cambria"/>
          <w:sz w:val="20"/>
          <w:szCs w:val="20"/>
          <w:lang w:val="es-AR"/>
        </w:rPr>
        <w:t>de fondo ante la CIDH</w:t>
      </w:r>
      <w:r w:rsidR="00B11D90" w:rsidRPr="00116A43">
        <w:rPr>
          <w:rFonts w:ascii="Cambria" w:hAnsi="Cambria"/>
          <w:sz w:val="20"/>
          <w:szCs w:val="20"/>
          <w:lang w:val="es-AR"/>
        </w:rPr>
        <w:t xml:space="preserve"> ni identificó l</w:t>
      </w:r>
      <w:r w:rsidR="00917196" w:rsidRPr="00116A43">
        <w:rPr>
          <w:rFonts w:ascii="Cambria" w:hAnsi="Cambria"/>
          <w:sz w:val="20"/>
          <w:szCs w:val="20"/>
          <w:lang w:val="es-AR"/>
        </w:rPr>
        <w:t>a legislación</w:t>
      </w:r>
      <w:r w:rsidR="005D4E50" w:rsidRPr="00116A43">
        <w:rPr>
          <w:rFonts w:ascii="Cambria" w:hAnsi="Cambria"/>
          <w:sz w:val="20"/>
          <w:szCs w:val="20"/>
          <w:lang w:val="es-AR"/>
        </w:rPr>
        <w:t xml:space="preserve"> aplicable, la CIDH</w:t>
      </w:r>
      <w:r w:rsidR="00C85586" w:rsidRPr="00116A43">
        <w:rPr>
          <w:rFonts w:ascii="Cambria" w:hAnsi="Cambria"/>
          <w:sz w:val="20"/>
          <w:szCs w:val="20"/>
          <w:lang w:val="es-AR"/>
        </w:rPr>
        <w:t xml:space="preserve"> </w:t>
      </w:r>
      <w:r w:rsidR="00DB7DF9" w:rsidRPr="00116A43">
        <w:rPr>
          <w:rFonts w:ascii="Cambria" w:hAnsi="Cambria" w:cs="Arial"/>
          <w:sz w:val="20"/>
          <w:szCs w:val="20"/>
          <w:shd w:val="clear" w:color="auto" w:fill="FFFFFF"/>
          <w:lang w:val="es-PE"/>
        </w:rPr>
        <w:t>observa</w:t>
      </w:r>
      <w:r w:rsidR="005D4E50" w:rsidRPr="00116A43">
        <w:rPr>
          <w:rFonts w:ascii="Cambria" w:hAnsi="Cambria" w:cs="Arial"/>
          <w:sz w:val="20"/>
          <w:szCs w:val="20"/>
          <w:shd w:val="clear" w:color="auto" w:fill="FFFFFF"/>
          <w:lang w:val="es-PE"/>
        </w:rPr>
        <w:t xml:space="preserve"> </w:t>
      </w:r>
      <w:r w:rsidR="00DB7DF9" w:rsidRPr="00116A43">
        <w:rPr>
          <w:rFonts w:ascii="Cambria" w:hAnsi="Cambria" w:cs="Arial"/>
          <w:sz w:val="20"/>
          <w:szCs w:val="20"/>
          <w:shd w:val="clear" w:color="auto" w:fill="FFFFFF"/>
          <w:lang w:val="es-PE"/>
        </w:rPr>
        <w:t>que</w:t>
      </w:r>
      <w:r w:rsidR="0025173B" w:rsidRPr="00116A43">
        <w:rPr>
          <w:rFonts w:ascii="Cambria" w:hAnsi="Cambria" w:cs="Arial"/>
          <w:sz w:val="20"/>
          <w:szCs w:val="20"/>
          <w:shd w:val="clear" w:color="auto" w:fill="FFFFFF"/>
          <w:lang w:val="es-PE"/>
        </w:rPr>
        <w:t xml:space="preserve"> tanto</w:t>
      </w:r>
      <w:r w:rsidR="00560547" w:rsidRPr="00116A43">
        <w:rPr>
          <w:rFonts w:ascii="Cambria" w:hAnsi="Cambria" w:cs="Arial"/>
          <w:sz w:val="20"/>
          <w:szCs w:val="20"/>
          <w:shd w:val="clear" w:color="auto" w:fill="FFFFFF"/>
          <w:lang w:val="es-PE"/>
        </w:rPr>
        <w:t xml:space="preserve"> el</w:t>
      </w:r>
      <w:r w:rsidR="00F73D33" w:rsidRPr="00116A43">
        <w:rPr>
          <w:rFonts w:ascii="Cambria" w:hAnsi="Cambria" w:cs="Arial"/>
          <w:sz w:val="20"/>
          <w:szCs w:val="20"/>
          <w:shd w:val="clear" w:color="auto" w:fill="FFFFFF"/>
          <w:lang w:val="es-PE"/>
        </w:rPr>
        <w:t xml:space="preserve"> artículo 58 de la </w:t>
      </w:r>
      <w:r w:rsidR="00EA460D" w:rsidRPr="00116A43">
        <w:rPr>
          <w:rFonts w:ascii="Cambria" w:hAnsi="Cambria" w:cs="Arial"/>
          <w:sz w:val="20"/>
          <w:szCs w:val="20"/>
          <w:shd w:val="clear" w:color="auto" w:fill="FFFFFF"/>
          <w:lang w:val="es-PE"/>
        </w:rPr>
        <w:t>Constitución</w:t>
      </w:r>
      <w:r w:rsidR="00F73D33" w:rsidRPr="00116A43">
        <w:rPr>
          <w:rStyle w:val="FootnoteReference"/>
          <w:rFonts w:ascii="Cambria" w:hAnsi="Cambria" w:cs="Arial"/>
          <w:sz w:val="20"/>
          <w:szCs w:val="20"/>
          <w:shd w:val="clear" w:color="auto" w:fill="FFFFFF"/>
          <w:lang w:val="es-PE"/>
        </w:rPr>
        <w:footnoteReference w:id="182"/>
      </w:r>
      <w:r w:rsidR="00EA460D" w:rsidRPr="00116A43">
        <w:rPr>
          <w:rFonts w:ascii="Cambria" w:hAnsi="Cambria" w:cs="Arial"/>
          <w:sz w:val="20"/>
          <w:szCs w:val="20"/>
          <w:shd w:val="clear" w:color="auto" w:fill="FFFFFF"/>
          <w:lang w:val="es-PE"/>
        </w:rPr>
        <w:t xml:space="preserve"> como </w:t>
      </w:r>
      <w:r w:rsidR="00F73D33" w:rsidRPr="00116A43">
        <w:rPr>
          <w:rFonts w:ascii="Cambria" w:hAnsi="Cambria" w:cs="Arial"/>
          <w:sz w:val="20"/>
          <w:szCs w:val="20"/>
          <w:shd w:val="clear" w:color="auto" w:fill="FFFFFF"/>
          <w:lang w:val="es-PE"/>
        </w:rPr>
        <w:t xml:space="preserve">el artículo 241 de </w:t>
      </w:r>
      <w:r w:rsidR="00EA460D" w:rsidRPr="00116A43">
        <w:rPr>
          <w:rFonts w:ascii="Cambria" w:hAnsi="Cambria" w:cs="Arial"/>
          <w:sz w:val="20"/>
          <w:szCs w:val="20"/>
          <w:shd w:val="clear" w:color="auto" w:fill="FFFFFF"/>
          <w:lang w:val="es-PE"/>
        </w:rPr>
        <w:t>la</w:t>
      </w:r>
      <w:r w:rsidR="00DB7DF9" w:rsidRPr="00116A43">
        <w:rPr>
          <w:rFonts w:ascii="Cambria" w:hAnsi="Cambria" w:cs="Arial"/>
          <w:sz w:val="20"/>
          <w:szCs w:val="20"/>
          <w:shd w:val="clear" w:color="auto" w:fill="FFFFFF"/>
          <w:lang w:val="es-PE"/>
        </w:rPr>
        <w:t xml:space="preserve"> Ley de Procedimiento Penal de Cuba</w:t>
      </w:r>
      <w:r w:rsidR="00560547" w:rsidRPr="00116A43">
        <w:rPr>
          <w:rFonts w:ascii="Cambria" w:hAnsi="Cambria" w:cs="Arial"/>
          <w:sz w:val="20"/>
          <w:szCs w:val="20"/>
          <w:shd w:val="clear" w:color="auto" w:fill="FFFFFF"/>
          <w:lang w:val="es-PE"/>
        </w:rPr>
        <w:t>, normativa</w:t>
      </w:r>
      <w:r w:rsidR="00DB7DF9" w:rsidRPr="00116A43">
        <w:rPr>
          <w:rFonts w:ascii="Cambria" w:hAnsi="Cambria" w:cs="Arial"/>
          <w:sz w:val="20"/>
          <w:szCs w:val="20"/>
          <w:shd w:val="clear" w:color="auto" w:fill="FFFFFF"/>
          <w:lang w:val="es-PE"/>
        </w:rPr>
        <w:t xml:space="preserve"> vigente en la época de los hechos</w:t>
      </w:r>
      <w:r w:rsidR="00560547" w:rsidRPr="00116A43">
        <w:rPr>
          <w:rFonts w:ascii="Cambria" w:hAnsi="Cambria" w:cs="Arial"/>
          <w:sz w:val="20"/>
          <w:szCs w:val="20"/>
          <w:shd w:val="clear" w:color="auto" w:fill="FFFFFF"/>
          <w:lang w:val="es-PE"/>
        </w:rPr>
        <w:t>,</w:t>
      </w:r>
      <w:r w:rsidR="00DB7DF9" w:rsidRPr="00116A43">
        <w:rPr>
          <w:rFonts w:ascii="Cambria" w:hAnsi="Cambria" w:cs="Arial"/>
          <w:sz w:val="20"/>
          <w:szCs w:val="20"/>
          <w:shd w:val="clear" w:color="auto" w:fill="FFFFFF"/>
          <w:lang w:val="es-PE"/>
        </w:rPr>
        <w:t xml:space="preserve"> dispon</w:t>
      </w:r>
      <w:r w:rsidR="00EA460D" w:rsidRPr="00116A43">
        <w:rPr>
          <w:rFonts w:ascii="Cambria" w:hAnsi="Cambria" w:cs="Arial"/>
          <w:sz w:val="20"/>
          <w:szCs w:val="20"/>
          <w:shd w:val="clear" w:color="auto" w:fill="FFFFFF"/>
          <w:lang w:val="es-PE"/>
        </w:rPr>
        <w:t xml:space="preserve">ían </w:t>
      </w:r>
      <w:r w:rsidR="00DB7DF9" w:rsidRPr="00116A43">
        <w:rPr>
          <w:rFonts w:ascii="Cambria" w:hAnsi="Cambria" w:cs="Arial"/>
          <w:sz w:val="20"/>
          <w:szCs w:val="20"/>
          <w:shd w:val="clear" w:color="auto" w:fill="FFFFFF"/>
          <w:lang w:val="es-PE"/>
        </w:rPr>
        <w:t xml:space="preserve">que </w:t>
      </w:r>
      <w:r w:rsidR="007C6AAA" w:rsidRPr="00116A43">
        <w:rPr>
          <w:rFonts w:ascii="Cambria" w:eastAsia="Arial Unicode MS" w:hAnsi="Cambria" w:cs="Arial"/>
          <w:sz w:val="20"/>
          <w:szCs w:val="20"/>
          <w:shd w:val="clear" w:color="auto" w:fill="FFFFFF"/>
          <w:lang w:val="es-PE"/>
        </w:rPr>
        <w:t>n</w:t>
      </w:r>
      <w:proofErr w:type="spellStart"/>
      <w:r w:rsidR="007C6AAA" w:rsidRPr="00116A43">
        <w:rPr>
          <w:rFonts w:ascii="Cambria" w:eastAsia="Arial Unicode MS" w:hAnsi="Cambria" w:cs="Arial"/>
          <w:sz w:val="20"/>
          <w:szCs w:val="20"/>
          <w:shd w:val="clear" w:color="auto" w:fill="FFFFFF"/>
          <w:lang w:val="es-ES"/>
        </w:rPr>
        <w:t>adie</w:t>
      </w:r>
      <w:proofErr w:type="spellEnd"/>
      <w:r w:rsidR="007C6AAA" w:rsidRPr="00116A43">
        <w:rPr>
          <w:rFonts w:ascii="Cambria" w:eastAsia="Arial Unicode MS" w:hAnsi="Cambria" w:cs="Arial"/>
          <w:sz w:val="20"/>
          <w:szCs w:val="20"/>
          <w:shd w:val="clear" w:color="auto" w:fill="FFFFFF"/>
          <w:lang w:val="es-ES"/>
        </w:rPr>
        <w:t xml:space="preserve"> podía ser detenido sino en los casos, en la forma y con las garantías que prescribían las leyes </w:t>
      </w:r>
      <w:r w:rsidR="00DE0C1A" w:rsidRPr="00116A43">
        <w:rPr>
          <w:rFonts w:ascii="Cambria" w:eastAsia="Arial Unicode MS" w:hAnsi="Cambria" w:cs="Arial"/>
          <w:sz w:val="20"/>
          <w:szCs w:val="20"/>
          <w:shd w:val="clear" w:color="auto" w:fill="FFFFFF"/>
          <w:lang w:val="es-ES"/>
        </w:rPr>
        <w:t xml:space="preserve">y que </w:t>
      </w:r>
      <w:r w:rsidR="00560547" w:rsidRPr="00116A43">
        <w:rPr>
          <w:rFonts w:ascii="Cambria" w:hAnsi="Cambria"/>
          <w:color w:val="000000"/>
          <w:sz w:val="20"/>
          <w:szCs w:val="20"/>
          <w:lang w:val="es-PE"/>
        </w:rPr>
        <w:t>la persona detenida</w:t>
      </w:r>
      <w:r w:rsidR="00DE0C1A" w:rsidRPr="00116A43">
        <w:rPr>
          <w:rFonts w:ascii="Cambria" w:hAnsi="Cambria"/>
          <w:color w:val="000000"/>
          <w:sz w:val="20"/>
          <w:szCs w:val="20"/>
          <w:lang w:val="es-PE"/>
        </w:rPr>
        <w:t xml:space="preserve"> era inviolable en su integridad personal. </w:t>
      </w:r>
      <w:r w:rsidR="005D4E50" w:rsidRPr="00116A43">
        <w:rPr>
          <w:rFonts w:ascii="Cambria" w:hAnsi="Cambria"/>
          <w:color w:val="000000"/>
          <w:sz w:val="20"/>
          <w:szCs w:val="20"/>
          <w:lang w:val="es-PE"/>
        </w:rPr>
        <w:t>Asimismo, l</w:t>
      </w:r>
      <w:r w:rsidR="00E17CE2" w:rsidRPr="00116A43">
        <w:rPr>
          <w:rFonts w:ascii="Cambria" w:hAnsi="Cambria"/>
          <w:color w:val="000000"/>
          <w:sz w:val="20"/>
          <w:szCs w:val="20"/>
          <w:lang w:val="es-PE"/>
        </w:rPr>
        <w:t>os</w:t>
      </w:r>
      <w:r w:rsidR="00DE0C1A" w:rsidRPr="00116A43">
        <w:rPr>
          <w:rFonts w:ascii="Cambria" w:hAnsi="Cambria"/>
          <w:color w:val="000000"/>
          <w:sz w:val="20"/>
          <w:szCs w:val="20"/>
          <w:lang w:val="es-PE"/>
        </w:rPr>
        <w:t xml:space="preserve"> artículo</w:t>
      </w:r>
      <w:r w:rsidR="00E17CE2" w:rsidRPr="00116A43">
        <w:rPr>
          <w:rFonts w:ascii="Cambria" w:hAnsi="Cambria"/>
          <w:color w:val="000000"/>
          <w:sz w:val="20"/>
          <w:szCs w:val="20"/>
          <w:lang w:val="es-PE"/>
        </w:rPr>
        <w:t>s</w:t>
      </w:r>
      <w:r w:rsidR="00DE0C1A" w:rsidRPr="00116A43">
        <w:rPr>
          <w:rFonts w:ascii="Cambria" w:hAnsi="Cambria"/>
          <w:color w:val="000000"/>
          <w:sz w:val="20"/>
          <w:szCs w:val="20"/>
          <w:lang w:val="es-PE"/>
        </w:rPr>
        <w:t xml:space="preserve"> 24</w:t>
      </w:r>
      <w:r w:rsidR="00E6119A" w:rsidRPr="00116A43">
        <w:rPr>
          <w:rFonts w:ascii="Cambria" w:hAnsi="Cambria"/>
          <w:color w:val="000000"/>
          <w:sz w:val="20"/>
          <w:szCs w:val="20"/>
          <w:lang w:val="es-PE"/>
        </w:rPr>
        <w:t>2</w:t>
      </w:r>
      <w:r w:rsidR="00E17CE2" w:rsidRPr="00116A43">
        <w:rPr>
          <w:rFonts w:ascii="Cambria" w:hAnsi="Cambria"/>
          <w:color w:val="000000"/>
          <w:sz w:val="20"/>
          <w:szCs w:val="20"/>
          <w:lang w:val="es-PE"/>
        </w:rPr>
        <w:t xml:space="preserve"> y 24</w:t>
      </w:r>
      <w:r w:rsidR="00E6119A" w:rsidRPr="00116A43">
        <w:rPr>
          <w:rFonts w:ascii="Cambria" w:hAnsi="Cambria"/>
          <w:color w:val="000000"/>
          <w:sz w:val="20"/>
          <w:szCs w:val="20"/>
          <w:lang w:val="es-PE"/>
        </w:rPr>
        <w:t>3</w:t>
      </w:r>
      <w:r w:rsidR="00DE0C1A" w:rsidRPr="00116A43">
        <w:rPr>
          <w:rFonts w:ascii="Cambria" w:hAnsi="Cambria"/>
          <w:color w:val="000000"/>
          <w:sz w:val="20"/>
          <w:szCs w:val="20"/>
          <w:lang w:val="es-PE"/>
        </w:rPr>
        <w:t xml:space="preserve"> de </w:t>
      </w:r>
      <w:r w:rsidR="00DE0C1A" w:rsidRPr="00116A43">
        <w:rPr>
          <w:rFonts w:ascii="Cambria" w:hAnsi="Cambria" w:cs="Arial"/>
          <w:sz w:val="20"/>
          <w:szCs w:val="20"/>
          <w:shd w:val="clear" w:color="auto" w:fill="FFFFFF"/>
          <w:lang w:val="es-PE"/>
        </w:rPr>
        <w:t>la Ley de Procedimiento Penal establec</w:t>
      </w:r>
      <w:r w:rsidR="00560547" w:rsidRPr="00116A43">
        <w:rPr>
          <w:rFonts w:ascii="Cambria" w:hAnsi="Cambria" w:cs="Arial"/>
          <w:sz w:val="20"/>
          <w:szCs w:val="20"/>
          <w:shd w:val="clear" w:color="auto" w:fill="FFFFFF"/>
          <w:lang w:val="es-PE"/>
        </w:rPr>
        <w:t>ían</w:t>
      </w:r>
      <w:r w:rsidR="00BB550D" w:rsidRPr="00116A43">
        <w:rPr>
          <w:rFonts w:ascii="Cambria" w:hAnsi="Cambria" w:cs="Arial"/>
          <w:sz w:val="20"/>
          <w:szCs w:val="20"/>
          <w:shd w:val="clear" w:color="auto" w:fill="FFFFFF"/>
          <w:lang w:val="es-PE"/>
        </w:rPr>
        <w:t>, en</w:t>
      </w:r>
      <w:r w:rsidR="00560547" w:rsidRPr="00116A43">
        <w:rPr>
          <w:rFonts w:ascii="Cambria" w:hAnsi="Cambria" w:cs="Arial"/>
          <w:sz w:val="20"/>
          <w:szCs w:val="20"/>
          <w:shd w:val="clear" w:color="auto" w:fill="FFFFFF"/>
          <w:lang w:val="es-PE"/>
        </w:rPr>
        <w:t>tre</w:t>
      </w:r>
      <w:r w:rsidR="00BB550D" w:rsidRPr="00116A43">
        <w:rPr>
          <w:rFonts w:ascii="Cambria" w:hAnsi="Cambria" w:cs="Arial"/>
          <w:sz w:val="20"/>
          <w:szCs w:val="20"/>
          <w:shd w:val="clear" w:color="auto" w:fill="FFFFFF"/>
          <w:lang w:val="es-PE"/>
        </w:rPr>
        <w:t xml:space="preserve"> otras causales</w:t>
      </w:r>
      <w:r w:rsidR="000644E3" w:rsidRPr="00116A43">
        <w:rPr>
          <w:rFonts w:ascii="Cambria" w:hAnsi="Cambria" w:cs="Arial"/>
          <w:sz w:val="20"/>
          <w:szCs w:val="20"/>
          <w:shd w:val="clear" w:color="auto" w:fill="FFFFFF"/>
          <w:lang w:val="es-PE"/>
        </w:rPr>
        <w:t xml:space="preserve">, que la detención podía </w:t>
      </w:r>
      <w:r w:rsidR="00560547" w:rsidRPr="00116A43">
        <w:rPr>
          <w:rFonts w:ascii="Cambria" w:hAnsi="Cambria" w:cs="Arial"/>
          <w:sz w:val="20"/>
          <w:szCs w:val="20"/>
          <w:shd w:val="clear" w:color="auto" w:fill="FFFFFF"/>
          <w:lang w:val="es-PE"/>
        </w:rPr>
        <w:t>realizarse</w:t>
      </w:r>
      <w:r w:rsidR="000644E3" w:rsidRPr="00116A43">
        <w:rPr>
          <w:rFonts w:ascii="Cambria" w:hAnsi="Cambria" w:cs="Arial"/>
          <w:sz w:val="20"/>
          <w:szCs w:val="20"/>
          <w:shd w:val="clear" w:color="auto" w:fill="FFFFFF"/>
          <w:lang w:val="es-PE"/>
        </w:rPr>
        <w:t xml:space="preserve"> </w:t>
      </w:r>
      <w:r w:rsidR="00072D55" w:rsidRPr="00116A43">
        <w:rPr>
          <w:rFonts w:ascii="Cambria" w:hAnsi="Cambria" w:cs="Arial"/>
          <w:sz w:val="20"/>
          <w:szCs w:val="20"/>
          <w:shd w:val="clear" w:color="auto" w:fill="FFFFFF"/>
          <w:lang w:val="es-PE"/>
        </w:rPr>
        <w:t>co</w:t>
      </w:r>
      <w:r w:rsidR="000644E3" w:rsidRPr="00116A43">
        <w:rPr>
          <w:rFonts w:ascii="Cambria" w:hAnsi="Cambria" w:cs="Arial"/>
          <w:sz w:val="20"/>
          <w:szCs w:val="20"/>
          <w:shd w:val="clear" w:color="auto" w:fill="FFFFFF"/>
          <w:lang w:val="es-PE"/>
        </w:rPr>
        <w:t xml:space="preserve">n una orden de detención o </w:t>
      </w:r>
      <w:r w:rsidR="00AC0AD9" w:rsidRPr="00116A43">
        <w:rPr>
          <w:rFonts w:ascii="Cambria" w:hAnsi="Cambria" w:cs="Arial"/>
          <w:sz w:val="20"/>
          <w:szCs w:val="20"/>
          <w:shd w:val="clear" w:color="auto" w:fill="FFFFFF"/>
          <w:lang w:val="es-PE"/>
        </w:rPr>
        <w:t>por causales de flagrancia</w:t>
      </w:r>
      <w:r w:rsidR="00DB7DF9" w:rsidRPr="00116A43">
        <w:rPr>
          <w:rFonts w:ascii="Cambria" w:hAnsi="Cambria"/>
          <w:sz w:val="20"/>
          <w:szCs w:val="20"/>
          <w:shd w:val="clear" w:color="auto" w:fill="FFFFFF"/>
          <w:vertAlign w:val="superscript"/>
        </w:rPr>
        <w:footnoteReference w:id="183"/>
      </w:r>
      <w:r w:rsidR="00DB7DF9" w:rsidRPr="00116A43">
        <w:rPr>
          <w:rFonts w:ascii="Cambria" w:hAnsi="Cambria" w:cs="Arial"/>
          <w:sz w:val="20"/>
          <w:szCs w:val="20"/>
          <w:shd w:val="clear" w:color="auto" w:fill="FFFFFF"/>
          <w:lang w:val="es-PE"/>
        </w:rPr>
        <w:t xml:space="preserve">. </w:t>
      </w:r>
      <w:r w:rsidR="00535582" w:rsidRPr="00116A43">
        <w:rPr>
          <w:rFonts w:ascii="Cambria" w:hAnsi="Cambria" w:cs="Arial"/>
          <w:sz w:val="20"/>
          <w:szCs w:val="20"/>
          <w:shd w:val="clear" w:color="auto" w:fill="FFFFFF"/>
          <w:lang w:val="es-PE"/>
        </w:rPr>
        <w:lastRenderedPageBreak/>
        <w:t xml:space="preserve">Conforme a lo señalado, las detenciones de Yoani Sánchez </w:t>
      </w:r>
      <w:r w:rsidR="00991791" w:rsidRPr="00116A43">
        <w:rPr>
          <w:rFonts w:ascii="Cambria" w:hAnsi="Cambria" w:cs="Arial"/>
          <w:sz w:val="20"/>
          <w:szCs w:val="20"/>
          <w:shd w:val="clear" w:color="auto" w:fill="FFFFFF"/>
          <w:lang w:val="es-PE"/>
        </w:rPr>
        <w:t>no se llevaron a cabo conforme a la propia normativa interna cubana, por lo que fueron ilegales.</w:t>
      </w:r>
    </w:p>
    <w:p w14:paraId="069E0F26" w14:textId="77777777" w:rsidR="00991791" w:rsidRPr="00116A43" w:rsidRDefault="00991791" w:rsidP="00375047">
      <w:pPr>
        <w:pStyle w:val="ListParagraph"/>
        <w:ind w:left="0"/>
        <w:rPr>
          <w:sz w:val="20"/>
          <w:szCs w:val="20"/>
          <w:lang w:val="es-PE"/>
        </w:rPr>
      </w:pPr>
    </w:p>
    <w:p w14:paraId="7413B7F8" w14:textId="7517CB1E" w:rsidR="005B0780" w:rsidRPr="00116A43" w:rsidRDefault="00DE425A" w:rsidP="00375047">
      <w:pPr>
        <w:pStyle w:val="NormalWeb"/>
        <w:numPr>
          <w:ilvl w:val="0"/>
          <w:numId w:val="55"/>
        </w:numPr>
        <w:shd w:val="clear" w:color="auto" w:fill="FFFFFF"/>
        <w:spacing w:before="0" w:beforeAutospacing="0" w:after="0" w:afterAutospacing="0"/>
        <w:ind w:firstLine="0"/>
        <w:jc w:val="both"/>
        <w:rPr>
          <w:rFonts w:ascii="Cambria" w:hAnsi="Cambria"/>
          <w:color w:val="000000"/>
          <w:sz w:val="20"/>
          <w:szCs w:val="20"/>
          <w:lang w:val="es-PE"/>
        </w:rPr>
      </w:pPr>
      <w:r w:rsidRPr="00116A43">
        <w:rPr>
          <w:rFonts w:ascii="Cambria" w:hAnsi="Cambria"/>
          <w:color w:val="000000"/>
          <w:sz w:val="20"/>
          <w:szCs w:val="20"/>
          <w:lang w:val="es-PE"/>
        </w:rPr>
        <w:t xml:space="preserve">Además, las detenciones fueron arbitrarias ya que </w:t>
      </w:r>
      <w:r w:rsidR="00804F03" w:rsidRPr="00116A43">
        <w:rPr>
          <w:rFonts w:ascii="Cambria" w:hAnsi="Cambria" w:cs="Arial"/>
          <w:sz w:val="20"/>
          <w:szCs w:val="20"/>
          <w:lang w:val="es-PE"/>
        </w:rPr>
        <w:t>estuv</w:t>
      </w:r>
      <w:r w:rsidR="009B090B" w:rsidRPr="00116A43">
        <w:rPr>
          <w:rFonts w:ascii="Cambria" w:hAnsi="Cambria" w:cs="Arial"/>
          <w:sz w:val="20"/>
          <w:szCs w:val="20"/>
          <w:lang w:val="es-PE"/>
        </w:rPr>
        <w:t>ieron</w:t>
      </w:r>
      <w:r w:rsidR="00804F03" w:rsidRPr="00116A43">
        <w:rPr>
          <w:rFonts w:ascii="Cambria" w:hAnsi="Cambria" w:cs="Arial"/>
          <w:sz w:val="20"/>
          <w:szCs w:val="20"/>
          <w:lang w:val="es-PE"/>
        </w:rPr>
        <w:t xml:space="preserve"> dirigida</w:t>
      </w:r>
      <w:r w:rsidR="009B090B" w:rsidRPr="00116A43">
        <w:rPr>
          <w:rFonts w:ascii="Cambria" w:hAnsi="Cambria" w:cs="Arial"/>
          <w:sz w:val="20"/>
          <w:szCs w:val="20"/>
          <w:lang w:val="es-PE"/>
        </w:rPr>
        <w:t>s</w:t>
      </w:r>
      <w:r w:rsidR="00804F03" w:rsidRPr="00116A43">
        <w:rPr>
          <w:rFonts w:ascii="Cambria" w:hAnsi="Cambria" w:cs="Arial"/>
          <w:sz w:val="20"/>
          <w:szCs w:val="20"/>
          <w:lang w:val="es-PE"/>
        </w:rPr>
        <w:t xml:space="preserve"> a</w:t>
      </w:r>
      <w:r w:rsidR="009B090B" w:rsidRPr="00116A43">
        <w:rPr>
          <w:rFonts w:ascii="Cambria" w:hAnsi="Cambria" w:cs="Arial"/>
          <w:sz w:val="20"/>
          <w:szCs w:val="20"/>
          <w:lang w:val="es-PE"/>
        </w:rPr>
        <w:t xml:space="preserve"> castigar a Yoani Sánchez por su postura crítica al gobierno cubano y por sus opiniones y expresiones políticas y activismo cívico, es decir</w:t>
      </w:r>
      <w:r w:rsidR="00560547" w:rsidRPr="00116A43">
        <w:rPr>
          <w:rFonts w:ascii="Cambria" w:hAnsi="Cambria" w:cs="Arial"/>
          <w:sz w:val="20"/>
          <w:szCs w:val="20"/>
          <w:lang w:val="es-PE"/>
        </w:rPr>
        <w:t xml:space="preserve"> que</w:t>
      </w:r>
      <w:r w:rsidR="009B090B" w:rsidRPr="00116A43">
        <w:rPr>
          <w:rFonts w:ascii="Cambria" w:hAnsi="Cambria" w:cs="Arial"/>
          <w:sz w:val="20"/>
          <w:szCs w:val="20"/>
          <w:lang w:val="es-PE"/>
        </w:rPr>
        <w:t>, estuv</w:t>
      </w:r>
      <w:r w:rsidR="00560547" w:rsidRPr="00116A43">
        <w:rPr>
          <w:rFonts w:ascii="Cambria" w:hAnsi="Cambria" w:cs="Arial"/>
          <w:sz w:val="20"/>
          <w:szCs w:val="20"/>
          <w:lang w:val="es-PE"/>
        </w:rPr>
        <w:t>ieron</w:t>
      </w:r>
      <w:r w:rsidR="009B090B" w:rsidRPr="00116A43">
        <w:rPr>
          <w:rFonts w:ascii="Cambria" w:hAnsi="Cambria" w:cs="Arial"/>
          <w:sz w:val="20"/>
          <w:szCs w:val="20"/>
          <w:lang w:val="es-PE"/>
        </w:rPr>
        <w:t xml:space="preserve"> sustentada</w:t>
      </w:r>
      <w:r w:rsidR="00560547" w:rsidRPr="00116A43">
        <w:rPr>
          <w:rFonts w:ascii="Cambria" w:hAnsi="Cambria" w:cs="Arial"/>
          <w:sz w:val="20"/>
          <w:szCs w:val="20"/>
          <w:lang w:val="es-PE"/>
        </w:rPr>
        <w:t>s</w:t>
      </w:r>
      <w:r w:rsidR="009B090B" w:rsidRPr="00116A43">
        <w:rPr>
          <w:rFonts w:ascii="Cambria" w:hAnsi="Cambria" w:cs="Arial"/>
          <w:sz w:val="20"/>
          <w:szCs w:val="20"/>
          <w:lang w:val="es-PE"/>
        </w:rPr>
        <w:t xml:space="preserve"> en una restricción</w:t>
      </w:r>
      <w:r w:rsidR="00560547" w:rsidRPr="00116A43">
        <w:rPr>
          <w:rFonts w:ascii="Cambria" w:hAnsi="Cambria" w:cs="Arial"/>
          <w:sz w:val="20"/>
          <w:szCs w:val="20"/>
          <w:lang w:val="es-PE"/>
        </w:rPr>
        <w:t xml:space="preserve"> al</w:t>
      </w:r>
      <w:r w:rsidR="009B090B" w:rsidRPr="00116A43">
        <w:rPr>
          <w:rFonts w:ascii="Cambria" w:hAnsi="Cambria" w:cs="Arial"/>
          <w:sz w:val="20"/>
          <w:szCs w:val="20"/>
          <w:lang w:val="es-PE"/>
        </w:rPr>
        <w:t xml:space="preserve"> ejercicio de su derecho a la libertad de pensamiento y expresión</w:t>
      </w:r>
      <w:r w:rsidR="00D2488D" w:rsidRPr="00116A43">
        <w:rPr>
          <w:rFonts w:ascii="Cambria" w:hAnsi="Cambria" w:cs="Arial"/>
          <w:sz w:val="20"/>
          <w:szCs w:val="20"/>
          <w:lang w:val="es-PE"/>
        </w:rPr>
        <w:t>. Asimismo</w:t>
      </w:r>
      <w:r w:rsidR="00560547" w:rsidRPr="00116A43">
        <w:rPr>
          <w:rFonts w:ascii="Cambria" w:hAnsi="Cambria" w:cs="Arial"/>
          <w:sz w:val="20"/>
          <w:szCs w:val="20"/>
          <w:lang w:val="es-PE"/>
        </w:rPr>
        <w:t>,</w:t>
      </w:r>
      <w:r w:rsidR="00D2488D" w:rsidRPr="00116A43">
        <w:rPr>
          <w:rFonts w:ascii="Cambria" w:hAnsi="Cambria" w:cs="Arial"/>
          <w:sz w:val="20"/>
          <w:szCs w:val="20"/>
          <w:lang w:val="es-PE"/>
        </w:rPr>
        <w:t xml:space="preserve"> </w:t>
      </w:r>
      <w:r w:rsidR="00804F03" w:rsidRPr="00116A43">
        <w:rPr>
          <w:rFonts w:ascii="Cambria" w:hAnsi="Cambria" w:cs="Arial"/>
          <w:sz w:val="20"/>
          <w:szCs w:val="20"/>
          <w:lang w:val="es-PE"/>
        </w:rPr>
        <w:t>form</w:t>
      </w:r>
      <w:r w:rsidR="00D2488D" w:rsidRPr="00116A43">
        <w:rPr>
          <w:rFonts w:ascii="Cambria" w:hAnsi="Cambria" w:cs="Arial"/>
          <w:sz w:val="20"/>
          <w:szCs w:val="20"/>
          <w:lang w:val="es-PE"/>
        </w:rPr>
        <w:t xml:space="preserve">aron </w:t>
      </w:r>
      <w:r w:rsidR="00804F03" w:rsidRPr="00116A43">
        <w:rPr>
          <w:rFonts w:ascii="Cambria" w:hAnsi="Cambria" w:cs="Arial"/>
          <w:sz w:val="20"/>
          <w:szCs w:val="20"/>
          <w:lang w:val="es-PE"/>
        </w:rPr>
        <w:t>parte de un patrón sistemático de detenciones y encarcelamiento por el ejercicio de derechos humanos</w:t>
      </w:r>
      <w:r w:rsidR="005F35F6" w:rsidRPr="00116A43">
        <w:rPr>
          <w:rStyle w:val="FootnoteReference"/>
          <w:rFonts w:ascii="Cambria" w:hAnsi="Cambria" w:cs="Arial"/>
          <w:sz w:val="20"/>
          <w:szCs w:val="20"/>
        </w:rPr>
        <w:footnoteReference w:id="184"/>
      </w:r>
      <w:r w:rsidR="00804F03" w:rsidRPr="00116A43">
        <w:rPr>
          <w:rFonts w:ascii="Cambria" w:hAnsi="Cambria" w:cs="Arial"/>
          <w:sz w:val="20"/>
          <w:szCs w:val="20"/>
          <w:lang w:val="es-PE"/>
        </w:rPr>
        <w:t xml:space="preserve"> </w:t>
      </w:r>
      <w:r w:rsidR="00D2488D" w:rsidRPr="00116A43">
        <w:rPr>
          <w:rFonts w:ascii="Cambria" w:hAnsi="Cambria" w:cs="Arial"/>
          <w:sz w:val="20"/>
          <w:szCs w:val="20"/>
          <w:lang w:val="es-PE"/>
        </w:rPr>
        <w:t xml:space="preserve">en contra de periodistas críticos al gobierno </w:t>
      </w:r>
      <w:r w:rsidR="00804F03" w:rsidRPr="00116A43">
        <w:rPr>
          <w:rFonts w:ascii="Cambria" w:hAnsi="Cambria" w:cs="Arial"/>
          <w:sz w:val="20"/>
          <w:szCs w:val="20"/>
          <w:lang w:val="es-PE"/>
        </w:rPr>
        <w:t>que ha sido claramente identificado por la CIDH en sus informes anuales sobre Cuba</w:t>
      </w:r>
      <w:r w:rsidR="005F35F6" w:rsidRPr="00116A43">
        <w:rPr>
          <w:rFonts w:ascii="Cambria" w:hAnsi="Cambria" w:cs="Arial"/>
          <w:sz w:val="20"/>
          <w:szCs w:val="20"/>
          <w:lang w:val="es-PE"/>
        </w:rPr>
        <w:t>, de conformidad a lo señalado en el presente info</w:t>
      </w:r>
      <w:r w:rsidR="00D2488D" w:rsidRPr="00116A43">
        <w:rPr>
          <w:rFonts w:ascii="Cambria" w:hAnsi="Cambria" w:cs="Arial"/>
          <w:sz w:val="20"/>
          <w:szCs w:val="20"/>
          <w:lang w:val="es-PE"/>
        </w:rPr>
        <w:t>rme. En efect</w:t>
      </w:r>
      <w:r w:rsidR="00970A76" w:rsidRPr="00116A43">
        <w:rPr>
          <w:rFonts w:ascii="Cambria" w:hAnsi="Cambria" w:cs="Arial"/>
          <w:sz w:val="20"/>
          <w:szCs w:val="20"/>
          <w:lang w:val="es-PE"/>
        </w:rPr>
        <w:t>o</w:t>
      </w:r>
      <w:r w:rsidR="00D2488D" w:rsidRPr="00116A43">
        <w:rPr>
          <w:rFonts w:ascii="Cambria" w:hAnsi="Cambria" w:cs="Arial"/>
          <w:sz w:val="20"/>
          <w:szCs w:val="20"/>
          <w:lang w:val="es-PE"/>
        </w:rPr>
        <w:t>,</w:t>
      </w:r>
      <w:r w:rsidR="00970A76" w:rsidRPr="00116A43">
        <w:rPr>
          <w:rFonts w:ascii="Cambria" w:hAnsi="Cambria" w:cs="Arial"/>
          <w:sz w:val="20"/>
          <w:szCs w:val="20"/>
          <w:lang w:val="es-PE"/>
        </w:rPr>
        <w:t xml:space="preserve"> </w:t>
      </w:r>
      <w:r w:rsidR="005B772F" w:rsidRPr="00116A43">
        <w:rPr>
          <w:rFonts w:ascii="Cambria" w:hAnsi="Cambria" w:cs="Arial"/>
          <w:sz w:val="20"/>
          <w:szCs w:val="20"/>
          <w:lang w:val="es-PE"/>
        </w:rPr>
        <w:t xml:space="preserve">durante </w:t>
      </w:r>
      <w:r w:rsidR="00970A76" w:rsidRPr="00116A43">
        <w:rPr>
          <w:rFonts w:ascii="Cambria" w:hAnsi="Cambria" w:cs="Arial"/>
          <w:sz w:val="20"/>
          <w:szCs w:val="20"/>
          <w:lang w:val="es-PE"/>
        </w:rPr>
        <w:t xml:space="preserve">la detención del año 2010, los </w:t>
      </w:r>
      <w:r w:rsidR="0075132C" w:rsidRPr="00116A43">
        <w:rPr>
          <w:rFonts w:ascii="Cambria" w:hAnsi="Cambria" w:cs="Arial"/>
          <w:sz w:val="20"/>
          <w:szCs w:val="20"/>
          <w:lang w:val="es-PE"/>
        </w:rPr>
        <w:t xml:space="preserve">policías en la comisaría en la que se encontraba </w:t>
      </w:r>
      <w:r w:rsidR="005E5447" w:rsidRPr="00116A43">
        <w:rPr>
          <w:rFonts w:ascii="Cambria" w:hAnsi="Cambria" w:cs="Arial"/>
          <w:sz w:val="20"/>
          <w:szCs w:val="20"/>
          <w:lang w:val="es-PE"/>
        </w:rPr>
        <w:t>Yoani</w:t>
      </w:r>
      <w:r w:rsidR="0075132C" w:rsidRPr="00116A43">
        <w:rPr>
          <w:rFonts w:ascii="Cambria" w:hAnsi="Cambria" w:cs="Arial"/>
          <w:sz w:val="20"/>
          <w:szCs w:val="20"/>
          <w:lang w:val="es-PE"/>
        </w:rPr>
        <w:t xml:space="preserve"> la calificaron </w:t>
      </w:r>
      <w:r w:rsidR="00A61733" w:rsidRPr="00116A43">
        <w:rPr>
          <w:rFonts w:ascii="Cambria" w:hAnsi="Cambria" w:cs="Arial"/>
          <w:sz w:val="20"/>
          <w:szCs w:val="20"/>
          <w:lang w:val="es-PE"/>
        </w:rPr>
        <w:t>como</w:t>
      </w:r>
      <w:r w:rsidR="0075132C" w:rsidRPr="00116A43">
        <w:rPr>
          <w:rFonts w:ascii="Cambria" w:hAnsi="Cambria" w:cs="Arial"/>
          <w:sz w:val="20"/>
          <w:szCs w:val="20"/>
          <w:lang w:val="es-PE"/>
        </w:rPr>
        <w:t xml:space="preserve"> la </w:t>
      </w:r>
      <w:r w:rsidR="00462692">
        <w:rPr>
          <w:rFonts w:ascii="Cambria" w:hAnsi="Cambria" w:cs="Arial"/>
          <w:sz w:val="20"/>
          <w:szCs w:val="20"/>
          <w:lang w:val="es-PE"/>
        </w:rPr>
        <w:t>“</w:t>
      </w:r>
      <w:r w:rsidR="0075132C" w:rsidRPr="00116A43">
        <w:rPr>
          <w:rFonts w:ascii="Cambria" w:hAnsi="Cambria" w:cs="Arial"/>
          <w:sz w:val="20"/>
          <w:szCs w:val="20"/>
          <w:lang w:val="es-PE"/>
        </w:rPr>
        <w:t>cabecilla principal de los contrarrevolucionarios</w:t>
      </w:r>
      <w:r w:rsidR="00462692">
        <w:rPr>
          <w:rFonts w:ascii="Cambria" w:hAnsi="Cambria" w:cs="Arial"/>
          <w:sz w:val="20"/>
          <w:szCs w:val="20"/>
          <w:lang w:val="es-PE"/>
        </w:rPr>
        <w:t>”</w:t>
      </w:r>
      <w:r w:rsidR="00D2488D" w:rsidRPr="00116A43">
        <w:rPr>
          <w:rFonts w:ascii="Cambria" w:hAnsi="Cambria" w:cs="Arial"/>
          <w:sz w:val="20"/>
          <w:szCs w:val="20"/>
          <w:lang w:val="es-PE"/>
        </w:rPr>
        <w:t>, lo que denota la identificación de la periodista como una disidente política</w:t>
      </w:r>
      <w:r w:rsidR="0075132C" w:rsidRPr="00116A43">
        <w:rPr>
          <w:rFonts w:ascii="Cambria" w:hAnsi="Cambria" w:cs="Arial"/>
          <w:sz w:val="20"/>
          <w:szCs w:val="20"/>
          <w:lang w:val="es-PE"/>
        </w:rPr>
        <w:t xml:space="preserve">. </w:t>
      </w:r>
      <w:r w:rsidR="00804F03" w:rsidRPr="00116A43">
        <w:rPr>
          <w:rFonts w:ascii="Cambria" w:hAnsi="Cambria" w:cs="Arial"/>
          <w:sz w:val="20"/>
          <w:szCs w:val="20"/>
          <w:lang w:val="es-PE"/>
        </w:rPr>
        <w:t>La CIDH ha afirmado que el ejercicio de la libertad de expresión no puede constituir una finalidad legítima a la luz de los principios democráticos que justifique la privación de libertad de una persona y resulta en una privación de la libertad arbitraria</w:t>
      </w:r>
      <w:r w:rsidR="00804F03" w:rsidRPr="00116A43">
        <w:rPr>
          <w:rFonts w:ascii="Cambria" w:hAnsi="Cambria"/>
          <w:sz w:val="20"/>
          <w:szCs w:val="20"/>
          <w:vertAlign w:val="superscript"/>
        </w:rPr>
        <w:footnoteReference w:id="185"/>
      </w:r>
      <w:r w:rsidR="00804F03" w:rsidRPr="00116A43">
        <w:rPr>
          <w:rFonts w:ascii="Cambria" w:hAnsi="Cambria" w:cs="Arial"/>
          <w:sz w:val="20"/>
          <w:szCs w:val="20"/>
          <w:lang w:val="es-PE"/>
        </w:rPr>
        <w:t xml:space="preserve">. </w:t>
      </w:r>
    </w:p>
    <w:p w14:paraId="48CE7A9A" w14:textId="77777777" w:rsidR="009256DD" w:rsidRPr="00116A43" w:rsidRDefault="009256DD" w:rsidP="00375047">
      <w:pPr>
        <w:pStyle w:val="ListParagraph"/>
        <w:ind w:left="0"/>
        <w:rPr>
          <w:sz w:val="20"/>
          <w:szCs w:val="20"/>
          <w:lang w:val="es-PE"/>
        </w:rPr>
      </w:pPr>
    </w:p>
    <w:p w14:paraId="46B6AE39" w14:textId="77777777" w:rsidR="00773B57" w:rsidRPr="00116A43" w:rsidRDefault="009256DD" w:rsidP="00375047">
      <w:pPr>
        <w:pStyle w:val="NormalWeb"/>
        <w:numPr>
          <w:ilvl w:val="0"/>
          <w:numId w:val="55"/>
        </w:numPr>
        <w:shd w:val="clear" w:color="auto" w:fill="FFFFFF"/>
        <w:spacing w:before="0" w:beforeAutospacing="0" w:after="0" w:afterAutospacing="0"/>
        <w:ind w:firstLine="0"/>
        <w:jc w:val="both"/>
        <w:rPr>
          <w:rFonts w:ascii="Cambria" w:hAnsi="Cambria"/>
          <w:sz w:val="20"/>
          <w:szCs w:val="20"/>
          <w:lang w:val="es-PE"/>
        </w:rPr>
      </w:pPr>
      <w:r w:rsidRPr="00116A43">
        <w:rPr>
          <w:rFonts w:ascii="Cambria" w:hAnsi="Cambria"/>
          <w:color w:val="000000"/>
          <w:sz w:val="20"/>
          <w:szCs w:val="20"/>
          <w:lang w:val="es-PE"/>
        </w:rPr>
        <w:t xml:space="preserve">Con respecto a la detención de la periodista en el año 2009 por parte de personas vestidas de civil, si bien la CIDH </w:t>
      </w:r>
      <w:r w:rsidR="00550FA2" w:rsidRPr="00116A43">
        <w:rPr>
          <w:rFonts w:ascii="Cambria" w:hAnsi="Cambria"/>
          <w:color w:val="000000"/>
          <w:sz w:val="20"/>
          <w:szCs w:val="20"/>
          <w:lang w:val="es-PE"/>
        </w:rPr>
        <w:t xml:space="preserve">entiende que </w:t>
      </w:r>
      <w:r w:rsidR="000C0D5A" w:rsidRPr="00116A43">
        <w:rPr>
          <w:rFonts w:ascii="Cambria" w:hAnsi="Cambria"/>
          <w:color w:val="000000"/>
          <w:sz w:val="20"/>
          <w:szCs w:val="20"/>
          <w:lang w:val="es-PE"/>
        </w:rPr>
        <w:t xml:space="preserve">de conformidad con el contexto cubano es posible que la misma se haya </w:t>
      </w:r>
      <w:r w:rsidR="00A82014" w:rsidRPr="00116A43">
        <w:rPr>
          <w:rFonts w:ascii="Cambria" w:hAnsi="Cambria"/>
          <w:color w:val="000000"/>
          <w:sz w:val="20"/>
          <w:szCs w:val="20"/>
          <w:lang w:val="es-PE"/>
        </w:rPr>
        <w:t xml:space="preserve">llevado a cabo por civiles </w:t>
      </w:r>
      <w:r w:rsidR="0050135F" w:rsidRPr="00116A43">
        <w:rPr>
          <w:rFonts w:ascii="Cambria" w:hAnsi="Cambria"/>
          <w:sz w:val="20"/>
          <w:szCs w:val="20"/>
          <w:lang w:val="es-PE"/>
        </w:rPr>
        <w:t>que estarían apoyados, dirigidos o de alguna manera, vinculados con el gobierno o alguna institución o entidad estatal</w:t>
      </w:r>
      <w:r w:rsidR="00A82014" w:rsidRPr="00116A43">
        <w:rPr>
          <w:rFonts w:ascii="Cambria" w:hAnsi="Cambria"/>
          <w:color w:val="000000"/>
          <w:sz w:val="20"/>
          <w:szCs w:val="20"/>
          <w:lang w:val="es-PE"/>
        </w:rPr>
        <w:t>, en el caso concreto</w:t>
      </w:r>
      <w:r w:rsidR="00BA1D72" w:rsidRPr="00116A43">
        <w:rPr>
          <w:rFonts w:ascii="Cambria" w:hAnsi="Cambria"/>
          <w:color w:val="000000"/>
          <w:sz w:val="20"/>
          <w:szCs w:val="20"/>
          <w:lang w:val="es-PE"/>
        </w:rPr>
        <w:t>,</w:t>
      </w:r>
      <w:r w:rsidR="00A82014" w:rsidRPr="00116A43">
        <w:rPr>
          <w:rFonts w:ascii="Cambria" w:hAnsi="Cambria"/>
          <w:color w:val="000000"/>
          <w:sz w:val="20"/>
          <w:szCs w:val="20"/>
          <w:lang w:val="es-PE"/>
        </w:rPr>
        <w:t xml:space="preserve"> no cuenta con suficientes elementos probatorios </w:t>
      </w:r>
      <w:r w:rsidR="00BA1D72" w:rsidRPr="00116A43">
        <w:rPr>
          <w:rFonts w:ascii="Cambria" w:hAnsi="Cambria"/>
          <w:color w:val="000000"/>
          <w:sz w:val="20"/>
          <w:szCs w:val="20"/>
          <w:lang w:val="es-PE"/>
        </w:rPr>
        <w:t xml:space="preserve">ni con alegatos claros por parte de los peticionarios que </w:t>
      </w:r>
      <w:r w:rsidR="00D6054D" w:rsidRPr="00116A43">
        <w:rPr>
          <w:rFonts w:ascii="Cambria" w:hAnsi="Cambria"/>
          <w:color w:val="000000"/>
          <w:sz w:val="20"/>
          <w:szCs w:val="20"/>
          <w:lang w:val="es-PE"/>
        </w:rPr>
        <w:t xml:space="preserve">lo </w:t>
      </w:r>
      <w:r w:rsidR="00BA1D72" w:rsidRPr="00116A43">
        <w:rPr>
          <w:rFonts w:ascii="Cambria" w:hAnsi="Cambria"/>
          <w:color w:val="000000"/>
          <w:sz w:val="20"/>
          <w:szCs w:val="20"/>
          <w:lang w:val="es-PE"/>
        </w:rPr>
        <w:t xml:space="preserve">demuestren </w:t>
      </w:r>
      <w:r w:rsidR="00D6054D" w:rsidRPr="00116A43">
        <w:rPr>
          <w:rFonts w:ascii="Cambria" w:hAnsi="Cambria"/>
          <w:color w:val="000000"/>
          <w:sz w:val="20"/>
          <w:szCs w:val="20"/>
          <w:lang w:val="es-PE"/>
        </w:rPr>
        <w:t>a efectos de atribuirle responsabilidad internacional al Estado cubano</w:t>
      </w:r>
      <w:r w:rsidR="00773B57" w:rsidRPr="00116A43">
        <w:rPr>
          <w:rFonts w:ascii="Cambria" w:hAnsi="Cambria"/>
          <w:color w:val="000000"/>
          <w:sz w:val="20"/>
          <w:szCs w:val="20"/>
          <w:lang w:val="es-PE"/>
        </w:rPr>
        <w:t xml:space="preserve"> respecto de esa detención en particular. </w:t>
      </w:r>
    </w:p>
    <w:p w14:paraId="694690F4" w14:textId="77777777" w:rsidR="00773B57" w:rsidRPr="00116A43" w:rsidRDefault="00773B57" w:rsidP="00375047">
      <w:pPr>
        <w:pStyle w:val="ListParagraph"/>
        <w:ind w:left="0"/>
        <w:rPr>
          <w:sz w:val="20"/>
          <w:szCs w:val="20"/>
          <w:lang w:val="es-PE"/>
        </w:rPr>
      </w:pPr>
    </w:p>
    <w:p w14:paraId="507B53F6" w14:textId="75B71453" w:rsidR="00CB19A5" w:rsidRPr="00116A43" w:rsidRDefault="00B674EA" w:rsidP="00375047">
      <w:pPr>
        <w:pStyle w:val="NormalWeb"/>
        <w:numPr>
          <w:ilvl w:val="0"/>
          <w:numId w:val="55"/>
        </w:numPr>
        <w:shd w:val="clear" w:color="auto" w:fill="FFFFFF"/>
        <w:spacing w:before="0" w:beforeAutospacing="0" w:after="0" w:afterAutospacing="0"/>
        <w:ind w:firstLine="0"/>
        <w:jc w:val="both"/>
        <w:rPr>
          <w:rFonts w:ascii="Cambria" w:hAnsi="Cambria"/>
          <w:sz w:val="20"/>
          <w:szCs w:val="20"/>
          <w:lang w:val="es-PE"/>
        </w:rPr>
      </w:pPr>
      <w:r w:rsidRPr="00116A43">
        <w:rPr>
          <w:rFonts w:ascii="Cambria" w:hAnsi="Cambria"/>
          <w:sz w:val="20"/>
          <w:szCs w:val="20"/>
          <w:lang w:val="es-PE"/>
        </w:rPr>
        <w:t xml:space="preserve">Por otra parte, la CIDH </w:t>
      </w:r>
      <w:r w:rsidR="00492726" w:rsidRPr="00116A43">
        <w:rPr>
          <w:rFonts w:ascii="Cambria" w:hAnsi="Cambria"/>
          <w:sz w:val="20"/>
          <w:szCs w:val="20"/>
          <w:lang w:val="es-PE"/>
        </w:rPr>
        <w:t xml:space="preserve">observa que Yoani Sánchez fue víctima de agresiones físicas antes y durante las detenciones </w:t>
      </w:r>
      <w:r w:rsidR="00AA77D4" w:rsidRPr="00116A43">
        <w:rPr>
          <w:rFonts w:ascii="Cambria" w:hAnsi="Cambria"/>
          <w:sz w:val="20"/>
          <w:szCs w:val="20"/>
          <w:lang w:val="es-PE"/>
        </w:rPr>
        <w:t>de 2010 y 2012. Durante la detención de 2010, Yoani Sánchez fue agredida f</w:t>
      </w:r>
      <w:r w:rsidR="00760164" w:rsidRPr="00116A43">
        <w:rPr>
          <w:rFonts w:ascii="Cambria" w:hAnsi="Cambria"/>
          <w:sz w:val="20"/>
          <w:szCs w:val="20"/>
          <w:lang w:val="es-PE"/>
        </w:rPr>
        <w:t>í</w:t>
      </w:r>
      <w:r w:rsidR="00AA77D4" w:rsidRPr="00116A43">
        <w:rPr>
          <w:rFonts w:ascii="Cambria" w:hAnsi="Cambria"/>
          <w:sz w:val="20"/>
          <w:szCs w:val="20"/>
          <w:lang w:val="es-PE"/>
        </w:rPr>
        <w:t xml:space="preserve">sicamente por </w:t>
      </w:r>
      <w:r w:rsidR="00760164" w:rsidRPr="00116A43">
        <w:rPr>
          <w:rFonts w:ascii="Cambria" w:hAnsi="Cambria"/>
          <w:sz w:val="20"/>
          <w:szCs w:val="20"/>
          <w:lang w:val="es-PE"/>
        </w:rPr>
        <w:t xml:space="preserve">dos mujeres civiles, </w:t>
      </w:r>
      <w:r w:rsidR="006C4933" w:rsidRPr="00116A43">
        <w:rPr>
          <w:rFonts w:ascii="Cambria" w:hAnsi="Cambria"/>
          <w:sz w:val="20"/>
          <w:szCs w:val="20"/>
          <w:lang w:val="es-PE"/>
        </w:rPr>
        <w:t xml:space="preserve">y a pesar de que la policía presenció dichas agresiones, </w:t>
      </w:r>
      <w:r w:rsidR="000F736F" w:rsidRPr="00116A43">
        <w:rPr>
          <w:rFonts w:ascii="Cambria" w:hAnsi="Cambria"/>
          <w:sz w:val="20"/>
          <w:szCs w:val="20"/>
          <w:lang w:val="es-PE"/>
        </w:rPr>
        <w:t>no solo no la protegi</w:t>
      </w:r>
      <w:r w:rsidR="000C4257" w:rsidRPr="00116A43">
        <w:rPr>
          <w:rFonts w:ascii="Cambria" w:hAnsi="Cambria"/>
          <w:sz w:val="20"/>
          <w:szCs w:val="20"/>
          <w:lang w:val="es-PE"/>
        </w:rPr>
        <w:t>ó</w:t>
      </w:r>
      <w:r w:rsidR="00766BDA" w:rsidRPr="00116A43">
        <w:rPr>
          <w:rFonts w:ascii="Cambria" w:hAnsi="Cambria"/>
          <w:sz w:val="20"/>
          <w:szCs w:val="20"/>
          <w:lang w:val="es-PE"/>
        </w:rPr>
        <w:t xml:space="preserve"> contra </w:t>
      </w:r>
      <w:r w:rsidR="00DC1E11" w:rsidRPr="00116A43">
        <w:rPr>
          <w:rFonts w:ascii="Cambria" w:hAnsi="Cambria"/>
          <w:sz w:val="20"/>
          <w:szCs w:val="20"/>
          <w:lang w:val="es-PE"/>
        </w:rPr>
        <w:t>estas</w:t>
      </w:r>
      <w:r w:rsidR="000F736F" w:rsidRPr="00116A43">
        <w:rPr>
          <w:rFonts w:ascii="Cambria" w:hAnsi="Cambria"/>
          <w:sz w:val="20"/>
          <w:szCs w:val="20"/>
          <w:lang w:val="es-PE"/>
        </w:rPr>
        <w:t xml:space="preserve">, sino que detuvieron </w:t>
      </w:r>
      <w:r w:rsidR="00766BDA" w:rsidRPr="00116A43">
        <w:rPr>
          <w:rFonts w:ascii="Cambria" w:hAnsi="Cambria"/>
          <w:sz w:val="20"/>
          <w:szCs w:val="20"/>
          <w:lang w:val="es-PE"/>
        </w:rPr>
        <w:t xml:space="preserve">a la periodista </w:t>
      </w:r>
      <w:r w:rsidR="000F736F" w:rsidRPr="00116A43">
        <w:rPr>
          <w:rFonts w:ascii="Cambria" w:hAnsi="Cambria"/>
          <w:sz w:val="20"/>
          <w:szCs w:val="20"/>
          <w:lang w:val="es-PE"/>
        </w:rPr>
        <w:t>y continuaron con la violencia física</w:t>
      </w:r>
      <w:r w:rsidR="00625038" w:rsidRPr="00116A43">
        <w:rPr>
          <w:rFonts w:ascii="Cambria" w:hAnsi="Cambria"/>
          <w:sz w:val="20"/>
          <w:szCs w:val="20"/>
          <w:lang w:val="es-PE"/>
        </w:rPr>
        <w:t xml:space="preserve"> en contra de ella</w:t>
      </w:r>
      <w:r w:rsidR="000F736F" w:rsidRPr="00116A43">
        <w:rPr>
          <w:rFonts w:ascii="Cambria" w:hAnsi="Cambria"/>
          <w:sz w:val="20"/>
          <w:szCs w:val="20"/>
          <w:lang w:val="es-PE"/>
        </w:rPr>
        <w:t xml:space="preserve">, </w:t>
      </w:r>
      <w:r w:rsidR="009B6844" w:rsidRPr="00116A43">
        <w:rPr>
          <w:rFonts w:ascii="Cambria" w:hAnsi="Cambria"/>
          <w:sz w:val="20"/>
          <w:szCs w:val="20"/>
          <w:lang w:val="es-PE"/>
        </w:rPr>
        <w:t xml:space="preserve">utilizando la fuerza tanto al momento de introducirla al vehículo en la que la transportaron a la comisaría, </w:t>
      </w:r>
      <w:r w:rsidR="003F7A45" w:rsidRPr="00116A43">
        <w:rPr>
          <w:rFonts w:ascii="Cambria" w:hAnsi="Cambria"/>
          <w:sz w:val="20"/>
          <w:szCs w:val="20"/>
          <w:lang w:val="es-PE"/>
        </w:rPr>
        <w:t>como cuando llegaron a la misma</w:t>
      </w:r>
      <w:r w:rsidR="00CB19A5" w:rsidRPr="00116A43">
        <w:rPr>
          <w:rFonts w:ascii="Cambria" w:hAnsi="Cambria"/>
          <w:sz w:val="20"/>
          <w:szCs w:val="20"/>
          <w:lang w:val="es-PE"/>
        </w:rPr>
        <w:t>. En la comisaría,</w:t>
      </w:r>
      <w:r w:rsidR="003F7A45" w:rsidRPr="00116A43">
        <w:rPr>
          <w:rFonts w:ascii="Cambria" w:hAnsi="Cambria"/>
          <w:sz w:val="20"/>
          <w:szCs w:val="20"/>
          <w:lang w:val="es-PE"/>
        </w:rPr>
        <w:t xml:space="preserve"> </w:t>
      </w:r>
      <w:r w:rsidR="00DC1E11" w:rsidRPr="00116A43">
        <w:rPr>
          <w:rFonts w:ascii="Cambria" w:hAnsi="Cambria"/>
          <w:sz w:val="20"/>
          <w:szCs w:val="20"/>
          <w:lang w:val="es-PE"/>
        </w:rPr>
        <w:t>los policías que la recibieron, sin portar insignias o identificación alguna, le propinaron</w:t>
      </w:r>
      <w:r w:rsidR="003F7A45" w:rsidRPr="00116A43">
        <w:rPr>
          <w:rFonts w:ascii="Cambria" w:hAnsi="Cambria"/>
          <w:sz w:val="20"/>
          <w:szCs w:val="20"/>
          <w:lang w:val="es-PE"/>
        </w:rPr>
        <w:t xml:space="preserve"> puntapiés para que se levantara del suelo. </w:t>
      </w:r>
      <w:r w:rsidR="00CB19A5" w:rsidRPr="00116A43">
        <w:rPr>
          <w:rFonts w:ascii="Cambria" w:hAnsi="Cambria"/>
          <w:sz w:val="20"/>
          <w:szCs w:val="20"/>
          <w:lang w:val="es-PE"/>
        </w:rPr>
        <w:t xml:space="preserve">En dicha oportunidad Yoani Sánchez fue detenida en un calabozo de hombres, de forma contraria a los estándares citados en párrafos precedentes. </w:t>
      </w:r>
    </w:p>
    <w:p w14:paraId="2B5C0EB6" w14:textId="77777777" w:rsidR="00CB19A5" w:rsidRPr="00116A43" w:rsidRDefault="00CB19A5" w:rsidP="00375047">
      <w:pPr>
        <w:pStyle w:val="ListParagraph"/>
        <w:ind w:left="0"/>
        <w:rPr>
          <w:sz w:val="20"/>
          <w:szCs w:val="20"/>
          <w:lang w:val="es-PE"/>
        </w:rPr>
      </w:pPr>
    </w:p>
    <w:p w14:paraId="247C6BD0" w14:textId="194B0C9D" w:rsidR="001F0295" w:rsidRPr="00116A43" w:rsidRDefault="00C65B61" w:rsidP="00375047">
      <w:pPr>
        <w:pStyle w:val="NormalWeb"/>
        <w:numPr>
          <w:ilvl w:val="0"/>
          <w:numId w:val="55"/>
        </w:numPr>
        <w:shd w:val="clear" w:color="auto" w:fill="FFFFFF"/>
        <w:spacing w:before="0" w:beforeAutospacing="0" w:after="0" w:afterAutospacing="0"/>
        <w:ind w:firstLine="0"/>
        <w:jc w:val="both"/>
        <w:rPr>
          <w:rFonts w:ascii="Cambria" w:hAnsi="Cambria"/>
          <w:sz w:val="20"/>
          <w:szCs w:val="20"/>
          <w:lang w:val="es-PE"/>
        </w:rPr>
      </w:pPr>
      <w:r w:rsidRPr="00116A43">
        <w:rPr>
          <w:rFonts w:ascii="Cambria" w:hAnsi="Cambria"/>
          <w:sz w:val="20"/>
          <w:szCs w:val="20"/>
          <w:lang w:val="es-PE"/>
        </w:rPr>
        <w:t xml:space="preserve">Asimismo, durante la detención de 2012, las mujeres policías que la interrogaron, </w:t>
      </w:r>
      <w:r w:rsidR="00CB19A5" w:rsidRPr="00116A43">
        <w:rPr>
          <w:rFonts w:ascii="Cambria" w:hAnsi="Cambria"/>
          <w:sz w:val="20"/>
          <w:szCs w:val="20"/>
          <w:lang w:val="es-PE"/>
        </w:rPr>
        <w:t xml:space="preserve">intentaron desnudarla forzadamente en dos ocasiones, ante lo cual Yoani declaró que “podr[ían] tener su alma, pero [su] cuerpo no”. Debido a dicha resistencia, las mujeres policías </w:t>
      </w:r>
      <w:r w:rsidRPr="00116A43">
        <w:rPr>
          <w:rFonts w:ascii="Cambria" w:hAnsi="Cambria"/>
          <w:sz w:val="20"/>
          <w:szCs w:val="20"/>
          <w:lang w:val="es-PE"/>
        </w:rPr>
        <w:t xml:space="preserve">la empujaron </w:t>
      </w:r>
      <w:r w:rsidR="00572E77" w:rsidRPr="00116A43">
        <w:rPr>
          <w:rFonts w:ascii="Cambria" w:hAnsi="Cambria"/>
          <w:sz w:val="20"/>
          <w:szCs w:val="20"/>
          <w:lang w:val="es-PE"/>
        </w:rPr>
        <w:t xml:space="preserve">y causaron que </w:t>
      </w:r>
      <w:r w:rsidR="00150C87" w:rsidRPr="00116A43">
        <w:rPr>
          <w:rFonts w:ascii="Cambria" w:hAnsi="Cambria"/>
          <w:sz w:val="20"/>
          <w:szCs w:val="20"/>
          <w:lang w:val="es-PE"/>
        </w:rPr>
        <w:t>cayera</w:t>
      </w:r>
      <w:r w:rsidR="00572E77" w:rsidRPr="00116A43">
        <w:rPr>
          <w:rFonts w:ascii="Cambria" w:hAnsi="Cambria"/>
          <w:sz w:val="20"/>
          <w:szCs w:val="20"/>
          <w:lang w:val="es-PE"/>
        </w:rPr>
        <w:t xml:space="preserve"> al suelo</w:t>
      </w:r>
      <w:r w:rsidR="00150C87" w:rsidRPr="00116A43">
        <w:rPr>
          <w:rFonts w:ascii="Cambria" w:hAnsi="Cambria"/>
          <w:sz w:val="20"/>
          <w:szCs w:val="20"/>
          <w:lang w:val="es-PE"/>
        </w:rPr>
        <w:t>, se r</w:t>
      </w:r>
      <w:r w:rsidR="00572E77" w:rsidRPr="00116A43">
        <w:rPr>
          <w:rFonts w:ascii="Cambria" w:hAnsi="Cambria"/>
          <w:sz w:val="20"/>
          <w:szCs w:val="20"/>
          <w:lang w:val="es-PE"/>
        </w:rPr>
        <w:t>omp</w:t>
      </w:r>
      <w:r w:rsidR="00150C87" w:rsidRPr="00116A43">
        <w:rPr>
          <w:rFonts w:ascii="Cambria" w:hAnsi="Cambria"/>
          <w:sz w:val="20"/>
          <w:szCs w:val="20"/>
          <w:lang w:val="es-PE"/>
        </w:rPr>
        <w:t>iera</w:t>
      </w:r>
      <w:r w:rsidR="00572E77" w:rsidRPr="00116A43">
        <w:rPr>
          <w:rFonts w:ascii="Cambria" w:hAnsi="Cambria"/>
          <w:sz w:val="20"/>
          <w:szCs w:val="20"/>
          <w:lang w:val="es-PE"/>
        </w:rPr>
        <w:t xml:space="preserve"> un diente</w:t>
      </w:r>
      <w:r w:rsidR="00F74C7B" w:rsidRPr="00116A43">
        <w:rPr>
          <w:rFonts w:ascii="Cambria" w:hAnsi="Cambria"/>
          <w:sz w:val="20"/>
          <w:szCs w:val="20"/>
          <w:lang w:val="es-PE"/>
        </w:rPr>
        <w:t xml:space="preserve"> </w:t>
      </w:r>
      <w:r w:rsidR="00B55A8F" w:rsidRPr="00116A43">
        <w:rPr>
          <w:rFonts w:ascii="Cambria" w:hAnsi="Cambria"/>
          <w:sz w:val="20"/>
          <w:szCs w:val="20"/>
          <w:lang w:val="es-PE"/>
        </w:rPr>
        <w:t xml:space="preserve">y </w:t>
      </w:r>
      <w:r w:rsidR="00150C87" w:rsidRPr="00116A43">
        <w:rPr>
          <w:rFonts w:ascii="Cambria" w:hAnsi="Cambria"/>
          <w:sz w:val="20"/>
          <w:szCs w:val="20"/>
          <w:lang w:val="es-PE"/>
        </w:rPr>
        <w:t>sufr</w:t>
      </w:r>
      <w:r w:rsidR="00CB19A5" w:rsidRPr="00116A43">
        <w:rPr>
          <w:rFonts w:ascii="Cambria" w:hAnsi="Cambria"/>
          <w:sz w:val="20"/>
          <w:szCs w:val="20"/>
          <w:lang w:val="es-PE"/>
        </w:rPr>
        <w:t xml:space="preserve">iera </w:t>
      </w:r>
      <w:r w:rsidR="00B55A8F" w:rsidRPr="00116A43">
        <w:rPr>
          <w:rFonts w:ascii="Cambria" w:hAnsi="Cambria"/>
          <w:sz w:val="20"/>
          <w:szCs w:val="20"/>
          <w:lang w:val="es-PE"/>
        </w:rPr>
        <w:t xml:space="preserve">contusiones en </w:t>
      </w:r>
      <w:r w:rsidR="00150C87" w:rsidRPr="00116A43">
        <w:rPr>
          <w:rFonts w:ascii="Cambria" w:hAnsi="Cambria"/>
          <w:sz w:val="20"/>
          <w:szCs w:val="20"/>
          <w:lang w:val="es-PE"/>
        </w:rPr>
        <w:t>la</w:t>
      </w:r>
      <w:r w:rsidR="00B55A8F" w:rsidRPr="00116A43">
        <w:rPr>
          <w:rFonts w:ascii="Cambria" w:hAnsi="Cambria"/>
          <w:sz w:val="20"/>
          <w:szCs w:val="20"/>
          <w:lang w:val="es-PE"/>
        </w:rPr>
        <w:t>s costillas</w:t>
      </w:r>
      <w:r w:rsidR="00572E77" w:rsidRPr="00116A43">
        <w:rPr>
          <w:rFonts w:ascii="Cambria" w:hAnsi="Cambria"/>
          <w:sz w:val="20"/>
          <w:szCs w:val="20"/>
          <w:lang w:val="es-PE"/>
        </w:rPr>
        <w:t xml:space="preserve">. </w:t>
      </w:r>
      <w:r w:rsidR="003F5EA3">
        <w:rPr>
          <w:rFonts w:ascii="Cambria" w:hAnsi="Cambria"/>
          <w:sz w:val="20"/>
          <w:szCs w:val="20"/>
          <w:lang w:val="es-PE"/>
        </w:rPr>
        <w:t>Estos intentos de desnudez, como ya concluyó la CIDH, se dieron en el marco de una detención ilegal y arbitraria, y constituyeron injerencias no justificadas en el cuerpo de la v</w:t>
      </w:r>
      <w:r w:rsidR="00584C15">
        <w:rPr>
          <w:rFonts w:ascii="Cambria" w:hAnsi="Cambria"/>
          <w:sz w:val="20"/>
          <w:szCs w:val="20"/>
          <w:lang w:val="es-PE"/>
        </w:rPr>
        <w:t xml:space="preserve">íctima </w:t>
      </w:r>
      <w:r w:rsidR="00A2213B">
        <w:rPr>
          <w:rFonts w:ascii="Cambria" w:hAnsi="Cambria"/>
          <w:sz w:val="20"/>
          <w:szCs w:val="20"/>
          <w:lang w:val="es-PE"/>
        </w:rPr>
        <w:t xml:space="preserve">y </w:t>
      </w:r>
      <w:r w:rsidR="00197554">
        <w:rPr>
          <w:rFonts w:ascii="Cambria" w:hAnsi="Cambria"/>
          <w:sz w:val="20"/>
          <w:szCs w:val="20"/>
          <w:lang w:val="es-PE"/>
        </w:rPr>
        <w:t xml:space="preserve">actos de </w:t>
      </w:r>
      <w:r w:rsidR="00A2213B">
        <w:rPr>
          <w:rFonts w:ascii="Cambria" w:hAnsi="Cambria"/>
          <w:sz w:val="20"/>
          <w:szCs w:val="20"/>
          <w:lang w:val="es-PE"/>
        </w:rPr>
        <w:t xml:space="preserve">abuso de poder de las agentes policiales, </w:t>
      </w:r>
      <w:r w:rsidR="00584C15">
        <w:rPr>
          <w:rFonts w:ascii="Cambria" w:hAnsi="Cambria"/>
          <w:sz w:val="20"/>
          <w:szCs w:val="20"/>
          <w:lang w:val="es-PE"/>
        </w:rPr>
        <w:t xml:space="preserve">que la colocaron en </w:t>
      </w:r>
      <w:r w:rsidR="00584C15" w:rsidRPr="00116A43">
        <w:rPr>
          <w:rFonts w:ascii="Cambria" w:hAnsi="Cambria" w:hint="eastAsia"/>
          <w:color w:val="222222"/>
          <w:sz w:val="20"/>
          <w:szCs w:val="20"/>
          <w:shd w:val="clear" w:color="auto" w:fill="FFFFFF"/>
          <w:lang w:val="es-PE"/>
        </w:rPr>
        <w:t xml:space="preserve">una situación </w:t>
      </w:r>
      <w:r w:rsidR="00584C15" w:rsidRPr="00116A43">
        <w:rPr>
          <w:rFonts w:ascii="Cambria" w:hAnsi="Cambria"/>
          <w:color w:val="222222"/>
          <w:sz w:val="20"/>
          <w:szCs w:val="20"/>
          <w:shd w:val="clear" w:color="auto" w:fill="FFFFFF"/>
          <w:lang w:val="es-PE"/>
        </w:rPr>
        <w:t>aún</w:t>
      </w:r>
      <w:r w:rsidR="00584C15" w:rsidRPr="00116A43">
        <w:rPr>
          <w:rFonts w:ascii="Cambria" w:hAnsi="Cambria" w:hint="eastAsia"/>
          <w:color w:val="222222"/>
          <w:sz w:val="20"/>
          <w:szCs w:val="20"/>
          <w:shd w:val="clear" w:color="auto" w:fill="FFFFFF"/>
          <w:lang w:val="es-PE"/>
        </w:rPr>
        <w:t xml:space="preserve"> más vulnerable </w:t>
      </w:r>
      <w:r w:rsidR="00584C15">
        <w:rPr>
          <w:rFonts w:ascii="Cambria" w:hAnsi="Cambria" w:hint="eastAsia"/>
          <w:color w:val="222222"/>
          <w:sz w:val="20"/>
          <w:szCs w:val="20"/>
          <w:shd w:val="clear" w:color="auto" w:fill="FFFFFF"/>
          <w:lang w:val="es-PE"/>
        </w:rPr>
        <w:t xml:space="preserve">ante la potencialidad de </w:t>
      </w:r>
      <w:r w:rsidR="00584C15" w:rsidRPr="00116A43">
        <w:rPr>
          <w:rFonts w:ascii="Cambria" w:hAnsi="Cambria" w:hint="eastAsia"/>
          <w:color w:val="222222"/>
          <w:sz w:val="20"/>
          <w:szCs w:val="20"/>
          <w:shd w:val="clear" w:color="auto" w:fill="FFFFFF"/>
          <w:lang w:val="es-PE"/>
        </w:rPr>
        <w:t>encontrarse desnuda y desvalida</w:t>
      </w:r>
      <w:r w:rsidR="00584C15">
        <w:rPr>
          <w:rFonts w:ascii="Cambria" w:hAnsi="Cambria"/>
          <w:color w:val="222222"/>
          <w:sz w:val="20"/>
          <w:szCs w:val="20"/>
          <w:shd w:val="clear" w:color="auto" w:fill="FFFFFF"/>
          <w:lang w:val="es-PE"/>
        </w:rPr>
        <w:t>, incrementando</w:t>
      </w:r>
      <w:r w:rsidR="00584C15" w:rsidRPr="00116A43">
        <w:rPr>
          <w:rFonts w:ascii="Cambria" w:hAnsi="Cambria" w:hint="eastAsia"/>
          <w:color w:val="222222"/>
          <w:sz w:val="20"/>
          <w:szCs w:val="20"/>
          <w:shd w:val="clear" w:color="auto" w:fill="FFFFFF"/>
          <w:lang w:val="es-PE"/>
        </w:rPr>
        <w:t xml:space="preserve"> </w:t>
      </w:r>
      <w:r w:rsidR="00584C15">
        <w:rPr>
          <w:rFonts w:ascii="Cambria" w:hAnsi="Cambria"/>
          <w:color w:val="222222"/>
          <w:sz w:val="20"/>
          <w:szCs w:val="20"/>
          <w:shd w:val="clear" w:color="auto" w:fill="FFFFFF"/>
          <w:lang w:val="es-PE"/>
        </w:rPr>
        <w:t xml:space="preserve">su temor </w:t>
      </w:r>
      <w:r w:rsidR="00584C15" w:rsidRPr="00BA6ADA">
        <w:rPr>
          <w:rFonts w:ascii="Cambria" w:hAnsi="Cambria"/>
          <w:color w:val="222222"/>
          <w:sz w:val="20"/>
          <w:szCs w:val="20"/>
          <w:shd w:val="clear" w:color="auto" w:fill="FFFFFF"/>
          <w:lang w:val="es-PE"/>
        </w:rPr>
        <w:t xml:space="preserve">respecto a lo que le podría ocurrir. </w:t>
      </w:r>
      <w:r w:rsidR="00CB19A5" w:rsidRPr="00116A43">
        <w:rPr>
          <w:rFonts w:ascii="Cambria" w:hAnsi="Cambria"/>
          <w:sz w:val="20"/>
          <w:szCs w:val="20"/>
          <w:lang w:val="es-PE"/>
        </w:rPr>
        <w:t>La CIDH considera</w:t>
      </w:r>
      <w:r w:rsidR="003F5EA3">
        <w:rPr>
          <w:rFonts w:ascii="Cambria" w:hAnsi="Cambria"/>
          <w:sz w:val="20"/>
          <w:szCs w:val="20"/>
          <w:lang w:val="es-PE"/>
        </w:rPr>
        <w:t xml:space="preserve"> que</w:t>
      </w:r>
      <w:r w:rsidR="00CB19A5" w:rsidRPr="00116A43">
        <w:rPr>
          <w:rFonts w:ascii="Cambria" w:hAnsi="Cambria"/>
          <w:sz w:val="20"/>
          <w:szCs w:val="20"/>
          <w:lang w:val="es-PE"/>
        </w:rPr>
        <w:t xml:space="preserve">, con base en lo establecido anteriormente, los intentos de desnudez forzada constituyeron actos de violencia de género contra </w:t>
      </w:r>
      <w:r w:rsidR="00EB4244" w:rsidRPr="00116A43">
        <w:rPr>
          <w:rFonts w:ascii="Cambria" w:hAnsi="Cambria"/>
          <w:sz w:val="20"/>
          <w:szCs w:val="20"/>
          <w:lang w:val="es-PE"/>
        </w:rPr>
        <w:t xml:space="preserve">Yoani Sánchez consistentes con los distintos actos </w:t>
      </w:r>
      <w:r w:rsidR="003F5EA3">
        <w:rPr>
          <w:rFonts w:ascii="Cambria" w:hAnsi="Cambria"/>
          <w:sz w:val="20"/>
          <w:szCs w:val="20"/>
          <w:lang w:val="es-PE"/>
        </w:rPr>
        <w:t xml:space="preserve">similares </w:t>
      </w:r>
      <w:r w:rsidR="00EB4244" w:rsidRPr="00116A43">
        <w:rPr>
          <w:rFonts w:ascii="Cambria" w:hAnsi="Cambria"/>
          <w:sz w:val="20"/>
          <w:szCs w:val="20"/>
          <w:lang w:val="es-PE"/>
        </w:rPr>
        <w:t>reportados en Cuba, que se ejecutaron con la intención de</w:t>
      </w:r>
      <w:r w:rsidR="003F5EA3">
        <w:rPr>
          <w:rFonts w:ascii="Cambria" w:hAnsi="Cambria"/>
          <w:sz w:val="20"/>
          <w:szCs w:val="20"/>
          <w:lang w:val="es-PE"/>
        </w:rPr>
        <w:t xml:space="preserve"> humillarla y</w:t>
      </w:r>
      <w:r w:rsidR="00EB4244" w:rsidRPr="00116A43">
        <w:rPr>
          <w:rFonts w:ascii="Cambria" w:hAnsi="Cambria"/>
          <w:sz w:val="20"/>
          <w:szCs w:val="20"/>
          <w:lang w:val="es-PE"/>
        </w:rPr>
        <w:t xml:space="preserve"> sancionarla por su labor de periodista y bloguera</w:t>
      </w:r>
      <w:r w:rsidR="003F5EA3">
        <w:rPr>
          <w:rFonts w:ascii="Cambria" w:hAnsi="Cambria"/>
          <w:sz w:val="20"/>
          <w:szCs w:val="20"/>
          <w:lang w:val="es-PE"/>
        </w:rPr>
        <w:t xml:space="preserve">. Estos actos </w:t>
      </w:r>
      <w:r w:rsidR="00EB4244" w:rsidRPr="00116A43">
        <w:rPr>
          <w:rFonts w:ascii="Cambria" w:hAnsi="Cambria"/>
          <w:sz w:val="20"/>
          <w:szCs w:val="20"/>
          <w:lang w:val="es-PE"/>
        </w:rPr>
        <w:t xml:space="preserve">han </w:t>
      </w:r>
      <w:r w:rsidR="00D2631F" w:rsidRPr="00116A43">
        <w:rPr>
          <w:rFonts w:ascii="Cambria" w:hAnsi="Cambria"/>
          <w:sz w:val="20"/>
          <w:szCs w:val="20"/>
          <w:lang w:val="es-PE"/>
        </w:rPr>
        <w:t>tenido,</w:t>
      </w:r>
      <w:r w:rsidR="003F5EA3">
        <w:rPr>
          <w:rFonts w:ascii="Cambria" w:hAnsi="Cambria"/>
          <w:sz w:val="20"/>
          <w:szCs w:val="20"/>
          <w:lang w:val="es-PE"/>
        </w:rPr>
        <w:t xml:space="preserve"> a</w:t>
      </w:r>
      <w:r w:rsidR="003F5EA3" w:rsidRPr="00116A43">
        <w:rPr>
          <w:rFonts w:ascii="Cambria" w:hAnsi="Cambria"/>
          <w:sz w:val="20"/>
          <w:szCs w:val="20"/>
          <w:lang w:val="es-PE"/>
        </w:rPr>
        <w:t>demás</w:t>
      </w:r>
      <w:r w:rsidR="003F5EA3">
        <w:rPr>
          <w:rFonts w:ascii="Cambria" w:hAnsi="Cambria"/>
          <w:sz w:val="20"/>
          <w:szCs w:val="20"/>
          <w:lang w:val="es-PE"/>
        </w:rPr>
        <w:t>,</w:t>
      </w:r>
      <w:r w:rsidR="00EB4244" w:rsidRPr="00116A43">
        <w:rPr>
          <w:rFonts w:ascii="Cambria" w:hAnsi="Cambria"/>
          <w:sz w:val="20"/>
          <w:szCs w:val="20"/>
          <w:lang w:val="es-PE"/>
        </w:rPr>
        <w:t xml:space="preserve"> un impacto desproporcionado en las mujeres privadas de libertad en Cuba, respecto de sus pares hombres.</w:t>
      </w:r>
      <w:r w:rsidR="00CB19A5" w:rsidRPr="00116A43">
        <w:rPr>
          <w:rFonts w:ascii="Cambria" w:hAnsi="Cambria"/>
          <w:sz w:val="20"/>
          <w:szCs w:val="20"/>
          <w:lang w:val="es-PE"/>
        </w:rPr>
        <w:t xml:space="preserve"> </w:t>
      </w:r>
      <w:r w:rsidR="00EB4244" w:rsidRPr="00116A43">
        <w:rPr>
          <w:rFonts w:ascii="Cambria" w:hAnsi="Cambria"/>
          <w:sz w:val="20"/>
          <w:szCs w:val="20"/>
          <w:lang w:val="es-PE"/>
        </w:rPr>
        <w:t>Los intentos de desnudez forzada también</w:t>
      </w:r>
      <w:r w:rsidR="00572E77" w:rsidRPr="00116A43">
        <w:rPr>
          <w:rFonts w:ascii="Cambria" w:hAnsi="Cambria"/>
          <w:sz w:val="20"/>
          <w:szCs w:val="20"/>
          <w:lang w:val="es-PE"/>
        </w:rPr>
        <w:t xml:space="preserve"> </w:t>
      </w:r>
      <w:r w:rsidR="007F6EF2" w:rsidRPr="00116A43">
        <w:rPr>
          <w:rFonts w:ascii="Cambria" w:hAnsi="Cambria"/>
          <w:sz w:val="20"/>
          <w:szCs w:val="20"/>
          <w:lang w:val="es-PE"/>
        </w:rPr>
        <w:t>constituy</w:t>
      </w:r>
      <w:r w:rsidR="00EB4244" w:rsidRPr="00116A43">
        <w:rPr>
          <w:rFonts w:ascii="Cambria" w:hAnsi="Cambria"/>
          <w:sz w:val="20"/>
          <w:szCs w:val="20"/>
          <w:lang w:val="es-PE"/>
        </w:rPr>
        <w:t>eron</w:t>
      </w:r>
      <w:r w:rsidR="007F6EF2" w:rsidRPr="00116A43">
        <w:rPr>
          <w:rFonts w:ascii="Cambria" w:hAnsi="Cambria"/>
          <w:sz w:val="20"/>
          <w:szCs w:val="20"/>
          <w:lang w:val="es-PE"/>
        </w:rPr>
        <w:t xml:space="preserve"> trato</w:t>
      </w:r>
      <w:r w:rsidR="00EB4244" w:rsidRPr="00116A43">
        <w:rPr>
          <w:rFonts w:ascii="Cambria" w:hAnsi="Cambria"/>
          <w:sz w:val="20"/>
          <w:szCs w:val="20"/>
          <w:lang w:val="es-PE"/>
        </w:rPr>
        <w:t>s</w:t>
      </w:r>
      <w:r w:rsidR="007F6EF2" w:rsidRPr="00116A43">
        <w:rPr>
          <w:rFonts w:ascii="Cambria" w:hAnsi="Cambria"/>
          <w:sz w:val="20"/>
          <w:szCs w:val="20"/>
          <w:lang w:val="es-PE"/>
        </w:rPr>
        <w:t xml:space="preserve"> violatorio</w:t>
      </w:r>
      <w:r w:rsidR="00EB4244" w:rsidRPr="00116A43">
        <w:rPr>
          <w:rFonts w:ascii="Cambria" w:hAnsi="Cambria"/>
          <w:sz w:val="20"/>
          <w:szCs w:val="20"/>
          <w:lang w:val="es-PE"/>
        </w:rPr>
        <w:t>s</w:t>
      </w:r>
      <w:r w:rsidR="007F6EF2" w:rsidRPr="00116A43">
        <w:rPr>
          <w:rFonts w:ascii="Cambria" w:hAnsi="Cambria"/>
          <w:sz w:val="20"/>
          <w:szCs w:val="20"/>
          <w:lang w:val="es-PE"/>
        </w:rPr>
        <w:t xml:space="preserve"> de su dignidad personal</w:t>
      </w:r>
      <w:r w:rsidR="00EB4244" w:rsidRPr="00116A43">
        <w:rPr>
          <w:rFonts w:ascii="Cambria" w:hAnsi="Cambria"/>
          <w:sz w:val="20"/>
          <w:szCs w:val="20"/>
          <w:lang w:val="es-PE"/>
        </w:rPr>
        <w:t xml:space="preserve"> y significaron una forma de violencia sexual al configurar acciones de naturaleza sexual que se cometieron sin su consentimiento y </w:t>
      </w:r>
      <w:r w:rsidR="00D2631F" w:rsidRPr="00116A43">
        <w:rPr>
          <w:rFonts w:ascii="Cambria" w:hAnsi="Cambria"/>
          <w:sz w:val="20"/>
          <w:szCs w:val="20"/>
          <w:lang w:val="es-PE"/>
        </w:rPr>
        <w:t>que,</w:t>
      </w:r>
      <w:r w:rsidR="00EB4244" w:rsidRPr="00116A43">
        <w:rPr>
          <w:rFonts w:ascii="Cambria" w:hAnsi="Cambria"/>
          <w:sz w:val="20"/>
          <w:szCs w:val="20"/>
          <w:lang w:val="es-PE"/>
        </w:rPr>
        <w:t xml:space="preserve"> en este caso, comprendieron la invasión física del cuerpo humano, al intentar desnudar a la periodista en frente de las mujeres policías y de un hombre que habría grabado parte de los hechos acontecidos</w:t>
      </w:r>
      <w:r w:rsidR="007F6EF2" w:rsidRPr="00116A43">
        <w:rPr>
          <w:rFonts w:ascii="Cambria" w:hAnsi="Cambria"/>
          <w:sz w:val="20"/>
          <w:szCs w:val="20"/>
          <w:lang w:val="es-PE"/>
        </w:rPr>
        <w:t xml:space="preserve">. </w:t>
      </w:r>
      <w:r w:rsidR="00197554">
        <w:rPr>
          <w:rFonts w:ascii="Cambria" w:hAnsi="Cambria"/>
          <w:sz w:val="20"/>
          <w:szCs w:val="20"/>
          <w:lang w:val="es-PE"/>
        </w:rPr>
        <w:t xml:space="preserve">Además, la violencia sexual contra Yoani constituyó una forma de discriminación </w:t>
      </w:r>
      <w:r w:rsidR="00116D06">
        <w:rPr>
          <w:rFonts w:ascii="Cambria" w:hAnsi="Cambria"/>
          <w:sz w:val="20"/>
          <w:szCs w:val="20"/>
          <w:lang w:val="es-PE"/>
        </w:rPr>
        <w:t>por razón de</w:t>
      </w:r>
      <w:r w:rsidR="00197554">
        <w:rPr>
          <w:rFonts w:ascii="Cambria" w:hAnsi="Cambria"/>
          <w:sz w:val="20"/>
          <w:szCs w:val="20"/>
          <w:lang w:val="es-PE"/>
        </w:rPr>
        <w:t xml:space="preserve"> su género y </w:t>
      </w:r>
      <w:r w:rsidR="00D2631F">
        <w:rPr>
          <w:rFonts w:ascii="Cambria" w:hAnsi="Cambria"/>
          <w:sz w:val="20"/>
          <w:szCs w:val="20"/>
          <w:lang w:val="es-PE"/>
        </w:rPr>
        <w:t xml:space="preserve">se derivó de </w:t>
      </w:r>
      <w:r w:rsidR="00197554">
        <w:rPr>
          <w:rFonts w:ascii="Cambria" w:hAnsi="Cambria"/>
          <w:sz w:val="20"/>
          <w:szCs w:val="20"/>
          <w:lang w:val="es-PE"/>
        </w:rPr>
        <w:t xml:space="preserve">la naturaleza de su labor como mujer líder periodista en Cuba. </w:t>
      </w:r>
      <w:r w:rsidR="00D02F20" w:rsidRPr="00116A43">
        <w:rPr>
          <w:rFonts w:ascii="Cambria" w:hAnsi="Cambria"/>
          <w:sz w:val="20"/>
          <w:szCs w:val="20"/>
          <w:lang w:val="es-PE"/>
        </w:rPr>
        <w:t xml:space="preserve">Con base en lo señalado, la CIDH </w:t>
      </w:r>
      <w:r w:rsidR="00292A0A" w:rsidRPr="00116A43">
        <w:rPr>
          <w:rFonts w:ascii="Cambria" w:hAnsi="Cambria"/>
          <w:sz w:val="20"/>
          <w:szCs w:val="20"/>
          <w:lang w:val="es-PE"/>
        </w:rPr>
        <w:t>concluye que</w:t>
      </w:r>
      <w:r w:rsidR="006748B7" w:rsidRPr="00116A43">
        <w:rPr>
          <w:rFonts w:ascii="Cambria" w:hAnsi="Cambria"/>
          <w:sz w:val="20"/>
          <w:szCs w:val="20"/>
          <w:lang w:val="es-PE"/>
        </w:rPr>
        <w:t xml:space="preserve"> el </w:t>
      </w:r>
      <w:r w:rsidR="006748B7" w:rsidRPr="00116A43">
        <w:rPr>
          <w:rFonts w:ascii="Cambria" w:hAnsi="Cambria"/>
          <w:sz w:val="20"/>
          <w:szCs w:val="20"/>
          <w:lang w:val="es-PE"/>
        </w:rPr>
        <w:lastRenderedPageBreak/>
        <w:t>Estado</w:t>
      </w:r>
      <w:r w:rsidR="002840D7" w:rsidRPr="00116A43">
        <w:rPr>
          <w:rFonts w:ascii="Cambria" w:hAnsi="Cambria"/>
          <w:sz w:val="20"/>
          <w:szCs w:val="20"/>
          <w:lang w:val="es-PE"/>
        </w:rPr>
        <w:t xml:space="preserve"> violó el </w:t>
      </w:r>
      <w:r w:rsidR="00804E51" w:rsidRPr="00116A43">
        <w:rPr>
          <w:rFonts w:ascii="Cambria" w:hAnsi="Cambria"/>
          <w:sz w:val="20"/>
          <w:szCs w:val="20"/>
          <w:lang w:val="es-PE"/>
        </w:rPr>
        <w:t xml:space="preserve">derecho a la integridad personal </w:t>
      </w:r>
      <w:r w:rsidR="008E2DB4" w:rsidRPr="00116A43">
        <w:rPr>
          <w:rFonts w:ascii="Cambria" w:hAnsi="Cambria"/>
          <w:sz w:val="20"/>
          <w:szCs w:val="20"/>
          <w:lang w:val="es-PE"/>
        </w:rPr>
        <w:t>de</w:t>
      </w:r>
      <w:r w:rsidR="002840D7" w:rsidRPr="00116A43">
        <w:rPr>
          <w:rFonts w:ascii="Cambria" w:hAnsi="Cambria"/>
          <w:sz w:val="20"/>
          <w:szCs w:val="20"/>
          <w:lang w:val="es-PE"/>
        </w:rPr>
        <w:t xml:space="preserve"> </w:t>
      </w:r>
      <w:r w:rsidR="008E2DB4" w:rsidRPr="00116A43">
        <w:rPr>
          <w:rFonts w:ascii="Cambria" w:hAnsi="Cambria"/>
          <w:sz w:val="20"/>
          <w:szCs w:val="20"/>
          <w:lang w:val="es-PE"/>
        </w:rPr>
        <w:t xml:space="preserve">Yoani </w:t>
      </w:r>
      <w:r w:rsidR="00804E51" w:rsidRPr="00116A43">
        <w:rPr>
          <w:rFonts w:ascii="Cambria" w:hAnsi="Cambria"/>
          <w:sz w:val="20"/>
          <w:szCs w:val="20"/>
          <w:lang w:val="es-PE"/>
        </w:rPr>
        <w:t>Sánchez</w:t>
      </w:r>
      <w:r w:rsidR="00EE6857" w:rsidRPr="00116A43">
        <w:rPr>
          <w:rFonts w:ascii="Cambria" w:hAnsi="Cambria"/>
          <w:sz w:val="20"/>
          <w:szCs w:val="20"/>
          <w:lang w:val="es-PE"/>
        </w:rPr>
        <w:t xml:space="preserve">, su </w:t>
      </w:r>
      <w:r w:rsidR="00804E51" w:rsidRPr="00116A43">
        <w:rPr>
          <w:rFonts w:ascii="Cambria" w:hAnsi="Cambria"/>
          <w:sz w:val="20"/>
          <w:szCs w:val="20"/>
          <w:lang w:val="es-PE"/>
        </w:rPr>
        <w:t>derecho a</w:t>
      </w:r>
      <w:r w:rsidR="002840D7" w:rsidRPr="00116A43">
        <w:rPr>
          <w:rFonts w:ascii="Cambria" w:hAnsi="Cambria"/>
          <w:sz w:val="20"/>
          <w:szCs w:val="20"/>
          <w:lang w:val="es-PE"/>
        </w:rPr>
        <w:t xml:space="preserve"> recibir un trato humano y digno durante </w:t>
      </w:r>
      <w:r w:rsidR="00EE6857" w:rsidRPr="00116A43">
        <w:rPr>
          <w:rFonts w:ascii="Cambria" w:hAnsi="Cambria"/>
          <w:sz w:val="20"/>
          <w:szCs w:val="20"/>
          <w:lang w:val="es-PE"/>
        </w:rPr>
        <w:t>su</w:t>
      </w:r>
      <w:r w:rsidR="002840D7" w:rsidRPr="00116A43">
        <w:rPr>
          <w:rFonts w:ascii="Cambria" w:hAnsi="Cambria"/>
          <w:sz w:val="20"/>
          <w:szCs w:val="20"/>
          <w:lang w:val="es-PE"/>
        </w:rPr>
        <w:t xml:space="preserve"> detención</w:t>
      </w:r>
      <w:r w:rsidR="00197554">
        <w:rPr>
          <w:rFonts w:ascii="Cambria" w:hAnsi="Cambria"/>
          <w:sz w:val="20"/>
          <w:szCs w:val="20"/>
          <w:lang w:val="es-PE"/>
        </w:rPr>
        <w:t>,</w:t>
      </w:r>
      <w:r w:rsidR="008E2DB4" w:rsidRPr="00116A43">
        <w:rPr>
          <w:rFonts w:ascii="Cambria" w:hAnsi="Cambria"/>
          <w:sz w:val="20"/>
          <w:szCs w:val="20"/>
          <w:lang w:val="es-PE"/>
        </w:rPr>
        <w:t xml:space="preserve"> </w:t>
      </w:r>
      <w:r w:rsidR="00197554" w:rsidRPr="00116A43">
        <w:rPr>
          <w:rFonts w:ascii="Cambria" w:hAnsi="Cambria"/>
          <w:sz w:val="20"/>
          <w:szCs w:val="20"/>
          <w:lang w:val="es-PE"/>
        </w:rPr>
        <w:t>así como</w:t>
      </w:r>
      <w:r w:rsidR="00197554">
        <w:rPr>
          <w:rFonts w:ascii="Cambria" w:hAnsi="Cambria"/>
          <w:sz w:val="20"/>
          <w:szCs w:val="20"/>
          <w:lang w:val="es-PE"/>
        </w:rPr>
        <w:t xml:space="preserve"> su derecho a la igualdad y no discriminación.</w:t>
      </w:r>
    </w:p>
    <w:p w14:paraId="7B2ED767" w14:textId="77777777" w:rsidR="008E2DB4" w:rsidRPr="00116A43" w:rsidRDefault="008E2DB4" w:rsidP="008E2DB4">
      <w:pPr>
        <w:pStyle w:val="NormalWeb"/>
        <w:shd w:val="clear" w:color="auto" w:fill="FFFFFF"/>
        <w:spacing w:before="0" w:beforeAutospacing="0" w:after="0" w:afterAutospacing="0"/>
        <w:ind w:left="720"/>
        <w:jc w:val="both"/>
        <w:rPr>
          <w:rFonts w:ascii="Cambria" w:hAnsi="Cambria"/>
          <w:sz w:val="20"/>
          <w:szCs w:val="20"/>
          <w:lang w:val="es-PE"/>
        </w:rPr>
      </w:pPr>
    </w:p>
    <w:p w14:paraId="5440D856" w14:textId="2A1EBD93" w:rsidR="001F0295" w:rsidRDefault="00773B57" w:rsidP="003B7C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Con base en lo establecido</w:t>
      </w:r>
      <w:r w:rsidR="001F0295" w:rsidRPr="00116A43">
        <w:rPr>
          <w:rFonts w:ascii="Cambria" w:eastAsia="Times New Roman" w:hAnsi="Cambria" w:cs="Cambria"/>
          <w:color w:val="000000"/>
          <w:sz w:val="20"/>
          <w:szCs w:val="20"/>
          <w:u w:color="000000"/>
          <w:bdr w:val="none" w:sz="0" w:space="0" w:color="auto"/>
          <w:lang w:val="es-PE" w:eastAsia="es-ES"/>
        </w:rPr>
        <w:t xml:space="preserve">, </w:t>
      </w:r>
      <w:r w:rsidRPr="00116A43">
        <w:rPr>
          <w:rFonts w:ascii="Cambria" w:eastAsia="Times New Roman" w:hAnsi="Cambria" w:cs="Cambria"/>
          <w:color w:val="000000"/>
          <w:sz w:val="20"/>
          <w:szCs w:val="20"/>
          <w:u w:color="000000"/>
          <w:bdr w:val="none" w:sz="0" w:space="0" w:color="auto"/>
          <w:lang w:val="es-PE" w:eastAsia="es-ES"/>
        </w:rPr>
        <w:t xml:space="preserve">la CIDH concluye que </w:t>
      </w:r>
      <w:r w:rsidR="001F0295" w:rsidRPr="00116A43">
        <w:rPr>
          <w:rFonts w:ascii="Cambria" w:eastAsia="Times New Roman" w:hAnsi="Cambria" w:cs="Cambria"/>
          <w:color w:val="000000"/>
          <w:sz w:val="20"/>
          <w:szCs w:val="20"/>
          <w:u w:color="000000"/>
          <w:bdr w:val="none" w:sz="0" w:space="0" w:color="auto"/>
          <w:lang w:val="es-PE" w:eastAsia="es-ES"/>
        </w:rPr>
        <w:t xml:space="preserve">el Estado de Cuba </w:t>
      </w:r>
      <w:r w:rsidR="006538EE" w:rsidRPr="00116A43">
        <w:rPr>
          <w:rFonts w:ascii="Cambria" w:eastAsia="Times New Roman" w:hAnsi="Cambria" w:cs="Cambria"/>
          <w:color w:val="000000"/>
          <w:sz w:val="20"/>
          <w:szCs w:val="20"/>
          <w:u w:color="000000"/>
          <w:bdr w:val="none" w:sz="0" w:space="0" w:color="auto"/>
          <w:lang w:val="es-PE" w:eastAsia="es-ES"/>
        </w:rPr>
        <w:t xml:space="preserve">es responsable por </w:t>
      </w:r>
      <w:r w:rsidR="00E0655B" w:rsidRPr="00116A43">
        <w:rPr>
          <w:rFonts w:ascii="Cambria" w:eastAsia="Times New Roman" w:hAnsi="Cambria" w:cs="Cambria"/>
          <w:color w:val="000000"/>
          <w:sz w:val="20"/>
          <w:szCs w:val="20"/>
          <w:u w:color="000000"/>
          <w:bdr w:val="none" w:sz="0" w:space="0" w:color="auto"/>
          <w:lang w:val="es-PE" w:eastAsia="es-ES"/>
        </w:rPr>
        <w:t xml:space="preserve">la </w:t>
      </w:r>
      <w:r w:rsidR="00355425" w:rsidRPr="00116A43">
        <w:rPr>
          <w:rFonts w:ascii="Cambria" w:eastAsia="Times New Roman" w:hAnsi="Cambria" w:cs="Cambria"/>
          <w:color w:val="000000"/>
          <w:sz w:val="20"/>
          <w:szCs w:val="20"/>
          <w:u w:color="000000"/>
          <w:bdr w:val="none" w:sz="0" w:space="0" w:color="auto"/>
          <w:lang w:val="es-PE" w:eastAsia="es-ES"/>
        </w:rPr>
        <w:t xml:space="preserve">detención </w:t>
      </w:r>
      <w:r w:rsidR="006538EE" w:rsidRPr="00116A43">
        <w:rPr>
          <w:rFonts w:ascii="Cambria" w:eastAsia="Times New Roman" w:hAnsi="Cambria" w:cs="Cambria"/>
          <w:color w:val="000000"/>
          <w:sz w:val="20"/>
          <w:szCs w:val="20"/>
          <w:u w:color="000000"/>
          <w:bdr w:val="none" w:sz="0" w:space="0" w:color="auto"/>
          <w:lang w:val="es-PE" w:eastAsia="es-ES"/>
        </w:rPr>
        <w:t>ilegal</w:t>
      </w:r>
      <w:r w:rsidR="00355425" w:rsidRPr="00116A43">
        <w:rPr>
          <w:rFonts w:ascii="Cambria" w:eastAsia="Times New Roman" w:hAnsi="Cambria" w:cs="Cambria"/>
          <w:color w:val="000000"/>
          <w:sz w:val="20"/>
          <w:szCs w:val="20"/>
          <w:u w:color="000000"/>
          <w:bdr w:val="none" w:sz="0" w:space="0" w:color="auto"/>
          <w:lang w:val="es-PE" w:eastAsia="es-ES"/>
        </w:rPr>
        <w:t xml:space="preserve"> </w:t>
      </w:r>
      <w:r w:rsidR="006538EE" w:rsidRPr="00116A43">
        <w:rPr>
          <w:rFonts w:ascii="Cambria" w:eastAsia="Times New Roman" w:hAnsi="Cambria" w:cs="Cambria"/>
          <w:color w:val="000000"/>
          <w:sz w:val="20"/>
          <w:szCs w:val="20"/>
          <w:u w:color="000000"/>
          <w:bdr w:val="none" w:sz="0" w:space="0" w:color="auto"/>
          <w:lang w:val="es-PE" w:eastAsia="es-ES"/>
        </w:rPr>
        <w:t>y arbitraria</w:t>
      </w:r>
      <w:r w:rsidR="00355425" w:rsidRPr="00116A43">
        <w:rPr>
          <w:rFonts w:ascii="Cambria" w:eastAsia="Times New Roman" w:hAnsi="Cambria" w:cs="Cambria"/>
          <w:color w:val="000000"/>
          <w:sz w:val="20"/>
          <w:szCs w:val="20"/>
          <w:u w:color="000000"/>
          <w:bdr w:val="none" w:sz="0" w:space="0" w:color="auto"/>
          <w:lang w:val="es-PE" w:eastAsia="es-ES"/>
        </w:rPr>
        <w:t xml:space="preserve"> de Yoani Sánchez en dos oportunidades</w:t>
      </w:r>
      <w:r w:rsidR="006538EE" w:rsidRPr="00116A43">
        <w:rPr>
          <w:rFonts w:ascii="Cambria" w:eastAsia="Times New Roman" w:hAnsi="Cambria" w:cs="Cambria"/>
          <w:color w:val="000000"/>
          <w:sz w:val="20"/>
          <w:szCs w:val="20"/>
          <w:u w:color="000000"/>
          <w:bdr w:val="none" w:sz="0" w:space="0" w:color="auto"/>
          <w:lang w:val="es-PE" w:eastAsia="es-ES"/>
        </w:rPr>
        <w:t xml:space="preserve">, y por haber violado </w:t>
      </w:r>
      <w:r w:rsidR="00355425" w:rsidRPr="00116A43">
        <w:rPr>
          <w:rFonts w:ascii="Cambria" w:eastAsia="Times New Roman" w:hAnsi="Cambria" w:cs="Cambria"/>
          <w:color w:val="000000"/>
          <w:sz w:val="20"/>
          <w:szCs w:val="20"/>
          <w:u w:color="000000"/>
          <w:bdr w:val="none" w:sz="0" w:space="0" w:color="auto"/>
          <w:lang w:val="es-PE" w:eastAsia="es-ES"/>
        </w:rPr>
        <w:t>su</w:t>
      </w:r>
      <w:r w:rsidR="006538EE" w:rsidRPr="00116A43">
        <w:rPr>
          <w:rFonts w:ascii="Cambria" w:eastAsia="Times New Roman" w:hAnsi="Cambria" w:cs="Cambria"/>
          <w:color w:val="000000"/>
          <w:sz w:val="20"/>
          <w:szCs w:val="20"/>
          <w:u w:color="000000"/>
          <w:bdr w:val="none" w:sz="0" w:space="0" w:color="auto"/>
          <w:lang w:val="es-PE" w:eastAsia="es-ES"/>
        </w:rPr>
        <w:t xml:space="preserve"> derecho a la </w:t>
      </w:r>
      <w:r w:rsidR="00197554">
        <w:rPr>
          <w:rFonts w:ascii="Cambria" w:eastAsia="Times New Roman" w:hAnsi="Cambria" w:cs="Cambria"/>
          <w:color w:val="000000"/>
          <w:sz w:val="20"/>
          <w:szCs w:val="20"/>
          <w:u w:color="000000"/>
          <w:bdr w:val="none" w:sz="0" w:space="0" w:color="auto"/>
          <w:lang w:val="es-PE" w:eastAsia="es-ES"/>
        </w:rPr>
        <w:t xml:space="preserve">igualdad, </w:t>
      </w:r>
      <w:r w:rsidR="006538EE" w:rsidRPr="00116A43">
        <w:rPr>
          <w:rFonts w:ascii="Cambria" w:eastAsia="Times New Roman" w:hAnsi="Cambria" w:cs="Cambria"/>
          <w:color w:val="000000"/>
          <w:sz w:val="20"/>
          <w:szCs w:val="20"/>
          <w:u w:color="000000"/>
          <w:bdr w:val="none" w:sz="0" w:space="0" w:color="auto"/>
          <w:lang w:val="es-PE" w:eastAsia="es-ES"/>
        </w:rPr>
        <w:t>integridad personal</w:t>
      </w:r>
      <w:r w:rsidR="002840D7" w:rsidRPr="00116A43">
        <w:rPr>
          <w:rFonts w:ascii="Cambria" w:eastAsia="Times New Roman" w:hAnsi="Cambria" w:cs="Cambria"/>
          <w:color w:val="000000"/>
          <w:sz w:val="20"/>
          <w:szCs w:val="20"/>
          <w:u w:color="000000"/>
          <w:bdr w:val="none" w:sz="0" w:space="0" w:color="auto"/>
          <w:lang w:val="es-PE" w:eastAsia="es-ES"/>
        </w:rPr>
        <w:t xml:space="preserve"> </w:t>
      </w:r>
      <w:r w:rsidR="006538EE" w:rsidRPr="00116A43">
        <w:rPr>
          <w:rFonts w:ascii="Cambria" w:eastAsia="Times New Roman" w:hAnsi="Cambria" w:cs="Cambria"/>
          <w:color w:val="000000"/>
          <w:sz w:val="20"/>
          <w:szCs w:val="20"/>
          <w:u w:color="000000"/>
          <w:bdr w:val="none" w:sz="0" w:space="0" w:color="auto"/>
          <w:lang w:val="es-PE" w:eastAsia="es-ES"/>
        </w:rPr>
        <w:t xml:space="preserve">y </w:t>
      </w:r>
      <w:r w:rsidR="002840D7" w:rsidRPr="00116A43">
        <w:rPr>
          <w:rFonts w:ascii="Cambria" w:eastAsia="Times New Roman" w:hAnsi="Cambria" w:cs="Cambria"/>
          <w:color w:val="000000"/>
          <w:sz w:val="20"/>
          <w:szCs w:val="20"/>
          <w:u w:color="000000"/>
          <w:bdr w:val="none" w:sz="0" w:space="0" w:color="auto"/>
          <w:lang w:val="es-PE" w:eastAsia="es-ES"/>
        </w:rPr>
        <w:t>su</w:t>
      </w:r>
      <w:r w:rsidR="006538EE" w:rsidRPr="00116A43">
        <w:rPr>
          <w:rFonts w:ascii="Cambria" w:eastAsia="Times New Roman" w:hAnsi="Cambria" w:cs="Cambria"/>
          <w:color w:val="000000"/>
          <w:sz w:val="20"/>
          <w:szCs w:val="20"/>
          <w:u w:color="000000"/>
          <w:bdr w:val="none" w:sz="0" w:space="0" w:color="auto"/>
          <w:lang w:val="es-PE" w:eastAsia="es-ES"/>
        </w:rPr>
        <w:t xml:space="preserve"> dignidad mientras se encontraba detenida </w:t>
      </w:r>
      <w:r w:rsidR="00E0655B" w:rsidRPr="00116A43">
        <w:rPr>
          <w:rFonts w:ascii="Cambria" w:eastAsia="Times New Roman" w:hAnsi="Cambria" w:cs="Cambria"/>
          <w:color w:val="000000"/>
          <w:sz w:val="20"/>
          <w:szCs w:val="20"/>
          <w:u w:color="000000"/>
          <w:bdr w:val="none" w:sz="0" w:space="0" w:color="auto"/>
          <w:lang w:val="es-PE" w:eastAsia="es-ES"/>
        </w:rPr>
        <w:t>y bajo la custodia de agentes estatales</w:t>
      </w:r>
      <w:r w:rsidR="005B26C5" w:rsidRPr="00116A43">
        <w:rPr>
          <w:rFonts w:ascii="Cambria" w:eastAsia="Times New Roman" w:hAnsi="Cambria" w:cs="Cambria"/>
          <w:color w:val="000000"/>
          <w:sz w:val="20"/>
          <w:szCs w:val="20"/>
          <w:u w:color="000000"/>
          <w:bdr w:val="none" w:sz="0" w:space="0" w:color="auto"/>
          <w:lang w:val="es-PE" w:eastAsia="es-ES"/>
        </w:rPr>
        <w:t xml:space="preserve">. En este sentido, el Estado es responsable por la violación de </w:t>
      </w:r>
      <w:r w:rsidR="001F0295" w:rsidRPr="00116A43">
        <w:rPr>
          <w:rFonts w:ascii="Cambria" w:eastAsia="Times New Roman" w:hAnsi="Cambria" w:cs="Cambria"/>
          <w:color w:val="000000"/>
          <w:sz w:val="20"/>
          <w:szCs w:val="20"/>
          <w:u w:color="000000"/>
          <w:bdr w:val="none" w:sz="0" w:space="0" w:color="auto"/>
          <w:lang w:val="es-PE" w:eastAsia="es-ES"/>
        </w:rPr>
        <w:t>los artículos I</w:t>
      </w:r>
      <w:r w:rsidR="00197554">
        <w:rPr>
          <w:rFonts w:ascii="Cambria" w:eastAsia="Times New Roman" w:hAnsi="Cambria" w:cs="Cambria"/>
          <w:color w:val="000000"/>
          <w:sz w:val="20"/>
          <w:szCs w:val="20"/>
          <w:u w:color="000000"/>
          <w:bdr w:val="none" w:sz="0" w:space="0" w:color="auto"/>
          <w:lang w:val="es-PE" w:eastAsia="es-ES"/>
        </w:rPr>
        <w:t>, II</w:t>
      </w:r>
      <w:r w:rsidR="001F0295" w:rsidRPr="00116A43">
        <w:rPr>
          <w:rFonts w:ascii="Cambria" w:eastAsia="Times New Roman" w:hAnsi="Cambria" w:cs="Cambria"/>
          <w:color w:val="000000"/>
          <w:sz w:val="20"/>
          <w:szCs w:val="20"/>
          <w:u w:color="000000"/>
          <w:bdr w:val="none" w:sz="0" w:space="0" w:color="auto"/>
          <w:lang w:val="es-PE" w:eastAsia="es-ES"/>
        </w:rPr>
        <w:t xml:space="preserve"> y XXV de la Declaración Americana</w:t>
      </w:r>
      <w:r w:rsidR="005B26C5" w:rsidRPr="00116A43">
        <w:rPr>
          <w:rFonts w:ascii="Cambria" w:eastAsia="Times New Roman" w:hAnsi="Cambria" w:cs="Cambria"/>
          <w:color w:val="000000"/>
          <w:sz w:val="20"/>
          <w:szCs w:val="20"/>
          <w:u w:color="000000"/>
          <w:bdr w:val="none" w:sz="0" w:space="0" w:color="auto"/>
          <w:lang w:val="es-PE" w:eastAsia="es-ES"/>
        </w:rPr>
        <w:t>, en perjuicio de Yoani Sánchez Cordero.</w:t>
      </w:r>
    </w:p>
    <w:p w14:paraId="785B6DFE"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6AB9273F" w14:textId="05BBE7CB" w:rsidR="00C412F3" w:rsidRPr="00116A43" w:rsidRDefault="00C412F3" w:rsidP="004F709F">
      <w:pPr>
        <w:pStyle w:val="Heading2"/>
      </w:pPr>
      <w:bookmarkStart w:id="31" w:name="_Toc89157575"/>
      <w:r w:rsidRPr="00116A43">
        <w:t xml:space="preserve">Derecho de </w:t>
      </w:r>
      <w:r w:rsidR="00FE680C" w:rsidRPr="00116A43">
        <w:t>r</w:t>
      </w:r>
      <w:r w:rsidRPr="00116A43">
        <w:t xml:space="preserve">esidencia y </w:t>
      </w:r>
      <w:r w:rsidR="00FE680C" w:rsidRPr="00116A43">
        <w:t>t</w:t>
      </w:r>
      <w:r w:rsidRPr="00116A43">
        <w:t>ránsito (art</w:t>
      </w:r>
      <w:r w:rsidR="00FE680C" w:rsidRPr="00116A43">
        <w:t>ículo</w:t>
      </w:r>
      <w:r w:rsidRPr="00116A43">
        <w:t xml:space="preserve"> VIII)</w:t>
      </w:r>
      <w:r w:rsidR="007A6424" w:rsidRPr="00116A43">
        <w:rPr>
          <w:rStyle w:val="FootnoteReference"/>
        </w:rPr>
        <w:footnoteReference w:id="186"/>
      </w:r>
      <w:bookmarkEnd w:id="31"/>
    </w:p>
    <w:p w14:paraId="506F1A27" w14:textId="77777777" w:rsidR="00C412F3" w:rsidRPr="00116A43" w:rsidRDefault="00C412F3" w:rsidP="009E70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12EBED86" w14:textId="48EFAAC2" w:rsidR="008D6A72" w:rsidRPr="00116A43" w:rsidRDefault="008D6A72"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 xml:space="preserve">La CIDH ha señalado que el derecho de toda persona de vivir en su país de nacionalidad, abandonarlo y retornar cuando desea es un derecho básico reconocido </w:t>
      </w:r>
      <w:r w:rsidR="00CA65D6" w:rsidRPr="00116A43">
        <w:rPr>
          <w:rFonts w:ascii="Cambria" w:hAnsi="Cambria" w:cs="Cambria"/>
          <w:color w:val="000000"/>
          <w:sz w:val="20"/>
          <w:szCs w:val="20"/>
          <w:u w:color="000000"/>
          <w:bdr w:val="none" w:sz="0" w:space="0" w:color="auto"/>
          <w:lang w:val="es-PE" w:eastAsia="es-ES"/>
        </w:rPr>
        <w:t xml:space="preserve">no solo </w:t>
      </w:r>
      <w:r w:rsidRPr="00116A43">
        <w:rPr>
          <w:rFonts w:ascii="Cambria" w:hAnsi="Cambria" w:cs="Cambria"/>
          <w:color w:val="000000"/>
          <w:sz w:val="20"/>
          <w:szCs w:val="20"/>
          <w:u w:color="000000"/>
          <w:bdr w:val="none" w:sz="0" w:space="0" w:color="auto"/>
          <w:lang w:val="es-PE" w:eastAsia="es-ES"/>
        </w:rPr>
        <w:t>en el sistema interamericano, sino también por otros instrumentos internacionales de protección de derechos humanos, como la Declaración Universal de los Derechos Humanos (artículo 13) y el Pacto Internacional de los Derechos Civiles y Políticos (artículo 12)</w:t>
      </w:r>
      <w:r w:rsidRPr="00116A43">
        <w:rPr>
          <w:rFonts w:ascii="Cambria" w:hAnsi="Cambria" w:cs="Cambria"/>
          <w:color w:val="000000"/>
          <w:sz w:val="20"/>
          <w:szCs w:val="20"/>
          <w:u w:color="000000"/>
          <w:bdr w:val="none" w:sz="0" w:space="0" w:color="auto"/>
          <w:vertAlign w:val="superscript"/>
          <w:lang w:val="es-PE" w:eastAsia="es-ES"/>
        </w:rPr>
        <w:footnoteReference w:id="187"/>
      </w:r>
      <w:r w:rsidRPr="00116A43">
        <w:rPr>
          <w:rFonts w:ascii="Cambria" w:hAnsi="Cambria" w:cs="Cambria"/>
          <w:color w:val="000000"/>
          <w:sz w:val="20"/>
          <w:szCs w:val="20"/>
          <w:u w:color="000000"/>
          <w:bdr w:val="none" w:sz="0" w:space="0" w:color="auto"/>
          <w:lang w:val="es-PE" w:eastAsia="es-ES"/>
        </w:rPr>
        <w:t xml:space="preserve">. </w:t>
      </w:r>
    </w:p>
    <w:p w14:paraId="037DF9FC" w14:textId="77777777" w:rsidR="008D6A72" w:rsidRPr="00116A43" w:rsidRDefault="008D6A72"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0F3D26A0" w14:textId="40C93EE0" w:rsidR="00DC6B2F" w:rsidRPr="00116A43" w:rsidRDefault="001D06A6"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La CIDH ha sostenido que el artículo VIII de la Declaración Americana consagra “el derecho de toda persona de vivir en su propia patria, de salir de ella y de regresar cuando lo estime conveniente"</w:t>
      </w:r>
      <w:r w:rsidR="004C161F" w:rsidRPr="00116A43">
        <w:rPr>
          <w:rFonts w:ascii="Cambria" w:hAnsi="Cambria" w:cs="Cambria"/>
          <w:color w:val="000000"/>
          <w:sz w:val="20"/>
          <w:szCs w:val="20"/>
          <w:u w:color="000000"/>
          <w:bdr w:val="none" w:sz="0" w:space="0" w:color="auto"/>
          <w:lang w:val="es-PE" w:eastAsia="es-ES"/>
        </w:rPr>
        <w:t>.</w:t>
      </w:r>
      <w:r w:rsidR="004D50A9" w:rsidRPr="00116A43">
        <w:rPr>
          <w:rFonts w:ascii="Cambria" w:hAnsi="Cambria" w:cs="Cambria"/>
          <w:color w:val="000000"/>
          <w:sz w:val="20"/>
          <w:szCs w:val="20"/>
          <w:u w:color="000000"/>
          <w:bdr w:val="none" w:sz="0" w:space="0" w:color="auto"/>
          <w:lang w:val="es-PE" w:eastAsia="es-ES"/>
        </w:rPr>
        <w:t xml:space="preserve"> </w:t>
      </w:r>
      <w:r w:rsidR="00AC0748" w:rsidRPr="00116A43">
        <w:rPr>
          <w:rFonts w:ascii="Cambria" w:hAnsi="Cambria" w:cs="Cambria"/>
          <w:color w:val="000000"/>
          <w:sz w:val="20"/>
          <w:szCs w:val="20"/>
          <w:u w:color="000000"/>
          <w:bdr w:val="none" w:sz="0" w:space="0" w:color="auto"/>
          <w:lang w:val="es-PE" w:eastAsia="es-ES"/>
        </w:rPr>
        <w:t>E</w:t>
      </w:r>
      <w:r w:rsidR="004D50A9" w:rsidRPr="00116A43">
        <w:rPr>
          <w:rFonts w:ascii="Cambria" w:hAnsi="Cambria"/>
          <w:sz w:val="20"/>
          <w:szCs w:val="20"/>
        </w:rPr>
        <w:t xml:space="preserve">l derecho de circulación se trata del derecho de toda persona a </w:t>
      </w:r>
      <w:r w:rsidR="004D15C1" w:rsidRPr="00116A43">
        <w:rPr>
          <w:rFonts w:ascii="Cambria" w:hAnsi="Cambria"/>
          <w:sz w:val="20"/>
          <w:szCs w:val="20"/>
        </w:rPr>
        <w:t xml:space="preserve">circular </w:t>
      </w:r>
      <w:r w:rsidR="004D50A9" w:rsidRPr="00116A43">
        <w:rPr>
          <w:rFonts w:ascii="Cambria" w:hAnsi="Cambria"/>
          <w:sz w:val="20"/>
          <w:szCs w:val="20"/>
        </w:rPr>
        <w:t>libremente de un lugar a otro y a establecerse libremente en el lugar de su elección</w:t>
      </w:r>
      <w:r w:rsidR="00DC5D69" w:rsidRPr="00116A43">
        <w:rPr>
          <w:rFonts w:ascii="Cambria" w:hAnsi="Cambria"/>
          <w:sz w:val="20"/>
          <w:szCs w:val="20"/>
        </w:rPr>
        <w:t>.</w:t>
      </w:r>
      <w:r w:rsidR="004D50A9" w:rsidRPr="00116A43">
        <w:rPr>
          <w:rFonts w:ascii="Cambria" w:hAnsi="Cambria"/>
          <w:sz w:val="20"/>
          <w:szCs w:val="20"/>
        </w:rPr>
        <w:t xml:space="preserve"> El disfrute de este derecho no debe depender de ningún objetivo o motivo en particular de la persona que desea circular o permanecer en un lugar</w:t>
      </w:r>
      <w:r w:rsidR="00722BC1" w:rsidRPr="00116A43">
        <w:rPr>
          <w:rStyle w:val="FootnoteReference"/>
          <w:rFonts w:ascii="Cambria" w:hAnsi="Cambria"/>
          <w:sz w:val="20"/>
          <w:szCs w:val="20"/>
        </w:rPr>
        <w:footnoteReference w:id="188"/>
      </w:r>
      <w:r w:rsidR="004D50A9" w:rsidRPr="00116A43">
        <w:rPr>
          <w:rFonts w:ascii="Cambria" w:hAnsi="Cambria"/>
          <w:sz w:val="20"/>
          <w:szCs w:val="20"/>
        </w:rPr>
        <w:t>.</w:t>
      </w:r>
      <w:r w:rsidR="00DC5D69" w:rsidRPr="00116A43">
        <w:rPr>
          <w:rFonts w:ascii="Cambria" w:hAnsi="Cambria"/>
          <w:sz w:val="20"/>
          <w:szCs w:val="20"/>
        </w:rPr>
        <w:t xml:space="preserve"> </w:t>
      </w:r>
      <w:r w:rsidR="00DC5D69" w:rsidRPr="00116A43">
        <w:rPr>
          <w:rFonts w:ascii="Cambria" w:hAnsi="Cambria" w:cs="Cambria"/>
          <w:color w:val="000000"/>
          <w:sz w:val="20"/>
          <w:szCs w:val="20"/>
          <w:u w:color="000000"/>
          <w:bdr w:val="none" w:sz="0" w:space="0" w:color="auto"/>
          <w:lang w:val="es-PE" w:eastAsia="es-ES"/>
        </w:rPr>
        <w:t>También</w:t>
      </w:r>
      <w:r w:rsidR="001F35DB" w:rsidRPr="00116A43">
        <w:rPr>
          <w:rFonts w:ascii="Cambria" w:hAnsi="Cambria" w:cs="Cambria"/>
          <w:color w:val="000000"/>
          <w:sz w:val="20"/>
          <w:szCs w:val="20"/>
          <w:u w:color="000000"/>
          <w:bdr w:val="none" w:sz="0" w:space="0" w:color="auto"/>
          <w:lang w:val="es-PE" w:eastAsia="es-ES"/>
        </w:rPr>
        <w:t xml:space="preserve"> </w:t>
      </w:r>
      <w:r w:rsidR="00E33715" w:rsidRPr="00116A43">
        <w:rPr>
          <w:rFonts w:ascii="Cambria" w:hAnsi="Cambria" w:cs="Cambria"/>
          <w:color w:val="000000"/>
          <w:sz w:val="20"/>
          <w:szCs w:val="20"/>
          <w:u w:color="000000"/>
          <w:bdr w:val="none" w:sz="0" w:space="0" w:color="auto"/>
          <w:lang w:val="es-PE" w:eastAsia="es-ES"/>
        </w:rPr>
        <w:t>incluye</w:t>
      </w:r>
      <w:r w:rsidR="000357D6" w:rsidRPr="00116A43">
        <w:rPr>
          <w:rFonts w:ascii="Cambria" w:hAnsi="Cambria" w:cs="Cambria"/>
          <w:color w:val="000000"/>
          <w:sz w:val="20"/>
          <w:szCs w:val="20"/>
          <w:u w:color="000000"/>
          <w:bdr w:val="none" w:sz="0" w:space="0" w:color="auto"/>
          <w:lang w:val="es-PE" w:eastAsia="es-ES"/>
        </w:rPr>
        <w:t xml:space="preserve"> </w:t>
      </w:r>
      <w:r w:rsidR="00DC5D69" w:rsidRPr="00116A43">
        <w:rPr>
          <w:rFonts w:ascii="Cambria" w:hAnsi="Cambria"/>
          <w:sz w:val="20"/>
          <w:szCs w:val="20"/>
        </w:rPr>
        <w:t xml:space="preserve">el derecho a salir libremente de cualquier país, inclusive del propio </w:t>
      </w:r>
      <w:r w:rsidR="00722BC1" w:rsidRPr="00116A43">
        <w:rPr>
          <w:rFonts w:ascii="Cambria" w:hAnsi="Cambria"/>
          <w:sz w:val="20"/>
          <w:szCs w:val="20"/>
        </w:rPr>
        <w:t>y s</w:t>
      </w:r>
      <w:r w:rsidR="003161DE" w:rsidRPr="00116A43">
        <w:rPr>
          <w:rFonts w:ascii="Cambria" w:hAnsi="Cambria"/>
          <w:sz w:val="20"/>
          <w:szCs w:val="20"/>
        </w:rPr>
        <w:t>e trata de una condición indispensable para el libre desarrollo de la persona.</w:t>
      </w:r>
    </w:p>
    <w:p w14:paraId="24876E4D" w14:textId="77777777" w:rsidR="004E532E" w:rsidRPr="00116A43" w:rsidRDefault="004E532E"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7A9F53F7" w14:textId="0C9C28A7" w:rsidR="004E532E" w:rsidRPr="00116A43" w:rsidRDefault="004E532E"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El Comité de Derechos Humanos de las Naciones Unidas ha apuntado que “la libertad de salir del territorio de un Estado no puede hacerse depender de ningún fin concreto o del plazo que el individuo decida permanecer fuera del país. En consecuencia, dicha libertad incluye el viaje temporal al extranjero y la partida en caso de emigración permanente. Igualmente, el derecho de la persona a determinar el Estado de destino es parte de la garantía jurídica”</w:t>
      </w:r>
      <w:r w:rsidRPr="00116A43">
        <w:rPr>
          <w:rFonts w:ascii="Cambria" w:hAnsi="Cambria" w:cs="Cambria"/>
          <w:color w:val="000000"/>
          <w:sz w:val="20"/>
          <w:szCs w:val="20"/>
          <w:u w:color="000000"/>
          <w:bdr w:val="none" w:sz="0" w:space="0" w:color="auto"/>
          <w:vertAlign w:val="superscript"/>
          <w:lang w:val="es-PE" w:eastAsia="es-ES"/>
        </w:rPr>
        <w:footnoteReference w:id="189"/>
      </w:r>
      <w:r w:rsidRPr="00116A43">
        <w:rPr>
          <w:rFonts w:ascii="Cambria" w:hAnsi="Cambria" w:cs="Cambria"/>
          <w:color w:val="000000"/>
          <w:sz w:val="20"/>
          <w:szCs w:val="20"/>
          <w:u w:color="000000"/>
          <w:bdr w:val="none" w:sz="0" w:space="0" w:color="auto"/>
          <w:lang w:val="es-PE" w:eastAsia="es-ES"/>
        </w:rPr>
        <w:t xml:space="preserve"> . Para el Comité, las restricciones a este derecho deben ser justificadas por el Estado y solamente son legítimas cuando previstas por la ley; necesarias en una sociedad democrática para proteger la seguridad nacional, el orden público, la salud o la moral públicas o los derechos y libertades de terceros; y compatibles con todos los demás derechos reconocidos a la persona</w:t>
      </w:r>
      <w:r w:rsidRPr="00116A43">
        <w:rPr>
          <w:rFonts w:ascii="Cambria" w:hAnsi="Cambria" w:cs="Cambria"/>
          <w:color w:val="000000"/>
          <w:sz w:val="20"/>
          <w:szCs w:val="20"/>
          <w:u w:color="000000"/>
          <w:bdr w:val="none" w:sz="0" w:space="0" w:color="auto"/>
          <w:vertAlign w:val="superscript"/>
          <w:lang w:val="es-PE" w:eastAsia="es-ES"/>
        </w:rPr>
        <w:footnoteReference w:id="190"/>
      </w:r>
      <w:r w:rsidRPr="00116A43">
        <w:rPr>
          <w:rFonts w:ascii="Cambria" w:hAnsi="Cambria" w:cs="Cambria"/>
          <w:color w:val="000000"/>
          <w:sz w:val="20"/>
          <w:szCs w:val="20"/>
          <w:u w:color="000000"/>
          <w:bdr w:val="none" w:sz="0" w:space="0" w:color="auto"/>
          <w:lang w:val="es-PE" w:eastAsia="es-ES"/>
        </w:rPr>
        <w:t xml:space="preserve"> .</w:t>
      </w:r>
    </w:p>
    <w:p w14:paraId="1C2418FC" w14:textId="77777777" w:rsidR="0080071E" w:rsidRPr="00116A43" w:rsidRDefault="0080071E" w:rsidP="00375047">
      <w:pPr>
        <w:pStyle w:val="ListParagraph"/>
        <w:ind w:left="0"/>
        <w:rPr>
          <w:sz w:val="20"/>
          <w:szCs w:val="20"/>
          <w:bdr w:val="none" w:sz="0" w:space="0" w:color="auto"/>
          <w:lang w:val="es-PE"/>
        </w:rPr>
      </w:pPr>
    </w:p>
    <w:p w14:paraId="3AFC5DB7" w14:textId="48639048" w:rsidR="004E532E" w:rsidRPr="00116A43" w:rsidRDefault="004E532E"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 xml:space="preserve">Igualmente, la jurisprudencia del </w:t>
      </w:r>
      <w:r w:rsidR="0079334A" w:rsidRPr="00116A43">
        <w:rPr>
          <w:rFonts w:ascii="Cambria" w:hAnsi="Cambria" w:cs="Cambria"/>
          <w:color w:val="000000"/>
          <w:sz w:val="20"/>
          <w:szCs w:val="20"/>
          <w:u w:color="000000"/>
          <w:bdr w:val="none" w:sz="0" w:space="0" w:color="auto"/>
          <w:lang w:val="es-PE" w:eastAsia="es-ES"/>
        </w:rPr>
        <w:t>s</w:t>
      </w:r>
      <w:r w:rsidRPr="00116A43">
        <w:rPr>
          <w:rFonts w:ascii="Cambria" w:hAnsi="Cambria" w:cs="Cambria"/>
          <w:color w:val="000000"/>
          <w:sz w:val="20"/>
          <w:szCs w:val="20"/>
          <w:u w:color="000000"/>
          <w:bdr w:val="none" w:sz="0" w:space="0" w:color="auto"/>
          <w:lang w:val="es-PE" w:eastAsia="es-ES"/>
        </w:rPr>
        <w:t xml:space="preserve">istema </w:t>
      </w:r>
      <w:r w:rsidR="0079334A" w:rsidRPr="00116A43">
        <w:rPr>
          <w:rFonts w:ascii="Cambria" w:hAnsi="Cambria" w:cs="Cambria"/>
          <w:color w:val="000000"/>
          <w:sz w:val="20"/>
          <w:szCs w:val="20"/>
          <w:u w:color="000000"/>
          <w:bdr w:val="none" w:sz="0" w:space="0" w:color="auto"/>
          <w:lang w:val="es-PE" w:eastAsia="es-ES"/>
        </w:rPr>
        <w:t>i</w:t>
      </w:r>
      <w:r w:rsidRPr="00116A43">
        <w:rPr>
          <w:rFonts w:ascii="Cambria" w:hAnsi="Cambria" w:cs="Cambria"/>
          <w:color w:val="000000"/>
          <w:sz w:val="20"/>
          <w:szCs w:val="20"/>
          <w:u w:color="000000"/>
          <w:bdr w:val="none" w:sz="0" w:space="0" w:color="auto"/>
          <w:lang w:val="es-PE" w:eastAsia="es-ES"/>
        </w:rPr>
        <w:t xml:space="preserve">nteramericano ha sostenido que el derecho de un ciudadano salir de su país solamente puede ser restringido con base en los </w:t>
      </w:r>
      <w:r w:rsidRPr="00116A43">
        <w:rPr>
          <w:rFonts w:ascii="Cambria" w:hAnsi="Cambria"/>
          <w:sz w:val="20"/>
          <w:szCs w:val="20"/>
          <w:bdr w:val="none" w:sz="0" w:space="0" w:color="auto"/>
        </w:rPr>
        <w:t>requisitos de legalidad, necesidad y proporcionalidad de las restricciones en la medida indispensable en una sociedad democrática</w:t>
      </w:r>
      <w:r w:rsidRPr="00116A43">
        <w:rPr>
          <w:rFonts w:ascii="Cambria" w:hAnsi="Cambria"/>
          <w:sz w:val="20"/>
          <w:szCs w:val="20"/>
          <w:bdr w:val="none" w:sz="0" w:space="0" w:color="auto"/>
          <w:vertAlign w:val="superscript"/>
        </w:rPr>
        <w:footnoteReference w:id="191"/>
      </w:r>
      <w:r w:rsidRPr="00116A43">
        <w:rPr>
          <w:rFonts w:ascii="Cambria" w:hAnsi="Cambria"/>
          <w:sz w:val="20"/>
          <w:szCs w:val="20"/>
          <w:bdr w:val="none" w:sz="0" w:space="0" w:color="auto"/>
        </w:rPr>
        <w:t>. Respecto del primer requisito, “es necesario que el Estado defina de manera precisa y clara mediante una ley los supuestos excepcionales en los que puede proceder una medida como la restricción de salir del país”</w:t>
      </w:r>
      <w:r w:rsidRPr="00116A43">
        <w:rPr>
          <w:rFonts w:ascii="Cambria" w:hAnsi="Cambria"/>
          <w:sz w:val="20"/>
          <w:szCs w:val="20"/>
          <w:bdr w:val="none" w:sz="0" w:space="0" w:color="auto"/>
          <w:vertAlign w:val="superscript"/>
        </w:rPr>
        <w:footnoteReference w:id="192"/>
      </w:r>
      <w:r w:rsidRPr="00116A43">
        <w:rPr>
          <w:rFonts w:ascii="Cambria" w:hAnsi="Cambria"/>
          <w:sz w:val="20"/>
          <w:szCs w:val="20"/>
          <w:bdr w:val="none" w:sz="0" w:space="0" w:color="auto"/>
        </w:rPr>
        <w:t>.</w:t>
      </w:r>
      <w:r w:rsidR="00E620CD" w:rsidRPr="00116A43">
        <w:rPr>
          <w:rFonts w:ascii="Cambria" w:hAnsi="Cambria"/>
          <w:sz w:val="20"/>
          <w:szCs w:val="20"/>
          <w:bdr w:val="none" w:sz="0" w:space="0" w:color="auto"/>
        </w:rPr>
        <w:t xml:space="preserve"> E</w:t>
      </w:r>
      <w:r w:rsidRPr="00116A43">
        <w:rPr>
          <w:rFonts w:ascii="Cambria" w:hAnsi="Cambria"/>
          <w:sz w:val="20"/>
          <w:szCs w:val="20"/>
          <w:bdr w:val="none" w:sz="0" w:space="0" w:color="auto"/>
        </w:rPr>
        <w:t>l segundo “trata del aporte de indicios suficientes por el Estado que permitan suponer la razonabilidad de la restricción que afecte la libertad personal y el derecho de circulación”</w:t>
      </w:r>
      <w:r w:rsidRPr="00116A43">
        <w:rPr>
          <w:rFonts w:ascii="Cambria" w:hAnsi="Cambria"/>
          <w:sz w:val="20"/>
          <w:szCs w:val="20"/>
          <w:bdr w:val="none" w:sz="0" w:space="0" w:color="auto"/>
          <w:vertAlign w:val="superscript"/>
        </w:rPr>
        <w:footnoteReference w:id="193"/>
      </w:r>
      <w:r w:rsidRPr="00116A43">
        <w:rPr>
          <w:rFonts w:ascii="Cambria" w:hAnsi="Cambria"/>
          <w:sz w:val="20"/>
          <w:szCs w:val="20"/>
          <w:bdr w:val="none" w:sz="0" w:space="0" w:color="auto"/>
        </w:rPr>
        <w:t xml:space="preserve">. Finalmente, es proporcional una restricción que se </w:t>
      </w:r>
      <w:r w:rsidRPr="00116A43">
        <w:rPr>
          <w:rFonts w:ascii="Cambria" w:hAnsi="Cambria"/>
          <w:sz w:val="20"/>
          <w:szCs w:val="20"/>
          <w:bdr w:val="none" w:sz="0" w:space="0" w:color="auto"/>
        </w:rPr>
        <w:lastRenderedPageBreak/>
        <w:t>aplica “si no existe otro medio menos restrictivo y durante el tiempo estrictamente necesario para cumplir con su función”</w:t>
      </w:r>
      <w:r w:rsidRPr="00116A43">
        <w:rPr>
          <w:rFonts w:ascii="Cambria" w:hAnsi="Cambria"/>
          <w:sz w:val="20"/>
          <w:szCs w:val="20"/>
          <w:bdr w:val="none" w:sz="0" w:space="0" w:color="auto"/>
          <w:vertAlign w:val="superscript"/>
        </w:rPr>
        <w:footnoteReference w:id="194"/>
      </w:r>
      <w:r w:rsidRPr="00116A43">
        <w:rPr>
          <w:rFonts w:ascii="Cambria" w:hAnsi="Cambria"/>
          <w:sz w:val="20"/>
          <w:szCs w:val="20"/>
          <w:bdr w:val="none" w:sz="0" w:space="0" w:color="auto"/>
        </w:rPr>
        <w:t xml:space="preserve">. </w:t>
      </w:r>
    </w:p>
    <w:p w14:paraId="7EA40CD8" w14:textId="77777777" w:rsidR="004E532E" w:rsidRPr="00116A43" w:rsidRDefault="004E532E"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38EEF1EB" w14:textId="6AC41F9E" w:rsidR="00DF1848" w:rsidRPr="00116A43" w:rsidRDefault="004E532E"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En este sentido, la CIDH ha apuntado que</w:t>
      </w:r>
      <w:r w:rsidR="00C7388F" w:rsidRPr="00116A43">
        <w:rPr>
          <w:rFonts w:ascii="Cambria" w:hAnsi="Cambria" w:cs="Cambria"/>
          <w:color w:val="000000"/>
          <w:sz w:val="20"/>
          <w:szCs w:val="20"/>
          <w:u w:color="000000"/>
          <w:bdr w:val="none" w:sz="0" w:space="0" w:color="auto"/>
          <w:lang w:val="es-PE" w:eastAsia="es-ES"/>
        </w:rPr>
        <w:t>, por ejemplo,</w:t>
      </w:r>
      <w:r w:rsidRPr="00116A43">
        <w:rPr>
          <w:rFonts w:ascii="Cambria" w:hAnsi="Cambria" w:cs="Cambria"/>
          <w:color w:val="000000"/>
          <w:sz w:val="20"/>
          <w:szCs w:val="20"/>
          <w:u w:color="000000"/>
          <w:bdr w:val="none" w:sz="0" w:space="0" w:color="auto"/>
          <w:lang w:val="es-PE" w:eastAsia="es-ES"/>
        </w:rPr>
        <w:t xml:space="preserve"> si un gobierno se re</w:t>
      </w:r>
      <w:r w:rsidR="00C7388F" w:rsidRPr="00116A43">
        <w:rPr>
          <w:rFonts w:ascii="Cambria" w:hAnsi="Cambria" w:cs="Cambria"/>
          <w:color w:val="000000"/>
          <w:sz w:val="20"/>
          <w:szCs w:val="20"/>
          <w:u w:color="000000"/>
          <w:bdr w:val="none" w:sz="0" w:space="0" w:color="auto"/>
          <w:lang w:val="es-PE" w:eastAsia="es-ES"/>
        </w:rPr>
        <w:t>ú</w:t>
      </w:r>
      <w:r w:rsidRPr="00116A43">
        <w:rPr>
          <w:rFonts w:ascii="Cambria" w:hAnsi="Cambria" w:cs="Cambria"/>
          <w:color w:val="000000"/>
          <w:sz w:val="20"/>
          <w:szCs w:val="20"/>
          <w:u w:color="000000"/>
          <w:bdr w:val="none" w:sz="0" w:space="0" w:color="auto"/>
          <w:lang w:val="es-PE" w:eastAsia="es-ES"/>
        </w:rPr>
        <w:t xml:space="preserve">sa a ofrecer los documentos necesarios a viajes internacionales a sus ciudadanos, especialmente </w:t>
      </w:r>
      <w:r w:rsidR="00C7388F" w:rsidRPr="00116A43">
        <w:rPr>
          <w:rFonts w:ascii="Cambria" w:hAnsi="Cambria" w:cs="Cambria"/>
          <w:color w:val="000000"/>
          <w:sz w:val="20"/>
          <w:szCs w:val="20"/>
          <w:u w:color="000000"/>
          <w:bdr w:val="none" w:sz="0" w:space="0" w:color="auto"/>
          <w:lang w:val="es-PE" w:eastAsia="es-ES"/>
        </w:rPr>
        <w:t>el</w:t>
      </w:r>
      <w:r w:rsidRPr="00116A43">
        <w:rPr>
          <w:rFonts w:ascii="Cambria" w:hAnsi="Cambria" w:cs="Cambria"/>
          <w:color w:val="000000"/>
          <w:sz w:val="20"/>
          <w:szCs w:val="20"/>
          <w:u w:color="000000"/>
          <w:bdr w:val="none" w:sz="0" w:space="0" w:color="auto"/>
          <w:lang w:val="es-PE" w:eastAsia="es-ES"/>
        </w:rPr>
        <w:t xml:space="preserve"> pasaport</w:t>
      </w:r>
      <w:r w:rsidR="00C7388F" w:rsidRPr="00116A43">
        <w:rPr>
          <w:rFonts w:ascii="Cambria" w:hAnsi="Cambria" w:cs="Cambria"/>
          <w:color w:val="000000"/>
          <w:sz w:val="20"/>
          <w:szCs w:val="20"/>
          <w:u w:color="000000"/>
          <w:bdr w:val="none" w:sz="0" w:space="0" w:color="auto"/>
          <w:lang w:val="es-PE" w:eastAsia="es-ES"/>
        </w:rPr>
        <w:t>e</w:t>
      </w:r>
      <w:r w:rsidRPr="00116A43">
        <w:rPr>
          <w:rFonts w:ascii="Cambria" w:hAnsi="Cambria" w:cs="Cambria"/>
          <w:color w:val="000000"/>
          <w:sz w:val="20"/>
          <w:szCs w:val="20"/>
          <w:u w:color="000000"/>
          <w:bdr w:val="none" w:sz="0" w:space="0" w:color="auto"/>
          <w:lang w:val="es-PE" w:eastAsia="es-ES"/>
        </w:rPr>
        <w:t>, viola</w:t>
      </w:r>
      <w:r w:rsidR="003A26A5" w:rsidRPr="00116A43">
        <w:rPr>
          <w:rFonts w:ascii="Cambria" w:hAnsi="Cambria" w:cs="Cambria"/>
          <w:color w:val="000000"/>
          <w:sz w:val="20"/>
          <w:szCs w:val="20"/>
          <w:u w:color="000000"/>
          <w:bdr w:val="none" w:sz="0" w:space="0" w:color="auto"/>
          <w:lang w:val="es-PE" w:eastAsia="es-ES"/>
        </w:rPr>
        <w:t xml:space="preserve"> </w:t>
      </w:r>
      <w:r w:rsidRPr="00116A43">
        <w:rPr>
          <w:rFonts w:ascii="Cambria" w:hAnsi="Cambria" w:cs="Cambria"/>
          <w:color w:val="000000"/>
          <w:sz w:val="20"/>
          <w:szCs w:val="20"/>
          <w:u w:color="000000"/>
          <w:bdr w:val="none" w:sz="0" w:space="0" w:color="auto"/>
          <w:lang w:val="es-PE" w:eastAsia="es-ES"/>
        </w:rPr>
        <w:t>el art</w:t>
      </w:r>
      <w:r w:rsidR="005C0BAC" w:rsidRPr="00116A43">
        <w:rPr>
          <w:rFonts w:ascii="Cambria" w:hAnsi="Cambria" w:cs="Cambria"/>
          <w:color w:val="000000"/>
          <w:sz w:val="20"/>
          <w:szCs w:val="20"/>
          <w:u w:color="000000"/>
          <w:bdr w:val="none" w:sz="0" w:space="0" w:color="auto"/>
          <w:lang w:val="es-PE" w:eastAsia="es-ES"/>
        </w:rPr>
        <w:t>ículo</w:t>
      </w:r>
      <w:r w:rsidRPr="00116A43">
        <w:rPr>
          <w:rFonts w:ascii="Cambria" w:hAnsi="Cambria" w:cs="Cambria"/>
          <w:color w:val="000000"/>
          <w:sz w:val="20"/>
          <w:szCs w:val="20"/>
          <w:u w:color="000000"/>
          <w:bdr w:val="none" w:sz="0" w:space="0" w:color="auto"/>
          <w:lang w:val="es-PE" w:eastAsia="es-ES"/>
        </w:rPr>
        <w:t xml:space="preserve"> VIII de la Declaración Americana, </w:t>
      </w:r>
      <w:r w:rsidR="005C0BAC" w:rsidRPr="00116A43">
        <w:rPr>
          <w:rFonts w:ascii="Cambria" w:hAnsi="Cambria" w:cs="Cambria"/>
          <w:color w:val="000000"/>
          <w:sz w:val="20"/>
          <w:szCs w:val="20"/>
          <w:u w:color="000000"/>
          <w:bdr w:val="none" w:sz="0" w:space="0" w:color="auto"/>
          <w:lang w:val="es-PE" w:eastAsia="es-ES"/>
        </w:rPr>
        <w:t>a menos que exista una</w:t>
      </w:r>
      <w:r w:rsidRPr="00116A43">
        <w:rPr>
          <w:rFonts w:ascii="Cambria" w:hAnsi="Cambria" w:cs="Cambria"/>
          <w:color w:val="000000"/>
          <w:sz w:val="20"/>
          <w:szCs w:val="20"/>
          <w:u w:color="000000"/>
          <w:bdr w:val="none" w:sz="0" w:space="0" w:color="auto"/>
          <w:lang w:val="es-PE" w:eastAsia="es-ES"/>
        </w:rPr>
        <w:t xml:space="preserve"> circunstancia justificada y legal</w:t>
      </w:r>
      <w:r w:rsidRPr="00116A43">
        <w:rPr>
          <w:rFonts w:ascii="Cambria" w:hAnsi="Cambria" w:cs="Cambria"/>
          <w:color w:val="000000"/>
          <w:sz w:val="20"/>
          <w:szCs w:val="20"/>
          <w:u w:color="000000"/>
          <w:bdr w:val="none" w:sz="0" w:space="0" w:color="auto"/>
          <w:vertAlign w:val="superscript"/>
          <w:lang w:val="es-PE" w:eastAsia="es-ES"/>
        </w:rPr>
        <w:footnoteReference w:id="195"/>
      </w:r>
      <w:r w:rsidRPr="00116A43">
        <w:rPr>
          <w:rFonts w:ascii="Cambria" w:hAnsi="Cambria" w:cs="Cambria"/>
          <w:color w:val="000000"/>
          <w:sz w:val="20"/>
          <w:szCs w:val="20"/>
          <w:u w:color="000000"/>
          <w:bdr w:val="none" w:sz="0" w:space="0" w:color="auto"/>
          <w:lang w:val="es-PE" w:eastAsia="es-ES"/>
        </w:rPr>
        <w:t xml:space="preserve"> . </w:t>
      </w:r>
      <w:r w:rsidR="00DF1848" w:rsidRPr="00116A43">
        <w:rPr>
          <w:rFonts w:ascii="Cambria" w:hAnsi="Cambria" w:cs="Cambria"/>
          <w:color w:val="000000"/>
          <w:sz w:val="20"/>
          <w:szCs w:val="20"/>
          <w:u w:color="000000"/>
          <w:bdr w:val="none" w:sz="0" w:space="0" w:color="auto"/>
          <w:lang w:val="es-PE" w:eastAsia="es-ES"/>
        </w:rPr>
        <w:t>Asimismo, la CIDH ya ha co</w:t>
      </w:r>
      <w:r w:rsidR="007B02BE" w:rsidRPr="00116A43">
        <w:rPr>
          <w:rFonts w:ascii="Cambria" w:hAnsi="Cambria" w:cs="Cambria"/>
          <w:color w:val="000000"/>
          <w:sz w:val="20"/>
          <w:szCs w:val="20"/>
          <w:u w:color="000000"/>
          <w:bdr w:val="none" w:sz="0" w:space="0" w:color="auto"/>
          <w:lang w:val="es-PE" w:eastAsia="es-ES"/>
        </w:rPr>
        <w:t xml:space="preserve">ncluido </w:t>
      </w:r>
      <w:r w:rsidR="0021486A" w:rsidRPr="00116A43">
        <w:rPr>
          <w:rFonts w:ascii="Cambria" w:hAnsi="Cambria" w:cs="Cambria"/>
          <w:color w:val="000000"/>
          <w:sz w:val="20"/>
          <w:szCs w:val="20"/>
          <w:u w:color="000000"/>
          <w:bdr w:val="none" w:sz="0" w:space="0" w:color="auto"/>
          <w:lang w:val="es-PE" w:eastAsia="es-ES"/>
        </w:rPr>
        <w:t xml:space="preserve">en otro caso </w:t>
      </w:r>
      <w:r w:rsidR="0003496A" w:rsidRPr="00116A43">
        <w:rPr>
          <w:rFonts w:ascii="Cambria" w:hAnsi="Cambria" w:cs="Cambria"/>
          <w:color w:val="000000"/>
          <w:sz w:val="20"/>
          <w:szCs w:val="20"/>
          <w:u w:color="000000"/>
          <w:bdr w:val="none" w:sz="0" w:space="0" w:color="auto"/>
          <w:lang w:val="es-PE" w:eastAsia="es-ES"/>
        </w:rPr>
        <w:t xml:space="preserve">de Cuba </w:t>
      </w:r>
      <w:r w:rsidR="0021486A" w:rsidRPr="00116A43">
        <w:rPr>
          <w:rFonts w:ascii="Cambria" w:hAnsi="Cambria" w:cs="Cambria"/>
          <w:color w:val="000000"/>
          <w:sz w:val="20"/>
          <w:szCs w:val="20"/>
          <w:u w:color="000000"/>
          <w:bdr w:val="none" w:sz="0" w:space="0" w:color="auto"/>
          <w:lang w:val="es-PE" w:eastAsia="es-ES"/>
        </w:rPr>
        <w:t>que, la falta de respuesta reiterada</w:t>
      </w:r>
      <w:r w:rsidR="00DF1848" w:rsidRPr="00116A43">
        <w:rPr>
          <w:rFonts w:ascii="Cambria" w:hAnsi="Cambria" w:cs="Cambria"/>
          <w:color w:val="000000"/>
          <w:sz w:val="20"/>
          <w:szCs w:val="20"/>
          <w:u w:color="000000"/>
          <w:bdr w:val="none" w:sz="0" w:space="0" w:color="auto"/>
          <w:lang w:val="es-PE" w:eastAsia="es-ES"/>
        </w:rPr>
        <w:t xml:space="preserve"> </w:t>
      </w:r>
      <w:r w:rsidR="0021486A" w:rsidRPr="00116A43">
        <w:rPr>
          <w:rFonts w:ascii="Cambria" w:hAnsi="Cambria" w:cs="Cambria"/>
          <w:color w:val="000000"/>
          <w:sz w:val="20"/>
          <w:szCs w:val="20"/>
          <w:u w:color="000000"/>
          <w:bdr w:val="none" w:sz="0" w:space="0" w:color="auto"/>
          <w:lang w:val="es-PE" w:eastAsia="es-ES"/>
        </w:rPr>
        <w:t>sobre</w:t>
      </w:r>
      <w:r w:rsidR="007B02BE" w:rsidRPr="00116A43">
        <w:rPr>
          <w:rFonts w:ascii="Cambria" w:hAnsi="Cambria" w:cs="Cambria"/>
          <w:color w:val="000000"/>
          <w:sz w:val="20"/>
          <w:szCs w:val="20"/>
          <w:u w:color="000000"/>
          <w:bdr w:val="none" w:sz="0" w:space="0" w:color="auto"/>
          <w:lang w:val="es-PE" w:eastAsia="es-ES"/>
        </w:rPr>
        <w:t xml:space="preserve"> </w:t>
      </w:r>
      <w:r w:rsidR="002D1EDE" w:rsidRPr="00116A43">
        <w:rPr>
          <w:rFonts w:ascii="Cambria" w:hAnsi="Cambria" w:cs="Cambria"/>
          <w:color w:val="000000"/>
          <w:sz w:val="20"/>
          <w:szCs w:val="20"/>
          <w:u w:color="000000"/>
          <w:bdr w:val="none" w:sz="0" w:space="0" w:color="auto"/>
          <w:lang w:val="es-PE" w:eastAsia="es-ES"/>
        </w:rPr>
        <w:t xml:space="preserve">solicitudes de permiso de salida del país, así como su </w:t>
      </w:r>
      <w:r w:rsidR="0003496A" w:rsidRPr="00116A43">
        <w:rPr>
          <w:rFonts w:ascii="Cambria" w:hAnsi="Cambria" w:cs="Cambria"/>
          <w:color w:val="000000"/>
          <w:sz w:val="20"/>
          <w:szCs w:val="20"/>
          <w:u w:color="000000"/>
          <w:bdr w:val="none" w:sz="0" w:space="0" w:color="auto"/>
          <w:lang w:val="es-PE" w:eastAsia="es-ES"/>
        </w:rPr>
        <w:t xml:space="preserve">impedimento sin razones justificadas, viola </w:t>
      </w:r>
      <w:r w:rsidR="00DF1848" w:rsidRPr="00116A43">
        <w:rPr>
          <w:rFonts w:ascii="Cambria" w:hAnsi="Cambria" w:cs="Cambria"/>
          <w:color w:val="000000"/>
          <w:sz w:val="20"/>
          <w:szCs w:val="20"/>
          <w:u w:color="000000"/>
          <w:bdr w:val="none" w:sz="0" w:space="0" w:color="auto"/>
          <w:lang w:val="es-PE" w:eastAsia="es-ES"/>
        </w:rPr>
        <w:t xml:space="preserve">el artículo VIII de la </w:t>
      </w:r>
      <w:r w:rsidR="003A26A5" w:rsidRPr="00116A43">
        <w:rPr>
          <w:rFonts w:ascii="Cambria" w:hAnsi="Cambria" w:cs="Cambria"/>
          <w:color w:val="000000"/>
          <w:sz w:val="20"/>
          <w:szCs w:val="20"/>
          <w:u w:color="000000"/>
          <w:bdr w:val="none" w:sz="0" w:space="0" w:color="auto"/>
          <w:lang w:val="es-PE" w:eastAsia="es-ES"/>
        </w:rPr>
        <w:t>Declaración</w:t>
      </w:r>
      <w:r w:rsidR="00DF1848" w:rsidRPr="00116A43">
        <w:rPr>
          <w:rFonts w:ascii="Cambria" w:hAnsi="Cambria" w:cs="Cambria"/>
          <w:color w:val="000000"/>
          <w:sz w:val="20"/>
          <w:szCs w:val="20"/>
          <w:u w:color="000000"/>
          <w:bdr w:val="none" w:sz="0" w:space="0" w:color="auto"/>
          <w:vertAlign w:val="superscript"/>
          <w:lang w:val="es-PE" w:eastAsia="es-ES"/>
        </w:rPr>
        <w:footnoteReference w:id="196"/>
      </w:r>
      <w:r w:rsidR="00DF1848" w:rsidRPr="00116A43">
        <w:rPr>
          <w:rFonts w:ascii="Cambria" w:hAnsi="Cambria" w:cs="Cambria"/>
          <w:color w:val="000000"/>
          <w:sz w:val="20"/>
          <w:szCs w:val="20"/>
          <w:u w:color="000000"/>
          <w:bdr w:val="none" w:sz="0" w:space="0" w:color="auto"/>
          <w:lang w:val="es-PE" w:eastAsia="es-ES"/>
        </w:rPr>
        <w:t>.</w:t>
      </w:r>
      <w:r w:rsidR="009672E5" w:rsidRPr="00116A43">
        <w:rPr>
          <w:rFonts w:ascii="Cambria" w:hAnsi="Cambria" w:cs="Cambria"/>
          <w:color w:val="000000"/>
          <w:sz w:val="20"/>
          <w:szCs w:val="20"/>
          <w:u w:color="000000"/>
          <w:bdr w:val="none" w:sz="0" w:space="0" w:color="auto"/>
          <w:lang w:val="es-PE" w:eastAsia="es-ES"/>
        </w:rPr>
        <w:t xml:space="preserve"> Este último supuesto es el que nos ocupa en el presente caso.</w:t>
      </w:r>
    </w:p>
    <w:p w14:paraId="00FDDA93" w14:textId="1E71BA69" w:rsidR="00560547" w:rsidRPr="00116A43" w:rsidRDefault="00560547"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646A4F2D" w14:textId="2D213960" w:rsidR="00CA6B50" w:rsidRPr="00116A43" w:rsidRDefault="009672E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 xml:space="preserve">En el presente caso, </w:t>
      </w:r>
      <w:r w:rsidR="00CA6B50" w:rsidRPr="00116A43">
        <w:rPr>
          <w:rFonts w:ascii="Cambria" w:hAnsi="Cambria" w:cs="Cambria"/>
          <w:color w:val="000000"/>
          <w:sz w:val="20"/>
          <w:szCs w:val="20"/>
          <w:u w:color="000000"/>
          <w:bdr w:val="none" w:sz="0" w:space="0" w:color="auto"/>
          <w:lang w:val="es-PE" w:eastAsia="es-ES"/>
        </w:rPr>
        <w:t>e</w:t>
      </w:r>
      <w:r w:rsidR="00225FA5" w:rsidRPr="00116A43">
        <w:rPr>
          <w:rFonts w:ascii="Cambria" w:hAnsi="Cambria" w:cs="Cambria"/>
          <w:color w:val="000000"/>
          <w:sz w:val="20"/>
          <w:szCs w:val="20"/>
          <w:u w:color="000000"/>
          <w:bdr w:val="none" w:sz="0" w:space="0" w:color="auto"/>
          <w:lang w:val="es-PE" w:eastAsia="es-ES"/>
        </w:rPr>
        <w:t>n</w:t>
      </w:r>
      <w:r w:rsidR="00CA6B50" w:rsidRPr="00116A43">
        <w:rPr>
          <w:rFonts w:ascii="Cambria" w:hAnsi="Cambria" w:cs="Cambria"/>
          <w:color w:val="000000"/>
          <w:sz w:val="20"/>
          <w:szCs w:val="20"/>
          <w:u w:color="000000"/>
          <w:bdr w:val="none" w:sz="0" w:space="0" w:color="auto"/>
          <w:lang w:val="es-PE" w:eastAsia="es-ES"/>
        </w:rPr>
        <w:t xml:space="preserve"> primer lugar, la CIDH observa que</w:t>
      </w:r>
      <w:r w:rsidR="00225FA5" w:rsidRPr="00116A43">
        <w:rPr>
          <w:rFonts w:ascii="Cambria" w:hAnsi="Cambria" w:cs="Cambria"/>
          <w:color w:val="000000"/>
          <w:sz w:val="20"/>
          <w:szCs w:val="20"/>
          <w:u w:color="000000"/>
          <w:bdr w:val="none" w:sz="0" w:space="0" w:color="auto"/>
          <w:lang w:val="es-PE" w:eastAsia="es-ES"/>
        </w:rPr>
        <w:t xml:space="preserve"> </w:t>
      </w:r>
      <w:r w:rsidR="006A4774" w:rsidRPr="00116A43">
        <w:rPr>
          <w:rFonts w:ascii="Cambria" w:hAnsi="Cambria" w:cs="Cambria"/>
          <w:color w:val="000000"/>
          <w:sz w:val="20"/>
          <w:szCs w:val="20"/>
          <w:u w:color="000000"/>
          <w:bdr w:val="none" w:sz="0" w:space="0" w:color="auto"/>
          <w:lang w:val="es-PE" w:eastAsia="es-ES"/>
        </w:rPr>
        <w:t xml:space="preserve">agentes del Estado </w:t>
      </w:r>
      <w:r w:rsidR="001D69B6" w:rsidRPr="00116A43">
        <w:rPr>
          <w:rFonts w:ascii="Cambria" w:hAnsi="Cambria" w:cs="Cambria"/>
          <w:color w:val="000000"/>
          <w:sz w:val="20"/>
          <w:szCs w:val="20"/>
          <w:u w:color="000000"/>
          <w:bdr w:val="none" w:sz="0" w:space="0" w:color="auto"/>
          <w:lang w:val="es-PE" w:eastAsia="es-ES"/>
        </w:rPr>
        <w:t>impidieron el acceso de</w:t>
      </w:r>
      <w:r w:rsidR="00CA6B50" w:rsidRPr="00116A43">
        <w:rPr>
          <w:rFonts w:ascii="Cambria" w:hAnsi="Cambria" w:cs="Cambria"/>
          <w:color w:val="000000"/>
          <w:sz w:val="20"/>
          <w:szCs w:val="20"/>
          <w:u w:color="000000"/>
          <w:bdr w:val="none" w:sz="0" w:space="0" w:color="auto"/>
          <w:lang w:val="es-PE" w:eastAsia="es-ES"/>
        </w:rPr>
        <w:t xml:space="preserve"> Yoani Sánchez </w:t>
      </w:r>
      <w:r w:rsidR="001D69B6" w:rsidRPr="00116A43">
        <w:rPr>
          <w:rFonts w:ascii="Cambria" w:hAnsi="Cambria"/>
          <w:sz w:val="20"/>
          <w:szCs w:val="20"/>
          <w:bdr w:val="none" w:sz="0" w:space="0" w:color="auto"/>
          <w:lang w:val="es-ES_tradnl"/>
        </w:rPr>
        <w:t>a</w:t>
      </w:r>
      <w:r w:rsidR="00CA6B50" w:rsidRPr="00116A43">
        <w:rPr>
          <w:rFonts w:ascii="Cambria" w:hAnsi="Cambria"/>
          <w:sz w:val="20"/>
          <w:szCs w:val="20"/>
          <w:bdr w:val="none" w:sz="0" w:space="0" w:color="auto"/>
          <w:lang w:val="es-ES_tradnl"/>
        </w:rPr>
        <w:t xml:space="preserve"> </w:t>
      </w:r>
      <w:r w:rsidR="001D69B6" w:rsidRPr="00116A43">
        <w:rPr>
          <w:rFonts w:ascii="Cambria" w:hAnsi="Cambria"/>
          <w:sz w:val="20"/>
          <w:szCs w:val="20"/>
          <w:bdr w:val="none" w:sz="0" w:space="0" w:color="auto"/>
          <w:lang w:val="es-ES_tradnl"/>
        </w:rPr>
        <w:t>lugares públicos en donde se celebraban eventos públicos y culturales</w:t>
      </w:r>
      <w:r w:rsidR="00793B6B" w:rsidRPr="00116A43">
        <w:rPr>
          <w:rFonts w:ascii="Cambria" w:hAnsi="Cambria"/>
          <w:sz w:val="20"/>
          <w:szCs w:val="20"/>
          <w:bdr w:val="none" w:sz="0" w:space="0" w:color="auto"/>
          <w:lang w:val="es-ES_tradnl"/>
        </w:rPr>
        <w:t>,</w:t>
      </w:r>
      <w:r w:rsidR="00BC60F0" w:rsidRPr="00116A43">
        <w:rPr>
          <w:rFonts w:ascii="Cambria" w:hAnsi="Cambria"/>
          <w:sz w:val="20"/>
          <w:szCs w:val="20"/>
          <w:bdr w:val="none" w:sz="0" w:space="0" w:color="auto"/>
          <w:lang w:val="es-ES_tradnl"/>
        </w:rPr>
        <w:t xml:space="preserve"> sin motivo alguno,</w:t>
      </w:r>
      <w:r w:rsidR="00793B6B" w:rsidRPr="00116A43">
        <w:rPr>
          <w:rFonts w:ascii="Cambria" w:hAnsi="Cambria"/>
          <w:sz w:val="20"/>
          <w:szCs w:val="20"/>
          <w:bdr w:val="none" w:sz="0" w:space="0" w:color="auto"/>
          <w:lang w:val="es-ES_tradnl"/>
        </w:rPr>
        <w:t xml:space="preserve"> limitando con ello su derecho a la libre circulación dentro del territorio. </w:t>
      </w:r>
    </w:p>
    <w:p w14:paraId="09F7AE39" w14:textId="77777777" w:rsidR="00793B6B" w:rsidRPr="00116A43" w:rsidRDefault="00793B6B"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48D4A270" w14:textId="015A0D7C" w:rsidR="009672E5" w:rsidRPr="00116A43" w:rsidRDefault="00BC60F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En segundo lugar, la CIDH destaca que</w:t>
      </w:r>
      <w:r w:rsidR="001511BA" w:rsidRPr="00116A43">
        <w:rPr>
          <w:rFonts w:ascii="Cambria" w:hAnsi="Cambria" w:cs="Cambria"/>
          <w:color w:val="000000"/>
          <w:sz w:val="20"/>
          <w:szCs w:val="20"/>
          <w:u w:color="000000"/>
          <w:bdr w:val="none" w:sz="0" w:space="0" w:color="auto"/>
          <w:lang w:val="es-PE" w:eastAsia="es-ES"/>
        </w:rPr>
        <w:t>,</w:t>
      </w:r>
      <w:r w:rsidRPr="00116A43">
        <w:rPr>
          <w:rFonts w:ascii="Cambria" w:hAnsi="Cambria" w:cs="Cambria"/>
          <w:color w:val="000000"/>
          <w:sz w:val="20"/>
          <w:szCs w:val="20"/>
          <w:u w:color="000000"/>
          <w:bdr w:val="none" w:sz="0" w:space="0" w:color="auto"/>
          <w:lang w:val="es-PE" w:eastAsia="es-ES"/>
        </w:rPr>
        <w:t xml:space="preserve"> </w:t>
      </w:r>
      <w:r w:rsidR="006B1712" w:rsidRPr="00116A43">
        <w:rPr>
          <w:rFonts w:ascii="Cambria" w:hAnsi="Cambria" w:cs="Cambria"/>
          <w:color w:val="000000"/>
          <w:sz w:val="20"/>
          <w:szCs w:val="20"/>
          <w:u w:color="000000"/>
          <w:bdr w:val="none" w:sz="0" w:space="0" w:color="auto"/>
          <w:lang w:val="es-PE" w:eastAsia="es-ES"/>
        </w:rPr>
        <w:t>según la legislación vigente de la época,</w:t>
      </w:r>
      <w:r w:rsidR="00EF023C" w:rsidRPr="00116A43">
        <w:rPr>
          <w:rFonts w:ascii="Cambria" w:hAnsi="Cambria" w:cs="Cambria"/>
          <w:color w:val="000000"/>
          <w:sz w:val="20"/>
          <w:szCs w:val="20"/>
          <w:u w:color="000000"/>
          <w:bdr w:val="none" w:sz="0" w:space="0" w:color="auto"/>
          <w:lang w:val="es-PE" w:eastAsia="es-ES"/>
        </w:rPr>
        <w:t xml:space="preserve"> </w:t>
      </w:r>
      <w:r w:rsidR="00EF023C" w:rsidRPr="00116A43">
        <w:rPr>
          <w:rFonts w:ascii="Cambria" w:hAnsi="Cambria"/>
          <w:sz w:val="20"/>
          <w:szCs w:val="20"/>
          <w:bdr w:val="none" w:sz="0" w:space="0" w:color="auto"/>
          <w:lang w:val="es-ES_tradnl"/>
        </w:rPr>
        <w:t>Ley de Migración, Ley No. 1312 de 1976</w:t>
      </w:r>
      <w:r w:rsidR="00973F09" w:rsidRPr="00116A43">
        <w:rPr>
          <w:rFonts w:ascii="Cambria" w:hAnsi="Cambria"/>
          <w:sz w:val="20"/>
          <w:szCs w:val="20"/>
          <w:bdr w:val="none" w:sz="0" w:space="0" w:color="auto"/>
          <w:lang w:val="es-ES_tradnl"/>
        </w:rPr>
        <w:t>, l</w:t>
      </w:r>
      <w:r w:rsidR="007577EE" w:rsidRPr="00116A43">
        <w:rPr>
          <w:rFonts w:ascii="Cambria" w:hAnsi="Cambria"/>
          <w:sz w:val="20"/>
          <w:szCs w:val="20"/>
          <w:bdr w:val="none" w:sz="0" w:space="0" w:color="auto"/>
          <w:lang w:val="es-ES_tradnl"/>
        </w:rPr>
        <w:t xml:space="preserve">os cubanos </w:t>
      </w:r>
      <w:r w:rsidR="001511BA" w:rsidRPr="00116A43">
        <w:rPr>
          <w:rFonts w:ascii="Cambria" w:hAnsi="Cambria"/>
          <w:sz w:val="20"/>
          <w:szCs w:val="20"/>
          <w:bdr w:val="none" w:sz="0" w:space="0" w:color="auto"/>
          <w:lang w:val="es-ES_tradnl"/>
        </w:rPr>
        <w:t>necesitaban un permiso</w:t>
      </w:r>
      <w:r w:rsidR="00B632FA" w:rsidRPr="00116A43">
        <w:rPr>
          <w:rFonts w:ascii="Cambria" w:hAnsi="Cambria"/>
          <w:sz w:val="20"/>
          <w:szCs w:val="20"/>
          <w:bdr w:val="none" w:sz="0" w:space="0" w:color="auto"/>
          <w:lang w:val="es-ES_tradnl"/>
        </w:rPr>
        <w:t xml:space="preserve"> para poder salir del país. Este permiso era brindado por las</w:t>
      </w:r>
      <w:r w:rsidR="006B1712" w:rsidRPr="00116A43">
        <w:rPr>
          <w:rFonts w:ascii="Cambria" w:hAnsi="Cambria" w:cs="Cambria"/>
          <w:color w:val="000000"/>
          <w:sz w:val="20"/>
          <w:szCs w:val="20"/>
          <w:u w:color="000000"/>
          <w:bdr w:val="none" w:sz="0" w:space="0" w:color="auto"/>
          <w:lang w:val="es-PE" w:eastAsia="es-ES"/>
        </w:rPr>
        <w:t xml:space="preserve"> </w:t>
      </w:r>
      <w:r w:rsidR="009672E5" w:rsidRPr="00116A43">
        <w:rPr>
          <w:rFonts w:ascii="Cambria" w:hAnsi="Cambria" w:cs="Cambria"/>
          <w:color w:val="000000"/>
          <w:sz w:val="20"/>
          <w:szCs w:val="20"/>
          <w:u w:color="000000"/>
          <w:bdr w:val="none" w:sz="0" w:space="0" w:color="auto"/>
          <w:lang w:val="es-PE" w:eastAsia="es-ES"/>
        </w:rPr>
        <w:t>autoridades migratorias del Ministerio del Interior</w:t>
      </w:r>
      <w:r w:rsidR="0034079A" w:rsidRPr="00116A43">
        <w:rPr>
          <w:rFonts w:ascii="Cambria" w:hAnsi="Cambria" w:cs="Cambria"/>
          <w:color w:val="000000"/>
          <w:sz w:val="20"/>
          <w:szCs w:val="20"/>
          <w:u w:color="000000"/>
          <w:bdr w:val="none" w:sz="0" w:space="0" w:color="auto"/>
          <w:lang w:val="es-PE" w:eastAsia="es-ES"/>
        </w:rPr>
        <w:t>, lo cual le otorgaba una amplia</w:t>
      </w:r>
      <w:r w:rsidR="007D4D3F" w:rsidRPr="00116A43">
        <w:rPr>
          <w:rFonts w:ascii="Cambria" w:hAnsi="Cambria" w:cs="Cambria"/>
          <w:color w:val="000000"/>
          <w:sz w:val="20"/>
          <w:szCs w:val="20"/>
          <w:u w:color="000000"/>
          <w:bdr w:val="none" w:sz="0" w:space="0" w:color="auto"/>
          <w:lang w:val="es-PE" w:eastAsia="es-ES"/>
        </w:rPr>
        <w:t xml:space="preserve"> </w:t>
      </w:r>
      <w:r w:rsidR="007D4D3F" w:rsidRPr="00116A43">
        <w:rPr>
          <w:rFonts w:ascii="Cambria" w:hAnsi="Cambria" w:cs="Arial"/>
          <w:sz w:val="20"/>
          <w:szCs w:val="20"/>
          <w:shd w:val="clear" w:color="auto" w:fill="FFFFFF"/>
        </w:rPr>
        <w:t>discrecionalidad a la autoridad</w:t>
      </w:r>
      <w:r w:rsidR="009672E5" w:rsidRPr="00116A43">
        <w:rPr>
          <w:rFonts w:ascii="Cambria" w:hAnsi="Cambria" w:cs="Cambria"/>
          <w:color w:val="000000"/>
          <w:sz w:val="20"/>
          <w:szCs w:val="20"/>
          <w:u w:color="000000"/>
          <w:bdr w:val="none" w:sz="0" w:space="0" w:color="auto"/>
          <w:lang w:val="es-PE" w:eastAsia="es-ES"/>
        </w:rPr>
        <w:t xml:space="preserve"> </w:t>
      </w:r>
      <w:r w:rsidR="00E620CD" w:rsidRPr="00116A43">
        <w:rPr>
          <w:rFonts w:ascii="Cambria" w:hAnsi="Cambria" w:cs="Cambria"/>
          <w:color w:val="000000"/>
          <w:sz w:val="20"/>
          <w:szCs w:val="20"/>
          <w:u w:color="000000"/>
          <w:bdr w:val="none" w:sz="0" w:space="0" w:color="auto"/>
          <w:lang w:val="es-PE" w:eastAsia="es-ES"/>
        </w:rPr>
        <w:t>para decidir sobre</w:t>
      </w:r>
      <w:r w:rsidR="009672E5" w:rsidRPr="00116A43">
        <w:rPr>
          <w:rFonts w:ascii="Cambria" w:hAnsi="Cambria" w:cs="Cambria"/>
          <w:color w:val="000000"/>
          <w:sz w:val="20"/>
          <w:szCs w:val="20"/>
          <w:u w:color="000000"/>
          <w:bdr w:val="none" w:sz="0" w:space="0" w:color="auto"/>
          <w:lang w:val="es-PE" w:eastAsia="es-ES"/>
        </w:rPr>
        <w:t xml:space="preserve"> </w:t>
      </w:r>
      <w:r w:rsidR="00E620CD" w:rsidRPr="00116A43">
        <w:rPr>
          <w:rFonts w:ascii="Cambria" w:hAnsi="Cambria" w:cs="Cambria"/>
          <w:color w:val="000000"/>
          <w:sz w:val="20"/>
          <w:szCs w:val="20"/>
          <w:u w:color="000000"/>
          <w:bdr w:val="none" w:sz="0" w:space="0" w:color="auto"/>
          <w:lang w:val="es-PE" w:eastAsia="es-ES"/>
        </w:rPr>
        <w:t xml:space="preserve">la </w:t>
      </w:r>
      <w:r w:rsidR="009672E5" w:rsidRPr="00116A43">
        <w:rPr>
          <w:rFonts w:ascii="Cambria" w:hAnsi="Cambria" w:cs="Cambria"/>
          <w:color w:val="000000"/>
          <w:sz w:val="20"/>
          <w:szCs w:val="20"/>
          <w:u w:color="000000"/>
          <w:bdr w:val="none" w:sz="0" w:space="0" w:color="auto"/>
          <w:lang w:val="es-PE" w:eastAsia="es-ES"/>
        </w:rPr>
        <w:t>autorización</w:t>
      </w:r>
      <w:r w:rsidR="00E620CD" w:rsidRPr="00116A43">
        <w:rPr>
          <w:rFonts w:ascii="Cambria" w:hAnsi="Cambria" w:cs="Cambria"/>
          <w:color w:val="000000"/>
          <w:sz w:val="20"/>
          <w:szCs w:val="20"/>
          <w:u w:color="000000"/>
          <w:bdr w:val="none" w:sz="0" w:space="0" w:color="auto"/>
          <w:lang w:val="es-PE" w:eastAsia="es-ES"/>
        </w:rPr>
        <w:t xml:space="preserve"> respectiva</w:t>
      </w:r>
      <w:r w:rsidR="007D4D3F" w:rsidRPr="00116A43">
        <w:rPr>
          <w:rFonts w:ascii="Cambria" w:hAnsi="Cambria" w:cs="Cambria"/>
          <w:color w:val="000000"/>
          <w:sz w:val="20"/>
          <w:szCs w:val="20"/>
          <w:u w:color="000000"/>
          <w:bdr w:val="none" w:sz="0" w:space="0" w:color="auto"/>
          <w:lang w:val="es-PE" w:eastAsia="es-ES"/>
        </w:rPr>
        <w:t xml:space="preserve">. </w:t>
      </w:r>
      <w:r w:rsidR="009672E5" w:rsidRPr="00116A43">
        <w:rPr>
          <w:rFonts w:ascii="Cambria" w:hAnsi="Cambria" w:cs="Cambria"/>
          <w:color w:val="000000"/>
          <w:sz w:val="20"/>
          <w:szCs w:val="20"/>
          <w:u w:color="000000"/>
          <w:bdr w:val="none" w:sz="0" w:space="0" w:color="auto"/>
          <w:lang w:val="es-PE" w:eastAsia="es-ES"/>
        </w:rPr>
        <w:t xml:space="preserve">Yoani Sánchez </w:t>
      </w:r>
      <w:r w:rsidR="00E620CD" w:rsidRPr="00116A43">
        <w:rPr>
          <w:rFonts w:ascii="Cambria" w:hAnsi="Cambria" w:cs="Cambria"/>
          <w:color w:val="000000"/>
          <w:sz w:val="20"/>
          <w:szCs w:val="20"/>
          <w:u w:color="000000"/>
          <w:bdr w:val="none" w:sz="0" w:space="0" w:color="auto"/>
          <w:lang w:val="es-PE" w:eastAsia="es-ES"/>
        </w:rPr>
        <w:t xml:space="preserve">presentó </w:t>
      </w:r>
      <w:r w:rsidR="009672E5" w:rsidRPr="00116A43">
        <w:rPr>
          <w:rFonts w:ascii="Cambria" w:hAnsi="Cambria" w:cs="Cambria"/>
          <w:color w:val="000000"/>
          <w:sz w:val="20"/>
          <w:szCs w:val="20"/>
          <w:u w:color="000000"/>
          <w:bdr w:val="none" w:sz="0" w:space="0" w:color="auto"/>
          <w:lang w:val="es-PE" w:eastAsia="es-ES"/>
        </w:rPr>
        <w:t>s</w:t>
      </w:r>
      <w:r w:rsidR="001A5797" w:rsidRPr="00116A43">
        <w:rPr>
          <w:rFonts w:ascii="Cambria" w:hAnsi="Cambria" w:cs="Cambria"/>
          <w:color w:val="000000"/>
          <w:sz w:val="20"/>
          <w:szCs w:val="20"/>
          <w:u w:color="000000"/>
          <w:bdr w:val="none" w:sz="0" w:space="0" w:color="auto"/>
          <w:lang w:val="es-PE" w:eastAsia="es-ES"/>
        </w:rPr>
        <w:t>olicit</w:t>
      </w:r>
      <w:r w:rsidR="00E620CD" w:rsidRPr="00116A43">
        <w:rPr>
          <w:rFonts w:ascii="Cambria" w:hAnsi="Cambria" w:cs="Cambria"/>
          <w:color w:val="000000"/>
          <w:sz w:val="20"/>
          <w:szCs w:val="20"/>
          <w:u w:color="000000"/>
          <w:bdr w:val="none" w:sz="0" w:space="0" w:color="auto"/>
          <w:lang w:val="es-PE" w:eastAsia="es-ES"/>
        </w:rPr>
        <w:t>udes para</w:t>
      </w:r>
      <w:r w:rsidR="001A5797" w:rsidRPr="00116A43">
        <w:rPr>
          <w:rFonts w:ascii="Cambria" w:hAnsi="Cambria" w:cs="Cambria"/>
          <w:color w:val="000000"/>
          <w:sz w:val="20"/>
          <w:szCs w:val="20"/>
          <w:u w:color="000000"/>
          <w:bdr w:val="none" w:sz="0" w:space="0" w:color="auto"/>
          <w:lang w:val="es-PE" w:eastAsia="es-ES"/>
        </w:rPr>
        <w:t xml:space="preserve"> salir</w:t>
      </w:r>
      <w:r w:rsidR="009672E5" w:rsidRPr="00116A43">
        <w:rPr>
          <w:rFonts w:ascii="Cambria" w:hAnsi="Cambria" w:cs="Cambria"/>
          <w:color w:val="000000"/>
          <w:sz w:val="20"/>
          <w:szCs w:val="20"/>
          <w:u w:color="000000"/>
          <w:bdr w:val="none" w:sz="0" w:space="0" w:color="auto"/>
          <w:lang w:val="es-PE" w:eastAsia="es-ES"/>
        </w:rPr>
        <w:t xml:space="preserve"> d</w:t>
      </w:r>
      <w:r w:rsidR="001A5797" w:rsidRPr="00116A43">
        <w:rPr>
          <w:rFonts w:ascii="Cambria" w:hAnsi="Cambria" w:cs="Cambria"/>
          <w:color w:val="000000"/>
          <w:sz w:val="20"/>
          <w:szCs w:val="20"/>
          <w:u w:color="000000"/>
          <w:bdr w:val="none" w:sz="0" w:space="0" w:color="auto"/>
          <w:lang w:val="es-PE" w:eastAsia="es-ES"/>
        </w:rPr>
        <w:t>el país en 20 oportunidades</w:t>
      </w:r>
      <w:r w:rsidR="00FC0024" w:rsidRPr="00116A43">
        <w:rPr>
          <w:rFonts w:ascii="Cambria" w:hAnsi="Cambria" w:cs="Cambria"/>
          <w:color w:val="000000"/>
          <w:sz w:val="20"/>
          <w:szCs w:val="20"/>
          <w:u w:color="000000"/>
          <w:bdr w:val="none" w:sz="0" w:space="0" w:color="auto"/>
          <w:lang w:val="es-PE" w:eastAsia="es-ES"/>
        </w:rPr>
        <w:t xml:space="preserve"> entre los años 2007 y 2012</w:t>
      </w:r>
      <w:r w:rsidR="001A5797" w:rsidRPr="00116A43">
        <w:rPr>
          <w:rFonts w:ascii="Cambria" w:hAnsi="Cambria" w:cs="Cambria"/>
          <w:color w:val="000000"/>
          <w:sz w:val="20"/>
          <w:szCs w:val="20"/>
          <w:u w:color="000000"/>
          <w:bdr w:val="none" w:sz="0" w:space="0" w:color="auto"/>
          <w:lang w:val="es-PE" w:eastAsia="es-ES"/>
        </w:rPr>
        <w:t>, las cuales le fueron negadas</w:t>
      </w:r>
      <w:r w:rsidR="009672E5" w:rsidRPr="00116A43">
        <w:rPr>
          <w:rFonts w:ascii="Cambria" w:hAnsi="Cambria" w:cs="Cambria"/>
          <w:color w:val="000000"/>
          <w:sz w:val="20"/>
          <w:szCs w:val="20"/>
          <w:u w:color="000000"/>
          <w:bdr w:val="none" w:sz="0" w:space="0" w:color="auto"/>
          <w:lang w:val="es-PE" w:eastAsia="es-ES"/>
        </w:rPr>
        <w:t xml:space="preserve">. En ninguna de </w:t>
      </w:r>
      <w:r w:rsidR="00C1079E" w:rsidRPr="00116A43">
        <w:rPr>
          <w:rFonts w:ascii="Cambria" w:hAnsi="Cambria" w:cs="Cambria"/>
          <w:color w:val="000000"/>
          <w:sz w:val="20"/>
          <w:szCs w:val="20"/>
          <w:u w:color="000000"/>
          <w:bdr w:val="none" w:sz="0" w:space="0" w:color="auto"/>
          <w:lang w:val="es-PE" w:eastAsia="es-ES"/>
        </w:rPr>
        <w:t>dichas ocasiones l</w:t>
      </w:r>
      <w:r w:rsidR="009672E5" w:rsidRPr="00116A43">
        <w:rPr>
          <w:rFonts w:ascii="Cambria" w:hAnsi="Cambria" w:cs="Cambria"/>
          <w:color w:val="000000"/>
          <w:sz w:val="20"/>
          <w:szCs w:val="20"/>
          <w:u w:color="000000"/>
          <w:bdr w:val="none" w:sz="0" w:space="0" w:color="auto"/>
          <w:lang w:val="es-PE" w:eastAsia="es-ES"/>
        </w:rPr>
        <w:t xml:space="preserve">as autoridades </w:t>
      </w:r>
      <w:r w:rsidR="001A5797" w:rsidRPr="00116A43">
        <w:rPr>
          <w:rFonts w:ascii="Cambria" w:hAnsi="Cambria" w:cs="Cambria"/>
          <w:color w:val="000000"/>
          <w:sz w:val="20"/>
          <w:szCs w:val="20"/>
          <w:u w:color="000000"/>
          <w:bdr w:val="none" w:sz="0" w:space="0" w:color="auto"/>
          <w:lang w:val="es-PE" w:eastAsia="es-ES"/>
        </w:rPr>
        <w:t>expresaron</w:t>
      </w:r>
      <w:r w:rsidR="002241D0" w:rsidRPr="00116A43">
        <w:rPr>
          <w:rFonts w:ascii="Cambria" w:hAnsi="Cambria" w:cs="Cambria"/>
          <w:color w:val="000000"/>
          <w:sz w:val="20"/>
          <w:szCs w:val="20"/>
          <w:u w:color="000000"/>
          <w:bdr w:val="none" w:sz="0" w:space="0" w:color="auto"/>
          <w:lang w:val="es-PE" w:eastAsia="es-ES"/>
        </w:rPr>
        <w:t xml:space="preserve"> ni fundamentaron</w:t>
      </w:r>
      <w:r w:rsidR="009672E5" w:rsidRPr="00116A43">
        <w:rPr>
          <w:rFonts w:ascii="Cambria" w:hAnsi="Cambria" w:cs="Cambria"/>
          <w:color w:val="000000"/>
          <w:sz w:val="20"/>
          <w:szCs w:val="20"/>
          <w:u w:color="000000"/>
          <w:bdr w:val="none" w:sz="0" w:space="0" w:color="auto"/>
          <w:lang w:val="es-PE" w:eastAsia="es-ES"/>
        </w:rPr>
        <w:t xml:space="preserve"> las </w:t>
      </w:r>
      <w:r w:rsidR="00C172F7" w:rsidRPr="00116A43">
        <w:rPr>
          <w:rFonts w:ascii="Cambria" w:hAnsi="Cambria" w:cs="Cambria"/>
          <w:color w:val="000000"/>
          <w:sz w:val="20"/>
          <w:szCs w:val="20"/>
          <w:u w:color="000000"/>
          <w:bdr w:val="none" w:sz="0" w:space="0" w:color="auto"/>
          <w:lang w:val="es-PE" w:eastAsia="es-ES"/>
        </w:rPr>
        <w:t xml:space="preserve">razones </w:t>
      </w:r>
      <w:r w:rsidR="009672E5" w:rsidRPr="00116A43">
        <w:rPr>
          <w:rFonts w:ascii="Cambria" w:hAnsi="Cambria" w:cs="Cambria"/>
          <w:color w:val="000000"/>
          <w:sz w:val="20"/>
          <w:szCs w:val="20"/>
          <w:u w:color="000000"/>
          <w:bdr w:val="none" w:sz="0" w:space="0" w:color="auto"/>
          <w:lang w:val="es-PE" w:eastAsia="es-ES"/>
        </w:rPr>
        <w:t xml:space="preserve">de hecho o derecho para </w:t>
      </w:r>
      <w:r w:rsidR="002241D0" w:rsidRPr="00116A43">
        <w:rPr>
          <w:rFonts w:ascii="Cambria" w:hAnsi="Cambria" w:cs="Cambria"/>
          <w:color w:val="000000"/>
          <w:sz w:val="20"/>
          <w:szCs w:val="20"/>
          <w:u w:color="000000"/>
          <w:bdr w:val="none" w:sz="0" w:space="0" w:color="auto"/>
          <w:lang w:val="es-PE" w:eastAsia="es-ES"/>
        </w:rPr>
        <w:t>el impedimento de salida del país</w:t>
      </w:r>
      <w:r w:rsidR="009672E5" w:rsidRPr="00116A43">
        <w:rPr>
          <w:rFonts w:ascii="Cambria" w:hAnsi="Cambria" w:cs="Cambria"/>
          <w:color w:val="000000"/>
          <w:sz w:val="20"/>
          <w:szCs w:val="20"/>
          <w:u w:color="000000"/>
          <w:bdr w:val="none" w:sz="0" w:space="0" w:color="auto"/>
          <w:lang w:val="es-PE" w:eastAsia="es-ES"/>
        </w:rPr>
        <w:t>. La v</w:t>
      </w:r>
      <w:r w:rsidR="00C172F7" w:rsidRPr="00116A43">
        <w:rPr>
          <w:rFonts w:ascii="Cambria" w:hAnsi="Cambria" w:cs="Cambria"/>
          <w:color w:val="000000"/>
          <w:sz w:val="20"/>
          <w:szCs w:val="20"/>
          <w:u w:color="000000"/>
          <w:bdr w:val="none" w:sz="0" w:space="0" w:color="auto"/>
          <w:lang w:val="es-PE" w:eastAsia="es-ES"/>
        </w:rPr>
        <w:t>íc</w:t>
      </w:r>
      <w:r w:rsidR="009672E5" w:rsidRPr="00116A43">
        <w:rPr>
          <w:rFonts w:ascii="Cambria" w:hAnsi="Cambria" w:cs="Cambria"/>
          <w:color w:val="000000"/>
          <w:sz w:val="20"/>
          <w:szCs w:val="20"/>
          <w:u w:color="000000"/>
          <w:bdr w:val="none" w:sz="0" w:space="0" w:color="auto"/>
          <w:lang w:val="es-PE" w:eastAsia="es-ES"/>
        </w:rPr>
        <w:t>tima sol</w:t>
      </w:r>
      <w:r w:rsidR="003E02E6" w:rsidRPr="00116A43">
        <w:rPr>
          <w:rFonts w:ascii="Cambria" w:hAnsi="Cambria" w:cs="Cambria"/>
          <w:color w:val="000000"/>
          <w:sz w:val="20"/>
          <w:szCs w:val="20"/>
          <w:u w:color="000000"/>
          <w:bdr w:val="none" w:sz="0" w:space="0" w:color="auto"/>
          <w:lang w:val="es-PE" w:eastAsia="es-ES"/>
        </w:rPr>
        <w:t xml:space="preserve">o recibió </w:t>
      </w:r>
      <w:r w:rsidR="00DC3CE7" w:rsidRPr="00116A43">
        <w:rPr>
          <w:rFonts w:ascii="Cambria" w:hAnsi="Cambria" w:cs="Cambria"/>
          <w:color w:val="000000"/>
          <w:sz w:val="20"/>
          <w:szCs w:val="20"/>
          <w:u w:color="000000"/>
          <w:bdr w:val="none" w:sz="0" w:space="0" w:color="auto"/>
          <w:lang w:val="es-PE" w:eastAsia="es-ES"/>
        </w:rPr>
        <w:t xml:space="preserve">el </w:t>
      </w:r>
      <w:r w:rsidR="009672E5" w:rsidRPr="00116A43">
        <w:rPr>
          <w:rFonts w:ascii="Cambria" w:hAnsi="Cambria" w:cs="Cambria"/>
          <w:color w:val="000000"/>
          <w:sz w:val="20"/>
          <w:szCs w:val="20"/>
          <w:u w:color="000000"/>
          <w:bdr w:val="none" w:sz="0" w:space="0" w:color="auto"/>
          <w:lang w:val="es-PE" w:eastAsia="es-ES"/>
        </w:rPr>
        <w:t>formulario de devolución de ta</w:t>
      </w:r>
      <w:r w:rsidR="00C172F7" w:rsidRPr="00116A43">
        <w:rPr>
          <w:rFonts w:ascii="Cambria" w:hAnsi="Cambria" w:cs="Cambria"/>
          <w:color w:val="000000"/>
          <w:sz w:val="20"/>
          <w:szCs w:val="20"/>
          <w:u w:color="000000"/>
          <w:bdr w:val="none" w:sz="0" w:space="0" w:color="auto"/>
          <w:lang w:val="es-PE" w:eastAsia="es-ES"/>
        </w:rPr>
        <w:t>s</w:t>
      </w:r>
      <w:r w:rsidR="009672E5" w:rsidRPr="00116A43">
        <w:rPr>
          <w:rFonts w:ascii="Cambria" w:hAnsi="Cambria" w:cs="Cambria"/>
          <w:color w:val="000000"/>
          <w:sz w:val="20"/>
          <w:szCs w:val="20"/>
          <w:u w:color="000000"/>
          <w:bdr w:val="none" w:sz="0" w:space="0" w:color="auto"/>
          <w:lang w:val="es-PE" w:eastAsia="es-ES"/>
        </w:rPr>
        <w:t xml:space="preserve">as administrativas pagas al Ministerio del Interior </w:t>
      </w:r>
      <w:r w:rsidR="00DC3CE7" w:rsidRPr="00116A43">
        <w:rPr>
          <w:rFonts w:ascii="Cambria" w:hAnsi="Cambria" w:cs="Cambria"/>
          <w:color w:val="000000"/>
          <w:sz w:val="20"/>
          <w:szCs w:val="20"/>
          <w:u w:color="000000"/>
          <w:bdr w:val="none" w:sz="0" w:space="0" w:color="auto"/>
          <w:lang w:val="es-PE" w:eastAsia="es-ES"/>
        </w:rPr>
        <w:t>para</w:t>
      </w:r>
      <w:r w:rsidR="009672E5" w:rsidRPr="00116A43">
        <w:rPr>
          <w:rFonts w:ascii="Cambria" w:hAnsi="Cambria" w:cs="Cambria"/>
          <w:color w:val="000000"/>
          <w:sz w:val="20"/>
          <w:szCs w:val="20"/>
          <w:u w:color="000000"/>
          <w:bdr w:val="none" w:sz="0" w:space="0" w:color="auto"/>
          <w:lang w:val="es-PE" w:eastAsia="es-ES"/>
        </w:rPr>
        <w:t xml:space="preserve"> la autorización </w:t>
      </w:r>
      <w:r w:rsidR="00E620CD" w:rsidRPr="00116A43">
        <w:rPr>
          <w:rFonts w:ascii="Cambria" w:hAnsi="Cambria" w:cs="Cambria"/>
          <w:color w:val="000000"/>
          <w:sz w:val="20"/>
          <w:szCs w:val="20"/>
          <w:u w:color="000000"/>
          <w:bdr w:val="none" w:sz="0" w:space="0" w:color="auto"/>
          <w:lang w:val="es-PE" w:eastAsia="es-ES"/>
        </w:rPr>
        <w:t>correspondiente</w:t>
      </w:r>
      <w:r w:rsidR="009672E5" w:rsidRPr="00116A43">
        <w:rPr>
          <w:rFonts w:ascii="Cambria" w:hAnsi="Cambria" w:cs="Cambria"/>
          <w:color w:val="000000"/>
          <w:sz w:val="20"/>
          <w:szCs w:val="20"/>
          <w:u w:color="000000"/>
          <w:bdr w:val="none" w:sz="0" w:space="0" w:color="auto"/>
          <w:lang w:val="es-PE" w:eastAsia="es-ES"/>
        </w:rPr>
        <w:t xml:space="preserve">. </w:t>
      </w:r>
      <w:r w:rsidR="00DC3CE7" w:rsidRPr="00116A43">
        <w:rPr>
          <w:rFonts w:ascii="Cambria" w:hAnsi="Cambria" w:cs="Cambria"/>
          <w:color w:val="000000"/>
          <w:sz w:val="20"/>
          <w:szCs w:val="20"/>
          <w:u w:color="000000"/>
          <w:bdr w:val="none" w:sz="0" w:space="0" w:color="auto"/>
          <w:lang w:val="es-PE" w:eastAsia="es-ES"/>
        </w:rPr>
        <w:t xml:space="preserve">La CIDH </w:t>
      </w:r>
      <w:r w:rsidR="0090000A" w:rsidRPr="00116A43">
        <w:rPr>
          <w:rFonts w:ascii="Cambria" w:hAnsi="Cambria" w:cs="Cambria"/>
          <w:color w:val="000000"/>
          <w:sz w:val="20"/>
          <w:szCs w:val="20"/>
          <w:u w:color="000000"/>
          <w:bdr w:val="none" w:sz="0" w:space="0" w:color="auto"/>
          <w:lang w:val="es-PE" w:eastAsia="es-ES"/>
        </w:rPr>
        <w:t>considera que la</w:t>
      </w:r>
      <w:r w:rsidR="00DC3CE7" w:rsidRPr="00116A43">
        <w:rPr>
          <w:rFonts w:ascii="Cambria" w:hAnsi="Cambria" w:cs="Cambria"/>
          <w:color w:val="000000"/>
          <w:sz w:val="20"/>
          <w:szCs w:val="20"/>
          <w:u w:color="000000"/>
          <w:bdr w:val="none" w:sz="0" w:space="0" w:color="auto"/>
          <w:lang w:val="es-PE" w:eastAsia="es-ES"/>
        </w:rPr>
        <w:t xml:space="preserve">s prohibiciones de salida del país </w:t>
      </w:r>
      <w:r w:rsidR="0090000A" w:rsidRPr="00116A43">
        <w:rPr>
          <w:rFonts w:ascii="Cambria" w:hAnsi="Cambria" w:cs="Cambria"/>
          <w:color w:val="000000"/>
          <w:sz w:val="20"/>
          <w:szCs w:val="20"/>
          <w:u w:color="000000"/>
          <w:bdr w:val="none" w:sz="0" w:space="0" w:color="auto"/>
          <w:lang w:val="es-PE" w:eastAsia="es-ES"/>
        </w:rPr>
        <w:t xml:space="preserve">constituyeron medidas de represalia por </w:t>
      </w:r>
      <w:r w:rsidR="00E620CD" w:rsidRPr="00116A43">
        <w:rPr>
          <w:rFonts w:ascii="Cambria" w:hAnsi="Cambria" w:cs="Cambria"/>
          <w:color w:val="000000"/>
          <w:sz w:val="20"/>
          <w:szCs w:val="20"/>
          <w:u w:color="000000"/>
          <w:bdr w:val="none" w:sz="0" w:space="0" w:color="auto"/>
          <w:lang w:val="es-PE" w:eastAsia="es-ES"/>
        </w:rPr>
        <w:t>su</w:t>
      </w:r>
      <w:r w:rsidR="0090000A" w:rsidRPr="00116A43">
        <w:rPr>
          <w:rFonts w:ascii="Cambria" w:hAnsi="Cambria" w:cs="Cambria"/>
          <w:color w:val="000000"/>
          <w:sz w:val="20"/>
          <w:szCs w:val="20"/>
          <w:u w:color="000000"/>
          <w:bdr w:val="none" w:sz="0" w:space="0" w:color="auto"/>
          <w:lang w:val="es-PE" w:eastAsia="es-ES"/>
        </w:rPr>
        <w:t xml:space="preserve"> postura crítica en contra del régimen cubano</w:t>
      </w:r>
      <w:r w:rsidR="00FC0024" w:rsidRPr="00116A43">
        <w:rPr>
          <w:rFonts w:ascii="Cambria" w:hAnsi="Cambria" w:cs="Cambria"/>
          <w:color w:val="000000"/>
          <w:sz w:val="20"/>
          <w:szCs w:val="20"/>
          <w:u w:color="000000"/>
          <w:bdr w:val="none" w:sz="0" w:space="0" w:color="auto"/>
          <w:lang w:val="es-PE" w:eastAsia="es-ES"/>
        </w:rPr>
        <w:t>.</w:t>
      </w:r>
    </w:p>
    <w:p w14:paraId="350E77F1" w14:textId="77777777" w:rsidR="004E532E" w:rsidRPr="00116A43" w:rsidRDefault="004E532E"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071C2176" w14:textId="76DEB26F" w:rsidR="004E532E" w:rsidRPr="00116A43" w:rsidRDefault="004E532E"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 xml:space="preserve">La CIDH </w:t>
      </w:r>
      <w:r w:rsidR="008B6925" w:rsidRPr="00116A43">
        <w:rPr>
          <w:rFonts w:ascii="Cambria" w:hAnsi="Cambria" w:cs="Cambria"/>
          <w:color w:val="000000"/>
          <w:sz w:val="20"/>
          <w:szCs w:val="20"/>
          <w:u w:color="000000"/>
          <w:bdr w:val="none" w:sz="0" w:space="0" w:color="auto"/>
          <w:lang w:val="es-PE" w:eastAsia="es-ES"/>
        </w:rPr>
        <w:t>resalta</w:t>
      </w:r>
      <w:r w:rsidRPr="00116A43">
        <w:rPr>
          <w:rFonts w:ascii="Cambria" w:hAnsi="Cambria" w:cs="Cambria"/>
          <w:color w:val="000000"/>
          <w:sz w:val="20"/>
          <w:szCs w:val="20"/>
          <w:u w:color="000000"/>
          <w:bdr w:val="none" w:sz="0" w:space="0" w:color="auto"/>
          <w:lang w:val="es-PE" w:eastAsia="es-ES"/>
        </w:rPr>
        <w:t xml:space="preserve"> que desde el año 1983, al publicar su séptimo informe sobre la situación de los derechos humanos en Cuba, ha </w:t>
      </w:r>
      <w:r w:rsidR="00104A9F" w:rsidRPr="00116A43">
        <w:rPr>
          <w:rFonts w:ascii="Cambria" w:hAnsi="Cambria" w:cs="Cambria"/>
          <w:color w:val="000000"/>
          <w:sz w:val="20"/>
          <w:szCs w:val="20"/>
          <w:u w:color="000000"/>
          <w:bdr w:val="none" w:sz="0" w:space="0" w:color="auto"/>
          <w:lang w:val="es-PE" w:eastAsia="es-ES"/>
        </w:rPr>
        <w:t>destacado</w:t>
      </w:r>
      <w:r w:rsidRPr="00116A43">
        <w:rPr>
          <w:rFonts w:ascii="Cambria" w:hAnsi="Cambria" w:cs="Cambria"/>
          <w:color w:val="000000"/>
          <w:sz w:val="20"/>
          <w:szCs w:val="20"/>
          <w:u w:color="000000"/>
          <w:bdr w:val="none" w:sz="0" w:space="0" w:color="auto"/>
          <w:lang w:val="es-PE" w:eastAsia="es-ES"/>
        </w:rPr>
        <w:t xml:space="preserve"> la falta de protección constitucional del derecho a la libre circulación</w:t>
      </w:r>
      <w:r w:rsidR="00A03C2D" w:rsidRPr="00116A43">
        <w:rPr>
          <w:rFonts w:ascii="Cambria" w:hAnsi="Cambria" w:cs="Cambria"/>
          <w:color w:val="000000"/>
          <w:sz w:val="20"/>
          <w:szCs w:val="20"/>
          <w:u w:color="000000"/>
          <w:bdr w:val="none" w:sz="0" w:space="0" w:color="auto"/>
          <w:lang w:val="es-PE" w:eastAsia="es-ES"/>
        </w:rPr>
        <w:t xml:space="preserve"> en la Constitución de 1976, vigente a la época de los hechos del presente caso, así como las</w:t>
      </w:r>
      <w:r w:rsidRPr="00116A43">
        <w:rPr>
          <w:rFonts w:ascii="Cambria" w:hAnsi="Cambria" w:cs="Cambria"/>
          <w:color w:val="000000"/>
          <w:sz w:val="20"/>
          <w:szCs w:val="20"/>
          <w:u w:color="000000"/>
          <w:bdr w:val="none" w:sz="0" w:space="0" w:color="auto"/>
          <w:lang w:val="es-PE" w:eastAsia="es-ES"/>
        </w:rPr>
        <w:t xml:space="preserve"> prohibiciones injustificadas de salida del país</w:t>
      </w:r>
      <w:r w:rsidRPr="00116A43">
        <w:rPr>
          <w:rFonts w:ascii="Cambria" w:hAnsi="Cambria" w:cs="Cambria"/>
          <w:color w:val="000000"/>
          <w:sz w:val="20"/>
          <w:szCs w:val="20"/>
          <w:u w:color="000000"/>
          <w:bdr w:val="none" w:sz="0" w:space="0" w:color="auto"/>
          <w:vertAlign w:val="superscript"/>
          <w:lang w:val="es-PE" w:eastAsia="es-ES"/>
        </w:rPr>
        <w:footnoteReference w:id="197"/>
      </w:r>
      <w:r w:rsidR="001C3FD2" w:rsidRPr="00116A43">
        <w:rPr>
          <w:rFonts w:ascii="Cambria" w:hAnsi="Cambria" w:cs="Cambria"/>
          <w:color w:val="000000"/>
          <w:sz w:val="20"/>
          <w:szCs w:val="20"/>
          <w:u w:color="000000"/>
          <w:bdr w:val="none" w:sz="0" w:space="0" w:color="auto"/>
          <w:lang w:val="es-PE" w:eastAsia="es-ES"/>
        </w:rPr>
        <w:t xml:space="preserve">. </w:t>
      </w:r>
      <w:r w:rsidRPr="00116A43">
        <w:rPr>
          <w:rFonts w:ascii="Cambria" w:hAnsi="Cambria" w:cs="Cambria"/>
          <w:color w:val="000000"/>
          <w:sz w:val="20"/>
          <w:szCs w:val="20"/>
          <w:u w:color="000000"/>
          <w:bdr w:val="none" w:sz="0" w:space="0" w:color="auto"/>
          <w:lang w:val="es-PE" w:eastAsia="es-ES"/>
        </w:rPr>
        <w:t xml:space="preserve">La CIDH </w:t>
      </w:r>
      <w:r w:rsidR="00E92634" w:rsidRPr="00116A43">
        <w:rPr>
          <w:rFonts w:ascii="Cambria" w:hAnsi="Cambria" w:cs="Cambria"/>
          <w:color w:val="000000"/>
          <w:sz w:val="20"/>
          <w:szCs w:val="20"/>
          <w:u w:color="000000"/>
          <w:bdr w:val="none" w:sz="0" w:space="0" w:color="auto"/>
          <w:lang w:val="es-PE" w:eastAsia="es-ES"/>
        </w:rPr>
        <w:t>identificó</w:t>
      </w:r>
      <w:r w:rsidRPr="00116A43">
        <w:rPr>
          <w:rFonts w:ascii="Cambria" w:hAnsi="Cambria" w:cs="Cambria"/>
          <w:color w:val="000000"/>
          <w:sz w:val="20"/>
          <w:szCs w:val="20"/>
          <w:u w:color="000000"/>
          <w:bdr w:val="none" w:sz="0" w:space="0" w:color="auto"/>
          <w:lang w:val="es-PE" w:eastAsia="es-ES"/>
        </w:rPr>
        <w:t xml:space="preserve"> que, hasta </w:t>
      </w:r>
      <w:r w:rsidR="009C286B" w:rsidRPr="00116A43">
        <w:rPr>
          <w:rFonts w:ascii="Cambria" w:hAnsi="Cambria" w:cs="Cambria"/>
          <w:color w:val="000000"/>
          <w:sz w:val="20"/>
          <w:szCs w:val="20"/>
          <w:u w:color="000000"/>
          <w:bdr w:val="none" w:sz="0" w:space="0" w:color="auto"/>
          <w:lang w:val="es-PE" w:eastAsia="es-ES"/>
        </w:rPr>
        <w:t xml:space="preserve">el </w:t>
      </w:r>
      <w:r w:rsidRPr="00116A43">
        <w:rPr>
          <w:rFonts w:ascii="Cambria" w:hAnsi="Cambria" w:cs="Cambria"/>
          <w:color w:val="000000"/>
          <w:sz w:val="20"/>
          <w:szCs w:val="20"/>
          <w:u w:color="000000"/>
          <w:bdr w:val="none" w:sz="0" w:space="0" w:color="auto"/>
          <w:lang w:val="es-PE" w:eastAsia="es-ES"/>
        </w:rPr>
        <w:t>2012</w:t>
      </w:r>
      <w:r w:rsidR="009C286B" w:rsidRPr="00116A43">
        <w:rPr>
          <w:rFonts w:ascii="Cambria" w:hAnsi="Cambria" w:cs="Cambria"/>
          <w:color w:val="000000"/>
          <w:sz w:val="20"/>
          <w:szCs w:val="20"/>
          <w:u w:color="000000"/>
          <w:bdr w:val="none" w:sz="0" w:space="0" w:color="auto"/>
          <w:lang w:val="es-PE" w:eastAsia="es-ES"/>
        </w:rPr>
        <w:t>:</w:t>
      </w:r>
    </w:p>
    <w:p w14:paraId="5D3C553A" w14:textId="77777777" w:rsidR="004E532E" w:rsidRPr="00116A43" w:rsidRDefault="004E532E" w:rsidP="009E70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mbria"/>
          <w:color w:val="000000"/>
          <w:sz w:val="20"/>
          <w:szCs w:val="20"/>
          <w:u w:color="000000"/>
          <w:bdr w:val="none" w:sz="0" w:space="0" w:color="auto"/>
          <w:lang w:val="es-ES_tradnl" w:eastAsia="es-ES"/>
        </w:rPr>
      </w:pPr>
    </w:p>
    <w:p w14:paraId="6E9E7619" w14:textId="469A7D19" w:rsidR="004E532E" w:rsidRPr="00116A43" w:rsidRDefault="004E532E" w:rsidP="00045AA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bdr w:val="none" w:sz="0" w:space="0" w:color="auto"/>
          <w:lang w:val="es-ES_tradnl"/>
        </w:rPr>
      </w:pPr>
      <w:r w:rsidRPr="00116A43">
        <w:rPr>
          <w:rFonts w:ascii="Cambria" w:hAnsi="Cambria"/>
          <w:sz w:val="18"/>
          <w:szCs w:val="18"/>
          <w:bdr w:val="none" w:sz="0" w:space="0" w:color="auto"/>
          <w:lang w:val="es-ES_tradnl"/>
        </w:rPr>
        <w:t xml:space="preserve">De conformidad con la Ley de Migración, Ley No. 1312 de 1976, para </w:t>
      </w:r>
      <w:r w:rsidRPr="00116A43">
        <w:rPr>
          <w:rFonts w:ascii="Cambria" w:hAnsi="Cambria"/>
          <w:iCs/>
          <w:sz w:val="18"/>
          <w:szCs w:val="18"/>
          <w:bdr w:val="none" w:sz="0" w:space="0" w:color="auto"/>
          <w:lang w:val="es-ES_tradnl"/>
        </w:rPr>
        <w:t xml:space="preserve">salir </w:t>
      </w:r>
      <w:r w:rsidRPr="00116A43">
        <w:rPr>
          <w:rFonts w:ascii="Cambria" w:hAnsi="Cambria"/>
          <w:sz w:val="18"/>
          <w:szCs w:val="18"/>
          <w:bdr w:val="none" w:sz="0" w:space="0" w:color="auto"/>
          <w:lang w:val="es-ES_tradnl"/>
        </w:rPr>
        <w:t xml:space="preserve">o entrar al territorio nacional, las y los cubanos requieren de un pasaporte corriente y un permiso de entrada o salida, otorgado por el </w:t>
      </w:r>
      <w:proofErr w:type="gramStart"/>
      <w:r w:rsidRPr="00116A43">
        <w:rPr>
          <w:rFonts w:ascii="Cambria" w:hAnsi="Cambria"/>
          <w:sz w:val="18"/>
          <w:szCs w:val="18"/>
          <w:bdr w:val="none" w:sz="0" w:space="0" w:color="auto"/>
          <w:lang w:val="es-ES_tradnl"/>
        </w:rPr>
        <w:t>Ministro</w:t>
      </w:r>
      <w:proofErr w:type="gramEnd"/>
      <w:r w:rsidRPr="00116A43">
        <w:rPr>
          <w:rFonts w:ascii="Cambria" w:hAnsi="Cambria"/>
          <w:sz w:val="18"/>
          <w:szCs w:val="18"/>
          <w:bdr w:val="none" w:sz="0" w:space="0" w:color="auto"/>
          <w:lang w:val="es-ES_tradnl"/>
        </w:rPr>
        <w:t xml:space="preserve"> del Interior. En la práctica las autoridades cubanas exigen una serie de requisitos que representan un obstáculo para que las y los cubanos puedan salir e ingresar al país libremente. Algunos de estos requisitos incluyen: la necesidad de certificados o declaraciones de empleadores o de familiares en apoyo de la solicitud, la descripción exacta del itinerario, el requisito de depositar una fianza de repatriación, estar en posesión de un pasaje de regreso o, tener una invitación del Estado de destino o de personas que vivan en él, entre otros. Por otra parte, la Ley no estipula un plazo para que la autoridad se pronuncie sobre la solicitud de permiso y, por lo general, los solicitantes tienen que esperar largo tiempo para obtener el permiso de salida o entrada. Las decisiones de los funcionarios del Ministerio del Interior que deniegan los permisos de salida o entrada no pueden ser recurridas ante un Tribunal porque emanan del ejercicio de una potestad discrecional</w:t>
      </w:r>
      <w:r w:rsidRPr="00116A43">
        <w:rPr>
          <w:rFonts w:ascii="Cambria" w:hAnsi="Cambria"/>
          <w:sz w:val="18"/>
          <w:szCs w:val="18"/>
          <w:bdr w:val="none" w:sz="0" w:space="0" w:color="auto"/>
          <w:vertAlign w:val="superscript"/>
          <w:lang w:val="es-ES_tradnl"/>
        </w:rPr>
        <w:footnoteReference w:id="198"/>
      </w:r>
      <w:r w:rsidR="004B274F" w:rsidRPr="00116A43">
        <w:rPr>
          <w:rFonts w:ascii="Cambria" w:hAnsi="Cambria"/>
          <w:sz w:val="18"/>
          <w:szCs w:val="18"/>
          <w:bdr w:val="none" w:sz="0" w:space="0" w:color="auto"/>
          <w:lang w:val="es-ES_tradnl"/>
        </w:rPr>
        <w:t>.</w:t>
      </w:r>
    </w:p>
    <w:p w14:paraId="502589BA" w14:textId="77777777" w:rsidR="004E532E" w:rsidRPr="00116A43" w:rsidRDefault="004E532E" w:rsidP="009E70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bdr w:val="none" w:sz="0" w:space="0" w:color="auto"/>
          <w:lang w:val="es-ES_tradnl"/>
        </w:rPr>
      </w:pPr>
    </w:p>
    <w:p w14:paraId="31E6C83D" w14:textId="4C5DC570" w:rsidR="0055632C" w:rsidRDefault="003018E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La normativa citada en el párrafo anterior</w:t>
      </w:r>
      <w:r w:rsidR="00C07BF8" w:rsidRPr="00116A43">
        <w:rPr>
          <w:rFonts w:ascii="Cambria" w:hAnsi="Cambria" w:cs="Cambria"/>
          <w:color w:val="000000"/>
          <w:sz w:val="20"/>
          <w:szCs w:val="20"/>
          <w:u w:color="000000"/>
          <w:bdr w:val="none" w:sz="0" w:space="0" w:color="auto"/>
          <w:lang w:val="es-PE" w:eastAsia="es-ES"/>
        </w:rPr>
        <w:t>—si bien actualmente modificada—</w:t>
      </w:r>
      <w:r w:rsidRPr="00116A43">
        <w:rPr>
          <w:rFonts w:ascii="Cambria" w:hAnsi="Cambria" w:cs="Cambria"/>
          <w:color w:val="000000"/>
          <w:sz w:val="20"/>
          <w:szCs w:val="20"/>
          <w:u w:color="000000"/>
          <w:bdr w:val="none" w:sz="0" w:space="0" w:color="auto"/>
          <w:lang w:val="es-PE" w:eastAsia="es-ES"/>
        </w:rPr>
        <w:t xml:space="preserve"> fue aplicada al presente caso</w:t>
      </w:r>
      <w:r w:rsidR="00B1115E" w:rsidRPr="00116A43">
        <w:rPr>
          <w:rFonts w:ascii="Cambria" w:hAnsi="Cambria" w:cs="Cambria"/>
          <w:color w:val="000000"/>
          <w:sz w:val="20"/>
          <w:szCs w:val="20"/>
          <w:u w:color="000000"/>
          <w:bdr w:val="none" w:sz="0" w:space="0" w:color="auto"/>
          <w:lang w:val="es-PE" w:eastAsia="es-ES"/>
        </w:rPr>
        <w:t>. La CIDH considera que dicha normativa vulneró los</w:t>
      </w:r>
      <w:r w:rsidR="00CF5D1C" w:rsidRPr="00116A43">
        <w:rPr>
          <w:rFonts w:ascii="Cambria" w:hAnsi="Cambria" w:cs="Arial"/>
          <w:sz w:val="20"/>
          <w:szCs w:val="20"/>
          <w:shd w:val="clear" w:color="auto" w:fill="FFFFFF"/>
        </w:rPr>
        <w:t xml:space="preserve"> derecho</w:t>
      </w:r>
      <w:r w:rsidR="0011208E">
        <w:rPr>
          <w:rFonts w:ascii="Cambria" w:hAnsi="Cambria" w:cs="Arial"/>
          <w:sz w:val="20"/>
          <w:szCs w:val="20"/>
          <w:shd w:val="clear" w:color="auto" w:fill="FFFFFF"/>
        </w:rPr>
        <w:t>s</w:t>
      </w:r>
      <w:r w:rsidR="00CF5D1C" w:rsidRPr="00116A43">
        <w:rPr>
          <w:rFonts w:ascii="Cambria" w:hAnsi="Cambria" w:cs="Arial"/>
          <w:sz w:val="20"/>
          <w:szCs w:val="20"/>
          <w:shd w:val="clear" w:color="auto" w:fill="FFFFFF"/>
        </w:rPr>
        <w:t xml:space="preserve"> </w:t>
      </w:r>
      <w:r w:rsidR="00C07BF8" w:rsidRPr="00116A43">
        <w:rPr>
          <w:rFonts w:ascii="Cambria" w:hAnsi="Cambria" w:cs="Arial"/>
          <w:sz w:val="20"/>
          <w:szCs w:val="20"/>
          <w:shd w:val="clear" w:color="auto" w:fill="FFFFFF"/>
        </w:rPr>
        <w:t>de residencia y tránsito</w:t>
      </w:r>
      <w:r w:rsidR="00B1115E" w:rsidRPr="00116A43">
        <w:rPr>
          <w:rFonts w:ascii="Cambria" w:hAnsi="Cambria" w:cs="Arial"/>
          <w:sz w:val="20"/>
          <w:szCs w:val="20"/>
          <w:shd w:val="clear" w:color="auto" w:fill="FFFFFF"/>
        </w:rPr>
        <w:t xml:space="preserve"> y no se adecuó a los estándares de legalidad, necesidad y proporcionalidad</w:t>
      </w:r>
      <w:r w:rsidR="00CF5D1C" w:rsidRPr="00116A43">
        <w:rPr>
          <w:rFonts w:ascii="Cambria" w:hAnsi="Cambria" w:cs="Arial"/>
          <w:sz w:val="20"/>
          <w:szCs w:val="20"/>
          <w:shd w:val="clear" w:color="auto" w:fill="FFFFFF"/>
        </w:rPr>
        <w:t>.</w:t>
      </w:r>
      <w:r w:rsidR="00002435" w:rsidRPr="00116A43">
        <w:rPr>
          <w:rFonts w:ascii="Cambria" w:hAnsi="Cambria" w:cs="Cambria"/>
          <w:color w:val="000000"/>
          <w:sz w:val="20"/>
          <w:szCs w:val="20"/>
          <w:u w:color="000000"/>
          <w:bdr w:val="none" w:sz="0" w:space="0" w:color="auto"/>
          <w:lang w:eastAsia="es-ES"/>
        </w:rPr>
        <w:t xml:space="preserve"> </w:t>
      </w:r>
      <w:r w:rsidR="004E532E" w:rsidRPr="00116A43">
        <w:rPr>
          <w:rFonts w:ascii="Cambria" w:hAnsi="Cambria" w:cs="Cambria"/>
          <w:color w:val="000000"/>
          <w:sz w:val="20"/>
          <w:szCs w:val="20"/>
          <w:u w:color="000000"/>
          <w:bdr w:val="none" w:sz="0" w:space="0" w:color="auto"/>
          <w:lang w:val="es-PE" w:eastAsia="es-ES"/>
        </w:rPr>
        <w:t xml:space="preserve">Ahora bien, </w:t>
      </w:r>
      <w:r w:rsidR="00026324" w:rsidRPr="00116A43">
        <w:rPr>
          <w:rFonts w:ascii="Cambria" w:hAnsi="Cambria" w:cs="Cambria"/>
          <w:color w:val="000000"/>
          <w:sz w:val="20"/>
          <w:szCs w:val="20"/>
          <w:u w:color="000000"/>
          <w:bdr w:val="none" w:sz="0" w:space="0" w:color="auto"/>
          <w:lang w:val="es-PE" w:eastAsia="es-ES"/>
        </w:rPr>
        <w:t xml:space="preserve">la CIDH nota que </w:t>
      </w:r>
      <w:r w:rsidR="004E532E" w:rsidRPr="00116A43">
        <w:rPr>
          <w:rFonts w:ascii="Cambria" w:hAnsi="Cambria" w:cs="Cambria"/>
          <w:color w:val="000000"/>
          <w:sz w:val="20"/>
          <w:szCs w:val="20"/>
          <w:u w:color="000000"/>
          <w:bdr w:val="none" w:sz="0" w:space="0" w:color="auto"/>
          <w:lang w:val="es-PE" w:eastAsia="es-ES"/>
        </w:rPr>
        <w:t>la Constitución de Cuba</w:t>
      </w:r>
      <w:r w:rsidR="0032692E" w:rsidRPr="00116A43">
        <w:rPr>
          <w:rFonts w:ascii="Cambria" w:hAnsi="Cambria" w:cs="Cambria"/>
          <w:color w:val="000000"/>
          <w:sz w:val="20"/>
          <w:szCs w:val="20"/>
          <w:u w:color="000000"/>
          <w:bdr w:val="none" w:sz="0" w:space="0" w:color="auto"/>
          <w:lang w:val="es-PE" w:eastAsia="es-ES"/>
        </w:rPr>
        <w:t xml:space="preserve"> de 2019</w:t>
      </w:r>
      <w:r w:rsidR="004E532E" w:rsidRPr="00116A43">
        <w:rPr>
          <w:rFonts w:ascii="Cambria" w:hAnsi="Cambria" w:cs="Cambria"/>
          <w:color w:val="000000"/>
          <w:sz w:val="20"/>
          <w:szCs w:val="20"/>
          <w:u w:color="000000"/>
          <w:bdr w:val="none" w:sz="0" w:space="0" w:color="auto"/>
          <w:lang w:val="es-PE" w:eastAsia="es-ES"/>
        </w:rPr>
        <w:t xml:space="preserve"> </w:t>
      </w:r>
      <w:r w:rsidR="00026324" w:rsidRPr="00116A43">
        <w:rPr>
          <w:rFonts w:ascii="Cambria" w:hAnsi="Cambria" w:cs="Cambria"/>
          <w:color w:val="000000"/>
          <w:sz w:val="20"/>
          <w:szCs w:val="20"/>
          <w:u w:color="000000"/>
          <w:bdr w:val="none" w:sz="0" w:space="0" w:color="auto"/>
          <w:lang w:val="es-PE" w:eastAsia="es-ES"/>
        </w:rPr>
        <w:t>reconoce</w:t>
      </w:r>
      <w:r w:rsidR="004E532E" w:rsidRPr="00116A43">
        <w:rPr>
          <w:rFonts w:ascii="Cambria" w:hAnsi="Cambria" w:cs="Cambria"/>
          <w:color w:val="000000"/>
          <w:sz w:val="20"/>
          <w:szCs w:val="20"/>
          <w:u w:color="000000"/>
          <w:bdr w:val="none" w:sz="0" w:space="0" w:color="auto"/>
          <w:lang w:val="es-PE" w:eastAsia="es-ES"/>
        </w:rPr>
        <w:t xml:space="preserve"> el derecho a la libre circulación</w:t>
      </w:r>
      <w:r w:rsidR="00DD6188" w:rsidRPr="00116A43">
        <w:rPr>
          <w:rFonts w:ascii="Cambria" w:hAnsi="Cambria" w:cs="Cambria"/>
          <w:color w:val="000000"/>
          <w:sz w:val="20"/>
          <w:szCs w:val="20"/>
          <w:u w:color="000000"/>
          <w:bdr w:val="none" w:sz="0" w:space="0" w:color="auto"/>
          <w:lang w:val="es-PE" w:eastAsia="es-ES"/>
        </w:rPr>
        <w:t xml:space="preserve"> y el derecho de los </w:t>
      </w:r>
      <w:r w:rsidR="004E532E" w:rsidRPr="00116A43">
        <w:rPr>
          <w:rFonts w:ascii="Cambria" w:hAnsi="Cambria" w:cs="Cambria"/>
          <w:color w:val="000000"/>
          <w:sz w:val="20"/>
          <w:szCs w:val="20"/>
          <w:u w:color="000000"/>
          <w:bdr w:val="none" w:sz="0" w:space="0" w:color="auto"/>
          <w:lang w:val="es-PE" w:eastAsia="es-ES"/>
        </w:rPr>
        <w:t>ciudadano</w:t>
      </w:r>
      <w:r w:rsidR="00DD6188" w:rsidRPr="00116A43">
        <w:rPr>
          <w:rFonts w:ascii="Cambria" w:hAnsi="Cambria" w:cs="Cambria"/>
          <w:color w:val="000000"/>
          <w:sz w:val="20"/>
          <w:szCs w:val="20"/>
          <w:u w:color="000000"/>
          <w:bdr w:val="none" w:sz="0" w:space="0" w:color="auto"/>
          <w:lang w:val="es-PE" w:eastAsia="es-ES"/>
        </w:rPr>
        <w:t xml:space="preserve">s </w:t>
      </w:r>
      <w:r w:rsidR="005B6482" w:rsidRPr="00116A43">
        <w:rPr>
          <w:rFonts w:ascii="Cambria" w:hAnsi="Cambria" w:cs="Cambria"/>
          <w:color w:val="000000"/>
          <w:sz w:val="20"/>
          <w:szCs w:val="20"/>
          <w:u w:color="000000"/>
          <w:bdr w:val="none" w:sz="0" w:space="0" w:color="auto"/>
          <w:lang w:val="es-PE" w:eastAsia="es-ES"/>
        </w:rPr>
        <w:t>a</w:t>
      </w:r>
      <w:r w:rsidR="004E532E" w:rsidRPr="00116A43">
        <w:rPr>
          <w:rFonts w:ascii="Cambria" w:hAnsi="Cambria" w:cs="Cambria"/>
          <w:color w:val="000000"/>
          <w:sz w:val="20"/>
          <w:szCs w:val="20"/>
          <w:u w:color="000000"/>
          <w:bdr w:val="none" w:sz="0" w:space="0" w:color="auto"/>
          <w:lang w:val="es-PE" w:eastAsia="es-ES"/>
        </w:rPr>
        <w:t xml:space="preserve"> salir de</w:t>
      </w:r>
      <w:r w:rsidR="00DD6188" w:rsidRPr="00116A43">
        <w:rPr>
          <w:rFonts w:ascii="Cambria" w:hAnsi="Cambria" w:cs="Cambria"/>
          <w:color w:val="000000"/>
          <w:sz w:val="20"/>
          <w:szCs w:val="20"/>
          <w:u w:color="000000"/>
          <w:bdr w:val="none" w:sz="0" w:space="0" w:color="auto"/>
          <w:lang w:val="es-PE" w:eastAsia="es-ES"/>
        </w:rPr>
        <w:t>l país</w:t>
      </w:r>
      <w:r w:rsidR="004E532E" w:rsidRPr="00116A43">
        <w:rPr>
          <w:rFonts w:ascii="Cambria" w:hAnsi="Cambria" w:cs="Cambria"/>
          <w:color w:val="000000"/>
          <w:sz w:val="20"/>
          <w:szCs w:val="20"/>
          <w:u w:color="000000"/>
          <w:bdr w:val="none" w:sz="0" w:space="0" w:color="auto"/>
          <w:vertAlign w:val="superscript"/>
          <w:lang w:val="es-PE" w:eastAsia="es-ES"/>
        </w:rPr>
        <w:footnoteReference w:id="199"/>
      </w:r>
      <w:r w:rsidR="0032692E" w:rsidRPr="00116A43">
        <w:rPr>
          <w:rFonts w:ascii="Cambria" w:hAnsi="Cambria" w:cs="Cambria"/>
          <w:color w:val="000000"/>
          <w:sz w:val="20"/>
          <w:szCs w:val="20"/>
          <w:u w:color="000000"/>
          <w:bdr w:val="none" w:sz="0" w:space="0" w:color="auto"/>
          <w:lang w:val="es-PE" w:eastAsia="es-ES"/>
        </w:rPr>
        <w:t xml:space="preserve">. Asimismo, </w:t>
      </w:r>
      <w:r w:rsidR="004E532E" w:rsidRPr="00116A43">
        <w:rPr>
          <w:rFonts w:ascii="Cambria" w:hAnsi="Cambria" w:cs="Cambria"/>
          <w:color w:val="000000"/>
          <w:sz w:val="20"/>
          <w:szCs w:val="20"/>
          <w:u w:color="000000"/>
          <w:bdr w:val="none" w:sz="0" w:space="0" w:color="auto"/>
          <w:lang w:val="es-PE" w:eastAsia="es-ES"/>
        </w:rPr>
        <w:t xml:space="preserve">la </w:t>
      </w:r>
      <w:r w:rsidR="004E532E" w:rsidRPr="00116A43">
        <w:rPr>
          <w:rFonts w:ascii="Cambria" w:hAnsi="Cambria"/>
          <w:sz w:val="20"/>
          <w:szCs w:val="20"/>
          <w:bdr w:val="none" w:sz="0" w:space="0" w:color="auto"/>
          <w:lang w:val="es-ES_tradnl"/>
        </w:rPr>
        <w:t xml:space="preserve">Ley No. 1312 de 1976 fue reformada por el Decreto-Ley </w:t>
      </w:r>
      <w:r w:rsidR="0032692E" w:rsidRPr="00116A43">
        <w:rPr>
          <w:rFonts w:ascii="Cambria" w:hAnsi="Cambria"/>
          <w:sz w:val="20"/>
          <w:szCs w:val="20"/>
          <w:bdr w:val="none" w:sz="0" w:space="0" w:color="auto"/>
          <w:lang w:val="es-ES_tradnl"/>
        </w:rPr>
        <w:t>N</w:t>
      </w:r>
      <w:r w:rsidR="004E532E" w:rsidRPr="00116A43">
        <w:rPr>
          <w:rFonts w:ascii="Cambria" w:hAnsi="Cambria"/>
          <w:sz w:val="20"/>
          <w:szCs w:val="20"/>
          <w:bdr w:val="none" w:sz="0" w:space="0" w:color="auto"/>
          <w:lang w:val="es-ES_tradnl"/>
        </w:rPr>
        <w:t>o. 302</w:t>
      </w:r>
      <w:r w:rsidR="004E532E" w:rsidRPr="00116A43">
        <w:rPr>
          <w:rFonts w:ascii="Cambria" w:hAnsi="Cambria"/>
          <w:sz w:val="20"/>
          <w:szCs w:val="20"/>
          <w:bdr w:val="none" w:sz="0" w:space="0" w:color="auto"/>
          <w:vertAlign w:val="superscript"/>
          <w:lang w:val="es-ES_tradnl"/>
        </w:rPr>
        <w:footnoteReference w:id="200"/>
      </w:r>
      <w:r w:rsidR="004E532E" w:rsidRPr="00116A43">
        <w:rPr>
          <w:rFonts w:ascii="Cambria" w:hAnsi="Cambria"/>
          <w:sz w:val="20"/>
          <w:szCs w:val="20"/>
          <w:bdr w:val="none" w:sz="0" w:space="0" w:color="auto"/>
          <w:lang w:val="es-ES_tradnl"/>
        </w:rPr>
        <w:t xml:space="preserve"> </w:t>
      </w:r>
      <w:r w:rsidR="0032692E" w:rsidRPr="00116A43">
        <w:rPr>
          <w:rFonts w:ascii="Cambria" w:hAnsi="Cambria"/>
          <w:sz w:val="20"/>
          <w:szCs w:val="20"/>
          <w:bdr w:val="none" w:sz="0" w:space="0" w:color="auto"/>
          <w:lang w:val="es-ES_tradnl"/>
        </w:rPr>
        <w:t>el</w:t>
      </w:r>
      <w:r w:rsidR="004E532E" w:rsidRPr="00116A43">
        <w:rPr>
          <w:rFonts w:ascii="Cambria" w:hAnsi="Cambria"/>
          <w:sz w:val="20"/>
          <w:szCs w:val="20"/>
          <w:bdr w:val="none" w:sz="0" w:space="0" w:color="auto"/>
          <w:lang w:val="es-ES_tradnl"/>
        </w:rPr>
        <w:t xml:space="preserve"> 16 de octubre de 2012, </w:t>
      </w:r>
      <w:r w:rsidR="0032692E" w:rsidRPr="00116A43">
        <w:rPr>
          <w:rFonts w:ascii="Cambria" w:hAnsi="Cambria"/>
          <w:sz w:val="20"/>
          <w:szCs w:val="20"/>
          <w:bdr w:val="none" w:sz="0" w:space="0" w:color="auto"/>
          <w:lang w:val="es-ES_tradnl"/>
        </w:rPr>
        <w:t>por medio de</w:t>
      </w:r>
      <w:r w:rsidR="005B6482" w:rsidRPr="00116A43">
        <w:rPr>
          <w:rFonts w:ascii="Cambria" w:hAnsi="Cambria"/>
          <w:sz w:val="20"/>
          <w:szCs w:val="20"/>
          <w:bdr w:val="none" w:sz="0" w:space="0" w:color="auto"/>
          <w:lang w:val="es-ES_tradnl"/>
        </w:rPr>
        <w:t xml:space="preserve">l </w:t>
      </w:r>
      <w:r w:rsidR="0032692E" w:rsidRPr="00116A43">
        <w:rPr>
          <w:rFonts w:ascii="Cambria" w:hAnsi="Cambria"/>
          <w:sz w:val="20"/>
          <w:szCs w:val="20"/>
          <w:bdr w:val="none" w:sz="0" w:space="0" w:color="auto"/>
          <w:lang w:val="es-ES_tradnl"/>
        </w:rPr>
        <w:t xml:space="preserve">cual </w:t>
      </w:r>
      <w:r w:rsidR="009F7ECB" w:rsidRPr="00116A43">
        <w:rPr>
          <w:rFonts w:ascii="Cambria" w:hAnsi="Cambria"/>
          <w:sz w:val="20"/>
          <w:szCs w:val="20"/>
          <w:lang w:val="es-PE"/>
        </w:rPr>
        <w:t>se eliminó parcialmente el requisito de la autorización para salir del territorio</w:t>
      </w:r>
      <w:r w:rsidR="002C193A" w:rsidRPr="00116A43">
        <w:rPr>
          <w:rFonts w:ascii="Cambria" w:hAnsi="Cambria"/>
          <w:sz w:val="20"/>
          <w:szCs w:val="20"/>
          <w:lang w:val="es-PE"/>
        </w:rPr>
        <w:t>, aunque se m</w:t>
      </w:r>
      <w:r w:rsidR="009504A0" w:rsidRPr="00116A43">
        <w:rPr>
          <w:rFonts w:ascii="Cambria" w:hAnsi="Cambria"/>
          <w:sz w:val="20"/>
          <w:szCs w:val="20"/>
          <w:lang w:val="es-PE"/>
        </w:rPr>
        <w:t>antuvo</w:t>
      </w:r>
      <w:r w:rsidR="00055BF3" w:rsidRPr="00116A43">
        <w:rPr>
          <w:rFonts w:ascii="Cambria" w:hAnsi="Cambria"/>
          <w:sz w:val="20"/>
          <w:szCs w:val="20"/>
          <w:lang w:val="es-PE"/>
        </w:rPr>
        <w:t xml:space="preserve"> una </w:t>
      </w:r>
      <w:r w:rsidR="00055BF3" w:rsidRPr="00116A43">
        <w:rPr>
          <w:rFonts w:ascii="Cambria" w:hAnsi="Cambria"/>
          <w:sz w:val="20"/>
          <w:szCs w:val="20"/>
          <w:lang w:val="es-PE"/>
        </w:rPr>
        <w:lastRenderedPageBreak/>
        <w:t>serie de supuestos mediante los cuales ciertos nacionales cubanos que resid</w:t>
      </w:r>
      <w:r w:rsidR="003C51B9" w:rsidRPr="00116A43">
        <w:rPr>
          <w:rFonts w:ascii="Cambria" w:hAnsi="Cambria"/>
          <w:sz w:val="20"/>
          <w:szCs w:val="20"/>
          <w:lang w:val="es-PE"/>
        </w:rPr>
        <w:t>í</w:t>
      </w:r>
      <w:r w:rsidR="00055BF3" w:rsidRPr="00116A43">
        <w:rPr>
          <w:rFonts w:ascii="Cambria" w:hAnsi="Cambria"/>
          <w:sz w:val="20"/>
          <w:szCs w:val="20"/>
          <w:lang w:val="es-PE"/>
        </w:rPr>
        <w:t>an en Cuba no podr</w:t>
      </w:r>
      <w:r w:rsidR="003C51B9" w:rsidRPr="00116A43">
        <w:rPr>
          <w:rFonts w:ascii="Cambria" w:hAnsi="Cambria"/>
          <w:sz w:val="20"/>
          <w:szCs w:val="20"/>
          <w:lang w:val="es-PE"/>
        </w:rPr>
        <w:t>ía</w:t>
      </w:r>
      <w:r w:rsidR="00055BF3" w:rsidRPr="00116A43">
        <w:rPr>
          <w:rFonts w:ascii="Cambria" w:hAnsi="Cambria"/>
          <w:sz w:val="20"/>
          <w:szCs w:val="20"/>
          <w:lang w:val="es-PE"/>
        </w:rPr>
        <w:t>n obtener pasaporte corriente o no podr</w:t>
      </w:r>
      <w:r w:rsidR="003C51B9" w:rsidRPr="00116A43">
        <w:rPr>
          <w:rFonts w:ascii="Cambria" w:hAnsi="Cambria"/>
          <w:sz w:val="20"/>
          <w:szCs w:val="20"/>
          <w:lang w:val="es-PE"/>
        </w:rPr>
        <w:t>ía</w:t>
      </w:r>
      <w:r w:rsidR="00055BF3" w:rsidRPr="00116A43">
        <w:rPr>
          <w:rFonts w:ascii="Cambria" w:hAnsi="Cambria"/>
          <w:sz w:val="20"/>
          <w:szCs w:val="20"/>
          <w:lang w:val="es-PE"/>
        </w:rPr>
        <w:t xml:space="preserve">n salir del país </w:t>
      </w:r>
      <w:r w:rsidR="003C51B9" w:rsidRPr="00116A43">
        <w:rPr>
          <w:rFonts w:ascii="Cambria" w:hAnsi="Cambria"/>
          <w:sz w:val="20"/>
          <w:szCs w:val="20"/>
          <w:lang w:val="es-PE"/>
        </w:rPr>
        <w:t>con base en</w:t>
      </w:r>
      <w:r w:rsidR="00055BF3" w:rsidRPr="00116A43">
        <w:rPr>
          <w:rFonts w:ascii="Cambria" w:hAnsi="Cambria"/>
          <w:sz w:val="20"/>
          <w:szCs w:val="20"/>
          <w:lang w:val="es-PE"/>
        </w:rPr>
        <w:t xml:space="preserve"> </w:t>
      </w:r>
      <w:r w:rsidR="00B1115E" w:rsidRPr="00116A43">
        <w:rPr>
          <w:rFonts w:ascii="Cambria" w:hAnsi="Cambria"/>
          <w:sz w:val="20"/>
          <w:szCs w:val="20"/>
          <w:lang w:val="es-PE"/>
        </w:rPr>
        <w:t>motivos</w:t>
      </w:r>
      <w:r w:rsidR="00055BF3" w:rsidRPr="00116A43">
        <w:rPr>
          <w:rFonts w:ascii="Cambria" w:hAnsi="Cambria"/>
          <w:sz w:val="20"/>
          <w:szCs w:val="20"/>
          <w:lang w:val="es-PE"/>
        </w:rPr>
        <w:t xml:space="preserve"> </w:t>
      </w:r>
      <w:r w:rsidR="00C053DE" w:rsidRPr="00116A43">
        <w:rPr>
          <w:rFonts w:ascii="Cambria" w:hAnsi="Cambria"/>
          <w:sz w:val="20"/>
          <w:szCs w:val="20"/>
          <w:lang w:val="es-PE"/>
        </w:rPr>
        <w:t>redactad</w:t>
      </w:r>
      <w:r w:rsidR="00B1115E" w:rsidRPr="00116A43">
        <w:rPr>
          <w:rFonts w:ascii="Cambria" w:hAnsi="Cambria"/>
          <w:sz w:val="20"/>
          <w:szCs w:val="20"/>
          <w:lang w:val="es-PE"/>
        </w:rPr>
        <w:t>o</w:t>
      </w:r>
      <w:r w:rsidR="00C053DE" w:rsidRPr="00116A43">
        <w:rPr>
          <w:rFonts w:ascii="Cambria" w:hAnsi="Cambria"/>
          <w:sz w:val="20"/>
          <w:szCs w:val="20"/>
          <w:lang w:val="es-PE"/>
        </w:rPr>
        <w:t>s de manera muy general</w:t>
      </w:r>
      <w:r w:rsidR="00CC4CDC" w:rsidRPr="00116A43">
        <w:rPr>
          <w:rFonts w:ascii="Cambria" w:hAnsi="Cambria"/>
          <w:sz w:val="20"/>
          <w:szCs w:val="20"/>
          <w:lang w:val="es-PE"/>
        </w:rPr>
        <w:t xml:space="preserve">, </w:t>
      </w:r>
      <w:r w:rsidR="00626C70" w:rsidRPr="00116A43">
        <w:rPr>
          <w:rFonts w:ascii="Cambria" w:hAnsi="Cambria"/>
          <w:sz w:val="20"/>
          <w:szCs w:val="20"/>
          <w:lang w:val="es-PE"/>
        </w:rPr>
        <w:t>que</w:t>
      </w:r>
      <w:r w:rsidR="00CC4CDC" w:rsidRPr="00116A43">
        <w:rPr>
          <w:rFonts w:ascii="Cambria" w:hAnsi="Cambria"/>
          <w:sz w:val="20"/>
          <w:szCs w:val="20"/>
          <w:lang w:val="es-PE"/>
        </w:rPr>
        <w:t xml:space="preserve"> aun</w:t>
      </w:r>
      <w:r w:rsidR="00626C70" w:rsidRPr="00116A43">
        <w:rPr>
          <w:rFonts w:ascii="Cambria" w:hAnsi="Cambria"/>
          <w:sz w:val="20"/>
          <w:szCs w:val="20"/>
          <w:lang w:val="es-PE"/>
        </w:rPr>
        <w:t xml:space="preserve"> </w:t>
      </w:r>
      <w:r w:rsidR="00055BF3" w:rsidRPr="00116A43">
        <w:rPr>
          <w:rFonts w:ascii="Cambria" w:hAnsi="Cambria"/>
          <w:sz w:val="20"/>
          <w:szCs w:val="20"/>
          <w:lang w:val="es-PE"/>
        </w:rPr>
        <w:t>confiere</w:t>
      </w:r>
      <w:r w:rsidR="00626C70" w:rsidRPr="00116A43">
        <w:rPr>
          <w:rFonts w:ascii="Cambria" w:hAnsi="Cambria"/>
          <w:sz w:val="20"/>
          <w:szCs w:val="20"/>
          <w:lang w:val="es-PE"/>
        </w:rPr>
        <w:t>n</w:t>
      </w:r>
      <w:r w:rsidR="00055BF3" w:rsidRPr="00116A43">
        <w:rPr>
          <w:rFonts w:ascii="Cambria" w:hAnsi="Cambria"/>
          <w:sz w:val="20"/>
          <w:szCs w:val="20"/>
          <w:lang w:val="es-PE"/>
        </w:rPr>
        <w:t xml:space="preserve"> un amplio margen de discrecionalidad a las autoridades cubanas para </w:t>
      </w:r>
      <w:r w:rsidR="003C51B9" w:rsidRPr="00116A43">
        <w:rPr>
          <w:rFonts w:ascii="Cambria" w:hAnsi="Cambria"/>
          <w:sz w:val="20"/>
          <w:szCs w:val="20"/>
          <w:lang w:val="es-PE"/>
        </w:rPr>
        <w:t xml:space="preserve">autorizar </w:t>
      </w:r>
      <w:r w:rsidR="00055BF3" w:rsidRPr="00116A43">
        <w:rPr>
          <w:rFonts w:ascii="Cambria" w:hAnsi="Cambria"/>
          <w:sz w:val="20"/>
          <w:szCs w:val="20"/>
          <w:lang w:val="es-PE"/>
        </w:rPr>
        <w:t>la salida de nacionales cubanos.</w:t>
      </w:r>
      <w:r w:rsidR="002C193A" w:rsidRPr="00116A43">
        <w:rPr>
          <w:rFonts w:ascii="Cambria" w:hAnsi="Cambria"/>
          <w:sz w:val="20"/>
          <w:szCs w:val="20"/>
          <w:lang w:val="es-PE"/>
        </w:rPr>
        <w:t xml:space="preserve"> </w:t>
      </w:r>
      <w:r w:rsidR="0055632C" w:rsidRPr="00116A43">
        <w:rPr>
          <w:rFonts w:ascii="Cambria" w:hAnsi="Cambria"/>
          <w:sz w:val="20"/>
          <w:szCs w:val="20"/>
          <w:lang w:val="es-PE"/>
        </w:rPr>
        <w:t>Si bien</w:t>
      </w:r>
      <w:r w:rsidR="0055632C" w:rsidRPr="00116A43">
        <w:rPr>
          <w:rFonts w:ascii="Cambria" w:hAnsi="Cambria" w:cs="Cambria"/>
          <w:color w:val="000000"/>
          <w:sz w:val="20"/>
          <w:szCs w:val="20"/>
          <w:u w:color="000000"/>
          <w:bdr w:val="none" w:sz="0" w:space="0" w:color="auto"/>
          <w:lang w:val="es-PE" w:eastAsia="es-ES"/>
        </w:rPr>
        <w:t xml:space="preserve"> los peticionarios informaron que desde finales de 2012 Yoani Sánchez ha </w:t>
      </w:r>
      <w:r w:rsidR="00713F53" w:rsidRPr="00116A43">
        <w:rPr>
          <w:rFonts w:ascii="Cambria" w:hAnsi="Cambria" w:cs="Cambria"/>
          <w:color w:val="000000"/>
          <w:sz w:val="20"/>
          <w:szCs w:val="20"/>
          <w:u w:color="000000"/>
          <w:bdr w:val="none" w:sz="0" w:space="0" w:color="auto"/>
          <w:lang w:val="es-PE" w:eastAsia="es-ES"/>
        </w:rPr>
        <w:t xml:space="preserve">podido salir del país, y no se ha brindado información sobre la aplicación del Decreto Ley No. 302 para el caso concreto, </w:t>
      </w:r>
      <w:r w:rsidR="00E30672" w:rsidRPr="00116A43">
        <w:rPr>
          <w:rFonts w:ascii="Cambria" w:hAnsi="Cambria" w:cs="Cambria"/>
          <w:color w:val="000000"/>
          <w:sz w:val="20"/>
          <w:szCs w:val="20"/>
          <w:u w:color="000000"/>
          <w:bdr w:val="none" w:sz="0" w:space="0" w:color="auto"/>
          <w:lang w:val="es-PE" w:eastAsia="es-ES"/>
        </w:rPr>
        <w:t xml:space="preserve">la CIDH, de manera general, destaca </w:t>
      </w:r>
      <w:r w:rsidR="0082242B">
        <w:rPr>
          <w:rFonts w:ascii="Cambria" w:hAnsi="Cambria" w:cs="Cambria"/>
          <w:color w:val="000000"/>
          <w:sz w:val="20"/>
          <w:szCs w:val="20"/>
          <w:u w:color="000000"/>
          <w:bdr w:val="none" w:sz="0" w:space="0" w:color="auto"/>
          <w:lang w:val="es-PE" w:eastAsia="es-ES"/>
        </w:rPr>
        <w:t xml:space="preserve">que, </w:t>
      </w:r>
      <w:r w:rsidR="00963704" w:rsidRPr="00116A43">
        <w:rPr>
          <w:rFonts w:ascii="Cambria" w:hAnsi="Cambria" w:cs="Cambria"/>
          <w:color w:val="000000"/>
          <w:sz w:val="20"/>
          <w:szCs w:val="20"/>
          <w:u w:color="000000"/>
          <w:bdr w:val="none" w:sz="0" w:space="0" w:color="auto"/>
          <w:lang w:val="es-PE" w:eastAsia="es-ES"/>
        </w:rPr>
        <w:t xml:space="preserve">si bien </w:t>
      </w:r>
      <w:r w:rsidR="0082242B" w:rsidRPr="00116A43">
        <w:rPr>
          <w:rFonts w:ascii="Cambria" w:hAnsi="Cambria" w:cs="Cambria"/>
          <w:color w:val="000000"/>
          <w:sz w:val="20"/>
          <w:szCs w:val="20"/>
          <w:u w:color="000000"/>
          <w:bdr w:val="none" w:sz="0" w:space="0" w:color="auto"/>
          <w:lang w:val="es-PE" w:eastAsia="es-ES"/>
        </w:rPr>
        <w:t>dicha normativa</w:t>
      </w:r>
      <w:r w:rsidR="0082242B">
        <w:rPr>
          <w:rFonts w:ascii="Cambria" w:hAnsi="Cambria" w:cs="Cambria"/>
          <w:color w:val="000000"/>
          <w:sz w:val="20"/>
          <w:szCs w:val="20"/>
          <w:u w:color="000000"/>
          <w:bdr w:val="none" w:sz="0" w:space="0" w:color="auto"/>
          <w:lang w:val="es-PE" w:eastAsia="es-ES"/>
        </w:rPr>
        <w:t xml:space="preserve"> </w:t>
      </w:r>
      <w:r w:rsidR="00963704" w:rsidRPr="00116A43">
        <w:rPr>
          <w:rFonts w:ascii="Cambria" w:hAnsi="Cambria" w:cs="Cambria"/>
          <w:color w:val="000000"/>
          <w:sz w:val="20"/>
          <w:szCs w:val="20"/>
          <w:u w:color="000000"/>
          <w:bdr w:val="none" w:sz="0" w:space="0" w:color="auto"/>
          <w:lang w:val="es-PE" w:eastAsia="es-ES"/>
        </w:rPr>
        <w:t xml:space="preserve">ha significado un avance, no ha logrado impedir las prohibiciones </w:t>
      </w:r>
      <w:r w:rsidR="003769CC" w:rsidRPr="00116A43">
        <w:rPr>
          <w:rFonts w:ascii="Cambria" w:hAnsi="Cambria" w:cs="Cambria"/>
          <w:color w:val="000000"/>
          <w:sz w:val="20"/>
          <w:szCs w:val="20"/>
          <w:u w:color="000000"/>
          <w:bdr w:val="none" w:sz="0" w:space="0" w:color="auto"/>
          <w:lang w:val="es-PE" w:eastAsia="es-ES"/>
        </w:rPr>
        <w:t>injustificadas de salida del país contra disidentes políticos y periodistas opositores</w:t>
      </w:r>
      <w:r w:rsidR="003769CC" w:rsidRPr="00116A43">
        <w:rPr>
          <w:rFonts w:ascii="Cambria" w:hAnsi="Cambria" w:cs="Cambria"/>
          <w:color w:val="000000"/>
          <w:sz w:val="20"/>
          <w:szCs w:val="20"/>
          <w:u w:color="000000"/>
          <w:bdr w:val="none" w:sz="0" w:space="0" w:color="auto"/>
          <w:vertAlign w:val="superscript"/>
          <w:lang w:val="es-PE" w:eastAsia="es-ES"/>
        </w:rPr>
        <w:footnoteReference w:id="201"/>
      </w:r>
      <w:r w:rsidR="0011208E">
        <w:rPr>
          <w:rFonts w:ascii="Cambria" w:hAnsi="Cambria" w:cs="Cambria"/>
          <w:color w:val="000000"/>
          <w:sz w:val="20"/>
          <w:szCs w:val="20"/>
          <w:u w:color="000000"/>
          <w:bdr w:val="none" w:sz="0" w:space="0" w:color="auto"/>
          <w:lang w:val="es-PE" w:eastAsia="es-ES"/>
        </w:rPr>
        <w:t>, las cuales pueden ser aplicadas a la periodista en cualquier momento.</w:t>
      </w:r>
    </w:p>
    <w:p w14:paraId="446C4163"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4694C60A" w14:textId="38B4A61F" w:rsidR="00931168" w:rsidRPr="00116A43" w:rsidRDefault="00223E1F" w:rsidP="00045A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Cambria"/>
          <w:color w:val="000000"/>
          <w:sz w:val="20"/>
          <w:szCs w:val="20"/>
          <w:u w:color="000000"/>
          <w:bdr w:val="none" w:sz="0" w:space="0" w:color="auto"/>
          <w:lang w:val="es-PE" w:eastAsia="es-ES"/>
        </w:rPr>
      </w:pPr>
      <w:r w:rsidRPr="00116A43">
        <w:rPr>
          <w:rFonts w:ascii="Cambria" w:hAnsi="Cambria" w:cs="Cambria"/>
          <w:color w:val="000000"/>
          <w:sz w:val="20"/>
          <w:szCs w:val="20"/>
          <w:u w:color="000000"/>
          <w:bdr w:val="none" w:sz="0" w:space="0" w:color="auto"/>
          <w:lang w:val="es-PE" w:eastAsia="es-ES"/>
        </w:rPr>
        <w:t>Por lo anterior</w:t>
      </w:r>
      <w:r w:rsidR="004E532E" w:rsidRPr="00116A43">
        <w:rPr>
          <w:rFonts w:ascii="Cambria" w:hAnsi="Cambria" w:cs="Cambria"/>
          <w:color w:val="000000"/>
          <w:sz w:val="20"/>
          <w:szCs w:val="20"/>
          <w:u w:color="000000"/>
          <w:bdr w:val="none" w:sz="0" w:space="0" w:color="auto"/>
          <w:lang w:val="es-PE" w:eastAsia="es-ES"/>
        </w:rPr>
        <w:t>, la Comisión concluye que el Estado violó el artículo VIII de la Declaración Americana</w:t>
      </w:r>
      <w:r w:rsidRPr="00116A43">
        <w:rPr>
          <w:rFonts w:ascii="Cambria" w:hAnsi="Cambria" w:cs="Cambria"/>
          <w:color w:val="000000"/>
          <w:sz w:val="20"/>
          <w:szCs w:val="20"/>
          <w:u w:color="000000"/>
          <w:bdr w:val="none" w:sz="0" w:space="0" w:color="auto"/>
          <w:lang w:val="es-PE" w:eastAsia="es-ES"/>
        </w:rPr>
        <w:t>,</w:t>
      </w:r>
      <w:r w:rsidR="004E532E" w:rsidRPr="00116A43">
        <w:rPr>
          <w:rFonts w:ascii="Cambria" w:hAnsi="Cambria" w:cs="Cambria"/>
          <w:color w:val="000000"/>
          <w:sz w:val="20"/>
          <w:szCs w:val="20"/>
          <w:u w:color="000000"/>
          <w:bdr w:val="none" w:sz="0" w:space="0" w:color="auto"/>
          <w:lang w:val="es-PE" w:eastAsia="es-ES"/>
        </w:rPr>
        <w:t xml:space="preserve"> en perjuicio de la Yoani Sánchez</w:t>
      </w:r>
      <w:r w:rsidRPr="00116A43">
        <w:rPr>
          <w:rFonts w:ascii="Cambria" w:hAnsi="Cambria" w:cs="Cambria"/>
          <w:color w:val="000000"/>
          <w:sz w:val="20"/>
          <w:szCs w:val="20"/>
          <w:u w:color="000000"/>
          <w:bdr w:val="none" w:sz="0" w:space="0" w:color="auto"/>
          <w:lang w:val="es-PE" w:eastAsia="es-ES"/>
        </w:rPr>
        <w:t>.</w:t>
      </w:r>
    </w:p>
    <w:p w14:paraId="0555D426" w14:textId="41DCFE99" w:rsidR="00560547" w:rsidRPr="00116A43" w:rsidRDefault="00560547" w:rsidP="00116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PE" w:eastAsia="es-ES"/>
        </w:rPr>
      </w:pPr>
    </w:p>
    <w:p w14:paraId="56CD5E26" w14:textId="3BAD2B01" w:rsidR="00C52C05" w:rsidRPr="00116A43" w:rsidRDefault="00C52C05" w:rsidP="004F709F">
      <w:pPr>
        <w:pStyle w:val="Heading2"/>
      </w:pPr>
      <w:bookmarkStart w:id="32" w:name="_Toc89157576"/>
      <w:r w:rsidRPr="00116A43">
        <w:t>Derecho a la libertad de reunión (</w:t>
      </w:r>
      <w:r w:rsidR="00344299" w:rsidRPr="00116A43">
        <w:t>a</w:t>
      </w:r>
      <w:r w:rsidRPr="00116A43">
        <w:t>rtículo XXI)</w:t>
      </w:r>
      <w:r w:rsidR="00344299" w:rsidRPr="00116A43">
        <w:rPr>
          <w:rStyle w:val="FootnoteReference"/>
        </w:rPr>
        <w:footnoteReference w:id="202"/>
      </w:r>
      <w:r w:rsidRPr="00116A43">
        <w:t xml:space="preserve"> y de asociación (</w:t>
      </w:r>
      <w:r w:rsidR="00344299" w:rsidRPr="00116A43">
        <w:t>a</w:t>
      </w:r>
      <w:r w:rsidRPr="00116A43">
        <w:t>rtículo XXII)</w:t>
      </w:r>
      <w:r w:rsidR="00344299" w:rsidRPr="00116A43">
        <w:rPr>
          <w:rStyle w:val="FootnoteReference"/>
        </w:rPr>
        <w:footnoteReference w:id="203"/>
      </w:r>
      <w:bookmarkEnd w:id="32"/>
    </w:p>
    <w:p w14:paraId="3E060682" w14:textId="77777777" w:rsidR="005D249D" w:rsidRPr="00116A43" w:rsidRDefault="005D249D" w:rsidP="00167D7C">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9072"/>
        </w:tabs>
        <w:ind w:right="288"/>
        <w:jc w:val="both"/>
        <w:rPr>
          <w:rFonts w:ascii="Cambria" w:hAnsi="Cambria"/>
          <w:sz w:val="20"/>
          <w:szCs w:val="20"/>
          <w:bdr w:val="none" w:sz="0" w:space="0" w:color="auto"/>
          <w:lang w:val="es-PE"/>
        </w:rPr>
      </w:pPr>
    </w:p>
    <w:p w14:paraId="310A062C" w14:textId="293409F5" w:rsidR="002330DE" w:rsidRPr="00116A43" w:rsidRDefault="002330DE"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rPr>
        <w:t>El derecho de reunión protege la congregación pacífica, intencional y temporal de personas en un determinado espacio para el logro de un objetivo común, incluida la protesta. Como tal, es indispensable para la expresión colectiva de las opiniones y puntos de vista de las personas.</w:t>
      </w:r>
      <w:r w:rsidR="00AD1E43" w:rsidRPr="00116A43">
        <w:rPr>
          <w:rFonts w:ascii="Cambria" w:hAnsi="Cambria"/>
          <w:sz w:val="20"/>
          <w:szCs w:val="20"/>
        </w:rPr>
        <w:t xml:space="preserve"> </w:t>
      </w:r>
      <w:r w:rsidRPr="00116A43">
        <w:rPr>
          <w:rFonts w:ascii="Cambria" w:hAnsi="Cambria"/>
          <w:sz w:val="20"/>
          <w:szCs w:val="20"/>
        </w:rPr>
        <w:t>El ejercicio del derecho de reunión tiene una importancia esencial para la consolidación de la vida democrática de las sociedades y</w:t>
      </w:r>
      <w:r w:rsidR="00D2631F">
        <w:rPr>
          <w:rFonts w:ascii="Cambria" w:hAnsi="Cambria"/>
          <w:sz w:val="20"/>
          <w:szCs w:val="20"/>
        </w:rPr>
        <w:t>,</w:t>
      </w:r>
      <w:r w:rsidRPr="00116A43">
        <w:rPr>
          <w:rFonts w:ascii="Cambria" w:hAnsi="Cambria"/>
          <w:sz w:val="20"/>
          <w:szCs w:val="20"/>
        </w:rPr>
        <w:t xml:space="preserve"> por tanto, reviste un interés social imperativo</w:t>
      </w:r>
      <w:r w:rsidR="00AD1E43" w:rsidRPr="00116A43">
        <w:rPr>
          <w:rStyle w:val="FootnoteReference"/>
          <w:rFonts w:ascii="Cambria" w:hAnsi="Cambria"/>
          <w:sz w:val="20"/>
          <w:szCs w:val="20"/>
        </w:rPr>
        <w:footnoteReference w:id="204"/>
      </w:r>
      <w:r w:rsidR="00AD1E43" w:rsidRPr="00116A43">
        <w:rPr>
          <w:rFonts w:ascii="Cambria" w:hAnsi="Cambria"/>
          <w:sz w:val="20"/>
          <w:szCs w:val="20"/>
        </w:rPr>
        <w:t>.</w:t>
      </w:r>
    </w:p>
    <w:p w14:paraId="59FD9A06" w14:textId="77777777" w:rsidR="00836736" w:rsidRPr="00116A43" w:rsidRDefault="00836736"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6B6EECD1" w14:textId="65423323" w:rsidR="00FF5B55" w:rsidRPr="00116A43" w:rsidRDefault="00F155B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L</w:t>
      </w:r>
      <w:r w:rsidR="00FF5B55" w:rsidRPr="00116A43">
        <w:rPr>
          <w:rFonts w:ascii="Cambria" w:hAnsi="Cambria"/>
          <w:sz w:val="20"/>
          <w:szCs w:val="20"/>
          <w:bdr w:val="none" w:sz="0" w:space="0" w:color="auto"/>
          <w:lang w:val="es-ES_tradnl"/>
        </w:rPr>
        <w:t>a libertad de reunión permite que las personas puedan intercambiar opiniones, manifestar sus posiciones respecto de los derechos humanos y concertar planes de acción, bien sea en asambleas o en manifestaciones públicas</w:t>
      </w:r>
      <w:r w:rsidR="00FF5B55" w:rsidRPr="00116A43">
        <w:rPr>
          <w:rFonts w:ascii="Cambria" w:hAnsi="Cambria"/>
          <w:sz w:val="20"/>
          <w:szCs w:val="20"/>
          <w:bdr w:val="none" w:sz="0" w:space="0" w:color="auto"/>
          <w:vertAlign w:val="superscript"/>
          <w:lang w:val="es-ES_tradnl"/>
        </w:rPr>
        <w:footnoteReference w:id="205"/>
      </w:r>
      <w:r w:rsidR="0026512B" w:rsidRPr="00116A43">
        <w:rPr>
          <w:rFonts w:ascii="Cambria" w:hAnsi="Cambria"/>
          <w:sz w:val="20"/>
          <w:szCs w:val="20"/>
          <w:bdr w:val="none" w:sz="0" w:space="0" w:color="auto"/>
          <w:lang w:val="es-ES_tradnl"/>
        </w:rPr>
        <w:t>, por ejemplo</w:t>
      </w:r>
      <w:r w:rsidR="00FF5B55" w:rsidRPr="00116A43">
        <w:rPr>
          <w:rFonts w:ascii="Cambria" w:hAnsi="Cambria"/>
          <w:sz w:val="20"/>
          <w:szCs w:val="20"/>
          <w:bdr w:val="none" w:sz="0" w:space="0" w:color="auto"/>
          <w:lang w:val="es-ES_tradnl"/>
        </w:rPr>
        <w:t xml:space="preserve">. Ella implica </w:t>
      </w:r>
      <w:r w:rsidR="008821B0" w:rsidRPr="00116A43">
        <w:rPr>
          <w:rFonts w:ascii="Cambria" w:hAnsi="Cambria"/>
          <w:sz w:val="20"/>
          <w:szCs w:val="20"/>
          <w:bdr w:val="none" w:sz="0" w:space="0" w:color="auto"/>
          <w:lang w:val="es-ES_tradnl"/>
        </w:rPr>
        <w:t xml:space="preserve">los ciudadanos </w:t>
      </w:r>
      <w:r w:rsidR="00FF5B55" w:rsidRPr="00116A43">
        <w:rPr>
          <w:rFonts w:ascii="Cambria" w:hAnsi="Cambria"/>
          <w:sz w:val="20"/>
          <w:szCs w:val="20"/>
          <w:bdr w:val="none" w:sz="0" w:space="0" w:color="auto"/>
          <w:lang w:val="es-ES_tradnl"/>
        </w:rPr>
        <w:t xml:space="preserve">que puedan “libremente reunirse en lugares privados con el consentimiento de sus propietarios, lugares públicos </w:t>
      </w:r>
      <w:r w:rsidR="008E2683" w:rsidRPr="00116A43">
        <w:rPr>
          <w:rFonts w:ascii="Cambria" w:hAnsi="Cambria"/>
          <w:sz w:val="20"/>
          <w:szCs w:val="20"/>
          <w:bdr w:val="none" w:sz="0" w:space="0" w:color="auto"/>
          <w:lang w:val="es-ES_tradnl"/>
        </w:rPr>
        <w:t xml:space="preserve">[…] </w:t>
      </w:r>
      <w:r w:rsidR="00FF5B55" w:rsidRPr="00116A43">
        <w:rPr>
          <w:rFonts w:ascii="Cambria" w:hAnsi="Cambria"/>
          <w:sz w:val="20"/>
          <w:szCs w:val="20"/>
          <w:bdr w:val="none" w:sz="0" w:space="0" w:color="auto"/>
          <w:lang w:val="es-ES_tradnl"/>
        </w:rPr>
        <w:t>y sitios de trabajo, para el caso de trabajadoras y trabajadores”</w:t>
      </w:r>
      <w:r w:rsidR="00FF5B55" w:rsidRPr="00116A43">
        <w:rPr>
          <w:rFonts w:ascii="Cambria" w:hAnsi="Cambria"/>
          <w:sz w:val="20"/>
          <w:szCs w:val="20"/>
          <w:bdr w:val="none" w:sz="0" w:space="0" w:color="auto"/>
          <w:vertAlign w:val="superscript"/>
          <w:lang w:val="es-ES_tradnl"/>
        </w:rPr>
        <w:footnoteReference w:id="206"/>
      </w:r>
      <w:r w:rsidR="00FF5B55" w:rsidRPr="00116A43">
        <w:rPr>
          <w:rFonts w:ascii="Cambria" w:hAnsi="Cambria"/>
          <w:sz w:val="20"/>
          <w:szCs w:val="20"/>
          <w:bdr w:val="none" w:sz="0" w:space="0" w:color="auto"/>
          <w:lang w:val="es-ES_tradnl"/>
        </w:rPr>
        <w:t>.</w:t>
      </w:r>
    </w:p>
    <w:p w14:paraId="60C5FE28" w14:textId="77777777" w:rsidR="005D249D" w:rsidRPr="00116A43" w:rsidRDefault="005D249D"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42003FA0" w14:textId="4F38B936" w:rsidR="00836736" w:rsidRPr="00116A43" w:rsidRDefault="00501BA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 xml:space="preserve">Por su parte, </w:t>
      </w:r>
      <w:r w:rsidR="00364FCE" w:rsidRPr="00116A43">
        <w:rPr>
          <w:rFonts w:ascii="Cambria" w:hAnsi="Cambria"/>
          <w:sz w:val="20"/>
          <w:szCs w:val="20"/>
        </w:rPr>
        <w:t>la libertad de asociación presupone el derecho de reunión y se caracteriza por habilitar a las personas para crear o participar en entidades u organizaciones con el objeto de actuar colectivamente para la consecución de los más diversos fines, siempre y cuando éstos sean legítimos. Esto implica el “derecho a agruparse con la</w:t>
      </w:r>
      <w:r w:rsidR="00217902" w:rsidRPr="00116A43">
        <w:rPr>
          <w:rFonts w:ascii="Cambria" w:hAnsi="Cambria"/>
          <w:sz w:val="20"/>
          <w:szCs w:val="20"/>
        </w:rPr>
        <w:t xml:space="preserve"> finalidad de buscar la realización común de un fin lícito, sin presiones o intromisiones que puedan alterar o desnaturalizar dicha finalidad</w:t>
      </w:r>
      <w:r w:rsidR="00CF2833" w:rsidRPr="00116A43">
        <w:rPr>
          <w:rFonts w:ascii="Cambria" w:hAnsi="Cambria"/>
          <w:sz w:val="20"/>
          <w:szCs w:val="20"/>
        </w:rPr>
        <w:t>”</w:t>
      </w:r>
      <w:r w:rsidR="00217902" w:rsidRPr="00116A43">
        <w:rPr>
          <w:rStyle w:val="FootnoteReference"/>
          <w:rFonts w:ascii="Cambria" w:hAnsi="Cambria"/>
          <w:sz w:val="20"/>
          <w:szCs w:val="20"/>
        </w:rPr>
        <w:footnoteReference w:id="207"/>
      </w:r>
      <w:r w:rsidR="00217902" w:rsidRPr="00116A43">
        <w:rPr>
          <w:rFonts w:ascii="Cambria" w:hAnsi="Cambria"/>
          <w:sz w:val="20"/>
          <w:szCs w:val="20"/>
        </w:rPr>
        <w:t xml:space="preserve">. </w:t>
      </w:r>
    </w:p>
    <w:p w14:paraId="1E95C773" w14:textId="77777777" w:rsidR="00836736" w:rsidRPr="00116A43" w:rsidRDefault="00836736" w:rsidP="00375047">
      <w:pPr>
        <w:pStyle w:val="ListParagraph"/>
        <w:ind w:left="0"/>
        <w:rPr>
          <w:sz w:val="20"/>
          <w:szCs w:val="20"/>
          <w:bdr w:val="none" w:sz="0" w:space="0" w:color="auto"/>
          <w:lang w:val="es-ES_tradnl"/>
        </w:rPr>
      </w:pPr>
    </w:p>
    <w:p w14:paraId="19800E48" w14:textId="710AAF9E"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 xml:space="preserve">A su vez, la libertad de asociación protege la libertad de asociarse </w:t>
      </w:r>
      <w:r w:rsidRPr="00116A43">
        <w:rPr>
          <w:rFonts w:ascii="Cambria" w:hAnsi="Cambria"/>
          <w:i/>
          <w:iCs/>
          <w:sz w:val="20"/>
          <w:szCs w:val="20"/>
          <w:bdr w:val="none" w:sz="0" w:space="0" w:color="auto"/>
          <w:lang w:val="es-ES_tradnl"/>
        </w:rPr>
        <w:t xml:space="preserve">inter </w:t>
      </w:r>
      <w:proofErr w:type="spellStart"/>
      <w:r w:rsidRPr="00116A43">
        <w:rPr>
          <w:rFonts w:ascii="Cambria" w:hAnsi="Cambria"/>
          <w:i/>
          <w:iCs/>
          <w:sz w:val="20"/>
          <w:szCs w:val="20"/>
          <w:bdr w:val="none" w:sz="0" w:space="0" w:color="auto"/>
          <w:lang w:val="es-ES_tradnl"/>
        </w:rPr>
        <w:t>alia</w:t>
      </w:r>
      <w:proofErr w:type="spellEnd"/>
      <w:r w:rsidRPr="00116A43">
        <w:rPr>
          <w:rFonts w:ascii="Cambria" w:hAnsi="Cambria"/>
          <w:sz w:val="20"/>
          <w:szCs w:val="20"/>
          <w:bdr w:val="none" w:sz="0" w:space="0" w:color="auto"/>
          <w:lang w:val="es-ES_tradnl"/>
        </w:rPr>
        <w:t xml:space="preserve"> con fines ideológicos y políticos, sin intervención de las autoridades que limite o entorpezca el ejercicio del referido derecho y no exclusivamente el de integrar una organización sindical o profesional. La protección otorgada por este derecho no solo garantiza el derecho a formar e integrar una asociación </w:t>
      </w:r>
      <w:r w:rsidR="00E41416" w:rsidRPr="00116A43">
        <w:rPr>
          <w:rFonts w:ascii="Cambria" w:hAnsi="Cambria"/>
          <w:sz w:val="20"/>
          <w:szCs w:val="20"/>
          <w:bdr w:val="none" w:sz="0" w:space="0" w:color="auto"/>
          <w:lang w:val="es-ES_tradnl"/>
        </w:rPr>
        <w:t>u</w:t>
      </w:r>
      <w:r w:rsidRPr="00116A43">
        <w:rPr>
          <w:rFonts w:ascii="Cambria" w:hAnsi="Cambria"/>
          <w:sz w:val="20"/>
          <w:szCs w:val="20"/>
          <w:bdr w:val="none" w:sz="0" w:space="0" w:color="auto"/>
          <w:lang w:val="es-ES_tradnl"/>
        </w:rPr>
        <w:t xml:space="preserve"> organización, sino que se extiende a todas las actividades que son esenciales para su funcionamiento efectivo, incluida la posibilidad de expresar opiniones y difundir informaciones para el logro de los fines del grupo asociado</w:t>
      </w:r>
      <w:r w:rsidRPr="00116A43">
        <w:rPr>
          <w:rFonts w:ascii="Cambria" w:hAnsi="Cambria"/>
          <w:sz w:val="20"/>
          <w:szCs w:val="20"/>
          <w:bdr w:val="none" w:sz="0" w:space="0" w:color="auto"/>
          <w:vertAlign w:val="superscript"/>
          <w:lang w:val="es-ES_tradnl"/>
        </w:rPr>
        <w:footnoteReference w:id="208"/>
      </w:r>
      <w:r w:rsidRPr="00116A43">
        <w:rPr>
          <w:rFonts w:ascii="Cambria" w:hAnsi="Cambria"/>
          <w:sz w:val="20"/>
          <w:szCs w:val="20"/>
          <w:bdr w:val="none" w:sz="0" w:space="0" w:color="auto"/>
          <w:lang w:val="es-ES_tradnl"/>
        </w:rPr>
        <w:t xml:space="preserve">. </w:t>
      </w:r>
    </w:p>
    <w:p w14:paraId="6B258455" w14:textId="77777777" w:rsidR="005D249D" w:rsidRPr="00116A43" w:rsidRDefault="005D249D"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60B0997A" w14:textId="6F2FAC3D"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lastRenderedPageBreak/>
        <w:t xml:space="preserve">El derecho a la libertad de asociación </w:t>
      </w:r>
      <w:proofErr w:type="spellStart"/>
      <w:r w:rsidR="006E639E" w:rsidRPr="00116A43">
        <w:rPr>
          <w:rFonts w:ascii="Cambria" w:hAnsi="Cambria"/>
          <w:sz w:val="20"/>
          <w:szCs w:val="20"/>
          <w:bdr w:val="none" w:sz="0" w:space="0" w:color="auto"/>
          <w:lang w:val="es-ES_tradnl"/>
        </w:rPr>
        <w:t>tambi</w:t>
      </w:r>
      <w:r w:rsidR="006E639E" w:rsidRPr="00116A43">
        <w:rPr>
          <w:rFonts w:ascii="Cambria" w:hAnsi="Cambria"/>
          <w:sz w:val="20"/>
          <w:szCs w:val="20"/>
          <w:bdr w:val="none" w:sz="0" w:space="0" w:color="auto"/>
          <w:lang w:val="es-419"/>
        </w:rPr>
        <w:t>én</w:t>
      </w:r>
      <w:proofErr w:type="spellEnd"/>
      <w:r w:rsidR="006E639E" w:rsidRPr="00116A43">
        <w:rPr>
          <w:rFonts w:ascii="Cambria" w:hAnsi="Cambria"/>
          <w:sz w:val="20"/>
          <w:szCs w:val="20"/>
          <w:bdr w:val="none" w:sz="0" w:space="0" w:color="auto"/>
          <w:lang w:val="es-419"/>
        </w:rPr>
        <w:t xml:space="preserve"> </w:t>
      </w:r>
      <w:r w:rsidRPr="00116A43">
        <w:rPr>
          <w:rFonts w:ascii="Cambria" w:hAnsi="Cambria"/>
          <w:sz w:val="20"/>
          <w:szCs w:val="20"/>
          <w:bdr w:val="none" w:sz="0" w:space="0" w:color="auto"/>
          <w:lang w:val="es-ES_tradnl"/>
        </w:rPr>
        <w:t>tiene dos dimensiones: una individual y otra social.  Respecto a la dimensión individual, est</w:t>
      </w:r>
      <w:r w:rsidR="00D2631F">
        <w:rPr>
          <w:rFonts w:ascii="Cambria" w:hAnsi="Cambria"/>
          <w:sz w:val="20"/>
          <w:szCs w:val="20"/>
          <w:bdr w:val="none" w:sz="0" w:space="0" w:color="auto"/>
          <w:lang w:val="es-ES_tradnl"/>
        </w:rPr>
        <w:t>a</w:t>
      </w:r>
      <w:r w:rsidRPr="00116A43">
        <w:rPr>
          <w:rFonts w:ascii="Cambria" w:hAnsi="Cambria"/>
          <w:sz w:val="20"/>
          <w:szCs w:val="20"/>
          <w:bdr w:val="none" w:sz="0" w:space="0" w:color="auto"/>
          <w:lang w:val="es-ES_tradnl"/>
        </w:rPr>
        <w:t xml:space="preserve"> involucra el derecho a la libertad de asociarse con otras personas sin intervención de la </w:t>
      </w:r>
      <w:proofErr w:type="gramStart"/>
      <w:r w:rsidRPr="00116A43">
        <w:rPr>
          <w:rFonts w:ascii="Cambria" w:hAnsi="Cambria"/>
          <w:sz w:val="20"/>
          <w:szCs w:val="20"/>
          <w:bdr w:val="none" w:sz="0" w:space="0" w:color="auto"/>
          <w:lang w:val="es-ES_tradnl"/>
        </w:rPr>
        <w:t>autoridad pública</w:t>
      </w:r>
      <w:proofErr w:type="gramEnd"/>
      <w:r w:rsidRPr="00116A43">
        <w:rPr>
          <w:rFonts w:ascii="Cambria" w:hAnsi="Cambria"/>
          <w:sz w:val="20"/>
          <w:szCs w:val="20"/>
          <w:bdr w:val="none" w:sz="0" w:space="0" w:color="auto"/>
          <w:lang w:val="es-ES_tradnl"/>
        </w:rPr>
        <w:t xml:space="preserve"> que limite o entorpezca este derecho.  En cuanto a su dimensión colectiva, es</w:t>
      </w:r>
      <w:r w:rsidR="00D2631F">
        <w:rPr>
          <w:rFonts w:ascii="Cambria" w:hAnsi="Cambria"/>
          <w:sz w:val="20"/>
          <w:szCs w:val="20"/>
          <w:bdr w:val="none" w:sz="0" w:space="0" w:color="auto"/>
          <w:lang w:val="es-ES_tradnl"/>
        </w:rPr>
        <w:t>ta involucra</w:t>
      </w:r>
      <w:r w:rsidRPr="00116A43">
        <w:rPr>
          <w:rFonts w:ascii="Cambria" w:hAnsi="Cambria"/>
          <w:sz w:val="20"/>
          <w:szCs w:val="20"/>
          <w:bdr w:val="none" w:sz="0" w:space="0" w:color="auto"/>
          <w:lang w:val="es-ES_tradnl"/>
        </w:rPr>
        <w:t xml:space="preserve"> el derecho y la libertad de buscar la realización común de un fin lícito, sin presiones o intromisiones que puedan alterar o desnaturalizar su finalidad</w:t>
      </w:r>
      <w:r w:rsidRPr="00116A43">
        <w:rPr>
          <w:rFonts w:ascii="Cambria" w:hAnsi="Cambria"/>
          <w:sz w:val="20"/>
          <w:szCs w:val="20"/>
          <w:bdr w:val="none" w:sz="0" w:space="0" w:color="auto"/>
          <w:vertAlign w:val="superscript"/>
          <w:lang w:val="es-ES_tradnl"/>
        </w:rPr>
        <w:footnoteReference w:id="209"/>
      </w:r>
      <w:r w:rsidRPr="00116A43">
        <w:rPr>
          <w:rFonts w:ascii="Cambria" w:hAnsi="Cambria"/>
          <w:sz w:val="20"/>
          <w:szCs w:val="20"/>
          <w:bdr w:val="none" w:sz="0" w:space="0" w:color="auto"/>
          <w:lang w:val="es-ES_tradnl"/>
        </w:rPr>
        <w:t>.</w:t>
      </w:r>
    </w:p>
    <w:p w14:paraId="3D733363" w14:textId="77777777" w:rsidR="00B37967" w:rsidRPr="00116A43" w:rsidRDefault="00B37967" w:rsidP="00375047">
      <w:pPr>
        <w:pStyle w:val="ListParagraph"/>
        <w:ind w:left="0"/>
        <w:rPr>
          <w:sz w:val="20"/>
          <w:szCs w:val="20"/>
          <w:bdr w:val="none" w:sz="0" w:space="0" w:color="auto"/>
          <w:lang w:val="es-ES_tradnl"/>
        </w:rPr>
      </w:pPr>
    </w:p>
    <w:p w14:paraId="596CC94B" w14:textId="27F8203E" w:rsidR="00B37967" w:rsidRPr="00116A43" w:rsidRDefault="00B37967"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rPr>
        <w:t xml:space="preserve">A diferencia de la libertad de asociación, el derecho de reunión no implica necesariamente la creación o participación en una entidad u organización, sino que puede manifestarse en una unión esporádica o congregación para perseguir los más diversos fines mientras estos sean pacíficos y </w:t>
      </w:r>
      <w:r w:rsidR="00757519" w:rsidRPr="00116A43">
        <w:rPr>
          <w:rFonts w:ascii="Cambria" w:hAnsi="Cambria"/>
          <w:sz w:val="20"/>
          <w:szCs w:val="20"/>
        </w:rPr>
        <w:t>legítimos</w:t>
      </w:r>
      <w:r w:rsidR="00A47B57" w:rsidRPr="00116A43">
        <w:rPr>
          <w:rStyle w:val="FootnoteReference"/>
          <w:rFonts w:ascii="Cambria" w:hAnsi="Cambria"/>
          <w:sz w:val="20"/>
          <w:szCs w:val="20"/>
        </w:rPr>
        <w:footnoteReference w:id="210"/>
      </w:r>
      <w:r w:rsidR="0027321E" w:rsidRPr="00116A43">
        <w:rPr>
          <w:rFonts w:ascii="Cambria" w:hAnsi="Cambria"/>
          <w:sz w:val="20"/>
          <w:szCs w:val="20"/>
        </w:rPr>
        <w:t>.</w:t>
      </w:r>
      <w:r w:rsidR="008B04C4" w:rsidRPr="00116A43">
        <w:rPr>
          <w:rFonts w:ascii="Cambria" w:hAnsi="Cambria"/>
          <w:sz w:val="20"/>
          <w:szCs w:val="20"/>
        </w:rPr>
        <w:t xml:space="preserve"> Por su parte, </w:t>
      </w:r>
      <w:r w:rsidR="00154D40" w:rsidRPr="00116A43">
        <w:rPr>
          <w:rFonts w:ascii="Cambria" w:hAnsi="Cambria"/>
          <w:sz w:val="20"/>
          <w:szCs w:val="20"/>
        </w:rPr>
        <w:t>las personas que se agrupan</w:t>
      </w:r>
      <w:r w:rsidR="008B04C4" w:rsidRPr="00116A43">
        <w:rPr>
          <w:rFonts w:ascii="Cambria" w:hAnsi="Cambria"/>
          <w:sz w:val="20"/>
          <w:szCs w:val="20"/>
        </w:rPr>
        <w:t xml:space="preserve"> </w:t>
      </w:r>
      <w:r w:rsidR="004D6029" w:rsidRPr="00116A43">
        <w:rPr>
          <w:rFonts w:ascii="Cambria" w:hAnsi="Cambria"/>
          <w:sz w:val="20"/>
          <w:szCs w:val="20"/>
        </w:rPr>
        <w:t>de conformidad con</w:t>
      </w:r>
      <w:r w:rsidR="008B04C4" w:rsidRPr="00116A43">
        <w:rPr>
          <w:rFonts w:ascii="Cambria" w:hAnsi="Cambria"/>
          <w:sz w:val="20"/>
          <w:szCs w:val="20"/>
        </w:rPr>
        <w:t xml:space="preserve"> del derecho de asociación no </w:t>
      </w:r>
      <w:r w:rsidR="00154D40" w:rsidRPr="00116A43">
        <w:rPr>
          <w:rFonts w:ascii="Cambria" w:hAnsi="Cambria"/>
          <w:sz w:val="20"/>
          <w:szCs w:val="20"/>
        </w:rPr>
        <w:t>lo hacen de forma</w:t>
      </w:r>
      <w:r w:rsidR="008B04C4" w:rsidRPr="00116A43">
        <w:rPr>
          <w:rFonts w:ascii="Cambria" w:hAnsi="Cambria"/>
          <w:sz w:val="20"/>
          <w:szCs w:val="20"/>
        </w:rPr>
        <w:t xml:space="preserve"> esporádica, sino que </w:t>
      </w:r>
      <w:r w:rsidR="004D6029" w:rsidRPr="00116A43">
        <w:rPr>
          <w:rFonts w:ascii="Cambria" w:hAnsi="Cambria"/>
          <w:sz w:val="20"/>
          <w:szCs w:val="20"/>
        </w:rPr>
        <w:t>dicha asociación tiene</w:t>
      </w:r>
      <w:r w:rsidR="008B04C4" w:rsidRPr="00116A43">
        <w:rPr>
          <w:rFonts w:ascii="Cambria" w:hAnsi="Cambria"/>
          <w:sz w:val="20"/>
          <w:szCs w:val="20"/>
        </w:rPr>
        <w:t xml:space="preserve"> una vocación de permanencia en el tiempo.</w:t>
      </w:r>
    </w:p>
    <w:p w14:paraId="1004F68F" w14:textId="77777777" w:rsidR="005D249D" w:rsidRPr="00116A43" w:rsidRDefault="005D249D" w:rsidP="00167D7C">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71FCB56F" w14:textId="05DEC11F"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Asimismo, los artículos XXI y XXII de la Declaración Americana, si bien no son absolutos, para que las restricciones a estos derechos sean legítimas, deben estar expresamente fijadas por la ley y ser necesarias para asegurar el respeto a los derechos de los demás o la protección de la seguridad nacional, el orden público o la salud o la moral pública</w:t>
      </w:r>
      <w:r w:rsidRPr="00116A43">
        <w:rPr>
          <w:rFonts w:ascii="Cambria" w:hAnsi="Cambria"/>
          <w:sz w:val="20"/>
          <w:szCs w:val="20"/>
          <w:bdr w:val="none" w:sz="0" w:space="0" w:color="auto"/>
          <w:vertAlign w:val="superscript"/>
          <w:lang w:val="es-ES_tradnl"/>
        </w:rPr>
        <w:footnoteReference w:id="211"/>
      </w:r>
      <w:r w:rsidRPr="00116A43">
        <w:rPr>
          <w:rFonts w:ascii="Cambria" w:hAnsi="Cambria"/>
          <w:sz w:val="20"/>
          <w:szCs w:val="20"/>
          <w:bdr w:val="none" w:sz="0" w:space="0" w:color="auto"/>
          <w:lang w:val="es-ES_tradnl"/>
        </w:rPr>
        <w:t>. De ahí que, por ejemplo, la Comisión se haya referido a que la detención inmotivada de participantes en manifestaciones pacíficas atenta contra la libertad de reunión</w:t>
      </w:r>
      <w:r w:rsidRPr="00116A43">
        <w:rPr>
          <w:rFonts w:ascii="Cambria" w:hAnsi="Cambria"/>
          <w:sz w:val="20"/>
          <w:szCs w:val="20"/>
          <w:bdr w:val="none" w:sz="0" w:space="0" w:color="auto"/>
          <w:vertAlign w:val="superscript"/>
          <w:lang w:val="es-ES_tradnl"/>
        </w:rPr>
        <w:footnoteReference w:id="212"/>
      </w:r>
      <w:r w:rsidRPr="00116A43">
        <w:rPr>
          <w:rFonts w:ascii="Cambria" w:hAnsi="Cambria"/>
          <w:sz w:val="20"/>
          <w:szCs w:val="20"/>
          <w:bdr w:val="none" w:sz="0" w:space="0" w:color="auto"/>
          <w:lang w:val="es-ES_tradnl"/>
        </w:rPr>
        <w:t xml:space="preserve">. </w:t>
      </w:r>
    </w:p>
    <w:p w14:paraId="4DA36A46" w14:textId="77777777" w:rsidR="005D249D" w:rsidRPr="00116A43" w:rsidRDefault="005D249D"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06C9548B" w14:textId="06B6224D"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En el presente c</w:t>
      </w:r>
      <w:r w:rsidR="00470646" w:rsidRPr="00116A43">
        <w:rPr>
          <w:rFonts w:ascii="Cambria" w:hAnsi="Cambria"/>
          <w:sz w:val="20"/>
          <w:szCs w:val="20"/>
          <w:bdr w:val="none" w:sz="0" w:space="0" w:color="auto"/>
          <w:lang w:val="es-ES_tradnl"/>
        </w:rPr>
        <w:t>aso</w:t>
      </w:r>
      <w:r w:rsidR="00450E8A" w:rsidRPr="00116A43">
        <w:rPr>
          <w:rFonts w:ascii="Cambria" w:hAnsi="Cambria"/>
          <w:sz w:val="20"/>
          <w:szCs w:val="20"/>
          <w:bdr w:val="none" w:sz="0" w:space="0" w:color="auto"/>
          <w:lang w:val="es-ES_tradnl"/>
        </w:rPr>
        <w:t>,</w:t>
      </w:r>
      <w:r w:rsidR="00470646" w:rsidRPr="00116A43">
        <w:rPr>
          <w:rFonts w:ascii="Cambria" w:hAnsi="Cambria"/>
          <w:sz w:val="20"/>
          <w:szCs w:val="20"/>
          <w:bdr w:val="none" w:sz="0" w:space="0" w:color="auto"/>
          <w:lang w:val="es-ES_tradnl"/>
        </w:rPr>
        <w:t xml:space="preserve"> la CIDH observa que </w:t>
      </w:r>
      <w:r w:rsidRPr="00116A43">
        <w:rPr>
          <w:rFonts w:ascii="Cambria" w:hAnsi="Cambria"/>
          <w:sz w:val="20"/>
          <w:szCs w:val="20"/>
          <w:bdr w:val="none" w:sz="0" w:space="0" w:color="auto"/>
          <w:lang w:val="es-ES_tradnl"/>
        </w:rPr>
        <w:t>Yoan</w:t>
      </w:r>
      <w:r w:rsidR="00450E8A" w:rsidRPr="00116A43">
        <w:rPr>
          <w:rFonts w:ascii="Cambria" w:hAnsi="Cambria"/>
          <w:sz w:val="20"/>
          <w:szCs w:val="20"/>
          <w:bdr w:val="none" w:sz="0" w:space="0" w:color="auto"/>
          <w:lang w:val="es-ES_tradnl"/>
        </w:rPr>
        <w:t>i</w:t>
      </w:r>
      <w:r w:rsidRPr="00116A43">
        <w:rPr>
          <w:rFonts w:ascii="Cambria" w:hAnsi="Cambria"/>
          <w:sz w:val="20"/>
          <w:szCs w:val="20"/>
          <w:bdr w:val="none" w:sz="0" w:space="0" w:color="auto"/>
          <w:lang w:val="es-ES_tradnl"/>
        </w:rPr>
        <w:t xml:space="preserve"> Sánchez fue </w:t>
      </w:r>
      <w:r w:rsidR="00931168" w:rsidRPr="00116A43">
        <w:rPr>
          <w:rFonts w:ascii="Cambria" w:hAnsi="Cambria"/>
          <w:sz w:val="20"/>
          <w:szCs w:val="20"/>
          <w:bdr w:val="none" w:sz="0" w:space="0" w:color="auto"/>
          <w:lang w:val="es-ES_tradnl"/>
        </w:rPr>
        <w:t>impedida</w:t>
      </w:r>
      <w:r w:rsidRPr="00116A43">
        <w:rPr>
          <w:rFonts w:ascii="Cambria" w:hAnsi="Cambria"/>
          <w:sz w:val="20"/>
          <w:szCs w:val="20"/>
          <w:bdr w:val="none" w:sz="0" w:space="0" w:color="auto"/>
          <w:lang w:val="es-ES_tradnl"/>
        </w:rPr>
        <w:t xml:space="preserve"> de acceder a sitios públicos</w:t>
      </w:r>
      <w:r w:rsidR="00B94523" w:rsidRPr="00116A43">
        <w:rPr>
          <w:rFonts w:ascii="Cambria" w:hAnsi="Cambria"/>
          <w:sz w:val="20"/>
          <w:szCs w:val="20"/>
          <w:bdr w:val="none" w:sz="0" w:space="0" w:color="auto"/>
          <w:lang w:val="es-ES_tradnl"/>
        </w:rPr>
        <w:t xml:space="preserve">, </w:t>
      </w:r>
      <w:r w:rsidRPr="00116A43">
        <w:rPr>
          <w:rFonts w:ascii="Cambria" w:hAnsi="Cambria"/>
          <w:sz w:val="20"/>
          <w:szCs w:val="20"/>
          <w:bdr w:val="none" w:sz="0" w:space="0" w:color="auto"/>
          <w:lang w:val="es-ES_tradnl"/>
        </w:rPr>
        <w:t xml:space="preserve">especialmente </w:t>
      </w:r>
      <w:r w:rsidR="00B94523" w:rsidRPr="00116A43">
        <w:rPr>
          <w:rFonts w:ascii="Cambria" w:hAnsi="Cambria"/>
          <w:sz w:val="20"/>
          <w:szCs w:val="20"/>
          <w:bdr w:val="none" w:sz="0" w:space="0" w:color="auto"/>
          <w:lang w:val="es-ES_tradnl"/>
        </w:rPr>
        <w:t xml:space="preserve">a </w:t>
      </w:r>
      <w:r w:rsidRPr="00116A43">
        <w:rPr>
          <w:rFonts w:ascii="Cambria" w:hAnsi="Cambria"/>
          <w:sz w:val="20"/>
          <w:szCs w:val="20"/>
          <w:bdr w:val="none" w:sz="0" w:space="0" w:color="auto"/>
          <w:lang w:val="es-ES_tradnl"/>
        </w:rPr>
        <w:t xml:space="preserve">espacios de manifestación cultural o de ponencias públicas, sin que agentes estatales fundamentaran la </w:t>
      </w:r>
      <w:r w:rsidR="00B94523" w:rsidRPr="00116A43">
        <w:rPr>
          <w:rFonts w:ascii="Cambria" w:hAnsi="Cambria"/>
          <w:sz w:val="20"/>
          <w:szCs w:val="20"/>
          <w:bdr w:val="none" w:sz="0" w:space="0" w:color="auto"/>
          <w:lang w:val="es-ES_tradnl"/>
        </w:rPr>
        <w:t xml:space="preserve">legitimidad </w:t>
      </w:r>
      <w:r w:rsidR="00470646" w:rsidRPr="00116A43">
        <w:rPr>
          <w:rFonts w:ascii="Cambria" w:hAnsi="Cambria"/>
          <w:sz w:val="20"/>
          <w:szCs w:val="20"/>
          <w:bdr w:val="none" w:sz="0" w:space="0" w:color="auto"/>
          <w:lang w:val="es-ES_tradnl"/>
        </w:rPr>
        <w:t xml:space="preserve">de </w:t>
      </w:r>
      <w:r w:rsidR="00B94523" w:rsidRPr="00116A43">
        <w:rPr>
          <w:rFonts w:ascii="Cambria" w:hAnsi="Cambria"/>
          <w:sz w:val="20"/>
          <w:szCs w:val="20"/>
          <w:bdr w:val="none" w:sz="0" w:space="0" w:color="auto"/>
          <w:lang w:val="es-ES_tradnl"/>
        </w:rPr>
        <w:t>dicha</w:t>
      </w:r>
      <w:r w:rsidR="00470646" w:rsidRPr="00116A43">
        <w:rPr>
          <w:rFonts w:ascii="Cambria" w:hAnsi="Cambria"/>
          <w:sz w:val="20"/>
          <w:szCs w:val="20"/>
          <w:bdr w:val="none" w:sz="0" w:space="0" w:color="auto"/>
          <w:lang w:val="es-ES_tradnl"/>
        </w:rPr>
        <w:t xml:space="preserve"> prohibición. </w:t>
      </w:r>
      <w:r w:rsidRPr="00116A43">
        <w:rPr>
          <w:rFonts w:ascii="Cambria" w:hAnsi="Cambria"/>
          <w:sz w:val="20"/>
          <w:szCs w:val="20"/>
          <w:bdr w:val="none" w:sz="0" w:space="0" w:color="auto"/>
          <w:lang w:val="es-ES_tradnl"/>
        </w:rPr>
        <w:t>Yoani Sánchez también fue</w:t>
      </w:r>
      <w:r w:rsidR="007F5961" w:rsidRPr="00116A43">
        <w:rPr>
          <w:rFonts w:ascii="Cambria" w:hAnsi="Cambria"/>
          <w:sz w:val="20"/>
          <w:szCs w:val="20"/>
          <w:bdr w:val="none" w:sz="0" w:space="0" w:color="auto"/>
          <w:lang w:val="es-ES_tradnl"/>
        </w:rPr>
        <w:t xml:space="preserve"> citada</w:t>
      </w:r>
      <w:r w:rsidRPr="00116A43">
        <w:rPr>
          <w:rFonts w:ascii="Cambria" w:hAnsi="Cambria"/>
          <w:sz w:val="20"/>
          <w:szCs w:val="20"/>
          <w:bdr w:val="none" w:sz="0" w:space="0" w:color="auto"/>
          <w:lang w:val="es-ES_tradnl"/>
        </w:rPr>
        <w:t xml:space="preserve"> por la policía</w:t>
      </w:r>
      <w:r w:rsidR="007F5961" w:rsidRPr="00116A43">
        <w:rPr>
          <w:rFonts w:ascii="Cambria" w:hAnsi="Cambria"/>
          <w:sz w:val="20"/>
          <w:szCs w:val="20"/>
          <w:bdr w:val="none" w:sz="0" w:space="0" w:color="auto"/>
          <w:lang w:val="es-ES_tradnl"/>
        </w:rPr>
        <w:t xml:space="preserve"> </w:t>
      </w:r>
      <w:r w:rsidR="00267AAE" w:rsidRPr="00116A43">
        <w:rPr>
          <w:rFonts w:ascii="Cambria" w:hAnsi="Cambria"/>
          <w:sz w:val="20"/>
          <w:szCs w:val="20"/>
          <w:bdr w:val="none" w:sz="0" w:space="0" w:color="auto"/>
          <w:lang w:val="es-ES_tradnl"/>
        </w:rPr>
        <w:t>diciembre de 2008</w:t>
      </w:r>
      <w:r w:rsidR="008C31A0" w:rsidRPr="00116A43">
        <w:rPr>
          <w:rFonts w:ascii="Cambria" w:hAnsi="Cambria"/>
          <w:sz w:val="20"/>
          <w:szCs w:val="20"/>
          <w:bdr w:val="none" w:sz="0" w:space="0" w:color="auto"/>
          <w:lang w:val="es-ES_tradnl"/>
        </w:rPr>
        <w:t xml:space="preserve"> </w:t>
      </w:r>
      <w:r w:rsidR="007F5961" w:rsidRPr="00116A43">
        <w:rPr>
          <w:rFonts w:ascii="Cambria" w:hAnsi="Cambria"/>
          <w:sz w:val="20"/>
          <w:szCs w:val="20"/>
          <w:bdr w:val="none" w:sz="0" w:space="0" w:color="auto"/>
          <w:lang w:val="es-ES_tradnl"/>
        </w:rPr>
        <w:t xml:space="preserve">para advertirle que </w:t>
      </w:r>
      <w:r w:rsidR="00267AAE" w:rsidRPr="00116A43">
        <w:rPr>
          <w:rFonts w:ascii="Cambria" w:hAnsi="Cambria"/>
          <w:sz w:val="20"/>
          <w:szCs w:val="20"/>
          <w:bdr w:val="none" w:sz="0" w:space="0" w:color="auto"/>
          <w:lang w:val="es-ES_tradnl"/>
        </w:rPr>
        <w:t xml:space="preserve">dejara </w:t>
      </w:r>
      <w:r w:rsidRPr="00116A43">
        <w:rPr>
          <w:rFonts w:ascii="Cambria" w:hAnsi="Cambria"/>
          <w:sz w:val="20"/>
          <w:szCs w:val="20"/>
          <w:bdr w:val="none" w:sz="0" w:space="0" w:color="auto"/>
          <w:lang w:val="es-ES_tradnl"/>
        </w:rPr>
        <w:t>de organizar un evento para blogueros</w:t>
      </w:r>
      <w:r w:rsidR="00267AAE" w:rsidRPr="00116A43">
        <w:rPr>
          <w:rFonts w:ascii="Cambria" w:hAnsi="Cambria"/>
          <w:sz w:val="20"/>
          <w:szCs w:val="20"/>
          <w:bdr w:val="none" w:sz="0" w:space="0" w:color="auto"/>
          <w:lang w:val="es-ES_tradnl"/>
        </w:rPr>
        <w:t>, quien</w:t>
      </w:r>
      <w:r w:rsidR="003F76C0" w:rsidRPr="00116A43">
        <w:rPr>
          <w:rFonts w:ascii="Cambria" w:hAnsi="Cambria"/>
          <w:sz w:val="20"/>
          <w:szCs w:val="20"/>
          <w:bdr w:val="none" w:sz="0" w:space="0" w:color="auto"/>
          <w:lang w:val="es-ES_tradnl"/>
        </w:rPr>
        <w:t>es</w:t>
      </w:r>
      <w:r w:rsidR="00267AAE" w:rsidRPr="00116A43">
        <w:rPr>
          <w:rFonts w:ascii="Cambria" w:hAnsi="Cambria"/>
          <w:sz w:val="20"/>
          <w:szCs w:val="20"/>
          <w:bdr w:val="none" w:sz="0" w:space="0" w:color="auto"/>
          <w:lang w:val="es-ES_tradnl"/>
        </w:rPr>
        <w:t xml:space="preserve"> eran considerados como contrarrevolucionarios</w:t>
      </w:r>
      <w:r w:rsidRPr="00116A43">
        <w:rPr>
          <w:rFonts w:ascii="Cambria" w:hAnsi="Cambria"/>
          <w:sz w:val="20"/>
          <w:szCs w:val="20"/>
          <w:bdr w:val="none" w:sz="0" w:space="0" w:color="auto"/>
          <w:lang w:val="es-ES_tradnl"/>
        </w:rPr>
        <w:t xml:space="preserve">. </w:t>
      </w:r>
      <w:r w:rsidR="008C31A0" w:rsidRPr="00116A43">
        <w:rPr>
          <w:rFonts w:ascii="Cambria" w:hAnsi="Cambria"/>
          <w:sz w:val="20"/>
          <w:szCs w:val="20"/>
          <w:bdr w:val="none" w:sz="0" w:space="0" w:color="auto"/>
          <w:lang w:val="es-ES_tradnl"/>
        </w:rPr>
        <w:t xml:space="preserve">La policía le advirtió a Yoani que </w:t>
      </w:r>
      <w:r w:rsidR="0089776D" w:rsidRPr="00116A43">
        <w:rPr>
          <w:rFonts w:ascii="Cambria" w:hAnsi="Cambria"/>
          <w:sz w:val="20"/>
          <w:szCs w:val="20"/>
          <w:bdr w:val="none" w:sz="0" w:space="0" w:color="auto"/>
          <w:lang w:val="es-ES_tradnl"/>
        </w:rPr>
        <w:t>dicho evento no sería permitido, por lo que</w:t>
      </w:r>
      <w:r w:rsidR="00417D76" w:rsidRPr="00116A43">
        <w:rPr>
          <w:rFonts w:ascii="Cambria" w:hAnsi="Cambria"/>
          <w:sz w:val="20"/>
          <w:szCs w:val="20"/>
          <w:bdr w:val="none" w:sz="0" w:space="0" w:color="auto"/>
          <w:lang w:val="es-ES_tradnl"/>
        </w:rPr>
        <w:t>,</w:t>
      </w:r>
      <w:r w:rsidR="0089776D" w:rsidRPr="00116A43">
        <w:rPr>
          <w:rFonts w:ascii="Cambria" w:hAnsi="Cambria"/>
          <w:sz w:val="20"/>
          <w:szCs w:val="20"/>
          <w:bdr w:val="none" w:sz="0" w:space="0" w:color="auto"/>
          <w:lang w:val="es-ES_tradnl"/>
        </w:rPr>
        <w:t xml:space="preserve"> si bien estos se reunieron, </w:t>
      </w:r>
      <w:r w:rsidR="00FB03F4" w:rsidRPr="00116A43">
        <w:rPr>
          <w:rFonts w:ascii="Cambria" w:hAnsi="Cambria"/>
          <w:sz w:val="20"/>
          <w:szCs w:val="20"/>
          <w:bdr w:val="none" w:sz="0" w:space="0" w:color="auto"/>
          <w:lang w:val="es-ES_tradnl"/>
        </w:rPr>
        <w:t xml:space="preserve">lo hicieron por internet y no de forma presencial como se había planeado. </w:t>
      </w:r>
      <w:r w:rsidRPr="00116A43">
        <w:rPr>
          <w:rFonts w:ascii="Cambria" w:hAnsi="Cambria"/>
          <w:sz w:val="20"/>
          <w:szCs w:val="20"/>
          <w:bdr w:val="none" w:sz="0" w:space="0" w:color="auto"/>
          <w:lang w:val="es-ES_tradnl"/>
        </w:rPr>
        <w:t xml:space="preserve">Asimismo, la presunta víctima fue detenida </w:t>
      </w:r>
      <w:r w:rsidR="00860794" w:rsidRPr="00116A43">
        <w:rPr>
          <w:rFonts w:ascii="Cambria" w:hAnsi="Cambria"/>
          <w:sz w:val="20"/>
          <w:szCs w:val="20"/>
          <w:bdr w:val="none" w:sz="0" w:space="0" w:color="auto"/>
          <w:lang w:val="es-ES_tradnl"/>
        </w:rPr>
        <w:t xml:space="preserve">arbitrariamente </w:t>
      </w:r>
      <w:r w:rsidRPr="00116A43">
        <w:rPr>
          <w:rFonts w:ascii="Cambria" w:hAnsi="Cambria"/>
          <w:sz w:val="20"/>
          <w:szCs w:val="20"/>
          <w:bdr w:val="none" w:sz="0" w:space="0" w:color="auto"/>
          <w:lang w:val="es-ES_tradnl"/>
        </w:rPr>
        <w:t xml:space="preserve">mientras estaba </w:t>
      </w:r>
      <w:r w:rsidR="007F1F12" w:rsidRPr="00116A43">
        <w:rPr>
          <w:rFonts w:ascii="Cambria" w:hAnsi="Cambria"/>
          <w:sz w:val="20"/>
          <w:szCs w:val="20"/>
          <w:bdr w:val="none" w:sz="0" w:space="0" w:color="auto"/>
          <w:lang w:val="es-ES_tradnl"/>
        </w:rPr>
        <w:t>en</w:t>
      </w:r>
      <w:r w:rsidRPr="00116A43">
        <w:rPr>
          <w:rFonts w:ascii="Cambria" w:hAnsi="Cambria"/>
          <w:sz w:val="20"/>
          <w:szCs w:val="20"/>
          <w:bdr w:val="none" w:sz="0" w:space="0" w:color="auto"/>
          <w:lang w:val="es-ES_tradnl"/>
        </w:rPr>
        <w:t xml:space="preserve"> camino </w:t>
      </w:r>
      <w:r w:rsidR="007F1F12" w:rsidRPr="00116A43">
        <w:rPr>
          <w:rFonts w:ascii="Cambria" w:hAnsi="Cambria"/>
          <w:sz w:val="20"/>
          <w:szCs w:val="20"/>
          <w:bdr w:val="none" w:sz="0" w:space="0" w:color="auto"/>
          <w:lang w:val="es-ES_tradnl"/>
        </w:rPr>
        <w:t>a</w:t>
      </w:r>
      <w:r w:rsidRPr="00116A43">
        <w:rPr>
          <w:rFonts w:ascii="Cambria" w:hAnsi="Cambria"/>
          <w:sz w:val="20"/>
          <w:szCs w:val="20"/>
          <w:bdr w:val="none" w:sz="0" w:space="0" w:color="auto"/>
          <w:lang w:val="es-ES_tradnl"/>
        </w:rPr>
        <w:t xml:space="preserve"> la celebración y manifestación por la muerte de Oswaldo </w:t>
      </w:r>
      <w:proofErr w:type="spellStart"/>
      <w:r w:rsidRPr="00116A43">
        <w:rPr>
          <w:rFonts w:ascii="Cambria" w:hAnsi="Cambria"/>
          <w:sz w:val="20"/>
          <w:szCs w:val="20"/>
          <w:bdr w:val="none" w:sz="0" w:space="0" w:color="auto"/>
          <w:lang w:val="es-ES_tradnl"/>
        </w:rPr>
        <w:t>Pay</w:t>
      </w:r>
      <w:r w:rsidR="00FB03F4" w:rsidRPr="00116A43">
        <w:rPr>
          <w:rFonts w:ascii="Cambria" w:hAnsi="Cambria"/>
          <w:sz w:val="20"/>
          <w:szCs w:val="20"/>
          <w:bdr w:val="none" w:sz="0" w:space="0" w:color="auto"/>
          <w:lang w:val="es-ES_tradnl"/>
        </w:rPr>
        <w:t>á</w:t>
      </w:r>
      <w:proofErr w:type="spellEnd"/>
      <w:r w:rsidR="00860794" w:rsidRPr="00116A43">
        <w:rPr>
          <w:rFonts w:ascii="Cambria" w:hAnsi="Cambria"/>
          <w:sz w:val="20"/>
          <w:szCs w:val="20"/>
          <w:bdr w:val="none" w:sz="0" w:space="0" w:color="auto"/>
          <w:lang w:val="es-ES_tradnl"/>
        </w:rPr>
        <w:t>.</w:t>
      </w:r>
    </w:p>
    <w:p w14:paraId="067EC472" w14:textId="77777777" w:rsidR="005D249D" w:rsidRPr="00116A43" w:rsidRDefault="005D249D"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74BD1DA7" w14:textId="4EEF93F4"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 xml:space="preserve">En casos anteriores, la CIDH ha </w:t>
      </w:r>
      <w:r w:rsidR="0014666E" w:rsidRPr="00116A43">
        <w:rPr>
          <w:rFonts w:ascii="Cambria" w:hAnsi="Cambria"/>
          <w:sz w:val="20"/>
          <w:szCs w:val="20"/>
          <w:bdr w:val="none" w:sz="0" w:space="0" w:color="auto"/>
          <w:lang w:val="es-ES_tradnl"/>
        </w:rPr>
        <w:t xml:space="preserve">señalado </w:t>
      </w:r>
      <w:r w:rsidRPr="00116A43">
        <w:rPr>
          <w:rFonts w:ascii="Cambria" w:hAnsi="Cambria"/>
          <w:sz w:val="20"/>
          <w:szCs w:val="20"/>
          <w:bdr w:val="none" w:sz="0" w:space="0" w:color="auto"/>
          <w:lang w:val="es-ES_tradnl"/>
        </w:rPr>
        <w:t>que “la intolerancia de las autoridades cubanas hacia toda forma de oposición política constituye la principal limitación a los derechos de reunión y participación”</w:t>
      </w:r>
      <w:r w:rsidRPr="00116A43">
        <w:rPr>
          <w:rFonts w:ascii="Cambria" w:hAnsi="Cambria"/>
          <w:sz w:val="20"/>
          <w:szCs w:val="20"/>
          <w:bdr w:val="none" w:sz="0" w:space="0" w:color="auto"/>
          <w:vertAlign w:val="superscript"/>
          <w:lang w:val="es-ES_tradnl"/>
        </w:rPr>
        <w:footnoteReference w:id="213"/>
      </w:r>
      <w:r w:rsidRPr="00116A43">
        <w:rPr>
          <w:rFonts w:ascii="Cambria" w:hAnsi="Cambria"/>
          <w:sz w:val="20"/>
          <w:szCs w:val="20"/>
          <w:bdr w:val="none" w:sz="0" w:space="0" w:color="auto"/>
          <w:lang w:val="es-ES_tradnl"/>
        </w:rPr>
        <w:t xml:space="preserve">. </w:t>
      </w:r>
      <w:r w:rsidR="00C03787" w:rsidRPr="00116A43">
        <w:rPr>
          <w:rFonts w:ascii="Cambria" w:hAnsi="Cambria"/>
          <w:sz w:val="20"/>
          <w:szCs w:val="20"/>
          <w:bdr w:val="none" w:sz="0" w:space="0" w:color="auto"/>
          <w:lang w:val="es-ES_tradnl"/>
        </w:rPr>
        <w:t xml:space="preserve">En el caso que nos ocupa, la CIDH considera que el Estado </w:t>
      </w:r>
      <w:r w:rsidR="00DC3DB1" w:rsidRPr="00116A43">
        <w:rPr>
          <w:rFonts w:ascii="Cambria" w:hAnsi="Cambria"/>
          <w:sz w:val="20"/>
          <w:szCs w:val="20"/>
          <w:bdr w:val="none" w:sz="0" w:space="0" w:color="auto"/>
          <w:lang w:val="es-ES_tradnl"/>
        </w:rPr>
        <w:t>no permit</w:t>
      </w:r>
      <w:r w:rsidR="000C2806" w:rsidRPr="00116A43">
        <w:rPr>
          <w:rFonts w:ascii="Cambria" w:hAnsi="Cambria"/>
          <w:sz w:val="20"/>
          <w:szCs w:val="20"/>
          <w:bdr w:val="none" w:sz="0" w:space="0" w:color="auto"/>
          <w:lang w:val="es-ES_tradnl"/>
        </w:rPr>
        <w:t>ió</w:t>
      </w:r>
      <w:r w:rsidR="008B05BF" w:rsidRPr="00116A43">
        <w:rPr>
          <w:rFonts w:ascii="Cambria" w:hAnsi="Cambria"/>
          <w:sz w:val="20"/>
          <w:szCs w:val="20"/>
          <w:bdr w:val="none" w:sz="0" w:space="0" w:color="auto"/>
          <w:lang w:val="es-ES_tradnl"/>
        </w:rPr>
        <w:t xml:space="preserve"> que Yoani Sánchez </w:t>
      </w:r>
      <w:r w:rsidR="00462692">
        <w:rPr>
          <w:rFonts w:ascii="Cambria" w:hAnsi="Cambria"/>
          <w:sz w:val="20"/>
          <w:szCs w:val="20"/>
          <w:bdr w:val="none" w:sz="0" w:space="0" w:color="auto"/>
          <w:lang w:val="es-ES_tradnl"/>
        </w:rPr>
        <w:t>ejerciera</w:t>
      </w:r>
      <w:r w:rsidR="00862197">
        <w:rPr>
          <w:rFonts w:ascii="Cambria" w:hAnsi="Cambria"/>
          <w:sz w:val="20"/>
          <w:szCs w:val="20"/>
          <w:bdr w:val="none" w:sz="0" w:space="0" w:color="auto"/>
          <w:lang w:val="es-ES_tradnl"/>
        </w:rPr>
        <w:t xml:space="preserve"> su derech</w:t>
      </w:r>
      <w:r w:rsidR="00462692">
        <w:rPr>
          <w:rFonts w:ascii="Cambria" w:hAnsi="Cambria"/>
          <w:sz w:val="20"/>
          <w:szCs w:val="20"/>
          <w:bdr w:val="none" w:sz="0" w:space="0" w:color="auto"/>
          <w:lang w:val="es-ES_tradnl"/>
        </w:rPr>
        <w:t>o</w:t>
      </w:r>
      <w:r w:rsidR="00862197">
        <w:rPr>
          <w:rFonts w:ascii="Cambria" w:hAnsi="Cambria"/>
          <w:sz w:val="20"/>
          <w:szCs w:val="20"/>
          <w:bdr w:val="none" w:sz="0" w:space="0" w:color="auto"/>
          <w:lang w:val="es-ES_tradnl"/>
        </w:rPr>
        <w:t xml:space="preserve"> de reunión</w:t>
      </w:r>
      <w:r w:rsidR="00862197" w:rsidRPr="00116A43">
        <w:rPr>
          <w:rFonts w:ascii="Cambria" w:hAnsi="Cambria"/>
          <w:sz w:val="20"/>
          <w:szCs w:val="20"/>
          <w:bdr w:val="none" w:sz="0" w:space="0" w:color="auto"/>
          <w:lang w:val="es-ES_tradnl"/>
        </w:rPr>
        <w:t xml:space="preserve"> </w:t>
      </w:r>
      <w:r w:rsidR="000C2806" w:rsidRPr="00116A43">
        <w:rPr>
          <w:rFonts w:ascii="Cambria" w:hAnsi="Cambria"/>
          <w:sz w:val="20"/>
          <w:szCs w:val="20"/>
          <w:bdr w:val="none" w:sz="0" w:space="0" w:color="auto"/>
          <w:lang w:val="es-ES_tradnl"/>
        </w:rPr>
        <w:t xml:space="preserve">en distintas oportunidades con el fin de impedir </w:t>
      </w:r>
      <w:r w:rsidR="00862197">
        <w:rPr>
          <w:rFonts w:ascii="Cambria" w:hAnsi="Cambria"/>
          <w:sz w:val="20"/>
          <w:szCs w:val="20"/>
          <w:bdr w:val="none" w:sz="0" w:space="0" w:color="auto"/>
          <w:lang w:val="es-ES_tradnl"/>
        </w:rPr>
        <w:t>que pudiera compartir su pensamiento con otras personas y a la vez enviar un mensaje colectivo sobre las consecuencias para quien pensara como ella</w:t>
      </w:r>
      <w:r w:rsidR="00AA6FF4" w:rsidRPr="00116A43">
        <w:rPr>
          <w:rFonts w:ascii="Cambria" w:hAnsi="Cambria"/>
          <w:sz w:val="20"/>
          <w:szCs w:val="20"/>
          <w:bdr w:val="none" w:sz="0" w:space="0" w:color="auto"/>
          <w:lang w:val="es-ES_tradnl"/>
        </w:rPr>
        <w:t xml:space="preserve">, lo cual </w:t>
      </w:r>
      <w:r w:rsidRPr="00116A43">
        <w:rPr>
          <w:rFonts w:ascii="Cambria" w:hAnsi="Cambria"/>
          <w:sz w:val="20"/>
          <w:szCs w:val="20"/>
          <w:bdr w:val="none" w:sz="0" w:space="0" w:color="auto"/>
          <w:lang w:val="es-ES_tradnl"/>
        </w:rPr>
        <w:t xml:space="preserve">no constituye una restricción legitima a este derecho. </w:t>
      </w:r>
      <w:r w:rsidR="00147F53" w:rsidRPr="00116A43">
        <w:rPr>
          <w:rFonts w:ascii="Cambria" w:hAnsi="Cambria"/>
          <w:sz w:val="20"/>
          <w:szCs w:val="20"/>
          <w:bdr w:val="none" w:sz="0" w:space="0" w:color="auto"/>
          <w:lang w:val="es-ES_tradnl"/>
        </w:rPr>
        <w:t>Por lo anterior</w:t>
      </w:r>
      <w:r w:rsidRPr="00116A43">
        <w:rPr>
          <w:rFonts w:ascii="Cambria" w:hAnsi="Cambria"/>
          <w:sz w:val="20"/>
          <w:szCs w:val="20"/>
          <w:bdr w:val="none" w:sz="0" w:space="0" w:color="auto"/>
          <w:lang w:val="es-ES_tradnl"/>
        </w:rPr>
        <w:t xml:space="preserve">, la Comisión concluye que </w:t>
      </w:r>
      <w:r w:rsidR="00147F53" w:rsidRPr="00116A43">
        <w:rPr>
          <w:rFonts w:ascii="Cambria" w:hAnsi="Cambria"/>
          <w:sz w:val="20"/>
          <w:szCs w:val="20"/>
          <w:bdr w:val="none" w:sz="0" w:space="0" w:color="auto"/>
          <w:lang w:val="es-ES_tradnl"/>
        </w:rPr>
        <w:t xml:space="preserve">el </w:t>
      </w:r>
      <w:r w:rsidRPr="00116A43">
        <w:rPr>
          <w:rFonts w:ascii="Cambria" w:hAnsi="Cambria"/>
          <w:sz w:val="20"/>
          <w:szCs w:val="20"/>
          <w:bdr w:val="none" w:sz="0" w:space="0" w:color="auto"/>
          <w:lang w:val="es-ES_tradnl"/>
        </w:rPr>
        <w:t>Estado v</w:t>
      </w:r>
      <w:r w:rsidR="00147F53" w:rsidRPr="00116A43">
        <w:rPr>
          <w:rFonts w:ascii="Cambria" w:hAnsi="Cambria"/>
          <w:sz w:val="20"/>
          <w:szCs w:val="20"/>
          <w:bdr w:val="none" w:sz="0" w:space="0" w:color="auto"/>
          <w:lang w:val="es-ES_tradnl"/>
        </w:rPr>
        <w:t>iol</w:t>
      </w:r>
      <w:r w:rsidRPr="00116A43">
        <w:rPr>
          <w:rFonts w:ascii="Cambria" w:hAnsi="Cambria"/>
          <w:sz w:val="20"/>
          <w:szCs w:val="20"/>
          <w:bdr w:val="none" w:sz="0" w:space="0" w:color="auto"/>
          <w:lang w:val="es-ES_tradnl"/>
        </w:rPr>
        <w:t xml:space="preserve">ó el derecho </w:t>
      </w:r>
      <w:r w:rsidR="00147F53" w:rsidRPr="00116A43">
        <w:rPr>
          <w:rFonts w:ascii="Cambria" w:hAnsi="Cambria"/>
          <w:sz w:val="20"/>
          <w:szCs w:val="20"/>
          <w:bdr w:val="none" w:sz="0" w:space="0" w:color="auto"/>
          <w:lang w:val="es-ES_tradnl"/>
        </w:rPr>
        <w:t xml:space="preserve">a la </w:t>
      </w:r>
      <w:r w:rsidRPr="00116A43">
        <w:rPr>
          <w:rFonts w:ascii="Cambria" w:hAnsi="Cambria"/>
          <w:sz w:val="20"/>
          <w:szCs w:val="20"/>
          <w:bdr w:val="none" w:sz="0" w:space="0" w:color="auto"/>
          <w:lang w:val="es-ES_tradnl"/>
        </w:rPr>
        <w:t>libertad de reunión consagrado en el artículo XXI de la Declaración Americana</w:t>
      </w:r>
      <w:r w:rsidR="00F23156" w:rsidRPr="00116A43">
        <w:rPr>
          <w:rFonts w:ascii="Cambria" w:hAnsi="Cambria"/>
          <w:sz w:val="20"/>
          <w:szCs w:val="20"/>
          <w:bdr w:val="none" w:sz="0" w:space="0" w:color="auto"/>
          <w:lang w:val="es-ES_tradnl"/>
        </w:rPr>
        <w:t xml:space="preserve"> en perjuicio de </w:t>
      </w:r>
      <w:r w:rsidR="00F93738" w:rsidRPr="00116A43">
        <w:rPr>
          <w:rFonts w:ascii="Cambria" w:hAnsi="Cambria"/>
          <w:sz w:val="20"/>
          <w:szCs w:val="20"/>
          <w:bdr w:val="none" w:sz="0" w:space="0" w:color="auto"/>
          <w:lang w:val="es-ES_tradnl"/>
        </w:rPr>
        <w:t>Yoani Sánchez.</w:t>
      </w:r>
    </w:p>
    <w:p w14:paraId="03C5504F" w14:textId="77777777" w:rsidR="005D249D" w:rsidRPr="00116A43" w:rsidRDefault="005D249D"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3FED587B" w14:textId="76C95131" w:rsidR="00FA190E" w:rsidRDefault="00F9373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Por su parte</w:t>
      </w:r>
      <w:r w:rsidR="00FF5B55" w:rsidRPr="00116A43">
        <w:rPr>
          <w:rFonts w:ascii="Cambria" w:hAnsi="Cambria"/>
          <w:sz w:val="20"/>
          <w:szCs w:val="20"/>
          <w:bdr w:val="none" w:sz="0" w:space="0" w:color="auto"/>
          <w:lang w:val="es-ES_tradnl"/>
        </w:rPr>
        <w:t xml:space="preserve">, respecto de la libertad de asociación, la CIDH no observa que se haya alegado ni </w:t>
      </w:r>
      <w:r w:rsidR="0090761A" w:rsidRPr="00116A43">
        <w:rPr>
          <w:rFonts w:ascii="Cambria" w:hAnsi="Cambria"/>
          <w:sz w:val="20"/>
          <w:szCs w:val="20"/>
          <w:bdr w:val="none" w:sz="0" w:space="0" w:color="auto"/>
          <w:lang w:val="es-ES_tradnl"/>
        </w:rPr>
        <w:t xml:space="preserve">se deduce del expediente </w:t>
      </w:r>
      <w:r w:rsidR="00FF5B55" w:rsidRPr="00116A43">
        <w:rPr>
          <w:rFonts w:ascii="Cambria" w:hAnsi="Cambria"/>
          <w:sz w:val="20"/>
          <w:szCs w:val="20"/>
          <w:bdr w:val="none" w:sz="0" w:space="0" w:color="auto"/>
          <w:lang w:val="es-ES_tradnl"/>
        </w:rPr>
        <w:t xml:space="preserve">que </w:t>
      </w:r>
      <w:r w:rsidR="0041465D" w:rsidRPr="00116A43">
        <w:rPr>
          <w:rFonts w:ascii="Cambria" w:hAnsi="Cambria"/>
          <w:sz w:val="20"/>
          <w:szCs w:val="20"/>
          <w:bdr w:val="none" w:sz="0" w:space="0" w:color="auto"/>
          <w:lang w:val="es-ES_tradnl"/>
        </w:rPr>
        <w:t xml:space="preserve">el Estado </w:t>
      </w:r>
      <w:r w:rsidR="007F1F12" w:rsidRPr="00116A43">
        <w:rPr>
          <w:rFonts w:ascii="Cambria" w:hAnsi="Cambria"/>
          <w:sz w:val="20"/>
          <w:szCs w:val="20"/>
          <w:bdr w:val="none" w:sz="0" w:space="0" w:color="auto"/>
          <w:lang w:val="es-ES_tradnl"/>
        </w:rPr>
        <w:t>haya restringido</w:t>
      </w:r>
      <w:r w:rsidR="00FF5B55" w:rsidRPr="00116A43">
        <w:rPr>
          <w:rFonts w:ascii="Cambria" w:hAnsi="Cambria"/>
          <w:sz w:val="20"/>
          <w:szCs w:val="20"/>
          <w:bdr w:val="none" w:sz="0" w:space="0" w:color="auto"/>
          <w:lang w:val="es-ES_tradnl"/>
        </w:rPr>
        <w:t xml:space="preserve"> el </w:t>
      </w:r>
      <w:r w:rsidR="00605BD2" w:rsidRPr="00116A43">
        <w:rPr>
          <w:rFonts w:ascii="Cambria" w:hAnsi="Cambria"/>
          <w:sz w:val="20"/>
          <w:szCs w:val="20"/>
          <w:bdr w:val="none" w:sz="0" w:space="0" w:color="auto"/>
          <w:lang w:val="es-ES_tradnl"/>
        </w:rPr>
        <w:t xml:space="preserve">derecho de Yoani Sánchez </w:t>
      </w:r>
      <w:r w:rsidR="0041465D" w:rsidRPr="00116A43">
        <w:rPr>
          <w:rFonts w:ascii="Cambria" w:hAnsi="Cambria"/>
          <w:sz w:val="20"/>
          <w:szCs w:val="20"/>
          <w:bdr w:val="none" w:sz="0" w:space="0" w:color="auto"/>
          <w:lang w:val="es-ES_tradnl"/>
        </w:rPr>
        <w:t>a</w:t>
      </w:r>
      <w:r w:rsidR="00605BD2" w:rsidRPr="00116A43">
        <w:rPr>
          <w:rFonts w:ascii="Cambria" w:hAnsi="Cambria"/>
          <w:sz w:val="20"/>
          <w:szCs w:val="20"/>
          <w:bdr w:val="none" w:sz="0" w:space="0" w:color="auto"/>
          <w:lang w:val="es-ES_tradnl"/>
        </w:rPr>
        <w:t xml:space="preserve"> crear o participar en una </w:t>
      </w:r>
      <w:r w:rsidR="00964318" w:rsidRPr="00116A43">
        <w:rPr>
          <w:rFonts w:ascii="Cambria" w:hAnsi="Cambria"/>
          <w:sz w:val="20"/>
          <w:szCs w:val="20"/>
          <w:bdr w:val="none" w:sz="0" w:space="0" w:color="auto"/>
          <w:lang w:val="es-ES_tradnl"/>
        </w:rPr>
        <w:t xml:space="preserve">asociación u </w:t>
      </w:r>
      <w:r w:rsidR="00605BD2" w:rsidRPr="00116A43">
        <w:rPr>
          <w:rFonts w:ascii="Cambria" w:hAnsi="Cambria"/>
          <w:sz w:val="20"/>
          <w:szCs w:val="20"/>
          <w:bdr w:val="none" w:sz="0" w:space="0" w:color="auto"/>
          <w:lang w:val="es-ES_tradnl"/>
        </w:rPr>
        <w:t>organización</w:t>
      </w:r>
      <w:r w:rsidR="00A87ACD" w:rsidRPr="00116A43">
        <w:rPr>
          <w:rFonts w:ascii="Cambria" w:hAnsi="Cambria"/>
          <w:sz w:val="20"/>
          <w:szCs w:val="20"/>
          <w:bdr w:val="none" w:sz="0" w:space="0" w:color="auto"/>
          <w:lang w:val="es-ES_tradnl"/>
        </w:rPr>
        <w:t xml:space="preserve"> </w:t>
      </w:r>
      <w:r w:rsidR="00A77121" w:rsidRPr="00116A43">
        <w:rPr>
          <w:rFonts w:ascii="Cambria" w:hAnsi="Cambria"/>
          <w:sz w:val="20"/>
          <w:szCs w:val="20"/>
          <w:bdr w:val="none" w:sz="0" w:space="0" w:color="auto"/>
          <w:lang w:val="es-ES_tradnl"/>
        </w:rPr>
        <w:t xml:space="preserve">con otras personas, </w:t>
      </w:r>
      <w:r w:rsidR="00A87ACD" w:rsidRPr="00116A43">
        <w:rPr>
          <w:rFonts w:ascii="Cambria" w:hAnsi="Cambria"/>
          <w:sz w:val="20"/>
          <w:szCs w:val="20"/>
        </w:rPr>
        <w:t xml:space="preserve">con el objeto de actuar colectivamente </w:t>
      </w:r>
      <w:r w:rsidR="005E5606" w:rsidRPr="00116A43">
        <w:rPr>
          <w:rFonts w:ascii="Cambria" w:hAnsi="Cambria"/>
          <w:sz w:val="20"/>
          <w:szCs w:val="20"/>
        </w:rPr>
        <w:t xml:space="preserve">por un fin común </w:t>
      </w:r>
      <w:r w:rsidR="00C04198" w:rsidRPr="00116A43">
        <w:rPr>
          <w:rFonts w:ascii="Cambria" w:hAnsi="Cambria"/>
          <w:sz w:val="20"/>
          <w:szCs w:val="20"/>
        </w:rPr>
        <w:t xml:space="preserve">con vocación de permanencia en el tiempo, </w:t>
      </w:r>
      <w:r w:rsidR="00B03C2A" w:rsidRPr="00116A43">
        <w:rPr>
          <w:rFonts w:ascii="Cambria" w:hAnsi="Cambria"/>
          <w:sz w:val="20"/>
          <w:szCs w:val="20"/>
        </w:rPr>
        <w:t>que lo distinga de</w:t>
      </w:r>
      <w:r w:rsidR="004A18F0" w:rsidRPr="00116A43">
        <w:rPr>
          <w:rFonts w:ascii="Cambria" w:hAnsi="Cambria"/>
          <w:sz w:val="20"/>
          <w:szCs w:val="20"/>
        </w:rPr>
        <w:t xml:space="preserve"> la libertad</w:t>
      </w:r>
      <w:r w:rsidR="00B03C2A" w:rsidRPr="00116A43">
        <w:rPr>
          <w:rFonts w:ascii="Cambria" w:hAnsi="Cambria"/>
          <w:sz w:val="20"/>
          <w:szCs w:val="20"/>
        </w:rPr>
        <w:t xml:space="preserve"> de reunión. </w:t>
      </w:r>
      <w:r w:rsidR="00FF5B55" w:rsidRPr="00116A43">
        <w:rPr>
          <w:rFonts w:ascii="Cambria" w:hAnsi="Cambria"/>
          <w:sz w:val="20"/>
          <w:szCs w:val="20"/>
          <w:bdr w:val="none" w:sz="0" w:space="0" w:color="auto"/>
          <w:lang w:val="es-ES_tradnl"/>
        </w:rPr>
        <w:t xml:space="preserve">Por ello, la Comisión concluye que </w:t>
      </w:r>
      <w:r w:rsidR="00BF0985" w:rsidRPr="00116A43">
        <w:rPr>
          <w:rFonts w:ascii="Cambria" w:hAnsi="Cambria"/>
          <w:sz w:val="20"/>
          <w:szCs w:val="20"/>
          <w:bdr w:val="none" w:sz="0" w:space="0" w:color="auto"/>
          <w:lang w:val="es-ES_tradnl"/>
        </w:rPr>
        <w:t xml:space="preserve">el Estado no </w:t>
      </w:r>
      <w:r w:rsidR="003D7C0F" w:rsidRPr="00116A43">
        <w:rPr>
          <w:rFonts w:ascii="Cambria" w:hAnsi="Cambria"/>
          <w:sz w:val="20"/>
          <w:szCs w:val="20"/>
          <w:bdr w:val="none" w:sz="0" w:space="0" w:color="auto"/>
          <w:lang w:val="es-ES_tradnl"/>
        </w:rPr>
        <w:t>es responsable por la violación</w:t>
      </w:r>
      <w:r w:rsidR="00BF0985" w:rsidRPr="00116A43">
        <w:rPr>
          <w:rFonts w:ascii="Cambria" w:hAnsi="Cambria"/>
          <w:sz w:val="20"/>
          <w:szCs w:val="20"/>
          <w:bdr w:val="none" w:sz="0" w:space="0" w:color="auto"/>
          <w:lang w:val="es-ES_tradnl"/>
        </w:rPr>
        <w:t xml:space="preserve"> </w:t>
      </w:r>
      <w:r w:rsidR="003D7C0F" w:rsidRPr="00116A43">
        <w:rPr>
          <w:rFonts w:ascii="Cambria" w:hAnsi="Cambria"/>
          <w:sz w:val="20"/>
          <w:szCs w:val="20"/>
          <w:bdr w:val="none" w:sz="0" w:space="0" w:color="auto"/>
          <w:lang w:val="es-ES_tradnl"/>
        </w:rPr>
        <w:t>d</w:t>
      </w:r>
      <w:r w:rsidR="00BF0985" w:rsidRPr="00116A43">
        <w:rPr>
          <w:rFonts w:ascii="Cambria" w:hAnsi="Cambria"/>
          <w:sz w:val="20"/>
          <w:szCs w:val="20"/>
          <w:bdr w:val="none" w:sz="0" w:space="0" w:color="auto"/>
          <w:lang w:val="es-ES_tradnl"/>
        </w:rPr>
        <w:t xml:space="preserve">el </w:t>
      </w:r>
      <w:r w:rsidR="00FF5B55" w:rsidRPr="00116A43">
        <w:rPr>
          <w:rFonts w:ascii="Cambria" w:hAnsi="Cambria"/>
          <w:sz w:val="20"/>
          <w:szCs w:val="20"/>
          <w:bdr w:val="none" w:sz="0" w:space="0" w:color="auto"/>
          <w:lang w:val="es-ES_tradnl"/>
        </w:rPr>
        <w:t>derecho a la libertad de aso</w:t>
      </w:r>
      <w:r w:rsidR="00470646" w:rsidRPr="00116A43">
        <w:rPr>
          <w:rFonts w:ascii="Cambria" w:hAnsi="Cambria"/>
          <w:sz w:val="20"/>
          <w:szCs w:val="20"/>
          <w:bdr w:val="none" w:sz="0" w:space="0" w:color="auto"/>
          <w:lang w:val="es-ES_tradnl"/>
        </w:rPr>
        <w:t>ciación</w:t>
      </w:r>
      <w:r w:rsidR="00FF5B55" w:rsidRPr="00116A43">
        <w:rPr>
          <w:rFonts w:ascii="Cambria" w:hAnsi="Cambria"/>
          <w:sz w:val="20"/>
          <w:szCs w:val="20"/>
          <w:bdr w:val="none" w:sz="0" w:space="0" w:color="auto"/>
          <w:lang w:val="es-ES_tradnl"/>
        </w:rPr>
        <w:t xml:space="preserve">. </w:t>
      </w:r>
    </w:p>
    <w:p w14:paraId="243CBA84"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63D3AF0E" w14:textId="0DBA1317" w:rsidR="00FF5B55" w:rsidRPr="00116A43" w:rsidRDefault="00FF5B55" w:rsidP="004F709F">
      <w:pPr>
        <w:pStyle w:val="Heading2"/>
      </w:pPr>
      <w:bookmarkStart w:id="33" w:name="_Toc89157577"/>
      <w:r w:rsidRPr="00116A43">
        <w:t xml:space="preserve">Derecho a la </w:t>
      </w:r>
      <w:r w:rsidR="00997DB0" w:rsidRPr="00116A43">
        <w:t>inviolabilidad del domicilio (artículo IX)</w:t>
      </w:r>
      <w:r w:rsidR="00E701DE" w:rsidRPr="00116A43">
        <w:rPr>
          <w:rStyle w:val="FootnoteReference"/>
        </w:rPr>
        <w:footnoteReference w:id="214"/>
      </w:r>
      <w:r w:rsidR="00997DB0" w:rsidRPr="00116A43">
        <w:t xml:space="preserve"> y a la </w:t>
      </w:r>
      <w:r w:rsidRPr="00116A43">
        <w:t>inviolabilidad y circulación de la correspondencia (</w:t>
      </w:r>
      <w:r w:rsidR="00D255DB" w:rsidRPr="00116A43">
        <w:t>a</w:t>
      </w:r>
      <w:r w:rsidRPr="00116A43">
        <w:t>rtículo X)</w:t>
      </w:r>
      <w:r w:rsidR="00E701DE" w:rsidRPr="00116A43">
        <w:rPr>
          <w:rStyle w:val="FootnoteReference"/>
        </w:rPr>
        <w:footnoteReference w:id="215"/>
      </w:r>
      <w:bookmarkEnd w:id="33"/>
      <w:r w:rsidRPr="00116A43">
        <w:t xml:space="preserve"> </w:t>
      </w:r>
    </w:p>
    <w:p w14:paraId="72F59CAB" w14:textId="77777777" w:rsidR="00D71DFE" w:rsidRPr="00116A43" w:rsidRDefault="00D71DFE" w:rsidP="005F7FE2">
      <w:pPr>
        <w:rPr>
          <w:rFonts w:ascii="Cambria" w:hAnsi="Cambria"/>
          <w:sz w:val="20"/>
          <w:szCs w:val="20"/>
          <w:lang w:val="es-ES_tradnl"/>
        </w:rPr>
      </w:pPr>
    </w:p>
    <w:p w14:paraId="7E776BB0" w14:textId="69ADA3E8" w:rsidR="005E79E4" w:rsidRPr="00116A43" w:rsidRDefault="00186987"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color w:val="000000"/>
          <w:sz w:val="20"/>
          <w:szCs w:val="20"/>
          <w:lang w:val="es-AR"/>
        </w:rPr>
        <w:t xml:space="preserve">La Comisión observa que el derecho a la inviolabilidad del domicilio constituye un derecho fundamental establecido para garantizar el ámbito de </w:t>
      </w:r>
      <w:r w:rsidR="00AB1452" w:rsidRPr="00116A43">
        <w:rPr>
          <w:rFonts w:ascii="Cambria" w:hAnsi="Cambria"/>
          <w:color w:val="000000"/>
          <w:sz w:val="20"/>
          <w:szCs w:val="20"/>
          <w:lang w:val="es-AR"/>
        </w:rPr>
        <w:t xml:space="preserve">la </w:t>
      </w:r>
      <w:r w:rsidRPr="00116A43">
        <w:rPr>
          <w:rFonts w:ascii="Cambria" w:hAnsi="Cambria"/>
          <w:color w:val="000000"/>
          <w:sz w:val="20"/>
          <w:szCs w:val="20"/>
          <w:lang w:val="es-AR"/>
        </w:rPr>
        <w:t>privacidad</w:t>
      </w:r>
      <w:r w:rsidR="00AB1452" w:rsidRPr="00116A43">
        <w:rPr>
          <w:rFonts w:ascii="Cambria" w:hAnsi="Cambria"/>
          <w:color w:val="000000"/>
          <w:sz w:val="20"/>
          <w:szCs w:val="20"/>
          <w:lang w:val="es-AR"/>
        </w:rPr>
        <w:t xml:space="preserve"> de la persona</w:t>
      </w:r>
      <w:r w:rsidRPr="00116A43">
        <w:rPr>
          <w:rFonts w:ascii="Cambria" w:hAnsi="Cambria"/>
          <w:color w:val="000000"/>
          <w:sz w:val="20"/>
          <w:szCs w:val="20"/>
          <w:lang w:val="es-AR"/>
        </w:rPr>
        <w:t xml:space="preserve">, el cual deberá estar exento de toda </w:t>
      </w:r>
      <w:r w:rsidRPr="00116A43">
        <w:rPr>
          <w:rFonts w:ascii="Cambria" w:hAnsi="Cambria"/>
          <w:color w:val="000000"/>
          <w:sz w:val="20"/>
          <w:szCs w:val="20"/>
          <w:lang w:val="es-AR"/>
        </w:rPr>
        <w:lastRenderedPageBreak/>
        <w:t>invasión exterior</w:t>
      </w:r>
      <w:r w:rsidR="008C697E" w:rsidRPr="00116A43">
        <w:rPr>
          <w:rFonts w:ascii="Cambria" w:hAnsi="Cambria"/>
          <w:color w:val="000000"/>
          <w:sz w:val="20"/>
          <w:szCs w:val="20"/>
          <w:lang w:val="es-AR"/>
        </w:rPr>
        <w:t xml:space="preserve">, ya sea por parte </w:t>
      </w:r>
      <w:r w:rsidRPr="00116A43">
        <w:rPr>
          <w:rFonts w:ascii="Cambria" w:hAnsi="Cambria"/>
          <w:color w:val="000000"/>
          <w:sz w:val="20"/>
          <w:szCs w:val="20"/>
          <w:lang w:val="es-AR"/>
        </w:rPr>
        <w:t>de terceros o de las autoridades</w:t>
      </w:r>
      <w:r w:rsidR="00516878" w:rsidRPr="00116A43">
        <w:rPr>
          <w:rStyle w:val="FootnoteReference"/>
          <w:rFonts w:ascii="Cambria" w:hAnsi="Cambria"/>
          <w:color w:val="000000"/>
          <w:sz w:val="20"/>
          <w:szCs w:val="20"/>
          <w:lang w:val="es-AR"/>
        </w:rPr>
        <w:footnoteReference w:id="216"/>
      </w:r>
      <w:r w:rsidRPr="00116A43">
        <w:rPr>
          <w:rFonts w:ascii="Cambria" w:hAnsi="Cambria"/>
          <w:color w:val="000000"/>
          <w:sz w:val="20"/>
          <w:szCs w:val="20"/>
          <w:lang w:val="es-AR"/>
        </w:rPr>
        <w:t>.</w:t>
      </w:r>
      <w:r w:rsidR="008C697E" w:rsidRPr="00116A43">
        <w:rPr>
          <w:rFonts w:ascii="Cambria" w:hAnsi="Cambria"/>
          <w:sz w:val="20"/>
          <w:szCs w:val="20"/>
          <w:bdr w:val="none" w:sz="0" w:space="0" w:color="auto"/>
          <w:lang w:val="es-ES_tradnl"/>
        </w:rPr>
        <w:t xml:space="preserve"> </w:t>
      </w:r>
      <w:r w:rsidR="005E79E4" w:rsidRPr="00116A43">
        <w:rPr>
          <w:rFonts w:ascii="Cambria" w:hAnsi="Cambria"/>
          <w:sz w:val="20"/>
          <w:szCs w:val="20"/>
          <w:bdr w:val="none" w:sz="0" w:space="0" w:color="auto"/>
          <w:lang w:val="es-ES_tradnl"/>
        </w:rPr>
        <w:t xml:space="preserve">La protección </w:t>
      </w:r>
      <w:r w:rsidR="00950C19" w:rsidRPr="00116A43">
        <w:rPr>
          <w:rFonts w:ascii="Cambria" w:hAnsi="Cambria"/>
          <w:sz w:val="20"/>
          <w:szCs w:val="20"/>
          <w:bdr w:val="none" w:sz="0" w:space="0" w:color="auto"/>
          <w:lang w:val="es-ES_tradnl"/>
        </w:rPr>
        <w:t xml:space="preserve">de injerencias arbitrarias o abusivas respecto del domicilio </w:t>
      </w:r>
      <w:r w:rsidR="005E79E4" w:rsidRPr="00116A43">
        <w:rPr>
          <w:rFonts w:ascii="Cambria" w:hAnsi="Cambria"/>
          <w:sz w:val="20"/>
          <w:szCs w:val="20"/>
          <w:bdr w:val="none" w:sz="0" w:space="0" w:color="auto"/>
          <w:lang w:val="es-ES_tradnl"/>
        </w:rPr>
        <w:t xml:space="preserve">implica el reconocimiento de que existe un ámbito personal que debe estar </w:t>
      </w:r>
      <w:r w:rsidR="00654F3A" w:rsidRPr="00116A43">
        <w:rPr>
          <w:rFonts w:ascii="Cambria" w:hAnsi="Cambria"/>
          <w:sz w:val="20"/>
          <w:szCs w:val="20"/>
          <w:bdr w:val="none" w:sz="0" w:space="0" w:color="auto"/>
          <w:lang w:val="es-ES_tradnl"/>
        </w:rPr>
        <w:t>libre</w:t>
      </w:r>
      <w:r w:rsidR="005E79E4" w:rsidRPr="00116A43">
        <w:rPr>
          <w:rFonts w:ascii="Cambria" w:hAnsi="Cambria"/>
          <w:sz w:val="20"/>
          <w:szCs w:val="20"/>
          <w:bdr w:val="none" w:sz="0" w:space="0" w:color="auto"/>
          <w:lang w:val="es-ES_tradnl"/>
        </w:rPr>
        <w:t xml:space="preserve"> e inmune a las invasiones o agresiones </w:t>
      </w:r>
      <w:r w:rsidR="008F2390" w:rsidRPr="00116A43">
        <w:rPr>
          <w:rFonts w:ascii="Cambria" w:hAnsi="Cambria"/>
          <w:sz w:val="20"/>
          <w:szCs w:val="20"/>
          <w:bdr w:val="none" w:sz="0" w:space="0" w:color="auto"/>
          <w:lang w:val="es-ES_tradnl"/>
        </w:rPr>
        <w:t xml:space="preserve">arbitrarias o </w:t>
      </w:r>
      <w:r w:rsidR="005E79E4" w:rsidRPr="00116A43">
        <w:rPr>
          <w:rFonts w:ascii="Cambria" w:hAnsi="Cambria"/>
          <w:sz w:val="20"/>
          <w:szCs w:val="20"/>
          <w:bdr w:val="none" w:sz="0" w:space="0" w:color="auto"/>
          <w:lang w:val="es-ES_tradnl"/>
        </w:rPr>
        <w:t xml:space="preserve">abusivas. </w:t>
      </w:r>
      <w:r w:rsidR="00637DF7" w:rsidRPr="00116A43">
        <w:rPr>
          <w:rFonts w:ascii="Cambria" w:hAnsi="Cambria"/>
          <w:sz w:val="20"/>
          <w:szCs w:val="20"/>
          <w:bdr w:val="none" w:sz="0" w:space="0" w:color="auto"/>
          <w:lang w:val="es-ES_tradnl"/>
        </w:rPr>
        <w:t>En este orden de ideas, el domicilio se convierte en un espacio en el cual se puede desarrollar libremente la vida privada</w:t>
      </w:r>
      <w:r w:rsidR="00516878" w:rsidRPr="00116A43">
        <w:rPr>
          <w:rStyle w:val="FootnoteReference"/>
          <w:rFonts w:ascii="Cambria" w:hAnsi="Cambria"/>
          <w:sz w:val="20"/>
          <w:szCs w:val="20"/>
          <w:bdr w:val="none" w:sz="0" w:space="0" w:color="auto"/>
          <w:lang w:val="es-ES_tradnl"/>
        </w:rPr>
        <w:footnoteReference w:id="217"/>
      </w:r>
      <w:r w:rsidR="00516878" w:rsidRPr="00116A43">
        <w:rPr>
          <w:rFonts w:ascii="Cambria" w:hAnsi="Cambria"/>
          <w:sz w:val="20"/>
          <w:szCs w:val="20"/>
          <w:bdr w:val="none" w:sz="0" w:space="0" w:color="auto"/>
          <w:lang w:val="es-ES_tradnl"/>
        </w:rPr>
        <w:t>.</w:t>
      </w:r>
    </w:p>
    <w:p w14:paraId="49FF25AF" w14:textId="77777777" w:rsidR="00C557C6" w:rsidRPr="00116A43" w:rsidRDefault="00C557C6" w:rsidP="00C557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13839FDD" w14:textId="2672F3C1" w:rsidR="006F6B10" w:rsidRPr="00116A43" w:rsidRDefault="00993FA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 xml:space="preserve">En </w:t>
      </w:r>
      <w:r w:rsidR="00C06A8D" w:rsidRPr="00116A43">
        <w:rPr>
          <w:rFonts w:ascii="Cambria" w:hAnsi="Cambria"/>
          <w:sz w:val="20"/>
          <w:szCs w:val="20"/>
          <w:bdr w:val="none" w:sz="0" w:space="0" w:color="auto"/>
          <w:lang w:val="es-ES_tradnl"/>
        </w:rPr>
        <w:t xml:space="preserve">relación con el derecho a la inviolabilidad de </w:t>
      </w:r>
      <w:r w:rsidRPr="00116A43">
        <w:rPr>
          <w:rFonts w:ascii="Cambria" w:hAnsi="Cambria"/>
          <w:sz w:val="20"/>
          <w:szCs w:val="20"/>
          <w:bdr w:val="none" w:sz="0" w:space="0" w:color="auto"/>
          <w:lang w:val="es-ES_tradnl"/>
        </w:rPr>
        <w:t xml:space="preserve">correspondencia, </w:t>
      </w:r>
      <w:r w:rsidR="009532B4" w:rsidRPr="00116A43">
        <w:rPr>
          <w:rFonts w:ascii="Cambria" w:hAnsi="Cambria"/>
          <w:sz w:val="20"/>
          <w:szCs w:val="20"/>
          <w:bdr w:val="none" w:sz="0" w:space="0" w:color="auto"/>
          <w:lang w:val="es-ES_tradnl"/>
        </w:rPr>
        <w:t xml:space="preserve">si bien esta </w:t>
      </w:r>
      <w:r w:rsidR="009532B4" w:rsidRPr="00116A43">
        <w:rPr>
          <w:rFonts w:ascii="Cambria" w:hAnsi="Cambria"/>
          <w:sz w:val="20"/>
          <w:szCs w:val="20"/>
          <w:bdr w:val="none" w:sz="0" w:space="0" w:color="auto"/>
          <w:lang w:val="es-PE"/>
        </w:rPr>
        <w:t xml:space="preserve">última se encuentra </w:t>
      </w:r>
      <w:r w:rsidR="00354B57" w:rsidRPr="00116A43">
        <w:rPr>
          <w:rFonts w:ascii="Cambria" w:hAnsi="Cambria"/>
          <w:sz w:val="20"/>
          <w:szCs w:val="20"/>
          <w:bdr w:val="none" w:sz="0" w:space="0" w:color="auto"/>
          <w:lang w:val="es-PE"/>
        </w:rPr>
        <w:t xml:space="preserve">protegida de forma explícita </w:t>
      </w:r>
      <w:r w:rsidR="00E3660C" w:rsidRPr="00116A43">
        <w:rPr>
          <w:rFonts w:ascii="Cambria" w:hAnsi="Cambria"/>
          <w:sz w:val="20"/>
          <w:szCs w:val="20"/>
          <w:bdr w:val="none" w:sz="0" w:space="0" w:color="auto"/>
          <w:lang w:val="es-PE"/>
        </w:rPr>
        <w:t>por</w:t>
      </w:r>
      <w:r w:rsidR="00354B57" w:rsidRPr="00116A43">
        <w:rPr>
          <w:rFonts w:ascii="Cambria" w:hAnsi="Cambria"/>
          <w:sz w:val="20"/>
          <w:szCs w:val="20"/>
          <w:bdr w:val="none" w:sz="0" w:space="0" w:color="auto"/>
          <w:lang w:val="es-PE"/>
        </w:rPr>
        <w:t xml:space="preserve"> el artículo X de la Declaración,</w:t>
      </w:r>
      <w:r w:rsidR="00E3660C" w:rsidRPr="00116A43">
        <w:rPr>
          <w:rFonts w:ascii="Cambria" w:hAnsi="Cambria"/>
          <w:sz w:val="20"/>
          <w:szCs w:val="20"/>
          <w:bdr w:val="none" w:sz="0" w:space="0" w:color="auto"/>
          <w:lang w:val="es-PE"/>
        </w:rPr>
        <w:t xml:space="preserve"> dicha protección ha sido extendida jurisprudencialmente </w:t>
      </w:r>
      <w:r w:rsidR="00354B57" w:rsidRPr="00116A43">
        <w:rPr>
          <w:rFonts w:ascii="Cambria" w:hAnsi="Cambria"/>
          <w:sz w:val="20"/>
          <w:szCs w:val="20"/>
        </w:rPr>
        <w:t>a</w:t>
      </w:r>
      <w:r w:rsidR="00E3660C" w:rsidRPr="00116A43">
        <w:rPr>
          <w:rFonts w:ascii="Cambria" w:hAnsi="Cambria"/>
          <w:sz w:val="20"/>
          <w:szCs w:val="20"/>
        </w:rPr>
        <w:t xml:space="preserve"> las </w:t>
      </w:r>
      <w:r w:rsidR="00354B57" w:rsidRPr="00116A43">
        <w:rPr>
          <w:rFonts w:ascii="Cambria" w:hAnsi="Cambria"/>
          <w:sz w:val="20"/>
          <w:szCs w:val="20"/>
        </w:rPr>
        <w:t>“comunicaciones”</w:t>
      </w:r>
      <w:r w:rsidR="00E3660C" w:rsidRPr="00116A43">
        <w:rPr>
          <w:rFonts w:ascii="Cambria" w:hAnsi="Cambria"/>
          <w:sz w:val="20"/>
          <w:szCs w:val="20"/>
        </w:rPr>
        <w:t xml:space="preserve">, incluidas </w:t>
      </w:r>
      <w:r w:rsidR="00354B57" w:rsidRPr="00116A43">
        <w:rPr>
          <w:rFonts w:ascii="Cambria" w:hAnsi="Cambria"/>
          <w:sz w:val="20"/>
          <w:szCs w:val="20"/>
        </w:rPr>
        <w:t>las comunicaciones telefónicas</w:t>
      </w:r>
      <w:r w:rsidR="00122DB7" w:rsidRPr="00116A43">
        <w:rPr>
          <w:rStyle w:val="FootnoteReference"/>
          <w:rFonts w:ascii="Cambria" w:hAnsi="Cambria"/>
          <w:sz w:val="20"/>
          <w:szCs w:val="20"/>
        </w:rPr>
        <w:footnoteReference w:id="218"/>
      </w:r>
      <w:r w:rsidR="00354B57" w:rsidRPr="00116A43">
        <w:rPr>
          <w:rFonts w:ascii="Cambria" w:hAnsi="Cambria"/>
          <w:sz w:val="20"/>
          <w:szCs w:val="20"/>
        </w:rPr>
        <w:t xml:space="preserve"> y a través de nuevas tecnologías, como lo es internet</w:t>
      </w:r>
      <w:r w:rsidR="00354B57" w:rsidRPr="00116A43">
        <w:rPr>
          <w:rStyle w:val="FootnoteReference"/>
          <w:rFonts w:ascii="Cambria" w:hAnsi="Cambria"/>
          <w:sz w:val="20"/>
          <w:szCs w:val="20"/>
        </w:rPr>
        <w:footnoteReference w:id="219"/>
      </w:r>
      <w:r w:rsidR="00354B57" w:rsidRPr="00116A43">
        <w:rPr>
          <w:rFonts w:ascii="Cambria" w:hAnsi="Cambria"/>
          <w:sz w:val="20"/>
          <w:szCs w:val="20"/>
        </w:rPr>
        <w:t>.</w:t>
      </w:r>
      <w:r w:rsidR="00A24101" w:rsidRPr="00116A43">
        <w:rPr>
          <w:rFonts w:ascii="Cambria" w:hAnsi="Cambria"/>
          <w:sz w:val="20"/>
          <w:szCs w:val="20"/>
        </w:rPr>
        <w:t xml:space="preserve"> La protección de las comunicaciones alcanza a los datos tendientes a identificar la comunicación, como son por ejemplo los números de los destinatarios, la frecuencia de las llamadas y la duración de </w:t>
      </w:r>
      <w:proofErr w:type="gramStart"/>
      <w:r w:rsidR="00A24101" w:rsidRPr="00116A43">
        <w:rPr>
          <w:rFonts w:ascii="Cambria" w:hAnsi="Cambria"/>
          <w:sz w:val="20"/>
          <w:szCs w:val="20"/>
        </w:rPr>
        <w:t>las mismas</w:t>
      </w:r>
      <w:proofErr w:type="gramEnd"/>
      <w:r w:rsidR="00A24101" w:rsidRPr="00116A43">
        <w:rPr>
          <w:rFonts w:ascii="Cambria" w:hAnsi="Cambria"/>
          <w:sz w:val="20"/>
          <w:szCs w:val="20"/>
        </w:rPr>
        <w:t>. Estos datos constituyen parte integral de la comunicación, tanto como el contenido, y su almacenamiento también constituye una interferencia o intromisión en la vida privada y las comunicaciones de la persona</w:t>
      </w:r>
      <w:r w:rsidR="00FD6488" w:rsidRPr="00116A43">
        <w:rPr>
          <w:rFonts w:ascii="Cambria" w:hAnsi="Cambria"/>
          <w:sz w:val="20"/>
          <w:szCs w:val="20"/>
        </w:rPr>
        <w:t>. Además, no solo</w:t>
      </w:r>
      <w:r w:rsidR="006F6B10" w:rsidRPr="00116A43">
        <w:rPr>
          <w:rFonts w:ascii="Cambria" w:hAnsi="Cambria"/>
          <w:sz w:val="20"/>
          <w:szCs w:val="20"/>
        </w:rPr>
        <w:t xml:space="preserve"> se prohíbe la interce</w:t>
      </w:r>
      <w:r w:rsidR="00792816" w:rsidRPr="00116A43">
        <w:rPr>
          <w:rFonts w:ascii="Cambria" w:hAnsi="Cambria"/>
          <w:sz w:val="20"/>
          <w:szCs w:val="20"/>
        </w:rPr>
        <w:t xml:space="preserve">ptación, sino también </w:t>
      </w:r>
      <w:r w:rsidR="006F6B10" w:rsidRPr="00116A43">
        <w:rPr>
          <w:rFonts w:ascii="Cambria" w:hAnsi="Cambria"/>
          <w:sz w:val="20"/>
          <w:szCs w:val="20"/>
        </w:rPr>
        <w:t>el derecho al secreto respecto de lo que se produzcan en ese espacio reservado con la consiguiente prohibición de divulgación o circulación de la información capturada, sin consentimiento del titular, en ese espacio de protección reservado a la persona</w:t>
      </w:r>
      <w:r w:rsidR="00792816" w:rsidRPr="00116A43">
        <w:rPr>
          <w:rStyle w:val="FootnoteReference"/>
          <w:rFonts w:ascii="Cambria" w:hAnsi="Cambria"/>
          <w:sz w:val="20"/>
          <w:szCs w:val="20"/>
        </w:rPr>
        <w:footnoteReference w:id="220"/>
      </w:r>
      <w:r w:rsidR="00792816" w:rsidRPr="00116A43">
        <w:rPr>
          <w:rFonts w:ascii="Cambria" w:hAnsi="Cambria"/>
          <w:sz w:val="20"/>
          <w:szCs w:val="20"/>
        </w:rPr>
        <w:t>.</w:t>
      </w:r>
    </w:p>
    <w:p w14:paraId="32CA8E9B" w14:textId="77777777" w:rsidR="00791D74" w:rsidRPr="00116A43" w:rsidRDefault="00791D74"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657CD434" w14:textId="237A0674" w:rsidR="00210E39" w:rsidRPr="00116A43" w:rsidRDefault="004A588D"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rPr>
        <w:t xml:space="preserve">El derecho a que nadie </w:t>
      </w:r>
      <w:r w:rsidR="00210E39" w:rsidRPr="00116A43">
        <w:rPr>
          <w:rFonts w:ascii="Cambria" w:hAnsi="Cambria"/>
          <w:sz w:val="20"/>
          <w:szCs w:val="20"/>
        </w:rPr>
        <w:t>puede ser objeto de injerencias arbitrarias o abusivas en su domicilio o en su correspondencia, es un presupuesto del ejercicio del derecho a la libertad de expresión, que debe ser protegido por la ley y estrictamente promovido en la política pública</w:t>
      </w:r>
      <w:r w:rsidR="00147743" w:rsidRPr="00116A43">
        <w:rPr>
          <w:rFonts w:ascii="Cambria" w:hAnsi="Cambria"/>
          <w:sz w:val="20"/>
          <w:szCs w:val="20"/>
        </w:rPr>
        <w:t>. Esto está ligado a la obligación estatal de crear un ambiente protegido para el ejercicio del derecho a la libertad de expresión, toda vez que la vulneración de la privacidad de las comunicaciones tiene un efecto inhibitorio y afecta el pleno ejercicio del derecho a comunicarse</w:t>
      </w:r>
      <w:r w:rsidR="00A67725" w:rsidRPr="00116A43">
        <w:rPr>
          <w:rStyle w:val="FootnoteReference"/>
          <w:rFonts w:ascii="Cambria" w:hAnsi="Cambria"/>
          <w:sz w:val="20"/>
          <w:szCs w:val="20"/>
        </w:rPr>
        <w:footnoteReference w:id="221"/>
      </w:r>
      <w:r w:rsidR="003E1212" w:rsidRPr="00116A43">
        <w:rPr>
          <w:rFonts w:ascii="Cambria" w:hAnsi="Cambria"/>
          <w:sz w:val="20"/>
          <w:szCs w:val="20"/>
        </w:rPr>
        <w:t>.</w:t>
      </w:r>
    </w:p>
    <w:p w14:paraId="0AA700C6" w14:textId="77777777" w:rsidR="00676AE4" w:rsidRPr="00116A43" w:rsidRDefault="00676AE4"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63DB51BA" w14:textId="12EF8BC3" w:rsidR="00F9582A" w:rsidRPr="00116A43" w:rsidRDefault="00F9582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color w:val="000000"/>
          <w:sz w:val="20"/>
          <w:szCs w:val="20"/>
          <w:lang w:val="es-AR"/>
        </w:rPr>
        <w:t xml:space="preserve">Sin embargo, </w:t>
      </w:r>
      <w:r w:rsidR="000F5AFC" w:rsidRPr="00116A43">
        <w:rPr>
          <w:rFonts w:ascii="Cambria" w:hAnsi="Cambria"/>
          <w:color w:val="000000"/>
          <w:sz w:val="20"/>
          <w:szCs w:val="20"/>
          <w:lang w:val="es-AR"/>
        </w:rPr>
        <w:t xml:space="preserve">los </w:t>
      </w:r>
      <w:r w:rsidRPr="00116A43">
        <w:rPr>
          <w:rFonts w:ascii="Cambria" w:hAnsi="Cambria"/>
          <w:color w:val="000000"/>
          <w:sz w:val="20"/>
          <w:szCs w:val="20"/>
          <w:lang w:val="es-AR"/>
        </w:rPr>
        <w:t>derecho</w:t>
      </w:r>
      <w:r w:rsidR="000F5AFC" w:rsidRPr="00116A43">
        <w:rPr>
          <w:rFonts w:ascii="Cambria" w:hAnsi="Cambria"/>
          <w:color w:val="000000"/>
          <w:sz w:val="20"/>
          <w:szCs w:val="20"/>
          <w:lang w:val="es-AR"/>
        </w:rPr>
        <w:t>s</w:t>
      </w:r>
      <w:r w:rsidRPr="00116A43">
        <w:rPr>
          <w:rFonts w:ascii="Cambria" w:hAnsi="Cambria"/>
          <w:color w:val="000000"/>
          <w:sz w:val="20"/>
          <w:szCs w:val="20"/>
          <w:lang w:val="es-AR"/>
        </w:rPr>
        <w:t xml:space="preserve"> a la inviolabilidad del domicilio y </w:t>
      </w:r>
      <w:r w:rsidR="000F5AFC" w:rsidRPr="00116A43">
        <w:rPr>
          <w:rFonts w:ascii="Cambria" w:hAnsi="Cambria"/>
          <w:color w:val="000000"/>
          <w:sz w:val="20"/>
          <w:szCs w:val="20"/>
          <w:lang w:val="es-AR"/>
        </w:rPr>
        <w:t>a la correspondencia</w:t>
      </w:r>
      <w:r w:rsidRPr="00116A43">
        <w:rPr>
          <w:rFonts w:ascii="Cambria" w:hAnsi="Cambria"/>
          <w:color w:val="000000"/>
          <w:sz w:val="20"/>
          <w:szCs w:val="20"/>
          <w:lang w:val="es-AR"/>
        </w:rPr>
        <w:t xml:space="preserve"> no </w:t>
      </w:r>
      <w:r w:rsidR="000F5AFC" w:rsidRPr="00116A43">
        <w:rPr>
          <w:rFonts w:ascii="Cambria" w:hAnsi="Cambria"/>
          <w:color w:val="000000"/>
          <w:sz w:val="20"/>
          <w:szCs w:val="20"/>
          <w:lang w:val="es-AR"/>
        </w:rPr>
        <w:t>son</w:t>
      </w:r>
      <w:r w:rsidRPr="00116A43">
        <w:rPr>
          <w:rFonts w:ascii="Cambria" w:hAnsi="Cambria"/>
          <w:color w:val="000000"/>
          <w:sz w:val="20"/>
          <w:szCs w:val="20"/>
          <w:lang w:val="es-AR"/>
        </w:rPr>
        <w:t xml:space="preserve"> derecho</w:t>
      </w:r>
      <w:r w:rsidR="000F5AFC" w:rsidRPr="00116A43">
        <w:rPr>
          <w:rFonts w:ascii="Cambria" w:hAnsi="Cambria"/>
          <w:color w:val="000000"/>
          <w:sz w:val="20"/>
          <w:szCs w:val="20"/>
          <w:lang w:val="es-AR"/>
        </w:rPr>
        <w:t>s</w:t>
      </w:r>
      <w:r w:rsidRPr="00116A43">
        <w:rPr>
          <w:rFonts w:ascii="Cambria" w:hAnsi="Cambria"/>
          <w:color w:val="000000"/>
          <w:sz w:val="20"/>
          <w:szCs w:val="20"/>
          <w:lang w:val="es-AR"/>
        </w:rPr>
        <w:t xml:space="preserve"> absoluto</w:t>
      </w:r>
      <w:r w:rsidR="000F5AFC" w:rsidRPr="00116A43">
        <w:rPr>
          <w:rFonts w:ascii="Cambria" w:hAnsi="Cambria"/>
          <w:color w:val="000000"/>
          <w:sz w:val="20"/>
          <w:szCs w:val="20"/>
          <w:lang w:val="es-AR"/>
        </w:rPr>
        <w:t>s</w:t>
      </w:r>
      <w:r w:rsidRPr="00116A43">
        <w:rPr>
          <w:rFonts w:ascii="Cambria" w:hAnsi="Cambria"/>
          <w:color w:val="000000"/>
          <w:sz w:val="20"/>
          <w:szCs w:val="20"/>
          <w:lang w:val="es-AR"/>
        </w:rPr>
        <w:t xml:space="preserve"> y puede</w:t>
      </w:r>
      <w:r w:rsidR="000F5AFC" w:rsidRPr="00116A43">
        <w:rPr>
          <w:rFonts w:ascii="Cambria" w:hAnsi="Cambria"/>
          <w:color w:val="000000"/>
          <w:sz w:val="20"/>
          <w:szCs w:val="20"/>
          <w:lang w:val="es-AR"/>
        </w:rPr>
        <w:t>n</w:t>
      </w:r>
      <w:r w:rsidRPr="00116A43">
        <w:rPr>
          <w:rFonts w:ascii="Cambria" w:hAnsi="Cambria"/>
          <w:color w:val="000000"/>
          <w:sz w:val="20"/>
          <w:szCs w:val="20"/>
          <w:lang w:val="es-AR"/>
        </w:rPr>
        <w:t xml:space="preserve"> ser limitado</w:t>
      </w:r>
      <w:r w:rsidR="000F5AFC" w:rsidRPr="00116A43">
        <w:rPr>
          <w:rFonts w:ascii="Cambria" w:hAnsi="Cambria"/>
          <w:color w:val="000000"/>
          <w:sz w:val="20"/>
          <w:szCs w:val="20"/>
          <w:lang w:val="es-AR"/>
        </w:rPr>
        <w:t>s</w:t>
      </w:r>
      <w:r w:rsidRPr="00116A43">
        <w:rPr>
          <w:rFonts w:ascii="Cambria" w:hAnsi="Cambria"/>
          <w:color w:val="000000"/>
          <w:sz w:val="20"/>
          <w:szCs w:val="20"/>
          <w:lang w:val="es-AR"/>
        </w:rPr>
        <w:t xml:space="preserve"> siempre y cuando exista una orden de autoridad competente</w:t>
      </w:r>
      <w:r w:rsidRPr="00116A43">
        <w:rPr>
          <w:rStyle w:val="FootnoteReference"/>
          <w:rFonts w:ascii="Cambria" w:hAnsi="Cambria"/>
          <w:color w:val="000000"/>
          <w:sz w:val="20"/>
          <w:szCs w:val="20"/>
          <w:lang w:val="es-AR"/>
        </w:rPr>
        <w:footnoteReference w:id="222"/>
      </w:r>
      <w:r w:rsidR="00EA49D8" w:rsidRPr="00116A43">
        <w:rPr>
          <w:rFonts w:ascii="Cambria" w:hAnsi="Cambria"/>
          <w:color w:val="000000"/>
          <w:sz w:val="20"/>
          <w:szCs w:val="20"/>
          <w:lang w:val="es-AR"/>
        </w:rPr>
        <w:t xml:space="preserve">. Además, </w:t>
      </w:r>
      <w:r w:rsidR="00EA49D8" w:rsidRPr="00116A43">
        <w:rPr>
          <w:rFonts w:ascii="Cambria" w:hAnsi="Cambria"/>
          <w:sz w:val="20"/>
          <w:szCs w:val="20"/>
          <w:bdr w:val="none" w:sz="0" w:space="0" w:color="auto"/>
          <w:lang w:val="es-ES_tradnl"/>
        </w:rPr>
        <w:t>para que</w:t>
      </w:r>
      <w:r w:rsidR="00B97BF9" w:rsidRPr="00116A43">
        <w:rPr>
          <w:rFonts w:ascii="Cambria" w:hAnsi="Cambria"/>
          <w:sz w:val="20"/>
          <w:szCs w:val="20"/>
          <w:bdr w:val="none" w:sz="0" w:space="0" w:color="auto"/>
          <w:lang w:val="es-ES_tradnl"/>
        </w:rPr>
        <w:t xml:space="preserve"> la restricción sea</w:t>
      </w:r>
      <w:r w:rsidR="00EA49D8" w:rsidRPr="00116A43">
        <w:rPr>
          <w:rFonts w:ascii="Cambria" w:hAnsi="Cambria"/>
          <w:sz w:val="20"/>
          <w:szCs w:val="20"/>
          <w:bdr w:val="none" w:sz="0" w:space="0" w:color="auto"/>
          <w:lang w:val="es-ES_tradnl"/>
        </w:rPr>
        <w:t xml:space="preserve"> legítima</w:t>
      </w:r>
      <w:r w:rsidR="00B97BF9" w:rsidRPr="00116A43">
        <w:rPr>
          <w:rFonts w:ascii="Cambria" w:hAnsi="Cambria"/>
          <w:sz w:val="20"/>
          <w:szCs w:val="20"/>
          <w:bdr w:val="none" w:sz="0" w:space="0" w:color="auto"/>
          <w:lang w:val="es-ES_tradnl"/>
        </w:rPr>
        <w:t xml:space="preserve"> </w:t>
      </w:r>
      <w:r w:rsidR="00EA49D8" w:rsidRPr="00116A43">
        <w:rPr>
          <w:rFonts w:ascii="Cambria" w:hAnsi="Cambria"/>
          <w:sz w:val="20"/>
          <w:szCs w:val="20"/>
          <w:bdr w:val="none" w:sz="0" w:space="0" w:color="auto"/>
          <w:lang w:val="es-ES_tradnl"/>
        </w:rPr>
        <w:t>debe estar prevista en ley, perseguir un fin legítimo y cumplir con los requisitos de idoneidad, necesidad y proporcionalidad, es decir, deben ser necesarias en una sociedad democrática</w:t>
      </w:r>
      <w:r w:rsidR="00CE5558" w:rsidRPr="00116A43">
        <w:rPr>
          <w:rStyle w:val="FootnoteReference"/>
          <w:rFonts w:ascii="Cambria" w:hAnsi="Cambria"/>
          <w:sz w:val="20"/>
          <w:szCs w:val="20"/>
        </w:rPr>
        <w:footnoteReference w:id="223"/>
      </w:r>
      <w:r w:rsidR="00CE5558" w:rsidRPr="00116A43">
        <w:rPr>
          <w:rFonts w:ascii="Cambria" w:hAnsi="Cambria"/>
          <w:sz w:val="20"/>
          <w:szCs w:val="20"/>
        </w:rPr>
        <w:t>.</w:t>
      </w:r>
    </w:p>
    <w:p w14:paraId="3DCF508C" w14:textId="77777777" w:rsidR="00F9582A" w:rsidRPr="00116A43" w:rsidRDefault="00F9582A"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5B1BD340" w14:textId="58238D0B" w:rsidR="00EE4A0D" w:rsidRPr="00116A43" w:rsidRDefault="00023002"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rPr>
        <w:t>Las instancias y condiciones de vigilancia permisibles deben estar establecidas en forma previa y de manera expresa, taxativa, precisa y clara en una ley, tanto en el sentido formal como material. En vista del riesgo intrínseco de abuso de cualquier sistema de vigilancia, estas medidas deben basarse en legislación particularmente precisa, con reglas claras y detalladas</w:t>
      </w:r>
      <w:r w:rsidR="00254178" w:rsidRPr="00116A43">
        <w:rPr>
          <w:rFonts w:ascii="Cambria" w:hAnsi="Cambria"/>
          <w:sz w:val="20"/>
          <w:szCs w:val="20"/>
        </w:rPr>
        <w:t xml:space="preserve">. </w:t>
      </w:r>
      <w:r w:rsidRPr="00116A43">
        <w:rPr>
          <w:rFonts w:ascii="Cambria" w:hAnsi="Cambria"/>
          <w:sz w:val="20"/>
          <w:szCs w:val="20"/>
        </w:rPr>
        <w:t>Los objetivos conforme a los cuales se habilite el monitoreo o la interceptación de comunicaciones deben constar expresamente en la ley y en todos los casos las leyes deberán establecer la necesidad de una orden judicial previa</w:t>
      </w:r>
      <w:r w:rsidRPr="00116A43">
        <w:rPr>
          <w:rStyle w:val="FootnoteReference"/>
          <w:rFonts w:ascii="Cambria" w:hAnsi="Cambria"/>
          <w:sz w:val="20"/>
          <w:szCs w:val="20"/>
        </w:rPr>
        <w:footnoteReference w:id="224"/>
      </w:r>
      <w:r w:rsidRPr="00116A43">
        <w:rPr>
          <w:rFonts w:ascii="Cambria" w:hAnsi="Cambria"/>
          <w:sz w:val="20"/>
          <w:szCs w:val="20"/>
        </w:rPr>
        <w:t xml:space="preserve">. La naturaleza de las medidas, al igual que </w:t>
      </w:r>
      <w:r w:rsidRPr="00116A43">
        <w:rPr>
          <w:rFonts w:ascii="Cambria" w:hAnsi="Cambria"/>
          <w:sz w:val="20"/>
          <w:szCs w:val="20"/>
        </w:rPr>
        <w:lastRenderedPageBreak/>
        <w:t>su alcance y duración han de estar reguladas, estableciendo los hechos que podrían dar lugar a dichas medidas y los organismos competentes para autorizarlas, implementarlas y supervisarlas</w:t>
      </w:r>
      <w:r w:rsidR="003E4419" w:rsidRPr="00116A43">
        <w:rPr>
          <w:rStyle w:val="FootnoteReference"/>
          <w:rFonts w:ascii="Cambria" w:hAnsi="Cambria"/>
          <w:sz w:val="20"/>
          <w:szCs w:val="20"/>
        </w:rPr>
        <w:footnoteReference w:id="225"/>
      </w:r>
      <w:r w:rsidRPr="00116A43">
        <w:rPr>
          <w:rFonts w:ascii="Cambria" w:hAnsi="Cambria"/>
          <w:sz w:val="20"/>
          <w:szCs w:val="20"/>
        </w:rPr>
        <w:t>.</w:t>
      </w:r>
    </w:p>
    <w:p w14:paraId="66E6C3FF" w14:textId="77777777" w:rsidR="002C1BFC" w:rsidRPr="00116A43" w:rsidRDefault="002C1BFC"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0A34862A" w14:textId="580BD048" w:rsidR="00D71DFE"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Los hechos presentados en el presente caso indican que el Estado ha restringido o interceptad</w:t>
      </w:r>
      <w:r w:rsidR="00470646" w:rsidRPr="00116A43">
        <w:rPr>
          <w:rFonts w:ascii="Cambria" w:hAnsi="Cambria"/>
          <w:sz w:val="20"/>
          <w:szCs w:val="20"/>
          <w:bdr w:val="none" w:sz="0" w:space="0" w:color="auto"/>
          <w:lang w:val="es-ES_tradnl"/>
        </w:rPr>
        <w:t xml:space="preserve">o las comunicaciones </w:t>
      </w:r>
      <w:r w:rsidR="0054199F" w:rsidRPr="00116A43">
        <w:rPr>
          <w:rFonts w:ascii="Cambria" w:hAnsi="Cambria"/>
          <w:sz w:val="20"/>
          <w:szCs w:val="20"/>
          <w:bdr w:val="none" w:sz="0" w:space="0" w:color="auto"/>
          <w:lang w:val="es-ES_tradnl"/>
        </w:rPr>
        <w:t xml:space="preserve">telefónicas </w:t>
      </w:r>
      <w:r w:rsidR="00470646" w:rsidRPr="00116A43">
        <w:rPr>
          <w:rFonts w:ascii="Cambria" w:hAnsi="Cambria"/>
          <w:sz w:val="20"/>
          <w:szCs w:val="20"/>
          <w:bdr w:val="none" w:sz="0" w:space="0" w:color="auto"/>
          <w:lang w:val="es-ES_tradnl"/>
        </w:rPr>
        <w:t xml:space="preserve">de </w:t>
      </w:r>
      <w:r w:rsidRPr="00116A43">
        <w:rPr>
          <w:rFonts w:ascii="Cambria" w:hAnsi="Cambria"/>
          <w:sz w:val="20"/>
          <w:szCs w:val="20"/>
          <w:bdr w:val="none" w:sz="0" w:space="0" w:color="auto"/>
          <w:lang w:val="es-ES_tradnl"/>
        </w:rPr>
        <w:t xml:space="preserve">Yoani Sánchez </w:t>
      </w:r>
      <w:r w:rsidR="0054199F" w:rsidRPr="00116A43">
        <w:rPr>
          <w:rFonts w:ascii="Cambria" w:hAnsi="Cambria"/>
          <w:sz w:val="20"/>
          <w:szCs w:val="20"/>
          <w:bdr w:val="none" w:sz="0" w:space="0" w:color="auto"/>
          <w:lang w:val="es-ES_tradnl"/>
        </w:rPr>
        <w:t>debido a</w:t>
      </w:r>
      <w:r w:rsidRPr="00116A43">
        <w:rPr>
          <w:rFonts w:ascii="Cambria" w:hAnsi="Cambria"/>
          <w:sz w:val="20"/>
          <w:szCs w:val="20"/>
          <w:bdr w:val="none" w:sz="0" w:space="0" w:color="auto"/>
          <w:lang w:val="es-ES_tradnl"/>
        </w:rPr>
        <w:t xml:space="preserve"> su periodismo crítico al régimen</w:t>
      </w:r>
      <w:r w:rsidR="0016693F" w:rsidRPr="00116A43">
        <w:rPr>
          <w:rFonts w:ascii="Cambria" w:hAnsi="Cambria"/>
          <w:sz w:val="20"/>
          <w:szCs w:val="20"/>
          <w:bdr w:val="none" w:sz="0" w:space="0" w:color="auto"/>
          <w:lang w:val="es-ES_tradnl"/>
        </w:rPr>
        <w:t xml:space="preserve"> y por e</w:t>
      </w:r>
      <w:r w:rsidR="00681A79" w:rsidRPr="00116A43">
        <w:rPr>
          <w:rFonts w:ascii="Cambria" w:hAnsi="Cambria"/>
          <w:sz w:val="20"/>
          <w:szCs w:val="20"/>
          <w:bdr w:val="none" w:sz="0" w:space="0" w:color="auto"/>
          <w:lang w:val="es-ES_tradnl"/>
        </w:rPr>
        <w:t>l contenido de su blog</w:t>
      </w:r>
      <w:r w:rsidRPr="00116A43">
        <w:rPr>
          <w:rFonts w:ascii="Cambria" w:hAnsi="Cambria"/>
          <w:sz w:val="20"/>
          <w:szCs w:val="20"/>
          <w:bdr w:val="none" w:sz="0" w:space="0" w:color="auto"/>
          <w:lang w:val="es-ES_tradnl"/>
        </w:rPr>
        <w:t xml:space="preserve">. </w:t>
      </w:r>
      <w:r w:rsidR="00017227" w:rsidRPr="00116A43">
        <w:rPr>
          <w:rFonts w:ascii="Cambria" w:hAnsi="Cambria"/>
          <w:sz w:val="20"/>
          <w:szCs w:val="20"/>
          <w:bdr w:val="none" w:sz="0" w:space="0" w:color="auto"/>
          <w:lang w:val="es-ES_tradnl"/>
        </w:rPr>
        <w:t xml:space="preserve">Estas interceptaciones telefónicas se condicen con </w:t>
      </w:r>
      <w:r w:rsidR="00B70119" w:rsidRPr="00116A43">
        <w:rPr>
          <w:rFonts w:ascii="Cambria" w:hAnsi="Cambria"/>
          <w:sz w:val="20"/>
          <w:szCs w:val="20"/>
          <w:bdr w:val="none" w:sz="0" w:space="0" w:color="auto"/>
          <w:lang w:val="es-ES_tradnl"/>
        </w:rPr>
        <w:t>el contexto descrito anteriormente, refer</w:t>
      </w:r>
      <w:r w:rsidR="005D6623" w:rsidRPr="00116A43">
        <w:rPr>
          <w:rFonts w:ascii="Cambria" w:hAnsi="Cambria"/>
          <w:sz w:val="20"/>
          <w:szCs w:val="20"/>
          <w:bdr w:val="none" w:sz="0" w:space="0" w:color="auto"/>
          <w:lang w:val="es-ES_tradnl"/>
        </w:rPr>
        <w:t>ido a</w:t>
      </w:r>
      <w:r w:rsidR="00ED7ACC" w:rsidRPr="00116A43">
        <w:rPr>
          <w:rFonts w:ascii="Cambria" w:hAnsi="Cambria"/>
          <w:sz w:val="20"/>
          <w:szCs w:val="20"/>
          <w:bdr w:val="none" w:sz="0" w:space="0" w:color="auto"/>
          <w:lang w:val="es-ES_tradnl"/>
        </w:rPr>
        <w:t>l incremento en el</w:t>
      </w:r>
      <w:r w:rsidR="00ED7ACC" w:rsidRPr="00116A43">
        <w:rPr>
          <w:rFonts w:ascii="Cambria" w:hAnsi="Cambria"/>
          <w:sz w:val="20"/>
          <w:szCs w:val="20"/>
        </w:rPr>
        <w:t xml:space="preserve"> uso de la vigilancia por parte del Estado como un medio para la identificación </w:t>
      </w:r>
      <w:r w:rsidR="00706581" w:rsidRPr="00116A43">
        <w:rPr>
          <w:rFonts w:ascii="Cambria" w:hAnsi="Cambria"/>
          <w:sz w:val="20"/>
          <w:szCs w:val="20"/>
        </w:rPr>
        <w:t>de</w:t>
      </w:r>
      <w:r w:rsidR="007B688A" w:rsidRPr="00116A43">
        <w:rPr>
          <w:rFonts w:ascii="Cambria" w:hAnsi="Cambria"/>
          <w:sz w:val="20"/>
          <w:szCs w:val="20"/>
        </w:rPr>
        <w:t xml:space="preserve"> la actividad </w:t>
      </w:r>
      <w:r w:rsidR="00ED7ACC" w:rsidRPr="00116A43">
        <w:rPr>
          <w:rFonts w:ascii="Cambria" w:hAnsi="Cambria"/>
          <w:sz w:val="20"/>
          <w:szCs w:val="20"/>
        </w:rPr>
        <w:t xml:space="preserve">de periodistas independientes y disidentes políticos, </w:t>
      </w:r>
      <w:r w:rsidR="006E6E70" w:rsidRPr="00116A43">
        <w:rPr>
          <w:rFonts w:ascii="Cambria" w:hAnsi="Cambria"/>
          <w:sz w:val="20"/>
          <w:szCs w:val="20"/>
        </w:rPr>
        <w:t>en particular en redes</w:t>
      </w:r>
      <w:r w:rsidR="00F755A1" w:rsidRPr="00116A43">
        <w:rPr>
          <w:rFonts w:ascii="Cambria" w:hAnsi="Cambria"/>
          <w:sz w:val="20"/>
          <w:szCs w:val="20"/>
        </w:rPr>
        <w:t>.</w:t>
      </w:r>
      <w:r w:rsidR="00F755A1" w:rsidRPr="00116A43">
        <w:t xml:space="preserve"> </w:t>
      </w:r>
      <w:r w:rsidR="00681A79" w:rsidRPr="00116A43">
        <w:rPr>
          <w:rFonts w:ascii="Cambria" w:hAnsi="Cambria"/>
          <w:sz w:val="20"/>
          <w:szCs w:val="20"/>
          <w:bdr w:val="none" w:sz="0" w:space="0" w:color="auto"/>
          <w:lang w:val="es-ES_tradnl"/>
        </w:rPr>
        <w:t>El Estado no ha brindado información alguna</w:t>
      </w:r>
      <w:r w:rsidR="00661BA6" w:rsidRPr="00116A43">
        <w:rPr>
          <w:rFonts w:ascii="Cambria" w:hAnsi="Cambria"/>
          <w:sz w:val="20"/>
          <w:szCs w:val="20"/>
          <w:bdr w:val="none" w:sz="0" w:space="0" w:color="auto"/>
          <w:lang w:val="es-ES_tradnl"/>
        </w:rPr>
        <w:t xml:space="preserve"> de que dicha interceptación telefónica haya contado con una orden judicial, </w:t>
      </w:r>
      <w:r w:rsidR="007E7DA6" w:rsidRPr="00116A43">
        <w:rPr>
          <w:rFonts w:ascii="Cambria" w:hAnsi="Cambria"/>
          <w:sz w:val="20"/>
          <w:szCs w:val="20"/>
          <w:bdr w:val="none" w:sz="0" w:space="0" w:color="auto"/>
          <w:lang w:val="es-ES_tradnl"/>
        </w:rPr>
        <w:t>n</w:t>
      </w:r>
      <w:r w:rsidR="00661BA6" w:rsidRPr="00116A43">
        <w:rPr>
          <w:rFonts w:ascii="Cambria" w:hAnsi="Cambria"/>
          <w:sz w:val="20"/>
          <w:szCs w:val="20"/>
          <w:bdr w:val="none" w:sz="0" w:space="0" w:color="auto"/>
          <w:lang w:val="es-ES_tradnl"/>
        </w:rPr>
        <w:t>i que haya sido</w:t>
      </w:r>
      <w:r w:rsidR="007E7DA6" w:rsidRPr="00116A43">
        <w:rPr>
          <w:rFonts w:ascii="Cambria" w:hAnsi="Cambria"/>
          <w:sz w:val="20"/>
          <w:szCs w:val="20"/>
          <w:bdr w:val="none" w:sz="0" w:space="0" w:color="auto"/>
          <w:lang w:val="es-ES_tradnl"/>
        </w:rPr>
        <w:t xml:space="preserve"> llevada a cabo con base en los requisitos </w:t>
      </w:r>
      <w:r w:rsidR="00835674" w:rsidRPr="00116A43">
        <w:rPr>
          <w:rFonts w:ascii="Cambria" w:hAnsi="Cambria"/>
          <w:sz w:val="20"/>
          <w:szCs w:val="20"/>
          <w:bdr w:val="none" w:sz="0" w:space="0" w:color="auto"/>
          <w:lang w:val="es-ES_tradnl"/>
        </w:rPr>
        <w:t>de</w:t>
      </w:r>
      <w:r w:rsidR="00661BA6" w:rsidRPr="00116A43">
        <w:rPr>
          <w:rFonts w:ascii="Cambria" w:hAnsi="Cambria"/>
          <w:sz w:val="20"/>
          <w:szCs w:val="20"/>
          <w:bdr w:val="none" w:sz="0" w:space="0" w:color="auto"/>
          <w:lang w:val="es-ES_tradnl"/>
        </w:rPr>
        <w:t xml:space="preserve"> legalidad, </w:t>
      </w:r>
      <w:r w:rsidR="007E7DA6" w:rsidRPr="00116A43">
        <w:rPr>
          <w:rFonts w:ascii="Cambria" w:hAnsi="Cambria"/>
          <w:sz w:val="20"/>
          <w:szCs w:val="20"/>
          <w:bdr w:val="none" w:sz="0" w:space="0" w:color="auto"/>
          <w:lang w:val="es-ES_tradnl"/>
        </w:rPr>
        <w:t>idoneidad</w:t>
      </w:r>
      <w:r w:rsidR="00661BA6" w:rsidRPr="00116A43">
        <w:rPr>
          <w:rFonts w:ascii="Cambria" w:hAnsi="Cambria"/>
          <w:sz w:val="20"/>
          <w:szCs w:val="20"/>
          <w:bdr w:val="none" w:sz="0" w:space="0" w:color="auto"/>
          <w:lang w:val="es-ES_tradnl"/>
        </w:rPr>
        <w:t>, necesidad y proporcionalidad</w:t>
      </w:r>
      <w:r w:rsidR="00835674" w:rsidRPr="00116A43">
        <w:rPr>
          <w:rFonts w:ascii="Cambria" w:hAnsi="Cambria"/>
          <w:sz w:val="20"/>
          <w:szCs w:val="20"/>
          <w:bdr w:val="none" w:sz="0" w:space="0" w:color="auto"/>
          <w:lang w:val="es-ES_tradnl"/>
        </w:rPr>
        <w:t xml:space="preserve">. Por consiguiente, la CIDH concluye que las interceptaciones </w:t>
      </w:r>
      <w:r w:rsidR="00024CF7" w:rsidRPr="00116A43">
        <w:rPr>
          <w:rFonts w:ascii="Cambria" w:hAnsi="Cambria"/>
          <w:sz w:val="20"/>
          <w:szCs w:val="20"/>
          <w:bdr w:val="none" w:sz="0" w:space="0" w:color="auto"/>
          <w:lang w:val="es-ES_tradnl"/>
        </w:rPr>
        <w:t>de las comunicaciones en perjuicio de Yoani Sánchez constituyen intromisiones arbitrarias por parte del Estado</w:t>
      </w:r>
      <w:r w:rsidR="0032067D" w:rsidRPr="00116A43">
        <w:rPr>
          <w:rFonts w:ascii="Cambria" w:hAnsi="Cambria"/>
          <w:sz w:val="20"/>
          <w:szCs w:val="20"/>
          <w:bdr w:val="none" w:sz="0" w:space="0" w:color="auto"/>
          <w:lang w:val="es-ES_tradnl"/>
        </w:rPr>
        <w:t>, por lo que este es responsable de la violación d</w:t>
      </w:r>
      <w:r w:rsidRPr="00116A43">
        <w:rPr>
          <w:rFonts w:ascii="Cambria" w:hAnsi="Cambria"/>
          <w:sz w:val="20"/>
          <w:szCs w:val="20"/>
          <w:bdr w:val="none" w:sz="0" w:space="0" w:color="auto"/>
          <w:lang w:val="es-ES_tradnl"/>
        </w:rPr>
        <w:t>el derecho a la inviolabilidad de la correspondencia</w:t>
      </w:r>
      <w:r w:rsidR="005F45F6" w:rsidRPr="00116A43">
        <w:rPr>
          <w:rFonts w:ascii="Cambria" w:hAnsi="Cambria"/>
          <w:sz w:val="20"/>
          <w:szCs w:val="20"/>
          <w:bdr w:val="none" w:sz="0" w:space="0" w:color="auto"/>
          <w:lang w:val="es-ES_tradnl"/>
        </w:rPr>
        <w:t>. Por tanto, la Comisión concluye que el Estado violó el artículo X de la Declaración Americana</w:t>
      </w:r>
      <w:r w:rsidR="002E68A6" w:rsidRPr="00116A43">
        <w:rPr>
          <w:rFonts w:ascii="Cambria" w:hAnsi="Cambria"/>
          <w:sz w:val="20"/>
          <w:szCs w:val="20"/>
          <w:bdr w:val="none" w:sz="0" w:space="0" w:color="auto"/>
          <w:lang w:val="es-ES_tradnl"/>
        </w:rPr>
        <w:t>,</w:t>
      </w:r>
      <w:r w:rsidR="005F45F6" w:rsidRPr="00116A43">
        <w:rPr>
          <w:rFonts w:ascii="Cambria" w:hAnsi="Cambria"/>
          <w:sz w:val="20"/>
          <w:szCs w:val="20"/>
          <w:bdr w:val="none" w:sz="0" w:space="0" w:color="auto"/>
          <w:lang w:val="es-ES_tradnl"/>
        </w:rPr>
        <w:t xml:space="preserve"> en perjuicio de Yoani Sánchez. </w:t>
      </w:r>
      <w:r w:rsidR="00563006" w:rsidRPr="00116A43">
        <w:rPr>
          <w:rFonts w:ascii="Cambria" w:hAnsi="Cambria"/>
          <w:sz w:val="20"/>
          <w:szCs w:val="20"/>
          <w:bdr w:val="none" w:sz="0" w:space="0" w:color="auto"/>
          <w:lang w:val="es-ES_tradnl"/>
        </w:rPr>
        <w:t xml:space="preserve"> </w:t>
      </w:r>
    </w:p>
    <w:p w14:paraId="306AFACF" w14:textId="77777777" w:rsidR="005F45F6" w:rsidRPr="00116A43" w:rsidRDefault="005F45F6"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1767BC9F" w14:textId="766A4188" w:rsidR="00FF5B55" w:rsidRPr="00116A43" w:rsidRDefault="00FF5B5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sz w:val="20"/>
          <w:szCs w:val="20"/>
          <w:bdr w:val="none" w:sz="0" w:space="0" w:color="auto"/>
          <w:lang w:val="es-ES_tradnl"/>
        </w:rPr>
        <w:t xml:space="preserve">Ahora bien, respecto de la inviolabilidad del domicilio, la Comisión </w:t>
      </w:r>
      <w:r w:rsidR="007F1F12" w:rsidRPr="00116A43">
        <w:rPr>
          <w:rFonts w:ascii="Cambria" w:hAnsi="Cambria"/>
          <w:sz w:val="20"/>
          <w:szCs w:val="20"/>
          <w:bdr w:val="none" w:sz="0" w:space="0" w:color="auto"/>
          <w:lang w:val="es-ES_tradnl"/>
        </w:rPr>
        <w:t xml:space="preserve">no observa que se haya alegado ni se deduce del expediente </w:t>
      </w:r>
      <w:r w:rsidR="00060EB9" w:rsidRPr="00116A43">
        <w:rPr>
          <w:rFonts w:ascii="Cambria" w:hAnsi="Cambria"/>
          <w:sz w:val="20"/>
          <w:szCs w:val="20"/>
          <w:bdr w:val="none" w:sz="0" w:space="0" w:color="auto"/>
          <w:lang w:val="es-ES_tradnl"/>
        </w:rPr>
        <w:t xml:space="preserve">que agentes estatales o no estatales ingresaran </w:t>
      </w:r>
      <w:r w:rsidR="00614EFA" w:rsidRPr="00116A43">
        <w:rPr>
          <w:rFonts w:ascii="Cambria" w:hAnsi="Cambria"/>
          <w:sz w:val="20"/>
          <w:szCs w:val="20"/>
          <w:bdr w:val="none" w:sz="0" w:space="0" w:color="auto"/>
          <w:lang w:val="es-ES_tradnl"/>
        </w:rPr>
        <w:t xml:space="preserve">a </w:t>
      </w:r>
      <w:r w:rsidR="00362547" w:rsidRPr="00116A43">
        <w:rPr>
          <w:rFonts w:ascii="Cambria" w:hAnsi="Cambria"/>
          <w:sz w:val="20"/>
          <w:szCs w:val="20"/>
          <w:bdr w:val="none" w:sz="0" w:space="0" w:color="auto"/>
          <w:lang w:val="es-ES_tradnl"/>
        </w:rPr>
        <w:t>la residencia de</w:t>
      </w:r>
      <w:r w:rsidR="00614EFA" w:rsidRPr="00116A43">
        <w:rPr>
          <w:rFonts w:ascii="Cambria" w:hAnsi="Cambria"/>
          <w:sz w:val="20"/>
          <w:szCs w:val="20"/>
          <w:bdr w:val="none" w:sz="0" w:space="0" w:color="auto"/>
          <w:lang w:val="es-ES_tradnl"/>
        </w:rPr>
        <w:t xml:space="preserve"> Yoani Sánchez</w:t>
      </w:r>
      <w:r w:rsidR="00362547" w:rsidRPr="00116A43">
        <w:rPr>
          <w:rFonts w:ascii="Cambria" w:hAnsi="Cambria"/>
          <w:sz w:val="20"/>
          <w:szCs w:val="20"/>
          <w:bdr w:val="none" w:sz="0" w:space="0" w:color="auto"/>
          <w:lang w:val="es-ES_tradnl"/>
        </w:rPr>
        <w:t>.</w:t>
      </w:r>
      <w:r w:rsidR="00614EFA" w:rsidRPr="00116A43">
        <w:rPr>
          <w:rFonts w:ascii="Cambria" w:hAnsi="Cambria"/>
          <w:sz w:val="20"/>
          <w:szCs w:val="20"/>
          <w:bdr w:val="none" w:sz="0" w:space="0" w:color="auto"/>
          <w:lang w:val="es-ES_tradnl"/>
        </w:rPr>
        <w:t xml:space="preserve"> </w:t>
      </w:r>
      <w:r w:rsidRPr="00116A43">
        <w:rPr>
          <w:rFonts w:ascii="Cambria" w:hAnsi="Cambria"/>
          <w:sz w:val="20"/>
          <w:szCs w:val="20"/>
          <w:bdr w:val="none" w:sz="0" w:space="0" w:color="auto"/>
          <w:lang w:val="es-ES_tradnl"/>
        </w:rPr>
        <w:t xml:space="preserve">En su jurisprudencia, la CIDH ha encontrado violación al artículo IX de la Declaración Americana cuando </w:t>
      </w:r>
      <w:r w:rsidR="00851EFB" w:rsidRPr="00116A43">
        <w:rPr>
          <w:rFonts w:ascii="Cambria" w:hAnsi="Cambria"/>
          <w:sz w:val="20"/>
          <w:szCs w:val="20"/>
          <w:bdr w:val="none" w:sz="0" w:space="0" w:color="auto"/>
          <w:lang w:val="es-ES_tradnl"/>
        </w:rPr>
        <w:t xml:space="preserve">las autoridades </w:t>
      </w:r>
      <w:r w:rsidR="000534E6" w:rsidRPr="00116A43">
        <w:rPr>
          <w:rFonts w:ascii="Cambria" w:hAnsi="Cambria"/>
          <w:sz w:val="20"/>
          <w:szCs w:val="20"/>
          <w:bdr w:val="none" w:sz="0" w:space="0" w:color="auto"/>
          <w:lang w:val="es-ES_tradnl"/>
        </w:rPr>
        <w:t xml:space="preserve">ingresan </w:t>
      </w:r>
      <w:r w:rsidRPr="00116A43">
        <w:rPr>
          <w:rFonts w:ascii="Cambria" w:hAnsi="Cambria"/>
          <w:sz w:val="20"/>
          <w:szCs w:val="20"/>
          <w:bdr w:val="none" w:sz="0" w:space="0" w:color="auto"/>
          <w:lang w:val="es-ES_tradnl"/>
        </w:rPr>
        <w:t>al domicilio de la víctima</w:t>
      </w:r>
      <w:r w:rsidR="000534E6" w:rsidRPr="00116A43">
        <w:rPr>
          <w:rFonts w:ascii="Cambria" w:hAnsi="Cambria"/>
          <w:sz w:val="20"/>
          <w:szCs w:val="20"/>
          <w:bdr w:val="none" w:sz="0" w:space="0" w:color="auto"/>
          <w:lang w:val="es-ES_tradnl"/>
        </w:rPr>
        <w:t xml:space="preserve"> sin su autorización y sin una orden judicial</w:t>
      </w:r>
      <w:r w:rsidRPr="00116A43">
        <w:rPr>
          <w:rFonts w:ascii="Cambria" w:hAnsi="Cambria"/>
          <w:sz w:val="20"/>
          <w:szCs w:val="20"/>
          <w:bdr w:val="none" w:sz="0" w:space="0" w:color="auto"/>
          <w:lang w:val="es-ES_tradnl"/>
        </w:rPr>
        <w:t xml:space="preserve">, </w:t>
      </w:r>
      <w:r w:rsidR="00DD514A" w:rsidRPr="00116A43">
        <w:rPr>
          <w:rFonts w:ascii="Cambria" w:hAnsi="Cambria"/>
          <w:sz w:val="20"/>
          <w:szCs w:val="20"/>
          <w:bdr w:val="none" w:sz="0" w:space="0" w:color="auto"/>
          <w:lang w:val="es-ES_tradnl"/>
        </w:rPr>
        <w:t>como,</w:t>
      </w:r>
      <w:r w:rsidRPr="00116A43">
        <w:rPr>
          <w:rFonts w:ascii="Cambria" w:hAnsi="Cambria"/>
          <w:sz w:val="20"/>
          <w:szCs w:val="20"/>
          <w:bdr w:val="none" w:sz="0" w:space="0" w:color="auto"/>
          <w:lang w:val="es-ES_tradnl"/>
        </w:rPr>
        <w:t xml:space="preserve"> </w:t>
      </w:r>
      <w:r w:rsidR="000534E6" w:rsidRPr="00116A43">
        <w:rPr>
          <w:rFonts w:ascii="Cambria" w:hAnsi="Cambria"/>
          <w:sz w:val="20"/>
          <w:szCs w:val="20"/>
          <w:bdr w:val="none" w:sz="0" w:space="0" w:color="auto"/>
          <w:lang w:val="es-ES_tradnl"/>
        </w:rPr>
        <w:t>por ejemplo, e</w:t>
      </w:r>
      <w:r w:rsidRPr="00116A43">
        <w:rPr>
          <w:rFonts w:ascii="Cambria" w:hAnsi="Cambria"/>
          <w:sz w:val="20"/>
          <w:szCs w:val="20"/>
          <w:bdr w:val="none" w:sz="0" w:space="0" w:color="auto"/>
          <w:lang w:val="es-ES_tradnl"/>
        </w:rPr>
        <w:t>n los casos de allanamientos no autorizados por autoridad competente</w:t>
      </w:r>
      <w:r w:rsidRPr="00116A43">
        <w:rPr>
          <w:rFonts w:ascii="Cambria" w:hAnsi="Cambria"/>
          <w:sz w:val="20"/>
          <w:szCs w:val="20"/>
          <w:bdr w:val="none" w:sz="0" w:space="0" w:color="auto"/>
          <w:vertAlign w:val="superscript"/>
          <w:lang w:val="es-ES_tradnl"/>
        </w:rPr>
        <w:footnoteReference w:id="226"/>
      </w:r>
      <w:r w:rsidRPr="00116A43">
        <w:rPr>
          <w:rFonts w:ascii="Cambria" w:hAnsi="Cambria"/>
          <w:sz w:val="20"/>
          <w:szCs w:val="20"/>
          <w:bdr w:val="none" w:sz="0" w:space="0" w:color="auto"/>
          <w:lang w:val="es-ES_tradnl"/>
        </w:rPr>
        <w:t xml:space="preserve">. En este sentido, la vigilancia del entorno de la residencia y las entrevistas con sus visitas no son elementos suficientes para </w:t>
      </w:r>
      <w:r w:rsidR="00DD514A" w:rsidRPr="00116A43">
        <w:rPr>
          <w:rFonts w:ascii="Cambria" w:hAnsi="Cambria"/>
          <w:sz w:val="20"/>
          <w:szCs w:val="20"/>
          <w:bdr w:val="none" w:sz="0" w:space="0" w:color="auto"/>
          <w:lang w:val="es-ES_tradnl"/>
        </w:rPr>
        <w:t>concluir la violación de este derecho, sin perjuicio de</w:t>
      </w:r>
      <w:r w:rsidR="0091297C" w:rsidRPr="00116A43">
        <w:rPr>
          <w:rFonts w:ascii="Cambria" w:hAnsi="Cambria"/>
          <w:sz w:val="20"/>
          <w:szCs w:val="20"/>
          <w:bdr w:val="none" w:sz="0" w:space="0" w:color="auto"/>
          <w:lang w:val="es-ES_tradnl"/>
        </w:rPr>
        <w:t xml:space="preserve"> su caracterización como actos de</w:t>
      </w:r>
      <w:r w:rsidR="0038709C" w:rsidRPr="00116A43">
        <w:rPr>
          <w:rFonts w:ascii="Cambria" w:hAnsi="Cambria"/>
          <w:sz w:val="20"/>
          <w:szCs w:val="20"/>
          <w:bdr w:val="none" w:sz="0" w:space="0" w:color="auto"/>
          <w:lang w:val="es-ES_tradnl"/>
        </w:rPr>
        <w:t xml:space="preserve"> acoso y</w:t>
      </w:r>
      <w:r w:rsidR="0091297C" w:rsidRPr="00116A43">
        <w:rPr>
          <w:rFonts w:ascii="Cambria" w:hAnsi="Cambria"/>
          <w:sz w:val="20"/>
          <w:szCs w:val="20"/>
          <w:bdr w:val="none" w:sz="0" w:space="0" w:color="auto"/>
          <w:lang w:val="es-ES_tradnl"/>
        </w:rPr>
        <w:t xml:space="preserve"> hostigamiento en contra de la periodista, </w:t>
      </w:r>
      <w:r w:rsidR="00E0372A" w:rsidRPr="00116A43">
        <w:rPr>
          <w:rFonts w:ascii="Cambria" w:hAnsi="Cambria"/>
          <w:sz w:val="20"/>
          <w:szCs w:val="20"/>
          <w:bdr w:val="none" w:sz="0" w:space="0" w:color="auto"/>
          <w:lang w:val="es-ES_tradnl"/>
        </w:rPr>
        <w:t xml:space="preserve">como </w:t>
      </w:r>
      <w:r w:rsidR="0038709C" w:rsidRPr="00116A43">
        <w:rPr>
          <w:rFonts w:ascii="Cambria" w:hAnsi="Cambria"/>
          <w:sz w:val="20"/>
          <w:szCs w:val="20"/>
          <w:bdr w:val="none" w:sz="0" w:space="0" w:color="auto"/>
          <w:lang w:val="es-ES_tradnl"/>
        </w:rPr>
        <w:t>analizará</w:t>
      </w:r>
      <w:r w:rsidR="0091297C" w:rsidRPr="00116A43">
        <w:rPr>
          <w:rFonts w:ascii="Cambria" w:hAnsi="Cambria"/>
          <w:sz w:val="20"/>
          <w:szCs w:val="20"/>
          <w:bdr w:val="none" w:sz="0" w:space="0" w:color="auto"/>
          <w:lang w:val="es-ES_tradnl"/>
        </w:rPr>
        <w:t xml:space="preserve"> en </w:t>
      </w:r>
      <w:r w:rsidR="00835232" w:rsidRPr="00116A43">
        <w:rPr>
          <w:rFonts w:ascii="Cambria" w:hAnsi="Cambria"/>
          <w:sz w:val="20"/>
          <w:szCs w:val="20"/>
          <w:bdr w:val="none" w:sz="0" w:space="0" w:color="auto"/>
          <w:lang w:val="es-ES_tradnl"/>
        </w:rPr>
        <w:t xml:space="preserve">la siguiente </w:t>
      </w:r>
      <w:r w:rsidR="00EF53B6" w:rsidRPr="00116A43">
        <w:rPr>
          <w:rFonts w:ascii="Cambria" w:hAnsi="Cambria"/>
          <w:sz w:val="20"/>
          <w:szCs w:val="20"/>
          <w:bdr w:val="none" w:sz="0" w:space="0" w:color="auto"/>
          <w:lang w:val="es-ES_tradnl"/>
        </w:rPr>
        <w:t>sección del presente informe.</w:t>
      </w:r>
    </w:p>
    <w:p w14:paraId="5D409A3F" w14:textId="77777777" w:rsidR="000D26CB" w:rsidRPr="00116A43" w:rsidRDefault="000D26CB" w:rsidP="00375047">
      <w:pPr>
        <w:rPr>
          <w:sz w:val="20"/>
          <w:szCs w:val="20"/>
          <w:bdr w:val="none" w:sz="0" w:space="0" w:color="auto"/>
          <w:lang w:val="es-ES_tradnl"/>
        </w:rPr>
      </w:pPr>
    </w:p>
    <w:p w14:paraId="126A5DB3" w14:textId="593CEED6" w:rsidR="000D26CB" w:rsidRPr="00045AAA" w:rsidRDefault="000D26CB"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rFonts w:ascii="Cambria" w:hAnsi="Cambria"/>
          <w:sz w:val="20"/>
          <w:szCs w:val="20"/>
          <w:bdr w:val="none" w:sz="0" w:space="0" w:color="auto"/>
          <w:lang w:val="es-ES_tradnl"/>
        </w:rPr>
      </w:pPr>
      <w:r w:rsidRPr="00116A43">
        <w:rPr>
          <w:rFonts w:ascii="Cambria" w:hAnsi="Cambria"/>
          <w:color w:val="000000"/>
          <w:sz w:val="20"/>
          <w:szCs w:val="20"/>
          <w:lang w:val="es-AR"/>
        </w:rPr>
        <w:t xml:space="preserve">Por tanto, </w:t>
      </w:r>
      <w:proofErr w:type="gramStart"/>
      <w:r w:rsidRPr="00116A43">
        <w:rPr>
          <w:rFonts w:ascii="Cambria" w:hAnsi="Cambria"/>
          <w:color w:val="000000"/>
          <w:sz w:val="20"/>
          <w:szCs w:val="20"/>
          <w:lang w:val="es-AR"/>
        </w:rPr>
        <w:t>de acuerdo a</w:t>
      </w:r>
      <w:proofErr w:type="gramEnd"/>
      <w:r w:rsidRPr="00116A43">
        <w:rPr>
          <w:rFonts w:ascii="Cambria" w:hAnsi="Cambria"/>
          <w:color w:val="000000"/>
          <w:sz w:val="20"/>
          <w:szCs w:val="20"/>
          <w:lang w:val="es-AR"/>
        </w:rPr>
        <w:t xml:space="preserve"> los hechos alegados por los peticionarios, la Comisión no encuentra que se haya configurado una violación al derecho a la inviolabilidad de domicilio consagrado en el artículo IX de la Declaración Americana.</w:t>
      </w:r>
    </w:p>
    <w:p w14:paraId="11A36A20"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lang w:val="es-ES_tradnl"/>
        </w:rPr>
      </w:pPr>
    </w:p>
    <w:p w14:paraId="36535CFF" w14:textId="20AD5366" w:rsidR="00061170" w:rsidRDefault="00061170" w:rsidP="004F709F">
      <w:pPr>
        <w:pStyle w:val="Heading2"/>
      </w:pPr>
      <w:bookmarkStart w:id="34" w:name="_Toc505951347"/>
      <w:bookmarkStart w:id="35" w:name="_Toc89157578"/>
      <w:r w:rsidRPr="00116A43">
        <w:t>Derecho de libertad de investigación, opinión, expresión y difusión (art</w:t>
      </w:r>
      <w:r w:rsidR="00532604" w:rsidRPr="00116A43">
        <w:t>ículo</w:t>
      </w:r>
      <w:r w:rsidRPr="00116A43">
        <w:t xml:space="preserve"> IV)</w:t>
      </w:r>
      <w:r w:rsidR="00532604" w:rsidRPr="00116A43">
        <w:rPr>
          <w:rStyle w:val="FootnoteReference"/>
        </w:rPr>
        <w:footnoteReference w:id="227"/>
      </w:r>
      <w:r w:rsidR="00532604" w:rsidRPr="00116A43">
        <w:t>,</w:t>
      </w:r>
      <w:r w:rsidRPr="00116A43">
        <w:t xml:space="preserve"> derecho de sufragio y de participación en el gobierno (art</w:t>
      </w:r>
      <w:r w:rsidR="00532604" w:rsidRPr="00116A43">
        <w:t>ículo</w:t>
      </w:r>
      <w:r w:rsidRPr="00116A43">
        <w:t xml:space="preserve"> XX)</w:t>
      </w:r>
      <w:r w:rsidR="00532604" w:rsidRPr="00116A43">
        <w:rPr>
          <w:rStyle w:val="FootnoteReference"/>
        </w:rPr>
        <w:footnoteReference w:id="228"/>
      </w:r>
      <w:r w:rsidRPr="00116A43">
        <w:t xml:space="preserve"> </w:t>
      </w:r>
      <w:bookmarkEnd w:id="34"/>
      <w:r w:rsidR="00BF720B" w:rsidRPr="00116A43">
        <w:t>y derecho a la protección a la honra, la reputación personal y la vida privada (artículo V)</w:t>
      </w:r>
      <w:r w:rsidR="00BF720B" w:rsidRPr="00116A43">
        <w:rPr>
          <w:rStyle w:val="FootnoteReference"/>
        </w:rPr>
        <w:footnoteReference w:id="229"/>
      </w:r>
      <w:r w:rsidR="00BF720B" w:rsidRPr="00116A43">
        <w:t xml:space="preserve"> de la Declaración Americana</w:t>
      </w:r>
      <w:bookmarkEnd w:id="35"/>
    </w:p>
    <w:p w14:paraId="346542A0" w14:textId="77777777" w:rsidR="00045AAA" w:rsidRPr="00045AAA" w:rsidRDefault="00045AAA" w:rsidP="00045AAA">
      <w:pPr>
        <w:rPr>
          <w:lang w:val="es-PE"/>
        </w:rPr>
      </w:pPr>
    </w:p>
    <w:p w14:paraId="31A4F787" w14:textId="49045EC0" w:rsidR="00BC5683" w:rsidRPr="00116A43" w:rsidRDefault="00BC5683" w:rsidP="00460990">
      <w:pPr>
        <w:pStyle w:val="Heading3"/>
        <w:numPr>
          <w:ilvl w:val="0"/>
          <w:numId w:val="58"/>
        </w:numPr>
        <w:ind w:left="720" w:hanging="720"/>
      </w:pPr>
      <w:bookmarkStart w:id="36" w:name="_Toc89157579"/>
      <w:r w:rsidRPr="00116A43">
        <w:t>Sobre el derecho a la libertad de expresión</w:t>
      </w:r>
      <w:bookmarkEnd w:id="36"/>
    </w:p>
    <w:p w14:paraId="44063AB5" w14:textId="77777777" w:rsidR="001B7CE6" w:rsidRPr="00116A43" w:rsidRDefault="001B7CE6" w:rsidP="005F7FE2">
      <w:pPr>
        <w:pStyle w:val="ListParagraph"/>
        <w:rPr>
          <w:sz w:val="20"/>
          <w:szCs w:val="20"/>
          <w:lang w:val="es-ES"/>
        </w:rPr>
      </w:pPr>
    </w:p>
    <w:p w14:paraId="3723841F" w14:textId="5C99D3BE" w:rsidR="00061170" w:rsidRPr="00116A43"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Calibri" w:hAnsi="Cambria"/>
          <w:sz w:val="20"/>
          <w:szCs w:val="20"/>
        </w:rPr>
      </w:pPr>
      <w:r w:rsidRPr="00116A43">
        <w:rPr>
          <w:rFonts w:ascii="Cambria" w:hAnsi="Cambria"/>
          <w:sz w:val="20"/>
          <w:szCs w:val="20"/>
        </w:rPr>
        <w:t>La CIDH ha reconocido en reiteradas oportunidades que la libertad de expresar ideas y difundir información de toda índole y sin consideración de fronteras es un derecho fundamental e inalienable, inherente a todas las personas. S</w:t>
      </w:r>
      <w:r w:rsidRPr="00116A43">
        <w:rPr>
          <w:rFonts w:ascii="Cambria" w:eastAsia="Calibri" w:hAnsi="Cambria"/>
          <w:sz w:val="20"/>
          <w:szCs w:val="20"/>
        </w:rPr>
        <w:t>e trata de “uno de los derechos individuales que de manera más clara refleja la virtud que acompaña—y caracteriza—a los seres humanos: la virtud única y preciosa de pensar al mundo desde nuestra propia perspectiva y de comunicarnos con los otros para construir, a través de un proceso deliberativo, no sólo el modelo de vida que cada uno tiene derecho a adoptar, sino el modelo de sociedad en el cual queremos vivir”</w:t>
      </w:r>
      <w:r w:rsidRPr="00116A43">
        <w:rPr>
          <w:rStyle w:val="FootnoteReference"/>
          <w:rFonts w:ascii="Cambria" w:eastAsia="Calibri" w:hAnsi="Cambria"/>
          <w:sz w:val="20"/>
          <w:szCs w:val="20"/>
        </w:rPr>
        <w:footnoteReference w:id="230"/>
      </w:r>
      <w:r w:rsidRPr="00116A43">
        <w:rPr>
          <w:rFonts w:ascii="Cambria" w:eastAsia="Calibri" w:hAnsi="Cambria"/>
          <w:sz w:val="20"/>
          <w:szCs w:val="20"/>
        </w:rPr>
        <w:t xml:space="preserve">. </w:t>
      </w:r>
    </w:p>
    <w:p w14:paraId="689058CC" w14:textId="77777777" w:rsidR="00061170" w:rsidRPr="00116A43" w:rsidRDefault="00061170"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Calibri"/>
          <w:sz w:val="20"/>
          <w:szCs w:val="20"/>
          <w:lang w:val="es-ES"/>
        </w:rPr>
      </w:pPr>
    </w:p>
    <w:p w14:paraId="04AB8B84" w14:textId="77777777" w:rsidR="00061170" w:rsidRPr="00116A43"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rPr>
        <w:lastRenderedPageBreak/>
        <w:t>Es, además, un requisito indispensable para la existencia misma de una sociedad democrática. El objetivo mismo de ese derecho es el de fortalecer el funcionamiento de sistemas democráticos pluralistas y deliberativos, mediante la protección y el fomento de la libre circulación de información, ideas y expresiones</w:t>
      </w:r>
      <w:r w:rsidRPr="00116A43">
        <w:rPr>
          <w:rStyle w:val="FootnoteReference"/>
          <w:rFonts w:ascii="Cambria" w:hAnsi="Cambria"/>
          <w:sz w:val="20"/>
          <w:szCs w:val="20"/>
        </w:rPr>
        <w:footnoteReference w:id="231"/>
      </w:r>
      <w:r w:rsidRPr="00116A43">
        <w:rPr>
          <w:rFonts w:ascii="Cambria" w:hAnsi="Cambria"/>
          <w:sz w:val="20"/>
          <w:szCs w:val="20"/>
        </w:rPr>
        <w:t>. En este sentido, en su Opinión Consultiva No. 5 la Corte Interamericana afirmó que:</w:t>
      </w:r>
      <w:r w:rsidRPr="00116A43">
        <w:rPr>
          <w:rFonts w:ascii="Cambria" w:hAnsi="Cambria"/>
          <w:sz w:val="20"/>
          <w:szCs w:val="20"/>
          <w:lang w:val="es-CO"/>
        </w:rPr>
        <w:t xml:space="preserve"> </w:t>
      </w:r>
    </w:p>
    <w:p w14:paraId="4413EEAA" w14:textId="77777777" w:rsidR="00061170" w:rsidRPr="00116A43" w:rsidRDefault="00061170" w:rsidP="005F7FE2">
      <w:pPr>
        <w:pStyle w:val="ListParagraph"/>
        <w:rPr>
          <w:sz w:val="20"/>
          <w:szCs w:val="20"/>
          <w:lang w:val="es-CO"/>
        </w:rPr>
      </w:pPr>
    </w:p>
    <w:p w14:paraId="4BB7D3F0" w14:textId="0FB42931" w:rsidR="00061170" w:rsidRPr="00116A43" w:rsidRDefault="00061170" w:rsidP="00045AA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18"/>
          <w:szCs w:val="18"/>
          <w:lang w:val="es-CO"/>
        </w:rPr>
      </w:pPr>
      <w:r w:rsidRPr="00116A43">
        <w:rPr>
          <w:sz w:val="18"/>
          <w:szCs w:val="18"/>
          <w:lang w:val="es-ES"/>
        </w:rPr>
        <w:t xml:space="preserve">La libertad de expresión es una piedra angular en la existencia misma de una sociedad democrática. Es indispensable para la formación de la opinión pública. Es también </w:t>
      </w:r>
      <w:proofErr w:type="spellStart"/>
      <w:r w:rsidRPr="00116A43">
        <w:rPr>
          <w:i/>
          <w:sz w:val="18"/>
          <w:szCs w:val="18"/>
          <w:lang w:val="es-ES"/>
        </w:rPr>
        <w:t>conditio</w:t>
      </w:r>
      <w:proofErr w:type="spellEnd"/>
      <w:r w:rsidRPr="00116A43">
        <w:rPr>
          <w:sz w:val="18"/>
          <w:szCs w:val="18"/>
          <w:lang w:val="es-ES"/>
        </w:rPr>
        <w:t xml:space="preserve"> </w:t>
      </w:r>
      <w:r w:rsidRPr="00116A43">
        <w:rPr>
          <w:i/>
          <w:sz w:val="18"/>
          <w:szCs w:val="18"/>
          <w:lang w:val="es-ES"/>
        </w:rPr>
        <w:t>sine qua non</w:t>
      </w:r>
      <w:r w:rsidRPr="00116A43">
        <w:rPr>
          <w:sz w:val="18"/>
          <w:szCs w:val="18"/>
          <w:lang w:val="es-ES"/>
        </w:rPr>
        <w:t xml:space="preserve">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Por ende, es posible afirmar que una sociedad que no está bien informada no es plenamente libre</w:t>
      </w:r>
      <w:r w:rsidRPr="00116A43">
        <w:rPr>
          <w:rStyle w:val="FootnoteReference"/>
          <w:sz w:val="18"/>
          <w:szCs w:val="18"/>
        </w:rPr>
        <w:footnoteReference w:id="232"/>
      </w:r>
      <w:r w:rsidRPr="00116A43">
        <w:rPr>
          <w:sz w:val="18"/>
          <w:szCs w:val="18"/>
          <w:lang w:val="es-ES"/>
        </w:rPr>
        <w:t xml:space="preserve">. </w:t>
      </w:r>
    </w:p>
    <w:p w14:paraId="664A7268" w14:textId="77777777" w:rsidR="00061170" w:rsidRPr="00116A43" w:rsidRDefault="00061170" w:rsidP="005F7FE2">
      <w:pPr>
        <w:pStyle w:val="ListParagraph"/>
        <w:rPr>
          <w:sz w:val="20"/>
          <w:szCs w:val="20"/>
          <w:lang w:val="es-ES"/>
        </w:rPr>
      </w:pPr>
    </w:p>
    <w:p w14:paraId="5BB945E4" w14:textId="6FDBE1F2" w:rsidR="0060312C" w:rsidRPr="00116A43"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16A43">
        <w:rPr>
          <w:rFonts w:ascii="Cambria" w:hAnsi="Cambria"/>
          <w:sz w:val="20"/>
          <w:szCs w:val="20"/>
          <w:lang w:val="es-AR"/>
        </w:rPr>
        <w:t>La CIDH ha indicado que “cuando el artículo IV de la Declaración proclama que ‘toda persona tiene derecho a la libertad de investigación, de opinión y de expresión y difusión del pensamiento’ a través de cualquier medio, está señalando que la expresión y la difusión del pensamiento son indivisibles, de modo que una restricción de las posibilidades de divulgación representa directamente, y en la misma medida, un límite al derecho de expresarse libremente”</w:t>
      </w:r>
      <w:r w:rsidRPr="00116A43">
        <w:rPr>
          <w:rStyle w:val="FootnoteReference"/>
          <w:rFonts w:ascii="Cambria" w:hAnsi="Cambria"/>
          <w:sz w:val="20"/>
          <w:szCs w:val="20"/>
          <w:lang w:val="es-AR"/>
        </w:rPr>
        <w:footnoteReference w:id="233"/>
      </w:r>
      <w:r w:rsidRPr="00116A43">
        <w:rPr>
          <w:rFonts w:ascii="Cambria" w:hAnsi="Cambria"/>
          <w:sz w:val="20"/>
          <w:szCs w:val="20"/>
          <w:lang w:val="es-AR"/>
        </w:rPr>
        <w:t xml:space="preserve">. En efecto, de acuerdo con la doctrina y jurisprudencia del sistema interamericano </w:t>
      </w:r>
      <w:r w:rsidRPr="00116A43">
        <w:rPr>
          <w:rFonts w:ascii="Cambria" w:hAnsi="Cambria"/>
          <w:sz w:val="20"/>
          <w:szCs w:val="20"/>
        </w:rPr>
        <w:t>la libertad de expresión tiene una dimensión individual y una dimensión social, que deben ser garantizadas plenamente en forma simultánea para dar efectividad al derecho a la libertad de expresión</w:t>
      </w:r>
      <w:r w:rsidRPr="00116A43">
        <w:rPr>
          <w:rStyle w:val="FootnoteReference"/>
          <w:rFonts w:ascii="Cambria" w:hAnsi="Cambria"/>
          <w:sz w:val="20"/>
          <w:szCs w:val="20"/>
        </w:rPr>
        <w:footnoteReference w:id="234"/>
      </w:r>
      <w:r w:rsidRPr="00116A43">
        <w:rPr>
          <w:rFonts w:ascii="Cambria" w:hAnsi="Cambria"/>
          <w:sz w:val="20"/>
          <w:szCs w:val="20"/>
        </w:rPr>
        <w:t>. L</w:t>
      </w:r>
      <w:r w:rsidRPr="00116A43">
        <w:rPr>
          <w:rFonts w:ascii="Cambria" w:eastAsia="Calibri" w:hAnsi="Cambria"/>
          <w:sz w:val="20"/>
          <w:szCs w:val="20"/>
        </w:rPr>
        <w:t>a libertad de expresión requiere, por un lado, que nadie sea arbitrariamente menoscabado o impedido de manifestar su propio pensamiento y difundir informaciones de toda índole; pero implica también, por otro lado, un derecho colectivo a recibir cualquier información y a conocer la expresión del pensamiento ajeno</w:t>
      </w:r>
      <w:r w:rsidRPr="00116A43">
        <w:rPr>
          <w:rStyle w:val="FootnoteReference"/>
          <w:rFonts w:ascii="Cambria" w:eastAsia="Calibri" w:hAnsi="Cambria"/>
          <w:sz w:val="20"/>
          <w:szCs w:val="20"/>
        </w:rPr>
        <w:footnoteReference w:id="235"/>
      </w:r>
      <w:r w:rsidRPr="00116A43">
        <w:rPr>
          <w:rFonts w:ascii="Cambria" w:eastAsia="Calibri" w:hAnsi="Cambria"/>
          <w:sz w:val="20"/>
          <w:szCs w:val="20"/>
        </w:rPr>
        <w:t>.</w:t>
      </w:r>
      <w:r w:rsidR="006E639E" w:rsidRPr="00116A43">
        <w:rPr>
          <w:rFonts w:ascii="Cambria" w:eastAsia="Calibri" w:hAnsi="Cambria"/>
          <w:sz w:val="20"/>
          <w:szCs w:val="20"/>
        </w:rPr>
        <w:t xml:space="preserve"> Según la CIDH, “</w:t>
      </w:r>
      <w:r w:rsidR="00DC45B4" w:rsidRPr="00116A43">
        <w:rPr>
          <w:rFonts w:ascii="Cambria" w:eastAsia="Calibri" w:hAnsi="Cambria"/>
          <w:sz w:val="20"/>
          <w:szCs w:val="20"/>
        </w:rPr>
        <w:t>[l]a</w:t>
      </w:r>
      <w:r w:rsidR="006E639E" w:rsidRPr="00116A43">
        <w:rPr>
          <w:rFonts w:ascii="Cambria" w:eastAsia="Calibri" w:hAnsi="Cambria"/>
          <w:sz w:val="20"/>
          <w:szCs w:val="20"/>
        </w:rPr>
        <w:t>s dos dimensiones de la libertad de expresión son igualmente importantes e interdependientes, y deben garantizarse simultáneamente en forma plena, para dar efectividad total al derecho consagrado en los instrumentos interamericano</w:t>
      </w:r>
      <w:r w:rsidR="0060312C" w:rsidRPr="00116A43">
        <w:rPr>
          <w:rFonts w:ascii="Cambria" w:hAnsi="Cambria"/>
          <w:color w:val="000000"/>
          <w:sz w:val="20"/>
          <w:szCs w:val="20"/>
          <w:shd w:val="clear" w:color="auto" w:fill="FFFFFF"/>
        </w:rPr>
        <w:t>s”</w:t>
      </w:r>
      <w:r w:rsidR="006E639E" w:rsidRPr="00116A43">
        <w:rPr>
          <w:rStyle w:val="FootnoteReference"/>
          <w:rFonts w:ascii="Cambria" w:hAnsi="Cambria"/>
          <w:color w:val="000000"/>
          <w:sz w:val="20"/>
          <w:szCs w:val="20"/>
          <w:shd w:val="clear" w:color="auto" w:fill="FFFFFF"/>
        </w:rPr>
        <w:footnoteReference w:id="236"/>
      </w:r>
      <w:r w:rsidR="0060312C" w:rsidRPr="00116A43">
        <w:rPr>
          <w:rFonts w:ascii="Cambria" w:hAnsi="Cambria"/>
          <w:color w:val="000000"/>
          <w:sz w:val="20"/>
          <w:szCs w:val="20"/>
          <w:shd w:val="clear" w:color="auto" w:fill="FFFFFF"/>
        </w:rPr>
        <w:t xml:space="preserve">. Una de las principales consecuencias del deber de garantizar simultáneamente ambas dimensiones es que no se puede </w:t>
      </w:r>
      <w:r w:rsidR="0060312C" w:rsidRPr="00116A43">
        <w:rPr>
          <w:rFonts w:ascii="Cambria" w:hAnsi="Cambria"/>
          <w:sz w:val="20"/>
          <w:szCs w:val="20"/>
          <w:lang w:val="es-CO"/>
        </w:rPr>
        <w:t xml:space="preserve">menoscabar una de ellas invocado como justificación la preservación de la otra. </w:t>
      </w:r>
      <w:r w:rsidR="0060312C" w:rsidRPr="00116A43">
        <w:rPr>
          <w:rFonts w:ascii="Cambria" w:hAnsi="Cambria"/>
          <w:sz w:val="20"/>
          <w:szCs w:val="20"/>
        </w:rPr>
        <w:t>Así, por ejemplo, “no sería lícito invocar el derecho de la sociedad a estar informada verazmente para fundamentar un régimen de censura previa supuestamente destinado a eliminar las informaciones que serían falsas a criterio del censor. Como tampoco sería admisible que, sobre la base del derecho a difundir informaciones e ideas, se constituyeran monopolios públicos o privados sobre los medios de comunicación para intentar moldear la opinión pública según un solo punto de vista”</w:t>
      </w:r>
      <w:r w:rsidR="0060312C" w:rsidRPr="00116A43">
        <w:rPr>
          <w:rStyle w:val="FootnoteReference"/>
          <w:rFonts w:ascii="Cambria" w:hAnsi="Cambria"/>
          <w:sz w:val="20"/>
          <w:szCs w:val="20"/>
          <w:lang w:val="es-CO"/>
        </w:rPr>
        <w:t xml:space="preserve"> </w:t>
      </w:r>
      <w:r w:rsidR="0060312C" w:rsidRPr="00116A43">
        <w:rPr>
          <w:rStyle w:val="FootnoteReference"/>
          <w:rFonts w:ascii="Cambria" w:hAnsi="Cambria"/>
          <w:sz w:val="20"/>
          <w:szCs w:val="20"/>
          <w:lang w:val="es-CO"/>
        </w:rPr>
        <w:footnoteReference w:id="237"/>
      </w:r>
      <w:r w:rsidR="0060312C" w:rsidRPr="00116A43">
        <w:rPr>
          <w:rFonts w:ascii="Cambria" w:hAnsi="Cambria"/>
          <w:sz w:val="20"/>
          <w:szCs w:val="20"/>
        </w:rPr>
        <w:t>.</w:t>
      </w:r>
    </w:p>
    <w:p w14:paraId="1E4192B1" w14:textId="77777777" w:rsidR="00713674" w:rsidRPr="00116A43" w:rsidRDefault="00713674"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rPr>
      </w:pPr>
    </w:p>
    <w:p w14:paraId="68FDCB22" w14:textId="0477DFBD" w:rsidR="00921A39" w:rsidRPr="00116A43" w:rsidRDefault="00921A39"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Igual que con todos los derechos y las libertades fundamentales, la Comisión ha observado que los Estados no solo están obligados a velar por la protección del derecho sustantivo</w:t>
      </w:r>
      <w:r w:rsidRPr="00116A43">
        <w:rPr>
          <w:rFonts w:ascii="Cambria" w:hAnsi="Cambria"/>
          <w:bCs/>
          <w:sz w:val="20"/>
          <w:szCs w:val="20"/>
          <w:bdr w:val="none" w:sz="0" w:space="0" w:color="auto"/>
          <w:vertAlign w:val="superscript"/>
        </w:rPr>
        <w:footnoteReference w:id="238"/>
      </w:r>
      <w:r w:rsidRPr="00116A43">
        <w:rPr>
          <w:rFonts w:ascii="Cambria" w:hAnsi="Cambria"/>
          <w:bCs/>
          <w:sz w:val="20"/>
          <w:szCs w:val="20"/>
          <w:bdr w:val="none" w:sz="0" w:space="0" w:color="auto"/>
        </w:rPr>
        <w:t>, sino que también deben adoptar las medidas legislativas, normativas y de otro tipo que se necesiten para garantizar el goce efectivo de los derechos protegidos por la Declaración Americana</w:t>
      </w:r>
      <w:r w:rsidRPr="00116A43">
        <w:rPr>
          <w:rFonts w:ascii="Cambria" w:hAnsi="Cambria"/>
          <w:bCs/>
          <w:sz w:val="20"/>
          <w:szCs w:val="20"/>
          <w:bdr w:val="none" w:sz="0" w:space="0" w:color="auto"/>
          <w:vertAlign w:val="superscript"/>
        </w:rPr>
        <w:footnoteReference w:id="239"/>
      </w:r>
      <w:r w:rsidR="006577DA" w:rsidRPr="00116A43">
        <w:rPr>
          <w:rFonts w:ascii="Cambria" w:hAnsi="Cambria"/>
          <w:bCs/>
          <w:sz w:val="20"/>
          <w:szCs w:val="20"/>
          <w:bdr w:val="none" w:sz="0" w:space="0" w:color="auto"/>
        </w:rPr>
        <w:t>, en este caso el derecho a la libertad de expresión.</w:t>
      </w:r>
    </w:p>
    <w:p w14:paraId="0281EF93" w14:textId="77777777" w:rsidR="00061170" w:rsidRPr="00116A43" w:rsidRDefault="00061170"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rPr>
      </w:pPr>
    </w:p>
    <w:p w14:paraId="2F79F4A0" w14:textId="754E4C8B" w:rsidR="00754219" w:rsidRPr="00116A43" w:rsidRDefault="000927F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lang w:val="es-CO"/>
        </w:rPr>
        <w:lastRenderedPageBreak/>
        <w:t>Asimismo, e</w:t>
      </w:r>
      <w:r w:rsidR="00347634" w:rsidRPr="00116A43">
        <w:rPr>
          <w:rFonts w:ascii="Cambria" w:hAnsi="Cambria"/>
          <w:sz w:val="20"/>
          <w:szCs w:val="20"/>
          <w:lang w:val="es-CO"/>
        </w:rPr>
        <w:t xml:space="preserve">l Principio 2 de la Declaración de Principios sobre Libertad de Expresión de la CIDH establece que </w:t>
      </w:r>
      <w:r w:rsidR="00A246E2" w:rsidRPr="00116A43">
        <w:rPr>
          <w:rFonts w:ascii="Cambria" w:hAnsi="Cambria"/>
          <w:color w:val="000000"/>
          <w:sz w:val="20"/>
          <w:szCs w:val="20"/>
          <w:lang w:val="es-UY"/>
        </w:rPr>
        <w:t xml:space="preserve">“[…] todas </w:t>
      </w:r>
      <w:r w:rsidR="00347634" w:rsidRPr="00116A43">
        <w:rPr>
          <w:rFonts w:ascii="Cambria" w:hAnsi="Cambria"/>
          <w:color w:val="000000"/>
          <w:sz w:val="20"/>
          <w:szCs w:val="20"/>
          <w:lang w:val="es-UY"/>
        </w:rPr>
        <w:t>las personas deben contar con igualdad de oportunidades para recibir, buscar e impartir información por cualquier medio de comunicación sin discriminación, por ningún motivo, inclusive los de raza, color, religión, sexo, idioma, opiniones pol</w:t>
      </w:r>
      <w:r w:rsidR="00347634" w:rsidRPr="00116A43">
        <w:rPr>
          <w:rFonts w:ascii="Cambria" w:hAnsi="Cambria"/>
          <w:color w:val="000000"/>
          <w:sz w:val="20"/>
          <w:szCs w:val="20"/>
          <w:lang w:val="es-AR"/>
        </w:rPr>
        <w:t>íticas o de cualquier otra índole, </w:t>
      </w:r>
      <w:r w:rsidR="00347634" w:rsidRPr="00116A43">
        <w:rPr>
          <w:rFonts w:ascii="Cambria" w:hAnsi="Cambria"/>
          <w:color w:val="000000"/>
          <w:sz w:val="20"/>
          <w:szCs w:val="20"/>
          <w:lang w:val="es-UY"/>
        </w:rPr>
        <w:t>origen nacional o social, posición económica, nacimiento o cualquier otra condición social</w:t>
      </w:r>
      <w:r w:rsidR="00A246E2" w:rsidRPr="00116A43">
        <w:rPr>
          <w:rFonts w:ascii="Cambria" w:hAnsi="Cambria"/>
          <w:color w:val="000000"/>
          <w:sz w:val="20"/>
          <w:szCs w:val="20"/>
          <w:lang w:val="es-UY"/>
        </w:rPr>
        <w:t>”</w:t>
      </w:r>
      <w:r w:rsidR="00347634" w:rsidRPr="00116A43">
        <w:rPr>
          <w:rFonts w:ascii="Cambria" w:hAnsi="Cambria"/>
          <w:color w:val="000000"/>
          <w:sz w:val="20"/>
          <w:szCs w:val="20"/>
          <w:lang w:val="es-UY"/>
        </w:rPr>
        <w:t>.</w:t>
      </w:r>
    </w:p>
    <w:p w14:paraId="74AA65C1" w14:textId="77777777" w:rsidR="00754219" w:rsidRPr="00116A43" w:rsidRDefault="00754219" w:rsidP="00375047">
      <w:pPr>
        <w:pStyle w:val="ListParagraph"/>
        <w:ind w:left="0"/>
        <w:rPr>
          <w:rFonts w:eastAsia="Times New Roman" w:cs="Courier New"/>
          <w:sz w:val="20"/>
          <w:szCs w:val="20"/>
          <w:bdr w:val="none" w:sz="0" w:space="0" w:color="auto"/>
          <w:lang w:val="es-PE"/>
        </w:rPr>
      </w:pPr>
    </w:p>
    <w:p w14:paraId="0E9F9DA5" w14:textId="314C3016" w:rsidR="00061170"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ourier New"/>
          <w:sz w:val="20"/>
          <w:szCs w:val="20"/>
          <w:bdr w:val="none" w:sz="0" w:space="0" w:color="auto"/>
        </w:rPr>
      </w:pPr>
      <w:r w:rsidRPr="00116A43">
        <w:rPr>
          <w:rFonts w:ascii="Cambria" w:eastAsia="Times New Roman" w:hAnsi="Cambria" w:cs="Courier New"/>
          <w:sz w:val="20"/>
          <w:szCs w:val="20"/>
          <w:bdr w:val="none" w:sz="0" w:space="0" w:color="auto"/>
        </w:rPr>
        <w:t>De esta manera, y como surge de la jurisprudencia reiterada de los órganos del sistema interamericano</w:t>
      </w:r>
      <w:r w:rsidRPr="00116A43">
        <w:rPr>
          <w:rStyle w:val="FootnoteReference"/>
          <w:rFonts w:ascii="Cambria" w:hAnsi="Cambria"/>
          <w:sz w:val="20"/>
          <w:szCs w:val="20"/>
          <w:lang w:val="es-ES_tradnl"/>
        </w:rPr>
        <w:footnoteReference w:id="240"/>
      </w:r>
      <w:r w:rsidRPr="00116A43">
        <w:rPr>
          <w:rFonts w:ascii="Cambria" w:eastAsia="Times New Roman" w:hAnsi="Cambria" w:cs="Courier New"/>
          <w:sz w:val="20"/>
          <w:szCs w:val="20"/>
          <w:bdr w:val="none" w:sz="0" w:space="0" w:color="auto"/>
        </w:rPr>
        <w:t xml:space="preserve"> y del sistema universal de protección de derechos humanos</w:t>
      </w:r>
      <w:r w:rsidRPr="00116A43">
        <w:rPr>
          <w:rStyle w:val="FootnoteReference"/>
          <w:rFonts w:ascii="Cambria" w:eastAsia="Times New Roman" w:hAnsi="Cambria" w:cs="Courier New"/>
          <w:sz w:val="20"/>
          <w:szCs w:val="20"/>
          <w:bdr w:val="none" w:sz="0" w:space="0" w:color="auto"/>
        </w:rPr>
        <w:footnoteReference w:id="241"/>
      </w:r>
      <w:r w:rsidRPr="00116A43">
        <w:rPr>
          <w:rFonts w:ascii="Cambria" w:eastAsia="Times New Roman" w:hAnsi="Cambria" w:cs="Courier New"/>
          <w:sz w:val="20"/>
          <w:szCs w:val="20"/>
          <w:bdr w:val="none" w:sz="0" w:space="0" w:color="auto"/>
        </w:rPr>
        <w:t xml:space="preserve">, el derecho a la libertad de expresión no puede estar sometido a controles previos por parte del Estado y solo puede estar sujeto a responsabilidades ulteriores, </w:t>
      </w:r>
      <w:r w:rsidRPr="00116A43">
        <w:rPr>
          <w:rFonts w:ascii="Cambria" w:hAnsi="Cambria"/>
          <w:sz w:val="20"/>
          <w:szCs w:val="20"/>
        </w:rPr>
        <w:t xml:space="preserve">siempre que no sean abusivas o arbitrarias, por ello, deben estar previstas en ley, perseguir un fin legítimo y cumplir con los requisitos de idoneidad, necesidad y proporcionalidad. </w:t>
      </w:r>
      <w:r w:rsidRPr="00116A43">
        <w:rPr>
          <w:rFonts w:ascii="Cambria" w:hAnsi="Cambria"/>
          <w:sz w:val="20"/>
          <w:szCs w:val="20"/>
          <w:lang w:val="es-CO"/>
        </w:rPr>
        <w:t xml:space="preserve">En particular, en cuanto las </w:t>
      </w:r>
      <w:r w:rsidRPr="00116A43">
        <w:rPr>
          <w:rFonts w:ascii="Cambria" w:hAnsi="Cambria"/>
          <w:sz w:val="20"/>
          <w:szCs w:val="20"/>
          <w:lang w:val="es-AR"/>
        </w:rPr>
        <w:t xml:space="preserve">restricciones al derecho a la libertad de expresión reconocido en la Declaración Americana, </w:t>
      </w:r>
      <w:r w:rsidRPr="00116A43">
        <w:rPr>
          <w:rFonts w:ascii="Cambria" w:hAnsi="Cambria"/>
          <w:sz w:val="20"/>
          <w:szCs w:val="20"/>
          <w:lang w:val="es-CO"/>
        </w:rPr>
        <w:t xml:space="preserve">la Comisión ha indicado que éstas </w:t>
      </w:r>
      <w:r w:rsidRPr="00116A43">
        <w:rPr>
          <w:rFonts w:ascii="Cambria" w:hAnsi="Cambria"/>
          <w:sz w:val="20"/>
          <w:szCs w:val="20"/>
          <w:lang w:val="es-AR"/>
        </w:rPr>
        <w:t>“deben estar previstas en una ley y orientadas a proteger objetivos legítimos, [y] deben ser además necesarias para lograr tal protección y no pueden ser aplicadas en forma previa a la difusión de una idea o información sino en forma posterior”</w:t>
      </w:r>
      <w:r w:rsidRPr="00116A43">
        <w:rPr>
          <w:rStyle w:val="FootnoteReference"/>
          <w:rFonts w:ascii="Cambria" w:hAnsi="Cambria"/>
          <w:sz w:val="20"/>
          <w:szCs w:val="20"/>
          <w:lang w:val="es-AR"/>
        </w:rPr>
        <w:footnoteReference w:id="242"/>
      </w:r>
      <w:r w:rsidRPr="00116A43">
        <w:rPr>
          <w:rFonts w:ascii="Cambria" w:hAnsi="Cambria"/>
          <w:sz w:val="20"/>
          <w:szCs w:val="20"/>
          <w:lang w:val="es-AR"/>
        </w:rPr>
        <w:t>.</w:t>
      </w:r>
      <w:r w:rsidRPr="00116A43">
        <w:rPr>
          <w:rFonts w:ascii="Cambria" w:hAnsi="Cambria"/>
          <w:sz w:val="20"/>
          <w:szCs w:val="20"/>
        </w:rPr>
        <w:t xml:space="preserve"> </w:t>
      </w:r>
      <w:r w:rsidR="00620700" w:rsidRPr="00116A43">
        <w:rPr>
          <w:rFonts w:ascii="Cambria" w:eastAsia="Times New Roman" w:hAnsi="Cambria" w:cs="Courier New"/>
          <w:sz w:val="20"/>
          <w:szCs w:val="20"/>
          <w:bdr w:val="none" w:sz="0" w:space="0" w:color="auto"/>
        </w:rPr>
        <w:t>Asimismo, el Estado debe recordar que las restricciones</w:t>
      </w:r>
      <w:r w:rsidR="0060312C" w:rsidRPr="00116A43">
        <w:rPr>
          <w:rFonts w:ascii="Cambria" w:eastAsia="Times New Roman" w:hAnsi="Cambria" w:cs="Courier New"/>
          <w:sz w:val="20"/>
          <w:szCs w:val="20"/>
          <w:bdr w:val="none" w:sz="0" w:space="0" w:color="auto"/>
        </w:rPr>
        <w:t xml:space="preserve"> directas o indirectas a la libertad de expresión</w:t>
      </w:r>
      <w:r w:rsidR="00620700" w:rsidRPr="00116A43">
        <w:rPr>
          <w:rFonts w:ascii="Cambria" w:eastAsia="Times New Roman" w:hAnsi="Cambria" w:cs="Courier New"/>
          <w:sz w:val="20"/>
          <w:szCs w:val="20"/>
          <w:bdr w:val="none" w:sz="0" w:space="0" w:color="auto"/>
        </w:rPr>
        <w:t xml:space="preserve">, especialmente las amenazas de sanciones </w:t>
      </w:r>
      <w:r w:rsidR="003A5CD2" w:rsidRPr="00116A43">
        <w:rPr>
          <w:rFonts w:ascii="Cambria" w:eastAsia="Times New Roman" w:hAnsi="Cambria" w:cs="Courier New"/>
          <w:sz w:val="20"/>
          <w:szCs w:val="20"/>
          <w:bdr w:val="none" w:sz="0" w:space="0" w:color="auto"/>
        </w:rPr>
        <w:t>penales</w:t>
      </w:r>
      <w:r w:rsidR="00620700" w:rsidRPr="00116A43">
        <w:rPr>
          <w:rFonts w:ascii="Cambria" w:eastAsia="Times New Roman" w:hAnsi="Cambria" w:cs="Courier New"/>
          <w:sz w:val="20"/>
          <w:szCs w:val="20"/>
          <w:bdr w:val="none" w:sz="0" w:space="0" w:color="auto"/>
        </w:rPr>
        <w:t xml:space="preserve"> contra periodistas</w:t>
      </w:r>
      <w:r w:rsidR="0060312C" w:rsidRPr="00116A43">
        <w:rPr>
          <w:rFonts w:ascii="Cambria" w:eastAsia="Times New Roman" w:hAnsi="Cambria" w:cs="Courier New"/>
          <w:sz w:val="20"/>
          <w:szCs w:val="20"/>
          <w:bdr w:val="none" w:sz="0" w:space="0" w:color="auto"/>
        </w:rPr>
        <w:t xml:space="preserve"> o actos de agresión y de persecución</w:t>
      </w:r>
      <w:r w:rsidR="00620700" w:rsidRPr="00116A43">
        <w:rPr>
          <w:rFonts w:ascii="Cambria" w:eastAsia="Times New Roman" w:hAnsi="Cambria" w:cs="Courier New"/>
          <w:sz w:val="20"/>
          <w:szCs w:val="20"/>
          <w:bdr w:val="none" w:sz="0" w:space="0" w:color="auto"/>
        </w:rPr>
        <w:t xml:space="preserve">, tiene un “evidente” e “inevitable” efecto disuasivo </w:t>
      </w:r>
      <w:r w:rsidR="00620700" w:rsidRPr="00116A43">
        <w:rPr>
          <w:rFonts w:ascii="Cambria" w:eastAsia="Times New Roman" w:hAnsi="Cambria" w:cs="Courier New"/>
          <w:i/>
          <w:sz w:val="20"/>
          <w:szCs w:val="20"/>
          <w:bdr w:val="none" w:sz="0" w:space="0" w:color="auto"/>
        </w:rPr>
        <w:t>(“</w:t>
      </w:r>
      <w:proofErr w:type="spellStart"/>
      <w:r w:rsidR="00620700" w:rsidRPr="00116A43">
        <w:rPr>
          <w:rFonts w:ascii="Cambria" w:eastAsia="Times New Roman" w:hAnsi="Cambria" w:cs="Courier New"/>
          <w:i/>
          <w:sz w:val="20"/>
          <w:szCs w:val="20"/>
          <w:bdr w:val="none" w:sz="0" w:space="0" w:color="auto"/>
        </w:rPr>
        <w:t>chilling</w:t>
      </w:r>
      <w:proofErr w:type="spellEnd"/>
      <w:r w:rsidR="00620700" w:rsidRPr="00116A43">
        <w:rPr>
          <w:rFonts w:ascii="Cambria" w:eastAsia="Times New Roman" w:hAnsi="Cambria" w:cs="Courier New"/>
          <w:i/>
          <w:sz w:val="20"/>
          <w:szCs w:val="20"/>
          <w:bdr w:val="none" w:sz="0" w:space="0" w:color="auto"/>
        </w:rPr>
        <w:t xml:space="preserve"> </w:t>
      </w:r>
      <w:proofErr w:type="spellStart"/>
      <w:r w:rsidR="00620700" w:rsidRPr="00116A43">
        <w:rPr>
          <w:rFonts w:ascii="Cambria" w:eastAsia="Times New Roman" w:hAnsi="Cambria" w:cs="Courier New"/>
          <w:i/>
          <w:sz w:val="20"/>
          <w:szCs w:val="20"/>
          <w:bdr w:val="none" w:sz="0" w:space="0" w:color="auto"/>
        </w:rPr>
        <w:t>effect</w:t>
      </w:r>
      <w:proofErr w:type="spellEnd"/>
      <w:r w:rsidR="00620700" w:rsidRPr="00116A43">
        <w:rPr>
          <w:rFonts w:ascii="Cambria" w:eastAsia="Times New Roman" w:hAnsi="Cambria" w:cs="Courier New"/>
          <w:i/>
          <w:sz w:val="20"/>
          <w:szCs w:val="20"/>
          <w:bdr w:val="none" w:sz="0" w:space="0" w:color="auto"/>
        </w:rPr>
        <w:t>”)</w:t>
      </w:r>
      <w:r w:rsidR="00620700" w:rsidRPr="00116A43">
        <w:rPr>
          <w:rFonts w:ascii="Cambria" w:eastAsia="Times New Roman" w:hAnsi="Cambria" w:cs="Courier New"/>
          <w:sz w:val="20"/>
          <w:szCs w:val="20"/>
          <w:bdr w:val="none" w:sz="0" w:space="0" w:color="auto"/>
        </w:rPr>
        <w:t xml:space="preserve"> sobre el ejercicio de este derecho, e inhibe a los periodistas de investigación en general </w:t>
      </w:r>
      <w:r w:rsidR="003A5CD2" w:rsidRPr="00116A43">
        <w:rPr>
          <w:rFonts w:ascii="Cambria" w:eastAsia="Times New Roman" w:hAnsi="Cambria" w:cs="Courier New"/>
          <w:sz w:val="20"/>
          <w:szCs w:val="20"/>
          <w:bdr w:val="none" w:sz="0" w:space="0" w:color="auto"/>
        </w:rPr>
        <w:t xml:space="preserve">de reportar sobre asuntos de interés público </w:t>
      </w:r>
      <w:r w:rsidR="00620700" w:rsidRPr="00116A43">
        <w:rPr>
          <w:rFonts w:ascii="Cambria" w:eastAsia="Times New Roman" w:hAnsi="Cambria" w:cs="Courier New"/>
          <w:sz w:val="20"/>
          <w:szCs w:val="20"/>
          <w:bdr w:val="none" w:sz="0" w:space="0" w:color="auto"/>
        </w:rPr>
        <w:t>y no necesariamente solo</w:t>
      </w:r>
      <w:r w:rsidR="003A5CD2" w:rsidRPr="00116A43">
        <w:rPr>
          <w:rFonts w:ascii="Cambria" w:eastAsia="Times New Roman" w:hAnsi="Cambria" w:cs="Courier New"/>
          <w:sz w:val="20"/>
          <w:szCs w:val="20"/>
          <w:bdr w:val="none" w:sz="0" w:space="0" w:color="auto"/>
        </w:rPr>
        <w:t xml:space="preserve"> a</w:t>
      </w:r>
      <w:r w:rsidR="00620700" w:rsidRPr="00116A43">
        <w:rPr>
          <w:rFonts w:ascii="Cambria" w:eastAsia="Times New Roman" w:hAnsi="Cambria" w:cs="Courier New"/>
          <w:sz w:val="20"/>
          <w:szCs w:val="20"/>
          <w:bdr w:val="none" w:sz="0" w:space="0" w:color="auto"/>
        </w:rPr>
        <w:t xml:space="preserve"> la persona amenazada</w:t>
      </w:r>
      <w:r w:rsidR="00620700" w:rsidRPr="00116A43">
        <w:rPr>
          <w:rFonts w:ascii="Cambria" w:eastAsia="Times New Roman" w:hAnsi="Cambria" w:cs="Courier New"/>
          <w:sz w:val="20"/>
          <w:szCs w:val="20"/>
          <w:bdr w:val="none" w:sz="0" w:space="0" w:color="auto"/>
          <w:vertAlign w:val="superscript"/>
        </w:rPr>
        <w:footnoteReference w:id="243"/>
      </w:r>
      <w:r w:rsidR="003A5CD2" w:rsidRPr="00116A43">
        <w:rPr>
          <w:rFonts w:ascii="Cambria" w:eastAsia="Times New Roman" w:hAnsi="Cambria" w:cs="Courier New"/>
          <w:sz w:val="20"/>
          <w:szCs w:val="20"/>
          <w:bdr w:val="none" w:sz="0" w:space="0" w:color="auto"/>
        </w:rPr>
        <w:t>. Dicha inhibición</w:t>
      </w:r>
      <w:r w:rsidR="00620700" w:rsidRPr="00116A43">
        <w:rPr>
          <w:rFonts w:ascii="Cambria" w:eastAsia="Times New Roman" w:hAnsi="Cambria" w:cs="Courier New"/>
          <w:sz w:val="20"/>
          <w:szCs w:val="20"/>
          <w:bdr w:val="none" w:sz="0" w:space="0" w:color="auto"/>
        </w:rPr>
        <w:t xml:space="preserve"> también afecta el debate sobre temas de interés </w:t>
      </w:r>
      <w:r w:rsidR="003A5CD2" w:rsidRPr="00116A43">
        <w:rPr>
          <w:rFonts w:ascii="Cambria" w:eastAsia="Times New Roman" w:hAnsi="Cambria" w:cs="Courier New"/>
          <w:sz w:val="20"/>
          <w:szCs w:val="20"/>
          <w:bdr w:val="none" w:sz="0" w:space="0" w:color="auto"/>
        </w:rPr>
        <w:t xml:space="preserve">público </w:t>
      </w:r>
      <w:r w:rsidR="00620700" w:rsidRPr="00116A43">
        <w:rPr>
          <w:rFonts w:ascii="Cambria" w:eastAsia="Times New Roman" w:hAnsi="Cambria" w:cs="Courier New"/>
          <w:sz w:val="20"/>
          <w:szCs w:val="20"/>
          <w:bdr w:val="none" w:sz="0" w:space="0" w:color="auto"/>
        </w:rPr>
        <w:t xml:space="preserve">y el acceso a la información </w:t>
      </w:r>
      <w:r w:rsidR="003A5CD2" w:rsidRPr="00116A43">
        <w:rPr>
          <w:rFonts w:ascii="Cambria" w:eastAsia="Times New Roman" w:hAnsi="Cambria" w:cs="Courier New"/>
          <w:sz w:val="20"/>
          <w:szCs w:val="20"/>
          <w:bdr w:val="none" w:sz="0" w:space="0" w:color="auto"/>
        </w:rPr>
        <w:t>de la sociedad en su conjunto</w:t>
      </w:r>
      <w:r w:rsidR="00620700" w:rsidRPr="00116A43">
        <w:rPr>
          <w:rFonts w:ascii="Cambria" w:eastAsia="Times New Roman" w:hAnsi="Cambria" w:cs="Courier New"/>
          <w:sz w:val="20"/>
          <w:szCs w:val="20"/>
          <w:bdr w:val="none" w:sz="0" w:space="0" w:color="auto"/>
          <w:vertAlign w:val="superscript"/>
        </w:rPr>
        <w:footnoteReference w:id="244"/>
      </w:r>
      <w:r w:rsidR="0060312C" w:rsidRPr="00116A43">
        <w:rPr>
          <w:rFonts w:ascii="Cambria" w:eastAsia="Times New Roman" w:hAnsi="Cambria" w:cs="Courier New"/>
          <w:sz w:val="20"/>
          <w:szCs w:val="20"/>
          <w:bdr w:val="none" w:sz="0" w:space="0" w:color="auto"/>
        </w:rPr>
        <w:t>.</w:t>
      </w:r>
    </w:p>
    <w:p w14:paraId="52DD80A0" w14:textId="77777777" w:rsidR="00045AAA" w:rsidRPr="00116A43"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ourier New"/>
          <w:sz w:val="20"/>
          <w:szCs w:val="20"/>
          <w:bdr w:val="none" w:sz="0" w:space="0" w:color="auto"/>
        </w:rPr>
      </w:pPr>
    </w:p>
    <w:p w14:paraId="4889F216" w14:textId="4AE01FC7" w:rsidR="00865198" w:rsidRPr="00116A43"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16A43">
        <w:rPr>
          <w:rFonts w:ascii="Cambria" w:hAnsi="Cambria"/>
          <w:sz w:val="20"/>
          <w:szCs w:val="20"/>
        </w:rPr>
        <w:t xml:space="preserve">De conformidad con el Artículo XXVII de la Declaración Americana, las restricciones de derechos fundamentales sólo son permisibles para asegurar “los derechos de los demás”, “la seguridad de todos” y “las justas exigencias del bienestar general y del desenvolvimiento democrático”.  Estos elementos deben brindar la protección de un </w:t>
      </w:r>
      <w:r w:rsidRPr="00116A43">
        <w:rPr>
          <w:rFonts w:ascii="Cambria" w:hAnsi="Cambria"/>
          <w:sz w:val="20"/>
          <w:szCs w:val="20"/>
          <w:lang w:val="es-CO"/>
        </w:rPr>
        <w:t>orden democrático, entendido como la existencia de las condiciones estructurales para que todas las personas, sin discriminación, puedan ejercer sus derechos en libertad, con vigor y sin miedo a ser sancionados por ello</w:t>
      </w:r>
      <w:r w:rsidRPr="00116A43">
        <w:rPr>
          <w:rStyle w:val="FootnoteReference"/>
          <w:rFonts w:ascii="Cambria" w:hAnsi="Cambria"/>
          <w:sz w:val="20"/>
          <w:szCs w:val="20"/>
          <w:lang w:val="es-CO"/>
        </w:rPr>
        <w:footnoteReference w:id="245"/>
      </w:r>
      <w:r w:rsidRPr="00116A43">
        <w:rPr>
          <w:rFonts w:ascii="Cambria" w:hAnsi="Cambria"/>
          <w:sz w:val="20"/>
          <w:szCs w:val="20"/>
          <w:lang w:val="es-CO"/>
        </w:rPr>
        <w:t xml:space="preserve">. </w:t>
      </w:r>
      <w:r w:rsidR="00865198" w:rsidRPr="00116A43">
        <w:rPr>
          <w:rFonts w:ascii="Cambria" w:hAnsi="Cambria"/>
          <w:sz w:val="20"/>
          <w:szCs w:val="20"/>
          <w:lang w:val="es-CO"/>
        </w:rPr>
        <w:t xml:space="preserve"> </w:t>
      </w:r>
    </w:p>
    <w:p w14:paraId="1330040A" w14:textId="77777777" w:rsidR="0060312C" w:rsidRPr="00116A43" w:rsidRDefault="0060312C"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776BD74D" w14:textId="3A8580D3" w:rsidR="003B7C34" w:rsidRPr="00116A43"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lang w:val="es-CO"/>
        </w:rPr>
        <w:t>Asimismo, al momento de examinar la validez de las restricciones impuestas, se debe tener en cuenta que la libertad de emitir opiniones y difundir informaciones de índole político</w:t>
      </w:r>
      <w:r w:rsidR="00527A57" w:rsidRPr="00116A43">
        <w:rPr>
          <w:rFonts w:ascii="Cambria" w:hAnsi="Cambria"/>
          <w:sz w:val="20"/>
          <w:szCs w:val="20"/>
          <w:lang w:val="es-CO"/>
        </w:rPr>
        <w:t xml:space="preserve"> o crítico </w:t>
      </w:r>
      <w:r w:rsidR="001167EB" w:rsidRPr="00116A43">
        <w:rPr>
          <w:rFonts w:ascii="Cambria" w:hAnsi="Cambria"/>
          <w:sz w:val="20"/>
          <w:szCs w:val="20"/>
          <w:lang w:val="es-CO"/>
        </w:rPr>
        <w:t>contra el actuar de las autoridades estatales o de un gobierno</w:t>
      </w:r>
      <w:r w:rsidR="00F055A5" w:rsidRPr="00116A43">
        <w:rPr>
          <w:rFonts w:ascii="Cambria" w:hAnsi="Cambria"/>
          <w:sz w:val="20"/>
          <w:szCs w:val="20"/>
          <w:lang w:val="es-CO"/>
        </w:rPr>
        <w:t xml:space="preserve"> </w:t>
      </w:r>
      <w:r w:rsidRPr="00116A43">
        <w:rPr>
          <w:rFonts w:ascii="Cambria" w:hAnsi="Cambria"/>
          <w:sz w:val="20"/>
          <w:szCs w:val="20"/>
          <w:lang w:val="es-CO"/>
        </w:rPr>
        <w:t xml:space="preserve">es absolutamente central al derecho protegido por el artículo IV de la Declaración Americana. La Comisión ha señalado </w:t>
      </w:r>
      <w:r w:rsidRPr="00116A43">
        <w:rPr>
          <w:rFonts w:ascii="Cambria" w:hAnsi="Cambria" w:cs="Arial"/>
          <w:sz w:val="20"/>
          <w:szCs w:val="20"/>
          <w:lang w:val="es-CO"/>
        </w:rPr>
        <w:t>consistentemente que los Estados tienen un campo más limitado para imponer restricciones a la libertad de expresión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Pr="00116A43">
        <w:rPr>
          <w:rStyle w:val="FootnoteReference"/>
          <w:rFonts w:ascii="Cambria" w:hAnsi="Cambria" w:cs="Arial"/>
          <w:sz w:val="20"/>
          <w:szCs w:val="20"/>
          <w:lang w:val="es-CO"/>
        </w:rPr>
        <w:footnoteReference w:id="246"/>
      </w:r>
      <w:r w:rsidRPr="00116A43">
        <w:rPr>
          <w:rFonts w:ascii="Cambria" w:hAnsi="Cambria" w:cs="Arial"/>
          <w:sz w:val="20"/>
          <w:szCs w:val="20"/>
          <w:lang w:val="es-CO"/>
        </w:rPr>
        <w:t xml:space="preserve">. </w:t>
      </w:r>
      <w:r w:rsidRPr="00116A43">
        <w:rPr>
          <w:rFonts w:ascii="Cambria" w:hAnsi="Cambria"/>
          <w:sz w:val="20"/>
          <w:szCs w:val="20"/>
          <w:lang w:val="es-CO"/>
        </w:rPr>
        <w:t xml:space="preserve"> </w:t>
      </w:r>
    </w:p>
    <w:p w14:paraId="5211DC65" w14:textId="77777777" w:rsidR="00C50385" w:rsidRPr="00116A43" w:rsidRDefault="00C50385" w:rsidP="00375047">
      <w:pPr>
        <w:pStyle w:val="ListParagraph"/>
        <w:ind w:left="0"/>
        <w:rPr>
          <w:sz w:val="20"/>
          <w:szCs w:val="20"/>
          <w:lang w:val="es-CO"/>
        </w:rPr>
      </w:pPr>
    </w:p>
    <w:p w14:paraId="6B2AFF3B" w14:textId="77777777" w:rsidR="00BD63E6" w:rsidRPr="00116A43" w:rsidRDefault="00B146C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bdr w:val="none" w:sz="0" w:space="0" w:color="auto"/>
          <w:lang w:val="es-AR"/>
        </w:rPr>
      </w:pPr>
      <w:r w:rsidRPr="00116A43">
        <w:rPr>
          <w:rFonts w:ascii="Cambria" w:hAnsi="Cambria"/>
          <w:sz w:val="20"/>
          <w:szCs w:val="20"/>
          <w:bdr w:val="none" w:sz="0" w:space="0" w:color="auto"/>
          <w:lang w:val="es-CO"/>
        </w:rPr>
        <w:t>Además</w:t>
      </w:r>
      <w:r w:rsidR="0083742D" w:rsidRPr="00116A43">
        <w:rPr>
          <w:rFonts w:ascii="Cambria" w:hAnsi="Cambria"/>
          <w:sz w:val="20"/>
          <w:szCs w:val="20"/>
          <w:bdr w:val="none" w:sz="0" w:space="0" w:color="auto"/>
          <w:lang w:val="es-AR"/>
        </w:rPr>
        <w:t xml:space="preserve">, </w:t>
      </w:r>
      <w:r w:rsidRPr="00116A43">
        <w:rPr>
          <w:rFonts w:ascii="Cambria" w:hAnsi="Cambria"/>
          <w:sz w:val="20"/>
          <w:szCs w:val="20"/>
          <w:bdr w:val="none" w:sz="0" w:space="0" w:color="auto"/>
          <w:lang w:val="es-AR"/>
        </w:rPr>
        <w:t xml:space="preserve">como fue mencionado, </w:t>
      </w:r>
      <w:r w:rsidR="002101C6" w:rsidRPr="00116A43">
        <w:rPr>
          <w:rFonts w:ascii="Cambria" w:hAnsi="Cambria"/>
          <w:sz w:val="20"/>
          <w:szCs w:val="20"/>
          <w:bdr w:val="none" w:sz="0" w:space="0" w:color="auto"/>
          <w:lang w:val="es-AR"/>
        </w:rPr>
        <w:t>la censura previa está prohibida</w:t>
      </w:r>
      <w:r w:rsidR="009D2581" w:rsidRPr="00116A43">
        <w:rPr>
          <w:rFonts w:ascii="Cambria" w:hAnsi="Cambria"/>
          <w:sz w:val="20"/>
          <w:szCs w:val="20"/>
          <w:bdr w:val="none" w:sz="0" w:space="0" w:color="auto"/>
          <w:lang w:val="es-AR"/>
        </w:rPr>
        <w:t xml:space="preserve"> </w:t>
      </w:r>
      <w:r w:rsidR="002101C6" w:rsidRPr="00116A43">
        <w:rPr>
          <w:rFonts w:ascii="Cambria" w:hAnsi="Cambria"/>
          <w:sz w:val="20"/>
          <w:szCs w:val="20"/>
          <w:bdr w:val="none" w:sz="0" w:space="0" w:color="auto"/>
          <w:lang w:val="es-AR"/>
        </w:rPr>
        <w:t>en</w:t>
      </w:r>
      <w:r w:rsidR="009D2581" w:rsidRPr="00116A43">
        <w:rPr>
          <w:rFonts w:ascii="Cambria" w:hAnsi="Cambria"/>
          <w:sz w:val="20"/>
          <w:szCs w:val="20"/>
          <w:bdr w:val="none" w:sz="0" w:space="0" w:color="auto"/>
          <w:lang w:val="es-AR"/>
        </w:rPr>
        <w:t xml:space="preserve"> el sistema interamericano</w:t>
      </w:r>
      <w:r w:rsidR="00F055A5" w:rsidRPr="00116A43">
        <w:rPr>
          <w:rFonts w:ascii="Cambria" w:hAnsi="Cambria"/>
          <w:sz w:val="20"/>
          <w:szCs w:val="20"/>
          <w:bdr w:val="none" w:sz="0" w:space="0" w:color="auto"/>
          <w:lang w:val="es-AR"/>
        </w:rPr>
        <w:t>.</w:t>
      </w:r>
      <w:r w:rsidR="00040179" w:rsidRPr="00116A43">
        <w:rPr>
          <w:rFonts w:ascii="Cambria" w:hAnsi="Cambria"/>
          <w:sz w:val="20"/>
          <w:szCs w:val="20"/>
          <w:bdr w:val="none" w:sz="0" w:space="0" w:color="auto"/>
          <w:lang w:val="es-AR"/>
        </w:rPr>
        <w:t xml:space="preserve"> En este sentido, el Principio 5 </w:t>
      </w:r>
      <w:r w:rsidR="00040179" w:rsidRPr="00116A43">
        <w:rPr>
          <w:rFonts w:ascii="Cambria" w:hAnsi="Cambria"/>
          <w:sz w:val="20"/>
          <w:szCs w:val="20"/>
          <w:lang w:val="es-CO"/>
        </w:rPr>
        <w:t>de la Declaración de Principios sobre Libertad de Expresión</w:t>
      </w:r>
      <w:r w:rsidR="00880DC9" w:rsidRPr="00116A43">
        <w:rPr>
          <w:rFonts w:ascii="Cambria" w:hAnsi="Cambria"/>
          <w:sz w:val="20"/>
          <w:szCs w:val="20"/>
          <w:lang w:val="es-CO"/>
        </w:rPr>
        <w:t xml:space="preserve"> establece que</w:t>
      </w:r>
      <w:r w:rsidR="00040179" w:rsidRPr="00116A43">
        <w:rPr>
          <w:rFonts w:ascii="Cambria" w:hAnsi="Cambria"/>
          <w:sz w:val="20"/>
          <w:szCs w:val="20"/>
          <w:bdr w:val="none" w:sz="0" w:space="0" w:color="auto"/>
          <w:lang w:val="es-AR"/>
        </w:rPr>
        <w:t xml:space="preserve"> </w:t>
      </w:r>
      <w:r w:rsidR="00880DC9" w:rsidRPr="00116A43">
        <w:rPr>
          <w:rFonts w:ascii="Cambria" w:hAnsi="Cambria"/>
          <w:color w:val="000000"/>
          <w:sz w:val="20"/>
          <w:szCs w:val="20"/>
          <w:lang w:val="es-AR"/>
        </w:rPr>
        <w:t>“[l]</w:t>
      </w:r>
      <w:r w:rsidR="00040179" w:rsidRPr="00116A43">
        <w:rPr>
          <w:rFonts w:ascii="Cambria" w:hAnsi="Cambria"/>
          <w:color w:val="000000"/>
          <w:sz w:val="20"/>
          <w:szCs w:val="20"/>
        </w:rPr>
        <w:t xml:space="preserve">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w:t>
      </w:r>
      <w:r w:rsidR="00040179" w:rsidRPr="00116A43">
        <w:rPr>
          <w:rFonts w:ascii="Cambria" w:hAnsi="Cambria"/>
          <w:color w:val="000000"/>
          <w:sz w:val="20"/>
          <w:szCs w:val="20"/>
        </w:rPr>
        <w:lastRenderedPageBreak/>
        <w:t>arbitraria de información y la creación de obstáculos al libre flujo informativo, violan el derecho a la libertad de expresió</w:t>
      </w:r>
      <w:r w:rsidR="00880DC9" w:rsidRPr="00116A43">
        <w:rPr>
          <w:rFonts w:ascii="Cambria" w:hAnsi="Cambria"/>
          <w:color w:val="000000"/>
          <w:sz w:val="20"/>
          <w:szCs w:val="20"/>
        </w:rPr>
        <w:t>n”</w:t>
      </w:r>
      <w:r w:rsidR="00731BEB" w:rsidRPr="00116A43">
        <w:rPr>
          <w:rFonts w:ascii="Cambria" w:hAnsi="Cambria"/>
          <w:sz w:val="20"/>
          <w:szCs w:val="20"/>
          <w:bdr w:val="none" w:sz="0" w:space="0" w:color="auto"/>
          <w:lang w:val="es-AR"/>
        </w:rPr>
        <w:t xml:space="preserve">. </w:t>
      </w:r>
    </w:p>
    <w:p w14:paraId="6B8E7BFB" w14:textId="77777777" w:rsidR="00BD63E6" w:rsidRPr="00116A43" w:rsidRDefault="00BD63E6" w:rsidP="00375047">
      <w:pPr>
        <w:pStyle w:val="ListParagraph"/>
        <w:ind w:left="0"/>
        <w:rPr>
          <w:sz w:val="20"/>
          <w:szCs w:val="20"/>
          <w:bdr w:val="none" w:sz="0" w:space="0" w:color="auto"/>
          <w:lang w:val="es-AR"/>
        </w:rPr>
      </w:pPr>
    </w:p>
    <w:p w14:paraId="552B77A0" w14:textId="21699B1C" w:rsidR="00582E43" w:rsidRPr="00116A43" w:rsidRDefault="00294789"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bdr w:val="none" w:sz="0" w:space="0" w:color="auto"/>
          <w:lang w:val="es-AR"/>
        </w:rPr>
      </w:pPr>
      <w:r w:rsidRPr="00116A43">
        <w:rPr>
          <w:rFonts w:ascii="Cambria" w:hAnsi="Cambria"/>
          <w:sz w:val="20"/>
          <w:szCs w:val="20"/>
          <w:bdr w:val="none" w:sz="0" w:space="0" w:color="auto"/>
          <w:lang w:val="es-AR"/>
        </w:rPr>
        <w:t>El test tripartito de las restricciones a la libertad de expresi</w:t>
      </w:r>
      <w:r w:rsidRPr="00116A43">
        <w:rPr>
          <w:rFonts w:ascii="Cambria" w:hAnsi="Cambria"/>
          <w:sz w:val="20"/>
          <w:szCs w:val="20"/>
          <w:bdr w:val="none" w:sz="0" w:space="0" w:color="auto"/>
          <w:lang w:val="es-419"/>
        </w:rPr>
        <w:t xml:space="preserve">ón y la </w:t>
      </w:r>
      <w:r w:rsidR="00A344D5" w:rsidRPr="00116A43">
        <w:rPr>
          <w:rFonts w:ascii="Cambria" w:hAnsi="Cambria"/>
          <w:sz w:val="20"/>
          <w:szCs w:val="20"/>
          <w:bdr w:val="none" w:sz="0" w:space="0" w:color="auto"/>
          <w:lang w:val="es-AR"/>
        </w:rPr>
        <w:t>prohibición</w:t>
      </w:r>
      <w:r w:rsidR="007E3B49" w:rsidRPr="00116A43">
        <w:rPr>
          <w:rFonts w:ascii="Cambria" w:hAnsi="Cambria"/>
          <w:sz w:val="20"/>
          <w:szCs w:val="20"/>
          <w:bdr w:val="none" w:sz="0" w:space="0" w:color="auto"/>
          <w:lang w:val="es-AR"/>
        </w:rPr>
        <w:t xml:space="preserve"> de censura</w:t>
      </w:r>
      <w:r w:rsidR="00731BEB" w:rsidRPr="00116A43">
        <w:rPr>
          <w:rFonts w:ascii="Cambria" w:hAnsi="Cambria"/>
          <w:sz w:val="20"/>
          <w:szCs w:val="20"/>
          <w:bdr w:val="none" w:sz="0" w:space="0" w:color="auto"/>
          <w:lang w:val="es-AR"/>
        </w:rPr>
        <w:t xml:space="preserve"> asume características específicas cuando </w:t>
      </w:r>
      <w:r w:rsidR="007E5B7D" w:rsidRPr="00116A43">
        <w:rPr>
          <w:rFonts w:ascii="Cambria" w:hAnsi="Cambria"/>
          <w:sz w:val="20"/>
          <w:szCs w:val="20"/>
          <w:bdr w:val="none" w:sz="0" w:space="0" w:color="auto"/>
          <w:lang w:val="es-AR"/>
        </w:rPr>
        <w:t>nos referimos el ejercicio del derecho a la libertad de expresión en internet</w:t>
      </w:r>
      <w:r w:rsidRPr="00116A43">
        <w:rPr>
          <w:rFonts w:ascii="Cambria" w:hAnsi="Cambria"/>
          <w:sz w:val="20"/>
          <w:szCs w:val="20"/>
          <w:bdr w:val="none" w:sz="0" w:space="0" w:color="auto"/>
          <w:lang w:val="es-AR"/>
        </w:rPr>
        <w:t>, especialmente en contexto</w:t>
      </w:r>
      <w:r w:rsidR="007E3B49" w:rsidRPr="00116A43">
        <w:rPr>
          <w:rFonts w:ascii="Cambria" w:hAnsi="Cambria"/>
          <w:sz w:val="20"/>
          <w:szCs w:val="20"/>
          <w:bdr w:val="none" w:sz="0" w:space="0" w:color="auto"/>
          <w:lang w:val="es-AR"/>
        </w:rPr>
        <w:t xml:space="preserve">s donde existe un </w:t>
      </w:r>
      <w:r w:rsidRPr="00116A43">
        <w:rPr>
          <w:rFonts w:ascii="Cambria" w:hAnsi="Cambria"/>
          <w:sz w:val="20"/>
          <w:szCs w:val="20"/>
          <w:bdr w:val="none" w:sz="0" w:space="0" w:color="auto"/>
          <w:lang w:val="es-AR"/>
        </w:rPr>
        <w:t>monopolio de la red por</w:t>
      </w:r>
      <w:r w:rsidR="007E3B49" w:rsidRPr="00116A43">
        <w:rPr>
          <w:rFonts w:ascii="Cambria" w:hAnsi="Cambria"/>
          <w:sz w:val="20"/>
          <w:szCs w:val="20"/>
          <w:bdr w:val="none" w:sz="0" w:space="0" w:color="auto"/>
          <w:lang w:val="es-AR"/>
        </w:rPr>
        <w:t xml:space="preserve"> parte</w:t>
      </w:r>
      <w:r w:rsidRPr="00116A43">
        <w:rPr>
          <w:rFonts w:ascii="Cambria" w:hAnsi="Cambria"/>
          <w:sz w:val="20"/>
          <w:szCs w:val="20"/>
          <w:bdr w:val="none" w:sz="0" w:space="0" w:color="auto"/>
          <w:lang w:val="es-AR"/>
        </w:rPr>
        <w:t xml:space="preserve"> </w:t>
      </w:r>
      <w:r w:rsidR="007E3B49" w:rsidRPr="00116A43">
        <w:rPr>
          <w:rFonts w:ascii="Cambria" w:hAnsi="Cambria"/>
          <w:sz w:val="20"/>
          <w:szCs w:val="20"/>
          <w:bdr w:val="none" w:sz="0" w:space="0" w:color="auto"/>
          <w:lang w:val="es-AR"/>
        </w:rPr>
        <w:t>d</w:t>
      </w:r>
      <w:r w:rsidRPr="00116A43">
        <w:rPr>
          <w:rFonts w:ascii="Cambria" w:hAnsi="Cambria"/>
          <w:sz w:val="20"/>
          <w:szCs w:val="20"/>
          <w:bdr w:val="none" w:sz="0" w:space="0" w:color="auto"/>
          <w:lang w:val="es-AR"/>
        </w:rPr>
        <w:t xml:space="preserve">el Estado. </w:t>
      </w:r>
    </w:p>
    <w:p w14:paraId="27D82B36" w14:textId="77777777" w:rsidR="00294789" w:rsidRPr="00116A43" w:rsidRDefault="00294789" w:rsidP="00294789">
      <w:pPr>
        <w:pStyle w:val="ListParagraph"/>
        <w:rPr>
          <w:sz w:val="20"/>
          <w:szCs w:val="20"/>
          <w:bdr w:val="none" w:sz="0" w:space="0" w:color="auto"/>
          <w:lang w:val="es-AR"/>
        </w:rPr>
      </w:pPr>
    </w:p>
    <w:p w14:paraId="3CBC88C8" w14:textId="6B704295" w:rsidR="00294789" w:rsidRPr="00116A43" w:rsidRDefault="00294789" w:rsidP="002947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i/>
          <w:iCs/>
          <w:sz w:val="20"/>
          <w:szCs w:val="20"/>
          <w:bdr w:val="none" w:sz="0" w:space="0" w:color="auto"/>
          <w:lang w:val="es-AR"/>
        </w:rPr>
      </w:pPr>
      <w:r w:rsidRPr="00116A43">
        <w:rPr>
          <w:rFonts w:ascii="Cambria" w:hAnsi="Cambria"/>
          <w:i/>
          <w:iCs/>
          <w:sz w:val="20"/>
          <w:szCs w:val="20"/>
          <w:bdr w:val="none" w:sz="0" w:space="0" w:color="auto"/>
          <w:lang w:val="es-AR"/>
        </w:rPr>
        <w:t>1.1</w:t>
      </w:r>
      <w:r w:rsidR="006853F8" w:rsidRPr="00116A43">
        <w:rPr>
          <w:rFonts w:ascii="Cambria" w:hAnsi="Cambria"/>
          <w:i/>
          <w:iCs/>
          <w:sz w:val="20"/>
          <w:szCs w:val="20"/>
          <w:bdr w:val="none" w:sz="0" w:space="0" w:color="auto"/>
          <w:lang w:val="es-AR"/>
        </w:rPr>
        <w:t>.</w:t>
      </w:r>
      <w:r w:rsidRPr="00116A43">
        <w:rPr>
          <w:rFonts w:ascii="Cambria" w:hAnsi="Cambria"/>
          <w:i/>
          <w:iCs/>
          <w:sz w:val="20"/>
          <w:szCs w:val="20"/>
          <w:bdr w:val="none" w:sz="0" w:space="0" w:color="auto"/>
          <w:lang w:val="es-AR"/>
        </w:rPr>
        <w:t xml:space="preserve"> La censura y otras restricciones a la libertad de expresión en </w:t>
      </w:r>
      <w:r w:rsidR="006853F8" w:rsidRPr="00116A43">
        <w:rPr>
          <w:rFonts w:ascii="Cambria" w:hAnsi="Cambria"/>
          <w:i/>
          <w:iCs/>
          <w:sz w:val="20"/>
          <w:szCs w:val="20"/>
          <w:bdr w:val="none" w:sz="0" w:space="0" w:color="auto"/>
          <w:lang w:val="es-AR"/>
        </w:rPr>
        <w:t>I</w:t>
      </w:r>
      <w:r w:rsidRPr="00116A43">
        <w:rPr>
          <w:rFonts w:ascii="Cambria" w:hAnsi="Cambria"/>
          <w:i/>
          <w:iCs/>
          <w:sz w:val="20"/>
          <w:szCs w:val="20"/>
          <w:bdr w:val="none" w:sz="0" w:space="0" w:color="auto"/>
          <w:lang w:val="es-AR"/>
        </w:rPr>
        <w:t>nternet</w:t>
      </w:r>
    </w:p>
    <w:p w14:paraId="3B9571CB" w14:textId="77777777" w:rsidR="005376E8" w:rsidRPr="00116A43" w:rsidRDefault="005376E8" w:rsidP="00647F5D">
      <w:pPr>
        <w:rPr>
          <w:rFonts w:ascii="Cambria" w:hAnsi="Cambria"/>
          <w:sz w:val="20"/>
          <w:szCs w:val="20"/>
          <w:bdr w:val="none" w:sz="0" w:space="0" w:color="auto"/>
          <w:lang w:val="es-AR"/>
        </w:rPr>
      </w:pPr>
    </w:p>
    <w:p w14:paraId="5F6BBE5D" w14:textId="541A37A9" w:rsidR="009E18D1" w:rsidRPr="00116A43" w:rsidRDefault="00DB04A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bdr w:val="none" w:sz="0" w:space="0" w:color="auto"/>
          <w:lang w:val="es-AR"/>
        </w:rPr>
      </w:pPr>
      <w:r w:rsidRPr="00116A43">
        <w:rPr>
          <w:rFonts w:ascii="Cambria" w:hAnsi="Cambria"/>
          <w:sz w:val="20"/>
          <w:szCs w:val="20"/>
        </w:rPr>
        <w:t xml:space="preserve">La CIDH </w:t>
      </w:r>
      <w:r w:rsidR="005376E8" w:rsidRPr="00116A43">
        <w:rPr>
          <w:rFonts w:ascii="Cambria" w:hAnsi="Cambria"/>
          <w:sz w:val="20"/>
          <w:szCs w:val="20"/>
        </w:rPr>
        <w:t xml:space="preserve">recuerda que los derechos humanos y, en particular, el derecho a la libertad de expresión, encuentran en Internet un instrumento único para desplegar su enorme potencial en amplios sectores de la población. </w:t>
      </w:r>
      <w:r w:rsidR="00CE3369" w:rsidRPr="00116A43">
        <w:rPr>
          <w:rFonts w:ascii="Cambria" w:hAnsi="Cambria"/>
          <w:sz w:val="20"/>
          <w:szCs w:val="20"/>
        </w:rPr>
        <w:t>Es decir que tiene un impacto crítico no solo en la dimensión individual del derecho a la libertad de expresión, sino también en su dimensión social</w:t>
      </w:r>
      <w:r w:rsidR="00CE3369" w:rsidRPr="00116A43">
        <w:rPr>
          <w:rStyle w:val="FootnoteReference"/>
          <w:rFonts w:ascii="Cambria" w:hAnsi="Cambria"/>
          <w:sz w:val="20"/>
          <w:szCs w:val="20"/>
        </w:rPr>
        <w:footnoteReference w:id="247"/>
      </w:r>
      <w:r w:rsidR="00CE3369" w:rsidRPr="00116A43">
        <w:rPr>
          <w:rFonts w:ascii="Cambria" w:hAnsi="Cambria"/>
          <w:sz w:val="20"/>
          <w:szCs w:val="20"/>
        </w:rPr>
        <w:t xml:space="preserve">. </w:t>
      </w:r>
      <w:r w:rsidR="009E18D1" w:rsidRPr="00116A43">
        <w:rPr>
          <w:rFonts w:ascii="Cambria" w:hAnsi="Cambria"/>
          <w:sz w:val="20"/>
          <w:szCs w:val="20"/>
        </w:rPr>
        <w:t>Dadas características particulares de internet, el acceso a este ha adquirido un potencial inédito para la realización efectiva del derecho a buscar, recibir y difundir información</w:t>
      </w:r>
      <w:r w:rsidR="009E18D1" w:rsidRPr="00116A43">
        <w:rPr>
          <w:rStyle w:val="FootnoteReference"/>
          <w:rFonts w:ascii="Cambria" w:hAnsi="Cambria"/>
          <w:sz w:val="20"/>
          <w:szCs w:val="20"/>
        </w:rPr>
        <w:footnoteReference w:id="248"/>
      </w:r>
      <w:r w:rsidR="009E18D1" w:rsidRPr="00116A43">
        <w:rPr>
          <w:rFonts w:ascii="Cambria" w:hAnsi="Cambria"/>
          <w:sz w:val="20"/>
          <w:szCs w:val="20"/>
        </w:rPr>
        <w:t xml:space="preserve">. </w:t>
      </w:r>
      <w:r w:rsidR="006853F8" w:rsidRPr="00116A43">
        <w:rPr>
          <w:rStyle w:val="None"/>
          <w:rFonts w:ascii="Cambria" w:eastAsia="Cambria" w:hAnsi="Cambria" w:cs="Cambria"/>
          <w:sz w:val="20"/>
          <w:szCs w:val="20"/>
          <w:lang w:val="es-ES_tradnl"/>
        </w:rPr>
        <w:t>En este sentido, l</w:t>
      </w:r>
      <w:r w:rsidR="006853F8" w:rsidRPr="00116A43">
        <w:rPr>
          <w:rFonts w:ascii="Cambria" w:eastAsia="Cambria" w:hAnsi="Cambria" w:cs="Cambria"/>
          <w:sz w:val="20"/>
          <w:szCs w:val="20"/>
          <w:lang w:val="es-ES_tradnl"/>
        </w:rPr>
        <w:t xml:space="preserve">a CIDH y la Relatoría Especial para la Libertad de Expresión han resaltado que el acceso a internet constituye una condición </w:t>
      </w:r>
      <w:r w:rsidR="006853F8" w:rsidRPr="00116A43">
        <w:rPr>
          <w:rStyle w:val="None"/>
          <w:rFonts w:ascii="Cambria" w:eastAsia="Cambria" w:hAnsi="Cambria" w:cs="Cambria"/>
          <w:i/>
          <w:iCs/>
          <w:sz w:val="20"/>
          <w:szCs w:val="20"/>
          <w:lang w:val="es-ES_tradnl"/>
        </w:rPr>
        <w:t xml:space="preserve">sine qua non </w:t>
      </w:r>
      <w:r w:rsidR="006853F8" w:rsidRPr="00116A43">
        <w:rPr>
          <w:rFonts w:ascii="Cambria" w:eastAsia="Cambria" w:hAnsi="Cambria" w:cs="Cambria"/>
          <w:sz w:val="20"/>
          <w:szCs w:val="20"/>
          <w:lang w:val="es-ES_tradnl"/>
        </w:rPr>
        <w:t xml:space="preserve">para el ejercicio efectivo de los derechos humanos, incluyendo especialmente los derechos a la libertad de expresión y opinión, asociación y reunión, educación, salud, trabajo </w:t>
      </w:r>
      <w:r w:rsidR="006853F8" w:rsidRPr="00116A43">
        <w:rPr>
          <w:rFonts w:ascii="Cambria" w:eastAsia="Cambria" w:hAnsi="Cambria" w:cs="Cambria"/>
          <w:sz w:val="20"/>
          <w:szCs w:val="20"/>
          <w:lang w:val="es-PE"/>
        </w:rPr>
        <w:t>y</w:t>
      </w:r>
      <w:r w:rsidR="006853F8" w:rsidRPr="00116A43">
        <w:rPr>
          <w:rFonts w:ascii="Cambria" w:eastAsia="Cambria" w:hAnsi="Cambria" w:cs="Cambria"/>
          <w:sz w:val="20"/>
          <w:szCs w:val="20"/>
          <w:lang w:val="es-ES_tradnl"/>
        </w:rPr>
        <w:t xml:space="preserve"> acceso a la cultura</w:t>
      </w:r>
      <w:r w:rsidR="006853F8" w:rsidRPr="00116A43">
        <w:rPr>
          <w:rStyle w:val="None"/>
          <w:rFonts w:ascii="Cambria" w:eastAsia="Cambria" w:hAnsi="Cambria" w:cs="Cambria"/>
          <w:sz w:val="20"/>
          <w:szCs w:val="20"/>
          <w:vertAlign w:val="superscript"/>
        </w:rPr>
        <w:footnoteReference w:id="249"/>
      </w:r>
      <w:r w:rsidR="006853F8" w:rsidRPr="00116A43">
        <w:rPr>
          <w:rFonts w:ascii="Cambria" w:eastAsia="Cambria" w:hAnsi="Cambria" w:cs="Cambria"/>
          <w:sz w:val="20"/>
          <w:szCs w:val="20"/>
        </w:rPr>
        <w:t>.</w:t>
      </w:r>
      <w:r w:rsidR="006853F8" w:rsidRPr="00116A43">
        <w:rPr>
          <w:rFonts w:ascii="Cambria" w:eastAsia="Cambria" w:hAnsi="Cambria" w:cs="Cambria"/>
          <w:sz w:val="20"/>
          <w:szCs w:val="20"/>
          <w:lang w:val="es-ES_tradnl"/>
        </w:rPr>
        <w:t xml:space="preserve"> </w:t>
      </w:r>
      <w:r w:rsidR="009E18D1" w:rsidRPr="00116A43">
        <w:rPr>
          <w:rFonts w:ascii="Cambria" w:eastAsia="Cambria" w:hAnsi="Cambria" w:cs="Cambria"/>
          <w:sz w:val="20"/>
          <w:szCs w:val="20"/>
          <w:lang w:val="es-ES_tradnl"/>
        </w:rPr>
        <w:t xml:space="preserve"> </w:t>
      </w:r>
    </w:p>
    <w:p w14:paraId="18D0F5FE" w14:textId="77777777" w:rsidR="009E18D1" w:rsidRPr="00116A43" w:rsidRDefault="009E18D1" w:rsidP="00116A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lang w:val="es-AR"/>
        </w:rPr>
      </w:pPr>
    </w:p>
    <w:p w14:paraId="69B1FAC7" w14:textId="367FC9C1" w:rsidR="00205AA1" w:rsidRPr="00116A43" w:rsidRDefault="005376E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bdr w:val="none" w:sz="0" w:space="0" w:color="auto"/>
          <w:lang w:val="es-AR"/>
        </w:rPr>
      </w:pPr>
      <w:r w:rsidRPr="00116A43">
        <w:rPr>
          <w:rFonts w:ascii="Cambria" w:hAnsi="Cambria"/>
          <w:sz w:val="20"/>
          <w:szCs w:val="20"/>
        </w:rPr>
        <w:t>La relevancia de Internet como plataforma para el goce y ejercicio de derechos humanos está directamente vinculada con la arquitectura de la red y los principios que la rigen, entre ellos el principio de apertura, descentralización y neutralidad. La labor del Estado, el desarrollo de políticas públicas y la actuación de los particulares en el entorno digital deben adecuarse a los principios de acceso en igualdad de condiciones, el pluralismo, la no discriminación y la privacidad, así como la neutralidad de la red y la gobernanza multisectorial como componentes transversales</w:t>
      </w:r>
      <w:r w:rsidR="00647F5D" w:rsidRPr="00116A43">
        <w:rPr>
          <w:rStyle w:val="FootnoteReference"/>
          <w:rFonts w:ascii="Cambria" w:hAnsi="Cambria"/>
          <w:sz w:val="20"/>
          <w:szCs w:val="20"/>
        </w:rPr>
        <w:footnoteReference w:id="250"/>
      </w:r>
      <w:r w:rsidRPr="00116A43">
        <w:rPr>
          <w:rFonts w:ascii="Cambria" w:hAnsi="Cambria"/>
          <w:sz w:val="20"/>
          <w:szCs w:val="20"/>
        </w:rPr>
        <w:t xml:space="preserve">. </w:t>
      </w:r>
    </w:p>
    <w:p w14:paraId="27948C1D" w14:textId="77777777" w:rsidR="00D03992" w:rsidRPr="00116A43" w:rsidRDefault="00D03992" w:rsidP="00375047">
      <w:pPr>
        <w:pStyle w:val="ListParagraph"/>
        <w:ind w:left="0"/>
        <w:rPr>
          <w:sz w:val="20"/>
          <w:szCs w:val="20"/>
          <w:bdr w:val="none" w:sz="0" w:space="0" w:color="auto"/>
          <w:lang w:val="es-AR"/>
        </w:rPr>
      </w:pPr>
    </w:p>
    <w:p w14:paraId="40A30052" w14:textId="01AC67C3" w:rsidR="0056720D" w:rsidRPr="008207E7" w:rsidRDefault="00D03992"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color w:val="000000"/>
          <w:sz w:val="20"/>
          <w:szCs w:val="20"/>
          <w:shd w:val="clear" w:color="auto" w:fill="FFFFFF"/>
        </w:rPr>
        <w:t>En este sentido, ampliar</w:t>
      </w:r>
      <w:r w:rsidRPr="00116A43">
        <w:rPr>
          <w:rFonts w:ascii="Cambria" w:hAnsi="Cambria"/>
          <w:sz w:val="20"/>
          <w:szCs w:val="20"/>
        </w:rPr>
        <w:t xml:space="preserve"> el número y la diversidad de voces que puedan participar de la deliberación pública es al mismo tiempo condición y finalidad esencial del proceso democrático</w:t>
      </w:r>
      <w:r w:rsidRPr="00116A43">
        <w:rPr>
          <w:rStyle w:val="FootnoteReference"/>
          <w:rFonts w:ascii="Cambria" w:hAnsi="Cambria"/>
          <w:sz w:val="20"/>
          <w:szCs w:val="20"/>
        </w:rPr>
        <w:footnoteReference w:id="251"/>
      </w:r>
      <w:r w:rsidRPr="00116A43">
        <w:rPr>
          <w:rFonts w:ascii="Cambria" w:hAnsi="Cambria"/>
          <w:sz w:val="20"/>
          <w:szCs w:val="20"/>
        </w:rPr>
        <w:t xml:space="preserve">. </w:t>
      </w:r>
      <w:r w:rsidR="00052BE8">
        <w:rPr>
          <w:rFonts w:ascii="Cambria" w:hAnsi="Cambria"/>
          <w:sz w:val="20"/>
          <w:szCs w:val="20"/>
        </w:rPr>
        <w:t xml:space="preserve">Las </w:t>
      </w:r>
      <w:r w:rsidRPr="00116A43">
        <w:rPr>
          <w:rFonts w:ascii="Cambria" w:hAnsi="Cambria"/>
          <w:sz w:val="20"/>
          <w:szCs w:val="20"/>
        </w:rPr>
        <w:t>garantías</w:t>
      </w:r>
      <w:r w:rsidR="00052BE8">
        <w:rPr>
          <w:rFonts w:ascii="Cambria" w:hAnsi="Cambria"/>
          <w:sz w:val="20"/>
          <w:szCs w:val="20"/>
        </w:rPr>
        <w:t xml:space="preserve"> robustas</w:t>
      </w:r>
      <w:r w:rsidRPr="00116A43">
        <w:rPr>
          <w:rFonts w:ascii="Cambria" w:hAnsi="Cambria"/>
          <w:sz w:val="20"/>
          <w:szCs w:val="20"/>
        </w:rPr>
        <w:t xml:space="preserve"> para el ejercicio de la libertad de expresión a través de Internet </w:t>
      </w:r>
      <w:r w:rsidR="00052BE8">
        <w:rPr>
          <w:rFonts w:ascii="Cambria" w:hAnsi="Cambria"/>
          <w:sz w:val="20"/>
          <w:szCs w:val="20"/>
        </w:rPr>
        <w:t>son</w:t>
      </w:r>
      <w:r w:rsidRPr="00116A43">
        <w:rPr>
          <w:rFonts w:ascii="Cambria" w:hAnsi="Cambria"/>
          <w:sz w:val="20"/>
          <w:szCs w:val="20"/>
        </w:rPr>
        <w:t>, en la actualidad, una condición de posibilidad para una apertura de la esfera pública</w:t>
      </w:r>
      <w:r w:rsidRPr="00116A43">
        <w:rPr>
          <w:rStyle w:val="FootnoteReference"/>
          <w:rFonts w:ascii="Cambria" w:hAnsi="Cambria"/>
          <w:sz w:val="20"/>
          <w:szCs w:val="20"/>
        </w:rPr>
        <w:footnoteReference w:id="252"/>
      </w:r>
      <w:r w:rsidRPr="00116A43">
        <w:rPr>
          <w:rFonts w:ascii="Cambria" w:hAnsi="Cambria"/>
          <w:sz w:val="20"/>
          <w:szCs w:val="20"/>
        </w:rPr>
        <w:t xml:space="preserve">. </w:t>
      </w:r>
      <w:r w:rsidR="006853F8" w:rsidRPr="00116A43">
        <w:rPr>
          <w:rStyle w:val="None"/>
          <w:rFonts w:ascii="Cambria" w:eastAsia="Cambria" w:hAnsi="Cambria" w:cs="Cambria"/>
          <w:sz w:val="20"/>
          <w:szCs w:val="20"/>
          <w:lang w:val="es-ES_tradnl"/>
        </w:rPr>
        <w:t xml:space="preserve">Por eso, es deber de los Estados no sólo asegurar las condiciones necesarias para que las personas puedan conectarse a internet, sino también proporcionar los recursos y medidas para que puedan hacer un uso autónomo, independiente y responsable, que además les permita acceder a la mayor cantidad de información e ideas que allí circulan. </w:t>
      </w:r>
      <w:r w:rsidRPr="00116A43">
        <w:rPr>
          <w:rFonts w:ascii="Cambria" w:hAnsi="Cambria"/>
          <w:sz w:val="20"/>
          <w:szCs w:val="20"/>
        </w:rPr>
        <w:t>De ahí que los Estados “deben proteger la naturaleza multidireccional de Internet y promover las plataformas que permitan la búsqueda y difusión de informaciones e ideas”</w:t>
      </w:r>
      <w:r w:rsidRPr="00116A43">
        <w:rPr>
          <w:rStyle w:val="FootnoteReference"/>
          <w:rFonts w:ascii="Cambria" w:hAnsi="Cambria"/>
          <w:sz w:val="20"/>
          <w:szCs w:val="20"/>
        </w:rPr>
        <w:footnoteReference w:id="253"/>
      </w:r>
      <w:r w:rsidRPr="00116A43">
        <w:rPr>
          <w:rFonts w:ascii="Cambria" w:hAnsi="Cambria"/>
          <w:sz w:val="20"/>
          <w:szCs w:val="20"/>
        </w:rPr>
        <w:t xml:space="preserve">. </w:t>
      </w:r>
      <w:r w:rsidR="00086A2A" w:rsidRPr="00116A43">
        <w:rPr>
          <w:rFonts w:ascii="Cambria" w:hAnsi="Cambria"/>
          <w:sz w:val="20"/>
          <w:szCs w:val="20"/>
        </w:rPr>
        <w:t xml:space="preserve">En particular, la </w:t>
      </w:r>
      <w:r w:rsidR="00A040A7" w:rsidRPr="00116A43">
        <w:rPr>
          <w:rFonts w:ascii="Cambria" w:hAnsi="Cambria"/>
          <w:sz w:val="20"/>
          <w:szCs w:val="20"/>
        </w:rPr>
        <w:t>neutralidad de la red es una condición necesaria para ejercer la libertad de expresión. Lo que persigue tal principio es que la libertad de acceso y elección de los usuarios de utilizar, enviar, recibir u ofrecer cualquier contenido, aplicación o servicio legal por medio de Internet no esté condicionada, direccionada o restringida, por medio de bloqueo, filtración, o interferencia</w:t>
      </w:r>
      <w:r w:rsidR="005B722B" w:rsidRPr="00116A43">
        <w:rPr>
          <w:rStyle w:val="FootnoteReference"/>
          <w:rFonts w:ascii="Cambria" w:hAnsi="Cambria"/>
          <w:sz w:val="20"/>
          <w:szCs w:val="20"/>
        </w:rPr>
        <w:footnoteReference w:id="254"/>
      </w:r>
      <w:r w:rsidR="005B722B" w:rsidRPr="00116A43">
        <w:rPr>
          <w:rFonts w:ascii="Cambria" w:hAnsi="Cambria"/>
          <w:sz w:val="20"/>
          <w:szCs w:val="20"/>
        </w:rPr>
        <w:t>.</w:t>
      </w:r>
      <w:r w:rsidR="00681424" w:rsidRPr="00116A43">
        <w:rPr>
          <w:rFonts w:ascii="Cambria" w:hAnsi="Cambria"/>
          <w:sz w:val="20"/>
          <w:szCs w:val="20"/>
        </w:rPr>
        <w:t xml:space="preserve"> </w:t>
      </w:r>
    </w:p>
    <w:p w14:paraId="705BA875" w14:textId="77777777" w:rsidR="008207E7" w:rsidRPr="008207E7" w:rsidRDefault="008207E7"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66827F76" w14:textId="4ACD1BAC" w:rsidR="008207E7" w:rsidRPr="008207E7" w:rsidRDefault="009E18D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8207E7">
        <w:rPr>
          <w:rFonts w:ascii="Cambria" w:hAnsi="Cambria"/>
          <w:sz w:val="20"/>
          <w:szCs w:val="20"/>
          <w:lang w:val="es-419"/>
        </w:rPr>
        <w:t>L</w:t>
      </w:r>
      <w:r w:rsidR="0056720D" w:rsidRPr="008207E7">
        <w:rPr>
          <w:rFonts w:ascii="Cambria" w:hAnsi="Cambria"/>
          <w:sz w:val="20"/>
          <w:szCs w:val="20"/>
          <w:lang w:val="es-419"/>
        </w:rPr>
        <w:t xml:space="preserve">a libertad de expresión se aplica a Internet del mismo modo que a todos los medios de comunicación. </w:t>
      </w:r>
      <w:r w:rsidRPr="008207E7">
        <w:rPr>
          <w:rFonts w:ascii="Cambria" w:hAnsi="Cambria"/>
          <w:sz w:val="20"/>
          <w:szCs w:val="20"/>
          <w:lang w:val="es-419"/>
        </w:rPr>
        <w:t>Por ende, l</w:t>
      </w:r>
      <w:r w:rsidR="0056720D" w:rsidRPr="008207E7">
        <w:rPr>
          <w:rFonts w:ascii="Cambria" w:hAnsi="Cambria"/>
          <w:sz w:val="20"/>
          <w:szCs w:val="20"/>
          <w:lang w:val="es-419"/>
        </w:rPr>
        <w:t xml:space="preserve">as restricciones a la libertad de expresión en Internet </w:t>
      </w:r>
      <w:r w:rsidRPr="008207E7">
        <w:rPr>
          <w:rFonts w:ascii="Cambria" w:hAnsi="Cambria"/>
          <w:sz w:val="20"/>
          <w:szCs w:val="20"/>
          <w:lang w:val="es-419"/>
        </w:rPr>
        <w:t xml:space="preserve">serán legítimas siempre y cuando cumplan </w:t>
      </w:r>
      <w:r w:rsidR="0056720D" w:rsidRPr="008207E7">
        <w:rPr>
          <w:rFonts w:ascii="Cambria" w:hAnsi="Cambria"/>
          <w:sz w:val="20"/>
          <w:szCs w:val="20"/>
          <w:lang w:val="es-419"/>
        </w:rPr>
        <w:t xml:space="preserve">con </w:t>
      </w:r>
      <w:r w:rsidR="0056720D" w:rsidRPr="008207E7">
        <w:rPr>
          <w:rFonts w:ascii="Cambria" w:hAnsi="Cambria"/>
          <w:sz w:val="20"/>
          <w:szCs w:val="20"/>
          <w:lang w:val="es-419"/>
        </w:rPr>
        <w:lastRenderedPageBreak/>
        <w:t>los estándares internacionales que disponen, entre otras cosas, que deberán estar previstas por la ley</w:t>
      </w:r>
      <w:r w:rsidRPr="008207E7">
        <w:rPr>
          <w:rFonts w:ascii="Cambria" w:hAnsi="Cambria"/>
          <w:sz w:val="20"/>
          <w:szCs w:val="20"/>
          <w:lang w:val="es-419"/>
        </w:rPr>
        <w:t>,</w:t>
      </w:r>
      <w:r w:rsidR="0056720D" w:rsidRPr="008207E7">
        <w:rPr>
          <w:rFonts w:ascii="Cambria" w:hAnsi="Cambria"/>
          <w:sz w:val="20"/>
          <w:szCs w:val="20"/>
          <w:lang w:val="es-419"/>
        </w:rPr>
        <w:t xml:space="preserve"> perseguir una finalidad legítima reconocida por el derecho internacional</w:t>
      </w:r>
      <w:r w:rsidRPr="008207E7">
        <w:rPr>
          <w:rFonts w:ascii="Cambria" w:hAnsi="Cambria"/>
          <w:sz w:val="20"/>
          <w:szCs w:val="20"/>
          <w:lang w:val="es-419"/>
        </w:rPr>
        <w:t>,</w:t>
      </w:r>
      <w:r w:rsidR="0056720D" w:rsidRPr="008207E7">
        <w:rPr>
          <w:rFonts w:ascii="Cambria" w:hAnsi="Cambria"/>
          <w:sz w:val="20"/>
          <w:szCs w:val="20"/>
          <w:lang w:val="es-419"/>
        </w:rPr>
        <w:t xml:space="preserve"> ser necesarias </w:t>
      </w:r>
      <w:r w:rsidRPr="008207E7">
        <w:rPr>
          <w:rFonts w:ascii="Cambria" w:hAnsi="Cambria"/>
          <w:sz w:val="20"/>
          <w:szCs w:val="20"/>
          <w:lang w:val="es-419"/>
        </w:rPr>
        <w:t xml:space="preserve">y proporcionales </w:t>
      </w:r>
      <w:r w:rsidR="0056720D" w:rsidRPr="008207E7">
        <w:rPr>
          <w:rFonts w:ascii="Cambria" w:hAnsi="Cambria"/>
          <w:sz w:val="20"/>
          <w:szCs w:val="20"/>
          <w:lang w:val="es-419"/>
        </w:rPr>
        <w:t>para alcanzar dicha finalidad (la prueba "tripartita")</w:t>
      </w:r>
      <w:r w:rsidR="0056720D" w:rsidRPr="00116A43">
        <w:rPr>
          <w:rFonts w:ascii="Cambria" w:hAnsi="Cambria"/>
          <w:sz w:val="20"/>
          <w:szCs w:val="20"/>
          <w:vertAlign w:val="superscript"/>
        </w:rPr>
        <w:footnoteReference w:id="255"/>
      </w:r>
      <w:r w:rsidRPr="008207E7">
        <w:rPr>
          <w:rFonts w:ascii="Cambria" w:hAnsi="Cambria" w:cs="Arial"/>
          <w:color w:val="777777"/>
          <w:sz w:val="20"/>
          <w:szCs w:val="20"/>
          <w:lang w:val="es-419"/>
        </w:rPr>
        <w:t xml:space="preserve">. </w:t>
      </w:r>
      <w:r w:rsidR="008207E7" w:rsidRPr="008207E7">
        <w:rPr>
          <w:rFonts w:ascii="Cambria" w:hAnsi="Cambria"/>
          <w:sz w:val="20"/>
          <w:szCs w:val="20"/>
          <w:lang w:val="es-ES_tradnl"/>
        </w:rPr>
        <w:t>Además de observar todos estos parámetros, las restricciones de contenidos deberán contar con salvaguardas para las y los usuarios, “como la transparencia respecto de los contenidos cuya remoción haya sido ordenada, así como información pormenorizada sobre su necesidad y justificación”</w:t>
      </w:r>
      <w:r w:rsidR="008207E7" w:rsidRPr="00916042">
        <w:rPr>
          <w:rStyle w:val="FootnoteReference"/>
          <w:rFonts w:ascii="Cambria" w:hAnsi="Cambria"/>
          <w:sz w:val="20"/>
          <w:szCs w:val="20"/>
          <w:lang w:val="es-ES_tradnl"/>
        </w:rPr>
        <w:footnoteReference w:id="256"/>
      </w:r>
      <w:r w:rsidR="008207E7" w:rsidRPr="008207E7">
        <w:rPr>
          <w:rFonts w:ascii="Cambria" w:hAnsi="Cambria"/>
          <w:sz w:val="20"/>
          <w:szCs w:val="20"/>
          <w:lang w:val="es-ES_tradnl"/>
        </w:rPr>
        <w:t>.</w:t>
      </w:r>
    </w:p>
    <w:p w14:paraId="195B09DD" w14:textId="6BF97D98" w:rsidR="0056720D" w:rsidRPr="008207E7" w:rsidRDefault="0056720D"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lang w:val="es-ES_tradnl"/>
        </w:rPr>
      </w:pPr>
    </w:p>
    <w:p w14:paraId="68D94B79" w14:textId="00186145" w:rsidR="00B55E40" w:rsidRPr="00116A43" w:rsidRDefault="005B722B"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bdr w:val="none" w:sz="0" w:space="0" w:color="auto"/>
        </w:rPr>
        <w:t xml:space="preserve">En este sentido, </w:t>
      </w:r>
      <w:r w:rsidR="000B467E" w:rsidRPr="00116A43">
        <w:rPr>
          <w:rFonts w:ascii="Cambria" w:hAnsi="Cambria"/>
          <w:sz w:val="20"/>
          <w:szCs w:val="20"/>
        </w:rPr>
        <w:t xml:space="preserve">en ningún caso se puede imponer una medida </w:t>
      </w:r>
      <w:r w:rsidR="000B467E" w:rsidRPr="00116A43">
        <w:rPr>
          <w:rFonts w:ascii="Cambria" w:hAnsi="Cambria"/>
          <w:i/>
          <w:iCs/>
          <w:sz w:val="20"/>
          <w:szCs w:val="20"/>
        </w:rPr>
        <w:t>ex-ante</w:t>
      </w:r>
      <w:r w:rsidR="000B467E" w:rsidRPr="00116A43">
        <w:rPr>
          <w:rFonts w:ascii="Cambria" w:hAnsi="Cambria"/>
          <w:sz w:val="20"/>
          <w:szCs w:val="20"/>
        </w:rPr>
        <w:t xml:space="preserve"> que impida la circulación de cualquier contenido que tenga presunción de cobertura. Los sistemas de filtrado de contenidos impuestos por gobiernos o proveedores de servicios comerciales que no sean controlados por el usuario final constituyen una forma de censura previa y no representan una restricción justificada a la libertad de expresión</w:t>
      </w:r>
      <w:r w:rsidR="00950FE2" w:rsidRPr="00116A43">
        <w:rPr>
          <w:rFonts w:ascii="Cambria" w:hAnsi="Cambria"/>
          <w:sz w:val="20"/>
          <w:szCs w:val="20"/>
        </w:rPr>
        <w:t xml:space="preserve"> de conformidad con los criterios antes citados</w:t>
      </w:r>
      <w:r w:rsidR="00950FE2" w:rsidRPr="00116A43">
        <w:rPr>
          <w:rStyle w:val="FootnoteReference"/>
          <w:rFonts w:ascii="Cambria" w:hAnsi="Cambria"/>
          <w:sz w:val="20"/>
          <w:szCs w:val="20"/>
        </w:rPr>
        <w:footnoteReference w:id="257"/>
      </w:r>
      <w:r w:rsidR="000B467E" w:rsidRPr="00116A43">
        <w:rPr>
          <w:rFonts w:ascii="Cambria" w:hAnsi="Cambria"/>
          <w:sz w:val="20"/>
          <w:szCs w:val="20"/>
        </w:rPr>
        <w:t xml:space="preserve">. </w:t>
      </w:r>
      <w:r w:rsidR="00C172FE" w:rsidRPr="00116A43">
        <w:rPr>
          <w:rFonts w:asciiTheme="majorHAnsi" w:hAnsiTheme="majorHAnsi"/>
          <w:sz w:val="20"/>
          <w:szCs w:val="20"/>
        </w:rPr>
        <w:t xml:space="preserve">Asimismo, la interferencia en la transmisión del tráfico de Internet solamente puede ser justificada cuando </w:t>
      </w:r>
      <w:r w:rsidR="00CE3369" w:rsidRPr="00116A43">
        <w:rPr>
          <w:rFonts w:asciiTheme="majorHAnsi" w:hAnsiTheme="majorHAnsi"/>
          <w:sz w:val="20"/>
          <w:szCs w:val="20"/>
        </w:rPr>
        <w:t xml:space="preserve">la </w:t>
      </w:r>
      <w:r w:rsidR="00C172FE" w:rsidRPr="00116A43">
        <w:rPr>
          <w:rFonts w:asciiTheme="majorHAnsi" w:hAnsiTheme="majorHAnsi"/>
          <w:sz w:val="20"/>
          <w:szCs w:val="20"/>
        </w:rPr>
        <w:t xml:space="preserve">medida </w:t>
      </w:r>
      <w:r w:rsidR="00447791" w:rsidRPr="00116A43">
        <w:rPr>
          <w:rFonts w:asciiTheme="majorHAnsi" w:hAnsiTheme="majorHAnsi"/>
          <w:sz w:val="20"/>
          <w:szCs w:val="20"/>
        </w:rPr>
        <w:t xml:space="preserve">sea </w:t>
      </w:r>
      <w:r w:rsidR="00C172FE" w:rsidRPr="00116A43">
        <w:rPr>
          <w:rFonts w:asciiTheme="majorHAnsi" w:hAnsiTheme="majorHAnsi"/>
          <w:sz w:val="20"/>
          <w:szCs w:val="20"/>
        </w:rPr>
        <w:t>“necesari</w:t>
      </w:r>
      <w:r w:rsidR="00447791" w:rsidRPr="00116A43">
        <w:rPr>
          <w:rFonts w:asciiTheme="majorHAnsi" w:hAnsiTheme="majorHAnsi"/>
          <w:sz w:val="20"/>
          <w:szCs w:val="20"/>
        </w:rPr>
        <w:t>a</w:t>
      </w:r>
      <w:r w:rsidR="00C172FE" w:rsidRPr="00116A43">
        <w:rPr>
          <w:rFonts w:asciiTheme="majorHAnsi" w:hAnsiTheme="majorHAnsi"/>
          <w:sz w:val="20"/>
          <w:szCs w:val="20"/>
        </w:rPr>
        <w:t xml:space="preserve"> y proporcional para preservar la integridad y seguridad de la red; para prevenir la transmisión de contenidos no deseados por expresa solicitud –libre y no incentivada– del usuario; y para gestionar temporal y excepcionalmente la congestión de la red. En este último caso, las medidas empleadas no deben discriminar entre tipos de aplicaciones o servicios”</w:t>
      </w:r>
      <w:r w:rsidR="00C172FE" w:rsidRPr="00116A43">
        <w:rPr>
          <w:rStyle w:val="FootnoteReference"/>
          <w:rFonts w:asciiTheme="majorHAnsi" w:hAnsiTheme="majorHAnsi"/>
          <w:sz w:val="20"/>
          <w:szCs w:val="20"/>
        </w:rPr>
        <w:footnoteReference w:id="258"/>
      </w:r>
      <w:r w:rsidR="00CE3369" w:rsidRPr="00116A43">
        <w:rPr>
          <w:rFonts w:asciiTheme="majorHAnsi" w:hAnsiTheme="majorHAnsi"/>
          <w:sz w:val="20"/>
          <w:szCs w:val="20"/>
        </w:rPr>
        <w:t>.</w:t>
      </w:r>
      <w:r w:rsidR="00447791" w:rsidRPr="00116A43">
        <w:rPr>
          <w:rFonts w:asciiTheme="majorHAnsi" w:hAnsiTheme="majorHAnsi"/>
          <w:sz w:val="20"/>
          <w:szCs w:val="20"/>
        </w:rPr>
        <w:t xml:space="preserve"> De igual manera, </w:t>
      </w:r>
      <w:r w:rsidR="00447791" w:rsidRPr="00116A43">
        <w:rPr>
          <w:rFonts w:ascii="Cambria" w:hAnsi="Cambria"/>
          <w:sz w:val="20"/>
          <w:szCs w:val="20"/>
        </w:rPr>
        <w:t>“[e]n casos excepcionales, cuando se está frente a contenidos abiertamente ilícitos o a discursos no resguardados por el derecho a la libertad de expresión (como la propaganda de guerra y la apología del odio que constituya incitación a la violencia, la incitación directa y pública al genocidio, y la pornografía infantil) resulta admisible la adopción de medidas obligatorias de bloqueo y filtrado de contenidos específicos. En estos casos, la medida debe someterse a un estricto juicio de proporcionalidad y estar cuidadosamente diseñada y claramente limitada de forma tal que no alcance a discursos legítimos que merecen protección”</w:t>
      </w:r>
      <w:r w:rsidR="00447791" w:rsidRPr="00116A43">
        <w:rPr>
          <w:rStyle w:val="FootnoteReference"/>
          <w:rFonts w:ascii="Cambria" w:hAnsi="Cambria"/>
          <w:sz w:val="20"/>
          <w:szCs w:val="20"/>
        </w:rPr>
        <w:footnoteReference w:id="259"/>
      </w:r>
      <w:r w:rsidR="00447791" w:rsidRPr="00116A43">
        <w:rPr>
          <w:rFonts w:ascii="Cambria" w:hAnsi="Cambria"/>
          <w:sz w:val="20"/>
          <w:szCs w:val="20"/>
        </w:rPr>
        <w:t>.</w:t>
      </w:r>
    </w:p>
    <w:p w14:paraId="257D14AB" w14:textId="77777777" w:rsidR="00447791" w:rsidRPr="00116A43" w:rsidRDefault="00447791"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71E6A14A" w14:textId="425851CF" w:rsidR="00CE3369" w:rsidRPr="00116A43" w:rsidRDefault="00B55E4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bdr w:val="none" w:sz="0" w:space="0" w:color="auto"/>
          <w:lang w:val="es-AR"/>
        </w:rPr>
      </w:pPr>
      <w:r w:rsidRPr="00116A43">
        <w:rPr>
          <w:rFonts w:ascii="Cambria" w:hAnsi="Cambria"/>
          <w:sz w:val="20"/>
          <w:szCs w:val="20"/>
          <w:lang w:val="es-PE"/>
        </w:rPr>
        <w:t>El bloqueo o suspensión obligatoria de sitios web enteros o generalizados, plataformas, conductos, direcciones IP, extensiones de nombres de dominio, puertos, protocolos de red o cualquier tipo de aplicación, así como medidas encaminadas a eliminar enlaces (links), datos y sitios web del servidor en los que están alojados, constituyen una restricción que solo será excepcionalmente admisible en los estrictos términos establecidos anteriormente</w:t>
      </w:r>
      <w:r w:rsidR="00447791" w:rsidRPr="00116A43">
        <w:rPr>
          <w:rFonts w:ascii="Cambria" w:hAnsi="Cambria"/>
          <w:sz w:val="20"/>
          <w:szCs w:val="20"/>
          <w:lang w:val="es-PE"/>
        </w:rPr>
        <w:t xml:space="preserve">, </w:t>
      </w:r>
      <w:r w:rsidR="00447791" w:rsidRPr="00116A43">
        <w:rPr>
          <w:rFonts w:ascii="Cambria" w:hAnsi="Cambria"/>
          <w:sz w:val="20"/>
          <w:szCs w:val="20"/>
        </w:rPr>
        <w:t xml:space="preserve"> y con base en el respeto de garantías mínimas de debido proceso”</w:t>
      </w:r>
      <w:r w:rsidR="00987B7C" w:rsidRPr="00116A43">
        <w:rPr>
          <w:rStyle w:val="FootnoteReference"/>
          <w:rFonts w:ascii="Cambria" w:hAnsi="Cambria"/>
          <w:sz w:val="20"/>
          <w:szCs w:val="20"/>
          <w:lang w:val="es-PE"/>
        </w:rPr>
        <w:footnoteReference w:id="260"/>
      </w:r>
      <w:r w:rsidRPr="00116A43">
        <w:rPr>
          <w:rFonts w:ascii="Cambria" w:hAnsi="Cambria"/>
          <w:sz w:val="20"/>
          <w:szCs w:val="20"/>
          <w:lang w:val="es-PE"/>
        </w:rPr>
        <w:t>.</w:t>
      </w:r>
      <w:r w:rsidR="00B92BE6" w:rsidRPr="00116A43">
        <w:rPr>
          <w:rFonts w:ascii="Cambria" w:hAnsi="Cambria"/>
          <w:sz w:val="20"/>
          <w:szCs w:val="20"/>
          <w:lang w:val="es-PE"/>
        </w:rPr>
        <w:t xml:space="preserve"> Si esta no estuviera justificada constituiría una medida extrema, análoga a la prohibición de un periódico o una emisora de radio y televisión</w:t>
      </w:r>
      <w:r w:rsidR="00B92BE6" w:rsidRPr="00116A43">
        <w:rPr>
          <w:rStyle w:val="FootnoteReference"/>
          <w:rFonts w:ascii="Cambria" w:hAnsi="Cambria"/>
          <w:sz w:val="20"/>
          <w:szCs w:val="20"/>
          <w:lang w:val="es-PE"/>
        </w:rPr>
        <w:footnoteReference w:id="261"/>
      </w:r>
      <w:r w:rsidR="00B92BE6" w:rsidRPr="00116A43">
        <w:rPr>
          <w:rFonts w:ascii="Cambria" w:hAnsi="Cambria"/>
          <w:sz w:val="20"/>
          <w:szCs w:val="20"/>
          <w:lang w:val="es-PE"/>
        </w:rPr>
        <w:t>.</w:t>
      </w:r>
    </w:p>
    <w:p w14:paraId="4B7B94D3" w14:textId="77777777" w:rsidR="00EB7A4F" w:rsidRPr="00116A43" w:rsidRDefault="00EB7A4F"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bdr w:val="none" w:sz="0" w:space="0" w:color="auto"/>
          <w:lang w:val="es-AR"/>
        </w:rPr>
      </w:pPr>
    </w:p>
    <w:p w14:paraId="6D11E3F6" w14:textId="6CB6871F" w:rsidR="00BE0757" w:rsidRDefault="00447791" w:rsidP="00375047">
      <w:pPr>
        <w:pStyle w:val="Body"/>
        <w:numPr>
          <w:ilvl w:val="0"/>
          <w:numId w:val="55"/>
        </w:numPr>
        <w:ind w:firstLine="0"/>
        <w:jc w:val="both"/>
        <w:rPr>
          <w:rFonts w:ascii="Cambria" w:eastAsia="Cambria" w:hAnsi="Cambria" w:cs="Cambria"/>
          <w:sz w:val="20"/>
          <w:szCs w:val="20"/>
          <w:lang w:val="es-ES_tradnl"/>
        </w:rPr>
      </w:pPr>
      <w:r w:rsidRPr="000166A1">
        <w:rPr>
          <w:rStyle w:val="None"/>
          <w:rFonts w:ascii="Cambria" w:eastAsia="Cambria" w:hAnsi="Cambria" w:cs="Cambria"/>
          <w:sz w:val="20"/>
          <w:szCs w:val="20"/>
          <w:lang w:val="es-AR"/>
        </w:rPr>
        <w:t>E</w:t>
      </w:r>
      <w:r w:rsidR="00CE3369" w:rsidRPr="000166A1">
        <w:rPr>
          <w:rStyle w:val="None"/>
          <w:rFonts w:ascii="Cambria" w:eastAsia="Cambria" w:hAnsi="Cambria" w:cs="Cambria"/>
          <w:sz w:val="20"/>
          <w:szCs w:val="20"/>
          <w:lang w:val="es-ES_tradnl"/>
        </w:rPr>
        <w:t xml:space="preserve">l monopolio </w:t>
      </w:r>
      <w:r w:rsidR="00052BE8" w:rsidRPr="00BA6ADA">
        <w:rPr>
          <w:rStyle w:val="None"/>
          <w:rFonts w:ascii="Cambria" w:eastAsia="Cambria" w:hAnsi="Cambria" w:cs="Cambria"/>
          <w:sz w:val="20"/>
          <w:szCs w:val="20"/>
          <w:lang w:val="es-ES_tradnl"/>
        </w:rPr>
        <w:t>o</w:t>
      </w:r>
      <w:r w:rsidR="00CE3369" w:rsidRPr="000166A1">
        <w:rPr>
          <w:rStyle w:val="None"/>
          <w:rFonts w:ascii="Cambria" w:eastAsia="Cambria" w:hAnsi="Cambria" w:cs="Cambria"/>
          <w:sz w:val="20"/>
          <w:szCs w:val="20"/>
          <w:lang w:val="es-ES_tradnl"/>
        </w:rPr>
        <w:t xml:space="preserve"> control estatal de</w:t>
      </w:r>
      <w:r w:rsidR="00BE0757" w:rsidRPr="00BA6ADA">
        <w:rPr>
          <w:rStyle w:val="None"/>
          <w:rFonts w:ascii="Cambria" w:eastAsia="Cambria" w:hAnsi="Cambria" w:cs="Cambria"/>
          <w:sz w:val="20"/>
          <w:szCs w:val="20"/>
          <w:lang w:val="es-ES_tradnl"/>
        </w:rPr>
        <w:t>l</w:t>
      </w:r>
      <w:r w:rsidR="00CE3369" w:rsidRPr="000166A1">
        <w:rPr>
          <w:rStyle w:val="None"/>
          <w:rFonts w:ascii="Cambria" w:eastAsia="Cambria" w:hAnsi="Cambria" w:cs="Cambria"/>
          <w:sz w:val="20"/>
          <w:szCs w:val="20"/>
          <w:lang w:val="es-ES_tradnl"/>
        </w:rPr>
        <w:t xml:space="preserve"> servicio de acceso a internet representa un riesgo adicional para la li</w:t>
      </w:r>
      <w:r w:rsidR="00CE3369" w:rsidRPr="003858B1">
        <w:rPr>
          <w:rStyle w:val="None"/>
          <w:rFonts w:ascii="Cambria" w:eastAsia="Cambria" w:hAnsi="Cambria" w:cs="Cambria"/>
          <w:sz w:val="20"/>
          <w:szCs w:val="20"/>
          <w:lang w:val="es-ES_tradnl"/>
        </w:rPr>
        <w:t xml:space="preserve">bertad de </w:t>
      </w:r>
      <w:r w:rsidR="00CE3369" w:rsidRPr="00BA6ADA">
        <w:rPr>
          <w:rStyle w:val="None"/>
          <w:rFonts w:ascii="Cambria" w:eastAsia="Cambria" w:hAnsi="Cambria" w:cs="Cambria"/>
          <w:sz w:val="20"/>
          <w:szCs w:val="20"/>
          <w:lang w:val="es-ES_tradnl"/>
        </w:rPr>
        <w:t>expresión, ya que los</w:t>
      </w:r>
      <w:r w:rsidR="00CE3369" w:rsidRPr="00BA6ADA">
        <w:rPr>
          <w:rStyle w:val="None"/>
          <w:rFonts w:ascii="Cambria" w:eastAsia="Cambria" w:hAnsi="Cambria" w:cs="Cambria"/>
          <w:sz w:val="20"/>
          <w:szCs w:val="20"/>
          <w:lang w:val="es-US"/>
        </w:rPr>
        <w:t xml:space="preserve"> par</w:t>
      </w:r>
      <w:r w:rsidR="00CE3369" w:rsidRPr="00BA6ADA">
        <w:rPr>
          <w:rStyle w:val="None"/>
          <w:rFonts w:ascii="Cambria" w:eastAsia="Cambria" w:hAnsi="Cambria" w:cs="Cambria"/>
          <w:sz w:val="20"/>
          <w:szCs w:val="20"/>
          <w:lang w:val="es-ES_tradnl"/>
        </w:rPr>
        <w:t>á</w:t>
      </w:r>
      <w:r w:rsidR="00CE3369" w:rsidRPr="00BA6ADA">
        <w:rPr>
          <w:rStyle w:val="None"/>
          <w:rFonts w:ascii="Cambria" w:eastAsia="Cambria" w:hAnsi="Cambria" w:cs="Cambria"/>
          <w:sz w:val="20"/>
          <w:szCs w:val="20"/>
          <w:lang w:val="es-US"/>
        </w:rPr>
        <w:t xml:space="preserve">metros </w:t>
      </w:r>
      <w:r w:rsidR="00CE3369" w:rsidRPr="00BA6ADA">
        <w:rPr>
          <w:rStyle w:val="None"/>
          <w:rFonts w:ascii="Cambria" w:eastAsia="Cambria" w:hAnsi="Cambria" w:cs="Cambria"/>
          <w:sz w:val="20"/>
          <w:szCs w:val="20"/>
          <w:lang w:val="es-ES_tradnl"/>
        </w:rPr>
        <w:t>de conectividad y neutralidad de la red pueden</w:t>
      </w:r>
      <w:r w:rsidR="00B92BE6" w:rsidRPr="00BA6ADA">
        <w:rPr>
          <w:rStyle w:val="None"/>
          <w:rFonts w:ascii="Cambria" w:eastAsia="Cambria" w:hAnsi="Cambria" w:cs="Cambria"/>
          <w:sz w:val="20"/>
          <w:szCs w:val="20"/>
          <w:lang w:val="es-ES_tradnl"/>
        </w:rPr>
        <w:t xml:space="preserve"> ser vulnerados con facilidad. </w:t>
      </w:r>
      <w:r w:rsidR="001F32F8" w:rsidRPr="00BA6ADA">
        <w:rPr>
          <w:rStyle w:val="None"/>
          <w:rFonts w:ascii="Cambria" w:eastAsia="Cambria" w:hAnsi="Cambria" w:cs="Cambria"/>
          <w:sz w:val="20"/>
          <w:szCs w:val="20"/>
          <w:lang w:val="es-ES_tradnl"/>
        </w:rPr>
        <w:t>El contr</w:t>
      </w:r>
      <w:r w:rsidR="009D5A93" w:rsidRPr="00BA6ADA">
        <w:rPr>
          <w:rStyle w:val="None"/>
          <w:rFonts w:ascii="Cambria" w:eastAsia="Cambria" w:hAnsi="Cambria" w:cs="Cambria"/>
          <w:sz w:val="20"/>
          <w:szCs w:val="20"/>
          <w:lang w:val="es-ES_tradnl"/>
        </w:rPr>
        <w:t xml:space="preserve">ol absoluto de Internet </w:t>
      </w:r>
      <w:r w:rsidR="001F32F8" w:rsidRPr="00BA6ADA">
        <w:rPr>
          <w:rStyle w:val="None"/>
          <w:rFonts w:ascii="Cambria" w:eastAsia="Cambria" w:hAnsi="Cambria" w:cs="Cambria"/>
          <w:sz w:val="20"/>
          <w:szCs w:val="20"/>
          <w:lang w:val="es-ES_tradnl"/>
        </w:rPr>
        <w:t>por parte del gobierno</w:t>
      </w:r>
      <w:r w:rsidR="009D5A93" w:rsidRPr="00BA6ADA">
        <w:rPr>
          <w:rStyle w:val="None"/>
          <w:rFonts w:ascii="Cambria" w:eastAsia="Cambria" w:hAnsi="Cambria" w:cs="Cambria"/>
          <w:sz w:val="20"/>
          <w:szCs w:val="20"/>
          <w:lang w:val="es-ES_tradnl"/>
        </w:rPr>
        <w:t xml:space="preserve"> puede impedir que se asegure la diversidad de prestadores de servicios</w:t>
      </w:r>
      <w:r w:rsidR="00E55EEC" w:rsidRPr="00BA6ADA">
        <w:rPr>
          <w:rStyle w:val="None"/>
          <w:rFonts w:ascii="Cambria" w:eastAsia="Cambria" w:hAnsi="Cambria" w:cs="Cambria"/>
          <w:sz w:val="20"/>
          <w:szCs w:val="20"/>
          <w:lang w:val="es-ES_tradnl"/>
        </w:rPr>
        <w:t xml:space="preserve"> de internet y que este servicio se concentre en el poder del Estado, lo cual</w:t>
      </w:r>
      <w:r w:rsidR="009C4E3F" w:rsidRPr="00BA6ADA">
        <w:rPr>
          <w:rStyle w:val="None"/>
          <w:rFonts w:ascii="Cambria" w:eastAsia="Cambria" w:hAnsi="Cambria" w:cs="Cambria"/>
          <w:sz w:val="20"/>
          <w:szCs w:val="20"/>
          <w:lang w:val="es-ES_tradnl"/>
        </w:rPr>
        <w:t xml:space="preserve"> puede</w:t>
      </w:r>
      <w:r w:rsidR="00584C15" w:rsidRPr="00BA6ADA">
        <w:rPr>
          <w:rStyle w:val="None"/>
          <w:rFonts w:ascii="Cambria" w:eastAsia="Cambria" w:hAnsi="Cambria" w:cs="Cambria"/>
          <w:sz w:val="20"/>
          <w:szCs w:val="20"/>
          <w:lang w:val="es-ES_tradnl"/>
        </w:rPr>
        <w:t xml:space="preserve"> genera</w:t>
      </w:r>
      <w:r w:rsidR="009C4E3F" w:rsidRPr="00BA6ADA">
        <w:rPr>
          <w:rStyle w:val="None"/>
          <w:rFonts w:ascii="Cambria" w:eastAsia="Cambria" w:hAnsi="Cambria" w:cs="Cambria"/>
          <w:sz w:val="20"/>
          <w:szCs w:val="20"/>
          <w:lang w:val="es-ES_tradnl"/>
        </w:rPr>
        <w:t>r</w:t>
      </w:r>
      <w:r w:rsidR="00BE0757" w:rsidRPr="00BA6ADA">
        <w:rPr>
          <w:rStyle w:val="None"/>
          <w:rFonts w:ascii="Cambria" w:eastAsia="Cambria" w:hAnsi="Cambria" w:cs="Cambria"/>
          <w:sz w:val="20"/>
          <w:szCs w:val="20"/>
          <w:lang w:val="es-ES_tradnl"/>
        </w:rPr>
        <w:t xml:space="preserve"> serios obstáculos </w:t>
      </w:r>
      <w:r w:rsidR="00584C15" w:rsidRPr="00BA6ADA">
        <w:rPr>
          <w:rStyle w:val="None"/>
          <w:rFonts w:ascii="Cambria" w:eastAsia="Cambria" w:hAnsi="Cambria" w:cs="Cambria"/>
          <w:sz w:val="20"/>
          <w:szCs w:val="20"/>
          <w:lang w:val="es-ES_tradnl"/>
        </w:rPr>
        <w:t>en el acceso a la red y en la pluralidad y diversidad de contenidos, en las estructuras de precios</w:t>
      </w:r>
      <w:r w:rsidR="00BE0757" w:rsidRPr="00BA6ADA">
        <w:rPr>
          <w:rStyle w:val="None"/>
          <w:rFonts w:ascii="Cambria" w:eastAsia="Cambria" w:hAnsi="Cambria" w:cs="Cambria"/>
          <w:sz w:val="20"/>
          <w:szCs w:val="20"/>
          <w:lang w:val="es-ES_tradnl"/>
        </w:rPr>
        <w:t xml:space="preserve"> y </w:t>
      </w:r>
      <w:r w:rsidR="00BE0757" w:rsidRPr="00BA6ADA">
        <w:rPr>
          <w:rFonts w:ascii="Cambria" w:eastAsia="Cambria" w:hAnsi="Cambria" w:cs="Cambria"/>
          <w:sz w:val="20"/>
          <w:szCs w:val="20"/>
          <w:lang w:val="es-ES_tradnl"/>
        </w:rPr>
        <w:t>la capacidad financiera de las personas para costearlos</w:t>
      </w:r>
      <w:r w:rsidR="00584C15" w:rsidRPr="00BA6ADA">
        <w:rPr>
          <w:rStyle w:val="None"/>
          <w:rFonts w:ascii="Cambria" w:eastAsia="Cambria" w:hAnsi="Cambria" w:cs="Cambria"/>
          <w:sz w:val="20"/>
          <w:szCs w:val="20"/>
          <w:lang w:val="es-ES_tradnl"/>
        </w:rPr>
        <w:t xml:space="preserve">, </w:t>
      </w:r>
      <w:r w:rsidR="009C4E3F" w:rsidRPr="00BA6ADA">
        <w:rPr>
          <w:rStyle w:val="None"/>
          <w:rFonts w:ascii="Cambria" w:eastAsia="Cambria" w:hAnsi="Cambria" w:cs="Cambria"/>
          <w:sz w:val="20"/>
          <w:szCs w:val="20"/>
          <w:lang w:val="es-ES_tradnl"/>
        </w:rPr>
        <w:t>la calidad y velocidad de la conexión, y la calidad del flujo informativo</w:t>
      </w:r>
      <w:r w:rsidR="00584C15" w:rsidRPr="00BA6ADA">
        <w:rPr>
          <w:rStyle w:val="None"/>
          <w:rFonts w:ascii="Cambria" w:eastAsia="Cambria" w:hAnsi="Cambria" w:cs="Cambria"/>
          <w:sz w:val="20"/>
          <w:szCs w:val="20"/>
          <w:lang w:val="es-ES_tradnl"/>
        </w:rPr>
        <w:t>.</w:t>
      </w:r>
      <w:r w:rsidR="009D5A93" w:rsidRPr="00BA6ADA">
        <w:rPr>
          <w:rStyle w:val="None"/>
          <w:rFonts w:ascii="Cambria" w:eastAsia="Cambria" w:hAnsi="Cambria" w:cs="Cambria"/>
          <w:sz w:val="20"/>
          <w:szCs w:val="20"/>
          <w:lang w:val="es-ES_tradnl"/>
        </w:rPr>
        <w:t xml:space="preserve"> </w:t>
      </w:r>
      <w:r w:rsidR="00CE3369" w:rsidRPr="00BA6ADA">
        <w:rPr>
          <w:rStyle w:val="None"/>
          <w:rFonts w:ascii="Cambria" w:eastAsia="Cambria" w:hAnsi="Cambria" w:cs="Cambria"/>
          <w:sz w:val="20"/>
          <w:szCs w:val="20"/>
          <w:lang w:val="es-ES_tradnl"/>
        </w:rPr>
        <w:t xml:space="preserve">El monopolio de la red en la </w:t>
      </w:r>
      <w:r w:rsidR="00CE3369" w:rsidRPr="00BA6ADA">
        <w:rPr>
          <w:rFonts w:ascii="Cambria" w:eastAsia="Cambria" w:hAnsi="Cambria" w:cs="Cambria"/>
          <w:sz w:val="20"/>
          <w:szCs w:val="20"/>
          <w:lang w:val="es-ES_tradnl"/>
        </w:rPr>
        <w:t>figura del Estado puede propiciar</w:t>
      </w:r>
      <w:r w:rsidR="00CE3369" w:rsidRPr="00BA6ADA">
        <w:rPr>
          <w:rFonts w:ascii="Cambria" w:eastAsia="Cambria" w:hAnsi="Cambria" w:cs="Cambria"/>
          <w:sz w:val="20"/>
          <w:szCs w:val="20"/>
          <w:lang w:val="es-PE"/>
        </w:rPr>
        <w:t xml:space="preserve"> </w:t>
      </w:r>
      <w:r w:rsidR="00CE3369" w:rsidRPr="00BA6ADA">
        <w:rPr>
          <w:rFonts w:ascii="Cambria" w:eastAsia="Cambria" w:hAnsi="Cambria" w:cs="Cambria"/>
          <w:sz w:val="20"/>
          <w:szCs w:val="20"/>
          <w:lang w:val="es-ES_tradnl"/>
        </w:rPr>
        <w:t xml:space="preserve">bloqueos y filtros de contenidos de interés público para la ciudadanía, principalmente el contenido </w:t>
      </w:r>
      <w:proofErr w:type="spellStart"/>
      <w:r w:rsidR="00CE3369" w:rsidRPr="00BA6ADA">
        <w:rPr>
          <w:rFonts w:ascii="Cambria" w:eastAsia="Cambria" w:hAnsi="Cambria" w:cs="Cambria"/>
          <w:sz w:val="20"/>
          <w:szCs w:val="20"/>
          <w:lang w:val="es-ES_tradnl"/>
        </w:rPr>
        <w:t>cr</w:t>
      </w:r>
      <w:proofErr w:type="spellEnd"/>
      <w:r w:rsidR="00CE3369" w:rsidRPr="00BA6ADA">
        <w:rPr>
          <w:rFonts w:ascii="Cambria" w:eastAsia="Cambria" w:hAnsi="Cambria" w:cs="Cambria"/>
          <w:sz w:val="20"/>
          <w:szCs w:val="20"/>
          <w:lang w:val="es-PE"/>
        </w:rPr>
        <w:t>í</w:t>
      </w:r>
      <w:r w:rsidR="00CE3369" w:rsidRPr="00BA6ADA">
        <w:rPr>
          <w:rFonts w:ascii="Cambria" w:eastAsia="Cambria" w:hAnsi="Cambria" w:cs="Cambria"/>
          <w:sz w:val="20"/>
          <w:szCs w:val="20"/>
          <w:lang w:val="it-IT"/>
        </w:rPr>
        <w:t>tico</w:t>
      </w:r>
      <w:r w:rsidR="00CE3369" w:rsidRPr="00BA6ADA">
        <w:rPr>
          <w:rFonts w:ascii="Cambria" w:eastAsia="Cambria" w:hAnsi="Cambria" w:cs="Cambria"/>
          <w:sz w:val="20"/>
          <w:szCs w:val="20"/>
          <w:lang w:val="es-ES_tradnl"/>
        </w:rPr>
        <w:t xml:space="preserve"> al Estado</w:t>
      </w:r>
      <w:r w:rsidR="00CE3369" w:rsidRPr="00BA6ADA">
        <w:rPr>
          <w:rFonts w:ascii="Cambria" w:eastAsia="Cambria" w:hAnsi="Cambria" w:cs="Cambria"/>
          <w:sz w:val="20"/>
          <w:szCs w:val="20"/>
          <w:lang w:val="es-PE"/>
        </w:rPr>
        <w:t xml:space="preserve">, </w:t>
      </w:r>
      <w:r w:rsidR="00CE3369" w:rsidRPr="00BA6ADA">
        <w:rPr>
          <w:rFonts w:ascii="Cambria" w:eastAsia="Cambria" w:hAnsi="Cambria" w:cs="Cambria"/>
          <w:sz w:val="20"/>
          <w:szCs w:val="20"/>
          <w:lang w:val="es-ES_tradnl"/>
        </w:rPr>
        <w:t>vulnerando de esta forma el derecho a la libertad de expresión en sus dos dimensiones</w:t>
      </w:r>
      <w:r w:rsidR="00CE3369" w:rsidRPr="00BA6ADA">
        <w:rPr>
          <w:rFonts w:ascii="Cambria" w:eastAsia="Cambria" w:hAnsi="Cambria" w:cs="Cambria"/>
          <w:sz w:val="20"/>
          <w:szCs w:val="20"/>
          <w:lang w:val="es-PE"/>
        </w:rPr>
        <w:t xml:space="preserve">. </w:t>
      </w:r>
      <w:r w:rsidR="00BE0757" w:rsidRPr="00BA6ADA">
        <w:rPr>
          <w:rStyle w:val="None"/>
          <w:rFonts w:ascii="Cambria" w:eastAsia="Cambria" w:hAnsi="Cambria" w:cs="Cambria"/>
          <w:sz w:val="20"/>
          <w:szCs w:val="20"/>
          <w:lang w:val="es-ES_tradnl"/>
        </w:rPr>
        <w:t>De conformidad con e</w:t>
      </w:r>
      <w:r w:rsidR="00E55EEC" w:rsidRPr="00BA6ADA">
        <w:rPr>
          <w:rStyle w:val="None"/>
          <w:rFonts w:ascii="Cambria" w:eastAsia="Cambria" w:hAnsi="Cambria" w:cs="Cambria"/>
          <w:sz w:val="20"/>
          <w:szCs w:val="20"/>
          <w:lang w:val="es-ES_tradnl"/>
        </w:rPr>
        <w:t xml:space="preserve">l artículo IV de la Declaración Americana, </w:t>
      </w:r>
      <w:r w:rsidR="00BE0757" w:rsidRPr="00BA6ADA">
        <w:rPr>
          <w:rStyle w:val="None"/>
          <w:rFonts w:ascii="Cambria" w:eastAsia="Cambria" w:hAnsi="Cambria" w:cs="Cambria"/>
          <w:sz w:val="20"/>
          <w:szCs w:val="20"/>
          <w:lang w:val="es-ES_tradnl"/>
        </w:rPr>
        <w:t xml:space="preserve">los Estados tienen la obligación </w:t>
      </w:r>
      <w:r w:rsidR="00E55EEC" w:rsidRPr="00BA6ADA">
        <w:rPr>
          <w:rStyle w:val="None"/>
          <w:rFonts w:ascii="Cambria" w:eastAsia="Cambria" w:hAnsi="Cambria" w:cs="Cambria"/>
          <w:sz w:val="20"/>
          <w:szCs w:val="20"/>
          <w:lang w:val="es-ES_tradnl"/>
        </w:rPr>
        <w:t>de garantizar que toda persona ejerza su derecho a la libertad de expresión “por cualquier medio”</w:t>
      </w:r>
      <w:r w:rsidR="00BE0757" w:rsidRPr="00BA6ADA">
        <w:rPr>
          <w:rStyle w:val="None"/>
          <w:rFonts w:ascii="Cambria" w:eastAsia="Cambria" w:hAnsi="Cambria" w:cs="Cambria"/>
          <w:sz w:val="20"/>
          <w:szCs w:val="20"/>
          <w:lang w:val="es-ES_tradnl"/>
        </w:rPr>
        <w:t xml:space="preserve"> </w:t>
      </w:r>
      <w:r w:rsidR="00E55EEC" w:rsidRPr="00BA6ADA">
        <w:rPr>
          <w:rStyle w:val="None"/>
          <w:rFonts w:ascii="Cambria" w:eastAsia="Cambria" w:hAnsi="Cambria" w:cs="Cambria"/>
          <w:sz w:val="20"/>
          <w:szCs w:val="20"/>
          <w:lang w:val="es-ES_tradnl"/>
        </w:rPr>
        <w:t>de su elección.</w:t>
      </w:r>
      <w:r w:rsidR="00BE0757" w:rsidRPr="00BA6ADA">
        <w:rPr>
          <w:rStyle w:val="None"/>
          <w:rFonts w:ascii="Cambria" w:eastAsia="Cambria" w:hAnsi="Cambria" w:cs="Cambria"/>
          <w:sz w:val="20"/>
          <w:szCs w:val="20"/>
          <w:lang w:val="es-ES_tradnl"/>
        </w:rPr>
        <w:t xml:space="preserve"> El </w:t>
      </w:r>
      <w:r w:rsidR="00BE0757" w:rsidRPr="00BA6ADA">
        <w:rPr>
          <w:rFonts w:ascii="Cambria" w:eastAsia="Cambria" w:hAnsi="Cambria" w:cs="Cambria"/>
          <w:sz w:val="20"/>
          <w:szCs w:val="20"/>
          <w:lang w:val="es-ES_tradnl"/>
        </w:rPr>
        <w:t xml:space="preserve">derecho a elegir el medio implica la libertad de escoger a la tecnología como vía de expresión, para lo cual se requiere que los Estados fomenten la competencia y el desarrollo de un mercado que pueda ofrecer a las personas opciones con respecto a las </w:t>
      </w:r>
      <w:r w:rsidR="00BE0757" w:rsidRPr="00BA6ADA">
        <w:rPr>
          <w:rFonts w:ascii="Cambria" w:eastAsia="Cambria" w:hAnsi="Cambria" w:cs="Cambria"/>
          <w:sz w:val="20"/>
          <w:szCs w:val="20"/>
          <w:lang w:val="es-ES_tradnl"/>
        </w:rPr>
        <w:lastRenderedPageBreak/>
        <w:t xml:space="preserve">tecnologías de conexión. Sin opciones para elegir, el derecho a expresarse “por cualquier medio” no tendría sentido. </w:t>
      </w:r>
    </w:p>
    <w:p w14:paraId="316AB21D" w14:textId="77777777" w:rsidR="00045AAA" w:rsidRPr="00BA6ADA" w:rsidRDefault="00045AAA" w:rsidP="00045AAA">
      <w:pPr>
        <w:pStyle w:val="Body"/>
        <w:jc w:val="both"/>
        <w:rPr>
          <w:rFonts w:ascii="Cambria" w:eastAsia="Cambria" w:hAnsi="Cambria" w:cs="Cambria"/>
          <w:sz w:val="20"/>
          <w:szCs w:val="20"/>
          <w:lang w:val="es-ES_tradnl"/>
        </w:rPr>
      </w:pPr>
    </w:p>
    <w:p w14:paraId="43BCDE17" w14:textId="47C74A7A" w:rsidR="00626897" w:rsidRPr="00BA6ADA" w:rsidRDefault="00C0204A" w:rsidP="00460990">
      <w:pPr>
        <w:pStyle w:val="Heading3"/>
        <w:numPr>
          <w:ilvl w:val="0"/>
          <w:numId w:val="58"/>
        </w:numPr>
        <w:ind w:left="720" w:hanging="720"/>
      </w:pPr>
      <w:bookmarkStart w:id="37" w:name="_Toc89157580"/>
      <w:r w:rsidRPr="00BA6ADA">
        <w:t>Sobre la p</w:t>
      </w:r>
      <w:r w:rsidR="007565D7" w:rsidRPr="00BA6ADA">
        <w:t xml:space="preserve">articipación </w:t>
      </w:r>
      <w:r w:rsidR="003812E1" w:rsidRPr="00BA6ADA">
        <w:t>en el gobierno</w:t>
      </w:r>
      <w:bookmarkEnd w:id="37"/>
    </w:p>
    <w:p w14:paraId="0A6E9499" w14:textId="77777777" w:rsidR="00061170" w:rsidRPr="00BA6ADA" w:rsidRDefault="00061170" w:rsidP="005F7FE2">
      <w:pPr>
        <w:pStyle w:val="ListParagraph"/>
        <w:rPr>
          <w:sz w:val="20"/>
          <w:szCs w:val="20"/>
          <w:shd w:val="clear" w:color="auto" w:fill="FFFFFF"/>
          <w:lang w:val="es-CO"/>
        </w:rPr>
      </w:pPr>
    </w:p>
    <w:p w14:paraId="06DB2F8D" w14:textId="28EB5D93" w:rsidR="00293FF4" w:rsidRPr="00BA6ADA" w:rsidRDefault="00061170"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shd w:val="clear" w:color="auto" w:fill="FFFFFF"/>
          <w:lang w:val="es-PE"/>
        </w:rPr>
      </w:pPr>
      <w:r w:rsidRPr="00BA6ADA">
        <w:rPr>
          <w:rFonts w:ascii="Cambria" w:hAnsi="Cambria"/>
          <w:color w:val="000000"/>
          <w:sz w:val="20"/>
          <w:szCs w:val="20"/>
          <w:shd w:val="clear" w:color="auto" w:fill="FFFFFF"/>
        </w:rPr>
        <w:t xml:space="preserve">La </w:t>
      </w:r>
      <w:r w:rsidR="00B75162" w:rsidRPr="00BA6ADA">
        <w:rPr>
          <w:rFonts w:ascii="Cambria" w:hAnsi="Cambria"/>
          <w:color w:val="000000"/>
          <w:sz w:val="20"/>
          <w:szCs w:val="20"/>
          <w:shd w:val="clear" w:color="auto" w:fill="FFFFFF"/>
        </w:rPr>
        <w:t>jurisprudencia</w:t>
      </w:r>
      <w:r w:rsidRPr="00BA6ADA">
        <w:rPr>
          <w:rFonts w:ascii="Cambria" w:hAnsi="Cambria"/>
          <w:color w:val="000000"/>
          <w:sz w:val="20"/>
          <w:szCs w:val="20"/>
          <w:shd w:val="clear" w:color="auto" w:fill="FFFFFF"/>
        </w:rPr>
        <w:t xml:space="preserve"> interamericana ha apuntado que la </w:t>
      </w:r>
      <w:r w:rsidRPr="00BA6ADA">
        <w:rPr>
          <w:rFonts w:ascii="Cambria" w:hAnsi="Cambria"/>
          <w:sz w:val="20"/>
          <w:szCs w:val="20"/>
        </w:rPr>
        <w:t>participación política puede incluir amplias y diversas actividades que las personas realizan individualmente u organizadas, con el propósito de intervenir en la designación de quienes gobernarán un Estado o se encargarán de la dirección de los asuntos públicos</w:t>
      </w:r>
      <w:r w:rsidRPr="00BA6ADA">
        <w:rPr>
          <w:rStyle w:val="FootnoteReference"/>
          <w:rFonts w:ascii="Cambria" w:hAnsi="Cambria"/>
          <w:sz w:val="20"/>
          <w:szCs w:val="20"/>
        </w:rPr>
        <w:footnoteReference w:id="262"/>
      </w:r>
      <w:r w:rsidRPr="00BA6ADA">
        <w:rPr>
          <w:rFonts w:ascii="Cambria" w:hAnsi="Cambria"/>
          <w:color w:val="000000"/>
          <w:sz w:val="20"/>
          <w:szCs w:val="20"/>
          <w:shd w:val="clear" w:color="auto" w:fill="FFFFFF"/>
        </w:rPr>
        <w:t xml:space="preserve">. </w:t>
      </w:r>
      <w:r w:rsidR="00E20213" w:rsidRPr="00BA6ADA">
        <w:rPr>
          <w:rFonts w:ascii="Cambria" w:hAnsi="Cambria"/>
          <w:color w:val="000000"/>
          <w:sz w:val="20"/>
          <w:szCs w:val="20"/>
          <w:shd w:val="clear" w:color="auto" w:fill="FFFFFF"/>
        </w:rPr>
        <w:t>S</w:t>
      </w:r>
      <w:r w:rsidR="00B75162" w:rsidRPr="00BA6ADA">
        <w:rPr>
          <w:rFonts w:ascii="Cambria" w:hAnsi="Cambria"/>
          <w:color w:val="000000"/>
          <w:sz w:val="20"/>
          <w:szCs w:val="20"/>
          <w:shd w:val="clear" w:color="auto" w:fill="FFFFFF"/>
        </w:rPr>
        <w:t>egún</w:t>
      </w:r>
      <w:r w:rsidRPr="00BA6ADA">
        <w:rPr>
          <w:rFonts w:ascii="Cambria" w:hAnsi="Cambria"/>
          <w:color w:val="000000"/>
          <w:sz w:val="20"/>
          <w:szCs w:val="20"/>
          <w:shd w:val="clear" w:color="auto" w:fill="FFFFFF"/>
        </w:rPr>
        <w:t xml:space="preserve"> la CIDH, la participación política </w:t>
      </w:r>
      <w:r w:rsidRPr="00BA6ADA">
        <w:rPr>
          <w:rFonts w:ascii="Cambria" w:hAnsi="Cambria"/>
          <w:sz w:val="20"/>
          <w:szCs w:val="20"/>
        </w:rPr>
        <w:t>tiene dos aspectos claramente identificables: el derecho al ejercicio directo del poder y el derecho a elegir a quienes deben ejercerlo</w:t>
      </w:r>
      <w:r w:rsidRPr="00BA6ADA">
        <w:rPr>
          <w:rStyle w:val="FootnoteReference"/>
          <w:rFonts w:ascii="Cambria" w:hAnsi="Cambria"/>
          <w:sz w:val="20"/>
          <w:szCs w:val="20"/>
        </w:rPr>
        <w:footnoteReference w:id="263"/>
      </w:r>
      <w:r w:rsidRPr="00BA6ADA">
        <w:rPr>
          <w:rFonts w:ascii="Cambria" w:hAnsi="Cambria"/>
          <w:sz w:val="20"/>
          <w:szCs w:val="20"/>
        </w:rPr>
        <w:t xml:space="preserve">. </w:t>
      </w:r>
    </w:p>
    <w:p w14:paraId="687191AA" w14:textId="77777777" w:rsidR="00D064F7" w:rsidRPr="00BA6ADA" w:rsidRDefault="00D064F7" w:rsidP="00D064F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shd w:val="clear" w:color="auto" w:fill="FFFFFF"/>
          <w:lang w:val="es-PE"/>
        </w:rPr>
      </w:pPr>
    </w:p>
    <w:p w14:paraId="07EC4031" w14:textId="211E914B" w:rsidR="004930EA" w:rsidRPr="00BA6ADA" w:rsidRDefault="004930E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shd w:val="clear" w:color="auto" w:fill="FFFFFF"/>
          <w:lang w:val="es-PE"/>
        </w:rPr>
      </w:pPr>
      <w:r w:rsidRPr="00BA6ADA">
        <w:rPr>
          <w:rFonts w:ascii="Cambria" w:hAnsi="Cambria"/>
          <w:sz w:val="20"/>
          <w:szCs w:val="20"/>
          <w:shd w:val="clear" w:color="auto" w:fill="FFFFFF"/>
          <w:lang w:val="es-PE"/>
        </w:rPr>
        <w:t xml:space="preserve">La Comisión considera que el derecho de sufragio y participación en el gobierno </w:t>
      </w:r>
      <w:r w:rsidR="00DE743D" w:rsidRPr="00BA6ADA">
        <w:rPr>
          <w:rFonts w:ascii="Cambria" w:hAnsi="Cambria"/>
          <w:sz w:val="20"/>
          <w:szCs w:val="20"/>
          <w:shd w:val="clear" w:color="auto" w:fill="FFFFFF"/>
          <w:lang w:val="es-PE"/>
        </w:rPr>
        <w:t xml:space="preserve">también </w:t>
      </w:r>
      <w:r w:rsidRPr="00BA6ADA">
        <w:rPr>
          <w:rFonts w:ascii="Cambria" w:hAnsi="Cambria"/>
          <w:sz w:val="20"/>
          <w:szCs w:val="20"/>
          <w:shd w:val="clear" w:color="auto" w:fill="FFFFFF"/>
          <w:lang w:val="es-PE"/>
        </w:rPr>
        <w:t>comprende el derecho a organizar partidos y asociaciones políticas que, a través del debate libre de ideas, excluye el monopolio del poder por un solo grupo o persona. De tal forma, el derecho de participación política va más allá del derecho de asociación con fines exclusivamente políticos. En ese sentido, el derecho de sufragio y participación en el gobierno incluye también la posibilidad de ejercer libremente, y dentro de los límites del estado de derecho y el régimen democrático, la crítica y la oposición política al gobierno</w:t>
      </w:r>
      <w:r w:rsidR="00FA4EAA" w:rsidRPr="00BA6ADA">
        <w:rPr>
          <w:rStyle w:val="FootnoteReference"/>
          <w:rFonts w:ascii="Cambria" w:hAnsi="Cambria"/>
          <w:sz w:val="20"/>
          <w:szCs w:val="20"/>
          <w:shd w:val="clear" w:color="auto" w:fill="FFFFFF"/>
          <w:lang w:val="es-PE"/>
        </w:rPr>
        <w:footnoteReference w:id="264"/>
      </w:r>
      <w:r w:rsidRPr="00BA6ADA">
        <w:rPr>
          <w:rFonts w:ascii="Cambria" w:hAnsi="Cambria"/>
          <w:sz w:val="20"/>
          <w:szCs w:val="20"/>
          <w:shd w:val="clear" w:color="auto" w:fill="FFFFFF"/>
          <w:lang w:val="es-PE"/>
        </w:rPr>
        <w:t>.</w:t>
      </w:r>
    </w:p>
    <w:p w14:paraId="0508427D" w14:textId="77777777" w:rsidR="00D064F7" w:rsidRPr="00BA6ADA" w:rsidRDefault="00D064F7"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shd w:val="clear" w:color="auto" w:fill="FFFFFF"/>
          <w:lang w:val="es-PE"/>
        </w:rPr>
      </w:pPr>
    </w:p>
    <w:p w14:paraId="745A05BD" w14:textId="346A2CA3" w:rsidR="004930EA" w:rsidRPr="00BA6ADA" w:rsidRDefault="004930E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shd w:val="clear" w:color="auto" w:fill="FFFFFF"/>
          <w:lang w:val="es-PE"/>
        </w:rPr>
      </w:pPr>
      <w:r w:rsidRPr="00BA6ADA">
        <w:rPr>
          <w:rFonts w:ascii="Cambria" w:hAnsi="Cambria"/>
          <w:sz w:val="20"/>
          <w:szCs w:val="20"/>
          <w:shd w:val="clear" w:color="auto" w:fill="FFFFFF"/>
          <w:lang w:val="es-PE"/>
        </w:rPr>
        <w:t xml:space="preserve"> En ese sentido, la Comisión ya ha señalado que “los gobiernos tienen, frente a los derechos políticos y al derecho a la participación política, la obligación de permitir y garantizar la organización de todos los partidos políticos y otras asociaciones, a menos que éstas se constituyan para violar derechos fundamentales; el debate libre de los principales temas socioeconómicos; la realización de elecciones generales, libres y con las garantías necesarias para que sus resultados representen la voluntad popular</w:t>
      </w:r>
      <w:r w:rsidR="00C048AC" w:rsidRPr="00BA6ADA">
        <w:rPr>
          <w:rStyle w:val="FootnoteReference"/>
          <w:rFonts w:ascii="Cambria" w:hAnsi="Cambria"/>
          <w:sz w:val="20"/>
          <w:szCs w:val="20"/>
          <w:shd w:val="clear" w:color="auto" w:fill="FFFFFF"/>
          <w:lang w:val="es-PE"/>
        </w:rPr>
        <w:footnoteReference w:id="265"/>
      </w:r>
      <w:r w:rsidR="00D064F7" w:rsidRPr="00BA6ADA">
        <w:rPr>
          <w:rFonts w:ascii="Cambria" w:hAnsi="Cambria"/>
          <w:sz w:val="20"/>
          <w:szCs w:val="20"/>
          <w:shd w:val="clear" w:color="auto" w:fill="FFFFFF"/>
          <w:lang w:val="es-PE"/>
        </w:rPr>
        <w:t>.</w:t>
      </w:r>
    </w:p>
    <w:p w14:paraId="3E2AECED" w14:textId="77777777" w:rsidR="00293FF4" w:rsidRPr="00BA6ADA" w:rsidRDefault="00293FF4"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shd w:val="clear" w:color="auto" w:fill="FFFFFF"/>
          <w:lang w:val="es-PE"/>
        </w:rPr>
      </w:pPr>
    </w:p>
    <w:p w14:paraId="01A65A7F" w14:textId="653FD421" w:rsidR="00061170" w:rsidRPr="00045AAA" w:rsidRDefault="001B5FE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shd w:val="clear" w:color="auto" w:fill="FFFFFF"/>
          <w:lang w:val="es-PE"/>
        </w:rPr>
      </w:pPr>
      <w:r w:rsidRPr="00BA6ADA">
        <w:rPr>
          <w:rFonts w:ascii="Cambria" w:hAnsi="Cambria"/>
          <w:sz w:val="20"/>
          <w:szCs w:val="20"/>
        </w:rPr>
        <w:t>Asimismo, l</w:t>
      </w:r>
      <w:r w:rsidR="00061170" w:rsidRPr="00BA6ADA">
        <w:rPr>
          <w:rFonts w:ascii="Cambria" w:hAnsi="Cambria"/>
          <w:sz w:val="20"/>
          <w:szCs w:val="20"/>
        </w:rPr>
        <w:t>a plena vigencia de la libertad de expresión, asociación y reunión es imprescindible para la participación directa en la toma de decisiones que afectan a la comunidad</w:t>
      </w:r>
      <w:r w:rsidR="00061170" w:rsidRPr="00BA6ADA">
        <w:rPr>
          <w:rStyle w:val="FootnoteReference"/>
          <w:rFonts w:ascii="Cambria" w:hAnsi="Cambria"/>
          <w:sz w:val="20"/>
          <w:szCs w:val="20"/>
        </w:rPr>
        <w:footnoteReference w:id="266"/>
      </w:r>
      <w:r w:rsidR="00061170" w:rsidRPr="00BA6ADA">
        <w:rPr>
          <w:rFonts w:ascii="Cambria" w:hAnsi="Cambria"/>
          <w:sz w:val="20"/>
          <w:szCs w:val="20"/>
        </w:rPr>
        <w:t xml:space="preserve">. </w:t>
      </w:r>
    </w:p>
    <w:p w14:paraId="5CB9EEC5" w14:textId="77777777" w:rsidR="00045AAA" w:rsidRPr="00BA6ADA" w:rsidRDefault="00045AAA" w:rsidP="00045A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shd w:val="clear" w:color="auto" w:fill="FFFFFF"/>
          <w:lang w:val="es-PE"/>
        </w:rPr>
      </w:pPr>
    </w:p>
    <w:p w14:paraId="1689E90E" w14:textId="2B3269C7" w:rsidR="00245E7A" w:rsidRPr="00BA6ADA" w:rsidRDefault="00245E7A" w:rsidP="00460990">
      <w:pPr>
        <w:pStyle w:val="Heading3"/>
        <w:numPr>
          <w:ilvl w:val="0"/>
          <w:numId w:val="58"/>
        </w:numPr>
        <w:ind w:left="720" w:hanging="720"/>
      </w:pPr>
      <w:bookmarkStart w:id="38" w:name="_Toc89157581"/>
      <w:r w:rsidRPr="00BA6ADA">
        <w:t>Sobre el derecho a la honra</w:t>
      </w:r>
      <w:r w:rsidR="00123FFB" w:rsidRPr="00BA6ADA">
        <w:t xml:space="preserve">, </w:t>
      </w:r>
      <w:r w:rsidRPr="00BA6ADA">
        <w:t>reputación</w:t>
      </w:r>
      <w:r w:rsidR="007C3DFC" w:rsidRPr="00BA6ADA">
        <w:t xml:space="preserve"> </w:t>
      </w:r>
      <w:r w:rsidRPr="00BA6ADA">
        <w:t xml:space="preserve">y </w:t>
      </w:r>
      <w:r w:rsidR="00774E46" w:rsidRPr="00BA6ADA">
        <w:t>declaraciones estigmatizantes</w:t>
      </w:r>
      <w:bookmarkEnd w:id="38"/>
      <w:r w:rsidR="00774E46" w:rsidRPr="00BA6ADA">
        <w:t xml:space="preserve"> </w:t>
      </w:r>
    </w:p>
    <w:p w14:paraId="3037731C" w14:textId="77777777" w:rsidR="001B7CE6" w:rsidRPr="00BA6ADA" w:rsidRDefault="001B7CE6" w:rsidP="009B420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PE"/>
        </w:rPr>
      </w:pPr>
    </w:p>
    <w:p w14:paraId="651CCD25" w14:textId="3B93E794" w:rsidR="00990C03" w:rsidRPr="00BA6ADA" w:rsidRDefault="001B7CE6"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sz w:val="20"/>
          <w:szCs w:val="20"/>
          <w:lang w:val="es-PE"/>
        </w:rPr>
      </w:pPr>
      <w:r w:rsidRPr="00BA6ADA">
        <w:rPr>
          <w:rFonts w:ascii="Cambria" w:hAnsi="Cambria"/>
          <w:sz w:val="20"/>
          <w:szCs w:val="20"/>
          <w:lang w:val="es-PE"/>
        </w:rPr>
        <w:t>La CIDH ha</w:t>
      </w:r>
      <w:r w:rsidR="00052BE8" w:rsidRPr="00BA6ADA">
        <w:rPr>
          <w:rFonts w:ascii="Cambria" w:hAnsi="Cambria"/>
          <w:sz w:val="20"/>
          <w:szCs w:val="20"/>
          <w:lang w:val="es-PE"/>
        </w:rPr>
        <w:t xml:space="preserve"> establecido</w:t>
      </w:r>
      <w:r w:rsidRPr="00BA6ADA">
        <w:rPr>
          <w:rFonts w:ascii="Cambria" w:hAnsi="Cambria"/>
          <w:sz w:val="20"/>
          <w:szCs w:val="20"/>
          <w:lang w:val="es-PE"/>
        </w:rPr>
        <w:t xml:space="preserve"> que actos de </w:t>
      </w:r>
      <w:r w:rsidR="00052BE8" w:rsidRPr="00BA6ADA">
        <w:rPr>
          <w:rFonts w:ascii="Cambria" w:hAnsi="Cambria"/>
          <w:sz w:val="20"/>
          <w:szCs w:val="20"/>
          <w:lang w:val="es-PE"/>
        </w:rPr>
        <w:t xml:space="preserve">repudio </w:t>
      </w:r>
      <w:r w:rsidRPr="00BA6ADA">
        <w:rPr>
          <w:rFonts w:ascii="Cambria" w:hAnsi="Cambria"/>
          <w:sz w:val="20"/>
          <w:szCs w:val="20"/>
          <w:lang w:val="es-PE"/>
        </w:rPr>
        <w:t>público</w:t>
      </w:r>
      <w:r w:rsidR="0036712E" w:rsidRPr="00BA6ADA">
        <w:rPr>
          <w:rFonts w:ascii="Cambria" w:hAnsi="Cambria"/>
          <w:sz w:val="20"/>
          <w:szCs w:val="20"/>
          <w:lang w:val="es-PE"/>
        </w:rPr>
        <w:t>,</w:t>
      </w:r>
      <w:r w:rsidRPr="00BA6ADA">
        <w:rPr>
          <w:rFonts w:ascii="Cambria" w:hAnsi="Cambria"/>
          <w:sz w:val="20"/>
          <w:szCs w:val="20"/>
          <w:lang w:val="es-PE"/>
        </w:rPr>
        <w:t xml:space="preserve"> </w:t>
      </w:r>
      <w:r w:rsidR="0036712E" w:rsidRPr="00BA6ADA">
        <w:rPr>
          <w:rFonts w:ascii="Cambria" w:hAnsi="Cambria"/>
          <w:sz w:val="20"/>
          <w:szCs w:val="20"/>
          <w:lang w:val="es-PE"/>
        </w:rPr>
        <w:t>señalamientos y estigmatización pueden constituir una violación del derecho a la honra, reputació</w:t>
      </w:r>
      <w:r w:rsidR="006961E1" w:rsidRPr="00BA6ADA">
        <w:rPr>
          <w:rFonts w:ascii="Cambria" w:hAnsi="Cambria"/>
          <w:sz w:val="20"/>
          <w:szCs w:val="20"/>
          <w:lang w:val="es-PE"/>
        </w:rPr>
        <w:t xml:space="preserve">n, </w:t>
      </w:r>
      <w:r w:rsidR="0036712E" w:rsidRPr="00BA6ADA">
        <w:rPr>
          <w:rFonts w:ascii="Cambria" w:hAnsi="Cambria"/>
          <w:sz w:val="20"/>
          <w:szCs w:val="20"/>
          <w:lang w:val="es-PE"/>
        </w:rPr>
        <w:t xml:space="preserve">dignidad </w:t>
      </w:r>
      <w:r w:rsidR="006961E1" w:rsidRPr="00BA6ADA">
        <w:rPr>
          <w:rFonts w:ascii="Cambria" w:hAnsi="Cambria"/>
          <w:sz w:val="20"/>
          <w:szCs w:val="20"/>
          <w:lang w:val="es-PE"/>
        </w:rPr>
        <w:t>y</w:t>
      </w:r>
      <w:r w:rsidR="00F736F1" w:rsidRPr="00BA6ADA">
        <w:rPr>
          <w:rFonts w:ascii="Cambria" w:hAnsi="Cambria"/>
          <w:sz w:val="20"/>
          <w:szCs w:val="20"/>
          <w:lang w:val="es-PE"/>
        </w:rPr>
        <w:t>/o</w:t>
      </w:r>
      <w:r w:rsidR="006961E1" w:rsidRPr="00BA6ADA">
        <w:rPr>
          <w:rFonts w:ascii="Cambria" w:hAnsi="Cambria"/>
          <w:sz w:val="20"/>
          <w:szCs w:val="20"/>
          <w:lang w:val="es-PE"/>
        </w:rPr>
        <w:t xml:space="preserve"> libertad de expresión </w:t>
      </w:r>
      <w:r w:rsidR="0036712E" w:rsidRPr="00BA6ADA">
        <w:rPr>
          <w:rFonts w:ascii="Cambria" w:hAnsi="Cambria"/>
          <w:sz w:val="20"/>
          <w:szCs w:val="20"/>
          <w:lang w:val="es-PE"/>
        </w:rPr>
        <w:t>de la persona estigmatizada</w:t>
      </w:r>
      <w:r w:rsidR="00B83820" w:rsidRPr="00BA6ADA">
        <w:rPr>
          <w:rFonts w:ascii="Cambria" w:hAnsi="Cambria"/>
          <w:sz w:val="20"/>
          <w:szCs w:val="20"/>
          <w:lang w:val="es-PE"/>
        </w:rPr>
        <w:t xml:space="preserve"> cuando provienen de actores</w:t>
      </w:r>
      <w:r w:rsidR="006961E1" w:rsidRPr="00BA6ADA">
        <w:rPr>
          <w:rFonts w:ascii="Cambria" w:hAnsi="Cambria"/>
          <w:sz w:val="20"/>
          <w:szCs w:val="20"/>
          <w:lang w:val="es-PE"/>
        </w:rPr>
        <w:t xml:space="preserve"> que </w:t>
      </w:r>
      <w:r w:rsidR="00C93866" w:rsidRPr="00BA6ADA">
        <w:rPr>
          <w:rFonts w:ascii="Cambria" w:hAnsi="Cambria"/>
          <w:sz w:val="20"/>
          <w:szCs w:val="20"/>
          <w:lang w:val="es-PE"/>
        </w:rPr>
        <w:t>buscan desprestigiar intencionalmente a las víctimas ante la opinión pública</w:t>
      </w:r>
      <w:r w:rsidR="00E856B1" w:rsidRPr="00BA6ADA">
        <w:rPr>
          <w:rFonts w:ascii="Cambria" w:hAnsi="Cambria"/>
          <w:sz w:val="20"/>
          <w:szCs w:val="20"/>
          <w:vertAlign w:val="superscript"/>
          <w:lang w:val="es-PE"/>
        </w:rPr>
        <w:footnoteReference w:id="267"/>
      </w:r>
      <w:r w:rsidR="00C93866" w:rsidRPr="00BA6ADA">
        <w:rPr>
          <w:rFonts w:ascii="Cambria" w:hAnsi="Cambria"/>
          <w:sz w:val="20"/>
          <w:szCs w:val="20"/>
          <w:lang w:val="es-PE"/>
        </w:rPr>
        <w:t xml:space="preserve"> y se encuentran en una</w:t>
      </w:r>
      <w:r w:rsidR="00B83820" w:rsidRPr="00BA6ADA">
        <w:rPr>
          <w:rFonts w:ascii="Cambria" w:hAnsi="Cambria"/>
          <w:sz w:val="20"/>
          <w:szCs w:val="20"/>
          <w:lang w:val="es-PE"/>
        </w:rPr>
        <w:t xml:space="preserve"> posición </w:t>
      </w:r>
      <w:r w:rsidR="006961E1" w:rsidRPr="00BA6ADA">
        <w:rPr>
          <w:rFonts w:ascii="Cambria" w:hAnsi="Cambria"/>
          <w:sz w:val="20"/>
          <w:szCs w:val="20"/>
          <w:lang w:val="es-PE"/>
        </w:rPr>
        <w:t xml:space="preserve">institucional y/o </w:t>
      </w:r>
      <w:r w:rsidR="00B83820" w:rsidRPr="00BA6ADA">
        <w:rPr>
          <w:rFonts w:ascii="Cambria" w:hAnsi="Cambria"/>
          <w:sz w:val="20"/>
          <w:szCs w:val="20"/>
          <w:lang w:val="es-PE"/>
        </w:rPr>
        <w:t>pode</w:t>
      </w:r>
      <w:r w:rsidR="006961E1" w:rsidRPr="00BA6ADA">
        <w:rPr>
          <w:rFonts w:ascii="Cambria" w:hAnsi="Cambria"/>
          <w:sz w:val="20"/>
          <w:szCs w:val="20"/>
          <w:lang w:val="es-PE"/>
        </w:rPr>
        <w:t>r</w:t>
      </w:r>
      <w:r w:rsidR="00C93866" w:rsidRPr="00BA6ADA">
        <w:rPr>
          <w:rFonts w:ascii="Cambria" w:hAnsi="Cambria"/>
          <w:sz w:val="20"/>
          <w:szCs w:val="20"/>
          <w:lang w:val="es-PE"/>
        </w:rPr>
        <w:t>, o son personas públicas o de notoriedad</w:t>
      </w:r>
      <w:r w:rsidR="0036712E" w:rsidRPr="00BA6ADA">
        <w:rPr>
          <w:rFonts w:ascii="Cambria" w:hAnsi="Cambria"/>
          <w:sz w:val="20"/>
          <w:szCs w:val="20"/>
          <w:lang w:val="es-PE"/>
        </w:rPr>
        <w:t xml:space="preserve">. </w:t>
      </w:r>
      <w:r w:rsidR="00C93866" w:rsidRPr="00BA6ADA">
        <w:rPr>
          <w:rFonts w:ascii="Cambria" w:hAnsi="Cambria"/>
          <w:sz w:val="20"/>
          <w:szCs w:val="20"/>
          <w:lang w:val="es-PE"/>
        </w:rPr>
        <w:t xml:space="preserve">Lo anterior se exacerba si </w:t>
      </w:r>
      <w:r w:rsidR="00E707C5" w:rsidRPr="00BA6ADA">
        <w:rPr>
          <w:rFonts w:ascii="Cambria" w:hAnsi="Cambria"/>
          <w:sz w:val="20"/>
          <w:szCs w:val="20"/>
          <w:lang w:val="es-PE"/>
        </w:rPr>
        <w:t>el despliegue intencional de declaraciones estigmatizantes proviene de funcionarios públicos</w:t>
      </w:r>
      <w:r w:rsidR="00E856B1" w:rsidRPr="00BA6ADA">
        <w:rPr>
          <w:rFonts w:ascii="Cambria" w:hAnsi="Cambria"/>
          <w:sz w:val="20"/>
          <w:szCs w:val="20"/>
          <w:lang w:val="es-PE"/>
        </w:rPr>
        <w:t>,</w:t>
      </w:r>
      <w:r w:rsidR="00E707C5" w:rsidRPr="00BA6ADA">
        <w:rPr>
          <w:rFonts w:ascii="Cambria" w:hAnsi="Cambria"/>
          <w:sz w:val="20"/>
          <w:szCs w:val="20"/>
          <w:lang w:val="es-PE"/>
        </w:rPr>
        <w:t xml:space="preserve"> debido a la alta investidura que ostentan</w:t>
      </w:r>
      <w:r w:rsidR="00F736F1" w:rsidRPr="00BA6ADA">
        <w:rPr>
          <w:rFonts w:ascii="Cambria" w:hAnsi="Cambria"/>
          <w:sz w:val="20"/>
          <w:szCs w:val="20"/>
          <w:lang w:val="es-PE"/>
        </w:rPr>
        <w:t xml:space="preserve">, lo cual a su vez, </w:t>
      </w:r>
      <w:r w:rsidR="00E856B1" w:rsidRPr="00BA6ADA">
        <w:rPr>
          <w:rFonts w:ascii="Cambria" w:hAnsi="Cambria"/>
          <w:sz w:val="20"/>
          <w:szCs w:val="20"/>
          <w:lang w:val="es-PE"/>
        </w:rPr>
        <w:t>incrementa</w:t>
      </w:r>
      <w:r w:rsidR="00E707C5" w:rsidRPr="00BA6ADA">
        <w:rPr>
          <w:rFonts w:ascii="Cambria" w:hAnsi="Cambria"/>
          <w:sz w:val="20"/>
          <w:szCs w:val="20"/>
          <w:lang w:val="es-PE"/>
        </w:rPr>
        <w:t xml:space="preserve"> gravemente el riesgo de que las personas estigmatizadas vean también afectados sus derechos a la vida e integridad</w:t>
      </w:r>
      <w:r w:rsidR="0036712E" w:rsidRPr="00BA6ADA">
        <w:rPr>
          <w:rFonts w:ascii="Cambria" w:hAnsi="Cambria"/>
          <w:sz w:val="20"/>
          <w:szCs w:val="20"/>
          <w:vertAlign w:val="superscript"/>
        </w:rPr>
        <w:footnoteReference w:id="268"/>
      </w:r>
      <w:r w:rsidR="0036712E" w:rsidRPr="00BA6ADA">
        <w:rPr>
          <w:rFonts w:ascii="Cambria" w:hAnsi="Cambria"/>
          <w:sz w:val="20"/>
          <w:szCs w:val="20"/>
          <w:lang w:val="es-PE"/>
        </w:rPr>
        <w:t>.</w:t>
      </w:r>
      <w:r w:rsidR="00F736F1" w:rsidRPr="00BA6ADA">
        <w:rPr>
          <w:rFonts w:ascii="Cambria" w:hAnsi="Cambria"/>
          <w:sz w:val="20"/>
          <w:szCs w:val="20"/>
          <w:lang w:val="es-PE"/>
        </w:rPr>
        <w:t xml:space="preserve"> </w:t>
      </w:r>
      <w:r w:rsidR="00E856B1" w:rsidRPr="00BA6ADA">
        <w:rPr>
          <w:rFonts w:ascii="Cambria" w:hAnsi="Cambria"/>
          <w:sz w:val="20"/>
          <w:szCs w:val="20"/>
          <w:lang w:val="es-PE"/>
        </w:rPr>
        <w:t xml:space="preserve">Si bien </w:t>
      </w:r>
      <w:r w:rsidR="00E856B1" w:rsidRPr="00BA6ADA">
        <w:rPr>
          <w:rFonts w:ascii="Cambria" w:hAnsi="Cambria"/>
          <w:sz w:val="20"/>
          <w:szCs w:val="20"/>
        </w:rPr>
        <w:t xml:space="preserve">es legítimo que los políticos y los funcionarios públicos formulen críticas, correcciones u objeciones con respecto a </w:t>
      </w:r>
      <w:r w:rsidR="00927F32" w:rsidRPr="00BA6ADA">
        <w:rPr>
          <w:rFonts w:ascii="Cambria" w:hAnsi="Cambria"/>
          <w:sz w:val="20"/>
          <w:szCs w:val="20"/>
          <w:lang w:val="es-PE"/>
        </w:rPr>
        <w:t xml:space="preserve">expresiones o a determinada información, </w:t>
      </w:r>
      <w:r w:rsidR="00E856B1" w:rsidRPr="00BA6ADA">
        <w:rPr>
          <w:rFonts w:ascii="Cambria" w:hAnsi="Cambria"/>
          <w:sz w:val="20"/>
          <w:szCs w:val="20"/>
        </w:rPr>
        <w:t xml:space="preserve">cuando lo hagan, siempre deben tener cuidado de asegurar que sus comentarios </w:t>
      </w:r>
      <w:r w:rsidR="00927F32" w:rsidRPr="00BA6ADA">
        <w:rPr>
          <w:rFonts w:ascii="Cambria" w:hAnsi="Cambria"/>
          <w:sz w:val="20"/>
          <w:szCs w:val="20"/>
          <w:lang w:val="es-PE"/>
        </w:rPr>
        <w:t>eviten</w:t>
      </w:r>
      <w:r w:rsidR="00E856B1" w:rsidRPr="00BA6ADA">
        <w:rPr>
          <w:rFonts w:ascii="Cambria" w:hAnsi="Cambria"/>
          <w:sz w:val="20"/>
          <w:szCs w:val="20"/>
        </w:rPr>
        <w:t xml:space="preserve"> la </w:t>
      </w:r>
      <w:proofErr w:type="spellStart"/>
      <w:r w:rsidR="00E856B1" w:rsidRPr="00BA6ADA">
        <w:rPr>
          <w:rFonts w:ascii="Cambria" w:hAnsi="Cambria"/>
          <w:sz w:val="20"/>
          <w:szCs w:val="20"/>
        </w:rPr>
        <w:t>estigmatizac</w:t>
      </w:r>
      <w:r w:rsidR="00927F32" w:rsidRPr="00BA6ADA">
        <w:rPr>
          <w:rFonts w:ascii="Cambria" w:hAnsi="Cambria"/>
          <w:sz w:val="20"/>
          <w:szCs w:val="20"/>
          <w:lang w:val="es-PE"/>
        </w:rPr>
        <w:t>ión</w:t>
      </w:r>
      <w:proofErr w:type="spellEnd"/>
      <w:r w:rsidR="00927F32" w:rsidRPr="00BA6ADA">
        <w:rPr>
          <w:rFonts w:ascii="Cambria" w:hAnsi="Cambria"/>
          <w:sz w:val="20"/>
          <w:szCs w:val="20"/>
          <w:lang w:val="es-PE"/>
        </w:rPr>
        <w:t xml:space="preserve"> y la desacreditación de las personas, en particular de periodistas, y no contribuyan con pavimentar las</w:t>
      </w:r>
      <w:r w:rsidR="00F736F1" w:rsidRPr="00BA6ADA">
        <w:rPr>
          <w:rFonts w:ascii="Cambria" w:hAnsi="Cambria"/>
          <w:sz w:val="20"/>
          <w:szCs w:val="20"/>
          <w:lang w:val="es-PE"/>
        </w:rPr>
        <w:t xml:space="preserve"> vías que aument</w:t>
      </w:r>
      <w:r w:rsidR="00C5719D" w:rsidRPr="00BA6ADA">
        <w:rPr>
          <w:rFonts w:ascii="Cambria" w:hAnsi="Cambria"/>
          <w:sz w:val="20"/>
          <w:szCs w:val="20"/>
          <w:lang w:val="es-PE"/>
        </w:rPr>
        <w:t>e</w:t>
      </w:r>
      <w:r w:rsidR="00927F32" w:rsidRPr="00BA6ADA">
        <w:rPr>
          <w:rFonts w:ascii="Cambria" w:hAnsi="Cambria"/>
          <w:sz w:val="20"/>
          <w:szCs w:val="20"/>
          <w:lang w:val="es-PE"/>
        </w:rPr>
        <w:t>n los riesgos para las personas estigmatizadas, contrariamente a sus obligaciones como garantes de derechos</w:t>
      </w:r>
      <w:r w:rsidR="00E856B1" w:rsidRPr="00BA6ADA">
        <w:rPr>
          <w:rStyle w:val="FootnoteReference"/>
          <w:rFonts w:ascii="Cambria" w:hAnsi="Cambria"/>
          <w:sz w:val="20"/>
          <w:szCs w:val="20"/>
        </w:rPr>
        <w:footnoteReference w:id="269"/>
      </w:r>
      <w:r w:rsidR="00E856B1" w:rsidRPr="00BA6ADA">
        <w:rPr>
          <w:rFonts w:ascii="Cambria" w:hAnsi="Cambria"/>
          <w:sz w:val="20"/>
          <w:szCs w:val="20"/>
        </w:rPr>
        <w:t>.</w:t>
      </w:r>
    </w:p>
    <w:p w14:paraId="75076288" w14:textId="77777777" w:rsidR="008C6086" w:rsidRPr="00F736F1" w:rsidRDefault="008C6086" w:rsidP="00375047">
      <w:pPr>
        <w:rPr>
          <w:lang w:val="es-PE"/>
        </w:rPr>
      </w:pPr>
    </w:p>
    <w:p w14:paraId="108CB24D" w14:textId="77777777" w:rsidR="00A90A1C" w:rsidRPr="00116A43" w:rsidRDefault="0099063F"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sz w:val="20"/>
          <w:szCs w:val="20"/>
          <w:lang w:val="es-PY" w:eastAsia="es-PY"/>
        </w:rPr>
        <w:lastRenderedPageBreak/>
        <w:t xml:space="preserve">Asimismo, la CIDH ha establecido que la descalificación de periodistas y medios de comunicación críticos contra el gobierno </w:t>
      </w:r>
      <w:r w:rsidR="00FC5A25" w:rsidRPr="00116A43">
        <w:rPr>
          <w:sz w:val="20"/>
          <w:szCs w:val="20"/>
          <w:lang w:val="es-PY" w:eastAsia="es-PY"/>
        </w:rPr>
        <w:t>por parte de</w:t>
      </w:r>
      <w:r w:rsidRPr="00116A43">
        <w:rPr>
          <w:sz w:val="20"/>
          <w:szCs w:val="20"/>
          <w:lang w:val="es-PY" w:eastAsia="es-PY"/>
        </w:rPr>
        <w:t xml:space="preserve"> autori</w:t>
      </w:r>
      <w:r w:rsidR="00FC5A25" w:rsidRPr="00116A43">
        <w:rPr>
          <w:sz w:val="20"/>
          <w:szCs w:val="20"/>
          <w:lang w:val="es-PY" w:eastAsia="es-PY"/>
        </w:rPr>
        <w:t>dades</w:t>
      </w:r>
      <w:r w:rsidR="001D64DB" w:rsidRPr="00116A43">
        <w:rPr>
          <w:sz w:val="20"/>
          <w:szCs w:val="20"/>
          <w:lang w:val="es-PY" w:eastAsia="es-PY"/>
        </w:rPr>
        <w:t xml:space="preserve"> estatales </w:t>
      </w:r>
      <w:r w:rsidRPr="00116A43">
        <w:rPr>
          <w:sz w:val="20"/>
          <w:szCs w:val="20"/>
          <w:lang w:val="es-PY" w:eastAsia="es-PY"/>
        </w:rPr>
        <w:t>pone en riesgo el libre ejercicio de la labor periodística y menoscaba la obligación de “</w:t>
      </w:r>
      <w:r w:rsidRPr="00116A43">
        <w:rPr>
          <w:sz w:val="20"/>
          <w:szCs w:val="20"/>
          <w:lang w:val="es-PY"/>
        </w:rPr>
        <w:t>adoptar un discurso público que contribuya a prevenir la violencia contra periodistas”</w:t>
      </w:r>
      <w:r w:rsidRPr="00116A43">
        <w:rPr>
          <w:rStyle w:val="FootnoteReference"/>
          <w:sz w:val="20"/>
          <w:szCs w:val="20"/>
          <w:lang w:val="es-PY"/>
        </w:rPr>
        <w:footnoteReference w:id="270"/>
      </w:r>
      <w:r w:rsidRPr="00116A43">
        <w:rPr>
          <w:sz w:val="20"/>
          <w:szCs w:val="20"/>
          <w:lang w:val="es-PY"/>
        </w:rPr>
        <w:t>. Las declaraciones estigmatizantes, por el contrario, exponen a los periodistas a un mayor riesgo de actos de violencia</w:t>
      </w:r>
      <w:r w:rsidR="00916765" w:rsidRPr="00116A43">
        <w:rPr>
          <w:sz w:val="20"/>
          <w:szCs w:val="20"/>
          <w:lang w:val="es-PY"/>
        </w:rPr>
        <w:t>, hostigamientos y amenazas</w:t>
      </w:r>
      <w:r w:rsidRPr="00116A43">
        <w:rPr>
          <w:sz w:val="20"/>
          <w:szCs w:val="20"/>
          <w:vertAlign w:val="superscript"/>
          <w:lang w:val="es-PY"/>
        </w:rPr>
        <w:footnoteReference w:id="271"/>
      </w:r>
      <w:r w:rsidRPr="00116A43">
        <w:rPr>
          <w:sz w:val="20"/>
          <w:szCs w:val="20"/>
          <w:lang w:val="es-PY"/>
        </w:rPr>
        <w:t xml:space="preserve"> y los colocan en una mayor situación de vulnerabilidad de la que ya se podrían encontrar por la naturaleza de su labor, ya que el contenido de dichas declaraciones puede incluso ser interpretado por individuos y grupos de particulares de forma tal, que se comentan actos de violencia y obstaculizaciones a su labor periodística</w:t>
      </w:r>
      <w:r w:rsidRPr="00116A43">
        <w:rPr>
          <w:rStyle w:val="FootnoteReference"/>
          <w:sz w:val="20"/>
          <w:szCs w:val="20"/>
          <w:lang w:val="es-PY"/>
        </w:rPr>
        <w:footnoteReference w:id="272"/>
      </w:r>
      <w:r w:rsidRPr="00116A43">
        <w:rPr>
          <w:sz w:val="20"/>
          <w:szCs w:val="20"/>
          <w:lang w:val="es-PY"/>
        </w:rPr>
        <w:t>.</w:t>
      </w:r>
      <w:r w:rsidR="001252CD" w:rsidRPr="00116A43">
        <w:rPr>
          <w:sz w:val="20"/>
          <w:szCs w:val="20"/>
          <w:lang w:val="es-PY"/>
        </w:rPr>
        <w:t xml:space="preserve"> </w:t>
      </w:r>
    </w:p>
    <w:p w14:paraId="00A0F40A" w14:textId="77777777" w:rsidR="00A90A1C" w:rsidRPr="00116A43" w:rsidRDefault="00A90A1C" w:rsidP="00A90A1C">
      <w:pPr>
        <w:pStyle w:val="ListParagraph"/>
        <w:rPr>
          <w:sz w:val="20"/>
          <w:szCs w:val="20"/>
          <w:lang w:val="es-PE"/>
        </w:rPr>
      </w:pPr>
    </w:p>
    <w:p w14:paraId="1D9A0D24" w14:textId="5950AD7C" w:rsidR="001B7CE6" w:rsidRPr="00116A43" w:rsidRDefault="001B7CE6"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sz w:val="20"/>
          <w:szCs w:val="20"/>
          <w:lang w:val="es-PE"/>
        </w:rPr>
        <w:t>Asimismo, cuando estos actos son practicados con amplia publicidad, incluso en canales del Estado, propician, contribuyen, exacerban o acentúan situaciones de hostilidad, intolerancia o animadversión por parte de sectores de la población hacia las personas vinculadas</w:t>
      </w:r>
      <w:r w:rsidRPr="00116A43">
        <w:rPr>
          <w:sz w:val="20"/>
          <w:szCs w:val="20"/>
          <w:vertAlign w:val="superscript"/>
        </w:rPr>
        <w:footnoteReference w:id="273"/>
      </w:r>
      <w:r w:rsidRPr="00116A43">
        <w:rPr>
          <w:sz w:val="20"/>
          <w:szCs w:val="20"/>
          <w:lang w:val="es-PE"/>
        </w:rPr>
        <w:t xml:space="preserve">. En este sentido, como una faceta del deber de proteger y garantizar derechos humanos, el poder público debe se abstener de realizar declaraciones que </w:t>
      </w:r>
      <w:r w:rsidRPr="00116A43">
        <w:rPr>
          <w:color w:val="auto"/>
          <w:sz w:val="20"/>
          <w:szCs w:val="20"/>
          <w:lang w:val="es-PE"/>
        </w:rPr>
        <w:t>expongan a periodistas y trabajadores de medios de comunicación a un mayor riesgo de actos de violencia</w:t>
      </w:r>
      <w:r w:rsidRPr="00116A43">
        <w:rPr>
          <w:color w:val="auto"/>
          <w:sz w:val="20"/>
          <w:szCs w:val="20"/>
          <w:vertAlign w:val="superscript"/>
        </w:rPr>
        <w:footnoteReference w:id="274"/>
      </w:r>
      <w:r w:rsidRPr="00116A43">
        <w:rPr>
          <w:color w:val="auto"/>
          <w:sz w:val="20"/>
          <w:szCs w:val="20"/>
          <w:lang w:val="es-PE"/>
        </w:rPr>
        <w:t xml:space="preserve">. Cualquier autoridad </w:t>
      </w:r>
      <w:r w:rsidRPr="00116A43">
        <w:rPr>
          <w:rFonts w:cs="Tahoma"/>
          <w:color w:val="auto"/>
          <w:sz w:val="20"/>
          <w:szCs w:val="20"/>
          <w:shd w:val="clear" w:color="auto" w:fill="FFFFFF"/>
          <w:lang w:val="es-PE"/>
        </w:rPr>
        <w:t>con responsabilidades públicas debe cesar discursos que animen al odio o sean permisivos con el uso de la violencia en contra de personas</w:t>
      </w:r>
      <w:r w:rsidRPr="00116A43">
        <w:rPr>
          <w:rStyle w:val="FootnoteReference"/>
          <w:rFonts w:cs="Tahoma"/>
          <w:color w:val="auto"/>
          <w:sz w:val="20"/>
          <w:szCs w:val="20"/>
          <w:shd w:val="clear" w:color="auto" w:fill="FFFFFF"/>
        </w:rPr>
        <w:footnoteReference w:id="275"/>
      </w:r>
      <w:r w:rsidR="005979A0" w:rsidRPr="00116A43">
        <w:rPr>
          <w:rFonts w:cs="Tahoma"/>
          <w:color w:val="auto"/>
          <w:sz w:val="20"/>
          <w:szCs w:val="20"/>
          <w:shd w:val="clear" w:color="auto" w:fill="FFFFFF"/>
          <w:lang w:val="es-PE"/>
        </w:rPr>
        <w:t>.</w:t>
      </w:r>
    </w:p>
    <w:p w14:paraId="071C6423" w14:textId="77777777" w:rsidR="00A90A1C" w:rsidRPr="00116A43" w:rsidRDefault="00A90A1C"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PE"/>
        </w:rPr>
      </w:pPr>
    </w:p>
    <w:p w14:paraId="3D56B3CD" w14:textId="77777777" w:rsidR="00391C3E" w:rsidRPr="00116A43" w:rsidRDefault="00E1661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lang w:val="es-PE"/>
        </w:rPr>
        <w:t xml:space="preserve">Los </w:t>
      </w:r>
      <w:r w:rsidR="001730A8" w:rsidRPr="00116A43">
        <w:rPr>
          <w:rFonts w:ascii="Cambria" w:hAnsi="Cambria" w:cs="Tahoma"/>
          <w:sz w:val="20"/>
          <w:szCs w:val="20"/>
          <w:shd w:val="clear" w:color="auto" w:fill="FFFFFF"/>
          <w:lang w:val="es-ES_tradnl"/>
        </w:rPr>
        <w:t xml:space="preserve">funcionarios </w:t>
      </w:r>
      <w:proofErr w:type="spellStart"/>
      <w:r w:rsidR="001730A8" w:rsidRPr="00116A43">
        <w:rPr>
          <w:rFonts w:ascii="Cambria" w:hAnsi="Cambria" w:cs="Tahoma"/>
          <w:sz w:val="20"/>
          <w:szCs w:val="20"/>
          <w:shd w:val="clear" w:color="auto" w:fill="FFFFFF"/>
          <w:lang w:val="es-ES_tradnl"/>
        </w:rPr>
        <w:t>pú</w:t>
      </w:r>
      <w:r w:rsidR="001730A8" w:rsidRPr="00116A43">
        <w:rPr>
          <w:rFonts w:ascii="Cambria" w:hAnsi="Cambria" w:cs="Tahoma"/>
          <w:sz w:val="20"/>
          <w:szCs w:val="20"/>
          <w:shd w:val="clear" w:color="auto" w:fill="FFFFFF"/>
          <w:lang w:val="es-419"/>
        </w:rPr>
        <w:t>blicos</w:t>
      </w:r>
      <w:proofErr w:type="spellEnd"/>
      <w:r w:rsidR="001730A8" w:rsidRPr="00116A43">
        <w:rPr>
          <w:rFonts w:ascii="Cambria" w:hAnsi="Cambria" w:cs="Tahoma"/>
          <w:sz w:val="20"/>
          <w:szCs w:val="20"/>
          <w:shd w:val="clear" w:color="auto" w:fill="FFFFFF"/>
          <w:lang w:val="es-419"/>
        </w:rPr>
        <w:t xml:space="preserve"> </w:t>
      </w:r>
      <w:proofErr w:type="spellStart"/>
      <w:r w:rsidR="001730A8" w:rsidRPr="00116A43">
        <w:rPr>
          <w:rFonts w:ascii="Cambria" w:hAnsi="Cambria" w:cs="Tahoma"/>
          <w:sz w:val="20"/>
          <w:szCs w:val="20"/>
          <w:shd w:val="clear" w:color="auto" w:fill="FFFFFF"/>
          <w:lang w:val="es-419"/>
        </w:rPr>
        <w:t>est</w:t>
      </w:r>
      <w:r w:rsidR="001730A8" w:rsidRPr="00116A43">
        <w:rPr>
          <w:rFonts w:ascii="Cambria" w:hAnsi="Cambria" w:cs="Tahoma"/>
          <w:sz w:val="20"/>
          <w:szCs w:val="20"/>
          <w:shd w:val="clear" w:color="auto" w:fill="FFFFFF"/>
          <w:lang w:val="es-ES_tradnl"/>
        </w:rPr>
        <w:t>án</w:t>
      </w:r>
      <w:proofErr w:type="spellEnd"/>
      <w:r w:rsidR="001730A8" w:rsidRPr="00116A43">
        <w:rPr>
          <w:rFonts w:ascii="Cambria" w:hAnsi="Cambria" w:cs="Tahoma"/>
          <w:sz w:val="20"/>
          <w:szCs w:val="20"/>
          <w:shd w:val="clear" w:color="auto" w:fill="FFFFFF"/>
          <w:lang w:val="es-ES_tradnl"/>
        </w:rPr>
        <w:t xml:space="preserve"> llamados a mantener un discurso favorable a la deliberación pública y asegurarse que con sus pronunciamientos no están lesionando los derechos de quienes contribuyen al debate mediante la expresión y difusión de su pensamiento.</w:t>
      </w:r>
      <w:r w:rsidR="001730A8" w:rsidRPr="00116A43">
        <w:rPr>
          <w:rFonts w:ascii="Cambria" w:hAnsi="Cambria"/>
          <w:sz w:val="20"/>
          <w:szCs w:val="20"/>
          <w:lang w:val="es-PE"/>
        </w:rPr>
        <w:t xml:space="preserve"> </w:t>
      </w:r>
      <w:r w:rsidR="001730A8" w:rsidRPr="00116A43">
        <w:rPr>
          <w:rFonts w:ascii="Cambria" w:hAnsi="Cambria" w:cs="Tahoma"/>
          <w:sz w:val="20"/>
          <w:szCs w:val="20"/>
          <w:shd w:val="clear" w:color="auto" w:fill="FFFFFF"/>
          <w:lang w:val="es-ES_tradnl"/>
        </w:rPr>
        <w:t>Los funcionarios públicos deben condenar enérgicamente las agresiones contra periodistas</w:t>
      </w:r>
      <w:r w:rsidR="00C67E88" w:rsidRPr="00116A43">
        <w:rPr>
          <w:rFonts w:ascii="Cambria" w:hAnsi="Cambria" w:cs="Tahoma"/>
          <w:sz w:val="20"/>
          <w:szCs w:val="20"/>
          <w:shd w:val="clear" w:color="auto" w:fill="FFFFFF"/>
          <w:lang w:val="es-ES_tradnl"/>
        </w:rPr>
        <w:t xml:space="preserve"> y </w:t>
      </w:r>
      <w:r w:rsidR="001730A8" w:rsidRPr="00116A43">
        <w:rPr>
          <w:rFonts w:ascii="Cambria" w:hAnsi="Cambria" w:cs="Tahoma"/>
          <w:sz w:val="20"/>
          <w:szCs w:val="20"/>
          <w:shd w:val="clear" w:color="auto" w:fill="FFFFFF"/>
          <w:lang w:val="es-ES_tradnl"/>
        </w:rPr>
        <w:t>reconocer de forma constante, clara, pública y firme la legitimidad y el valor de la labor periodística, aun cuando la información difundida pueda resultar crítica, inconveniente e inoportuna para los intereses del gobierno</w:t>
      </w:r>
      <w:r w:rsidR="001730A8" w:rsidRPr="00116A43">
        <w:rPr>
          <w:rStyle w:val="FootnoteReference"/>
          <w:rFonts w:ascii="Cambria" w:hAnsi="Cambria" w:cs="Tahoma"/>
          <w:sz w:val="20"/>
          <w:szCs w:val="20"/>
          <w:shd w:val="clear" w:color="auto" w:fill="FFFFFF"/>
          <w:lang w:val="es-ES_tradnl"/>
        </w:rPr>
        <w:footnoteReference w:id="276"/>
      </w:r>
      <w:r w:rsidR="001730A8" w:rsidRPr="00116A43">
        <w:rPr>
          <w:rFonts w:ascii="Cambria" w:hAnsi="Cambria" w:cs="Tahoma"/>
          <w:sz w:val="20"/>
          <w:szCs w:val="20"/>
          <w:shd w:val="clear" w:color="auto" w:fill="FFFFFF"/>
          <w:lang w:val="es-ES_tradnl"/>
        </w:rPr>
        <w:t xml:space="preserve">. </w:t>
      </w:r>
    </w:p>
    <w:p w14:paraId="3BE5E0BC" w14:textId="299BEEA1" w:rsidR="003B7C34" w:rsidRPr="00116A43" w:rsidRDefault="003B7C34" w:rsidP="00116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B6C7929" w14:textId="36056A78" w:rsidR="001B1903" w:rsidRPr="00116A43" w:rsidRDefault="001B1903" w:rsidP="00460990">
      <w:pPr>
        <w:pStyle w:val="Heading3"/>
        <w:numPr>
          <w:ilvl w:val="0"/>
          <w:numId w:val="58"/>
        </w:numPr>
        <w:ind w:left="720" w:hanging="720"/>
      </w:pPr>
      <w:bookmarkStart w:id="39" w:name="_Toc89157582"/>
      <w:r w:rsidRPr="00116A43">
        <w:t>Análisis del caso</w:t>
      </w:r>
      <w:bookmarkEnd w:id="39"/>
    </w:p>
    <w:p w14:paraId="4313EBA3" w14:textId="73742347" w:rsidR="003B2B4D" w:rsidRPr="00116A43" w:rsidRDefault="003B2B4D" w:rsidP="00391C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14:paraId="65A546AA" w14:textId="4944C94A" w:rsidR="00ED088B" w:rsidRPr="00116A43" w:rsidRDefault="00ED088B"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lang w:val="es-AR"/>
        </w:rPr>
      </w:pPr>
      <w:r w:rsidRPr="00116A43">
        <w:rPr>
          <w:sz w:val="20"/>
          <w:szCs w:val="20"/>
          <w:lang w:val="es-AR"/>
        </w:rPr>
        <w:t xml:space="preserve">La Comisión Interamericana ha sostenido en repetidas ocasiones que Cuba es el único país del hemisferio en donde puede afirmarse categóricamente que </w:t>
      </w:r>
      <w:r w:rsidR="00F041B6" w:rsidRPr="00116A43">
        <w:rPr>
          <w:sz w:val="20"/>
          <w:szCs w:val="20"/>
          <w:lang w:val="es-AR"/>
        </w:rPr>
        <w:t xml:space="preserve">el </w:t>
      </w:r>
      <w:r w:rsidRPr="00116A43">
        <w:rPr>
          <w:sz w:val="20"/>
          <w:szCs w:val="20"/>
          <w:lang w:val="es-AR"/>
        </w:rPr>
        <w:t>derecho a la libertad de expresión</w:t>
      </w:r>
      <w:r w:rsidR="00F041B6" w:rsidRPr="00116A43">
        <w:rPr>
          <w:sz w:val="20"/>
          <w:szCs w:val="20"/>
          <w:lang w:val="es-AR"/>
        </w:rPr>
        <w:t xml:space="preserve"> se encuentra</w:t>
      </w:r>
      <w:r w:rsidR="00CB0630" w:rsidRPr="00116A43">
        <w:rPr>
          <w:sz w:val="20"/>
          <w:szCs w:val="20"/>
          <w:lang w:val="es-AR"/>
        </w:rPr>
        <w:t xml:space="preserve"> sometido a los fines del Estado socialista</w:t>
      </w:r>
      <w:r w:rsidR="00EC7F1C" w:rsidRPr="00116A43">
        <w:rPr>
          <w:sz w:val="20"/>
          <w:szCs w:val="20"/>
          <w:lang w:val="es-AR"/>
        </w:rPr>
        <w:t>, y que no existe una legislación ni una</w:t>
      </w:r>
      <w:r w:rsidR="00277956" w:rsidRPr="00116A43">
        <w:rPr>
          <w:sz w:val="20"/>
          <w:szCs w:val="20"/>
          <w:lang w:val="es-AR"/>
        </w:rPr>
        <w:t xml:space="preserve"> práctica que proteja el derecho y garantice su ejercicio </w:t>
      </w:r>
      <w:r w:rsidR="009D69DC" w:rsidRPr="00116A43">
        <w:rPr>
          <w:sz w:val="20"/>
          <w:szCs w:val="20"/>
          <w:lang w:val="es-AR"/>
        </w:rPr>
        <w:t xml:space="preserve">libre y </w:t>
      </w:r>
      <w:r w:rsidR="00277956" w:rsidRPr="00116A43">
        <w:rPr>
          <w:sz w:val="20"/>
          <w:szCs w:val="20"/>
          <w:lang w:val="es-AR"/>
        </w:rPr>
        <w:t>pleno</w:t>
      </w:r>
      <w:r w:rsidRPr="00116A43">
        <w:rPr>
          <w:sz w:val="20"/>
          <w:szCs w:val="20"/>
          <w:lang w:val="es-AR"/>
        </w:rPr>
        <w:t xml:space="preserve">. Esta afirmación </w:t>
      </w:r>
      <w:r w:rsidR="00F041B6" w:rsidRPr="00116A43">
        <w:rPr>
          <w:sz w:val="20"/>
          <w:szCs w:val="20"/>
          <w:lang w:val="es-AR"/>
        </w:rPr>
        <w:t>se comprueba</w:t>
      </w:r>
      <w:r w:rsidR="009D69DC" w:rsidRPr="00116A43">
        <w:rPr>
          <w:sz w:val="20"/>
          <w:szCs w:val="20"/>
          <w:lang w:val="es-AR"/>
        </w:rPr>
        <w:t xml:space="preserve"> con el contexto señalado en la sección correspondiente, </w:t>
      </w:r>
      <w:r w:rsidR="00634B32" w:rsidRPr="00116A43">
        <w:rPr>
          <w:sz w:val="20"/>
          <w:szCs w:val="20"/>
          <w:lang w:val="es-AR"/>
        </w:rPr>
        <w:t>según el cual en Cuba se continúan reportando</w:t>
      </w:r>
      <w:r w:rsidR="009D69DC" w:rsidRPr="00116A43">
        <w:rPr>
          <w:sz w:val="20"/>
          <w:szCs w:val="20"/>
          <w:lang w:val="es-AR"/>
        </w:rPr>
        <w:t xml:space="preserve"> </w:t>
      </w:r>
      <w:r w:rsidR="009C0F80" w:rsidRPr="00116A43">
        <w:rPr>
          <w:sz w:val="20"/>
          <w:szCs w:val="20"/>
          <w:lang w:val="es-AR"/>
        </w:rPr>
        <w:t xml:space="preserve">persecuciones </w:t>
      </w:r>
      <w:r w:rsidRPr="00116A43">
        <w:rPr>
          <w:sz w:val="20"/>
          <w:szCs w:val="20"/>
          <w:lang w:val="es-AR"/>
        </w:rPr>
        <w:t xml:space="preserve">a periodistas </w:t>
      </w:r>
      <w:r w:rsidR="009C0F80" w:rsidRPr="00116A43">
        <w:rPr>
          <w:sz w:val="20"/>
          <w:szCs w:val="20"/>
          <w:lang w:val="es-AR"/>
        </w:rPr>
        <w:t>independientes</w:t>
      </w:r>
      <w:r w:rsidRPr="00116A43">
        <w:rPr>
          <w:sz w:val="20"/>
          <w:szCs w:val="20"/>
          <w:lang w:val="es-AR"/>
        </w:rPr>
        <w:t xml:space="preserve">, </w:t>
      </w:r>
      <w:r w:rsidR="00CE451A" w:rsidRPr="00116A43">
        <w:rPr>
          <w:sz w:val="20"/>
          <w:szCs w:val="20"/>
          <w:lang w:val="es-AR"/>
        </w:rPr>
        <w:t xml:space="preserve">amenazas, citaciones, </w:t>
      </w:r>
      <w:r w:rsidR="00CC39A5" w:rsidRPr="00116A43">
        <w:rPr>
          <w:sz w:val="20"/>
          <w:szCs w:val="20"/>
          <w:lang w:val="es-AR"/>
        </w:rPr>
        <w:t xml:space="preserve">interrogatorios con fines intimidatorios, detenciones ilegales y/o arbitrarias, </w:t>
      </w:r>
      <w:r w:rsidR="00B30030" w:rsidRPr="00116A43">
        <w:rPr>
          <w:sz w:val="20"/>
          <w:szCs w:val="20"/>
          <w:lang w:val="es-AR"/>
        </w:rPr>
        <w:t>impedimento</w:t>
      </w:r>
      <w:r w:rsidR="00634B32" w:rsidRPr="00116A43">
        <w:rPr>
          <w:sz w:val="20"/>
          <w:szCs w:val="20"/>
          <w:lang w:val="es-AR"/>
        </w:rPr>
        <w:t>s</w:t>
      </w:r>
      <w:r w:rsidR="00B30030" w:rsidRPr="00116A43">
        <w:rPr>
          <w:sz w:val="20"/>
          <w:szCs w:val="20"/>
          <w:lang w:val="es-AR"/>
        </w:rPr>
        <w:t xml:space="preserve"> de salida del país,</w:t>
      </w:r>
      <w:r w:rsidR="00764263" w:rsidRPr="00116A43">
        <w:rPr>
          <w:sz w:val="20"/>
          <w:szCs w:val="20"/>
          <w:lang w:val="es-AR"/>
        </w:rPr>
        <w:t xml:space="preserve"> </w:t>
      </w:r>
      <w:r w:rsidR="008041DB" w:rsidRPr="00116A43">
        <w:rPr>
          <w:sz w:val="20"/>
          <w:szCs w:val="20"/>
          <w:lang w:val="es-AR"/>
        </w:rPr>
        <w:t xml:space="preserve">bloqueo y </w:t>
      </w:r>
      <w:r w:rsidR="00764263" w:rsidRPr="00116A43">
        <w:rPr>
          <w:sz w:val="20"/>
          <w:szCs w:val="20"/>
          <w:lang w:val="es-AR"/>
        </w:rPr>
        <w:t xml:space="preserve">restricciones al acceso a internet, </w:t>
      </w:r>
      <w:r w:rsidR="00C86856" w:rsidRPr="00116A43">
        <w:rPr>
          <w:sz w:val="20"/>
          <w:szCs w:val="20"/>
          <w:lang w:val="es-AR"/>
        </w:rPr>
        <w:t xml:space="preserve">acoso, campañas de repudio y desprestigio, </w:t>
      </w:r>
      <w:r w:rsidRPr="00116A43">
        <w:rPr>
          <w:sz w:val="20"/>
          <w:szCs w:val="20"/>
          <w:lang w:val="es-AR"/>
        </w:rPr>
        <w:t>censura previa, actos intimidatorios contra periodistas,</w:t>
      </w:r>
      <w:r w:rsidR="00B30030" w:rsidRPr="00116A43">
        <w:rPr>
          <w:sz w:val="20"/>
          <w:szCs w:val="20"/>
          <w:lang w:val="es-AR"/>
        </w:rPr>
        <w:t xml:space="preserve"> </w:t>
      </w:r>
      <w:r w:rsidRPr="00116A43">
        <w:rPr>
          <w:sz w:val="20"/>
          <w:szCs w:val="20"/>
          <w:lang w:val="es-AR"/>
        </w:rPr>
        <w:t>violaciones indirectas a la libertad de expresión</w:t>
      </w:r>
      <w:r w:rsidR="00B30030" w:rsidRPr="00116A43">
        <w:rPr>
          <w:sz w:val="20"/>
          <w:szCs w:val="20"/>
          <w:lang w:val="es-AR"/>
        </w:rPr>
        <w:t>, entre otros.</w:t>
      </w:r>
    </w:p>
    <w:p w14:paraId="2E1E7EA3" w14:textId="77777777" w:rsidR="008041DB" w:rsidRPr="00116A43" w:rsidRDefault="008041DB"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lang w:val="es-AR"/>
        </w:rPr>
      </w:pPr>
    </w:p>
    <w:p w14:paraId="6099A9E3" w14:textId="448E86A6" w:rsidR="008E062C" w:rsidRPr="00116A43" w:rsidRDefault="00A44222"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color w:val="auto"/>
          <w:lang w:val="es-AR"/>
        </w:rPr>
      </w:pPr>
      <w:r w:rsidRPr="00116A43">
        <w:rPr>
          <w:color w:val="auto"/>
          <w:sz w:val="20"/>
          <w:szCs w:val="20"/>
          <w:lang w:val="es-AR"/>
        </w:rPr>
        <w:t xml:space="preserve">Asimismo, </w:t>
      </w:r>
      <w:r w:rsidR="00AF5917" w:rsidRPr="00116A43">
        <w:rPr>
          <w:color w:val="auto"/>
          <w:sz w:val="20"/>
          <w:szCs w:val="20"/>
          <w:lang w:val="es-AR"/>
        </w:rPr>
        <w:t>Cub</w:t>
      </w:r>
      <w:r w:rsidR="00634B32" w:rsidRPr="00116A43">
        <w:rPr>
          <w:color w:val="auto"/>
          <w:sz w:val="20"/>
          <w:szCs w:val="20"/>
          <w:lang w:val="es-AR"/>
        </w:rPr>
        <w:t>a tiene un ordenamiento jurídico sumamente restrictivo de la libertad de expresión. E</w:t>
      </w:r>
      <w:r w:rsidR="0054467F" w:rsidRPr="00116A43">
        <w:rPr>
          <w:color w:val="auto"/>
          <w:sz w:val="20"/>
          <w:szCs w:val="20"/>
          <w:lang w:val="es-AR"/>
        </w:rPr>
        <w:t xml:space="preserve">l artículo 53 </w:t>
      </w:r>
      <w:r w:rsidR="0054467F" w:rsidRPr="00116A43">
        <w:rPr>
          <w:color w:val="auto"/>
          <w:sz w:val="20"/>
          <w:szCs w:val="20"/>
          <w:lang w:val="es-PE"/>
        </w:rPr>
        <w:t>de la Constitución de</w:t>
      </w:r>
      <w:r w:rsidR="008E062C" w:rsidRPr="00116A43">
        <w:rPr>
          <w:color w:val="auto"/>
          <w:sz w:val="20"/>
          <w:szCs w:val="20"/>
          <w:lang w:val="es-PE"/>
        </w:rPr>
        <w:t xml:space="preserve"> Cuba</w:t>
      </w:r>
      <w:r w:rsidR="0054467F" w:rsidRPr="00116A43">
        <w:rPr>
          <w:color w:val="auto"/>
          <w:sz w:val="20"/>
          <w:szCs w:val="20"/>
          <w:lang w:val="es-PE"/>
        </w:rPr>
        <w:t>, vigente en la época de los hechos</w:t>
      </w:r>
      <w:r w:rsidR="005C6A29" w:rsidRPr="00116A43">
        <w:rPr>
          <w:color w:val="auto"/>
          <w:sz w:val="20"/>
          <w:szCs w:val="20"/>
          <w:lang w:val="es-PE"/>
        </w:rPr>
        <w:t xml:space="preserve">, </w:t>
      </w:r>
      <w:r w:rsidR="00927E59" w:rsidRPr="00116A43">
        <w:rPr>
          <w:color w:val="auto"/>
          <w:sz w:val="20"/>
          <w:szCs w:val="20"/>
          <w:lang w:val="es-PE"/>
        </w:rPr>
        <w:t>condicion</w:t>
      </w:r>
      <w:r w:rsidR="00AF5917" w:rsidRPr="00116A43">
        <w:rPr>
          <w:color w:val="auto"/>
          <w:sz w:val="20"/>
          <w:szCs w:val="20"/>
          <w:lang w:val="es-PE"/>
        </w:rPr>
        <w:t>aba</w:t>
      </w:r>
      <w:r w:rsidR="005C6A29" w:rsidRPr="00116A43">
        <w:rPr>
          <w:color w:val="auto"/>
          <w:sz w:val="20"/>
          <w:szCs w:val="20"/>
          <w:lang w:val="es-PE"/>
        </w:rPr>
        <w:t xml:space="preserve"> el ejercicio </w:t>
      </w:r>
      <w:r w:rsidR="00E5415E" w:rsidRPr="00116A43">
        <w:rPr>
          <w:color w:val="auto"/>
          <w:sz w:val="20"/>
          <w:szCs w:val="20"/>
          <w:lang w:val="es-PE"/>
        </w:rPr>
        <w:t>de la libertad de prensa a los fines del Estado socialista</w:t>
      </w:r>
      <w:r w:rsidR="00417C12" w:rsidRPr="00116A43">
        <w:rPr>
          <w:color w:val="auto"/>
          <w:sz w:val="20"/>
          <w:szCs w:val="20"/>
          <w:lang w:val="es-PE"/>
        </w:rPr>
        <w:t xml:space="preserve">, </w:t>
      </w:r>
      <w:r w:rsidR="008C23E1" w:rsidRPr="00116A43">
        <w:rPr>
          <w:color w:val="auto"/>
          <w:sz w:val="20"/>
          <w:szCs w:val="20"/>
          <w:lang w:val="es-PE"/>
        </w:rPr>
        <w:t xml:space="preserve">incluso señalando que </w:t>
      </w:r>
      <w:r w:rsidR="00483ADA" w:rsidRPr="00116A43">
        <w:rPr>
          <w:color w:val="auto"/>
          <w:sz w:val="20"/>
          <w:szCs w:val="20"/>
          <w:lang w:val="es-PE"/>
        </w:rPr>
        <w:t xml:space="preserve">la infracción de dicha condición </w:t>
      </w:r>
      <w:r w:rsidR="008C5DDF" w:rsidRPr="00116A43">
        <w:rPr>
          <w:color w:val="auto"/>
          <w:sz w:val="20"/>
          <w:szCs w:val="20"/>
          <w:lang w:val="es-PE"/>
        </w:rPr>
        <w:t xml:space="preserve">era punible. </w:t>
      </w:r>
      <w:r w:rsidR="008C5DDF" w:rsidRPr="00116A43">
        <w:rPr>
          <w:color w:val="auto"/>
          <w:sz w:val="20"/>
          <w:szCs w:val="20"/>
          <w:lang w:val="es-419"/>
        </w:rPr>
        <w:t xml:space="preserve">Lo anterior se aleja </w:t>
      </w:r>
      <w:r w:rsidR="008E062C" w:rsidRPr="00116A43">
        <w:rPr>
          <w:color w:val="auto"/>
          <w:sz w:val="20"/>
          <w:szCs w:val="20"/>
          <w:lang w:val="es-419"/>
        </w:rPr>
        <w:t>de los estándares internacionales</w:t>
      </w:r>
      <w:r w:rsidR="004802AB" w:rsidRPr="00116A43">
        <w:rPr>
          <w:color w:val="auto"/>
          <w:sz w:val="20"/>
          <w:szCs w:val="20"/>
          <w:lang w:val="es-419"/>
        </w:rPr>
        <w:t xml:space="preserve">, </w:t>
      </w:r>
      <w:r w:rsidR="008E062C" w:rsidRPr="00116A43">
        <w:rPr>
          <w:color w:val="auto"/>
          <w:sz w:val="20"/>
          <w:szCs w:val="20"/>
          <w:lang w:val="es-419"/>
        </w:rPr>
        <w:t xml:space="preserve">conforme a los cuales el reconocimiento de la libertad de expresión no puede ser sujeto a condición alguna, y mucho menos cuando dicha condición limita la posibilidad </w:t>
      </w:r>
      <w:r w:rsidR="008E062C" w:rsidRPr="00116A43">
        <w:rPr>
          <w:color w:val="auto"/>
          <w:sz w:val="20"/>
          <w:szCs w:val="20"/>
          <w:lang w:val="es-419"/>
        </w:rPr>
        <w:lastRenderedPageBreak/>
        <w:t>de un debate abierto, plural y democrático sobre cuestiones políticas</w:t>
      </w:r>
      <w:r w:rsidR="00AC36D8" w:rsidRPr="00116A43">
        <w:rPr>
          <w:color w:val="auto"/>
          <w:sz w:val="20"/>
          <w:szCs w:val="20"/>
          <w:lang w:val="es-419"/>
        </w:rPr>
        <w:t xml:space="preserve"> o de interés público</w:t>
      </w:r>
      <w:r w:rsidR="008E062C" w:rsidRPr="00116A43">
        <w:rPr>
          <w:color w:val="auto"/>
          <w:sz w:val="20"/>
          <w:szCs w:val="20"/>
          <w:lang w:val="es-419"/>
        </w:rPr>
        <w:t xml:space="preserve">. </w:t>
      </w:r>
      <w:r w:rsidR="00FA7CAF" w:rsidRPr="00116A43">
        <w:rPr>
          <w:color w:val="auto"/>
          <w:sz w:val="20"/>
          <w:szCs w:val="20"/>
          <w:lang w:val="es-419"/>
        </w:rPr>
        <w:t>En efecto, el ejercicio de las libertades fundamentales, como la libertad de expresión, no puede estar condicionado a las ideas políticas de un partido o al control absoluto del poder estatal.</w:t>
      </w:r>
      <w:r w:rsidR="007E4856" w:rsidRPr="00116A43">
        <w:rPr>
          <w:color w:val="auto"/>
          <w:sz w:val="20"/>
          <w:szCs w:val="20"/>
          <w:lang w:val="es-419"/>
        </w:rPr>
        <w:t xml:space="preserve"> </w:t>
      </w:r>
      <w:r w:rsidR="008E062C" w:rsidRPr="00116A43">
        <w:rPr>
          <w:color w:val="auto"/>
          <w:sz w:val="20"/>
          <w:szCs w:val="20"/>
          <w:lang w:val="es-419"/>
        </w:rPr>
        <w:t>Al establecer que tales libertades deben ser conforme a los fines de la sociedad socialista, se habilita al Estado cubano a ejercer un control sobre la información que llega a la población.</w:t>
      </w:r>
      <w:r w:rsidR="00305237" w:rsidRPr="00116A43">
        <w:rPr>
          <w:color w:val="auto"/>
          <w:sz w:val="20"/>
          <w:szCs w:val="20"/>
          <w:lang w:val="es-419"/>
        </w:rPr>
        <w:t xml:space="preserve"> </w:t>
      </w:r>
    </w:p>
    <w:p w14:paraId="0C344251" w14:textId="77777777" w:rsidR="008041DB" w:rsidRPr="00116A43" w:rsidRDefault="008041DB" w:rsidP="00375047">
      <w:pPr>
        <w:pStyle w:val="ListParagraph"/>
        <w:ind w:left="0"/>
        <w:rPr>
          <w:lang w:val="es-AR"/>
        </w:rPr>
      </w:pPr>
    </w:p>
    <w:p w14:paraId="0A291773" w14:textId="34DC9E3E" w:rsidR="00AF5917" w:rsidRPr="00116A43" w:rsidRDefault="00C67F7A"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lang w:val="es-AR"/>
        </w:rPr>
      </w:pPr>
      <w:r w:rsidRPr="00116A43">
        <w:rPr>
          <w:sz w:val="20"/>
          <w:szCs w:val="20"/>
          <w:lang w:val="es-PE"/>
        </w:rPr>
        <w:t xml:space="preserve">La reforma constitucional </w:t>
      </w:r>
      <w:r w:rsidR="007E4856" w:rsidRPr="00116A43">
        <w:rPr>
          <w:sz w:val="20"/>
          <w:szCs w:val="20"/>
          <w:lang w:val="es-PE"/>
        </w:rPr>
        <w:t>ha mantenido</w:t>
      </w:r>
      <w:r w:rsidRPr="00116A43">
        <w:rPr>
          <w:sz w:val="20"/>
          <w:szCs w:val="20"/>
          <w:lang w:val="es-PE"/>
        </w:rPr>
        <w:t xml:space="preserve"> las restricciones principales de</w:t>
      </w:r>
      <w:r w:rsidR="00417081" w:rsidRPr="00116A43">
        <w:rPr>
          <w:sz w:val="20"/>
          <w:szCs w:val="20"/>
          <w:lang w:val="es-PE"/>
        </w:rPr>
        <w:t xml:space="preserve"> la Constitución anterior</w:t>
      </w:r>
      <w:r w:rsidRPr="00116A43">
        <w:rPr>
          <w:sz w:val="20"/>
          <w:szCs w:val="20"/>
          <w:lang w:val="es-PE"/>
        </w:rPr>
        <w:t xml:space="preserve">, en lo que respecta a la libertad de expresión, las cuales tornan en ilusorio el ejercicio del derecho y hacen de </w:t>
      </w:r>
      <w:r w:rsidR="00AF5917" w:rsidRPr="00116A43">
        <w:rPr>
          <w:sz w:val="20"/>
          <w:szCs w:val="20"/>
          <w:lang w:val="es-PE"/>
        </w:rPr>
        <w:t>e</w:t>
      </w:r>
      <w:r w:rsidRPr="00116A43">
        <w:rPr>
          <w:sz w:val="20"/>
          <w:szCs w:val="20"/>
          <w:lang w:val="es-PE"/>
        </w:rPr>
        <w:t>ste un reconocimiento que podría ser meramente retórico</w:t>
      </w:r>
      <w:r w:rsidR="006A2B52" w:rsidRPr="00116A43">
        <w:rPr>
          <w:sz w:val="20"/>
          <w:szCs w:val="20"/>
          <w:lang w:val="es-PE"/>
        </w:rPr>
        <w:t xml:space="preserve">. </w:t>
      </w:r>
      <w:r w:rsidR="006A2B52" w:rsidRPr="00116A43">
        <w:rPr>
          <w:sz w:val="20"/>
          <w:szCs w:val="20"/>
          <w:lang w:val="es-419"/>
        </w:rPr>
        <w:t xml:space="preserve">Si bien la nueva Constitución </w:t>
      </w:r>
      <w:r w:rsidR="00AF5917" w:rsidRPr="00116A43">
        <w:rPr>
          <w:sz w:val="20"/>
          <w:szCs w:val="20"/>
          <w:lang w:val="es-419"/>
        </w:rPr>
        <w:t xml:space="preserve">ya </w:t>
      </w:r>
      <w:r w:rsidR="00A51401" w:rsidRPr="00116A43">
        <w:rPr>
          <w:color w:val="auto"/>
          <w:sz w:val="20"/>
          <w:szCs w:val="20"/>
          <w:lang w:val="es-PE"/>
        </w:rPr>
        <w:t>no establece expresamente que la libertad de prensa estaría sujeta a los “fines de la sociedad socialista”, mantiene el impedimento de contar con medios de comunicación privados, distintos a los estatales</w:t>
      </w:r>
      <w:r w:rsidR="00114292" w:rsidRPr="00116A43">
        <w:rPr>
          <w:sz w:val="20"/>
          <w:szCs w:val="20"/>
          <w:lang w:val="es-PE"/>
        </w:rPr>
        <w:t xml:space="preserve">, </w:t>
      </w:r>
      <w:r w:rsidR="000A3FC3" w:rsidRPr="00116A43">
        <w:rPr>
          <w:sz w:val="20"/>
          <w:szCs w:val="20"/>
          <w:lang w:val="es-PE"/>
        </w:rPr>
        <w:t xml:space="preserve">y establece que </w:t>
      </w:r>
      <w:r w:rsidR="000A3FC3" w:rsidRPr="00116A43">
        <w:rPr>
          <w:color w:val="auto"/>
          <w:sz w:val="20"/>
          <w:szCs w:val="20"/>
          <w:lang w:val="es-PE"/>
        </w:rPr>
        <w:t>los medios de comunicación social "son de propiedad socialista de todo el pueblo".</w:t>
      </w:r>
      <w:r w:rsidR="000A3FC3" w:rsidRPr="00116A43">
        <w:rPr>
          <w:sz w:val="20"/>
          <w:szCs w:val="20"/>
          <w:lang w:val="es-PE"/>
        </w:rPr>
        <w:t xml:space="preserve"> Lo anterior debe</w:t>
      </w:r>
      <w:r w:rsidR="00832A8C" w:rsidRPr="00116A43">
        <w:rPr>
          <w:sz w:val="20"/>
          <w:szCs w:val="20"/>
          <w:lang w:val="es-PE"/>
        </w:rPr>
        <w:t xml:space="preserve"> además</w:t>
      </w:r>
      <w:r w:rsidR="000A3FC3" w:rsidRPr="00116A43">
        <w:rPr>
          <w:sz w:val="20"/>
          <w:szCs w:val="20"/>
          <w:lang w:val="es-PE"/>
        </w:rPr>
        <w:t xml:space="preserve"> interpretarse </w:t>
      </w:r>
      <w:r w:rsidR="00832A8C" w:rsidRPr="00116A43">
        <w:rPr>
          <w:sz w:val="20"/>
          <w:szCs w:val="20"/>
          <w:lang w:val="es-PE"/>
        </w:rPr>
        <w:t xml:space="preserve">junto con el hecho </w:t>
      </w:r>
      <w:r w:rsidR="00114292" w:rsidRPr="00116A43">
        <w:rPr>
          <w:sz w:val="20"/>
          <w:szCs w:val="20"/>
          <w:lang w:val="es-PE"/>
        </w:rPr>
        <w:t>de que el</w:t>
      </w:r>
      <w:r w:rsidR="00584E25" w:rsidRPr="00116A43">
        <w:rPr>
          <w:sz w:val="20"/>
          <w:szCs w:val="20"/>
          <w:lang w:val="es-PE"/>
        </w:rPr>
        <w:t xml:space="preserve"> Partido Comunista </w:t>
      </w:r>
      <w:r w:rsidR="00832A8C" w:rsidRPr="00116A43">
        <w:rPr>
          <w:sz w:val="20"/>
          <w:szCs w:val="20"/>
          <w:lang w:val="es-PE"/>
        </w:rPr>
        <w:t>sigue siendo</w:t>
      </w:r>
      <w:r w:rsidR="00053947" w:rsidRPr="00116A43">
        <w:rPr>
          <w:sz w:val="20"/>
          <w:szCs w:val="20"/>
          <w:lang w:val="es-PE"/>
        </w:rPr>
        <w:t xml:space="preserve"> el partido único y la fuerza dirigente superior</w:t>
      </w:r>
      <w:r w:rsidR="00832A8C" w:rsidRPr="00116A43">
        <w:rPr>
          <w:sz w:val="20"/>
          <w:szCs w:val="20"/>
          <w:lang w:val="es-PE"/>
        </w:rPr>
        <w:t xml:space="preserve"> en el país.</w:t>
      </w:r>
      <w:r w:rsidR="00AF5917" w:rsidRPr="00116A43">
        <w:rPr>
          <w:sz w:val="20"/>
          <w:szCs w:val="20"/>
          <w:lang w:val="es-PE"/>
        </w:rPr>
        <w:t xml:space="preserve"> La existencia del monopolio absoluto de los medios de comunicación </w:t>
      </w:r>
      <w:r w:rsidR="00AF5917" w:rsidRPr="00116A43">
        <w:rPr>
          <w:rFonts w:cs="Arial"/>
          <w:color w:val="auto"/>
          <w:sz w:val="20"/>
          <w:szCs w:val="20"/>
          <w:lang w:val="es-PE"/>
        </w:rPr>
        <w:t xml:space="preserve">en cualquiera de sus manifestaciones y soportes por parte del Estado, no genera un espacio propicio para el ejercicio libre y pleno del derecho a la libertad de expresión. </w:t>
      </w:r>
    </w:p>
    <w:p w14:paraId="5ADA22ED" w14:textId="77777777" w:rsidR="008041DB" w:rsidRPr="00116A43" w:rsidRDefault="008041DB" w:rsidP="008041DB">
      <w:pPr>
        <w:pStyle w:val="ListParagraph"/>
        <w:rPr>
          <w:lang w:val="es-AR"/>
        </w:rPr>
      </w:pPr>
    </w:p>
    <w:p w14:paraId="3D84F3CB" w14:textId="0EAF83D9" w:rsidR="00781102" w:rsidRPr="00116A43" w:rsidRDefault="00781102"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lang w:val="es-AR"/>
        </w:rPr>
      </w:pPr>
      <w:r w:rsidRPr="00116A43">
        <w:rPr>
          <w:sz w:val="20"/>
          <w:szCs w:val="20"/>
          <w:lang w:val="es-PE"/>
        </w:rPr>
        <w:t>La CIDH considera importante resaltar que</w:t>
      </w:r>
      <w:r w:rsidR="004802AB" w:rsidRPr="00116A43">
        <w:rPr>
          <w:sz w:val="20"/>
          <w:szCs w:val="20"/>
          <w:lang w:val="es-PE"/>
        </w:rPr>
        <w:t xml:space="preserve">, </w:t>
      </w:r>
      <w:r w:rsidR="00E157AF" w:rsidRPr="00116A43">
        <w:rPr>
          <w:sz w:val="20"/>
          <w:szCs w:val="20"/>
          <w:lang w:val="es-PE"/>
        </w:rPr>
        <w:t>con base en la normativa señalada</w:t>
      </w:r>
      <w:r w:rsidR="00D907EC" w:rsidRPr="00116A43">
        <w:rPr>
          <w:sz w:val="20"/>
          <w:szCs w:val="20"/>
          <w:lang w:val="es-PE"/>
        </w:rPr>
        <w:t xml:space="preserve">, </w:t>
      </w:r>
      <w:r w:rsidR="004802AB" w:rsidRPr="00116A43">
        <w:rPr>
          <w:sz w:val="20"/>
          <w:szCs w:val="20"/>
          <w:lang w:val="es-PE"/>
        </w:rPr>
        <w:t xml:space="preserve">al intentarse </w:t>
      </w:r>
      <w:r w:rsidR="008A4522" w:rsidRPr="00116A43">
        <w:rPr>
          <w:sz w:val="20"/>
          <w:szCs w:val="20"/>
          <w:lang w:val="es-PE"/>
        </w:rPr>
        <w:t xml:space="preserve">condicionar la expresión a </w:t>
      </w:r>
      <w:r w:rsidR="00BB47DE" w:rsidRPr="00116A43">
        <w:rPr>
          <w:sz w:val="20"/>
          <w:szCs w:val="20"/>
          <w:lang w:val="es-PE"/>
        </w:rPr>
        <w:t xml:space="preserve">las ideas políticas del único partido en Cuba, </w:t>
      </w:r>
      <w:r w:rsidR="00D328B9" w:rsidRPr="00116A43">
        <w:rPr>
          <w:sz w:val="20"/>
          <w:szCs w:val="20"/>
          <w:lang w:val="es-PE"/>
        </w:rPr>
        <w:t xml:space="preserve">no se busca proteger un objetivo legítimo </w:t>
      </w:r>
      <w:r w:rsidR="001D255F" w:rsidRPr="00116A43">
        <w:rPr>
          <w:sz w:val="20"/>
          <w:szCs w:val="20"/>
          <w:lang w:val="es-PE"/>
        </w:rPr>
        <w:t>bajo el concepto</w:t>
      </w:r>
      <w:r w:rsidR="00911F4F" w:rsidRPr="00116A43">
        <w:rPr>
          <w:sz w:val="20"/>
          <w:szCs w:val="20"/>
          <w:lang w:val="es-PE"/>
        </w:rPr>
        <w:t xml:space="preserve"> de un orden </w:t>
      </w:r>
      <w:r w:rsidR="00911F4F" w:rsidRPr="00116A43">
        <w:rPr>
          <w:sz w:val="20"/>
          <w:szCs w:val="20"/>
          <w:lang w:val="es-CO"/>
        </w:rPr>
        <w:t xml:space="preserve">democrático, entendido como la existencia de las condiciones estructurales para que todas las personas, sin discriminación, puedan ejercer sus derechos en libertad y sin miedo a ser sancionados por ello, sino </w:t>
      </w:r>
      <w:r w:rsidR="00AF5917" w:rsidRPr="00116A43">
        <w:rPr>
          <w:sz w:val="20"/>
          <w:szCs w:val="20"/>
          <w:lang w:val="es-CO"/>
        </w:rPr>
        <w:t xml:space="preserve">que </w:t>
      </w:r>
      <w:r w:rsidR="00842776" w:rsidRPr="00116A43">
        <w:rPr>
          <w:sz w:val="20"/>
          <w:szCs w:val="20"/>
          <w:lang w:val="es-CO"/>
        </w:rPr>
        <w:t>más</w:t>
      </w:r>
      <w:r w:rsidR="00911F4F" w:rsidRPr="00116A43">
        <w:rPr>
          <w:sz w:val="20"/>
          <w:szCs w:val="20"/>
          <w:lang w:val="es-CO"/>
        </w:rPr>
        <w:t xml:space="preserve"> bien</w:t>
      </w:r>
      <w:r w:rsidR="00AF5917" w:rsidRPr="00116A43">
        <w:rPr>
          <w:sz w:val="20"/>
          <w:szCs w:val="20"/>
          <w:lang w:val="es-CO"/>
        </w:rPr>
        <w:t xml:space="preserve"> se protege</w:t>
      </w:r>
      <w:r w:rsidR="00911F4F" w:rsidRPr="00116A43">
        <w:rPr>
          <w:sz w:val="20"/>
          <w:szCs w:val="20"/>
          <w:lang w:val="es-CO"/>
        </w:rPr>
        <w:t xml:space="preserve"> </w:t>
      </w:r>
      <w:r w:rsidR="00842776" w:rsidRPr="00116A43">
        <w:rPr>
          <w:sz w:val="20"/>
          <w:szCs w:val="20"/>
          <w:lang w:val="es-CO"/>
        </w:rPr>
        <w:t xml:space="preserve">un “orden” de corte autoritario. </w:t>
      </w:r>
    </w:p>
    <w:p w14:paraId="540862EA" w14:textId="77777777" w:rsidR="008041DB" w:rsidRPr="00116A43" w:rsidRDefault="008041DB" w:rsidP="00375047">
      <w:pPr>
        <w:pStyle w:val="ListParagraph"/>
        <w:ind w:left="0"/>
        <w:rPr>
          <w:lang w:val="es-AR"/>
        </w:rPr>
      </w:pPr>
    </w:p>
    <w:p w14:paraId="0CA197BE" w14:textId="7E61CEB4" w:rsidR="000D07E5" w:rsidRPr="00116A43" w:rsidRDefault="009829B6"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AR"/>
        </w:rPr>
      </w:pPr>
      <w:r w:rsidRPr="00116A43">
        <w:rPr>
          <w:sz w:val="20"/>
          <w:szCs w:val="20"/>
          <w:lang w:val="es-PE"/>
        </w:rPr>
        <w:t>La CIDH considera que tanto la</w:t>
      </w:r>
      <w:r w:rsidR="000D07E5" w:rsidRPr="00116A43">
        <w:rPr>
          <w:sz w:val="20"/>
          <w:szCs w:val="20"/>
          <w:lang w:val="es-PE"/>
        </w:rPr>
        <w:t xml:space="preserve"> fórmula constitucional </w:t>
      </w:r>
      <w:r w:rsidRPr="00116A43">
        <w:rPr>
          <w:sz w:val="20"/>
          <w:szCs w:val="20"/>
          <w:lang w:val="es-PE"/>
        </w:rPr>
        <w:t xml:space="preserve">de 1976 como la de 2019 </w:t>
      </w:r>
      <w:r w:rsidR="000D07E5" w:rsidRPr="00116A43">
        <w:rPr>
          <w:sz w:val="20"/>
          <w:szCs w:val="20"/>
          <w:lang w:val="es-PE"/>
        </w:rPr>
        <w:t>establec</w:t>
      </w:r>
      <w:r w:rsidR="00AF5917" w:rsidRPr="00116A43">
        <w:rPr>
          <w:sz w:val="20"/>
          <w:szCs w:val="20"/>
          <w:lang w:val="es-PE"/>
        </w:rPr>
        <w:t>ieron</w:t>
      </w:r>
      <w:r w:rsidR="000D07E5" w:rsidRPr="00116A43">
        <w:rPr>
          <w:sz w:val="20"/>
          <w:szCs w:val="20"/>
          <w:lang w:val="es-PE"/>
        </w:rPr>
        <w:t xml:space="preserve"> límites arbitrarios al </w:t>
      </w:r>
      <w:r w:rsidRPr="00116A43">
        <w:rPr>
          <w:sz w:val="20"/>
          <w:szCs w:val="20"/>
          <w:lang w:val="es-PE"/>
        </w:rPr>
        <w:t>derecho a la libertad de expresión</w:t>
      </w:r>
      <w:r w:rsidR="00F213E1" w:rsidRPr="00116A43">
        <w:rPr>
          <w:sz w:val="20"/>
          <w:szCs w:val="20"/>
          <w:lang w:val="es-PE"/>
        </w:rPr>
        <w:t xml:space="preserve"> y contrarios a la Declaración Americana.</w:t>
      </w:r>
    </w:p>
    <w:p w14:paraId="00906FE2" w14:textId="77777777" w:rsidR="00D03DC5" w:rsidRPr="00116A43" w:rsidRDefault="00D03DC5" w:rsidP="00375047">
      <w:pPr>
        <w:pStyle w:val="ListParagraph"/>
        <w:ind w:left="0"/>
        <w:rPr>
          <w:sz w:val="20"/>
          <w:szCs w:val="20"/>
          <w:lang w:val="es-AR"/>
        </w:rPr>
      </w:pPr>
    </w:p>
    <w:p w14:paraId="0FD503A7" w14:textId="074299A7" w:rsidR="00FC4CAA" w:rsidRPr="00116A43" w:rsidRDefault="00D03DC5"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AR"/>
        </w:rPr>
      </w:pPr>
      <w:r w:rsidRPr="00116A43">
        <w:rPr>
          <w:sz w:val="20"/>
          <w:szCs w:val="20"/>
          <w:lang w:val="es-AR"/>
        </w:rPr>
        <w:t xml:space="preserve">Por su parte, </w:t>
      </w:r>
      <w:r w:rsidR="0045289F" w:rsidRPr="00116A43">
        <w:rPr>
          <w:sz w:val="20"/>
          <w:szCs w:val="20"/>
          <w:lang w:val="es-AR"/>
        </w:rPr>
        <w:t xml:space="preserve">las restricciones arbitrarias a la libertad de expresión se han visto traducidas también en </w:t>
      </w:r>
      <w:r w:rsidR="00757D1C" w:rsidRPr="00116A43">
        <w:rPr>
          <w:sz w:val="20"/>
          <w:szCs w:val="20"/>
          <w:lang w:val="es-AR"/>
        </w:rPr>
        <w:t xml:space="preserve">los espacios digitales. </w:t>
      </w:r>
      <w:r w:rsidR="00B45AC7" w:rsidRPr="00116A43">
        <w:rPr>
          <w:sz w:val="20"/>
          <w:szCs w:val="20"/>
          <w:lang w:val="es-AR"/>
        </w:rPr>
        <w:t xml:space="preserve">Si bien </w:t>
      </w:r>
      <w:r w:rsidR="00E0372A" w:rsidRPr="00116A43">
        <w:rPr>
          <w:sz w:val="20"/>
          <w:szCs w:val="20"/>
          <w:lang w:val="es-AR"/>
        </w:rPr>
        <w:t>aún</w:t>
      </w:r>
      <w:r w:rsidR="00564960" w:rsidRPr="00116A43">
        <w:rPr>
          <w:sz w:val="20"/>
          <w:szCs w:val="20"/>
          <w:lang w:val="es-AR"/>
        </w:rPr>
        <w:t xml:space="preserve"> existe un</w:t>
      </w:r>
      <w:r w:rsidR="00564960" w:rsidRPr="00116A43">
        <w:rPr>
          <w:sz w:val="20"/>
          <w:szCs w:val="20"/>
          <w:lang w:val="es-PE"/>
        </w:rPr>
        <w:t xml:space="preserve"> lento y paulatino desarrollo de tecnologías de la comunicación en Cuba que, aún </w:t>
      </w:r>
      <w:r w:rsidR="00021D69" w:rsidRPr="00116A43">
        <w:rPr>
          <w:sz w:val="20"/>
          <w:szCs w:val="20"/>
          <w:lang w:val="es-PE"/>
        </w:rPr>
        <w:t xml:space="preserve">cuenta </w:t>
      </w:r>
      <w:r w:rsidR="00564960" w:rsidRPr="00116A43">
        <w:rPr>
          <w:sz w:val="20"/>
          <w:szCs w:val="20"/>
          <w:lang w:val="es-PE"/>
        </w:rPr>
        <w:t>con severas restricciones,</w:t>
      </w:r>
      <w:r w:rsidR="00021D69" w:rsidRPr="00116A43">
        <w:rPr>
          <w:sz w:val="20"/>
          <w:szCs w:val="20"/>
          <w:lang w:val="es-PE"/>
        </w:rPr>
        <w:t xml:space="preserve"> las plataformas digitales</w:t>
      </w:r>
      <w:r w:rsidR="00564960" w:rsidRPr="00116A43">
        <w:rPr>
          <w:sz w:val="20"/>
          <w:szCs w:val="20"/>
          <w:lang w:val="es-PE"/>
        </w:rPr>
        <w:t xml:space="preserve"> se ha</w:t>
      </w:r>
      <w:r w:rsidR="00021D69" w:rsidRPr="00116A43">
        <w:rPr>
          <w:sz w:val="20"/>
          <w:szCs w:val="20"/>
          <w:lang w:val="es-PE"/>
        </w:rPr>
        <w:t>n</w:t>
      </w:r>
      <w:r w:rsidR="00564960" w:rsidRPr="00116A43">
        <w:rPr>
          <w:sz w:val="20"/>
          <w:szCs w:val="20"/>
          <w:lang w:val="es-PE"/>
        </w:rPr>
        <w:t xml:space="preserve"> vuelto relevante</w:t>
      </w:r>
      <w:r w:rsidR="00691149" w:rsidRPr="00116A43">
        <w:rPr>
          <w:sz w:val="20"/>
          <w:szCs w:val="20"/>
          <w:lang w:val="es-PE"/>
        </w:rPr>
        <w:t>s</w:t>
      </w:r>
      <w:r w:rsidR="00564960" w:rsidRPr="00116A43">
        <w:rPr>
          <w:sz w:val="20"/>
          <w:szCs w:val="20"/>
          <w:lang w:val="es-PE"/>
        </w:rPr>
        <w:t xml:space="preserve"> en un país cuyos medios de comunicación legales son controlados por un Estado de partido único</w:t>
      </w:r>
      <w:r w:rsidR="00691149" w:rsidRPr="00116A43">
        <w:rPr>
          <w:sz w:val="20"/>
          <w:szCs w:val="20"/>
          <w:lang w:val="es-PE"/>
        </w:rPr>
        <w:t xml:space="preserve">. </w:t>
      </w:r>
      <w:r w:rsidR="00FC4CAA" w:rsidRPr="00116A43">
        <w:rPr>
          <w:sz w:val="20"/>
          <w:szCs w:val="20"/>
          <w:lang w:val="es-PE"/>
        </w:rPr>
        <w:t>En los últimos años el uso de Internet y el desarrollo de medios digitales ha permitido la apertura de espacios para la circulación de información e ideas al margen del control oficial</w:t>
      </w:r>
      <w:r w:rsidR="001A0C47" w:rsidRPr="00116A43">
        <w:rPr>
          <w:sz w:val="20"/>
          <w:szCs w:val="20"/>
          <w:lang w:val="es-PE"/>
        </w:rPr>
        <w:t>.</w:t>
      </w:r>
      <w:r w:rsidR="00FC4CAA" w:rsidRPr="00116A43">
        <w:rPr>
          <w:sz w:val="20"/>
          <w:szCs w:val="20"/>
          <w:lang w:val="es-PE"/>
        </w:rPr>
        <w:t xml:space="preserve"> Ha sido gracias a estas tecnologías que han surgido medios independientes, además de blogs, páginas de grupos culturales, de activismo, y demandas sociales</w:t>
      </w:r>
      <w:r w:rsidR="001A0C47" w:rsidRPr="00116A43">
        <w:rPr>
          <w:rStyle w:val="FootnoteReference"/>
          <w:sz w:val="20"/>
          <w:szCs w:val="20"/>
          <w:lang w:val="es-PE"/>
        </w:rPr>
        <w:footnoteReference w:id="277"/>
      </w:r>
      <w:r w:rsidR="00691149" w:rsidRPr="00116A43">
        <w:rPr>
          <w:sz w:val="20"/>
          <w:szCs w:val="20"/>
          <w:lang w:val="es-PE"/>
        </w:rPr>
        <w:t xml:space="preserve">, como el blog </w:t>
      </w:r>
      <w:r w:rsidR="00AF5917" w:rsidRPr="00116A43">
        <w:rPr>
          <w:sz w:val="20"/>
          <w:szCs w:val="20"/>
          <w:lang w:val="es-PE"/>
        </w:rPr>
        <w:t>“</w:t>
      </w:r>
      <w:r w:rsidR="00691149" w:rsidRPr="00116A43">
        <w:rPr>
          <w:sz w:val="20"/>
          <w:szCs w:val="20"/>
          <w:lang w:val="es-PE"/>
        </w:rPr>
        <w:t>Generación Y</w:t>
      </w:r>
      <w:r w:rsidR="00AF5917" w:rsidRPr="00116A43">
        <w:rPr>
          <w:sz w:val="20"/>
          <w:szCs w:val="20"/>
          <w:lang w:val="es-PE"/>
        </w:rPr>
        <w:t>”</w:t>
      </w:r>
      <w:r w:rsidR="00691149" w:rsidRPr="00116A43">
        <w:rPr>
          <w:sz w:val="20"/>
          <w:szCs w:val="20"/>
          <w:lang w:val="es-PE"/>
        </w:rPr>
        <w:t xml:space="preserve"> de la víctima del presente caso.</w:t>
      </w:r>
    </w:p>
    <w:p w14:paraId="79F9D76F" w14:textId="77777777" w:rsidR="00FC4CAA" w:rsidRPr="00116A43" w:rsidRDefault="00FC4CAA" w:rsidP="00375047">
      <w:pPr>
        <w:pStyle w:val="ListParagraph"/>
        <w:ind w:left="0"/>
        <w:jc w:val="both"/>
        <w:rPr>
          <w:sz w:val="20"/>
          <w:szCs w:val="20"/>
          <w:lang w:val="es-PE"/>
        </w:rPr>
      </w:pPr>
    </w:p>
    <w:p w14:paraId="16024A1A" w14:textId="77704D7F" w:rsidR="00FC4CAA" w:rsidRPr="00116A43" w:rsidRDefault="00FC4CAA" w:rsidP="00375047">
      <w:pPr>
        <w:pStyle w:val="ListParagraph"/>
        <w:numPr>
          <w:ilvl w:val="0"/>
          <w:numId w:val="55"/>
        </w:numPr>
        <w:ind w:firstLine="0"/>
        <w:jc w:val="both"/>
        <w:rPr>
          <w:sz w:val="20"/>
          <w:szCs w:val="20"/>
          <w:lang w:val="es-PE"/>
        </w:rPr>
      </w:pPr>
      <w:r w:rsidRPr="00116A43">
        <w:rPr>
          <w:sz w:val="20"/>
          <w:szCs w:val="20"/>
          <w:lang w:val="es-PE"/>
        </w:rPr>
        <w:t>El surgimiento de Internet como plataforma de distribución de contenidos fue visto con absoluto recelo por las autoridades cubanas, que lo consideraron un medio "subversivo"</w:t>
      </w:r>
      <w:r w:rsidR="005F12BB">
        <w:rPr>
          <w:rStyle w:val="FootnoteReference"/>
          <w:sz w:val="20"/>
          <w:szCs w:val="20"/>
          <w:lang w:val="es-PE"/>
        </w:rPr>
        <w:footnoteReference w:id="278"/>
      </w:r>
      <w:r w:rsidRPr="00116A43">
        <w:rPr>
          <w:sz w:val="20"/>
          <w:szCs w:val="20"/>
          <w:lang w:val="es-PE"/>
        </w:rPr>
        <w:t>. Actualmente, los principales cuadros del régimen parecen reconocer la importancia de la plataforma, pero ello no ha supuesto un cambio en las políticas y la regulación de los medios de comunicación en Cuba. En efecto, en términos generales, el marco político actual entiende que internet es la principal plataforma para difusión de contenidos y conocimiento, siempre que no contravenga las normas y principios orientados a mantener y favorecer al régimen. Los usos de Internet para otros fines, particularmente la crítica abierta al sistema, corren el riesgo de ser eliminados, bloqueados o filtrados de la red por parte de las autoridades</w:t>
      </w:r>
      <w:r w:rsidR="001A0C47" w:rsidRPr="00116A43">
        <w:rPr>
          <w:rStyle w:val="FootnoteReference"/>
          <w:sz w:val="20"/>
          <w:szCs w:val="20"/>
          <w:lang w:val="es-PE"/>
        </w:rPr>
        <w:footnoteReference w:id="279"/>
      </w:r>
      <w:r w:rsidRPr="00116A43">
        <w:rPr>
          <w:sz w:val="20"/>
          <w:szCs w:val="20"/>
          <w:lang w:val="es-PE"/>
        </w:rPr>
        <w:t>.</w:t>
      </w:r>
      <w:r w:rsidR="001D40DA" w:rsidRPr="00116A43">
        <w:rPr>
          <w:sz w:val="20"/>
          <w:szCs w:val="20"/>
          <w:lang w:val="es-PE"/>
        </w:rPr>
        <w:t xml:space="preserve"> </w:t>
      </w:r>
      <w:r w:rsidRPr="00116A43">
        <w:rPr>
          <w:sz w:val="20"/>
          <w:szCs w:val="20"/>
          <w:lang w:val="es-PE"/>
        </w:rPr>
        <w:t xml:space="preserve">Lejos de estos estándares para </w:t>
      </w:r>
      <w:r w:rsidRPr="00116A43">
        <w:rPr>
          <w:sz w:val="20"/>
          <w:szCs w:val="20"/>
          <w:lang w:val="es-PE"/>
        </w:rPr>
        <w:lastRenderedPageBreak/>
        <w:t>una red libre, abierta e inclusiva, el despliegue normativo y prácticas en Cuba generan un espacio controlado y sesgado</w:t>
      </w:r>
      <w:r w:rsidR="001D40DA" w:rsidRPr="00116A43">
        <w:rPr>
          <w:rStyle w:val="FootnoteReference"/>
          <w:sz w:val="20"/>
          <w:szCs w:val="20"/>
          <w:lang w:val="es-PE"/>
        </w:rPr>
        <w:footnoteReference w:id="280"/>
      </w:r>
      <w:r w:rsidR="001D40DA" w:rsidRPr="00116A43">
        <w:rPr>
          <w:sz w:val="20"/>
          <w:szCs w:val="20"/>
          <w:lang w:val="es-PE"/>
        </w:rPr>
        <w:t>.</w:t>
      </w:r>
    </w:p>
    <w:p w14:paraId="595D84D6" w14:textId="77777777" w:rsidR="00524B59" w:rsidRPr="00116A43" w:rsidRDefault="00524B59" w:rsidP="00375047">
      <w:pPr>
        <w:pStyle w:val="ListParagraph"/>
        <w:ind w:left="0"/>
        <w:rPr>
          <w:sz w:val="20"/>
          <w:szCs w:val="20"/>
          <w:lang w:val="es-PE"/>
        </w:rPr>
      </w:pPr>
    </w:p>
    <w:p w14:paraId="34646B5D" w14:textId="5DE7C309" w:rsidR="00524B59" w:rsidRPr="00116A43" w:rsidRDefault="00524B59" w:rsidP="00375047">
      <w:pPr>
        <w:pStyle w:val="ListParagraph"/>
        <w:numPr>
          <w:ilvl w:val="0"/>
          <w:numId w:val="55"/>
        </w:numPr>
        <w:ind w:firstLine="0"/>
        <w:jc w:val="both"/>
        <w:rPr>
          <w:sz w:val="20"/>
          <w:szCs w:val="20"/>
          <w:lang w:val="es-419"/>
        </w:rPr>
      </w:pPr>
      <w:r w:rsidRPr="00116A43">
        <w:rPr>
          <w:sz w:val="20"/>
          <w:szCs w:val="20"/>
          <w:lang w:val="es-PE"/>
        </w:rPr>
        <w:t>Así, por ejemplo, según Resolución No. 179 de 2008, los proveedores de servicios de acceso a Internet al público, conocidos comúnmente por las siglas en inglés ISP</w:t>
      </w:r>
      <w:r w:rsidR="00116A43">
        <w:rPr>
          <w:sz w:val="20"/>
          <w:szCs w:val="20"/>
          <w:lang w:val="es-PE"/>
        </w:rPr>
        <w:t xml:space="preserve"> </w:t>
      </w:r>
      <w:r w:rsidR="00116A43" w:rsidRPr="00116A43">
        <w:rPr>
          <w:i/>
          <w:sz w:val="20"/>
          <w:szCs w:val="20"/>
          <w:lang w:val="es-PE"/>
        </w:rPr>
        <w:t>(Internet Service Providers)</w:t>
      </w:r>
      <w:r w:rsidRPr="00116A43">
        <w:rPr>
          <w:sz w:val="20"/>
          <w:szCs w:val="20"/>
          <w:lang w:val="es-PE"/>
        </w:rPr>
        <w:t xml:space="preserve"> deben</w:t>
      </w:r>
      <w:r w:rsidR="00691B13" w:rsidRPr="00116A43">
        <w:rPr>
          <w:sz w:val="20"/>
          <w:szCs w:val="20"/>
          <w:lang w:val="es-PE"/>
        </w:rPr>
        <w:t>:</w:t>
      </w:r>
      <w:r w:rsidRPr="00116A43">
        <w:rPr>
          <w:sz w:val="20"/>
          <w:szCs w:val="20"/>
          <w:lang w:val="es-PE"/>
        </w:rPr>
        <w:t xml:space="preserve"> </w:t>
      </w:r>
    </w:p>
    <w:p w14:paraId="0B77A4BB" w14:textId="77777777" w:rsidR="00524B59" w:rsidRPr="00116A43" w:rsidRDefault="00524B59" w:rsidP="00691B13">
      <w:pPr>
        <w:pStyle w:val="ListParagraph"/>
        <w:rPr>
          <w:sz w:val="20"/>
          <w:szCs w:val="20"/>
          <w:lang w:val="es-419"/>
        </w:rPr>
      </w:pPr>
    </w:p>
    <w:p w14:paraId="52586AFE" w14:textId="0B6B55EE" w:rsidR="00524B59" w:rsidRPr="00116A43" w:rsidRDefault="00524B59" w:rsidP="00045AAA">
      <w:pPr>
        <w:pStyle w:val="ListParagraph"/>
        <w:ind w:right="720"/>
        <w:jc w:val="both"/>
        <w:rPr>
          <w:sz w:val="18"/>
          <w:szCs w:val="18"/>
          <w:lang w:val="es-419"/>
        </w:rPr>
      </w:pPr>
      <w:r w:rsidRPr="00116A43">
        <w:rPr>
          <w:sz w:val="18"/>
          <w:szCs w:val="18"/>
          <w:lang w:val="es-PE"/>
        </w:rPr>
        <w:t>[a]doptar las medidas necesarias para impedir el acceso a sitios cuyos contenidos sean contrarios al interés social, la moral y las buenas costumbres; así como el uso de aplicaciones que afecten la integridad o la seguridad del Estado”, así como “[e]stablecer los procedimientos que aseguren la identificación del origen de los accesos, así como su registro y</w:t>
      </w:r>
      <w:r w:rsidR="00691B13" w:rsidRPr="00116A43">
        <w:rPr>
          <w:sz w:val="18"/>
          <w:szCs w:val="18"/>
          <w:lang w:val="es-PE"/>
        </w:rPr>
        <w:t xml:space="preserve"> </w:t>
      </w:r>
      <w:r w:rsidRPr="00116A43">
        <w:rPr>
          <w:sz w:val="18"/>
          <w:szCs w:val="18"/>
          <w:lang w:val="es-PE"/>
        </w:rPr>
        <w:t>conservación por un tiempo no menor de un (1) año”. Aquellos ISPs que no lleven a cabo estas y varias otras funciones correctamente se ven expuestos a la suspensión temporal o definitiva de su contrato con la Empresa de Telecomunicaciones de Cuba S. A (ETECSA), empresa estatal que tiene monopolio en los servicios de telecomunicaciones</w:t>
      </w:r>
      <w:r w:rsidRPr="00116A43">
        <w:rPr>
          <w:rStyle w:val="FootnoteReference"/>
          <w:sz w:val="18"/>
          <w:szCs w:val="18"/>
          <w:lang w:val="es-419"/>
        </w:rPr>
        <w:footnoteReference w:id="281"/>
      </w:r>
      <w:r w:rsidR="00691B13" w:rsidRPr="00116A43">
        <w:rPr>
          <w:sz w:val="18"/>
          <w:szCs w:val="18"/>
          <w:lang w:val="es-419"/>
        </w:rPr>
        <w:t>.</w:t>
      </w:r>
      <w:r w:rsidRPr="00116A43">
        <w:rPr>
          <w:sz w:val="18"/>
          <w:szCs w:val="18"/>
          <w:lang w:val="es-419"/>
        </w:rPr>
        <w:t xml:space="preserve"> </w:t>
      </w:r>
    </w:p>
    <w:p w14:paraId="250D7B7A" w14:textId="77777777" w:rsidR="00524B59" w:rsidRPr="00116A43" w:rsidRDefault="00524B59" w:rsidP="00691B13">
      <w:pPr>
        <w:pStyle w:val="ListParagraph"/>
        <w:rPr>
          <w:sz w:val="18"/>
          <w:szCs w:val="18"/>
          <w:lang w:val="es-419"/>
        </w:rPr>
      </w:pPr>
    </w:p>
    <w:p w14:paraId="5B39F449" w14:textId="497D7006" w:rsidR="00524B59" w:rsidRPr="00116A43" w:rsidRDefault="00691B13" w:rsidP="00375047">
      <w:pPr>
        <w:pStyle w:val="ListParagraph"/>
        <w:numPr>
          <w:ilvl w:val="0"/>
          <w:numId w:val="55"/>
        </w:numPr>
        <w:ind w:firstLine="0"/>
        <w:jc w:val="both"/>
        <w:rPr>
          <w:sz w:val="20"/>
          <w:szCs w:val="20"/>
          <w:lang w:val="es-419"/>
        </w:rPr>
      </w:pPr>
      <w:r w:rsidRPr="00116A43">
        <w:rPr>
          <w:sz w:val="20"/>
          <w:szCs w:val="20"/>
          <w:lang w:val="es-419"/>
        </w:rPr>
        <w:t>Además, e</w:t>
      </w:r>
      <w:r w:rsidR="00524B59" w:rsidRPr="00116A43">
        <w:rPr>
          <w:sz w:val="20"/>
          <w:szCs w:val="20"/>
          <w:lang w:val="es-419"/>
        </w:rPr>
        <w:t xml:space="preserve">l Ministerio de Informática y Comunicaciones de Cuba “ostentaría el control de Internet en el país. Dicho control sería ejercido principalmente a través de la empresa estatal Empresa de Telecomunicaciones de Cuba, S.A. (ETECSA). </w:t>
      </w:r>
      <w:r w:rsidRPr="00116A43">
        <w:rPr>
          <w:sz w:val="20"/>
          <w:szCs w:val="20"/>
          <w:lang w:val="es-419"/>
        </w:rPr>
        <w:t>Asimismo, es de destacar que e</w:t>
      </w:r>
      <w:r w:rsidR="00524B59" w:rsidRPr="00116A43">
        <w:rPr>
          <w:sz w:val="20"/>
          <w:szCs w:val="20"/>
          <w:lang w:val="es-419"/>
        </w:rPr>
        <w:t>xiste un sistema dual</w:t>
      </w:r>
      <w:r w:rsidRPr="00116A43">
        <w:rPr>
          <w:sz w:val="20"/>
          <w:szCs w:val="20"/>
          <w:lang w:val="es-419"/>
        </w:rPr>
        <w:t xml:space="preserve"> en Cuba</w:t>
      </w:r>
      <w:r w:rsidR="00524B59" w:rsidRPr="00116A43">
        <w:rPr>
          <w:sz w:val="20"/>
          <w:szCs w:val="20"/>
          <w:lang w:val="es-419"/>
        </w:rPr>
        <w:t>: una intranet que se brinda a la población, con contenido filtrado y que se encuentra sujeta a las restricciones impuestas por el gobierno; y la internet global, que es inaccesible para la población cubana”</w:t>
      </w:r>
      <w:r w:rsidR="00524B59" w:rsidRPr="00116A43">
        <w:rPr>
          <w:rStyle w:val="FootnoteReference"/>
          <w:sz w:val="20"/>
          <w:szCs w:val="20"/>
          <w:lang w:val="es-419"/>
        </w:rPr>
        <w:footnoteReference w:id="282"/>
      </w:r>
      <w:r w:rsidR="00524B59" w:rsidRPr="00116A43">
        <w:rPr>
          <w:sz w:val="20"/>
          <w:szCs w:val="20"/>
          <w:lang w:val="es-419"/>
        </w:rPr>
        <w:t xml:space="preserve">. </w:t>
      </w:r>
    </w:p>
    <w:p w14:paraId="10DCE8ED" w14:textId="77777777" w:rsidR="00A54211" w:rsidRPr="00116A43" w:rsidRDefault="00A54211" w:rsidP="00375047">
      <w:pPr>
        <w:pStyle w:val="ListParagraph"/>
        <w:ind w:left="0"/>
        <w:rPr>
          <w:sz w:val="20"/>
          <w:szCs w:val="20"/>
          <w:lang w:val="es-PE"/>
        </w:rPr>
      </w:pPr>
    </w:p>
    <w:p w14:paraId="04E410B7" w14:textId="58772476" w:rsidR="0057386E" w:rsidRPr="00116A43" w:rsidRDefault="00A54211" w:rsidP="00375047">
      <w:pPr>
        <w:pStyle w:val="ListParagraph"/>
        <w:numPr>
          <w:ilvl w:val="0"/>
          <w:numId w:val="55"/>
        </w:numPr>
        <w:ind w:firstLine="0"/>
        <w:jc w:val="both"/>
        <w:rPr>
          <w:sz w:val="20"/>
          <w:szCs w:val="20"/>
          <w:lang w:val="es-PE"/>
        </w:rPr>
      </w:pPr>
      <w:r w:rsidRPr="00116A43">
        <w:rPr>
          <w:sz w:val="20"/>
          <w:szCs w:val="20"/>
          <w:lang w:val="es-PE"/>
        </w:rPr>
        <w:t xml:space="preserve">Es en este </w:t>
      </w:r>
      <w:r w:rsidR="000E2340" w:rsidRPr="00116A43">
        <w:rPr>
          <w:sz w:val="20"/>
          <w:szCs w:val="20"/>
          <w:lang w:val="es-PE"/>
        </w:rPr>
        <w:t xml:space="preserve">contexto y </w:t>
      </w:r>
      <w:r w:rsidRPr="00116A43">
        <w:rPr>
          <w:sz w:val="20"/>
          <w:szCs w:val="20"/>
          <w:lang w:val="es-PE"/>
        </w:rPr>
        <w:t>marco normativo</w:t>
      </w:r>
      <w:r w:rsidR="000E2340" w:rsidRPr="00116A43">
        <w:rPr>
          <w:sz w:val="20"/>
          <w:szCs w:val="20"/>
          <w:lang w:val="es-PE"/>
        </w:rPr>
        <w:t xml:space="preserve"> que la CIDH analiza el presente caso. </w:t>
      </w:r>
      <w:r w:rsidR="00F872B3" w:rsidRPr="00116A43">
        <w:rPr>
          <w:sz w:val="20"/>
          <w:szCs w:val="20"/>
          <w:lang w:val="es-PE"/>
        </w:rPr>
        <w:t xml:space="preserve">Yoani Sánchez es una bloguera y periodista crítica del gobierno cubano, </w:t>
      </w:r>
      <w:r w:rsidR="00796286" w:rsidRPr="00116A43">
        <w:rPr>
          <w:sz w:val="20"/>
          <w:szCs w:val="20"/>
          <w:lang w:val="es-PE"/>
        </w:rPr>
        <w:t>quien en su blog manifiesta sus opiniones y perspectivas sobre cómo es la vida en Cuba diariamente</w:t>
      </w:r>
      <w:r w:rsidR="008B036A" w:rsidRPr="00116A43">
        <w:rPr>
          <w:sz w:val="20"/>
          <w:szCs w:val="20"/>
          <w:lang w:val="es-PE"/>
        </w:rPr>
        <w:t xml:space="preserve"> y denuncia los abusos y la falta de libertades en la Isla, temas de </w:t>
      </w:r>
      <w:r w:rsidR="003C2E6F" w:rsidRPr="00116A43">
        <w:rPr>
          <w:sz w:val="20"/>
          <w:szCs w:val="20"/>
          <w:lang w:val="es-PE"/>
        </w:rPr>
        <w:t xml:space="preserve">alto interés público. </w:t>
      </w:r>
      <w:r w:rsidR="000343E8" w:rsidRPr="00116A43">
        <w:rPr>
          <w:sz w:val="20"/>
          <w:szCs w:val="20"/>
          <w:lang w:val="es-PE"/>
        </w:rPr>
        <w:t xml:space="preserve">Yoani Sánchez, </w:t>
      </w:r>
      <w:r w:rsidR="00841F2C" w:rsidRPr="00116A43">
        <w:rPr>
          <w:sz w:val="20"/>
          <w:szCs w:val="20"/>
          <w:lang w:val="es-PE"/>
        </w:rPr>
        <w:t>ha podido difundir a mayor escala sus ideas, opiniones y expresiones, justamente gracias a las tecnologías</w:t>
      </w:r>
      <w:r w:rsidR="00A61079" w:rsidRPr="00116A43">
        <w:rPr>
          <w:sz w:val="20"/>
          <w:szCs w:val="20"/>
          <w:lang w:val="es-PE"/>
        </w:rPr>
        <w:t xml:space="preserve">, y ha podido surgir como un medio independiente </w:t>
      </w:r>
      <w:r w:rsidR="00971624" w:rsidRPr="00116A43">
        <w:rPr>
          <w:sz w:val="20"/>
          <w:szCs w:val="20"/>
          <w:lang w:val="es-PE"/>
        </w:rPr>
        <w:t>a través de su blog y sus artículos en medios digitales</w:t>
      </w:r>
      <w:r w:rsidR="006A7F78" w:rsidRPr="00116A43">
        <w:rPr>
          <w:sz w:val="20"/>
          <w:szCs w:val="20"/>
          <w:lang w:val="es-PE"/>
        </w:rPr>
        <w:t>. S</w:t>
      </w:r>
      <w:r w:rsidR="00AE394B" w:rsidRPr="00116A43">
        <w:rPr>
          <w:sz w:val="20"/>
          <w:szCs w:val="20"/>
          <w:lang w:val="es-PE"/>
        </w:rPr>
        <w:t xml:space="preserve">in embargo, </w:t>
      </w:r>
      <w:r w:rsidR="00317093" w:rsidRPr="00116A43">
        <w:rPr>
          <w:sz w:val="20"/>
          <w:szCs w:val="20"/>
          <w:lang w:val="es-PE"/>
        </w:rPr>
        <w:t>dicho ejercicio ha sido restringido arbitrariamente debido a</w:t>
      </w:r>
      <w:r w:rsidR="00895AF9" w:rsidRPr="00116A43">
        <w:rPr>
          <w:sz w:val="20"/>
          <w:szCs w:val="20"/>
          <w:lang w:val="es-PE"/>
        </w:rPr>
        <w:t xml:space="preserve"> la implementación d</w:t>
      </w:r>
      <w:r w:rsidR="002C1121" w:rsidRPr="00116A43">
        <w:rPr>
          <w:sz w:val="20"/>
          <w:szCs w:val="20"/>
          <w:lang w:val="es-PE"/>
        </w:rPr>
        <w:t>e</w:t>
      </w:r>
      <w:r w:rsidR="00895AF9" w:rsidRPr="00116A43">
        <w:rPr>
          <w:sz w:val="20"/>
          <w:szCs w:val="20"/>
          <w:lang w:val="es-PE"/>
        </w:rPr>
        <w:t xml:space="preserve"> un filtro informático que impide acceder al blog “Generación Y” en los sitios públicos de Internet en Cuba</w:t>
      </w:r>
      <w:r w:rsidR="002C1121" w:rsidRPr="00116A43">
        <w:rPr>
          <w:sz w:val="20"/>
          <w:szCs w:val="20"/>
          <w:lang w:val="es-PE"/>
        </w:rPr>
        <w:t xml:space="preserve">, por lo que la periodista ha debido recurrir a </w:t>
      </w:r>
      <w:r w:rsidR="007C1710" w:rsidRPr="00116A43">
        <w:rPr>
          <w:sz w:val="20"/>
          <w:szCs w:val="20"/>
          <w:lang w:val="es-PE"/>
        </w:rPr>
        <w:t xml:space="preserve">ayuda de amistades fuera de la </w:t>
      </w:r>
      <w:r w:rsidR="0057386E" w:rsidRPr="00116A43">
        <w:rPr>
          <w:sz w:val="20"/>
          <w:szCs w:val="20"/>
          <w:lang w:val="es-PE"/>
        </w:rPr>
        <w:t>I</w:t>
      </w:r>
      <w:r w:rsidR="007C1710" w:rsidRPr="00116A43">
        <w:rPr>
          <w:sz w:val="20"/>
          <w:szCs w:val="20"/>
          <w:lang w:val="es-PE"/>
        </w:rPr>
        <w:t>sla para colgar sus textos</w:t>
      </w:r>
      <w:r w:rsidR="00895AF9" w:rsidRPr="00116A43">
        <w:rPr>
          <w:sz w:val="20"/>
          <w:szCs w:val="20"/>
          <w:lang w:val="es-PE"/>
        </w:rPr>
        <w:t xml:space="preserve">. </w:t>
      </w:r>
    </w:p>
    <w:p w14:paraId="6CCC6243" w14:textId="77777777" w:rsidR="0057386E" w:rsidRPr="00116A43" w:rsidRDefault="0057386E" w:rsidP="00375047">
      <w:pPr>
        <w:pStyle w:val="ListParagraph"/>
        <w:ind w:left="0"/>
        <w:rPr>
          <w:sz w:val="20"/>
          <w:szCs w:val="20"/>
          <w:lang w:val="es-PE"/>
        </w:rPr>
      </w:pPr>
    </w:p>
    <w:p w14:paraId="02C3821E" w14:textId="36110B77" w:rsidR="0057386E" w:rsidRPr="00116A43" w:rsidRDefault="0057386E" w:rsidP="00375047">
      <w:pPr>
        <w:pStyle w:val="ListParagraph"/>
        <w:numPr>
          <w:ilvl w:val="0"/>
          <w:numId w:val="55"/>
        </w:numPr>
        <w:ind w:firstLine="0"/>
        <w:jc w:val="both"/>
        <w:rPr>
          <w:sz w:val="20"/>
          <w:szCs w:val="20"/>
          <w:lang w:val="es-PE"/>
        </w:rPr>
      </w:pPr>
      <w:r w:rsidRPr="00116A43">
        <w:rPr>
          <w:sz w:val="20"/>
          <w:szCs w:val="20"/>
          <w:lang w:val="es-PE"/>
        </w:rPr>
        <w:t>La CIDH considera que el bloqueo del acceso al blog de Yoani Sánchez constituye censura previa, contraviene el principio de neutralidad de la red y, por tanto, vulnera el derecho a la libertad de expresión no sólo en su faz individual, al impedirle a una mujer bloguera manifestar libremente información e ideas de toda índole, sino también en su faz social o colectiva, al privar a las y los ciudadanos cubanos de acceder a contenido de interés público, atacando directamente la pluralidad de voces en el debate público. Este bloqueo al blog de Yoani Sánchez fue particularmente facilitado o propiciado por el sistema de monopolio de internet en Cuba en potestad de la Empresa de Telecomunicaciones de Cuba, S.A y, por tanto, atribuible al Ministerio de Informática y Comunicaciones de Cuba.</w:t>
      </w:r>
    </w:p>
    <w:p w14:paraId="5F3661FB" w14:textId="77777777" w:rsidR="0057386E" w:rsidRPr="00116A43" w:rsidRDefault="0057386E" w:rsidP="00375047">
      <w:pPr>
        <w:pStyle w:val="ListParagraph"/>
        <w:ind w:left="0"/>
        <w:rPr>
          <w:sz w:val="20"/>
          <w:szCs w:val="20"/>
          <w:lang w:val="es-PE"/>
        </w:rPr>
      </w:pPr>
    </w:p>
    <w:p w14:paraId="146C4962" w14:textId="215D0266" w:rsidR="007D3A09" w:rsidRPr="00116A43" w:rsidRDefault="002D0B3D" w:rsidP="00375047">
      <w:pPr>
        <w:pStyle w:val="ListParagraph"/>
        <w:numPr>
          <w:ilvl w:val="0"/>
          <w:numId w:val="55"/>
        </w:numPr>
        <w:ind w:firstLine="0"/>
        <w:jc w:val="both"/>
        <w:rPr>
          <w:sz w:val="20"/>
          <w:szCs w:val="20"/>
          <w:lang w:val="es-PE"/>
        </w:rPr>
      </w:pPr>
      <w:r w:rsidRPr="00116A43">
        <w:rPr>
          <w:sz w:val="20"/>
          <w:szCs w:val="20"/>
          <w:lang w:val="es-PE"/>
        </w:rPr>
        <w:t>Además, la postura crítica hacia el gobierno</w:t>
      </w:r>
      <w:r w:rsidR="003C2E6F" w:rsidRPr="00116A43">
        <w:rPr>
          <w:sz w:val="20"/>
          <w:szCs w:val="20"/>
          <w:lang w:val="es-PE"/>
        </w:rPr>
        <w:t xml:space="preserve"> ha llevado a que </w:t>
      </w:r>
      <w:r w:rsidR="00150218" w:rsidRPr="00116A43">
        <w:rPr>
          <w:sz w:val="20"/>
          <w:szCs w:val="20"/>
          <w:lang w:val="es-PE"/>
        </w:rPr>
        <w:t>Yoani Sánchez</w:t>
      </w:r>
      <w:r w:rsidR="00462692">
        <w:rPr>
          <w:sz w:val="20"/>
          <w:szCs w:val="20"/>
          <w:lang w:val="es-PE"/>
        </w:rPr>
        <w:t>, como fue referenciado en los hechos,</w:t>
      </w:r>
      <w:r w:rsidR="003C2E6F" w:rsidRPr="00116A43">
        <w:rPr>
          <w:sz w:val="20"/>
          <w:szCs w:val="20"/>
          <w:lang w:val="es-PE"/>
        </w:rPr>
        <w:t xml:space="preserve"> sea catalogada como </w:t>
      </w:r>
      <w:r w:rsidR="00462692">
        <w:rPr>
          <w:sz w:val="20"/>
          <w:szCs w:val="20"/>
          <w:lang w:val="es-PE"/>
        </w:rPr>
        <w:t>“</w:t>
      </w:r>
      <w:r w:rsidR="003C2E6F" w:rsidRPr="00116A43">
        <w:rPr>
          <w:sz w:val="20"/>
          <w:szCs w:val="20"/>
          <w:lang w:val="es-PE"/>
        </w:rPr>
        <w:t>cabecilla principal de los contrarrevolucionarios</w:t>
      </w:r>
      <w:r w:rsidR="00462692">
        <w:rPr>
          <w:sz w:val="20"/>
          <w:szCs w:val="20"/>
          <w:lang w:val="es-PE"/>
        </w:rPr>
        <w:t>”</w:t>
      </w:r>
      <w:r w:rsidR="003C2E6F" w:rsidRPr="00116A43">
        <w:rPr>
          <w:sz w:val="20"/>
          <w:szCs w:val="20"/>
          <w:lang w:val="es-PE"/>
        </w:rPr>
        <w:t xml:space="preserve">, </w:t>
      </w:r>
      <w:r w:rsidR="00CF5B36" w:rsidRPr="00116A43">
        <w:rPr>
          <w:sz w:val="20"/>
          <w:szCs w:val="20"/>
          <w:lang w:val="es-PE"/>
        </w:rPr>
        <w:t>y que se</w:t>
      </w:r>
      <w:r w:rsidR="00022E75" w:rsidRPr="00116A43">
        <w:rPr>
          <w:sz w:val="20"/>
          <w:szCs w:val="20"/>
          <w:lang w:val="es-PE"/>
        </w:rPr>
        <w:t>a identificada en la televisión pública cubana, así como en</w:t>
      </w:r>
      <w:r w:rsidR="00FA04DE" w:rsidRPr="00116A43">
        <w:rPr>
          <w:sz w:val="20"/>
          <w:szCs w:val="20"/>
          <w:lang w:val="es-PE"/>
        </w:rPr>
        <w:t xml:space="preserve"> sus </w:t>
      </w:r>
      <w:r w:rsidR="00FA04DE" w:rsidRPr="00116A43">
        <w:rPr>
          <w:color w:val="auto"/>
          <w:sz w:val="20"/>
          <w:szCs w:val="20"/>
          <w:lang w:val="es-PE"/>
        </w:rPr>
        <w:t>respectivos canales en redes sociales</w:t>
      </w:r>
      <w:r w:rsidR="003D09BF" w:rsidRPr="00116A43">
        <w:rPr>
          <w:color w:val="auto"/>
          <w:sz w:val="20"/>
          <w:szCs w:val="20"/>
          <w:lang w:val="es-PE"/>
        </w:rPr>
        <w:t>,</w:t>
      </w:r>
      <w:r w:rsidR="00022E75" w:rsidRPr="00116A43">
        <w:rPr>
          <w:sz w:val="20"/>
          <w:szCs w:val="20"/>
          <w:lang w:val="es-PE"/>
        </w:rPr>
        <w:t xml:space="preserve"> </w:t>
      </w:r>
      <w:r w:rsidR="00150218" w:rsidRPr="00116A43">
        <w:rPr>
          <w:sz w:val="20"/>
          <w:szCs w:val="20"/>
          <w:lang w:val="es-PE"/>
        </w:rPr>
        <w:t>como</w:t>
      </w:r>
      <w:r w:rsidR="003D09BF" w:rsidRPr="00116A43">
        <w:rPr>
          <w:sz w:val="20"/>
          <w:szCs w:val="20"/>
          <w:lang w:val="es-PE"/>
        </w:rPr>
        <w:t xml:space="preserve"> “enemig</w:t>
      </w:r>
      <w:r w:rsidR="00812C62" w:rsidRPr="00116A43">
        <w:rPr>
          <w:sz w:val="20"/>
          <w:szCs w:val="20"/>
          <w:lang w:val="es-PE"/>
        </w:rPr>
        <w:t>a</w:t>
      </w:r>
      <w:r w:rsidR="003D09BF" w:rsidRPr="00116A43">
        <w:rPr>
          <w:sz w:val="20"/>
          <w:szCs w:val="20"/>
          <w:lang w:val="es-PE"/>
        </w:rPr>
        <w:t xml:space="preserve"> públic</w:t>
      </w:r>
      <w:r w:rsidR="00812C62" w:rsidRPr="00116A43">
        <w:rPr>
          <w:sz w:val="20"/>
          <w:szCs w:val="20"/>
          <w:lang w:val="es-PE"/>
        </w:rPr>
        <w:t>a</w:t>
      </w:r>
      <w:r w:rsidR="003D09BF" w:rsidRPr="00116A43">
        <w:rPr>
          <w:sz w:val="20"/>
          <w:szCs w:val="20"/>
          <w:lang w:val="es-PE"/>
        </w:rPr>
        <w:t>”</w:t>
      </w:r>
      <w:r w:rsidR="00A91E45" w:rsidRPr="00116A43">
        <w:rPr>
          <w:sz w:val="20"/>
          <w:szCs w:val="20"/>
          <w:lang w:val="es-PE"/>
        </w:rPr>
        <w:t>, “ciber disidente”</w:t>
      </w:r>
      <w:r w:rsidR="004A209B" w:rsidRPr="00116A43">
        <w:rPr>
          <w:sz w:val="20"/>
          <w:szCs w:val="20"/>
          <w:lang w:val="es-PE"/>
        </w:rPr>
        <w:t xml:space="preserve"> </w:t>
      </w:r>
      <w:r w:rsidR="004E4C33" w:rsidRPr="00116A43">
        <w:rPr>
          <w:sz w:val="20"/>
          <w:szCs w:val="20"/>
          <w:lang w:val="es-PE"/>
        </w:rPr>
        <w:t>con intención de desestabilizar al</w:t>
      </w:r>
      <w:r w:rsidR="004A209B" w:rsidRPr="00116A43">
        <w:rPr>
          <w:sz w:val="20"/>
          <w:szCs w:val="20"/>
          <w:lang w:val="es-PE"/>
        </w:rPr>
        <w:t xml:space="preserve"> gobierno cubano</w:t>
      </w:r>
      <w:r w:rsidR="00E67AA0" w:rsidRPr="00116A43">
        <w:rPr>
          <w:sz w:val="20"/>
          <w:szCs w:val="20"/>
          <w:lang w:val="es-PE"/>
        </w:rPr>
        <w:t>,</w:t>
      </w:r>
      <w:r w:rsidR="003D09BF" w:rsidRPr="00116A43">
        <w:rPr>
          <w:sz w:val="20"/>
          <w:szCs w:val="20"/>
          <w:lang w:val="es-PE"/>
        </w:rPr>
        <w:t xml:space="preserve"> “terrorista”, “falsa”, “mercenaria”, “entrenada por el Pentágono”</w:t>
      </w:r>
      <w:r w:rsidR="001C445E" w:rsidRPr="00116A43">
        <w:rPr>
          <w:sz w:val="20"/>
          <w:szCs w:val="20"/>
          <w:lang w:val="es-PE"/>
        </w:rPr>
        <w:t xml:space="preserve"> y se le acusó de “recibir apoyo de la CIA de los Estados Unidos”</w:t>
      </w:r>
      <w:r w:rsidR="0003174D" w:rsidRPr="00116A43">
        <w:rPr>
          <w:sz w:val="20"/>
          <w:szCs w:val="20"/>
          <w:lang w:val="es-PE"/>
        </w:rPr>
        <w:t xml:space="preserve">. Asimismo, </w:t>
      </w:r>
      <w:r w:rsidR="004A209B" w:rsidRPr="00116A43">
        <w:rPr>
          <w:sz w:val="20"/>
          <w:szCs w:val="20"/>
          <w:lang w:val="es-PE"/>
        </w:rPr>
        <w:t xml:space="preserve">Mariela Castro, hija del presidente en ejercicio a la época, Raúl Castro, </w:t>
      </w:r>
      <w:r w:rsidR="0003174D" w:rsidRPr="00116A43">
        <w:rPr>
          <w:sz w:val="20"/>
          <w:szCs w:val="20"/>
          <w:lang w:val="es-PE"/>
        </w:rPr>
        <w:t xml:space="preserve">la llamó “parásito despreciable” en </w:t>
      </w:r>
      <w:r w:rsidR="004A209B" w:rsidRPr="00116A43">
        <w:rPr>
          <w:sz w:val="20"/>
          <w:szCs w:val="20"/>
          <w:lang w:val="es-PE"/>
        </w:rPr>
        <w:t>Twitter</w:t>
      </w:r>
      <w:r w:rsidR="0003174D" w:rsidRPr="00116A43">
        <w:rPr>
          <w:sz w:val="20"/>
          <w:szCs w:val="20"/>
          <w:lang w:val="es-PE"/>
        </w:rPr>
        <w:t>.</w:t>
      </w:r>
    </w:p>
    <w:p w14:paraId="1D69034F" w14:textId="77777777" w:rsidR="001129F3" w:rsidRPr="00116A43" w:rsidRDefault="001129F3"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PE"/>
        </w:rPr>
      </w:pPr>
    </w:p>
    <w:p w14:paraId="01418B4E" w14:textId="20FA007F" w:rsidR="003B7C34" w:rsidRPr="00116A43" w:rsidRDefault="001129F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AR"/>
        </w:rPr>
      </w:pPr>
      <w:r w:rsidRPr="00116A43">
        <w:rPr>
          <w:rFonts w:ascii="Cambria" w:hAnsi="Cambria"/>
          <w:sz w:val="20"/>
          <w:szCs w:val="20"/>
          <w:lang w:val="es-AR"/>
        </w:rPr>
        <w:t>En el presente caso</w:t>
      </w:r>
      <w:r w:rsidR="008C38E4" w:rsidRPr="00116A43">
        <w:rPr>
          <w:rFonts w:ascii="Cambria" w:hAnsi="Cambria"/>
          <w:sz w:val="20"/>
          <w:szCs w:val="20"/>
          <w:lang w:val="es-AR"/>
        </w:rPr>
        <w:t xml:space="preserve">, Yoani Sánchez fue </w:t>
      </w:r>
      <w:r w:rsidR="00D8290B" w:rsidRPr="00116A43">
        <w:rPr>
          <w:rFonts w:ascii="Cambria" w:hAnsi="Cambria"/>
          <w:sz w:val="20"/>
          <w:szCs w:val="20"/>
          <w:lang w:val="es-AR"/>
        </w:rPr>
        <w:t xml:space="preserve">víctima de </w:t>
      </w:r>
      <w:r w:rsidR="00091922" w:rsidRPr="00116A43">
        <w:rPr>
          <w:rFonts w:ascii="Cambria" w:hAnsi="Cambria"/>
          <w:sz w:val="20"/>
          <w:szCs w:val="20"/>
          <w:lang w:val="es-AR"/>
        </w:rPr>
        <w:t xml:space="preserve">una </w:t>
      </w:r>
      <w:r w:rsidR="00D8290B" w:rsidRPr="00116A43">
        <w:rPr>
          <w:rFonts w:ascii="Cambria" w:hAnsi="Cambria"/>
          <w:sz w:val="20"/>
          <w:szCs w:val="20"/>
          <w:lang w:val="es-AR"/>
        </w:rPr>
        <w:t>campaña</w:t>
      </w:r>
      <w:r w:rsidR="00424994">
        <w:rPr>
          <w:rFonts w:ascii="Cambria" w:hAnsi="Cambria"/>
          <w:sz w:val="20"/>
          <w:szCs w:val="20"/>
          <w:lang w:val="es-AR"/>
        </w:rPr>
        <w:t xml:space="preserve"> oficial</w:t>
      </w:r>
      <w:r w:rsidR="00D8290B" w:rsidRPr="00116A43">
        <w:rPr>
          <w:rFonts w:ascii="Cambria" w:hAnsi="Cambria"/>
          <w:sz w:val="20"/>
          <w:szCs w:val="20"/>
          <w:lang w:val="es-AR"/>
        </w:rPr>
        <w:t xml:space="preserve"> de desprestigio </w:t>
      </w:r>
      <w:r w:rsidR="00091922" w:rsidRPr="00116A43">
        <w:rPr>
          <w:rFonts w:ascii="Cambria" w:hAnsi="Cambria"/>
          <w:sz w:val="20"/>
          <w:szCs w:val="20"/>
          <w:lang w:val="es-AR"/>
        </w:rPr>
        <w:t>a través de</w:t>
      </w:r>
      <w:r w:rsidR="00D8290B" w:rsidRPr="00116A43">
        <w:rPr>
          <w:rFonts w:ascii="Cambria" w:hAnsi="Cambria"/>
          <w:sz w:val="20"/>
          <w:szCs w:val="20"/>
          <w:lang w:val="es-AR"/>
        </w:rPr>
        <w:t xml:space="preserve"> medios de comunicación estatales</w:t>
      </w:r>
      <w:r w:rsidR="002A12BC" w:rsidRPr="00116A43">
        <w:rPr>
          <w:rFonts w:ascii="Cambria" w:hAnsi="Cambria"/>
          <w:sz w:val="20"/>
          <w:szCs w:val="20"/>
          <w:lang w:val="es-AR"/>
        </w:rPr>
        <w:t>.</w:t>
      </w:r>
      <w:r w:rsidR="0068108E" w:rsidRPr="00116A43">
        <w:rPr>
          <w:rFonts w:ascii="Cambria" w:hAnsi="Cambria"/>
          <w:sz w:val="20"/>
          <w:szCs w:val="20"/>
          <w:lang w:val="es-AR"/>
        </w:rPr>
        <w:t xml:space="preserve"> </w:t>
      </w:r>
      <w:r w:rsidR="002A12BC" w:rsidRPr="00116A43">
        <w:rPr>
          <w:rFonts w:ascii="Cambria" w:hAnsi="Cambria"/>
          <w:sz w:val="20"/>
          <w:szCs w:val="20"/>
          <w:lang w:val="es-AR"/>
        </w:rPr>
        <w:t xml:space="preserve">Las declaraciones contra ella </w:t>
      </w:r>
      <w:r w:rsidR="00DB20E5" w:rsidRPr="00116A43">
        <w:rPr>
          <w:rFonts w:ascii="Cambria" w:hAnsi="Cambria"/>
          <w:sz w:val="20"/>
          <w:szCs w:val="20"/>
          <w:lang w:val="es-AR"/>
        </w:rPr>
        <w:t>constituyeron</w:t>
      </w:r>
      <w:r w:rsidR="002A12BC" w:rsidRPr="00116A43">
        <w:rPr>
          <w:rFonts w:ascii="Cambria" w:hAnsi="Cambria"/>
          <w:sz w:val="20"/>
          <w:szCs w:val="20"/>
          <w:lang w:val="es-AR"/>
        </w:rPr>
        <w:t xml:space="preserve"> estig</w:t>
      </w:r>
      <w:r w:rsidR="00DB20E5" w:rsidRPr="00116A43">
        <w:rPr>
          <w:rFonts w:ascii="Cambria" w:hAnsi="Cambria"/>
          <w:sz w:val="20"/>
          <w:szCs w:val="20"/>
          <w:lang w:val="es-AR"/>
        </w:rPr>
        <w:t>matizaciones</w:t>
      </w:r>
      <w:r w:rsidRPr="00116A43">
        <w:rPr>
          <w:rFonts w:ascii="Cambria" w:hAnsi="Cambria"/>
          <w:sz w:val="20"/>
          <w:szCs w:val="20"/>
          <w:lang w:val="es-AR"/>
        </w:rPr>
        <w:t xml:space="preserve"> por parte de agentes del Estado de</w:t>
      </w:r>
      <w:r w:rsidR="00812C62" w:rsidRPr="00116A43">
        <w:rPr>
          <w:rFonts w:ascii="Cambria" w:hAnsi="Cambria"/>
          <w:sz w:val="20"/>
          <w:szCs w:val="20"/>
          <w:lang w:val="es-AR"/>
        </w:rPr>
        <w:t>bido a</w:t>
      </w:r>
      <w:r w:rsidR="00AA358F" w:rsidRPr="00116A43">
        <w:rPr>
          <w:rFonts w:ascii="Cambria" w:hAnsi="Cambria"/>
          <w:sz w:val="20"/>
          <w:szCs w:val="20"/>
          <w:lang w:val="es-AR"/>
        </w:rPr>
        <w:t xml:space="preserve"> su postura </w:t>
      </w:r>
      <w:r w:rsidR="008B3FB6" w:rsidRPr="00116A43">
        <w:rPr>
          <w:rFonts w:ascii="Cambria" w:hAnsi="Cambria"/>
          <w:sz w:val="20"/>
          <w:szCs w:val="20"/>
          <w:lang w:val="es-AR"/>
        </w:rPr>
        <w:t xml:space="preserve">crítica </w:t>
      </w:r>
      <w:r w:rsidR="00AA358F" w:rsidRPr="00116A43">
        <w:rPr>
          <w:rFonts w:ascii="Cambria" w:hAnsi="Cambria"/>
          <w:sz w:val="20"/>
          <w:szCs w:val="20"/>
          <w:lang w:val="es-AR"/>
        </w:rPr>
        <w:t>al gobierno,</w:t>
      </w:r>
      <w:r w:rsidRPr="00116A43">
        <w:rPr>
          <w:rFonts w:ascii="Cambria" w:hAnsi="Cambria"/>
          <w:sz w:val="20"/>
          <w:szCs w:val="20"/>
          <w:lang w:val="es-AR"/>
        </w:rPr>
        <w:t xml:space="preserve"> </w:t>
      </w:r>
      <w:r w:rsidR="00EF44FF" w:rsidRPr="00116A43">
        <w:rPr>
          <w:rFonts w:ascii="Cambria" w:hAnsi="Cambria"/>
          <w:sz w:val="20"/>
          <w:szCs w:val="20"/>
          <w:lang w:val="es-AR"/>
        </w:rPr>
        <w:t xml:space="preserve">y se </w:t>
      </w:r>
      <w:r w:rsidRPr="00116A43">
        <w:rPr>
          <w:rFonts w:ascii="Cambria" w:hAnsi="Cambria"/>
          <w:sz w:val="20"/>
          <w:szCs w:val="20"/>
          <w:lang w:val="es-AR"/>
        </w:rPr>
        <w:t>realiza</w:t>
      </w:r>
      <w:r w:rsidR="00EF44FF" w:rsidRPr="00116A43">
        <w:rPr>
          <w:rFonts w:ascii="Cambria" w:hAnsi="Cambria"/>
          <w:sz w:val="20"/>
          <w:szCs w:val="20"/>
          <w:lang w:val="es-AR"/>
        </w:rPr>
        <w:t>ron</w:t>
      </w:r>
      <w:r w:rsidRPr="00116A43">
        <w:rPr>
          <w:rFonts w:ascii="Cambria" w:hAnsi="Cambria"/>
          <w:sz w:val="20"/>
          <w:szCs w:val="20"/>
          <w:lang w:val="es-AR"/>
        </w:rPr>
        <w:t xml:space="preserve"> en frente de sus familiares, amigos</w:t>
      </w:r>
      <w:r w:rsidR="00AA358F" w:rsidRPr="00116A43">
        <w:rPr>
          <w:rFonts w:ascii="Cambria" w:hAnsi="Cambria"/>
          <w:sz w:val="20"/>
          <w:szCs w:val="20"/>
          <w:lang w:val="es-AR"/>
        </w:rPr>
        <w:t xml:space="preserve">, </w:t>
      </w:r>
      <w:r w:rsidRPr="00116A43">
        <w:rPr>
          <w:rFonts w:ascii="Cambria" w:hAnsi="Cambria"/>
          <w:sz w:val="20"/>
          <w:szCs w:val="20"/>
          <w:lang w:val="es-AR"/>
        </w:rPr>
        <w:t>colegas</w:t>
      </w:r>
      <w:r w:rsidR="00AA358F" w:rsidRPr="00116A43">
        <w:rPr>
          <w:rFonts w:ascii="Cambria" w:hAnsi="Cambria"/>
          <w:sz w:val="20"/>
          <w:szCs w:val="20"/>
          <w:lang w:val="es-AR"/>
        </w:rPr>
        <w:t xml:space="preserve"> y de toda la sociedad cubana</w:t>
      </w:r>
      <w:r w:rsidRPr="00116A43">
        <w:rPr>
          <w:rFonts w:ascii="Cambria" w:hAnsi="Cambria"/>
          <w:sz w:val="20"/>
          <w:szCs w:val="20"/>
          <w:lang w:val="es-AR"/>
        </w:rPr>
        <w:t xml:space="preserve">. La Comisión </w:t>
      </w:r>
      <w:r w:rsidR="00942A89" w:rsidRPr="00116A43">
        <w:rPr>
          <w:rFonts w:ascii="Cambria" w:hAnsi="Cambria"/>
          <w:sz w:val="20"/>
          <w:szCs w:val="20"/>
          <w:lang w:val="es-AR"/>
        </w:rPr>
        <w:t>considera</w:t>
      </w:r>
      <w:r w:rsidRPr="00116A43">
        <w:rPr>
          <w:rFonts w:ascii="Cambria" w:hAnsi="Cambria"/>
          <w:sz w:val="20"/>
          <w:szCs w:val="20"/>
          <w:lang w:val="es-AR"/>
        </w:rPr>
        <w:t xml:space="preserve"> que tales actos de hostigamiento </w:t>
      </w:r>
      <w:r w:rsidR="00942A89" w:rsidRPr="00116A43">
        <w:rPr>
          <w:rFonts w:ascii="Cambria" w:hAnsi="Cambria"/>
          <w:sz w:val="20"/>
          <w:szCs w:val="20"/>
          <w:lang w:val="es-AR"/>
        </w:rPr>
        <w:t xml:space="preserve">en un contexto </w:t>
      </w:r>
      <w:r w:rsidR="00942A89" w:rsidRPr="00116A43">
        <w:rPr>
          <w:rFonts w:ascii="Cambria" w:hAnsi="Cambria"/>
          <w:sz w:val="20"/>
          <w:szCs w:val="20"/>
          <w:lang w:val="es-AR"/>
        </w:rPr>
        <w:lastRenderedPageBreak/>
        <w:t>como el cubano, buscaron</w:t>
      </w:r>
      <w:r w:rsidRPr="00116A43">
        <w:rPr>
          <w:rFonts w:ascii="Cambria" w:hAnsi="Cambria"/>
          <w:sz w:val="20"/>
          <w:szCs w:val="20"/>
          <w:lang w:val="es-AR"/>
        </w:rPr>
        <w:t xml:space="preserve"> desprestigiar intencionadamente</w:t>
      </w:r>
      <w:r w:rsidR="00424994">
        <w:rPr>
          <w:rFonts w:ascii="Cambria" w:hAnsi="Cambria"/>
          <w:sz w:val="20"/>
          <w:szCs w:val="20"/>
          <w:lang w:val="es-AR"/>
        </w:rPr>
        <w:t xml:space="preserve"> y desde el Estado</w:t>
      </w:r>
      <w:r w:rsidRPr="00116A43">
        <w:rPr>
          <w:rFonts w:ascii="Cambria" w:hAnsi="Cambria"/>
          <w:sz w:val="20"/>
          <w:szCs w:val="20"/>
          <w:lang w:val="es-AR"/>
        </w:rPr>
        <w:t xml:space="preserve"> a la víctima afectando su honra y reputación ante la opinión pública.</w:t>
      </w:r>
      <w:r w:rsidR="00942A89" w:rsidRPr="00116A43">
        <w:rPr>
          <w:rFonts w:ascii="Cambria" w:hAnsi="Cambria"/>
          <w:sz w:val="20"/>
          <w:szCs w:val="20"/>
          <w:lang w:val="es-AR"/>
        </w:rPr>
        <w:t xml:space="preserve"> </w:t>
      </w:r>
      <w:r w:rsidR="00A64EB0" w:rsidRPr="00116A43">
        <w:rPr>
          <w:rFonts w:ascii="Cambria" w:hAnsi="Cambria"/>
          <w:sz w:val="20"/>
          <w:szCs w:val="20"/>
          <w:lang w:val="es-AR"/>
        </w:rPr>
        <w:t>Además, e</w:t>
      </w:r>
      <w:r w:rsidR="003B7C34" w:rsidRPr="00116A43">
        <w:rPr>
          <w:rFonts w:ascii="Cambria" w:hAnsi="Cambria"/>
          <w:sz w:val="20"/>
          <w:szCs w:val="20"/>
          <w:lang w:val="es-AR"/>
        </w:rPr>
        <w:t>l constante hostigamien</w:t>
      </w:r>
      <w:r w:rsidR="00A64EB0" w:rsidRPr="00116A43">
        <w:rPr>
          <w:rFonts w:ascii="Cambria" w:hAnsi="Cambria"/>
          <w:sz w:val="20"/>
          <w:szCs w:val="20"/>
          <w:lang w:val="es-AR"/>
        </w:rPr>
        <w:t xml:space="preserve">to y </w:t>
      </w:r>
      <w:r w:rsidR="003B7C34" w:rsidRPr="00116A43">
        <w:rPr>
          <w:rFonts w:ascii="Cambria" w:hAnsi="Cambria"/>
          <w:sz w:val="20"/>
          <w:szCs w:val="20"/>
          <w:lang w:val="es-AR"/>
        </w:rPr>
        <w:t xml:space="preserve">la vigilancia </w:t>
      </w:r>
      <w:r w:rsidR="00424994">
        <w:rPr>
          <w:rFonts w:ascii="Cambria" w:hAnsi="Cambria"/>
          <w:sz w:val="20"/>
          <w:szCs w:val="20"/>
          <w:lang w:val="es-AR"/>
        </w:rPr>
        <w:t xml:space="preserve">oficial </w:t>
      </w:r>
      <w:r w:rsidR="00A64EB0" w:rsidRPr="00116A43">
        <w:rPr>
          <w:rFonts w:ascii="Cambria" w:hAnsi="Cambria"/>
          <w:sz w:val="20"/>
          <w:szCs w:val="20"/>
          <w:lang w:val="es-AR"/>
        </w:rPr>
        <w:t>de su vivienda, juegan un rol sobre la percepción de la sociedad cubana respecto a la forma en la cual se reciben las opiniones y expresiones de la periodista. Además, genera un efecto inhibidor no solo sobre el resto de periodistas sino sobre la población en general, quien sabe cuáles serían las consecuencias de manifestarse de forma contraria al régimen.</w:t>
      </w:r>
    </w:p>
    <w:p w14:paraId="6EA23346" w14:textId="77777777" w:rsidR="003B7C34" w:rsidRPr="00116A43" w:rsidRDefault="003B7C34"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419"/>
        </w:rPr>
      </w:pPr>
    </w:p>
    <w:p w14:paraId="2A891B2D" w14:textId="4B4B42E7" w:rsidR="00855453" w:rsidRPr="00116A43" w:rsidRDefault="003B7C34"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color w:val="auto"/>
          <w:sz w:val="20"/>
          <w:szCs w:val="20"/>
          <w:lang w:val="es-PE"/>
        </w:rPr>
      </w:pPr>
      <w:r w:rsidRPr="00116A43">
        <w:rPr>
          <w:color w:val="auto"/>
          <w:sz w:val="20"/>
          <w:szCs w:val="20"/>
          <w:lang w:val="es-AR"/>
        </w:rPr>
        <w:t>Adicionalmente</w:t>
      </w:r>
      <w:r w:rsidR="00F40FA4" w:rsidRPr="00116A43">
        <w:rPr>
          <w:color w:val="auto"/>
          <w:sz w:val="20"/>
          <w:szCs w:val="20"/>
          <w:lang w:val="es-AR"/>
        </w:rPr>
        <w:t xml:space="preserve"> </w:t>
      </w:r>
      <w:r w:rsidR="00A939E6" w:rsidRPr="00116A43">
        <w:rPr>
          <w:color w:val="auto"/>
          <w:sz w:val="20"/>
          <w:szCs w:val="20"/>
          <w:lang w:val="es-AR"/>
        </w:rPr>
        <w:t xml:space="preserve">en </w:t>
      </w:r>
      <w:r w:rsidR="00D62920" w:rsidRPr="00116A43">
        <w:rPr>
          <w:color w:val="auto"/>
          <w:sz w:val="20"/>
          <w:szCs w:val="20"/>
          <w:lang w:val="es-AR"/>
        </w:rPr>
        <w:t>un contexto como el cubano</w:t>
      </w:r>
      <w:r w:rsidR="00A939E6" w:rsidRPr="00116A43">
        <w:rPr>
          <w:color w:val="auto"/>
          <w:sz w:val="20"/>
          <w:szCs w:val="20"/>
          <w:lang w:val="es-AR"/>
        </w:rPr>
        <w:t xml:space="preserve">, </w:t>
      </w:r>
      <w:r w:rsidR="00A71B42" w:rsidRPr="00116A43">
        <w:rPr>
          <w:color w:val="auto"/>
          <w:sz w:val="20"/>
          <w:szCs w:val="20"/>
          <w:lang w:val="es-AR"/>
        </w:rPr>
        <w:t xml:space="preserve">estos actos </w:t>
      </w:r>
      <w:r w:rsidR="00AD4537" w:rsidRPr="00116A43">
        <w:rPr>
          <w:color w:val="auto"/>
          <w:sz w:val="20"/>
          <w:szCs w:val="20"/>
          <w:lang w:val="es-AR"/>
        </w:rPr>
        <w:t>p</w:t>
      </w:r>
      <w:r w:rsidR="006955FA" w:rsidRPr="00116A43">
        <w:rPr>
          <w:color w:val="auto"/>
          <w:sz w:val="20"/>
          <w:szCs w:val="20"/>
          <w:lang w:val="es-AR"/>
        </w:rPr>
        <w:t>odrían</w:t>
      </w:r>
      <w:r w:rsidR="00AD4537" w:rsidRPr="00116A43">
        <w:rPr>
          <w:color w:val="auto"/>
          <w:sz w:val="20"/>
          <w:szCs w:val="20"/>
          <w:lang w:val="es-AR"/>
        </w:rPr>
        <w:t xml:space="preserve"> crear y/o incrementar</w:t>
      </w:r>
      <w:r w:rsidR="000D6A13" w:rsidRPr="00116A43">
        <w:rPr>
          <w:color w:val="auto"/>
          <w:sz w:val="20"/>
          <w:szCs w:val="20"/>
          <w:lang w:val="es-AR"/>
        </w:rPr>
        <w:t xml:space="preserve"> </w:t>
      </w:r>
      <w:r w:rsidR="00072499" w:rsidRPr="00116A43">
        <w:rPr>
          <w:color w:val="auto"/>
          <w:sz w:val="20"/>
          <w:szCs w:val="20"/>
          <w:lang w:val="es-AR"/>
        </w:rPr>
        <w:t xml:space="preserve">el </w:t>
      </w:r>
      <w:r w:rsidR="00072499" w:rsidRPr="00116A43">
        <w:rPr>
          <w:sz w:val="20"/>
          <w:szCs w:val="20"/>
          <w:lang w:val="es-PE"/>
        </w:rPr>
        <w:t>riesgo contra la integridad física y la libertad o seguridad personal de Yoani Sánchez</w:t>
      </w:r>
      <w:r w:rsidR="00D8126C" w:rsidRPr="00116A43">
        <w:rPr>
          <w:sz w:val="20"/>
          <w:szCs w:val="20"/>
          <w:lang w:val="es-PE"/>
        </w:rPr>
        <w:t>, ya que la</w:t>
      </w:r>
      <w:r w:rsidR="00072499" w:rsidRPr="00116A43">
        <w:rPr>
          <w:sz w:val="20"/>
          <w:szCs w:val="20"/>
          <w:lang w:val="es-PY"/>
        </w:rPr>
        <w:t xml:space="preserve"> colocan en una mayor situación de vulnerabilidad </w:t>
      </w:r>
      <w:r w:rsidR="00D8126C" w:rsidRPr="00116A43">
        <w:rPr>
          <w:sz w:val="20"/>
          <w:szCs w:val="20"/>
          <w:lang w:val="es-PY"/>
        </w:rPr>
        <w:t xml:space="preserve">no solo por el contenido de dichas declaraciones sino porque </w:t>
      </w:r>
      <w:r w:rsidR="00072499" w:rsidRPr="00116A43">
        <w:rPr>
          <w:sz w:val="20"/>
          <w:szCs w:val="20"/>
          <w:lang w:val="es-PY"/>
        </w:rPr>
        <w:t>puede</w:t>
      </w:r>
      <w:r w:rsidR="00AD0D8B" w:rsidRPr="00116A43">
        <w:rPr>
          <w:sz w:val="20"/>
          <w:szCs w:val="20"/>
          <w:lang w:val="es-PY"/>
        </w:rPr>
        <w:t>n</w:t>
      </w:r>
      <w:r w:rsidR="00072499" w:rsidRPr="00116A43">
        <w:rPr>
          <w:sz w:val="20"/>
          <w:szCs w:val="20"/>
          <w:lang w:val="es-PY"/>
        </w:rPr>
        <w:t xml:space="preserve"> incluso ser interpretad</w:t>
      </w:r>
      <w:r w:rsidR="00AD0D8B" w:rsidRPr="00116A43">
        <w:rPr>
          <w:sz w:val="20"/>
          <w:szCs w:val="20"/>
          <w:lang w:val="es-PY"/>
        </w:rPr>
        <w:t>as</w:t>
      </w:r>
      <w:r w:rsidR="00072499" w:rsidRPr="00116A43">
        <w:rPr>
          <w:sz w:val="20"/>
          <w:szCs w:val="20"/>
          <w:lang w:val="es-PY"/>
        </w:rPr>
        <w:t xml:space="preserve"> por individuos y grupos de particulares de forma tal, que se comentan actos de </w:t>
      </w:r>
      <w:r w:rsidR="009E087A" w:rsidRPr="00116A43">
        <w:rPr>
          <w:sz w:val="20"/>
          <w:szCs w:val="20"/>
          <w:lang w:val="es-PY"/>
        </w:rPr>
        <w:t xml:space="preserve">hostigamiento, </w:t>
      </w:r>
      <w:r w:rsidR="00072499" w:rsidRPr="00116A43">
        <w:rPr>
          <w:sz w:val="20"/>
          <w:szCs w:val="20"/>
          <w:lang w:val="es-PY"/>
        </w:rPr>
        <w:t>violencia y obstaculizaciones a</w:t>
      </w:r>
      <w:r w:rsidR="00587818" w:rsidRPr="00116A43">
        <w:rPr>
          <w:sz w:val="20"/>
          <w:szCs w:val="20"/>
          <w:lang w:val="es-PY"/>
        </w:rPr>
        <w:t>l ejercicio de su derecho a la libertad de expresión.</w:t>
      </w:r>
      <w:r w:rsidR="00072499" w:rsidRPr="00116A43">
        <w:rPr>
          <w:sz w:val="20"/>
          <w:szCs w:val="20"/>
          <w:lang w:val="es-PY"/>
        </w:rPr>
        <w:t xml:space="preserve"> </w:t>
      </w:r>
    </w:p>
    <w:p w14:paraId="32148DAF" w14:textId="77777777" w:rsidR="00246EEC" w:rsidRPr="00116A43" w:rsidRDefault="00246EEC" w:rsidP="000C676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color w:val="auto"/>
          <w:sz w:val="20"/>
          <w:szCs w:val="20"/>
          <w:lang w:val="es-PE"/>
        </w:rPr>
      </w:pPr>
    </w:p>
    <w:p w14:paraId="4DF3D791" w14:textId="6A648972" w:rsidR="006B4917" w:rsidRPr="00116A43" w:rsidRDefault="00F50E60" w:rsidP="00045AA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color w:val="auto"/>
          <w:sz w:val="20"/>
          <w:szCs w:val="20"/>
          <w:lang w:val="es-AR"/>
        </w:rPr>
        <w:t>La CIDH ha concluido e</w:t>
      </w:r>
      <w:r w:rsidR="00246EEC" w:rsidRPr="00116A43">
        <w:rPr>
          <w:color w:val="auto"/>
          <w:sz w:val="20"/>
          <w:szCs w:val="20"/>
          <w:lang w:val="es-AR"/>
        </w:rPr>
        <w:t>n el presente informe que</w:t>
      </w:r>
      <w:r w:rsidR="005A6958" w:rsidRPr="00116A43">
        <w:rPr>
          <w:color w:val="auto"/>
          <w:sz w:val="20"/>
          <w:szCs w:val="20"/>
          <w:lang w:val="es-AR"/>
        </w:rPr>
        <w:t xml:space="preserve"> la persecución contra Yoani</w:t>
      </w:r>
      <w:r w:rsidR="002714AB" w:rsidRPr="00116A43">
        <w:rPr>
          <w:color w:val="auto"/>
          <w:sz w:val="20"/>
          <w:szCs w:val="20"/>
          <w:lang w:val="es-AR"/>
        </w:rPr>
        <w:t xml:space="preserve"> Sánchez</w:t>
      </w:r>
      <w:r w:rsidR="005A6958" w:rsidRPr="00116A43">
        <w:rPr>
          <w:color w:val="auto"/>
          <w:sz w:val="20"/>
          <w:szCs w:val="20"/>
          <w:lang w:val="es-AR"/>
        </w:rPr>
        <w:t xml:space="preserve"> </w:t>
      </w:r>
      <w:r w:rsidR="002714AB" w:rsidRPr="00116A43">
        <w:rPr>
          <w:color w:val="auto"/>
          <w:sz w:val="20"/>
          <w:szCs w:val="20"/>
          <w:lang w:val="es-AR"/>
        </w:rPr>
        <w:t>se vio materializada de la siguiente manera</w:t>
      </w:r>
      <w:r w:rsidR="00E10BA7" w:rsidRPr="00116A43">
        <w:rPr>
          <w:color w:val="auto"/>
          <w:sz w:val="20"/>
          <w:szCs w:val="20"/>
          <w:lang w:val="es-AR"/>
        </w:rPr>
        <w:t>: a)</w:t>
      </w:r>
      <w:r w:rsidR="003346DF" w:rsidRPr="00116A43">
        <w:rPr>
          <w:color w:val="auto"/>
          <w:sz w:val="20"/>
          <w:szCs w:val="20"/>
          <w:lang w:val="es-AR"/>
        </w:rPr>
        <w:t xml:space="preserve"> fue víctima de dos detenciones ilegales y arbitrarias</w:t>
      </w:r>
      <w:r w:rsidR="00D43266" w:rsidRPr="00116A43">
        <w:rPr>
          <w:color w:val="auto"/>
          <w:sz w:val="20"/>
          <w:szCs w:val="20"/>
          <w:lang w:val="es-AR"/>
        </w:rPr>
        <w:t>, durante estas fue agredida físicamente y sufrió un intento de desnudez forzada por tres mujeres policías</w:t>
      </w:r>
      <w:r w:rsidR="00F4117E" w:rsidRPr="00116A43">
        <w:rPr>
          <w:color w:val="auto"/>
          <w:sz w:val="20"/>
          <w:szCs w:val="20"/>
          <w:lang w:val="es-AR"/>
        </w:rPr>
        <w:t xml:space="preserve">. </w:t>
      </w:r>
      <w:r w:rsidR="007D1E61" w:rsidRPr="00116A43">
        <w:rPr>
          <w:color w:val="auto"/>
          <w:sz w:val="20"/>
          <w:szCs w:val="20"/>
          <w:lang w:val="es-AR"/>
        </w:rPr>
        <w:t>Esto último es particularmente grave contr</w:t>
      </w:r>
      <w:r w:rsidR="00F72DF5" w:rsidRPr="00116A43">
        <w:rPr>
          <w:color w:val="auto"/>
          <w:sz w:val="20"/>
          <w:szCs w:val="20"/>
          <w:lang w:val="es-AR"/>
        </w:rPr>
        <w:t xml:space="preserve">a </w:t>
      </w:r>
      <w:r w:rsidR="007D1E61" w:rsidRPr="00116A43">
        <w:rPr>
          <w:color w:val="auto"/>
          <w:sz w:val="20"/>
          <w:szCs w:val="20"/>
          <w:lang w:val="es-AR"/>
        </w:rPr>
        <w:t>una mujer peri</w:t>
      </w:r>
      <w:r w:rsidR="00F72DF5" w:rsidRPr="00116A43">
        <w:rPr>
          <w:color w:val="auto"/>
          <w:sz w:val="20"/>
          <w:szCs w:val="20"/>
          <w:lang w:val="es-AR"/>
        </w:rPr>
        <w:t>odista</w:t>
      </w:r>
      <w:r w:rsidR="008E01CE" w:rsidRPr="00116A43">
        <w:rPr>
          <w:color w:val="auto"/>
          <w:sz w:val="20"/>
          <w:szCs w:val="20"/>
          <w:lang w:val="es-AR"/>
        </w:rPr>
        <w:t xml:space="preserve">, debido a que genera una afectación en su dignidad personal </w:t>
      </w:r>
      <w:r w:rsidR="00AB5748" w:rsidRPr="00116A43">
        <w:rPr>
          <w:color w:val="auto"/>
          <w:sz w:val="20"/>
          <w:szCs w:val="20"/>
          <w:lang w:val="es-AR"/>
        </w:rPr>
        <w:t xml:space="preserve">diferenciada respecto de los hombres y constituye </w:t>
      </w:r>
      <w:r w:rsidR="00AB5748" w:rsidRPr="00116A43">
        <w:rPr>
          <w:rFonts w:cs="Courier New"/>
          <w:sz w:val="20"/>
          <w:szCs w:val="20"/>
          <w:lang w:val="es-AR"/>
        </w:rPr>
        <w:t>una forma de</w:t>
      </w:r>
      <w:r w:rsidR="00AB5748" w:rsidRPr="00116A43">
        <w:rPr>
          <w:rFonts w:cs="Courier New"/>
          <w:sz w:val="20"/>
          <w:szCs w:val="20"/>
          <w:lang w:val="es-PE"/>
        </w:rPr>
        <w:t xml:space="preserve"> violencia contra las mujeres </w:t>
      </w:r>
      <w:r w:rsidR="00D65BD6" w:rsidRPr="00116A43">
        <w:rPr>
          <w:rFonts w:cs="Courier New"/>
          <w:sz w:val="20"/>
          <w:szCs w:val="20"/>
          <w:lang w:val="es-PE"/>
        </w:rPr>
        <w:t xml:space="preserve">con un impacto </w:t>
      </w:r>
      <w:r w:rsidR="005A6958" w:rsidRPr="00116A43">
        <w:rPr>
          <w:rFonts w:cs="Courier New"/>
          <w:sz w:val="20"/>
          <w:szCs w:val="20"/>
          <w:lang w:val="es-PE"/>
        </w:rPr>
        <w:t>desproporcionado</w:t>
      </w:r>
      <w:r w:rsidR="00D65BD6" w:rsidRPr="00116A43">
        <w:rPr>
          <w:rFonts w:cs="Courier New"/>
          <w:sz w:val="20"/>
          <w:szCs w:val="20"/>
          <w:lang w:val="es-PE"/>
        </w:rPr>
        <w:t xml:space="preserve"> </w:t>
      </w:r>
      <w:r w:rsidR="005A6958" w:rsidRPr="00116A43">
        <w:rPr>
          <w:rFonts w:cs="Courier New"/>
          <w:sz w:val="20"/>
          <w:szCs w:val="20"/>
          <w:lang w:val="es-PE"/>
        </w:rPr>
        <w:t>por razón</w:t>
      </w:r>
      <w:r w:rsidR="00D65BD6" w:rsidRPr="00116A43">
        <w:rPr>
          <w:rFonts w:cs="Courier New"/>
          <w:sz w:val="20"/>
          <w:szCs w:val="20"/>
          <w:lang w:val="es-PE"/>
        </w:rPr>
        <w:t xml:space="preserve"> </w:t>
      </w:r>
      <w:r w:rsidR="005A6958" w:rsidRPr="00116A43">
        <w:rPr>
          <w:rFonts w:cs="Courier New"/>
          <w:sz w:val="20"/>
          <w:szCs w:val="20"/>
          <w:lang w:val="es-PE"/>
        </w:rPr>
        <w:t>de</w:t>
      </w:r>
      <w:r w:rsidR="00AB5748" w:rsidRPr="00116A43">
        <w:rPr>
          <w:rFonts w:cs="Courier New"/>
          <w:sz w:val="20"/>
          <w:szCs w:val="20"/>
          <w:lang w:val="es-PE"/>
        </w:rPr>
        <w:t xml:space="preserve"> </w:t>
      </w:r>
      <w:r w:rsidR="005A6958" w:rsidRPr="00116A43">
        <w:rPr>
          <w:rFonts w:cs="Courier New"/>
          <w:sz w:val="20"/>
          <w:szCs w:val="20"/>
          <w:lang w:val="es-PE"/>
        </w:rPr>
        <w:t>su</w:t>
      </w:r>
      <w:r w:rsidR="00AB5748" w:rsidRPr="00116A43">
        <w:rPr>
          <w:rFonts w:cs="Courier New"/>
          <w:sz w:val="20"/>
          <w:szCs w:val="20"/>
          <w:lang w:val="es-PE"/>
        </w:rPr>
        <w:t xml:space="preserve"> género</w:t>
      </w:r>
      <w:r w:rsidR="00151146" w:rsidRPr="00116A43">
        <w:rPr>
          <w:rFonts w:cs="Courier New"/>
          <w:sz w:val="20"/>
          <w:szCs w:val="20"/>
          <w:lang w:val="es-PE"/>
        </w:rPr>
        <w:t xml:space="preserve"> </w:t>
      </w:r>
      <w:r w:rsidR="00151146" w:rsidRPr="00BA6ADA">
        <w:rPr>
          <w:rFonts w:cs="Courier New"/>
          <w:sz w:val="20"/>
          <w:szCs w:val="20"/>
          <w:lang w:val="es-PE"/>
        </w:rPr>
        <w:t>de contenido sexual</w:t>
      </w:r>
      <w:r w:rsidR="00151146" w:rsidRPr="00116A43">
        <w:rPr>
          <w:rStyle w:val="FootnoteReference"/>
          <w:rFonts w:cs="Courier New"/>
          <w:sz w:val="20"/>
          <w:szCs w:val="20"/>
          <w:lang w:val="es-PE"/>
        </w:rPr>
        <w:footnoteReference w:id="283"/>
      </w:r>
      <w:r w:rsidR="00D65BD6" w:rsidRPr="00116A43">
        <w:rPr>
          <w:rFonts w:cs="Courier New"/>
          <w:sz w:val="20"/>
          <w:szCs w:val="20"/>
          <w:lang w:val="es-PE"/>
        </w:rPr>
        <w:t>; b</w:t>
      </w:r>
      <w:r w:rsidR="00BF01BC" w:rsidRPr="00116A43">
        <w:rPr>
          <w:rFonts w:cs="Courier New"/>
          <w:sz w:val="20"/>
          <w:szCs w:val="20"/>
          <w:lang w:val="es-PE"/>
        </w:rPr>
        <w:t>)</w:t>
      </w:r>
      <w:r w:rsidR="00BF01BC" w:rsidRPr="00116A43">
        <w:rPr>
          <w:color w:val="auto"/>
          <w:sz w:val="20"/>
          <w:szCs w:val="20"/>
          <w:lang w:val="es-PE"/>
        </w:rPr>
        <w:t xml:space="preserve"> </w:t>
      </w:r>
      <w:r w:rsidR="00F4117E" w:rsidRPr="00116A43">
        <w:rPr>
          <w:color w:val="auto"/>
          <w:sz w:val="20"/>
          <w:szCs w:val="20"/>
          <w:lang w:val="es-AR"/>
        </w:rPr>
        <w:t>durante una detención</w:t>
      </w:r>
      <w:r w:rsidR="002714AB" w:rsidRPr="00116A43">
        <w:rPr>
          <w:color w:val="auto"/>
          <w:sz w:val="20"/>
          <w:szCs w:val="20"/>
          <w:lang w:val="es-AR"/>
        </w:rPr>
        <w:t>,</w:t>
      </w:r>
      <w:r w:rsidR="00F4117E" w:rsidRPr="00116A43">
        <w:rPr>
          <w:color w:val="auto"/>
          <w:sz w:val="20"/>
          <w:szCs w:val="20"/>
          <w:lang w:val="es-AR"/>
        </w:rPr>
        <w:t xml:space="preserve"> </w:t>
      </w:r>
      <w:r w:rsidR="002714AB" w:rsidRPr="00116A43">
        <w:rPr>
          <w:color w:val="auto"/>
          <w:sz w:val="20"/>
          <w:szCs w:val="20"/>
          <w:lang w:val="es-AR"/>
        </w:rPr>
        <w:t xml:space="preserve">tanto </w:t>
      </w:r>
      <w:r w:rsidR="00F4117E" w:rsidRPr="00116A43">
        <w:rPr>
          <w:color w:val="auto"/>
          <w:sz w:val="20"/>
          <w:szCs w:val="20"/>
          <w:lang w:val="es-AR"/>
        </w:rPr>
        <w:t>su móvil</w:t>
      </w:r>
      <w:r w:rsidR="002714AB" w:rsidRPr="00116A43">
        <w:rPr>
          <w:color w:val="auto"/>
          <w:sz w:val="20"/>
          <w:szCs w:val="20"/>
          <w:lang w:val="es-AR"/>
        </w:rPr>
        <w:t xml:space="preserve"> como</w:t>
      </w:r>
      <w:r w:rsidR="00F4117E" w:rsidRPr="00116A43">
        <w:rPr>
          <w:color w:val="auto"/>
          <w:sz w:val="20"/>
          <w:szCs w:val="20"/>
          <w:lang w:val="es-AR"/>
        </w:rPr>
        <w:t xml:space="preserve">  la cámara que llevaba fue</w:t>
      </w:r>
      <w:r w:rsidR="002714AB" w:rsidRPr="00116A43">
        <w:rPr>
          <w:color w:val="auto"/>
          <w:sz w:val="20"/>
          <w:szCs w:val="20"/>
          <w:lang w:val="es-AR"/>
        </w:rPr>
        <w:t>ron</w:t>
      </w:r>
      <w:r w:rsidR="00F4117E" w:rsidRPr="00116A43">
        <w:rPr>
          <w:color w:val="auto"/>
          <w:sz w:val="20"/>
          <w:szCs w:val="20"/>
          <w:lang w:val="es-AR"/>
        </w:rPr>
        <w:t xml:space="preserve"> re</w:t>
      </w:r>
      <w:r w:rsidR="002C0D7F" w:rsidRPr="00116A43">
        <w:rPr>
          <w:color w:val="auto"/>
          <w:sz w:val="20"/>
          <w:szCs w:val="20"/>
          <w:lang w:val="es-AR"/>
        </w:rPr>
        <w:t>quisad</w:t>
      </w:r>
      <w:r w:rsidR="002714AB" w:rsidRPr="00116A43">
        <w:rPr>
          <w:color w:val="auto"/>
          <w:sz w:val="20"/>
          <w:szCs w:val="20"/>
          <w:lang w:val="es-AR"/>
        </w:rPr>
        <w:t>os</w:t>
      </w:r>
      <w:r w:rsidR="00430C21" w:rsidRPr="00116A43">
        <w:rPr>
          <w:color w:val="auto"/>
          <w:sz w:val="20"/>
          <w:szCs w:val="20"/>
          <w:lang w:val="es-AR"/>
        </w:rPr>
        <w:t xml:space="preserve"> </w:t>
      </w:r>
      <w:r w:rsidR="008106F4" w:rsidRPr="00116A43">
        <w:rPr>
          <w:color w:val="auto"/>
          <w:sz w:val="20"/>
          <w:szCs w:val="20"/>
          <w:lang w:val="es-AR"/>
        </w:rPr>
        <w:t>sin orden judicial</w:t>
      </w:r>
      <w:r w:rsidR="00BF01BC" w:rsidRPr="00116A43">
        <w:rPr>
          <w:color w:val="auto"/>
          <w:sz w:val="20"/>
          <w:szCs w:val="20"/>
          <w:lang w:val="es-AR"/>
        </w:rPr>
        <w:t xml:space="preserve">, </w:t>
      </w:r>
      <w:r w:rsidR="008106F4" w:rsidRPr="00116A43">
        <w:rPr>
          <w:color w:val="auto"/>
          <w:sz w:val="20"/>
          <w:szCs w:val="20"/>
          <w:lang w:val="es-AR"/>
        </w:rPr>
        <w:t xml:space="preserve">a pesar de que </w:t>
      </w:r>
      <w:r w:rsidR="00654D55" w:rsidRPr="00116A43">
        <w:rPr>
          <w:color w:val="auto"/>
          <w:sz w:val="20"/>
          <w:szCs w:val="20"/>
          <w:lang w:val="es-AR"/>
        </w:rPr>
        <w:t>estos no p</w:t>
      </w:r>
      <w:r w:rsidR="002714AB" w:rsidRPr="00116A43">
        <w:rPr>
          <w:color w:val="auto"/>
          <w:sz w:val="20"/>
          <w:szCs w:val="20"/>
          <w:lang w:val="es-AR"/>
        </w:rPr>
        <w:t>odía</w:t>
      </w:r>
      <w:r w:rsidR="00654D55" w:rsidRPr="00116A43">
        <w:rPr>
          <w:color w:val="auto"/>
          <w:sz w:val="20"/>
          <w:szCs w:val="20"/>
          <w:lang w:val="es-AR"/>
        </w:rPr>
        <w:t>n ser</w:t>
      </w:r>
      <w:r w:rsidR="002714AB" w:rsidRPr="00116A43">
        <w:rPr>
          <w:color w:val="auto"/>
          <w:sz w:val="20"/>
          <w:szCs w:val="20"/>
          <w:lang w:val="es-AR"/>
        </w:rPr>
        <w:t>lo</w:t>
      </w:r>
      <w:r w:rsidR="00654D55" w:rsidRPr="00116A43">
        <w:rPr>
          <w:color w:val="auto"/>
          <w:sz w:val="20"/>
          <w:szCs w:val="20"/>
          <w:lang w:val="es-AR"/>
        </w:rPr>
        <w:t xml:space="preserve"> en virtud de la protección de su labor periodística</w:t>
      </w:r>
      <w:r w:rsidR="003364B0" w:rsidRPr="00116A43">
        <w:rPr>
          <w:rStyle w:val="FootnoteReference"/>
          <w:color w:val="auto"/>
          <w:sz w:val="20"/>
          <w:szCs w:val="20"/>
          <w:lang w:val="es-AR"/>
        </w:rPr>
        <w:footnoteReference w:id="284"/>
      </w:r>
      <w:r w:rsidR="00261745" w:rsidRPr="00116A43">
        <w:rPr>
          <w:color w:val="auto"/>
          <w:sz w:val="20"/>
          <w:szCs w:val="20"/>
          <w:lang w:val="es-AR"/>
        </w:rPr>
        <w:t xml:space="preserve">; </w:t>
      </w:r>
      <w:r w:rsidR="00D65BD6" w:rsidRPr="00116A43">
        <w:rPr>
          <w:color w:val="auto"/>
          <w:sz w:val="20"/>
          <w:szCs w:val="20"/>
          <w:lang w:val="es-AR"/>
        </w:rPr>
        <w:t>c</w:t>
      </w:r>
      <w:r w:rsidR="005A6105" w:rsidRPr="00116A43">
        <w:rPr>
          <w:color w:val="auto"/>
          <w:sz w:val="20"/>
          <w:szCs w:val="20"/>
          <w:lang w:val="es-AR"/>
        </w:rPr>
        <w:t>)</w:t>
      </w:r>
      <w:r w:rsidR="009B6CE9" w:rsidRPr="00116A43">
        <w:rPr>
          <w:color w:val="auto"/>
          <w:sz w:val="20"/>
          <w:szCs w:val="20"/>
          <w:lang w:val="es-AR"/>
        </w:rPr>
        <w:t xml:space="preserve"> </w:t>
      </w:r>
      <w:r w:rsidR="00261745" w:rsidRPr="00116A43">
        <w:rPr>
          <w:color w:val="auto"/>
          <w:sz w:val="20"/>
          <w:szCs w:val="20"/>
          <w:lang w:val="es-AR"/>
        </w:rPr>
        <w:t>en 20 oportunidades el Estado le impidió salir del país</w:t>
      </w:r>
      <w:r w:rsidR="007B103C" w:rsidRPr="00116A43">
        <w:rPr>
          <w:color w:val="auto"/>
          <w:sz w:val="20"/>
          <w:szCs w:val="20"/>
          <w:lang w:val="es-AR"/>
        </w:rPr>
        <w:t>;</w:t>
      </w:r>
      <w:r w:rsidR="00261745" w:rsidRPr="00116A43">
        <w:rPr>
          <w:color w:val="auto"/>
          <w:sz w:val="20"/>
          <w:szCs w:val="20"/>
          <w:lang w:val="es-AR"/>
        </w:rPr>
        <w:t xml:space="preserve"> </w:t>
      </w:r>
      <w:r w:rsidR="00B73241" w:rsidRPr="00116A43">
        <w:rPr>
          <w:color w:val="auto"/>
          <w:sz w:val="20"/>
          <w:szCs w:val="20"/>
          <w:lang w:val="es-AR"/>
        </w:rPr>
        <w:t>d</w:t>
      </w:r>
      <w:r w:rsidR="005A6105" w:rsidRPr="00116A43">
        <w:rPr>
          <w:color w:val="auto"/>
          <w:sz w:val="20"/>
          <w:szCs w:val="20"/>
          <w:lang w:val="es-AR"/>
        </w:rPr>
        <w:t xml:space="preserve">) </w:t>
      </w:r>
      <w:r w:rsidR="00A6015F" w:rsidRPr="00116A43">
        <w:rPr>
          <w:color w:val="auto"/>
          <w:sz w:val="20"/>
          <w:szCs w:val="20"/>
          <w:lang w:val="es-AR"/>
        </w:rPr>
        <w:t xml:space="preserve">fue </w:t>
      </w:r>
      <w:r w:rsidR="00E10BA7" w:rsidRPr="00116A43">
        <w:rPr>
          <w:color w:val="auto"/>
          <w:sz w:val="20"/>
          <w:szCs w:val="20"/>
          <w:lang w:val="es-AR"/>
        </w:rPr>
        <w:t xml:space="preserve">objeto de una campaña de desprestigio; </w:t>
      </w:r>
      <w:r w:rsidR="00B73241" w:rsidRPr="00116A43">
        <w:rPr>
          <w:color w:val="auto"/>
          <w:sz w:val="20"/>
          <w:szCs w:val="20"/>
          <w:lang w:val="es-AR"/>
        </w:rPr>
        <w:t>e</w:t>
      </w:r>
      <w:r w:rsidR="005A6105" w:rsidRPr="00116A43">
        <w:rPr>
          <w:color w:val="auto"/>
          <w:sz w:val="20"/>
          <w:szCs w:val="20"/>
          <w:lang w:val="es-AR"/>
        </w:rPr>
        <w:t xml:space="preserve">) </w:t>
      </w:r>
      <w:r w:rsidR="002F6D66" w:rsidRPr="00116A43">
        <w:rPr>
          <w:color w:val="auto"/>
          <w:sz w:val="20"/>
          <w:szCs w:val="20"/>
          <w:lang w:val="es-AR"/>
        </w:rPr>
        <w:t xml:space="preserve">se le impidió reunirse con otras personas en eventos públicos y acceder a estos; </w:t>
      </w:r>
      <w:r w:rsidR="00B73241" w:rsidRPr="00116A43">
        <w:rPr>
          <w:color w:val="auto"/>
          <w:sz w:val="20"/>
          <w:szCs w:val="20"/>
          <w:lang w:val="es-AR"/>
        </w:rPr>
        <w:t>f</w:t>
      </w:r>
      <w:r w:rsidR="005A6105" w:rsidRPr="00116A43">
        <w:rPr>
          <w:color w:val="auto"/>
          <w:sz w:val="20"/>
          <w:szCs w:val="20"/>
          <w:lang w:val="es-AR"/>
        </w:rPr>
        <w:t>) fue objeto de amenazas</w:t>
      </w:r>
      <w:r w:rsidR="009A39BE" w:rsidRPr="00116A43">
        <w:rPr>
          <w:color w:val="auto"/>
          <w:sz w:val="20"/>
          <w:szCs w:val="20"/>
          <w:lang w:val="es-AR"/>
        </w:rPr>
        <w:t xml:space="preserve">, acoso y </w:t>
      </w:r>
      <w:r w:rsidR="005A6105" w:rsidRPr="00116A43">
        <w:rPr>
          <w:color w:val="auto"/>
          <w:sz w:val="20"/>
          <w:szCs w:val="20"/>
          <w:lang w:val="es-AR"/>
        </w:rPr>
        <w:t>hostigamientos</w:t>
      </w:r>
      <w:r w:rsidR="009A39BE" w:rsidRPr="00116A43">
        <w:rPr>
          <w:color w:val="auto"/>
          <w:sz w:val="20"/>
          <w:szCs w:val="20"/>
          <w:lang w:val="es-AR"/>
        </w:rPr>
        <w:t xml:space="preserve"> como</w:t>
      </w:r>
      <w:r w:rsidR="002714AB" w:rsidRPr="00116A43">
        <w:rPr>
          <w:color w:val="auto"/>
          <w:sz w:val="20"/>
          <w:szCs w:val="20"/>
          <w:lang w:val="es-AR"/>
        </w:rPr>
        <w:t>:</w:t>
      </w:r>
      <w:r w:rsidR="009A39BE" w:rsidRPr="00116A43">
        <w:rPr>
          <w:color w:val="auto"/>
          <w:sz w:val="20"/>
          <w:szCs w:val="20"/>
          <w:lang w:val="es-AR"/>
        </w:rPr>
        <w:t xml:space="preserve"> las advertencias de no organizar eventos con otros blogueros, </w:t>
      </w:r>
      <w:r w:rsidR="00700149" w:rsidRPr="00116A43">
        <w:rPr>
          <w:color w:val="auto"/>
          <w:sz w:val="20"/>
          <w:szCs w:val="20"/>
          <w:lang w:val="es-AR"/>
        </w:rPr>
        <w:t xml:space="preserve">el acoso a su entorno familiar y de amistad, la </w:t>
      </w:r>
      <w:r w:rsidR="00700149" w:rsidRPr="00116A43">
        <w:rPr>
          <w:sz w:val="20"/>
          <w:szCs w:val="20"/>
          <w:lang w:val="es-PE"/>
        </w:rPr>
        <w:t>vigilancia de su residencia y seguimientos</w:t>
      </w:r>
      <w:r w:rsidR="005A6105" w:rsidRPr="00116A43">
        <w:rPr>
          <w:color w:val="auto"/>
          <w:sz w:val="20"/>
          <w:szCs w:val="20"/>
          <w:lang w:val="es-AR"/>
        </w:rPr>
        <w:t xml:space="preserve">; </w:t>
      </w:r>
      <w:r w:rsidR="00B73241" w:rsidRPr="00116A43">
        <w:rPr>
          <w:color w:val="auto"/>
          <w:sz w:val="20"/>
          <w:szCs w:val="20"/>
          <w:lang w:val="es-AR"/>
        </w:rPr>
        <w:t>g</w:t>
      </w:r>
      <w:r w:rsidR="005A6105" w:rsidRPr="00116A43">
        <w:rPr>
          <w:color w:val="auto"/>
          <w:sz w:val="20"/>
          <w:szCs w:val="20"/>
          <w:lang w:val="es-AR"/>
        </w:rPr>
        <w:t xml:space="preserve">) </w:t>
      </w:r>
      <w:r w:rsidR="00F770D6" w:rsidRPr="00116A43">
        <w:rPr>
          <w:color w:val="auto"/>
          <w:sz w:val="20"/>
          <w:szCs w:val="20"/>
          <w:lang w:val="es-AR"/>
        </w:rPr>
        <w:t xml:space="preserve">sus comunicaciones telefónicas fueron </w:t>
      </w:r>
      <w:r w:rsidR="000A15AF" w:rsidRPr="00116A43">
        <w:rPr>
          <w:color w:val="auto"/>
          <w:sz w:val="20"/>
          <w:szCs w:val="20"/>
          <w:lang w:val="es-AR"/>
        </w:rPr>
        <w:t>interceptad</w:t>
      </w:r>
      <w:r w:rsidR="002714AB" w:rsidRPr="00116A43">
        <w:rPr>
          <w:color w:val="auto"/>
          <w:sz w:val="20"/>
          <w:szCs w:val="20"/>
          <w:lang w:val="es-AR"/>
        </w:rPr>
        <w:t>a</w:t>
      </w:r>
      <w:r w:rsidR="000A15AF" w:rsidRPr="00116A43">
        <w:rPr>
          <w:color w:val="auto"/>
          <w:sz w:val="20"/>
          <w:szCs w:val="20"/>
          <w:lang w:val="es-AR"/>
        </w:rPr>
        <w:t>s</w:t>
      </w:r>
      <w:r w:rsidR="00B36C1B" w:rsidRPr="00116A43">
        <w:rPr>
          <w:color w:val="auto"/>
          <w:sz w:val="20"/>
          <w:szCs w:val="20"/>
          <w:lang w:val="es-AR"/>
        </w:rPr>
        <w:t xml:space="preserve">; </w:t>
      </w:r>
      <w:r w:rsidR="00B73241" w:rsidRPr="00116A43">
        <w:rPr>
          <w:color w:val="auto"/>
          <w:sz w:val="20"/>
          <w:szCs w:val="20"/>
          <w:lang w:val="es-AR"/>
        </w:rPr>
        <w:t>h</w:t>
      </w:r>
      <w:r w:rsidR="00B36C1B" w:rsidRPr="00116A43">
        <w:rPr>
          <w:color w:val="auto"/>
          <w:sz w:val="20"/>
          <w:szCs w:val="20"/>
          <w:lang w:val="es-AR"/>
        </w:rPr>
        <w:t xml:space="preserve">) </w:t>
      </w:r>
      <w:r w:rsidR="005F5293" w:rsidRPr="00116A43">
        <w:rPr>
          <w:color w:val="auto"/>
          <w:sz w:val="20"/>
          <w:szCs w:val="20"/>
          <w:lang w:val="es-AR"/>
        </w:rPr>
        <w:t>su blog fue bloqueado</w:t>
      </w:r>
      <w:r w:rsidR="00430C21" w:rsidRPr="00116A43">
        <w:rPr>
          <w:color w:val="auto"/>
          <w:sz w:val="20"/>
          <w:szCs w:val="20"/>
          <w:lang w:val="es-AR"/>
        </w:rPr>
        <w:t xml:space="preserve">, </w:t>
      </w:r>
      <w:r w:rsidR="00BF01BC" w:rsidRPr="00116A43">
        <w:rPr>
          <w:color w:val="auto"/>
          <w:sz w:val="20"/>
          <w:szCs w:val="20"/>
          <w:lang w:val="es-AR"/>
        </w:rPr>
        <w:t>e,</w:t>
      </w:r>
      <w:r w:rsidR="00886524" w:rsidRPr="00116A43">
        <w:rPr>
          <w:color w:val="auto"/>
          <w:sz w:val="20"/>
          <w:szCs w:val="20"/>
          <w:lang w:val="es-AR"/>
        </w:rPr>
        <w:t xml:space="preserve"> </w:t>
      </w:r>
      <w:r w:rsidR="00B73241" w:rsidRPr="00116A43">
        <w:rPr>
          <w:color w:val="auto"/>
          <w:sz w:val="20"/>
          <w:szCs w:val="20"/>
          <w:lang w:val="es-AR"/>
        </w:rPr>
        <w:t>i</w:t>
      </w:r>
      <w:r w:rsidR="005F5293" w:rsidRPr="00116A43">
        <w:rPr>
          <w:color w:val="auto"/>
          <w:sz w:val="20"/>
          <w:szCs w:val="20"/>
          <w:lang w:val="es-AR"/>
        </w:rPr>
        <w:t xml:space="preserve">) sus denuncias </w:t>
      </w:r>
      <w:r w:rsidR="006B4917" w:rsidRPr="00116A43">
        <w:rPr>
          <w:color w:val="auto"/>
          <w:sz w:val="20"/>
          <w:szCs w:val="20"/>
          <w:lang w:val="es-AR"/>
        </w:rPr>
        <w:t>y pe</w:t>
      </w:r>
      <w:r w:rsidR="005F5293" w:rsidRPr="00116A43">
        <w:rPr>
          <w:color w:val="auto"/>
          <w:sz w:val="20"/>
          <w:szCs w:val="20"/>
          <w:lang w:val="es-AR"/>
        </w:rPr>
        <w:t>t</w:t>
      </w:r>
      <w:r w:rsidR="006B4917" w:rsidRPr="00116A43">
        <w:rPr>
          <w:color w:val="auto"/>
          <w:sz w:val="20"/>
          <w:szCs w:val="20"/>
          <w:lang w:val="es-AR"/>
        </w:rPr>
        <w:t>i</w:t>
      </w:r>
      <w:r w:rsidR="005F5293" w:rsidRPr="00116A43">
        <w:rPr>
          <w:color w:val="auto"/>
          <w:sz w:val="20"/>
          <w:szCs w:val="20"/>
          <w:lang w:val="es-AR"/>
        </w:rPr>
        <w:t>ciones a las autoridades estatales nunca fueron respondidas</w:t>
      </w:r>
      <w:r w:rsidR="00430C21" w:rsidRPr="00116A43">
        <w:rPr>
          <w:color w:val="auto"/>
          <w:sz w:val="20"/>
          <w:szCs w:val="20"/>
          <w:lang w:val="es-AR"/>
        </w:rPr>
        <w:t>.</w:t>
      </w:r>
    </w:p>
    <w:p w14:paraId="08ACA8E2" w14:textId="77777777" w:rsidR="00FF4E8F" w:rsidRPr="00116A43" w:rsidRDefault="00FF4E8F" w:rsidP="003A1E8F">
      <w:pPr>
        <w:pStyle w:val="ListParagraph"/>
        <w:rPr>
          <w:sz w:val="20"/>
          <w:szCs w:val="20"/>
          <w:lang w:val="es-PE"/>
        </w:rPr>
      </w:pPr>
    </w:p>
    <w:p w14:paraId="57F0F0A9" w14:textId="3A0F0872" w:rsidR="00413722" w:rsidRPr="00116A43" w:rsidRDefault="00FF4E8F"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sz w:val="20"/>
          <w:szCs w:val="20"/>
          <w:lang w:val="es-PE"/>
        </w:rPr>
        <w:t>La CIDH considera que tod</w:t>
      </w:r>
      <w:r w:rsidR="00E25436" w:rsidRPr="00116A43">
        <w:rPr>
          <w:sz w:val="20"/>
          <w:szCs w:val="20"/>
          <w:lang w:val="es-PE"/>
        </w:rPr>
        <w:t>as estas prácticas</w:t>
      </w:r>
      <w:r w:rsidRPr="00116A43">
        <w:rPr>
          <w:sz w:val="20"/>
          <w:szCs w:val="20"/>
          <w:lang w:val="es-PE"/>
        </w:rPr>
        <w:t xml:space="preserve"> estatales </w:t>
      </w:r>
      <w:r w:rsidR="00E25436" w:rsidRPr="00116A43">
        <w:rPr>
          <w:sz w:val="20"/>
          <w:szCs w:val="20"/>
          <w:lang w:val="es-PE"/>
        </w:rPr>
        <w:t xml:space="preserve">ejecutadas en contra de Yoani Sánchez </w:t>
      </w:r>
      <w:r w:rsidR="00E82C0C" w:rsidRPr="00116A43">
        <w:rPr>
          <w:sz w:val="20"/>
          <w:szCs w:val="20"/>
          <w:lang w:val="es-PE"/>
        </w:rPr>
        <w:t xml:space="preserve">constituyeron represalias por </w:t>
      </w:r>
      <w:r w:rsidR="0030611D" w:rsidRPr="00116A43">
        <w:rPr>
          <w:sz w:val="20"/>
          <w:szCs w:val="20"/>
          <w:lang w:val="es-PE"/>
        </w:rPr>
        <w:t xml:space="preserve">su actividad periodística y por </w:t>
      </w:r>
      <w:r w:rsidR="00B12F55" w:rsidRPr="00116A43">
        <w:rPr>
          <w:sz w:val="20"/>
          <w:szCs w:val="20"/>
          <w:lang w:val="es-PE"/>
        </w:rPr>
        <w:t>las opiniones</w:t>
      </w:r>
      <w:r w:rsidR="008171B2" w:rsidRPr="00116A43">
        <w:rPr>
          <w:sz w:val="20"/>
          <w:szCs w:val="20"/>
          <w:lang w:val="es-PE"/>
        </w:rPr>
        <w:t xml:space="preserve"> y expresiones </w:t>
      </w:r>
      <w:r w:rsidR="0030611D" w:rsidRPr="00116A43">
        <w:rPr>
          <w:sz w:val="20"/>
          <w:szCs w:val="20"/>
          <w:lang w:val="es-PE"/>
        </w:rPr>
        <w:t>crític</w:t>
      </w:r>
      <w:r w:rsidR="008171B2" w:rsidRPr="00116A43">
        <w:rPr>
          <w:sz w:val="20"/>
          <w:szCs w:val="20"/>
          <w:lang w:val="es-PE"/>
        </w:rPr>
        <w:t>as</w:t>
      </w:r>
      <w:r w:rsidR="0030611D" w:rsidRPr="00116A43">
        <w:rPr>
          <w:sz w:val="20"/>
          <w:szCs w:val="20"/>
          <w:lang w:val="es-PE"/>
        </w:rPr>
        <w:t xml:space="preserve"> y contrari</w:t>
      </w:r>
      <w:r w:rsidR="008171B2" w:rsidRPr="00116A43">
        <w:rPr>
          <w:sz w:val="20"/>
          <w:szCs w:val="20"/>
          <w:lang w:val="es-PE"/>
        </w:rPr>
        <w:t>as</w:t>
      </w:r>
      <w:r w:rsidR="0030611D" w:rsidRPr="00116A43">
        <w:rPr>
          <w:sz w:val="20"/>
          <w:szCs w:val="20"/>
          <w:lang w:val="es-PE"/>
        </w:rPr>
        <w:t xml:space="preserve"> al gobierno cubano </w:t>
      </w:r>
      <w:r w:rsidR="00B12F55" w:rsidRPr="00116A43">
        <w:rPr>
          <w:sz w:val="20"/>
          <w:szCs w:val="20"/>
          <w:lang w:val="es-PE"/>
        </w:rPr>
        <w:t>manifestad</w:t>
      </w:r>
      <w:r w:rsidR="008171B2" w:rsidRPr="00116A43">
        <w:rPr>
          <w:sz w:val="20"/>
          <w:szCs w:val="20"/>
          <w:lang w:val="es-PE"/>
        </w:rPr>
        <w:t>as</w:t>
      </w:r>
      <w:r w:rsidR="00B12F55" w:rsidRPr="00116A43">
        <w:rPr>
          <w:sz w:val="20"/>
          <w:szCs w:val="20"/>
          <w:lang w:val="es-PE"/>
        </w:rPr>
        <w:t xml:space="preserve"> en</w:t>
      </w:r>
      <w:r w:rsidR="008171B2" w:rsidRPr="00116A43">
        <w:rPr>
          <w:sz w:val="20"/>
          <w:szCs w:val="20"/>
          <w:lang w:val="es-PE"/>
        </w:rPr>
        <w:t xml:space="preserve"> su blog </w:t>
      </w:r>
      <w:r w:rsidR="00A64EB0" w:rsidRPr="00116A43">
        <w:rPr>
          <w:sz w:val="20"/>
          <w:szCs w:val="20"/>
          <w:lang w:val="es-PE"/>
        </w:rPr>
        <w:t>“</w:t>
      </w:r>
      <w:r w:rsidR="008171B2" w:rsidRPr="00116A43">
        <w:rPr>
          <w:sz w:val="20"/>
          <w:szCs w:val="20"/>
          <w:lang w:val="es-PE"/>
        </w:rPr>
        <w:t>Generación Y</w:t>
      </w:r>
      <w:r w:rsidR="00A64EB0" w:rsidRPr="00116A43">
        <w:rPr>
          <w:sz w:val="20"/>
          <w:szCs w:val="20"/>
          <w:lang w:val="es-PE"/>
        </w:rPr>
        <w:t>”</w:t>
      </w:r>
      <w:r w:rsidR="008171B2" w:rsidRPr="00116A43">
        <w:rPr>
          <w:sz w:val="20"/>
          <w:szCs w:val="20"/>
          <w:lang w:val="es-PE"/>
        </w:rPr>
        <w:t>.</w:t>
      </w:r>
      <w:r w:rsidR="0029020F" w:rsidRPr="00116A43">
        <w:rPr>
          <w:sz w:val="20"/>
          <w:szCs w:val="20"/>
          <w:lang w:val="es-PE"/>
        </w:rPr>
        <w:t xml:space="preserve"> </w:t>
      </w:r>
      <w:r w:rsidR="00B34D6F" w:rsidRPr="00116A43">
        <w:rPr>
          <w:sz w:val="20"/>
          <w:szCs w:val="20"/>
          <w:lang w:val="es-PE"/>
        </w:rPr>
        <w:t>Además</w:t>
      </w:r>
      <w:r w:rsidR="00E42200" w:rsidRPr="00116A43">
        <w:rPr>
          <w:sz w:val="20"/>
          <w:szCs w:val="20"/>
          <w:lang w:val="es-PE"/>
        </w:rPr>
        <w:t>,</w:t>
      </w:r>
      <w:r w:rsidR="00B34D6F" w:rsidRPr="00116A43">
        <w:rPr>
          <w:sz w:val="20"/>
          <w:szCs w:val="20"/>
          <w:lang w:val="es-PE"/>
        </w:rPr>
        <w:t xml:space="preserve"> tuvieron el fin de acallar su voz disidente </w:t>
      </w:r>
      <w:r w:rsidR="000D4E41" w:rsidRPr="00116A43">
        <w:rPr>
          <w:sz w:val="20"/>
          <w:szCs w:val="20"/>
          <w:lang w:val="es-PE"/>
        </w:rPr>
        <w:t>para impedir que la población pu</w:t>
      </w:r>
      <w:r w:rsidR="00E25436" w:rsidRPr="00116A43">
        <w:rPr>
          <w:sz w:val="20"/>
          <w:szCs w:val="20"/>
          <w:lang w:val="es-PE"/>
        </w:rPr>
        <w:t>diera</w:t>
      </w:r>
      <w:r w:rsidR="000D4E41" w:rsidRPr="00116A43">
        <w:rPr>
          <w:sz w:val="20"/>
          <w:szCs w:val="20"/>
          <w:lang w:val="es-PE"/>
        </w:rPr>
        <w:t xml:space="preserve"> tener acceso a información fundamental de interés público que </w:t>
      </w:r>
      <w:r w:rsidR="00E42200" w:rsidRPr="00116A43">
        <w:rPr>
          <w:sz w:val="20"/>
          <w:szCs w:val="20"/>
          <w:lang w:val="es-PE"/>
        </w:rPr>
        <w:t xml:space="preserve">el Estado </w:t>
      </w:r>
      <w:r w:rsidR="000D4E41" w:rsidRPr="00116A43">
        <w:rPr>
          <w:sz w:val="20"/>
          <w:szCs w:val="20"/>
          <w:lang w:val="es-PE"/>
        </w:rPr>
        <w:t>está interesado en ocultar</w:t>
      </w:r>
      <w:r w:rsidR="00E42200" w:rsidRPr="00116A43">
        <w:rPr>
          <w:sz w:val="20"/>
          <w:szCs w:val="20"/>
          <w:lang w:val="es-PE"/>
        </w:rPr>
        <w:t>.</w:t>
      </w:r>
      <w:r w:rsidR="000D4E41" w:rsidRPr="00116A43">
        <w:rPr>
          <w:sz w:val="20"/>
          <w:szCs w:val="20"/>
          <w:lang w:val="es-PE"/>
        </w:rPr>
        <w:t xml:space="preserve"> </w:t>
      </w:r>
      <w:r w:rsidR="0029020F" w:rsidRPr="00116A43">
        <w:rPr>
          <w:sz w:val="20"/>
          <w:szCs w:val="20"/>
          <w:lang w:val="es-PE"/>
        </w:rPr>
        <w:t xml:space="preserve">Estos actos se </w:t>
      </w:r>
      <w:r w:rsidR="00CE0DC3" w:rsidRPr="00116A43">
        <w:rPr>
          <w:sz w:val="20"/>
          <w:szCs w:val="20"/>
          <w:lang w:val="es-PE"/>
        </w:rPr>
        <w:t>corresponden con</w:t>
      </w:r>
      <w:r w:rsidR="00B12F55" w:rsidRPr="00116A43">
        <w:rPr>
          <w:sz w:val="20"/>
          <w:szCs w:val="20"/>
          <w:lang w:val="es-PE"/>
        </w:rPr>
        <w:t xml:space="preserve"> </w:t>
      </w:r>
      <w:r w:rsidR="00CE0DC3" w:rsidRPr="00116A43">
        <w:rPr>
          <w:sz w:val="20"/>
          <w:szCs w:val="20"/>
          <w:lang w:val="es-PE"/>
        </w:rPr>
        <w:t>el</w:t>
      </w:r>
      <w:r w:rsidR="001C1E57" w:rsidRPr="00116A43">
        <w:rPr>
          <w:sz w:val="20"/>
          <w:szCs w:val="20"/>
          <w:lang w:val="es-PE"/>
        </w:rPr>
        <w:t xml:space="preserve"> panorama general de persecución </w:t>
      </w:r>
      <w:r w:rsidR="0007537A" w:rsidRPr="00116A43">
        <w:rPr>
          <w:sz w:val="20"/>
          <w:szCs w:val="20"/>
          <w:lang w:val="es-PE"/>
        </w:rPr>
        <w:t xml:space="preserve">selectiva y deliberada en contra de </w:t>
      </w:r>
      <w:r w:rsidR="001C1E57" w:rsidRPr="00116A43">
        <w:rPr>
          <w:sz w:val="20"/>
          <w:szCs w:val="20"/>
          <w:lang w:val="es-PE"/>
        </w:rPr>
        <w:t xml:space="preserve">periodistas </w:t>
      </w:r>
      <w:r w:rsidR="00CE0DC3" w:rsidRPr="00116A43">
        <w:rPr>
          <w:sz w:val="20"/>
          <w:szCs w:val="20"/>
          <w:lang w:val="es-PE"/>
        </w:rPr>
        <w:t xml:space="preserve">independientes </w:t>
      </w:r>
      <w:r w:rsidR="00C36A3B" w:rsidRPr="00116A43">
        <w:rPr>
          <w:sz w:val="20"/>
          <w:szCs w:val="20"/>
          <w:lang w:val="es-PE"/>
        </w:rPr>
        <w:t xml:space="preserve">y personas percibidas como enemigas del gobierno, </w:t>
      </w:r>
      <w:r w:rsidR="001C1E57" w:rsidRPr="00116A43">
        <w:rPr>
          <w:sz w:val="20"/>
          <w:szCs w:val="20"/>
          <w:lang w:val="es-PE"/>
        </w:rPr>
        <w:t xml:space="preserve">y </w:t>
      </w:r>
      <w:r w:rsidR="00CE0DC3" w:rsidRPr="00116A43">
        <w:rPr>
          <w:sz w:val="20"/>
          <w:szCs w:val="20"/>
          <w:lang w:val="es-PE"/>
        </w:rPr>
        <w:t xml:space="preserve">la falta de respeto y garantía </w:t>
      </w:r>
      <w:r w:rsidR="001C1E57" w:rsidRPr="00116A43">
        <w:rPr>
          <w:sz w:val="20"/>
          <w:szCs w:val="20"/>
          <w:lang w:val="es-PE"/>
        </w:rPr>
        <w:t xml:space="preserve">del derecho a libertad de expresión en Cuba, </w:t>
      </w:r>
      <w:r w:rsidR="00CE0DC3" w:rsidRPr="00116A43">
        <w:rPr>
          <w:sz w:val="20"/>
          <w:szCs w:val="20"/>
          <w:lang w:val="es-PE"/>
        </w:rPr>
        <w:t xml:space="preserve">conforme fue establecido. </w:t>
      </w:r>
      <w:r w:rsidR="008463C3" w:rsidRPr="00116A43">
        <w:rPr>
          <w:sz w:val="20"/>
          <w:szCs w:val="20"/>
          <w:lang w:val="es-PE"/>
        </w:rPr>
        <w:t>La CIDH concluye que to</w:t>
      </w:r>
      <w:r w:rsidR="00413722" w:rsidRPr="00116A43">
        <w:rPr>
          <w:sz w:val="20"/>
          <w:szCs w:val="20"/>
          <w:lang w:val="es-PE"/>
        </w:rPr>
        <w:t xml:space="preserve">das estas </w:t>
      </w:r>
      <w:r w:rsidR="00F15D28" w:rsidRPr="00116A43">
        <w:rPr>
          <w:sz w:val="20"/>
          <w:szCs w:val="20"/>
          <w:lang w:val="es-PE"/>
        </w:rPr>
        <w:t>prácticas</w:t>
      </w:r>
      <w:r w:rsidR="00413722" w:rsidRPr="00116A43">
        <w:rPr>
          <w:sz w:val="20"/>
          <w:szCs w:val="20"/>
          <w:lang w:val="es-PE"/>
        </w:rPr>
        <w:t xml:space="preserve"> </w:t>
      </w:r>
      <w:r w:rsidR="00CF744B" w:rsidRPr="00116A43">
        <w:rPr>
          <w:sz w:val="20"/>
          <w:szCs w:val="20"/>
          <w:lang w:val="es-PE"/>
        </w:rPr>
        <w:t>constituyeron</w:t>
      </w:r>
      <w:r w:rsidR="005C6FE4" w:rsidRPr="00116A43">
        <w:rPr>
          <w:sz w:val="20"/>
          <w:szCs w:val="20"/>
          <w:lang w:val="es-PE"/>
        </w:rPr>
        <w:t xml:space="preserve"> restricciones</w:t>
      </w:r>
      <w:r w:rsidR="00413722" w:rsidRPr="00116A43">
        <w:rPr>
          <w:sz w:val="20"/>
          <w:szCs w:val="20"/>
          <w:lang w:val="es-PE"/>
        </w:rPr>
        <w:t xml:space="preserve"> </w:t>
      </w:r>
      <w:r w:rsidR="005C6FE4" w:rsidRPr="00116A43">
        <w:rPr>
          <w:sz w:val="20"/>
          <w:szCs w:val="20"/>
          <w:lang w:val="es-PE"/>
        </w:rPr>
        <w:t>arbitrarias de</w:t>
      </w:r>
      <w:r w:rsidR="00CF744B" w:rsidRPr="00116A43">
        <w:rPr>
          <w:sz w:val="20"/>
          <w:szCs w:val="20"/>
          <w:lang w:val="es-PE"/>
        </w:rPr>
        <w:t xml:space="preserve">l derecho a </w:t>
      </w:r>
      <w:r w:rsidR="005C6FE4" w:rsidRPr="00116A43">
        <w:rPr>
          <w:sz w:val="20"/>
          <w:szCs w:val="20"/>
          <w:lang w:val="es-PE"/>
        </w:rPr>
        <w:t xml:space="preserve">la libertad de </w:t>
      </w:r>
      <w:r w:rsidR="00CF744B" w:rsidRPr="00116A43">
        <w:rPr>
          <w:sz w:val="20"/>
          <w:szCs w:val="20"/>
          <w:lang w:val="es-PE"/>
        </w:rPr>
        <w:t>expresión</w:t>
      </w:r>
      <w:r w:rsidR="00413722" w:rsidRPr="00116A43">
        <w:rPr>
          <w:sz w:val="20"/>
          <w:szCs w:val="20"/>
          <w:lang w:val="es-PE"/>
        </w:rPr>
        <w:t xml:space="preserve">. </w:t>
      </w:r>
    </w:p>
    <w:p w14:paraId="62DA239D" w14:textId="77777777" w:rsidR="00081ED4" w:rsidRPr="00116A43" w:rsidRDefault="00081ED4" w:rsidP="00375047">
      <w:pPr>
        <w:rPr>
          <w:rFonts w:ascii="Cambria" w:hAnsi="Cambria"/>
          <w:sz w:val="20"/>
          <w:szCs w:val="20"/>
          <w:lang w:val="es-CO"/>
        </w:rPr>
      </w:pPr>
    </w:p>
    <w:p w14:paraId="0EC57C43" w14:textId="40DA6795" w:rsidR="003B04F8" w:rsidRPr="00116A43" w:rsidRDefault="00650BE7"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CO"/>
        </w:rPr>
      </w:pPr>
      <w:r w:rsidRPr="00116A43">
        <w:rPr>
          <w:rFonts w:ascii="Cambria" w:hAnsi="Cambria"/>
          <w:sz w:val="20"/>
          <w:szCs w:val="20"/>
          <w:lang w:val="es-CO"/>
        </w:rPr>
        <w:t xml:space="preserve">La Comisión considera importante resaltar que </w:t>
      </w:r>
      <w:r w:rsidRPr="00116A43">
        <w:rPr>
          <w:rFonts w:ascii="Cambria" w:hAnsi="Cambria"/>
          <w:sz w:val="20"/>
          <w:szCs w:val="20"/>
          <w:bdr w:val="none" w:sz="0" w:space="0" w:color="auto"/>
          <w:lang w:val="es-AR"/>
        </w:rPr>
        <w:t>“el ejercicio periodístico sólo puede efectuarse libremente cuando las personas que lo realizan no son víctimas de amenazas ni de agresiones físicas, psíquicas o morales u otros actos de hostigamiento”</w:t>
      </w:r>
      <w:r w:rsidRPr="00116A43">
        <w:rPr>
          <w:rFonts w:ascii="Cambria" w:hAnsi="Cambria"/>
          <w:sz w:val="20"/>
          <w:szCs w:val="20"/>
          <w:bdr w:val="none" w:sz="0" w:space="0" w:color="auto"/>
          <w:vertAlign w:val="superscript"/>
        </w:rPr>
        <w:footnoteReference w:id="285"/>
      </w:r>
      <w:r w:rsidRPr="00116A43">
        <w:rPr>
          <w:rFonts w:ascii="Cambria" w:hAnsi="Cambria"/>
          <w:sz w:val="20"/>
          <w:szCs w:val="20"/>
          <w:bdr w:val="none" w:sz="0" w:space="0" w:color="auto"/>
          <w:lang w:val="es-AR"/>
        </w:rPr>
        <w:t>.</w:t>
      </w:r>
      <w:r w:rsidR="005E1469" w:rsidRPr="00116A43">
        <w:rPr>
          <w:rFonts w:ascii="Cambria" w:hAnsi="Cambria"/>
          <w:sz w:val="20"/>
          <w:szCs w:val="20"/>
          <w:bdr w:val="none" w:sz="0" w:space="0" w:color="auto"/>
          <w:lang w:val="es-AR"/>
        </w:rPr>
        <w:t xml:space="preserve"> </w:t>
      </w:r>
      <w:r w:rsidR="002F3DD4" w:rsidRPr="00116A43">
        <w:rPr>
          <w:rFonts w:ascii="Cambria" w:hAnsi="Cambria"/>
          <w:sz w:val="20"/>
          <w:szCs w:val="20"/>
          <w:bdr w:val="none" w:sz="0" w:space="0" w:color="auto"/>
          <w:lang w:val="es-AR"/>
        </w:rPr>
        <w:t>En el presente caso, ello no ocurrió. Por el contrario, la violencia en general, y en particular la de género, así como los demás actos de persecución en contra de Yoani como mujer periodista, no solo violaron su derecho a la libertad de expresi</w:t>
      </w:r>
      <w:r w:rsidR="00621F43" w:rsidRPr="00116A43">
        <w:rPr>
          <w:rFonts w:ascii="Cambria" w:hAnsi="Cambria"/>
          <w:sz w:val="20"/>
          <w:szCs w:val="20"/>
          <w:bdr w:val="none" w:sz="0" w:space="0" w:color="auto"/>
          <w:lang w:val="es-AR"/>
        </w:rPr>
        <w:t>ón, sino que generaron</w:t>
      </w:r>
      <w:r w:rsidR="002F3DD4" w:rsidRPr="00116A43">
        <w:rPr>
          <w:rFonts w:ascii="Cambria" w:hAnsi="Cambria"/>
          <w:sz w:val="20"/>
          <w:szCs w:val="20"/>
          <w:bdr w:val="none" w:sz="0" w:space="0" w:color="auto"/>
          <w:lang w:val="es-AR"/>
        </w:rPr>
        <w:t xml:space="preserve"> un impacto en el resto de mujeres periodistas críticas y disidente</w:t>
      </w:r>
      <w:r w:rsidR="00532D73" w:rsidRPr="00116A43">
        <w:rPr>
          <w:rFonts w:ascii="Cambria" w:hAnsi="Cambria"/>
          <w:sz w:val="20"/>
          <w:szCs w:val="20"/>
          <w:bdr w:val="none" w:sz="0" w:space="0" w:color="auto"/>
          <w:lang w:val="es-AR"/>
        </w:rPr>
        <w:t>s</w:t>
      </w:r>
      <w:r w:rsidR="002F3DD4" w:rsidRPr="00116A43">
        <w:rPr>
          <w:rFonts w:ascii="Cambria" w:hAnsi="Cambria"/>
          <w:sz w:val="20"/>
          <w:szCs w:val="20"/>
          <w:bdr w:val="none" w:sz="0" w:space="0" w:color="auto"/>
          <w:lang w:val="es-AR"/>
        </w:rPr>
        <w:t xml:space="preserve"> en Cuba. Así, </w:t>
      </w:r>
      <w:r w:rsidR="002F3DD4" w:rsidRPr="00116A43">
        <w:rPr>
          <w:rFonts w:ascii="Cambria" w:hAnsi="Cambria"/>
          <w:sz w:val="20"/>
          <w:szCs w:val="20"/>
          <w:lang w:val="es-PE"/>
        </w:rPr>
        <w:t>“[l]os ataques también puede[n] tener un efecto disuasorio sobre otras mujeres periodistas. El efecto es la falta de perspectivas y voces femeninas en los medios de comunicación en relación con una amplia gama de cuestiones, lo que tiene consecuencias graves para la libertad y la pluralid</w:t>
      </w:r>
      <w:r w:rsidR="00621F43" w:rsidRPr="00116A43">
        <w:rPr>
          <w:rFonts w:ascii="Cambria" w:hAnsi="Cambria"/>
          <w:sz w:val="20"/>
          <w:szCs w:val="20"/>
          <w:lang w:val="es-PE"/>
        </w:rPr>
        <w:t>ad”</w:t>
      </w:r>
      <w:r w:rsidR="00621F43" w:rsidRPr="00116A43">
        <w:rPr>
          <w:rStyle w:val="FootnoteReference"/>
          <w:rFonts w:ascii="Cambria" w:hAnsi="Cambria"/>
          <w:sz w:val="20"/>
          <w:szCs w:val="20"/>
        </w:rPr>
        <w:footnoteReference w:id="286"/>
      </w:r>
      <w:r w:rsidR="00621F43" w:rsidRPr="00116A43">
        <w:rPr>
          <w:rFonts w:ascii="Cambria" w:hAnsi="Cambria"/>
          <w:sz w:val="20"/>
          <w:szCs w:val="20"/>
          <w:lang w:val="es-PE"/>
        </w:rPr>
        <w:t xml:space="preserve"> de la información y para la sociedad en su conjunto</w:t>
      </w:r>
      <w:r w:rsidR="002F3DD4" w:rsidRPr="00116A43">
        <w:rPr>
          <w:rFonts w:ascii="Cambria" w:hAnsi="Cambria"/>
          <w:sz w:val="20"/>
          <w:szCs w:val="20"/>
          <w:lang w:val="es-PE"/>
        </w:rPr>
        <w:t xml:space="preserve">. </w:t>
      </w:r>
      <w:r w:rsidR="002F3DD4" w:rsidRPr="00116A43">
        <w:rPr>
          <w:rFonts w:ascii="Cambria" w:hAnsi="Cambria"/>
          <w:sz w:val="20"/>
          <w:szCs w:val="20"/>
        </w:rPr>
        <w:t>Esta exclusión afianza la discriminación y la desigualdad.</w:t>
      </w:r>
      <w:r w:rsidR="002F3DD4" w:rsidRPr="00116A43">
        <w:rPr>
          <w:rFonts w:ascii="Cambria" w:hAnsi="Cambria"/>
          <w:sz w:val="20"/>
          <w:szCs w:val="20"/>
          <w:bdr w:val="none" w:sz="0" w:space="0" w:color="auto"/>
          <w:lang w:val="es-AR"/>
        </w:rPr>
        <w:t xml:space="preserve"> </w:t>
      </w:r>
    </w:p>
    <w:p w14:paraId="5485F165" w14:textId="77777777" w:rsidR="00226389" w:rsidRPr="00116A43" w:rsidRDefault="00226389"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PE"/>
        </w:rPr>
      </w:pPr>
    </w:p>
    <w:p w14:paraId="472E508C" w14:textId="5771527C" w:rsidR="008D3285" w:rsidRPr="00116A43" w:rsidRDefault="00D2703D"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sz w:val="20"/>
          <w:szCs w:val="20"/>
          <w:bdr w:val="none" w:sz="0" w:space="0" w:color="auto"/>
          <w:lang w:val="es-AR"/>
        </w:rPr>
        <w:lastRenderedPageBreak/>
        <w:t>Finalmente, c</w:t>
      </w:r>
      <w:r w:rsidR="00C0204A" w:rsidRPr="00116A43">
        <w:rPr>
          <w:sz w:val="20"/>
          <w:szCs w:val="20"/>
          <w:bdr w:val="none" w:sz="0" w:space="0" w:color="auto"/>
          <w:lang w:val="es-AR"/>
        </w:rPr>
        <w:t xml:space="preserve">on </w:t>
      </w:r>
      <w:r w:rsidR="008D3285" w:rsidRPr="00116A43">
        <w:rPr>
          <w:sz w:val="20"/>
          <w:szCs w:val="20"/>
          <w:bdr w:val="none" w:sz="0" w:space="0" w:color="auto"/>
          <w:lang w:val="es-AR"/>
        </w:rPr>
        <w:t>respecto al derecho a la participación en el gobierno, la CIDH considera que este derecho se encuentra intrínsecamente relacionado con el derecho a la libertad de expresión, debido que a través del</w:t>
      </w:r>
      <w:r w:rsidR="00D9773A" w:rsidRPr="00116A43">
        <w:rPr>
          <w:sz w:val="20"/>
          <w:szCs w:val="20"/>
          <w:bdr w:val="none" w:sz="0" w:space="0" w:color="auto"/>
          <w:lang w:val="es-AR"/>
        </w:rPr>
        <w:t xml:space="preserve"> ejercicio de aquel</w:t>
      </w:r>
      <w:r w:rsidR="008D3285" w:rsidRPr="00116A43">
        <w:rPr>
          <w:sz w:val="20"/>
          <w:szCs w:val="20"/>
          <w:bdr w:val="none" w:sz="0" w:space="0" w:color="auto"/>
          <w:lang w:val="es-AR"/>
        </w:rPr>
        <w:t xml:space="preserve"> derecho se puede manifestar la crítica y la oposición política. Sin perjuicio de esto, la CIDH considera que cada uno de estos derechos tiene contenidos autónomos, con alcances propios. En el presente caso, la Comisión considera que la oposición y las críticas al gobierno por parte de Yoani Sánchez, sus expectativas de cambios políticos y sociales, así como la denuncia de abusos y falta de libertades en Cuba, </w:t>
      </w:r>
      <w:r w:rsidR="00DC6573" w:rsidRPr="00116A43">
        <w:rPr>
          <w:sz w:val="20"/>
          <w:szCs w:val="20"/>
          <w:bdr w:val="none" w:sz="0" w:space="0" w:color="auto"/>
          <w:lang w:val="es-AR"/>
        </w:rPr>
        <w:t>fueron puestas de manifiesto</w:t>
      </w:r>
      <w:r w:rsidR="008D3285" w:rsidRPr="00116A43">
        <w:rPr>
          <w:sz w:val="20"/>
          <w:szCs w:val="20"/>
          <w:bdr w:val="none" w:sz="0" w:space="0" w:color="auto"/>
          <w:lang w:val="es-AR"/>
        </w:rPr>
        <w:t xml:space="preserve"> principalmente a través de sus artículos críticos y de su blog </w:t>
      </w:r>
      <w:r w:rsidR="00D9773A" w:rsidRPr="00116A43">
        <w:rPr>
          <w:sz w:val="20"/>
          <w:szCs w:val="20"/>
          <w:bdr w:val="none" w:sz="0" w:space="0" w:color="auto"/>
          <w:lang w:val="es-AR"/>
        </w:rPr>
        <w:t>“</w:t>
      </w:r>
      <w:r w:rsidR="008D3285" w:rsidRPr="00116A43">
        <w:rPr>
          <w:sz w:val="20"/>
          <w:szCs w:val="20"/>
          <w:bdr w:val="none" w:sz="0" w:space="0" w:color="auto"/>
          <w:lang w:val="es-AR"/>
        </w:rPr>
        <w:t>Generación Y</w:t>
      </w:r>
      <w:r w:rsidR="00D9773A" w:rsidRPr="00116A43">
        <w:rPr>
          <w:sz w:val="20"/>
          <w:szCs w:val="20"/>
          <w:bdr w:val="none" w:sz="0" w:space="0" w:color="auto"/>
          <w:lang w:val="es-AR"/>
        </w:rPr>
        <w:t>”</w:t>
      </w:r>
      <w:r w:rsidR="008D3285" w:rsidRPr="00116A43">
        <w:rPr>
          <w:sz w:val="20"/>
          <w:szCs w:val="20"/>
          <w:bdr w:val="none" w:sz="0" w:space="0" w:color="auto"/>
          <w:lang w:val="es-AR"/>
        </w:rPr>
        <w:t xml:space="preserve">. En este sentido, dichos actos se encuentran protegidos bajo el derecho a la libertad de expresión y </w:t>
      </w:r>
      <w:r w:rsidR="006919E0" w:rsidRPr="00116A43">
        <w:rPr>
          <w:sz w:val="20"/>
          <w:szCs w:val="20"/>
          <w:bdr w:val="none" w:sz="0" w:space="0" w:color="auto"/>
          <w:lang w:val="es-AR"/>
        </w:rPr>
        <w:t xml:space="preserve">ya </w:t>
      </w:r>
      <w:r w:rsidR="008D3285" w:rsidRPr="00116A43">
        <w:rPr>
          <w:sz w:val="20"/>
          <w:szCs w:val="20"/>
          <w:bdr w:val="none" w:sz="0" w:space="0" w:color="auto"/>
          <w:lang w:val="es-AR"/>
        </w:rPr>
        <w:t xml:space="preserve">han sido analizados bajo los estándares correspondientes. </w:t>
      </w:r>
      <w:r w:rsidR="00D9773A" w:rsidRPr="00116A43">
        <w:rPr>
          <w:sz w:val="20"/>
          <w:szCs w:val="20"/>
          <w:bdr w:val="none" w:sz="0" w:space="0" w:color="auto"/>
          <w:lang w:val="es-AR"/>
        </w:rPr>
        <w:t>Los peticionarios n</w:t>
      </w:r>
      <w:r w:rsidR="008D3285" w:rsidRPr="00116A43">
        <w:rPr>
          <w:sz w:val="20"/>
          <w:szCs w:val="20"/>
          <w:bdr w:val="none" w:sz="0" w:space="0" w:color="auto"/>
          <w:lang w:val="es-AR"/>
        </w:rPr>
        <w:t>o ha</w:t>
      </w:r>
      <w:r w:rsidR="00D9773A" w:rsidRPr="00116A43">
        <w:rPr>
          <w:sz w:val="20"/>
          <w:szCs w:val="20"/>
          <w:bdr w:val="none" w:sz="0" w:space="0" w:color="auto"/>
          <w:lang w:val="es-AR"/>
        </w:rPr>
        <w:t>n</w:t>
      </w:r>
      <w:r w:rsidR="008D3285" w:rsidRPr="00116A43">
        <w:rPr>
          <w:sz w:val="20"/>
          <w:szCs w:val="20"/>
          <w:bdr w:val="none" w:sz="0" w:space="0" w:color="auto"/>
          <w:lang w:val="es-AR"/>
        </w:rPr>
        <w:t xml:space="preserve"> alegado </w:t>
      </w:r>
      <w:r w:rsidR="00D9773A" w:rsidRPr="00116A43">
        <w:rPr>
          <w:sz w:val="20"/>
          <w:szCs w:val="20"/>
          <w:bdr w:val="none" w:sz="0" w:space="0" w:color="auto"/>
          <w:lang w:val="es-AR"/>
        </w:rPr>
        <w:t>restricciones</w:t>
      </w:r>
      <w:r w:rsidR="008D3285" w:rsidRPr="00116A43">
        <w:rPr>
          <w:sz w:val="20"/>
          <w:szCs w:val="20"/>
          <w:bdr w:val="none" w:sz="0" w:space="0" w:color="auto"/>
          <w:lang w:val="es-AR"/>
        </w:rPr>
        <w:t xml:space="preserve"> específica</w:t>
      </w:r>
      <w:r w:rsidR="00D9773A" w:rsidRPr="00116A43">
        <w:rPr>
          <w:sz w:val="20"/>
          <w:szCs w:val="20"/>
          <w:bdr w:val="none" w:sz="0" w:space="0" w:color="auto"/>
          <w:lang w:val="es-AR"/>
        </w:rPr>
        <w:t>s</w:t>
      </w:r>
      <w:r w:rsidR="008D3285" w:rsidRPr="00116A43">
        <w:rPr>
          <w:sz w:val="20"/>
          <w:szCs w:val="20"/>
          <w:bdr w:val="none" w:sz="0" w:space="0" w:color="auto"/>
          <w:lang w:val="es-AR"/>
        </w:rPr>
        <w:t xml:space="preserve"> al derecho de Yoani Sánchez de asociarse o a crear partidos para manifestar una postura política determinada, por ejemplo, que se enmarque </w:t>
      </w:r>
      <w:r w:rsidR="00FA781B" w:rsidRPr="00116A43">
        <w:rPr>
          <w:sz w:val="20"/>
          <w:szCs w:val="20"/>
          <w:bdr w:val="none" w:sz="0" w:space="0" w:color="auto"/>
          <w:lang w:val="es-AR"/>
        </w:rPr>
        <w:t xml:space="preserve">principalmente </w:t>
      </w:r>
      <w:r w:rsidR="008D3285" w:rsidRPr="00116A43">
        <w:rPr>
          <w:sz w:val="20"/>
          <w:szCs w:val="20"/>
          <w:bdr w:val="none" w:sz="0" w:space="0" w:color="auto"/>
          <w:lang w:val="es-AR"/>
        </w:rPr>
        <w:t>dentro del ejercicio</w:t>
      </w:r>
      <w:r w:rsidR="00FA781B" w:rsidRPr="00116A43">
        <w:rPr>
          <w:sz w:val="20"/>
          <w:szCs w:val="20"/>
          <w:bdr w:val="none" w:sz="0" w:space="0" w:color="auto"/>
          <w:lang w:val="es-AR"/>
        </w:rPr>
        <w:t xml:space="preserve"> </w:t>
      </w:r>
      <w:r w:rsidR="008D3285" w:rsidRPr="00116A43">
        <w:rPr>
          <w:sz w:val="20"/>
          <w:szCs w:val="20"/>
          <w:bdr w:val="none" w:sz="0" w:space="0" w:color="auto"/>
          <w:lang w:val="es-AR"/>
        </w:rPr>
        <w:t>del derecho a la participación política, por lo que no corresponde un análisis o evaluación autónoma del mismo.</w:t>
      </w:r>
    </w:p>
    <w:p w14:paraId="164F3548" w14:textId="77BBC9DF" w:rsidR="003B04F8" w:rsidRPr="00116A43" w:rsidRDefault="003B04F8"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lang w:val="es-AR"/>
        </w:rPr>
      </w:pPr>
    </w:p>
    <w:p w14:paraId="4055458A" w14:textId="67E269E6" w:rsidR="005403F8" w:rsidRPr="00116A43" w:rsidRDefault="00226389" w:rsidP="003750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0"/>
        <w:jc w:val="both"/>
        <w:rPr>
          <w:sz w:val="20"/>
          <w:szCs w:val="20"/>
          <w:lang w:val="es-PE"/>
        </w:rPr>
      </w:pPr>
      <w:r w:rsidRPr="00116A43">
        <w:rPr>
          <w:sz w:val="20"/>
          <w:szCs w:val="20"/>
          <w:lang w:val="es-AR"/>
        </w:rPr>
        <w:t>Por todo lo anterior, la Comisión concluye que el Estado</w:t>
      </w:r>
      <w:r w:rsidRPr="00116A43">
        <w:rPr>
          <w:rFonts w:cs="Arial"/>
          <w:sz w:val="20"/>
          <w:szCs w:val="20"/>
          <w:lang w:val="es-PE"/>
        </w:rPr>
        <w:t xml:space="preserve"> de Cuba </w:t>
      </w:r>
      <w:r w:rsidRPr="00116A43">
        <w:rPr>
          <w:sz w:val="20"/>
          <w:szCs w:val="20"/>
          <w:lang w:val="es-AR"/>
        </w:rPr>
        <w:t xml:space="preserve">violó los derechos a la </w:t>
      </w:r>
      <w:r w:rsidRPr="00116A43">
        <w:rPr>
          <w:sz w:val="20"/>
          <w:szCs w:val="20"/>
          <w:lang w:val="es-CO"/>
        </w:rPr>
        <w:t>investigación, opinión, expresión y difusión</w:t>
      </w:r>
      <w:r w:rsidR="00621689" w:rsidRPr="00116A43">
        <w:rPr>
          <w:sz w:val="20"/>
          <w:szCs w:val="20"/>
          <w:lang w:val="es-CO"/>
        </w:rPr>
        <w:t>, así como el derecho al honor y</w:t>
      </w:r>
      <w:r w:rsidR="00621689" w:rsidRPr="00116A43">
        <w:rPr>
          <w:sz w:val="20"/>
          <w:szCs w:val="20"/>
          <w:lang w:val="es-PE"/>
        </w:rPr>
        <w:t xml:space="preserve"> a la reputación</w:t>
      </w:r>
      <w:r w:rsidR="00102690" w:rsidRPr="00116A43">
        <w:rPr>
          <w:sz w:val="20"/>
          <w:szCs w:val="20"/>
          <w:lang w:val="es-PE"/>
        </w:rPr>
        <w:t xml:space="preserve">, reconocidos </w:t>
      </w:r>
      <w:r w:rsidR="00FD4D43" w:rsidRPr="00116A43">
        <w:rPr>
          <w:rFonts w:eastAsia="Times New Roman"/>
          <w:sz w:val="20"/>
          <w:szCs w:val="20"/>
          <w:bdr w:val="none" w:sz="0" w:space="0" w:color="auto"/>
          <w:lang w:val="es-MX"/>
        </w:rPr>
        <w:t>e</w:t>
      </w:r>
      <w:r w:rsidR="00102690" w:rsidRPr="00116A43">
        <w:rPr>
          <w:rFonts w:eastAsia="Times New Roman"/>
          <w:sz w:val="20"/>
          <w:szCs w:val="20"/>
          <w:bdr w:val="none" w:sz="0" w:space="0" w:color="auto"/>
          <w:lang w:val="es-MX"/>
        </w:rPr>
        <w:t>n</w:t>
      </w:r>
      <w:r w:rsidR="00FD4D43" w:rsidRPr="00116A43">
        <w:rPr>
          <w:rFonts w:eastAsia="Times New Roman"/>
          <w:sz w:val="20"/>
          <w:szCs w:val="20"/>
          <w:bdr w:val="none" w:sz="0" w:space="0" w:color="auto"/>
          <w:lang w:val="es-MX"/>
        </w:rPr>
        <w:t xml:space="preserve"> los artículos </w:t>
      </w:r>
      <w:r w:rsidR="00102690" w:rsidRPr="00116A43">
        <w:rPr>
          <w:rFonts w:eastAsia="Times New Roman"/>
          <w:sz w:val="20"/>
          <w:szCs w:val="20"/>
          <w:bdr w:val="none" w:sz="0" w:space="0" w:color="auto"/>
          <w:lang w:val="es-MX"/>
        </w:rPr>
        <w:t>IV</w:t>
      </w:r>
      <w:r w:rsidR="00FD4D43" w:rsidRPr="00116A43">
        <w:rPr>
          <w:rFonts w:eastAsia="Times New Roman"/>
          <w:sz w:val="20"/>
          <w:szCs w:val="20"/>
          <w:bdr w:val="none" w:sz="0" w:space="0" w:color="auto"/>
          <w:lang w:val="es-MX"/>
        </w:rPr>
        <w:t xml:space="preserve"> y V de la Declaración Americana, en perjuicio de Yoani Sánchez.</w:t>
      </w:r>
      <w:r w:rsidR="00102690" w:rsidRPr="00116A43">
        <w:rPr>
          <w:rFonts w:eastAsia="Times New Roman"/>
          <w:sz w:val="20"/>
          <w:szCs w:val="20"/>
          <w:bdr w:val="none" w:sz="0" w:space="0" w:color="auto"/>
          <w:lang w:val="es-AR"/>
        </w:rPr>
        <w:t xml:space="preserve"> </w:t>
      </w:r>
      <w:r w:rsidR="007473C3" w:rsidRPr="00116A43">
        <w:rPr>
          <w:rFonts w:eastAsia="Times New Roman"/>
          <w:sz w:val="20"/>
          <w:szCs w:val="20"/>
          <w:bdr w:val="none" w:sz="0" w:space="0" w:color="auto"/>
          <w:lang w:val="es-AR"/>
        </w:rPr>
        <w:t>Además, la CIDH concluye que e</w:t>
      </w:r>
      <w:r w:rsidR="00102690" w:rsidRPr="00116A43">
        <w:rPr>
          <w:rFonts w:eastAsia="Times New Roman"/>
          <w:sz w:val="20"/>
          <w:szCs w:val="20"/>
          <w:bdr w:val="none" w:sz="0" w:space="0" w:color="auto"/>
          <w:lang w:val="es-AR"/>
        </w:rPr>
        <w:t xml:space="preserve">l Estado </w:t>
      </w:r>
      <w:r w:rsidR="007473C3" w:rsidRPr="00116A43">
        <w:rPr>
          <w:rFonts w:eastAsia="Times New Roman"/>
          <w:sz w:val="20"/>
          <w:szCs w:val="20"/>
          <w:bdr w:val="none" w:sz="0" w:space="0" w:color="auto"/>
          <w:lang w:val="es-AR"/>
        </w:rPr>
        <w:t xml:space="preserve">no es responsable por la violación del derecho </w:t>
      </w:r>
      <w:r w:rsidR="007473C3" w:rsidRPr="00116A43">
        <w:rPr>
          <w:sz w:val="20"/>
          <w:szCs w:val="20"/>
          <w:lang w:val="es-CO"/>
        </w:rPr>
        <w:t>de</w:t>
      </w:r>
      <w:r w:rsidRPr="00116A43">
        <w:rPr>
          <w:sz w:val="20"/>
          <w:szCs w:val="20"/>
          <w:lang w:val="es-CO"/>
        </w:rPr>
        <w:t xml:space="preserve"> sufragio y participación en el gobierno</w:t>
      </w:r>
      <w:r w:rsidR="007473C3" w:rsidRPr="00116A43">
        <w:rPr>
          <w:sz w:val="20"/>
          <w:szCs w:val="20"/>
          <w:lang w:val="es-CO"/>
        </w:rPr>
        <w:t>, recon</w:t>
      </w:r>
      <w:r w:rsidR="00081ED4" w:rsidRPr="00116A43">
        <w:rPr>
          <w:sz w:val="20"/>
          <w:szCs w:val="20"/>
          <w:lang w:val="es-CO"/>
        </w:rPr>
        <w:t>ocido en el artículo</w:t>
      </w:r>
      <w:r w:rsidRPr="00116A43">
        <w:rPr>
          <w:sz w:val="20"/>
          <w:szCs w:val="20"/>
          <w:lang w:val="es-CO"/>
        </w:rPr>
        <w:t xml:space="preserve"> XX de la Declaración Americana</w:t>
      </w:r>
      <w:r w:rsidR="00081ED4" w:rsidRPr="00116A43">
        <w:rPr>
          <w:sz w:val="20"/>
          <w:szCs w:val="20"/>
          <w:lang w:val="es-AR"/>
        </w:rPr>
        <w:t>.</w:t>
      </w:r>
    </w:p>
    <w:p w14:paraId="74058228" w14:textId="1C4479A1" w:rsidR="00691B13" w:rsidRPr="00116A43" w:rsidRDefault="00691B13" w:rsidP="00116A4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sz w:val="20"/>
          <w:szCs w:val="20"/>
          <w:lang w:val="es-PE"/>
        </w:rPr>
      </w:pPr>
    </w:p>
    <w:p w14:paraId="4F98B36A" w14:textId="0CDFA12E" w:rsidR="00832008" w:rsidRPr="00116A43" w:rsidRDefault="00832008" w:rsidP="004F709F">
      <w:pPr>
        <w:pStyle w:val="Heading2"/>
      </w:pPr>
      <w:bookmarkStart w:id="40" w:name="_Toc89157583"/>
      <w:r w:rsidRPr="00116A43">
        <w:t>Derecho de justicia (art</w:t>
      </w:r>
      <w:r w:rsidR="00016720" w:rsidRPr="00116A43">
        <w:t>ículo</w:t>
      </w:r>
      <w:r w:rsidRPr="00116A43">
        <w:t xml:space="preserve"> XVIII)</w:t>
      </w:r>
      <w:r w:rsidR="00016720" w:rsidRPr="00116A43">
        <w:rPr>
          <w:rStyle w:val="FootnoteReference"/>
          <w:lang w:val="es-ES_tradnl"/>
        </w:rPr>
        <w:footnoteReference w:id="287"/>
      </w:r>
      <w:r w:rsidR="009E5770" w:rsidRPr="00116A43">
        <w:t xml:space="preserve">, derecho </w:t>
      </w:r>
      <w:r w:rsidRPr="00116A43">
        <w:t>de petición (</w:t>
      </w:r>
      <w:r w:rsidR="00016720" w:rsidRPr="00116A43">
        <w:t xml:space="preserve">artículo </w:t>
      </w:r>
      <w:r w:rsidRPr="00116A43">
        <w:t>XXIV)</w:t>
      </w:r>
      <w:r w:rsidR="00016720" w:rsidRPr="00116A43">
        <w:rPr>
          <w:rStyle w:val="FootnoteReference"/>
        </w:rPr>
        <w:footnoteReference w:id="288"/>
      </w:r>
      <w:r w:rsidR="009E5770" w:rsidRPr="00116A43">
        <w:t xml:space="preserve"> </w:t>
      </w:r>
      <w:proofErr w:type="gramStart"/>
      <w:r w:rsidR="009E5770" w:rsidRPr="00116A43">
        <w:t xml:space="preserve">y </w:t>
      </w:r>
      <w:r w:rsidR="00A64EB0" w:rsidRPr="00116A43">
        <w:t xml:space="preserve"> </w:t>
      </w:r>
      <w:r w:rsidR="009E5770" w:rsidRPr="00116A43">
        <w:t>derecho</w:t>
      </w:r>
      <w:proofErr w:type="gramEnd"/>
      <w:r w:rsidR="009E5770" w:rsidRPr="00116A43">
        <w:t xml:space="preserve"> a </w:t>
      </w:r>
      <w:r w:rsidR="00A64EB0" w:rsidRPr="00116A43">
        <w:t>proceso regular</w:t>
      </w:r>
      <w:r w:rsidR="009E5770" w:rsidRPr="00116A43">
        <w:t xml:space="preserve"> (artículo XXVI)</w:t>
      </w:r>
      <w:r w:rsidR="009E5770" w:rsidRPr="00116A43">
        <w:rPr>
          <w:rStyle w:val="FootnoteReference"/>
        </w:rPr>
        <w:footnoteReference w:id="289"/>
      </w:r>
      <w:bookmarkEnd w:id="40"/>
    </w:p>
    <w:p w14:paraId="200A1956" w14:textId="77777777" w:rsidR="00832008" w:rsidRPr="00116A43" w:rsidRDefault="00832008" w:rsidP="00691B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3E7ACD49" w14:textId="240F22E9" w:rsidR="00832008"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La CIDH ha </w:t>
      </w:r>
      <w:r w:rsidR="00F53E54" w:rsidRPr="00116A43">
        <w:rPr>
          <w:rFonts w:ascii="Cambria" w:eastAsia="Times New Roman" w:hAnsi="Cambria" w:cs="Cambria"/>
          <w:color w:val="000000"/>
          <w:sz w:val="20"/>
          <w:szCs w:val="20"/>
          <w:u w:color="000000"/>
          <w:bdr w:val="none" w:sz="0" w:space="0" w:color="auto"/>
          <w:lang w:val="es-PE" w:eastAsia="es-ES"/>
        </w:rPr>
        <w:t>señalado que estos derechos recogen</w:t>
      </w:r>
      <w:r w:rsidRPr="00116A43">
        <w:rPr>
          <w:rFonts w:ascii="Cambria" w:eastAsia="Times New Roman" w:hAnsi="Cambria" w:cs="Cambria"/>
          <w:color w:val="000000"/>
          <w:sz w:val="20"/>
          <w:szCs w:val="20"/>
          <w:u w:color="000000"/>
          <w:bdr w:val="none" w:sz="0" w:space="0" w:color="auto"/>
          <w:lang w:val="es-PE" w:eastAsia="es-ES"/>
        </w:rPr>
        <w:t xml:space="preserve"> </w:t>
      </w:r>
      <w:r w:rsidR="00216484" w:rsidRPr="00116A43">
        <w:rPr>
          <w:rFonts w:ascii="Cambria" w:eastAsia="Times New Roman" w:hAnsi="Cambria" w:cs="Cambria"/>
          <w:color w:val="000000"/>
          <w:sz w:val="20"/>
          <w:szCs w:val="20"/>
          <w:u w:color="000000"/>
          <w:bdr w:val="none" w:sz="0" w:space="0" w:color="auto"/>
          <w:lang w:val="es-PE" w:eastAsia="es-ES"/>
        </w:rPr>
        <w:t xml:space="preserve">las </w:t>
      </w:r>
      <w:r w:rsidRPr="00116A43">
        <w:rPr>
          <w:rFonts w:ascii="Cambria" w:eastAsia="Times New Roman" w:hAnsi="Cambria" w:cs="Cambria"/>
          <w:color w:val="000000"/>
          <w:sz w:val="20"/>
          <w:szCs w:val="20"/>
          <w:u w:color="000000"/>
          <w:bdr w:val="none" w:sz="0" w:space="0" w:color="auto"/>
          <w:lang w:val="es-PE" w:eastAsia="es-ES"/>
        </w:rPr>
        <w:t>garantías judiciales y la protección judicial</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0"/>
      </w:r>
      <w:r w:rsidR="008A281E" w:rsidRPr="00116A43">
        <w:rPr>
          <w:rFonts w:ascii="Cambria" w:eastAsia="Times New Roman" w:hAnsi="Cambria" w:cs="Cambria"/>
          <w:color w:val="000000"/>
          <w:sz w:val="20"/>
          <w:szCs w:val="20"/>
          <w:u w:color="000000"/>
          <w:bdr w:val="none" w:sz="0" w:space="0" w:color="auto"/>
          <w:lang w:val="es-PE" w:eastAsia="es-ES"/>
        </w:rPr>
        <w:t xml:space="preserve"> que deben ser</w:t>
      </w:r>
      <w:r w:rsidR="00F337B7" w:rsidRPr="00116A43">
        <w:rPr>
          <w:rFonts w:ascii="Cambria" w:eastAsia="Times New Roman" w:hAnsi="Cambria" w:cs="Cambria"/>
          <w:color w:val="000000"/>
          <w:sz w:val="20"/>
          <w:szCs w:val="20"/>
          <w:u w:color="000000"/>
          <w:bdr w:val="none" w:sz="0" w:space="0" w:color="auto"/>
          <w:lang w:val="es-PE" w:eastAsia="es-ES"/>
        </w:rPr>
        <w:t xml:space="preserve"> aplicables</w:t>
      </w:r>
      <w:r w:rsidRPr="00116A43">
        <w:rPr>
          <w:rFonts w:ascii="Cambria" w:eastAsia="Times New Roman" w:hAnsi="Cambria" w:cs="Cambria"/>
          <w:color w:val="000000"/>
          <w:sz w:val="20"/>
          <w:szCs w:val="20"/>
          <w:u w:color="000000"/>
          <w:bdr w:val="none" w:sz="0" w:space="0" w:color="auto"/>
          <w:lang w:val="es-PE" w:eastAsia="es-ES"/>
        </w:rPr>
        <w:t xml:space="preserve"> </w:t>
      </w:r>
      <w:r w:rsidR="00F337B7" w:rsidRPr="00116A43">
        <w:rPr>
          <w:rFonts w:ascii="Cambria" w:eastAsia="Times New Roman" w:hAnsi="Cambria" w:cs="Cambria"/>
          <w:color w:val="000000"/>
          <w:sz w:val="20"/>
          <w:szCs w:val="20"/>
          <w:u w:color="000000"/>
          <w:bdr w:val="none" w:sz="0" w:space="0" w:color="auto"/>
          <w:lang w:val="es-PE" w:eastAsia="es-ES"/>
        </w:rPr>
        <w:t>no solo a</w:t>
      </w:r>
      <w:r w:rsidRPr="00116A43">
        <w:rPr>
          <w:rFonts w:ascii="Cambria" w:eastAsia="Times New Roman" w:hAnsi="Cambria" w:cs="Cambria"/>
          <w:color w:val="000000"/>
          <w:sz w:val="20"/>
          <w:szCs w:val="20"/>
          <w:u w:color="000000"/>
          <w:bdr w:val="none" w:sz="0" w:space="0" w:color="auto"/>
          <w:lang w:val="es-PE" w:eastAsia="es-ES"/>
        </w:rPr>
        <w:t xml:space="preserve"> procedimientos estrictamente judiciales, sino también a procedimientos administrativos relacionados a violaciones de derechos</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1"/>
      </w:r>
      <w:r w:rsidRPr="00116A43">
        <w:rPr>
          <w:rFonts w:ascii="Cambria" w:eastAsia="Times New Roman" w:hAnsi="Cambria" w:cs="Cambria"/>
          <w:color w:val="000000"/>
          <w:sz w:val="20"/>
          <w:szCs w:val="20"/>
          <w:u w:color="000000"/>
          <w:bdr w:val="none" w:sz="0" w:space="0" w:color="auto"/>
          <w:lang w:val="es-PE" w:eastAsia="es-ES"/>
        </w:rPr>
        <w:t xml:space="preserve">. </w:t>
      </w:r>
    </w:p>
    <w:p w14:paraId="08224995" w14:textId="77777777" w:rsidR="00832008" w:rsidRPr="00116A43" w:rsidRDefault="00832008"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266D875D" w14:textId="04F16C79" w:rsidR="00832008"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En este orden de ideas, la jurisprudencia interamericana sobre el acceso a la justicia enfatiza que no se trata solamente de un derecho humano fundamental sino de un </w:t>
      </w:r>
      <w:r w:rsidR="00A833AE" w:rsidRPr="00116A43">
        <w:rPr>
          <w:rFonts w:ascii="Cambria" w:eastAsia="Times New Roman" w:hAnsi="Cambria" w:cs="Cambria"/>
          <w:color w:val="000000"/>
          <w:sz w:val="20"/>
          <w:szCs w:val="20"/>
          <w:u w:color="000000"/>
          <w:bdr w:val="none" w:sz="0" w:space="0" w:color="auto"/>
          <w:lang w:val="es-PE" w:eastAsia="es-ES"/>
        </w:rPr>
        <w:t>prerrequisito</w:t>
      </w:r>
      <w:r w:rsidRPr="00116A43">
        <w:rPr>
          <w:rFonts w:ascii="Cambria" w:eastAsia="Times New Roman" w:hAnsi="Cambria" w:cs="Cambria"/>
          <w:color w:val="000000"/>
          <w:sz w:val="20"/>
          <w:szCs w:val="20"/>
          <w:u w:color="000000"/>
          <w:bdr w:val="none" w:sz="0" w:space="0" w:color="auto"/>
          <w:lang w:val="es-PE" w:eastAsia="es-ES"/>
        </w:rPr>
        <w:t xml:space="preserve"> esencial para la protección y la promoción de todos los otros derechos. Por esta razón, constituye un principio fundamental que la existencia formal de un recurso legal no es suficiente; los Estados deben además asegurar que los recursos sean adecuados y efectivos en la práctica para determinar si ha ocurrido una violación de derechos humanos y para proveer una reparación. Un recurso efectivo es aquel que es capaz de producir el resultado para el cual fue diseñado, tiene un efecto útil (</w:t>
      </w:r>
      <w:r w:rsidRPr="00116A43">
        <w:rPr>
          <w:rFonts w:ascii="Cambria" w:eastAsia="Times New Roman" w:hAnsi="Cambria" w:cs="Cambria"/>
          <w:i/>
          <w:color w:val="000000"/>
          <w:sz w:val="20"/>
          <w:szCs w:val="20"/>
          <w:u w:color="000000"/>
          <w:bdr w:val="none" w:sz="0" w:space="0" w:color="auto"/>
          <w:lang w:val="es-PE" w:eastAsia="es-ES"/>
        </w:rPr>
        <w:t>effet utile</w:t>
      </w:r>
      <w:r w:rsidRPr="00116A43">
        <w:rPr>
          <w:rFonts w:ascii="Cambria" w:eastAsia="Times New Roman" w:hAnsi="Cambria" w:cs="Cambria"/>
          <w:color w:val="000000"/>
          <w:sz w:val="20"/>
          <w:szCs w:val="20"/>
          <w:u w:color="000000"/>
          <w:bdr w:val="none" w:sz="0" w:space="0" w:color="auto"/>
          <w:lang w:val="es-PE" w:eastAsia="es-ES"/>
        </w:rPr>
        <w:t>), y no es ilusorio</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2"/>
      </w:r>
      <w:r w:rsidRPr="00116A43">
        <w:rPr>
          <w:rFonts w:ascii="Cambria" w:eastAsia="Times New Roman" w:hAnsi="Cambria" w:cs="Cambria"/>
          <w:color w:val="000000"/>
          <w:sz w:val="20"/>
          <w:szCs w:val="20"/>
          <w:u w:color="000000"/>
          <w:bdr w:val="none" w:sz="0" w:space="0" w:color="auto"/>
          <w:lang w:val="es-PE" w:eastAsia="es-ES"/>
        </w:rPr>
        <w:t xml:space="preserve">. Además de esto, para </w:t>
      </w:r>
      <w:r w:rsidR="009E5770" w:rsidRPr="00116A43">
        <w:rPr>
          <w:rFonts w:ascii="Cambria" w:eastAsia="Times New Roman" w:hAnsi="Cambria" w:cs="Cambria"/>
          <w:color w:val="000000"/>
          <w:sz w:val="20"/>
          <w:szCs w:val="20"/>
          <w:u w:color="000000"/>
          <w:bdr w:val="none" w:sz="0" w:space="0" w:color="auto"/>
          <w:lang w:val="es-PE" w:eastAsia="es-ES"/>
        </w:rPr>
        <w:t xml:space="preserve">que sea </w:t>
      </w:r>
      <w:r w:rsidRPr="00116A43">
        <w:rPr>
          <w:rFonts w:ascii="Cambria" w:eastAsia="Times New Roman" w:hAnsi="Cambria" w:cs="Cambria"/>
          <w:color w:val="000000"/>
          <w:sz w:val="20"/>
          <w:szCs w:val="20"/>
          <w:u w:color="000000"/>
          <w:bdr w:val="none" w:sz="0" w:space="0" w:color="auto"/>
          <w:lang w:val="es-PE" w:eastAsia="es-ES"/>
        </w:rPr>
        <w:t xml:space="preserve">efectivo, </w:t>
      </w:r>
      <w:r w:rsidR="009E5770" w:rsidRPr="00116A43">
        <w:rPr>
          <w:rFonts w:ascii="Cambria" w:eastAsia="Times New Roman" w:hAnsi="Cambria" w:cs="Cambria"/>
          <w:color w:val="000000"/>
          <w:sz w:val="20"/>
          <w:szCs w:val="20"/>
          <w:u w:color="000000"/>
          <w:bdr w:val="none" w:sz="0" w:space="0" w:color="auto"/>
          <w:lang w:val="es-PE" w:eastAsia="es-ES"/>
        </w:rPr>
        <w:t xml:space="preserve">el recurso debe ser </w:t>
      </w:r>
      <w:r w:rsidRPr="00116A43">
        <w:rPr>
          <w:rFonts w:ascii="Cambria" w:eastAsia="Times New Roman" w:hAnsi="Cambria" w:cs="Cambria"/>
          <w:color w:val="000000"/>
          <w:sz w:val="20"/>
          <w:szCs w:val="20"/>
          <w:u w:color="000000"/>
          <w:bdr w:val="none" w:sz="0" w:space="0" w:color="auto"/>
          <w:lang w:val="es-PE" w:eastAsia="es-ES"/>
        </w:rPr>
        <w:t xml:space="preserve"> resuelto en un plazo razonable</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3"/>
      </w:r>
      <w:r w:rsidRPr="00116A43">
        <w:rPr>
          <w:rFonts w:ascii="Cambria" w:eastAsia="Times New Roman" w:hAnsi="Cambria" w:cs="Cambria"/>
          <w:color w:val="000000"/>
          <w:sz w:val="20"/>
          <w:szCs w:val="20"/>
          <w:u w:color="000000"/>
          <w:bdr w:val="none" w:sz="0" w:space="0" w:color="auto"/>
          <w:lang w:val="es-PE" w:eastAsia="es-ES"/>
        </w:rPr>
        <w:t xml:space="preserve">. </w:t>
      </w:r>
    </w:p>
    <w:p w14:paraId="52EEB108" w14:textId="77777777" w:rsidR="00832008" w:rsidRPr="00116A43" w:rsidRDefault="00832008"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2A0A6D3A" w14:textId="1AA90EE4" w:rsidR="00832008"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Asimismo, </w:t>
      </w:r>
      <w:r w:rsidR="00D72C98">
        <w:rPr>
          <w:rFonts w:ascii="Cambria" w:eastAsia="Times New Roman" w:hAnsi="Cambria" w:cs="Cambria"/>
          <w:color w:val="000000"/>
          <w:sz w:val="20"/>
          <w:szCs w:val="20"/>
          <w:u w:color="000000"/>
          <w:bdr w:val="none" w:sz="0" w:space="0" w:color="auto"/>
          <w:lang w:val="es-PE" w:eastAsia="es-ES"/>
        </w:rPr>
        <w:t xml:space="preserve">los </w:t>
      </w:r>
      <w:r w:rsidRPr="00116A43">
        <w:rPr>
          <w:rFonts w:ascii="Cambria" w:eastAsia="Times New Roman" w:hAnsi="Cambria" w:cs="Cambria"/>
          <w:color w:val="000000"/>
          <w:sz w:val="20"/>
          <w:szCs w:val="20"/>
          <w:u w:color="000000"/>
          <w:bdr w:val="none" w:sz="0" w:space="0" w:color="auto"/>
          <w:lang w:val="es-PE" w:eastAsia="es-ES"/>
        </w:rPr>
        <w:t xml:space="preserve">Estados tienen el deber de investigar, identificar, juzgar y sancionar a todos </w:t>
      </w:r>
      <w:r w:rsidR="00D10C84" w:rsidRPr="00116A43">
        <w:rPr>
          <w:rFonts w:ascii="Cambria" w:eastAsia="Times New Roman" w:hAnsi="Cambria" w:cs="Cambria"/>
          <w:color w:val="000000"/>
          <w:sz w:val="20"/>
          <w:szCs w:val="20"/>
          <w:u w:color="000000"/>
          <w:bdr w:val="none" w:sz="0" w:space="0" w:color="auto"/>
          <w:lang w:val="es-PE" w:eastAsia="es-ES"/>
        </w:rPr>
        <w:t>responsables</w:t>
      </w:r>
      <w:r w:rsidRPr="00116A43">
        <w:rPr>
          <w:rFonts w:ascii="Cambria" w:eastAsia="Times New Roman" w:hAnsi="Cambria" w:cs="Cambria"/>
          <w:color w:val="000000"/>
          <w:sz w:val="20"/>
          <w:szCs w:val="20"/>
          <w:u w:color="000000"/>
          <w:bdr w:val="none" w:sz="0" w:space="0" w:color="auto"/>
          <w:lang w:val="es-PE" w:eastAsia="es-ES"/>
        </w:rPr>
        <w:t>, incluidos los autores materiales, intelectuales, partícipes, colaboradores y los eventuales encubridores de las violaciones de derechos humanos cometidas</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4"/>
      </w:r>
      <w:r w:rsidRPr="00116A43">
        <w:rPr>
          <w:rFonts w:ascii="Cambria" w:eastAsia="Times New Roman" w:hAnsi="Cambria" w:cs="Cambria"/>
          <w:color w:val="000000"/>
          <w:sz w:val="20"/>
          <w:szCs w:val="20"/>
          <w:u w:color="000000"/>
          <w:bdr w:val="none" w:sz="0" w:space="0" w:color="auto"/>
          <w:lang w:val="es-PE" w:eastAsia="es-ES"/>
        </w:rPr>
        <w:t>.</w:t>
      </w:r>
    </w:p>
    <w:p w14:paraId="6D0D246E" w14:textId="77777777" w:rsidR="00832008" w:rsidRPr="00116A43" w:rsidRDefault="00832008"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2C3B926A" w14:textId="088EB7B0" w:rsidR="00832008"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Especialmente en casos que involucran violencia contra periodistas</w:t>
      </w:r>
      <w:r w:rsidR="00D72C98">
        <w:rPr>
          <w:rFonts w:ascii="Cambria" w:eastAsia="Times New Roman" w:hAnsi="Cambria" w:cs="Cambria"/>
          <w:color w:val="000000"/>
          <w:sz w:val="20"/>
          <w:szCs w:val="20"/>
          <w:u w:color="000000"/>
          <w:bdr w:val="none" w:sz="0" w:space="0" w:color="auto"/>
          <w:lang w:val="es-PE" w:eastAsia="es-ES"/>
        </w:rPr>
        <w:t>,</w:t>
      </w:r>
      <w:r w:rsidRPr="00116A43">
        <w:rPr>
          <w:rFonts w:ascii="Cambria" w:eastAsia="Times New Roman" w:hAnsi="Cambria" w:cs="Cambria"/>
          <w:color w:val="000000"/>
          <w:sz w:val="20"/>
          <w:szCs w:val="20"/>
          <w:u w:color="000000"/>
          <w:bdr w:val="none" w:sz="0" w:space="0" w:color="auto"/>
          <w:lang w:val="es-PE" w:eastAsia="es-ES"/>
        </w:rPr>
        <w:t xml:space="preserve"> los parámetros interamericanos han establecido que e</w:t>
      </w:r>
      <w:r w:rsidR="006316CE">
        <w:rPr>
          <w:rFonts w:ascii="Cambria" w:eastAsia="Times New Roman" w:hAnsi="Cambria" w:cs="Cambria"/>
          <w:color w:val="000000"/>
          <w:sz w:val="20"/>
          <w:szCs w:val="20"/>
          <w:u w:color="000000"/>
          <w:bdr w:val="none" w:sz="0" w:space="0" w:color="auto"/>
          <w:lang w:val="es-PE" w:eastAsia="es-ES"/>
        </w:rPr>
        <w:t xml:space="preserve">n </w:t>
      </w:r>
      <w:r w:rsidRPr="00116A43">
        <w:rPr>
          <w:rFonts w:ascii="Cambria" w:eastAsia="Times New Roman" w:hAnsi="Cambria" w:cs="Cambria"/>
          <w:color w:val="000000"/>
          <w:sz w:val="20"/>
          <w:szCs w:val="20"/>
          <w:u w:color="000000"/>
          <w:bdr w:val="none" w:sz="0" w:space="0" w:color="auto"/>
          <w:lang w:val="es-PE" w:eastAsia="es-ES"/>
        </w:rPr>
        <w:t xml:space="preserve">cumplimiento de la obligación de investigar, juzgar y sancionar, los Estados deben hacer hincapié </w:t>
      </w:r>
      <w:r w:rsidR="006316CE">
        <w:rPr>
          <w:rFonts w:ascii="Cambria" w:eastAsia="Times New Roman" w:hAnsi="Cambria" w:cs="Cambria"/>
          <w:color w:val="000000"/>
          <w:sz w:val="20"/>
          <w:szCs w:val="20"/>
          <w:u w:color="000000"/>
          <w:bdr w:val="none" w:sz="0" w:space="0" w:color="auto"/>
          <w:lang w:val="es-PE" w:eastAsia="es-ES"/>
        </w:rPr>
        <w:t>en</w:t>
      </w:r>
      <w:r w:rsidRPr="00116A43">
        <w:rPr>
          <w:rFonts w:ascii="Cambria" w:eastAsia="Times New Roman" w:hAnsi="Cambria" w:cs="Cambria"/>
          <w:color w:val="000000"/>
          <w:sz w:val="20"/>
          <w:szCs w:val="20"/>
          <w:u w:color="000000"/>
          <w:bdr w:val="none" w:sz="0" w:space="0" w:color="auto"/>
          <w:lang w:val="es-PE" w:eastAsia="es-ES"/>
        </w:rPr>
        <w:t xml:space="preserve"> algunas obligaciones específicas, las cuales incluyen: (i) la obligación de adoptar un marco </w:t>
      </w:r>
      <w:r w:rsidRPr="00116A43">
        <w:rPr>
          <w:rFonts w:ascii="Cambria" w:eastAsia="Times New Roman" w:hAnsi="Cambria" w:cs="Cambria"/>
          <w:color w:val="000000"/>
          <w:sz w:val="20"/>
          <w:szCs w:val="20"/>
          <w:u w:color="000000"/>
          <w:bdr w:val="none" w:sz="0" w:space="0" w:color="auto"/>
          <w:lang w:val="es-PE" w:eastAsia="es-ES"/>
        </w:rPr>
        <w:lastRenderedPageBreak/>
        <w:t>institucional adecuado que permita investigar, juzgar y sancionar de manera efectiva la violencia contra periodistas; (ii) la obligación de actuar con debida diligencia y agotar las líneas de investigación vinculadas con el ejercicio periodístico de la víctima; (iii) la obligación de facilitar la participación de las víctimas en las investigaciones</w:t>
      </w:r>
      <w:r w:rsidR="006316CE">
        <w:rPr>
          <w:rFonts w:ascii="Cambria" w:eastAsia="Times New Roman" w:hAnsi="Cambria" w:cs="Cambria"/>
          <w:color w:val="000000"/>
          <w:sz w:val="20"/>
          <w:szCs w:val="20"/>
          <w:u w:color="000000"/>
          <w:bdr w:val="none" w:sz="0" w:space="0" w:color="auto"/>
          <w:lang w:val="es-PE" w:eastAsia="es-ES"/>
        </w:rPr>
        <w:t>,</w:t>
      </w:r>
      <w:r w:rsidRPr="00116A43">
        <w:rPr>
          <w:rFonts w:ascii="Cambria" w:eastAsia="Times New Roman" w:hAnsi="Cambria" w:cs="Cambria"/>
          <w:color w:val="000000"/>
          <w:sz w:val="20"/>
          <w:szCs w:val="20"/>
          <w:u w:color="000000"/>
          <w:bdr w:val="none" w:sz="0" w:space="0" w:color="auto"/>
          <w:lang w:val="es-PE" w:eastAsia="es-ES"/>
        </w:rPr>
        <w:t xml:space="preserve"> y (iv) la obligación de efectuar investigaciones en un plazo razonable</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5"/>
      </w:r>
      <w:r w:rsidRPr="00116A43">
        <w:rPr>
          <w:rFonts w:ascii="Cambria" w:eastAsia="Times New Roman" w:hAnsi="Cambria" w:cs="Cambria"/>
          <w:color w:val="000000"/>
          <w:sz w:val="20"/>
          <w:szCs w:val="20"/>
          <w:u w:color="000000"/>
          <w:bdr w:val="none" w:sz="0" w:space="0" w:color="auto"/>
          <w:lang w:val="es-PE" w:eastAsia="es-ES"/>
        </w:rPr>
        <w:t xml:space="preserve">. </w:t>
      </w:r>
    </w:p>
    <w:p w14:paraId="046CA921" w14:textId="77777777" w:rsidR="00832008" w:rsidRPr="00116A43" w:rsidRDefault="00832008"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57A10871" w14:textId="43804843" w:rsidR="00832008"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La Comisión recuerda que los elementos que han sido tomados en cuenta por los órganos del sistema interamericano para analizar el plazo razonable según las circunstancias de cada caso son: i) la complejidad del asunto; ii) la actividad procesal del interesado; iii) la conducta de las autoridades judiciales; y iv) la afectación generada en la situación jurídica de la persona involucrada en el proceso</w:t>
      </w:r>
      <w:r w:rsidRPr="00116A43">
        <w:rPr>
          <w:rFonts w:ascii="Cambria" w:eastAsia="Times New Roman" w:hAnsi="Cambria" w:cs="Cambria"/>
          <w:color w:val="000000"/>
          <w:sz w:val="20"/>
          <w:szCs w:val="20"/>
          <w:u w:color="000000"/>
          <w:bdr w:val="none" w:sz="0" w:space="0" w:color="auto"/>
          <w:vertAlign w:val="superscript"/>
          <w:lang w:val="es-PE" w:eastAsia="es-ES"/>
        </w:rPr>
        <w:footnoteReference w:id="296"/>
      </w:r>
      <w:r w:rsidRPr="00116A43">
        <w:rPr>
          <w:rFonts w:ascii="Cambria" w:eastAsia="Times New Roman" w:hAnsi="Cambria" w:cs="Cambria"/>
          <w:color w:val="000000"/>
          <w:sz w:val="20"/>
          <w:szCs w:val="20"/>
          <w:u w:color="000000"/>
          <w:bdr w:val="none" w:sz="0" w:space="0" w:color="auto"/>
          <w:lang w:val="es-PE" w:eastAsia="es-ES"/>
        </w:rPr>
        <w:t xml:space="preserve">. </w:t>
      </w:r>
    </w:p>
    <w:p w14:paraId="2135F01A" w14:textId="77777777" w:rsidR="00DB7573" w:rsidRPr="00116A43" w:rsidRDefault="00DB7573"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30649869" w14:textId="3BF1443B" w:rsidR="00300484" w:rsidRPr="00116A43" w:rsidRDefault="00832008"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En el presente caso, </w:t>
      </w:r>
      <w:r w:rsidR="003B06C1" w:rsidRPr="00116A43">
        <w:rPr>
          <w:rFonts w:ascii="Cambria" w:eastAsia="Times New Roman" w:hAnsi="Cambria" w:cs="Cambria"/>
          <w:color w:val="000000"/>
          <w:sz w:val="20"/>
          <w:szCs w:val="20"/>
          <w:u w:color="000000"/>
          <w:bdr w:val="none" w:sz="0" w:space="0" w:color="auto"/>
          <w:lang w:val="es-PE" w:eastAsia="es-ES"/>
        </w:rPr>
        <w:t xml:space="preserve">la CIDH estableció que Yoani Sánchez presentó </w:t>
      </w:r>
      <w:r w:rsidR="007145C3" w:rsidRPr="00116A43">
        <w:rPr>
          <w:rFonts w:ascii="Cambria" w:hAnsi="Cambria"/>
          <w:sz w:val="20"/>
          <w:szCs w:val="20"/>
          <w:lang w:val="es-PE"/>
        </w:rPr>
        <w:t xml:space="preserve">una denuncia a la Fiscalía Militar y Fiscalía General </w:t>
      </w:r>
      <w:r w:rsidR="00D32338" w:rsidRPr="00116A43">
        <w:rPr>
          <w:rFonts w:ascii="Cambria" w:hAnsi="Cambria"/>
          <w:sz w:val="20"/>
          <w:szCs w:val="20"/>
          <w:lang w:val="es-PE"/>
        </w:rPr>
        <w:t>a finales de 2009,</w:t>
      </w:r>
      <w:r w:rsidR="003B06C1" w:rsidRPr="00116A43">
        <w:rPr>
          <w:rFonts w:ascii="Cambria" w:hAnsi="Cambria"/>
          <w:sz w:val="20"/>
          <w:szCs w:val="20"/>
          <w:lang w:val="es-PE"/>
        </w:rPr>
        <w:t xml:space="preserve"> respecto de la detención y agresiones sufridas el 6 de noviembre de 2009</w:t>
      </w:r>
      <w:r w:rsidR="00D32338" w:rsidRPr="00116A43">
        <w:rPr>
          <w:rFonts w:ascii="Cambria" w:hAnsi="Cambria"/>
          <w:sz w:val="20"/>
          <w:szCs w:val="20"/>
          <w:lang w:val="es-PE"/>
        </w:rPr>
        <w:t>. Asimismo, el 10 de marzo de 2010 presentó una denuncia por la detención y los hechos ocurridos el 24 de febrero de 2010 ante la Fiscalía General, la Fiscalía Militar, la Asamblea Nacional, el Consejo del Estado, la PNR y la estación Infanta y Manglar</w:t>
      </w:r>
      <w:r w:rsidR="001E237E" w:rsidRPr="00116A43">
        <w:rPr>
          <w:rFonts w:ascii="Cambria" w:hAnsi="Cambria"/>
          <w:sz w:val="20"/>
          <w:szCs w:val="20"/>
          <w:lang w:val="es-PE"/>
        </w:rPr>
        <w:t>.</w:t>
      </w:r>
      <w:r w:rsidR="00D32338" w:rsidRPr="00116A43">
        <w:rPr>
          <w:rFonts w:ascii="Cambria" w:eastAsia="Times New Roman" w:hAnsi="Cambria" w:cs="Cambria"/>
          <w:color w:val="000000"/>
          <w:sz w:val="20"/>
          <w:szCs w:val="20"/>
          <w:u w:color="000000"/>
          <w:bdr w:val="none" w:sz="0" w:space="0" w:color="auto"/>
          <w:lang w:val="es-PE" w:eastAsia="es-ES"/>
        </w:rPr>
        <w:t xml:space="preserve"> </w:t>
      </w:r>
      <w:r w:rsidR="001E237E" w:rsidRPr="00116A43">
        <w:rPr>
          <w:rFonts w:ascii="Cambria" w:eastAsia="Times New Roman" w:hAnsi="Cambria" w:cs="Cambria"/>
          <w:color w:val="000000"/>
          <w:sz w:val="20"/>
          <w:szCs w:val="20"/>
          <w:u w:color="000000"/>
          <w:bdr w:val="none" w:sz="0" w:space="0" w:color="auto"/>
          <w:lang w:val="es-PE" w:eastAsia="es-ES"/>
        </w:rPr>
        <w:t>H</w:t>
      </w:r>
      <w:r w:rsidR="00300484" w:rsidRPr="00116A43">
        <w:rPr>
          <w:rFonts w:ascii="Cambria" w:eastAsia="Times New Roman" w:hAnsi="Cambria" w:cs="Cambria"/>
          <w:color w:val="000000"/>
          <w:sz w:val="20"/>
          <w:szCs w:val="20"/>
          <w:u w:color="000000"/>
          <w:bdr w:val="none" w:sz="0" w:space="0" w:color="auto"/>
          <w:lang w:val="es-PE" w:eastAsia="es-ES"/>
        </w:rPr>
        <w:t>asta la fecha</w:t>
      </w:r>
      <w:r w:rsidR="00FC04BB" w:rsidRPr="00116A43">
        <w:rPr>
          <w:rFonts w:ascii="Cambria" w:eastAsia="Times New Roman" w:hAnsi="Cambria" w:cs="Cambria"/>
          <w:color w:val="000000"/>
          <w:sz w:val="20"/>
          <w:szCs w:val="20"/>
          <w:u w:color="000000"/>
          <w:bdr w:val="none" w:sz="0" w:space="0" w:color="auto"/>
          <w:lang w:val="es-PE" w:eastAsia="es-ES"/>
        </w:rPr>
        <w:t>, es decir a más de 11 años de presentadas las</w:t>
      </w:r>
      <w:r w:rsidR="007407D8" w:rsidRPr="00116A43">
        <w:rPr>
          <w:rFonts w:ascii="Cambria" w:eastAsia="Times New Roman" w:hAnsi="Cambria" w:cs="Cambria"/>
          <w:color w:val="000000"/>
          <w:sz w:val="20"/>
          <w:szCs w:val="20"/>
          <w:u w:color="000000"/>
          <w:bdr w:val="none" w:sz="0" w:space="0" w:color="auto"/>
          <w:lang w:val="es-PE" w:eastAsia="es-ES"/>
        </w:rPr>
        <w:t xml:space="preserve"> denuncias,</w:t>
      </w:r>
      <w:r w:rsidR="00300484" w:rsidRPr="00116A43">
        <w:rPr>
          <w:rFonts w:ascii="Cambria" w:eastAsia="Times New Roman" w:hAnsi="Cambria" w:cs="Cambria"/>
          <w:color w:val="000000"/>
          <w:sz w:val="20"/>
          <w:szCs w:val="20"/>
          <w:u w:color="000000"/>
          <w:bdr w:val="none" w:sz="0" w:space="0" w:color="auto"/>
          <w:lang w:val="es-PE" w:eastAsia="es-ES"/>
        </w:rPr>
        <w:t xml:space="preserve"> el Estado</w:t>
      </w:r>
      <w:r w:rsidR="00466B01" w:rsidRPr="00116A43">
        <w:rPr>
          <w:rFonts w:ascii="Cambria" w:eastAsia="Times New Roman" w:hAnsi="Cambria" w:cs="Cambria"/>
          <w:color w:val="000000"/>
          <w:sz w:val="20"/>
          <w:szCs w:val="20"/>
          <w:u w:color="000000"/>
          <w:bdr w:val="none" w:sz="0" w:space="0" w:color="auto"/>
          <w:lang w:val="es-PE" w:eastAsia="es-ES"/>
        </w:rPr>
        <w:t xml:space="preserve"> no ha</w:t>
      </w:r>
      <w:r w:rsidR="00300484" w:rsidRPr="00116A43">
        <w:rPr>
          <w:rFonts w:ascii="Cambria" w:eastAsia="Times New Roman" w:hAnsi="Cambria" w:cs="Cambria"/>
          <w:color w:val="000000"/>
          <w:sz w:val="20"/>
          <w:szCs w:val="20"/>
          <w:u w:color="000000"/>
          <w:bdr w:val="none" w:sz="0" w:space="0" w:color="auto"/>
          <w:lang w:val="es-PE" w:eastAsia="es-ES"/>
        </w:rPr>
        <w:t xml:space="preserve"> abierto investigaciones </w:t>
      </w:r>
      <w:r w:rsidR="007407D8" w:rsidRPr="00116A43">
        <w:rPr>
          <w:rFonts w:ascii="Cambria" w:eastAsia="Times New Roman" w:hAnsi="Cambria" w:cs="Cambria"/>
          <w:color w:val="000000"/>
          <w:sz w:val="20"/>
          <w:szCs w:val="20"/>
          <w:u w:color="000000"/>
          <w:bdr w:val="none" w:sz="0" w:space="0" w:color="auto"/>
          <w:lang w:val="es-PE" w:eastAsia="es-ES"/>
        </w:rPr>
        <w:t xml:space="preserve">al respecto. La Comisión concluye que </w:t>
      </w:r>
      <w:r w:rsidR="0078319B" w:rsidRPr="00116A43">
        <w:rPr>
          <w:rFonts w:ascii="Cambria" w:eastAsia="Times New Roman" w:hAnsi="Cambria" w:cs="Cambria"/>
          <w:color w:val="000000"/>
          <w:sz w:val="20"/>
          <w:szCs w:val="20"/>
          <w:u w:color="000000"/>
          <w:bdr w:val="none" w:sz="0" w:space="0" w:color="auto"/>
          <w:lang w:val="es-PE" w:eastAsia="es-ES"/>
        </w:rPr>
        <w:t>lo anterior no solo viola la garantía del plazo razonable, sino que la total</w:t>
      </w:r>
      <w:r w:rsidR="00BE33B9" w:rsidRPr="00116A43">
        <w:rPr>
          <w:rFonts w:ascii="Cambria" w:eastAsia="Times New Roman" w:hAnsi="Cambria" w:cs="Cambria"/>
          <w:color w:val="000000"/>
          <w:sz w:val="20"/>
          <w:szCs w:val="20"/>
          <w:u w:color="000000"/>
          <w:bdr w:val="none" w:sz="0" w:space="0" w:color="auto"/>
          <w:lang w:val="es-PE" w:eastAsia="es-ES"/>
        </w:rPr>
        <w:t xml:space="preserve"> inacción en investigar, juzgar </w:t>
      </w:r>
      <w:r w:rsidR="00D16668" w:rsidRPr="00116A43">
        <w:rPr>
          <w:rFonts w:ascii="Cambria" w:eastAsia="Times New Roman" w:hAnsi="Cambria" w:cs="Cambria"/>
          <w:color w:val="000000"/>
          <w:sz w:val="20"/>
          <w:szCs w:val="20"/>
          <w:u w:color="000000"/>
          <w:bdr w:val="none" w:sz="0" w:space="0" w:color="auto"/>
          <w:lang w:val="es-PE" w:eastAsia="es-ES"/>
        </w:rPr>
        <w:t xml:space="preserve">y sancionar </w:t>
      </w:r>
      <w:r w:rsidR="00B1776A" w:rsidRPr="00116A43">
        <w:rPr>
          <w:rFonts w:ascii="Cambria" w:eastAsia="Times New Roman" w:hAnsi="Cambria" w:cs="Cambria"/>
          <w:color w:val="000000"/>
          <w:sz w:val="20"/>
          <w:szCs w:val="20"/>
          <w:u w:color="000000"/>
          <w:bdr w:val="none" w:sz="0" w:space="0" w:color="auto"/>
          <w:lang w:val="es-PE" w:eastAsia="es-ES"/>
        </w:rPr>
        <w:t xml:space="preserve">a </w:t>
      </w:r>
      <w:r w:rsidR="00BE33B9" w:rsidRPr="00116A43">
        <w:rPr>
          <w:rFonts w:ascii="Cambria" w:eastAsia="Times New Roman" w:hAnsi="Cambria" w:cs="Cambria"/>
          <w:color w:val="000000"/>
          <w:sz w:val="20"/>
          <w:szCs w:val="20"/>
          <w:u w:color="000000"/>
          <w:bdr w:val="none" w:sz="0" w:space="0" w:color="auto"/>
          <w:lang w:val="es-PE" w:eastAsia="es-ES"/>
        </w:rPr>
        <w:t xml:space="preserve">los responsables </w:t>
      </w:r>
      <w:r w:rsidR="00B1776A" w:rsidRPr="00116A43">
        <w:rPr>
          <w:rFonts w:ascii="Cambria" w:eastAsia="Times New Roman" w:hAnsi="Cambria" w:cs="Cambria"/>
          <w:color w:val="000000"/>
          <w:sz w:val="20"/>
          <w:szCs w:val="20"/>
          <w:u w:color="000000"/>
          <w:bdr w:val="none" w:sz="0" w:space="0" w:color="auto"/>
          <w:lang w:val="es-PE" w:eastAsia="es-ES"/>
        </w:rPr>
        <w:t>de</w:t>
      </w:r>
      <w:r w:rsidR="00BE33B9" w:rsidRPr="00116A43">
        <w:rPr>
          <w:rFonts w:ascii="Cambria" w:eastAsia="Times New Roman" w:hAnsi="Cambria" w:cs="Cambria"/>
          <w:color w:val="000000"/>
          <w:sz w:val="20"/>
          <w:szCs w:val="20"/>
          <w:u w:color="000000"/>
          <w:bdr w:val="none" w:sz="0" w:space="0" w:color="auto"/>
          <w:lang w:val="es-PE" w:eastAsia="es-ES"/>
        </w:rPr>
        <w:t xml:space="preserve"> las detenciones arbitrarias </w:t>
      </w:r>
      <w:r w:rsidR="00B1776A" w:rsidRPr="00116A43">
        <w:rPr>
          <w:rFonts w:ascii="Cambria" w:eastAsia="Times New Roman" w:hAnsi="Cambria" w:cs="Cambria"/>
          <w:color w:val="000000"/>
          <w:sz w:val="20"/>
          <w:szCs w:val="20"/>
          <w:u w:color="000000"/>
          <w:bdr w:val="none" w:sz="0" w:space="0" w:color="auto"/>
          <w:lang w:val="es-PE" w:eastAsia="es-ES"/>
        </w:rPr>
        <w:t xml:space="preserve">y agresiones </w:t>
      </w:r>
      <w:r w:rsidR="00BE33B9" w:rsidRPr="00116A43">
        <w:rPr>
          <w:rFonts w:ascii="Cambria" w:eastAsia="Times New Roman" w:hAnsi="Cambria" w:cs="Cambria"/>
          <w:color w:val="000000"/>
          <w:sz w:val="20"/>
          <w:szCs w:val="20"/>
          <w:u w:color="000000"/>
          <w:bdr w:val="none" w:sz="0" w:space="0" w:color="auto"/>
          <w:lang w:val="es-PE" w:eastAsia="es-ES"/>
        </w:rPr>
        <w:t>que sufrió la víctima</w:t>
      </w:r>
      <w:r w:rsidR="00B1776A" w:rsidRPr="00116A43">
        <w:rPr>
          <w:rFonts w:ascii="Cambria" w:eastAsia="Times New Roman" w:hAnsi="Cambria" w:cs="Cambria"/>
          <w:color w:val="000000"/>
          <w:sz w:val="20"/>
          <w:szCs w:val="20"/>
          <w:u w:color="000000"/>
          <w:bdr w:val="none" w:sz="0" w:space="0" w:color="auto"/>
          <w:lang w:val="es-PE" w:eastAsia="es-ES"/>
        </w:rPr>
        <w:t xml:space="preserve"> convierten al recurso en </w:t>
      </w:r>
      <w:r w:rsidR="00D16668" w:rsidRPr="00116A43">
        <w:rPr>
          <w:rFonts w:ascii="Cambria" w:eastAsia="Times New Roman" w:hAnsi="Cambria" w:cs="Cambria"/>
          <w:color w:val="000000"/>
          <w:sz w:val="20"/>
          <w:szCs w:val="20"/>
          <w:u w:color="000000"/>
          <w:bdr w:val="none" w:sz="0" w:space="0" w:color="auto"/>
          <w:lang w:val="es-PE" w:eastAsia="es-ES"/>
        </w:rPr>
        <w:t xml:space="preserve">absolutamente inefectivo. </w:t>
      </w:r>
    </w:p>
    <w:p w14:paraId="0B95A127" w14:textId="77777777" w:rsidR="00466B01" w:rsidRPr="00116A43" w:rsidRDefault="00466B01" w:rsidP="002F17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Cambria"/>
          <w:color w:val="000000"/>
          <w:sz w:val="20"/>
          <w:szCs w:val="20"/>
          <w:u w:color="000000"/>
          <w:bdr w:val="none" w:sz="0" w:space="0" w:color="auto"/>
          <w:lang w:val="es-PE" w:eastAsia="es-ES"/>
        </w:rPr>
      </w:pPr>
    </w:p>
    <w:p w14:paraId="3E5BD420" w14:textId="4A1BF414" w:rsidR="006F4847" w:rsidRPr="00116A43" w:rsidRDefault="00EC6F0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Asimismo, </w:t>
      </w:r>
      <w:r w:rsidR="00EE276A" w:rsidRPr="00116A43">
        <w:rPr>
          <w:rFonts w:ascii="Cambria" w:eastAsia="Times New Roman" w:hAnsi="Cambria" w:cs="Cambria"/>
          <w:color w:val="000000"/>
          <w:sz w:val="20"/>
          <w:szCs w:val="20"/>
          <w:u w:color="000000"/>
          <w:bdr w:val="none" w:sz="0" w:space="0" w:color="auto"/>
          <w:lang w:val="es-PE" w:eastAsia="es-ES"/>
        </w:rPr>
        <w:t xml:space="preserve">el 5 de noviembre de 2010 Yoani Sánchez presentó </w:t>
      </w:r>
      <w:r w:rsidR="00832008" w:rsidRPr="00116A43">
        <w:rPr>
          <w:rFonts w:ascii="Cambria" w:eastAsia="Times New Roman" w:hAnsi="Cambria" w:cs="Cambria"/>
          <w:color w:val="000000"/>
          <w:sz w:val="20"/>
          <w:szCs w:val="20"/>
          <w:u w:color="000000"/>
          <w:bdr w:val="none" w:sz="0" w:space="0" w:color="auto"/>
          <w:lang w:val="es-PE" w:eastAsia="es-ES"/>
        </w:rPr>
        <w:t xml:space="preserve">una solicitud de respuesta, en ejercicio de su derecho de petición, cuestionando las razones de hecho y de derecho para la prohibición de salida del país. Después de más de 14 meses sin respuesta, </w:t>
      </w:r>
      <w:r w:rsidR="006041FB" w:rsidRPr="00116A43">
        <w:rPr>
          <w:rFonts w:ascii="Cambria" w:eastAsia="Times New Roman" w:hAnsi="Cambria" w:cs="Cambria"/>
          <w:color w:val="000000"/>
          <w:sz w:val="20"/>
          <w:szCs w:val="20"/>
          <w:u w:color="000000"/>
          <w:bdr w:val="none" w:sz="0" w:space="0" w:color="auto"/>
          <w:lang w:val="es-PE" w:eastAsia="es-ES"/>
        </w:rPr>
        <w:t xml:space="preserve">a </w:t>
      </w:r>
      <w:r w:rsidR="00832008" w:rsidRPr="00116A43">
        <w:rPr>
          <w:rFonts w:ascii="Cambria" w:eastAsia="Times New Roman" w:hAnsi="Cambria" w:cs="Cambria"/>
          <w:color w:val="000000"/>
          <w:sz w:val="20"/>
          <w:szCs w:val="20"/>
          <w:u w:color="000000"/>
          <w:bdr w:val="none" w:sz="0" w:space="0" w:color="auto"/>
          <w:lang w:val="es-PE" w:eastAsia="es-ES"/>
        </w:rPr>
        <w:t xml:space="preserve">pesar de que el plazo legal era de </w:t>
      </w:r>
      <w:r w:rsidR="00E31B85" w:rsidRPr="00116A43">
        <w:rPr>
          <w:rFonts w:ascii="Cambria" w:eastAsia="Times New Roman" w:hAnsi="Cambria" w:cs="Cambria"/>
          <w:color w:val="000000"/>
          <w:sz w:val="20"/>
          <w:szCs w:val="20"/>
          <w:u w:color="000000"/>
          <w:bdr w:val="none" w:sz="0" w:space="0" w:color="auto"/>
          <w:lang w:val="es-PE" w:eastAsia="es-ES"/>
        </w:rPr>
        <w:t>6</w:t>
      </w:r>
      <w:r w:rsidR="00832008" w:rsidRPr="00116A43">
        <w:rPr>
          <w:rFonts w:ascii="Cambria" w:eastAsia="Times New Roman" w:hAnsi="Cambria" w:cs="Cambria"/>
          <w:color w:val="000000"/>
          <w:sz w:val="20"/>
          <w:szCs w:val="20"/>
          <w:u w:color="000000"/>
          <w:bdr w:val="none" w:sz="0" w:space="0" w:color="auto"/>
          <w:lang w:val="es-PE" w:eastAsia="es-ES"/>
        </w:rPr>
        <w:t xml:space="preserve">0 días, Yoani Sánchez interpuso un recurso de alzada ante el </w:t>
      </w:r>
      <w:r w:rsidR="00AA29E3" w:rsidRPr="00116A43">
        <w:rPr>
          <w:rFonts w:ascii="Cambria" w:eastAsia="Times New Roman" w:hAnsi="Cambria" w:cs="Cambria"/>
          <w:color w:val="000000"/>
          <w:sz w:val="20"/>
          <w:szCs w:val="20"/>
          <w:u w:color="000000"/>
          <w:bdr w:val="none" w:sz="0" w:space="0" w:color="auto"/>
          <w:lang w:val="es-PE" w:eastAsia="es-ES"/>
        </w:rPr>
        <w:t>Ministerio</w:t>
      </w:r>
      <w:r w:rsidR="00832008" w:rsidRPr="00116A43">
        <w:rPr>
          <w:rFonts w:ascii="Cambria" w:eastAsia="Times New Roman" w:hAnsi="Cambria" w:cs="Cambria"/>
          <w:color w:val="000000"/>
          <w:sz w:val="20"/>
          <w:szCs w:val="20"/>
          <w:u w:color="000000"/>
          <w:bdr w:val="none" w:sz="0" w:space="0" w:color="auto"/>
          <w:lang w:val="es-PE" w:eastAsia="es-ES"/>
        </w:rPr>
        <w:t xml:space="preserve"> del Interior el 30 de marzo de 2012 para conocer las razones de la negativa de salida del país y pedir </w:t>
      </w:r>
      <w:r w:rsidR="00E31B85" w:rsidRPr="00116A43">
        <w:rPr>
          <w:rFonts w:ascii="Cambria" w:eastAsia="Times New Roman" w:hAnsi="Cambria" w:cs="Cambria"/>
          <w:color w:val="000000"/>
          <w:sz w:val="20"/>
          <w:szCs w:val="20"/>
          <w:u w:color="000000"/>
          <w:bdr w:val="none" w:sz="0" w:space="0" w:color="auto"/>
          <w:lang w:val="es-PE" w:eastAsia="es-ES"/>
        </w:rPr>
        <w:t>su</w:t>
      </w:r>
      <w:r w:rsidR="00832008" w:rsidRPr="00116A43">
        <w:rPr>
          <w:rFonts w:ascii="Cambria" w:eastAsia="Times New Roman" w:hAnsi="Cambria" w:cs="Cambria"/>
          <w:color w:val="000000"/>
          <w:sz w:val="20"/>
          <w:szCs w:val="20"/>
          <w:u w:color="000000"/>
          <w:bdr w:val="none" w:sz="0" w:space="0" w:color="auto"/>
          <w:lang w:val="es-PE" w:eastAsia="es-ES"/>
        </w:rPr>
        <w:t xml:space="preserve"> anulación. Hasta la fecha, más de 1</w:t>
      </w:r>
      <w:r w:rsidR="00216145" w:rsidRPr="00116A43">
        <w:rPr>
          <w:rFonts w:ascii="Cambria" w:eastAsia="Times New Roman" w:hAnsi="Cambria" w:cs="Cambria"/>
          <w:color w:val="000000"/>
          <w:sz w:val="20"/>
          <w:szCs w:val="20"/>
          <w:u w:color="000000"/>
          <w:bdr w:val="none" w:sz="0" w:space="0" w:color="auto"/>
          <w:lang w:val="es-PE" w:eastAsia="es-ES"/>
        </w:rPr>
        <w:t>1 y 9</w:t>
      </w:r>
      <w:r w:rsidR="00832008" w:rsidRPr="00116A43">
        <w:rPr>
          <w:rFonts w:ascii="Cambria" w:eastAsia="Times New Roman" w:hAnsi="Cambria" w:cs="Cambria"/>
          <w:color w:val="000000"/>
          <w:sz w:val="20"/>
          <w:szCs w:val="20"/>
          <w:u w:color="000000"/>
          <w:bdr w:val="none" w:sz="0" w:space="0" w:color="auto"/>
          <w:lang w:val="es-PE" w:eastAsia="es-ES"/>
        </w:rPr>
        <w:t xml:space="preserve"> años después</w:t>
      </w:r>
      <w:r w:rsidR="00216145" w:rsidRPr="00116A43">
        <w:rPr>
          <w:rFonts w:ascii="Cambria" w:eastAsia="Times New Roman" w:hAnsi="Cambria" w:cs="Cambria"/>
          <w:color w:val="000000"/>
          <w:sz w:val="20"/>
          <w:szCs w:val="20"/>
          <w:u w:color="000000"/>
          <w:bdr w:val="none" w:sz="0" w:space="0" w:color="auto"/>
          <w:lang w:val="es-PE" w:eastAsia="es-ES"/>
        </w:rPr>
        <w:t xml:space="preserve"> de interpuestas tales solicitudes, respectivamente</w:t>
      </w:r>
      <w:r w:rsidR="00832008" w:rsidRPr="00116A43">
        <w:rPr>
          <w:rFonts w:ascii="Cambria" w:eastAsia="Times New Roman" w:hAnsi="Cambria" w:cs="Cambria"/>
          <w:color w:val="000000"/>
          <w:sz w:val="20"/>
          <w:szCs w:val="20"/>
          <w:u w:color="000000"/>
          <w:bdr w:val="none" w:sz="0" w:space="0" w:color="auto"/>
          <w:lang w:val="es-PE" w:eastAsia="es-ES"/>
        </w:rPr>
        <w:t>,</w:t>
      </w:r>
      <w:r w:rsidR="0008551D" w:rsidRPr="00116A43">
        <w:rPr>
          <w:rFonts w:ascii="Cambria" w:eastAsia="Times New Roman" w:hAnsi="Cambria" w:cs="Cambria"/>
          <w:color w:val="000000"/>
          <w:sz w:val="20"/>
          <w:szCs w:val="20"/>
          <w:u w:color="000000"/>
          <w:bdr w:val="none" w:sz="0" w:space="0" w:color="auto"/>
          <w:lang w:val="es-PE" w:eastAsia="es-ES"/>
        </w:rPr>
        <w:t xml:space="preserve"> la periodista</w:t>
      </w:r>
      <w:r w:rsidR="00832008" w:rsidRPr="00116A43">
        <w:rPr>
          <w:rFonts w:ascii="Cambria" w:eastAsia="Times New Roman" w:hAnsi="Cambria" w:cs="Cambria"/>
          <w:color w:val="000000"/>
          <w:sz w:val="20"/>
          <w:szCs w:val="20"/>
          <w:u w:color="000000"/>
          <w:bdr w:val="none" w:sz="0" w:space="0" w:color="auto"/>
          <w:lang w:val="es-PE" w:eastAsia="es-ES"/>
        </w:rPr>
        <w:t xml:space="preserve"> </w:t>
      </w:r>
      <w:r w:rsidR="00AA29E3" w:rsidRPr="00116A43">
        <w:rPr>
          <w:rFonts w:ascii="Cambria" w:eastAsia="Times New Roman" w:hAnsi="Cambria" w:cs="Cambria"/>
          <w:color w:val="000000"/>
          <w:sz w:val="20"/>
          <w:szCs w:val="20"/>
          <w:u w:color="000000"/>
          <w:bdr w:val="none" w:sz="0" w:space="0" w:color="auto"/>
          <w:lang w:val="es-PE" w:eastAsia="es-ES"/>
        </w:rPr>
        <w:t xml:space="preserve">no ha recibido </w:t>
      </w:r>
      <w:r w:rsidR="001C4C3A" w:rsidRPr="00116A43">
        <w:rPr>
          <w:rFonts w:ascii="Cambria" w:eastAsia="Times New Roman" w:hAnsi="Cambria" w:cs="Cambria"/>
          <w:color w:val="000000"/>
          <w:sz w:val="20"/>
          <w:szCs w:val="20"/>
          <w:u w:color="000000"/>
          <w:bdr w:val="none" w:sz="0" w:space="0" w:color="auto"/>
          <w:lang w:val="es-PE" w:eastAsia="es-ES"/>
        </w:rPr>
        <w:t xml:space="preserve">una </w:t>
      </w:r>
      <w:r w:rsidR="00AA29E3" w:rsidRPr="00116A43">
        <w:rPr>
          <w:rFonts w:ascii="Cambria" w:eastAsia="Times New Roman" w:hAnsi="Cambria" w:cs="Cambria"/>
          <w:color w:val="000000"/>
          <w:sz w:val="20"/>
          <w:szCs w:val="20"/>
          <w:u w:color="000000"/>
          <w:bdr w:val="none" w:sz="0" w:space="0" w:color="auto"/>
          <w:lang w:val="es-PE" w:eastAsia="es-ES"/>
        </w:rPr>
        <w:t>respuesta</w:t>
      </w:r>
      <w:r w:rsidR="005334A4" w:rsidRPr="00116A43">
        <w:rPr>
          <w:rFonts w:ascii="Cambria" w:eastAsia="Times New Roman" w:hAnsi="Cambria" w:cs="Cambria"/>
          <w:color w:val="000000"/>
          <w:sz w:val="20"/>
          <w:szCs w:val="20"/>
          <w:u w:color="000000"/>
          <w:bdr w:val="none" w:sz="0" w:space="0" w:color="auto"/>
          <w:lang w:val="es-PE" w:eastAsia="es-ES"/>
        </w:rPr>
        <w:t>.</w:t>
      </w:r>
      <w:r w:rsidR="0008551D" w:rsidRPr="00116A43">
        <w:rPr>
          <w:rFonts w:ascii="Cambria" w:eastAsia="Times New Roman" w:hAnsi="Cambria" w:cs="Cambria"/>
          <w:color w:val="000000"/>
          <w:sz w:val="20"/>
          <w:szCs w:val="20"/>
          <w:u w:color="000000"/>
          <w:bdr w:val="none" w:sz="0" w:space="0" w:color="auto"/>
          <w:lang w:val="es-PE" w:eastAsia="es-ES"/>
        </w:rPr>
        <w:t xml:space="preserve"> </w:t>
      </w:r>
      <w:r w:rsidR="006F3ED5" w:rsidRPr="00116A43">
        <w:rPr>
          <w:rFonts w:ascii="Cambria" w:eastAsia="Times New Roman" w:hAnsi="Cambria" w:cs="Cambria"/>
          <w:color w:val="000000"/>
          <w:sz w:val="20"/>
          <w:szCs w:val="20"/>
          <w:u w:color="000000"/>
          <w:bdr w:val="none" w:sz="0" w:space="0" w:color="auto"/>
          <w:lang w:val="es-PE" w:eastAsia="es-ES"/>
        </w:rPr>
        <w:t>La CIDH entiende que esta solicitud se presentó ante las autoridades migratorias</w:t>
      </w:r>
      <w:r w:rsidR="005C2962" w:rsidRPr="00116A43">
        <w:rPr>
          <w:rFonts w:ascii="Cambria" w:eastAsia="Times New Roman" w:hAnsi="Cambria" w:cs="Cambria"/>
          <w:color w:val="000000"/>
          <w:sz w:val="20"/>
          <w:szCs w:val="20"/>
          <w:u w:color="000000"/>
          <w:bdr w:val="none" w:sz="0" w:space="0" w:color="auto"/>
          <w:lang w:val="es-PE" w:eastAsia="es-ES"/>
        </w:rPr>
        <w:t xml:space="preserve"> dentro del Ministerio del Interior, las que también deben regir sus conductas bajo las obligaciones que </w:t>
      </w:r>
      <w:r w:rsidR="002A6575" w:rsidRPr="00116A43">
        <w:rPr>
          <w:rFonts w:ascii="Cambria" w:eastAsia="Times New Roman" w:hAnsi="Cambria" w:cs="Cambria"/>
          <w:color w:val="000000"/>
          <w:sz w:val="20"/>
          <w:szCs w:val="20"/>
          <w:u w:color="000000"/>
          <w:bdr w:val="none" w:sz="0" w:space="0" w:color="auto"/>
          <w:lang w:val="es-PE" w:eastAsia="es-ES"/>
        </w:rPr>
        <w:t>se derivan de los derechos humanos. La Comisión concluye que lo anterior no solo viol</w:t>
      </w:r>
      <w:r w:rsidR="00E31B85" w:rsidRPr="00116A43">
        <w:rPr>
          <w:rFonts w:ascii="Cambria" w:eastAsia="Times New Roman" w:hAnsi="Cambria" w:cs="Cambria"/>
          <w:color w:val="000000"/>
          <w:sz w:val="20"/>
          <w:szCs w:val="20"/>
          <w:u w:color="000000"/>
          <w:bdr w:val="none" w:sz="0" w:space="0" w:color="auto"/>
          <w:lang w:val="es-PE" w:eastAsia="es-ES"/>
        </w:rPr>
        <w:t>ó</w:t>
      </w:r>
      <w:r w:rsidR="002A6575" w:rsidRPr="00116A43">
        <w:rPr>
          <w:rFonts w:ascii="Cambria" w:eastAsia="Times New Roman" w:hAnsi="Cambria" w:cs="Cambria"/>
          <w:color w:val="000000"/>
          <w:sz w:val="20"/>
          <w:szCs w:val="20"/>
          <w:u w:color="000000"/>
          <w:bdr w:val="none" w:sz="0" w:space="0" w:color="auto"/>
          <w:lang w:val="es-PE" w:eastAsia="es-ES"/>
        </w:rPr>
        <w:t xml:space="preserve"> la garantía del plazo razonable, sino que la total inacción </w:t>
      </w:r>
      <w:r w:rsidR="00F534F0" w:rsidRPr="00116A43">
        <w:rPr>
          <w:rFonts w:ascii="Cambria" w:eastAsia="Times New Roman" w:hAnsi="Cambria" w:cs="Cambria"/>
          <w:color w:val="000000"/>
          <w:sz w:val="20"/>
          <w:szCs w:val="20"/>
          <w:u w:color="000000"/>
          <w:bdr w:val="none" w:sz="0" w:space="0" w:color="auto"/>
          <w:lang w:val="es-PE" w:eastAsia="es-ES"/>
        </w:rPr>
        <w:t xml:space="preserve">administrativa por parte del Estado </w:t>
      </w:r>
      <w:r w:rsidR="00AA2E1C" w:rsidRPr="00116A43">
        <w:rPr>
          <w:rFonts w:ascii="Cambria" w:eastAsia="Times New Roman" w:hAnsi="Cambria" w:cs="Cambria"/>
          <w:color w:val="000000"/>
          <w:sz w:val="20"/>
          <w:szCs w:val="20"/>
          <w:u w:color="000000"/>
          <w:bdr w:val="none" w:sz="0" w:space="0" w:color="auto"/>
          <w:lang w:val="es-PE" w:eastAsia="es-ES"/>
        </w:rPr>
        <w:t xml:space="preserve">no brindó una pronta resolución </w:t>
      </w:r>
      <w:r w:rsidR="00FD1AE6" w:rsidRPr="00116A43">
        <w:rPr>
          <w:rFonts w:ascii="Cambria" w:eastAsia="Times New Roman" w:hAnsi="Cambria" w:cs="Cambria"/>
          <w:color w:val="000000"/>
          <w:sz w:val="20"/>
          <w:szCs w:val="20"/>
          <w:u w:color="000000"/>
          <w:bdr w:val="none" w:sz="0" w:space="0" w:color="auto"/>
          <w:lang w:val="es-PE" w:eastAsia="es-ES"/>
        </w:rPr>
        <w:t>a la negativa</w:t>
      </w:r>
      <w:r w:rsidR="00E31B85" w:rsidRPr="00116A43">
        <w:rPr>
          <w:rFonts w:ascii="Cambria" w:eastAsia="Times New Roman" w:hAnsi="Cambria" w:cs="Cambria"/>
          <w:color w:val="000000"/>
          <w:sz w:val="20"/>
          <w:szCs w:val="20"/>
          <w:u w:color="000000"/>
          <w:bdr w:val="none" w:sz="0" w:space="0" w:color="auto"/>
          <w:lang w:val="es-PE" w:eastAsia="es-ES"/>
        </w:rPr>
        <w:t xml:space="preserve"> de autorizar</w:t>
      </w:r>
      <w:r w:rsidR="00FD1AE6" w:rsidRPr="00116A43">
        <w:rPr>
          <w:rFonts w:ascii="Cambria" w:eastAsia="Times New Roman" w:hAnsi="Cambria" w:cs="Cambria"/>
          <w:color w:val="000000"/>
          <w:sz w:val="20"/>
          <w:szCs w:val="20"/>
          <w:u w:color="000000"/>
          <w:bdr w:val="none" w:sz="0" w:space="0" w:color="auto"/>
          <w:lang w:val="es-PE" w:eastAsia="es-ES"/>
        </w:rPr>
        <w:t xml:space="preserve"> </w:t>
      </w:r>
      <w:r w:rsidR="00E31B85" w:rsidRPr="00116A43">
        <w:rPr>
          <w:rFonts w:ascii="Cambria" w:eastAsia="Times New Roman" w:hAnsi="Cambria" w:cs="Cambria"/>
          <w:color w:val="000000"/>
          <w:sz w:val="20"/>
          <w:szCs w:val="20"/>
          <w:u w:color="000000"/>
          <w:bdr w:val="none" w:sz="0" w:space="0" w:color="auto"/>
          <w:lang w:val="es-PE" w:eastAsia="es-ES"/>
        </w:rPr>
        <w:t>la</w:t>
      </w:r>
      <w:r w:rsidR="00FD1AE6" w:rsidRPr="00116A43">
        <w:rPr>
          <w:rFonts w:ascii="Cambria" w:eastAsia="Times New Roman" w:hAnsi="Cambria" w:cs="Cambria"/>
          <w:color w:val="000000"/>
          <w:sz w:val="20"/>
          <w:szCs w:val="20"/>
          <w:u w:color="000000"/>
          <w:bdr w:val="none" w:sz="0" w:space="0" w:color="auto"/>
          <w:lang w:val="es-PE" w:eastAsia="es-ES"/>
        </w:rPr>
        <w:t xml:space="preserve"> salida del país de la víctima e implicó que esta </w:t>
      </w:r>
      <w:r w:rsidR="00B14C98" w:rsidRPr="00116A43">
        <w:rPr>
          <w:rFonts w:ascii="Cambria" w:eastAsia="Times New Roman" w:hAnsi="Cambria" w:cs="Cambria"/>
          <w:color w:val="000000"/>
          <w:sz w:val="20"/>
          <w:szCs w:val="20"/>
          <w:u w:color="000000"/>
          <w:bdr w:val="none" w:sz="0" w:space="0" w:color="auto"/>
          <w:lang w:val="es-PE" w:eastAsia="es-ES"/>
        </w:rPr>
        <w:t xml:space="preserve">se viera </w:t>
      </w:r>
      <w:r w:rsidR="00FD1AE6" w:rsidRPr="00116A43">
        <w:rPr>
          <w:rFonts w:ascii="Cambria" w:eastAsia="Times New Roman" w:hAnsi="Cambria" w:cs="Cambria"/>
          <w:color w:val="000000"/>
          <w:sz w:val="20"/>
          <w:szCs w:val="20"/>
          <w:u w:color="000000"/>
          <w:bdr w:val="none" w:sz="0" w:space="0" w:color="auto"/>
          <w:lang w:val="es-PE" w:eastAsia="es-ES"/>
        </w:rPr>
        <w:t xml:space="preserve">impedida de </w:t>
      </w:r>
      <w:r w:rsidR="00E31B85" w:rsidRPr="00116A43">
        <w:rPr>
          <w:rFonts w:ascii="Cambria" w:eastAsia="Times New Roman" w:hAnsi="Cambria" w:cs="Cambria"/>
          <w:color w:val="000000"/>
          <w:sz w:val="20"/>
          <w:szCs w:val="20"/>
          <w:u w:color="000000"/>
          <w:bdr w:val="none" w:sz="0" w:space="0" w:color="auto"/>
          <w:lang w:val="es-PE" w:eastAsia="es-ES"/>
        </w:rPr>
        <w:t xml:space="preserve">dejar </w:t>
      </w:r>
      <w:r w:rsidR="00B14C98" w:rsidRPr="00116A43">
        <w:rPr>
          <w:rFonts w:ascii="Cambria" w:eastAsia="Times New Roman" w:hAnsi="Cambria" w:cs="Cambria"/>
          <w:color w:val="000000"/>
          <w:sz w:val="20"/>
          <w:szCs w:val="20"/>
          <w:u w:color="000000"/>
          <w:bdr w:val="none" w:sz="0" w:space="0" w:color="auto"/>
          <w:lang w:val="es-PE" w:eastAsia="es-ES"/>
        </w:rPr>
        <w:t xml:space="preserve">Cuba sin una justificación razonable, </w:t>
      </w:r>
      <w:r w:rsidR="002E1679" w:rsidRPr="00116A43">
        <w:rPr>
          <w:rFonts w:ascii="Cambria" w:eastAsia="Times New Roman" w:hAnsi="Cambria" w:cs="Cambria"/>
          <w:color w:val="000000"/>
          <w:sz w:val="20"/>
          <w:szCs w:val="20"/>
          <w:u w:color="000000"/>
          <w:bdr w:val="none" w:sz="0" w:space="0" w:color="auto"/>
          <w:lang w:val="es-PE" w:eastAsia="es-ES"/>
        </w:rPr>
        <w:t>desde el 2007 al 2012.</w:t>
      </w:r>
      <w:r w:rsidR="00FD1AE6" w:rsidRPr="00116A43">
        <w:rPr>
          <w:rFonts w:ascii="Cambria" w:eastAsia="Times New Roman" w:hAnsi="Cambria" w:cs="Cambria"/>
          <w:color w:val="000000"/>
          <w:sz w:val="20"/>
          <w:szCs w:val="20"/>
          <w:u w:color="000000"/>
          <w:bdr w:val="none" w:sz="0" w:space="0" w:color="auto"/>
          <w:lang w:val="es-PE" w:eastAsia="es-ES"/>
        </w:rPr>
        <w:t xml:space="preserve"> </w:t>
      </w:r>
    </w:p>
    <w:p w14:paraId="7C2883E9" w14:textId="77777777" w:rsidR="00C375E5" w:rsidRPr="00116A43" w:rsidRDefault="00C375E5"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PE" w:eastAsia="es-ES"/>
        </w:rPr>
      </w:pPr>
    </w:p>
    <w:p w14:paraId="738131AE" w14:textId="07318555" w:rsidR="006F4847" w:rsidRPr="00116A43" w:rsidRDefault="00913C5C"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PE" w:eastAsia="es-ES"/>
        </w:rPr>
      </w:pPr>
      <w:r w:rsidRPr="00116A43">
        <w:rPr>
          <w:rFonts w:ascii="Cambria" w:eastAsia="Times New Roman" w:hAnsi="Cambria" w:cs="Cambria"/>
          <w:color w:val="000000"/>
          <w:sz w:val="20"/>
          <w:szCs w:val="20"/>
          <w:u w:color="000000"/>
          <w:bdr w:val="none" w:sz="0" w:space="0" w:color="auto"/>
          <w:lang w:val="es-PE" w:eastAsia="es-ES"/>
        </w:rPr>
        <w:t xml:space="preserve">Con base en lo anterior, </w:t>
      </w:r>
      <w:r w:rsidR="00C375E5" w:rsidRPr="00116A43">
        <w:rPr>
          <w:rFonts w:ascii="Cambria" w:eastAsia="Times New Roman" w:hAnsi="Cambria" w:cs="Cambria"/>
          <w:color w:val="000000"/>
          <w:sz w:val="20"/>
          <w:szCs w:val="20"/>
          <w:u w:color="000000"/>
          <w:bdr w:val="none" w:sz="0" w:space="0" w:color="auto"/>
          <w:lang w:val="es-PE" w:eastAsia="es-ES"/>
        </w:rPr>
        <w:t xml:space="preserve">la CIDH concluye que </w:t>
      </w:r>
      <w:r w:rsidRPr="00116A43">
        <w:rPr>
          <w:rFonts w:ascii="Cambria" w:eastAsia="Times New Roman" w:hAnsi="Cambria" w:cs="Cambria"/>
          <w:color w:val="000000"/>
          <w:sz w:val="20"/>
          <w:szCs w:val="20"/>
          <w:u w:color="000000"/>
          <w:bdr w:val="none" w:sz="0" w:space="0" w:color="auto"/>
          <w:lang w:val="es-MX" w:eastAsia="es-ES"/>
        </w:rPr>
        <w:t>Cuba es responsable por la violación de los artículos XVIII y XXIV de la Declaración Americana, en perjuicio de Yoani Sánchez.</w:t>
      </w:r>
    </w:p>
    <w:p w14:paraId="36BCB5E1" w14:textId="77777777" w:rsidR="00E31B85" w:rsidRPr="00116A43" w:rsidRDefault="00E31B85" w:rsidP="00116A43">
      <w:pPr>
        <w:pStyle w:val="ListParagraph"/>
        <w:rPr>
          <w:rFonts w:eastAsia="Times New Roman"/>
          <w:sz w:val="20"/>
          <w:szCs w:val="20"/>
          <w:bdr w:val="none" w:sz="0" w:space="0" w:color="auto"/>
          <w:lang w:val="es-PE"/>
        </w:rPr>
      </w:pPr>
    </w:p>
    <w:p w14:paraId="11D4B3DF" w14:textId="3427DC47" w:rsidR="00E31B85" w:rsidRPr="00116A43" w:rsidRDefault="00E31B85" w:rsidP="00116A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Cambria"/>
          <w:i/>
          <w:color w:val="000000"/>
          <w:sz w:val="20"/>
          <w:szCs w:val="20"/>
          <w:u w:color="000000"/>
          <w:bdr w:val="none" w:sz="0" w:space="0" w:color="auto"/>
          <w:lang w:val="es-PE" w:eastAsia="es-ES"/>
        </w:rPr>
      </w:pPr>
      <w:r w:rsidRPr="00116A43">
        <w:rPr>
          <w:rFonts w:ascii="Cambria" w:eastAsia="Times New Roman" w:hAnsi="Cambria" w:cs="Cambria"/>
          <w:i/>
          <w:color w:val="000000"/>
          <w:sz w:val="20"/>
          <w:szCs w:val="20"/>
          <w:u w:color="000000"/>
          <w:bdr w:val="none" w:sz="0" w:space="0" w:color="auto"/>
          <w:lang w:val="es-PE" w:eastAsia="es-ES"/>
        </w:rPr>
        <w:t>1</w:t>
      </w:r>
      <w:r w:rsidR="002018BB">
        <w:rPr>
          <w:rFonts w:ascii="Cambria" w:eastAsia="Times New Roman" w:hAnsi="Cambria" w:cs="Cambria"/>
          <w:i/>
          <w:color w:val="000000"/>
          <w:sz w:val="20"/>
          <w:szCs w:val="20"/>
          <w:u w:color="000000"/>
          <w:bdr w:val="none" w:sz="0" w:space="0" w:color="auto"/>
          <w:lang w:val="es-PE" w:eastAsia="es-ES"/>
        </w:rPr>
        <w:t>.</w:t>
      </w:r>
      <w:r w:rsidRPr="00116A43">
        <w:rPr>
          <w:rFonts w:ascii="Cambria" w:eastAsia="Times New Roman" w:hAnsi="Cambria" w:cs="Cambria"/>
          <w:i/>
          <w:color w:val="000000"/>
          <w:sz w:val="20"/>
          <w:szCs w:val="20"/>
          <w:u w:color="000000"/>
          <w:bdr w:val="none" w:sz="0" w:space="0" w:color="auto"/>
          <w:lang w:val="es-PE" w:eastAsia="es-ES"/>
        </w:rPr>
        <w:t xml:space="preserve"> Las garantías de independencia e imparcialidad</w:t>
      </w:r>
    </w:p>
    <w:p w14:paraId="31F1CBFE" w14:textId="77777777" w:rsidR="00F337B7" w:rsidRPr="00116A43" w:rsidRDefault="00F337B7" w:rsidP="00116A43">
      <w:pPr>
        <w:rPr>
          <w:bdr w:val="none" w:sz="0" w:space="0" w:color="auto"/>
          <w:lang w:val="es-PE"/>
        </w:rPr>
      </w:pPr>
    </w:p>
    <w:p w14:paraId="19E414E9" w14:textId="3ED0C243" w:rsidR="00852DC5" w:rsidRPr="00116A43" w:rsidRDefault="00852DC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sz w:val="20"/>
          <w:szCs w:val="20"/>
          <w:lang w:val="es-PE"/>
        </w:rPr>
      </w:pPr>
      <w:r w:rsidRPr="00116A43">
        <w:rPr>
          <w:rFonts w:asciiTheme="majorHAnsi" w:eastAsia="Times New Roman" w:hAnsiTheme="majorHAnsi" w:cs="Cambria"/>
          <w:color w:val="000000"/>
          <w:sz w:val="20"/>
          <w:szCs w:val="20"/>
          <w:u w:color="000000"/>
          <w:bdr w:val="none" w:sz="0" w:space="0" w:color="auto"/>
          <w:lang w:val="es-419" w:eastAsia="es-ES"/>
        </w:rPr>
        <w:t xml:space="preserve">El principio de independencia </w:t>
      </w:r>
      <w:r w:rsidR="006F06B2" w:rsidRPr="00116A43">
        <w:rPr>
          <w:rFonts w:asciiTheme="majorHAnsi" w:eastAsia="Times New Roman" w:hAnsiTheme="majorHAnsi" w:cs="Cambria"/>
          <w:color w:val="000000"/>
          <w:sz w:val="20"/>
          <w:szCs w:val="20"/>
          <w:u w:color="000000"/>
          <w:bdr w:val="none" w:sz="0" w:space="0" w:color="auto"/>
          <w:lang w:val="es-419" w:eastAsia="es-ES"/>
        </w:rPr>
        <w:t>e</w:t>
      </w:r>
      <w:r w:rsidRPr="00116A43">
        <w:rPr>
          <w:rFonts w:asciiTheme="majorHAnsi" w:eastAsia="Times New Roman" w:hAnsiTheme="majorHAnsi" w:cs="Cambria"/>
          <w:color w:val="000000"/>
          <w:sz w:val="20"/>
          <w:szCs w:val="20"/>
          <w:u w:color="000000"/>
          <w:bdr w:val="none" w:sz="0" w:space="0" w:color="auto"/>
          <w:lang w:val="es-419" w:eastAsia="es-ES"/>
        </w:rPr>
        <w:t xml:space="preserve"> imparcialidad judicial es un requisito inherente a un sistema democrático y un prerrequisito fundamental para la protección de los derechos humanos</w:t>
      </w:r>
      <w:r w:rsidRPr="00116A43">
        <w:rPr>
          <w:rFonts w:asciiTheme="majorHAnsi" w:eastAsia="Times New Roman" w:hAnsiTheme="majorHAnsi" w:cs="Cambria"/>
          <w:color w:val="000000"/>
          <w:sz w:val="20"/>
          <w:szCs w:val="20"/>
          <w:u w:color="000000"/>
          <w:bdr w:val="none" w:sz="0" w:space="0" w:color="auto"/>
          <w:vertAlign w:val="superscript"/>
          <w:lang w:val="es-419" w:eastAsia="es-ES"/>
        </w:rPr>
        <w:footnoteReference w:id="297"/>
      </w:r>
      <w:r w:rsidRPr="00116A43">
        <w:rPr>
          <w:rFonts w:asciiTheme="majorHAnsi" w:eastAsia="Times New Roman" w:hAnsiTheme="majorHAnsi" w:cs="Cambria"/>
          <w:color w:val="000000"/>
          <w:sz w:val="20"/>
          <w:szCs w:val="20"/>
          <w:u w:color="000000"/>
          <w:bdr w:val="none" w:sz="0" w:space="0" w:color="auto"/>
          <w:lang w:val="es-419" w:eastAsia="es-ES"/>
        </w:rPr>
        <w:t xml:space="preserve">. </w:t>
      </w:r>
      <w:r w:rsidR="003A1E8F" w:rsidRPr="00116A43">
        <w:rPr>
          <w:rFonts w:ascii="Cambria" w:hAnsi="Cambria"/>
          <w:sz w:val="20"/>
          <w:szCs w:val="20"/>
          <w:lang w:val="es-419"/>
        </w:rPr>
        <w:t>La CIDH ha sostenido que “a la luz del derecho internacional la independencia se refleja en dos dimensiones, la primera, institucional o de sistema y, la segunda, funcional o del ejercicio individual de las y los jueces”</w:t>
      </w:r>
      <w:r w:rsidR="003A1E8F" w:rsidRPr="00116A43">
        <w:rPr>
          <w:rStyle w:val="FootnoteReference"/>
          <w:rFonts w:ascii="Cambria" w:hAnsi="Cambria"/>
          <w:sz w:val="20"/>
          <w:szCs w:val="20"/>
          <w:lang w:val="es-419"/>
        </w:rPr>
        <w:footnoteReference w:id="298"/>
      </w:r>
      <w:r w:rsidR="003A1E8F" w:rsidRPr="00116A43">
        <w:rPr>
          <w:rFonts w:ascii="Cambria" w:hAnsi="Cambria"/>
          <w:sz w:val="20"/>
          <w:szCs w:val="20"/>
          <w:lang w:val="es-419"/>
        </w:rPr>
        <w:t xml:space="preserve">. La primera, tiene relación con la independencia del Poder Judicial como sistema y, la segunda, se relaciona a las garantías que se debe brindar a un juez para que tome decisiones de manera independiente. </w:t>
      </w:r>
      <w:r w:rsidRPr="00116A43">
        <w:rPr>
          <w:rFonts w:asciiTheme="majorHAnsi" w:eastAsia="Times New Roman" w:hAnsiTheme="majorHAnsi" w:cs="Cambria"/>
          <w:color w:val="000000"/>
          <w:sz w:val="20"/>
          <w:szCs w:val="20"/>
          <w:u w:color="000000"/>
          <w:bdr w:val="none" w:sz="0" w:space="0" w:color="auto"/>
          <w:lang w:val="es-419" w:eastAsia="es-ES"/>
        </w:rPr>
        <w:t>Si</w:t>
      </w:r>
      <w:r w:rsidR="006F06B2" w:rsidRPr="00116A43">
        <w:rPr>
          <w:rFonts w:asciiTheme="majorHAnsi" w:eastAsia="Times New Roman" w:hAnsiTheme="majorHAnsi" w:cs="Cambria"/>
          <w:color w:val="000000"/>
          <w:sz w:val="20"/>
          <w:szCs w:val="20"/>
          <w:u w:color="000000"/>
          <w:bdr w:val="none" w:sz="0" w:space="0" w:color="auto"/>
          <w:lang w:val="es-419" w:eastAsia="es-ES"/>
        </w:rPr>
        <w:t>n</w:t>
      </w:r>
      <w:r w:rsidRPr="00116A43">
        <w:rPr>
          <w:rFonts w:asciiTheme="majorHAnsi" w:eastAsia="Times New Roman" w:hAnsiTheme="majorHAnsi" w:cs="Cambria"/>
          <w:color w:val="000000"/>
          <w:sz w:val="20"/>
          <w:szCs w:val="20"/>
          <w:u w:color="000000"/>
          <w:bdr w:val="none" w:sz="0" w:space="0" w:color="auto"/>
          <w:lang w:val="es-419" w:eastAsia="es-ES"/>
        </w:rPr>
        <w:t xml:space="preserve"> embargo, la Comisión ha sostenido reiteradamente que en Cuba no existe una debida separación entre los poderes públicos que garantice una administración de justicia libre de injerencias provenientes de los demás poderes</w:t>
      </w:r>
      <w:r w:rsidRPr="00116A43">
        <w:rPr>
          <w:rFonts w:asciiTheme="majorHAnsi" w:eastAsia="Times New Roman" w:hAnsiTheme="majorHAnsi" w:cs="Cambria"/>
          <w:color w:val="000000"/>
          <w:sz w:val="20"/>
          <w:szCs w:val="20"/>
          <w:u w:color="000000"/>
          <w:bdr w:val="none" w:sz="0" w:space="0" w:color="auto"/>
          <w:vertAlign w:val="superscript"/>
          <w:lang w:val="es-419" w:eastAsia="es-ES"/>
        </w:rPr>
        <w:footnoteReference w:id="299"/>
      </w:r>
      <w:r w:rsidRPr="00116A43">
        <w:rPr>
          <w:rFonts w:asciiTheme="majorHAnsi" w:eastAsia="Times New Roman" w:hAnsiTheme="majorHAnsi" w:cs="Cambria"/>
          <w:color w:val="000000"/>
          <w:sz w:val="20"/>
          <w:szCs w:val="20"/>
          <w:u w:color="000000"/>
          <w:bdr w:val="none" w:sz="0" w:space="0" w:color="auto"/>
          <w:lang w:val="es-419" w:eastAsia="es-ES"/>
        </w:rPr>
        <w:t xml:space="preserve">. </w:t>
      </w:r>
    </w:p>
    <w:p w14:paraId="6E9ECCF9" w14:textId="77777777" w:rsidR="00472601" w:rsidRPr="00116A43" w:rsidRDefault="00472601"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mbria"/>
          <w:color w:val="000000"/>
          <w:sz w:val="20"/>
          <w:szCs w:val="20"/>
          <w:u w:color="000000"/>
          <w:bdr w:val="none" w:sz="0" w:space="0" w:color="auto"/>
          <w:lang w:val="es-419" w:eastAsia="es-ES"/>
        </w:rPr>
      </w:pPr>
    </w:p>
    <w:p w14:paraId="5E02EEEE" w14:textId="352D3BA7" w:rsidR="00852DC5" w:rsidRPr="00116A43" w:rsidRDefault="00852DC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eastAsia="Times New Roman" w:hAnsiTheme="majorHAnsi" w:cs="Cambria"/>
          <w:color w:val="000000"/>
          <w:sz w:val="20"/>
          <w:szCs w:val="20"/>
          <w:u w:color="000000"/>
          <w:bdr w:val="none" w:sz="0" w:space="0" w:color="auto"/>
          <w:lang w:val="es-419" w:eastAsia="es-ES"/>
        </w:rPr>
      </w:pPr>
      <w:r w:rsidRPr="00116A43">
        <w:rPr>
          <w:rFonts w:asciiTheme="majorHAnsi" w:eastAsia="Times New Roman" w:hAnsiTheme="majorHAnsi" w:cs="Cambria"/>
          <w:color w:val="000000"/>
          <w:sz w:val="20"/>
          <w:szCs w:val="20"/>
          <w:u w:color="000000"/>
          <w:bdr w:val="none" w:sz="0" w:space="0" w:color="auto"/>
          <w:lang w:val="es-419" w:eastAsia="es-ES"/>
        </w:rPr>
        <w:t xml:space="preserve">En efecto, la Constitución de Cuba de 1976, vigente a época de los hechos, establecía en su artículo 121 que “[l]os tribunales constituyen un sistema de órganos estatales, estructurado con independencia funcional de cualquier otro y subordinado jerárquicamente a la Asamblea Nacional del Poder Popular y al Consejo de Estado”. La Comisión ha interpretado “que la subordinación de los tribunales al Consejo de Estado, encabezado </w:t>
      </w:r>
      <w:r w:rsidRPr="00116A43">
        <w:rPr>
          <w:rFonts w:asciiTheme="majorHAnsi" w:eastAsia="Times New Roman" w:hAnsiTheme="majorHAnsi" w:cs="Cambria"/>
          <w:color w:val="000000"/>
          <w:sz w:val="20"/>
          <w:szCs w:val="20"/>
          <w:u w:color="000000"/>
          <w:bdr w:val="none" w:sz="0" w:space="0" w:color="auto"/>
          <w:lang w:val="es-419" w:eastAsia="es-ES"/>
        </w:rPr>
        <w:lastRenderedPageBreak/>
        <w:t>por el Jefe del Estado, representa una dependencia directa del Poder Judicial a las directrices del Poder Ejecutivo, e impide que las personas identificadas por el Estado como “disidentes” o “opositores” acusadas de delitos políticos puedan ser juzgados de forma imparcial, como lo exige las disposiciones de la Declaración Americana, tal como se demuestra en este caso”</w:t>
      </w:r>
      <w:r w:rsidRPr="00116A43">
        <w:rPr>
          <w:rFonts w:asciiTheme="majorHAnsi" w:eastAsia="Times New Roman" w:hAnsiTheme="majorHAnsi" w:cs="Cambria"/>
          <w:color w:val="000000"/>
          <w:sz w:val="20"/>
          <w:szCs w:val="20"/>
          <w:u w:color="000000"/>
          <w:bdr w:val="none" w:sz="0" w:space="0" w:color="auto"/>
          <w:vertAlign w:val="superscript"/>
          <w:lang w:val="es-419" w:eastAsia="es-ES"/>
        </w:rPr>
        <w:footnoteReference w:id="300"/>
      </w:r>
      <w:r w:rsidRPr="00116A43">
        <w:rPr>
          <w:rFonts w:asciiTheme="majorHAnsi" w:eastAsia="Times New Roman" w:hAnsiTheme="majorHAnsi" w:cs="Cambria"/>
          <w:color w:val="000000"/>
          <w:sz w:val="20"/>
          <w:szCs w:val="20"/>
          <w:u w:color="000000"/>
          <w:bdr w:val="none" w:sz="0" w:space="0" w:color="auto"/>
          <w:lang w:val="es-419" w:eastAsia="es-ES"/>
        </w:rPr>
        <w:t>.</w:t>
      </w:r>
    </w:p>
    <w:p w14:paraId="3DF973C4" w14:textId="77777777" w:rsidR="00472601" w:rsidRPr="00116A43" w:rsidRDefault="00472601"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mbria"/>
          <w:color w:val="000000"/>
          <w:sz w:val="20"/>
          <w:szCs w:val="20"/>
          <w:u w:color="000000"/>
          <w:bdr w:val="none" w:sz="0" w:space="0" w:color="auto"/>
          <w:lang w:val="es-419" w:eastAsia="es-ES"/>
        </w:rPr>
      </w:pPr>
    </w:p>
    <w:p w14:paraId="41E58D32" w14:textId="77777777" w:rsidR="00B9424C" w:rsidRPr="00116A43" w:rsidRDefault="00852DC5"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shd w:val="clear" w:color="auto" w:fill="FFFFFF"/>
          <w:lang w:val="es-419" w:eastAsia="es-ES"/>
        </w:rPr>
      </w:pPr>
      <w:r w:rsidRPr="00116A43">
        <w:rPr>
          <w:rFonts w:ascii="Cambria" w:eastAsia="Times New Roman" w:hAnsi="Cambria" w:cs="Cambria"/>
          <w:color w:val="000000"/>
          <w:sz w:val="20"/>
          <w:szCs w:val="20"/>
          <w:u w:color="000000"/>
          <w:bdr w:val="none" w:sz="0" w:space="0" w:color="auto"/>
          <w:lang w:val="es-419" w:eastAsia="es-ES"/>
        </w:rPr>
        <w:t xml:space="preserve">Asimismo, la independencia </w:t>
      </w:r>
      <w:r w:rsidR="003F66AF" w:rsidRPr="00116A43">
        <w:rPr>
          <w:rFonts w:ascii="Cambria" w:eastAsia="Times New Roman" w:hAnsi="Cambria" w:cs="Cambria"/>
          <w:color w:val="000000"/>
          <w:sz w:val="20"/>
          <w:szCs w:val="20"/>
          <w:u w:color="000000"/>
          <w:bdr w:val="none" w:sz="0" w:space="0" w:color="auto"/>
          <w:lang w:val="es-419" w:eastAsia="es-ES"/>
        </w:rPr>
        <w:t>e</w:t>
      </w:r>
      <w:r w:rsidRPr="00116A43">
        <w:rPr>
          <w:rFonts w:ascii="Cambria" w:eastAsia="Times New Roman" w:hAnsi="Cambria" w:cs="Cambria"/>
          <w:color w:val="000000"/>
          <w:sz w:val="20"/>
          <w:szCs w:val="20"/>
          <w:u w:color="000000"/>
          <w:bdr w:val="none" w:sz="0" w:space="0" w:color="auto"/>
          <w:lang w:val="es-419" w:eastAsia="es-ES"/>
        </w:rPr>
        <w:t xml:space="preserve"> imparcialidad de las autoridades que </w:t>
      </w:r>
      <w:r w:rsidR="005B45BC" w:rsidRPr="00116A43">
        <w:rPr>
          <w:rFonts w:ascii="Cambria" w:eastAsia="Times New Roman" w:hAnsi="Cambria" w:cs="Cambria"/>
          <w:color w:val="000000"/>
          <w:sz w:val="20"/>
          <w:szCs w:val="20"/>
          <w:u w:color="000000"/>
          <w:bdr w:val="none" w:sz="0" w:space="0" w:color="auto"/>
          <w:lang w:val="es-419" w:eastAsia="es-ES"/>
        </w:rPr>
        <w:t>investigan</w:t>
      </w:r>
      <w:r w:rsidR="00C253A8" w:rsidRPr="00116A43">
        <w:rPr>
          <w:rFonts w:ascii="Cambria" w:eastAsia="Times New Roman" w:hAnsi="Cambria" w:cs="Cambria"/>
          <w:color w:val="000000"/>
          <w:sz w:val="20"/>
          <w:szCs w:val="20"/>
          <w:u w:color="000000"/>
          <w:bdr w:val="none" w:sz="0" w:space="0" w:color="auto"/>
          <w:lang w:val="es-419" w:eastAsia="es-ES"/>
        </w:rPr>
        <w:t xml:space="preserve"> </w:t>
      </w:r>
      <w:r w:rsidR="00BD3E0E" w:rsidRPr="00116A43">
        <w:rPr>
          <w:rFonts w:ascii="Cambria" w:eastAsia="Times New Roman" w:hAnsi="Cambria" w:cs="Cambria"/>
          <w:color w:val="000000"/>
          <w:sz w:val="20"/>
          <w:szCs w:val="20"/>
          <w:u w:color="000000"/>
          <w:bdr w:val="none" w:sz="0" w:space="0" w:color="auto"/>
          <w:lang w:val="es-419" w:eastAsia="es-ES"/>
        </w:rPr>
        <w:t>violaciones</w:t>
      </w:r>
      <w:r w:rsidRPr="00116A43">
        <w:rPr>
          <w:rFonts w:ascii="Cambria" w:eastAsia="Times New Roman" w:hAnsi="Cambria" w:cs="Cambria"/>
          <w:color w:val="000000"/>
          <w:sz w:val="20"/>
          <w:szCs w:val="20"/>
          <w:u w:color="000000"/>
          <w:bdr w:val="none" w:sz="0" w:space="0" w:color="auto"/>
          <w:lang w:val="es-419" w:eastAsia="es-ES"/>
        </w:rPr>
        <w:t xml:space="preserve"> de derechos humanos</w:t>
      </w:r>
      <w:r w:rsidR="003F6014" w:rsidRPr="00116A43">
        <w:rPr>
          <w:rFonts w:ascii="Cambria" w:eastAsia="Times New Roman" w:hAnsi="Cambria" w:cs="Cambria"/>
          <w:color w:val="000000"/>
          <w:sz w:val="20"/>
          <w:szCs w:val="20"/>
          <w:u w:color="000000"/>
          <w:bdr w:val="none" w:sz="0" w:space="0" w:color="auto"/>
          <w:lang w:val="es-419" w:eastAsia="es-ES"/>
        </w:rPr>
        <w:t>, como las fiscalías,</w:t>
      </w:r>
      <w:r w:rsidRPr="00116A43">
        <w:rPr>
          <w:rFonts w:ascii="Cambria" w:eastAsia="Times New Roman" w:hAnsi="Cambria" w:cs="Cambria"/>
          <w:color w:val="000000"/>
          <w:sz w:val="20"/>
          <w:szCs w:val="20"/>
          <w:u w:color="000000"/>
          <w:bdr w:val="none" w:sz="0" w:space="0" w:color="auto"/>
          <w:lang w:val="es-419" w:eastAsia="es-ES"/>
        </w:rPr>
        <w:t xml:space="preserve"> también debe ser garantizada en un Estado de Derecho. La jurisprudencia de larga data del sistema interamericano </w:t>
      </w:r>
      <w:r w:rsidR="00CB67B9" w:rsidRPr="00116A43">
        <w:rPr>
          <w:rFonts w:ascii="Cambria" w:eastAsia="Times New Roman" w:hAnsi="Cambria" w:cs="Cambria"/>
          <w:color w:val="000000"/>
          <w:sz w:val="20"/>
          <w:szCs w:val="20"/>
          <w:u w:color="000000"/>
          <w:bdr w:val="none" w:sz="0" w:space="0" w:color="auto"/>
          <w:lang w:val="es-419" w:eastAsia="es-ES"/>
        </w:rPr>
        <w:t>recoge</w:t>
      </w:r>
      <w:r w:rsidRPr="00116A43">
        <w:rPr>
          <w:rFonts w:ascii="Cambria" w:eastAsia="Times New Roman" w:hAnsi="Cambria" w:cs="Cambria"/>
          <w:color w:val="000000"/>
          <w:sz w:val="20"/>
          <w:szCs w:val="20"/>
          <w:u w:color="000000"/>
          <w:bdr w:val="none" w:sz="0" w:space="0" w:color="auto"/>
          <w:lang w:val="es-419" w:eastAsia="es-ES"/>
        </w:rPr>
        <w:t xml:space="preserve"> la obligación del Estado de realizar una investigación no solamente exhaustiva </w:t>
      </w:r>
      <w:r w:rsidR="00CB67B9" w:rsidRPr="00116A43">
        <w:rPr>
          <w:rFonts w:ascii="Cambria" w:eastAsia="Times New Roman" w:hAnsi="Cambria" w:cs="Cambria"/>
          <w:color w:val="000000"/>
          <w:sz w:val="20"/>
          <w:szCs w:val="20"/>
          <w:u w:color="000000"/>
          <w:bdr w:val="none" w:sz="0" w:space="0" w:color="auto"/>
          <w:lang w:val="es-419" w:eastAsia="es-ES"/>
        </w:rPr>
        <w:t>e</w:t>
      </w:r>
      <w:r w:rsidRPr="00116A43">
        <w:rPr>
          <w:rFonts w:ascii="Cambria" w:eastAsia="Times New Roman" w:hAnsi="Cambria" w:cs="Cambria"/>
          <w:color w:val="000000"/>
          <w:sz w:val="20"/>
          <w:szCs w:val="20"/>
          <w:u w:color="000000"/>
          <w:bdr w:val="none" w:sz="0" w:space="0" w:color="auto"/>
          <w:lang w:val="es-419" w:eastAsia="es-ES"/>
        </w:rPr>
        <w:t xml:space="preserve"> inmediata, sino también imparcial </w:t>
      </w:r>
      <w:r w:rsidR="00AA277C" w:rsidRPr="00116A43">
        <w:rPr>
          <w:rFonts w:ascii="Cambria" w:eastAsia="Times New Roman" w:hAnsi="Cambria" w:cs="Cambria"/>
          <w:color w:val="000000"/>
          <w:sz w:val="20"/>
          <w:szCs w:val="20"/>
          <w:u w:color="000000"/>
          <w:bdr w:val="none" w:sz="0" w:space="0" w:color="auto"/>
          <w:lang w:val="es-419" w:eastAsia="es-ES"/>
        </w:rPr>
        <w:t>e</w:t>
      </w:r>
      <w:r w:rsidRPr="00116A43">
        <w:rPr>
          <w:rFonts w:ascii="Cambria" w:eastAsia="Times New Roman" w:hAnsi="Cambria" w:cs="Cambria"/>
          <w:color w:val="000000"/>
          <w:sz w:val="20"/>
          <w:szCs w:val="20"/>
          <w:u w:color="000000"/>
          <w:bdr w:val="none" w:sz="0" w:space="0" w:color="auto"/>
          <w:lang w:val="es-419" w:eastAsia="es-ES"/>
        </w:rPr>
        <w:t xml:space="preserve"> independiente de denuncias de violaciones de derechos humanos</w:t>
      </w:r>
      <w:r w:rsidRPr="00116A43">
        <w:rPr>
          <w:rFonts w:ascii="Cambria" w:eastAsia="Times New Roman" w:hAnsi="Cambria" w:cs="Cambria"/>
          <w:color w:val="000000"/>
          <w:sz w:val="20"/>
          <w:szCs w:val="20"/>
          <w:u w:color="000000"/>
          <w:bdr w:val="none" w:sz="0" w:space="0" w:color="auto"/>
          <w:vertAlign w:val="superscript"/>
          <w:lang w:val="es-419" w:eastAsia="es-ES"/>
        </w:rPr>
        <w:footnoteReference w:id="301"/>
      </w:r>
      <w:r w:rsidRPr="00116A43">
        <w:rPr>
          <w:rFonts w:ascii="Cambria" w:eastAsia="Times New Roman" w:hAnsi="Cambria" w:cs="Cambria"/>
          <w:color w:val="000000"/>
          <w:sz w:val="20"/>
          <w:szCs w:val="20"/>
          <w:u w:color="000000"/>
          <w:bdr w:val="none" w:sz="0" w:space="0" w:color="auto"/>
          <w:lang w:val="es-419" w:eastAsia="es-ES"/>
        </w:rPr>
        <w:t>. La CIDH ha concluido que “el derecho internacional se ha referido a la importancia de que las investigaciones y, a un nivel más amplio, las actividades relacionadas con la persecución del delito, sean independientes e imparciales como medio para garantizar el acceso a la justicia de las víctimas del delito”</w:t>
      </w:r>
      <w:r w:rsidRPr="00116A43">
        <w:rPr>
          <w:rFonts w:ascii="Cambria" w:eastAsia="Times New Roman" w:hAnsi="Cambria" w:cs="Cambria"/>
          <w:color w:val="000000"/>
          <w:sz w:val="20"/>
          <w:szCs w:val="20"/>
          <w:u w:color="000000"/>
          <w:bdr w:val="none" w:sz="0" w:space="0" w:color="auto"/>
          <w:vertAlign w:val="superscript"/>
          <w:lang w:val="es-419" w:eastAsia="es-ES"/>
        </w:rPr>
        <w:footnoteReference w:id="302"/>
      </w:r>
      <w:r w:rsidRPr="00116A43">
        <w:rPr>
          <w:rFonts w:ascii="Cambria" w:eastAsia="Times New Roman" w:hAnsi="Cambria" w:cs="Cambria"/>
          <w:color w:val="000000"/>
          <w:sz w:val="20"/>
          <w:szCs w:val="20"/>
          <w:u w:color="000000"/>
          <w:bdr w:val="none" w:sz="0" w:space="0" w:color="auto"/>
          <w:lang w:val="es-419" w:eastAsia="es-ES"/>
        </w:rPr>
        <w:t xml:space="preserve">. </w:t>
      </w:r>
    </w:p>
    <w:p w14:paraId="09123783" w14:textId="77777777" w:rsidR="00B9424C" w:rsidRPr="00116A43" w:rsidRDefault="00B9424C" w:rsidP="00375047">
      <w:pPr>
        <w:pStyle w:val="ListParagraph"/>
        <w:ind w:left="0"/>
        <w:rPr>
          <w:rFonts w:eastAsia="Times New Roman"/>
          <w:sz w:val="20"/>
          <w:szCs w:val="20"/>
          <w:bdr w:val="none" w:sz="0" w:space="0" w:color="auto"/>
          <w:lang w:val="es-419"/>
        </w:rPr>
      </w:pPr>
    </w:p>
    <w:p w14:paraId="31951AD2" w14:textId="6CC621A8" w:rsidR="00852DC5" w:rsidRPr="00116A43" w:rsidRDefault="00B9424C" w:rsidP="00375047">
      <w:pPr>
        <w:pStyle w:val="ListParagraph"/>
        <w:numPr>
          <w:ilvl w:val="0"/>
          <w:numId w:val="55"/>
        </w:numPr>
        <w:ind w:firstLine="0"/>
        <w:jc w:val="both"/>
        <w:rPr>
          <w:sz w:val="20"/>
          <w:szCs w:val="20"/>
          <w:lang w:val="es-PE"/>
        </w:rPr>
      </w:pPr>
      <w:r w:rsidRPr="00116A43">
        <w:rPr>
          <w:sz w:val="20"/>
          <w:szCs w:val="20"/>
          <w:lang w:val="es-419"/>
        </w:rPr>
        <w:t>Para la conducción efectiva de investigaciones es necesaria la “ausencia de relación institucional o jerárquica, así como su independencia en la práctica”</w:t>
      </w:r>
      <w:r w:rsidRPr="00116A43">
        <w:rPr>
          <w:rStyle w:val="FootnoteReference"/>
          <w:sz w:val="20"/>
          <w:szCs w:val="20"/>
          <w:lang w:val="es-419"/>
        </w:rPr>
        <w:footnoteReference w:id="303"/>
      </w:r>
      <w:r w:rsidRPr="00116A43">
        <w:rPr>
          <w:sz w:val="20"/>
          <w:szCs w:val="20"/>
          <w:lang w:val="es-419"/>
        </w:rPr>
        <w:t>. La CIDH ha interpretado que la necesidad de independencia en la faceta individual también es garantía de los fiscales. Según la CIDH, los operadores deben contar con “garantías de independencia para ejercer de manera libre sus labores dentro de las entidades de justicia en el conocimiento de los casos que, atendiendo a su rol específico, les corresponde decidir, patrocinar o defender”</w:t>
      </w:r>
      <w:r w:rsidRPr="00116A43">
        <w:rPr>
          <w:rStyle w:val="FootnoteReference"/>
          <w:sz w:val="20"/>
          <w:szCs w:val="20"/>
          <w:lang w:val="es-419"/>
        </w:rPr>
        <w:footnoteReference w:id="304"/>
      </w:r>
      <w:r w:rsidRPr="00116A43">
        <w:rPr>
          <w:sz w:val="20"/>
          <w:szCs w:val="20"/>
          <w:lang w:val="es-419"/>
        </w:rPr>
        <w:t>.</w:t>
      </w:r>
      <w:r w:rsidRPr="00116A43">
        <w:rPr>
          <w:rFonts w:cs="Times New Roman"/>
          <w:sz w:val="20"/>
          <w:szCs w:val="20"/>
          <w:lang w:val="es-PE"/>
        </w:rPr>
        <w:t xml:space="preserve"> </w:t>
      </w:r>
      <w:r w:rsidR="00852DC5" w:rsidRPr="00116A43">
        <w:rPr>
          <w:rFonts w:eastAsia="Times New Roman"/>
          <w:sz w:val="20"/>
          <w:szCs w:val="20"/>
          <w:bdr w:val="none" w:sz="0" w:space="0" w:color="auto"/>
          <w:lang w:val="es-419"/>
        </w:rPr>
        <w:t>De ahí que la CIDH ha establecido que, si bien en diversos Estados de América Latina la Fiscalía forma parte del Poder Ejecutivo, el Estado tiene que brindar garantías a la Fiscalía para que se mantenga autónoma, aunque dentro del ramo del Poder</w:t>
      </w:r>
      <w:r w:rsidR="00852DC5" w:rsidRPr="00116A43">
        <w:rPr>
          <w:sz w:val="20"/>
          <w:szCs w:val="20"/>
          <w:bdr w:val="none" w:sz="0" w:space="0" w:color="auto"/>
          <w:vertAlign w:val="superscript"/>
          <w:lang w:val="es-419"/>
        </w:rPr>
        <w:footnoteReference w:id="305"/>
      </w:r>
      <w:r w:rsidR="00852DC5" w:rsidRPr="00116A43">
        <w:rPr>
          <w:rFonts w:eastAsia="Times New Roman"/>
          <w:sz w:val="20"/>
          <w:szCs w:val="20"/>
          <w:bdr w:val="none" w:sz="0" w:space="0" w:color="auto"/>
          <w:lang w:val="es-419"/>
        </w:rPr>
        <w:t>. Además, independientemente de la posición de la Fiscal</w:t>
      </w:r>
      <w:r w:rsidR="005B45BC" w:rsidRPr="00116A43">
        <w:rPr>
          <w:rFonts w:eastAsia="Times New Roman"/>
          <w:sz w:val="20"/>
          <w:szCs w:val="20"/>
          <w:bdr w:val="none" w:sz="0" w:space="0" w:color="auto"/>
          <w:lang w:val="es-419"/>
        </w:rPr>
        <w:t>ía</w:t>
      </w:r>
      <w:r w:rsidR="00852DC5" w:rsidRPr="00116A43">
        <w:rPr>
          <w:rFonts w:eastAsia="Times New Roman"/>
          <w:sz w:val="20"/>
          <w:szCs w:val="20"/>
          <w:bdr w:val="none" w:sz="0" w:space="0" w:color="auto"/>
          <w:lang w:val="es-419"/>
        </w:rPr>
        <w:t xml:space="preserve"> dentro de las ramas de poderes del Estado, la investigación debe ser </w:t>
      </w:r>
      <w:r w:rsidR="00A100C7" w:rsidRPr="00116A43">
        <w:rPr>
          <w:rFonts w:eastAsia="Times New Roman"/>
          <w:sz w:val="20"/>
          <w:szCs w:val="20"/>
          <w:bdr w:val="none" w:sz="0" w:space="0" w:color="auto"/>
          <w:lang w:val="es-419"/>
        </w:rPr>
        <w:t>im</w:t>
      </w:r>
      <w:r w:rsidR="00852DC5" w:rsidRPr="00116A43">
        <w:rPr>
          <w:rFonts w:eastAsia="Times New Roman"/>
          <w:sz w:val="20"/>
          <w:szCs w:val="20"/>
          <w:bdr w:val="none" w:sz="0" w:space="0" w:color="auto"/>
          <w:lang w:val="es-419"/>
        </w:rPr>
        <w:t>parcial y efectiva, orientada a la determinación de la verdad y a la persecución, captura, enjuiciamiento y eventual castigo de los autores de los hechos</w:t>
      </w:r>
      <w:r w:rsidR="00852DC5" w:rsidRPr="00116A43">
        <w:rPr>
          <w:sz w:val="20"/>
          <w:szCs w:val="20"/>
          <w:bdr w:val="none" w:sz="0" w:space="0" w:color="auto"/>
          <w:vertAlign w:val="superscript"/>
          <w:lang w:val="es-419"/>
        </w:rPr>
        <w:footnoteReference w:id="306"/>
      </w:r>
      <w:r w:rsidR="00472601" w:rsidRPr="00116A43">
        <w:rPr>
          <w:rFonts w:eastAsia="Times New Roman"/>
          <w:sz w:val="20"/>
          <w:szCs w:val="20"/>
          <w:bdr w:val="none" w:sz="0" w:space="0" w:color="auto"/>
          <w:lang w:val="es-419"/>
        </w:rPr>
        <w:t>.</w:t>
      </w:r>
    </w:p>
    <w:p w14:paraId="3DB6B97F" w14:textId="77777777" w:rsidR="00472601" w:rsidRPr="00116A43" w:rsidRDefault="00472601"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mbria"/>
          <w:color w:val="000000"/>
          <w:sz w:val="20"/>
          <w:szCs w:val="20"/>
          <w:u w:color="000000"/>
          <w:bdr w:val="none" w:sz="0" w:space="0" w:color="auto"/>
          <w:shd w:val="clear" w:color="auto" w:fill="FFFFFF"/>
          <w:lang w:val="es-419" w:eastAsia="es-ES"/>
        </w:rPr>
      </w:pPr>
    </w:p>
    <w:p w14:paraId="4032B584" w14:textId="140B4304" w:rsidR="00852DC5" w:rsidRPr="00116A43" w:rsidRDefault="007F74E4"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shd w:val="clear" w:color="auto" w:fill="FFFFFF"/>
          <w:lang w:val="es-419" w:eastAsia="es-ES"/>
        </w:rPr>
      </w:pPr>
      <w:r w:rsidRPr="00116A43">
        <w:rPr>
          <w:rFonts w:asciiTheme="majorHAnsi" w:eastAsia="Times New Roman" w:hAnsiTheme="majorHAnsi" w:cs="Cambria"/>
          <w:color w:val="000000"/>
          <w:sz w:val="20"/>
          <w:szCs w:val="20"/>
          <w:u w:color="000000"/>
          <w:bdr w:val="none" w:sz="0" w:space="0" w:color="auto"/>
          <w:shd w:val="clear" w:color="auto" w:fill="FFFFFF"/>
          <w:lang w:val="es-419" w:eastAsia="es-ES"/>
        </w:rPr>
        <w:t>Con respecto a Cu</w:t>
      </w:r>
      <w:r w:rsidR="003A1E8F" w:rsidRPr="00116A43">
        <w:rPr>
          <w:rFonts w:asciiTheme="majorHAnsi" w:eastAsia="Times New Roman" w:hAnsiTheme="majorHAnsi" w:cs="Cambria"/>
          <w:color w:val="000000"/>
          <w:sz w:val="20"/>
          <w:szCs w:val="20"/>
          <w:u w:color="000000"/>
          <w:bdr w:val="none" w:sz="0" w:space="0" w:color="auto"/>
          <w:shd w:val="clear" w:color="auto" w:fill="FFFFFF"/>
          <w:lang w:val="es-419" w:eastAsia="es-ES"/>
        </w:rPr>
        <w:t>b</w:t>
      </w:r>
      <w:r w:rsidRPr="00116A43">
        <w:rPr>
          <w:rFonts w:asciiTheme="majorHAnsi" w:eastAsia="Times New Roman" w:hAnsiTheme="majorHAnsi" w:cs="Cambria"/>
          <w:color w:val="000000"/>
          <w:sz w:val="20"/>
          <w:szCs w:val="20"/>
          <w:u w:color="000000"/>
          <w:bdr w:val="none" w:sz="0" w:space="0" w:color="auto"/>
          <w:shd w:val="clear" w:color="auto" w:fill="FFFFFF"/>
          <w:lang w:val="es-419" w:eastAsia="es-ES"/>
        </w:rPr>
        <w:t xml:space="preserve">a en particular, </w:t>
      </w:r>
      <w:r w:rsidR="00852DC5" w:rsidRPr="00116A43">
        <w:rPr>
          <w:rFonts w:asciiTheme="majorHAnsi" w:eastAsia="Times New Roman" w:hAnsiTheme="majorHAnsi" w:cs="Cambria"/>
          <w:color w:val="000000"/>
          <w:sz w:val="20"/>
          <w:szCs w:val="20"/>
          <w:u w:color="000000"/>
          <w:bdr w:val="none" w:sz="0" w:space="0" w:color="auto"/>
          <w:shd w:val="clear" w:color="auto" w:fill="FFFFFF"/>
          <w:lang w:val="es-419" w:eastAsia="es-ES"/>
        </w:rPr>
        <w:t>la CIDH ha apuntado anteriormente que “con arreglo al artículo 128 de la Constitución, la Fiscalía General está subordinada a la Asamblea Nacional y al Consejo de Estado y el artículo 130 manda que el Fiscal General rinda cuentas del desempeño de sus funciones a la Asamblea Nacional.  Todas estas disposiciones obstaculizan además la imparcialidad e independencia del órgano judicial de Cuba, restringiendo así el ejercicio de todos los derechos humanos y las libertades fundamentales de las mujeres y los hombres cubanos”</w:t>
      </w:r>
      <w:r w:rsidR="00852DC5" w:rsidRPr="00116A43">
        <w:rPr>
          <w:rFonts w:asciiTheme="majorHAnsi" w:eastAsia="Times New Roman" w:hAnsiTheme="majorHAnsi" w:cs="Cambria"/>
          <w:color w:val="000000"/>
          <w:sz w:val="20"/>
          <w:szCs w:val="20"/>
          <w:u w:color="000000"/>
          <w:bdr w:val="none" w:sz="0" w:space="0" w:color="auto"/>
          <w:shd w:val="clear" w:color="auto" w:fill="FFFFFF"/>
          <w:vertAlign w:val="superscript"/>
          <w:lang w:val="es-419" w:eastAsia="es-ES"/>
        </w:rPr>
        <w:footnoteReference w:id="307"/>
      </w:r>
      <w:r w:rsidR="00852DC5" w:rsidRPr="00116A43">
        <w:rPr>
          <w:rFonts w:asciiTheme="majorHAnsi" w:eastAsia="Times New Roman" w:hAnsiTheme="majorHAnsi" w:cs="Cambria"/>
          <w:color w:val="000000"/>
          <w:sz w:val="20"/>
          <w:szCs w:val="20"/>
          <w:u w:color="000000"/>
          <w:bdr w:val="none" w:sz="0" w:space="0" w:color="auto"/>
          <w:shd w:val="clear" w:color="auto" w:fill="FFFFFF"/>
          <w:lang w:val="es-419" w:eastAsia="es-ES"/>
        </w:rPr>
        <w:t xml:space="preserve">. En el presente caso, aunque Yoani Sánchez haya </w:t>
      </w:r>
      <w:r w:rsidR="00852DC5" w:rsidRPr="00116A43">
        <w:rPr>
          <w:rFonts w:ascii="Cambria" w:eastAsia="Times New Roman" w:hAnsi="Cambria" w:cs="Cambria"/>
          <w:color w:val="000000"/>
          <w:sz w:val="20"/>
          <w:szCs w:val="20"/>
          <w:u w:color="000000"/>
          <w:bdr w:val="none" w:sz="0" w:space="0" w:color="auto"/>
          <w:shd w:val="clear" w:color="auto" w:fill="FFFFFF"/>
          <w:lang w:val="es-419" w:eastAsia="es-ES"/>
        </w:rPr>
        <w:t xml:space="preserve">presentado denuncias ante diversas fiscalías cubanas respecto de las detenciones arbitrarias y </w:t>
      </w:r>
      <w:r w:rsidR="002B4F4B" w:rsidRPr="00116A43">
        <w:rPr>
          <w:rFonts w:ascii="Cambria" w:eastAsia="Times New Roman" w:hAnsi="Cambria" w:cs="Cambria"/>
          <w:color w:val="000000"/>
          <w:sz w:val="20"/>
          <w:szCs w:val="20"/>
          <w:u w:color="000000"/>
          <w:bdr w:val="none" w:sz="0" w:space="0" w:color="auto"/>
          <w:shd w:val="clear" w:color="auto" w:fill="FFFFFF"/>
          <w:lang w:val="es-419" w:eastAsia="es-ES"/>
        </w:rPr>
        <w:t>agresiones sufridas por la policía en</w:t>
      </w:r>
      <w:r w:rsidR="00852DC5" w:rsidRPr="00116A43">
        <w:rPr>
          <w:rFonts w:ascii="Cambria" w:eastAsia="Times New Roman" w:hAnsi="Cambria" w:cs="Cambria"/>
          <w:color w:val="000000"/>
          <w:sz w:val="20"/>
          <w:szCs w:val="20"/>
          <w:u w:color="000000"/>
          <w:bdr w:val="none" w:sz="0" w:space="0" w:color="auto"/>
          <w:shd w:val="clear" w:color="auto" w:fill="FFFFFF"/>
          <w:lang w:val="es-419" w:eastAsia="es-ES"/>
        </w:rPr>
        <w:t xml:space="preserve"> los años 2010 y 2012, hasta ahora no hay noticias de apertura de ninguna investigación. Esta omisión, leída conjuntamente con los demás hechos del caso</w:t>
      </w:r>
      <w:r w:rsidR="000B69B9" w:rsidRPr="00116A43">
        <w:rPr>
          <w:rFonts w:ascii="Cambria" w:eastAsia="Times New Roman" w:hAnsi="Cambria" w:cs="Cambria"/>
          <w:color w:val="000000"/>
          <w:sz w:val="20"/>
          <w:szCs w:val="20"/>
          <w:u w:color="000000"/>
          <w:bdr w:val="none" w:sz="0" w:space="0" w:color="auto"/>
          <w:shd w:val="clear" w:color="auto" w:fill="FFFFFF"/>
          <w:lang w:val="es-419" w:eastAsia="es-ES"/>
        </w:rPr>
        <w:t>,</w:t>
      </w:r>
      <w:r w:rsidR="00852DC5" w:rsidRPr="00116A43">
        <w:rPr>
          <w:rFonts w:ascii="Cambria" w:eastAsia="Times New Roman" w:hAnsi="Cambria" w:cs="Cambria"/>
          <w:color w:val="000000"/>
          <w:sz w:val="20"/>
          <w:szCs w:val="20"/>
          <w:u w:color="000000"/>
          <w:bdr w:val="none" w:sz="0" w:space="0" w:color="auto"/>
          <w:shd w:val="clear" w:color="auto" w:fill="FFFFFF"/>
          <w:lang w:val="es-419" w:eastAsia="es-ES"/>
        </w:rPr>
        <w:t xml:space="preserve"> conlleva a la conclusión</w:t>
      </w:r>
      <w:r w:rsidR="000B69B9" w:rsidRPr="00116A43">
        <w:rPr>
          <w:rFonts w:ascii="Cambria" w:eastAsia="Times New Roman" w:hAnsi="Cambria" w:cs="Cambria"/>
          <w:color w:val="000000"/>
          <w:sz w:val="20"/>
          <w:szCs w:val="20"/>
          <w:u w:color="000000"/>
          <w:bdr w:val="none" w:sz="0" w:space="0" w:color="auto"/>
          <w:shd w:val="clear" w:color="auto" w:fill="FFFFFF"/>
          <w:lang w:val="es-419" w:eastAsia="es-ES"/>
        </w:rPr>
        <w:t xml:space="preserve"> razonable</w:t>
      </w:r>
      <w:r w:rsidR="00852DC5" w:rsidRPr="00116A43">
        <w:rPr>
          <w:rFonts w:ascii="Cambria" w:eastAsia="Times New Roman" w:hAnsi="Cambria" w:cs="Cambria"/>
          <w:color w:val="000000"/>
          <w:sz w:val="20"/>
          <w:szCs w:val="20"/>
          <w:u w:color="000000"/>
          <w:bdr w:val="none" w:sz="0" w:space="0" w:color="auto"/>
          <w:shd w:val="clear" w:color="auto" w:fill="FFFFFF"/>
          <w:lang w:val="es-419" w:eastAsia="es-ES"/>
        </w:rPr>
        <w:t xml:space="preserve"> de que la falta de independencia de la Fiscalía afectó su imparcialidad y no ha permitido que las violaciones de derechos humanos de la presunta víctima fueran investigadas efectivamente</w:t>
      </w:r>
      <w:r w:rsidR="000B69B9" w:rsidRPr="00116A43">
        <w:rPr>
          <w:rFonts w:ascii="Cambria" w:eastAsia="Times New Roman" w:hAnsi="Cambria" w:cs="Cambria"/>
          <w:color w:val="000000"/>
          <w:sz w:val="20"/>
          <w:szCs w:val="20"/>
          <w:u w:color="000000"/>
          <w:bdr w:val="none" w:sz="0" w:space="0" w:color="auto"/>
          <w:shd w:val="clear" w:color="auto" w:fill="FFFFFF"/>
          <w:lang w:val="es-419" w:eastAsia="es-ES"/>
        </w:rPr>
        <w:t>.</w:t>
      </w:r>
    </w:p>
    <w:p w14:paraId="14169C89" w14:textId="77777777" w:rsidR="00472601" w:rsidRPr="00116A43" w:rsidRDefault="00472601"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shd w:val="clear" w:color="auto" w:fill="FFFFFF"/>
          <w:lang w:val="es-419" w:eastAsia="es-ES"/>
        </w:rPr>
      </w:pPr>
    </w:p>
    <w:p w14:paraId="3ABA1A06" w14:textId="45EDBA8F" w:rsidR="000B69B9" w:rsidRPr="00116A43" w:rsidRDefault="00852DC5" w:rsidP="00375047">
      <w:pPr>
        <w:pStyle w:val="ListParagraph"/>
        <w:numPr>
          <w:ilvl w:val="0"/>
          <w:numId w:val="55"/>
        </w:numPr>
        <w:ind w:firstLine="0"/>
        <w:jc w:val="both"/>
        <w:rPr>
          <w:rFonts w:eastAsia="Times New Roman" w:cs="Tahoma"/>
          <w:iCs/>
          <w:color w:val="222222"/>
          <w:sz w:val="20"/>
          <w:szCs w:val="20"/>
          <w:shd w:val="clear" w:color="auto" w:fill="FFFFFF"/>
          <w:lang w:val="es-PE"/>
        </w:rPr>
      </w:pPr>
      <w:r w:rsidRPr="00116A43">
        <w:rPr>
          <w:rFonts w:eastAsia="Times New Roman"/>
          <w:sz w:val="20"/>
          <w:szCs w:val="20"/>
          <w:bdr w:val="none" w:sz="0" w:space="0" w:color="auto"/>
          <w:shd w:val="clear" w:color="auto" w:fill="FFFFFF"/>
          <w:lang w:val="es-419"/>
        </w:rPr>
        <w:t>Finalmente, respecto de l</w:t>
      </w:r>
      <w:r w:rsidR="004E1F36" w:rsidRPr="00116A43">
        <w:rPr>
          <w:rFonts w:eastAsia="Times New Roman"/>
          <w:sz w:val="20"/>
          <w:szCs w:val="20"/>
          <w:bdr w:val="none" w:sz="0" w:space="0" w:color="auto"/>
          <w:shd w:val="clear" w:color="auto" w:fill="FFFFFF"/>
          <w:lang w:val="es-419"/>
        </w:rPr>
        <w:t>a</w:t>
      </w:r>
      <w:r w:rsidRPr="00116A43">
        <w:rPr>
          <w:rFonts w:eastAsia="Times New Roman"/>
          <w:sz w:val="20"/>
          <w:szCs w:val="20"/>
          <w:bdr w:val="none" w:sz="0" w:space="0" w:color="auto"/>
          <w:shd w:val="clear" w:color="auto" w:fill="FFFFFF"/>
          <w:lang w:val="es-419"/>
        </w:rPr>
        <w:t>s</w:t>
      </w:r>
      <w:r w:rsidR="0013172B" w:rsidRPr="00116A43">
        <w:rPr>
          <w:rFonts w:eastAsia="Times New Roman"/>
          <w:sz w:val="20"/>
          <w:szCs w:val="20"/>
          <w:bdr w:val="none" w:sz="0" w:space="0" w:color="auto"/>
          <w:shd w:val="clear" w:color="auto" w:fill="FFFFFF"/>
          <w:lang w:val="es-419"/>
        </w:rPr>
        <w:t xml:space="preserve"> solicitudes </w:t>
      </w:r>
      <w:r w:rsidRPr="00116A43">
        <w:rPr>
          <w:rFonts w:eastAsia="Times New Roman"/>
          <w:sz w:val="20"/>
          <w:szCs w:val="20"/>
          <w:bdr w:val="none" w:sz="0" w:space="0" w:color="auto"/>
          <w:shd w:val="clear" w:color="auto" w:fill="FFFFFF"/>
          <w:lang w:val="es-419"/>
        </w:rPr>
        <w:t>presentad</w:t>
      </w:r>
      <w:r w:rsidR="0013172B" w:rsidRPr="00116A43">
        <w:rPr>
          <w:rFonts w:eastAsia="Times New Roman"/>
          <w:sz w:val="20"/>
          <w:szCs w:val="20"/>
          <w:bdr w:val="none" w:sz="0" w:space="0" w:color="auto"/>
          <w:shd w:val="clear" w:color="auto" w:fill="FFFFFF"/>
          <w:lang w:val="es-419"/>
        </w:rPr>
        <w:t>a</w:t>
      </w:r>
      <w:r w:rsidRPr="00116A43">
        <w:rPr>
          <w:rFonts w:eastAsia="Times New Roman"/>
          <w:sz w:val="20"/>
          <w:szCs w:val="20"/>
          <w:bdr w:val="none" w:sz="0" w:space="0" w:color="auto"/>
          <w:shd w:val="clear" w:color="auto" w:fill="FFFFFF"/>
          <w:lang w:val="es-419"/>
        </w:rPr>
        <w:t xml:space="preserve">s ante el </w:t>
      </w:r>
      <w:r w:rsidR="000937DE" w:rsidRPr="00116A43">
        <w:rPr>
          <w:rFonts w:eastAsia="Times New Roman"/>
          <w:sz w:val="20"/>
          <w:szCs w:val="20"/>
          <w:bdr w:val="none" w:sz="0" w:space="0" w:color="auto"/>
          <w:shd w:val="clear" w:color="auto" w:fill="FFFFFF"/>
          <w:lang w:val="es-419"/>
        </w:rPr>
        <w:t>Ministerio</w:t>
      </w:r>
      <w:r w:rsidRPr="00116A43">
        <w:rPr>
          <w:rFonts w:eastAsia="Times New Roman"/>
          <w:sz w:val="20"/>
          <w:szCs w:val="20"/>
          <w:bdr w:val="none" w:sz="0" w:space="0" w:color="auto"/>
          <w:shd w:val="clear" w:color="auto" w:fill="FFFFFF"/>
          <w:lang w:val="es-419"/>
        </w:rPr>
        <w:t xml:space="preserve"> del Interior, aunque las autoridades administrativas que </w:t>
      </w:r>
      <w:r w:rsidR="004E1F36" w:rsidRPr="00116A43">
        <w:rPr>
          <w:rFonts w:eastAsia="Times New Roman"/>
          <w:sz w:val="20"/>
          <w:szCs w:val="20"/>
          <w:bdr w:val="none" w:sz="0" w:space="0" w:color="auto"/>
          <w:shd w:val="clear" w:color="auto" w:fill="FFFFFF"/>
          <w:lang w:val="es-419"/>
        </w:rPr>
        <w:t>estaban llamadas a resolverlas</w:t>
      </w:r>
      <w:r w:rsidRPr="00116A43">
        <w:rPr>
          <w:rFonts w:eastAsia="Times New Roman"/>
          <w:sz w:val="20"/>
          <w:szCs w:val="20"/>
          <w:bdr w:val="none" w:sz="0" w:space="0" w:color="auto"/>
          <w:shd w:val="clear" w:color="auto" w:fill="FFFFFF"/>
          <w:lang w:val="es-419"/>
        </w:rPr>
        <w:t xml:space="preserve"> </w:t>
      </w:r>
      <w:r w:rsidR="004E1F36" w:rsidRPr="00116A43">
        <w:rPr>
          <w:rFonts w:eastAsia="Times New Roman"/>
          <w:sz w:val="20"/>
          <w:szCs w:val="20"/>
          <w:bdr w:val="none" w:sz="0" w:space="0" w:color="auto"/>
          <w:shd w:val="clear" w:color="auto" w:fill="FFFFFF"/>
          <w:lang w:val="es-419"/>
        </w:rPr>
        <w:t>f</w:t>
      </w:r>
      <w:r w:rsidR="00EE1E98" w:rsidRPr="00116A43">
        <w:rPr>
          <w:rFonts w:eastAsia="Times New Roman"/>
          <w:sz w:val="20"/>
          <w:szCs w:val="20"/>
          <w:bdr w:val="none" w:sz="0" w:space="0" w:color="auto"/>
          <w:shd w:val="clear" w:color="auto" w:fill="FFFFFF"/>
          <w:lang w:val="es-419"/>
        </w:rPr>
        <w:t>or</w:t>
      </w:r>
      <w:r w:rsidR="004E1F36" w:rsidRPr="00116A43">
        <w:rPr>
          <w:rFonts w:eastAsia="Times New Roman"/>
          <w:sz w:val="20"/>
          <w:szCs w:val="20"/>
          <w:bdr w:val="none" w:sz="0" w:space="0" w:color="auto"/>
          <w:shd w:val="clear" w:color="auto" w:fill="FFFFFF"/>
          <w:lang w:val="es-419"/>
        </w:rPr>
        <w:t>ma</w:t>
      </w:r>
      <w:r w:rsidR="00D44150" w:rsidRPr="00116A43">
        <w:rPr>
          <w:rFonts w:eastAsia="Times New Roman"/>
          <w:sz w:val="20"/>
          <w:szCs w:val="20"/>
          <w:bdr w:val="none" w:sz="0" w:space="0" w:color="auto"/>
          <w:shd w:val="clear" w:color="auto" w:fill="FFFFFF"/>
          <w:lang w:val="es-419"/>
        </w:rPr>
        <w:t>n</w:t>
      </w:r>
      <w:r w:rsidRPr="00116A43">
        <w:rPr>
          <w:rFonts w:eastAsia="Times New Roman"/>
          <w:sz w:val="20"/>
          <w:szCs w:val="20"/>
          <w:bdr w:val="none" w:sz="0" w:space="0" w:color="auto"/>
          <w:shd w:val="clear" w:color="auto" w:fill="FFFFFF"/>
          <w:lang w:val="es-419"/>
        </w:rPr>
        <w:t xml:space="preserve"> parte del </w:t>
      </w:r>
      <w:r w:rsidR="00444BE9" w:rsidRPr="00116A43">
        <w:rPr>
          <w:rFonts w:eastAsia="Times New Roman"/>
          <w:sz w:val="20"/>
          <w:szCs w:val="20"/>
          <w:bdr w:val="none" w:sz="0" w:space="0" w:color="auto"/>
          <w:shd w:val="clear" w:color="auto" w:fill="FFFFFF"/>
          <w:lang w:val="es-419"/>
        </w:rPr>
        <w:t>m</w:t>
      </w:r>
      <w:r w:rsidR="000937DE" w:rsidRPr="00116A43">
        <w:rPr>
          <w:rFonts w:eastAsia="Times New Roman"/>
          <w:sz w:val="20"/>
          <w:szCs w:val="20"/>
          <w:bdr w:val="none" w:sz="0" w:space="0" w:color="auto"/>
          <w:shd w:val="clear" w:color="auto" w:fill="FFFFFF"/>
          <w:lang w:val="es-419"/>
        </w:rPr>
        <w:t>inisterio</w:t>
      </w:r>
      <w:r w:rsidRPr="00116A43">
        <w:rPr>
          <w:rFonts w:eastAsia="Times New Roman"/>
          <w:sz w:val="20"/>
          <w:szCs w:val="20"/>
          <w:bdr w:val="none" w:sz="0" w:space="0" w:color="auto"/>
          <w:shd w:val="clear" w:color="auto" w:fill="FFFFFF"/>
          <w:lang w:val="es-419"/>
        </w:rPr>
        <w:t xml:space="preserve"> y </w:t>
      </w:r>
      <w:r w:rsidR="00EE1E98" w:rsidRPr="00116A43">
        <w:rPr>
          <w:rFonts w:eastAsia="Times New Roman"/>
          <w:sz w:val="20"/>
          <w:szCs w:val="20"/>
          <w:bdr w:val="none" w:sz="0" w:space="0" w:color="auto"/>
          <w:shd w:val="clear" w:color="auto" w:fill="FFFFFF"/>
          <w:lang w:val="es-419"/>
        </w:rPr>
        <w:t>por ende del</w:t>
      </w:r>
      <w:r w:rsidRPr="00116A43">
        <w:rPr>
          <w:rFonts w:eastAsia="Times New Roman"/>
          <w:sz w:val="20"/>
          <w:szCs w:val="20"/>
          <w:bdr w:val="none" w:sz="0" w:space="0" w:color="auto"/>
          <w:shd w:val="clear" w:color="auto" w:fill="FFFFFF"/>
          <w:lang w:val="es-419"/>
        </w:rPr>
        <w:t xml:space="preserve"> Poder Ejecutivo, </w:t>
      </w:r>
      <w:r w:rsidR="00946133" w:rsidRPr="00116A43">
        <w:rPr>
          <w:rFonts w:eastAsia="Times New Roman"/>
          <w:sz w:val="20"/>
          <w:szCs w:val="20"/>
          <w:bdr w:val="none" w:sz="0" w:space="0" w:color="auto"/>
          <w:shd w:val="clear" w:color="auto" w:fill="FFFFFF"/>
          <w:lang w:val="es-419"/>
        </w:rPr>
        <w:t xml:space="preserve">estas deben </w:t>
      </w:r>
      <w:r w:rsidR="00D44150" w:rsidRPr="00116A43">
        <w:rPr>
          <w:rFonts w:eastAsia="Times New Roman"/>
          <w:sz w:val="20"/>
          <w:szCs w:val="20"/>
          <w:bdr w:val="none" w:sz="0" w:space="0" w:color="auto"/>
          <w:shd w:val="clear" w:color="auto" w:fill="FFFFFF"/>
          <w:lang w:val="es-419"/>
        </w:rPr>
        <w:t>adoptar decisiones</w:t>
      </w:r>
      <w:r w:rsidRPr="00116A43">
        <w:rPr>
          <w:rFonts w:eastAsia="Times New Roman"/>
          <w:sz w:val="20"/>
          <w:szCs w:val="20"/>
          <w:bdr w:val="none" w:sz="0" w:space="0" w:color="auto"/>
          <w:shd w:val="clear" w:color="auto" w:fill="FFFFFF"/>
          <w:lang w:val="es-419"/>
        </w:rPr>
        <w:t xml:space="preserve"> </w:t>
      </w:r>
      <w:r w:rsidR="000B69B9" w:rsidRPr="00116A43">
        <w:rPr>
          <w:rFonts w:eastAsia="Times New Roman"/>
          <w:sz w:val="20"/>
          <w:szCs w:val="20"/>
          <w:bdr w:val="none" w:sz="0" w:space="0" w:color="auto"/>
          <w:shd w:val="clear" w:color="auto" w:fill="FFFFFF"/>
          <w:lang w:val="es-419"/>
        </w:rPr>
        <w:t xml:space="preserve">no solo </w:t>
      </w:r>
      <w:r w:rsidRPr="00116A43">
        <w:rPr>
          <w:rFonts w:eastAsia="Times New Roman"/>
          <w:sz w:val="20"/>
          <w:szCs w:val="20"/>
          <w:bdr w:val="none" w:sz="0" w:space="0" w:color="auto"/>
          <w:shd w:val="clear" w:color="auto" w:fill="FFFFFF"/>
          <w:lang w:val="es-419"/>
        </w:rPr>
        <w:t>con imparcialidad</w:t>
      </w:r>
      <w:r w:rsidR="000B69B9" w:rsidRPr="00116A43">
        <w:rPr>
          <w:rFonts w:eastAsia="Times New Roman"/>
          <w:sz w:val="20"/>
          <w:szCs w:val="20"/>
          <w:bdr w:val="none" w:sz="0" w:space="0" w:color="auto"/>
          <w:shd w:val="clear" w:color="auto" w:fill="FFFFFF"/>
          <w:lang w:val="es-419"/>
        </w:rPr>
        <w:t xml:space="preserve"> sino también con base en la independencia funcional que el Estado debería garantizarles</w:t>
      </w:r>
      <w:r w:rsidRPr="00116A43">
        <w:rPr>
          <w:rFonts w:eastAsia="Times New Roman"/>
          <w:sz w:val="20"/>
          <w:szCs w:val="20"/>
          <w:bdr w:val="none" w:sz="0" w:space="0" w:color="auto"/>
          <w:shd w:val="clear" w:color="auto" w:fill="FFFFFF"/>
          <w:lang w:val="es-419"/>
        </w:rPr>
        <w:t>. Las autoridades que</w:t>
      </w:r>
      <w:r w:rsidR="000843AA" w:rsidRPr="00116A43">
        <w:rPr>
          <w:rFonts w:eastAsia="Times New Roman"/>
          <w:sz w:val="20"/>
          <w:szCs w:val="20"/>
          <w:bdr w:val="none" w:sz="0" w:space="0" w:color="auto"/>
          <w:shd w:val="clear" w:color="auto" w:fill="FFFFFF"/>
          <w:lang w:val="es-419"/>
        </w:rPr>
        <w:t xml:space="preserve"> adoptan decisiones de tipo </w:t>
      </w:r>
      <w:r w:rsidR="000843AA" w:rsidRPr="00116A43">
        <w:rPr>
          <w:rFonts w:eastAsia="Times New Roman"/>
          <w:sz w:val="20"/>
          <w:szCs w:val="20"/>
          <w:bdr w:val="none" w:sz="0" w:space="0" w:color="auto"/>
          <w:shd w:val="clear" w:color="auto" w:fill="FFFFFF"/>
          <w:lang w:val="es-419"/>
        </w:rPr>
        <w:lastRenderedPageBreak/>
        <w:t>administrativo</w:t>
      </w:r>
      <w:r w:rsidRPr="00116A43">
        <w:rPr>
          <w:rFonts w:eastAsia="Times New Roman"/>
          <w:sz w:val="20"/>
          <w:szCs w:val="20"/>
          <w:bdr w:val="none" w:sz="0" w:space="0" w:color="auto"/>
          <w:shd w:val="clear" w:color="auto" w:fill="FFFFFF"/>
          <w:lang w:val="es-419"/>
        </w:rPr>
        <w:t xml:space="preserve"> no</w:t>
      </w:r>
      <w:r w:rsidR="000843AA" w:rsidRPr="00116A43">
        <w:rPr>
          <w:rFonts w:eastAsia="Times New Roman"/>
          <w:sz w:val="20"/>
          <w:szCs w:val="20"/>
          <w:bdr w:val="none" w:sz="0" w:space="0" w:color="auto"/>
          <w:shd w:val="clear" w:color="auto" w:fill="FFFFFF"/>
          <w:lang w:val="es-419"/>
        </w:rPr>
        <w:t xml:space="preserve"> necesariamente</w:t>
      </w:r>
      <w:r w:rsidRPr="00116A43">
        <w:rPr>
          <w:rFonts w:eastAsia="Times New Roman"/>
          <w:sz w:val="20"/>
          <w:szCs w:val="20"/>
          <w:bdr w:val="none" w:sz="0" w:space="0" w:color="auto"/>
          <w:shd w:val="clear" w:color="auto" w:fill="FFFFFF"/>
          <w:lang w:val="es-419"/>
        </w:rPr>
        <w:t xml:space="preserve"> son independientes</w:t>
      </w:r>
      <w:r w:rsidR="0047716A" w:rsidRPr="00116A43">
        <w:rPr>
          <w:rFonts w:eastAsia="Times New Roman"/>
          <w:sz w:val="20"/>
          <w:szCs w:val="20"/>
          <w:bdr w:val="none" w:sz="0" w:space="0" w:color="auto"/>
          <w:shd w:val="clear" w:color="auto" w:fill="FFFFFF"/>
          <w:lang w:val="es-419"/>
        </w:rPr>
        <w:t xml:space="preserve"> institucionalmente</w:t>
      </w:r>
      <w:r w:rsidRPr="00116A43">
        <w:rPr>
          <w:rFonts w:eastAsia="Times New Roman"/>
          <w:sz w:val="20"/>
          <w:szCs w:val="20"/>
          <w:bdr w:val="none" w:sz="0" w:space="0" w:color="auto"/>
          <w:shd w:val="clear" w:color="auto" w:fill="FFFFFF"/>
          <w:lang w:val="es-419"/>
        </w:rPr>
        <w:t xml:space="preserve"> del Poder Ejecutivo –por lo contrario,</w:t>
      </w:r>
      <w:r w:rsidR="004B4D35" w:rsidRPr="00116A43">
        <w:rPr>
          <w:rFonts w:eastAsia="Times New Roman"/>
          <w:sz w:val="20"/>
          <w:szCs w:val="20"/>
          <w:bdr w:val="none" w:sz="0" w:space="0" w:color="auto"/>
          <w:shd w:val="clear" w:color="auto" w:fill="FFFFFF"/>
          <w:lang w:val="es-419"/>
        </w:rPr>
        <w:t xml:space="preserve"> en este caso</w:t>
      </w:r>
      <w:r w:rsidRPr="00116A43">
        <w:rPr>
          <w:rFonts w:eastAsia="Times New Roman"/>
          <w:sz w:val="20"/>
          <w:szCs w:val="20"/>
          <w:bdr w:val="none" w:sz="0" w:space="0" w:color="auto"/>
          <w:shd w:val="clear" w:color="auto" w:fill="FFFFFF"/>
          <w:lang w:val="es-419"/>
        </w:rPr>
        <w:t xml:space="preserve"> lo componen</w:t>
      </w:r>
      <w:r w:rsidR="0070015E" w:rsidRPr="00116A43">
        <w:rPr>
          <w:rFonts w:eastAsia="Times New Roman"/>
          <w:sz w:val="20"/>
          <w:szCs w:val="20"/>
          <w:bdr w:val="none" w:sz="0" w:space="0" w:color="auto"/>
          <w:shd w:val="clear" w:color="auto" w:fill="FFFFFF"/>
          <w:lang w:val="es-419"/>
        </w:rPr>
        <w:t>-</w:t>
      </w:r>
      <w:r w:rsidRPr="00116A43">
        <w:rPr>
          <w:rFonts w:eastAsia="Times New Roman"/>
          <w:sz w:val="20"/>
          <w:szCs w:val="20"/>
          <w:bdr w:val="none" w:sz="0" w:space="0" w:color="auto"/>
          <w:shd w:val="clear" w:color="auto" w:fill="FFFFFF"/>
          <w:lang w:val="es-419"/>
        </w:rPr>
        <w:t xml:space="preserve">-, pero siempre que </w:t>
      </w:r>
      <w:r w:rsidRPr="00116A43">
        <w:rPr>
          <w:rFonts w:eastAsia="Times New Roman"/>
          <w:sz w:val="20"/>
          <w:szCs w:val="20"/>
          <w:bdr w:val="none" w:sz="0" w:space="0" w:color="auto"/>
          <w:lang w:val="es-419"/>
        </w:rPr>
        <w:t xml:space="preserve">órganos estatales </w:t>
      </w:r>
      <w:r w:rsidR="004B4D35" w:rsidRPr="00116A43">
        <w:rPr>
          <w:rFonts w:eastAsia="Times New Roman"/>
          <w:sz w:val="20"/>
          <w:szCs w:val="20"/>
          <w:bdr w:val="none" w:sz="0" w:space="0" w:color="auto"/>
          <w:lang w:val="es-419"/>
        </w:rPr>
        <w:t>adopten</w:t>
      </w:r>
      <w:r w:rsidRPr="00116A43">
        <w:rPr>
          <w:rFonts w:eastAsia="Times New Roman"/>
          <w:sz w:val="20"/>
          <w:szCs w:val="20"/>
          <w:bdr w:val="none" w:sz="0" w:space="0" w:color="auto"/>
          <w:lang w:val="es-419"/>
        </w:rPr>
        <w:t xml:space="preserve"> decisiones que de</w:t>
      </w:r>
      <w:r w:rsidR="004B4D35" w:rsidRPr="00116A43">
        <w:rPr>
          <w:rFonts w:eastAsia="Times New Roman"/>
          <w:sz w:val="20"/>
          <w:szCs w:val="20"/>
          <w:bdr w:val="none" w:sz="0" w:space="0" w:color="auto"/>
          <w:lang w:val="es-419"/>
        </w:rPr>
        <w:t>terminen</w:t>
      </w:r>
      <w:r w:rsidR="00A17D49" w:rsidRPr="00116A43">
        <w:rPr>
          <w:rFonts w:eastAsia="Times New Roman"/>
          <w:sz w:val="20"/>
          <w:szCs w:val="20"/>
          <w:bdr w:val="none" w:sz="0" w:space="0" w:color="auto"/>
          <w:lang w:val="es-419"/>
        </w:rPr>
        <w:t xml:space="preserve"> el alcance de</w:t>
      </w:r>
      <w:r w:rsidRPr="00116A43">
        <w:rPr>
          <w:rFonts w:eastAsia="Times New Roman"/>
          <w:sz w:val="20"/>
          <w:szCs w:val="20"/>
          <w:bdr w:val="none" w:sz="0" w:space="0" w:color="auto"/>
          <w:lang w:val="es-419"/>
        </w:rPr>
        <w:t xml:space="preserve"> los derechos </w:t>
      </w:r>
      <w:r w:rsidR="000B69B9" w:rsidRPr="00116A43">
        <w:rPr>
          <w:rFonts w:eastAsia="Times New Roman"/>
          <w:sz w:val="20"/>
          <w:szCs w:val="20"/>
          <w:bdr w:val="none" w:sz="0" w:space="0" w:color="auto"/>
          <w:lang w:val="es-419"/>
        </w:rPr>
        <w:t xml:space="preserve">humanos </w:t>
      </w:r>
      <w:r w:rsidRPr="00116A43">
        <w:rPr>
          <w:rFonts w:eastAsia="Times New Roman"/>
          <w:sz w:val="20"/>
          <w:szCs w:val="20"/>
          <w:bdr w:val="none" w:sz="0" w:space="0" w:color="auto"/>
          <w:lang w:val="es-419"/>
        </w:rPr>
        <w:t xml:space="preserve">de las personas </w:t>
      </w:r>
      <w:r w:rsidR="00A17D49" w:rsidRPr="00116A43">
        <w:rPr>
          <w:rFonts w:eastAsia="Times New Roman"/>
          <w:sz w:val="20"/>
          <w:szCs w:val="20"/>
          <w:bdr w:val="none" w:sz="0" w:space="0" w:color="auto"/>
          <w:lang w:val="es-419"/>
        </w:rPr>
        <w:t xml:space="preserve">o los restrinjan </w:t>
      </w:r>
      <w:r w:rsidRPr="00116A43">
        <w:rPr>
          <w:rFonts w:eastAsia="Times New Roman"/>
          <w:sz w:val="20"/>
          <w:szCs w:val="20"/>
          <w:bdr w:val="none" w:sz="0" w:space="0" w:color="auto"/>
          <w:lang w:val="es-419"/>
        </w:rPr>
        <w:t>en un procedimiento administrativo individualizado, estas autoridades deben cumplir con las garantías destinadas a asegurar que la decisión no sea arbitraria</w:t>
      </w:r>
      <w:r w:rsidRPr="00116A43">
        <w:rPr>
          <w:rFonts w:eastAsia="Times New Roman"/>
          <w:sz w:val="20"/>
          <w:szCs w:val="20"/>
          <w:bdr w:val="none" w:sz="0" w:space="0" w:color="auto"/>
          <w:vertAlign w:val="superscript"/>
          <w:lang w:val="es-419"/>
        </w:rPr>
        <w:footnoteReference w:id="308"/>
      </w:r>
      <w:r w:rsidRPr="00116A43">
        <w:rPr>
          <w:rFonts w:eastAsia="Times New Roman"/>
          <w:sz w:val="20"/>
          <w:szCs w:val="20"/>
          <w:bdr w:val="none" w:sz="0" w:space="0" w:color="auto"/>
          <w:lang w:val="es-419"/>
        </w:rPr>
        <w:t xml:space="preserve">. </w:t>
      </w:r>
      <w:r w:rsidR="0047716A" w:rsidRPr="00116A43">
        <w:rPr>
          <w:rFonts w:eastAsia="Times New Roman" w:cs="Tahoma"/>
          <w:iCs/>
          <w:color w:val="222222"/>
          <w:sz w:val="20"/>
          <w:szCs w:val="20"/>
          <w:shd w:val="clear" w:color="auto" w:fill="FFFFFF"/>
          <w:lang w:val="es-PE"/>
        </w:rPr>
        <w:t>La discrecionalidad de la administración tiene límites infranqueables, siendo uno de ellos el respeto de los derechos humanos</w:t>
      </w:r>
      <w:r w:rsidR="00212AD7" w:rsidRPr="00116A43">
        <w:rPr>
          <w:rFonts w:eastAsia="Times New Roman"/>
          <w:sz w:val="20"/>
          <w:szCs w:val="20"/>
          <w:bdr w:val="none" w:sz="0" w:space="0" w:color="auto"/>
          <w:vertAlign w:val="superscript"/>
          <w:lang w:val="es-419"/>
        </w:rPr>
        <w:footnoteReference w:id="309"/>
      </w:r>
      <w:r w:rsidR="00212AD7" w:rsidRPr="00116A43">
        <w:rPr>
          <w:rFonts w:eastAsia="Times New Roman"/>
          <w:sz w:val="20"/>
          <w:szCs w:val="20"/>
          <w:bdr w:val="none" w:sz="0" w:space="0" w:color="auto"/>
          <w:lang w:val="es-419"/>
        </w:rPr>
        <w:t>.</w:t>
      </w:r>
      <w:r w:rsidR="00212AD7" w:rsidRPr="00116A43">
        <w:rPr>
          <w:rFonts w:eastAsia="Times New Roman" w:cs="Tahoma"/>
          <w:iCs/>
          <w:color w:val="222222"/>
          <w:sz w:val="20"/>
          <w:szCs w:val="20"/>
          <w:shd w:val="clear" w:color="auto" w:fill="FFFFFF"/>
          <w:lang w:val="es-PE"/>
        </w:rPr>
        <w:t xml:space="preserve"> </w:t>
      </w:r>
      <w:r w:rsidRPr="00116A43">
        <w:rPr>
          <w:rFonts w:eastAsia="Times New Roman"/>
          <w:sz w:val="20"/>
          <w:szCs w:val="20"/>
          <w:bdr w:val="none" w:sz="0" w:space="0" w:color="auto"/>
          <w:lang w:val="es-419"/>
        </w:rPr>
        <w:t>Una de estas garantías es la imparcialidad y, en este sentido, la CIDH ha apuntado que “la garantía de imparcialidad implica que los integrantes de la autoridad sancionadora no tengan un interés directo, una posición tomada, una preferencia por alguna de las partes y que no se encuentren involucrados en la controversia”</w:t>
      </w:r>
      <w:r w:rsidRPr="00116A43">
        <w:rPr>
          <w:bdr w:val="none" w:sz="0" w:space="0" w:color="auto"/>
          <w:vertAlign w:val="superscript"/>
          <w:lang w:val="es-419"/>
        </w:rPr>
        <w:footnoteReference w:id="310"/>
      </w:r>
      <w:r w:rsidRPr="00116A43">
        <w:rPr>
          <w:rFonts w:eastAsia="Times New Roman"/>
          <w:sz w:val="20"/>
          <w:szCs w:val="20"/>
          <w:bdr w:val="none" w:sz="0" w:space="0" w:color="auto"/>
          <w:lang w:val="es-419"/>
        </w:rPr>
        <w:t xml:space="preserve">.  </w:t>
      </w:r>
      <w:r w:rsidR="0047716A" w:rsidRPr="00116A43">
        <w:rPr>
          <w:rFonts w:eastAsia="Times New Roman"/>
          <w:sz w:val="20"/>
          <w:szCs w:val="20"/>
          <w:bdr w:val="none" w:sz="0" w:space="0" w:color="auto"/>
          <w:lang w:val="es-419"/>
        </w:rPr>
        <w:t xml:space="preserve">Otra de ellas, es que se garantice que las autoridades que deciden sobre sus derechos </w:t>
      </w:r>
      <w:r w:rsidR="0047716A" w:rsidRPr="00116A43">
        <w:rPr>
          <w:sz w:val="20"/>
          <w:szCs w:val="20"/>
          <w:lang w:val="es-PE"/>
        </w:rPr>
        <w:t xml:space="preserve">sean y aparenten ser independientes. </w:t>
      </w:r>
      <w:r w:rsidR="0047716A" w:rsidRPr="00116A43">
        <w:rPr>
          <w:rFonts w:eastAsia="Times New Roman"/>
          <w:sz w:val="20"/>
          <w:szCs w:val="20"/>
          <w:bdr w:val="none" w:sz="0" w:space="0" w:color="auto"/>
          <w:shd w:val="clear" w:color="auto" w:fill="FFFFFF"/>
          <w:lang w:val="es-419"/>
        </w:rPr>
        <w:t>Esto último es que no reciban presiones o restricciones indebidas en el ejercicio de su función provenientes dentro de su propia institución al adoptar una decisión determinada</w:t>
      </w:r>
      <w:r w:rsidR="00212AD7" w:rsidRPr="00116A43">
        <w:rPr>
          <w:rFonts w:eastAsia="Times New Roman"/>
          <w:sz w:val="20"/>
          <w:szCs w:val="20"/>
          <w:bdr w:val="none" w:sz="0" w:space="0" w:color="auto"/>
          <w:shd w:val="clear" w:color="auto" w:fill="FFFFFF"/>
          <w:lang w:val="es-419"/>
        </w:rPr>
        <w:t>.</w:t>
      </w:r>
    </w:p>
    <w:p w14:paraId="7360281F" w14:textId="77777777" w:rsidR="00C448A3" w:rsidRPr="00116A43" w:rsidRDefault="00C448A3" w:rsidP="00283388">
      <w:pPr>
        <w:pStyle w:val="ListParagraph"/>
        <w:rPr>
          <w:rFonts w:eastAsia="Times New Roman"/>
          <w:sz w:val="20"/>
          <w:szCs w:val="20"/>
          <w:bdr w:val="none" w:sz="0" w:space="0" w:color="auto"/>
          <w:lang w:val="es-PE"/>
        </w:rPr>
      </w:pPr>
    </w:p>
    <w:p w14:paraId="746A70E0" w14:textId="7A5AC909" w:rsidR="00852DC5" w:rsidRPr="00116A43" w:rsidRDefault="00212AD7"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shd w:val="clear" w:color="auto" w:fill="FFFFFF"/>
          <w:lang w:val="es-419" w:eastAsia="es-ES"/>
        </w:rPr>
      </w:pPr>
      <w:r w:rsidRPr="00116A43">
        <w:rPr>
          <w:rFonts w:ascii="Cambria" w:eastAsia="Times New Roman" w:hAnsi="Cambria" w:cs="Cambria"/>
          <w:color w:val="000000"/>
          <w:sz w:val="20"/>
          <w:szCs w:val="20"/>
          <w:u w:color="000000"/>
          <w:bdr w:val="none" w:sz="0" w:space="0" w:color="auto"/>
          <w:lang w:val="es-419" w:eastAsia="es-ES"/>
        </w:rPr>
        <w:t>En el presente caso, l</w:t>
      </w:r>
      <w:r w:rsidR="00852DC5" w:rsidRPr="00116A43">
        <w:rPr>
          <w:rFonts w:ascii="Cambria" w:eastAsia="Times New Roman" w:hAnsi="Cambria" w:cs="Cambria"/>
          <w:color w:val="000000"/>
          <w:sz w:val="20"/>
          <w:szCs w:val="20"/>
          <w:u w:color="000000"/>
          <w:bdr w:val="none" w:sz="0" w:space="0" w:color="auto"/>
          <w:lang w:val="es-419" w:eastAsia="es-ES"/>
        </w:rPr>
        <w:t>a amplia disc</w:t>
      </w:r>
      <w:r w:rsidR="00791460" w:rsidRPr="00116A43">
        <w:rPr>
          <w:rFonts w:ascii="Cambria" w:eastAsia="Times New Roman" w:hAnsi="Cambria" w:cs="Cambria"/>
          <w:color w:val="000000"/>
          <w:sz w:val="20"/>
          <w:szCs w:val="20"/>
          <w:u w:color="000000"/>
          <w:bdr w:val="none" w:sz="0" w:space="0" w:color="auto"/>
          <w:lang w:val="es-419" w:eastAsia="es-ES"/>
        </w:rPr>
        <w:t>recionalidad</w:t>
      </w:r>
      <w:r w:rsidR="00852DC5" w:rsidRPr="00116A43">
        <w:rPr>
          <w:rFonts w:ascii="Cambria" w:eastAsia="Times New Roman" w:hAnsi="Cambria" w:cs="Cambria"/>
          <w:color w:val="000000"/>
          <w:sz w:val="20"/>
          <w:szCs w:val="20"/>
          <w:u w:color="000000"/>
          <w:bdr w:val="none" w:sz="0" w:space="0" w:color="auto"/>
          <w:lang w:val="es-419" w:eastAsia="es-ES"/>
        </w:rPr>
        <w:t xml:space="preserve"> para </w:t>
      </w:r>
      <w:r w:rsidR="006536C5" w:rsidRPr="00116A43">
        <w:rPr>
          <w:rFonts w:ascii="Cambria" w:eastAsia="Times New Roman" w:hAnsi="Cambria" w:cs="Cambria"/>
          <w:color w:val="000000"/>
          <w:sz w:val="20"/>
          <w:szCs w:val="20"/>
          <w:u w:color="000000"/>
          <w:bdr w:val="none" w:sz="0" w:space="0" w:color="auto"/>
          <w:lang w:val="es-419" w:eastAsia="es-ES"/>
        </w:rPr>
        <w:t>otorgar los</w:t>
      </w:r>
      <w:r w:rsidR="00852DC5" w:rsidRPr="00116A43">
        <w:rPr>
          <w:rFonts w:ascii="Cambria" w:eastAsia="Times New Roman" w:hAnsi="Cambria" w:cs="Cambria"/>
          <w:color w:val="000000"/>
          <w:sz w:val="20"/>
          <w:szCs w:val="20"/>
          <w:u w:color="000000"/>
          <w:bdr w:val="none" w:sz="0" w:space="0" w:color="auto"/>
          <w:lang w:val="es-419" w:eastAsia="es-ES"/>
        </w:rPr>
        <w:t xml:space="preserve"> permisos de salida del país bajo la Ley </w:t>
      </w:r>
      <w:r w:rsidR="00791460" w:rsidRPr="00116A43">
        <w:rPr>
          <w:rFonts w:ascii="Cambria" w:eastAsia="Times New Roman" w:hAnsi="Cambria" w:cs="Cambria"/>
          <w:color w:val="000000"/>
          <w:sz w:val="20"/>
          <w:szCs w:val="20"/>
          <w:u w:color="000000"/>
          <w:bdr w:val="none" w:sz="0" w:space="0" w:color="auto"/>
          <w:lang w:val="es-419" w:eastAsia="es-ES"/>
        </w:rPr>
        <w:t>de Inmigración No.</w:t>
      </w:r>
      <w:r w:rsidR="00852DC5" w:rsidRPr="00116A43">
        <w:rPr>
          <w:rFonts w:ascii="Cambria" w:eastAsia="Times New Roman" w:hAnsi="Cambria" w:cs="Cambria"/>
          <w:color w:val="000000"/>
          <w:sz w:val="20"/>
          <w:szCs w:val="20"/>
          <w:u w:color="000000"/>
          <w:bdr w:val="none" w:sz="0" w:space="0" w:color="auto"/>
          <w:lang w:val="es-419" w:eastAsia="es-ES"/>
        </w:rPr>
        <w:t xml:space="preserve">1312 </w:t>
      </w:r>
      <w:r w:rsidR="00F202EE" w:rsidRPr="00116A43">
        <w:rPr>
          <w:rFonts w:ascii="Cambria" w:eastAsia="Times New Roman" w:hAnsi="Cambria" w:cs="Cambria"/>
          <w:color w:val="000000"/>
          <w:sz w:val="20"/>
          <w:szCs w:val="20"/>
          <w:u w:color="000000"/>
          <w:bdr w:val="none" w:sz="0" w:space="0" w:color="auto"/>
          <w:lang w:val="es-419" w:eastAsia="es-ES"/>
        </w:rPr>
        <w:t xml:space="preserve">ponía de manifiesta </w:t>
      </w:r>
      <w:r w:rsidR="00C22D5B" w:rsidRPr="00116A43">
        <w:rPr>
          <w:rFonts w:ascii="Cambria" w:eastAsia="Times New Roman" w:hAnsi="Cambria" w:cs="Cambria"/>
          <w:color w:val="000000"/>
          <w:sz w:val="20"/>
          <w:szCs w:val="20"/>
          <w:u w:color="000000"/>
          <w:bdr w:val="none" w:sz="0" w:space="0" w:color="auto"/>
          <w:lang w:val="es-419" w:eastAsia="es-ES"/>
        </w:rPr>
        <w:t>aún</w:t>
      </w:r>
      <w:r w:rsidR="00F202EE" w:rsidRPr="00116A43">
        <w:rPr>
          <w:rFonts w:ascii="Cambria" w:eastAsia="Times New Roman" w:hAnsi="Cambria" w:cs="Cambria"/>
          <w:color w:val="000000"/>
          <w:sz w:val="20"/>
          <w:szCs w:val="20"/>
          <w:u w:color="000000"/>
          <w:bdr w:val="none" w:sz="0" w:space="0" w:color="auto"/>
          <w:lang w:val="es-419" w:eastAsia="es-ES"/>
        </w:rPr>
        <w:t xml:space="preserve"> más la necesidad de que las autoridades adop</w:t>
      </w:r>
      <w:r w:rsidR="00C22D5B" w:rsidRPr="00116A43">
        <w:rPr>
          <w:rFonts w:ascii="Cambria" w:eastAsia="Times New Roman" w:hAnsi="Cambria" w:cs="Cambria"/>
          <w:color w:val="000000"/>
          <w:sz w:val="20"/>
          <w:szCs w:val="20"/>
          <w:u w:color="000000"/>
          <w:bdr w:val="none" w:sz="0" w:space="0" w:color="auto"/>
          <w:lang w:val="es-419" w:eastAsia="es-ES"/>
        </w:rPr>
        <w:t xml:space="preserve">taran decisiones con base en la garantía de </w:t>
      </w:r>
      <w:r w:rsidR="00852DC5" w:rsidRPr="00116A43">
        <w:rPr>
          <w:rFonts w:ascii="Cambria" w:eastAsia="Times New Roman" w:hAnsi="Cambria" w:cs="Cambria"/>
          <w:color w:val="000000"/>
          <w:sz w:val="20"/>
          <w:szCs w:val="20"/>
          <w:u w:color="000000"/>
          <w:bdr w:val="none" w:sz="0" w:space="0" w:color="auto"/>
          <w:lang w:val="es-419" w:eastAsia="es-ES"/>
        </w:rPr>
        <w:t>imparcialidad</w:t>
      </w:r>
      <w:r w:rsidRPr="00116A43">
        <w:rPr>
          <w:rFonts w:ascii="Cambria" w:eastAsia="Times New Roman" w:hAnsi="Cambria" w:cs="Cambria"/>
          <w:color w:val="000000"/>
          <w:sz w:val="20"/>
          <w:szCs w:val="20"/>
          <w:u w:color="000000"/>
          <w:bdr w:val="none" w:sz="0" w:space="0" w:color="auto"/>
          <w:lang w:val="es-419" w:eastAsia="es-ES"/>
        </w:rPr>
        <w:t xml:space="preserve"> e independencia</w:t>
      </w:r>
      <w:r w:rsidR="00C22D5B" w:rsidRPr="00116A43">
        <w:rPr>
          <w:rFonts w:ascii="Cambria" w:eastAsia="Times New Roman" w:hAnsi="Cambria" w:cs="Cambria"/>
          <w:color w:val="000000"/>
          <w:sz w:val="20"/>
          <w:szCs w:val="20"/>
          <w:u w:color="000000"/>
          <w:bdr w:val="none" w:sz="0" w:space="0" w:color="auto"/>
          <w:lang w:val="es-419" w:eastAsia="es-ES"/>
        </w:rPr>
        <w:t>.</w:t>
      </w:r>
      <w:r w:rsidR="00852DC5" w:rsidRPr="00116A43">
        <w:rPr>
          <w:rFonts w:ascii="Cambria" w:eastAsia="Times New Roman" w:hAnsi="Cambria" w:cs="Cambria"/>
          <w:color w:val="000000"/>
          <w:sz w:val="20"/>
          <w:szCs w:val="20"/>
          <w:u w:color="000000"/>
          <w:bdr w:val="none" w:sz="0" w:space="0" w:color="auto"/>
          <w:lang w:val="es-419" w:eastAsia="es-ES"/>
        </w:rPr>
        <w:t xml:space="preserve"> Ahora bien, las autoridades </w:t>
      </w:r>
      <w:r w:rsidR="004A43B6" w:rsidRPr="00116A43">
        <w:rPr>
          <w:rFonts w:ascii="Cambria" w:eastAsia="Times New Roman" w:hAnsi="Cambria" w:cs="Cambria"/>
          <w:color w:val="000000"/>
          <w:sz w:val="20"/>
          <w:szCs w:val="20"/>
          <w:u w:color="000000"/>
          <w:bdr w:val="none" w:sz="0" w:space="0" w:color="auto"/>
          <w:lang w:val="es-419" w:eastAsia="es-ES"/>
        </w:rPr>
        <w:t xml:space="preserve">a cargo de otorgar el permiso de salida del país a Yoani </w:t>
      </w:r>
      <w:r w:rsidR="00E8381C" w:rsidRPr="00116A43">
        <w:rPr>
          <w:rFonts w:ascii="Cambria" w:eastAsia="Times New Roman" w:hAnsi="Cambria" w:cs="Cambria"/>
          <w:color w:val="000000"/>
          <w:sz w:val="20"/>
          <w:szCs w:val="20"/>
          <w:u w:color="000000"/>
          <w:bdr w:val="none" w:sz="0" w:space="0" w:color="auto"/>
          <w:lang w:val="es-419" w:eastAsia="es-ES"/>
        </w:rPr>
        <w:t xml:space="preserve">no solo se lo negaron en 20 oportunidades, sino que nunca le brindaron una explicación sobre las razones de hecho y de derecho que sustentaron dicha negativa, a pesar de que ella interpuso dos solicitudes a este respecto. La CIDH </w:t>
      </w:r>
      <w:r w:rsidR="00D813D8" w:rsidRPr="00116A43">
        <w:rPr>
          <w:rFonts w:ascii="Cambria" w:eastAsia="Times New Roman" w:hAnsi="Cambria" w:cs="Cambria"/>
          <w:color w:val="000000"/>
          <w:sz w:val="20"/>
          <w:szCs w:val="20"/>
          <w:u w:color="000000"/>
          <w:bdr w:val="none" w:sz="0" w:space="0" w:color="auto"/>
          <w:lang w:val="es-419" w:eastAsia="es-ES"/>
        </w:rPr>
        <w:t>considera que la</w:t>
      </w:r>
      <w:r w:rsidR="00005059" w:rsidRPr="00116A43">
        <w:rPr>
          <w:rFonts w:ascii="Cambria" w:eastAsia="Times New Roman" w:hAnsi="Cambria" w:cs="Cambria"/>
          <w:color w:val="000000"/>
          <w:sz w:val="20"/>
          <w:szCs w:val="20"/>
          <w:u w:color="000000"/>
          <w:bdr w:val="none" w:sz="0" w:space="0" w:color="auto"/>
          <w:lang w:val="es-419" w:eastAsia="es-ES"/>
        </w:rPr>
        <w:t xml:space="preserve"> negativa reiterada del permiso, la</w:t>
      </w:r>
      <w:r w:rsidR="00D813D8" w:rsidRPr="00116A43">
        <w:rPr>
          <w:rFonts w:ascii="Cambria" w:eastAsia="Times New Roman" w:hAnsi="Cambria" w:cs="Cambria"/>
          <w:color w:val="000000"/>
          <w:sz w:val="20"/>
          <w:szCs w:val="20"/>
          <w:u w:color="000000"/>
          <w:bdr w:val="none" w:sz="0" w:space="0" w:color="auto"/>
          <w:lang w:val="es-419" w:eastAsia="es-ES"/>
        </w:rPr>
        <w:t xml:space="preserve"> omisión absoluta de respuesta por el Estado</w:t>
      </w:r>
      <w:r w:rsidR="00852DC5" w:rsidRPr="00116A43">
        <w:rPr>
          <w:rFonts w:ascii="Cambria" w:eastAsia="Times New Roman" w:hAnsi="Cambria" w:cs="Cambria"/>
          <w:color w:val="000000"/>
          <w:sz w:val="20"/>
          <w:szCs w:val="20"/>
          <w:u w:color="000000"/>
          <w:bdr w:val="none" w:sz="0" w:space="0" w:color="auto"/>
          <w:lang w:val="es-419" w:eastAsia="es-ES"/>
        </w:rPr>
        <w:t>,</w:t>
      </w:r>
      <w:r w:rsidR="00D813D8" w:rsidRPr="00116A43">
        <w:rPr>
          <w:rFonts w:ascii="Cambria" w:eastAsia="Times New Roman" w:hAnsi="Cambria" w:cs="Cambria"/>
          <w:color w:val="000000"/>
          <w:sz w:val="20"/>
          <w:szCs w:val="20"/>
          <w:u w:color="000000"/>
          <w:bdr w:val="none" w:sz="0" w:space="0" w:color="auto"/>
          <w:lang w:val="es-419" w:eastAsia="es-ES"/>
        </w:rPr>
        <w:t xml:space="preserve"> interpretada en el contexto cubano y en el marco de los hechos </w:t>
      </w:r>
      <w:r w:rsidR="00852DC5" w:rsidRPr="00116A43">
        <w:rPr>
          <w:rFonts w:ascii="Cambria" w:eastAsia="Times New Roman" w:hAnsi="Cambria" w:cs="Cambria"/>
          <w:color w:val="000000"/>
          <w:sz w:val="20"/>
          <w:szCs w:val="20"/>
          <w:u w:color="000000"/>
          <w:bdr w:val="none" w:sz="0" w:space="0" w:color="auto"/>
          <w:lang w:val="es-419" w:eastAsia="es-ES"/>
        </w:rPr>
        <w:t>del presente caso</w:t>
      </w:r>
      <w:r w:rsidR="00717592" w:rsidRPr="00116A43">
        <w:rPr>
          <w:rFonts w:ascii="Cambria" w:eastAsia="Times New Roman" w:hAnsi="Cambria" w:cs="Cambria"/>
          <w:color w:val="000000"/>
          <w:sz w:val="20"/>
          <w:szCs w:val="20"/>
          <w:u w:color="000000"/>
          <w:bdr w:val="none" w:sz="0" w:space="0" w:color="auto"/>
          <w:lang w:val="es-419" w:eastAsia="es-ES"/>
        </w:rPr>
        <w:t xml:space="preserve"> y la percepción de</w:t>
      </w:r>
      <w:r w:rsidR="00283388" w:rsidRPr="00116A43">
        <w:rPr>
          <w:rFonts w:ascii="Cambria" w:eastAsia="Times New Roman" w:hAnsi="Cambria" w:cs="Cambria"/>
          <w:color w:val="000000"/>
          <w:sz w:val="20"/>
          <w:szCs w:val="20"/>
          <w:u w:color="000000"/>
          <w:bdr w:val="none" w:sz="0" w:space="0" w:color="auto"/>
          <w:lang w:val="es-419" w:eastAsia="es-ES"/>
        </w:rPr>
        <w:t xml:space="preserve"> que Yoani Sánchez era una enemiga del pueblo cubano,</w:t>
      </w:r>
      <w:r w:rsidR="00852DC5" w:rsidRPr="00116A43">
        <w:rPr>
          <w:rFonts w:ascii="Cambria" w:eastAsia="Times New Roman" w:hAnsi="Cambria" w:cs="Cambria"/>
          <w:color w:val="000000"/>
          <w:sz w:val="20"/>
          <w:szCs w:val="20"/>
          <w:u w:color="000000"/>
          <w:bdr w:val="none" w:sz="0" w:space="0" w:color="auto"/>
          <w:lang w:val="es-419" w:eastAsia="es-ES"/>
        </w:rPr>
        <w:t xml:space="preserve"> </w:t>
      </w:r>
      <w:r w:rsidR="00D813D8" w:rsidRPr="00116A43">
        <w:rPr>
          <w:rFonts w:ascii="Cambria" w:eastAsia="Times New Roman" w:hAnsi="Cambria" w:cs="Cambria"/>
          <w:color w:val="000000"/>
          <w:sz w:val="20"/>
          <w:szCs w:val="20"/>
          <w:u w:color="000000"/>
          <w:bdr w:val="none" w:sz="0" w:space="0" w:color="auto"/>
          <w:lang w:val="es-419" w:eastAsia="es-ES"/>
        </w:rPr>
        <w:t xml:space="preserve">le </w:t>
      </w:r>
      <w:r w:rsidR="00852DC5" w:rsidRPr="00116A43">
        <w:rPr>
          <w:rFonts w:ascii="Cambria" w:eastAsia="Times New Roman" w:hAnsi="Cambria" w:cs="Cambria"/>
          <w:color w:val="000000"/>
          <w:sz w:val="20"/>
          <w:szCs w:val="20"/>
          <w:u w:color="000000"/>
          <w:bdr w:val="none" w:sz="0" w:space="0" w:color="auto"/>
          <w:lang w:val="es-419" w:eastAsia="es-ES"/>
        </w:rPr>
        <w:t>permite</w:t>
      </w:r>
      <w:r w:rsidR="00D813D8" w:rsidRPr="00116A43">
        <w:rPr>
          <w:rFonts w:ascii="Cambria" w:eastAsia="Times New Roman" w:hAnsi="Cambria" w:cs="Cambria"/>
          <w:color w:val="000000"/>
          <w:sz w:val="20"/>
          <w:szCs w:val="20"/>
          <w:u w:color="000000"/>
          <w:bdr w:val="none" w:sz="0" w:space="0" w:color="auto"/>
          <w:lang w:val="es-419" w:eastAsia="es-ES"/>
        </w:rPr>
        <w:t>n</w:t>
      </w:r>
      <w:r w:rsidR="00852DC5" w:rsidRPr="00116A43">
        <w:rPr>
          <w:rFonts w:ascii="Cambria" w:eastAsia="Times New Roman" w:hAnsi="Cambria" w:cs="Cambria"/>
          <w:color w:val="000000"/>
          <w:sz w:val="20"/>
          <w:szCs w:val="20"/>
          <w:u w:color="000000"/>
          <w:bdr w:val="none" w:sz="0" w:space="0" w:color="auto"/>
          <w:lang w:val="es-419" w:eastAsia="es-ES"/>
        </w:rPr>
        <w:t xml:space="preserve"> concluir </w:t>
      </w:r>
      <w:r w:rsidRPr="00116A43">
        <w:rPr>
          <w:rFonts w:ascii="Cambria" w:eastAsia="Times New Roman" w:hAnsi="Cambria" w:cs="Cambria"/>
          <w:color w:val="000000"/>
          <w:sz w:val="20"/>
          <w:szCs w:val="20"/>
          <w:u w:color="000000"/>
          <w:bdr w:val="none" w:sz="0" w:space="0" w:color="auto"/>
          <w:lang w:val="es-419" w:eastAsia="es-ES"/>
        </w:rPr>
        <w:t xml:space="preserve">razonablemente </w:t>
      </w:r>
      <w:r w:rsidR="00852DC5" w:rsidRPr="00116A43">
        <w:rPr>
          <w:rFonts w:ascii="Cambria" w:eastAsia="Times New Roman" w:hAnsi="Cambria" w:cs="Cambria"/>
          <w:color w:val="000000"/>
          <w:sz w:val="20"/>
          <w:szCs w:val="20"/>
          <w:u w:color="000000"/>
          <w:bdr w:val="none" w:sz="0" w:space="0" w:color="auto"/>
          <w:lang w:val="es-419" w:eastAsia="es-ES"/>
        </w:rPr>
        <w:t xml:space="preserve">que las autoridades del </w:t>
      </w:r>
      <w:r w:rsidR="00283388" w:rsidRPr="00116A43">
        <w:rPr>
          <w:rFonts w:ascii="Cambria" w:eastAsia="Times New Roman" w:hAnsi="Cambria" w:cs="Cambria"/>
          <w:color w:val="000000"/>
          <w:sz w:val="20"/>
          <w:szCs w:val="20"/>
          <w:u w:color="000000"/>
          <w:bdr w:val="none" w:sz="0" w:space="0" w:color="auto"/>
          <w:lang w:val="es-419" w:eastAsia="es-ES"/>
        </w:rPr>
        <w:t>m</w:t>
      </w:r>
      <w:r w:rsidR="00852DC5" w:rsidRPr="00116A43">
        <w:rPr>
          <w:rFonts w:ascii="Cambria" w:eastAsia="Times New Roman" w:hAnsi="Cambria" w:cs="Cambria"/>
          <w:color w:val="000000"/>
          <w:sz w:val="20"/>
          <w:szCs w:val="20"/>
          <w:u w:color="000000"/>
          <w:bdr w:val="none" w:sz="0" w:space="0" w:color="auto"/>
          <w:lang w:val="es-419" w:eastAsia="es-ES"/>
        </w:rPr>
        <w:t xml:space="preserve">inisterio </w:t>
      </w:r>
      <w:r w:rsidRPr="00116A43">
        <w:rPr>
          <w:rFonts w:ascii="Cambria" w:eastAsia="Times New Roman" w:hAnsi="Cambria" w:cs="Cambria"/>
          <w:color w:val="000000"/>
          <w:sz w:val="20"/>
          <w:szCs w:val="20"/>
          <w:u w:color="000000"/>
          <w:bdr w:val="none" w:sz="0" w:space="0" w:color="auto"/>
          <w:lang w:val="es-419" w:eastAsia="es-ES"/>
        </w:rPr>
        <w:t>tampoco</w:t>
      </w:r>
      <w:r w:rsidR="00852DC5" w:rsidRPr="00116A43">
        <w:rPr>
          <w:rFonts w:ascii="Cambria" w:eastAsia="Times New Roman" w:hAnsi="Cambria" w:cs="Cambria"/>
          <w:color w:val="000000"/>
          <w:sz w:val="20"/>
          <w:szCs w:val="20"/>
          <w:u w:color="000000"/>
          <w:bdr w:val="none" w:sz="0" w:space="0" w:color="auto"/>
          <w:lang w:val="es-419" w:eastAsia="es-ES"/>
        </w:rPr>
        <w:t xml:space="preserve"> </w:t>
      </w:r>
      <w:r w:rsidR="00005059" w:rsidRPr="00116A43">
        <w:rPr>
          <w:rFonts w:ascii="Cambria" w:eastAsia="Times New Roman" w:hAnsi="Cambria" w:cs="Cambria"/>
          <w:color w:val="000000"/>
          <w:sz w:val="20"/>
          <w:szCs w:val="20"/>
          <w:u w:color="000000"/>
          <w:bdr w:val="none" w:sz="0" w:space="0" w:color="auto"/>
          <w:lang w:val="es-419" w:eastAsia="es-ES"/>
        </w:rPr>
        <w:t xml:space="preserve">actuaron </w:t>
      </w:r>
      <w:r w:rsidR="00283388" w:rsidRPr="00116A43">
        <w:rPr>
          <w:rFonts w:ascii="Cambria" w:eastAsia="Times New Roman" w:hAnsi="Cambria" w:cs="Cambria"/>
          <w:color w:val="000000"/>
          <w:sz w:val="20"/>
          <w:szCs w:val="20"/>
          <w:u w:color="000000"/>
          <w:bdr w:val="none" w:sz="0" w:space="0" w:color="auto"/>
          <w:lang w:val="es-419" w:eastAsia="es-ES"/>
        </w:rPr>
        <w:t>imparcialmente</w:t>
      </w:r>
      <w:r w:rsidRPr="00116A43">
        <w:rPr>
          <w:rFonts w:ascii="Cambria" w:eastAsia="Times New Roman" w:hAnsi="Cambria" w:cs="Cambria"/>
          <w:color w:val="000000"/>
          <w:sz w:val="20"/>
          <w:szCs w:val="20"/>
          <w:u w:color="000000"/>
          <w:bdr w:val="none" w:sz="0" w:space="0" w:color="auto"/>
          <w:lang w:val="es-419" w:eastAsia="es-ES"/>
        </w:rPr>
        <w:t xml:space="preserve"> y de forma independiente.</w:t>
      </w:r>
    </w:p>
    <w:p w14:paraId="7076C0DA" w14:textId="77777777" w:rsidR="00852DC5" w:rsidRPr="00116A43" w:rsidRDefault="00852DC5" w:rsidP="0037504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bdr w:val="none" w:sz="0" w:space="0" w:color="auto"/>
          <w:lang w:val="es-419" w:eastAsia="es-ES"/>
        </w:rPr>
      </w:pPr>
    </w:p>
    <w:p w14:paraId="5F7361F8" w14:textId="07DF54BC" w:rsidR="00776F3D" w:rsidRPr="00116A43" w:rsidRDefault="00522716"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cs="Cambria"/>
          <w:color w:val="000000"/>
          <w:sz w:val="20"/>
          <w:szCs w:val="20"/>
          <w:u w:color="000000"/>
          <w:bdr w:val="none" w:sz="0" w:space="0" w:color="auto"/>
          <w:lang w:val="es-AR" w:eastAsia="es-ES"/>
        </w:rPr>
      </w:pPr>
      <w:r w:rsidRPr="00116A43">
        <w:rPr>
          <w:rFonts w:ascii="Cambria" w:eastAsia="Times New Roman" w:hAnsi="Cambria" w:cs="Cambria"/>
          <w:color w:val="000000"/>
          <w:sz w:val="20"/>
          <w:szCs w:val="20"/>
          <w:u w:color="000000"/>
          <w:bdr w:val="none" w:sz="0" w:space="0" w:color="auto"/>
          <w:lang w:val="es-AR" w:eastAsia="es-ES"/>
        </w:rPr>
        <w:t>Por todo lo anterior,</w:t>
      </w:r>
      <w:r w:rsidR="00AA6B22" w:rsidRPr="00116A43">
        <w:rPr>
          <w:rFonts w:ascii="Cambria" w:eastAsia="Times New Roman" w:hAnsi="Cambria" w:cs="Cambria"/>
          <w:color w:val="000000"/>
          <w:sz w:val="20"/>
          <w:szCs w:val="20"/>
          <w:u w:color="000000"/>
          <w:bdr w:val="none" w:sz="0" w:space="0" w:color="auto"/>
          <w:lang w:val="es-MX" w:eastAsia="es-ES"/>
        </w:rPr>
        <w:t xml:space="preserve"> la Comisión concluye que el Estado no ha investigado, enjuiciado y sancionado a los individuos responsables por la detención arbitraria y violencia física en contra de la víctima </w:t>
      </w:r>
      <w:r w:rsidR="00355D5E" w:rsidRPr="00116A43">
        <w:rPr>
          <w:rFonts w:ascii="Cambria" w:eastAsia="Times New Roman" w:hAnsi="Cambria" w:cs="Cambria"/>
          <w:color w:val="000000"/>
          <w:sz w:val="20"/>
          <w:szCs w:val="20"/>
          <w:u w:color="000000"/>
          <w:bdr w:val="none" w:sz="0" w:space="0" w:color="auto"/>
          <w:lang w:val="es-MX" w:eastAsia="es-ES"/>
        </w:rPr>
        <w:t>a</w:t>
      </w:r>
      <w:r w:rsidR="00AA6B22" w:rsidRPr="00116A43">
        <w:rPr>
          <w:rFonts w:ascii="Cambria" w:eastAsia="Times New Roman" w:hAnsi="Cambria" w:cs="Cambria"/>
          <w:color w:val="000000"/>
          <w:sz w:val="20"/>
          <w:szCs w:val="20"/>
          <w:u w:color="000000"/>
          <w:bdr w:val="none" w:sz="0" w:space="0" w:color="auto"/>
          <w:lang w:val="es-MX" w:eastAsia="es-ES"/>
        </w:rPr>
        <w:t xml:space="preserve"> más de 1</w:t>
      </w:r>
      <w:r w:rsidR="00913C5C" w:rsidRPr="00116A43">
        <w:rPr>
          <w:rFonts w:ascii="Cambria" w:eastAsia="Times New Roman" w:hAnsi="Cambria" w:cs="Cambria"/>
          <w:color w:val="000000"/>
          <w:sz w:val="20"/>
          <w:szCs w:val="20"/>
          <w:u w:color="000000"/>
          <w:bdr w:val="none" w:sz="0" w:space="0" w:color="auto"/>
          <w:lang w:val="es-MX" w:eastAsia="es-ES"/>
        </w:rPr>
        <w:t>1</w:t>
      </w:r>
      <w:r w:rsidR="00AA6B22" w:rsidRPr="00116A43">
        <w:rPr>
          <w:rFonts w:ascii="Cambria" w:eastAsia="Times New Roman" w:hAnsi="Cambria" w:cs="Cambria"/>
          <w:color w:val="000000"/>
          <w:sz w:val="20"/>
          <w:szCs w:val="20"/>
          <w:u w:color="000000"/>
          <w:bdr w:val="none" w:sz="0" w:space="0" w:color="auto"/>
          <w:lang w:val="es-MX" w:eastAsia="es-ES"/>
        </w:rPr>
        <w:t xml:space="preserve"> años desde la primera detención y presentación de denuncias. Asimismo, el Estado nunca ha contestado los recursos que la víctima present</w:t>
      </w:r>
      <w:r w:rsidR="006035FB" w:rsidRPr="00116A43">
        <w:rPr>
          <w:rFonts w:ascii="Cambria" w:eastAsia="Times New Roman" w:hAnsi="Cambria" w:cs="Cambria"/>
          <w:color w:val="000000"/>
          <w:sz w:val="20"/>
          <w:szCs w:val="20"/>
          <w:u w:color="000000"/>
          <w:bdr w:val="none" w:sz="0" w:space="0" w:color="auto"/>
          <w:lang w:val="es-MX" w:eastAsia="es-ES"/>
        </w:rPr>
        <w:t>ó</w:t>
      </w:r>
      <w:r w:rsidR="00AA6B22" w:rsidRPr="00116A43">
        <w:rPr>
          <w:rFonts w:ascii="Cambria" w:eastAsia="Times New Roman" w:hAnsi="Cambria" w:cs="Cambria"/>
          <w:color w:val="000000"/>
          <w:sz w:val="20"/>
          <w:szCs w:val="20"/>
          <w:u w:color="000000"/>
          <w:bdr w:val="none" w:sz="0" w:space="0" w:color="auto"/>
          <w:lang w:val="es-MX" w:eastAsia="es-ES"/>
        </w:rPr>
        <w:t xml:space="preserve"> contra la prohibición de salida del país. </w:t>
      </w:r>
      <w:r w:rsidRPr="00116A43">
        <w:rPr>
          <w:rFonts w:ascii="Cambria" w:eastAsia="Times New Roman" w:hAnsi="Cambria" w:cs="Cambria"/>
          <w:color w:val="000000"/>
          <w:sz w:val="20"/>
          <w:szCs w:val="20"/>
          <w:u w:color="000000"/>
          <w:bdr w:val="none" w:sz="0" w:space="0" w:color="auto"/>
          <w:lang w:val="es-MX" w:eastAsia="es-ES"/>
        </w:rPr>
        <w:t>Por ello</w:t>
      </w:r>
      <w:r w:rsidR="00AA6B22" w:rsidRPr="00116A43">
        <w:rPr>
          <w:rFonts w:ascii="Cambria" w:eastAsia="Times New Roman" w:hAnsi="Cambria" w:cs="Cambria"/>
          <w:color w:val="000000"/>
          <w:sz w:val="20"/>
          <w:szCs w:val="20"/>
          <w:u w:color="000000"/>
          <w:bdr w:val="none" w:sz="0" w:space="0" w:color="auto"/>
          <w:lang w:val="es-MX" w:eastAsia="es-ES"/>
        </w:rPr>
        <w:t>, Cuba es responsable por la violación de los artículos XVIII y XXIV de la Declaración Americana</w:t>
      </w:r>
      <w:r w:rsidR="00B069F6" w:rsidRPr="00116A43">
        <w:rPr>
          <w:rFonts w:ascii="Cambria" w:eastAsia="Times New Roman" w:hAnsi="Cambria" w:cs="Cambria"/>
          <w:color w:val="000000"/>
          <w:sz w:val="20"/>
          <w:szCs w:val="20"/>
          <w:u w:color="000000"/>
          <w:bdr w:val="none" w:sz="0" w:space="0" w:color="auto"/>
          <w:lang w:val="es-MX" w:eastAsia="es-ES"/>
        </w:rPr>
        <w:t>,</w:t>
      </w:r>
      <w:r w:rsidR="00AA6B22" w:rsidRPr="00116A43">
        <w:rPr>
          <w:rFonts w:ascii="Cambria" w:eastAsia="Times New Roman" w:hAnsi="Cambria" w:cs="Cambria"/>
          <w:color w:val="000000"/>
          <w:sz w:val="20"/>
          <w:szCs w:val="20"/>
          <w:u w:color="000000"/>
          <w:bdr w:val="none" w:sz="0" w:space="0" w:color="auto"/>
          <w:lang w:val="es-MX" w:eastAsia="es-ES"/>
        </w:rPr>
        <w:t xml:space="preserve"> en perjuicio de Yoani Sánchez.</w:t>
      </w:r>
      <w:r w:rsidR="00DB60CE" w:rsidRPr="00116A43">
        <w:rPr>
          <w:rFonts w:ascii="Cambria" w:eastAsia="Times New Roman" w:hAnsi="Cambria" w:cs="Cambria"/>
          <w:color w:val="000000"/>
          <w:sz w:val="20"/>
          <w:szCs w:val="20"/>
          <w:u w:color="000000"/>
          <w:bdr w:val="none" w:sz="0" w:space="0" w:color="auto"/>
          <w:lang w:val="es-AR" w:eastAsia="es-ES"/>
        </w:rPr>
        <w:t xml:space="preserve"> </w:t>
      </w:r>
      <w:r w:rsidR="00776F3D" w:rsidRPr="00116A43">
        <w:rPr>
          <w:rFonts w:ascii="Cambria" w:hAnsi="Cambria"/>
          <w:sz w:val="20"/>
          <w:szCs w:val="20"/>
          <w:bdr w:val="none" w:sz="0" w:space="0" w:color="auto"/>
        </w:rPr>
        <w:t xml:space="preserve">Del mismo modo, al haberse producido </w:t>
      </w:r>
      <w:r w:rsidR="000C19EB" w:rsidRPr="00116A43">
        <w:rPr>
          <w:rFonts w:ascii="Cambria" w:hAnsi="Cambria"/>
          <w:sz w:val="20"/>
          <w:szCs w:val="20"/>
          <w:bdr w:val="none" w:sz="0" w:space="0" w:color="auto"/>
        </w:rPr>
        <w:t xml:space="preserve">la violación de las garantías de independencia e imparcialidad de </w:t>
      </w:r>
      <w:r w:rsidR="005F6AF2" w:rsidRPr="00116A43">
        <w:rPr>
          <w:rFonts w:ascii="Cambria" w:hAnsi="Cambria"/>
          <w:sz w:val="20"/>
          <w:szCs w:val="20"/>
          <w:bdr w:val="none" w:sz="0" w:space="0" w:color="auto"/>
        </w:rPr>
        <w:t>las autoridades encargadas de impartir justicia,</w:t>
      </w:r>
      <w:r w:rsidR="00776F3D" w:rsidRPr="00116A43">
        <w:rPr>
          <w:rFonts w:ascii="Cambria" w:hAnsi="Cambria"/>
          <w:sz w:val="20"/>
          <w:szCs w:val="20"/>
          <w:bdr w:val="none" w:sz="0" w:space="0" w:color="auto"/>
        </w:rPr>
        <w:t xml:space="preserve"> y</w:t>
      </w:r>
      <w:r w:rsidR="005F6AF2" w:rsidRPr="00116A43">
        <w:rPr>
          <w:rFonts w:ascii="Cambria" w:hAnsi="Cambria"/>
          <w:sz w:val="20"/>
          <w:szCs w:val="20"/>
          <w:bdr w:val="none" w:sz="0" w:space="0" w:color="auto"/>
        </w:rPr>
        <w:t xml:space="preserve"> </w:t>
      </w:r>
      <w:r w:rsidR="00776F3D" w:rsidRPr="00116A43">
        <w:rPr>
          <w:rFonts w:ascii="Cambria" w:hAnsi="Cambria"/>
          <w:sz w:val="20"/>
          <w:szCs w:val="20"/>
          <w:bdr w:val="none" w:sz="0" w:space="0" w:color="auto"/>
        </w:rPr>
        <w:t>e</w:t>
      </w:r>
      <w:r w:rsidR="00776F3D" w:rsidRPr="00116A43">
        <w:rPr>
          <w:rFonts w:ascii="Cambria" w:hAnsi="Cambria"/>
          <w:sz w:val="20"/>
          <w:szCs w:val="20"/>
          <w:bdr w:val="none" w:sz="0" w:space="0" w:color="auto"/>
          <w:lang w:val="es-ES_tradnl"/>
        </w:rPr>
        <w:t xml:space="preserve">n ejercicio de su competencia </w:t>
      </w:r>
      <w:proofErr w:type="spellStart"/>
      <w:r w:rsidR="00776F3D" w:rsidRPr="00116A43">
        <w:rPr>
          <w:rFonts w:ascii="Cambria" w:hAnsi="Cambria"/>
          <w:i/>
          <w:sz w:val="20"/>
          <w:szCs w:val="20"/>
          <w:bdr w:val="none" w:sz="0" w:space="0" w:color="auto"/>
          <w:lang w:val="es-ES_tradnl"/>
        </w:rPr>
        <w:t>iura</w:t>
      </w:r>
      <w:proofErr w:type="spellEnd"/>
      <w:r w:rsidR="00776F3D" w:rsidRPr="00116A43">
        <w:rPr>
          <w:rFonts w:ascii="Cambria" w:hAnsi="Cambria"/>
          <w:i/>
          <w:sz w:val="20"/>
          <w:szCs w:val="20"/>
          <w:bdr w:val="none" w:sz="0" w:space="0" w:color="auto"/>
          <w:lang w:val="es-ES_tradnl"/>
        </w:rPr>
        <w:t xml:space="preserve"> </w:t>
      </w:r>
      <w:proofErr w:type="spellStart"/>
      <w:r w:rsidR="00776F3D" w:rsidRPr="00116A43">
        <w:rPr>
          <w:rFonts w:ascii="Cambria" w:hAnsi="Cambria"/>
          <w:i/>
          <w:sz w:val="20"/>
          <w:szCs w:val="20"/>
          <w:bdr w:val="none" w:sz="0" w:space="0" w:color="auto"/>
          <w:lang w:val="es-ES_tradnl"/>
        </w:rPr>
        <w:t>novit</w:t>
      </w:r>
      <w:proofErr w:type="spellEnd"/>
      <w:r w:rsidR="00776F3D" w:rsidRPr="00116A43">
        <w:rPr>
          <w:rFonts w:ascii="Cambria" w:hAnsi="Cambria"/>
          <w:i/>
          <w:sz w:val="20"/>
          <w:szCs w:val="20"/>
          <w:bdr w:val="none" w:sz="0" w:space="0" w:color="auto"/>
          <w:lang w:val="es-ES_tradnl"/>
        </w:rPr>
        <w:t xml:space="preserve"> curia</w:t>
      </w:r>
      <w:r w:rsidR="005F6AF2" w:rsidRPr="00116A43">
        <w:rPr>
          <w:rFonts w:ascii="Cambria" w:hAnsi="Cambria"/>
          <w:i/>
          <w:sz w:val="20"/>
          <w:szCs w:val="20"/>
          <w:bdr w:val="none" w:sz="0" w:space="0" w:color="auto"/>
          <w:lang w:val="es-ES_tradnl"/>
        </w:rPr>
        <w:t>,</w:t>
      </w:r>
      <w:r w:rsidR="00776F3D" w:rsidRPr="00116A43">
        <w:rPr>
          <w:rFonts w:ascii="Cambria" w:hAnsi="Cambria"/>
          <w:i/>
          <w:sz w:val="20"/>
          <w:szCs w:val="20"/>
          <w:bdr w:val="none" w:sz="0" w:space="0" w:color="auto"/>
          <w:lang w:val="es-ES_tradnl"/>
        </w:rPr>
        <w:t xml:space="preserve"> </w:t>
      </w:r>
      <w:r w:rsidR="00776F3D" w:rsidRPr="00116A43">
        <w:rPr>
          <w:rFonts w:ascii="Cambria" w:hAnsi="Cambria"/>
          <w:sz w:val="20"/>
          <w:szCs w:val="20"/>
          <w:bdr w:val="none" w:sz="0" w:space="0" w:color="auto"/>
          <w:lang w:val="es-ES_tradnl"/>
        </w:rPr>
        <w:t>la Comisión concluye que</w:t>
      </w:r>
      <w:r w:rsidR="00776F3D" w:rsidRPr="00116A43">
        <w:rPr>
          <w:rFonts w:ascii="Cambria" w:hAnsi="Cambria"/>
          <w:sz w:val="20"/>
          <w:szCs w:val="20"/>
          <w:bdr w:val="none" w:sz="0" w:space="0" w:color="auto"/>
        </w:rPr>
        <w:t xml:space="preserve"> el Estado también </w:t>
      </w:r>
      <w:r w:rsidR="007A2FD7" w:rsidRPr="00116A43">
        <w:rPr>
          <w:rFonts w:ascii="Cambria" w:eastAsia="Times New Roman" w:hAnsi="Cambria" w:cs="Cambria"/>
          <w:color w:val="000000"/>
          <w:sz w:val="20"/>
          <w:szCs w:val="20"/>
          <w:u w:color="000000"/>
          <w:bdr w:val="none" w:sz="0" w:space="0" w:color="auto"/>
          <w:lang w:val="es-AR" w:eastAsia="es-ES"/>
        </w:rPr>
        <w:t xml:space="preserve">violó el derecho a un proceso regular, reconocido en el artículo XXVI de la Declaración Americana en perjuicio </w:t>
      </w:r>
      <w:r w:rsidR="007A2FD7" w:rsidRPr="00116A43">
        <w:rPr>
          <w:rFonts w:ascii="Cambria" w:hAnsi="Cambria"/>
          <w:sz w:val="20"/>
          <w:szCs w:val="20"/>
          <w:bdr w:val="none" w:sz="0" w:space="0" w:color="auto"/>
        </w:rPr>
        <w:t>de la bloguera.</w:t>
      </w:r>
    </w:p>
    <w:p w14:paraId="2A6F71AA" w14:textId="77777777" w:rsidR="00D35323" w:rsidRPr="00116A43" w:rsidRDefault="00D35323" w:rsidP="00D353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AR" w:eastAsia="es-ES"/>
        </w:rPr>
      </w:pPr>
    </w:p>
    <w:p w14:paraId="5D9C2C81" w14:textId="102195AA" w:rsidR="00E3771A" w:rsidRPr="00116A43" w:rsidRDefault="00E3771A" w:rsidP="004F709F">
      <w:pPr>
        <w:pStyle w:val="Heading2"/>
      </w:pPr>
      <w:bookmarkStart w:id="41" w:name="_Toc89157584"/>
      <w:r w:rsidRPr="00116A43">
        <w:t>Derecho a la igualdad (artículo II)</w:t>
      </w:r>
      <w:r w:rsidRPr="00116A43">
        <w:rPr>
          <w:rStyle w:val="FootnoteReference"/>
          <w:lang w:val="es-CO"/>
        </w:rPr>
        <w:footnoteReference w:id="311"/>
      </w:r>
      <w:bookmarkEnd w:id="41"/>
      <w:r w:rsidRPr="00116A43">
        <w:t xml:space="preserve"> </w:t>
      </w:r>
    </w:p>
    <w:p w14:paraId="4B643FFB" w14:textId="77777777" w:rsidR="00E3771A" w:rsidRPr="00116A43" w:rsidRDefault="00E3771A" w:rsidP="00283388">
      <w:pPr>
        <w:pStyle w:val="ListParagraph"/>
        <w:rPr>
          <w:rFonts w:eastAsia="Times New Roman"/>
          <w:sz w:val="20"/>
          <w:szCs w:val="20"/>
          <w:bdr w:val="none" w:sz="0" w:space="0" w:color="auto"/>
          <w:lang w:val="es-PE"/>
        </w:rPr>
      </w:pPr>
    </w:p>
    <w:p w14:paraId="5FF76855" w14:textId="2837400E"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La Comisión ha señalado repetidamente que el derecho a la igualdad y</w:t>
      </w:r>
      <w:r w:rsidR="006035FB" w:rsidRPr="00116A43">
        <w:rPr>
          <w:rFonts w:ascii="Cambria" w:hAnsi="Cambria"/>
          <w:bCs/>
          <w:sz w:val="20"/>
          <w:szCs w:val="20"/>
          <w:bdr w:val="none" w:sz="0" w:space="0" w:color="auto"/>
        </w:rPr>
        <w:t xml:space="preserve"> a</w:t>
      </w:r>
      <w:r w:rsidRPr="00116A43">
        <w:rPr>
          <w:rFonts w:ascii="Cambria" w:hAnsi="Cambria"/>
          <w:bCs/>
          <w:sz w:val="20"/>
          <w:szCs w:val="20"/>
          <w:bdr w:val="none" w:sz="0" w:space="0" w:color="auto"/>
        </w:rPr>
        <w:t xml:space="preserve"> la no discriminación, enunciado en el artículo II, es un principio fundamental del sistema interamericano de derechos humanos</w:t>
      </w:r>
      <w:r w:rsidRPr="00116A43">
        <w:rPr>
          <w:rFonts w:ascii="Cambria" w:hAnsi="Cambria"/>
          <w:bCs/>
          <w:sz w:val="20"/>
          <w:szCs w:val="20"/>
          <w:bdr w:val="none" w:sz="0" w:space="0" w:color="auto"/>
          <w:vertAlign w:val="superscript"/>
        </w:rPr>
        <w:footnoteReference w:id="312"/>
      </w:r>
      <w:r w:rsidRPr="00116A43">
        <w:rPr>
          <w:rFonts w:ascii="Cambria" w:hAnsi="Cambria"/>
          <w:bCs/>
          <w:sz w:val="20"/>
          <w:szCs w:val="20"/>
          <w:bdr w:val="none" w:sz="0" w:space="0" w:color="auto"/>
        </w:rPr>
        <w:t xml:space="preserve">. El principio de no discriminación es la columna vertebral del sistema universal y los sistemas regionales de protección de los derechos humanos y pertenece al ámbito del </w:t>
      </w:r>
      <w:proofErr w:type="spellStart"/>
      <w:r w:rsidRPr="00116A43">
        <w:rPr>
          <w:rFonts w:ascii="Cambria" w:hAnsi="Cambria"/>
          <w:bCs/>
          <w:i/>
          <w:iCs/>
          <w:sz w:val="20"/>
          <w:szCs w:val="20"/>
          <w:bdr w:val="none" w:sz="0" w:space="0" w:color="auto"/>
        </w:rPr>
        <w:t>jus</w:t>
      </w:r>
      <w:proofErr w:type="spellEnd"/>
      <w:r w:rsidRPr="00116A43">
        <w:rPr>
          <w:rFonts w:ascii="Cambria" w:hAnsi="Cambria"/>
          <w:bCs/>
          <w:i/>
          <w:iCs/>
          <w:sz w:val="20"/>
          <w:szCs w:val="20"/>
          <w:bdr w:val="none" w:sz="0" w:space="0" w:color="auto"/>
        </w:rPr>
        <w:t xml:space="preserve"> cogens</w:t>
      </w:r>
      <w:r w:rsidRPr="00116A43">
        <w:rPr>
          <w:rFonts w:ascii="Cambria" w:hAnsi="Cambria"/>
          <w:bCs/>
          <w:sz w:val="20"/>
          <w:szCs w:val="20"/>
          <w:bdr w:val="none" w:sz="0" w:space="0" w:color="auto"/>
          <w:vertAlign w:val="superscript"/>
        </w:rPr>
        <w:footnoteReference w:id="313"/>
      </w:r>
      <w:r w:rsidRPr="00116A43">
        <w:rPr>
          <w:rFonts w:ascii="Cambria" w:hAnsi="Cambria"/>
          <w:bCs/>
          <w:sz w:val="20"/>
          <w:szCs w:val="20"/>
          <w:bdr w:val="none" w:sz="0" w:space="0" w:color="auto"/>
        </w:rPr>
        <w:t xml:space="preserve"> </w:t>
      </w:r>
      <w:r w:rsidRPr="00116A43">
        <w:rPr>
          <w:rFonts w:ascii="Cambria" w:hAnsi="Cambria"/>
          <w:sz w:val="20"/>
          <w:szCs w:val="20"/>
        </w:rPr>
        <w:t>“puesto que sobre él descansa todo el andamiaje jurídico del orden público nacional e internacional [...]</w:t>
      </w:r>
      <w:r w:rsidR="006035FB" w:rsidRPr="00116A43">
        <w:rPr>
          <w:rFonts w:ascii="Cambria" w:hAnsi="Cambria"/>
          <w:sz w:val="20"/>
          <w:szCs w:val="20"/>
        </w:rPr>
        <w:t>.</w:t>
      </w:r>
      <w:r w:rsidRPr="00116A43">
        <w:rPr>
          <w:rFonts w:ascii="Cambria" w:hAnsi="Cambria"/>
          <w:sz w:val="20"/>
          <w:szCs w:val="20"/>
        </w:rPr>
        <w:t xml:space="preserve"> Hoy en día no se admite ningún acto jurídico que entre en conflicto con dicho principio fundamental, no se admiten tratos discriminatorios en </w:t>
      </w:r>
      <w:r w:rsidRPr="00116A43">
        <w:rPr>
          <w:rFonts w:ascii="Cambria" w:hAnsi="Cambria"/>
          <w:sz w:val="20"/>
          <w:szCs w:val="20"/>
        </w:rPr>
        <w:lastRenderedPageBreak/>
        <w:t>perjuicio de ninguna persona, por motivos de género, raza, color, idioma, religión o convicción, opinión política o de otra índole, origen nacional, étnico o social, nacionalidad, edad, situación económica, patrimonio, estado civil, nacimiento o cualquier otra condición”</w:t>
      </w:r>
      <w:r w:rsidRPr="00116A43">
        <w:rPr>
          <w:rStyle w:val="FootnoteReference"/>
          <w:rFonts w:ascii="Cambria" w:hAnsi="Cambria"/>
          <w:sz w:val="20"/>
          <w:szCs w:val="20"/>
        </w:rPr>
        <w:footnoteReference w:id="314"/>
      </w:r>
      <w:r w:rsidRPr="00116A43">
        <w:rPr>
          <w:rFonts w:ascii="Cambria" w:hAnsi="Cambria"/>
          <w:sz w:val="20"/>
          <w:szCs w:val="20"/>
        </w:rPr>
        <w:t>.</w:t>
      </w:r>
    </w:p>
    <w:p w14:paraId="316A7127" w14:textId="77777777" w:rsidR="00E3771A" w:rsidRPr="00116A43" w:rsidRDefault="00E3771A"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20"/>
          <w:szCs w:val="20"/>
          <w:bdr w:val="none" w:sz="0" w:space="0" w:color="auto"/>
        </w:rPr>
      </w:pPr>
    </w:p>
    <w:p w14:paraId="5B83AAB3" w14:textId="467D28F6"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Igual que con todos los derechos y las libertades fundamentales, la Comisión ha observado que los Estados no solo están obligados a velar por la igualdad de protección ante la ley</w:t>
      </w:r>
      <w:r w:rsidRPr="00116A43">
        <w:rPr>
          <w:rFonts w:ascii="Cambria" w:hAnsi="Cambria"/>
          <w:bCs/>
          <w:sz w:val="20"/>
          <w:szCs w:val="20"/>
          <w:bdr w:val="none" w:sz="0" w:space="0" w:color="auto"/>
          <w:vertAlign w:val="superscript"/>
        </w:rPr>
        <w:footnoteReference w:id="315"/>
      </w:r>
      <w:r w:rsidRPr="00116A43">
        <w:rPr>
          <w:rFonts w:ascii="Cambria" w:hAnsi="Cambria"/>
          <w:bCs/>
          <w:sz w:val="20"/>
          <w:szCs w:val="20"/>
          <w:bdr w:val="none" w:sz="0" w:space="0" w:color="auto"/>
        </w:rPr>
        <w:t>, sino que también deben adoptar las medidas legislativas, normativas y de otro tipo que se necesiten para garantizar el goce efectivo de los derechos protegidos por el artículo II de la Declaración Americana</w:t>
      </w:r>
      <w:r w:rsidRPr="00116A43">
        <w:rPr>
          <w:rFonts w:ascii="Cambria" w:hAnsi="Cambria"/>
          <w:bCs/>
          <w:sz w:val="20"/>
          <w:szCs w:val="20"/>
          <w:bdr w:val="none" w:sz="0" w:space="0" w:color="auto"/>
          <w:vertAlign w:val="superscript"/>
        </w:rPr>
        <w:footnoteReference w:id="316"/>
      </w:r>
      <w:r w:rsidRPr="00116A43">
        <w:rPr>
          <w:rFonts w:ascii="Cambria" w:hAnsi="Cambria"/>
          <w:bCs/>
          <w:sz w:val="20"/>
          <w:szCs w:val="20"/>
          <w:bdr w:val="none" w:sz="0" w:space="0" w:color="auto"/>
        </w:rPr>
        <w:t xml:space="preserve">. </w:t>
      </w:r>
    </w:p>
    <w:p w14:paraId="65388472" w14:textId="77777777" w:rsidR="00E3771A" w:rsidRPr="00116A43" w:rsidRDefault="00E3771A" w:rsidP="00E3771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bCs/>
          <w:sz w:val="20"/>
          <w:szCs w:val="20"/>
          <w:bdr w:val="none" w:sz="0" w:space="0" w:color="auto"/>
        </w:rPr>
      </w:pPr>
    </w:p>
    <w:p w14:paraId="443DE713" w14:textId="77777777"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El concepto de igualdad formulado en la Declaración Americana se refiere a la aplicación de derechos sustantivos y a la protección que debe dárseles en caso de actos del Estado o de terceros</w:t>
      </w:r>
      <w:r w:rsidRPr="00116A43">
        <w:rPr>
          <w:rFonts w:ascii="Cambria" w:hAnsi="Cambria"/>
          <w:bCs/>
          <w:sz w:val="20"/>
          <w:szCs w:val="20"/>
          <w:bdr w:val="none" w:sz="0" w:space="0" w:color="auto"/>
          <w:vertAlign w:val="superscript"/>
        </w:rPr>
        <w:footnoteReference w:id="317"/>
      </w:r>
      <w:r w:rsidRPr="00116A43">
        <w:rPr>
          <w:rFonts w:ascii="Cambria" w:hAnsi="Cambria"/>
          <w:bCs/>
          <w:sz w:val="20"/>
          <w:szCs w:val="20"/>
          <w:bdr w:val="none" w:sz="0" w:space="0" w:color="auto"/>
        </w:rPr>
        <w:t>. La Comisión ha aclarado que el derecho a la igualdad ante la ley no significa necesariamente que las disposiciones sustantivas de la ley sean las mismas para todos, sino que la ley debe aplicarse a todos por igual sin discriminación</w:t>
      </w:r>
      <w:r w:rsidRPr="00116A43">
        <w:rPr>
          <w:rFonts w:ascii="Cambria" w:hAnsi="Cambria"/>
          <w:bCs/>
          <w:sz w:val="20"/>
          <w:szCs w:val="20"/>
          <w:bdr w:val="none" w:sz="0" w:space="0" w:color="auto"/>
          <w:vertAlign w:val="superscript"/>
        </w:rPr>
        <w:footnoteReference w:id="318"/>
      </w:r>
      <w:r w:rsidRPr="00116A43">
        <w:rPr>
          <w:rFonts w:ascii="Cambria" w:hAnsi="Cambria"/>
          <w:bCs/>
          <w:sz w:val="20"/>
          <w:szCs w:val="20"/>
          <w:bdr w:val="none" w:sz="0" w:space="0" w:color="auto"/>
        </w:rPr>
        <w:t>. En la práctica, esto significa que los Estados tienen la obligación de tomar las medidas necesarias para reconocer y garantizar la igualdad efectiva de todas las personas ante la ley, abstenerse de introducir en su marco jurídico normas que en sí mismas o en la práctica discriminen contra ciertos grupos y combatir las prácticas discriminatorias</w:t>
      </w:r>
      <w:r w:rsidRPr="00116A43">
        <w:rPr>
          <w:rFonts w:ascii="Cambria" w:hAnsi="Cambria"/>
          <w:bCs/>
          <w:sz w:val="20"/>
          <w:szCs w:val="20"/>
          <w:bdr w:val="none" w:sz="0" w:space="0" w:color="auto"/>
          <w:vertAlign w:val="superscript"/>
        </w:rPr>
        <w:footnoteReference w:id="319"/>
      </w:r>
      <w:r w:rsidRPr="00116A43">
        <w:rPr>
          <w:rFonts w:ascii="Cambria" w:hAnsi="Cambria"/>
          <w:bCs/>
          <w:sz w:val="20"/>
          <w:szCs w:val="20"/>
          <w:bdr w:val="none" w:sz="0" w:space="0" w:color="auto"/>
        </w:rPr>
        <w:t xml:space="preserve">. </w:t>
      </w:r>
    </w:p>
    <w:p w14:paraId="15D69FB1" w14:textId="77777777" w:rsidR="00E3771A" w:rsidRPr="00116A43" w:rsidRDefault="00E3771A"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20"/>
          <w:szCs w:val="20"/>
          <w:bdr w:val="none" w:sz="0" w:space="0" w:color="auto"/>
        </w:rPr>
      </w:pPr>
    </w:p>
    <w:p w14:paraId="65B91055" w14:textId="77777777"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La Comisión ha reconocido anteriormente que, aunque el artículo II no prohíbe todas las diferencias de tratamiento en el goce de los derechos y las libertades protegidos, exige que toda distinción permisible se base en una justificación objetiva y razonable, que persiga un objetivo legítimo, “teniendo en cuenta los principios que normalmente prevalecen en las sociedades democráticas y los medios deben ser razonables y proporcionados al fin que se procura”</w:t>
      </w:r>
      <w:r w:rsidRPr="00116A43">
        <w:rPr>
          <w:rFonts w:ascii="Cambria" w:hAnsi="Cambria"/>
          <w:bCs/>
          <w:sz w:val="20"/>
          <w:szCs w:val="20"/>
          <w:bdr w:val="none" w:sz="0" w:space="0" w:color="auto"/>
          <w:vertAlign w:val="superscript"/>
        </w:rPr>
        <w:footnoteReference w:id="320"/>
      </w:r>
      <w:r w:rsidRPr="00116A43">
        <w:rPr>
          <w:rFonts w:ascii="Cambria" w:hAnsi="Cambria"/>
          <w:bCs/>
          <w:sz w:val="20"/>
          <w:szCs w:val="20"/>
          <w:bdr w:val="none" w:sz="0" w:space="0" w:color="auto"/>
        </w:rPr>
        <w:t xml:space="preserve">. </w:t>
      </w:r>
    </w:p>
    <w:p w14:paraId="07B46E37" w14:textId="77777777" w:rsidR="00E3771A" w:rsidRPr="00116A43" w:rsidRDefault="00E3771A"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cs="Cambria"/>
          <w:bCs/>
          <w:color w:val="000000"/>
          <w:sz w:val="20"/>
          <w:szCs w:val="20"/>
          <w:u w:color="000000"/>
          <w:bdr w:val="none" w:sz="0" w:space="0" w:color="auto"/>
          <w:lang w:eastAsia="es-ES"/>
        </w:rPr>
      </w:pPr>
    </w:p>
    <w:p w14:paraId="2FF4E596" w14:textId="77777777"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bCs/>
          <w:sz w:val="20"/>
          <w:szCs w:val="20"/>
          <w:bdr w:val="none" w:sz="0" w:space="0" w:color="auto"/>
        </w:rPr>
      </w:pPr>
      <w:r w:rsidRPr="00116A43">
        <w:rPr>
          <w:rFonts w:ascii="Cambria" w:hAnsi="Cambria"/>
          <w:bCs/>
          <w:sz w:val="20"/>
          <w:szCs w:val="20"/>
          <w:bdr w:val="none" w:sz="0" w:space="0" w:color="auto"/>
        </w:rPr>
        <w:t>La Comisión también tiene en cuenta la evolución de las normas en el campo de la discriminación y considera que lo expresado por el Comité de Derechos Humanos en relación con el Pacto Internacional de Derechos Civiles y Políticos se aplica igualmente en el sistema interamericano:</w:t>
      </w:r>
    </w:p>
    <w:p w14:paraId="61186868" w14:textId="77777777" w:rsidR="00E3771A" w:rsidRPr="00116A43" w:rsidRDefault="00E3771A" w:rsidP="00E3771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Pr>
          <w:rFonts w:ascii="Cambria" w:eastAsia="Times New Roman" w:hAnsi="Cambria" w:cs="Cambria"/>
          <w:bCs/>
          <w:color w:val="000000"/>
          <w:sz w:val="20"/>
          <w:szCs w:val="20"/>
          <w:u w:color="000000"/>
          <w:bdr w:val="none" w:sz="0" w:space="0" w:color="auto"/>
          <w:lang w:eastAsia="es-ES"/>
        </w:rPr>
      </w:pPr>
    </w:p>
    <w:p w14:paraId="006A517A" w14:textId="77777777" w:rsidR="00E3771A" w:rsidRPr="00116A43" w:rsidRDefault="00E3771A" w:rsidP="00045A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20"/>
        <w:jc w:val="both"/>
        <w:rPr>
          <w:rFonts w:ascii="Cambria" w:hAnsi="Cambria"/>
          <w:bCs/>
          <w:sz w:val="18"/>
          <w:szCs w:val="18"/>
          <w:bdr w:val="none" w:sz="0" w:space="0" w:color="auto"/>
        </w:rPr>
      </w:pPr>
      <w:r w:rsidRPr="00116A43">
        <w:rPr>
          <w:rFonts w:ascii="Cambria" w:hAnsi="Cambria"/>
          <w:bCs/>
          <w:sz w:val="18"/>
          <w:szCs w:val="18"/>
          <w:bdr w:val="none" w:sz="0" w:space="0" w:color="auto"/>
        </w:rPr>
        <w:t>el Comité considera que el término “discriminación”, tal como se emplea en el Pacto, debe entenderse referido a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Pr="00116A43">
        <w:rPr>
          <w:rFonts w:ascii="Cambria" w:hAnsi="Cambria"/>
          <w:bCs/>
          <w:sz w:val="18"/>
          <w:szCs w:val="18"/>
          <w:bdr w:val="none" w:sz="0" w:space="0" w:color="auto"/>
          <w:vertAlign w:val="superscript"/>
        </w:rPr>
        <w:footnoteReference w:id="321"/>
      </w:r>
      <w:r w:rsidRPr="00116A43">
        <w:rPr>
          <w:rFonts w:ascii="Cambria" w:hAnsi="Cambria"/>
          <w:bCs/>
          <w:sz w:val="18"/>
          <w:szCs w:val="18"/>
          <w:bdr w:val="none" w:sz="0" w:space="0" w:color="auto"/>
        </w:rPr>
        <w:t xml:space="preserve">. </w:t>
      </w:r>
    </w:p>
    <w:p w14:paraId="09C453D2" w14:textId="77777777" w:rsidR="00E3771A" w:rsidRPr="00116A43" w:rsidRDefault="00E3771A" w:rsidP="00E3771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20"/>
        <w:jc w:val="both"/>
        <w:rPr>
          <w:rFonts w:ascii="Cambria" w:hAnsi="Cambria"/>
          <w:bCs/>
          <w:sz w:val="20"/>
          <w:szCs w:val="20"/>
          <w:bdr w:val="none" w:sz="0" w:space="0" w:color="auto"/>
        </w:rPr>
      </w:pPr>
    </w:p>
    <w:p w14:paraId="1199AB2A" w14:textId="7408A0BE" w:rsidR="00E3771A"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eastAsia="Times New Roman" w:hAnsi="Cambria"/>
          <w:bCs/>
          <w:sz w:val="20"/>
          <w:szCs w:val="20"/>
          <w:bdr w:val="none" w:sz="0" w:space="0" w:color="auto"/>
        </w:rPr>
      </w:pPr>
      <w:r w:rsidRPr="00116A43">
        <w:rPr>
          <w:rFonts w:ascii="Cambria" w:eastAsia="Times New Roman" w:hAnsi="Cambria" w:cs="Cambria"/>
          <w:bCs/>
          <w:color w:val="000000"/>
          <w:sz w:val="20"/>
          <w:szCs w:val="20"/>
          <w:u w:color="000000"/>
          <w:bdr w:val="none" w:sz="0" w:space="0" w:color="auto"/>
          <w:lang w:eastAsia="es-ES"/>
        </w:rPr>
        <w:t xml:space="preserve">La CIDH ya ha apuntado que </w:t>
      </w:r>
      <w:r w:rsidRPr="00116A43">
        <w:rPr>
          <w:rFonts w:ascii="Cambria" w:eastAsia="Times New Roman" w:hAnsi="Cambria" w:cs="Cambria"/>
          <w:color w:val="000000"/>
          <w:sz w:val="20"/>
          <w:szCs w:val="20"/>
          <w:u w:color="000000"/>
          <w:bdr w:val="none" w:sz="0" w:space="0" w:color="auto"/>
          <w:lang w:val="es-PE" w:eastAsia="es-ES"/>
        </w:rPr>
        <w:t>en Cuba existe</w:t>
      </w:r>
      <w:r w:rsidRPr="00116A43">
        <w:rPr>
          <w:rFonts w:ascii="Cambria" w:eastAsia="Times New Roman" w:hAnsi="Cambria" w:cs="Cambria"/>
          <w:bCs/>
          <w:color w:val="000000"/>
          <w:sz w:val="20"/>
          <w:szCs w:val="20"/>
          <w:u w:color="000000"/>
          <w:bdr w:val="none" w:sz="0" w:space="0" w:color="auto"/>
          <w:lang w:val="es-PE" w:eastAsia="es-ES"/>
        </w:rPr>
        <w:t xml:space="preserve"> </w:t>
      </w:r>
      <w:r w:rsidRPr="00116A43">
        <w:rPr>
          <w:rFonts w:ascii="Cambria" w:eastAsia="Times New Roman" w:hAnsi="Cambria"/>
          <w:bCs/>
          <w:sz w:val="20"/>
          <w:szCs w:val="20"/>
          <w:bdr w:val="none" w:sz="0" w:space="0" w:color="auto"/>
        </w:rPr>
        <w:t xml:space="preserve">una grave situación de discriminación </w:t>
      </w:r>
      <w:r w:rsidR="003858B1">
        <w:rPr>
          <w:rFonts w:ascii="Cambria" w:eastAsia="Times New Roman" w:hAnsi="Cambria"/>
          <w:bCs/>
          <w:sz w:val="20"/>
          <w:szCs w:val="20"/>
          <w:bdr w:val="none" w:sz="0" w:space="0" w:color="auto"/>
        </w:rPr>
        <w:t xml:space="preserve">estructural </w:t>
      </w:r>
      <w:r w:rsidRPr="00116A43">
        <w:rPr>
          <w:rFonts w:ascii="Cambria" w:eastAsia="Times New Roman" w:hAnsi="Cambria"/>
          <w:bCs/>
          <w:sz w:val="20"/>
          <w:szCs w:val="20"/>
          <w:bdr w:val="none" w:sz="0" w:space="0" w:color="auto"/>
        </w:rPr>
        <w:t>por motivos políticos en el ejercicio de los derechos humanos, pues todo aquel que piense o se exprese distinto al régimen no puede ejercer sus derechos libre</w:t>
      </w:r>
      <w:r w:rsidR="003B0EB2" w:rsidRPr="00116A43">
        <w:rPr>
          <w:rFonts w:ascii="Cambria" w:eastAsia="Times New Roman" w:hAnsi="Cambria"/>
          <w:bCs/>
          <w:sz w:val="20"/>
          <w:szCs w:val="20"/>
          <w:bdr w:val="none" w:sz="0" w:space="0" w:color="auto"/>
        </w:rPr>
        <w:t>mente, sin</w:t>
      </w:r>
      <w:r w:rsidRPr="00116A43">
        <w:rPr>
          <w:rFonts w:ascii="Cambria" w:eastAsia="Times New Roman" w:hAnsi="Cambria"/>
          <w:bCs/>
          <w:sz w:val="20"/>
          <w:szCs w:val="20"/>
          <w:bdr w:val="none" w:sz="0" w:space="0" w:color="auto"/>
        </w:rPr>
        <w:t xml:space="preserve"> sufrir amenazas. Ello viene avalado por el marco normativo, en múltiples disposiciones, siendo una de ellas la nueva Constitución de 2019. Aunque el proyecto de Constitución incluye un reconocimiento del derecho a la igualdad y no discriminación en términos más </w:t>
      </w:r>
      <w:r w:rsidRPr="00116A43">
        <w:rPr>
          <w:rFonts w:ascii="Cambria" w:eastAsia="Times New Roman" w:hAnsi="Cambria"/>
          <w:bCs/>
          <w:sz w:val="20"/>
          <w:szCs w:val="20"/>
          <w:bdr w:val="none" w:sz="0" w:space="0" w:color="auto"/>
        </w:rPr>
        <w:lastRenderedPageBreak/>
        <w:t xml:space="preserve">amplios, no considera aquella basada en motivos políticos. Si bien la norma incluye motivos prohibidos de discriminación - como género, identidad de género, orientación sexual, origen étnico y discapacidad-, la opinión política </w:t>
      </w:r>
      <w:r w:rsidR="003B0EB2" w:rsidRPr="00116A43">
        <w:rPr>
          <w:rFonts w:ascii="Cambria" w:eastAsia="Times New Roman" w:hAnsi="Cambria"/>
          <w:bCs/>
          <w:sz w:val="20"/>
          <w:szCs w:val="20"/>
          <w:bdr w:val="none" w:sz="0" w:space="0" w:color="auto"/>
        </w:rPr>
        <w:t>no se encuentra protegida en el texto constitucional, a pesar de que</w:t>
      </w:r>
      <w:r w:rsidRPr="00116A43">
        <w:rPr>
          <w:rFonts w:ascii="Cambria" w:eastAsia="Times New Roman" w:hAnsi="Cambria"/>
          <w:bCs/>
          <w:sz w:val="20"/>
          <w:szCs w:val="20"/>
          <w:bdr w:val="none" w:sz="0" w:space="0" w:color="auto"/>
        </w:rPr>
        <w:t xml:space="preserve"> también </w:t>
      </w:r>
      <w:r w:rsidR="003B0EB2" w:rsidRPr="00116A43">
        <w:rPr>
          <w:rFonts w:ascii="Cambria" w:eastAsia="Times New Roman" w:hAnsi="Cambria"/>
          <w:bCs/>
          <w:sz w:val="20"/>
          <w:szCs w:val="20"/>
          <w:bdr w:val="none" w:sz="0" w:space="0" w:color="auto"/>
        </w:rPr>
        <w:t xml:space="preserve">es </w:t>
      </w:r>
      <w:r w:rsidRPr="00116A43">
        <w:rPr>
          <w:rFonts w:ascii="Cambria" w:eastAsia="Times New Roman" w:hAnsi="Cambria"/>
          <w:bCs/>
          <w:sz w:val="20"/>
          <w:szCs w:val="20"/>
          <w:bdr w:val="none" w:sz="0" w:space="0" w:color="auto"/>
        </w:rPr>
        <w:t>un motivo prohibido</w:t>
      </w:r>
      <w:r w:rsidR="003B0EB2" w:rsidRPr="00116A43">
        <w:rPr>
          <w:rFonts w:ascii="Cambria" w:eastAsia="Times New Roman" w:hAnsi="Cambria"/>
          <w:bCs/>
          <w:sz w:val="20"/>
          <w:szCs w:val="20"/>
          <w:bdr w:val="none" w:sz="0" w:space="0" w:color="auto"/>
        </w:rPr>
        <w:t xml:space="preserve"> de discriminación</w:t>
      </w:r>
      <w:r w:rsidRPr="00116A43">
        <w:rPr>
          <w:rFonts w:ascii="Cambria" w:eastAsia="Times New Roman" w:hAnsi="Cambria"/>
          <w:bCs/>
          <w:sz w:val="20"/>
          <w:szCs w:val="20"/>
          <w:bdr w:val="none" w:sz="0" w:space="0" w:color="auto"/>
        </w:rPr>
        <w:t xml:space="preserve"> ampliamente reconocido en los instrumentos de derechos humanos. En un orden democrático se requiere la existencia de las condiciones normativas para que todas las personas, sin discriminación, puedan ejercer sus derechos en libertad</w:t>
      </w:r>
      <w:r w:rsidRPr="00116A43">
        <w:rPr>
          <w:rStyle w:val="FootnoteReference"/>
          <w:rFonts w:ascii="Cambria" w:eastAsia="Times New Roman" w:hAnsi="Cambria"/>
          <w:bCs/>
          <w:sz w:val="20"/>
          <w:szCs w:val="20"/>
          <w:bdr w:val="none" w:sz="0" w:space="0" w:color="auto"/>
        </w:rPr>
        <w:footnoteReference w:id="322"/>
      </w:r>
      <w:r w:rsidRPr="00116A43">
        <w:rPr>
          <w:rFonts w:ascii="Cambria" w:eastAsia="Times New Roman" w:hAnsi="Cambria"/>
          <w:bCs/>
          <w:sz w:val="20"/>
          <w:szCs w:val="20"/>
          <w:bdr w:val="none" w:sz="0" w:space="0" w:color="auto"/>
        </w:rPr>
        <w:t xml:space="preserve">. </w:t>
      </w:r>
    </w:p>
    <w:p w14:paraId="665E345A" w14:textId="3BE2C670" w:rsidR="003B0EB2" w:rsidRPr="00116A43" w:rsidRDefault="003B0EB2" w:rsidP="00375047">
      <w:pPr>
        <w:pStyle w:val="ListParagraph"/>
        <w:ind w:left="0"/>
        <w:jc w:val="both"/>
        <w:rPr>
          <w:rFonts w:eastAsia="Times New Roman"/>
          <w:bCs/>
          <w:sz w:val="20"/>
          <w:szCs w:val="20"/>
          <w:bdr w:val="none" w:sz="0" w:space="0" w:color="auto"/>
          <w:lang w:val="es-PE"/>
        </w:rPr>
      </w:pPr>
    </w:p>
    <w:p w14:paraId="38E03A43" w14:textId="3ED2FF9C" w:rsidR="003540DA" w:rsidRDefault="004C42FA" w:rsidP="00375047">
      <w:pPr>
        <w:pStyle w:val="ListParagraph"/>
        <w:numPr>
          <w:ilvl w:val="0"/>
          <w:numId w:val="55"/>
        </w:numPr>
        <w:ind w:firstLine="0"/>
        <w:jc w:val="both"/>
        <w:rPr>
          <w:sz w:val="20"/>
          <w:szCs w:val="20"/>
          <w:lang w:val="es-PE"/>
        </w:rPr>
      </w:pPr>
      <w:r w:rsidRPr="0083309C">
        <w:rPr>
          <w:sz w:val="20"/>
          <w:szCs w:val="20"/>
          <w:lang w:val="es-PE"/>
        </w:rPr>
        <w:t xml:space="preserve">En el presente caso, la CIDH </w:t>
      </w:r>
      <w:r w:rsidR="003858B1" w:rsidRPr="0083309C">
        <w:rPr>
          <w:sz w:val="20"/>
          <w:szCs w:val="20"/>
          <w:lang w:val="es-PE"/>
        </w:rPr>
        <w:t>dio por probado que el Estado cometió una serie de violaciones a los derechos humanos en contra de Yoani Sánchez. Ahora bien, la CIDH analizará a continuación si el móvil de las violaciones estuvo relacionado con su postura crítica al régimen cubano y el ejercicio de su libertad de expresión.</w:t>
      </w:r>
      <w:r w:rsidR="004E0A0B" w:rsidRPr="0083309C">
        <w:rPr>
          <w:sz w:val="20"/>
          <w:szCs w:val="20"/>
          <w:lang w:val="es-PE"/>
        </w:rPr>
        <w:t xml:space="preserve"> Ante ello, la CIDH</w:t>
      </w:r>
      <w:r w:rsidR="003858B1" w:rsidRPr="0083309C">
        <w:rPr>
          <w:sz w:val="20"/>
          <w:szCs w:val="20"/>
          <w:lang w:val="es-PE"/>
        </w:rPr>
        <w:t xml:space="preserve"> </w:t>
      </w:r>
      <w:r w:rsidRPr="0083309C">
        <w:rPr>
          <w:sz w:val="20"/>
          <w:szCs w:val="20"/>
          <w:lang w:val="es-PE"/>
        </w:rPr>
        <w:t xml:space="preserve">considera que existió un tratamiento diferenciado respecto de Yoani Sánchez que no se basó en razones objetivas </w:t>
      </w:r>
      <w:r w:rsidR="003B0EB2" w:rsidRPr="0083309C">
        <w:rPr>
          <w:sz w:val="20"/>
          <w:szCs w:val="20"/>
          <w:lang w:val="es-PE"/>
        </w:rPr>
        <w:t>para ju</w:t>
      </w:r>
      <w:r w:rsidRPr="0083309C">
        <w:rPr>
          <w:sz w:val="20"/>
          <w:szCs w:val="20"/>
          <w:lang w:val="es-PE"/>
        </w:rPr>
        <w:t>stificar o mantener dicho trato</w:t>
      </w:r>
      <w:r w:rsidR="003B0EB2" w:rsidRPr="0083309C">
        <w:rPr>
          <w:sz w:val="20"/>
          <w:szCs w:val="20"/>
          <w:lang w:val="es-PE"/>
        </w:rPr>
        <w:t>.</w:t>
      </w:r>
      <w:r w:rsidRPr="0083309C">
        <w:rPr>
          <w:sz w:val="20"/>
          <w:szCs w:val="20"/>
          <w:lang w:val="es-PE"/>
        </w:rPr>
        <w:t xml:space="preserve"> </w:t>
      </w:r>
    </w:p>
    <w:p w14:paraId="3FA4DF03" w14:textId="77777777" w:rsidR="003540DA" w:rsidRDefault="003540DA" w:rsidP="00BA6ADA">
      <w:pPr>
        <w:pStyle w:val="ListParagraph"/>
        <w:jc w:val="both"/>
        <w:rPr>
          <w:sz w:val="20"/>
          <w:szCs w:val="20"/>
          <w:lang w:val="es-PE"/>
        </w:rPr>
      </w:pPr>
    </w:p>
    <w:p w14:paraId="6332E430" w14:textId="1FC32DE7" w:rsidR="00DB3F7E" w:rsidRPr="0083309C" w:rsidRDefault="003858B1" w:rsidP="00375047">
      <w:pPr>
        <w:pStyle w:val="ListParagraph"/>
        <w:numPr>
          <w:ilvl w:val="0"/>
          <w:numId w:val="55"/>
        </w:numPr>
        <w:ind w:firstLine="0"/>
        <w:jc w:val="both"/>
        <w:rPr>
          <w:sz w:val="20"/>
          <w:szCs w:val="20"/>
          <w:lang w:val="es-PE"/>
        </w:rPr>
      </w:pPr>
      <w:r w:rsidRPr="0083309C">
        <w:rPr>
          <w:rFonts w:eastAsia="Times New Roman"/>
          <w:bCs/>
          <w:sz w:val="20"/>
          <w:szCs w:val="20"/>
          <w:bdr w:val="none" w:sz="0" w:space="0" w:color="auto"/>
          <w:lang w:val="es-PE"/>
        </w:rPr>
        <w:t>L</w:t>
      </w:r>
      <w:r w:rsidRPr="00BA6ADA">
        <w:rPr>
          <w:rFonts w:eastAsia="Times New Roman"/>
          <w:bCs/>
          <w:sz w:val="20"/>
          <w:szCs w:val="20"/>
          <w:bdr w:val="none" w:sz="0" w:space="0" w:color="auto"/>
          <w:lang w:val="es-PE"/>
        </w:rPr>
        <w:t xml:space="preserve">a Comisión cuenta con elementos suficientes para concluir que </w:t>
      </w:r>
      <w:r w:rsidRPr="0083309C">
        <w:rPr>
          <w:rFonts w:eastAsia="Times New Roman"/>
          <w:bCs/>
          <w:sz w:val="20"/>
          <w:szCs w:val="20"/>
          <w:bdr w:val="none" w:sz="0" w:space="0" w:color="auto"/>
          <w:lang w:val="es-PE"/>
        </w:rPr>
        <w:t xml:space="preserve">la </w:t>
      </w:r>
      <w:r w:rsidRPr="0083309C">
        <w:rPr>
          <w:sz w:val="20"/>
          <w:szCs w:val="20"/>
          <w:lang w:val="es-PE"/>
        </w:rPr>
        <w:t xml:space="preserve">diferencia de trato se basó </w:t>
      </w:r>
      <w:r w:rsidR="004E0A0B" w:rsidRPr="0083309C">
        <w:rPr>
          <w:sz w:val="20"/>
          <w:szCs w:val="20"/>
          <w:lang w:val="es-PE"/>
        </w:rPr>
        <w:t xml:space="preserve">precisamente </w:t>
      </w:r>
      <w:r w:rsidR="004E0A0B" w:rsidRPr="0083309C">
        <w:rPr>
          <w:rFonts w:eastAsia="Times New Roman"/>
          <w:bCs/>
          <w:sz w:val="20"/>
          <w:szCs w:val="20"/>
          <w:bdr w:val="none" w:sz="0" w:space="0" w:color="auto"/>
          <w:lang w:val="es-PE"/>
        </w:rPr>
        <w:t>en la</w:t>
      </w:r>
      <w:r w:rsidRPr="00BA6ADA">
        <w:rPr>
          <w:rFonts w:eastAsia="Times New Roman"/>
          <w:bCs/>
          <w:sz w:val="20"/>
          <w:szCs w:val="20"/>
          <w:bdr w:val="none" w:sz="0" w:space="0" w:color="auto"/>
          <w:lang w:val="es-PE"/>
        </w:rPr>
        <w:t xml:space="preserve"> opinión crítica al gobierno cubano, una posición política contraria al ideario comunista, manifestada en su labor periodística, así como en su blog </w:t>
      </w:r>
      <w:r w:rsidR="004E0A0B" w:rsidRPr="0083309C">
        <w:rPr>
          <w:rFonts w:eastAsia="Times New Roman"/>
          <w:bCs/>
          <w:sz w:val="20"/>
          <w:szCs w:val="20"/>
          <w:bdr w:val="none" w:sz="0" w:space="0" w:color="auto"/>
          <w:lang w:val="es-PE"/>
        </w:rPr>
        <w:t>“</w:t>
      </w:r>
      <w:r w:rsidRPr="00BA6ADA">
        <w:rPr>
          <w:rFonts w:eastAsia="Times New Roman"/>
          <w:bCs/>
          <w:sz w:val="20"/>
          <w:szCs w:val="20"/>
          <w:bdr w:val="none" w:sz="0" w:space="0" w:color="auto"/>
          <w:lang w:val="es-PE"/>
        </w:rPr>
        <w:t>Generación Y</w:t>
      </w:r>
      <w:r w:rsidR="004E0A0B" w:rsidRPr="0083309C">
        <w:rPr>
          <w:rFonts w:eastAsia="Times New Roman"/>
          <w:bCs/>
          <w:sz w:val="20"/>
          <w:szCs w:val="20"/>
          <w:bdr w:val="none" w:sz="0" w:space="0" w:color="auto"/>
          <w:lang w:val="es-PE"/>
        </w:rPr>
        <w:t>”</w:t>
      </w:r>
      <w:r w:rsidRPr="00BA6ADA">
        <w:rPr>
          <w:rFonts w:eastAsia="Times New Roman"/>
          <w:bCs/>
          <w:sz w:val="20"/>
          <w:szCs w:val="20"/>
          <w:bdr w:val="none" w:sz="0" w:space="0" w:color="auto"/>
          <w:lang w:val="es-PE"/>
        </w:rPr>
        <w:t xml:space="preserve">. </w:t>
      </w:r>
      <w:r w:rsidR="004C42FA" w:rsidRPr="0083309C">
        <w:rPr>
          <w:sz w:val="20"/>
          <w:szCs w:val="20"/>
          <w:lang w:val="es-PE"/>
        </w:rPr>
        <w:t xml:space="preserve"> </w:t>
      </w:r>
      <w:r w:rsidR="0083309C">
        <w:rPr>
          <w:rFonts w:eastAsia="Times New Roman"/>
          <w:bCs/>
          <w:sz w:val="20"/>
          <w:szCs w:val="20"/>
          <w:bdr w:val="none" w:sz="0" w:space="0" w:color="auto"/>
          <w:lang w:val="es-PE"/>
        </w:rPr>
        <w:t>L</w:t>
      </w:r>
      <w:r w:rsidR="004E0A0B" w:rsidRPr="0083309C">
        <w:rPr>
          <w:rFonts w:eastAsia="Times New Roman"/>
          <w:bCs/>
          <w:sz w:val="20"/>
          <w:szCs w:val="20"/>
          <w:bdr w:val="none" w:sz="0" w:space="0" w:color="auto"/>
          <w:lang w:val="es-PE"/>
        </w:rPr>
        <w:t>a</w:t>
      </w:r>
      <w:r w:rsidR="00E33F93">
        <w:rPr>
          <w:rFonts w:eastAsia="Times New Roman"/>
          <w:bCs/>
          <w:sz w:val="20"/>
          <w:szCs w:val="20"/>
          <w:bdr w:val="none" w:sz="0" w:space="0" w:color="auto"/>
          <w:lang w:val="es-PE"/>
        </w:rPr>
        <w:t xml:space="preserve"> normativa interna; la</w:t>
      </w:r>
      <w:r w:rsidR="004E0A0B" w:rsidRPr="0083309C">
        <w:rPr>
          <w:rFonts w:eastAsia="Times New Roman"/>
          <w:bCs/>
          <w:sz w:val="20"/>
          <w:szCs w:val="20"/>
          <w:bdr w:val="none" w:sz="0" w:space="0" w:color="auto"/>
          <w:lang w:val="es-PE"/>
        </w:rPr>
        <w:t>s d</w:t>
      </w:r>
      <w:r w:rsidR="00D10A28" w:rsidRPr="0083309C">
        <w:rPr>
          <w:rFonts w:eastAsia="Times New Roman"/>
          <w:bCs/>
          <w:sz w:val="20"/>
          <w:szCs w:val="20"/>
          <w:bdr w:val="none" w:sz="0" w:space="0" w:color="auto"/>
          <w:lang w:val="es-PE"/>
        </w:rPr>
        <w:t>etenciones</w:t>
      </w:r>
      <w:r w:rsidR="004E0A0B" w:rsidRPr="0083309C">
        <w:rPr>
          <w:rFonts w:eastAsia="Times New Roman"/>
          <w:bCs/>
          <w:sz w:val="20"/>
          <w:szCs w:val="20"/>
          <w:bdr w:val="none" w:sz="0" w:space="0" w:color="auto"/>
          <w:lang w:val="es-PE"/>
        </w:rPr>
        <w:t xml:space="preserve"> arbitrarias</w:t>
      </w:r>
      <w:r w:rsidR="007D3F6E" w:rsidRPr="0083309C">
        <w:rPr>
          <w:rFonts w:eastAsia="Times New Roman"/>
          <w:bCs/>
          <w:sz w:val="20"/>
          <w:szCs w:val="20"/>
          <w:bdr w:val="none" w:sz="0" w:space="0" w:color="auto"/>
          <w:lang w:val="es-PE"/>
        </w:rPr>
        <w:t>; las restricciones a su libertad de circulación y las negativas de autorización para viaje al exterior</w:t>
      </w:r>
      <w:r w:rsidR="004E0A0B" w:rsidRPr="0083309C">
        <w:rPr>
          <w:rFonts w:eastAsia="Times New Roman"/>
          <w:bCs/>
          <w:sz w:val="20"/>
          <w:szCs w:val="20"/>
          <w:bdr w:val="none" w:sz="0" w:space="0" w:color="auto"/>
          <w:lang w:val="es-PE"/>
        </w:rPr>
        <w:t xml:space="preserve"> y la denegación absoluta de acceso a la justicia respecto a las denuncias por dichos hechos; los actos de hostigamientos y ataques contra su actividad como bloguera</w:t>
      </w:r>
      <w:r w:rsidR="0083309C" w:rsidRPr="0083309C">
        <w:rPr>
          <w:rFonts w:eastAsia="Times New Roman"/>
          <w:bCs/>
          <w:sz w:val="20"/>
          <w:szCs w:val="20"/>
          <w:bdr w:val="none" w:sz="0" w:space="0" w:color="auto"/>
          <w:lang w:val="es-PE"/>
        </w:rPr>
        <w:t>;</w:t>
      </w:r>
      <w:r w:rsidR="007D3F6E" w:rsidRPr="0083309C">
        <w:rPr>
          <w:rFonts w:eastAsia="Times New Roman"/>
          <w:bCs/>
          <w:sz w:val="20"/>
          <w:szCs w:val="20"/>
          <w:bdr w:val="none" w:sz="0" w:space="0" w:color="auto"/>
          <w:lang w:val="es-PE"/>
        </w:rPr>
        <w:t xml:space="preserve"> </w:t>
      </w:r>
      <w:r w:rsidR="0083309C" w:rsidRPr="0083309C">
        <w:rPr>
          <w:rFonts w:eastAsia="Times New Roman"/>
          <w:bCs/>
          <w:sz w:val="20"/>
          <w:szCs w:val="20"/>
          <w:bdr w:val="none" w:sz="0" w:space="0" w:color="auto"/>
          <w:lang w:val="es-PE"/>
        </w:rPr>
        <w:t>las solicitudes injustificadas de presentarse ante la Policía para esclarecimientos</w:t>
      </w:r>
      <w:r w:rsidR="003540DA">
        <w:rPr>
          <w:rFonts w:eastAsia="Times New Roman"/>
          <w:bCs/>
          <w:sz w:val="20"/>
          <w:szCs w:val="20"/>
          <w:bdr w:val="none" w:sz="0" w:space="0" w:color="auto"/>
          <w:lang w:val="es-PE"/>
        </w:rPr>
        <w:t xml:space="preserve">; </w:t>
      </w:r>
      <w:r w:rsidR="007D3F6E" w:rsidRPr="0083309C">
        <w:rPr>
          <w:rFonts w:eastAsia="Times New Roman"/>
          <w:bCs/>
          <w:sz w:val="20"/>
          <w:szCs w:val="20"/>
          <w:bdr w:val="none" w:sz="0" w:space="0" w:color="auto"/>
          <w:lang w:val="es-PE"/>
        </w:rPr>
        <w:t>la injerencia en sus comunicaciones; la prohibición de frecuentar sitios públicos</w:t>
      </w:r>
      <w:r w:rsidR="003540DA">
        <w:rPr>
          <w:rFonts w:eastAsia="Times New Roman"/>
          <w:bCs/>
          <w:sz w:val="20"/>
          <w:szCs w:val="20"/>
          <w:bdr w:val="none" w:sz="0" w:space="0" w:color="auto"/>
          <w:lang w:val="es-PE"/>
        </w:rPr>
        <w:t xml:space="preserve">; las declaraciones estigmatizantes que la catalogaban como “terrorista” o “contrarrevolucionaria”, así como las advertencias para suspender eventos con otros blogueros identificados por el Estado como  </w:t>
      </w:r>
      <w:r w:rsidR="003540DA">
        <w:rPr>
          <w:sz w:val="20"/>
          <w:szCs w:val="20"/>
          <w:lang w:val="es-VE"/>
        </w:rPr>
        <w:t>“</w:t>
      </w:r>
      <w:r w:rsidR="003540DA">
        <w:rPr>
          <w:rFonts w:cs="Times New Roman"/>
          <w:sz w:val="20"/>
          <w:szCs w:val="20"/>
          <w:lang w:val="es-PE"/>
        </w:rPr>
        <w:t>contrarrevolucionarios”</w:t>
      </w:r>
      <w:r w:rsidR="00E33F93">
        <w:rPr>
          <w:rFonts w:cs="Times New Roman"/>
          <w:sz w:val="20"/>
          <w:szCs w:val="20"/>
          <w:lang w:val="es-PE"/>
        </w:rPr>
        <w:t xml:space="preserve">, dan cuenta de ello. Todos estos actos, </w:t>
      </w:r>
      <w:r w:rsidR="007D3F6E" w:rsidRPr="0083309C">
        <w:rPr>
          <w:rFonts w:eastAsia="Times New Roman"/>
          <w:bCs/>
          <w:sz w:val="20"/>
          <w:szCs w:val="20"/>
          <w:bdr w:val="none" w:sz="0" w:space="0" w:color="auto"/>
          <w:lang w:val="es-PE"/>
        </w:rPr>
        <w:t>constituyeron tratos diferenciados</w:t>
      </w:r>
      <w:r w:rsidR="0083309C">
        <w:rPr>
          <w:rFonts w:eastAsia="Times New Roman"/>
          <w:bCs/>
          <w:sz w:val="20"/>
          <w:szCs w:val="20"/>
          <w:bdr w:val="none" w:sz="0" w:space="0" w:color="auto"/>
          <w:lang w:val="es-PE"/>
        </w:rPr>
        <w:t xml:space="preserve"> por parte del Estado</w:t>
      </w:r>
      <w:r w:rsidR="00EB7FDB" w:rsidRPr="0083309C">
        <w:rPr>
          <w:rFonts w:eastAsia="Times New Roman"/>
          <w:bCs/>
          <w:sz w:val="20"/>
          <w:szCs w:val="20"/>
          <w:bdr w:val="none" w:sz="0" w:space="0" w:color="auto"/>
          <w:lang w:val="es-PE"/>
        </w:rPr>
        <w:t xml:space="preserve">, </w:t>
      </w:r>
      <w:r w:rsidR="0083309C" w:rsidRPr="0083309C">
        <w:rPr>
          <w:rFonts w:eastAsia="Times New Roman"/>
          <w:bCs/>
          <w:sz w:val="20"/>
          <w:szCs w:val="20"/>
          <w:bdr w:val="none" w:sz="0" w:space="0" w:color="auto"/>
          <w:lang w:val="es-PE"/>
        </w:rPr>
        <w:t xml:space="preserve">en relación con otros periodistas afines al régimen, </w:t>
      </w:r>
      <w:r w:rsidR="00EB7FDB" w:rsidRPr="0083309C">
        <w:rPr>
          <w:rFonts w:eastAsia="Times New Roman"/>
          <w:bCs/>
          <w:sz w:val="20"/>
          <w:szCs w:val="20"/>
          <w:bdr w:val="none" w:sz="0" w:space="0" w:color="auto"/>
          <w:lang w:val="es-PE"/>
        </w:rPr>
        <w:t>que no contaron con una justificación objetiva y razonable, sino que</w:t>
      </w:r>
      <w:r w:rsidR="00D10A28" w:rsidRPr="0083309C">
        <w:rPr>
          <w:rFonts w:eastAsia="Times New Roman"/>
          <w:bCs/>
          <w:sz w:val="20"/>
          <w:szCs w:val="20"/>
          <w:bdr w:val="none" w:sz="0" w:space="0" w:color="auto"/>
          <w:lang w:val="es-PE"/>
        </w:rPr>
        <w:t>,</w:t>
      </w:r>
      <w:r w:rsidR="00EB7FDB" w:rsidRPr="0083309C">
        <w:rPr>
          <w:rFonts w:eastAsia="Times New Roman"/>
          <w:bCs/>
          <w:sz w:val="20"/>
          <w:szCs w:val="20"/>
          <w:bdr w:val="none" w:sz="0" w:space="0" w:color="auto"/>
          <w:lang w:val="es-PE"/>
        </w:rPr>
        <w:t xml:space="preserve"> por el contrario, </w:t>
      </w:r>
      <w:r w:rsidR="00DB3F7E" w:rsidRPr="0083309C">
        <w:rPr>
          <w:sz w:val="20"/>
          <w:szCs w:val="20"/>
          <w:lang w:val="es-PE"/>
        </w:rPr>
        <w:t>tuvieron</w:t>
      </w:r>
      <w:r w:rsidR="00D10A28" w:rsidRPr="0083309C">
        <w:rPr>
          <w:sz w:val="20"/>
          <w:szCs w:val="20"/>
          <w:lang w:val="es-PE"/>
        </w:rPr>
        <w:t xml:space="preserve"> la finalidad de sancionar</w:t>
      </w:r>
      <w:r w:rsidR="00E33F93">
        <w:rPr>
          <w:sz w:val="20"/>
          <w:szCs w:val="20"/>
          <w:lang w:val="es-PE"/>
        </w:rPr>
        <w:t xml:space="preserve"> a la periodista</w:t>
      </w:r>
      <w:r w:rsidR="00D10A28" w:rsidRPr="0083309C">
        <w:rPr>
          <w:sz w:val="20"/>
          <w:szCs w:val="20"/>
          <w:lang w:val="es-PE"/>
        </w:rPr>
        <w:t xml:space="preserve"> </w:t>
      </w:r>
      <w:r w:rsidR="00266215" w:rsidRPr="0083309C">
        <w:rPr>
          <w:sz w:val="20"/>
          <w:szCs w:val="20"/>
          <w:lang w:val="es-PE"/>
        </w:rPr>
        <w:t>por sus opiniones políticas críticas</w:t>
      </w:r>
      <w:r w:rsidR="00DE73E3" w:rsidRPr="0083309C">
        <w:rPr>
          <w:sz w:val="20"/>
          <w:szCs w:val="20"/>
          <w:lang w:val="es-PE"/>
        </w:rPr>
        <w:t>,</w:t>
      </w:r>
      <w:r w:rsidR="00266215" w:rsidRPr="0083309C">
        <w:rPr>
          <w:sz w:val="20"/>
          <w:szCs w:val="20"/>
          <w:lang w:val="es-PE"/>
        </w:rPr>
        <w:t xml:space="preserve"> </w:t>
      </w:r>
      <w:r w:rsidR="00780032" w:rsidRPr="0083309C">
        <w:rPr>
          <w:sz w:val="20"/>
          <w:szCs w:val="20"/>
          <w:lang w:val="es-PE"/>
        </w:rPr>
        <w:t xml:space="preserve">y de </w:t>
      </w:r>
      <w:r w:rsidR="00266215" w:rsidRPr="0083309C">
        <w:rPr>
          <w:sz w:val="20"/>
          <w:szCs w:val="20"/>
          <w:lang w:val="es-PE"/>
        </w:rPr>
        <w:t>en</w:t>
      </w:r>
      <w:r w:rsidR="00D10A28" w:rsidRPr="0083309C">
        <w:rPr>
          <w:sz w:val="20"/>
          <w:szCs w:val="20"/>
          <w:lang w:val="es-PE"/>
        </w:rPr>
        <w:t xml:space="preserve">viar un mensaje a los demás periodistas y personas disidentes </w:t>
      </w:r>
      <w:r w:rsidR="00266215" w:rsidRPr="0083309C">
        <w:rPr>
          <w:sz w:val="20"/>
          <w:szCs w:val="20"/>
          <w:lang w:val="es-PE"/>
        </w:rPr>
        <w:t>sobre l</w:t>
      </w:r>
      <w:r w:rsidR="00D10A28" w:rsidRPr="0083309C">
        <w:rPr>
          <w:sz w:val="20"/>
          <w:szCs w:val="20"/>
          <w:lang w:val="es-PE"/>
        </w:rPr>
        <w:t>as consecuencias de no segui</w:t>
      </w:r>
      <w:r w:rsidR="00DB3F7E" w:rsidRPr="0083309C">
        <w:rPr>
          <w:sz w:val="20"/>
          <w:szCs w:val="20"/>
          <w:lang w:val="es-PE"/>
        </w:rPr>
        <w:t>r el ideario comunista en Cuba.</w:t>
      </w:r>
      <w:r w:rsidR="00D10A28" w:rsidRPr="0083309C">
        <w:rPr>
          <w:sz w:val="20"/>
          <w:szCs w:val="20"/>
          <w:lang w:val="es-PE"/>
        </w:rPr>
        <w:t xml:space="preserve"> </w:t>
      </w:r>
      <w:r w:rsidR="00DB3F7E" w:rsidRPr="00BA6ADA">
        <w:rPr>
          <w:rFonts w:eastAsia="Times New Roman"/>
          <w:bCs/>
          <w:sz w:val="20"/>
          <w:szCs w:val="20"/>
          <w:bdr w:val="none" w:sz="0" w:space="0" w:color="auto"/>
          <w:lang w:val="es-PE"/>
        </w:rPr>
        <w:t xml:space="preserve">Esto notablemente, no atiende a criterios de una diferenciación de trato justificado, sino </w:t>
      </w:r>
      <w:r w:rsidR="00B2310B">
        <w:rPr>
          <w:rFonts w:eastAsia="Times New Roman"/>
          <w:bCs/>
          <w:sz w:val="20"/>
          <w:szCs w:val="20"/>
          <w:bdr w:val="none" w:sz="0" w:space="0" w:color="auto"/>
          <w:lang w:val="es-PE"/>
        </w:rPr>
        <w:t>que</w:t>
      </w:r>
      <w:r w:rsidR="00DB3F7E" w:rsidRPr="00BA6ADA">
        <w:rPr>
          <w:rFonts w:eastAsia="Times New Roman"/>
          <w:bCs/>
          <w:sz w:val="20"/>
          <w:szCs w:val="20"/>
          <w:bdr w:val="none" w:sz="0" w:space="0" w:color="auto"/>
          <w:lang w:val="es-PE"/>
        </w:rPr>
        <w:t xml:space="preserve"> la diferenciación </w:t>
      </w:r>
      <w:r w:rsidR="00B2310B">
        <w:rPr>
          <w:rFonts w:eastAsia="Times New Roman"/>
          <w:bCs/>
          <w:sz w:val="20"/>
          <w:szCs w:val="20"/>
          <w:bdr w:val="none" w:sz="0" w:space="0" w:color="auto"/>
          <w:lang w:val="es-PE"/>
        </w:rPr>
        <w:t>fue</w:t>
      </w:r>
      <w:r w:rsidR="00DB3F7E" w:rsidRPr="00BA6ADA">
        <w:rPr>
          <w:rFonts w:eastAsia="Times New Roman"/>
          <w:bCs/>
          <w:sz w:val="20"/>
          <w:szCs w:val="20"/>
          <w:bdr w:val="none" w:sz="0" w:space="0" w:color="auto"/>
          <w:lang w:val="es-PE"/>
        </w:rPr>
        <w:t xml:space="preserve"> arbitraria</w:t>
      </w:r>
      <w:r w:rsidR="00B2310B">
        <w:rPr>
          <w:rFonts w:eastAsia="Times New Roman"/>
          <w:bCs/>
          <w:sz w:val="20"/>
          <w:szCs w:val="20"/>
          <w:bdr w:val="none" w:sz="0" w:space="0" w:color="auto"/>
          <w:lang w:val="es-PE"/>
        </w:rPr>
        <w:t xml:space="preserve"> al basarse en un móvil concreto</w:t>
      </w:r>
      <w:r w:rsidR="00DB3F7E" w:rsidRPr="00BA6ADA">
        <w:rPr>
          <w:rFonts w:eastAsia="Times New Roman"/>
          <w:bCs/>
          <w:sz w:val="20"/>
          <w:szCs w:val="20"/>
          <w:bdr w:val="none" w:sz="0" w:space="0" w:color="auto"/>
          <w:lang w:val="es-PE"/>
        </w:rPr>
        <w:t xml:space="preserve"> y tuvo como objetivo</w:t>
      </w:r>
      <w:r w:rsidR="00B2310B">
        <w:rPr>
          <w:rFonts w:eastAsia="Times New Roman"/>
          <w:bCs/>
          <w:sz w:val="20"/>
          <w:szCs w:val="20"/>
          <w:bdr w:val="none" w:sz="0" w:space="0" w:color="auto"/>
          <w:lang w:val="es-PE"/>
        </w:rPr>
        <w:t xml:space="preserve"> el</w:t>
      </w:r>
      <w:r w:rsidR="00DB3F7E" w:rsidRPr="00BA6ADA">
        <w:rPr>
          <w:rFonts w:eastAsia="Times New Roman"/>
          <w:bCs/>
          <w:sz w:val="20"/>
          <w:szCs w:val="20"/>
          <w:bdr w:val="none" w:sz="0" w:space="0" w:color="auto"/>
          <w:lang w:val="es-PE"/>
        </w:rPr>
        <w:t xml:space="preserve"> silenciar opositores.</w:t>
      </w:r>
    </w:p>
    <w:p w14:paraId="1EA65015" w14:textId="77777777" w:rsidR="00E3771A" w:rsidRPr="00116A43" w:rsidRDefault="00E3771A" w:rsidP="003750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bCs/>
          <w:sz w:val="20"/>
          <w:szCs w:val="20"/>
          <w:bdr w:val="none" w:sz="0" w:space="0" w:color="auto"/>
        </w:rPr>
      </w:pPr>
    </w:p>
    <w:p w14:paraId="0298C19E" w14:textId="1E34F77D" w:rsidR="00E3771A" w:rsidRPr="00116A43" w:rsidRDefault="00E3771A"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eastAsia="Times New Roman" w:hAnsi="Cambria"/>
          <w:bCs/>
          <w:sz w:val="20"/>
          <w:szCs w:val="20"/>
          <w:bdr w:val="none" w:sz="0" w:space="0" w:color="auto"/>
        </w:rPr>
      </w:pPr>
      <w:r w:rsidRPr="00116A43">
        <w:rPr>
          <w:rFonts w:ascii="Cambria" w:eastAsia="Times New Roman" w:hAnsi="Cambria"/>
          <w:bCs/>
          <w:sz w:val="20"/>
          <w:szCs w:val="20"/>
          <w:bdr w:val="none" w:sz="0" w:space="0" w:color="auto"/>
        </w:rPr>
        <w:t xml:space="preserve">Por ello, la CIDH concluye que el Estado de Cuba es responsable por la violación del derecho a la igualdad, </w:t>
      </w:r>
      <w:r w:rsidRPr="00116A43">
        <w:rPr>
          <w:rFonts w:ascii="Cambria" w:hAnsi="Cambria"/>
          <w:sz w:val="20"/>
          <w:szCs w:val="20"/>
        </w:rPr>
        <w:t xml:space="preserve">establecido en el artículo II de la Declaración Americana, </w:t>
      </w:r>
      <w:r w:rsidRPr="00116A43">
        <w:rPr>
          <w:rFonts w:ascii="Cambria" w:eastAsia="Times New Roman" w:hAnsi="Cambria"/>
          <w:bCs/>
          <w:sz w:val="20"/>
          <w:szCs w:val="20"/>
          <w:bdr w:val="none" w:sz="0" w:space="0" w:color="auto"/>
        </w:rPr>
        <w:t xml:space="preserve">en perjuicio de Yoani Sánchez.  </w:t>
      </w:r>
    </w:p>
    <w:p w14:paraId="1D86B9D7" w14:textId="77777777" w:rsidR="005B3B8D" w:rsidRPr="000E0F91" w:rsidRDefault="005B3B8D" w:rsidP="005B3B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val="es-ES_tradnl" w:eastAsia="es-ES"/>
        </w:rPr>
      </w:pPr>
    </w:p>
    <w:p w14:paraId="6A7B0DF0" w14:textId="16F1A71D" w:rsidR="002106A1" w:rsidRPr="0021135C" w:rsidRDefault="002106A1" w:rsidP="00375047">
      <w:pPr>
        <w:pStyle w:val="Heading1"/>
      </w:pPr>
      <w:bookmarkStart w:id="42" w:name="_Toc89157585"/>
      <w:bookmarkStart w:id="43" w:name="_Toc534905542"/>
      <w:bookmarkStart w:id="44" w:name="_Toc4417464"/>
      <w:bookmarkStart w:id="45" w:name="_Toc24542773"/>
      <w:r w:rsidRPr="0021135C">
        <w:t xml:space="preserve">INFORME No. </w:t>
      </w:r>
      <w:r w:rsidR="00FD7DB5" w:rsidRPr="0021135C">
        <w:t>102</w:t>
      </w:r>
      <w:r w:rsidRPr="0021135C">
        <w:t>/21 E INFORMACIÓN SOBRE CUMPLIMIENTO</w:t>
      </w:r>
      <w:bookmarkEnd w:id="42"/>
    </w:p>
    <w:p w14:paraId="6351F46F" w14:textId="77777777" w:rsidR="002106A1" w:rsidRPr="0021135C" w:rsidRDefault="002106A1" w:rsidP="002106A1">
      <w:pPr>
        <w:rPr>
          <w:lang w:val="es-ES_tradnl"/>
        </w:rPr>
      </w:pPr>
    </w:p>
    <w:p w14:paraId="0DF166C0" w14:textId="210F0A28" w:rsidR="002106A1" w:rsidRPr="0021135C" w:rsidRDefault="002106A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sz w:val="20"/>
          <w:szCs w:val="20"/>
          <w:lang w:val="es-ES_tradnl"/>
        </w:rPr>
      </w:pPr>
      <w:r w:rsidRPr="0021135C">
        <w:rPr>
          <w:rFonts w:ascii="Cambria" w:hAnsi="Cambria"/>
          <w:sz w:val="20"/>
          <w:szCs w:val="20"/>
          <w:lang w:val="es-ES_tradnl"/>
        </w:rPr>
        <w:t xml:space="preserve">El 26 de junio </w:t>
      </w:r>
      <w:r w:rsidR="00575B69" w:rsidRPr="0021135C">
        <w:rPr>
          <w:rFonts w:ascii="Cambria" w:hAnsi="Cambria"/>
          <w:sz w:val="20"/>
          <w:szCs w:val="20"/>
          <w:lang w:val="es-ES_tradnl"/>
        </w:rPr>
        <w:t xml:space="preserve">de 2021 </w:t>
      </w:r>
      <w:r w:rsidRPr="0021135C">
        <w:rPr>
          <w:rFonts w:ascii="Cambria" w:hAnsi="Cambria"/>
          <w:sz w:val="20"/>
          <w:szCs w:val="20"/>
          <w:lang w:val="es-ES_tradnl"/>
        </w:rPr>
        <w:t xml:space="preserve">la Comisión aprobó el </w:t>
      </w:r>
      <w:r w:rsidR="000E0F91" w:rsidRPr="0021135C">
        <w:rPr>
          <w:rFonts w:ascii="Cambria" w:hAnsi="Cambria"/>
          <w:sz w:val="20"/>
          <w:szCs w:val="20"/>
          <w:lang w:val="es-ES_tradnl"/>
        </w:rPr>
        <w:t>I</w:t>
      </w:r>
      <w:r w:rsidRPr="0021135C">
        <w:rPr>
          <w:rFonts w:ascii="Cambria" w:hAnsi="Cambria"/>
          <w:sz w:val="20"/>
          <w:szCs w:val="20"/>
          <w:lang w:val="es-ES_tradnl"/>
        </w:rPr>
        <w:t xml:space="preserve">nforme </w:t>
      </w:r>
      <w:r w:rsidR="000E0F91" w:rsidRPr="0021135C">
        <w:rPr>
          <w:rFonts w:ascii="Cambria" w:hAnsi="Cambria"/>
          <w:sz w:val="20"/>
          <w:szCs w:val="20"/>
          <w:lang w:val="es-ES_tradnl"/>
        </w:rPr>
        <w:t xml:space="preserve">de Admisibilidad y Fondo </w:t>
      </w:r>
      <w:r w:rsidRPr="0021135C">
        <w:rPr>
          <w:rFonts w:ascii="Cambria" w:hAnsi="Cambria"/>
          <w:sz w:val="20"/>
          <w:szCs w:val="20"/>
          <w:lang w:val="es-ES_tradnl"/>
        </w:rPr>
        <w:t xml:space="preserve">No. </w:t>
      </w:r>
      <w:r w:rsidR="004931EE" w:rsidRPr="0021135C">
        <w:rPr>
          <w:rFonts w:ascii="Cambria" w:hAnsi="Cambria"/>
          <w:sz w:val="20"/>
          <w:szCs w:val="20"/>
          <w:lang w:val="es-ES_tradnl"/>
        </w:rPr>
        <w:t>102</w:t>
      </w:r>
      <w:r w:rsidR="000E0F91" w:rsidRPr="0021135C">
        <w:rPr>
          <w:rFonts w:ascii="Cambria" w:hAnsi="Cambria"/>
          <w:sz w:val="20"/>
          <w:szCs w:val="20"/>
          <w:lang w:val="es-ES_tradnl"/>
        </w:rPr>
        <w:t xml:space="preserve">/21 sobre el presente caso que incluye los párrafos 1 a 233 </w:t>
      </w:r>
      <w:r w:rsidR="000E0F91" w:rsidRPr="0021135C">
        <w:rPr>
          <w:rFonts w:ascii="Cambria" w:hAnsi="Cambria"/>
          <w:i/>
          <w:iCs/>
          <w:sz w:val="20"/>
          <w:szCs w:val="20"/>
          <w:lang w:val="es-ES_tradnl"/>
        </w:rPr>
        <w:t>supra</w:t>
      </w:r>
      <w:r w:rsidR="000E0F91" w:rsidRPr="0021135C">
        <w:rPr>
          <w:rFonts w:ascii="Cambria" w:hAnsi="Cambria"/>
          <w:sz w:val="20"/>
          <w:szCs w:val="20"/>
          <w:lang w:val="es-ES_tradnl"/>
        </w:rPr>
        <w:t>, y formuló las siguientes recomendaciones al Estado:</w:t>
      </w:r>
    </w:p>
    <w:p w14:paraId="5FCA249D" w14:textId="6C94850B" w:rsidR="002106A1" w:rsidRPr="0021135C" w:rsidRDefault="002106A1" w:rsidP="002106A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rPr>
      </w:pPr>
    </w:p>
    <w:p w14:paraId="37488319"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cs="Times New Roman"/>
          <w:sz w:val="20"/>
          <w:szCs w:val="20"/>
          <w:lang w:val="es-PE"/>
        </w:rPr>
      </w:pPr>
      <w:r w:rsidRPr="0021135C">
        <w:rPr>
          <w:rFonts w:cs="Tahoma"/>
          <w:sz w:val="20"/>
          <w:szCs w:val="20"/>
          <w:lang w:val="es-ES"/>
        </w:rPr>
        <w:t xml:space="preserve">Reparar integralmente las violaciones de derechos humanos declaradas en el presente informe tanto en el aspecto material como inmaterial, lo cual deberá incluir la </w:t>
      </w:r>
      <w:r w:rsidRPr="0021135C">
        <w:rPr>
          <w:sz w:val="20"/>
          <w:szCs w:val="20"/>
          <w:lang w:val="es-PE"/>
        </w:rPr>
        <w:t>reparación por la estigmatización a la que ha estado sometida Yoani Sánchez.</w:t>
      </w:r>
    </w:p>
    <w:p w14:paraId="73DA1BB0" w14:textId="77777777" w:rsidR="000E0F91" w:rsidRPr="0021135C" w:rsidRDefault="000E0F91" w:rsidP="00577F2D">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rPr>
      </w:pPr>
    </w:p>
    <w:p w14:paraId="11652554"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lang w:val="es-419"/>
        </w:rPr>
      </w:pPr>
      <w:r w:rsidRPr="0021135C">
        <w:rPr>
          <w:rFonts w:cs="Tahoma"/>
          <w:sz w:val="20"/>
          <w:szCs w:val="20"/>
          <w:lang w:val="es-ES"/>
        </w:rPr>
        <w:t>Cesar</w:t>
      </w:r>
      <w:r w:rsidRPr="0021135C">
        <w:rPr>
          <w:sz w:val="20"/>
          <w:szCs w:val="20"/>
          <w:lang w:val="es-ES"/>
        </w:rPr>
        <w:t xml:space="preserve"> de manera inmediata la persecución contra Yoani Sánchez Cordero, en particular, los actos de hostigamiento, acoso, campañas de desprestigio, interceptaciones telefónicas, ataques, y citaciones policiales arbitrarias, </w:t>
      </w:r>
      <w:r w:rsidRPr="0021135C">
        <w:rPr>
          <w:rFonts w:eastAsia="Times New Roman"/>
          <w:sz w:val="20"/>
          <w:szCs w:val="20"/>
          <w:lang w:val="es-419"/>
        </w:rPr>
        <w:t xml:space="preserve">garantizando que la periodista pueda llevar a cabo su trabajo sin temor a intimidación o represalias, y sin restricciones indebidas sobre su derecho a la libertad de expresión, de reunión y demás derechos analizados en el presente informe. </w:t>
      </w:r>
    </w:p>
    <w:p w14:paraId="7055BAB0" w14:textId="77777777" w:rsidR="000E0F91" w:rsidRPr="0021135C" w:rsidRDefault="000E0F91" w:rsidP="00577F2D">
      <w:pPr>
        <w:pStyle w:val="ListParagraph"/>
        <w:ind w:left="1440" w:hanging="720"/>
        <w:rPr>
          <w:rFonts w:eastAsia="Times New Roman"/>
          <w:sz w:val="20"/>
          <w:szCs w:val="20"/>
          <w:lang w:val="es-419"/>
        </w:rPr>
      </w:pPr>
    </w:p>
    <w:p w14:paraId="23E7F477"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lang w:val="es-419"/>
        </w:rPr>
      </w:pPr>
      <w:r w:rsidRPr="0021135C">
        <w:rPr>
          <w:rFonts w:cs="Tahoma"/>
          <w:sz w:val="20"/>
          <w:szCs w:val="20"/>
          <w:lang w:val="es-ES"/>
        </w:rPr>
        <w:t>Tomar</w:t>
      </w:r>
      <w:r w:rsidRPr="0021135C">
        <w:rPr>
          <w:rFonts w:eastAsia="Times New Roman"/>
          <w:sz w:val="20"/>
          <w:szCs w:val="20"/>
          <w:lang w:val="es-419"/>
        </w:rPr>
        <w:t xml:space="preserve"> las medidas necesarias para garantizar plenamente el derecho de Yoani Sánchez a salir y entrar libremente de Cuba y circular libremente dentro del país.</w:t>
      </w:r>
    </w:p>
    <w:p w14:paraId="149A3CE5" w14:textId="77777777" w:rsidR="000E0F91" w:rsidRPr="0021135C" w:rsidRDefault="000E0F91" w:rsidP="00577F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sz w:val="20"/>
          <w:szCs w:val="20"/>
          <w:lang w:val="es-419"/>
        </w:rPr>
      </w:pPr>
    </w:p>
    <w:p w14:paraId="7C1ED17D"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sz w:val="20"/>
          <w:szCs w:val="20"/>
          <w:lang w:val="es-ES"/>
        </w:rPr>
      </w:pPr>
      <w:r w:rsidRPr="0021135C">
        <w:rPr>
          <w:rFonts w:cs="Tahoma"/>
          <w:sz w:val="20"/>
          <w:szCs w:val="20"/>
          <w:lang w:val="es-ES"/>
        </w:rPr>
        <w:lastRenderedPageBreak/>
        <w:t>Realizar</w:t>
      </w:r>
      <w:r w:rsidRPr="0021135C">
        <w:rPr>
          <w:rFonts w:eastAsia="Times New Roman"/>
          <w:sz w:val="20"/>
          <w:szCs w:val="20"/>
          <w:bdr w:val="none" w:sz="0" w:space="0" w:color="auto"/>
          <w:lang w:val="es-AR"/>
        </w:rPr>
        <w:t xml:space="preserve"> una investigación completa, imparcial, efectiva, de manera expedita, que permita esclarecer las circunstancias de las detenciones ilegales y arbitrarias y las agresiones físicas perpetradas en contra de Yoani Sánchez, especialmente los hechos relacionados con el intento de desnudez forzada, y determinar las responsabilidades correspondientes, tanto en cuanto a su autoría material como intelectual y adoptar las medidas para evitar que vuelvan a ocurrir hechos como estos</w:t>
      </w:r>
    </w:p>
    <w:p w14:paraId="4557A05F" w14:textId="77777777" w:rsidR="000E0F91" w:rsidRPr="0021135C" w:rsidRDefault="000E0F91" w:rsidP="00577F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sz w:val="20"/>
          <w:szCs w:val="20"/>
          <w:lang w:val="es-ES"/>
        </w:rPr>
      </w:pPr>
    </w:p>
    <w:p w14:paraId="4DB02F02"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cs="Times New Roman"/>
          <w:sz w:val="20"/>
          <w:szCs w:val="20"/>
          <w:lang w:val="es-PE"/>
        </w:rPr>
      </w:pPr>
      <w:r w:rsidRPr="0021135C">
        <w:rPr>
          <w:rFonts w:cs="Tahoma"/>
          <w:sz w:val="20"/>
          <w:szCs w:val="20"/>
          <w:lang w:val="es-ES"/>
        </w:rPr>
        <w:t>Desactivar</w:t>
      </w:r>
      <w:r w:rsidRPr="0021135C">
        <w:rPr>
          <w:sz w:val="20"/>
          <w:szCs w:val="20"/>
          <w:lang w:val="es-PE"/>
        </w:rPr>
        <w:t xml:space="preserve"> el filtro informático que impide el acceso al blog “Generación Y” en los sitios públicos de Internet en Cuba y permitir el acceso </w:t>
      </w:r>
      <w:r w:rsidRPr="0021135C">
        <w:rPr>
          <w:rFonts w:eastAsia="Times New Roman" w:cs="Times New Roman"/>
          <w:sz w:val="20"/>
          <w:szCs w:val="20"/>
          <w:lang w:val="es-PE"/>
        </w:rPr>
        <w:t>a los contenidos en línea</w:t>
      </w:r>
      <w:r w:rsidRPr="0021135C">
        <w:rPr>
          <w:rFonts w:eastAsia="Times New Roman"/>
          <w:sz w:val="20"/>
          <w:szCs w:val="20"/>
          <w:lang w:val="es-419"/>
        </w:rPr>
        <w:t xml:space="preserve"> de Yoani Sánchez dentro de Cuba, así como conducirse bajo el principio de neutralidad de la red, de conformidad con los estándares descritos en el presente informe. </w:t>
      </w:r>
    </w:p>
    <w:p w14:paraId="7B08390A" w14:textId="77777777" w:rsidR="000E0F91" w:rsidRPr="0021135C" w:rsidRDefault="000E0F91" w:rsidP="00577F2D">
      <w:pPr>
        <w:pStyle w:val="ListParagraph"/>
        <w:ind w:left="1440" w:hanging="720"/>
        <w:rPr>
          <w:rFonts w:eastAsia="Times New Roman" w:cs="Times New Roman"/>
          <w:sz w:val="20"/>
          <w:szCs w:val="20"/>
          <w:lang w:val="es-PE"/>
        </w:rPr>
      </w:pPr>
    </w:p>
    <w:p w14:paraId="05812242"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lang w:val="es-PE"/>
        </w:rPr>
      </w:pPr>
      <w:r w:rsidRPr="0021135C">
        <w:rPr>
          <w:rFonts w:cs="Tahoma"/>
          <w:sz w:val="20"/>
          <w:szCs w:val="20"/>
          <w:lang w:val="es-ES"/>
        </w:rPr>
        <w:t>Adoptar</w:t>
      </w:r>
      <w:r w:rsidRPr="0021135C">
        <w:rPr>
          <w:sz w:val="20"/>
          <w:szCs w:val="20"/>
          <w:lang w:val="es-PE"/>
        </w:rPr>
        <w:t xml:space="preserve"> las siguientes garantías de no repetición, para lo cual el Estado deberá: i) </w:t>
      </w:r>
      <w:r w:rsidRPr="0021135C">
        <w:rPr>
          <w:rFonts w:eastAsia="Times New Roman"/>
          <w:sz w:val="20"/>
          <w:szCs w:val="20"/>
          <w:bdr w:val="none" w:sz="0" w:space="0" w:color="auto"/>
          <w:lang w:val="es-CO"/>
        </w:rPr>
        <w:t xml:space="preserve">Adecuar sus leyes, procedimientos y prácticas a las normas y estándares internacionales sobre derechos humanos establecidos en el presente informe, para lo cual deberá, entre otras cosas, modificar su normativa interna, incluida </w:t>
      </w:r>
      <w:r w:rsidRPr="0021135C">
        <w:rPr>
          <w:sz w:val="20"/>
          <w:szCs w:val="20"/>
          <w:lang w:val="es-PE"/>
        </w:rPr>
        <w:t>la referida al entorno digital,</w:t>
      </w:r>
      <w:r w:rsidRPr="0021135C">
        <w:rPr>
          <w:rFonts w:eastAsia="Times New Roman"/>
          <w:sz w:val="20"/>
          <w:szCs w:val="20"/>
          <w:bdr w:val="none" w:sz="0" w:space="0" w:color="auto"/>
          <w:lang w:val="es-CO"/>
        </w:rPr>
        <w:t xml:space="preserve"> con el fin de asegurar el ejercicio y goce de los derechos analizados de forma efectiva, en especial el derecho a la libertad de expresión, sin condicionamientos a la defensa del Estado socialista, y ii) </w:t>
      </w:r>
      <w:r w:rsidRPr="0021135C">
        <w:rPr>
          <w:sz w:val="20"/>
          <w:szCs w:val="20"/>
          <w:lang w:val="es-PE"/>
        </w:rPr>
        <w:t xml:space="preserve">Adoptar mecanismos de prevención, investigación y sanción, adecuados y efectivos, con perspectiva de género, para evitar y combatir la violencia y el acoso contra los y las periodistas y/o comunicadores sociales, ya sea que provengan de agentes estatales o de terceros. Lo anterior deberá incluir la condena pública a todo acto de agresión, incluida la violencia de género, especialmente desde las más altas instancias del gobierno; la abstención de recurrir a declaraciones estigmatizantes por parte de las autoridades públicas o de personas que utilicen los medios públicos de comunicación, así como la adopción de medidas necesarias para garantizar el inicio de investigaciones y procesos judiciales ante la presentación de denuncias por la comisión de hechos de violencia, de conformidad con lo señalado en el presente informe. </w:t>
      </w:r>
    </w:p>
    <w:p w14:paraId="460BE790" w14:textId="77777777" w:rsidR="000E0F91" w:rsidRPr="0021135C" w:rsidRDefault="000E0F91" w:rsidP="00577F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lang w:val="es-PE"/>
        </w:rPr>
      </w:pPr>
    </w:p>
    <w:p w14:paraId="51BF51E2"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sz w:val="20"/>
          <w:szCs w:val="20"/>
          <w:bdr w:val="none" w:sz="0" w:space="0" w:color="auto"/>
          <w:lang w:val="es-ES_tradnl"/>
        </w:rPr>
      </w:pPr>
      <w:r w:rsidRPr="0021135C">
        <w:rPr>
          <w:rFonts w:cs="Tahoma"/>
          <w:sz w:val="20"/>
          <w:szCs w:val="20"/>
          <w:lang w:val="es-ES"/>
        </w:rPr>
        <w:t>Abstenerse</w:t>
      </w:r>
      <w:r w:rsidRPr="0021135C">
        <w:rPr>
          <w:rFonts w:eastAsia="Times New Roman"/>
          <w:sz w:val="20"/>
          <w:szCs w:val="20"/>
          <w:lang w:val="es-419"/>
        </w:rPr>
        <w:t xml:space="preserve"> de ejercer un control absoluto sobre internet, así como </w:t>
      </w:r>
      <w:r w:rsidRPr="0021135C">
        <w:rPr>
          <w:sz w:val="20"/>
          <w:szCs w:val="20"/>
          <w:lang w:val="es-PE"/>
        </w:rPr>
        <w:t xml:space="preserve">filtrar y bloquear contenidos de forma arbitraria, </w:t>
      </w:r>
      <w:r w:rsidRPr="0021135C">
        <w:rPr>
          <w:sz w:val="20"/>
          <w:szCs w:val="20"/>
          <w:bdr w:val="none" w:sz="0" w:space="0" w:color="auto"/>
          <w:lang w:val="es-419"/>
        </w:rPr>
        <w:t xml:space="preserve">es decir que, para que las </w:t>
      </w:r>
      <w:r w:rsidRPr="0021135C">
        <w:rPr>
          <w:sz w:val="20"/>
          <w:szCs w:val="20"/>
          <w:lang w:val="es-419"/>
        </w:rPr>
        <w:t xml:space="preserve">restricciones a la libertad de expresión en Internet sean legítimas, deberán cumplir con los requisitos de legalidad, </w:t>
      </w:r>
      <w:r w:rsidRPr="0021135C">
        <w:rPr>
          <w:sz w:val="20"/>
          <w:szCs w:val="20"/>
          <w:bdr w:val="none" w:sz="0" w:space="0" w:color="auto"/>
          <w:lang w:val="es-419"/>
        </w:rPr>
        <w:t xml:space="preserve">finalidad legítima, necesidad y proporcionalidad. El Estado deberá adoptar </w:t>
      </w:r>
      <w:r w:rsidRPr="0021135C">
        <w:rPr>
          <w:sz w:val="20"/>
          <w:szCs w:val="20"/>
          <w:bdr w:val="none" w:sz="0" w:space="0" w:color="auto"/>
          <w:lang w:val="es-ES_tradnl"/>
        </w:rPr>
        <w:t>salvaguardas para garantizar la transparencia respecto de los contenidos cuya remoción haya sido ordenada, con base en los requisitos antes descritos.</w:t>
      </w:r>
    </w:p>
    <w:p w14:paraId="33B52B63" w14:textId="77777777" w:rsidR="000E0F91" w:rsidRPr="0021135C" w:rsidRDefault="000E0F91" w:rsidP="00577F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cs="Times New Roman"/>
          <w:sz w:val="20"/>
          <w:szCs w:val="20"/>
          <w:lang w:val="es-PE"/>
        </w:rPr>
      </w:pPr>
    </w:p>
    <w:p w14:paraId="484E381A" w14:textId="77777777" w:rsidR="000E0F91" w:rsidRPr="0021135C" w:rsidRDefault="000E0F91" w:rsidP="004609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lang w:val="es-PE"/>
        </w:rPr>
      </w:pPr>
      <w:r w:rsidRPr="0021135C">
        <w:rPr>
          <w:rFonts w:eastAsia="Times New Roman"/>
          <w:sz w:val="20"/>
          <w:szCs w:val="20"/>
          <w:bdr w:val="none" w:sz="0" w:space="0" w:color="auto"/>
          <w:lang w:val="es-CO"/>
        </w:rPr>
        <w:t xml:space="preserve">Adoptar las medidas necesarias para garantizar la independencia e imparcialidad tanto institucional como funcional, de las autoridades fiscales, judiciales y de cualquier otro tipo de funcionarios </w:t>
      </w:r>
      <w:r w:rsidRPr="0021135C">
        <w:rPr>
          <w:rFonts w:eastAsia="Times New Roman"/>
          <w:sz w:val="20"/>
          <w:szCs w:val="20"/>
          <w:lang w:val="es-419"/>
        </w:rPr>
        <w:t>estatales que adopten decisiones que determinen el alcance de los derechos humanos de las personas, como por ejemplo la Dirección de Inmigración y Extranjería</w:t>
      </w:r>
      <w:r w:rsidRPr="0021135C">
        <w:rPr>
          <w:rFonts w:eastAsia="Times New Roman"/>
          <w:sz w:val="20"/>
          <w:szCs w:val="20"/>
          <w:bdr w:val="none" w:sz="0" w:space="0" w:color="auto"/>
          <w:lang w:val="es-CO"/>
        </w:rPr>
        <w:t xml:space="preserve">, de conformidad con los criterios establecidos en el presente informe. </w:t>
      </w:r>
    </w:p>
    <w:p w14:paraId="2E6A6A56" w14:textId="77777777" w:rsidR="000E0F91" w:rsidRPr="0021135C" w:rsidRDefault="000E0F91" w:rsidP="000E0F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rPr>
      </w:pPr>
    </w:p>
    <w:p w14:paraId="5A8C59BA" w14:textId="56A313FC" w:rsidR="000E0F91" w:rsidRPr="0021135C" w:rsidRDefault="000E0F91"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0"/>
        <w:jc w:val="both"/>
        <w:rPr>
          <w:rFonts w:ascii="Cambria" w:hAnsi="Cambria"/>
          <w:sz w:val="20"/>
          <w:szCs w:val="20"/>
        </w:rPr>
      </w:pPr>
      <w:r w:rsidRPr="0021135C">
        <w:rPr>
          <w:rFonts w:ascii="Cambria" w:hAnsi="Cambria"/>
          <w:sz w:val="20"/>
          <w:szCs w:val="20"/>
        </w:rPr>
        <w:t>El 20 de julio de 2021 la Comisión transmitió el informe al Estado con el plazo de dos meses para informar sobre las medidas adoptadas para dar cumplimiento a sus recomendaciones.</w:t>
      </w:r>
      <w:r w:rsidRPr="0021135C">
        <w:t xml:space="preserve"> </w:t>
      </w:r>
      <w:r w:rsidRPr="0021135C">
        <w:rPr>
          <w:rFonts w:ascii="Cambria" w:hAnsi="Cambria"/>
          <w:sz w:val="20"/>
          <w:szCs w:val="20"/>
        </w:rPr>
        <w:t xml:space="preserve">En esa misma fecha, la CIDH notificó a los peticionarios la aprobación del informe. Hasta la fecha, la CIDH no ha recibido respuesta de Cuba en relación con el Informe No. </w:t>
      </w:r>
      <w:r w:rsidR="004931EE" w:rsidRPr="0021135C">
        <w:rPr>
          <w:rFonts w:ascii="Cambria" w:hAnsi="Cambria"/>
          <w:sz w:val="20"/>
          <w:szCs w:val="20"/>
        </w:rPr>
        <w:t>102</w:t>
      </w:r>
      <w:r w:rsidRPr="0021135C">
        <w:rPr>
          <w:rFonts w:ascii="Cambria" w:hAnsi="Cambria"/>
          <w:sz w:val="20"/>
          <w:szCs w:val="20"/>
        </w:rPr>
        <w:t>/21.</w:t>
      </w:r>
    </w:p>
    <w:p w14:paraId="67BE9AC2" w14:textId="71530010" w:rsidR="002630CB" w:rsidRPr="00116A43" w:rsidRDefault="002630CB" w:rsidP="00575B69">
      <w:pPr>
        <w:jc w:val="both"/>
        <w:rPr>
          <w:rFonts w:ascii="Cambria" w:eastAsia="Times New Roman" w:hAnsi="Cambria"/>
          <w:color w:val="000000"/>
          <w:sz w:val="20"/>
          <w:szCs w:val="20"/>
          <w:lang w:val="es-PE"/>
        </w:rPr>
      </w:pPr>
      <w:bookmarkStart w:id="46" w:name="_Hlk19538831"/>
      <w:bookmarkEnd w:id="43"/>
      <w:bookmarkEnd w:id="44"/>
      <w:bookmarkEnd w:id="45"/>
    </w:p>
    <w:p w14:paraId="6A0B4EE1" w14:textId="43774F3B" w:rsidR="00B06D27" w:rsidRPr="00F94570" w:rsidRDefault="00B06D27" w:rsidP="00375047">
      <w:pPr>
        <w:pStyle w:val="Heading1"/>
      </w:pPr>
      <w:bookmarkStart w:id="47" w:name="_Toc83747595"/>
      <w:bookmarkStart w:id="48" w:name="_Toc89157586"/>
      <w:bookmarkEnd w:id="46"/>
      <w:r w:rsidRPr="00F94570">
        <w:t xml:space="preserve">ACTUACIONES POSTERIORES AL INFORME No. </w:t>
      </w:r>
      <w:r w:rsidR="00090598" w:rsidRPr="00F94570">
        <w:t>267</w:t>
      </w:r>
      <w:r w:rsidRPr="00F94570">
        <w:t>/21 E INFORMACIÓN SOBRE CUMPLIMIENTO</w:t>
      </w:r>
      <w:bookmarkEnd w:id="47"/>
      <w:bookmarkEnd w:id="48"/>
    </w:p>
    <w:p w14:paraId="4EDE0C5E" w14:textId="77777777" w:rsidR="00B06D27" w:rsidRPr="00F94570" w:rsidRDefault="00B06D27" w:rsidP="00B06D27">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378D4AF0" w14:textId="392BAE6B" w:rsidR="00B06D27" w:rsidRPr="00F94570" w:rsidRDefault="00B06D27"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cs="Verdana"/>
          <w:sz w:val="20"/>
          <w:szCs w:val="20"/>
          <w:lang w:bidi="en-US"/>
        </w:rPr>
      </w:pPr>
      <w:r w:rsidRPr="00F94570">
        <w:rPr>
          <w:rFonts w:ascii="Cambria" w:hAnsi="Cambria"/>
          <w:sz w:val="20"/>
          <w:szCs w:val="20"/>
          <w:lang w:val="es-VE"/>
        </w:rPr>
        <w:t>La</w:t>
      </w:r>
      <w:r w:rsidRPr="00F94570">
        <w:rPr>
          <w:rFonts w:ascii="Cambria" w:hAnsi="Cambria" w:cs="Verdana"/>
          <w:sz w:val="20"/>
          <w:szCs w:val="20"/>
          <w:lang w:bidi="en-US"/>
        </w:rPr>
        <w:t xml:space="preserve"> Comisión adoptó el informe de fondo No. </w:t>
      </w:r>
      <w:r w:rsidR="00090598" w:rsidRPr="00F94570">
        <w:rPr>
          <w:rFonts w:ascii="Cambria" w:hAnsi="Cambria" w:cs="Verdana"/>
          <w:sz w:val="20"/>
          <w:szCs w:val="20"/>
          <w:lang w:bidi="en-US"/>
        </w:rPr>
        <w:t>267</w:t>
      </w:r>
      <w:r w:rsidRPr="00F94570">
        <w:rPr>
          <w:rFonts w:ascii="Cambria" w:hAnsi="Cambria"/>
          <w:sz w:val="20"/>
          <w:szCs w:val="20"/>
          <w:lang w:val="es-VE"/>
        </w:rPr>
        <w:t>/</w:t>
      </w:r>
      <w:r w:rsidR="00735296" w:rsidRPr="00F94570">
        <w:rPr>
          <w:rFonts w:cs="Verdana"/>
          <w:sz w:val="20"/>
          <w:szCs w:val="20"/>
          <w:lang w:bidi="en-US"/>
        </w:rPr>
        <w:t>21</w:t>
      </w:r>
      <w:r w:rsidRPr="00F94570">
        <w:rPr>
          <w:rFonts w:ascii="Cambria" w:hAnsi="Cambria" w:cs="Verdana"/>
          <w:sz w:val="20"/>
          <w:szCs w:val="20"/>
          <w:lang w:bidi="en-US"/>
        </w:rPr>
        <w:t xml:space="preserve"> el 28 de septiembre de 2021 y lo transmitió al Estado el </w:t>
      </w:r>
      <w:r w:rsidR="00735296" w:rsidRPr="00F94570">
        <w:rPr>
          <w:rFonts w:cs="Verdana"/>
          <w:sz w:val="20"/>
          <w:szCs w:val="20"/>
          <w:lang w:bidi="en-US"/>
        </w:rPr>
        <w:t>30</w:t>
      </w:r>
      <w:r w:rsidRPr="00F94570">
        <w:rPr>
          <w:rFonts w:ascii="Cambria" w:hAnsi="Cambria" w:cs="Verdana"/>
          <w:sz w:val="20"/>
          <w:szCs w:val="20"/>
          <w:lang w:bidi="en-US"/>
        </w:rPr>
        <w:t xml:space="preserve"> de septiembre del mismo año</w:t>
      </w:r>
      <w:r w:rsidR="007F26CD" w:rsidRPr="00F94570">
        <w:rPr>
          <w:rFonts w:ascii="Cambria" w:hAnsi="Cambria" w:cs="Verdana"/>
          <w:sz w:val="20"/>
          <w:szCs w:val="20"/>
          <w:lang w:bidi="en-US"/>
        </w:rPr>
        <w:t>,</w:t>
      </w:r>
      <w:r w:rsidRPr="00F94570">
        <w:rPr>
          <w:rFonts w:ascii="Cambria" w:hAnsi="Cambria" w:cs="Verdana"/>
          <w:sz w:val="20"/>
          <w:szCs w:val="20"/>
          <w:lang w:bidi="en-US"/>
        </w:rPr>
        <w:t xml:space="preserve"> otorgándole el plazo de </w:t>
      </w:r>
      <w:r w:rsidR="00090598" w:rsidRPr="00F94570">
        <w:rPr>
          <w:rFonts w:ascii="Cambria" w:hAnsi="Cambria" w:cs="Verdana"/>
          <w:sz w:val="20"/>
          <w:szCs w:val="20"/>
          <w:lang w:bidi="en-US"/>
        </w:rPr>
        <w:t>15 días</w:t>
      </w:r>
      <w:r w:rsidRPr="00F94570">
        <w:rPr>
          <w:rFonts w:ascii="Cambria" w:hAnsi="Cambria" w:cs="Verdana"/>
          <w:sz w:val="20"/>
          <w:szCs w:val="20"/>
          <w:lang w:bidi="en-US"/>
        </w:rPr>
        <w:t xml:space="preserve"> para informar a la CIDH sobre las medidas adoptadas </w:t>
      </w:r>
      <w:r w:rsidRPr="00F640DA">
        <w:rPr>
          <w:rFonts w:asciiTheme="majorHAnsi" w:hAnsiTheme="majorHAnsi" w:cs="Verdana"/>
          <w:sz w:val="20"/>
          <w:szCs w:val="20"/>
          <w:lang w:bidi="en-US"/>
        </w:rPr>
        <w:t xml:space="preserve">para el cumplimiento de sus recomendaciones. </w:t>
      </w:r>
      <w:r w:rsidR="00735296" w:rsidRPr="00F640DA">
        <w:rPr>
          <w:rFonts w:asciiTheme="majorHAnsi" w:hAnsiTheme="majorHAnsi" w:cs="Verdana"/>
          <w:sz w:val="20"/>
          <w:szCs w:val="20"/>
          <w:lang w:bidi="en-US"/>
        </w:rPr>
        <w:t>Hasta la fecha la Comisión no ha recibido respuesta del Estado de Cuba con respecto al Informe No. 267/21.</w:t>
      </w:r>
    </w:p>
    <w:p w14:paraId="536D63F6" w14:textId="77777777" w:rsidR="0021135C" w:rsidRPr="003E234D" w:rsidRDefault="0021135C" w:rsidP="0021135C">
      <w:pPr>
        <w:jc w:val="both"/>
        <w:rPr>
          <w:rFonts w:ascii="Cambria" w:eastAsia="Times New Roman" w:hAnsi="Cambria"/>
          <w:color w:val="666666"/>
          <w:sz w:val="20"/>
          <w:szCs w:val="20"/>
        </w:rPr>
      </w:pPr>
    </w:p>
    <w:p w14:paraId="695DE5EB" w14:textId="77777777" w:rsidR="00735296" w:rsidRPr="0021135C" w:rsidRDefault="00735296" w:rsidP="00375047">
      <w:pPr>
        <w:pStyle w:val="Heading1"/>
      </w:pPr>
      <w:bookmarkStart w:id="49" w:name="_Toc89157587"/>
      <w:r w:rsidRPr="0021135C">
        <w:lastRenderedPageBreak/>
        <w:t>CONCLUSIONES Y RECOMENDACIONES FINALES</w:t>
      </w:r>
      <w:bookmarkEnd w:id="49"/>
    </w:p>
    <w:p w14:paraId="524A4D39" w14:textId="77777777" w:rsidR="00735296" w:rsidRPr="00116A43" w:rsidRDefault="00735296" w:rsidP="00735296">
      <w:pPr>
        <w:pBdr>
          <w:top w:val="none" w:sz="0" w:space="0" w:color="auto"/>
          <w:left w:val="none" w:sz="0" w:space="0" w:color="auto"/>
          <w:bottom w:val="none" w:sz="0" w:space="0" w:color="auto"/>
          <w:right w:val="none" w:sz="0" w:space="0" w:color="auto"/>
        </w:pBdr>
        <w:jc w:val="both"/>
        <w:rPr>
          <w:rFonts w:ascii="Cambria" w:hAnsi="Cambria"/>
          <w:sz w:val="20"/>
          <w:szCs w:val="20"/>
          <w:lang w:val="es-CO"/>
        </w:rPr>
      </w:pPr>
    </w:p>
    <w:p w14:paraId="07817048" w14:textId="77777777" w:rsidR="00735296" w:rsidRPr="00116A43" w:rsidRDefault="00735296"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16A43">
        <w:rPr>
          <w:rFonts w:ascii="Cambria" w:hAnsi="Cambria"/>
          <w:sz w:val="20"/>
          <w:szCs w:val="20"/>
          <w:lang w:val="es-VE"/>
        </w:rPr>
        <w:t>Con</w:t>
      </w:r>
      <w:r w:rsidRPr="00116A43">
        <w:rPr>
          <w:rFonts w:ascii="Cambria" w:hAnsi="Cambria"/>
          <w:sz w:val="20"/>
          <w:szCs w:val="20"/>
          <w:lang w:val="es-CL"/>
        </w:rPr>
        <w:t xml:space="preserve"> base en las consideraciones de hecho y de derecho contenidas en el presente informe, l</w:t>
      </w:r>
      <w:r w:rsidRPr="00116A43">
        <w:rPr>
          <w:rFonts w:ascii="Cambria" w:hAnsi="Cambria"/>
          <w:sz w:val="20"/>
          <w:szCs w:val="20"/>
        </w:rPr>
        <w:t>a CIDH concluye que el Estado de Cuba violó</w:t>
      </w:r>
      <w:r w:rsidRPr="00116A43">
        <w:rPr>
          <w:rFonts w:asciiTheme="majorHAnsi" w:hAnsiTheme="majorHAnsi"/>
          <w:sz w:val="20"/>
          <w:szCs w:val="20"/>
          <w:lang w:val="es-CO"/>
        </w:rPr>
        <w:t xml:space="preserve"> los derechos reconocidos en los artículos I </w:t>
      </w:r>
      <w:r w:rsidRPr="00116A43">
        <w:rPr>
          <w:rFonts w:asciiTheme="majorHAnsi" w:eastAsia="SimSun" w:hAnsiTheme="majorHAnsi"/>
          <w:sz w:val="20"/>
          <w:szCs w:val="20"/>
          <w:lang w:val="es-PE"/>
        </w:rPr>
        <w:t>(derecho a la vida, a la libertad, a la seguridad e integridad de la persona), II (derecho de igualdad ante la Ley), IV (derecho de libertad de investigación, opinión, expresión y difusión), V (derecho a la protección a la honra, la reputación personal y la vida privada y familiar), VIII (derecho de residencia y tránsito), X (derecho a la inviolabilidad y circulación de la correspondencia), XVIII (derecho de justicia), XXI (derecho de reunión), XXIV (derecho de petición), XXV (derecho de protección contra la detención arbitraria) y XXVI (derecho a proceso regular) de la Declaración Americana de Derechos y Deberes del Hombre, en perjuicio de Yoani Sánchez Cordero.</w:t>
      </w:r>
      <w:r w:rsidRPr="00116A43">
        <w:rPr>
          <w:rFonts w:ascii="Cambria" w:hAnsi="Cambria"/>
          <w:sz w:val="20"/>
          <w:szCs w:val="20"/>
          <w:lang w:val="es-PE"/>
        </w:rPr>
        <w:t xml:space="preserve"> </w:t>
      </w:r>
      <w:r w:rsidRPr="00116A43">
        <w:rPr>
          <w:rFonts w:ascii="Cambria" w:hAnsi="Cambria" w:cs="Arial"/>
          <w:bCs/>
          <w:sz w:val="20"/>
          <w:szCs w:val="20"/>
          <w:lang w:val="es-CO"/>
        </w:rPr>
        <w:t xml:space="preserve">Asimismo, la Comisión concluye que el Estado no es responsable por la violación de los derechos consagrados en los artículos </w:t>
      </w:r>
      <w:r w:rsidRPr="00116A43">
        <w:rPr>
          <w:rFonts w:asciiTheme="majorHAnsi" w:eastAsia="SimSun" w:hAnsiTheme="majorHAnsi"/>
          <w:sz w:val="20"/>
          <w:szCs w:val="20"/>
          <w:lang w:val="es-PE"/>
        </w:rPr>
        <w:t>IX (derecho a la inviolabilidad del domicilio), XX (derecho de sufragio y de participación en el gobierno), y XXII (derecho de asociación), en perjuicio de Yoani Sánchez Cordero.</w:t>
      </w:r>
    </w:p>
    <w:p w14:paraId="0BBD3534" w14:textId="77777777" w:rsidR="00735296" w:rsidRPr="00F04C39" w:rsidRDefault="00735296" w:rsidP="00735296">
      <w:pPr>
        <w:pBdr>
          <w:top w:val="none" w:sz="0" w:space="0" w:color="auto"/>
          <w:left w:val="none" w:sz="0" w:space="0" w:color="auto"/>
          <w:bottom w:val="none" w:sz="0" w:space="0" w:color="auto"/>
          <w:right w:val="none" w:sz="0" w:space="0" w:color="auto"/>
        </w:pBdr>
        <w:jc w:val="both"/>
        <w:rPr>
          <w:rFonts w:ascii="Cambria" w:hAnsi="Cambria"/>
          <w:b/>
          <w:bCs/>
          <w:sz w:val="20"/>
          <w:szCs w:val="20"/>
          <w:lang w:val="es-CL"/>
        </w:rPr>
      </w:pPr>
    </w:p>
    <w:p w14:paraId="74AEC475" w14:textId="73D2E843" w:rsidR="00735296" w:rsidRPr="00F04C39" w:rsidRDefault="00735296" w:rsidP="00735296">
      <w:pPr>
        <w:pBdr>
          <w:top w:val="none" w:sz="0" w:space="0" w:color="auto"/>
          <w:left w:val="none" w:sz="0" w:space="0" w:color="auto"/>
          <w:bottom w:val="none" w:sz="0" w:space="0" w:color="auto"/>
          <w:right w:val="none" w:sz="0" w:space="0" w:color="auto"/>
        </w:pBdr>
        <w:jc w:val="both"/>
        <w:rPr>
          <w:rFonts w:ascii="Cambria" w:hAnsi="Cambria"/>
          <w:b/>
          <w:bCs/>
          <w:sz w:val="20"/>
          <w:szCs w:val="20"/>
          <w:lang w:val="es-CL"/>
        </w:rPr>
      </w:pPr>
      <w:r w:rsidRPr="00F04C39">
        <w:rPr>
          <w:rFonts w:ascii="Cambria" w:hAnsi="Cambria"/>
          <w:b/>
          <w:bCs/>
          <w:sz w:val="20"/>
          <w:szCs w:val="20"/>
          <w:lang w:val="es-CL"/>
        </w:rPr>
        <w:t xml:space="preserve">LA COMISIÓN INTERAMERICANA DE DERECHOS HUMANOS </w:t>
      </w:r>
      <w:r w:rsidRPr="0021135C">
        <w:rPr>
          <w:rFonts w:ascii="Cambria" w:hAnsi="Cambria"/>
          <w:b/>
          <w:bCs/>
          <w:sz w:val="20"/>
          <w:szCs w:val="20"/>
          <w:lang w:val="es-CL"/>
        </w:rPr>
        <w:t>REITERA</w:t>
      </w:r>
      <w:r w:rsidRPr="00F04C39">
        <w:rPr>
          <w:rFonts w:ascii="Cambria" w:hAnsi="Cambria"/>
          <w:b/>
          <w:bCs/>
          <w:sz w:val="20"/>
          <w:szCs w:val="20"/>
          <w:lang w:val="es-CL"/>
        </w:rPr>
        <w:t xml:space="preserve"> AL ESTADO DE CUBA</w:t>
      </w:r>
      <w:r w:rsidR="000C2F73">
        <w:rPr>
          <w:rFonts w:ascii="Cambria" w:hAnsi="Cambria"/>
          <w:b/>
          <w:bCs/>
          <w:sz w:val="20"/>
          <w:szCs w:val="20"/>
          <w:lang w:val="es-CL"/>
        </w:rPr>
        <w:t xml:space="preserve"> SUS RECOMENDACIONES DE</w:t>
      </w:r>
      <w:r w:rsidRPr="00F04C39">
        <w:rPr>
          <w:rFonts w:ascii="Cambria" w:hAnsi="Cambria"/>
          <w:b/>
          <w:bCs/>
          <w:sz w:val="20"/>
          <w:szCs w:val="20"/>
          <w:lang w:val="es-CL"/>
        </w:rPr>
        <w:t>:</w:t>
      </w:r>
    </w:p>
    <w:p w14:paraId="6FB3C206" w14:textId="77777777" w:rsidR="00735296" w:rsidRPr="00F04C39" w:rsidRDefault="00735296" w:rsidP="00735296">
      <w:pPr>
        <w:jc w:val="both"/>
        <w:rPr>
          <w:rFonts w:ascii="Cambria" w:eastAsia="Times New Roman" w:hAnsi="Cambria"/>
          <w:color w:val="000000"/>
          <w:sz w:val="20"/>
          <w:szCs w:val="20"/>
          <w:lang w:val="es-PE"/>
        </w:rPr>
      </w:pPr>
    </w:p>
    <w:p w14:paraId="5E275464"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cs="Times New Roman"/>
          <w:sz w:val="20"/>
          <w:szCs w:val="20"/>
          <w:lang w:val="es-PE"/>
        </w:rPr>
      </w:pPr>
      <w:r w:rsidRPr="00F04C39">
        <w:rPr>
          <w:rFonts w:cs="Tahoma"/>
          <w:sz w:val="20"/>
          <w:szCs w:val="20"/>
          <w:lang w:val="es-ES"/>
        </w:rPr>
        <w:t xml:space="preserve">Reparar integralmente las violaciones de derechos humanos declaradas en el presente informe tanto en el aspecto material como inmaterial, lo cual deberá incluir la </w:t>
      </w:r>
      <w:r w:rsidRPr="00F04C39">
        <w:rPr>
          <w:sz w:val="20"/>
          <w:szCs w:val="20"/>
          <w:lang w:val="es-PE"/>
        </w:rPr>
        <w:t>reparación por la estigmatización a la que ha estado sometida Yoani Sánchez.</w:t>
      </w:r>
    </w:p>
    <w:p w14:paraId="25DD760B" w14:textId="77777777" w:rsidR="00735296" w:rsidRPr="00F04C39" w:rsidRDefault="00735296" w:rsidP="00375047">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New Roman"/>
          <w:sz w:val="20"/>
          <w:szCs w:val="20"/>
        </w:rPr>
      </w:pPr>
    </w:p>
    <w:p w14:paraId="3C06452F" w14:textId="77777777" w:rsidR="00735296"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sz w:val="20"/>
          <w:szCs w:val="20"/>
          <w:lang w:val="es-419"/>
        </w:rPr>
      </w:pPr>
      <w:r w:rsidRPr="00F04C39">
        <w:rPr>
          <w:rFonts w:cs="Tahoma"/>
          <w:sz w:val="20"/>
          <w:szCs w:val="20"/>
          <w:lang w:val="es-ES"/>
        </w:rPr>
        <w:t>Cesar</w:t>
      </w:r>
      <w:r w:rsidRPr="00F04C39">
        <w:rPr>
          <w:sz w:val="20"/>
          <w:szCs w:val="20"/>
          <w:lang w:val="es-ES"/>
        </w:rPr>
        <w:t xml:space="preserve"> de manera inmediata la persecución contra Yoani Sánchez Cordero, en particular, los actos de hostigamiento, acoso, campañas de desprestigio, interceptaciones telefónicas, ataques, y citaciones policiales arbitrarias, </w:t>
      </w:r>
      <w:r w:rsidRPr="00F04C39">
        <w:rPr>
          <w:rFonts w:eastAsia="Times New Roman"/>
          <w:sz w:val="20"/>
          <w:szCs w:val="20"/>
          <w:lang w:val="es-419"/>
        </w:rPr>
        <w:t xml:space="preserve">garantizando que la periodista pueda llevar a cabo su trabajo sin temor a intimidación o represalias, y sin restricciones indebidas sobre su derecho a la libertad de expresión, de reunión y demás derechos analizados en el presente informe. </w:t>
      </w:r>
    </w:p>
    <w:p w14:paraId="5798F6F6" w14:textId="77777777" w:rsidR="00735296" w:rsidRPr="00B6307C" w:rsidRDefault="00735296" w:rsidP="00375047">
      <w:pPr>
        <w:pStyle w:val="ListParagraph"/>
        <w:ind w:hanging="720"/>
        <w:rPr>
          <w:rFonts w:eastAsia="Times New Roman"/>
          <w:sz w:val="20"/>
          <w:szCs w:val="20"/>
          <w:lang w:val="es-419"/>
        </w:rPr>
      </w:pPr>
    </w:p>
    <w:p w14:paraId="224721DF" w14:textId="77777777" w:rsidR="00735296" w:rsidRPr="00A50C9A"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sz w:val="20"/>
          <w:szCs w:val="20"/>
          <w:lang w:val="es-419"/>
        </w:rPr>
      </w:pPr>
      <w:r w:rsidRPr="00A50C9A">
        <w:rPr>
          <w:rFonts w:eastAsia="Times New Roman"/>
          <w:sz w:val="20"/>
          <w:szCs w:val="20"/>
          <w:lang w:val="es-419"/>
        </w:rPr>
        <w:t>Tomar las medidas necesarias para garantizar plenamente el derecho de Yoani Sánchez a salir y entrar libremente de Cuba y circular libremente dentro del país.</w:t>
      </w:r>
    </w:p>
    <w:p w14:paraId="1DEB2E12" w14:textId="77777777" w:rsidR="00735296" w:rsidRPr="00F04C39" w:rsidRDefault="00735296"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720"/>
        <w:jc w:val="both"/>
        <w:rPr>
          <w:sz w:val="20"/>
          <w:szCs w:val="20"/>
          <w:lang w:val="es-419"/>
        </w:rPr>
      </w:pPr>
    </w:p>
    <w:p w14:paraId="62533C02"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sz w:val="20"/>
          <w:szCs w:val="20"/>
          <w:lang w:val="es-ES"/>
        </w:rPr>
      </w:pPr>
      <w:r w:rsidRPr="00575B69">
        <w:rPr>
          <w:rFonts w:eastAsia="Times New Roman"/>
          <w:sz w:val="20"/>
          <w:szCs w:val="20"/>
          <w:lang w:val="es-419"/>
        </w:rPr>
        <w:t>Realizar</w:t>
      </w:r>
      <w:r w:rsidRPr="00F04C39">
        <w:rPr>
          <w:rFonts w:eastAsia="Times New Roman"/>
          <w:sz w:val="20"/>
          <w:szCs w:val="20"/>
          <w:bdr w:val="none" w:sz="0" w:space="0" w:color="auto"/>
          <w:lang w:val="es-AR"/>
        </w:rPr>
        <w:t xml:space="preserve"> una investigación completa, imparcial, efectiva, de manera expedita, que permita esclarecer las circunstancias de las detenciones ilegales y arbitrarias y las agresiones físicas perpetradas en contra de Yoani Sánchez, especialmente los hechos relacionados con el intento de desnudez forzada, y determinar las responsabilidades correspondientes, tanto en cuanto a su autoría material como intelectual</w:t>
      </w:r>
      <w:r>
        <w:rPr>
          <w:rFonts w:eastAsia="Times New Roman"/>
          <w:sz w:val="20"/>
          <w:szCs w:val="20"/>
          <w:bdr w:val="none" w:sz="0" w:space="0" w:color="auto"/>
          <w:lang w:val="es-AR"/>
        </w:rPr>
        <w:t xml:space="preserve"> y adoptar las medidas para evitar que vuelvan a ocurrir hechos como estos</w:t>
      </w:r>
    </w:p>
    <w:p w14:paraId="2E31FFE7" w14:textId="77777777" w:rsidR="00735296" w:rsidRPr="00F04C39" w:rsidRDefault="00735296"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720"/>
        <w:jc w:val="both"/>
        <w:rPr>
          <w:sz w:val="20"/>
          <w:szCs w:val="20"/>
          <w:lang w:val="es-ES"/>
        </w:rPr>
      </w:pPr>
    </w:p>
    <w:p w14:paraId="4F331F54"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cs="Times New Roman"/>
          <w:sz w:val="20"/>
          <w:szCs w:val="20"/>
          <w:lang w:val="es-PE"/>
        </w:rPr>
      </w:pPr>
      <w:r w:rsidRPr="00F04C39">
        <w:rPr>
          <w:rFonts w:eastAsia="Times New Roman"/>
          <w:sz w:val="20"/>
          <w:szCs w:val="20"/>
          <w:lang w:val="es-PE"/>
        </w:rPr>
        <w:t>Desactivar</w:t>
      </w:r>
      <w:r w:rsidRPr="00F04C39">
        <w:rPr>
          <w:sz w:val="20"/>
          <w:szCs w:val="20"/>
          <w:lang w:val="es-PE"/>
        </w:rPr>
        <w:t xml:space="preserve"> el filtro informático que impide el acceso al blog “Generación Y” en los sitios públicos de Internet en Cuba y permitir el acceso </w:t>
      </w:r>
      <w:r w:rsidRPr="00F04C39">
        <w:rPr>
          <w:rFonts w:eastAsia="Times New Roman" w:cs="Times New Roman"/>
          <w:sz w:val="20"/>
          <w:szCs w:val="20"/>
          <w:lang w:val="es-PE"/>
        </w:rPr>
        <w:t>a los contenidos en línea</w:t>
      </w:r>
      <w:r w:rsidRPr="00F04C39">
        <w:rPr>
          <w:rFonts w:eastAsia="Times New Roman"/>
          <w:sz w:val="20"/>
          <w:szCs w:val="20"/>
          <w:lang w:val="es-419"/>
        </w:rPr>
        <w:t xml:space="preserve"> de Yoani Sánchez dentro de Cuba, así como conducirse bajo el principio de neutralidad de la red, de conformidad con los estándares descritos en el presente informe. </w:t>
      </w:r>
    </w:p>
    <w:p w14:paraId="7745AE42" w14:textId="77777777" w:rsidR="00735296" w:rsidRPr="00F04C39" w:rsidRDefault="00735296" w:rsidP="00375047">
      <w:pPr>
        <w:pStyle w:val="ListParagraph"/>
        <w:ind w:hanging="720"/>
        <w:rPr>
          <w:rFonts w:eastAsia="Times New Roman" w:cs="Times New Roman"/>
          <w:sz w:val="20"/>
          <w:szCs w:val="20"/>
          <w:lang w:val="es-PE"/>
        </w:rPr>
      </w:pPr>
    </w:p>
    <w:p w14:paraId="473B0486"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sz w:val="20"/>
          <w:szCs w:val="20"/>
          <w:lang w:val="es-PE"/>
        </w:rPr>
      </w:pPr>
      <w:r w:rsidRPr="00F04C39">
        <w:rPr>
          <w:sz w:val="20"/>
          <w:szCs w:val="20"/>
          <w:lang w:val="es-PE"/>
        </w:rPr>
        <w:t xml:space="preserve">Adoptar las siguientes garantías de no repetición, para lo cual el Estado deberá: i) </w:t>
      </w:r>
      <w:r w:rsidRPr="00F04C39">
        <w:rPr>
          <w:rFonts w:eastAsia="Times New Roman"/>
          <w:sz w:val="20"/>
          <w:szCs w:val="20"/>
          <w:bdr w:val="none" w:sz="0" w:space="0" w:color="auto"/>
          <w:lang w:val="es-CO"/>
        </w:rPr>
        <w:t xml:space="preserve">Adecuar sus leyes, procedimientos y prácticas a las normas y estándares internacionales sobre derechos humanos establecidos en el presente informe, para lo cual deberá, entre otras cosas, modificar su normativa interna, incluida </w:t>
      </w:r>
      <w:r w:rsidRPr="00F04C39">
        <w:rPr>
          <w:sz w:val="20"/>
          <w:szCs w:val="20"/>
          <w:lang w:val="es-PE"/>
        </w:rPr>
        <w:t>la referida al entorno digital,</w:t>
      </w:r>
      <w:r w:rsidRPr="00F04C39">
        <w:rPr>
          <w:rFonts w:eastAsia="Times New Roman"/>
          <w:sz w:val="20"/>
          <w:szCs w:val="20"/>
          <w:bdr w:val="none" w:sz="0" w:space="0" w:color="auto"/>
          <w:lang w:val="es-CO"/>
        </w:rPr>
        <w:t xml:space="preserve"> con el fin de asegurar el ejercicio y goce de los derechos analizados de forma efectiva, en especial el derecho a la libertad de expresión, sin condicionamientos a la defensa del Estado socialista, y ii) </w:t>
      </w:r>
      <w:r w:rsidRPr="00F04C39">
        <w:rPr>
          <w:sz w:val="20"/>
          <w:szCs w:val="20"/>
          <w:lang w:val="es-PE"/>
        </w:rPr>
        <w:t xml:space="preserve">Adoptar mecanismos de prevención, investigación y sanción, adecuados y efectivos, con perspectiva de género, para evitar y combatir la violencia y el acoso contra los y las periodistas y/o comunicadores sociales, ya sea que provengan de agentes estatales o de terceros. Lo anterior deberá incluir la condena pública a todo acto de agresión, incluida la violencia de género, especialmente desde las más altas instancias del gobierno; la abstención de recurrir a declaraciones estigmatizantes por parte de las autoridades públicas o de personas que utilicen los medios públicos de comunicación, así como la adopción de medidas necesarias para garantizar el inicio de investigaciones y procesos judiciales ante la presentación de denuncias por la comisión de hechos de violencia, de conformidad con lo señalado en el presente informe. </w:t>
      </w:r>
    </w:p>
    <w:p w14:paraId="3E296DE9" w14:textId="77777777" w:rsidR="00735296" w:rsidRPr="00F04C39" w:rsidRDefault="00735296"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sz w:val="20"/>
          <w:szCs w:val="20"/>
          <w:lang w:val="es-PE"/>
        </w:rPr>
      </w:pPr>
    </w:p>
    <w:p w14:paraId="566A4654"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sz w:val="20"/>
          <w:szCs w:val="20"/>
          <w:bdr w:val="none" w:sz="0" w:space="0" w:color="auto"/>
          <w:lang w:val="es-ES_tradnl"/>
        </w:rPr>
      </w:pPr>
      <w:r w:rsidRPr="00F04C39">
        <w:rPr>
          <w:rFonts w:eastAsia="Times New Roman"/>
          <w:sz w:val="20"/>
          <w:szCs w:val="20"/>
          <w:lang w:val="es-419"/>
        </w:rPr>
        <w:t xml:space="preserve">Abstenerse de ejercer un control absoluto sobre internet, así como </w:t>
      </w:r>
      <w:r w:rsidRPr="00F04C39">
        <w:rPr>
          <w:sz w:val="20"/>
          <w:szCs w:val="20"/>
          <w:lang w:val="es-PE"/>
        </w:rPr>
        <w:t xml:space="preserve">filtrar y bloquear contenidos de forma arbitraria, </w:t>
      </w:r>
      <w:r w:rsidRPr="00F04C39">
        <w:rPr>
          <w:sz w:val="20"/>
          <w:szCs w:val="20"/>
          <w:bdr w:val="none" w:sz="0" w:space="0" w:color="auto"/>
          <w:lang w:val="es-419"/>
        </w:rPr>
        <w:t xml:space="preserve">es decir que, para que las </w:t>
      </w:r>
      <w:r w:rsidRPr="00F04C39">
        <w:rPr>
          <w:sz w:val="20"/>
          <w:szCs w:val="20"/>
          <w:lang w:val="es-419"/>
        </w:rPr>
        <w:t xml:space="preserve">restricciones a la libertad de expresión en Internet sean legítimas, deberán cumplir con los requisitos de legalidad, </w:t>
      </w:r>
      <w:r w:rsidRPr="00F04C39">
        <w:rPr>
          <w:sz w:val="20"/>
          <w:szCs w:val="20"/>
          <w:bdr w:val="none" w:sz="0" w:space="0" w:color="auto"/>
          <w:lang w:val="es-419"/>
        </w:rPr>
        <w:t xml:space="preserve">finalidad legítima, necesidad y proporcionalidad. El Estado deberá adoptar </w:t>
      </w:r>
      <w:r w:rsidRPr="00F04C39">
        <w:rPr>
          <w:sz w:val="20"/>
          <w:szCs w:val="20"/>
          <w:bdr w:val="none" w:sz="0" w:space="0" w:color="auto"/>
          <w:lang w:val="es-ES_tradnl"/>
        </w:rPr>
        <w:t>salvaguardas para garantizar la transparencia respecto de los contenidos cuya remoción haya sido ordenada, con base en los requisitos antes descritos.</w:t>
      </w:r>
    </w:p>
    <w:p w14:paraId="4618F7AE" w14:textId="77777777" w:rsidR="00735296" w:rsidRPr="00F04C39" w:rsidRDefault="00735296" w:rsidP="003750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cs="Times New Roman"/>
          <w:sz w:val="20"/>
          <w:szCs w:val="20"/>
          <w:lang w:val="es-PE"/>
        </w:rPr>
      </w:pPr>
    </w:p>
    <w:p w14:paraId="46E2AF05" w14:textId="77777777" w:rsidR="00735296" w:rsidRPr="00F04C39" w:rsidRDefault="00735296" w:rsidP="0046099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eastAsia="Times New Roman"/>
          <w:sz w:val="20"/>
          <w:szCs w:val="20"/>
          <w:lang w:val="es-PE"/>
        </w:rPr>
      </w:pPr>
      <w:r w:rsidRPr="00F04C39">
        <w:rPr>
          <w:rFonts w:eastAsia="Times New Roman"/>
          <w:sz w:val="20"/>
          <w:szCs w:val="20"/>
          <w:bdr w:val="none" w:sz="0" w:space="0" w:color="auto"/>
          <w:lang w:val="es-CO"/>
        </w:rPr>
        <w:t xml:space="preserve">Adoptar las medidas necesarias para garantizar la independencia e imparcialidad tanto institucional como funcional, de las autoridades fiscales, judiciales y de cualquier otro tipo de funcionarios </w:t>
      </w:r>
      <w:r w:rsidRPr="00F04C39">
        <w:rPr>
          <w:rFonts w:eastAsia="Times New Roman"/>
          <w:sz w:val="20"/>
          <w:szCs w:val="20"/>
          <w:lang w:val="es-419"/>
        </w:rPr>
        <w:t>estatales que adopten decisiones que determinen el alcance de los derechos humanos de las personas, como por ejemplo la Dirección de Inmigración y Extranjería</w:t>
      </w:r>
      <w:r w:rsidRPr="00F04C39">
        <w:rPr>
          <w:rFonts w:eastAsia="Times New Roman"/>
          <w:sz w:val="20"/>
          <w:szCs w:val="20"/>
          <w:bdr w:val="none" w:sz="0" w:space="0" w:color="auto"/>
          <w:lang w:val="es-CO"/>
        </w:rPr>
        <w:t xml:space="preserve">, de conformidad con los criterios establecidos en el presente informe. </w:t>
      </w:r>
    </w:p>
    <w:p w14:paraId="05D0211C" w14:textId="77777777" w:rsidR="000C2F73" w:rsidRPr="00E10008" w:rsidRDefault="000C2F73" w:rsidP="000C2F7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jc w:val="both"/>
        <w:rPr>
          <w:sz w:val="20"/>
          <w:szCs w:val="20"/>
        </w:rPr>
      </w:pPr>
    </w:p>
    <w:p w14:paraId="1C92E533" w14:textId="77777777" w:rsidR="000C2F73" w:rsidRPr="00343366" w:rsidRDefault="000C2F73" w:rsidP="00375047">
      <w:pPr>
        <w:pStyle w:val="Heading1"/>
        <w:rPr>
          <w:bdr w:val="none" w:sz="0" w:space="0" w:color="auto" w:frame="1"/>
        </w:rPr>
      </w:pPr>
      <w:bookmarkStart w:id="50" w:name="_Toc47700541"/>
      <w:bookmarkStart w:id="51" w:name="_Toc58425603"/>
      <w:bookmarkStart w:id="52" w:name="_Toc58491252"/>
      <w:bookmarkStart w:id="53" w:name="_Toc89157588"/>
      <w:r w:rsidRPr="00343366">
        <w:rPr>
          <w:bdr w:val="none" w:sz="0" w:space="0" w:color="auto" w:frame="1"/>
        </w:rPr>
        <w:t>PUBLICACIÓN</w:t>
      </w:r>
      <w:bookmarkEnd w:id="50"/>
      <w:bookmarkEnd w:id="51"/>
      <w:bookmarkEnd w:id="52"/>
      <w:bookmarkEnd w:id="53"/>
    </w:p>
    <w:p w14:paraId="4A6F8794" w14:textId="77777777" w:rsidR="000C2F73" w:rsidRPr="00343366" w:rsidRDefault="000C2F73" w:rsidP="000C2F73"/>
    <w:p w14:paraId="33B11F7E" w14:textId="6C74BE3A" w:rsidR="000C2F73" w:rsidRPr="00343366" w:rsidRDefault="000C2F73" w:rsidP="0037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hAnsiTheme="majorHAnsi"/>
          <w:sz w:val="20"/>
          <w:szCs w:val="20"/>
        </w:rPr>
      </w:pPr>
      <w:r w:rsidRPr="00343366">
        <w:rPr>
          <w:rFonts w:asciiTheme="majorHAnsi" w:hAnsiTheme="majorHAnsi"/>
          <w:sz w:val="20"/>
          <w:szCs w:val="20"/>
          <w:lang w:val="es-VE"/>
        </w:rPr>
        <w:t>En</w:t>
      </w:r>
      <w:r w:rsidRPr="00343366">
        <w:rPr>
          <w:rFonts w:asciiTheme="majorHAnsi" w:hAnsiTheme="majorHAnsi"/>
          <w:sz w:val="20"/>
          <w:szCs w:val="20"/>
        </w:rPr>
        <w:t xml:space="preserve">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Cuba con respecto a las recomendaciones anteriores hasta que determine que se ha cumplido plenamente.</w:t>
      </w:r>
    </w:p>
    <w:p w14:paraId="519813E0" w14:textId="118255E0" w:rsidR="0021135C" w:rsidRDefault="0021135C" w:rsidP="0021135C">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sz w:val="20"/>
          <w:szCs w:val="20"/>
          <w:lang w:val="es-PE"/>
        </w:rPr>
      </w:pPr>
    </w:p>
    <w:p w14:paraId="026AFB7F" w14:textId="055323E3" w:rsidR="00343366" w:rsidRDefault="00343366" w:rsidP="00343366">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hAnsi="Cambria" w:cs="Calibri"/>
          <w:color w:val="201F1E"/>
          <w:spacing w:val="-2"/>
          <w:sz w:val="20"/>
          <w:szCs w:val="20"/>
          <w:bdr w:val="none" w:sz="0" w:space="0" w:color="auto" w:frame="1"/>
          <w:lang w:val="es-CL"/>
        </w:rPr>
        <w:t xml:space="preserve"> 30 días del mes de octubre de 2021. </w:t>
      </w:r>
      <w:r>
        <w:rPr>
          <w:rFonts w:ascii="Cambria" w:hAnsi="Cambria" w:cs="Calibri"/>
          <w:color w:val="201F1E"/>
          <w:spacing w:val="-2"/>
          <w:sz w:val="20"/>
          <w:szCs w:val="20"/>
          <w:bdr w:val="none" w:sz="0" w:space="0" w:color="auto" w:frame="1"/>
          <w:lang w:val="es-CL"/>
        </w:rPr>
        <w:t>(Firmado): Antonia Urrejola Noguera, Presidenta; Julissa Mantilla Falcón, Primera Vicepresidenta; Flávia Piovesan, Segunda Vicepresidenta; Margarette May Macaulay, Esmeralda E. Arosemena de Troitiño, Joel Hernández Gracía y Edgar Stuardo Ralón Orellana, Miembros de la Comisión.</w:t>
      </w:r>
    </w:p>
    <w:p w14:paraId="5D3EDED9" w14:textId="77777777" w:rsidR="00343366" w:rsidRDefault="00343366" w:rsidP="00343366">
      <w:pPr>
        <w:pStyle w:val="xparrafos"/>
        <w:spacing w:before="0" w:beforeAutospacing="0" w:after="0" w:afterAutospacing="0"/>
        <w:jc w:val="both"/>
        <w:rPr>
          <w:rFonts w:ascii="Cambria" w:hAnsi="Cambria"/>
          <w:color w:val="000000"/>
          <w:sz w:val="20"/>
          <w:szCs w:val="20"/>
        </w:rPr>
      </w:pPr>
    </w:p>
    <w:sectPr w:rsidR="0034336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3069" w14:textId="77777777" w:rsidR="00460990" w:rsidRDefault="00460990">
      <w:r>
        <w:separator/>
      </w:r>
    </w:p>
  </w:endnote>
  <w:endnote w:type="continuationSeparator" w:id="0">
    <w:p w14:paraId="3075CEFF" w14:textId="77777777" w:rsidR="00460990" w:rsidRDefault="004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862100F" w14:textId="212A7E90" w:rsidR="00F640DA" w:rsidRPr="00934A2C" w:rsidRDefault="00F640D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51</w:t>
        </w:r>
        <w:r w:rsidRPr="00934A2C">
          <w:rPr>
            <w:noProof/>
            <w:sz w:val="16"/>
            <w:szCs w:val="22"/>
          </w:rPr>
          <w:fldChar w:fldCharType="end"/>
        </w:r>
      </w:p>
    </w:sdtContent>
  </w:sdt>
  <w:p w14:paraId="350ED4E9" w14:textId="77777777" w:rsidR="00F640DA" w:rsidRDefault="00F6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7B7" w14:textId="77777777" w:rsidR="00F640DA" w:rsidRPr="00934A2C" w:rsidRDefault="00F640DA">
    <w:pPr>
      <w:pStyle w:val="Footer"/>
      <w:jc w:val="center"/>
      <w:rPr>
        <w:sz w:val="16"/>
        <w:szCs w:val="22"/>
      </w:rPr>
    </w:pPr>
  </w:p>
  <w:p w14:paraId="44A262E5" w14:textId="77777777" w:rsidR="00F640DA" w:rsidRDefault="00F6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1E37" w14:textId="77777777" w:rsidR="00460990" w:rsidRPr="000F35ED" w:rsidRDefault="004609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8369CC" w14:textId="77777777" w:rsidR="00460990" w:rsidRPr="000F35ED" w:rsidRDefault="00460990" w:rsidP="000F35ED">
      <w:pPr>
        <w:rPr>
          <w:rFonts w:asciiTheme="majorHAnsi" w:hAnsiTheme="majorHAnsi"/>
          <w:sz w:val="16"/>
          <w:szCs w:val="16"/>
        </w:rPr>
      </w:pPr>
      <w:r w:rsidRPr="000F35ED">
        <w:rPr>
          <w:rFonts w:asciiTheme="majorHAnsi" w:hAnsiTheme="majorHAnsi"/>
          <w:sz w:val="16"/>
          <w:szCs w:val="16"/>
        </w:rPr>
        <w:separator/>
      </w:r>
    </w:p>
    <w:p w14:paraId="697E7F1D" w14:textId="77777777" w:rsidR="00460990" w:rsidRPr="000F35ED" w:rsidRDefault="0046099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A0E50B0" w14:textId="77777777" w:rsidR="00460990" w:rsidRPr="000F35ED" w:rsidRDefault="0046099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73F3766" w14:textId="3E373D05"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Los peticionarios solicitaron reserva de identidad con base en el artículo 28.2 del Reglamento de la CIDH, el que establece que:</w:t>
      </w:r>
      <w:r w:rsidRPr="00116A43">
        <w:rPr>
          <w:rFonts w:ascii="Cambria" w:eastAsia="Cambria" w:hAnsi="Cambria" w:cs="Cambria"/>
          <w:sz w:val="16"/>
          <w:szCs w:val="16"/>
          <w:lang w:val="es-ES_tradnl"/>
        </w:rPr>
        <w:t xml:space="preserve"> “[l]as peticiones dirigidas a la Comisión deberán contener la siguiente información: 2. Si el peticionario desea que su identidad sea mantenida en reserva frente al Estado, y las razones respectivas”.</w:t>
      </w:r>
    </w:p>
  </w:footnote>
  <w:footnote w:id="3">
    <w:p w14:paraId="0A84A4FA" w14:textId="2F357D60" w:rsidR="00F640DA" w:rsidRPr="00116A43" w:rsidRDefault="00F640DA" w:rsidP="00447791">
      <w:pPr>
        <w:pStyle w:val="FootnoteText"/>
        <w:jc w:val="both"/>
        <w:rPr>
          <w:rFonts w:ascii="Cambria" w:hAnsi="Cambria"/>
          <w:sz w:val="16"/>
          <w:szCs w:val="16"/>
          <w:vertAlign w:val="superscript"/>
          <w:lang w:val="es-PE"/>
        </w:rPr>
      </w:pPr>
      <w:r w:rsidRPr="00116A43">
        <w:rPr>
          <w:rStyle w:val="FootnoteReference"/>
          <w:rFonts w:ascii="Cambria" w:hAnsi="Cambria"/>
          <w:sz w:val="16"/>
          <w:szCs w:val="16"/>
        </w:rPr>
        <w:footnoteRef/>
      </w:r>
      <w:r w:rsidRPr="00116A43">
        <w:rPr>
          <w:rFonts w:ascii="Cambria" w:hAnsi="Cambria"/>
          <w:sz w:val="16"/>
          <w:szCs w:val="16"/>
          <w:vertAlign w:val="superscript"/>
          <w:lang w:val="es-PE"/>
        </w:rPr>
        <w:t xml:space="preserve"> </w:t>
      </w:r>
      <w:r w:rsidRPr="00116A43">
        <w:rPr>
          <w:rFonts w:ascii="Cambria" w:hAnsi="Cambria"/>
          <w:sz w:val="16"/>
          <w:szCs w:val="16"/>
          <w:lang w:val="es-PE"/>
        </w:rPr>
        <w:t>La parte peticionaria interpuso una solicitud de medidas cautelares el 28 de septiembre de 2012, en el mismo escrito de la petición inicial. El 5 de octubre de 2012 ampliaron dicha información y el 17 de octubre del mismo año aportaron mayores elementos a la CIDH, de conformidad con una solicitud remitida por esta última. La CIDH requirió observaciones al Estado cubano, quien no contestó. Mediante comunicación de 9 de noviembre de 2012 se adoptaron las medidas cautelares, las cuales, a la fecha de emisión del presente informe, se encuentran vigentes. CIDH</w:t>
      </w:r>
      <w:hyperlink r:id="rId1" w:history="1">
        <w:r w:rsidRPr="00116A43">
          <w:rPr>
            <w:rStyle w:val="Hyperlink"/>
            <w:rFonts w:ascii="Cambria" w:hAnsi="Cambria"/>
            <w:color w:val="auto"/>
            <w:sz w:val="16"/>
            <w:szCs w:val="16"/>
            <w:u w:val="none"/>
            <w:lang w:val="es-PE"/>
          </w:rPr>
          <w:t>. Comunicación de 9 de noviembre de 2012. MC-350-12. Yoani María Sánchez Cordero, Cuba</w:t>
        </w:r>
      </w:hyperlink>
      <w:r w:rsidRPr="00116A43">
        <w:rPr>
          <w:rFonts w:ascii="Cambria" w:hAnsi="Cambria"/>
          <w:color w:val="auto"/>
          <w:sz w:val="16"/>
          <w:szCs w:val="16"/>
          <w:lang w:val="es-PE"/>
        </w:rPr>
        <w:t>.</w:t>
      </w:r>
    </w:p>
  </w:footnote>
  <w:footnote w:id="4">
    <w:p w14:paraId="279CD356" w14:textId="682CC773"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eastAsia="Cambria" w:hAnsi="Cambria" w:cs="Cambria"/>
          <w:sz w:val="16"/>
          <w:szCs w:val="16"/>
          <w:lang w:val="es-ES_tradnl"/>
        </w:rPr>
        <w:t>Comunicación de la CIDH remitida al Estado de Cuba el 23 de julio de 2018 mediante la cual le notifica su decisión de aplicar la Resolución 1/16 de 18 de octubre de 2016.</w:t>
      </w:r>
    </w:p>
  </w:footnote>
  <w:footnote w:id="5">
    <w:p w14:paraId="65708D89" w14:textId="51B4980B" w:rsidR="00F640DA" w:rsidRPr="00116A43" w:rsidRDefault="00F640DA" w:rsidP="00B92BE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6"/>
          <w:szCs w:val="16"/>
        </w:rPr>
      </w:pPr>
      <w:r w:rsidRPr="00116A43">
        <w:rPr>
          <w:rFonts w:ascii="Cambria" w:eastAsia="Calibri" w:hAnsi="Cambria" w:cs="Calibri"/>
          <w:color w:val="000000"/>
          <w:sz w:val="16"/>
          <w:szCs w:val="16"/>
          <w:u w:color="000000"/>
          <w:vertAlign w:val="superscript"/>
          <w:lang w:val="es-PE" w:eastAsia="es-ES"/>
        </w:rPr>
        <w:footnoteRef/>
      </w:r>
      <w:r w:rsidRPr="00116A43">
        <w:rPr>
          <w:rFonts w:ascii="Cambria" w:eastAsia="Calibri" w:hAnsi="Cambria" w:cs="Calibri"/>
          <w:color w:val="000000"/>
          <w:sz w:val="16"/>
          <w:szCs w:val="16"/>
          <w:u w:color="000000"/>
          <w:vertAlign w:val="superscript"/>
          <w:lang w:val="es-PE" w:eastAsia="es-ES"/>
        </w:rPr>
        <w:t xml:space="preserve"> </w:t>
      </w:r>
      <w:r w:rsidRPr="00116A43">
        <w:rPr>
          <w:rFonts w:ascii="Cambria" w:eastAsia="Calibri" w:hAnsi="Cambria" w:cs="Calibri"/>
          <w:color w:val="000000"/>
          <w:sz w:val="16"/>
          <w:szCs w:val="16"/>
          <w:u w:color="000000"/>
          <w:lang w:val="es-PE" w:eastAsia="es-ES"/>
        </w:rPr>
        <w:t>El 26 de julio de 2016 la CIDH remitió las partes pertinentes de la petición. El Estado no remitió observaciones a la petición, a pesar de que dicha solicitud le fue reiterada. Luego de la adopción y notificación de la Resolución 1/16 el Estado tampoco remitió observaciones sobre la admisibilidad o fondo del caso.  El 11 de febrero de 2019 la parte peticionaria presentó sus observaciones sobre el fondo.</w:t>
      </w:r>
    </w:p>
  </w:footnote>
  <w:footnote w:id="6">
    <w:p w14:paraId="0A6C8AFF" w14:textId="3D6101BF"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No. 71/16. Petición 765-09. Admisibilidad. Comunidad Q’oq’ob del Municipio de Santa María Nebaj. Guatemala. 6 de diciembre de 2016, párr. 27; CIDH. Informe No. 77/20. Petición 1756-10. Inadmisibilidad. Ismael Estrada. Estados Unidos de América. 25 de marzo de 2020, párr. 8.</w:t>
      </w:r>
    </w:p>
  </w:footnote>
  <w:footnote w:id="7">
    <w:p w14:paraId="00EA0334" w14:textId="3553D7D5"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A65DA7">
        <w:rPr>
          <w:rFonts w:ascii="Cambria" w:hAnsi="Cambria"/>
          <w:sz w:val="16"/>
          <w:szCs w:val="16"/>
          <w:lang w:val="es-US"/>
        </w:rPr>
        <w:t>Informe No. 8/21</w:t>
      </w:r>
      <w:r>
        <w:rPr>
          <w:rFonts w:ascii="Cambria" w:hAnsi="Cambria"/>
          <w:sz w:val="16"/>
          <w:szCs w:val="16"/>
          <w:lang w:val="es-US"/>
        </w:rPr>
        <w:t>.</w:t>
      </w:r>
      <w:r w:rsidRPr="00A65DA7">
        <w:rPr>
          <w:rFonts w:ascii="Cambria" w:hAnsi="Cambria"/>
          <w:sz w:val="16"/>
          <w:szCs w:val="16"/>
          <w:lang w:val="es-US"/>
        </w:rPr>
        <w:t xml:space="preserve"> Petición 992/10. Admisibilidad. Guillermo Zuloaga Núñez. Venezuela. 10 de enero de 2021, párr. </w:t>
      </w:r>
      <w:r w:rsidRPr="00644687">
        <w:rPr>
          <w:rFonts w:ascii="Cambria" w:hAnsi="Cambria"/>
          <w:sz w:val="16"/>
          <w:szCs w:val="16"/>
          <w:lang w:val="es-US"/>
        </w:rPr>
        <w:t>15.</w:t>
      </w:r>
    </w:p>
  </w:footnote>
  <w:footnote w:id="8">
    <w:p w14:paraId="2C89967E" w14:textId="5D973C95"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ES"/>
        </w:rPr>
        <w:t xml:space="preserve"> </w:t>
      </w:r>
      <w:r w:rsidRPr="00116A43">
        <w:rPr>
          <w:rFonts w:ascii="Cambria" w:hAnsi="Cambria"/>
          <w:sz w:val="16"/>
          <w:szCs w:val="16"/>
          <w:lang w:val="es-ES_tradnl"/>
        </w:rPr>
        <w:t>CIDH, Informe No. 69/08</w:t>
      </w:r>
      <w:r>
        <w:rPr>
          <w:rFonts w:ascii="Cambria" w:hAnsi="Cambria"/>
          <w:sz w:val="16"/>
          <w:szCs w:val="16"/>
          <w:lang w:val="es-ES_tradnl"/>
        </w:rPr>
        <w:t>.</w:t>
      </w:r>
      <w:r w:rsidRPr="00116A43">
        <w:rPr>
          <w:rFonts w:ascii="Cambria" w:hAnsi="Cambria"/>
          <w:sz w:val="16"/>
          <w:szCs w:val="16"/>
          <w:lang w:val="es-ES_tradnl"/>
        </w:rPr>
        <w:t xml:space="preserve"> Petición 681-00. Admisibilidad. Guillermo Patricio Lynn. Argentina. 16 de octubre de 2008, párr. </w:t>
      </w:r>
      <w:r w:rsidRPr="00644687">
        <w:rPr>
          <w:rFonts w:ascii="Cambria" w:hAnsi="Cambria"/>
          <w:sz w:val="16"/>
          <w:szCs w:val="16"/>
          <w:lang w:val="es-US"/>
        </w:rPr>
        <w:t xml:space="preserve">48, e Informe No. 8/21. Petición 992/10. </w:t>
      </w:r>
      <w:r w:rsidRPr="00A65DA7">
        <w:rPr>
          <w:rFonts w:ascii="Cambria" w:hAnsi="Cambria"/>
          <w:sz w:val="16"/>
          <w:szCs w:val="16"/>
          <w:lang w:val="es-US"/>
        </w:rPr>
        <w:t>Admisibilidad. Guillermo Zuloaga Núñez. Venezuela. 10 de enero de 2021, párr. 15.</w:t>
      </w:r>
    </w:p>
  </w:footnote>
  <w:footnote w:id="9">
    <w:p w14:paraId="355F26E2" w14:textId="450180F2"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99-101.</w:t>
      </w:r>
    </w:p>
  </w:footnote>
  <w:footnote w:id="10">
    <w:p w14:paraId="1E63798B" w14:textId="2DAFEE2B"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168-175.</w:t>
      </w:r>
    </w:p>
  </w:footnote>
  <w:footnote w:id="11">
    <w:p w14:paraId="693A85A0" w14:textId="0DFC1339"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w:t>
      </w:r>
      <w:r>
        <w:rPr>
          <w:rFonts w:ascii="Cambria" w:hAnsi="Cambria"/>
          <w:sz w:val="16"/>
          <w:szCs w:val="16"/>
          <w:lang w:val="es-US"/>
        </w:rPr>
        <w:t xml:space="preserve"> </w:t>
      </w:r>
      <w:r w:rsidRPr="00A65DA7">
        <w:rPr>
          <w:rFonts w:ascii="Cambria" w:hAnsi="Cambria"/>
          <w:sz w:val="16"/>
          <w:szCs w:val="16"/>
          <w:lang w:val="es-US"/>
        </w:rPr>
        <w:t>Cuba, párrs. 237-243.</w:t>
      </w:r>
    </w:p>
  </w:footnote>
  <w:footnote w:id="12">
    <w:p w14:paraId="05252F32" w14:textId="19351620"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323-329.</w:t>
      </w:r>
    </w:p>
  </w:footnote>
  <w:footnote w:id="13">
    <w:p w14:paraId="7E9047B5" w14:textId="7D53E0A3"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211-216.</w:t>
      </w:r>
    </w:p>
  </w:footnote>
  <w:footnote w:id="14">
    <w:p w14:paraId="001BF3F4" w14:textId="1F974064"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107-114.</w:t>
      </w:r>
    </w:p>
  </w:footnote>
  <w:footnote w:id="15">
    <w:p w14:paraId="4B6A7B3B" w14:textId="2CBF09A4"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158-159.</w:t>
      </w:r>
    </w:p>
  </w:footnote>
  <w:footnote w:id="16">
    <w:p w14:paraId="4F066AFD" w14:textId="6E739BCF"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202-204.</w:t>
      </w:r>
    </w:p>
  </w:footnote>
  <w:footnote w:id="17">
    <w:p w14:paraId="44434AFF" w14:textId="430786EF"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55-56.</w:t>
      </w:r>
    </w:p>
  </w:footnote>
  <w:footnote w:id="18">
    <w:p w14:paraId="64A0DF5E" w14:textId="12D0524C"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62-64.</w:t>
      </w:r>
    </w:p>
  </w:footnote>
  <w:footnote w:id="19">
    <w:p w14:paraId="0AA604F9" w14:textId="5CF1EE6C"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33-35.</w:t>
      </w:r>
    </w:p>
  </w:footnote>
  <w:footnote w:id="20">
    <w:p w14:paraId="1E19868C" w14:textId="485483A5"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A65DA7">
        <w:rPr>
          <w:rFonts w:ascii="Cambria" w:hAnsi="Cambria"/>
          <w:sz w:val="16"/>
          <w:szCs w:val="16"/>
          <w:lang w:val="es-US"/>
        </w:rPr>
        <w:t xml:space="preserve"> Capítulo IV.B, Cuba, párrs. 26-28.</w:t>
      </w:r>
    </w:p>
  </w:footnote>
  <w:footnote w:id="21">
    <w:p w14:paraId="544B6447" w14:textId="77777777"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xml:space="preserve">. </w:t>
      </w:r>
      <w:hyperlink r:id="rId2" w:history="1">
        <w:r w:rsidRPr="00116A43">
          <w:rPr>
            <w:rStyle w:val="Hyperlink"/>
            <w:rFonts w:ascii="Cambria" w:hAnsi="Cambria"/>
            <w:sz w:val="16"/>
            <w:szCs w:val="16"/>
            <w:lang w:val="es-PE"/>
          </w:rPr>
          <w:t>Informe Espe</w:t>
        </w:r>
        <w:r w:rsidRPr="00116A43">
          <w:rPr>
            <w:rStyle w:val="Hyperlink"/>
            <w:rFonts w:ascii="Cambria" w:hAnsi="Cambria"/>
            <w:sz w:val="16"/>
            <w:szCs w:val="16"/>
            <w:lang w:val="es-MX"/>
          </w:rPr>
          <w:t>cial sobre la Situación de la libertad de expresión en Cuba.</w:t>
        </w:r>
      </w:hyperlink>
      <w:r w:rsidRPr="00116A43">
        <w:rPr>
          <w:rFonts w:ascii="Cambria" w:hAnsi="Cambria"/>
          <w:sz w:val="16"/>
          <w:szCs w:val="16"/>
          <w:lang w:val="es-MX"/>
        </w:rPr>
        <w:t xml:space="preserve"> OEA/SER.L/V/II CIDH/RELE/INF.21/18. 31 de diciembre de 2018, párr. 184. </w:t>
      </w:r>
    </w:p>
  </w:footnote>
  <w:footnote w:id="22">
    <w:p w14:paraId="6B52D334" w14:textId="1A7A252F" w:rsidR="00F640DA" w:rsidRPr="00A65DA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A65DA7">
        <w:rPr>
          <w:rFonts w:ascii="Cambria" w:hAnsi="Cambria"/>
          <w:sz w:val="16"/>
          <w:szCs w:val="16"/>
          <w:lang w:val="es-US"/>
        </w:rPr>
        <w:t>Capítulo IV.B, Cuba, p</w:t>
      </w:r>
      <w:r>
        <w:rPr>
          <w:rFonts w:ascii="Cambria" w:hAnsi="Cambria"/>
          <w:sz w:val="16"/>
          <w:szCs w:val="16"/>
          <w:lang w:val="es-US"/>
        </w:rPr>
        <w:t>árrs.</w:t>
      </w:r>
      <w:r w:rsidRPr="00A65DA7">
        <w:rPr>
          <w:rFonts w:ascii="Cambria" w:hAnsi="Cambria"/>
          <w:sz w:val="16"/>
          <w:szCs w:val="16"/>
          <w:lang w:val="es-US"/>
        </w:rPr>
        <w:t xml:space="preserve"> 6,</w:t>
      </w:r>
      <w:r>
        <w:rPr>
          <w:rFonts w:ascii="Cambria" w:hAnsi="Cambria"/>
          <w:sz w:val="16"/>
          <w:szCs w:val="16"/>
          <w:lang w:val="es-US"/>
        </w:rPr>
        <w:t xml:space="preserve"> </w:t>
      </w:r>
      <w:r w:rsidRPr="00A65DA7">
        <w:rPr>
          <w:rFonts w:ascii="Cambria" w:hAnsi="Cambria"/>
          <w:sz w:val="16"/>
          <w:szCs w:val="16"/>
          <w:lang w:val="es-US"/>
        </w:rPr>
        <w:t>9 y 19.</w:t>
      </w:r>
    </w:p>
  </w:footnote>
  <w:footnote w:id="23">
    <w:p w14:paraId="637D62CE" w14:textId="77777777"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hyperlink r:id="rId3" w:history="1">
        <w:r w:rsidRPr="00116A43">
          <w:rPr>
            <w:rStyle w:val="Hyperlink"/>
            <w:rFonts w:ascii="Cambria" w:hAnsi="Cambria"/>
            <w:sz w:val="16"/>
            <w:szCs w:val="16"/>
            <w:lang w:val="es-PE"/>
          </w:rPr>
          <w:t>. Informe sobre la Situación de los derechos humanos en Cuba</w:t>
        </w:r>
      </w:hyperlink>
      <w:r w:rsidRPr="00116A43">
        <w:rPr>
          <w:rFonts w:ascii="Cambria" w:hAnsi="Cambria"/>
          <w:sz w:val="16"/>
          <w:szCs w:val="16"/>
          <w:lang w:val="es-PE"/>
        </w:rPr>
        <w:t>. OEA/Ser.L/V/II. Doc 2. 3 de febrero de 2020</w:t>
      </w:r>
      <w:r w:rsidRPr="00116A43">
        <w:rPr>
          <w:rFonts w:ascii="Cambria" w:hAnsi="Cambria"/>
          <w:sz w:val="16"/>
          <w:szCs w:val="16"/>
          <w:lang w:val="es-MX"/>
        </w:rPr>
        <w:t>, p</w:t>
      </w:r>
      <w:r w:rsidRPr="00116A43">
        <w:rPr>
          <w:rFonts w:ascii="Cambria" w:hAnsi="Cambria"/>
          <w:sz w:val="16"/>
          <w:szCs w:val="16"/>
          <w:lang w:val="es-PE"/>
        </w:rPr>
        <w:t>árrs. 114 y ss.</w:t>
      </w:r>
      <w:r w:rsidRPr="00116A43">
        <w:rPr>
          <w:rFonts w:ascii="Cambria" w:hAnsi="Cambria"/>
          <w:sz w:val="16"/>
          <w:szCs w:val="16"/>
          <w:lang w:val="es-MX"/>
        </w:rPr>
        <w:t xml:space="preserve"> </w:t>
      </w:r>
    </w:p>
  </w:footnote>
  <w:footnote w:id="24">
    <w:p w14:paraId="4632FAF2" w14:textId="17D81091" w:rsidR="00F640DA" w:rsidRPr="00F04C39" w:rsidRDefault="00F640DA" w:rsidP="00116A43">
      <w:pPr>
        <w:pStyle w:val="FootnoteText"/>
        <w:jc w:val="both"/>
        <w:rPr>
          <w:rFonts w:ascii="Cambria" w:hAnsi="Cambria"/>
          <w:sz w:val="16"/>
          <w:szCs w:val="16"/>
          <w:lang w:val="es-ES"/>
        </w:rPr>
      </w:pPr>
      <w:r w:rsidRPr="009B6010">
        <w:rPr>
          <w:rStyle w:val="FootnoteReference"/>
          <w:rFonts w:ascii="Cambria" w:hAnsi="Cambria"/>
          <w:sz w:val="16"/>
          <w:szCs w:val="16"/>
        </w:rPr>
        <w:footnoteRef/>
      </w:r>
      <w:r w:rsidRPr="009B6010">
        <w:rPr>
          <w:rFonts w:ascii="Cambria" w:hAnsi="Cambria"/>
          <w:sz w:val="16"/>
          <w:szCs w:val="16"/>
          <w:lang w:val="es-PE"/>
        </w:rPr>
        <w:t xml:space="preserve"> CIDH. Informe Anual de 2020. Capítulo IV.B. Cuba, párrs. 4 y 14. De conformidad con el </w:t>
      </w:r>
      <w:r w:rsidRPr="00F04C39">
        <w:rPr>
          <w:rFonts w:ascii="Cambria" w:eastAsia="Cambria" w:hAnsi="Cambria" w:cs="Cambria"/>
          <w:sz w:val="16"/>
          <w:szCs w:val="16"/>
          <w:lang w:val="es-PE"/>
        </w:rPr>
        <w:t xml:space="preserve">artículo 59 inciso 6, literales a.i y c del Reglamento, Cuba cumple con los siguientes criterios para ser incluido en el Capítulo IV.B: (a) Una violación grave de los elementos fundamentales y las instituciones de la democracia representativa previstos en la Carta Democrática Interamericana, que son medios esenciales para la realización de los derechos humanos, entre ellos: (i)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y (c) la comisión, por parte de un Estado, de violaciones masivas, graves y sistemáticas de los derechos humanos garantizados en la Declaración Americana, la Convención Americana, o los demás instrumentos de derechos humanos aplicables. </w:t>
      </w:r>
    </w:p>
  </w:footnote>
  <w:footnote w:id="25">
    <w:p w14:paraId="4D3B7619" w14:textId="764071C6" w:rsidR="00F640DA" w:rsidRPr="00116A43" w:rsidRDefault="00F640DA" w:rsidP="00447791">
      <w:pPr>
        <w:pStyle w:val="FootnoteText"/>
        <w:jc w:val="both"/>
        <w:rPr>
          <w:rFonts w:ascii="Cambria" w:hAnsi="Cambria"/>
          <w:sz w:val="16"/>
          <w:szCs w:val="16"/>
          <w:lang w:val="es-MX"/>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i/>
          <w:iCs/>
          <w:sz w:val="16"/>
          <w:szCs w:val="16"/>
          <w:lang w:val="es-PE"/>
        </w:rPr>
        <w:t>Mutatis mutandi.</w:t>
      </w:r>
      <w:r w:rsidRPr="00116A43">
        <w:rPr>
          <w:rFonts w:ascii="Cambria" w:hAnsi="Cambria"/>
          <w:sz w:val="16"/>
          <w:szCs w:val="16"/>
          <w:lang w:val="es-PE"/>
        </w:rPr>
        <w:t xml:space="preserve"> CIDH</w:t>
      </w:r>
      <w:hyperlink r:id="rId4" w:history="1">
        <w:r w:rsidRPr="00116A43">
          <w:rPr>
            <w:rStyle w:val="Hyperlink"/>
            <w:rFonts w:ascii="Cambria" w:hAnsi="Cambria"/>
            <w:sz w:val="16"/>
            <w:szCs w:val="16"/>
            <w:lang w:val="es-PE"/>
          </w:rPr>
          <w:t>. 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3D0D74">
        <w:rPr>
          <w:rFonts w:ascii="Cambria" w:hAnsi="Cambria"/>
          <w:i/>
          <w:sz w:val="16"/>
          <w:szCs w:val="16"/>
          <w:lang w:val="es-MX"/>
        </w:rPr>
        <w:t>supra,</w:t>
      </w:r>
      <w:r w:rsidRPr="00116A43">
        <w:rPr>
          <w:rFonts w:ascii="Cambria" w:hAnsi="Cambria"/>
          <w:sz w:val="16"/>
          <w:szCs w:val="16"/>
          <w:lang w:val="es-MX"/>
        </w:rPr>
        <w:t xml:space="preserve"> p</w:t>
      </w:r>
      <w:r w:rsidRPr="00116A43">
        <w:rPr>
          <w:rFonts w:ascii="Cambria" w:hAnsi="Cambria"/>
          <w:sz w:val="16"/>
          <w:szCs w:val="16"/>
          <w:lang w:val="es-PE"/>
        </w:rPr>
        <w:t>árrs. 114 y</w:t>
      </w:r>
      <w:r w:rsidRPr="00116A43">
        <w:rPr>
          <w:rFonts w:ascii="Cambria" w:hAnsi="Cambria"/>
          <w:sz w:val="16"/>
          <w:szCs w:val="16"/>
          <w:lang w:val="es-MX"/>
        </w:rPr>
        <w:t xml:space="preserve"> 126. </w:t>
      </w:r>
    </w:p>
  </w:footnote>
  <w:footnote w:id="26">
    <w:p w14:paraId="5C446ED9" w14:textId="77777777" w:rsidR="00F640DA" w:rsidRPr="00116A43" w:rsidRDefault="00F640DA" w:rsidP="00B92BE6">
      <w:pPr>
        <w:shd w:val="clear" w:color="auto" w:fill="FFFFFF"/>
        <w:jc w:val="both"/>
        <w:rPr>
          <w:rFonts w:ascii="Cambria" w:eastAsia="Times New Roman" w:hAnsi="Cambria"/>
          <w:color w:val="000000"/>
          <w:sz w:val="16"/>
          <w:szCs w:val="16"/>
          <w:bdr w:val="none" w:sz="0" w:space="0" w:color="auto"/>
          <w:lang w:val="es-PE"/>
        </w:rPr>
      </w:pPr>
      <w:r w:rsidRPr="00116A43">
        <w:rPr>
          <w:rStyle w:val="FootnoteReference"/>
          <w:rFonts w:ascii="Cambria" w:hAnsi="Cambria"/>
          <w:sz w:val="16"/>
          <w:szCs w:val="16"/>
        </w:rPr>
        <w:footnoteRef/>
      </w:r>
      <w:r w:rsidRPr="00644687">
        <w:rPr>
          <w:rFonts w:ascii="Cambria" w:hAnsi="Cambria"/>
          <w:sz w:val="16"/>
          <w:szCs w:val="16"/>
          <w:lang w:val="pt-BR"/>
        </w:rPr>
        <w:t xml:space="preserve"> </w:t>
      </w:r>
      <w:r w:rsidRPr="00644687">
        <w:rPr>
          <w:rFonts w:ascii="Cambria" w:hAnsi="Cambria"/>
          <w:sz w:val="16"/>
          <w:szCs w:val="16"/>
          <w:lang w:val="pt-BR"/>
        </w:rPr>
        <w:t xml:space="preserve">CIDH. </w:t>
      </w:r>
      <w:r w:rsidR="00460990">
        <w:fldChar w:fldCharType="begin"/>
      </w:r>
      <w:r w:rsidR="00460990">
        <w:instrText xml:space="preserve"> HYPERLINK "http://www.cidh.oas.org/annualrep/2007sp/cap4Cuba.sp.htm" </w:instrText>
      </w:r>
      <w:r w:rsidR="00460990">
        <w:fldChar w:fldCharType="separate"/>
      </w:r>
      <w:r w:rsidRPr="00644687">
        <w:rPr>
          <w:rStyle w:val="Hyperlink"/>
          <w:rFonts w:ascii="Cambria" w:hAnsi="Cambria"/>
          <w:sz w:val="16"/>
          <w:szCs w:val="16"/>
          <w:lang w:val="pt-BR"/>
        </w:rPr>
        <w:t>Informe Anual de 2007. Capítulo IV.B. Cuba.</w:t>
      </w:r>
      <w:r w:rsidR="00460990">
        <w:rPr>
          <w:rStyle w:val="Hyperlink"/>
          <w:rFonts w:ascii="Cambria" w:hAnsi="Cambria"/>
          <w:sz w:val="16"/>
          <w:szCs w:val="16"/>
          <w:lang w:val="pt-BR"/>
        </w:rPr>
        <w:fldChar w:fldCharType="end"/>
      </w:r>
      <w:r w:rsidRPr="00644687">
        <w:rPr>
          <w:rFonts w:ascii="Cambria" w:hAnsi="Cambria"/>
          <w:sz w:val="16"/>
          <w:szCs w:val="16"/>
          <w:lang w:val="pt-BR"/>
        </w:rPr>
        <w:t xml:space="preserve"> </w:t>
      </w:r>
      <w:r w:rsidRPr="00116A43">
        <w:rPr>
          <w:rFonts w:ascii="Cambria" w:hAnsi="Cambria"/>
          <w:sz w:val="16"/>
          <w:szCs w:val="16"/>
          <w:lang w:val="es-PE"/>
        </w:rPr>
        <w:t>OEA/Ser.L/V/II. 130. Doc. 22 rev. 1. 29 de diciembre de 2007</w:t>
      </w:r>
      <w:r w:rsidRPr="00116A43">
        <w:rPr>
          <w:rFonts w:ascii="Cambria" w:hAnsi="Cambria"/>
          <w:sz w:val="16"/>
          <w:szCs w:val="16"/>
          <w:lang w:val="es-MX"/>
        </w:rPr>
        <w:t>, p</w:t>
      </w:r>
      <w:r w:rsidRPr="00116A43">
        <w:rPr>
          <w:rFonts w:ascii="Cambria" w:hAnsi="Cambria"/>
          <w:sz w:val="16"/>
          <w:szCs w:val="16"/>
          <w:lang w:val="es-PE"/>
        </w:rPr>
        <w:t xml:space="preserve">árr. 101. </w:t>
      </w:r>
    </w:p>
  </w:footnote>
  <w:footnote w:id="27">
    <w:p w14:paraId="485D57E5" w14:textId="08629313"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hyperlink r:id="rId5" w:history="1">
        <w:r w:rsidRPr="00116A43">
          <w:rPr>
            <w:rStyle w:val="Hyperlink"/>
            <w:rFonts w:ascii="Cambria" w:hAnsi="Cambria"/>
            <w:sz w:val="16"/>
            <w:szCs w:val="16"/>
            <w:lang w:val="es-PE"/>
          </w:rPr>
          <w:t>. 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w:t>
      </w:r>
      <w:r w:rsidRPr="00116A43">
        <w:rPr>
          <w:rFonts w:ascii="Cambria" w:hAnsi="Cambria"/>
          <w:sz w:val="16"/>
          <w:szCs w:val="16"/>
          <w:lang w:val="es-PE"/>
        </w:rPr>
        <w:t>árrs. 114 y 117.</w:t>
      </w:r>
    </w:p>
  </w:footnote>
  <w:footnote w:id="28">
    <w:p w14:paraId="2110A4CE" w14:textId="55653345"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 párrs. 1 y 2.</w:t>
      </w:r>
    </w:p>
  </w:footnote>
  <w:footnote w:id="29">
    <w:p w14:paraId="7CD654EB" w14:textId="4561D9D6"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hyperlink r:id="rId6" w:history="1">
        <w:r w:rsidRPr="00116A43">
          <w:rPr>
            <w:rStyle w:val="Hyperlink"/>
            <w:rFonts w:ascii="Cambria" w:hAnsi="Cambria"/>
            <w:sz w:val="16"/>
            <w:szCs w:val="16"/>
            <w:lang w:val="es-PE"/>
          </w:rPr>
          <w:t>. 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w:t>
      </w:r>
      <w:r w:rsidRPr="00116A43">
        <w:rPr>
          <w:rFonts w:ascii="Cambria" w:hAnsi="Cambria"/>
          <w:sz w:val="16"/>
          <w:szCs w:val="16"/>
          <w:lang w:val="es-PE"/>
        </w:rPr>
        <w:t xml:space="preserve">árrs. 106 y 113. Véanse los artículos 5 y 65 de la </w:t>
      </w:r>
      <w:hyperlink r:id="rId7" w:anchor="I_8_" w:history="1">
        <w:r w:rsidRPr="00116A43">
          <w:rPr>
            <w:rStyle w:val="Hyperlink1"/>
          </w:rPr>
          <w:t>Constitución de la República de Cuba de 1976</w:t>
        </w:r>
      </w:hyperlink>
      <w:r w:rsidRPr="00116A43">
        <w:rPr>
          <w:rFonts w:ascii="Cambria" w:eastAsia="Cambria" w:hAnsi="Cambria" w:cs="Cambria"/>
          <w:sz w:val="16"/>
          <w:szCs w:val="16"/>
          <w:lang w:val="es-ES_tradnl"/>
        </w:rPr>
        <w:t xml:space="preserve"> y los artículos 4 y 5 de la </w:t>
      </w:r>
      <w:hyperlink r:id="rId8" w:history="1">
        <w:r w:rsidRPr="00116A43">
          <w:rPr>
            <w:rStyle w:val="Hyperlink1"/>
          </w:rPr>
          <w:t>Constitución de la República de Cuba de 2019.</w:t>
        </w:r>
      </w:hyperlink>
      <w:r w:rsidRPr="00116A43">
        <w:rPr>
          <w:rFonts w:ascii="Cambria" w:eastAsia="Cambria" w:hAnsi="Cambria" w:cs="Cambria"/>
          <w:sz w:val="16"/>
          <w:szCs w:val="16"/>
          <w:lang w:val="es-ES_tradnl"/>
        </w:rPr>
        <w:t xml:space="preserve"> Proclamada y publicada en la Gaceta Oficial de la República el 10 de abril de 2019. </w:t>
      </w:r>
      <w:r w:rsidRPr="00116A43">
        <w:rPr>
          <w:rFonts w:ascii="Cambria" w:hAnsi="Cambria"/>
          <w:sz w:val="16"/>
          <w:szCs w:val="16"/>
          <w:lang w:val="es-PE"/>
        </w:rPr>
        <w:t>El artículo 4 de la Constitución de 2019 dispone que la defensa de la patria socialista “es el más grande honor y deber supremo de cada cubano” y “[l]a traición a la patria es el más grave de los crímenes, quien la comete está sujeto a las más graves sanciones”</w:t>
      </w:r>
      <w:r w:rsidRPr="00116A43">
        <w:rPr>
          <w:rFonts w:ascii="Cambria" w:eastAsia="Cambria" w:hAnsi="Cambria" w:cs="Cambria"/>
          <w:sz w:val="16"/>
          <w:szCs w:val="16"/>
          <w:lang w:val="es-ES_tradnl"/>
        </w:rPr>
        <w:t>.</w:t>
      </w:r>
    </w:p>
  </w:footnote>
  <w:footnote w:id="30">
    <w:p w14:paraId="177607B5" w14:textId="16ED900D"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No. 18/14. Petición 1625-07. Admisibilidad. NICOLASA y Familiares. Colombia. 3 de abril de 2014, párr. 45; CIDH. Informe No. 62/16. Petición 4449-02. Admisibilidad. Saulo Arboleda Gómez. Colombia. 6 de diciembre de 2016, párr. 32.</w:t>
      </w:r>
    </w:p>
  </w:footnote>
  <w:footnote w:id="31">
    <w:p w14:paraId="11537764" w14:textId="151B64A1"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27/18, Caso Nº 12.127. </w:t>
      </w:r>
      <w:r w:rsidRPr="00116A43">
        <w:rPr>
          <w:rFonts w:ascii="Cambria" w:hAnsi="Cambria"/>
          <w:sz w:val="16"/>
          <w:szCs w:val="16"/>
          <w:lang w:val="es-PE"/>
        </w:rPr>
        <w:t>Fondo. Vladimiro Roca Antúnez y Otros. Cuba. 24 de febrero de 2018</w:t>
      </w:r>
      <w:r>
        <w:rPr>
          <w:rFonts w:ascii="Cambria" w:hAnsi="Cambria"/>
          <w:sz w:val="16"/>
          <w:szCs w:val="16"/>
          <w:lang w:val="es-PE"/>
        </w:rPr>
        <w:t>, p</w:t>
      </w:r>
      <w:r w:rsidRPr="00116A43">
        <w:rPr>
          <w:rFonts w:ascii="Cambria" w:hAnsi="Cambria"/>
          <w:sz w:val="16"/>
          <w:szCs w:val="16"/>
          <w:lang w:val="es-PE"/>
        </w:rPr>
        <w:t>árr. 23.</w:t>
      </w:r>
    </w:p>
  </w:footnote>
  <w:footnote w:id="32">
    <w:p w14:paraId="4D093A10" w14:textId="7417CC36"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hyperlink r:id="rId9" w:anchor="I_8_" w:history="1">
        <w:r w:rsidRPr="00116A43">
          <w:rPr>
            <w:rStyle w:val="Hyperlink"/>
            <w:rFonts w:ascii="Cambria" w:hAnsi="Cambria"/>
            <w:sz w:val="16"/>
            <w:szCs w:val="16"/>
            <w:lang w:val="es-PE"/>
          </w:rPr>
          <w:t>Constitución de la República de Cuba de 1976</w:t>
        </w:r>
      </w:hyperlink>
      <w:r w:rsidRPr="00116A43">
        <w:rPr>
          <w:rFonts w:ascii="Cambria" w:hAnsi="Cambria"/>
          <w:sz w:val="16"/>
          <w:szCs w:val="16"/>
          <w:lang w:val="es-PE"/>
        </w:rPr>
        <w:t>.</w:t>
      </w:r>
    </w:p>
  </w:footnote>
  <w:footnote w:id="33">
    <w:p w14:paraId="1DE93AFC" w14:textId="751AB96C"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hyperlink r:id="rId10" w:history="1">
        <w:r w:rsidRPr="00116A43">
          <w:rPr>
            <w:rStyle w:val="Hyperlink"/>
            <w:rFonts w:ascii="Cambria" w:hAnsi="Cambria"/>
            <w:sz w:val="16"/>
            <w:szCs w:val="16"/>
            <w:lang w:val="es-PE"/>
          </w:rPr>
          <w:t>Constitución de la República de Cuba de 2019.</w:t>
        </w:r>
      </w:hyperlink>
      <w:r w:rsidRPr="00116A43">
        <w:rPr>
          <w:rFonts w:ascii="Cambria" w:hAnsi="Cambria"/>
          <w:sz w:val="16"/>
          <w:szCs w:val="16"/>
          <w:lang w:val="es-PE"/>
        </w:rPr>
        <w:t xml:space="preserve"> Proclamada y publicada en la Gaceta Oficial de la República el 10 de abril de 2019.</w:t>
      </w:r>
    </w:p>
  </w:footnote>
  <w:footnote w:id="34">
    <w:p w14:paraId="227E7A33" w14:textId="66BB1C96" w:rsidR="00F640DA" w:rsidRPr="00116A43" w:rsidRDefault="00F640DA" w:rsidP="00B92BE6">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 43.</w:t>
      </w:r>
    </w:p>
  </w:footnote>
  <w:footnote w:id="35">
    <w:p w14:paraId="689351D1" w14:textId="28B8DE7D"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w:t>
      </w:r>
      <w:r w:rsidRPr="00116A43">
        <w:rPr>
          <w:rFonts w:ascii="Cambria" w:hAnsi="Cambria"/>
          <w:sz w:val="16"/>
          <w:szCs w:val="16"/>
          <w:lang w:val="es-MX"/>
        </w:rPr>
        <w:t>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párrs. 1 y 2.</w:t>
      </w:r>
    </w:p>
  </w:footnote>
  <w:footnote w:id="36">
    <w:p w14:paraId="46B8D04A" w14:textId="1521D629"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2007. Capítulo IV.B (Situación de Desarrollo de Derechos Humanos en la Región en Cuba). CIDH. Informe Anual 2008. Capítulo IV.B (Situación de Desarrollo de Derechos Humanos en la Región en Cuba). CIDH. Informe Anual 2009. Capítulo IV.B (Situación de Desarrollo de Derechos Humanos en la Región en Cuba). CIDH. Informe Anual 2010. Capítulo IV.B (Situación de Desarrollo de Derechos Humanos en la Región en Cuba). CIDH. Informe Anual 2011. Capítulo IV.B (Situación de Desarrollo de Derechos Humanos en la Región en Cuba). CIDH. Informe Anual 2012. Capítulo IV.B (Situación de Desarrollo de Derechos Humanos en la Región en Cuba). </w:t>
      </w:r>
      <w:r w:rsidRPr="00116A43">
        <w:rPr>
          <w:rFonts w:ascii="Cambria" w:hAnsi="Cambria"/>
          <w:color w:val="auto"/>
          <w:sz w:val="16"/>
          <w:szCs w:val="16"/>
          <w:lang w:val="es-CO"/>
        </w:rPr>
        <w:t>CIDH. Informe Anual 2013.  Capítulo IV.B (Situación de los derechos humanos en Cuba); CIDH. Informe Anual 2014.  Capítulo IV.B (Situación de los derechos humanos en Cuba); CIDH. Informe Anual 2015.  Capítulo IV.B (Situación de los derechos humanos en Cuba); CIDH. Informe Anual 2016.  Capítulo IV.b (Situación de los derechos humanos en Cuba); CIDH. Informe Anual 2017. Capítulo IV.B (Situación de los derechos humanos en Cuba); CIDH. Informe Anual 2018.  Capítulo IV.</w:t>
      </w:r>
      <w:r>
        <w:rPr>
          <w:rFonts w:ascii="Cambria" w:hAnsi="Cambria"/>
          <w:color w:val="auto"/>
          <w:sz w:val="16"/>
          <w:szCs w:val="16"/>
          <w:lang w:val="es-CO"/>
        </w:rPr>
        <w:t>B</w:t>
      </w:r>
      <w:r w:rsidRPr="00116A43">
        <w:rPr>
          <w:rFonts w:ascii="Cambria" w:hAnsi="Cambria"/>
          <w:color w:val="auto"/>
          <w:sz w:val="16"/>
          <w:szCs w:val="16"/>
          <w:lang w:val="es-CO"/>
        </w:rPr>
        <w:t xml:space="preserve"> (Situación de los derechos humanos en Cuba); </w:t>
      </w:r>
      <w:r w:rsidRPr="00116A43">
        <w:rPr>
          <w:rFonts w:ascii="Cambria" w:hAnsi="Cambria"/>
          <w:sz w:val="16"/>
          <w:szCs w:val="16"/>
          <w:lang w:val="es-PE"/>
        </w:rPr>
        <w:t>CIDH. Informe Espe</w:t>
      </w:r>
      <w:r w:rsidRPr="00116A43">
        <w:rPr>
          <w:rFonts w:ascii="Cambria" w:hAnsi="Cambria"/>
          <w:sz w:val="16"/>
          <w:szCs w:val="16"/>
          <w:lang w:val="es-MX"/>
        </w:rPr>
        <w:t>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 xml:space="preserve">; </w:t>
      </w:r>
      <w:r w:rsidRPr="00116A43">
        <w:rPr>
          <w:rFonts w:ascii="Cambria" w:hAnsi="Cambria"/>
          <w:color w:val="auto"/>
          <w:sz w:val="16"/>
          <w:szCs w:val="16"/>
          <w:lang w:val="es-CO"/>
        </w:rPr>
        <w:t xml:space="preserve">CIDH. Informe Anual 2019.  Capítulo IV.B (Situación de los derechos humanos en Cuba); </w:t>
      </w:r>
      <w:r w:rsidRPr="00116A43">
        <w:rPr>
          <w:rFonts w:ascii="Cambria" w:hAnsi="Cambria"/>
          <w:sz w:val="16"/>
          <w:szCs w:val="16"/>
          <w:lang w:val="es-MX"/>
        </w:rPr>
        <w:t>CIDH. Situación de los derechos humanos en Cuba</w:t>
      </w:r>
      <w:r>
        <w:rPr>
          <w:rFonts w:ascii="Cambria" w:hAnsi="Cambria"/>
          <w:sz w:val="16"/>
          <w:szCs w:val="16"/>
          <w:lang w:val="es-MX"/>
        </w:rPr>
        <w:t xml:space="preserve">. </w:t>
      </w:r>
      <w:r w:rsidRPr="00116A43">
        <w:rPr>
          <w:rFonts w:ascii="Cambria" w:hAnsi="Cambria"/>
          <w:sz w:val="16"/>
          <w:szCs w:val="16"/>
          <w:lang w:val="es-PE"/>
        </w:rPr>
        <w:t>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p>
  </w:footnote>
  <w:footnote w:id="37">
    <w:p w14:paraId="5E5DAFAE" w14:textId="11A135F5"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Reporteros sin Fronteras (RSF). Clasificación 2021. Tabla de países. Disponible en: </w:t>
      </w:r>
      <w:hyperlink r:id="rId11" w:history="1">
        <w:r w:rsidRPr="00116A43">
          <w:rPr>
            <w:rStyle w:val="Hyperlink"/>
            <w:rFonts w:ascii="Cambria" w:hAnsi="Cambria"/>
            <w:sz w:val="16"/>
            <w:szCs w:val="16"/>
            <w:lang w:val="es-PE"/>
          </w:rPr>
          <w:t>https://www.rsf-es.org/clasificacion-mundial-2021-tabla-de-paises/</w:t>
        </w:r>
      </w:hyperlink>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w:t>
      </w:r>
      <w:r w:rsidRPr="00116A43">
        <w:rPr>
          <w:rFonts w:ascii="Cambria" w:hAnsi="Cambria"/>
          <w:sz w:val="16"/>
          <w:szCs w:val="16"/>
          <w:lang w:val="es-MX"/>
        </w:rPr>
        <w:t>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párrs. 3 y ss.</w:t>
      </w:r>
    </w:p>
  </w:footnote>
  <w:footnote w:id="38">
    <w:p w14:paraId="31B9A5F4" w14:textId="397F53FA"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w:t>
      </w:r>
      <w:r w:rsidRPr="00116A43">
        <w:rPr>
          <w:rFonts w:ascii="Cambria" w:hAnsi="Cambria"/>
          <w:sz w:val="16"/>
          <w:szCs w:val="16"/>
          <w:lang w:val="es-MX"/>
        </w:rPr>
        <w:t>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 párrs. 3 y ss.</w:t>
      </w:r>
    </w:p>
  </w:footnote>
  <w:footnote w:id="39">
    <w:p w14:paraId="3275C37F" w14:textId="03E5FE97"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w:t>
      </w:r>
      <w:r w:rsidRPr="00116A43">
        <w:rPr>
          <w:rFonts w:ascii="Cambria" w:hAnsi="Cambria"/>
          <w:sz w:val="16"/>
          <w:szCs w:val="16"/>
          <w:lang w:val="es-MX"/>
        </w:rPr>
        <w:t>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 párrs. 26 y 27.</w:t>
      </w:r>
    </w:p>
  </w:footnote>
  <w:footnote w:id="40">
    <w:p w14:paraId="3B1B8930" w14:textId="2964A75F" w:rsidR="00F640DA" w:rsidRPr="00116A43" w:rsidRDefault="00F640DA" w:rsidP="00447791">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2007. Capítulo IV.B</w:t>
      </w:r>
      <w:r>
        <w:rPr>
          <w:rFonts w:ascii="Cambria" w:hAnsi="Cambria"/>
          <w:sz w:val="16"/>
          <w:szCs w:val="16"/>
          <w:lang w:val="es-PE"/>
        </w:rPr>
        <w:t xml:space="preserve">, Cuba, </w:t>
      </w:r>
      <w:r w:rsidRPr="00116A43">
        <w:rPr>
          <w:rFonts w:ascii="Cambria" w:hAnsi="Cambria"/>
          <w:sz w:val="16"/>
          <w:szCs w:val="16"/>
          <w:lang w:val="es-PE"/>
        </w:rPr>
        <w:t xml:space="preserve">párr. 127. </w:t>
      </w:r>
    </w:p>
  </w:footnote>
  <w:footnote w:id="41">
    <w:p w14:paraId="2A6ADC44" w14:textId="474E9F9C" w:rsidR="00F640DA" w:rsidRPr="00116A43" w:rsidRDefault="00F640DA" w:rsidP="00B92BE6">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2008, Informe de la Relatoría Especial para la Libertad de Expresión. párr. 91. </w:t>
      </w:r>
    </w:p>
  </w:footnote>
  <w:footnote w:id="42">
    <w:p w14:paraId="6090F0C5" w14:textId="77777777" w:rsidR="00F640DA" w:rsidRPr="00116A43" w:rsidRDefault="00F640DA" w:rsidP="00B92BE6">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2008. Informe de la Relatoría Especial para la Libertad de Expresión, párr. 94</w:t>
      </w:r>
    </w:p>
  </w:footnote>
  <w:footnote w:id="43">
    <w:p w14:paraId="3371AE21" w14:textId="77777777"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2008. Informe de la Relatoría Especial para la Libertad de Expresión, párr. 97. </w:t>
      </w:r>
    </w:p>
  </w:footnote>
  <w:footnote w:id="44">
    <w:p w14:paraId="2B31E56E" w14:textId="77777777"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2008. Informe de la Relatoría Especial para la Libertad de Expresión</w:t>
      </w:r>
      <w:r w:rsidRPr="00116A43">
        <w:rPr>
          <w:rFonts w:ascii="Cambria" w:hAnsi="Cambria"/>
          <w:sz w:val="16"/>
          <w:szCs w:val="16"/>
          <w:lang w:val="es-419"/>
        </w:rPr>
        <w:t>. párr. 84</w:t>
      </w:r>
    </w:p>
  </w:footnote>
  <w:footnote w:id="45">
    <w:p w14:paraId="343B84B4" w14:textId="2E4E0CA6"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2009. Informe de la Relatoría Especial para la Libertad de Expresión, p</w:t>
      </w:r>
      <w:r w:rsidRPr="00116A43">
        <w:rPr>
          <w:rFonts w:ascii="Cambria" w:hAnsi="Cambria"/>
          <w:sz w:val="16"/>
          <w:szCs w:val="16"/>
          <w:lang w:val="es-419"/>
        </w:rPr>
        <w:t>árr. 182</w:t>
      </w:r>
    </w:p>
  </w:footnote>
  <w:footnote w:id="46">
    <w:p w14:paraId="6A5EBBC3" w14:textId="03480224" w:rsidR="00F640DA" w:rsidRPr="00644687"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2009. Informe de la Relatoría Especial para la Libertad de Expresión, p</w:t>
      </w:r>
      <w:r w:rsidRPr="00116A43">
        <w:rPr>
          <w:rFonts w:ascii="Cambria" w:hAnsi="Cambria"/>
          <w:sz w:val="16"/>
          <w:szCs w:val="16"/>
          <w:lang w:val="es-419"/>
        </w:rPr>
        <w:t xml:space="preserve">árr. </w:t>
      </w:r>
      <w:r w:rsidRPr="00644687">
        <w:rPr>
          <w:rFonts w:ascii="Cambria" w:hAnsi="Cambria"/>
          <w:sz w:val="16"/>
          <w:szCs w:val="16"/>
          <w:lang w:val="pt-BR"/>
        </w:rPr>
        <w:t xml:space="preserve">184. </w:t>
      </w:r>
    </w:p>
  </w:footnote>
  <w:footnote w:id="47">
    <w:p w14:paraId="4F5627E4" w14:textId="1575AA0D" w:rsidR="00F640DA" w:rsidRPr="00644687"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644687">
        <w:rPr>
          <w:rFonts w:ascii="Cambria" w:hAnsi="Cambria"/>
          <w:sz w:val="16"/>
          <w:szCs w:val="16"/>
          <w:lang w:val="pt-BR"/>
        </w:rPr>
        <w:t xml:space="preserve"> </w:t>
      </w:r>
      <w:r w:rsidRPr="00644687">
        <w:rPr>
          <w:rFonts w:ascii="Cambria" w:hAnsi="Cambria"/>
          <w:sz w:val="16"/>
          <w:szCs w:val="16"/>
          <w:lang w:val="pt-BR"/>
        </w:rPr>
        <w:t xml:space="preserve">CIDH. Informe Anual 2010. Capítulo IV.B, Cuba, párr. 312. </w:t>
      </w:r>
    </w:p>
  </w:footnote>
  <w:footnote w:id="48">
    <w:p w14:paraId="37453FED" w14:textId="5E097396"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644687">
        <w:rPr>
          <w:rFonts w:ascii="Cambria" w:hAnsi="Cambria"/>
          <w:sz w:val="16"/>
          <w:szCs w:val="16"/>
          <w:lang w:val="pt-BR"/>
        </w:rPr>
        <w:t xml:space="preserve"> CIDH. Informe Anual 2009. </w:t>
      </w:r>
      <w:r w:rsidRPr="00116A43">
        <w:rPr>
          <w:rFonts w:ascii="Cambria" w:hAnsi="Cambria"/>
          <w:sz w:val="16"/>
          <w:szCs w:val="16"/>
          <w:lang w:val="es-PE"/>
        </w:rPr>
        <w:t>Informe de la Relatoría Especial para la Libertad de Expresión</w:t>
      </w:r>
      <w:r>
        <w:rPr>
          <w:rFonts w:ascii="Cambria" w:hAnsi="Cambria"/>
          <w:sz w:val="16"/>
          <w:szCs w:val="16"/>
          <w:lang w:val="es-PE"/>
        </w:rPr>
        <w:t>, p</w:t>
      </w:r>
      <w:r w:rsidRPr="00116A43">
        <w:rPr>
          <w:rFonts w:ascii="Cambria" w:hAnsi="Cambria"/>
          <w:sz w:val="16"/>
          <w:szCs w:val="16"/>
          <w:lang w:val="es-419"/>
        </w:rPr>
        <w:t>árr. 184</w:t>
      </w:r>
    </w:p>
  </w:footnote>
  <w:footnote w:id="49">
    <w:p w14:paraId="76B248BA" w14:textId="5400E34C" w:rsidR="00F640DA" w:rsidRPr="0064468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PE"/>
        </w:rPr>
        <w:t xml:space="preserve"> CIDH. 9 de noviembre de 2012. </w:t>
      </w:r>
      <w:r w:rsidRPr="00644687">
        <w:rPr>
          <w:rFonts w:ascii="Cambria" w:hAnsi="Cambria"/>
          <w:sz w:val="16"/>
          <w:szCs w:val="16"/>
          <w:lang w:val="es-US"/>
        </w:rPr>
        <w:t xml:space="preserve">Comunicado de Prensa 132/12. </w:t>
      </w:r>
      <w:r w:rsidRPr="00116A43">
        <w:rPr>
          <w:rFonts w:ascii="Cambria" w:hAnsi="Cambria"/>
          <w:sz w:val="16"/>
          <w:szCs w:val="16"/>
          <w:lang w:val="es-PE"/>
        </w:rPr>
        <w:t>CIDH condena detenciones arbitrarias de defensores de derechos humanos en Cuba</w:t>
      </w:r>
      <w:r w:rsidRPr="00644687">
        <w:rPr>
          <w:rFonts w:ascii="Cambria" w:hAnsi="Cambria"/>
          <w:sz w:val="16"/>
          <w:szCs w:val="16"/>
          <w:lang w:val="es-US"/>
        </w:rPr>
        <w:t>.</w:t>
      </w:r>
    </w:p>
  </w:footnote>
  <w:footnote w:id="50">
    <w:p w14:paraId="309CFB69" w14:textId="411CBB6B"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pt-BR"/>
        </w:rPr>
        <w:t xml:space="preserve"> </w:t>
      </w:r>
      <w:r w:rsidRPr="00116A43">
        <w:rPr>
          <w:rFonts w:ascii="Cambria" w:hAnsi="Cambria"/>
          <w:sz w:val="16"/>
          <w:szCs w:val="16"/>
          <w:lang w:val="pt-BR"/>
        </w:rPr>
        <w:t>CIDH. Informe Anual 2012</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párr. 14.</w:t>
      </w:r>
    </w:p>
  </w:footnote>
  <w:footnote w:id="51">
    <w:p w14:paraId="1165BE18" w14:textId="064EC56D" w:rsidR="00F640DA" w:rsidRPr="0064468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pt-BR"/>
        </w:rPr>
        <w:t xml:space="preserve"> CIDH. Informe Anual 2013</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xml:space="preserve">, párrs. </w:t>
      </w:r>
      <w:r w:rsidRPr="00644687">
        <w:rPr>
          <w:rFonts w:ascii="Cambria" w:hAnsi="Cambria"/>
          <w:sz w:val="16"/>
          <w:szCs w:val="16"/>
          <w:lang w:val="es-US"/>
        </w:rPr>
        <w:t>176 y ss, y 202 y ss.</w:t>
      </w:r>
    </w:p>
  </w:footnote>
  <w:footnote w:id="52">
    <w:p w14:paraId="073A551F" w14:textId="16F89A00"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644687">
        <w:rPr>
          <w:rFonts w:ascii="Cambria" w:hAnsi="Cambria"/>
          <w:sz w:val="16"/>
          <w:szCs w:val="16"/>
          <w:lang w:val="es-US"/>
        </w:rPr>
        <w:t xml:space="preserve"> CIDH. </w:t>
      </w:r>
      <w:r w:rsidRPr="00116A43">
        <w:rPr>
          <w:rFonts w:ascii="Cambria" w:hAnsi="Cambria"/>
          <w:sz w:val="16"/>
          <w:szCs w:val="16"/>
          <w:lang w:val="pt-BR"/>
        </w:rPr>
        <w:t>Informe Anual 2013</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párr. 209.</w:t>
      </w:r>
    </w:p>
  </w:footnote>
  <w:footnote w:id="53">
    <w:p w14:paraId="63E034CA" w14:textId="5A38BCB4"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pt-BR"/>
        </w:rPr>
        <w:t xml:space="preserve"> CIDH. Informe Anual 2014</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párr. 216.</w:t>
      </w:r>
    </w:p>
  </w:footnote>
  <w:footnote w:id="54">
    <w:p w14:paraId="2B5621DE" w14:textId="4DAC22E7"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pt-BR"/>
        </w:rPr>
        <w:t xml:space="preserve"> CIDH. Informe Anual 2015</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párr. 57.</w:t>
      </w:r>
    </w:p>
  </w:footnote>
  <w:footnote w:id="55">
    <w:p w14:paraId="225E1E7D" w14:textId="5FC3C5C4" w:rsidR="00F640DA" w:rsidRPr="00644687" w:rsidRDefault="00F640DA">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pt-BR"/>
        </w:rPr>
        <w:t xml:space="preserve"> CIDH. </w:t>
      </w:r>
      <w:r w:rsidRPr="00644687">
        <w:rPr>
          <w:rFonts w:ascii="Cambria" w:hAnsi="Cambria"/>
          <w:sz w:val="16"/>
          <w:szCs w:val="16"/>
          <w:lang w:val="es-US"/>
        </w:rPr>
        <w:t xml:space="preserve">Informe Anual 2016. </w:t>
      </w:r>
      <w:r w:rsidRPr="00116A43">
        <w:rPr>
          <w:rFonts w:ascii="Cambria" w:hAnsi="Cambria"/>
          <w:sz w:val="16"/>
          <w:szCs w:val="16"/>
          <w:lang w:val="es-PE"/>
        </w:rPr>
        <w:t>Capítulo IV.B</w:t>
      </w:r>
      <w:r>
        <w:rPr>
          <w:rFonts w:ascii="Cambria" w:hAnsi="Cambria"/>
          <w:sz w:val="16"/>
          <w:szCs w:val="16"/>
          <w:lang w:val="es-PE"/>
        </w:rPr>
        <w:t>, Cuba</w:t>
      </w:r>
      <w:r w:rsidRPr="00644687">
        <w:rPr>
          <w:rFonts w:ascii="Cambria" w:hAnsi="Cambria"/>
          <w:sz w:val="16"/>
          <w:szCs w:val="16"/>
          <w:lang w:val="es-US"/>
        </w:rPr>
        <w:t>, párr. 115.</w:t>
      </w:r>
    </w:p>
  </w:footnote>
  <w:footnote w:id="56">
    <w:p w14:paraId="0FC456EA" w14:textId="5870E9CE"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644687">
        <w:rPr>
          <w:rFonts w:ascii="Cambria" w:hAnsi="Cambria"/>
          <w:sz w:val="16"/>
          <w:szCs w:val="16"/>
          <w:lang w:val="es-US"/>
        </w:rPr>
        <w:t xml:space="preserve"> CIDH. 13 de octubre de 2006. </w:t>
      </w:r>
      <w:r w:rsidRPr="00116A43">
        <w:rPr>
          <w:rFonts w:ascii="Cambria" w:hAnsi="Cambria"/>
          <w:sz w:val="16"/>
          <w:szCs w:val="16"/>
          <w:lang w:val="es-419"/>
        </w:rPr>
        <w:t xml:space="preserve">Comunicado de Prensa R149/76. </w:t>
      </w:r>
      <w:hyperlink r:id="rId12" w:history="1">
        <w:r w:rsidRPr="003D0D74">
          <w:rPr>
            <w:rStyle w:val="Hyperlink"/>
            <w:rFonts w:ascii="Cambria" w:hAnsi="Cambria"/>
            <w:iCs/>
            <w:sz w:val="16"/>
            <w:szCs w:val="16"/>
            <w:lang w:val="es-419"/>
          </w:rPr>
          <w:t>CIDH y su Relatoría Especial manifiestan preocupación por acciones de retaliación del Estado cubano contra una organización dedicada a la defensa de la libertad de expresión.</w:t>
        </w:r>
      </w:hyperlink>
      <w:r w:rsidRPr="00116A43">
        <w:rPr>
          <w:rFonts w:ascii="Cambria" w:hAnsi="Cambria"/>
          <w:sz w:val="16"/>
          <w:szCs w:val="16"/>
          <w:lang w:val="es-419"/>
        </w:rPr>
        <w:t xml:space="preserve"> </w:t>
      </w:r>
    </w:p>
  </w:footnote>
  <w:footnote w:id="57">
    <w:p w14:paraId="7A46F6A4" w14:textId="7486E5D6"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pt-BR"/>
        </w:rPr>
        <w:t xml:space="preserve"> </w:t>
      </w:r>
      <w:r w:rsidRPr="00116A43">
        <w:rPr>
          <w:rFonts w:ascii="Cambria" w:hAnsi="Cambria"/>
          <w:sz w:val="16"/>
          <w:szCs w:val="16"/>
          <w:lang w:val="pt-BR"/>
        </w:rPr>
        <w:t>CIDH. Informe Anual 2017</w:t>
      </w:r>
      <w:r>
        <w:rPr>
          <w:rFonts w:ascii="Cambria" w:hAnsi="Cambria"/>
          <w:sz w:val="16"/>
          <w:szCs w:val="16"/>
          <w:lang w:val="pt-BR"/>
        </w:rPr>
        <w:t xml:space="preserve">. </w:t>
      </w:r>
      <w:r w:rsidRPr="00644687">
        <w:rPr>
          <w:rFonts w:ascii="Cambria" w:hAnsi="Cambria"/>
          <w:sz w:val="16"/>
          <w:szCs w:val="16"/>
          <w:lang w:val="pt-BR"/>
        </w:rPr>
        <w:t>Capítulo IV.B, Cuba</w:t>
      </w:r>
      <w:r>
        <w:rPr>
          <w:rFonts w:ascii="Cambria" w:hAnsi="Cambria"/>
          <w:sz w:val="16"/>
          <w:szCs w:val="16"/>
          <w:lang w:val="pt-BR"/>
        </w:rPr>
        <w:t>, párr. 35.</w:t>
      </w:r>
    </w:p>
  </w:footnote>
  <w:footnote w:id="58">
    <w:p w14:paraId="0F70F528" w14:textId="762C49AF"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pt-BR"/>
        </w:rPr>
        <w:t xml:space="preserve"> CIDH. </w:t>
      </w:r>
      <w:r w:rsidRPr="00644687">
        <w:rPr>
          <w:rFonts w:ascii="Cambria" w:hAnsi="Cambria"/>
          <w:sz w:val="16"/>
          <w:szCs w:val="16"/>
          <w:lang w:val="pt-BR"/>
        </w:rPr>
        <w:t>Informe Anual 2018</w:t>
      </w:r>
      <w:r>
        <w:rPr>
          <w:rFonts w:ascii="Cambria" w:hAnsi="Cambria"/>
          <w:sz w:val="16"/>
          <w:szCs w:val="16"/>
          <w:lang w:val="pt-BR"/>
        </w:rPr>
        <w:t xml:space="preserve">. </w:t>
      </w:r>
      <w:r w:rsidRPr="00644687">
        <w:rPr>
          <w:rFonts w:ascii="Cambria" w:hAnsi="Cambria"/>
          <w:sz w:val="16"/>
          <w:szCs w:val="16"/>
          <w:lang w:val="pt-BR"/>
        </w:rPr>
        <w:t xml:space="preserve">Capítulo IV.B, Cuba, párr. </w:t>
      </w:r>
      <w:r>
        <w:rPr>
          <w:rFonts w:ascii="Cambria" w:hAnsi="Cambria"/>
          <w:sz w:val="16"/>
          <w:szCs w:val="16"/>
          <w:lang w:val="es-PE"/>
        </w:rPr>
        <w:t>48.</w:t>
      </w:r>
    </w:p>
  </w:footnote>
  <w:footnote w:id="59">
    <w:p w14:paraId="7B79B181" w14:textId="35DC543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párr..</w:t>
      </w:r>
      <w:r w:rsidRPr="00116A43">
        <w:rPr>
          <w:rFonts w:ascii="Cambria" w:hAnsi="Cambria"/>
          <w:sz w:val="16"/>
          <w:szCs w:val="16"/>
          <w:lang w:val="es-PE"/>
        </w:rPr>
        <w:t xml:space="preserve"> 147.</w:t>
      </w:r>
    </w:p>
  </w:footnote>
  <w:footnote w:id="60">
    <w:p w14:paraId="069BA7FD" w14:textId="20132A5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Pr>
          <w:rFonts w:ascii="Cambria" w:hAnsi="Cambria"/>
          <w:sz w:val="16"/>
          <w:szCs w:val="16"/>
          <w:lang w:val="es-MX"/>
        </w:rPr>
        <w:t xml:space="preserve">, </w:t>
      </w:r>
      <w:r w:rsidRPr="00116A43">
        <w:rPr>
          <w:rFonts w:ascii="Cambria" w:hAnsi="Cambria"/>
          <w:sz w:val="16"/>
          <w:szCs w:val="16"/>
          <w:lang w:val="es-MX"/>
        </w:rPr>
        <w:t>p</w:t>
      </w:r>
      <w:r>
        <w:rPr>
          <w:rFonts w:ascii="Cambria" w:hAnsi="Cambria"/>
          <w:sz w:val="16"/>
          <w:szCs w:val="16"/>
          <w:lang w:val="es-MX"/>
        </w:rPr>
        <w:t>árr</w:t>
      </w:r>
      <w:r w:rsidRPr="00116A43">
        <w:rPr>
          <w:rFonts w:ascii="Cambria" w:hAnsi="Cambria"/>
          <w:sz w:val="16"/>
          <w:szCs w:val="16"/>
          <w:lang w:val="es-MX"/>
        </w:rPr>
        <w:t>. 91.</w:t>
      </w:r>
    </w:p>
  </w:footnote>
  <w:footnote w:id="61">
    <w:p w14:paraId="1C884DC9" w14:textId="492B48A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MX"/>
        </w:rPr>
        <w:t xml:space="preserve">. </w:t>
      </w:r>
      <w:r w:rsidRPr="00116A43">
        <w:rPr>
          <w:rFonts w:ascii="Cambria" w:hAnsi="Cambria"/>
          <w:sz w:val="16"/>
          <w:szCs w:val="16"/>
          <w:lang w:val="es-MX"/>
        </w:rPr>
        <w:t xml:space="preserve">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  111</w:t>
      </w:r>
    </w:p>
  </w:footnote>
  <w:footnote w:id="62">
    <w:p w14:paraId="341CC654" w14:textId="6A355361"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 xml:space="preserve">párr. </w:t>
      </w:r>
      <w:r w:rsidRPr="00116A43">
        <w:rPr>
          <w:rFonts w:ascii="Cambria" w:hAnsi="Cambria"/>
          <w:sz w:val="16"/>
          <w:szCs w:val="16"/>
          <w:lang w:val="es-PE"/>
        </w:rPr>
        <w:t>98</w:t>
      </w:r>
    </w:p>
  </w:footnote>
  <w:footnote w:id="63">
    <w:p w14:paraId="4EF141BB" w14:textId="680F51BF"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 99</w:t>
      </w:r>
    </w:p>
  </w:footnote>
  <w:footnote w:id="64">
    <w:p w14:paraId="18738C23" w14:textId="437DA129"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 xml:space="preserve">párr. </w:t>
      </w:r>
      <w:r w:rsidRPr="00116A43">
        <w:rPr>
          <w:rFonts w:ascii="Cambria" w:hAnsi="Cambria"/>
          <w:sz w:val="16"/>
          <w:szCs w:val="16"/>
          <w:lang w:val="es-PE"/>
        </w:rPr>
        <w:t xml:space="preserve">117. </w:t>
      </w:r>
    </w:p>
  </w:footnote>
  <w:footnote w:id="65">
    <w:p w14:paraId="23D3CF17" w14:textId="15DB1B5D"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bookmarkStart w:id="17" w:name="_Hlk64642245"/>
      <w:r w:rsidRPr="00116A43">
        <w:rPr>
          <w:rFonts w:ascii="Cambria" w:hAnsi="Cambria"/>
          <w:sz w:val="16"/>
          <w:szCs w:val="16"/>
          <w:lang w:val="es-PE"/>
        </w:rPr>
        <w:t xml:space="preserve">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 xml:space="preserve">párr. </w:t>
      </w:r>
      <w:r w:rsidRPr="00116A43">
        <w:rPr>
          <w:rFonts w:ascii="Cambria" w:hAnsi="Cambria"/>
          <w:sz w:val="16"/>
          <w:szCs w:val="16"/>
          <w:lang w:val="es-PE"/>
        </w:rPr>
        <w:t>241</w:t>
      </w:r>
      <w:bookmarkEnd w:id="17"/>
      <w:r w:rsidRPr="00116A43">
        <w:rPr>
          <w:rFonts w:ascii="Cambria" w:hAnsi="Cambria"/>
          <w:sz w:val="16"/>
          <w:szCs w:val="16"/>
          <w:lang w:val="es-PE"/>
        </w:rPr>
        <w:t xml:space="preserve">. </w:t>
      </w:r>
    </w:p>
  </w:footnote>
  <w:footnote w:id="66">
    <w:p w14:paraId="0FBC7DED" w14:textId="796BC051"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bookmarkStart w:id="18" w:name="_Hlk64642192"/>
      <w:r w:rsidRPr="00116A43">
        <w:rPr>
          <w:rFonts w:ascii="Cambria" w:hAnsi="Cambria"/>
          <w:sz w:val="16"/>
          <w:szCs w:val="16"/>
          <w:lang w:val="es-PE"/>
        </w:rPr>
        <w:t xml:space="preserve"> </w:t>
      </w:r>
      <w:r w:rsidRPr="00116A43">
        <w:rPr>
          <w:rFonts w:ascii="Cambria" w:hAnsi="Cambria"/>
          <w:sz w:val="16"/>
          <w:szCs w:val="16"/>
          <w:lang w:val="es-MX"/>
        </w:rPr>
        <w:t xml:space="preserve">CIDH. </w:t>
      </w:r>
      <w:hyperlink r:id="rId13" w:history="1">
        <w:r w:rsidRPr="00116A43">
          <w:rPr>
            <w:rStyle w:val="Hyperlink"/>
            <w:rFonts w:ascii="Cambria" w:hAnsi="Cambria"/>
            <w:sz w:val="16"/>
            <w:szCs w:val="16"/>
            <w:lang w:val="es-PE"/>
          </w:rPr>
          <w:t>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w:t>
      </w:r>
      <w:r w:rsidRPr="00116A43">
        <w:rPr>
          <w:rFonts w:ascii="Cambria" w:hAnsi="Cambria"/>
          <w:sz w:val="16"/>
          <w:szCs w:val="16"/>
          <w:lang w:val="es-PE"/>
        </w:rPr>
        <w:t>207</w:t>
      </w:r>
      <w:bookmarkEnd w:id="18"/>
      <w:r w:rsidRPr="00116A43">
        <w:rPr>
          <w:rFonts w:ascii="Cambria" w:hAnsi="Cambria"/>
          <w:sz w:val="16"/>
          <w:szCs w:val="16"/>
          <w:lang w:val="es-PE"/>
        </w:rPr>
        <w:t xml:space="preserve">. </w:t>
      </w:r>
    </w:p>
  </w:footnote>
  <w:footnote w:id="67">
    <w:p w14:paraId="4D379509" w14:textId="0EA3DACF"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 184.</w:t>
      </w:r>
      <w:r w:rsidRPr="00116A43">
        <w:rPr>
          <w:rFonts w:ascii="Cambria" w:hAnsi="Cambria"/>
          <w:sz w:val="16"/>
          <w:szCs w:val="16"/>
          <w:lang w:val="es-PE"/>
        </w:rPr>
        <w:t xml:space="preserve"> </w:t>
      </w:r>
    </w:p>
  </w:footnote>
  <w:footnote w:id="68">
    <w:p w14:paraId="685D4CFD" w14:textId="15EAA9C3" w:rsidR="00F640DA" w:rsidRPr="00644687"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MX"/>
        </w:rPr>
        <w:t xml:space="preserve">CIDH. </w:t>
      </w:r>
      <w:hyperlink r:id="rId14" w:history="1">
        <w:r w:rsidRPr="00116A43">
          <w:rPr>
            <w:rStyle w:val="Hyperlink"/>
            <w:rFonts w:ascii="Cambria" w:hAnsi="Cambria"/>
            <w:sz w:val="16"/>
            <w:szCs w:val="16"/>
            <w:lang w:val="es-PE"/>
          </w:rPr>
          <w:t>Informe sobre la Situación de los derechos humanos en Cuba</w:t>
        </w:r>
      </w:hyperlink>
      <w:r w:rsidRPr="00116A43">
        <w:rPr>
          <w:rFonts w:ascii="Cambria" w:hAnsi="Cambria"/>
          <w:sz w:val="16"/>
          <w:szCs w:val="16"/>
          <w:lang w:val="es-PE"/>
        </w:rPr>
        <w:t xml:space="preserve">. </w:t>
      </w:r>
      <w:r w:rsidRPr="00644687">
        <w:rPr>
          <w:rFonts w:ascii="Cambria" w:hAnsi="Cambria"/>
          <w:sz w:val="16"/>
          <w:szCs w:val="16"/>
          <w:lang w:val="pt-BR"/>
        </w:rPr>
        <w:t xml:space="preserve">3 de febrero de 2020, </w:t>
      </w:r>
      <w:r w:rsidRPr="00644687">
        <w:rPr>
          <w:rFonts w:ascii="Cambria" w:hAnsi="Cambria"/>
          <w:i/>
          <w:sz w:val="16"/>
          <w:szCs w:val="16"/>
          <w:lang w:val="pt-BR"/>
        </w:rPr>
        <w:t>supra,</w:t>
      </w:r>
      <w:r w:rsidRPr="00644687">
        <w:rPr>
          <w:rFonts w:ascii="Cambria" w:hAnsi="Cambria"/>
          <w:sz w:val="16"/>
          <w:szCs w:val="16"/>
          <w:lang w:val="pt-BR"/>
        </w:rPr>
        <w:t xml:space="preserve"> párr. 126. </w:t>
      </w:r>
    </w:p>
  </w:footnote>
  <w:footnote w:id="69">
    <w:p w14:paraId="41CCBBD7" w14:textId="2722173C" w:rsidR="00F640DA" w:rsidRPr="00116A43" w:rsidRDefault="00F640DA">
      <w:pPr>
        <w:pBdr>
          <w:top w:val="none" w:sz="0" w:space="0" w:color="auto"/>
          <w:left w:val="none" w:sz="0" w:space="0" w:color="auto"/>
          <w:bottom w:val="none" w:sz="0" w:space="0" w:color="auto"/>
          <w:right w:val="none" w:sz="0" w:space="0" w:color="auto"/>
        </w:pBdr>
        <w:jc w:val="both"/>
        <w:rPr>
          <w:rFonts w:ascii="Cambria" w:hAnsi="Cambria"/>
          <w:sz w:val="16"/>
          <w:szCs w:val="16"/>
        </w:rPr>
      </w:pPr>
      <w:r w:rsidRPr="00116A43">
        <w:rPr>
          <w:rFonts w:ascii="Cambria" w:hAnsi="Cambria"/>
          <w:sz w:val="16"/>
          <w:szCs w:val="16"/>
          <w:vertAlign w:val="superscript"/>
        </w:rPr>
        <w:footnoteRef/>
      </w:r>
      <w:r w:rsidRPr="00116A43">
        <w:rPr>
          <w:rFonts w:ascii="Cambria" w:hAnsi="Cambria"/>
          <w:sz w:val="16"/>
          <w:szCs w:val="16"/>
          <w:lang w:val="pt-BR"/>
        </w:rPr>
        <w:t xml:space="preserve"> CIDH, </w:t>
      </w:r>
      <w:r w:rsidRPr="00116A43">
        <w:rPr>
          <w:rFonts w:ascii="Cambria" w:hAnsi="Cambria"/>
          <w:sz w:val="16"/>
          <w:szCs w:val="16"/>
          <w:lang w:val="pt-BR"/>
        </w:rPr>
        <w:t xml:space="preserve">Informe Nº 27/18, Caso Nº 12.127. </w:t>
      </w:r>
      <w:r w:rsidRPr="00116A43">
        <w:rPr>
          <w:rFonts w:ascii="Cambria" w:hAnsi="Cambria"/>
          <w:sz w:val="16"/>
          <w:szCs w:val="16"/>
          <w:lang w:val="es-419"/>
        </w:rPr>
        <w:t>Fondo. Vladimiro Roca Antunez y Otros. Cuba. 24 de febrero de 2018, párrs. 52 y 61; CIDH, Informe 67/06, Caso 12.476. Fondo. Oscar Elías Biscet y otros. Cuba. 21 de octubre de 2006, p</w:t>
      </w:r>
      <w:r>
        <w:rPr>
          <w:rFonts w:ascii="Cambria" w:hAnsi="Cambria"/>
          <w:sz w:val="16"/>
          <w:szCs w:val="16"/>
          <w:lang w:val="es-419"/>
        </w:rPr>
        <w:t>á</w:t>
      </w:r>
      <w:r w:rsidRPr="00116A43">
        <w:rPr>
          <w:rFonts w:ascii="Cambria" w:hAnsi="Cambria"/>
          <w:sz w:val="16"/>
          <w:szCs w:val="16"/>
          <w:lang w:val="es-419"/>
        </w:rPr>
        <w:t>rrs. 13, 204, 205, 212 y 224; CIDH. Informe Anual 2002. Capítulo IV</w:t>
      </w:r>
      <w:r>
        <w:rPr>
          <w:rFonts w:ascii="Cambria" w:hAnsi="Cambria"/>
          <w:sz w:val="16"/>
          <w:szCs w:val="16"/>
          <w:lang w:val="es-419"/>
        </w:rPr>
        <w:t xml:space="preserve">.B, </w:t>
      </w:r>
      <w:r w:rsidRPr="00116A43">
        <w:rPr>
          <w:rFonts w:ascii="Cambria" w:hAnsi="Cambria"/>
          <w:sz w:val="16"/>
          <w:szCs w:val="16"/>
          <w:lang w:val="es-419"/>
        </w:rPr>
        <w:t xml:space="preserve">Cuba. </w:t>
      </w:r>
      <w:r w:rsidRPr="00116A43">
        <w:rPr>
          <w:rFonts w:ascii="Cambria" w:hAnsi="Cambria"/>
          <w:color w:val="000000"/>
          <w:sz w:val="16"/>
          <w:szCs w:val="16"/>
          <w:lang w:val="es-419"/>
        </w:rPr>
        <w:t xml:space="preserve">OEA/Ser.L/V/II.117, Doc. 1, rev. 1, 7 marzo 2003, párr. 27. </w:t>
      </w:r>
      <w:r w:rsidRPr="00116A43">
        <w:rPr>
          <w:rFonts w:ascii="Cambria" w:hAnsi="Cambria"/>
          <w:sz w:val="16"/>
          <w:szCs w:val="16"/>
          <w:lang w:val="es-419"/>
        </w:rPr>
        <w:t xml:space="preserve">CIDH. Informe Anual 2011. Informe De La Relatoría Especial Para La Libertad De Expresión. </w:t>
      </w:r>
      <w:r w:rsidRPr="00116A43">
        <w:rPr>
          <w:rFonts w:ascii="Cambria" w:hAnsi="Cambria"/>
          <w:sz w:val="16"/>
          <w:szCs w:val="16"/>
          <w:lang w:val="es-ES_tradnl"/>
        </w:rPr>
        <w:t>OEA/</w:t>
      </w:r>
      <w:proofErr w:type="spellStart"/>
      <w:r w:rsidRPr="00116A43">
        <w:rPr>
          <w:rFonts w:ascii="Cambria" w:hAnsi="Cambria"/>
          <w:sz w:val="16"/>
          <w:szCs w:val="16"/>
          <w:lang w:val="es-ES_tradnl"/>
        </w:rPr>
        <w:t>Ser.L</w:t>
      </w:r>
      <w:proofErr w:type="spellEnd"/>
      <w:r w:rsidRPr="00116A43">
        <w:rPr>
          <w:rFonts w:ascii="Cambria" w:hAnsi="Cambria"/>
          <w:sz w:val="16"/>
          <w:szCs w:val="16"/>
          <w:lang w:val="es-ES_tradnl"/>
        </w:rPr>
        <w:t xml:space="preserve">/V/II. Doc. 69, 30 diciembre 2011, párr. 142. </w:t>
      </w:r>
      <w:r w:rsidRPr="00116A43">
        <w:rPr>
          <w:rFonts w:ascii="Cambria" w:hAnsi="Cambria"/>
          <w:sz w:val="16"/>
          <w:szCs w:val="16"/>
          <w:lang w:val="es-PE"/>
        </w:rPr>
        <w:t>CIDH. Informe Espe</w:t>
      </w:r>
      <w:r w:rsidRPr="00116A43">
        <w:rPr>
          <w:rFonts w:ascii="Cambria" w:hAnsi="Cambria"/>
          <w:sz w:val="16"/>
          <w:szCs w:val="16"/>
          <w:lang w:val="es-MX"/>
        </w:rPr>
        <w:t xml:space="preserve">cial sobre la situación de la libertad de expresión en </w:t>
      </w:r>
      <w:r w:rsidRPr="00116A43">
        <w:rPr>
          <w:rFonts w:ascii="Cambria" w:hAnsi="Cambria"/>
          <w:sz w:val="16"/>
          <w:szCs w:val="16"/>
          <w:lang w:val="es-PE"/>
        </w:rPr>
        <w:t>Cuba</w:t>
      </w:r>
      <w:r>
        <w:rPr>
          <w:rFonts w:ascii="Cambria" w:hAnsi="Cambria"/>
          <w:sz w:val="16"/>
          <w:szCs w:val="16"/>
          <w:lang w:val="es-PE"/>
        </w:rPr>
        <w:t>.</w:t>
      </w:r>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ES_tradnl"/>
        </w:rPr>
        <w:t xml:space="preserve">párr. 142. </w:t>
      </w:r>
    </w:p>
  </w:footnote>
  <w:footnote w:id="70">
    <w:p w14:paraId="664EFA0D" w14:textId="3DAF0989"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CIDH. Resolución 19/2019, Medidas Cautelares No. 1025-18, Manuel Alejandro León Velázquez y otros respecto de Cuba (Periodistas del “Diario de Cuba”), 4 de abril de 2019, párr. 7. CIDH. Informe Anual 2008. Capítulo IV. B. Cuba. O</w:t>
      </w:r>
      <w:r w:rsidRPr="00116A43">
        <w:rPr>
          <w:rFonts w:ascii="Cambria" w:hAnsi="Cambria"/>
          <w:sz w:val="16"/>
          <w:szCs w:val="16"/>
          <w:lang w:val="es-419" w:eastAsia="pt-BR"/>
        </w:rPr>
        <w:t>EA/Ser.L/V/II.134, Doc. 5 rev. 1, 25 febrero 2009, párr. 219.</w:t>
      </w:r>
    </w:p>
  </w:footnote>
  <w:footnote w:id="71">
    <w:p w14:paraId="7EDBA17B" w14:textId="66B60631" w:rsidR="00F640DA" w:rsidRPr="00116A43" w:rsidRDefault="00F640DA">
      <w:pPr>
        <w:pBdr>
          <w:top w:val="none" w:sz="0" w:space="0" w:color="auto"/>
          <w:left w:val="none" w:sz="0" w:space="0" w:color="auto"/>
          <w:bottom w:val="none" w:sz="0" w:space="0" w:color="auto"/>
          <w:right w:val="none" w:sz="0" w:space="0" w:color="auto"/>
        </w:pBdr>
        <w:shd w:val="clear" w:color="auto" w:fill="FFFFFF"/>
        <w:jc w:val="both"/>
        <w:rPr>
          <w:rFonts w:ascii="Cambria" w:hAnsi="Cambria"/>
          <w:sz w:val="16"/>
          <w:szCs w:val="16"/>
        </w:rPr>
      </w:pPr>
      <w:r w:rsidRPr="00116A43">
        <w:rPr>
          <w:rFonts w:ascii="Cambria" w:hAnsi="Cambria"/>
          <w:sz w:val="16"/>
          <w:szCs w:val="16"/>
          <w:vertAlign w:val="superscript"/>
        </w:rPr>
        <w:footnoteRef/>
      </w:r>
      <w:r w:rsidRPr="00116A43">
        <w:rPr>
          <w:rFonts w:ascii="Cambria" w:hAnsi="Cambria"/>
          <w:sz w:val="16"/>
          <w:szCs w:val="16"/>
          <w:lang w:val="es-419"/>
        </w:rPr>
        <w:t xml:space="preserve"> CIDH. Informe Anual 2008. Capítulo IV. B. Cuba. O</w:t>
      </w:r>
      <w:r w:rsidRPr="00116A43">
        <w:rPr>
          <w:rFonts w:ascii="Cambria" w:hAnsi="Cambria"/>
          <w:color w:val="000000"/>
          <w:sz w:val="16"/>
          <w:szCs w:val="16"/>
          <w:lang w:val="es-419" w:eastAsia="pt-BR"/>
        </w:rPr>
        <w:t>EA/Ser.L/V/II.134, Doc. 5 rev. 1, 25 febrero 2009, párr. 205.</w:t>
      </w:r>
    </w:p>
  </w:footnote>
  <w:footnote w:id="72">
    <w:p w14:paraId="55AAEC31" w14:textId="70187DFC" w:rsidR="00F640DA" w:rsidRPr="00116A43" w:rsidRDefault="00F640DA">
      <w:pPr>
        <w:pBdr>
          <w:top w:val="none" w:sz="0" w:space="0" w:color="auto"/>
          <w:left w:val="none" w:sz="0" w:space="0" w:color="auto"/>
          <w:bottom w:val="none" w:sz="0" w:space="0" w:color="auto"/>
          <w:right w:val="none" w:sz="0" w:space="0" w:color="auto"/>
        </w:pBdr>
        <w:jc w:val="both"/>
        <w:rPr>
          <w:rFonts w:ascii="Cambria" w:hAnsi="Cambria" w:cs="Tahoma"/>
          <w:color w:val="333333"/>
          <w:sz w:val="16"/>
          <w:szCs w:val="16"/>
          <w:lang w:eastAsia="pt-BR"/>
        </w:rPr>
      </w:pPr>
      <w:r w:rsidRPr="00116A43">
        <w:rPr>
          <w:rFonts w:ascii="Cambria" w:hAnsi="Cambria"/>
          <w:sz w:val="16"/>
          <w:szCs w:val="16"/>
          <w:vertAlign w:val="superscript"/>
        </w:rPr>
        <w:footnoteRef/>
      </w:r>
      <w:r w:rsidRPr="00644687">
        <w:rPr>
          <w:rFonts w:ascii="Cambria" w:hAnsi="Cambria"/>
          <w:sz w:val="16"/>
          <w:szCs w:val="16"/>
          <w:lang w:val="es-US"/>
        </w:rPr>
        <w:t xml:space="preserve"> CIDH. Informe Anual 2012. Capítulo IV. B. Cuba. </w:t>
      </w:r>
      <w:r w:rsidRPr="003D0D74">
        <w:rPr>
          <w:rFonts w:ascii="Cambria" w:hAnsi="Cambria" w:cs="Tahoma"/>
          <w:sz w:val="16"/>
          <w:szCs w:val="16"/>
          <w:lang w:eastAsia="pt-BR"/>
        </w:rPr>
        <w:t>OEA/</w:t>
      </w:r>
      <w:proofErr w:type="spellStart"/>
      <w:r w:rsidRPr="003D0D74">
        <w:rPr>
          <w:rFonts w:ascii="Cambria" w:hAnsi="Cambria" w:cs="Tahoma"/>
          <w:sz w:val="16"/>
          <w:szCs w:val="16"/>
          <w:lang w:eastAsia="pt-BR"/>
        </w:rPr>
        <w:t>Ser.L</w:t>
      </w:r>
      <w:proofErr w:type="spellEnd"/>
      <w:r w:rsidRPr="003D0D74">
        <w:rPr>
          <w:rFonts w:ascii="Cambria" w:hAnsi="Cambria" w:cs="Tahoma"/>
          <w:sz w:val="16"/>
          <w:szCs w:val="16"/>
          <w:lang w:eastAsia="pt-BR"/>
        </w:rPr>
        <w:t xml:space="preserve">/V/II.147, Doc. 1, 5 marzo 2013, </w:t>
      </w:r>
      <w:proofErr w:type="spellStart"/>
      <w:r w:rsidRPr="003D0D74">
        <w:rPr>
          <w:rFonts w:ascii="Cambria" w:hAnsi="Cambria" w:cs="Tahoma"/>
          <w:sz w:val="16"/>
          <w:szCs w:val="16"/>
          <w:lang w:eastAsia="pt-BR"/>
        </w:rPr>
        <w:t>párrs</w:t>
      </w:r>
      <w:proofErr w:type="spellEnd"/>
      <w:r w:rsidRPr="003D0D74">
        <w:rPr>
          <w:rFonts w:ascii="Cambria" w:hAnsi="Cambria" w:cs="Tahoma"/>
          <w:sz w:val="16"/>
          <w:szCs w:val="16"/>
          <w:lang w:eastAsia="pt-BR"/>
        </w:rPr>
        <w:t xml:space="preserve">. 78 y 118. </w:t>
      </w:r>
    </w:p>
  </w:footnote>
  <w:footnote w:id="73">
    <w:p w14:paraId="210D9E6A" w14:textId="7F0D9466"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DB75FD">
        <w:rPr>
          <w:rFonts w:ascii="Cambria" w:hAnsi="Cambria"/>
          <w:sz w:val="16"/>
          <w:szCs w:val="16"/>
          <w:lang w:val="es-VE"/>
        </w:rPr>
        <w:t xml:space="preserve">Anexo </w:t>
      </w:r>
      <w:r w:rsidRPr="003D0D74">
        <w:rPr>
          <w:rFonts w:ascii="Cambria" w:hAnsi="Cambria"/>
          <w:sz w:val="16"/>
          <w:szCs w:val="16"/>
          <w:lang w:val="es-VE"/>
        </w:rPr>
        <w:t>1</w:t>
      </w:r>
      <w:r w:rsidRPr="00DB75FD">
        <w:rPr>
          <w:rFonts w:ascii="Cambria" w:hAnsi="Cambria"/>
          <w:sz w:val="16"/>
          <w:szCs w:val="16"/>
          <w:lang w:val="es-VE"/>
        </w:rPr>
        <w:t>.</w:t>
      </w:r>
      <w:r w:rsidRPr="00116A43">
        <w:rPr>
          <w:rFonts w:ascii="Cambria" w:hAnsi="Cambria"/>
          <w:sz w:val="16"/>
          <w:szCs w:val="16"/>
          <w:lang w:val="es-VE"/>
        </w:rPr>
        <w:t xml:space="preserve"> Pasaporte. Anexo 1 al escrito de observaciones de fondo de la parte peticionaria de 11 de febrero de 2019.</w:t>
      </w:r>
    </w:p>
  </w:footnote>
  <w:footnote w:id="74">
    <w:p w14:paraId="60415B98" w14:textId="09FA0C3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págs. 5-6.</w:t>
      </w:r>
    </w:p>
  </w:footnote>
  <w:footnote w:id="75">
    <w:p w14:paraId="4663CE07" w14:textId="0062A49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5.</w:t>
      </w:r>
    </w:p>
  </w:footnote>
  <w:footnote w:id="76">
    <w:p w14:paraId="3A5573E8" w14:textId="1E39460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Perfil de Yoani Sánchez. Diario cubano 14ymedio.com. Disponible en: </w:t>
      </w:r>
      <w:hyperlink r:id="rId15" w:history="1">
        <w:r w:rsidRPr="00116A43">
          <w:rPr>
            <w:rStyle w:val="Hyperlink"/>
            <w:rFonts w:ascii="Cambria" w:hAnsi="Cambria"/>
            <w:sz w:val="16"/>
            <w:szCs w:val="16"/>
            <w:lang w:val="es-PE"/>
          </w:rPr>
          <w:t>https://www.14ymedio.com/blogs/generacion_y/generacion_y-yoani_sanchez-cuba-habana_7_1558714114.html</w:t>
        </w:r>
      </w:hyperlink>
      <w:r w:rsidRPr="00116A43">
        <w:rPr>
          <w:rFonts w:ascii="Cambria" w:hAnsi="Cambria"/>
          <w:sz w:val="16"/>
          <w:szCs w:val="16"/>
          <w:lang w:val="es-PE"/>
        </w:rPr>
        <w:t xml:space="preserve"> </w:t>
      </w:r>
    </w:p>
  </w:footnote>
  <w:footnote w:id="77">
    <w:p w14:paraId="68F9C4B9" w14:textId="591B060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xml:space="preserve">. </w:t>
      </w:r>
      <w:hyperlink r:id="rId16" w:history="1">
        <w:r w:rsidRPr="00116A43">
          <w:rPr>
            <w:rStyle w:val="Hyperlink"/>
            <w:rFonts w:ascii="Cambria" w:hAnsi="Cambria"/>
            <w:sz w:val="16"/>
            <w:szCs w:val="16"/>
            <w:lang w:val="es-PE"/>
          </w:rPr>
          <w:t>Informe Espe</w:t>
        </w:r>
        <w:proofErr w:type="spellStart"/>
        <w:r w:rsidRPr="00116A43">
          <w:rPr>
            <w:rStyle w:val="Hyperlink"/>
            <w:rFonts w:ascii="Cambria" w:hAnsi="Cambria"/>
            <w:sz w:val="16"/>
            <w:szCs w:val="16"/>
            <w:lang w:val="es-MX"/>
          </w:rPr>
          <w:t>cial</w:t>
        </w:r>
        <w:proofErr w:type="spellEnd"/>
        <w:r w:rsidRPr="00116A43">
          <w:rPr>
            <w:rStyle w:val="Hyperlink"/>
            <w:rFonts w:ascii="Cambria" w:hAnsi="Cambria"/>
            <w:sz w:val="16"/>
            <w:szCs w:val="16"/>
            <w:lang w:val="es-MX"/>
          </w:rPr>
          <w:t xml:space="preserve"> sobre la Situación de la libertad de expresión en Cuba.</w:t>
        </w:r>
      </w:hyperlink>
      <w:r w:rsidRPr="00116A43">
        <w:rPr>
          <w:rFonts w:ascii="Cambria" w:hAnsi="Cambria"/>
          <w:sz w:val="16"/>
          <w:szCs w:val="16"/>
          <w:lang w:val="es-MX"/>
        </w:rPr>
        <w:t xml:space="preserve"> 31 de diciembre de 2018, </w:t>
      </w:r>
      <w:r w:rsidRPr="00116A43">
        <w:rPr>
          <w:rFonts w:ascii="Cambria" w:hAnsi="Cambria"/>
          <w:i/>
          <w:sz w:val="16"/>
          <w:szCs w:val="16"/>
          <w:lang w:val="es-MX"/>
        </w:rPr>
        <w:t>supra</w:t>
      </w:r>
      <w:r w:rsidRPr="00116A43">
        <w:rPr>
          <w:rFonts w:ascii="Cambria" w:hAnsi="Cambria"/>
          <w:sz w:val="16"/>
          <w:szCs w:val="16"/>
          <w:lang w:val="es-MX"/>
        </w:rPr>
        <w:t>,</w:t>
      </w:r>
      <w:r>
        <w:rPr>
          <w:rFonts w:ascii="Cambria" w:hAnsi="Cambria"/>
          <w:sz w:val="16"/>
          <w:szCs w:val="16"/>
          <w:lang w:val="es-MX"/>
        </w:rPr>
        <w:t xml:space="preserve"> </w:t>
      </w:r>
      <w:r w:rsidRPr="00116A43">
        <w:rPr>
          <w:rFonts w:ascii="Cambria" w:hAnsi="Cambria"/>
          <w:sz w:val="16"/>
          <w:szCs w:val="16"/>
          <w:lang w:val="es-MX"/>
        </w:rPr>
        <w:t>párr. 233.</w:t>
      </w:r>
    </w:p>
  </w:footnote>
  <w:footnote w:id="78">
    <w:p w14:paraId="27630A77" w14:textId="5B10C7CD"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Blog </w:t>
      </w:r>
      <w:r w:rsidRPr="00116A43">
        <w:rPr>
          <w:rFonts w:ascii="Cambria" w:hAnsi="Cambria"/>
          <w:sz w:val="16"/>
          <w:szCs w:val="16"/>
          <w:lang w:val="es-419"/>
        </w:rPr>
        <w:t xml:space="preserve">Generación Y. 22 de octubre de 2007. </w:t>
      </w:r>
      <w:hyperlink r:id="rId17" w:history="1">
        <w:r w:rsidRPr="00116A43">
          <w:rPr>
            <w:rStyle w:val="Hyperlink"/>
            <w:rFonts w:ascii="Cambria" w:hAnsi="Cambria"/>
            <w:i/>
            <w:iCs/>
            <w:sz w:val="16"/>
            <w:szCs w:val="16"/>
            <w:lang w:val="es-PE"/>
          </w:rPr>
          <w:t>Yo sospecho, tú sospechas, todos sospechamos</w:t>
        </w:r>
      </w:hyperlink>
      <w:r w:rsidRPr="00116A43">
        <w:rPr>
          <w:rFonts w:ascii="Cambria" w:hAnsi="Cambria"/>
          <w:sz w:val="16"/>
          <w:szCs w:val="16"/>
          <w:lang w:val="es-419"/>
        </w:rPr>
        <w:t xml:space="preserve">; 11 de julio de 2008. </w:t>
      </w:r>
      <w:hyperlink r:id="rId18" w:history="1">
        <w:r w:rsidRPr="00116A43">
          <w:rPr>
            <w:rStyle w:val="Hyperlink"/>
            <w:rFonts w:ascii="Cambria" w:hAnsi="Cambria"/>
            <w:i/>
            <w:iCs/>
            <w:sz w:val="16"/>
            <w:szCs w:val="16"/>
            <w:lang w:val="es-419"/>
          </w:rPr>
          <w:t>Democracia de Chevrolet</w:t>
        </w:r>
      </w:hyperlink>
      <w:r w:rsidRPr="00116A43">
        <w:rPr>
          <w:rFonts w:ascii="Cambria" w:hAnsi="Cambria"/>
          <w:sz w:val="16"/>
          <w:szCs w:val="16"/>
          <w:lang w:val="es-419"/>
        </w:rPr>
        <w:t xml:space="preserve">; </w:t>
      </w:r>
      <w:r w:rsidRPr="00116A43">
        <w:rPr>
          <w:rFonts w:ascii="Cambria" w:hAnsi="Cambria"/>
          <w:sz w:val="16"/>
          <w:szCs w:val="16"/>
          <w:lang w:val="es-PE"/>
        </w:rPr>
        <w:t xml:space="preserve">21 de julio de 2008. </w:t>
      </w:r>
      <w:hyperlink r:id="rId19" w:history="1">
        <w:r w:rsidRPr="00116A43">
          <w:rPr>
            <w:rStyle w:val="Hyperlink"/>
            <w:rFonts w:ascii="Cambria" w:hAnsi="Cambria"/>
            <w:i/>
            <w:iCs/>
            <w:sz w:val="16"/>
            <w:szCs w:val="16"/>
            <w:lang w:val="es-PE"/>
          </w:rPr>
          <w:t>Ciber-mutilados</w:t>
        </w:r>
      </w:hyperlink>
      <w:r w:rsidRPr="00116A43">
        <w:rPr>
          <w:rFonts w:ascii="Cambria" w:hAnsi="Cambria"/>
          <w:sz w:val="16"/>
          <w:szCs w:val="16"/>
          <w:lang w:val="es-PE"/>
        </w:rPr>
        <w:t>;</w:t>
      </w:r>
      <w:r w:rsidRPr="00116A43">
        <w:rPr>
          <w:rFonts w:ascii="Cambria" w:hAnsi="Cambria"/>
          <w:sz w:val="16"/>
          <w:szCs w:val="16"/>
          <w:lang w:val="es-419"/>
        </w:rPr>
        <w:t xml:space="preserve"> 26 de julio de 2009. </w:t>
      </w:r>
      <w:hyperlink r:id="rId20" w:history="1">
        <w:r w:rsidRPr="00116A43">
          <w:rPr>
            <w:rStyle w:val="Hyperlink"/>
            <w:rFonts w:ascii="Cambria" w:hAnsi="Cambria"/>
            <w:i/>
            <w:iCs/>
            <w:sz w:val="16"/>
            <w:szCs w:val="16"/>
            <w:lang w:val="es-419"/>
          </w:rPr>
          <w:t>Leche, agua y sombra</w:t>
        </w:r>
      </w:hyperlink>
      <w:r w:rsidRPr="00116A43">
        <w:rPr>
          <w:rFonts w:ascii="Cambria" w:hAnsi="Cambria"/>
          <w:sz w:val="16"/>
          <w:szCs w:val="16"/>
          <w:lang w:val="es-419"/>
        </w:rPr>
        <w:t>;</w:t>
      </w:r>
      <w:r w:rsidRPr="00116A43">
        <w:rPr>
          <w:rFonts w:ascii="Cambria" w:hAnsi="Cambria"/>
          <w:sz w:val="16"/>
          <w:szCs w:val="16"/>
          <w:lang w:val="es-PE"/>
        </w:rPr>
        <w:t xml:space="preserve"> 15 de marzo de 2010. </w:t>
      </w:r>
      <w:hyperlink r:id="rId21" w:history="1">
        <w:r w:rsidRPr="003D0D74">
          <w:rPr>
            <w:rStyle w:val="Hyperlink"/>
            <w:rFonts w:ascii="Cambria" w:hAnsi="Cambria"/>
            <w:i/>
            <w:sz w:val="16"/>
            <w:szCs w:val="16"/>
            <w:lang w:val="es-PE"/>
          </w:rPr>
          <w:t>Tropical mafia</w:t>
        </w:r>
      </w:hyperlink>
      <w:r w:rsidRPr="00116A43">
        <w:rPr>
          <w:rFonts w:ascii="Cambria" w:hAnsi="Cambria"/>
          <w:sz w:val="16"/>
          <w:szCs w:val="16"/>
          <w:lang w:val="es-PE"/>
        </w:rPr>
        <w:t xml:space="preserve">; Blog Generación Y en portugués. 10 de abril de 2010. </w:t>
      </w:r>
      <w:hyperlink r:id="rId22" w:history="1">
        <w:r w:rsidRPr="00116A43">
          <w:rPr>
            <w:rStyle w:val="Hyperlink"/>
            <w:rFonts w:ascii="Cambria" w:hAnsi="Cambria"/>
            <w:i/>
            <w:iCs/>
            <w:sz w:val="16"/>
            <w:szCs w:val="16"/>
            <w:lang w:val="es-PE"/>
          </w:rPr>
          <w:t xml:space="preserve">Do </w:t>
        </w:r>
        <w:proofErr w:type="spellStart"/>
        <w:r w:rsidRPr="00116A43">
          <w:rPr>
            <w:rStyle w:val="Hyperlink"/>
            <w:rFonts w:ascii="Cambria" w:hAnsi="Cambria"/>
            <w:i/>
            <w:iCs/>
            <w:sz w:val="16"/>
            <w:szCs w:val="16"/>
            <w:lang w:val="es-PE"/>
          </w:rPr>
          <w:t>leite</w:t>
        </w:r>
        <w:proofErr w:type="spellEnd"/>
        <w:r w:rsidRPr="00116A43">
          <w:rPr>
            <w:rStyle w:val="Hyperlink"/>
            <w:rFonts w:ascii="Cambria" w:hAnsi="Cambria"/>
            <w:i/>
            <w:iCs/>
            <w:sz w:val="16"/>
            <w:szCs w:val="16"/>
            <w:lang w:val="es-PE"/>
          </w:rPr>
          <w:t xml:space="preserve"> à barricada</w:t>
        </w:r>
      </w:hyperlink>
      <w:r w:rsidRPr="00116A43">
        <w:rPr>
          <w:rFonts w:ascii="Cambria" w:hAnsi="Cambria"/>
          <w:sz w:val="16"/>
          <w:szCs w:val="16"/>
          <w:lang w:val="es-419"/>
        </w:rPr>
        <w:t xml:space="preserve">; 7 de mayo de 2010. </w:t>
      </w:r>
      <w:hyperlink r:id="rId23" w:history="1">
        <w:r w:rsidRPr="00116A43">
          <w:rPr>
            <w:rStyle w:val="Hyperlink"/>
            <w:rFonts w:ascii="Cambria" w:hAnsi="Cambria"/>
            <w:i/>
            <w:iCs/>
            <w:sz w:val="16"/>
            <w:szCs w:val="16"/>
            <w:lang w:val="es-419"/>
          </w:rPr>
          <w:t xml:space="preserve">El </w:t>
        </w:r>
        <w:proofErr w:type="spellStart"/>
        <w:r w:rsidRPr="00116A43">
          <w:rPr>
            <w:rStyle w:val="Hyperlink"/>
            <w:rFonts w:ascii="Cambria" w:hAnsi="Cambria"/>
            <w:i/>
            <w:iCs/>
            <w:sz w:val="16"/>
            <w:szCs w:val="16"/>
            <w:lang w:val="es-419"/>
          </w:rPr>
          <w:t>Iphone</w:t>
        </w:r>
        <w:proofErr w:type="spellEnd"/>
        <w:r w:rsidRPr="00116A43">
          <w:rPr>
            <w:rStyle w:val="Hyperlink"/>
            <w:rFonts w:ascii="Cambria" w:hAnsi="Cambria"/>
            <w:i/>
            <w:iCs/>
            <w:sz w:val="16"/>
            <w:szCs w:val="16"/>
            <w:lang w:val="es-419"/>
          </w:rPr>
          <w:t xml:space="preserve"> de Rosa Diez</w:t>
        </w:r>
      </w:hyperlink>
      <w:r w:rsidRPr="00116A43">
        <w:rPr>
          <w:rFonts w:ascii="Cambria" w:hAnsi="Cambria"/>
          <w:sz w:val="16"/>
          <w:szCs w:val="16"/>
          <w:lang w:val="es-419"/>
        </w:rPr>
        <w:t xml:space="preserve">; Blog Generación Y </w:t>
      </w:r>
      <w:r w:rsidRPr="00116A43">
        <w:rPr>
          <w:rFonts w:ascii="Cambria" w:hAnsi="Cambria"/>
          <w:sz w:val="16"/>
          <w:szCs w:val="16"/>
          <w:lang w:val="es-PE"/>
        </w:rPr>
        <w:t>en portugués</w:t>
      </w:r>
      <w:r w:rsidRPr="00116A43">
        <w:rPr>
          <w:rFonts w:ascii="Cambria" w:hAnsi="Cambria"/>
          <w:sz w:val="16"/>
          <w:szCs w:val="16"/>
          <w:lang w:val="es-419"/>
        </w:rPr>
        <w:t xml:space="preserve">. 2 de agosto de 2011 </w:t>
      </w:r>
      <w:hyperlink r:id="rId24" w:history="1">
        <w:proofErr w:type="spellStart"/>
        <w:r w:rsidRPr="00116A43">
          <w:rPr>
            <w:rStyle w:val="Hyperlink"/>
            <w:rFonts w:ascii="Cambria" w:hAnsi="Cambria"/>
            <w:i/>
            <w:iCs/>
            <w:sz w:val="16"/>
            <w:szCs w:val="16"/>
            <w:lang w:val="es-419"/>
          </w:rPr>
          <w:t>Na</w:t>
        </w:r>
        <w:proofErr w:type="spellEnd"/>
        <w:r w:rsidRPr="00116A43">
          <w:rPr>
            <w:rStyle w:val="Hyperlink"/>
            <w:rFonts w:ascii="Cambria" w:hAnsi="Cambria"/>
            <w:i/>
            <w:iCs/>
            <w:sz w:val="16"/>
            <w:szCs w:val="16"/>
            <w:lang w:val="es-419"/>
          </w:rPr>
          <w:t xml:space="preserve"> </w:t>
        </w:r>
        <w:proofErr w:type="spellStart"/>
        <w:r w:rsidRPr="00116A43">
          <w:rPr>
            <w:rStyle w:val="Hyperlink"/>
            <w:rFonts w:ascii="Cambria" w:hAnsi="Cambria"/>
            <w:i/>
            <w:iCs/>
            <w:sz w:val="16"/>
            <w:szCs w:val="16"/>
            <w:lang w:val="es-419"/>
          </w:rPr>
          <w:t>própria</w:t>
        </w:r>
        <w:proofErr w:type="spellEnd"/>
        <w:r w:rsidRPr="00116A43">
          <w:rPr>
            <w:rStyle w:val="Hyperlink"/>
            <w:rFonts w:ascii="Cambria" w:hAnsi="Cambria"/>
            <w:i/>
            <w:iCs/>
            <w:sz w:val="16"/>
            <w:szCs w:val="16"/>
            <w:lang w:val="es-419"/>
          </w:rPr>
          <w:t xml:space="preserve"> carne</w:t>
        </w:r>
      </w:hyperlink>
      <w:r w:rsidRPr="00116A43">
        <w:rPr>
          <w:rFonts w:ascii="Cambria" w:hAnsi="Cambria"/>
          <w:sz w:val="16"/>
          <w:szCs w:val="16"/>
          <w:lang w:val="es-419"/>
        </w:rPr>
        <w:t xml:space="preserve">; </w:t>
      </w:r>
      <w:r w:rsidRPr="00116A43">
        <w:rPr>
          <w:rFonts w:ascii="Cambria" w:hAnsi="Cambria"/>
          <w:sz w:val="16"/>
          <w:szCs w:val="16"/>
          <w:lang w:val="es-PE"/>
        </w:rPr>
        <w:t xml:space="preserve">29 de febrero de 2012. </w:t>
      </w:r>
      <w:hyperlink r:id="rId25" w:history="1">
        <w:r w:rsidRPr="003D0D74">
          <w:rPr>
            <w:rStyle w:val="Hyperlink"/>
            <w:rFonts w:ascii="Cambria" w:hAnsi="Cambria"/>
            <w:i/>
            <w:sz w:val="16"/>
            <w:szCs w:val="16"/>
            <w:lang w:val="es-PE"/>
          </w:rPr>
          <w:t>La planta, nuestra planta</w:t>
        </w:r>
      </w:hyperlink>
      <w:r w:rsidRPr="00116A43">
        <w:rPr>
          <w:rFonts w:ascii="Cambria" w:hAnsi="Cambria"/>
          <w:sz w:val="16"/>
          <w:szCs w:val="16"/>
          <w:lang w:val="es-PE"/>
        </w:rPr>
        <w:t xml:space="preserve">. </w:t>
      </w:r>
    </w:p>
  </w:footnote>
  <w:footnote w:id="79">
    <w:p w14:paraId="2F2129FC" w14:textId="6EA1269C" w:rsidR="00F640DA" w:rsidRPr="00116A43" w:rsidRDefault="00F640DA">
      <w:pPr>
        <w:pStyle w:val="FootnoteText"/>
        <w:jc w:val="both"/>
        <w:rPr>
          <w:rFonts w:ascii="Cambria" w:hAnsi="Cambria"/>
          <w:color w:val="0070C0"/>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El País. 4 de abril de 2008. </w:t>
      </w:r>
      <w:hyperlink r:id="rId26" w:history="1">
        <w:r w:rsidRPr="00116A43">
          <w:rPr>
            <w:rStyle w:val="Hyperlink"/>
            <w:rFonts w:ascii="Cambria" w:hAnsi="Cambria"/>
            <w:i/>
            <w:color w:val="0070C0"/>
            <w:sz w:val="16"/>
            <w:szCs w:val="16"/>
            <w:lang w:val="es-PE"/>
          </w:rPr>
          <w:t>Los Ortega premian la valentía del periodismo de investigación</w:t>
        </w:r>
      </w:hyperlink>
      <w:r w:rsidRPr="00116A43">
        <w:rPr>
          <w:rFonts w:ascii="Cambria" w:hAnsi="Cambria"/>
          <w:sz w:val="16"/>
          <w:szCs w:val="16"/>
          <w:lang w:val="es-PE"/>
        </w:rPr>
        <w:t xml:space="preserve">; Periodismo ciudadano. Sin fecha. </w:t>
      </w:r>
      <w:hyperlink r:id="rId27" w:history="1">
        <w:r w:rsidRPr="00116A43">
          <w:rPr>
            <w:rStyle w:val="Hyperlink"/>
            <w:rFonts w:ascii="Cambria" w:hAnsi="Cambria"/>
            <w:i/>
            <w:color w:val="0070C0"/>
            <w:sz w:val="16"/>
            <w:szCs w:val="16"/>
            <w:lang w:val="es-PE"/>
          </w:rPr>
          <w:t>La Blogger Cubana Yoani Sánchez Gana El Premio Ortega Y Gasset De Periodismo Digital</w:t>
        </w:r>
      </w:hyperlink>
      <w:r w:rsidRPr="00116A43">
        <w:rPr>
          <w:rFonts w:ascii="Cambria" w:hAnsi="Cambria"/>
          <w:i/>
          <w:color w:val="0070C0"/>
          <w:sz w:val="16"/>
          <w:szCs w:val="16"/>
          <w:lang w:val="es-PE"/>
        </w:rPr>
        <w:t>.</w:t>
      </w:r>
    </w:p>
  </w:footnote>
  <w:footnote w:id="80">
    <w:p w14:paraId="134F6048" w14:textId="6ABDEEE1"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i/>
          <w:iCs/>
          <w:sz w:val="16"/>
          <w:szCs w:val="16"/>
          <w:lang w:val="es-PE"/>
        </w:rPr>
      </w:pPr>
      <w:r w:rsidRPr="00116A43">
        <w:rPr>
          <w:rFonts w:ascii="Cambria" w:hAnsi="Cambria"/>
          <w:sz w:val="16"/>
          <w:szCs w:val="16"/>
          <w:vertAlign w:val="superscript"/>
        </w:rPr>
        <w:footnoteRef/>
      </w:r>
      <w:r w:rsidRPr="00116A43">
        <w:rPr>
          <w:rFonts w:ascii="Cambria" w:hAnsi="Cambria"/>
          <w:sz w:val="16"/>
          <w:szCs w:val="16"/>
        </w:rPr>
        <w:t xml:space="preserve"> Time. Sin </w:t>
      </w:r>
      <w:proofErr w:type="spellStart"/>
      <w:r w:rsidRPr="00116A43">
        <w:rPr>
          <w:rFonts w:ascii="Cambria" w:hAnsi="Cambria"/>
          <w:sz w:val="16"/>
          <w:szCs w:val="16"/>
        </w:rPr>
        <w:t>fecha</w:t>
      </w:r>
      <w:proofErr w:type="spellEnd"/>
      <w:r w:rsidRPr="00116A43">
        <w:rPr>
          <w:rFonts w:ascii="Cambria" w:hAnsi="Cambria"/>
          <w:sz w:val="16"/>
          <w:szCs w:val="16"/>
        </w:rPr>
        <w:t xml:space="preserve">. </w:t>
      </w:r>
      <w:hyperlink r:id="rId28" w:history="1">
        <w:r w:rsidRPr="00116A43">
          <w:rPr>
            <w:rStyle w:val="Hyperlink"/>
            <w:rFonts w:ascii="Cambria" w:hAnsi="Cambria"/>
            <w:i/>
            <w:iCs/>
            <w:color w:val="0070C0"/>
            <w:sz w:val="16"/>
            <w:szCs w:val="16"/>
          </w:rPr>
          <w:t xml:space="preserve">The 2008 Times 100: heroes and pioneers. </w:t>
        </w:r>
        <w:r w:rsidRPr="00116A43">
          <w:rPr>
            <w:rStyle w:val="Hyperlink"/>
            <w:rFonts w:ascii="Cambria" w:hAnsi="Cambria"/>
            <w:i/>
            <w:iCs/>
            <w:color w:val="0070C0"/>
            <w:sz w:val="16"/>
            <w:szCs w:val="16"/>
            <w:lang w:val="es-PE"/>
          </w:rPr>
          <w:t>Yoani Sánchez</w:t>
        </w:r>
      </w:hyperlink>
      <w:r w:rsidRPr="00116A43">
        <w:rPr>
          <w:rFonts w:ascii="Cambria" w:hAnsi="Cambria"/>
          <w:i/>
          <w:iCs/>
          <w:sz w:val="16"/>
          <w:szCs w:val="16"/>
          <w:lang w:val="es-PE"/>
        </w:rPr>
        <w:t xml:space="preserve">; </w:t>
      </w:r>
      <w:r w:rsidRPr="00116A43">
        <w:rPr>
          <w:rFonts w:ascii="Cambria" w:hAnsi="Cambria"/>
          <w:sz w:val="16"/>
          <w:szCs w:val="16"/>
          <w:lang w:val="es-PE"/>
        </w:rPr>
        <w:t xml:space="preserve">Periodismo ciudadano. Sin fecha. </w:t>
      </w:r>
      <w:hyperlink r:id="rId29" w:history="1">
        <w:r w:rsidRPr="00116A43">
          <w:rPr>
            <w:rStyle w:val="Hyperlink"/>
            <w:rFonts w:ascii="Cambria" w:hAnsi="Cambria"/>
            <w:i/>
            <w:iCs/>
            <w:sz w:val="16"/>
            <w:szCs w:val="16"/>
            <w:lang w:val="es-PE"/>
          </w:rPr>
          <w:t>La Bloguera Cubana Yoani Sánchez, Elegida Por La Revista Times Como Una De Las 100 Personas Más Influyentes</w:t>
        </w:r>
      </w:hyperlink>
      <w:r w:rsidRPr="00116A43">
        <w:rPr>
          <w:rFonts w:ascii="Cambria" w:hAnsi="Cambria"/>
          <w:i/>
          <w:iCs/>
          <w:sz w:val="16"/>
          <w:szCs w:val="16"/>
          <w:lang w:val="es-PE"/>
        </w:rPr>
        <w:t>.</w:t>
      </w:r>
    </w:p>
  </w:footnote>
  <w:footnote w:id="81">
    <w:p w14:paraId="672D5889" w14:textId="1382149E"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i/>
          <w:iCs/>
          <w:sz w:val="16"/>
          <w:szCs w:val="16"/>
        </w:rPr>
      </w:pPr>
      <w:r w:rsidRPr="00116A43">
        <w:rPr>
          <w:rFonts w:ascii="Cambria" w:hAnsi="Cambria"/>
          <w:sz w:val="16"/>
          <w:szCs w:val="16"/>
          <w:vertAlign w:val="superscript"/>
        </w:rPr>
        <w:footnoteRef/>
      </w:r>
      <w:r w:rsidRPr="00116A43">
        <w:rPr>
          <w:rFonts w:ascii="Cambria" w:hAnsi="Cambria"/>
          <w:sz w:val="16"/>
          <w:szCs w:val="16"/>
          <w:lang w:val="es-PE"/>
        </w:rPr>
        <w:t xml:space="preserve"> Time. Sin fecha. </w:t>
      </w:r>
      <w:hyperlink r:id="rId30" w:history="1">
        <w:r w:rsidRPr="00116A43">
          <w:rPr>
            <w:rStyle w:val="Hyperlink"/>
            <w:rFonts w:ascii="Cambria" w:hAnsi="Cambria"/>
            <w:i/>
            <w:iCs/>
            <w:sz w:val="16"/>
            <w:szCs w:val="16"/>
            <w:lang w:val="es-PE"/>
          </w:rPr>
          <w:t xml:space="preserve">25 </w:t>
        </w:r>
        <w:proofErr w:type="spellStart"/>
        <w:r w:rsidRPr="00116A43">
          <w:rPr>
            <w:rStyle w:val="Hyperlink"/>
            <w:rFonts w:ascii="Cambria" w:hAnsi="Cambria"/>
            <w:i/>
            <w:iCs/>
            <w:sz w:val="16"/>
            <w:szCs w:val="16"/>
            <w:lang w:val="es-PE"/>
          </w:rPr>
          <w:t>best</w:t>
        </w:r>
        <w:proofErr w:type="spellEnd"/>
        <w:r w:rsidRPr="00116A43">
          <w:rPr>
            <w:rStyle w:val="Hyperlink"/>
            <w:rFonts w:ascii="Cambria" w:hAnsi="Cambria"/>
            <w:i/>
            <w:iCs/>
            <w:sz w:val="16"/>
            <w:szCs w:val="16"/>
            <w:lang w:val="es-PE"/>
          </w:rPr>
          <w:t xml:space="preserve"> blogs: Generación Y</w:t>
        </w:r>
      </w:hyperlink>
      <w:r w:rsidRPr="00116A43">
        <w:rPr>
          <w:rFonts w:ascii="Cambria" w:hAnsi="Cambria"/>
          <w:sz w:val="16"/>
          <w:szCs w:val="16"/>
          <w:lang w:val="es-PE"/>
        </w:rPr>
        <w:t xml:space="preserve">; International Press Institute. 2 de septiembre de 2010. </w:t>
      </w:r>
      <w:hyperlink r:id="rId31" w:history="1">
        <w:r w:rsidRPr="00116A43">
          <w:rPr>
            <w:rStyle w:val="Hyperlink"/>
            <w:rFonts w:ascii="Cambria" w:hAnsi="Cambria"/>
            <w:i/>
            <w:iCs/>
            <w:sz w:val="16"/>
            <w:szCs w:val="16"/>
          </w:rPr>
          <w:t xml:space="preserve">Cuban blogger </w:t>
        </w:r>
        <w:proofErr w:type="spellStart"/>
        <w:r w:rsidRPr="00116A43">
          <w:rPr>
            <w:rStyle w:val="Hyperlink"/>
            <w:rFonts w:ascii="Cambria" w:hAnsi="Cambria"/>
            <w:i/>
            <w:iCs/>
            <w:sz w:val="16"/>
            <w:szCs w:val="16"/>
          </w:rPr>
          <w:t>Yoani</w:t>
        </w:r>
        <w:proofErr w:type="spellEnd"/>
        <w:r w:rsidRPr="00116A43">
          <w:rPr>
            <w:rStyle w:val="Hyperlink"/>
            <w:rFonts w:ascii="Cambria" w:hAnsi="Cambria"/>
            <w:i/>
            <w:iCs/>
            <w:sz w:val="16"/>
            <w:szCs w:val="16"/>
          </w:rPr>
          <w:t xml:space="preserve"> Sanchez is named IPI’s 60th and final World Press Freedom Hero</w:t>
        </w:r>
      </w:hyperlink>
      <w:r w:rsidRPr="00116A43">
        <w:rPr>
          <w:rFonts w:ascii="Cambria" w:hAnsi="Cambria"/>
          <w:i/>
          <w:iCs/>
          <w:sz w:val="16"/>
          <w:szCs w:val="16"/>
        </w:rPr>
        <w:t>.</w:t>
      </w:r>
    </w:p>
  </w:footnote>
  <w:footnote w:id="82">
    <w:p w14:paraId="51AA6A51" w14:textId="4833853D"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fr-CA"/>
        </w:rPr>
        <w:t xml:space="preserve"> Deutsche Welle. 27 de </w:t>
      </w:r>
      <w:proofErr w:type="spellStart"/>
      <w:r w:rsidRPr="00644687">
        <w:rPr>
          <w:rFonts w:ascii="Cambria" w:hAnsi="Cambria"/>
          <w:sz w:val="16"/>
          <w:szCs w:val="16"/>
          <w:lang w:val="fr-CA"/>
        </w:rPr>
        <w:t>noviembre</w:t>
      </w:r>
      <w:proofErr w:type="spellEnd"/>
      <w:r w:rsidRPr="00644687">
        <w:rPr>
          <w:rFonts w:ascii="Cambria" w:hAnsi="Cambria"/>
          <w:sz w:val="16"/>
          <w:szCs w:val="16"/>
          <w:lang w:val="fr-CA"/>
        </w:rPr>
        <w:t xml:space="preserve"> de 2008. </w:t>
      </w:r>
      <w:hyperlink r:id="rId32" w:history="1">
        <w:proofErr w:type="spellStart"/>
        <w:r w:rsidRPr="00116A43">
          <w:rPr>
            <w:rStyle w:val="Hyperlink"/>
            <w:rFonts w:ascii="Cambria" w:hAnsi="Cambria"/>
            <w:i/>
            <w:iCs/>
            <w:sz w:val="16"/>
            <w:szCs w:val="16"/>
          </w:rPr>
          <w:t>Generación</w:t>
        </w:r>
        <w:proofErr w:type="spellEnd"/>
        <w:r w:rsidRPr="00116A43">
          <w:rPr>
            <w:rStyle w:val="Hyperlink"/>
            <w:rFonts w:ascii="Cambria" w:hAnsi="Cambria"/>
            <w:i/>
            <w:iCs/>
            <w:sz w:val="16"/>
            <w:szCs w:val="16"/>
          </w:rPr>
          <w:t xml:space="preserve"> Y Wins 2008 Best of the Blogs Award</w:t>
        </w:r>
      </w:hyperlink>
      <w:r w:rsidRPr="00116A43">
        <w:rPr>
          <w:rFonts w:ascii="Cambria" w:hAnsi="Cambria"/>
          <w:sz w:val="16"/>
          <w:szCs w:val="16"/>
        </w:rPr>
        <w:t xml:space="preserve">; El Nuevo Herald. </w:t>
      </w:r>
      <w:r w:rsidRPr="00116A43">
        <w:rPr>
          <w:rFonts w:ascii="Cambria" w:hAnsi="Cambria"/>
          <w:sz w:val="16"/>
          <w:szCs w:val="16"/>
          <w:lang w:val="es-PE"/>
        </w:rPr>
        <w:t xml:space="preserve">27 de noviembre de 2008. </w:t>
      </w:r>
      <w:hyperlink r:id="rId33" w:history="1">
        <w:r w:rsidRPr="00116A43">
          <w:rPr>
            <w:rStyle w:val="Hyperlink"/>
            <w:rFonts w:ascii="Cambria" w:hAnsi="Cambria"/>
            <w:i/>
            <w:iCs/>
            <w:sz w:val="16"/>
            <w:szCs w:val="16"/>
            <w:lang w:val="es-PE"/>
          </w:rPr>
          <w:t>Yoani se lleva el Premio The Bobs al mejor blog del 2008</w:t>
        </w:r>
      </w:hyperlink>
      <w:r w:rsidRPr="00116A43">
        <w:rPr>
          <w:rFonts w:ascii="Cambria" w:hAnsi="Cambria"/>
          <w:sz w:val="16"/>
          <w:szCs w:val="16"/>
          <w:lang w:val="es-PE"/>
        </w:rPr>
        <w:t xml:space="preserve">. </w:t>
      </w:r>
    </w:p>
  </w:footnote>
  <w:footnote w:id="83">
    <w:p w14:paraId="11BD8A82"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i/>
          <w:iCs/>
          <w:sz w:val="16"/>
          <w:szCs w:val="16"/>
        </w:rPr>
      </w:pPr>
      <w:r w:rsidRPr="00116A43">
        <w:rPr>
          <w:rFonts w:ascii="Cambria" w:hAnsi="Cambria"/>
          <w:sz w:val="16"/>
          <w:szCs w:val="16"/>
          <w:vertAlign w:val="superscript"/>
        </w:rPr>
        <w:footnoteRef/>
      </w:r>
      <w:r w:rsidRPr="00375047">
        <w:rPr>
          <w:rFonts w:ascii="Cambria" w:hAnsi="Cambria"/>
          <w:sz w:val="16"/>
          <w:szCs w:val="16"/>
          <w:lang w:val="es-US"/>
        </w:rPr>
        <w:t xml:space="preserve"> Columbia. 26 de enero de 2021. </w:t>
      </w:r>
      <w:hyperlink r:id="rId34" w:history="1">
        <w:proofErr w:type="spellStart"/>
        <w:r w:rsidRPr="00375047">
          <w:rPr>
            <w:rStyle w:val="Hyperlink"/>
            <w:rFonts w:ascii="Cambria" w:hAnsi="Cambria"/>
            <w:i/>
            <w:iCs/>
            <w:sz w:val="16"/>
            <w:szCs w:val="16"/>
            <w:lang w:val="es-US"/>
          </w:rPr>
          <w:t>Past</w:t>
        </w:r>
        <w:proofErr w:type="spellEnd"/>
        <w:r w:rsidRPr="00375047">
          <w:rPr>
            <w:rStyle w:val="Hyperlink"/>
            <w:rFonts w:ascii="Cambria" w:hAnsi="Cambria"/>
            <w:i/>
            <w:iCs/>
            <w:sz w:val="16"/>
            <w:szCs w:val="16"/>
            <w:lang w:val="es-US"/>
          </w:rPr>
          <w:t xml:space="preserve"> Maria </w:t>
        </w:r>
        <w:proofErr w:type="spellStart"/>
        <w:r w:rsidRPr="00375047">
          <w:rPr>
            <w:rStyle w:val="Hyperlink"/>
            <w:rFonts w:ascii="Cambria" w:hAnsi="Cambria"/>
            <w:i/>
            <w:iCs/>
            <w:sz w:val="16"/>
            <w:szCs w:val="16"/>
            <w:lang w:val="es-US"/>
          </w:rPr>
          <w:t>Moors</w:t>
        </w:r>
        <w:proofErr w:type="spellEnd"/>
        <w:r w:rsidRPr="00375047">
          <w:rPr>
            <w:rStyle w:val="Hyperlink"/>
            <w:rFonts w:ascii="Cambria" w:hAnsi="Cambria"/>
            <w:i/>
            <w:iCs/>
            <w:sz w:val="16"/>
            <w:szCs w:val="16"/>
            <w:lang w:val="es-US"/>
          </w:rPr>
          <w:t xml:space="preserve"> Cabot </w:t>
        </w:r>
        <w:proofErr w:type="spellStart"/>
        <w:r w:rsidRPr="00375047">
          <w:rPr>
            <w:rStyle w:val="Hyperlink"/>
            <w:rFonts w:ascii="Cambria" w:hAnsi="Cambria"/>
            <w:i/>
            <w:iCs/>
            <w:sz w:val="16"/>
            <w:szCs w:val="16"/>
            <w:lang w:val="es-US"/>
          </w:rPr>
          <w:t>Prizes</w:t>
        </w:r>
        <w:proofErr w:type="spellEnd"/>
        <w:r w:rsidRPr="00375047">
          <w:rPr>
            <w:rStyle w:val="Hyperlink"/>
            <w:rFonts w:ascii="Cambria" w:hAnsi="Cambria"/>
            <w:i/>
            <w:iCs/>
            <w:sz w:val="16"/>
            <w:szCs w:val="16"/>
            <w:lang w:val="es-US"/>
          </w:rPr>
          <w:t xml:space="preserve"> </w:t>
        </w:r>
        <w:proofErr w:type="spellStart"/>
        <w:r w:rsidRPr="00375047">
          <w:rPr>
            <w:rStyle w:val="Hyperlink"/>
            <w:rFonts w:ascii="Cambria" w:hAnsi="Cambria"/>
            <w:i/>
            <w:iCs/>
            <w:sz w:val="16"/>
            <w:szCs w:val="16"/>
            <w:lang w:val="es-US"/>
          </w:rPr>
          <w:t>Winners</w:t>
        </w:r>
        <w:proofErr w:type="spellEnd"/>
      </w:hyperlink>
      <w:r w:rsidRPr="00375047">
        <w:rPr>
          <w:rFonts w:ascii="Cambria" w:hAnsi="Cambria"/>
          <w:i/>
          <w:iCs/>
          <w:sz w:val="16"/>
          <w:szCs w:val="16"/>
          <w:lang w:val="es-US"/>
        </w:rPr>
        <w:t xml:space="preserve">; </w:t>
      </w:r>
      <w:r w:rsidRPr="00375047">
        <w:rPr>
          <w:rFonts w:ascii="Cambria" w:hAnsi="Cambria"/>
          <w:sz w:val="16"/>
          <w:szCs w:val="16"/>
          <w:lang w:val="es-US"/>
        </w:rPr>
        <w:t xml:space="preserve">Reuters. 13 de octubre de 2009. </w:t>
      </w:r>
      <w:hyperlink r:id="rId35" w:history="1">
        <w:r w:rsidRPr="00116A43">
          <w:rPr>
            <w:rStyle w:val="Hyperlink"/>
            <w:rFonts w:ascii="Cambria" w:hAnsi="Cambria"/>
            <w:i/>
            <w:iCs/>
            <w:sz w:val="16"/>
            <w:szCs w:val="16"/>
          </w:rPr>
          <w:t>Cuba stops blogger traveling to NYC to accept prize</w:t>
        </w:r>
      </w:hyperlink>
      <w:r w:rsidRPr="00116A43">
        <w:rPr>
          <w:rFonts w:ascii="Cambria" w:hAnsi="Cambria"/>
          <w:i/>
          <w:iCs/>
          <w:sz w:val="16"/>
          <w:szCs w:val="16"/>
        </w:rPr>
        <w:t xml:space="preserve">.  </w:t>
      </w:r>
    </w:p>
  </w:footnote>
  <w:footnote w:id="84">
    <w:p w14:paraId="2F7751FA" w14:textId="1A3C2C32"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rPr>
      </w:pPr>
      <w:r w:rsidRPr="00116A43">
        <w:rPr>
          <w:rFonts w:ascii="Cambria" w:hAnsi="Cambria"/>
          <w:sz w:val="16"/>
          <w:szCs w:val="16"/>
          <w:vertAlign w:val="superscript"/>
        </w:rPr>
        <w:footnoteRef/>
      </w:r>
      <w:r w:rsidRPr="00BA6ADA">
        <w:rPr>
          <w:rFonts w:ascii="Cambria" w:hAnsi="Cambria"/>
          <w:sz w:val="16"/>
          <w:szCs w:val="16"/>
        </w:rPr>
        <w:t xml:space="preserve"> Foreign Policy. 28 de </w:t>
      </w:r>
      <w:proofErr w:type="spellStart"/>
      <w:r w:rsidRPr="00BA6ADA">
        <w:rPr>
          <w:rFonts w:ascii="Cambria" w:hAnsi="Cambria"/>
          <w:sz w:val="16"/>
          <w:szCs w:val="16"/>
        </w:rPr>
        <w:t>noviembre</w:t>
      </w:r>
      <w:proofErr w:type="spellEnd"/>
      <w:r w:rsidRPr="00BA6ADA">
        <w:rPr>
          <w:rFonts w:ascii="Cambria" w:hAnsi="Cambria"/>
          <w:sz w:val="16"/>
          <w:szCs w:val="16"/>
        </w:rPr>
        <w:t xml:space="preserve"> de 2011. </w:t>
      </w:r>
      <w:hyperlink r:id="rId36" w:history="1">
        <w:r w:rsidRPr="00116A43">
          <w:rPr>
            <w:rStyle w:val="Hyperlink"/>
            <w:rFonts w:ascii="Cambria" w:hAnsi="Cambria"/>
            <w:i/>
            <w:iCs/>
            <w:sz w:val="16"/>
            <w:szCs w:val="16"/>
          </w:rPr>
          <w:t>The FP Top 100 Global Thinkers</w:t>
        </w:r>
      </w:hyperlink>
      <w:r w:rsidRPr="00116A43">
        <w:rPr>
          <w:rFonts w:ascii="Cambria" w:hAnsi="Cambria"/>
          <w:i/>
          <w:iCs/>
          <w:sz w:val="16"/>
          <w:szCs w:val="16"/>
        </w:rPr>
        <w:t xml:space="preserve">; </w:t>
      </w:r>
      <w:r w:rsidRPr="00116A43">
        <w:rPr>
          <w:rFonts w:ascii="Cambria" w:hAnsi="Cambria"/>
          <w:sz w:val="16"/>
          <w:szCs w:val="16"/>
        </w:rPr>
        <w:t xml:space="preserve">Foundation for Human Rights in Cuba. 8 de </w:t>
      </w:r>
      <w:proofErr w:type="spellStart"/>
      <w:r w:rsidRPr="00116A43">
        <w:rPr>
          <w:rFonts w:ascii="Cambria" w:hAnsi="Cambria"/>
          <w:sz w:val="16"/>
          <w:szCs w:val="16"/>
        </w:rPr>
        <w:t>enero</w:t>
      </w:r>
      <w:proofErr w:type="spellEnd"/>
      <w:r w:rsidRPr="00116A43">
        <w:rPr>
          <w:rFonts w:ascii="Cambria" w:hAnsi="Cambria"/>
          <w:sz w:val="16"/>
          <w:szCs w:val="16"/>
        </w:rPr>
        <w:t xml:space="preserve"> de 2012. </w:t>
      </w:r>
      <w:hyperlink r:id="rId37" w:history="1">
        <w:proofErr w:type="spellStart"/>
        <w:r w:rsidRPr="00116A43">
          <w:rPr>
            <w:rStyle w:val="Hyperlink"/>
            <w:rFonts w:ascii="Cambria" w:hAnsi="Cambria"/>
            <w:i/>
            <w:iCs/>
            <w:sz w:val="16"/>
            <w:szCs w:val="16"/>
          </w:rPr>
          <w:t>Yoani</w:t>
        </w:r>
        <w:proofErr w:type="spellEnd"/>
        <w:r w:rsidRPr="00116A43">
          <w:rPr>
            <w:rStyle w:val="Hyperlink"/>
            <w:rFonts w:ascii="Cambria" w:hAnsi="Cambria"/>
            <w:i/>
            <w:iCs/>
            <w:sz w:val="16"/>
            <w:szCs w:val="16"/>
          </w:rPr>
          <w:t xml:space="preserve"> Sanchez Included in Foreign Policy Magazine’s “Top 100 Global Thinkers” List</w:t>
        </w:r>
      </w:hyperlink>
      <w:r w:rsidRPr="00116A43">
        <w:rPr>
          <w:rFonts w:ascii="Cambria" w:hAnsi="Cambria"/>
          <w:sz w:val="16"/>
          <w:szCs w:val="16"/>
        </w:rPr>
        <w:t xml:space="preserve">. </w:t>
      </w:r>
    </w:p>
  </w:footnote>
  <w:footnote w:id="85">
    <w:p w14:paraId="274B4FEB" w14:textId="4B75D30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págs. 6-8. </w:t>
      </w:r>
    </w:p>
  </w:footnote>
  <w:footnote w:id="86">
    <w:p w14:paraId="501F011B" w14:textId="230D63E8"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13.</w:t>
      </w:r>
    </w:p>
  </w:footnote>
  <w:footnote w:id="87">
    <w:p w14:paraId="77D7F622" w14:textId="64EE829C"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14.</w:t>
      </w:r>
    </w:p>
  </w:footnote>
  <w:footnote w:id="88">
    <w:p w14:paraId="40681196" w14:textId="7CC21B3E"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419"/>
        </w:rPr>
        <w:t xml:space="preserve">Anexo </w:t>
      </w:r>
      <w:r>
        <w:rPr>
          <w:rFonts w:ascii="Cambria" w:hAnsi="Cambria"/>
          <w:sz w:val="16"/>
          <w:szCs w:val="16"/>
          <w:lang w:val="es-419"/>
        </w:rPr>
        <w:t>2</w:t>
      </w:r>
      <w:r w:rsidRPr="00116A43">
        <w:rPr>
          <w:rFonts w:ascii="Cambria" w:hAnsi="Cambria"/>
          <w:sz w:val="16"/>
          <w:szCs w:val="16"/>
          <w:lang w:val="es-419"/>
        </w:rPr>
        <w:t xml:space="preserve">. Transcripción de la grabación de la detención del 24 de febrero de 2010, realizada por Yoani Sánchez. </w:t>
      </w:r>
      <w:r w:rsidRPr="00116A43">
        <w:rPr>
          <w:rFonts w:ascii="Cambria" w:hAnsi="Cambria"/>
          <w:sz w:val="16"/>
          <w:szCs w:val="16"/>
          <w:lang w:val="es-PE"/>
        </w:rPr>
        <w:t xml:space="preserve">Anexo 6 </w:t>
      </w:r>
      <w:r w:rsidRPr="00116A43">
        <w:rPr>
          <w:rFonts w:ascii="Cambria" w:hAnsi="Cambria"/>
          <w:sz w:val="16"/>
          <w:szCs w:val="16"/>
          <w:lang w:val="es-VE"/>
        </w:rPr>
        <w:t xml:space="preserve">al escrito de observaciones de fondo de la parte peticionaria de 11 de febrero de 2019. </w:t>
      </w:r>
      <w:r w:rsidRPr="00116A43">
        <w:rPr>
          <w:rFonts w:ascii="Cambria" w:hAnsi="Cambria"/>
          <w:sz w:val="16"/>
          <w:szCs w:val="16"/>
          <w:lang w:val="es-PE"/>
        </w:rPr>
        <w:t>La presunta víctima grabó parte de estos hechos y presentó una transcripción de la grabación.</w:t>
      </w:r>
    </w:p>
  </w:footnote>
  <w:footnote w:id="89">
    <w:p w14:paraId="64F7AC59" w14:textId="3D9C1348"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419"/>
        </w:rPr>
        <w:t xml:space="preserve">Anexo </w:t>
      </w:r>
      <w:r>
        <w:rPr>
          <w:rFonts w:ascii="Cambria" w:hAnsi="Cambria"/>
          <w:sz w:val="16"/>
          <w:szCs w:val="16"/>
          <w:lang w:val="es-419"/>
        </w:rPr>
        <w:t>2</w:t>
      </w:r>
      <w:r w:rsidRPr="00116A43">
        <w:rPr>
          <w:rFonts w:ascii="Cambria" w:hAnsi="Cambria"/>
          <w:sz w:val="16"/>
          <w:szCs w:val="16"/>
          <w:lang w:val="es-419"/>
        </w:rPr>
        <w:t xml:space="preserve">. Transcripción de la grabación de la detención del 24 de febrero de 2010, realizada por Yoani Sánchez. </w:t>
      </w:r>
      <w:r w:rsidRPr="00116A43">
        <w:rPr>
          <w:rFonts w:ascii="Cambria" w:hAnsi="Cambria"/>
          <w:sz w:val="16"/>
          <w:szCs w:val="16"/>
          <w:lang w:val="es-PE"/>
        </w:rPr>
        <w:t xml:space="preserve">Anexo 6 </w:t>
      </w:r>
      <w:r w:rsidRPr="00116A43">
        <w:rPr>
          <w:rFonts w:ascii="Cambria" w:hAnsi="Cambria"/>
          <w:sz w:val="16"/>
          <w:szCs w:val="16"/>
          <w:lang w:val="es-VE"/>
        </w:rPr>
        <w:t>al escrito de observaciones de fondo de la parte peticionaria de 11 de febrero de 2019.</w:t>
      </w:r>
    </w:p>
  </w:footnote>
  <w:footnote w:id="90">
    <w:p w14:paraId="3324DE43" w14:textId="279C9171"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419"/>
        </w:rPr>
        <w:t xml:space="preserve">Anexo </w:t>
      </w:r>
      <w:r>
        <w:rPr>
          <w:rFonts w:ascii="Cambria" w:hAnsi="Cambria"/>
          <w:sz w:val="16"/>
          <w:szCs w:val="16"/>
          <w:lang w:val="es-419"/>
        </w:rPr>
        <w:t>2</w:t>
      </w:r>
      <w:r w:rsidRPr="00116A43">
        <w:rPr>
          <w:rFonts w:ascii="Cambria" w:hAnsi="Cambria"/>
          <w:sz w:val="16"/>
          <w:szCs w:val="16"/>
          <w:lang w:val="es-419"/>
        </w:rPr>
        <w:t xml:space="preserve">. Transcripción de la grabación de la detención del 24 de febrero de 2010, realizada por Yoani Sánchez. </w:t>
      </w:r>
      <w:r w:rsidRPr="00116A43">
        <w:rPr>
          <w:rFonts w:ascii="Cambria" w:hAnsi="Cambria"/>
          <w:sz w:val="16"/>
          <w:szCs w:val="16"/>
          <w:lang w:val="es-PE"/>
        </w:rPr>
        <w:t xml:space="preserve">Anexo 6 </w:t>
      </w:r>
      <w:r w:rsidRPr="00116A43">
        <w:rPr>
          <w:rFonts w:ascii="Cambria" w:hAnsi="Cambria"/>
          <w:sz w:val="16"/>
          <w:szCs w:val="16"/>
          <w:lang w:val="es-VE"/>
        </w:rPr>
        <w:t>al escrito de observaciones de fondo de la parte peticionaria de 11 de febrero de 2019.</w:t>
      </w:r>
    </w:p>
  </w:footnote>
  <w:footnote w:id="91">
    <w:p w14:paraId="7572A000" w14:textId="3C845F3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419"/>
        </w:rPr>
        <w:t xml:space="preserve">Anexo </w:t>
      </w:r>
      <w:r>
        <w:rPr>
          <w:rFonts w:ascii="Cambria" w:hAnsi="Cambria"/>
          <w:sz w:val="16"/>
          <w:szCs w:val="16"/>
          <w:lang w:val="es-419"/>
        </w:rPr>
        <w:t>2</w:t>
      </w:r>
      <w:r w:rsidRPr="00116A43">
        <w:rPr>
          <w:rFonts w:ascii="Cambria" w:hAnsi="Cambria"/>
          <w:sz w:val="16"/>
          <w:szCs w:val="16"/>
          <w:lang w:val="es-419"/>
        </w:rPr>
        <w:t xml:space="preserve">. Transcripción de la grabación de la detención del 24 de febrero de 2010, realizada por Yoani Sánchez. </w:t>
      </w:r>
      <w:r w:rsidRPr="00116A43">
        <w:rPr>
          <w:rFonts w:ascii="Cambria" w:hAnsi="Cambria"/>
          <w:sz w:val="16"/>
          <w:szCs w:val="16"/>
          <w:lang w:val="es-PE"/>
        </w:rPr>
        <w:t xml:space="preserve">Anexo 6 </w:t>
      </w:r>
      <w:r w:rsidRPr="00116A43">
        <w:rPr>
          <w:rFonts w:ascii="Cambria" w:hAnsi="Cambria"/>
          <w:sz w:val="16"/>
          <w:szCs w:val="16"/>
          <w:lang w:val="es-VE"/>
        </w:rPr>
        <w:t xml:space="preserve">al escrito de observaciones de fondo de la parte peticionaria de 11 de febrero de 2019. </w:t>
      </w:r>
    </w:p>
  </w:footnote>
  <w:footnote w:id="92">
    <w:p w14:paraId="0AF343D0" w14:textId="190B4F0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14.</w:t>
      </w:r>
    </w:p>
  </w:footnote>
  <w:footnote w:id="93">
    <w:p w14:paraId="1D736F62" w14:textId="3D4484B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419"/>
        </w:rPr>
        <w:t xml:space="preserve">Anexo </w:t>
      </w:r>
      <w:r>
        <w:rPr>
          <w:rFonts w:ascii="Cambria" w:hAnsi="Cambria"/>
          <w:sz w:val="16"/>
          <w:szCs w:val="16"/>
          <w:lang w:val="es-419"/>
        </w:rPr>
        <w:t>2</w:t>
      </w:r>
      <w:r w:rsidRPr="00116A43">
        <w:rPr>
          <w:rFonts w:ascii="Cambria" w:hAnsi="Cambria"/>
          <w:sz w:val="16"/>
          <w:szCs w:val="16"/>
          <w:lang w:val="es-419"/>
        </w:rPr>
        <w:t xml:space="preserve">. Transcripción de la grabación de la detención del 24 de febrero de 2010, realizada por Yoani Sánchez. </w:t>
      </w:r>
      <w:r w:rsidRPr="00116A43">
        <w:rPr>
          <w:rFonts w:ascii="Cambria" w:hAnsi="Cambria"/>
          <w:sz w:val="16"/>
          <w:szCs w:val="16"/>
          <w:lang w:val="es-PE"/>
        </w:rPr>
        <w:t xml:space="preserve">Anexo 6 </w:t>
      </w:r>
      <w:r w:rsidRPr="00116A43">
        <w:rPr>
          <w:rFonts w:ascii="Cambria" w:hAnsi="Cambria"/>
          <w:sz w:val="16"/>
          <w:szCs w:val="16"/>
          <w:lang w:val="es-VE"/>
        </w:rPr>
        <w:t>al escrito de observaciones de fondo de la parte peticionaria de 11 de febrero de 2019.</w:t>
      </w:r>
    </w:p>
  </w:footnote>
  <w:footnote w:id="94">
    <w:p w14:paraId="2CAC64A5" w14:textId="6FBAAC9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14.</w:t>
      </w:r>
    </w:p>
  </w:footnote>
  <w:footnote w:id="95">
    <w:p w14:paraId="6C9DCF5A" w14:textId="00B2E8CE"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Escrito </w:t>
      </w:r>
      <w:r w:rsidRPr="00116A43">
        <w:rPr>
          <w:rFonts w:ascii="Cambria" w:hAnsi="Cambria"/>
          <w:sz w:val="16"/>
          <w:szCs w:val="16"/>
          <w:lang w:val="es-VE"/>
        </w:rPr>
        <w:t xml:space="preserve">de observaciones de fondo de la parte peticionaria de 11 de febrero de 2019, </w:t>
      </w:r>
      <w:r w:rsidRPr="00116A43">
        <w:rPr>
          <w:rFonts w:ascii="Cambria" w:hAnsi="Cambria"/>
          <w:sz w:val="16"/>
          <w:szCs w:val="16"/>
          <w:lang w:val="es-PE"/>
        </w:rPr>
        <w:t>pág. 11.</w:t>
      </w:r>
    </w:p>
  </w:footnote>
  <w:footnote w:id="96">
    <w:p w14:paraId="0602D9F9" w14:textId="08A31C06"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3</w:t>
      </w:r>
      <w:r w:rsidRPr="00116A43">
        <w:rPr>
          <w:rFonts w:ascii="Cambria" w:hAnsi="Cambria"/>
          <w:sz w:val="16"/>
          <w:szCs w:val="16"/>
          <w:lang w:val="es-PE"/>
        </w:rPr>
        <w:t>. Noticias sobre detención de Yoani Sánchez. Anexo 1 al escrito de solicitud de medidas cautelares de la parte peticionaria de 5 de octubre de 2012. Véase también, escrito de solicitud de medidas cautelares de la parte peticionaria de 5 de octubre de 2012, pág. 1.</w:t>
      </w:r>
    </w:p>
  </w:footnote>
  <w:footnote w:id="97">
    <w:p w14:paraId="7D289F7C" w14:textId="76BAEF74"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Escrito de </w:t>
      </w:r>
      <w:r w:rsidRPr="00116A43">
        <w:rPr>
          <w:rFonts w:ascii="Cambria" w:hAnsi="Cambria"/>
          <w:sz w:val="16"/>
          <w:szCs w:val="16"/>
          <w:lang w:val="es-VE"/>
        </w:rPr>
        <w:t xml:space="preserve">observaciones de fondo de la parte peticionaria de 11 de febrero de 2019, </w:t>
      </w:r>
      <w:r w:rsidRPr="00116A43">
        <w:rPr>
          <w:rFonts w:ascii="Cambria" w:hAnsi="Cambria"/>
          <w:sz w:val="16"/>
          <w:szCs w:val="16"/>
          <w:lang w:val="es-PE"/>
        </w:rPr>
        <w:t>pág. 11.</w:t>
      </w:r>
    </w:p>
  </w:footnote>
  <w:footnote w:id="98">
    <w:p w14:paraId="5A15A253" w14:textId="669BB58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Escrito de </w:t>
      </w:r>
      <w:r w:rsidRPr="00116A43">
        <w:rPr>
          <w:rFonts w:ascii="Cambria" w:hAnsi="Cambria"/>
          <w:sz w:val="16"/>
          <w:szCs w:val="16"/>
          <w:lang w:val="es-VE"/>
        </w:rPr>
        <w:t xml:space="preserve">observaciones de fondo de la parte peticionaria de 11 de febrero de 2019, </w:t>
      </w:r>
      <w:r w:rsidRPr="00116A43">
        <w:rPr>
          <w:rFonts w:ascii="Cambria" w:hAnsi="Cambria"/>
          <w:sz w:val="16"/>
          <w:szCs w:val="16"/>
          <w:lang w:val="es-PE"/>
        </w:rPr>
        <w:t>pág. 12.</w:t>
      </w:r>
    </w:p>
  </w:footnote>
  <w:footnote w:id="99">
    <w:p w14:paraId="0B014231" w14:textId="28C6318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Escrito de </w:t>
      </w:r>
      <w:r w:rsidRPr="00116A43">
        <w:rPr>
          <w:rFonts w:ascii="Cambria" w:hAnsi="Cambria"/>
          <w:sz w:val="16"/>
          <w:szCs w:val="16"/>
          <w:lang w:val="es-VE"/>
        </w:rPr>
        <w:t xml:space="preserve">observaciones de fondo de la parte peticionaria de 11 de febrero de 2019, </w:t>
      </w:r>
      <w:r w:rsidRPr="00116A43">
        <w:rPr>
          <w:rFonts w:ascii="Cambria" w:hAnsi="Cambria"/>
          <w:sz w:val="16"/>
          <w:szCs w:val="16"/>
          <w:lang w:val="es-PE"/>
        </w:rPr>
        <w:t>pág. 12.</w:t>
      </w:r>
    </w:p>
  </w:footnote>
  <w:footnote w:id="100">
    <w:p w14:paraId="4A5504D4" w14:textId="7476BB9D"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4</w:t>
      </w:r>
      <w:r w:rsidRPr="00116A43">
        <w:rPr>
          <w:rFonts w:ascii="Cambria" w:hAnsi="Cambria"/>
          <w:sz w:val="16"/>
          <w:szCs w:val="16"/>
          <w:lang w:val="es-PE"/>
        </w:rPr>
        <w:t xml:space="preserve">. </w:t>
      </w:r>
      <w:r w:rsidRPr="00116A43">
        <w:rPr>
          <w:rFonts w:ascii="Cambria" w:hAnsi="Cambria"/>
          <w:sz w:val="16"/>
          <w:szCs w:val="16"/>
          <w:lang w:val="es-VE"/>
        </w:rPr>
        <w:t>Pasaporte y visados. Anexo 1 al escrito de observaciones de fondo de la parte peticionaria de 11 de febrero de 2019.</w:t>
      </w:r>
    </w:p>
  </w:footnote>
  <w:footnote w:id="101">
    <w:p w14:paraId="3AA7073E" w14:textId="2D7629E8"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15.</w:t>
      </w:r>
    </w:p>
  </w:footnote>
  <w:footnote w:id="102">
    <w:p w14:paraId="34CDA147" w14:textId="10BD9ADF"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15.</w:t>
      </w:r>
    </w:p>
  </w:footnote>
  <w:footnote w:id="103">
    <w:p w14:paraId="4FB0ECC5" w14:textId="0A086109"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5</w:t>
      </w:r>
      <w:r w:rsidRPr="00116A43">
        <w:rPr>
          <w:rFonts w:ascii="Cambria" w:hAnsi="Cambria"/>
          <w:sz w:val="16"/>
          <w:szCs w:val="16"/>
          <w:lang w:val="es-PE"/>
        </w:rPr>
        <w:t xml:space="preserve">. Solicitudes de la Dirección de Inmigración y Extranjería a sucursales bancarias para la devolución de tasas por concepto de viaje. Anexo </w:t>
      </w:r>
      <w:r w:rsidRPr="00116A43">
        <w:rPr>
          <w:rFonts w:ascii="Cambria" w:hAnsi="Cambria"/>
          <w:sz w:val="16"/>
          <w:szCs w:val="16"/>
          <w:lang w:val="es-VE"/>
        </w:rPr>
        <w:t>2 al escrito de observaciones de fondo de la parte peticionaria de 11 de febrero de 2019.</w:t>
      </w:r>
    </w:p>
  </w:footnote>
  <w:footnote w:id="104">
    <w:p w14:paraId="51782273" w14:textId="7E7F586D"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6</w:t>
      </w:r>
      <w:r w:rsidRPr="00116A43">
        <w:rPr>
          <w:rFonts w:ascii="Cambria" w:hAnsi="Cambria"/>
          <w:sz w:val="16"/>
          <w:szCs w:val="16"/>
          <w:lang w:val="es-PE"/>
        </w:rPr>
        <w:t xml:space="preserve">. Audio sobre entrevista en la </w:t>
      </w:r>
      <w:r w:rsidRPr="00116A43">
        <w:rPr>
          <w:rFonts w:ascii="Cambria" w:hAnsi="Cambria" w:cs="Times New Roman"/>
          <w:sz w:val="16"/>
          <w:szCs w:val="16"/>
          <w:lang w:val="es-PE"/>
        </w:rPr>
        <w:t>oficina de Inmigración y Extranjería de la Calle 17 de 3 de febrero de 2012. Anexo 2 al escrito de la parte peticionaria de 10 de mayo de 2012, recibido en la CIDH el 2 de octubre de 2012.</w:t>
      </w:r>
      <w:r w:rsidRPr="00116A43">
        <w:rPr>
          <w:rFonts w:ascii="Cambria" w:hAnsi="Cambria"/>
          <w:sz w:val="16"/>
          <w:szCs w:val="16"/>
          <w:lang w:val="es-PE"/>
        </w:rPr>
        <w:t xml:space="preserve"> Yoani Sánchez grabó la entrevista, la cual hace parte del acervo probatorio ante la CIDH.</w:t>
      </w:r>
    </w:p>
  </w:footnote>
  <w:footnote w:id="105">
    <w:p w14:paraId="08CE6A4D" w14:textId="76705CB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6</w:t>
      </w:r>
      <w:r w:rsidRPr="00116A43">
        <w:rPr>
          <w:rFonts w:ascii="Cambria" w:hAnsi="Cambria"/>
          <w:sz w:val="16"/>
          <w:szCs w:val="16"/>
          <w:lang w:val="es-PE"/>
        </w:rPr>
        <w:t xml:space="preserve">. Audio sobre entrevista en la </w:t>
      </w:r>
      <w:r w:rsidRPr="00116A43">
        <w:rPr>
          <w:rFonts w:ascii="Cambria" w:hAnsi="Cambria" w:cs="Times New Roman"/>
          <w:sz w:val="16"/>
          <w:szCs w:val="16"/>
          <w:lang w:val="es-PE"/>
        </w:rPr>
        <w:t>oficina de Inmigración y Extranjería de la Calle 17 de 3 de febrero de 2012. Anexo 2 al escrito de la parte peticionaria de 10 de mayo de 2012, recibido en la CIDH el 2 de octubre de 2012.</w:t>
      </w:r>
    </w:p>
  </w:footnote>
  <w:footnote w:id="106">
    <w:p w14:paraId="71D0BB40" w14:textId="4FA1898F"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6</w:t>
      </w:r>
      <w:r w:rsidRPr="00116A43">
        <w:rPr>
          <w:rFonts w:ascii="Cambria" w:hAnsi="Cambria"/>
          <w:sz w:val="16"/>
          <w:szCs w:val="16"/>
          <w:lang w:val="es-PE"/>
        </w:rPr>
        <w:t xml:space="preserve">. Audio sobre entrevista en la </w:t>
      </w:r>
      <w:r w:rsidRPr="00116A43">
        <w:rPr>
          <w:rFonts w:ascii="Cambria" w:hAnsi="Cambria" w:cs="Times New Roman"/>
          <w:sz w:val="16"/>
          <w:szCs w:val="16"/>
          <w:lang w:val="es-PE"/>
        </w:rPr>
        <w:t>oficina de Inmigración y Extranjería de la Calle 17 de 3 de febrero de 2012. Anexo 2 al escrito de la parte peticionaria de 10 de mayo de 2012, recibido en la CIDH el 2 de octubre de 2012.</w:t>
      </w:r>
    </w:p>
  </w:footnote>
  <w:footnote w:id="107">
    <w:p w14:paraId="56C436E9" w14:textId="6B17472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Escrito </w:t>
      </w:r>
      <w:r w:rsidRPr="00116A43">
        <w:rPr>
          <w:rFonts w:ascii="Cambria" w:hAnsi="Cambria"/>
          <w:sz w:val="16"/>
          <w:szCs w:val="16"/>
          <w:lang w:val="es-VE"/>
        </w:rPr>
        <w:t xml:space="preserve">de observaciones de fondo de la parte peticionaria de 11 de febrero de 2019, </w:t>
      </w:r>
      <w:r w:rsidRPr="00116A43">
        <w:rPr>
          <w:rFonts w:ascii="Cambria" w:hAnsi="Cambria"/>
          <w:sz w:val="16"/>
          <w:szCs w:val="16"/>
          <w:lang w:val="es-PE"/>
        </w:rPr>
        <w:t>pág. 3.</w:t>
      </w:r>
    </w:p>
  </w:footnote>
  <w:footnote w:id="108">
    <w:p w14:paraId="17188090" w14:textId="77777777" w:rsidR="00F640DA" w:rsidRPr="00116A43" w:rsidRDefault="00F640DA">
      <w:pPr>
        <w:pStyle w:val="FootnoteText"/>
        <w:jc w:val="both"/>
        <w:rPr>
          <w:rFonts w:ascii="Cambria" w:hAnsi="Cambria"/>
          <w:sz w:val="16"/>
          <w:szCs w:val="16"/>
          <w:lang w:val="es-ES_tradnl"/>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ES_tradnl"/>
        </w:rPr>
        <w:t xml:space="preserve">Consejo de Estado. </w:t>
      </w:r>
      <w:hyperlink r:id="rId38" w:history="1">
        <w:r w:rsidRPr="00116A43">
          <w:rPr>
            <w:rStyle w:val="Hyperlink"/>
            <w:rFonts w:ascii="Cambria" w:hAnsi="Cambria"/>
            <w:sz w:val="16"/>
            <w:szCs w:val="16"/>
            <w:lang w:val="es-ES_tradnl"/>
          </w:rPr>
          <w:t>Decreto Ley No. 302</w:t>
        </w:r>
      </w:hyperlink>
      <w:r w:rsidRPr="00116A43">
        <w:rPr>
          <w:rFonts w:ascii="Cambria" w:hAnsi="Cambria"/>
          <w:sz w:val="16"/>
          <w:szCs w:val="16"/>
          <w:lang w:val="es-ES_tradnl"/>
        </w:rPr>
        <w:t>.</w:t>
      </w:r>
      <w:r w:rsidRPr="00116A43">
        <w:rPr>
          <w:rFonts w:ascii="Cambria" w:hAnsi="Cambria"/>
          <w:sz w:val="16"/>
          <w:szCs w:val="16"/>
          <w:lang w:val="es-PE"/>
        </w:rPr>
        <w:t xml:space="preserve"> Modificativo de la Ley No. 1312 “Ley de Migración” de 20 de septiembre de 1976. </w:t>
      </w:r>
      <w:r w:rsidRPr="00116A43">
        <w:rPr>
          <w:rFonts w:ascii="Cambria" w:hAnsi="Cambria"/>
          <w:sz w:val="16"/>
          <w:szCs w:val="16"/>
          <w:lang w:val="es-ES_tradnl"/>
        </w:rPr>
        <w:t xml:space="preserve">Publicado </w:t>
      </w:r>
      <w:r w:rsidRPr="00116A43">
        <w:rPr>
          <w:rFonts w:ascii="Cambria" w:hAnsi="Cambria"/>
          <w:sz w:val="16"/>
          <w:szCs w:val="16"/>
          <w:lang w:val="es-PE"/>
        </w:rPr>
        <w:t>en la Gaceta Oficial de la República de Cuba</w:t>
      </w:r>
      <w:r w:rsidRPr="00116A43">
        <w:rPr>
          <w:rFonts w:ascii="Cambria" w:hAnsi="Cambria"/>
          <w:sz w:val="16"/>
          <w:szCs w:val="16"/>
          <w:lang w:val="es-ES_tradnl"/>
        </w:rPr>
        <w:t xml:space="preserve"> el 16 de octubre de 2012.</w:t>
      </w:r>
    </w:p>
  </w:footnote>
  <w:footnote w:id="109">
    <w:p w14:paraId="17A7EADB" w14:textId="5ED05DF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De acuerdo con información pública, Cuba eliminó de forma parcial el requisito de solicitar autorización para salir del país. Reuters. 16 de octubre de 2012. </w:t>
      </w:r>
      <w:hyperlink r:id="rId39" w:history="1">
        <w:r w:rsidRPr="00116A43">
          <w:rPr>
            <w:rStyle w:val="Hyperlink"/>
            <w:rFonts w:ascii="Cambria" w:hAnsi="Cambria"/>
            <w:i/>
            <w:iCs/>
            <w:sz w:val="16"/>
            <w:szCs w:val="16"/>
            <w:lang w:val="es-PE"/>
          </w:rPr>
          <w:t>Cuba elimina restricciones a viajes al exterior</w:t>
        </w:r>
      </w:hyperlink>
      <w:r w:rsidRPr="00116A43">
        <w:rPr>
          <w:rFonts w:ascii="Cambria" w:hAnsi="Cambria"/>
          <w:sz w:val="16"/>
          <w:szCs w:val="16"/>
          <w:lang w:val="es-PE"/>
        </w:rPr>
        <w:t xml:space="preserve">; BBC. 16 de octubre de 2012. </w:t>
      </w:r>
      <w:hyperlink r:id="rId40" w:history="1">
        <w:r w:rsidRPr="00116A43">
          <w:rPr>
            <w:rStyle w:val="Hyperlink"/>
            <w:rFonts w:ascii="Cambria" w:hAnsi="Cambria"/>
            <w:i/>
            <w:iCs/>
            <w:sz w:val="16"/>
            <w:szCs w:val="16"/>
            <w:lang w:val="es-PE"/>
          </w:rPr>
          <w:t>Cuba elimina permiso de salida para viajar al exterior</w:t>
        </w:r>
      </w:hyperlink>
      <w:r w:rsidRPr="00116A43">
        <w:rPr>
          <w:rFonts w:ascii="Cambria" w:hAnsi="Cambria"/>
          <w:sz w:val="16"/>
          <w:szCs w:val="16"/>
          <w:lang w:val="es-PE"/>
        </w:rPr>
        <w:t xml:space="preserve">. Asimismo, la CIDH estableció en su informe anual de 2012 que el 16 de octubre de 2012, fue publicado en la Gaceta Oficial de la República de Cuba el Decreto-Ley No. 302, promulgado por el Consejo de Estado que modifica la Ley de Migración de 1976, reforma que entró en vigencia el 14 de enero de 2013. Entre las principales modificaciones que se introducen a la Ley de Migración se encuentran la eliminación parcial del requisito de la autorización para salir del territorio; la extensión del periodo que se requiere para que un nacional cubano que ha viajado al exterior sea considerado como emigrado, el cual pasó de 11 a 24 meses; la eliminación de la necesidad de una carta de invitación proveniente del país de destino, entre otras. No obstante de que el Decreto-Ley No. 302 de 2012 refleja avances respecto de la Ley de Migración, la Comisión observa que el Decreto-Ley establece una serie de supuestos mediante los cuales ciertos nacionales cubanos que residan en Cuba no podrán obtener pasaporte corriente o no podrán salir del país cuando por razones de “defensa y seguridad nacional así lo aconsejen”; por “[c]arecer de la autorización establecida, en virtud de normas dirigidas a preservar la fuerza de trabajo calificada para el desarrollo económico, social y científico-técnico del país, así como para la seguridad y la protección de la información oficial”; “[c]uando por otras razones de interés público, lo determinen las autoridades facultadas”; entre otras razones. La Comisión observa que la generalidad de ciertos términos confiere un amplio margen de discrecionalidad a las autoridades cubanas para permitir o no la salida de nacionales cubanos. CIDH. Informe Anual de 2012. Capítulo IV.B. Cuba, párrs. 95 y 96. Disponible en: </w:t>
      </w:r>
      <w:hyperlink r:id="rId41" w:history="1">
        <w:r w:rsidRPr="00116A43">
          <w:rPr>
            <w:rStyle w:val="Hyperlink"/>
            <w:rFonts w:ascii="Cambria" w:hAnsi="Cambria"/>
            <w:sz w:val="16"/>
            <w:szCs w:val="16"/>
            <w:lang w:val="es-PE"/>
          </w:rPr>
          <w:t>http://www.oas.org/es/cidh/docs/anual/2012/indice.asp</w:t>
        </w:r>
      </w:hyperlink>
      <w:r w:rsidRPr="00116A43">
        <w:rPr>
          <w:rFonts w:ascii="Cambria" w:hAnsi="Cambria"/>
          <w:sz w:val="16"/>
          <w:szCs w:val="16"/>
          <w:lang w:val="es-PE"/>
        </w:rPr>
        <w:t xml:space="preserve"> </w:t>
      </w:r>
    </w:p>
  </w:footnote>
  <w:footnote w:id="110">
    <w:p w14:paraId="1E2324C7" w14:textId="77777777"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13. </w:t>
      </w:r>
    </w:p>
  </w:footnote>
  <w:footnote w:id="111">
    <w:p w14:paraId="46789B71" w14:textId="03270BE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419"/>
        </w:rPr>
        <w:t xml:space="preserve"> Anexo </w:t>
      </w:r>
      <w:r>
        <w:rPr>
          <w:rFonts w:ascii="Cambria" w:hAnsi="Cambria"/>
          <w:sz w:val="16"/>
          <w:szCs w:val="16"/>
          <w:lang w:val="es-419"/>
        </w:rPr>
        <w:t>7</w:t>
      </w:r>
      <w:r w:rsidRPr="00116A43">
        <w:rPr>
          <w:rFonts w:ascii="Cambria" w:hAnsi="Cambria"/>
          <w:sz w:val="16"/>
          <w:szCs w:val="16"/>
          <w:lang w:val="es-419"/>
        </w:rPr>
        <w:t xml:space="preserve">. Acuse de recibo de denuncias el 10 de marzo de 2012. </w:t>
      </w:r>
      <w:r w:rsidRPr="00116A43">
        <w:rPr>
          <w:rFonts w:ascii="Cambria" w:hAnsi="Cambria"/>
          <w:sz w:val="16"/>
          <w:szCs w:val="16"/>
          <w:lang w:val="es-PE"/>
        </w:rPr>
        <w:t xml:space="preserve">Anexo 5 </w:t>
      </w:r>
      <w:r w:rsidRPr="00116A43">
        <w:rPr>
          <w:rFonts w:ascii="Cambria" w:hAnsi="Cambria"/>
          <w:sz w:val="16"/>
          <w:szCs w:val="16"/>
          <w:lang w:val="es-VE"/>
        </w:rPr>
        <w:t>al escrito de observaciones de fondo de la parte peticionaria de 11 de febrero de 2019.</w:t>
      </w:r>
    </w:p>
  </w:footnote>
  <w:footnote w:id="112">
    <w:p w14:paraId="1BF0054F" w14:textId="0BFFF49C"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Anexo </w:t>
      </w:r>
      <w:r>
        <w:rPr>
          <w:rFonts w:ascii="Cambria" w:hAnsi="Cambria"/>
          <w:sz w:val="16"/>
          <w:szCs w:val="16"/>
          <w:lang w:val="es-PE"/>
        </w:rPr>
        <w:t>8</w:t>
      </w:r>
      <w:r w:rsidRPr="00116A43">
        <w:rPr>
          <w:rFonts w:ascii="Cambria" w:hAnsi="Cambria"/>
          <w:sz w:val="16"/>
          <w:szCs w:val="16"/>
          <w:lang w:val="es-PE"/>
        </w:rPr>
        <w:t xml:space="preserve">. Pedido de respuesta a la Dirección de </w:t>
      </w:r>
      <w:r w:rsidRPr="00116A43">
        <w:rPr>
          <w:rFonts w:ascii="Cambria" w:hAnsi="Cambria" w:cs="Times New Roman"/>
          <w:sz w:val="16"/>
          <w:szCs w:val="16"/>
          <w:lang w:val="es-PE"/>
        </w:rPr>
        <w:t>Inmigración y Extranjería</w:t>
      </w:r>
      <w:r w:rsidRPr="00116A43">
        <w:rPr>
          <w:rFonts w:ascii="Cambria" w:hAnsi="Cambria"/>
          <w:sz w:val="16"/>
          <w:szCs w:val="16"/>
          <w:lang w:val="es-PE"/>
        </w:rPr>
        <w:t xml:space="preserve"> de 5 de noviembre de 2010. Anexo 3 </w:t>
      </w:r>
      <w:r w:rsidRPr="00116A43">
        <w:rPr>
          <w:rFonts w:ascii="Cambria" w:hAnsi="Cambria"/>
          <w:sz w:val="16"/>
          <w:szCs w:val="16"/>
          <w:lang w:val="es-VE"/>
        </w:rPr>
        <w:t>al escrito de observaciones de fondo de la parte peticionaria de 11 de febrero de 2019.</w:t>
      </w:r>
    </w:p>
  </w:footnote>
  <w:footnote w:id="113">
    <w:p w14:paraId="62087792" w14:textId="7557C2C9"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419"/>
        </w:rPr>
        <w:t xml:space="preserve"> Anexo </w:t>
      </w:r>
      <w:r>
        <w:rPr>
          <w:rFonts w:ascii="Cambria" w:hAnsi="Cambria"/>
          <w:sz w:val="16"/>
          <w:szCs w:val="16"/>
          <w:lang w:val="es-419"/>
        </w:rPr>
        <w:t>9</w:t>
      </w:r>
      <w:r w:rsidRPr="00116A43">
        <w:rPr>
          <w:rFonts w:ascii="Cambria" w:hAnsi="Cambria"/>
          <w:sz w:val="16"/>
          <w:szCs w:val="16"/>
          <w:lang w:val="es-419"/>
        </w:rPr>
        <w:t xml:space="preserve">. Recurso de alzada ante el Ministro del Interior de 30 de marzo de 2012. </w:t>
      </w:r>
      <w:r w:rsidRPr="00116A43">
        <w:rPr>
          <w:rFonts w:ascii="Cambria" w:hAnsi="Cambria"/>
          <w:sz w:val="16"/>
          <w:szCs w:val="16"/>
          <w:lang w:val="es-PE"/>
        </w:rPr>
        <w:t xml:space="preserve">Anexo 4 </w:t>
      </w:r>
      <w:r w:rsidRPr="00116A43">
        <w:rPr>
          <w:rFonts w:ascii="Cambria" w:hAnsi="Cambria"/>
          <w:sz w:val="16"/>
          <w:szCs w:val="16"/>
          <w:lang w:val="es-VE"/>
        </w:rPr>
        <w:t>al escrito de observaciones de fondo de la parte peticionaria de 11 de febrero de 2019.</w:t>
      </w:r>
    </w:p>
  </w:footnote>
  <w:footnote w:id="114">
    <w:p w14:paraId="79E00E00" w14:textId="42D8A01B"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419"/>
        </w:rPr>
        <w:t xml:space="preserve"> Anexo </w:t>
      </w:r>
      <w:r>
        <w:rPr>
          <w:rFonts w:ascii="Cambria" w:hAnsi="Cambria"/>
          <w:sz w:val="16"/>
          <w:szCs w:val="16"/>
          <w:lang w:val="es-419"/>
        </w:rPr>
        <w:t>9</w:t>
      </w:r>
      <w:r w:rsidRPr="00116A43">
        <w:rPr>
          <w:rFonts w:ascii="Cambria" w:hAnsi="Cambria"/>
          <w:sz w:val="16"/>
          <w:szCs w:val="16"/>
          <w:lang w:val="es-419"/>
        </w:rPr>
        <w:t xml:space="preserve">. Recurso de alzada ante el Ministro del Interior de 30 de marzo de 2012. </w:t>
      </w:r>
      <w:r w:rsidRPr="00116A43">
        <w:rPr>
          <w:rFonts w:ascii="Cambria" w:hAnsi="Cambria"/>
          <w:sz w:val="16"/>
          <w:szCs w:val="16"/>
          <w:lang w:val="es-PE"/>
        </w:rPr>
        <w:t xml:space="preserve">Anexo 4 </w:t>
      </w:r>
      <w:r w:rsidRPr="00116A43">
        <w:rPr>
          <w:rFonts w:ascii="Cambria" w:hAnsi="Cambria"/>
          <w:sz w:val="16"/>
          <w:szCs w:val="16"/>
          <w:lang w:val="es-VE"/>
        </w:rPr>
        <w:t>al escrito de observaciones de fondo de la parte peticionaria de 11 de febrero de 2019.</w:t>
      </w:r>
    </w:p>
  </w:footnote>
  <w:footnote w:id="115">
    <w:p w14:paraId="4B922A2C" w14:textId="462FB62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9. </w:t>
      </w:r>
    </w:p>
  </w:footnote>
  <w:footnote w:id="116">
    <w:p w14:paraId="4168C8A7" w14:textId="1F753DC9"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11.</w:t>
      </w:r>
    </w:p>
  </w:footnote>
  <w:footnote w:id="117">
    <w:p w14:paraId="07B08226" w14:textId="459E9E8D"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11</w:t>
      </w:r>
    </w:p>
  </w:footnote>
  <w:footnote w:id="118">
    <w:p w14:paraId="197DAF2B" w14:textId="2C9BAA8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12.</w:t>
      </w:r>
    </w:p>
  </w:footnote>
  <w:footnote w:id="119">
    <w:p w14:paraId="05B5C36A" w14:textId="0F5B722B"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11.</w:t>
      </w:r>
    </w:p>
  </w:footnote>
  <w:footnote w:id="120">
    <w:p w14:paraId="2916753A" w14:textId="59757C0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6.</w:t>
      </w:r>
    </w:p>
  </w:footnote>
  <w:footnote w:id="121">
    <w:p w14:paraId="5D9C02FE" w14:textId="5DC8C01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11. </w:t>
      </w:r>
    </w:p>
  </w:footnote>
  <w:footnote w:id="122">
    <w:p w14:paraId="452BAAB5" w14:textId="62C001E4"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págs.  11 y 12. Véase también, Reuters. 7 de febrero de 2011. </w:t>
      </w:r>
      <w:hyperlink r:id="rId42" w:history="1">
        <w:r w:rsidRPr="00116A43">
          <w:rPr>
            <w:rStyle w:val="Hyperlink"/>
            <w:rFonts w:ascii="Cambria" w:hAnsi="Cambria"/>
            <w:i/>
            <w:iCs/>
            <w:sz w:val="16"/>
            <w:szCs w:val="16"/>
            <w:lang w:val="es-PE"/>
          </w:rPr>
          <w:t>Cuba teme EEUU esté impulsando una ciber-disidencia, según video</w:t>
        </w:r>
      </w:hyperlink>
      <w:r w:rsidRPr="00116A43">
        <w:rPr>
          <w:rFonts w:ascii="Cambria" w:hAnsi="Cambria"/>
          <w:sz w:val="16"/>
          <w:szCs w:val="16"/>
          <w:lang w:val="es-PE"/>
        </w:rPr>
        <w:t xml:space="preserve">; El Nuevo Herald. 8 de febrero de 2011. </w:t>
      </w:r>
      <w:hyperlink r:id="rId43" w:history="1">
        <w:r w:rsidRPr="00116A43">
          <w:rPr>
            <w:rStyle w:val="Hyperlink"/>
            <w:rFonts w:ascii="Cambria" w:hAnsi="Cambria"/>
            <w:i/>
            <w:iCs/>
            <w:sz w:val="16"/>
            <w:szCs w:val="16"/>
            <w:lang w:val="es-PE"/>
          </w:rPr>
          <w:t>Video delata temor de gobierno cubano a internet</w:t>
        </w:r>
      </w:hyperlink>
      <w:r w:rsidRPr="00116A43">
        <w:rPr>
          <w:rFonts w:ascii="Cambria" w:hAnsi="Cambria"/>
          <w:sz w:val="16"/>
          <w:szCs w:val="16"/>
          <w:lang w:val="es-PE"/>
        </w:rPr>
        <w:t>.</w:t>
      </w:r>
    </w:p>
  </w:footnote>
  <w:footnote w:id="123">
    <w:p w14:paraId="65A0E61B" w14:textId="3B565CA7"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10.</w:t>
      </w:r>
    </w:p>
  </w:footnote>
  <w:footnote w:id="124">
    <w:p w14:paraId="339B30E9" w14:textId="44F6829B"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Televisión Cubana. Canal YouTube. Serie las Razones de Cuba. Capítulo Ciberguerra. 21 de marzo de 2011. Disponible en: </w:t>
      </w:r>
      <w:hyperlink r:id="rId44" w:history="1">
        <w:r w:rsidRPr="00116A43">
          <w:rPr>
            <w:rStyle w:val="Hyperlink"/>
            <w:rFonts w:ascii="Cambria" w:hAnsi="Cambria"/>
            <w:sz w:val="16"/>
            <w:szCs w:val="16"/>
            <w:lang w:val="es-PE"/>
          </w:rPr>
          <w:t>https://www.youtube.com/watch?v=9r6fXWI98HU</w:t>
        </w:r>
      </w:hyperlink>
      <w:r w:rsidRPr="00116A43">
        <w:rPr>
          <w:rFonts w:ascii="Cambria" w:hAnsi="Cambria"/>
          <w:sz w:val="16"/>
          <w:szCs w:val="16"/>
          <w:lang w:val="es-PE"/>
        </w:rPr>
        <w:t>. Véase también, Petición inicial de 28 de septiembre de 2012, pág. 10.</w:t>
      </w:r>
    </w:p>
  </w:footnote>
  <w:footnote w:id="125">
    <w:p w14:paraId="3966FDD9" w14:textId="337A8B1E"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BBC. 8 de noviembre de 2011. </w:t>
      </w:r>
      <w:hyperlink r:id="rId45" w:history="1">
        <w:r w:rsidRPr="00116A43">
          <w:rPr>
            <w:rStyle w:val="Hyperlink"/>
            <w:rFonts w:ascii="Cambria" w:hAnsi="Cambria"/>
            <w:i/>
            <w:color w:val="0070C0"/>
            <w:sz w:val="16"/>
            <w:szCs w:val="16"/>
            <w:lang w:val="es-PE"/>
          </w:rPr>
          <w:t>Cuba: un debate que no se da en las calles llega a Twitter</w:t>
        </w:r>
      </w:hyperlink>
      <w:r w:rsidRPr="00116A43">
        <w:rPr>
          <w:rFonts w:ascii="Cambria" w:hAnsi="Cambria"/>
          <w:sz w:val="16"/>
          <w:szCs w:val="16"/>
          <w:lang w:val="es-PE"/>
        </w:rPr>
        <w:t>. Véase también, Petición inicial de 28 de septiembre de 2012, pág. 10.</w:t>
      </w:r>
    </w:p>
  </w:footnote>
  <w:footnote w:id="126">
    <w:p w14:paraId="3F252F9F" w14:textId="6044E1E9" w:rsidR="00F640DA" w:rsidRPr="00116A43" w:rsidRDefault="00F640DA">
      <w:pPr>
        <w:autoSpaceDE w:val="0"/>
        <w:autoSpaceDN w:val="0"/>
        <w:adjustRightInd w:val="0"/>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Cuba Información TV. Canal de YouTube. </w:t>
      </w:r>
      <w:r w:rsidRPr="00116A43">
        <w:rPr>
          <w:rFonts w:ascii="Cambria" w:hAnsi="Cambria"/>
          <w:i/>
          <w:iCs/>
          <w:sz w:val="16"/>
          <w:szCs w:val="16"/>
          <w:lang w:val="es-PE"/>
        </w:rPr>
        <w:t>El fraude de Yoani Sánchez en Twitter no llega los medios</w:t>
      </w:r>
      <w:r w:rsidRPr="00116A43">
        <w:rPr>
          <w:rFonts w:ascii="Cambria" w:hAnsi="Cambria"/>
          <w:sz w:val="16"/>
          <w:szCs w:val="16"/>
          <w:lang w:val="es-PE"/>
        </w:rPr>
        <w:t xml:space="preserve">. Disponible en: </w:t>
      </w:r>
      <w:hyperlink r:id="rId46" w:history="1">
        <w:r w:rsidRPr="00116A43">
          <w:rPr>
            <w:rStyle w:val="Hyperlink"/>
            <w:rFonts w:ascii="Cambria" w:hAnsi="Cambria"/>
            <w:sz w:val="16"/>
            <w:szCs w:val="16"/>
            <w:lang w:val="es-PE"/>
          </w:rPr>
          <w:t>https://www.youtube.com/watch?v=D-5DjXeAovY</w:t>
        </w:r>
      </w:hyperlink>
      <w:r w:rsidRPr="00116A43">
        <w:rPr>
          <w:rFonts w:ascii="Cambria" w:hAnsi="Cambria"/>
          <w:sz w:val="16"/>
          <w:szCs w:val="16"/>
          <w:lang w:val="es-PE"/>
        </w:rPr>
        <w:t xml:space="preserve"> </w:t>
      </w:r>
    </w:p>
  </w:footnote>
  <w:footnote w:id="127">
    <w:p w14:paraId="10A0ACAC" w14:textId="3502F8DC" w:rsidR="00F640DA" w:rsidRPr="00116A43" w:rsidRDefault="00F640DA">
      <w:pPr>
        <w:autoSpaceDE w:val="0"/>
        <w:autoSpaceDN w:val="0"/>
        <w:adjustRightInd w:val="0"/>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Cuba Información TV. Canal de YouTube. </w:t>
      </w:r>
      <w:r w:rsidRPr="00116A43">
        <w:rPr>
          <w:rFonts w:ascii="Cambria" w:hAnsi="Cambria"/>
          <w:i/>
          <w:iCs/>
          <w:sz w:val="16"/>
          <w:szCs w:val="16"/>
          <w:lang w:val="es-PE"/>
        </w:rPr>
        <w:t>El fraude de Yoani Sánchez en Twitter no llega los medios</w:t>
      </w:r>
      <w:r w:rsidRPr="00116A43">
        <w:rPr>
          <w:rFonts w:ascii="Cambria" w:hAnsi="Cambria"/>
          <w:sz w:val="16"/>
          <w:szCs w:val="16"/>
          <w:lang w:val="es-PE"/>
        </w:rPr>
        <w:t xml:space="preserve">. Disponible en: </w:t>
      </w:r>
      <w:hyperlink r:id="rId47" w:history="1">
        <w:r w:rsidRPr="00116A43">
          <w:rPr>
            <w:rStyle w:val="Hyperlink"/>
            <w:rFonts w:ascii="Cambria" w:hAnsi="Cambria"/>
            <w:sz w:val="16"/>
            <w:szCs w:val="16"/>
            <w:lang w:val="es-PE"/>
          </w:rPr>
          <w:t>https://www.youtube.com/watch?v=D-5DjXeAovY</w:t>
        </w:r>
      </w:hyperlink>
    </w:p>
  </w:footnote>
  <w:footnote w:id="128">
    <w:p w14:paraId="7F0D0804" w14:textId="20CE892D" w:rsidR="00F640DA" w:rsidRPr="00116A43" w:rsidRDefault="00F640DA">
      <w:pPr>
        <w:autoSpaceDE w:val="0"/>
        <w:autoSpaceDN w:val="0"/>
        <w:adjustRightInd w:val="0"/>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Cuba Información TV. Canal de YouTube. </w:t>
      </w:r>
      <w:r w:rsidRPr="00116A43">
        <w:rPr>
          <w:rFonts w:ascii="Cambria" w:hAnsi="Cambria"/>
          <w:i/>
          <w:iCs/>
          <w:sz w:val="16"/>
          <w:szCs w:val="16"/>
          <w:lang w:val="es-PE"/>
        </w:rPr>
        <w:t>El fraude de Yoani Sánchez en Twitter no llega los medios</w:t>
      </w:r>
      <w:r w:rsidRPr="00116A43">
        <w:rPr>
          <w:rFonts w:ascii="Cambria" w:hAnsi="Cambria"/>
          <w:sz w:val="16"/>
          <w:szCs w:val="16"/>
          <w:lang w:val="es-PE"/>
        </w:rPr>
        <w:t xml:space="preserve">. Disponible en: </w:t>
      </w:r>
      <w:hyperlink r:id="rId48" w:history="1">
        <w:r w:rsidRPr="00116A43">
          <w:rPr>
            <w:rStyle w:val="Hyperlink"/>
            <w:rFonts w:ascii="Cambria" w:hAnsi="Cambria"/>
            <w:sz w:val="16"/>
            <w:szCs w:val="16"/>
            <w:lang w:val="es-PE"/>
          </w:rPr>
          <w:t>https://www.youtube.com/watch?v=D-5DjXeAovY</w:t>
        </w:r>
      </w:hyperlink>
    </w:p>
  </w:footnote>
  <w:footnote w:id="129">
    <w:p w14:paraId="31F970DF" w14:textId="72CA79ED"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9. Según los peticionarios “este sitio web solo está disponible en versión española en Cuba”. Fuera de Cuba, se puede acceder a la versión inglesa, pero contiene menos artículos. Véase varios artículos críticos contra Yoani Sánchez en: </w:t>
      </w:r>
      <w:hyperlink r:id="rId49" w:history="1">
        <w:r w:rsidRPr="00116A43">
          <w:rPr>
            <w:rStyle w:val="Hyperlink"/>
            <w:rFonts w:ascii="Cambria" w:hAnsi="Cambria"/>
            <w:sz w:val="16"/>
            <w:szCs w:val="16"/>
            <w:lang w:val="es-PE"/>
          </w:rPr>
          <w:t>http://www.cubadebate.cu/?s=Yoani</w:t>
        </w:r>
      </w:hyperlink>
      <w:r w:rsidRPr="00116A43">
        <w:rPr>
          <w:rFonts w:ascii="Cambria" w:hAnsi="Cambria"/>
          <w:sz w:val="16"/>
          <w:szCs w:val="16"/>
          <w:lang w:val="es-PE"/>
        </w:rPr>
        <w:t xml:space="preserve"> </w:t>
      </w:r>
    </w:p>
  </w:footnote>
  <w:footnote w:id="130">
    <w:p w14:paraId="496BF8BF" w14:textId="7F2A761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9. </w:t>
      </w:r>
    </w:p>
  </w:footnote>
  <w:footnote w:id="131">
    <w:p w14:paraId="4E329A24" w14:textId="2AECE96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Petición inicial de 28 de septiembre de 2012, pág. 11.</w:t>
      </w:r>
    </w:p>
  </w:footnote>
  <w:footnote w:id="132">
    <w:p w14:paraId="0CC44011" w14:textId="2DFD7469" w:rsidR="00F640DA" w:rsidRPr="00116A43" w:rsidRDefault="00F640DA" w:rsidP="00116A43">
      <w:pPr>
        <w:pStyle w:val="FootnoteText"/>
        <w:jc w:val="both"/>
        <w:rPr>
          <w:rFonts w:ascii="Cambria" w:hAnsi="Cambria"/>
          <w:color w:val="auto"/>
          <w:sz w:val="16"/>
          <w:szCs w:val="16"/>
          <w:lang w:val="es-ES"/>
        </w:rPr>
      </w:pPr>
      <w:r w:rsidRPr="00116A43">
        <w:rPr>
          <w:rStyle w:val="FootnoteReference"/>
          <w:rFonts w:ascii="Cambria" w:hAnsi="Cambria"/>
          <w:sz w:val="16"/>
          <w:szCs w:val="16"/>
        </w:rPr>
        <w:footnoteRef/>
      </w:r>
      <w:r w:rsidRPr="00644687">
        <w:rPr>
          <w:rFonts w:ascii="Cambria" w:hAnsi="Cambria"/>
          <w:sz w:val="16"/>
          <w:szCs w:val="16"/>
          <w:lang w:val="pt-BR"/>
        </w:rPr>
        <w:t xml:space="preserve"> </w:t>
      </w:r>
      <w:r w:rsidRPr="00644687">
        <w:rPr>
          <w:rFonts w:ascii="Cambria" w:hAnsi="Cambria"/>
          <w:color w:val="auto"/>
          <w:sz w:val="16"/>
          <w:szCs w:val="16"/>
          <w:lang w:val="pt-BR"/>
        </w:rPr>
        <w:t xml:space="preserve">CIDH. Informe Anual 2016. Capítulo IV.B, Cuba, párr. 12, e Informe Anual 2020.  </w:t>
      </w:r>
      <w:r w:rsidRPr="00644687">
        <w:rPr>
          <w:rFonts w:ascii="Cambria" w:hAnsi="Cambria"/>
          <w:color w:val="auto"/>
          <w:sz w:val="16"/>
          <w:szCs w:val="16"/>
          <w:lang w:val="pt-BR"/>
        </w:rPr>
        <w:t xml:space="preserve">Capítulo IV.B, Cuba,  párrs. </w:t>
      </w:r>
      <w:r w:rsidRPr="00116A43">
        <w:rPr>
          <w:rFonts w:ascii="Cambria" w:hAnsi="Cambria"/>
          <w:color w:val="auto"/>
          <w:sz w:val="16"/>
          <w:szCs w:val="16"/>
          <w:lang w:val="es-CO"/>
        </w:rPr>
        <w:t>10 a 14.</w:t>
      </w:r>
    </w:p>
  </w:footnote>
  <w:footnote w:id="133">
    <w:p w14:paraId="1EC2C52A" w14:textId="3BCCEF42" w:rsidR="00F640DA" w:rsidRPr="00116A43" w:rsidRDefault="00F640DA" w:rsidP="00447791">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w:t>
      </w:r>
      <w:r w:rsidRPr="00116A43">
        <w:rPr>
          <w:rFonts w:ascii="Cambria" w:hAnsi="Cambria"/>
          <w:color w:val="auto"/>
          <w:sz w:val="16"/>
          <w:szCs w:val="16"/>
          <w:lang w:val="es-CO"/>
        </w:rPr>
        <w:t>CIDH. Informe Nº 67/06. Caso 12.476. Oscar Elías Biscet y Otros</w:t>
      </w:r>
      <w:r>
        <w:rPr>
          <w:rFonts w:ascii="Cambria" w:hAnsi="Cambria"/>
          <w:color w:val="auto"/>
          <w:sz w:val="16"/>
          <w:szCs w:val="16"/>
          <w:lang w:val="es-CO"/>
        </w:rPr>
        <w:t xml:space="preserve">. </w:t>
      </w:r>
      <w:r w:rsidRPr="00116A43">
        <w:rPr>
          <w:rFonts w:ascii="Cambria" w:hAnsi="Cambria"/>
          <w:color w:val="auto"/>
          <w:sz w:val="16"/>
          <w:szCs w:val="16"/>
          <w:lang w:val="es-CO"/>
        </w:rPr>
        <w:t>Cuba. 21 de octubre de 2006</w:t>
      </w:r>
      <w:r>
        <w:rPr>
          <w:rFonts w:ascii="Cambria" w:hAnsi="Cambria"/>
          <w:color w:val="auto"/>
          <w:sz w:val="16"/>
          <w:szCs w:val="16"/>
          <w:lang w:val="es-CO"/>
        </w:rPr>
        <w:t>, p</w:t>
      </w:r>
      <w:r w:rsidRPr="00116A43">
        <w:rPr>
          <w:rFonts w:ascii="Cambria" w:hAnsi="Cambria"/>
          <w:color w:val="auto"/>
          <w:sz w:val="16"/>
          <w:szCs w:val="16"/>
          <w:lang w:val="es-CO"/>
        </w:rPr>
        <w:t>árrs. 40-44; Informe N° 68/06. Caso 12.477. Fondo. Lorenzo Enrique Copello Castillo y Otros. Cuba. 21 de octubre de 2006</w:t>
      </w:r>
      <w:r>
        <w:rPr>
          <w:rFonts w:ascii="Cambria" w:hAnsi="Cambria"/>
          <w:color w:val="auto"/>
          <w:sz w:val="16"/>
          <w:szCs w:val="16"/>
          <w:lang w:val="es-CO"/>
        </w:rPr>
        <w:t>, p</w:t>
      </w:r>
      <w:r w:rsidRPr="00116A43">
        <w:rPr>
          <w:rFonts w:ascii="Cambria" w:hAnsi="Cambria"/>
          <w:color w:val="auto"/>
          <w:sz w:val="16"/>
          <w:szCs w:val="16"/>
          <w:lang w:val="es-CO"/>
        </w:rPr>
        <w:t xml:space="preserve">árrs 49 y 52; </w:t>
      </w:r>
      <w:r w:rsidRPr="00116A43">
        <w:rPr>
          <w:rFonts w:ascii="Cambria" w:hAnsi="Cambria"/>
          <w:color w:val="auto"/>
          <w:sz w:val="16"/>
          <w:szCs w:val="16"/>
          <w:lang w:val="es-ES"/>
        </w:rPr>
        <w:t>CIDH: Informe de Fondo Nº 47/96, Caso 11.436, Remolcador “13 de marzo”, 16 de octubre de 1996; Informe de Fondo Nº 86/99, Caso 11.589, Armando Alejandre Jr., Carlos Costa, Mario de la Peña y Pablo Morales, 29 de septiembre de 1999.</w:t>
      </w:r>
      <w:r w:rsidRPr="00116A43">
        <w:rPr>
          <w:rFonts w:ascii="Cambria" w:hAnsi="Cambria"/>
          <w:color w:val="auto"/>
          <w:sz w:val="16"/>
          <w:szCs w:val="16"/>
          <w:lang w:val="es-CO"/>
        </w:rPr>
        <w:t xml:space="preserve">  </w:t>
      </w:r>
    </w:p>
  </w:footnote>
  <w:footnote w:id="134">
    <w:p w14:paraId="31128FF6" w14:textId="2AD6426A" w:rsidR="00F640DA" w:rsidRPr="00116A43" w:rsidRDefault="00F640DA" w:rsidP="00B92BE6">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w:t>
      </w:r>
      <w:r w:rsidRPr="00116A43">
        <w:rPr>
          <w:rFonts w:ascii="Cambria" w:hAnsi="Cambria"/>
          <w:color w:val="auto"/>
          <w:sz w:val="16"/>
          <w:szCs w:val="16"/>
          <w:lang w:val="es-CO"/>
        </w:rPr>
        <w:t>CIDH. Informe Nº 67/06. Caso 12.476. Oscar Elías Biscet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41; Informe N° 68/06. Caso 12.477. Fondo. Lorenzo Enrique Copello Castillo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50.</w:t>
      </w:r>
    </w:p>
  </w:footnote>
  <w:footnote w:id="135">
    <w:p w14:paraId="30299095" w14:textId="3921C6C6" w:rsidR="00F640DA" w:rsidRPr="00116A43" w:rsidRDefault="00F640DA" w:rsidP="00B92BE6">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w:t>
      </w:r>
      <w:r w:rsidRPr="00116A43">
        <w:rPr>
          <w:rFonts w:ascii="Cambria" w:hAnsi="Cambria"/>
          <w:color w:val="auto"/>
          <w:sz w:val="16"/>
          <w:szCs w:val="16"/>
          <w:lang w:val="es-CO"/>
        </w:rPr>
        <w:t>CIDH. Informe Nº 67/06. Caso 12.476. Oscar Elías Biscet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42; Informe N° 68/06. Caso 12.477. Fondo. Lorenzo Enrique Copello Castillo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51.</w:t>
      </w:r>
    </w:p>
  </w:footnote>
  <w:footnote w:id="136">
    <w:p w14:paraId="1DADDAE2" w14:textId="27798EA0" w:rsidR="00F640DA" w:rsidRPr="00116A43" w:rsidRDefault="00F640DA">
      <w:pPr>
        <w:pStyle w:val="FootnoteText"/>
        <w:jc w:val="both"/>
        <w:rPr>
          <w:rFonts w:ascii="Cambria" w:hAnsi="Cambria"/>
          <w:color w:val="auto"/>
          <w:sz w:val="16"/>
          <w:szCs w:val="16"/>
          <w:lang w:val="es-CO"/>
        </w:rPr>
      </w:pPr>
      <w:r w:rsidRPr="00116A43">
        <w:rPr>
          <w:rStyle w:val="FootnoteReference"/>
          <w:rFonts w:ascii="Cambria" w:hAnsi="Cambria"/>
          <w:color w:val="auto"/>
          <w:sz w:val="16"/>
          <w:szCs w:val="16"/>
        </w:rPr>
        <w:footnoteRef/>
      </w:r>
      <w:r w:rsidRPr="00116A43">
        <w:rPr>
          <w:rFonts w:ascii="Cambria" w:hAnsi="Cambria"/>
          <w:color w:val="auto"/>
          <w:sz w:val="16"/>
          <w:szCs w:val="16"/>
          <w:lang w:val="es-CO"/>
        </w:rPr>
        <w:t xml:space="preserve"> CIDH. Informe Nº 67/06. Caso 12.476. Oscar Elías Biscet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43; Informe N° 68/06. Caso 12.477. Fondo. Lorenzo Enrique Copello Castillo y Otros. Cuba. 21 de octubre de 2006</w:t>
      </w:r>
      <w:r>
        <w:rPr>
          <w:rFonts w:ascii="Cambria" w:hAnsi="Cambria"/>
          <w:color w:val="auto"/>
          <w:sz w:val="16"/>
          <w:szCs w:val="16"/>
          <w:lang w:val="es-CO"/>
        </w:rPr>
        <w:t>, p</w:t>
      </w:r>
      <w:r w:rsidRPr="00116A43">
        <w:rPr>
          <w:rFonts w:ascii="Cambria" w:hAnsi="Cambria"/>
          <w:color w:val="auto"/>
          <w:sz w:val="16"/>
          <w:szCs w:val="16"/>
          <w:lang w:val="es-CO"/>
        </w:rPr>
        <w:t xml:space="preserve">árr. 52.  </w:t>
      </w:r>
    </w:p>
  </w:footnote>
  <w:footnote w:id="137">
    <w:p w14:paraId="087AADEA" w14:textId="792EFC73"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bCs/>
          <w:sz w:val="16"/>
          <w:szCs w:val="16"/>
          <w:lang w:val="es-AR"/>
        </w:rPr>
        <w:t>El artículo I de la Declaración Americana señala que: “[t]odo ser humano tiene derecho a la libertad, a la seguridad y a la integridad de la persona”.</w:t>
      </w:r>
    </w:p>
  </w:footnote>
  <w:footnote w:id="138">
    <w:p w14:paraId="40A321D2" w14:textId="77777777" w:rsidR="00F640DA" w:rsidRPr="00116A43" w:rsidRDefault="00F640DA" w:rsidP="006316C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16"/>
          <w:szCs w:val="16"/>
          <w:bdr w:val="none" w:sz="0" w:space="0" w:color="auto"/>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bCs/>
          <w:sz w:val="16"/>
          <w:szCs w:val="16"/>
          <w:bdr w:val="none" w:sz="0" w:space="0" w:color="auto"/>
        </w:rPr>
        <w:t>El artículo II de la Declaración Americana dispone lo siguiente: “[t]odas las personas son iguales ante la Ley y tienen los derechos y deberes consagrados en esta declaración sin distinción de raza, sexo, idioma, credo ni otra alguna”.</w:t>
      </w:r>
    </w:p>
  </w:footnote>
  <w:footnote w:id="139">
    <w:p w14:paraId="56554A0D" w14:textId="16DFB9D4"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AR"/>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bCs/>
          <w:sz w:val="16"/>
          <w:szCs w:val="16"/>
          <w:lang w:val="es-AR"/>
        </w:rPr>
        <w:t xml:space="preserve">El </w:t>
      </w:r>
      <w:r w:rsidRPr="00116A43">
        <w:rPr>
          <w:rFonts w:ascii="Cambria" w:hAnsi="Cambria"/>
          <w:sz w:val="16"/>
          <w:szCs w:val="16"/>
          <w:lang w:val="es-AR"/>
        </w:rPr>
        <w:t xml:space="preserve">artículo XXV </w:t>
      </w:r>
      <w:r w:rsidRPr="00116A43">
        <w:rPr>
          <w:rFonts w:ascii="Cambria" w:hAnsi="Cambria"/>
          <w:bCs/>
          <w:sz w:val="16"/>
          <w:szCs w:val="16"/>
          <w:lang w:val="es-AR"/>
        </w:rPr>
        <w:t>de la Declaración Americana</w:t>
      </w:r>
      <w:r w:rsidRPr="00116A43">
        <w:rPr>
          <w:rFonts w:ascii="Cambria" w:hAnsi="Cambria"/>
          <w:sz w:val="16"/>
          <w:szCs w:val="16"/>
          <w:lang w:val="es-AR"/>
        </w:rPr>
        <w:t xml:space="preserve"> dispone que: “[n]adie puede ser privado de su libertad sino en los casos y según las formas establecidas por leyes preexistentes. Nadie puede ser detenido por incumplimiento de obligaciones de carácter netamente civil.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footnote>
  <w:footnote w:id="140">
    <w:p w14:paraId="56B849E9" w14:textId="0A30C81B"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color w:val="auto"/>
          <w:sz w:val="16"/>
          <w:szCs w:val="16"/>
        </w:rPr>
        <w:footnoteRef/>
      </w:r>
      <w:r w:rsidRPr="00116A43">
        <w:rPr>
          <w:rStyle w:val="FootnoteReference"/>
          <w:rFonts w:ascii="Cambria" w:hAnsi="Cambria"/>
          <w:color w:val="auto"/>
          <w:sz w:val="16"/>
          <w:szCs w:val="16"/>
          <w:lang w:val="es-ES"/>
        </w:rPr>
        <w:t xml:space="preserve"> </w:t>
      </w:r>
      <w:r w:rsidRPr="00116A43">
        <w:rPr>
          <w:rFonts w:ascii="Cambria" w:eastAsia="Arial Unicode MS" w:hAnsi="Cambria" w:cs="Times New Roman"/>
          <w:color w:val="auto"/>
          <w:sz w:val="16"/>
          <w:szCs w:val="16"/>
          <w:lang w:val="es-ES" w:eastAsia="en-US"/>
        </w:rPr>
        <w:t>CIDH. Informe sobre terrorismo y derechos humanos, OEA/</w:t>
      </w:r>
      <w:proofErr w:type="spellStart"/>
      <w:r w:rsidRPr="00116A43">
        <w:rPr>
          <w:rFonts w:ascii="Cambria" w:eastAsia="Arial Unicode MS" w:hAnsi="Cambria" w:cs="Times New Roman"/>
          <w:color w:val="auto"/>
          <w:sz w:val="16"/>
          <w:szCs w:val="16"/>
          <w:lang w:val="es-ES" w:eastAsia="en-US"/>
        </w:rPr>
        <w:t>Ser.L</w:t>
      </w:r>
      <w:proofErr w:type="spellEnd"/>
      <w:r w:rsidRPr="00116A43">
        <w:rPr>
          <w:rFonts w:ascii="Cambria" w:eastAsia="Arial Unicode MS" w:hAnsi="Cambria" w:cs="Times New Roman"/>
          <w:color w:val="auto"/>
          <w:sz w:val="16"/>
          <w:szCs w:val="16"/>
          <w:lang w:val="es-ES" w:eastAsia="en-US"/>
        </w:rPr>
        <w:t>/V/II.116.Doc.5 rev.1, 22 de octubre de 2002, párr. 120.</w:t>
      </w:r>
    </w:p>
  </w:footnote>
  <w:footnote w:id="141">
    <w:p w14:paraId="76F85458" w14:textId="62D74077"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color w:val="auto"/>
          <w:sz w:val="16"/>
          <w:szCs w:val="16"/>
        </w:rPr>
        <w:footnoteRef/>
      </w:r>
      <w:r w:rsidRPr="00116A43">
        <w:rPr>
          <w:rStyle w:val="FootnoteReference"/>
          <w:rFonts w:ascii="Cambria" w:hAnsi="Cambria"/>
          <w:color w:val="auto"/>
          <w:sz w:val="16"/>
          <w:szCs w:val="16"/>
          <w:lang w:val="es-ES"/>
        </w:rPr>
        <w:t xml:space="preserve"> </w:t>
      </w:r>
      <w:r w:rsidRPr="00116A43">
        <w:rPr>
          <w:rFonts w:ascii="Cambria" w:hAnsi="Cambria"/>
          <w:color w:val="auto"/>
          <w:sz w:val="16"/>
          <w:szCs w:val="16"/>
          <w:lang w:val="es-ES"/>
        </w:rPr>
        <w:t xml:space="preserve">CIDH. Demanda ante la Corte Interamericana de Derechos Humanos en el caso de Juan Carlos Chaparro Álvarez y Freddy Hernán Lapo. Caso 12.091. Ecuador. 23 de junio de 2006, </w:t>
      </w:r>
      <w:proofErr w:type="spellStart"/>
      <w:r w:rsidRPr="00116A43">
        <w:rPr>
          <w:rFonts w:ascii="Cambria" w:hAnsi="Cambria"/>
          <w:color w:val="auto"/>
          <w:sz w:val="16"/>
          <w:szCs w:val="16"/>
          <w:lang w:val="es-ES"/>
        </w:rPr>
        <w:t>párr</w:t>
      </w:r>
      <w:proofErr w:type="spellEnd"/>
      <w:r w:rsidRPr="00116A43">
        <w:rPr>
          <w:rFonts w:ascii="Cambria" w:hAnsi="Cambria"/>
          <w:color w:val="auto"/>
          <w:sz w:val="16"/>
          <w:szCs w:val="16"/>
          <w:lang w:val="es-ES"/>
        </w:rPr>
        <w:t xml:space="preserve"> 59.</w:t>
      </w:r>
    </w:p>
  </w:footnote>
  <w:footnote w:id="142">
    <w:p w14:paraId="2FC8B8F8" w14:textId="02FB959C"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sz w:val="16"/>
          <w:szCs w:val="16"/>
        </w:rPr>
        <w:footnoteRef/>
      </w:r>
      <w:r w:rsidRPr="00116A43">
        <w:rPr>
          <w:rStyle w:val="FootnoteReference"/>
          <w:rFonts w:ascii="Cambria" w:hAnsi="Cambria"/>
          <w:sz w:val="16"/>
          <w:szCs w:val="16"/>
          <w:lang w:val="es-ES"/>
        </w:rPr>
        <w:t xml:space="preserve"> </w:t>
      </w:r>
      <w:r w:rsidRPr="00116A43">
        <w:rPr>
          <w:rFonts w:ascii="Cambria" w:hAnsi="Cambria"/>
          <w:sz w:val="16"/>
          <w:szCs w:val="16"/>
          <w:lang w:val="es-ES"/>
        </w:rPr>
        <w:t xml:space="preserve"> CIDH. Informe 129/17. Caso 12.315. Fondo. Carlos Alberto Fernández y Carlos Alejandro </w:t>
      </w:r>
      <w:proofErr w:type="spellStart"/>
      <w:r w:rsidRPr="00116A43">
        <w:rPr>
          <w:rFonts w:ascii="Cambria" w:hAnsi="Cambria"/>
          <w:sz w:val="16"/>
          <w:szCs w:val="16"/>
          <w:lang w:val="es-ES"/>
        </w:rPr>
        <w:t>Tumbeiro</w:t>
      </w:r>
      <w:proofErr w:type="spellEnd"/>
      <w:r w:rsidRPr="00116A43">
        <w:rPr>
          <w:rFonts w:ascii="Cambria" w:hAnsi="Cambria"/>
          <w:sz w:val="16"/>
          <w:szCs w:val="16"/>
          <w:lang w:val="es-ES"/>
        </w:rPr>
        <w:t>. Argentina. 25 de octubre de 2017, párr. 50.</w:t>
      </w:r>
    </w:p>
  </w:footnote>
  <w:footnote w:id="143">
    <w:p w14:paraId="426CC574" w14:textId="39092638"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color w:val="auto"/>
          <w:sz w:val="16"/>
          <w:szCs w:val="16"/>
        </w:rPr>
        <w:footnoteRef/>
      </w:r>
      <w:r w:rsidRPr="00116A43">
        <w:rPr>
          <w:rStyle w:val="FootnoteReference"/>
          <w:rFonts w:ascii="Cambria" w:hAnsi="Cambria"/>
          <w:color w:val="auto"/>
          <w:sz w:val="16"/>
          <w:szCs w:val="16"/>
          <w:lang w:val="es-ES"/>
        </w:rPr>
        <w:t xml:space="preserve"> </w:t>
      </w:r>
      <w:r w:rsidRPr="00116A43">
        <w:rPr>
          <w:rFonts w:ascii="Cambria" w:hAnsi="Cambria"/>
          <w:color w:val="auto"/>
          <w:sz w:val="16"/>
          <w:szCs w:val="16"/>
          <w:lang w:val="es-ES"/>
        </w:rPr>
        <w:t>ONU. Conjunto de principios para la protección de todas las personas sometidas a alguna forma de detención o reclusión, aprobado por la Asamblea General por Resolución 43/173 de 9 de diciembre de 1988, Principio 4.</w:t>
      </w:r>
    </w:p>
  </w:footnote>
  <w:footnote w:id="144">
    <w:p w14:paraId="61DFD84B" w14:textId="7D61659D"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sz w:val="16"/>
          <w:szCs w:val="16"/>
        </w:rPr>
        <w:footnoteRef/>
      </w:r>
      <w:r w:rsidRPr="00644687">
        <w:rPr>
          <w:rStyle w:val="FootnoteReference"/>
          <w:rFonts w:ascii="Cambria" w:hAnsi="Cambria"/>
          <w:sz w:val="16"/>
          <w:szCs w:val="16"/>
          <w:lang w:val="pt-BR"/>
        </w:rPr>
        <w:t xml:space="preserve"> </w:t>
      </w:r>
      <w:r w:rsidRPr="00644687">
        <w:rPr>
          <w:rFonts w:ascii="Cambria" w:eastAsia="Arial Unicode MS" w:hAnsi="Cambria" w:cs="Times New Roman"/>
          <w:color w:val="auto"/>
          <w:sz w:val="16"/>
          <w:szCs w:val="16"/>
          <w:lang w:val="pt-BR" w:eastAsia="en-US"/>
        </w:rPr>
        <w:t xml:space="preserve">CIDH, Informe No. 8/16. Caso 11.661. Fondo. </w:t>
      </w:r>
      <w:r w:rsidRPr="00116A43">
        <w:rPr>
          <w:rFonts w:ascii="Cambria" w:eastAsia="Arial Unicode MS" w:hAnsi="Cambria" w:cs="Times New Roman"/>
          <w:color w:val="auto"/>
          <w:sz w:val="16"/>
          <w:szCs w:val="16"/>
          <w:lang w:val="pt-BR" w:eastAsia="en-US"/>
        </w:rPr>
        <w:t xml:space="preserve">Manickavasagam Suresh. </w:t>
      </w:r>
      <w:r w:rsidRPr="00644687">
        <w:rPr>
          <w:rFonts w:ascii="Cambria" w:eastAsia="Arial Unicode MS" w:hAnsi="Cambria" w:cs="Times New Roman"/>
          <w:color w:val="auto"/>
          <w:sz w:val="16"/>
          <w:szCs w:val="16"/>
          <w:lang w:val="es-US" w:eastAsia="en-US"/>
        </w:rPr>
        <w:t xml:space="preserve">Canadá. 13 de abril de 2016, párr. </w:t>
      </w:r>
      <w:r w:rsidRPr="00116A43">
        <w:rPr>
          <w:rFonts w:ascii="Cambria" w:eastAsia="Arial Unicode MS" w:hAnsi="Cambria" w:cs="Times New Roman"/>
          <w:color w:val="auto"/>
          <w:sz w:val="16"/>
          <w:szCs w:val="16"/>
          <w:lang w:val="es-ES" w:eastAsia="en-US"/>
        </w:rPr>
        <w:t>73.</w:t>
      </w:r>
    </w:p>
  </w:footnote>
  <w:footnote w:id="145">
    <w:p w14:paraId="63799753" w14:textId="57FFD861" w:rsidR="00F640DA" w:rsidRPr="00116A43" w:rsidRDefault="00F640DA">
      <w:pPr>
        <w:pStyle w:val="FootnoteText"/>
        <w:jc w:val="both"/>
        <w:rPr>
          <w:rFonts w:ascii="Cambria" w:hAnsi="Cambria"/>
          <w:sz w:val="16"/>
          <w:szCs w:val="16"/>
          <w:lang w:val="es-ES"/>
        </w:rPr>
      </w:pPr>
      <w:r w:rsidRPr="00116A43">
        <w:rPr>
          <w:rStyle w:val="FootnoteReference"/>
          <w:rFonts w:ascii="Cambria" w:hAnsi="Cambria"/>
          <w:color w:val="auto"/>
          <w:sz w:val="16"/>
          <w:szCs w:val="16"/>
        </w:rPr>
        <w:footnoteRef/>
      </w:r>
      <w:r w:rsidRPr="00116A43">
        <w:rPr>
          <w:rStyle w:val="FootnoteReference"/>
          <w:rFonts w:ascii="Cambria" w:hAnsi="Cambria"/>
          <w:color w:val="auto"/>
          <w:sz w:val="16"/>
          <w:szCs w:val="16"/>
          <w:lang w:val="es-ES"/>
        </w:rPr>
        <w:t xml:space="preserve"> </w:t>
      </w:r>
      <w:r w:rsidRPr="00116A43">
        <w:rPr>
          <w:rFonts w:ascii="Cambria" w:hAnsi="Cambria"/>
          <w:color w:val="auto"/>
          <w:sz w:val="16"/>
          <w:szCs w:val="16"/>
          <w:lang w:val="es-ES"/>
        </w:rPr>
        <w:t>CIDH. Demanda ante la Corte Interamericana de Derechos Humanos en el caso de Juan Carlos Chaparro Álvarez y Freddy Hernán Lapo. Caso 12.091. Ecuador. 23 de junio de 2006, párr. 72.</w:t>
      </w:r>
    </w:p>
  </w:footnote>
  <w:footnote w:id="146">
    <w:p w14:paraId="4AAF4270" w14:textId="1C8441E8" w:rsidR="00F640DA" w:rsidRPr="00116A43" w:rsidRDefault="00F640DA">
      <w:pPr>
        <w:pStyle w:val="FootnoteText"/>
        <w:jc w:val="both"/>
        <w:rPr>
          <w:rFonts w:ascii="Cambria" w:hAnsi="Cambria"/>
          <w:color w:val="auto"/>
          <w:sz w:val="16"/>
          <w:szCs w:val="16"/>
          <w:lang w:val="es-PE"/>
        </w:rPr>
      </w:pPr>
      <w:r w:rsidRPr="00116A43">
        <w:rPr>
          <w:rStyle w:val="FootnoteReference"/>
          <w:rFonts w:ascii="Cambria" w:hAnsi="Cambria"/>
          <w:color w:val="auto"/>
          <w:sz w:val="16"/>
          <w:szCs w:val="16"/>
        </w:rPr>
        <w:footnoteRef/>
      </w:r>
      <w:r w:rsidRPr="00116A43">
        <w:rPr>
          <w:rFonts w:ascii="Cambria" w:hAnsi="Cambria"/>
          <w:color w:val="auto"/>
          <w:sz w:val="16"/>
          <w:szCs w:val="16"/>
          <w:lang w:val="es-PE"/>
        </w:rPr>
        <w:t xml:space="preserve"> CIDH. Informe No. 71/15, Caso 12.879. </w:t>
      </w:r>
      <w:r w:rsidRPr="00116A43">
        <w:rPr>
          <w:rFonts w:ascii="Cambria" w:hAnsi="Cambria"/>
          <w:color w:val="auto"/>
          <w:sz w:val="16"/>
          <w:szCs w:val="16"/>
          <w:lang w:val="es-ES"/>
        </w:rPr>
        <w:t xml:space="preserve">Fondo. Vladimir Herzog y otros. </w:t>
      </w:r>
      <w:r w:rsidRPr="00116A43">
        <w:rPr>
          <w:rFonts w:ascii="Cambria" w:hAnsi="Cambria"/>
          <w:color w:val="auto"/>
          <w:sz w:val="16"/>
          <w:szCs w:val="16"/>
          <w:lang w:val="es-PE"/>
        </w:rPr>
        <w:t>Brasil. 28 de octubre de 2015</w:t>
      </w:r>
      <w:r>
        <w:rPr>
          <w:rFonts w:ascii="Cambria" w:hAnsi="Cambria"/>
          <w:color w:val="auto"/>
          <w:sz w:val="16"/>
          <w:szCs w:val="16"/>
          <w:lang w:val="es-PE"/>
        </w:rPr>
        <w:t>, p</w:t>
      </w:r>
      <w:r w:rsidRPr="00116A43">
        <w:rPr>
          <w:rFonts w:ascii="Cambria" w:hAnsi="Cambria"/>
          <w:color w:val="auto"/>
          <w:sz w:val="16"/>
          <w:szCs w:val="16"/>
          <w:lang w:val="es-PE"/>
        </w:rPr>
        <w:t>árr. 149.</w:t>
      </w:r>
    </w:p>
  </w:footnote>
  <w:footnote w:id="147">
    <w:p w14:paraId="4094A31F" w14:textId="0F716213" w:rsidR="00F640DA" w:rsidRPr="00116A43" w:rsidRDefault="00F640DA">
      <w:pPr>
        <w:pStyle w:val="FootnoteText"/>
        <w:jc w:val="both"/>
        <w:rPr>
          <w:rFonts w:ascii="Cambria" w:hAnsi="Cambria"/>
          <w:sz w:val="16"/>
          <w:szCs w:val="16"/>
          <w:u w:val="single"/>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No. 27/18, Caso No. 12.127. Fondo. Vladimiro Roca Antúnez y otros. Cuba. 24 de febrero de 2018, párr. 134.</w:t>
      </w:r>
    </w:p>
  </w:footnote>
  <w:footnote w:id="148">
    <w:p w14:paraId="4D0AB4FE" w14:textId="5C659BF0"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color w:val="auto"/>
          <w:sz w:val="16"/>
          <w:szCs w:val="16"/>
          <w:vertAlign w:val="superscript"/>
        </w:rPr>
        <w:footnoteRef/>
      </w:r>
      <w:r w:rsidRPr="00116A43">
        <w:rPr>
          <w:rFonts w:ascii="Cambria" w:hAnsi="Cambria"/>
          <w:color w:val="auto"/>
          <w:sz w:val="16"/>
          <w:szCs w:val="16"/>
          <w:lang w:val="es-ES"/>
        </w:rPr>
        <w:t xml:space="preserve"> CIDH. Informe sobre Terrorismo y Derechos Humanos, OEA/</w:t>
      </w:r>
      <w:proofErr w:type="spellStart"/>
      <w:r w:rsidRPr="00116A43">
        <w:rPr>
          <w:rFonts w:ascii="Cambria" w:hAnsi="Cambria"/>
          <w:color w:val="auto"/>
          <w:sz w:val="16"/>
          <w:szCs w:val="16"/>
          <w:lang w:val="es-ES"/>
        </w:rPr>
        <w:t>Ser.L</w:t>
      </w:r>
      <w:proofErr w:type="spellEnd"/>
      <w:r w:rsidRPr="00116A43">
        <w:rPr>
          <w:rFonts w:ascii="Cambria" w:hAnsi="Cambria"/>
          <w:color w:val="auto"/>
          <w:sz w:val="16"/>
          <w:szCs w:val="16"/>
          <w:lang w:val="es-ES"/>
        </w:rPr>
        <w:t>/V/II.116.Doc.5 rev.1, 22 de octubre de 2002, párr. 155.</w:t>
      </w:r>
    </w:p>
  </w:footnote>
  <w:footnote w:id="149">
    <w:p w14:paraId="66557EB4" w14:textId="4A376528"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27/18, Caso No. 12.127. </w:t>
      </w:r>
      <w:r w:rsidRPr="00116A43">
        <w:rPr>
          <w:rFonts w:ascii="Cambria" w:hAnsi="Cambria"/>
          <w:sz w:val="16"/>
          <w:szCs w:val="16"/>
          <w:lang w:val="es-PE"/>
        </w:rPr>
        <w:t>Fondo. Vladimiro Roca Antúnez y otros. Cuba. 24 de febrero de 2018, párr. 143.</w:t>
      </w:r>
    </w:p>
  </w:footnote>
  <w:footnote w:id="150">
    <w:p w14:paraId="464FB64A" w14:textId="785A9C21"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27/18, Caso No. 12.127. </w:t>
      </w:r>
      <w:r w:rsidRPr="00116A43">
        <w:rPr>
          <w:rFonts w:ascii="Cambria" w:hAnsi="Cambria"/>
          <w:sz w:val="16"/>
          <w:szCs w:val="16"/>
          <w:lang w:val="es-PE"/>
        </w:rPr>
        <w:t>Fondo. Vladimiro Roca Antúnez y otros. Cuba. 24 de febrero de 2018, párr. 144.</w:t>
      </w:r>
    </w:p>
  </w:footnote>
  <w:footnote w:id="151">
    <w:p w14:paraId="0D57641A" w14:textId="0F2819AB"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US"/>
        </w:rPr>
        <w:t xml:space="preserve"> CIDH, </w:t>
      </w:r>
      <w:r w:rsidRPr="003D0D74">
        <w:rPr>
          <w:rFonts w:ascii="Cambria" w:hAnsi="Cambria"/>
          <w:sz w:val="16"/>
          <w:szCs w:val="16"/>
          <w:lang w:val="es-US"/>
        </w:rPr>
        <w:t>Informe sobre las Personas Privadas de Libertad</w:t>
      </w:r>
      <w:r w:rsidRPr="00116A43">
        <w:rPr>
          <w:rFonts w:ascii="Cambria" w:hAnsi="Cambria"/>
          <w:sz w:val="16"/>
          <w:szCs w:val="16"/>
          <w:lang w:val="es-US"/>
        </w:rPr>
        <w:t xml:space="preserve"> (2011), </w:t>
      </w:r>
      <w:r>
        <w:rPr>
          <w:rFonts w:ascii="Cambria" w:hAnsi="Cambria"/>
          <w:sz w:val="16"/>
          <w:szCs w:val="16"/>
          <w:lang w:val="es-US"/>
        </w:rPr>
        <w:t xml:space="preserve">párr. </w:t>
      </w:r>
      <w:r w:rsidRPr="00116A43">
        <w:rPr>
          <w:rFonts w:ascii="Cambria" w:hAnsi="Cambria"/>
          <w:sz w:val="16"/>
          <w:szCs w:val="16"/>
          <w:lang w:val="es-US"/>
        </w:rPr>
        <w:t xml:space="preserve">50. Este principio fue desarrollado por primera vez por la Corte Interamericana de Derechos Humanos en </w:t>
      </w:r>
      <w:r w:rsidRPr="00116A43">
        <w:rPr>
          <w:rFonts w:ascii="Cambria" w:hAnsi="Cambria"/>
          <w:i/>
          <w:sz w:val="16"/>
          <w:szCs w:val="16"/>
          <w:lang w:val="es-US"/>
        </w:rPr>
        <w:t>Neira Alegría vs. Perú</w:t>
      </w:r>
      <w:r w:rsidRPr="00116A43">
        <w:rPr>
          <w:rFonts w:ascii="Cambria" w:hAnsi="Cambria"/>
          <w:sz w:val="16"/>
          <w:szCs w:val="16"/>
          <w:lang w:val="es-US"/>
        </w:rPr>
        <w:t xml:space="preserve"> y subsecuentemente desarrollado en jurisprudencia posterior. En el mismo sentido, los Principios y Buenas Prácticas sobre la Protección de las Personas Privadas de Libertad en las Américas establece que “Toda persona privada de libertad que esté sujeta a la jurisdicción de cualquiera de los Estados Miembros de la Organización de los Estados Americanos será tratada humanamente, con irrestricto respeto a su dignidad inherente, a sus derechos y garantías fundamentales […] tomando en cuenta la posición especial de garante de los Estados frente a las personas privadas de libertad, se les respetará y garantizará su vida e integridad personal, y se asegurarán condiciones mínimas que sean compatibles con su dignidad” (Principio I).</w:t>
      </w:r>
    </w:p>
  </w:footnote>
  <w:footnote w:id="152">
    <w:p w14:paraId="6CA7F1A4" w14:textId="50581CA6"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US"/>
        </w:rPr>
        <w:t xml:space="preserve"> CIDH, Informe No. 41/99</w:t>
      </w:r>
      <w:r>
        <w:rPr>
          <w:rFonts w:ascii="Cambria" w:hAnsi="Cambria"/>
          <w:sz w:val="16"/>
          <w:szCs w:val="16"/>
          <w:lang w:val="es-US"/>
        </w:rPr>
        <w:t>.</w:t>
      </w:r>
      <w:r w:rsidRPr="00116A43">
        <w:rPr>
          <w:rFonts w:ascii="Cambria" w:hAnsi="Cambria"/>
          <w:sz w:val="16"/>
          <w:szCs w:val="16"/>
          <w:lang w:val="es-US"/>
        </w:rPr>
        <w:t xml:space="preserve"> </w:t>
      </w:r>
      <w:r>
        <w:rPr>
          <w:rFonts w:ascii="Cambria" w:hAnsi="Cambria"/>
          <w:sz w:val="16"/>
          <w:szCs w:val="16"/>
          <w:lang w:val="es-US"/>
        </w:rPr>
        <w:t>F</w:t>
      </w:r>
      <w:r w:rsidRPr="00116A43">
        <w:rPr>
          <w:rFonts w:ascii="Cambria" w:hAnsi="Cambria"/>
          <w:sz w:val="16"/>
          <w:szCs w:val="16"/>
          <w:lang w:val="es-US"/>
        </w:rPr>
        <w:t>ondo</w:t>
      </w:r>
      <w:r>
        <w:rPr>
          <w:rFonts w:ascii="Cambria" w:hAnsi="Cambria"/>
          <w:sz w:val="16"/>
          <w:szCs w:val="16"/>
          <w:lang w:val="es-US"/>
        </w:rPr>
        <w:t xml:space="preserve">. </w:t>
      </w:r>
      <w:r w:rsidRPr="003D0D74">
        <w:rPr>
          <w:rFonts w:ascii="Cambria" w:hAnsi="Cambria"/>
          <w:sz w:val="16"/>
          <w:szCs w:val="16"/>
          <w:lang w:val="es-US"/>
        </w:rPr>
        <w:t>Menores detenidos</w:t>
      </w:r>
      <w:r w:rsidRPr="0058795C">
        <w:rPr>
          <w:rFonts w:ascii="Cambria" w:hAnsi="Cambria"/>
          <w:sz w:val="16"/>
          <w:szCs w:val="16"/>
          <w:lang w:val="es-US"/>
        </w:rPr>
        <w:t>,</w:t>
      </w:r>
      <w:r w:rsidRPr="00116A43">
        <w:rPr>
          <w:rFonts w:ascii="Cambria" w:hAnsi="Cambria"/>
          <w:sz w:val="16"/>
          <w:szCs w:val="16"/>
          <w:lang w:val="es-US"/>
        </w:rPr>
        <w:t xml:space="preserve"> Honduras, 10 de marzo de 1999, </w:t>
      </w:r>
      <w:r>
        <w:rPr>
          <w:rFonts w:ascii="Cambria" w:hAnsi="Cambria"/>
          <w:sz w:val="16"/>
          <w:szCs w:val="16"/>
          <w:lang w:val="es-US"/>
        </w:rPr>
        <w:t xml:space="preserve">párr. </w:t>
      </w:r>
      <w:r w:rsidRPr="00116A43">
        <w:rPr>
          <w:rFonts w:ascii="Cambria" w:hAnsi="Cambria"/>
          <w:sz w:val="16"/>
          <w:szCs w:val="16"/>
          <w:lang w:val="es-US"/>
        </w:rPr>
        <w:t xml:space="preserve">135; CIDH, </w:t>
      </w:r>
      <w:r w:rsidRPr="003D0D74">
        <w:rPr>
          <w:rFonts w:ascii="Cambria" w:hAnsi="Cambria"/>
          <w:sz w:val="16"/>
          <w:szCs w:val="16"/>
          <w:lang w:val="es-US"/>
        </w:rPr>
        <w:t>Informe especial sobre la situación de los derechos humanos en la cárcel de Challapalca</w:t>
      </w:r>
      <w:r w:rsidRPr="0058795C">
        <w:rPr>
          <w:rFonts w:ascii="Cambria" w:hAnsi="Cambria"/>
          <w:sz w:val="16"/>
          <w:szCs w:val="16"/>
          <w:lang w:val="es-US"/>
        </w:rPr>
        <w:t xml:space="preserve">, </w:t>
      </w:r>
      <w:r w:rsidRPr="00116A43">
        <w:rPr>
          <w:rFonts w:ascii="Cambria" w:hAnsi="Cambria"/>
          <w:sz w:val="16"/>
          <w:szCs w:val="16"/>
          <w:lang w:val="es-US"/>
        </w:rPr>
        <w:t xml:space="preserve">Perú, </w:t>
      </w:r>
      <w:r>
        <w:rPr>
          <w:rFonts w:ascii="Cambria" w:hAnsi="Cambria"/>
          <w:sz w:val="16"/>
          <w:szCs w:val="16"/>
          <w:lang w:val="es-US"/>
        </w:rPr>
        <w:t>párr.</w:t>
      </w:r>
      <w:r w:rsidRPr="00116A43">
        <w:rPr>
          <w:rFonts w:ascii="Cambria" w:hAnsi="Cambria"/>
          <w:sz w:val="16"/>
          <w:szCs w:val="16"/>
          <w:lang w:val="es-US"/>
        </w:rPr>
        <w:t xml:space="preserve"> 113.</w:t>
      </w:r>
    </w:p>
  </w:footnote>
  <w:footnote w:id="153">
    <w:p w14:paraId="01EE0343" w14:textId="5CDC3F7C"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US"/>
        </w:rPr>
        <w:t xml:space="preserve"> CIDH, </w:t>
      </w:r>
      <w:r w:rsidRPr="003D0D74">
        <w:rPr>
          <w:rFonts w:ascii="Cambria" w:hAnsi="Cambria"/>
          <w:sz w:val="16"/>
          <w:szCs w:val="16"/>
          <w:lang w:val="es-US"/>
        </w:rPr>
        <w:t>Informe sobre las Personas Privadas de Libertad</w:t>
      </w:r>
      <w:r w:rsidRPr="00116A43">
        <w:rPr>
          <w:rFonts w:ascii="Cambria" w:hAnsi="Cambria"/>
          <w:sz w:val="16"/>
          <w:szCs w:val="16"/>
          <w:lang w:val="es-US"/>
        </w:rPr>
        <w:t xml:space="preserve"> (2011), </w:t>
      </w:r>
      <w:r>
        <w:rPr>
          <w:rFonts w:ascii="Cambria" w:hAnsi="Cambria"/>
          <w:sz w:val="16"/>
          <w:szCs w:val="16"/>
          <w:lang w:val="es-US"/>
        </w:rPr>
        <w:t>párr.</w:t>
      </w:r>
      <w:r w:rsidRPr="00116A43">
        <w:rPr>
          <w:rFonts w:ascii="Cambria" w:hAnsi="Cambria"/>
          <w:sz w:val="16"/>
          <w:szCs w:val="16"/>
          <w:lang w:val="es-US"/>
        </w:rPr>
        <w:t xml:space="preserve"> 57; </w:t>
      </w:r>
      <w:r w:rsidRPr="00116A43">
        <w:rPr>
          <w:rFonts w:ascii="Cambria" w:hAnsi="Cambria"/>
          <w:i/>
          <w:sz w:val="16"/>
          <w:szCs w:val="16"/>
          <w:lang w:val="es-US"/>
        </w:rPr>
        <w:t>ver también</w:t>
      </w:r>
      <w:r w:rsidRPr="00116A43">
        <w:rPr>
          <w:rFonts w:ascii="Cambria" w:hAnsi="Cambria"/>
          <w:sz w:val="16"/>
          <w:szCs w:val="16"/>
          <w:lang w:val="es-US"/>
        </w:rPr>
        <w:t xml:space="preserve"> </w:t>
      </w:r>
      <w:r>
        <w:rPr>
          <w:rFonts w:ascii="Cambria" w:hAnsi="Cambria"/>
          <w:sz w:val="16"/>
          <w:szCs w:val="16"/>
          <w:lang w:val="es-US"/>
        </w:rPr>
        <w:t xml:space="preserve">párr. </w:t>
      </w:r>
      <w:r w:rsidRPr="00116A43">
        <w:rPr>
          <w:rFonts w:ascii="Cambria" w:hAnsi="Cambria"/>
          <w:sz w:val="16"/>
          <w:szCs w:val="16"/>
          <w:lang w:val="es-US"/>
        </w:rPr>
        <w:t>349.</w:t>
      </w:r>
    </w:p>
  </w:footnote>
  <w:footnote w:id="154">
    <w:p w14:paraId="4CDBD8DB" w14:textId="087C4EBE" w:rsidR="00F640DA" w:rsidRPr="00116A43" w:rsidRDefault="00F640DA">
      <w:pPr>
        <w:pBdr>
          <w:top w:val="none" w:sz="0" w:space="0" w:color="auto"/>
          <w:left w:val="none" w:sz="0" w:space="0" w:color="auto"/>
          <w:bottom w:val="none" w:sz="0" w:space="0" w:color="auto"/>
          <w:right w:val="none" w:sz="0" w:space="0" w:color="auto"/>
        </w:pBdr>
        <w:jc w:val="both"/>
        <w:rPr>
          <w:rFonts w:ascii="Cambria" w:hAnsi="Cambria"/>
          <w:sz w:val="16"/>
          <w:szCs w:val="16"/>
        </w:rPr>
      </w:pPr>
      <w:r w:rsidRPr="00116A43">
        <w:rPr>
          <w:rFonts w:ascii="Cambria" w:hAnsi="Cambria"/>
          <w:sz w:val="16"/>
          <w:szCs w:val="16"/>
          <w:vertAlign w:val="superscript"/>
        </w:rPr>
        <w:footnoteRef/>
      </w:r>
      <w:r w:rsidRPr="00116A43">
        <w:rPr>
          <w:rFonts w:ascii="Cambria" w:hAnsi="Cambria"/>
          <w:sz w:val="16"/>
          <w:szCs w:val="16"/>
        </w:rPr>
        <w:t xml:space="preserve"> </w:t>
      </w:r>
      <w:r w:rsidRPr="00116A43">
        <w:rPr>
          <w:rFonts w:ascii="Cambria" w:hAnsi="Cambria"/>
          <w:sz w:val="16"/>
          <w:szCs w:val="16"/>
          <w:lang w:val="es-419"/>
        </w:rPr>
        <w:t xml:space="preserve">CIDH. Informe No. 29/20. </w:t>
      </w:r>
      <w:r w:rsidRPr="00116A43">
        <w:rPr>
          <w:rFonts w:ascii="Cambria" w:hAnsi="Cambria"/>
          <w:sz w:val="16"/>
          <w:szCs w:val="16"/>
          <w:lang w:val="es-MX"/>
        </w:rPr>
        <w:t xml:space="preserve">Caso 12.865. </w:t>
      </w:r>
      <w:r w:rsidRPr="00116A43">
        <w:rPr>
          <w:rFonts w:ascii="Cambria" w:hAnsi="Cambria"/>
          <w:sz w:val="16"/>
          <w:szCs w:val="16"/>
        </w:rPr>
        <w:t>Fond</w:t>
      </w:r>
      <w:r>
        <w:rPr>
          <w:rFonts w:ascii="Cambria" w:hAnsi="Cambria"/>
          <w:sz w:val="16"/>
          <w:szCs w:val="16"/>
        </w:rPr>
        <w:t>o</w:t>
      </w:r>
      <w:r w:rsidRPr="00116A43">
        <w:rPr>
          <w:rFonts w:ascii="Cambria" w:hAnsi="Cambria"/>
          <w:sz w:val="16"/>
          <w:szCs w:val="16"/>
        </w:rPr>
        <w:t xml:space="preserve">. </w:t>
      </w:r>
      <w:proofErr w:type="spellStart"/>
      <w:r w:rsidRPr="00116A43">
        <w:rPr>
          <w:rFonts w:ascii="Cambria" w:hAnsi="Cambria"/>
          <w:sz w:val="16"/>
          <w:szCs w:val="16"/>
        </w:rPr>
        <w:t>Djamel</w:t>
      </w:r>
      <w:proofErr w:type="spellEnd"/>
      <w:r w:rsidRPr="00116A43">
        <w:rPr>
          <w:rFonts w:ascii="Cambria" w:hAnsi="Cambria"/>
          <w:sz w:val="16"/>
          <w:szCs w:val="16"/>
        </w:rPr>
        <w:t xml:space="preserve"> </w:t>
      </w:r>
      <w:proofErr w:type="spellStart"/>
      <w:r w:rsidRPr="00116A43">
        <w:rPr>
          <w:rFonts w:ascii="Cambria" w:hAnsi="Cambria"/>
          <w:sz w:val="16"/>
          <w:szCs w:val="16"/>
        </w:rPr>
        <w:t>Ameziane</w:t>
      </w:r>
      <w:proofErr w:type="spellEnd"/>
      <w:r w:rsidRPr="00116A43">
        <w:rPr>
          <w:rFonts w:ascii="Cambria" w:hAnsi="Cambria"/>
          <w:sz w:val="16"/>
          <w:szCs w:val="16"/>
        </w:rPr>
        <w:t xml:space="preserve">. Estados Unidos de América, 22 de abril de 2020, párr. 143. </w:t>
      </w:r>
    </w:p>
  </w:footnote>
  <w:footnote w:id="155">
    <w:p w14:paraId="291B3083" w14:textId="37B50FB3"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12/14, Caso 12.231. Fondo. </w:t>
      </w:r>
      <w:r w:rsidRPr="00375047">
        <w:rPr>
          <w:rFonts w:ascii="Cambria" w:hAnsi="Cambria"/>
          <w:sz w:val="16"/>
          <w:szCs w:val="16"/>
          <w:lang w:val="es-US"/>
        </w:rPr>
        <w:t xml:space="preserve">Peter Cash. Commonwealth de las Bahamas. </w:t>
      </w:r>
      <w:r w:rsidRPr="00116A43">
        <w:rPr>
          <w:rFonts w:ascii="Cambria" w:hAnsi="Cambria"/>
          <w:sz w:val="16"/>
          <w:szCs w:val="16"/>
          <w:lang w:val="es-PE"/>
        </w:rPr>
        <w:t xml:space="preserve">2 de abril de 2014, párr. 98. </w:t>
      </w:r>
    </w:p>
  </w:footnote>
  <w:footnote w:id="156">
    <w:p w14:paraId="1320DB19"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w:t>
      </w:r>
      <w:r w:rsidRPr="00116A43">
        <w:rPr>
          <w:rFonts w:ascii="Cambria" w:hAnsi="Cambria"/>
          <w:sz w:val="16"/>
          <w:szCs w:val="16"/>
          <w:lang w:val="es-419"/>
        </w:rPr>
        <w:t xml:space="preserve">CIDH. Resolución 1/08. </w:t>
      </w:r>
      <w:r w:rsidRPr="00116A43">
        <w:rPr>
          <w:rFonts w:ascii="Cambria" w:hAnsi="Cambria"/>
          <w:sz w:val="16"/>
          <w:szCs w:val="16"/>
          <w:lang w:val="es-PE"/>
        </w:rPr>
        <w:t xml:space="preserve">Principios y Buenas Prácticas sobre la Protección de las Personas Privadas de Libertad en las Américas, 31 marzo 2008. </w:t>
      </w:r>
    </w:p>
  </w:footnote>
  <w:footnote w:id="157">
    <w:p w14:paraId="0D997014" w14:textId="2FE0B8BF" w:rsidR="00F640DA" w:rsidRPr="00045AAA" w:rsidRDefault="00F640DA" w:rsidP="00045AAA">
      <w:pPr>
        <w:pStyle w:val="Heading3"/>
        <w:numPr>
          <w:ilvl w:val="0"/>
          <w:numId w:val="0"/>
        </w:numPr>
        <w:rPr>
          <w:rFonts w:eastAsia="Calibri" w:cs="Calibri"/>
          <w:b w:val="0"/>
          <w:bCs w:val="0"/>
          <w:color w:val="000000"/>
          <w:sz w:val="16"/>
          <w:szCs w:val="16"/>
          <w:u w:color="000000"/>
          <w:bdr w:val="nil"/>
          <w:lang w:eastAsia="es-ES"/>
        </w:rPr>
      </w:pPr>
      <w:r w:rsidRPr="00045AAA">
        <w:rPr>
          <w:rFonts w:eastAsia="Calibri" w:cs="Calibri"/>
          <w:b w:val="0"/>
          <w:bCs w:val="0"/>
          <w:color w:val="000000"/>
          <w:sz w:val="16"/>
          <w:szCs w:val="16"/>
          <w:u w:color="000000"/>
          <w:bdr w:val="nil"/>
          <w:vertAlign w:val="superscript"/>
          <w:lang w:eastAsia="es-ES"/>
        </w:rPr>
        <w:footnoteRef/>
      </w:r>
      <w:r w:rsidRPr="00045AAA">
        <w:rPr>
          <w:rFonts w:eastAsia="Calibri" w:cs="Calibri"/>
          <w:b w:val="0"/>
          <w:bCs w:val="0"/>
          <w:color w:val="000000"/>
          <w:sz w:val="16"/>
          <w:szCs w:val="16"/>
          <w:u w:color="000000"/>
          <w:bdr w:val="nil"/>
          <w:lang w:eastAsia="es-ES"/>
        </w:rPr>
        <w:t xml:space="preserve"> CIDH. Ampliación de la MC 259/02-2013, Detenidos en la Base Militar de Estados Unidos en Guantánamo, Estados Unidos, 23 de julio de 2013. </w:t>
      </w:r>
    </w:p>
  </w:footnote>
  <w:footnote w:id="158">
    <w:p w14:paraId="3A52EC64" w14:textId="3F87A605" w:rsidR="00F640DA" w:rsidRPr="00F04C39" w:rsidRDefault="00F640DA" w:rsidP="00F04C39">
      <w:pPr>
        <w:jc w:val="both"/>
        <w:rPr>
          <w:rFonts w:ascii="Cambria" w:hAnsi="Cambria"/>
          <w:sz w:val="16"/>
          <w:szCs w:val="16"/>
        </w:rPr>
      </w:pPr>
      <w:r w:rsidRPr="00116A43">
        <w:rPr>
          <w:rStyle w:val="FootnoteReference"/>
          <w:rFonts w:ascii="Cambria" w:hAnsi="Cambria"/>
          <w:sz w:val="16"/>
          <w:szCs w:val="16"/>
        </w:rPr>
        <w:footnoteRef/>
      </w:r>
      <w:r w:rsidRPr="00116A43">
        <w:rPr>
          <w:rFonts w:ascii="Cambria" w:hAnsi="Cambria"/>
          <w:sz w:val="16"/>
          <w:szCs w:val="16"/>
          <w:lang w:val="es-PE"/>
        </w:rPr>
        <w:t xml:space="preserve"> Comité Internacional de la Cruz Roja (CICR). </w:t>
      </w:r>
      <w:hyperlink r:id="rId50" w:history="1">
        <w:r w:rsidRPr="00116A43">
          <w:rPr>
            <w:rStyle w:val="Hyperlink"/>
            <w:rFonts w:ascii="Cambria" w:hAnsi="Cambria"/>
            <w:sz w:val="16"/>
            <w:szCs w:val="16"/>
            <w:lang w:val="es-PE"/>
          </w:rPr>
          <w:t>Protección de las personas privadas de libertad.</w:t>
        </w:r>
      </w:hyperlink>
      <w:r w:rsidRPr="00116A43">
        <w:rPr>
          <w:rFonts w:ascii="Cambria" w:hAnsi="Cambria"/>
          <w:sz w:val="16"/>
          <w:szCs w:val="16"/>
          <w:lang w:val="es-PE"/>
        </w:rPr>
        <w:t xml:space="preserve"> Diciembre de 2016, pág. 42.</w:t>
      </w:r>
      <w:r>
        <w:rPr>
          <w:rFonts w:ascii="Cambria" w:hAnsi="Cambria"/>
          <w:sz w:val="16"/>
          <w:szCs w:val="16"/>
          <w:lang w:val="es-PE"/>
        </w:rPr>
        <w:t xml:space="preserve"> Véase también por ejemplo, Corte IDH. </w:t>
      </w:r>
      <w:r w:rsidRPr="00F751BF">
        <w:rPr>
          <w:rFonts w:ascii="Cambria" w:hAnsi="Cambria" w:cs="Open Sans"/>
          <w:i/>
          <w:sz w:val="16"/>
          <w:szCs w:val="16"/>
          <w:shd w:val="clear" w:color="auto" w:fill="FFFFFF"/>
          <w:lang w:val="es-PE"/>
        </w:rPr>
        <w:t>Caso J. Vs. Perú.</w:t>
      </w:r>
      <w:r w:rsidRPr="00F751BF">
        <w:rPr>
          <w:rFonts w:ascii="Cambria" w:hAnsi="Cambria" w:cs="Open Sans"/>
          <w:sz w:val="16"/>
          <w:szCs w:val="16"/>
          <w:shd w:val="clear" w:color="auto" w:fill="FFFFFF"/>
          <w:lang w:val="es-PE"/>
        </w:rPr>
        <w:t xml:space="preserve"> Excepción Preliminar, Fondo, Reparaciones y Costas. </w:t>
      </w:r>
      <w:r w:rsidRPr="00F751BF">
        <w:rPr>
          <w:rFonts w:ascii="Cambria" w:hAnsi="Cambria" w:cs="Open Sans"/>
          <w:sz w:val="16"/>
          <w:szCs w:val="16"/>
          <w:shd w:val="clear" w:color="auto" w:fill="FFFFFF"/>
        </w:rPr>
        <w:t>Sentencia de 27 de noviembre de 2013. Serie C No. 275</w:t>
      </w:r>
      <w:r>
        <w:rPr>
          <w:rFonts w:ascii="Cambria" w:hAnsi="Cambria" w:cs="Open Sans"/>
          <w:sz w:val="16"/>
          <w:szCs w:val="16"/>
          <w:shd w:val="clear" w:color="auto" w:fill="FFFFFF"/>
        </w:rPr>
        <w:t xml:space="preserve">; </w:t>
      </w:r>
      <w:r w:rsidRPr="00F751BF">
        <w:rPr>
          <w:rFonts w:ascii="Cambria" w:hAnsi="Cambria" w:cs="Open Sans"/>
          <w:i/>
          <w:sz w:val="16"/>
          <w:szCs w:val="16"/>
          <w:shd w:val="clear" w:color="auto" w:fill="FFFFFF"/>
          <w:lang w:val="es-PE"/>
        </w:rPr>
        <w:t>Caso Espinoza Gonzáles Vs. Perú</w:t>
      </w:r>
      <w:r w:rsidRPr="00F751BF">
        <w:rPr>
          <w:rFonts w:ascii="Cambria" w:hAnsi="Cambria" w:cs="Open Sans"/>
          <w:sz w:val="16"/>
          <w:szCs w:val="16"/>
          <w:shd w:val="clear" w:color="auto" w:fill="FFFFFF"/>
          <w:lang w:val="es-PE"/>
        </w:rPr>
        <w:t xml:space="preserve">. Excepciones Preliminares, Fondo, Reparaciones y Costas. </w:t>
      </w:r>
      <w:r w:rsidRPr="00F751BF">
        <w:rPr>
          <w:rFonts w:ascii="Cambria" w:hAnsi="Cambria" w:cs="Open Sans"/>
          <w:sz w:val="16"/>
          <w:szCs w:val="16"/>
          <w:shd w:val="clear" w:color="auto" w:fill="FFFFFF"/>
        </w:rPr>
        <w:t>Sentencia de 20 de noviembre de 2014. Serie C No. 289</w:t>
      </w:r>
      <w:r>
        <w:rPr>
          <w:rFonts w:ascii="Cambria" w:hAnsi="Cambria" w:cs="Open Sans"/>
          <w:sz w:val="16"/>
          <w:szCs w:val="16"/>
          <w:shd w:val="clear" w:color="auto" w:fill="FFFFFF"/>
        </w:rPr>
        <w:t xml:space="preserve">, y </w:t>
      </w:r>
      <w:r w:rsidRPr="00CA5407">
        <w:rPr>
          <w:rFonts w:ascii="Cambria" w:hAnsi="Cambria" w:cs="Open Sans"/>
          <w:i/>
          <w:sz w:val="16"/>
          <w:szCs w:val="16"/>
          <w:shd w:val="clear" w:color="auto" w:fill="FFFFFF"/>
          <w:lang w:val="es-PE"/>
        </w:rPr>
        <w:t>Caso Mujeres Víctimas de Tortura Sexual en Atenco Vs. México.</w:t>
      </w:r>
      <w:r w:rsidRPr="00CA5407">
        <w:rPr>
          <w:rFonts w:ascii="Cambria" w:hAnsi="Cambria" w:cs="Open Sans"/>
          <w:sz w:val="16"/>
          <w:szCs w:val="16"/>
          <w:shd w:val="clear" w:color="auto" w:fill="FFFFFF"/>
          <w:lang w:val="es-PE"/>
        </w:rPr>
        <w:t xml:space="preserve"> Excepción Preliminar, Fondo, Reparaciones y Costas. </w:t>
      </w:r>
      <w:r w:rsidRPr="00CA5407">
        <w:rPr>
          <w:rFonts w:ascii="Cambria" w:hAnsi="Cambria" w:cs="Open Sans"/>
          <w:sz w:val="16"/>
          <w:szCs w:val="16"/>
          <w:shd w:val="clear" w:color="auto" w:fill="FFFFFF"/>
        </w:rPr>
        <w:t>Sentencia de 28 de noviembre de 2018. Serie C No. 371</w:t>
      </w:r>
      <w:r>
        <w:rPr>
          <w:rFonts w:ascii="Cambria" w:hAnsi="Cambria" w:cs="Open Sans"/>
          <w:sz w:val="16"/>
          <w:szCs w:val="16"/>
          <w:shd w:val="clear" w:color="auto" w:fill="FFFFFF"/>
        </w:rPr>
        <w:t>.</w:t>
      </w:r>
    </w:p>
  </w:footnote>
  <w:footnote w:id="159">
    <w:p w14:paraId="4E1E35D7" w14:textId="7561580A" w:rsidR="00F640DA" w:rsidRPr="00116A43" w:rsidRDefault="00F640DA" w:rsidP="00116A43">
      <w:pPr>
        <w:pStyle w:val="FootnoteText"/>
        <w:jc w:val="both"/>
        <w:rPr>
          <w:rFonts w:ascii="Cambria" w:hAnsi="Cambria"/>
          <w:sz w:val="16"/>
          <w:szCs w:val="16"/>
          <w:lang w:val="es-ES"/>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hyperlink r:id="rId51" w:history="1">
        <w:r w:rsidRPr="00116A43">
          <w:rPr>
            <w:rStyle w:val="Hyperlink"/>
            <w:rFonts w:ascii="Cambria" w:hAnsi="Cambria"/>
            <w:sz w:val="16"/>
            <w:szCs w:val="16"/>
            <w:lang w:val="es-PE"/>
          </w:rPr>
          <w:t>Principios y Buenas Prácticas sobre la Protección de las Personas Privadas de Libertad en las Américas. 2008</w:t>
        </w:r>
      </w:hyperlink>
      <w:r w:rsidRPr="00116A43">
        <w:rPr>
          <w:rFonts w:ascii="Cambria" w:hAnsi="Cambria"/>
          <w:sz w:val="16"/>
          <w:szCs w:val="16"/>
          <w:lang w:val="es-PE"/>
        </w:rPr>
        <w:t>. Principio XX.</w:t>
      </w:r>
    </w:p>
  </w:footnote>
  <w:footnote w:id="160">
    <w:p w14:paraId="4884B14D" w14:textId="7F87B6D4"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hyperlink r:id="rId52" w:history="1">
        <w:r w:rsidRPr="00116A43">
          <w:rPr>
            <w:rStyle w:val="Hyperlink"/>
            <w:rFonts w:ascii="Cambria" w:hAnsi="Cambria"/>
            <w:sz w:val="16"/>
            <w:szCs w:val="16"/>
            <w:lang w:val="es-PE"/>
          </w:rPr>
          <w:t>Principios y Buenas Prácticas sobre la Protección de las Personas Privadas de Libertad en las Américas. 2008</w:t>
        </w:r>
      </w:hyperlink>
      <w:r w:rsidRPr="00116A43">
        <w:rPr>
          <w:rFonts w:ascii="Cambria" w:hAnsi="Cambria"/>
          <w:sz w:val="16"/>
          <w:szCs w:val="16"/>
          <w:lang w:val="es-PE"/>
        </w:rPr>
        <w:t>. Preámbulo.</w:t>
      </w:r>
    </w:p>
  </w:footnote>
  <w:footnote w:id="161">
    <w:p w14:paraId="66DB9C17" w14:textId="6C31B713" w:rsidR="00F640DA" w:rsidRPr="00F33056" w:rsidRDefault="00F640DA" w:rsidP="00F33056">
      <w:pPr>
        <w:pStyle w:val="FootnoteText"/>
        <w:jc w:val="both"/>
        <w:rPr>
          <w:rFonts w:ascii="Cambria" w:hAnsi="Cambria"/>
          <w:sz w:val="16"/>
          <w:szCs w:val="16"/>
          <w:lang w:val="es-PE"/>
        </w:rPr>
      </w:pPr>
      <w:r w:rsidRPr="00F33056">
        <w:rPr>
          <w:rStyle w:val="FootnoteReference"/>
          <w:rFonts w:ascii="Cambria" w:hAnsi="Cambria"/>
          <w:sz w:val="16"/>
          <w:szCs w:val="16"/>
        </w:rPr>
        <w:footnoteRef/>
      </w:r>
      <w:r w:rsidRPr="00F33056">
        <w:rPr>
          <w:rFonts w:ascii="Cambria" w:hAnsi="Cambria"/>
          <w:sz w:val="16"/>
          <w:szCs w:val="16"/>
          <w:lang w:val="es-PE"/>
        </w:rPr>
        <w:t xml:space="preserve"> Comité para la Eliminación de la Discriminación contra la Mujer (CEDAW). </w:t>
      </w:r>
      <w:hyperlink r:id="rId53" w:history="1">
        <w:r w:rsidRPr="00F33056">
          <w:rPr>
            <w:rStyle w:val="Hyperlink"/>
            <w:rFonts w:ascii="Cambria" w:hAnsi="Cambria"/>
            <w:sz w:val="16"/>
            <w:szCs w:val="16"/>
            <w:lang w:val="es-PE"/>
          </w:rPr>
          <w:t xml:space="preserve">Recomendación General No. 35 “Sobre la violencia por razón de género contra la mujer, por la que se actualiza la recomendación general </w:t>
        </w:r>
        <w:proofErr w:type="spellStart"/>
        <w:r w:rsidRPr="00F33056">
          <w:rPr>
            <w:rStyle w:val="Hyperlink"/>
            <w:rFonts w:ascii="Cambria" w:hAnsi="Cambria"/>
            <w:sz w:val="16"/>
            <w:szCs w:val="16"/>
            <w:lang w:val="es-PE"/>
          </w:rPr>
          <w:t>num</w:t>
        </w:r>
        <w:proofErr w:type="spellEnd"/>
        <w:r w:rsidRPr="00F33056">
          <w:rPr>
            <w:rStyle w:val="Hyperlink"/>
            <w:rFonts w:ascii="Cambria" w:hAnsi="Cambria"/>
            <w:sz w:val="16"/>
            <w:szCs w:val="16"/>
            <w:lang w:val="es-PE"/>
          </w:rPr>
          <w:t>. 19”.</w:t>
        </w:r>
      </w:hyperlink>
      <w:r w:rsidRPr="00F33056">
        <w:rPr>
          <w:rFonts w:ascii="Cambria" w:hAnsi="Cambria"/>
          <w:sz w:val="16"/>
          <w:szCs w:val="16"/>
          <w:lang w:val="es-PE"/>
        </w:rPr>
        <w:t xml:space="preserve"> CEDAW/C/GC/35. 26 de julio de 2017, párrs. 2 y 21.</w:t>
      </w:r>
    </w:p>
  </w:footnote>
  <w:footnote w:id="162">
    <w:p w14:paraId="5951615C" w14:textId="7815B99B" w:rsidR="00F640DA" w:rsidRPr="00F33056" w:rsidRDefault="00F640DA" w:rsidP="00F33056">
      <w:pPr>
        <w:pStyle w:val="FootnoteText"/>
        <w:jc w:val="both"/>
        <w:rPr>
          <w:rFonts w:ascii="Cambria" w:hAnsi="Cambria"/>
          <w:sz w:val="16"/>
          <w:szCs w:val="16"/>
          <w:lang w:val="es-PE"/>
        </w:rPr>
      </w:pPr>
      <w:r w:rsidRPr="00F33056">
        <w:rPr>
          <w:rStyle w:val="FootnoteReference"/>
          <w:rFonts w:ascii="Cambria" w:hAnsi="Cambria"/>
          <w:sz w:val="16"/>
          <w:szCs w:val="16"/>
        </w:rPr>
        <w:footnoteRef/>
      </w:r>
      <w:r w:rsidRPr="00F33056">
        <w:rPr>
          <w:rFonts w:ascii="Cambria" w:hAnsi="Cambria"/>
          <w:sz w:val="16"/>
          <w:szCs w:val="16"/>
          <w:lang w:val="es-PE"/>
        </w:rPr>
        <w:t xml:space="preserve"> Comité para la Eliminación de la Discriminación contra la Mujer (CEDAW). </w:t>
      </w:r>
      <w:hyperlink r:id="rId54" w:history="1">
        <w:r w:rsidRPr="00F33056">
          <w:rPr>
            <w:rStyle w:val="Hyperlink"/>
            <w:rFonts w:ascii="Cambria" w:hAnsi="Cambria"/>
            <w:sz w:val="16"/>
            <w:szCs w:val="16"/>
            <w:lang w:val="es-PE"/>
          </w:rPr>
          <w:t>Recomendación General No. 19 “La violencia contra la mujer”.</w:t>
        </w:r>
      </w:hyperlink>
      <w:r w:rsidRPr="00F33056">
        <w:rPr>
          <w:rFonts w:ascii="Cambria" w:hAnsi="Cambria"/>
          <w:sz w:val="16"/>
          <w:szCs w:val="16"/>
          <w:lang w:val="es-PE"/>
        </w:rPr>
        <w:t xml:space="preserve"> Doc. HRI/GEN/1/Rev. 1at 84 (1992), párr. 6, y </w:t>
      </w:r>
      <w:hyperlink r:id="rId55" w:history="1">
        <w:r w:rsidRPr="00F33056">
          <w:rPr>
            <w:rStyle w:val="Hyperlink"/>
            <w:rFonts w:ascii="Cambria" w:hAnsi="Cambria"/>
            <w:sz w:val="16"/>
            <w:szCs w:val="16"/>
            <w:lang w:val="es-PE"/>
          </w:rPr>
          <w:t xml:space="preserve">Recomendación General No. 35 “Sobre la violencia por razón de género contra la mujer, por la que se actualiza la recomendación general </w:t>
        </w:r>
        <w:proofErr w:type="spellStart"/>
        <w:r w:rsidRPr="00F33056">
          <w:rPr>
            <w:rStyle w:val="Hyperlink"/>
            <w:rFonts w:ascii="Cambria" w:hAnsi="Cambria"/>
            <w:sz w:val="16"/>
            <w:szCs w:val="16"/>
            <w:lang w:val="es-PE"/>
          </w:rPr>
          <w:t>num</w:t>
        </w:r>
        <w:proofErr w:type="spellEnd"/>
        <w:r w:rsidRPr="00F33056">
          <w:rPr>
            <w:rStyle w:val="Hyperlink"/>
            <w:rFonts w:ascii="Cambria" w:hAnsi="Cambria"/>
            <w:sz w:val="16"/>
            <w:szCs w:val="16"/>
            <w:lang w:val="es-PE"/>
          </w:rPr>
          <w:t>. 19”.</w:t>
        </w:r>
      </w:hyperlink>
      <w:r w:rsidRPr="00F33056">
        <w:rPr>
          <w:rFonts w:ascii="Cambria" w:hAnsi="Cambria"/>
          <w:sz w:val="16"/>
          <w:szCs w:val="16"/>
          <w:lang w:val="es-PE"/>
        </w:rPr>
        <w:t xml:space="preserve"> CEDAW/C/GC/35. 26 de julio de 2017, párr. 1.</w:t>
      </w:r>
    </w:p>
  </w:footnote>
  <w:footnote w:id="163">
    <w:p w14:paraId="05C519BE" w14:textId="7400AA85" w:rsidR="00F640DA" w:rsidRPr="00F04C39" w:rsidRDefault="00F640DA" w:rsidP="00F04C39">
      <w:pPr>
        <w:pStyle w:val="FootnoteText"/>
        <w:jc w:val="both"/>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F04C39">
        <w:rPr>
          <w:rFonts w:ascii="Cambria" w:hAnsi="Cambria"/>
          <w:sz w:val="16"/>
          <w:szCs w:val="16"/>
          <w:lang w:val="es-AR"/>
        </w:rPr>
        <w:t xml:space="preserve">CIDH, Informe No. 28/07, Casos 12.496-12.498, </w:t>
      </w:r>
      <w:r w:rsidRPr="00F04C39">
        <w:rPr>
          <w:rFonts w:ascii="Cambria" w:hAnsi="Cambria"/>
          <w:i/>
          <w:sz w:val="16"/>
          <w:szCs w:val="16"/>
          <w:lang w:val="es-AR"/>
        </w:rPr>
        <w:t>Claudia Ivette González y otros</w:t>
      </w:r>
      <w:r w:rsidRPr="00F04C39">
        <w:rPr>
          <w:rFonts w:ascii="Cambria" w:hAnsi="Cambria"/>
          <w:sz w:val="16"/>
          <w:szCs w:val="16"/>
          <w:lang w:val="es-AR"/>
        </w:rPr>
        <w:t xml:space="preserve">, (México), 9 de marzo de 2007, e </w:t>
      </w:r>
      <w:r w:rsidRPr="00644687">
        <w:rPr>
          <w:rFonts w:ascii="Cambria" w:hAnsi="Cambria"/>
          <w:sz w:val="16"/>
          <w:szCs w:val="16"/>
          <w:lang w:val="es-US"/>
        </w:rPr>
        <w:t xml:space="preserve">Informe No. 80/11. Caso No. 12.626. </w:t>
      </w:r>
      <w:r w:rsidRPr="00F33056">
        <w:rPr>
          <w:rFonts w:ascii="Cambria" w:hAnsi="Cambria"/>
          <w:sz w:val="16"/>
          <w:szCs w:val="16"/>
          <w:lang w:val="es-PE"/>
        </w:rPr>
        <w:t>Fondo. Jessica Lenahan (González)</w:t>
      </w:r>
      <w:r w:rsidRPr="00F91ADA">
        <w:rPr>
          <w:rFonts w:ascii="Cambria" w:hAnsi="Cambria"/>
          <w:sz w:val="16"/>
          <w:szCs w:val="16"/>
          <w:lang w:val="es-PE"/>
        </w:rPr>
        <w:t xml:space="preserve"> y otros. Estados Unidos. 21 de julio de 2011, párr. 110.</w:t>
      </w:r>
    </w:p>
  </w:footnote>
  <w:footnote w:id="164">
    <w:p w14:paraId="5A499DF2" w14:textId="14CD6A1B" w:rsidR="00F640DA" w:rsidRPr="00F04C39" w:rsidRDefault="00F640DA" w:rsidP="00F04C39">
      <w:pPr>
        <w:pStyle w:val="FootnoteText"/>
        <w:jc w:val="both"/>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F33056">
        <w:rPr>
          <w:rFonts w:ascii="Cambria" w:hAnsi="Cambria"/>
          <w:color w:val="auto"/>
          <w:spacing w:val="-4"/>
          <w:sz w:val="16"/>
          <w:szCs w:val="16"/>
          <w:lang w:val="es-ES"/>
        </w:rPr>
        <w:t xml:space="preserve">Corte IDH. </w:t>
      </w:r>
      <w:r w:rsidRPr="00F33056">
        <w:rPr>
          <w:rFonts w:ascii="Cambria" w:hAnsi="Cambria" w:cs="Open Sans"/>
          <w:color w:val="auto"/>
          <w:sz w:val="16"/>
          <w:szCs w:val="16"/>
          <w:shd w:val="clear" w:color="auto" w:fill="FFFFFF"/>
          <w:lang w:val="es-PE"/>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w:t>
      </w:r>
      <w:r w:rsidRPr="00F91ADA">
        <w:rPr>
          <w:rFonts w:ascii="Cambria" w:hAnsi="Cambria" w:cs="Open Sans"/>
          <w:color w:val="auto"/>
          <w:sz w:val="16"/>
          <w:szCs w:val="16"/>
          <w:shd w:val="clear" w:color="auto" w:fill="FFFFFF"/>
          <w:lang w:val="es-PE"/>
        </w:rPr>
        <w:t>ana sobre Derechos Humanos). Opinión Consultiva OC-24/17 de 24 de noviembre de 2017. Serie A No. 24</w:t>
      </w:r>
      <w:r w:rsidRPr="00F91ADA">
        <w:rPr>
          <w:rFonts w:ascii="Cambria" w:hAnsi="Cambria" w:cs="Open Sans"/>
          <w:sz w:val="16"/>
          <w:szCs w:val="16"/>
          <w:shd w:val="clear" w:color="auto" w:fill="FFFFFF"/>
          <w:lang w:val="es-PE"/>
        </w:rPr>
        <w:t xml:space="preserve">, párr. 61. </w:t>
      </w:r>
      <w:r w:rsidRPr="00F91ADA">
        <w:rPr>
          <w:rFonts w:ascii="Cambria" w:hAnsi="Cambria"/>
          <w:color w:val="auto"/>
          <w:sz w:val="16"/>
          <w:szCs w:val="16"/>
          <w:lang w:val="es-CO"/>
        </w:rPr>
        <w:t>CIDH.</w:t>
      </w:r>
      <w:r w:rsidRPr="00F91ADA">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F91ADA">
        <w:rPr>
          <w:rFonts w:ascii="Cambria" w:hAnsi="Cambria"/>
          <w:sz w:val="16"/>
          <w:szCs w:val="16"/>
          <w:lang w:val="es-PE"/>
        </w:rPr>
        <w:t>Fondo. Jessica Lenahan (González) y otros. Estados Unidos. 21 de julio de 2011, párr. 107.</w:t>
      </w:r>
    </w:p>
  </w:footnote>
  <w:footnote w:id="165">
    <w:p w14:paraId="79B305D3" w14:textId="574CFBBE" w:rsidR="00F640DA" w:rsidRPr="00F04C39" w:rsidRDefault="00F640DA" w:rsidP="00F04C39">
      <w:pPr>
        <w:pStyle w:val="FootnoteText"/>
        <w:jc w:val="both"/>
        <w:rPr>
          <w:rFonts w:ascii="Cambria" w:hAnsi="Cambria" w:cs="Arial"/>
          <w:sz w:val="16"/>
          <w:szCs w:val="16"/>
          <w:lang w:val="es-UY"/>
        </w:rPr>
      </w:pPr>
      <w:r w:rsidRPr="00F04C39">
        <w:rPr>
          <w:rStyle w:val="FootnoteReference"/>
          <w:rFonts w:ascii="Cambria" w:hAnsi="Cambria" w:cs="Arial"/>
          <w:sz w:val="16"/>
          <w:szCs w:val="16"/>
          <w:lang w:val="es-UY"/>
        </w:rPr>
        <w:footnoteRef/>
      </w:r>
      <w:r w:rsidRPr="00F04C39">
        <w:rPr>
          <w:rFonts w:ascii="Cambria" w:hAnsi="Cambria" w:cs="Arial"/>
          <w:sz w:val="16"/>
          <w:szCs w:val="16"/>
          <w:lang w:val="es-UY"/>
        </w:rPr>
        <w:t xml:space="preserve"> </w:t>
      </w:r>
      <w:r w:rsidRPr="00F33056">
        <w:rPr>
          <w:rFonts w:ascii="Cambria" w:hAnsi="Cambria"/>
          <w:color w:val="auto"/>
          <w:sz w:val="16"/>
          <w:szCs w:val="16"/>
          <w:lang w:val="es-CO"/>
        </w:rPr>
        <w:t>CIDH.</w:t>
      </w:r>
      <w:r w:rsidRPr="00F33056">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F33056">
        <w:rPr>
          <w:rFonts w:ascii="Cambria" w:hAnsi="Cambria"/>
          <w:sz w:val="16"/>
          <w:szCs w:val="16"/>
          <w:lang w:val="es-PE"/>
        </w:rPr>
        <w:t>Fondo. Jessica Lenahan (González) y otros. Estados Unidos. 21 de julio de 2011, párr.</w:t>
      </w:r>
      <w:r w:rsidRPr="00F91ADA">
        <w:rPr>
          <w:rFonts w:ascii="Cambria" w:hAnsi="Cambria"/>
          <w:sz w:val="16"/>
          <w:szCs w:val="16"/>
          <w:lang w:val="es-PE"/>
        </w:rPr>
        <w:t xml:space="preserve"> 110.</w:t>
      </w:r>
    </w:p>
  </w:footnote>
  <w:footnote w:id="166">
    <w:p w14:paraId="5C913AC2" w14:textId="16380CE3" w:rsidR="00F640DA" w:rsidRPr="00F04C39" w:rsidRDefault="00F640DA" w:rsidP="00F04C39">
      <w:pPr>
        <w:pStyle w:val="FootnoteText"/>
        <w:jc w:val="both"/>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F33056">
        <w:rPr>
          <w:rFonts w:ascii="Cambria" w:hAnsi="Cambria"/>
          <w:color w:val="auto"/>
          <w:sz w:val="16"/>
          <w:szCs w:val="16"/>
          <w:lang w:val="es-CO"/>
        </w:rPr>
        <w:t>CIDH.</w:t>
      </w:r>
      <w:r w:rsidRPr="00F33056">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F33056">
        <w:rPr>
          <w:rFonts w:ascii="Cambria" w:hAnsi="Cambria"/>
          <w:sz w:val="16"/>
          <w:szCs w:val="16"/>
          <w:lang w:val="es-PE"/>
        </w:rPr>
        <w:t xml:space="preserve">Fondo. Jessica Lenahan (González) y otros. Estados Unidos. 21 de julio de 2011, párrs. 123 y 124. En este sentido, el sistema interamericano </w:t>
      </w:r>
      <w:r w:rsidRPr="00F91ADA">
        <w:rPr>
          <w:rFonts w:ascii="Cambria" w:hAnsi="Cambria"/>
          <w:sz w:val="16"/>
          <w:szCs w:val="16"/>
          <w:lang w:val="es-PE"/>
        </w:rPr>
        <w:t xml:space="preserve">cuenta con la </w:t>
      </w:r>
      <w:r w:rsidRPr="00F04C39">
        <w:rPr>
          <w:rFonts w:ascii="Cambria" w:hAnsi="Cambria"/>
          <w:bCs/>
          <w:sz w:val="16"/>
          <w:szCs w:val="16"/>
          <w:lang w:val="es-UY"/>
        </w:rPr>
        <w:t>Convención Interamericana para Prevenir, Sancionar y Erradicar la Violencia contra la Mujer (“Convención de Belém do Pará”</w:t>
      </w:r>
      <w:r w:rsidRPr="00F04C39">
        <w:rPr>
          <w:rFonts w:ascii="Cambria" w:hAnsi="Cambria"/>
          <w:sz w:val="16"/>
          <w:szCs w:val="16"/>
          <w:lang w:val="es-UY"/>
        </w:rPr>
        <w:t>)</w:t>
      </w:r>
      <w:r w:rsidRPr="00F33056">
        <w:rPr>
          <w:rFonts w:ascii="Cambria" w:hAnsi="Cambria"/>
          <w:sz w:val="16"/>
          <w:szCs w:val="16"/>
          <w:lang w:val="es-UY"/>
        </w:rPr>
        <w:t xml:space="preserve"> adoptada el 9 de junio de 1994, en vigencia desde el 5 de marzo de 1995. Esta Convención ha sido</w:t>
      </w:r>
      <w:r w:rsidRPr="00F04C39">
        <w:rPr>
          <w:rFonts w:ascii="Cambria" w:hAnsi="Cambria"/>
          <w:sz w:val="16"/>
          <w:szCs w:val="16"/>
          <w:lang w:val="es-UY"/>
        </w:rPr>
        <w:t xml:space="preserve"> ratificada por 32 de los 35 Estados partes de la OEA. </w:t>
      </w:r>
      <w:r w:rsidRPr="00F33056">
        <w:rPr>
          <w:rFonts w:ascii="Cambria" w:hAnsi="Cambria"/>
          <w:sz w:val="16"/>
          <w:szCs w:val="16"/>
          <w:lang w:val="es-UY"/>
        </w:rPr>
        <w:t>Cuba no es Estado parte de</w:t>
      </w:r>
      <w:r w:rsidRPr="00F04C39">
        <w:rPr>
          <w:rFonts w:ascii="Cambria" w:hAnsi="Cambria"/>
          <w:sz w:val="16"/>
          <w:szCs w:val="16"/>
          <w:lang w:val="es-UY"/>
        </w:rPr>
        <w:t xml:space="preserve"> esta Convención.</w:t>
      </w:r>
    </w:p>
  </w:footnote>
  <w:footnote w:id="167">
    <w:p w14:paraId="7093A4A0" w14:textId="0BC9E35C" w:rsidR="00F640DA" w:rsidRPr="00644687" w:rsidRDefault="00F640DA" w:rsidP="00F04C39">
      <w:pPr>
        <w:pStyle w:val="FootnoteText"/>
        <w:jc w:val="both"/>
        <w:rPr>
          <w:rFonts w:ascii="Cambria" w:hAnsi="Cambria"/>
          <w:sz w:val="16"/>
          <w:szCs w:val="16"/>
          <w:lang w:val="pt-BR"/>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F33056">
        <w:rPr>
          <w:rFonts w:ascii="Cambria" w:hAnsi="Cambria"/>
          <w:sz w:val="16"/>
          <w:szCs w:val="16"/>
          <w:lang w:val="es-PE"/>
        </w:rPr>
        <w:t xml:space="preserve">Comité para la Eliminación de la Discriminación contra la Mujer (CEDAW). </w:t>
      </w:r>
      <w:hyperlink r:id="rId56" w:history="1">
        <w:r w:rsidRPr="00F33056">
          <w:rPr>
            <w:rStyle w:val="Hyperlink"/>
            <w:rFonts w:ascii="Cambria" w:hAnsi="Cambria"/>
            <w:sz w:val="16"/>
            <w:szCs w:val="16"/>
            <w:lang w:val="es-PE"/>
          </w:rPr>
          <w:t>Recomendación General No. 35 “Sobre la violencia por razón de género contra la mujer, por la que se actualiza la recomendación general num. 19”.</w:t>
        </w:r>
      </w:hyperlink>
      <w:r w:rsidRPr="00F33056">
        <w:rPr>
          <w:rFonts w:ascii="Cambria" w:hAnsi="Cambria"/>
          <w:sz w:val="16"/>
          <w:szCs w:val="16"/>
          <w:lang w:val="es-PE"/>
        </w:rPr>
        <w:t xml:space="preserve"> </w:t>
      </w:r>
      <w:r w:rsidRPr="00644687">
        <w:rPr>
          <w:rFonts w:ascii="Cambria" w:hAnsi="Cambria"/>
          <w:sz w:val="16"/>
          <w:szCs w:val="16"/>
          <w:lang w:val="pt-BR"/>
        </w:rPr>
        <w:t>CEDAW/C/GC/35. 26 de julio de 2017, párr. 2.</w:t>
      </w:r>
    </w:p>
  </w:footnote>
  <w:footnote w:id="168">
    <w:p w14:paraId="227547FB" w14:textId="10F754B1" w:rsidR="00F640DA" w:rsidRPr="00F04C39" w:rsidRDefault="00F640DA" w:rsidP="00F04C39">
      <w:pPr>
        <w:pStyle w:val="FootnoteText"/>
        <w:jc w:val="both"/>
        <w:rPr>
          <w:rFonts w:ascii="Cambria" w:hAnsi="Cambria"/>
          <w:sz w:val="16"/>
          <w:szCs w:val="16"/>
          <w:lang w:val="es-UY"/>
        </w:rPr>
      </w:pPr>
      <w:r w:rsidRPr="00F04C39">
        <w:rPr>
          <w:rStyle w:val="FootnoteReference"/>
          <w:rFonts w:ascii="Cambria" w:hAnsi="Cambria"/>
          <w:sz w:val="16"/>
          <w:szCs w:val="16"/>
          <w:lang w:val="es-UY"/>
        </w:rPr>
        <w:footnoteRef/>
      </w:r>
      <w:r w:rsidRPr="00644687">
        <w:rPr>
          <w:rFonts w:ascii="Cambria" w:hAnsi="Cambria"/>
          <w:sz w:val="16"/>
          <w:szCs w:val="16"/>
          <w:lang w:val="pt-BR"/>
        </w:rPr>
        <w:t xml:space="preserve"> </w:t>
      </w:r>
      <w:r w:rsidRPr="00644687">
        <w:rPr>
          <w:rFonts w:ascii="Cambria" w:hAnsi="Cambria"/>
          <w:color w:val="auto"/>
          <w:sz w:val="16"/>
          <w:szCs w:val="16"/>
          <w:lang w:val="pt-BR"/>
        </w:rPr>
        <w:t>CIDH.</w:t>
      </w:r>
      <w:r w:rsidRPr="00644687">
        <w:rPr>
          <w:rFonts w:ascii="Cambria" w:hAnsi="Cambria"/>
          <w:sz w:val="16"/>
          <w:szCs w:val="16"/>
          <w:lang w:val="pt-BR"/>
        </w:rPr>
        <w:t xml:space="preserve"> </w:t>
      </w:r>
      <w:r w:rsidRPr="00F33056">
        <w:rPr>
          <w:rFonts w:ascii="Cambria" w:hAnsi="Cambria"/>
          <w:sz w:val="16"/>
          <w:szCs w:val="16"/>
          <w:lang w:val="pt-BR"/>
        </w:rPr>
        <w:t xml:space="preserve">Informe No. 80/11. </w:t>
      </w:r>
      <w:r w:rsidRPr="00644687">
        <w:rPr>
          <w:rFonts w:ascii="Cambria" w:hAnsi="Cambria"/>
          <w:sz w:val="16"/>
          <w:szCs w:val="16"/>
          <w:lang w:val="es-US"/>
        </w:rPr>
        <w:t xml:space="preserve">Caso No. 12.626. </w:t>
      </w:r>
      <w:r w:rsidRPr="00F33056">
        <w:rPr>
          <w:rFonts w:ascii="Cambria" w:hAnsi="Cambria"/>
          <w:sz w:val="16"/>
          <w:szCs w:val="16"/>
          <w:lang w:val="es-PE"/>
        </w:rPr>
        <w:t>Fondo. Jessica Lenahan (González) y otros. Estados Unidos. 21 de julio de 2011, párr</w:t>
      </w:r>
      <w:r w:rsidRPr="00F91ADA">
        <w:rPr>
          <w:rFonts w:ascii="Cambria" w:hAnsi="Cambria"/>
          <w:sz w:val="16"/>
          <w:szCs w:val="16"/>
          <w:lang w:val="es-PE"/>
        </w:rPr>
        <w:t>. 118.</w:t>
      </w:r>
    </w:p>
  </w:footnote>
  <w:footnote w:id="169">
    <w:p w14:paraId="7ADCA7B2" w14:textId="23AC2A9D" w:rsidR="00F640DA" w:rsidRPr="00F04C39" w:rsidRDefault="00F640DA" w:rsidP="00F04C39">
      <w:pPr>
        <w:pStyle w:val="FootnoteText"/>
        <w:jc w:val="both"/>
        <w:rPr>
          <w:rFonts w:ascii="Cambria" w:hAnsi="Cambria" w:cs="Arial"/>
          <w:sz w:val="16"/>
          <w:szCs w:val="16"/>
          <w:lang w:val="es-UY"/>
        </w:rPr>
      </w:pPr>
      <w:r w:rsidRPr="00F04C39">
        <w:rPr>
          <w:rStyle w:val="FootnoteReference"/>
          <w:rFonts w:ascii="Cambria" w:hAnsi="Cambria" w:cs="Arial"/>
          <w:sz w:val="16"/>
          <w:szCs w:val="16"/>
          <w:lang w:val="es-UY"/>
        </w:rPr>
        <w:footnoteRef/>
      </w:r>
      <w:r w:rsidRPr="00F04C39">
        <w:rPr>
          <w:rFonts w:ascii="Cambria" w:hAnsi="Cambria" w:cs="Arial"/>
          <w:sz w:val="16"/>
          <w:szCs w:val="16"/>
          <w:lang w:val="es-UY"/>
        </w:rPr>
        <w:t xml:space="preserve"> </w:t>
      </w:r>
      <w:r w:rsidRPr="00F04C39">
        <w:rPr>
          <w:rFonts w:ascii="Cambria" w:hAnsi="Cambria"/>
          <w:sz w:val="16"/>
          <w:szCs w:val="16"/>
          <w:lang w:val="es-UY"/>
        </w:rPr>
        <w:t>Véase, por ejemplo, Resolución de la Asamblea General de las Naciones Unidas</w:t>
      </w:r>
      <w:r w:rsidRPr="00F04C39">
        <w:rPr>
          <w:rFonts w:ascii="Cambria" w:hAnsi="Cambria" w:cs="Arial"/>
          <w:sz w:val="16"/>
          <w:szCs w:val="16"/>
          <w:lang w:val="es-UY"/>
        </w:rPr>
        <w:t>, Consejo de Derechos Humanos,</w:t>
      </w:r>
      <w:r w:rsidRPr="00F04C39">
        <w:rPr>
          <w:rFonts w:ascii="Cambria" w:hAnsi="Cambria"/>
          <w:i/>
          <w:sz w:val="16"/>
          <w:szCs w:val="16"/>
          <w:lang w:val="es-UY"/>
        </w:rPr>
        <w:t xml:space="preserve"> Acelerar los esfuerzos para eliminar todas las formas de violencia contra la mujer: garantizar la diligencia debida en la prevención</w:t>
      </w:r>
      <w:r w:rsidRPr="00F04C39">
        <w:rPr>
          <w:rFonts w:ascii="Cambria" w:hAnsi="Cambria" w:cs="Arial"/>
          <w:sz w:val="16"/>
          <w:szCs w:val="16"/>
          <w:lang w:val="es-UY"/>
        </w:rPr>
        <w:t xml:space="preserve">, A/HRC/14/L.9/Rev.1, 16 de junio de 2010; </w:t>
      </w:r>
      <w:r w:rsidRPr="00F04C39">
        <w:rPr>
          <w:rFonts w:ascii="Cambria" w:hAnsi="Cambria"/>
          <w:sz w:val="16"/>
          <w:szCs w:val="16"/>
          <w:lang w:val="es-UY"/>
        </w:rPr>
        <w:t xml:space="preserve">Resolución de la Asamblea General de las Naciones Unidas, </w:t>
      </w:r>
      <w:r w:rsidRPr="00F04C39">
        <w:rPr>
          <w:rFonts w:ascii="Cambria" w:hAnsi="Cambria"/>
          <w:i/>
          <w:sz w:val="16"/>
          <w:szCs w:val="16"/>
          <w:lang w:val="es-UY"/>
        </w:rPr>
        <w:t>Intensificación de los esfuerzos para eliminar todas las formas de violencia contra la mujer</w:t>
      </w:r>
      <w:r w:rsidRPr="00F04C39">
        <w:rPr>
          <w:rFonts w:ascii="Cambria" w:hAnsi="Cambria" w:cs="Arial"/>
          <w:sz w:val="16"/>
          <w:szCs w:val="16"/>
          <w:lang w:val="es-UY"/>
        </w:rPr>
        <w:t xml:space="preserve">, A/RES/64/137, 11 de febrero de 2010 y A/RES/63/155, 30 de enero de 2009; </w:t>
      </w:r>
      <w:r w:rsidRPr="00F04C39">
        <w:rPr>
          <w:rFonts w:ascii="Cambria" w:hAnsi="Cambria"/>
          <w:sz w:val="16"/>
          <w:szCs w:val="16"/>
          <w:lang w:val="es-UY"/>
        </w:rPr>
        <w:t xml:space="preserve">Naciones Unidas, </w:t>
      </w:r>
      <w:r w:rsidRPr="00F04C39">
        <w:rPr>
          <w:rFonts w:ascii="Cambria" w:hAnsi="Cambria"/>
          <w:i/>
          <w:sz w:val="16"/>
          <w:szCs w:val="16"/>
          <w:lang w:val="es-UY"/>
        </w:rPr>
        <w:t xml:space="preserve">Declaración sobre la eliminación de la violencia contra la mujer, </w:t>
      </w:r>
      <w:r w:rsidRPr="00F04C39">
        <w:rPr>
          <w:rFonts w:ascii="Cambria" w:hAnsi="Cambria"/>
          <w:sz w:val="16"/>
          <w:szCs w:val="16"/>
          <w:lang w:val="es-UY"/>
        </w:rPr>
        <w:t>Resolución de la Asamblea General 48/104, 20 de diciembre de 1993</w:t>
      </w:r>
      <w:r w:rsidRPr="00F04C39">
        <w:rPr>
          <w:rFonts w:ascii="Cambria" w:hAnsi="Cambria" w:cs="Arial"/>
          <w:sz w:val="16"/>
          <w:szCs w:val="16"/>
          <w:lang w:val="es-UY"/>
        </w:rPr>
        <w:t>, A/RES/48/104, 23 de febrero de 1994; Naciones Unidas,</w:t>
      </w:r>
      <w:r w:rsidRPr="00F04C39">
        <w:rPr>
          <w:rFonts w:ascii="Cambria" w:hAnsi="Cambria" w:cs="Arial"/>
          <w:i/>
          <w:sz w:val="16"/>
          <w:szCs w:val="16"/>
          <w:lang w:val="es-UY"/>
        </w:rPr>
        <w:t xml:space="preserve"> Declaración de Beijing y Plataforma de Acción, Cuarta Conferencia Mundial sobre la Mujer</w:t>
      </w:r>
      <w:r w:rsidRPr="00F04C39">
        <w:rPr>
          <w:rFonts w:ascii="Cambria" w:hAnsi="Cambria" w:cs="Arial"/>
          <w:sz w:val="16"/>
          <w:szCs w:val="16"/>
          <w:lang w:val="es-UY"/>
        </w:rPr>
        <w:t xml:space="preserve">, 15 de septiembre de 1995, A/CONF.177/20 (1995) y A/CONF.177/20/Add.1 (1995); CEDAW, </w:t>
      </w:r>
      <w:r w:rsidRPr="00F04C39">
        <w:rPr>
          <w:rFonts w:ascii="Cambria" w:hAnsi="Cambria" w:cs="Arial"/>
          <w:i/>
          <w:sz w:val="16"/>
          <w:szCs w:val="16"/>
          <w:lang w:val="es-UY"/>
        </w:rPr>
        <w:t>Recomendación General 19, La violencia contra la mujer</w:t>
      </w:r>
      <w:r w:rsidRPr="00F04C39">
        <w:rPr>
          <w:rFonts w:ascii="Cambria" w:hAnsi="Cambria" w:cs="Arial"/>
          <w:sz w:val="16"/>
          <w:szCs w:val="16"/>
          <w:lang w:val="es-UY"/>
        </w:rPr>
        <w:t xml:space="preserve"> (11º Periodo de Sesiones 1992), ONU Doc.A/47/38 (1993). </w:t>
      </w:r>
      <w:r w:rsidRPr="00F33056">
        <w:rPr>
          <w:rFonts w:ascii="Cambria" w:hAnsi="Cambria"/>
          <w:color w:val="auto"/>
          <w:sz w:val="16"/>
          <w:szCs w:val="16"/>
          <w:lang w:val="es-CO"/>
        </w:rPr>
        <w:t>CIDH.</w:t>
      </w:r>
      <w:r w:rsidRPr="00F33056">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F33056">
        <w:rPr>
          <w:rFonts w:ascii="Cambria" w:hAnsi="Cambria"/>
          <w:sz w:val="16"/>
          <w:szCs w:val="16"/>
          <w:lang w:val="es-PE"/>
        </w:rPr>
        <w:t>Fondo. Jessica Lenahan (González) y otros. Estados Unidos. 21 de julio de 2011, pár. 129.</w:t>
      </w:r>
    </w:p>
  </w:footnote>
  <w:footnote w:id="170">
    <w:p w14:paraId="2549C38E" w14:textId="064BB0CC" w:rsidR="00F640DA" w:rsidRPr="00F04C39" w:rsidRDefault="00F640DA" w:rsidP="00F04C39">
      <w:pPr>
        <w:pStyle w:val="FootnoteText"/>
        <w:jc w:val="both"/>
        <w:rPr>
          <w:rFonts w:ascii="Cambria" w:hAnsi="Cambria"/>
          <w:sz w:val="16"/>
          <w:szCs w:val="16"/>
          <w:lang w:val="es-UY"/>
        </w:rPr>
      </w:pPr>
      <w:r w:rsidRPr="00F04C39">
        <w:rPr>
          <w:rStyle w:val="FootnoteReference"/>
          <w:rFonts w:ascii="Cambria" w:hAnsi="Cambria" w:cs="Arial"/>
          <w:sz w:val="16"/>
          <w:szCs w:val="16"/>
          <w:lang w:val="es-UY"/>
        </w:rPr>
        <w:footnoteRef/>
      </w:r>
      <w:r w:rsidRPr="00F04C39">
        <w:rPr>
          <w:rFonts w:ascii="Cambria" w:hAnsi="Cambria" w:cs="Arial"/>
          <w:sz w:val="16"/>
          <w:szCs w:val="16"/>
          <w:lang w:val="es-UY"/>
        </w:rPr>
        <w:t xml:space="preserve"> ONU. Comité de la CEDAW, Comunicación 2/2003</w:t>
      </w:r>
      <w:r w:rsidRPr="00F04C39">
        <w:rPr>
          <w:rFonts w:ascii="Cambria" w:hAnsi="Cambria" w:cs="Arial"/>
          <w:i/>
          <w:sz w:val="16"/>
          <w:szCs w:val="16"/>
          <w:lang w:val="es-UY"/>
        </w:rPr>
        <w:t>, Sra. A.T. c. Hungría</w:t>
      </w:r>
      <w:r w:rsidRPr="00F04C39">
        <w:rPr>
          <w:rFonts w:ascii="Cambria" w:hAnsi="Cambria" w:cs="Arial"/>
          <w:sz w:val="16"/>
          <w:szCs w:val="16"/>
          <w:lang w:val="es-UY"/>
        </w:rPr>
        <w:t>, 26 de enero de 2005; Corte Europea de Derechos Humanos, Caso de</w:t>
      </w:r>
      <w:r w:rsidRPr="00F04C39">
        <w:rPr>
          <w:rFonts w:ascii="Cambria" w:hAnsi="Cambria" w:cs="Arial"/>
          <w:i/>
          <w:sz w:val="16"/>
          <w:szCs w:val="16"/>
          <w:lang w:val="es-UY"/>
        </w:rPr>
        <w:t xml:space="preserve"> Opuz c. Turquía</w:t>
      </w:r>
      <w:r w:rsidRPr="00F04C39">
        <w:rPr>
          <w:rFonts w:ascii="Cambria" w:hAnsi="Cambria" w:cs="Arial"/>
          <w:sz w:val="16"/>
          <w:szCs w:val="16"/>
          <w:lang w:val="es-UY"/>
        </w:rPr>
        <w:t xml:space="preserve">, Petición No. 33401/02, 9 de junio de 2009; </w:t>
      </w:r>
      <w:r w:rsidRPr="00F33056">
        <w:rPr>
          <w:rFonts w:ascii="Cambria" w:hAnsi="Cambria"/>
          <w:color w:val="auto"/>
          <w:sz w:val="16"/>
          <w:szCs w:val="16"/>
          <w:lang w:val="es-CO"/>
        </w:rPr>
        <w:t>CIDH.</w:t>
      </w:r>
      <w:r w:rsidRPr="00F33056">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F33056">
        <w:rPr>
          <w:rFonts w:ascii="Cambria" w:hAnsi="Cambria"/>
          <w:sz w:val="16"/>
          <w:szCs w:val="16"/>
          <w:lang w:val="es-PE"/>
        </w:rPr>
        <w:t xml:space="preserve">Fondo. Jessica Lenahan </w:t>
      </w:r>
      <w:r w:rsidRPr="00A2213B">
        <w:rPr>
          <w:rFonts w:ascii="Cambria" w:hAnsi="Cambria"/>
          <w:sz w:val="16"/>
          <w:szCs w:val="16"/>
          <w:lang w:val="es-PE"/>
        </w:rPr>
        <w:t>(González) y otros. Estados Unidos. 21 de julio de 2011, pár. 111.</w:t>
      </w:r>
    </w:p>
  </w:footnote>
  <w:footnote w:id="171">
    <w:p w14:paraId="27C5EB61" w14:textId="597B0B79" w:rsidR="00F640DA" w:rsidRPr="00F04C39" w:rsidRDefault="00F640DA" w:rsidP="00F04C39">
      <w:pPr>
        <w:pStyle w:val="FootnoteText"/>
        <w:jc w:val="both"/>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A2213B">
        <w:rPr>
          <w:rFonts w:ascii="Cambria" w:hAnsi="Cambria"/>
          <w:color w:val="auto"/>
          <w:sz w:val="16"/>
          <w:szCs w:val="16"/>
          <w:lang w:val="es-CO"/>
        </w:rPr>
        <w:t>CIDH.</w:t>
      </w:r>
      <w:r w:rsidRPr="00A2213B">
        <w:rPr>
          <w:rFonts w:ascii="Cambria" w:hAnsi="Cambria"/>
          <w:sz w:val="16"/>
          <w:szCs w:val="16"/>
          <w:lang w:val="es-CO"/>
        </w:rPr>
        <w:t xml:space="preserve"> </w:t>
      </w:r>
      <w:r w:rsidRPr="00644687">
        <w:rPr>
          <w:rFonts w:ascii="Cambria" w:hAnsi="Cambria"/>
          <w:sz w:val="16"/>
          <w:szCs w:val="16"/>
          <w:lang w:val="es-US"/>
        </w:rPr>
        <w:t xml:space="preserve">Informe No. 80/11. Caso No. 12.626. </w:t>
      </w:r>
      <w:r w:rsidRPr="00A2213B">
        <w:rPr>
          <w:rFonts w:ascii="Cambria" w:hAnsi="Cambria"/>
          <w:sz w:val="16"/>
          <w:szCs w:val="16"/>
          <w:lang w:val="es-PE"/>
        </w:rPr>
        <w:t>Fondo. Jessica Lenahan (González) y otros. Estados Unidos. 21 de julio de 2011, pár. 125. Véase artículo 7 de la Convención de Belém do Pará.</w:t>
      </w:r>
    </w:p>
  </w:footnote>
  <w:footnote w:id="172">
    <w:p w14:paraId="06295632" w14:textId="4C564CD8" w:rsidR="00F640DA" w:rsidRPr="00A2213B" w:rsidRDefault="00F640DA" w:rsidP="00A2213B">
      <w:pPr>
        <w:pStyle w:val="FootnoteText"/>
        <w:jc w:val="both"/>
        <w:rPr>
          <w:rFonts w:ascii="Cambria" w:hAnsi="Cambria"/>
          <w:sz w:val="16"/>
          <w:szCs w:val="16"/>
          <w:lang w:val="es-PE"/>
        </w:rPr>
      </w:pPr>
      <w:r w:rsidRPr="00A2213B">
        <w:rPr>
          <w:rStyle w:val="FootnoteReference"/>
          <w:rFonts w:ascii="Cambria" w:hAnsi="Cambria"/>
          <w:sz w:val="16"/>
          <w:szCs w:val="16"/>
        </w:rPr>
        <w:footnoteRef/>
      </w:r>
      <w:r w:rsidRPr="00A2213B">
        <w:rPr>
          <w:rFonts w:ascii="Cambria" w:hAnsi="Cambria"/>
          <w:sz w:val="16"/>
          <w:szCs w:val="16"/>
          <w:lang w:val="es-PE"/>
        </w:rPr>
        <w:t xml:space="preserve"> </w:t>
      </w:r>
      <w:r w:rsidRPr="00A2213B">
        <w:rPr>
          <w:rFonts w:ascii="Cambria" w:hAnsi="Cambria"/>
          <w:sz w:val="16"/>
          <w:szCs w:val="16"/>
          <w:lang w:val="es-419"/>
        </w:rPr>
        <w:t xml:space="preserve">CIDH. </w:t>
      </w:r>
      <w:hyperlink r:id="rId57" w:history="1">
        <w:r w:rsidRPr="00A2213B">
          <w:rPr>
            <w:rStyle w:val="Hyperlink"/>
            <w:rFonts w:ascii="Cambria" w:eastAsia="SimSun" w:hAnsi="Cambria"/>
            <w:sz w:val="16"/>
            <w:szCs w:val="16"/>
            <w:lang w:val="es-ES"/>
          </w:rPr>
          <w:t>Mujeres periodistas y libertad de expresión</w:t>
        </w:r>
      </w:hyperlink>
      <w:r w:rsidRPr="00A2213B">
        <w:rPr>
          <w:rFonts w:ascii="Cambria" w:hAnsi="Cambria"/>
          <w:sz w:val="16"/>
          <w:szCs w:val="16"/>
          <w:lang w:val="es-ES"/>
        </w:rPr>
        <w:t>. OEA/Ser. L/V/II. CIDH/RELE/INF.20/18. 31 octubre de 2018, párr. 38.</w:t>
      </w:r>
    </w:p>
  </w:footnote>
  <w:footnote w:id="173">
    <w:p w14:paraId="35794F82" w14:textId="72422885" w:rsidR="00F640DA" w:rsidRPr="00F04C39" w:rsidRDefault="00F640DA" w:rsidP="00F04C39">
      <w:pPr>
        <w:pStyle w:val="FootnoteText"/>
        <w:jc w:val="both"/>
        <w:rPr>
          <w:rFonts w:ascii="Cambria" w:hAnsi="Cambria"/>
          <w:sz w:val="16"/>
          <w:szCs w:val="16"/>
          <w:lang w:val="es-UY"/>
        </w:rPr>
      </w:pPr>
      <w:r w:rsidRPr="00F04C39">
        <w:rPr>
          <w:rStyle w:val="FootnoteReference"/>
          <w:rFonts w:ascii="Cambria" w:hAnsi="Cambria"/>
          <w:sz w:val="16"/>
          <w:szCs w:val="16"/>
          <w:lang w:val="es-UY"/>
        </w:rPr>
        <w:footnoteRef/>
      </w:r>
      <w:r w:rsidRPr="00F04C39">
        <w:rPr>
          <w:rFonts w:ascii="Cambria" w:hAnsi="Cambria"/>
          <w:sz w:val="16"/>
          <w:szCs w:val="16"/>
          <w:lang w:val="es-UY"/>
        </w:rPr>
        <w:t xml:space="preserve"> </w:t>
      </w:r>
      <w:r w:rsidRPr="00F04C39">
        <w:rPr>
          <w:rFonts w:ascii="Cambria" w:hAnsi="Cambria" w:cs="Arial"/>
          <w:sz w:val="16"/>
          <w:szCs w:val="16"/>
          <w:lang w:val="es-UY"/>
        </w:rPr>
        <w:t xml:space="preserve">CIDH, Informe Nº 28/07, Casos 12.496-12.498, </w:t>
      </w:r>
      <w:r w:rsidRPr="003D0D74">
        <w:rPr>
          <w:rFonts w:ascii="Cambria" w:hAnsi="Cambria" w:cs="Arial"/>
          <w:sz w:val="16"/>
          <w:szCs w:val="16"/>
          <w:lang w:val="es-UY"/>
        </w:rPr>
        <w:t>Claudia Ivette González y Otros</w:t>
      </w:r>
      <w:r>
        <w:rPr>
          <w:rFonts w:ascii="Cambria" w:hAnsi="Cambria" w:cs="Arial"/>
          <w:sz w:val="16"/>
          <w:szCs w:val="16"/>
          <w:lang w:val="es-UY"/>
        </w:rPr>
        <w:t xml:space="preserve">. </w:t>
      </w:r>
      <w:r w:rsidRPr="00F04C39">
        <w:rPr>
          <w:rFonts w:ascii="Cambria" w:hAnsi="Cambria" w:cs="Arial"/>
          <w:sz w:val="16"/>
          <w:szCs w:val="16"/>
          <w:lang w:val="es-UY"/>
        </w:rPr>
        <w:t xml:space="preserve">México, 9 de marzo de 2007, párrs. 251-252, e </w:t>
      </w:r>
      <w:r w:rsidRPr="00644687">
        <w:rPr>
          <w:rFonts w:ascii="Cambria" w:hAnsi="Cambria"/>
          <w:sz w:val="16"/>
          <w:szCs w:val="16"/>
          <w:lang w:val="es-US"/>
        </w:rPr>
        <w:t xml:space="preserve">Informe No. 80/11. Caso No. 12.626. </w:t>
      </w:r>
      <w:r w:rsidRPr="00A2213B">
        <w:rPr>
          <w:rFonts w:ascii="Cambria" w:hAnsi="Cambria"/>
          <w:sz w:val="16"/>
          <w:szCs w:val="16"/>
          <w:lang w:val="es-PE"/>
        </w:rPr>
        <w:t>Fondo. Jessica Lenahan (González) y otros. Estados Unidos. 21 de julio de 2011, pár. 127.</w:t>
      </w:r>
    </w:p>
  </w:footnote>
  <w:footnote w:id="174">
    <w:p w14:paraId="525055C1" w14:textId="77777777" w:rsidR="00F640DA" w:rsidRPr="00A2213B" w:rsidRDefault="00F640DA">
      <w:pPr>
        <w:pStyle w:val="FootnoteText"/>
        <w:jc w:val="both"/>
        <w:rPr>
          <w:rFonts w:ascii="Cambria" w:hAnsi="Cambria"/>
          <w:sz w:val="16"/>
          <w:szCs w:val="16"/>
          <w:lang w:val="es-PE"/>
        </w:rPr>
      </w:pPr>
      <w:r w:rsidRPr="00A2213B">
        <w:rPr>
          <w:rStyle w:val="FootnoteReference"/>
          <w:rFonts w:ascii="Cambria" w:hAnsi="Cambria"/>
          <w:sz w:val="16"/>
          <w:szCs w:val="16"/>
        </w:rPr>
        <w:footnoteRef/>
      </w:r>
      <w:r w:rsidRPr="00A2213B">
        <w:rPr>
          <w:rFonts w:ascii="Cambria" w:hAnsi="Cambria"/>
          <w:sz w:val="16"/>
          <w:szCs w:val="16"/>
          <w:lang w:val="es-PE"/>
        </w:rPr>
        <w:t xml:space="preserve"> </w:t>
      </w:r>
      <w:r w:rsidRPr="00A2213B">
        <w:rPr>
          <w:rFonts w:ascii="Cambria" w:hAnsi="Cambria"/>
          <w:sz w:val="16"/>
          <w:szCs w:val="16"/>
          <w:lang w:val="es-419"/>
        </w:rPr>
        <w:t xml:space="preserve">CIDH. </w:t>
      </w:r>
      <w:hyperlink r:id="rId58" w:history="1">
        <w:r w:rsidRPr="00A2213B">
          <w:rPr>
            <w:rStyle w:val="Hyperlink"/>
            <w:rFonts w:ascii="Cambria" w:eastAsia="SimSun" w:hAnsi="Cambria"/>
            <w:sz w:val="16"/>
            <w:szCs w:val="16"/>
            <w:lang w:val="es-ES"/>
          </w:rPr>
          <w:t>Mujeres periodistas y libertad de expresión</w:t>
        </w:r>
      </w:hyperlink>
      <w:r w:rsidRPr="00A2213B">
        <w:rPr>
          <w:rFonts w:ascii="Cambria" w:hAnsi="Cambria"/>
          <w:sz w:val="16"/>
          <w:szCs w:val="16"/>
          <w:lang w:val="es-ES"/>
        </w:rPr>
        <w:t>. OEA/Ser. L/V/II. CIDH/RELE/INF.20/18. 31 octubre de 2018, párr. 3.</w:t>
      </w:r>
    </w:p>
  </w:footnote>
  <w:footnote w:id="175">
    <w:p w14:paraId="53BFD7B5" w14:textId="3E99CC39" w:rsidR="00F640DA" w:rsidRPr="00F04C39" w:rsidRDefault="00F640DA">
      <w:pPr>
        <w:pStyle w:val="FootnoteText"/>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w:t>
      </w:r>
      <w:r w:rsidRPr="00A2213B">
        <w:rPr>
          <w:rFonts w:ascii="Cambria" w:hAnsi="Cambria"/>
          <w:sz w:val="16"/>
          <w:szCs w:val="16"/>
          <w:lang w:val="es-419"/>
        </w:rPr>
        <w:t xml:space="preserve">CIDH. </w:t>
      </w:r>
      <w:hyperlink r:id="rId59" w:history="1">
        <w:r w:rsidRPr="00A2213B">
          <w:rPr>
            <w:rStyle w:val="Hyperlink"/>
            <w:rFonts w:ascii="Cambria" w:eastAsia="SimSun" w:hAnsi="Cambria"/>
            <w:sz w:val="16"/>
            <w:szCs w:val="16"/>
            <w:lang w:val="es-ES"/>
          </w:rPr>
          <w:t>Mujeres periodistas y libertad de expresión</w:t>
        </w:r>
      </w:hyperlink>
      <w:r w:rsidRPr="00A2213B">
        <w:rPr>
          <w:rFonts w:ascii="Cambria" w:hAnsi="Cambria"/>
          <w:sz w:val="16"/>
          <w:szCs w:val="16"/>
          <w:lang w:val="es-ES"/>
        </w:rPr>
        <w:t xml:space="preserve">. OEA/Ser. L/V/II. CIDH/RELE/INF.20/18. 31 octubre de 2018, </w:t>
      </w:r>
      <w:proofErr w:type="spellStart"/>
      <w:r w:rsidRPr="00A2213B">
        <w:rPr>
          <w:rFonts w:ascii="Cambria" w:hAnsi="Cambria"/>
          <w:sz w:val="16"/>
          <w:szCs w:val="16"/>
          <w:lang w:val="es-ES"/>
        </w:rPr>
        <w:t>párrs</w:t>
      </w:r>
      <w:proofErr w:type="spellEnd"/>
      <w:r w:rsidRPr="00A2213B">
        <w:rPr>
          <w:rFonts w:ascii="Cambria" w:hAnsi="Cambria"/>
          <w:sz w:val="16"/>
          <w:szCs w:val="16"/>
          <w:lang w:val="es-ES"/>
        </w:rPr>
        <w:t>. 50 y 76.</w:t>
      </w:r>
    </w:p>
  </w:footnote>
  <w:footnote w:id="176">
    <w:p w14:paraId="23F76E3E" w14:textId="5C253997" w:rsidR="00F640DA" w:rsidRPr="00A2213B" w:rsidRDefault="00F640DA">
      <w:pPr>
        <w:pStyle w:val="FootnoteText"/>
        <w:jc w:val="both"/>
        <w:rPr>
          <w:rFonts w:ascii="Cambria" w:hAnsi="Cambria"/>
          <w:sz w:val="16"/>
          <w:szCs w:val="16"/>
          <w:lang w:val="es-PE"/>
        </w:rPr>
      </w:pPr>
      <w:r w:rsidRPr="00A2213B">
        <w:rPr>
          <w:rStyle w:val="FootnoteReference"/>
          <w:rFonts w:ascii="Cambria" w:hAnsi="Cambria"/>
          <w:sz w:val="16"/>
          <w:szCs w:val="16"/>
        </w:rPr>
        <w:footnoteRef/>
      </w:r>
      <w:r w:rsidRPr="00A2213B">
        <w:rPr>
          <w:rFonts w:ascii="Cambria" w:hAnsi="Cambria"/>
          <w:sz w:val="16"/>
          <w:szCs w:val="16"/>
          <w:lang w:val="pt-BR"/>
        </w:rPr>
        <w:t xml:space="preserve"> ONU. </w:t>
      </w:r>
      <w:r w:rsidRPr="00A2213B">
        <w:rPr>
          <w:rFonts w:ascii="Cambria" w:hAnsi="Cambria"/>
          <w:i/>
          <w:sz w:val="16"/>
          <w:szCs w:val="16"/>
          <w:lang w:val="pt-BR"/>
        </w:rPr>
        <w:t>Mutatis mutandi</w:t>
      </w:r>
      <w:r w:rsidRPr="00A2213B">
        <w:rPr>
          <w:rFonts w:ascii="Cambria" w:hAnsi="Cambria"/>
          <w:sz w:val="16"/>
          <w:szCs w:val="16"/>
          <w:lang w:val="pt-BR"/>
        </w:rPr>
        <w:t xml:space="preserve">, Protocolo de Estambul. </w:t>
      </w:r>
      <w:r w:rsidRPr="00A2213B">
        <w:rPr>
          <w:rFonts w:ascii="Cambria" w:hAnsi="Cambria"/>
          <w:sz w:val="16"/>
          <w:szCs w:val="16"/>
          <w:lang w:val="es-PE"/>
        </w:rPr>
        <w:t>Manual para la investigación y documentación eficaces de la tortura y otros tratos o penas crueles, inhumanos o degradantes. 9 de agosto de 1999, párr. 215.</w:t>
      </w:r>
    </w:p>
  </w:footnote>
  <w:footnote w:id="177">
    <w:p w14:paraId="1F13EFFC" w14:textId="3C9C6106" w:rsidR="00F640DA" w:rsidRPr="00F04C39" w:rsidRDefault="00F640DA" w:rsidP="00F04C39">
      <w:pPr>
        <w:pStyle w:val="FootnoteText"/>
        <w:jc w:val="both"/>
        <w:rPr>
          <w:rFonts w:ascii="Cambria" w:hAnsi="Cambria"/>
          <w:sz w:val="16"/>
          <w:szCs w:val="16"/>
          <w:lang w:val="es-PE"/>
        </w:rPr>
      </w:pPr>
      <w:r w:rsidRPr="00F04C39">
        <w:rPr>
          <w:rStyle w:val="FootnoteReference"/>
          <w:rFonts w:ascii="Cambria" w:hAnsi="Cambria"/>
          <w:sz w:val="16"/>
          <w:szCs w:val="16"/>
        </w:rPr>
        <w:footnoteRef/>
      </w:r>
      <w:r w:rsidRPr="00F04C39">
        <w:rPr>
          <w:rFonts w:ascii="Cambria" w:hAnsi="Cambria"/>
          <w:sz w:val="16"/>
          <w:szCs w:val="16"/>
          <w:lang w:val="es-PE"/>
        </w:rPr>
        <w:t xml:space="preserve"> Corte IDH. </w:t>
      </w:r>
      <w:r w:rsidRPr="00A2213B">
        <w:rPr>
          <w:rFonts w:ascii="Cambria" w:hAnsi="Cambria" w:cs="Open Sans"/>
          <w:i/>
          <w:color w:val="auto"/>
          <w:sz w:val="16"/>
          <w:szCs w:val="16"/>
          <w:shd w:val="clear" w:color="auto" w:fill="FFFFFF"/>
          <w:lang w:val="es-PE"/>
        </w:rPr>
        <w:t>Caso Mujeres Víctimas de Tortura Sexual en Atenco Vs. México.</w:t>
      </w:r>
      <w:r w:rsidRPr="00A2213B">
        <w:rPr>
          <w:rFonts w:ascii="Cambria" w:hAnsi="Cambria" w:cs="Open Sans"/>
          <w:color w:val="auto"/>
          <w:sz w:val="16"/>
          <w:szCs w:val="16"/>
          <w:shd w:val="clear" w:color="auto" w:fill="FFFFFF"/>
          <w:lang w:val="es-PE"/>
        </w:rPr>
        <w:t xml:space="preserve"> Excepción Preliminar, Fondo, Reparaciones y Costas. </w:t>
      </w:r>
      <w:r w:rsidRPr="00F04C39">
        <w:rPr>
          <w:rFonts w:ascii="Cambria" w:hAnsi="Cambria" w:cs="Open Sans"/>
          <w:color w:val="auto"/>
          <w:sz w:val="16"/>
          <w:szCs w:val="16"/>
          <w:shd w:val="clear" w:color="auto" w:fill="FFFFFF"/>
          <w:lang w:val="es-PE"/>
        </w:rPr>
        <w:t>Sentencia de 28 de noviembre de 2018. Serie C No. 371, párr. 196.</w:t>
      </w:r>
    </w:p>
  </w:footnote>
  <w:footnote w:id="178">
    <w:p w14:paraId="4EA1B64B" w14:textId="747E7547" w:rsidR="00F640DA" w:rsidRPr="00F04C39" w:rsidRDefault="00F640DA" w:rsidP="00F04C39">
      <w:pPr>
        <w:jc w:val="both"/>
        <w:rPr>
          <w:rFonts w:ascii="Cambria" w:hAnsi="Cambria"/>
          <w:sz w:val="16"/>
          <w:szCs w:val="16"/>
        </w:rPr>
      </w:pPr>
      <w:r w:rsidRPr="00A2213B">
        <w:rPr>
          <w:rStyle w:val="FootnoteReference"/>
          <w:rFonts w:ascii="Cambria" w:hAnsi="Cambria"/>
          <w:sz w:val="16"/>
          <w:szCs w:val="16"/>
        </w:rPr>
        <w:footnoteRef/>
      </w:r>
      <w:r w:rsidRPr="00A2213B">
        <w:rPr>
          <w:rFonts w:ascii="Cambria" w:hAnsi="Cambria"/>
          <w:sz w:val="16"/>
          <w:szCs w:val="16"/>
          <w:lang w:val="es-PE"/>
        </w:rPr>
        <w:t xml:space="preserve"> Corte IDH. </w:t>
      </w:r>
      <w:r w:rsidRPr="00A2213B">
        <w:rPr>
          <w:rFonts w:ascii="Cambria" w:hAnsi="Cambria"/>
          <w:i/>
          <w:sz w:val="16"/>
          <w:szCs w:val="16"/>
          <w:lang w:val="es-PE"/>
        </w:rPr>
        <w:t>Caso del Penal Miguel Castro Castro Vs. Perú.</w:t>
      </w:r>
      <w:r w:rsidRPr="00191286">
        <w:rPr>
          <w:rFonts w:ascii="Cambria" w:hAnsi="Cambria"/>
          <w:sz w:val="16"/>
          <w:szCs w:val="16"/>
          <w:lang w:val="es-PE"/>
        </w:rPr>
        <w:t xml:space="preserve"> Fondo, Reparaciones y Costas. Sentencia de</w:t>
      </w:r>
      <w:r w:rsidRPr="00F04C39">
        <w:rPr>
          <w:rFonts w:ascii="Cambria" w:hAnsi="Cambria"/>
          <w:sz w:val="16"/>
          <w:szCs w:val="16"/>
          <w:lang w:val="es-PE"/>
        </w:rPr>
        <w:t xml:space="preserve"> 25 de noviembre de 2006. Serie C No. 160, párrs. 304 y ss, y </w:t>
      </w:r>
      <w:r w:rsidRPr="00F04C39">
        <w:rPr>
          <w:rFonts w:ascii="Cambria" w:hAnsi="Cambria" w:cs="Open Sans"/>
          <w:i/>
          <w:sz w:val="16"/>
          <w:szCs w:val="16"/>
          <w:shd w:val="clear" w:color="auto" w:fill="FFFFFF"/>
          <w:lang w:val="es-PE"/>
        </w:rPr>
        <w:t>Caso Mujeres Víctimas de Tortura Sexual en Atenco Vs. México.</w:t>
      </w:r>
      <w:r w:rsidRPr="00F04C39">
        <w:rPr>
          <w:rFonts w:ascii="Cambria" w:hAnsi="Cambria" w:cs="Open Sans"/>
          <w:sz w:val="16"/>
          <w:szCs w:val="16"/>
          <w:shd w:val="clear" w:color="auto" w:fill="FFFFFF"/>
          <w:lang w:val="es-PE"/>
        </w:rPr>
        <w:t xml:space="preserve"> Excepción Preliminar, Fondo, Reparaciones y Costas. </w:t>
      </w:r>
      <w:r w:rsidRPr="00F04C39">
        <w:rPr>
          <w:rFonts w:ascii="Cambria" w:hAnsi="Cambria" w:cs="Open Sans"/>
          <w:sz w:val="16"/>
          <w:szCs w:val="16"/>
          <w:shd w:val="clear" w:color="auto" w:fill="FFFFFF"/>
        </w:rPr>
        <w:t>Sentencia de 28 de noviembre de 2018. Serie C No. 371, párr. 188.</w:t>
      </w:r>
    </w:p>
  </w:footnote>
  <w:footnote w:id="179">
    <w:p w14:paraId="5FB2A929" w14:textId="4E59F8A3" w:rsidR="00F640DA" w:rsidRPr="00A2213B" w:rsidRDefault="00F640DA">
      <w:pPr>
        <w:pStyle w:val="FootnoteText"/>
        <w:jc w:val="both"/>
        <w:rPr>
          <w:rFonts w:ascii="Cambria" w:hAnsi="Cambria"/>
          <w:sz w:val="16"/>
          <w:szCs w:val="16"/>
          <w:lang w:val="es-PE"/>
        </w:rPr>
      </w:pPr>
      <w:r w:rsidRPr="00A2213B">
        <w:rPr>
          <w:rStyle w:val="FootnoteReference"/>
          <w:rFonts w:ascii="Cambria" w:hAnsi="Cambria"/>
          <w:sz w:val="16"/>
          <w:szCs w:val="16"/>
        </w:rPr>
        <w:footnoteRef/>
      </w:r>
      <w:r w:rsidRPr="00A2213B">
        <w:rPr>
          <w:rFonts w:ascii="Cambria" w:hAnsi="Cambria"/>
          <w:sz w:val="16"/>
          <w:szCs w:val="16"/>
          <w:lang w:val="es-PE"/>
        </w:rPr>
        <w:t xml:space="preserve"> </w:t>
      </w:r>
      <w:r w:rsidRPr="00A2213B">
        <w:rPr>
          <w:rFonts w:ascii="Cambria" w:hAnsi="Cambria"/>
          <w:sz w:val="16"/>
          <w:szCs w:val="16"/>
          <w:lang w:val="es-419"/>
        </w:rPr>
        <w:t xml:space="preserve">CIDH. </w:t>
      </w:r>
      <w:hyperlink r:id="rId60" w:history="1">
        <w:r w:rsidRPr="00A2213B">
          <w:rPr>
            <w:rStyle w:val="Hyperlink"/>
            <w:rFonts w:ascii="Cambria" w:eastAsia="SimSun" w:hAnsi="Cambria"/>
            <w:sz w:val="16"/>
            <w:szCs w:val="16"/>
            <w:lang w:val="es-ES"/>
          </w:rPr>
          <w:t>Mujeres periodistas y libertad de expresión</w:t>
        </w:r>
      </w:hyperlink>
      <w:r w:rsidRPr="00A2213B">
        <w:rPr>
          <w:rFonts w:ascii="Cambria" w:hAnsi="Cambria"/>
          <w:sz w:val="16"/>
          <w:szCs w:val="16"/>
          <w:lang w:val="es-ES"/>
        </w:rPr>
        <w:t xml:space="preserve">. </w:t>
      </w:r>
      <w:r w:rsidRPr="00644687">
        <w:rPr>
          <w:rFonts w:ascii="Cambria" w:hAnsi="Cambria"/>
          <w:sz w:val="16"/>
          <w:szCs w:val="16"/>
          <w:lang w:val="pt-BR"/>
        </w:rPr>
        <w:t xml:space="preserve">OEA/Ser. L/V/II. </w:t>
      </w:r>
      <w:r w:rsidRPr="00644687">
        <w:rPr>
          <w:rFonts w:ascii="Cambria" w:hAnsi="Cambria"/>
          <w:sz w:val="16"/>
          <w:szCs w:val="16"/>
          <w:lang w:val="pt-BR"/>
        </w:rPr>
        <w:t xml:space="preserve">CIDH/RELE/INF.20/18. 31 octubre de 2018, párr. 36. Corte IDH. </w:t>
      </w:r>
      <w:r w:rsidRPr="00A2213B">
        <w:rPr>
          <w:rFonts w:ascii="Cambria" w:hAnsi="Cambria" w:cs="Open Sans"/>
          <w:i/>
          <w:color w:val="auto"/>
          <w:sz w:val="16"/>
          <w:szCs w:val="16"/>
          <w:shd w:val="clear" w:color="auto" w:fill="FFFFFF"/>
          <w:lang w:val="es-PE"/>
        </w:rPr>
        <w:t>Caso Mujeres Víctimas de Tortura Sexual en Atenco Vs. México.</w:t>
      </w:r>
      <w:r w:rsidRPr="00A2213B">
        <w:rPr>
          <w:rFonts w:ascii="Cambria" w:hAnsi="Cambria" w:cs="Open Sans"/>
          <w:color w:val="auto"/>
          <w:sz w:val="16"/>
          <w:szCs w:val="16"/>
          <w:shd w:val="clear" w:color="auto" w:fill="FFFFFF"/>
          <w:lang w:val="es-PE"/>
        </w:rPr>
        <w:t xml:space="preserve"> Excepción Preliminar, Fondo, Reparaciones y Costas. </w:t>
      </w:r>
      <w:r w:rsidRPr="00F04C39">
        <w:rPr>
          <w:rFonts w:ascii="Cambria" w:hAnsi="Cambria" w:cs="Open Sans"/>
          <w:color w:val="auto"/>
          <w:sz w:val="16"/>
          <w:szCs w:val="16"/>
          <w:shd w:val="clear" w:color="auto" w:fill="FFFFFF"/>
          <w:lang w:val="es-PE"/>
        </w:rPr>
        <w:t>Sentencia de 28 de noviembre de 2018. Serie C No. 371, párrs. 181, 187 y 188.</w:t>
      </w:r>
    </w:p>
  </w:footnote>
  <w:footnote w:id="180">
    <w:p w14:paraId="69369108" w14:textId="65559354" w:rsidR="00F640DA" w:rsidRPr="00644687" w:rsidRDefault="00F640DA">
      <w:pPr>
        <w:jc w:val="both"/>
        <w:rPr>
          <w:rFonts w:ascii="Cambria" w:hAnsi="Cambria"/>
          <w:sz w:val="16"/>
          <w:szCs w:val="16"/>
          <w:lang w:val="pt-BR"/>
        </w:rPr>
      </w:pPr>
      <w:r w:rsidRPr="00F33056">
        <w:rPr>
          <w:rFonts w:ascii="Cambria" w:hAnsi="Cambria"/>
          <w:sz w:val="16"/>
          <w:szCs w:val="16"/>
          <w:vertAlign w:val="superscript"/>
        </w:rPr>
        <w:footnoteRef/>
      </w:r>
      <w:r w:rsidRPr="00F33056">
        <w:rPr>
          <w:rFonts w:ascii="Cambria" w:hAnsi="Cambria"/>
          <w:sz w:val="16"/>
          <w:szCs w:val="16"/>
          <w:lang w:val="es-PE"/>
        </w:rPr>
        <w:t xml:space="preserve"> </w:t>
      </w:r>
      <w:r w:rsidRPr="00F33056">
        <w:rPr>
          <w:rFonts w:ascii="Cambria" w:hAnsi="Cambria"/>
          <w:sz w:val="16"/>
          <w:szCs w:val="16"/>
        </w:rPr>
        <w:t>CIDH. Informe Anual 2011.</w:t>
      </w:r>
      <w:r w:rsidRPr="00F33056">
        <w:rPr>
          <w:rFonts w:ascii="Cambria" w:hAnsi="Cambria"/>
          <w:sz w:val="16"/>
          <w:szCs w:val="16"/>
          <w:lang w:val="es-PE"/>
        </w:rPr>
        <w:t xml:space="preserve"> Cap</w:t>
      </w:r>
      <w:r>
        <w:rPr>
          <w:rFonts w:ascii="Cambria" w:hAnsi="Cambria"/>
          <w:sz w:val="16"/>
          <w:szCs w:val="16"/>
          <w:lang w:val="es-PE"/>
        </w:rPr>
        <w:t>ítulo</w:t>
      </w:r>
      <w:r w:rsidRPr="00F33056">
        <w:rPr>
          <w:rFonts w:ascii="Cambria" w:hAnsi="Cambria"/>
          <w:sz w:val="16"/>
          <w:szCs w:val="16"/>
          <w:lang w:val="es-PE"/>
        </w:rPr>
        <w:t xml:space="preserve"> </w:t>
      </w:r>
      <w:r w:rsidRPr="00F33056">
        <w:rPr>
          <w:rFonts w:ascii="Cambria" w:hAnsi="Cambria"/>
          <w:sz w:val="16"/>
          <w:szCs w:val="16"/>
        </w:rPr>
        <w:t>IV.B</w:t>
      </w:r>
      <w:r>
        <w:rPr>
          <w:rFonts w:ascii="Cambria" w:hAnsi="Cambria"/>
          <w:sz w:val="16"/>
          <w:szCs w:val="16"/>
        </w:rPr>
        <w:t xml:space="preserve">, </w:t>
      </w:r>
      <w:r w:rsidRPr="00F33056">
        <w:rPr>
          <w:rFonts w:ascii="Cambria" w:hAnsi="Cambria"/>
          <w:sz w:val="16"/>
          <w:szCs w:val="16"/>
        </w:rPr>
        <w:t xml:space="preserve">Cuba, </w:t>
      </w:r>
      <w:proofErr w:type="spellStart"/>
      <w:r w:rsidRPr="00F33056">
        <w:rPr>
          <w:rFonts w:ascii="Cambria" w:hAnsi="Cambria"/>
          <w:sz w:val="16"/>
          <w:szCs w:val="16"/>
        </w:rPr>
        <w:t>párrs</w:t>
      </w:r>
      <w:proofErr w:type="spellEnd"/>
      <w:r w:rsidRPr="00F33056">
        <w:rPr>
          <w:rFonts w:ascii="Cambria" w:hAnsi="Cambria"/>
          <w:sz w:val="16"/>
          <w:szCs w:val="16"/>
        </w:rPr>
        <w:t xml:space="preserve">. </w:t>
      </w:r>
      <w:r w:rsidRPr="00644687">
        <w:rPr>
          <w:rFonts w:ascii="Cambria" w:hAnsi="Cambria"/>
          <w:sz w:val="16"/>
          <w:szCs w:val="16"/>
          <w:lang w:val="pt-BR"/>
        </w:rPr>
        <w:t>239, 243, 246 y ss, e Informe Anual 2012. Capítulo IV.B, Cuba, párs. 64 y 68.</w:t>
      </w:r>
    </w:p>
  </w:footnote>
  <w:footnote w:id="181">
    <w:p w14:paraId="3B097FD0" w14:textId="29A8F671"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pt-BR"/>
        </w:rPr>
        <w:t xml:space="preserve"> CIDH. Informe Anual 2011. </w:t>
      </w:r>
      <w:r w:rsidRPr="00644687">
        <w:rPr>
          <w:rFonts w:ascii="Cambria" w:hAnsi="Cambria"/>
          <w:sz w:val="16"/>
          <w:szCs w:val="16"/>
          <w:lang w:val="pt-BR"/>
        </w:rPr>
        <w:t xml:space="preserve">Capítulo IV.B, Cuba, párrs. 239, 243, 246 y ss, e Informe Anual 2012. Capítulo IV.B, Cuba, párs. </w:t>
      </w:r>
      <w:r w:rsidRPr="00116A43">
        <w:rPr>
          <w:rFonts w:ascii="Cambria" w:hAnsi="Cambria"/>
          <w:sz w:val="16"/>
          <w:szCs w:val="16"/>
          <w:lang w:val="es-PE"/>
        </w:rPr>
        <w:t xml:space="preserve">64 y 68. CIDH. Audiencia pública “Denuncias sobre agresiones contra mujeres defensoras de derechos humanos en Cuba” celebrada durante el 144 periodo ordinario de sesiones. 23 de marzo de 2012. Disponible en: </w:t>
      </w:r>
      <w:hyperlink r:id="rId61" w:history="1">
        <w:r w:rsidRPr="00116A43">
          <w:rPr>
            <w:rStyle w:val="Hyperlink"/>
            <w:rFonts w:ascii="Cambria" w:hAnsi="Cambria"/>
            <w:sz w:val="16"/>
            <w:szCs w:val="16"/>
            <w:lang w:val="es-PE"/>
          </w:rPr>
          <w:t>http://www.oas.org/es/cidh/audiencias/Hearings.aspx?Lang=es&amp;Session=125</w:t>
        </w:r>
      </w:hyperlink>
      <w:r w:rsidRPr="00116A43">
        <w:rPr>
          <w:rFonts w:ascii="Cambria" w:hAnsi="Cambria"/>
          <w:sz w:val="16"/>
          <w:szCs w:val="16"/>
          <w:lang w:val="es-PE"/>
        </w:rPr>
        <w:t xml:space="preserve">. Véase también, Cubalex. </w:t>
      </w:r>
      <w:hyperlink r:id="rId62" w:history="1">
        <w:r w:rsidRPr="00116A43">
          <w:rPr>
            <w:rStyle w:val="Hyperlink"/>
            <w:rFonts w:ascii="Cambria" w:hAnsi="Cambria"/>
            <w:i/>
            <w:sz w:val="16"/>
            <w:szCs w:val="16"/>
            <w:lang w:val="es-PE"/>
          </w:rPr>
          <w:t>Así reprimen a las mujeres cubanas.</w:t>
        </w:r>
      </w:hyperlink>
      <w:r w:rsidRPr="00116A43">
        <w:rPr>
          <w:rFonts w:ascii="Cambria" w:hAnsi="Cambria"/>
          <w:sz w:val="16"/>
          <w:szCs w:val="16"/>
          <w:lang w:val="es-PE"/>
        </w:rPr>
        <w:t xml:space="preserve"> 4 de agosto de 2020.</w:t>
      </w:r>
    </w:p>
  </w:footnote>
  <w:footnote w:id="182">
    <w:p w14:paraId="3B0E08D1" w14:textId="4768C15E"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Constitución de la República de Cuba de 1976. Artículo 58. Este establece que: “[l]a libertad e inviolabilidad de su persona están garantizadas a todos los que residen en el territorio nacional. Nadie puede ser detenido sino en los casos, en la forma y con las garantías que prescriben las leyes. El detenido o preso es inviolable en su integridad personal”.</w:t>
      </w:r>
    </w:p>
  </w:footnote>
  <w:footnote w:id="183">
    <w:p w14:paraId="7FA57B8C" w14:textId="77777777" w:rsidR="00F640DA" w:rsidRPr="00116A43" w:rsidRDefault="00F640DA" w:rsidP="00447791">
      <w:pP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rPr>
        <w:t xml:space="preserve"> Asamblea Nacional del Poder Popular de la República de Cuba. Ley de Procedimiento Penal de la República de Cuba. Julio 1977. Artículos 241 a 244. </w:t>
      </w:r>
      <w:r w:rsidRPr="00116A43">
        <w:rPr>
          <w:rFonts w:ascii="Cambria" w:hAnsi="Cambria"/>
          <w:sz w:val="16"/>
          <w:szCs w:val="16"/>
          <w:lang w:val="es-PE"/>
        </w:rPr>
        <w:t xml:space="preserve">Artículo 241. Nadie puede ser detenido sino en los casos y con las formalidades que las leyes prescriben. </w:t>
      </w:r>
    </w:p>
    <w:p w14:paraId="0A8199BB" w14:textId="77777777" w:rsidR="00F640DA" w:rsidRPr="00116A43" w:rsidRDefault="00F640DA" w:rsidP="00447791">
      <w:pPr>
        <w:jc w:val="both"/>
        <w:rPr>
          <w:rFonts w:ascii="Cambria" w:hAnsi="Cambria"/>
          <w:sz w:val="16"/>
          <w:szCs w:val="16"/>
          <w:lang w:val="es-PE"/>
        </w:rPr>
      </w:pPr>
      <w:r w:rsidRPr="00116A43">
        <w:rPr>
          <w:rFonts w:ascii="Cambria" w:hAnsi="Cambria"/>
          <w:sz w:val="16"/>
          <w:szCs w:val="16"/>
          <w:lang w:val="es-PE"/>
        </w:rPr>
        <w:t xml:space="preserve">Artículo 242. Cualquier persona puede detener: 1. Al que intente cometer un delito, en el momento de ir a cometerlo; 2. al delincuente in fraganti; 3. al que mediante la fuga haya quebrantado una sanción de privación de libertad o una medida de seguridad detentiva, que esté cumpliendo; 4. al acusado declarado en rebeldía. El que detenga a una persona en virtud de lo dispuesto en el párrafo anterior, lo entregará inmediatamente a la Policía. </w:t>
      </w:r>
    </w:p>
    <w:p w14:paraId="28F355C1" w14:textId="77777777" w:rsidR="00F640DA" w:rsidRPr="00116A43" w:rsidRDefault="00F640DA" w:rsidP="00B92BE6">
      <w:pPr>
        <w:jc w:val="both"/>
        <w:rPr>
          <w:rFonts w:ascii="Cambria" w:hAnsi="Cambria"/>
          <w:sz w:val="16"/>
          <w:szCs w:val="16"/>
          <w:lang w:val="es-PE"/>
        </w:rPr>
      </w:pPr>
      <w:r w:rsidRPr="00116A43">
        <w:rPr>
          <w:rFonts w:ascii="Cambria" w:hAnsi="Cambria"/>
          <w:sz w:val="16"/>
          <w:szCs w:val="16"/>
          <w:lang w:val="es-PE"/>
        </w:rPr>
        <w:t xml:space="preserve">Artículo 243. La autoridad o agente de la policía tiene la obligación de detener: 1. A cualquiera que se halle en alguno de los casos del artículo anterior; se haya fugado encontrándose detenido o en prisión provisional; o exista contra él orden de detención; 2. al acusado por delito contra la seguridad del Estado; 3. al acusado por un delito cuya sanción imponible sea superior a seis años de privación de libertad; 4. al acusado por cualquier delito siempre que alguna de las circunstancias siguientes: a) Que los hechos hayan producido alarma o sean de los que se cometen con frecuencia en el territorio del municipio; b) que existan elementos bastantes para estimar fundadamente que el acusado tratar de evadir la acción de la justicia. </w:t>
      </w:r>
    </w:p>
    <w:p w14:paraId="7AECE1D0" w14:textId="71080E57" w:rsidR="00F640DA" w:rsidRPr="00116A43" w:rsidRDefault="00F640DA" w:rsidP="00B92BE6">
      <w:pPr>
        <w:jc w:val="both"/>
        <w:rPr>
          <w:rFonts w:ascii="Cambria" w:hAnsi="Cambria"/>
          <w:sz w:val="16"/>
          <w:szCs w:val="16"/>
          <w:lang w:val="es-PE"/>
        </w:rPr>
      </w:pPr>
      <w:r w:rsidRPr="00116A43">
        <w:rPr>
          <w:rFonts w:ascii="Cambria" w:hAnsi="Cambria"/>
          <w:sz w:val="16"/>
          <w:szCs w:val="16"/>
          <w:lang w:val="es-PE"/>
        </w:rPr>
        <w:t>Artículo 244. Al efectuarse la detención de alguna persona se extenderá de inmediato un acta en que se consignará la hora, fecha y motivo de la detención, así como cualquier otro particular que resulte de interés. El acta será firmada por el actuante y el detenido. A instancia del detenido o de sus familiares, la Policía o la autoridad que lo tenga a su disposición informará la detención y el lugar en que se halle el detenido, así como facilitará la comunicación entre ellos en los plazos y en la forma establecida en las correspondientes disposiciones.</w:t>
      </w:r>
    </w:p>
  </w:footnote>
  <w:footnote w:id="184">
    <w:p w14:paraId="2C348068" w14:textId="52030FE3" w:rsidR="00F640DA" w:rsidRPr="00116A43" w:rsidRDefault="00F640DA" w:rsidP="007E3B49">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No. 27/18, Caso 12.127. Fondo</w:t>
      </w:r>
      <w:r>
        <w:rPr>
          <w:rFonts w:ascii="Cambria" w:hAnsi="Cambria"/>
          <w:sz w:val="16"/>
          <w:szCs w:val="16"/>
          <w:lang w:val="es-PE"/>
        </w:rPr>
        <w:t>.</w:t>
      </w:r>
      <w:r w:rsidRPr="00116A43">
        <w:rPr>
          <w:rFonts w:ascii="Cambria" w:hAnsi="Cambria"/>
          <w:sz w:val="16"/>
          <w:szCs w:val="16"/>
          <w:lang w:val="es-PE"/>
        </w:rPr>
        <w:t xml:space="preserve"> Vladimiro Roca Antúnez y otros. Cuba. 24 de febrero de 2018, párr. 133. </w:t>
      </w:r>
    </w:p>
  </w:footnote>
  <w:footnote w:id="185">
    <w:p w14:paraId="53E80B79" w14:textId="0F969ED6"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color w:val="auto"/>
          <w:sz w:val="16"/>
          <w:szCs w:val="16"/>
          <w:vertAlign w:val="superscript"/>
        </w:rPr>
        <w:footnoteRef/>
      </w:r>
      <w:r w:rsidRPr="00116A43">
        <w:rPr>
          <w:rFonts w:ascii="Cambria" w:hAnsi="Cambria"/>
          <w:color w:val="auto"/>
          <w:sz w:val="16"/>
          <w:szCs w:val="16"/>
          <w:lang w:val="es-419"/>
        </w:rPr>
        <w:t xml:space="preserve"> CIDH, Informe No. 71/15, Caso 12.879. </w:t>
      </w:r>
      <w:r w:rsidRPr="00116A43">
        <w:rPr>
          <w:rFonts w:ascii="Cambria" w:hAnsi="Cambria"/>
          <w:color w:val="auto"/>
          <w:sz w:val="16"/>
          <w:szCs w:val="16"/>
          <w:lang w:val="es-ES"/>
        </w:rPr>
        <w:t>Fondo. Vladimir Herzog y otros. Brasil. 28 de octubre de 2015, párr. 149.</w:t>
      </w:r>
    </w:p>
  </w:footnote>
  <w:footnote w:id="186">
    <w:p w14:paraId="14B81C95" w14:textId="5EA86B52"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16"/>
          <w:szCs w:val="16"/>
          <w:u w:color="000000"/>
          <w:bdr w:val="none" w:sz="0" w:space="0" w:color="auto"/>
          <w:lang w:val="es-PE" w:eastAsia="es-ES"/>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eastAsia="Times New Roman" w:hAnsi="Cambria" w:cs="Cambria"/>
          <w:color w:val="000000"/>
          <w:sz w:val="16"/>
          <w:szCs w:val="16"/>
          <w:u w:color="000000"/>
          <w:bdr w:val="none" w:sz="0" w:space="0" w:color="auto"/>
          <w:lang w:val="es-PE" w:eastAsia="es-ES"/>
        </w:rPr>
        <w:t>El artículo VIII de la Declaración Americana establece que: “toda persona tiene el derecho de fijar su residencia en el territorio del Estado de que es nacional, de transitar por él libremente y no abandonarlo sino por su voluntad.”</w:t>
      </w:r>
    </w:p>
  </w:footnote>
  <w:footnote w:id="187">
    <w:p w14:paraId="0003F145" w14:textId="77777777" w:rsidR="00F640DA" w:rsidRPr="00116A43" w:rsidRDefault="00F640DA">
      <w:pPr>
        <w:pStyle w:val="NormalWeb"/>
        <w:spacing w:before="0" w:beforeAutospacing="0" w:after="0" w:afterAutospacing="0"/>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w:t>
      </w:r>
      <w:hyperlink r:id="rId63" w:history="1">
        <w:r w:rsidRPr="00116A43">
          <w:rPr>
            <w:rStyle w:val="Hyperlink"/>
            <w:rFonts w:ascii="Cambria" w:hAnsi="Cambria"/>
            <w:sz w:val="16"/>
            <w:szCs w:val="16"/>
            <w:lang w:val="es-PE"/>
          </w:rPr>
          <w:t>Séptimo Informe sobre la Situación de Derechos Humanos en Cuba, Capítulo VIII</w:t>
        </w:r>
      </w:hyperlink>
      <w:r w:rsidRPr="00116A43">
        <w:rPr>
          <w:rFonts w:ascii="Cambria" w:hAnsi="Cambria"/>
          <w:sz w:val="16"/>
          <w:szCs w:val="16"/>
          <w:lang w:val="es-PE"/>
        </w:rPr>
        <w:t xml:space="preserve">. OEA/Ser.L/V/II.61, Doc.29 rev. 1. 4 octubre 1983, párr. 2; </w:t>
      </w:r>
      <w:r w:rsidRPr="00116A43">
        <w:rPr>
          <w:rFonts w:ascii="Cambria" w:hAnsi="Cambria"/>
          <w:sz w:val="16"/>
          <w:szCs w:val="16"/>
          <w:lang w:val="es-ES_tradnl"/>
        </w:rPr>
        <w:t xml:space="preserve">CIDH. </w:t>
      </w:r>
      <w:r w:rsidRPr="00116A43">
        <w:rPr>
          <w:rFonts w:ascii="Cambria" w:hAnsi="Cambria"/>
          <w:i/>
          <w:sz w:val="16"/>
          <w:szCs w:val="16"/>
          <w:lang w:val="es-ES_tradnl"/>
        </w:rPr>
        <w:t>Diez Años de Actividades 1971-1981</w:t>
      </w:r>
      <w:r w:rsidRPr="00116A43">
        <w:rPr>
          <w:rFonts w:ascii="Cambria" w:hAnsi="Cambria"/>
          <w:sz w:val="16"/>
          <w:szCs w:val="16"/>
          <w:lang w:val="es-ES_tradnl"/>
        </w:rPr>
        <w:t>, Secretaría General de la Organización de los Estados Americanos, Washington, D.C., 1982, pág. 327.</w:t>
      </w:r>
    </w:p>
  </w:footnote>
  <w:footnote w:id="188">
    <w:p w14:paraId="2A45CCD3" w14:textId="6FB80AF3"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ONU. Comité de Derechos Humanos. Observación General No. 27. Artículo 12: La libertad de circulación. 67º período de sesiones. U.N. Doc. HRI/GEN/1/Rev.7 at 202 (1999), párr. 5.</w:t>
      </w:r>
    </w:p>
  </w:footnote>
  <w:footnote w:id="189">
    <w:p w14:paraId="4D3DCEC6" w14:textId="644BD069"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ONU. Comité de Derechos Humanos. Observación General No. 27. Artículo 12: La libertad de circulación. 67º período de sesiones. U.N. Doc. HRI/GEN/1/Rev.7 at 202 (1999), párr. 8. </w:t>
      </w:r>
    </w:p>
  </w:footnote>
  <w:footnote w:id="190">
    <w:p w14:paraId="573257F2" w14:textId="1D43479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ONU. Comité de Derechos Humanos. Observación General No. 27. Artículo 12: La libertad de circulación. 67º período de sesiones. U.N. Doc. HRI/GEN/1/Rev.7 at 202 (1999), párr. 11.</w:t>
      </w:r>
    </w:p>
  </w:footnote>
  <w:footnote w:id="191">
    <w:p w14:paraId="4164CCD6"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es-PE"/>
        </w:rPr>
        <w:t xml:space="preserve"> Corte IDH. </w:t>
      </w:r>
      <w:r w:rsidRPr="00644687">
        <w:rPr>
          <w:rFonts w:ascii="Cambria" w:hAnsi="Cambria"/>
          <w:i/>
          <w:iCs/>
          <w:sz w:val="16"/>
          <w:szCs w:val="16"/>
          <w:lang w:val="es-PE"/>
        </w:rPr>
        <w:t xml:space="preserve">Caso Ricardo Canese Vs. </w:t>
      </w:r>
      <w:r w:rsidRPr="00116A43">
        <w:rPr>
          <w:rFonts w:ascii="Cambria" w:hAnsi="Cambria"/>
          <w:i/>
          <w:iCs/>
          <w:sz w:val="16"/>
          <w:szCs w:val="16"/>
          <w:lang w:val="es-PE"/>
        </w:rPr>
        <w:t>Paraguay</w:t>
      </w:r>
      <w:r w:rsidRPr="00116A43">
        <w:rPr>
          <w:rFonts w:ascii="Cambria" w:hAnsi="Cambria"/>
          <w:sz w:val="16"/>
          <w:szCs w:val="16"/>
          <w:lang w:val="es-PE"/>
        </w:rPr>
        <w:t>. Fondo, Reparaciones y Costas. Sentencia de 31 de agosto de 2004. Serie C No. 111, párr. 123.</w:t>
      </w:r>
    </w:p>
  </w:footnote>
  <w:footnote w:id="192">
    <w:p w14:paraId="5312F320"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es-PE"/>
        </w:rPr>
        <w:t xml:space="preserve"> Corte IDH. </w:t>
      </w:r>
      <w:r w:rsidRPr="00644687">
        <w:rPr>
          <w:rFonts w:ascii="Cambria" w:hAnsi="Cambria"/>
          <w:i/>
          <w:iCs/>
          <w:sz w:val="16"/>
          <w:szCs w:val="16"/>
          <w:lang w:val="es-PE"/>
        </w:rPr>
        <w:t xml:space="preserve">Caso Ricardo Canese Vs. </w:t>
      </w:r>
      <w:r w:rsidRPr="00116A43">
        <w:rPr>
          <w:rFonts w:ascii="Cambria" w:hAnsi="Cambria"/>
          <w:i/>
          <w:iCs/>
          <w:sz w:val="16"/>
          <w:szCs w:val="16"/>
          <w:lang w:val="es-PE"/>
        </w:rPr>
        <w:t>Paraguay</w:t>
      </w:r>
      <w:r w:rsidRPr="00116A43">
        <w:rPr>
          <w:rFonts w:ascii="Cambria" w:hAnsi="Cambria"/>
          <w:sz w:val="16"/>
          <w:szCs w:val="16"/>
          <w:lang w:val="es-PE"/>
        </w:rPr>
        <w:t>. Fondo, Reparaciones y Costas. Sentencia de 31 de agosto de 2004. Serie C No. 111, párr. 125.</w:t>
      </w:r>
    </w:p>
  </w:footnote>
  <w:footnote w:id="193">
    <w:p w14:paraId="1905F41C"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Derechos humanos de migrantes, refugiados, apátridas, víctimas de trata de personas y desplazados internos: Normas y Estándares del Sistema Interamericano de Derechos Humanos, OEA/Ser.L/V/II, Doc. 46/15, 31 diciembre 2015, párr. 261.</w:t>
      </w:r>
    </w:p>
  </w:footnote>
  <w:footnote w:id="194">
    <w:p w14:paraId="147295B7" w14:textId="5A855234"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es-PE"/>
        </w:rPr>
        <w:t xml:space="preserve"> Corte IDH. </w:t>
      </w:r>
      <w:r w:rsidRPr="00644687">
        <w:rPr>
          <w:rFonts w:ascii="Cambria" w:hAnsi="Cambria"/>
          <w:i/>
          <w:sz w:val="16"/>
          <w:szCs w:val="16"/>
          <w:lang w:val="es-PE"/>
        </w:rPr>
        <w:t xml:space="preserve">Caso Ricardo Canese Vs. </w:t>
      </w:r>
      <w:r w:rsidRPr="00116A43">
        <w:rPr>
          <w:rFonts w:ascii="Cambria" w:hAnsi="Cambria"/>
          <w:i/>
          <w:sz w:val="16"/>
          <w:szCs w:val="16"/>
          <w:lang w:val="es-PE"/>
        </w:rPr>
        <w:t>Paraguay</w:t>
      </w:r>
      <w:r w:rsidRPr="00116A43">
        <w:rPr>
          <w:rFonts w:ascii="Cambria" w:hAnsi="Cambria"/>
          <w:sz w:val="16"/>
          <w:szCs w:val="16"/>
          <w:lang w:val="es-PE"/>
        </w:rPr>
        <w:t>. Fondo, Reparaciones y Costas. Sentencia de 31 de agosto de 2004. Serie C No. 111, párr. 133.</w:t>
      </w:r>
    </w:p>
  </w:footnote>
  <w:footnote w:id="195">
    <w:p w14:paraId="0AE64229" w14:textId="113C3B41"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Resolución 18/83, Caso 2711, Uruguay, 30 de junio de 1983, párr. 4 y punto resolutivo 2. </w:t>
      </w:r>
    </w:p>
  </w:footnote>
  <w:footnote w:id="196">
    <w:p w14:paraId="056BD3E4" w14:textId="77777777" w:rsidR="00F640DA" w:rsidRPr="00116A43" w:rsidRDefault="00F640DA">
      <w:pPr>
        <w:pBdr>
          <w:top w:val="none" w:sz="0" w:space="0" w:color="auto"/>
          <w:left w:val="none" w:sz="0" w:space="0" w:color="auto"/>
          <w:bottom w:val="none" w:sz="0" w:space="0" w:color="auto"/>
          <w:right w:val="none" w:sz="0" w:space="0" w:color="auto"/>
        </w:pBdr>
        <w:jc w:val="both"/>
        <w:rPr>
          <w:rFonts w:ascii="Cambria" w:hAnsi="Cambria"/>
          <w:sz w:val="16"/>
          <w:szCs w:val="16"/>
        </w:rPr>
      </w:pPr>
      <w:r w:rsidRPr="00116A43">
        <w:rPr>
          <w:rFonts w:ascii="Cambria" w:hAnsi="Cambria"/>
          <w:sz w:val="16"/>
          <w:szCs w:val="16"/>
          <w:vertAlign w:val="superscript"/>
        </w:rPr>
        <w:footnoteRef/>
      </w:r>
      <w:r w:rsidRPr="00116A43">
        <w:rPr>
          <w:rFonts w:ascii="Cambria" w:hAnsi="Cambria"/>
          <w:sz w:val="16"/>
          <w:szCs w:val="16"/>
          <w:lang w:val="es-PE"/>
        </w:rPr>
        <w:t xml:space="preserve"> </w:t>
      </w:r>
      <w:r w:rsidRPr="00116A43">
        <w:rPr>
          <w:rFonts w:ascii="Cambria" w:hAnsi="Cambria" w:cs="Cambria"/>
          <w:color w:val="000000"/>
          <w:sz w:val="16"/>
          <w:szCs w:val="16"/>
          <w:u w:color="000000"/>
          <w:lang w:val="es-PE" w:eastAsia="es-ES"/>
        </w:rPr>
        <w:t>CIDH. Resolución 42/81, Caso 3992, Cuba, 25 de junio de 1981, punto resolutivo 2.</w:t>
      </w:r>
    </w:p>
  </w:footnote>
  <w:footnote w:id="197">
    <w:p w14:paraId="06C40C7E" w14:textId="5670A17C"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Séptimo Informe sobre la Situación de Derechos Humanos en Cuba, Capítulo VIII, OEA/Ser.L/V/II.61, Doc.29 rev. 1, 4 octubre 1983, párr. 6.</w:t>
      </w:r>
    </w:p>
  </w:footnote>
  <w:footnote w:id="198">
    <w:p w14:paraId="2A1FEBA2" w14:textId="152A848F"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Anual 2012. </w:t>
      </w:r>
      <w:r w:rsidRPr="00F33056">
        <w:rPr>
          <w:rFonts w:ascii="Cambria" w:hAnsi="Cambria"/>
          <w:sz w:val="16"/>
          <w:szCs w:val="16"/>
          <w:lang w:val="es-PE"/>
        </w:rPr>
        <w:t>Cap</w:t>
      </w:r>
      <w:r>
        <w:rPr>
          <w:rFonts w:ascii="Cambria" w:hAnsi="Cambria"/>
          <w:sz w:val="16"/>
          <w:szCs w:val="16"/>
          <w:lang w:val="es-PE"/>
        </w:rPr>
        <w:t>ítulo</w:t>
      </w:r>
      <w:r w:rsidRPr="00F33056">
        <w:rPr>
          <w:rFonts w:ascii="Cambria" w:hAnsi="Cambria"/>
          <w:sz w:val="16"/>
          <w:szCs w:val="16"/>
          <w:lang w:val="es-PE"/>
        </w:rPr>
        <w:t xml:space="preserve"> </w:t>
      </w:r>
      <w:r w:rsidRPr="003D0D74">
        <w:rPr>
          <w:rFonts w:ascii="Cambria" w:hAnsi="Cambria"/>
          <w:sz w:val="16"/>
          <w:szCs w:val="16"/>
          <w:lang w:val="es-PE"/>
        </w:rPr>
        <w:t xml:space="preserve">IV.B, Cuba, </w:t>
      </w:r>
      <w:r w:rsidRPr="00116A43">
        <w:rPr>
          <w:rFonts w:ascii="Cambria" w:hAnsi="Cambria"/>
          <w:sz w:val="16"/>
          <w:szCs w:val="16"/>
          <w:lang w:val="es-PE"/>
        </w:rPr>
        <w:t>párr. 94.</w:t>
      </w:r>
    </w:p>
  </w:footnote>
  <w:footnote w:id="199">
    <w:p w14:paraId="259F5FA0" w14:textId="084CA519"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w:t>
      </w:r>
      <w:hyperlink r:id="rId64" w:history="1">
        <w:r w:rsidRPr="00116A43">
          <w:rPr>
            <w:rStyle w:val="Hyperlink"/>
            <w:rFonts w:ascii="Cambria" w:hAnsi="Cambria"/>
            <w:sz w:val="16"/>
            <w:szCs w:val="16"/>
            <w:lang w:val="es-PE"/>
          </w:rPr>
          <w:t>. 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w:t>
      </w:r>
      <w:r w:rsidRPr="00116A43">
        <w:rPr>
          <w:rFonts w:ascii="Cambria" w:hAnsi="Cambria"/>
          <w:sz w:val="16"/>
          <w:szCs w:val="16"/>
          <w:lang w:val="es-PE"/>
        </w:rPr>
        <w:t xml:space="preserve"> 89. </w:t>
      </w:r>
    </w:p>
  </w:footnote>
  <w:footnote w:id="200">
    <w:p w14:paraId="6E243252" w14:textId="7F665AB6" w:rsidR="00F640DA" w:rsidRPr="00644687"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Anual 2012. </w:t>
      </w:r>
      <w:r w:rsidRPr="00F33056">
        <w:rPr>
          <w:rFonts w:ascii="Cambria" w:hAnsi="Cambria"/>
          <w:sz w:val="16"/>
          <w:szCs w:val="16"/>
          <w:lang w:val="es-PE"/>
        </w:rPr>
        <w:t>Cap</w:t>
      </w:r>
      <w:r>
        <w:rPr>
          <w:rFonts w:ascii="Cambria" w:hAnsi="Cambria"/>
          <w:sz w:val="16"/>
          <w:szCs w:val="16"/>
          <w:lang w:val="es-PE"/>
        </w:rPr>
        <w:t>ítulo</w:t>
      </w:r>
      <w:r w:rsidRPr="00F33056">
        <w:rPr>
          <w:rFonts w:ascii="Cambria" w:hAnsi="Cambria"/>
          <w:sz w:val="16"/>
          <w:szCs w:val="16"/>
          <w:lang w:val="es-PE"/>
        </w:rPr>
        <w:t xml:space="preserve"> </w:t>
      </w:r>
      <w:r w:rsidRPr="003D0D74">
        <w:rPr>
          <w:rFonts w:ascii="Cambria" w:hAnsi="Cambria"/>
          <w:sz w:val="16"/>
          <w:szCs w:val="16"/>
          <w:lang w:val="es-PE"/>
        </w:rPr>
        <w:t xml:space="preserve">IV.B, Cuba, </w:t>
      </w:r>
      <w:r w:rsidRPr="00116A43">
        <w:rPr>
          <w:rFonts w:ascii="Cambria" w:hAnsi="Cambria"/>
          <w:sz w:val="16"/>
          <w:szCs w:val="16"/>
          <w:lang w:val="es-PE"/>
        </w:rPr>
        <w:t xml:space="preserve">párr. </w:t>
      </w:r>
      <w:r w:rsidRPr="00644687">
        <w:rPr>
          <w:rFonts w:ascii="Cambria" w:hAnsi="Cambria"/>
          <w:sz w:val="16"/>
          <w:szCs w:val="16"/>
          <w:lang w:val="es-PE"/>
        </w:rPr>
        <w:t xml:space="preserve">95. </w:t>
      </w:r>
    </w:p>
  </w:footnote>
  <w:footnote w:id="201">
    <w:p w14:paraId="10F64F22" w14:textId="1739BBD5"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es-PE"/>
        </w:rPr>
        <w:t xml:space="preserve"> CIDH, Informe Anual de 2015. </w:t>
      </w:r>
      <w:r w:rsidRPr="00F33056">
        <w:rPr>
          <w:rFonts w:ascii="Cambria" w:hAnsi="Cambria"/>
          <w:sz w:val="16"/>
          <w:szCs w:val="16"/>
          <w:lang w:val="es-PE"/>
        </w:rPr>
        <w:t>Cap</w:t>
      </w:r>
      <w:r>
        <w:rPr>
          <w:rFonts w:ascii="Cambria" w:hAnsi="Cambria"/>
          <w:sz w:val="16"/>
          <w:szCs w:val="16"/>
          <w:lang w:val="es-PE"/>
        </w:rPr>
        <w:t>ítulo</w:t>
      </w:r>
      <w:r w:rsidRPr="00F33056">
        <w:rPr>
          <w:rFonts w:ascii="Cambria" w:hAnsi="Cambria"/>
          <w:sz w:val="16"/>
          <w:szCs w:val="16"/>
          <w:lang w:val="es-PE"/>
        </w:rPr>
        <w:t xml:space="preserve"> </w:t>
      </w:r>
      <w:r w:rsidRPr="003D0D74">
        <w:rPr>
          <w:rFonts w:ascii="Cambria" w:hAnsi="Cambria"/>
          <w:sz w:val="16"/>
          <w:szCs w:val="16"/>
          <w:lang w:val="es-PE"/>
        </w:rPr>
        <w:t xml:space="preserve">IV.B, Cuba, </w:t>
      </w:r>
      <w:r w:rsidRPr="00644687">
        <w:rPr>
          <w:rFonts w:ascii="Cambria" w:hAnsi="Cambria"/>
          <w:sz w:val="16"/>
          <w:szCs w:val="16"/>
          <w:lang w:val="es-PE"/>
        </w:rPr>
        <w:t xml:space="preserve">párrs. </w:t>
      </w:r>
      <w:r w:rsidRPr="00116A43">
        <w:rPr>
          <w:rFonts w:ascii="Cambria" w:hAnsi="Cambria"/>
          <w:sz w:val="16"/>
          <w:szCs w:val="16"/>
          <w:lang w:val="pt-BR"/>
        </w:rPr>
        <w:t>66-70; Informe Anual de 2017</w:t>
      </w:r>
      <w:r>
        <w:rPr>
          <w:rFonts w:ascii="Cambria" w:hAnsi="Cambria"/>
          <w:sz w:val="16"/>
          <w:szCs w:val="16"/>
          <w:lang w:val="pt-BR"/>
        </w:rPr>
        <w:t xml:space="preserve">. </w:t>
      </w:r>
      <w:r w:rsidRPr="00644687">
        <w:rPr>
          <w:rFonts w:ascii="Cambria" w:hAnsi="Cambria"/>
          <w:sz w:val="16"/>
          <w:szCs w:val="16"/>
          <w:lang w:val="pt-BR"/>
        </w:rPr>
        <w:t xml:space="preserve">Capítulo IV.B, Cuba, </w:t>
      </w:r>
      <w:r w:rsidRPr="00116A43">
        <w:rPr>
          <w:rFonts w:ascii="Cambria" w:hAnsi="Cambria"/>
          <w:sz w:val="16"/>
          <w:szCs w:val="16"/>
          <w:lang w:val="pt-BR"/>
        </w:rPr>
        <w:t>párr. 50; Informe Anual de 2018</w:t>
      </w:r>
      <w:r>
        <w:rPr>
          <w:rFonts w:ascii="Cambria" w:hAnsi="Cambria"/>
          <w:sz w:val="16"/>
          <w:szCs w:val="16"/>
          <w:lang w:val="pt-BR"/>
        </w:rPr>
        <w:t xml:space="preserve">. </w:t>
      </w:r>
      <w:r w:rsidRPr="00F33056">
        <w:rPr>
          <w:rFonts w:ascii="Cambria" w:hAnsi="Cambria"/>
          <w:sz w:val="16"/>
          <w:szCs w:val="16"/>
          <w:lang w:val="es-PE"/>
        </w:rPr>
        <w:t>Cap</w:t>
      </w:r>
      <w:r>
        <w:rPr>
          <w:rFonts w:ascii="Cambria" w:hAnsi="Cambria"/>
          <w:sz w:val="16"/>
          <w:szCs w:val="16"/>
          <w:lang w:val="es-PE"/>
        </w:rPr>
        <w:t>ítulo</w:t>
      </w:r>
      <w:r w:rsidRPr="00F33056">
        <w:rPr>
          <w:rFonts w:ascii="Cambria" w:hAnsi="Cambria"/>
          <w:sz w:val="16"/>
          <w:szCs w:val="16"/>
          <w:lang w:val="es-PE"/>
        </w:rPr>
        <w:t xml:space="preserve"> </w:t>
      </w:r>
      <w:r w:rsidRPr="003D0D74">
        <w:rPr>
          <w:rFonts w:ascii="Cambria" w:hAnsi="Cambria"/>
          <w:sz w:val="16"/>
          <w:szCs w:val="16"/>
          <w:lang w:val="es-PE"/>
        </w:rPr>
        <w:t xml:space="preserve">IV.B, Cuba, </w:t>
      </w:r>
      <w:r w:rsidRPr="00644687">
        <w:rPr>
          <w:rFonts w:ascii="Cambria" w:hAnsi="Cambria"/>
          <w:sz w:val="16"/>
          <w:szCs w:val="16"/>
          <w:lang w:val="es-US"/>
        </w:rPr>
        <w:t>párrs. 55-60;</w:t>
      </w:r>
      <w:hyperlink r:id="rId65" w:history="1">
        <w:r w:rsidRPr="00644687">
          <w:rPr>
            <w:rStyle w:val="Hyperlink"/>
            <w:rFonts w:ascii="Cambria" w:hAnsi="Cambria"/>
            <w:sz w:val="16"/>
            <w:szCs w:val="16"/>
            <w:lang w:val="es-US"/>
          </w:rPr>
          <w:t xml:space="preserve"> </w:t>
        </w:r>
        <w:r w:rsidRPr="00116A43">
          <w:rPr>
            <w:rStyle w:val="Hyperlink"/>
            <w:rFonts w:ascii="Cambria" w:hAnsi="Cambria"/>
            <w:sz w:val="16"/>
            <w:szCs w:val="16"/>
            <w:lang w:val="es-PE"/>
          </w:rPr>
          <w:t>Informe sobre la Situación de los derechos humanos en Cuba</w:t>
        </w:r>
      </w:hyperlink>
      <w:r w:rsidRPr="00116A43">
        <w:rPr>
          <w:rFonts w:ascii="Cambria" w:hAnsi="Cambria"/>
          <w:sz w:val="16"/>
          <w:szCs w:val="16"/>
          <w:lang w:val="es-PE"/>
        </w:rPr>
        <w:t>. 3 de febrero de 2020</w:t>
      </w:r>
      <w:r w:rsidRPr="00116A43">
        <w:rPr>
          <w:rFonts w:ascii="Cambria" w:hAnsi="Cambria"/>
          <w:sz w:val="16"/>
          <w:szCs w:val="16"/>
          <w:lang w:val="es-MX"/>
        </w:rPr>
        <w:t>,</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w:t>
      </w:r>
      <w:r w:rsidRPr="00116A43">
        <w:rPr>
          <w:rFonts w:ascii="Cambria" w:hAnsi="Cambria"/>
          <w:sz w:val="16"/>
          <w:szCs w:val="16"/>
          <w:lang w:val="es-PE"/>
        </w:rPr>
        <w:t>. 203.</w:t>
      </w:r>
    </w:p>
  </w:footnote>
  <w:footnote w:id="202">
    <w:p w14:paraId="2EE41782" w14:textId="6A61CF49" w:rsidR="00F640DA" w:rsidRPr="00116A43" w:rsidRDefault="00F640DA">
      <w:pPr>
        <w:autoSpaceDE w:val="0"/>
        <w:autoSpaceDN w:val="0"/>
        <w:adjustRightInd w:val="0"/>
        <w:jc w:val="both"/>
        <w:rPr>
          <w:rFonts w:ascii="Cambria" w:hAnsi="Cambria" w:cs="Arial"/>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bdr w:val="none" w:sz="0" w:space="0" w:color="auto"/>
          <w:lang w:val="es-ES_tradnl"/>
        </w:rPr>
        <w:t>La Declaración Americana señala en su artículo XXI que:</w:t>
      </w:r>
      <w:r w:rsidRPr="00116A43">
        <w:rPr>
          <w:rFonts w:ascii="Cambria" w:hAnsi="Cambria" w:cs="Arial"/>
          <w:sz w:val="16"/>
          <w:szCs w:val="16"/>
          <w:lang w:val="es-PE"/>
        </w:rPr>
        <w:t xml:space="preserve"> </w:t>
      </w:r>
      <w:r w:rsidRPr="00116A43">
        <w:rPr>
          <w:rFonts w:ascii="Cambria" w:hAnsi="Cambria"/>
          <w:sz w:val="16"/>
          <w:szCs w:val="16"/>
          <w:bdr w:val="none" w:sz="0" w:space="0" w:color="auto"/>
          <w:lang w:val="es-PE"/>
        </w:rPr>
        <w:t>“[t]</w:t>
      </w:r>
      <w:r w:rsidRPr="00116A43">
        <w:rPr>
          <w:rFonts w:ascii="Cambria" w:hAnsi="Cambria"/>
          <w:sz w:val="16"/>
          <w:szCs w:val="16"/>
          <w:bdr w:val="none" w:sz="0" w:space="0" w:color="auto"/>
          <w:lang w:val="es-ES_tradnl"/>
        </w:rPr>
        <w:t>oda persona tiene el derecho de reunirse pacíficamente con otras, en manifestación pública o en asamblea transitoria, en relación con sus intereses comunes de cualquier índole.</w:t>
      </w:r>
    </w:p>
  </w:footnote>
  <w:footnote w:id="203">
    <w:p w14:paraId="7D579456" w14:textId="013B542D"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16"/>
          <w:szCs w:val="16"/>
          <w:bdr w:val="none" w:sz="0" w:space="0" w:color="auto"/>
          <w:lang w:val="es-ES_tradnl"/>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bdr w:val="none" w:sz="0" w:space="0" w:color="auto"/>
          <w:lang w:val="es-ES_tradnl"/>
        </w:rPr>
        <w:t>El artículo XXII de la Declaración Americana establece que: “[t]oda persona tiene el derecho de asociarse con otras para promover, ejercer y proteger sus intereses legítimos de orden político, económico, religioso, social, cultural, profesional, sindical o de cualquier otro orden”.</w:t>
      </w:r>
    </w:p>
  </w:footnote>
  <w:footnote w:id="204">
    <w:p w14:paraId="44448C5A" w14:textId="77768D1B"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CIDH. Relatoría Especial para la Libertad de Expresión. </w:t>
      </w:r>
      <w:hyperlink r:id="rId66" w:history="1">
        <w:r w:rsidRPr="00116A43">
          <w:rPr>
            <w:rStyle w:val="Hyperlink"/>
            <w:rFonts w:ascii="Cambria" w:hAnsi="Cambria"/>
            <w:i/>
            <w:iCs/>
            <w:sz w:val="16"/>
            <w:szCs w:val="16"/>
            <w:lang w:val="es-PE"/>
          </w:rPr>
          <w:t>Informe sobre Protesta y Derechos Humanos</w:t>
        </w:r>
      </w:hyperlink>
      <w:r w:rsidRPr="00116A43">
        <w:rPr>
          <w:rFonts w:ascii="Cambria" w:hAnsi="Cambria"/>
          <w:sz w:val="16"/>
          <w:szCs w:val="16"/>
          <w:lang w:val="es-PE"/>
        </w:rPr>
        <w:t>. OEA/Ser.L/V/II CIDH/RELE/INF.22/19, 2019, párr. 19.</w:t>
      </w:r>
    </w:p>
  </w:footnote>
  <w:footnote w:id="205">
    <w:p w14:paraId="6814C836" w14:textId="1CE7A622" w:rsidR="00F640DA" w:rsidRPr="00644687" w:rsidRDefault="00F640DA" w:rsidP="003D0D74">
      <w:pPr>
        <w:pStyle w:val="FootnoteText"/>
        <w:jc w:val="both"/>
        <w:rPr>
          <w:rFonts w:ascii="Cambria" w:hAnsi="Cambria"/>
          <w:sz w:val="16"/>
          <w:szCs w:val="16"/>
          <w:lang w:val="es-US"/>
        </w:rPr>
      </w:pPr>
      <w:r w:rsidRPr="00116A43">
        <w:rPr>
          <w:rFonts w:ascii="Cambria" w:hAnsi="Cambria"/>
          <w:sz w:val="16"/>
          <w:szCs w:val="16"/>
          <w:vertAlign w:val="superscript"/>
        </w:rPr>
        <w:footnoteRef/>
      </w:r>
      <w:r w:rsidRPr="00116A43">
        <w:rPr>
          <w:rFonts w:ascii="Cambria" w:hAnsi="Cambria"/>
          <w:sz w:val="16"/>
          <w:szCs w:val="16"/>
          <w:lang w:val="es-PE"/>
        </w:rPr>
        <w:t xml:space="preserve"> CIDH. </w:t>
      </w:r>
      <w:hyperlink r:id="rId67" w:history="1">
        <w:r w:rsidRPr="001B62A0">
          <w:rPr>
            <w:rStyle w:val="Hyperlink"/>
            <w:rFonts w:ascii="Cambria" w:hAnsi="Cambria"/>
            <w:sz w:val="16"/>
            <w:szCs w:val="16"/>
            <w:lang w:val="es-PE"/>
          </w:rPr>
          <w:t xml:space="preserve">Informe sobre la situación de </w:t>
        </w:r>
        <w:proofErr w:type="gramStart"/>
        <w:r w:rsidRPr="001B62A0">
          <w:rPr>
            <w:rStyle w:val="Hyperlink"/>
            <w:rFonts w:ascii="Cambria" w:hAnsi="Cambria"/>
            <w:sz w:val="16"/>
            <w:szCs w:val="16"/>
            <w:lang w:val="es-PE"/>
          </w:rPr>
          <w:t>las defensoras y defensores</w:t>
        </w:r>
        <w:proofErr w:type="gramEnd"/>
        <w:r w:rsidRPr="001B62A0">
          <w:rPr>
            <w:rStyle w:val="Hyperlink"/>
            <w:rFonts w:ascii="Cambria" w:hAnsi="Cambria"/>
            <w:sz w:val="16"/>
            <w:szCs w:val="16"/>
            <w:lang w:val="es-PE"/>
          </w:rPr>
          <w:t xml:space="preserve"> de los derechos humanos en las Américas</w:t>
        </w:r>
      </w:hyperlink>
      <w:r>
        <w:rPr>
          <w:rFonts w:ascii="Cambria" w:hAnsi="Cambria"/>
          <w:sz w:val="16"/>
          <w:szCs w:val="16"/>
          <w:lang w:val="es-PE"/>
        </w:rPr>
        <w:t xml:space="preserve">. </w:t>
      </w:r>
      <w:r>
        <w:rPr>
          <w:rFonts w:ascii="Cambria" w:hAnsi="Cambria"/>
          <w:sz w:val="16"/>
          <w:szCs w:val="16"/>
          <w:lang w:val="es-US"/>
        </w:rPr>
        <w:t>OEA/Ser.L/V/II 124. Doc 5 rev. 1. 7 de marzo de</w:t>
      </w:r>
      <w:r w:rsidRPr="00116A43">
        <w:rPr>
          <w:rFonts w:ascii="Cambria" w:hAnsi="Cambria"/>
          <w:sz w:val="16"/>
          <w:szCs w:val="16"/>
          <w:lang w:val="es-PE"/>
        </w:rPr>
        <w:t xml:space="preserve"> 2006, párr. 52.</w:t>
      </w:r>
    </w:p>
  </w:footnote>
  <w:footnote w:id="206">
    <w:p w14:paraId="0051AD9E" w14:textId="7DDD3253"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lang w:val="pt-BR"/>
        </w:rPr>
        <w:footnoteRef/>
      </w:r>
      <w:r w:rsidRPr="00116A43">
        <w:rPr>
          <w:rFonts w:ascii="Cambria" w:hAnsi="Cambria"/>
          <w:sz w:val="16"/>
          <w:szCs w:val="16"/>
          <w:lang w:val="es-PE"/>
        </w:rPr>
        <w:t xml:space="preserve"> CIDH. </w:t>
      </w:r>
      <w:hyperlink r:id="rId68" w:history="1">
        <w:r w:rsidRPr="001B62A0">
          <w:rPr>
            <w:rStyle w:val="Hyperlink"/>
            <w:rFonts w:ascii="Cambria" w:hAnsi="Cambria"/>
            <w:sz w:val="16"/>
            <w:szCs w:val="16"/>
            <w:lang w:val="es-PE"/>
          </w:rPr>
          <w:t xml:space="preserve">Informe sobre la situación de </w:t>
        </w:r>
        <w:proofErr w:type="gramStart"/>
        <w:r w:rsidRPr="001B62A0">
          <w:rPr>
            <w:rStyle w:val="Hyperlink"/>
            <w:rFonts w:ascii="Cambria" w:hAnsi="Cambria"/>
            <w:sz w:val="16"/>
            <w:szCs w:val="16"/>
            <w:lang w:val="es-PE"/>
          </w:rPr>
          <w:t>las defensoras y defensores</w:t>
        </w:r>
        <w:proofErr w:type="gramEnd"/>
        <w:r w:rsidRPr="001B62A0">
          <w:rPr>
            <w:rStyle w:val="Hyperlink"/>
            <w:rFonts w:ascii="Cambria" w:hAnsi="Cambria"/>
            <w:sz w:val="16"/>
            <w:szCs w:val="16"/>
            <w:lang w:val="es-PE"/>
          </w:rPr>
          <w:t xml:space="preserve"> de los derechos humanos en las Américas</w:t>
        </w:r>
      </w:hyperlink>
      <w:r>
        <w:rPr>
          <w:rFonts w:ascii="Cambria" w:hAnsi="Cambria"/>
          <w:sz w:val="16"/>
          <w:szCs w:val="16"/>
          <w:lang w:val="es-PE"/>
        </w:rPr>
        <w:t xml:space="preserve">. </w:t>
      </w:r>
      <w:r>
        <w:rPr>
          <w:rFonts w:ascii="Cambria" w:hAnsi="Cambria"/>
          <w:sz w:val="16"/>
          <w:szCs w:val="16"/>
          <w:lang w:val="es-US"/>
        </w:rPr>
        <w:t>OEA/Ser.L/V/II 124. Doc 5 rev. 1. 7 de marzo de</w:t>
      </w:r>
      <w:r w:rsidRPr="00116A43">
        <w:rPr>
          <w:rFonts w:ascii="Cambria" w:hAnsi="Cambria"/>
          <w:sz w:val="16"/>
          <w:szCs w:val="16"/>
          <w:lang w:val="es-PE"/>
        </w:rPr>
        <w:t xml:space="preserve"> 2006</w:t>
      </w:r>
      <w:r>
        <w:rPr>
          <w:rFonts w:ascii="Cambria" w:hAnsi="Cambria"/>
          <w:sz w:val="16"/>
          <w:szCs w:val="16"/>
          <w:lang w:val="es-PE"/>
        </w:rPr>
        <w:t xml:space="preserve">, </w:t>
      </w:r>
      <w:r w:rsidRPr="00116A43">
        <w:rPr>
          <w:rFonts w:ascii="Cambria" w:hAnsi="Cambria"/>
          <w:sz w:val="16"/>
          <w:szCs w:val="16"/>
          <w:lang w:val="es-PE"/>
        </w:rPr>
        <w:t xml:space="preserve">párr. 53. </w:t>
      </w:r>
    </w:p>
  </w:footnote>
  <w:footnote w:id="207">
    <w:p w14:paraId="6782937B" w14:textId="329437AA" w:rsidR="00F640DA" w:rsidRPr="00116A43" w:rsidRDefault="00F640DA">
      <w:pPr>
        <w:pStyle w:val="FootnoteText"/>
        <w:jc w:val="both"/>
        <w:rPr>
          <w:rFonts w:ascii="Cambria" w:hAnsi="Cambria"/>
          <w:sz w:val="16"/>
          <w:szCs w:val="16"/>
          <w:lang w:val="pt-BR"/>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69" w:history="1">
        <w:r w:rsidRPr="00116A43">
          <w:rPr>
            <w:rStyle w:val="Hyperlink"/>
            <w:rFonts w:ascii="Cambria" w:hAnsi="Cambria"/>
            <w:i/>
            <w:iCs/>
            <w:sz w:val="16"/>
            <w:szCs w:val="16"/>
            <w:lang w:val="es-PE"/>
          </w:rPr>
          <w:t>Informe sobre Protesta y Derechos Humanos</w:t>
        </w:r>
      </w:hyperlink>
      <w:r w:rsidRPr="00116A43">
        <w:rPr>
          <w:rFonts w:ascii="Cambria" w:hAnsi="Cambria"/>
          <w:sz w:val="16"/>
          <w:szCs w:val="16"/>
          <w:lang w:val="es-PE"/>
        </w:rPr>
        <w:t xml:space="preserve">. </w:t>
      </w:r>
      <w:r w:rsidRPr="00644687">
        <w:rPr>
          <w:rFonts w:ascii="Cambria" w:hAnsi="Cambria"/>
          <w:sz w:val="16"/>
          <w:szCs w:val="16"/>
          <w:lang w:val="pt-BR"/>
        </w:rPr>
        <w:t xml:space="preserve">OEA/Ser.L/V/II CIDH/RELE/INF.22/19, 2019, párr. </w:t>
      </w:r>
      <w:r w:rsidRPr="00116A43">
        <w:rPr>
          <w:rFonts w:ascii="Cambria" w:hAnsi="Cambria"/>
          <w:sz w:val="16"/>
          <w:szCs w:val="16"/>
          <w:lang w:val="pt-BR"/>
        </w:rPr>
        <w:t>20.</w:t>
      </w:r>
    </w:p>
  </w:footnote>
  <w:footnote w:id="208">
    <w:p w14:paraId="587E2C63" w14:textId="044CF0EB"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lang w:val="pt-BR"/>
        </w:rPr>
        <w:footnoteRef/>
      </w:r>
      <w:r w:rsidRPr="00116A43">
        <w:rPr>
          <w:rFonts w:ascii="Cambria" w:hAnsi="Cambria"/>
          <w:sz w:val="16"/>
          <w:szCs w:val="16"/>
          <w:vertAlign w:val="superscript"/>
          <w:lang w:val="pt-BR"/>
        </w:rPr>
        <w:t xml:space="preserve"> </w:t>
      </w:r>
      <w:r w:rsidRPr="00116A43">
        <w:rPr>
          <w:rFonts w:ascii="Cambria" w:hAnsi="Cambria"/>
          <w:sz w:val="16"/>
          <w:szCs w:val="16"/>
          <w:lang w:val="pt-BR"/>
        </w:rPr>
        <w:t xml:space="preserve">CIDH, Informe Nº 27/18, Caso Nº 12.127. </w:t>
      </w:r>
      <w:r w:rsidRPr="00116A43">
        <w:rPr>
          <w:rFonts w:ascii="Cambria" w:hAnsi="Cambria"/>
          <w:sz w:val="16"/>
          <w:szCs w:val="16"/>
          <w:lang w:val="es-PE"/>
        </w:rPr>
        <w:t>Fondo. Vladimiro Roca Antúnez y otros. Cuba. 24 de febrero de 2018, párr. 83.</w:t>
      </w:r>
    </w:p>
  </w:footnote>
  <w:footnote w:id="209">
    <w:p w14:paraId="7B79AF53" w14:textId="3028E55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lang w:val="pt-BR"/>
        </w:rPr>
        <w:footnoteRef/>
      </w:r>
      <w:r w:rsidRPr="00644687">
        <w:rPr>
          <w:rFonts w:ascii="Cambria" w:hAnsi="Cambria"/>
          <w:sz w:val="16"/>
          <w:szCs w:val="16"/>
          <w:vertAlign w:val="superscript"/>
          <w:lang w:val="es-US"/>
        </w:rPr>
        <w:t xml:space="preserve"> </w:t>
      </w:r>
      <w:r w:rsidRPr="00644687">
        <w:rPr>
          <w:rFonts w:ascii="Cambria" w:hAnsi="Cambria"/>
          <w:sz w:val="16"/>
          <w:szCs w:val="16"/>
          <w:lang w:val="es-US"/>
        </w:rPr>
        <w:t xml:space="preserve">CIDH, Informe N.º 73/11, Caso 11.395. </w:t>
      </w:r>
      <w:r w:rsidRPr="00116A43">
        <w:rPr>
          <w:rFonts w:ascii="Cambria" w:hAnsi="Cambria"/>
          <w:sz w:val="16"/>
          <w:szCs w:val="16"/>
          <w:lang w:val="es-PE"/>
        </w:rPr>
        <w:t xml:space="preserve">Fondo. Juan José López, Argentina, 20 de julio de 2011, párr. 56.  </w:t>
      </w:r>
    </w:p>
  </w:footnote>
  <w:footnote w:id="210">
    <w:p w14:paraId="2D9449FE" w14:textId="11CCA36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 </w:t>
      </w:r>
      <w:r w:rsidRPr="00116A43">
        <w:rPr>
          <w:rFonts w:ascii="Cambria" w:hAnsi="Cambria"/>
          <w:i/>
          <w:sz w:val="16"/>
          <w:szCs w:val="16"/>
          <w:lang w:val="es-PE"/>
        </w:rPr>
        <w:t>Caso Escher y otros Vs. Brasil.</w:t>
      </w:r>
      <w:r w:rsidRPr="00116A43">
        <w:rPr>
          <w:rFonts w:ascii="Cambria" w:hAnsi="Cambria"/>
          <w:sz w:val="16"/>
          <w:szCs w:val="16"/>
          <w:lang w:val="es-PE"/>
        </w:rPr>
        <w:t xml:space="preserve"> Excepciones Preliminares, Fondo, Reparaciones y Costas. Sentencia de 6 de julio de 2009. Serie C No. 200, párr. 169.</w:t>
      </w:r>
      <w:r>
        <w:rPr>
          <w:rFonts w:ascii="Cambria" w:hAnsi="Cambria"/>
          <w:sz w:val="16"/>
          <w:szCs w:val="16"/>
          <w:lang w:val="es-PE"/>
        </w:rPr>
        <w:t xml:space="preserve"> </w:t>
      </w:r>
    </w:p>
  </w:footnote>
  <w:footnote w:id="211">
    <w:p w14:paraId="0647F7D2" w14:textId="44C7B926"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pt-BR"/>
        </w:rPr>
      </w:pPr>
      <w:r w:rsidRPr="00116A43">
        <w:rPr>
          <w:rFonts w:ascii="Cambria" w:hAnsi="Cambria"/>
          <w:sz w:val="16"/>
          <w:szCs w:val="16"/>
          <w:vertAlign w:val="superscript"/>
          <w:lang w:val="pt-BR"/>
        </w:rPr>
        <w:footnoteRef/>
      </w:r>
      <w:r w:rsidRPr="00116A43">
        <w:rPr>
          <w:rFonts w:ascii="Cambria" w:hAnsi="Cambria"/>
          <w:sz w:val="16"/>
          <w:szCs w:val="16"/>
          <w:vertAlign w:val="superscript"/>
          <w:lang w:val="es-PE"/>
        </w:rPr>
        <w:t xml:space="preserve"> </w:t>
      </w:r>
      <w:r w:rsidRPr="00116A43">
        <w:rPr>
          <w:rFonts w:ascii="Cambria" w:hAnsi="Cambria"/>
          <w:sz w:val="16"/>
          <w:szCs w:val="16"/>
          <w:lang w:val="es-PE"/>
        </w:rPr>
        <w:t xml:space="preserve">CIDH. Relatoría Especial para la Libertad de Expresión. </w:t>
      </w:r>
      <w:hyperlink r:id="rId70" w:history="1">
        <w:r w:rsidRPr="00116A43">
          <w:rPr>
            <w:rStyle w:val="Hyperlink"/>
            <w:rFonts w:ascii="Cambria" w:hAnsi="Cambria"/>
            <w:i/>
            <w:iCs/>
            <w:sz w:val="16"/>
            <w:szCs w:val="16"/>
            <w:lang w:val="es-PE"/>
          </w:rPr>
          <w:t>Informe sobre Protesta y Derechos Humanos</w:t>
        </w:r>
      </w:hyperlink>
      <w:r w:rsidRPr="00116A43">
        <w:rPr>
          <w:rFonts w:ascii="Cambria" w:hAnsi="Cambria"/>
          <w:sz w:val="16"/>
          <w:szCs w:val="16"/>
          <w:lang w:val="es-PE"/>
        </w:rPr>
        <w:t xml:space="preserve">. OEA/Ser.L/V/II CIDH/RELE/INF.22/19, 2019, párr. </w:t>
      </w:r>
      <w:r w:rsidRPr="00116A43">
        <w:rPr>
          <w:rFonts w:ascii="Cambria" w:hAnsi="Cambria"/>
          <w:sz w:val="16"/>
          <w:szCs w:val="16"/>
          <w:lang w:val="pt-BR"/>
        </w:rPr>
        <w:t>31.</w:t>
      </w:r>
    </w:p>
  </w:footnote>
  <w:footnote w:id="212">
    <w:p w14:paraId="11FADFBA"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pt-BR"/>
        </w:rPr>
      </w:pPr>
      <w:r w:rsidRPr="00116A43">
        <w:rPr>
          <w:rFonts w:ascii="Cambria" w:hAnsi="Cambria"/>
          <w:sz w:val="16"/>
          <w:szCs w:val="16"/>
          <w:vertAlign w:val="superscript"/>
          <w:lang w:val="pt-BR"/>
        </w:rPr>
        <w:footnoteRef/>
      </w:r>
      <w:r w:rsidRPr="00116A43">
        <w:rPr>
          <w:rFonts w:ascii="Cambria" w:hAnsi="Cambria"/>
          <w:sz w:val="16"/>
          <w:szCs w:val="16"/>
          <w:vertAlign w:val="superscript"/>
          <w:lang w:val="pt-BR"/>
        </w:rPr>
        <w:t xml:space="preserve"> </w:t>
      </w:r>
      <w:r w:rsidRPr="00116A43">
        <w:rPr>
          <w:rFonts w:ascii="Cambria" w:hAnsi="Cambria"/>
          <w:sz w:val="16"/>
          <w:szCs w:val="16"/>
          <w:lang w:val="pt-BR"/>
        </w:rPr>
        <w:t>CIDH, Informe Anual 1979-1980, págs. 96-98</w:t>
      </w:r>
    </w:p>
  </w:footnote>
  <w:footnote w:id="213">
    <w:p w14:paraId="60658B08" w14:textId="6A13B70B"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lang w:val="pt-BR"/>
        </w:rPr>
        <w:footnoteRef/>
      </w:r>
      <w:r w:rsidRPr="00116A43">
        <w:rPr>
          <w:rFonts w:ascii="Cambria" w:hAnsi="Cambria"/>
          <w:sz w:val="16"/>
          <w:szCs w:val="16"/>
          <w:vertAlign w:val="superscript"/>
          <w:lang w:val="pt-BR"/>
        </w:rPr>
        <w:t xml:space="preserve"> </w:t>
      </w:r>
      <w:r w:rsidRPr="00116A43">
        <w:rPr>
          <w:rFonts w:ascii="Cambria" w:hAnsi="Cambria"/>
          <w:sz w:val="16"/>
          <w:szCs w:val="16"/>
          <w:lang w:val="pt-BR"/>
        </w:rPr>
        <w:t xml:space="preserve">CIDH. </w:t>
      </w:r>
      <w:r w:rsidRPr="00644687">
        <w:rPr>
          <w:rFonts w:ascii="Cambria" w:hAnsi="Cambria"/>
          <w:sz w:val="16"/>
          <w:szCs w:val="16"/>
          <w:lang w:val="pt-BR"/>
        </w:rPr>
        <w:t xml:space="preserve">Informe No. 67/06. Caso No. 12.476. </w:t>
      </w:r>
      <w:r w:rsidRPr="00644687">
        <w:rPr>
          <w:rFonts w:ascii="Cambria" w:hAnsi="Cambria"/>
          <w:sz w:val="16"/>
          <w:szCs w:val="16"/>
          <w:lang w:val="pt-BR"/>
        </w:rPr>
        <w:t xml:space="preserve">Fondo. </w:t>
      </w:r>
      <w:r w:rsidRPr="00116A43">
        <w:rPr>
          <w:rFonts w:ascii="Cambria" w:hAnsi="Cambria"/>
          <w:sz w:val="16"/>
          <w:szCs w:val="16"/>
          <w:lang w:val="es-PE"/>
        </w:rPr>
        <w:t xml:space="preserve">Oscar Elías Biscet y otros. Cuba. 21 de octubre de 2006, párr. 222. </w:t>
      </w:r>
    </w:p>
  </w:footnote>
  <w:footnote w:id="214">
    <w:p w14:paraId="354F7587" w14:textId="78817D85"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16"/>
          <w:szCs w:val="16"/>
          <w:bdr w:val="none" w:sz="0" w:space="0" w:color="auto"/>
          <w:lang w:val="es-ES_tradnl"/>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bdr w:val="none" w:sz="0" w:space="0" w:color="auto"/>
          <w:lang w:val="es-ES_tradnl"/>
        </w:rPr>
        <w:t>El artículo IX de la Declaración Americana establece que: “[t]oda persona tiene el derecho a la inviolabilidad de su domicilio”.</w:t>
      </w:r>
    </w:p>
  </w:footnote>
  <w:footnote w:id="215">
    <w:p w14:paraId="367B0B8F" w14:textId="4CA532E7"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El </w:t>
      </w:r>
      <w:r w:rsidRPr="00116A43">
        <w:rPr>
          <w:rFonts w:ascii="Cambria" w:hAnsi="Cambria"/>
          <w:sz w:val="16"/>
          <w:szCs w:val="16"/>
          <w:bdr w:val="none" w:sz="0" w:space="0" w:color="auto"/>
          <w:lang w:val="es-ES_tradnl"/>
        </w:rPr>
        <w:t>artículo X de la Declaración Americana dispone que: “[t]oda persona tiene derecho a la inviolabilidad y circulación de su correspondencia”.</w:t>
      </w:r>
    </w:p>
  </w:footnote>
  <w:footnote w:id="216">
    <w:p w14:paraId="60019814" w14:textId="7E5A82E3"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pt-BR"/>
        </w:rPr>
        <w:t xml:space="preserve"> </w:t>
      </w:r>
      <w:r w:rsidRPr="00116A43">
        <w:rPr>
          <w:rFonts w:ascii="Cambria" w:hAnsi="Cambria"/>
          <w:sz w:val="16"/>
          <w:szCs w:val="16"/>
          <w:lang w:val="pt-BR"/>
        </w:rPr>
        <w:t xml:space="preserve">CIDH. Informe No. 67/06. Caso No. 12.476. </w:t>
      </w:r>
      <w:r w:rsidRPr="00116A43">
        <w:rPr>
          <w:rFonts w:ascii="Cambria" w:hAnsi="Cambria"/>
          <w:sz w:val="16"/>
          <w:szCs w:val="16"/>
          <w:lang w:val="es-PE"/>
        </w:rPr>
        <w:t>Fondo. Oscar Elías Biscet y otros. Cuba. 21 de octubre de 2006, párr. 259.</w:t>
      </w:r>
    </w:p>
  </w:footnote>
  <w:footnote w:id="217">
    <w:p w14:paraId="6F1D1789" w14:textId="48EE6923"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71">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 xml:space="preserve">. </w:t>
      </w:r>
      <w:r w:rsidRPr="00116A43">
        <w:rPr>
          <w:rFonts w:ascii="Cambria" w:hAnsi="Cambria"/>
          <w:sz w:val="16"/>
          <w:szCs w:val="16"/>
          <w:lang w:val="es-PE"/>
        </w:rPr>
        <w:t xml:space="preserve">OEA/Ser.L/V/II CIDH/RELE/INF.17/17. 5 de marzo 2017, párr. 188. Corte IDH. </w:t>
      </w:r>
      <w:r w:rsidRPr="00116A43">
        <w:rPr>
          <w:rFonts w:ascii="Cambria" w:hAnsi="Cambria"/>
          <w:i/>
          <w:sz w:val="16"/>
          <w:szCs w:val="16"/>
          <w:lang w:val="es-PE"/>
        </w:rPr>
        <w:t>Caso Escué Zapata Vs. Colombia</w:t>
      </w:r>
      <w:r w:rsidRPr="00116A43">
        <w:rPr>
          <w:rFonts w:ascii="Cambria" w:hAnsi="Cambria"/>
          <w:sz w:val="16"/>
          <w:szCs w:val="16"/>
          <w:lang w:val="es-PE"/>
        </w:rPr>
        <w:t xml:space="preserve">. Fondo, Reparaciones y Costas. Sentencia de 4 de julio de 2007. Serie C No. 165, párr. 92, y </w:t>
      </w:r>
      <w:r w:rsidRPr="00116A43">
        <w:rPr>
          <w:rFonts w:ascii="Cambria" w:hAnsi="Cambria"/>
          <w:i/>
          <w:sz w:val="16"/>
          <w:szCs w:val="16"/>
          <w:lang w:val="es-PE"/>
        </w:rPr>
        <w:t>Caso Vereda La Esperanza Vs. Colombia.</w:t>
      </w:r>
      <w:r w:rsidRPr="00116A43">
        <w:rPr>
          <w:rFonts w:ascii="Cambria" w:hAnsi="Cambria"/>
          <w:sz w:val="16"/>
          <w:szCs w:val="16"/>
          <w:lang w:val="es-PE"/>
        </w:rPr>
        <w:t xml:space="preserve"> Excepciones Preliminares, Fondo, Reparaciones y Costas. Sentencia de 31 de agosto de 2017. Serie C No. 341, párr. 242.</w:t>
      </w:r>
    </w:p>
  </w:footnote>
  <w:footnote w:id="218">
    <w:p w14:paraId="63DC9846" w14:textId="6EFB48A5"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67/06. Caso No. 12.476. </w:t>
      </w:r>
      <w:r w:rsidRPr="00116A43">
        <w:rPr>
          <w:rFonts w:ascii="Cambria" w:hAnsi="Cambria"/>
          <w:sz w:val="16"/>
          <w:szCs w:val="16"/>
          <w:lang w:val="es-PE"/>
        </w:rPr>
        <w:t>Fondo. Oscar Elías Biscet y otros. Cuba. 21 de octubre de 2006, párr. 242.</w:t>
      </w:r>
    </w:p>
  </w:footnote>
  <w:footnote w:id="219">
    <w:p w14:paraId="45915451" w14:textId="2BF31A71"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vertAlign w:val="superscript"/>
          <w:lang w:val="es-PE"/>
        </w:rPr>
        <w:t xml:space="preserve"> </w:t>
      </w:r>
      <w:r w:rsidRPr="00116A43">
        <w:rPr>
          <w:rFonts w:ascii="Cambria" w:hAnsi="Cambria"/>
          <w:sz w:val="16"/>
          <w:szCs w:val="16"/>
          <w:lang w:val="es-PE"/>
        </w:rPr>
        <w:t xml:space="preserve">CIDH. Relatoría Especial para la Libertad de Expresión. </w:t>
      </w:r>
      <w:hyperlink r:id="rId72">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3D0D74">
        <w:rPr>
          <w:rFonts w:ascii="Cambria" w:hAnsi="Cambria"/>
          <w:i/>
          <w:sz w:val="16"/>
          <w:szCs w:val="16"/>
          <w:lang w:val="es-PE"/>
        </w:rPr>
        <w:t>supra,</w:t>
      </w:r>
      <w:r w:rsidRPr="00116A43">
        <w:rPr>
          <w:rFonts w:ascii="Cambria" w:hAnsi="Cambria"/>
          <w:sz w:val="16"/>
          <w:szCs w:val="16"/>
          <w:lang w:val="es-PE"/>
        </w:rPr>
        <w:t xml:space="preserve"> párr. 189. Véase también, TEDH. </w:t>
      </w:r>
      <w:r w:rsidRPr="00116A43">
        <w:rPr>
          <w:rFonts w:ascii="Cambria" w:hAnsi="Cambria"/>
          <w:i/>
          <w:iCs/>
          <w:sz w:val="16"/>
          <w:szCs w:val="16"/>
          <w:lang w:val="es-PE"/>
        </w:rPr>
        <w:t>Caso Klass y otros Vs. Alemania</w:t>
      </w:r>
      <w:r w:rsidRPr="00116A43">
        <w:rPr>
          <w:rFonts w:ascii="Cambria" w:hAnsi="Cambria"/>
          <w:sz w:val="16"/>
          <w:szCs w:val="16"/>
          <w:lang w:val="es-PE"/>
        </w:rPr>
        <w:t xml:space="preserve">. Sentencia de 6 de septiembre de 1978, párr. 29; </w:t>
      </w:r>
      <w:r w:rsidRPr="00116A43">
        <w:rPr>
          <w:rFonts w:ascii="Cambria" w:hAnsi="Cambria"/>
          <w:i/>
          <w:iCs/>
          <w:sz w:val="16"/>
          <w:szCs w:val="16"/>
          <w:lang w:val="es-PE"/>
        </w:rPr>
        <w:t>Caso Halford Vs. Reino Unido.</w:t>
      </w:r>
      <w:r w:rsidRPr="00116A43">
        <w:rPr>
          <w:rFonts w:ascii="Cambria" w:hAnsi="Cambria"/>
          <w:sz w:val="16"/>
          <w:szCs w:val="16"/>
          <w:lang w:val="es-PE"/>
        </w:rPr>
        <w:t xml:space="preserve"> Sentencia de 27 de mayo de 1997, párr. 44; </w:t>
      </w:r>
      <w:r w:rsidRPr="00116A43">
        <w:rPr>
          <w:rFonts w:ascii="Cambria" w:hAnsi="Cambria"/>
          <w:i/>
          <w:iCs/>
          <w:sz w:val="16"/>
          <w:szCs w:val="16"/>
          <w:lang w:val="es-PE"/>
        </w:rPr>
        <w:t>Caso Amann Vs. Suiza</w:t>
      </w:r>
      <w:r w:rsidRPr="00116A43">
        <w:rPr>
          <w:rFonts w:ascii="Cambria" w:hAnsi="Cambria"/>
          <w:sz w:val="16"/>
          <w:szCs w:val="16"/>
          <w:lang w:val="es-PE"/>
        </w:rPr>
        <w:t xml:space="preserve">. Sentencia de 16 de febrero de 2000, párr. 44; y </w:t>
      </w:r>
      <w:r w:rsidRPr="00116A43">
        <w:rPr>
          <w:rFonts w:ascii="Cambria" w:hAnsi="Cambria"/>
          <w:i/>
          <w:iCs/>
          <w:sz w:val="16"/>
          <w:szCs w:val="16"/>
          <w:lang w:val="es-PE"/>
        </w:rPr>
        <w:t>Caso Copland Vs. Reino Unido</w:t>
      </w:r>
      <w:r w:rsidRPr="00116A43">
        <w:rPr>
          <w:rFonts w:ascii="Cambria" w:hAnsi="Cambria"/>
          <w:sz w:val="16"/>
          <w:szCs w:val="16"/>
          <w:lang w:val="es-PE"/>
        </w:rPr>
        <w:t>. Sentencia de 13 de marzo de 2007, párr. 41.</w:t>
      </w:r>
    </w:p>
  </w:footnote>
  <w:footnote w:id="220">
    <w:p w14:paraId="4B74D6AB" w14:textId="3ED6DBA3"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67/06. Caso No. 12.476. </w:t>
      </w:r>
      <w:r w:rsidRPr="00116A43">
        <w:rPr>
          <w:rFonts w:ascii="Cambria" w:hAnsi="Cambria"/>
          <w:sz w:val="16"/>
          <w:szCs w:val="16"/>
          <w:lang w:val="es-PE"/>
        </w:rPr>
        <w:t xml:space="preserve">Fondo. Oscar Elías Biscet y otros. Cuba. 21 de octubre de 2006, párr. 242; CIDH. Relatoría Especial para la Libertad de Expresión. </w:t>
      </w:r>
      <w:hyperlink r:id="rId73">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sidRPr="00116A43">
        <w:rPr>
          <w:rFonts w:ascii="Cambria" w:hAnsi="Cambria"/>
          <w:sz w:val="16"/>
          <w:szCs w:val="16"/>
          <w:lang w:val="es-PE"/>
        </w:rPr>
        <w:t xml:space="preserve"> párrs. 189 y 191.</w:t>
      </w:r>
    </w:p>
  </w:footnote>
  <w:footnote w:id="221">
    <w:p w14:paraId="158CDA2C" w14:textId="58852B49"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74">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 xml:space="preserve"> </w:t>
      </w:r>
      <w:r w:rsidRPr="00116A43">
        <w:rPr>
          <w:rFonts w:ascii="Cambria" w:hAnsi="Cambria"/>
          <w:sz w:val="16"/>
          <w:szCs w:val="16"/>
          <w:lang w:val="es-PE"/>
        </w:rPr>
        <w:t xml:space="preserve">párr. 10;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xml:space="preserve">. </w:t>
      </w:r>
      <w:hyperlink r:id="rId75" w:history="1">
        <w:r w:rsidRPr="00116A43">
          <w:rPr>
            <w:rStyle w:val="Hyperlink"/>
            <w:rFonts w:ascii="Cambria" w:hAnsi="Cambria"/>
            <w:i/>
            <w:iCs/>
            <w:sz w:val="16"/>
            <w:szCs w:val="16"/>
            <w:lang w:val="es-PE"/>
          </w:rPr>
          <w:t>Informe Espe</w:t>
        </w:r>
        <w:proofErr w:type="spellStart"/>
        <w:r w:rsidRPr="00116A43">
          <w:rPr>
            <w:rStyle w:val="Hyperlink"/>
            <w:rFonts w:ascii="Cambria" w:hAnsi="Cambria"/>
            <w:i/>
            <w:iCs/>
            <w:sz w:val="16"/>
            <w:szCs w:val="16"/>
            <w:lang w:val="es-MX"/>
          </w:rPr>
          <w:t>cial</w:t>
        </w:r>
        <w:proofErr w:type="spellEnd"/>
        <w:r w:rsidRPr="00116A43">
          <w:rPr>
            <w:rStyle w:val="Hyperlink"/>
            <w:rFonts w:ascii="Cambria" w:hAnsi="Cambria"/>
            <w:i/>
            <w:iCs/>
            <w:sz w:val="16"/>
            <w:szCs w:val="16"/>
            <w:lang w:val="es-MX"/>
          </w:rPr>
          <w:t xml:space="preserve"> sobre la Situación de la libertad de expresión en Cuba</w:t>
        </w:r>
        <w:r w:rsidRPr="00116A43">
          <w:rPr>
            <w:rStyle w:val="Hyperlink"/>
            <w:rFonts w:ascii="Cambria" w:hAnsi="Cambria"/>
            <w:sz w:val="16"/>
            <w:szCs w:val="16"/>
            <w:lang w:val="es-MX"/>
          </w:rPr>
          <w:t>.</w:t>
        </w:r>
      </w:hyperlink>
      <w:r w:rsidRPr="00116A43">
        <w:rPr>
          <w:rFonts w:ascii="Cambria" w:hAnsi="Cambria"/>
          <w:sz w:val="16"/>
          <w:szCs w:val="16"/>
          <w:lang w:val="es-MX"/>
        </w:rPr>
        <w:t xml:space="preserve"> 31 de diciembre de 2018,</w:t>
      </w:r>
      <w:r>
        <w:rPr>
          <w:rFonts w:ascii="Cambria" w:hAnsi="Cambria"/>
          <w:sz w:val="16"/>
          <w:szCs w:val="16"/>
          <w:lang w:val="es-MX"/>
        </w:rPr>
        <w:t xml:space="preserve"> </w:t>
      </w:r>
      <w:r w:rsidRPr="003D0D74">
        <w:rPr>
          <w:rFonts w:ascii="Cambria" w:hAnsi="Cambria"/>
          <w:i/>
          <w:sz w:val="16"/>
          <w:szCs w:val="16"/>
          <w:lang w:val="es-MX"/>
        </w:rPr>
        <w:t>supra,</w:t>
      </w:r>
      <w:r w:rsidRPr="00116A43">
        <w:rPr>
          <w:rFonts w:ascii="Cambria" w:hAnsi="Cambria"/>
          <w:sz w:val="16"/>
          <w:szCs w:val="16"/>
          <w:lang w:val="es-MX"/>
        </w:rPr>
        <w:t xml:space="preserve"> párr. 243.</w:t>
      </w:r>
    </w:p>
  </w:footnote>
  <w:footnote w:id="222">
    <w:p w14:paraId="46435178" w14:textId="07DA8310"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76">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sidRPr="00116A43">
        <w:rPr>
          <w:rFonts w:ascii="Cambria" w:hAnsi="Cambria"/>
          <w:sz w:val="16"/>
          <w:szCs w:val="16"/>
          <w:lang w:val="es-PE"/>
        </w:rPr>
        <w:t xml:space="preserve"> párr. 188.</w:t>
      </w:r>
    </w:p>
  </w:footnote>
  <w:footnote w:id="223">
    <w:p w14:paraId="2E745E9B" w14:textId="64E2B3BC"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77">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sidRPr="00116A43">
        <w:rPr>
          <w:rFonts w:ascii="Cambria" w:hAnsi="Cambria"/>
          <w:sz w:val="16"/>
          <w:szCs w:val="16"/>
          <w:lang w:val="es-PE"/>
        </w:rPr>
        <w:t xml:space="preserve"> párr. 216. Corte IDH. </w:t>
      </w:r>
      <w:r w:rsidRPr="00116A43">
        <w:rPr>
          <w:rFonts w:ascii="Cambria" w:hAnsi="Cambria"/>
          <w:i/>
          <w:sz w:val="16"/>
          <w:szCs w:val="16"/>
          <w:lang w:val="es-PE"/>
        </w:rPr>
        <w:t>Caso Tristán Donoso Vs. Panamá.</w:t>
      </w:r>
      <w:r w:rsidRPr="00116A43">
        <w:rPr>
          <w:rFonts w:ascii="Cambria" w:hAnsi="Cambria"/>
          <w:sz w:val="16"/>
          <w:szCs w:val="16"/>
          <w:lang w:val="es-PE"/>
        </w:rPr>
        <w:t xml:space="preserve"> Excepción Preliminar, Fondo, Reparaciones y Costas. Sentencia de 27 de enero de 2009. Serie C No. 193, párr. 55.</w:t>
      </w:r>
    </w:p>
  </w:footnote>
  <w:footnote w:id="224">
    <w:p w14:paraId="6E338ABF" w14:textId="61FC7ACA"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ONU. Consejo de Derechos Humanos. Informe del Relator Especial sobre la promoción y protección del derecho a la libertad de opinión y expresión, Frank La Rue. UN Doc. A/HRC/23/40. 17 de abril de 2013, párr. 81.</w:t>
      </w:r>
    </w:p>
  </w:footnote>
  <w:footnote w:id="225">
    <w:p w14:paraId="41A99962" w14:textId="31D49FF2"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78">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sidRPr="00116A43">
        <w:rPr>
          <w:rFonts w:ascii="Cambria" w:hAnsi="Cambria"/>
          <w:sz w:val="16"/>
          <w:szCs w:val="16"/>
          <w:lang w:val="es-PE"/>
        </w:rPr>
        <w:t xml:space="preserve"> párr. 217.</w:t>
      </w:r>
    </w:p>
  </w:footnote>
  <w:footnote w:id="226">
    <w:p w14:paraId="6C747C07" w14:textId="543CAF62"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w:t>
      </w:r>
      <w:r>
        <w:rPr>
          <w:rFonts w:ascii="Cambria" w:hAnsi="Cambria"/>
          <w:sz w:val="16"/>
          <w:szCs w:val="16"/>
          <w:lang w:val="es-PE"/>
        </w:rPr>
        <w:t>.</w:t>
      </w:r>
      <w:r w:rsidRPr="00116A43">
        <w:rPr>
          <w:rFonts w:ascii="Cambria" w:hAnsi="Cambria"/>
          <w:sz w:val="16"/>
          <w:szCs w:val="16"/>
          <w:lang w:val="es-PE"/>
        </w:rPr>
        <w:t xml:space="preserve"> Informe </w:t>
      </w:r>
      <w:r>
        <w:rPr>
          <w:rFonts w:ascii="Cambria" w:hAnsi="Cambria"/>
          <w:sz w:val="16"/>
          <w:szCs w:val="16"/>
          <w:lang w:val="es-PE"/>
        </w:rPr>
        <w:t>No.</w:t>
      </w:r>
      <w:r w:rsidRPr="00116A43">
        <w:rPr>
          <w:rFonts w:ascii="Cambria" w:hAnsi="Cambria"/>
          <w:sz w:val="16"/>
          <w:szCs w:val="16"/>
          <w:lang w:val="es-PE"/>
        </w:rPr>
        <w:t xml:space="preserve"> 67/06</w:t>
      </w:r>
      <w:r>
        <w:rPr>
          <w:rFonts w:ascii="Cambria" w:hAnsi="Cambria"/>
          <w:sz w:val="16"/>
          <w:szCs w:val="16"/>
          <w:lang w:val="es-PE"/>
        </w:rPr>
        <w:t>. C</w:t>
      </w:r>
      <w:r w:rsidRPr="00116A43">
        <w:rPr>
          <w:rFonts w:ascii="Cambria" w:hAnsi="Cambria"/>
          <w:sz w:val="16"/>
          <w:szCs w:val="16"/>
          <w:lang w:val="es-PE"/>
        </w:rPr>
        <w:t xml:space="preserve">aso </w:t>
      </w:r>
      <w:r>
        <w:rPr>
          <w:rFonts w:ascii="Cambria" w:hAnsi="Cambria"/>
          <w:sz w:val="16"/>
          <w:szCs w:val="16"/>
          <w:lang w:val="es-PE"/>
        </w:rPr>
        <w:t>No.</w:t>
      </w:r>
      <w:r w:rsidRPr="00116A43">
        <w:rPr>
          <w:rFonts w:ascii="Cambria" w:hAnsi="Cambria"/>
          <w:sz w:val="16"/>
          <w:szCs w:val="16"/>
          <w:lang w:val="es-PE"/>
        </w:rPr>
        <w:t xml:space="preserve"> 12.476</w:t>
      </w:r>
      <w:r>
        <w:rPr>
          <w:rFonts w:ascii="Cambria" w:hAnsi="Cambria"/>
          <w:sz w:val="16"/>
          <w:szCs w:val="16"/>
          <w:lang w:val="es-PE"/>
        </w:rPr>
        <w:t xml:space="preserve">. </w:t>
      </w:r>
      <w:r w:rsidRPr="00116A43">
        <w:rPr>
          <w:rFonts w:ascii="Cambria" w:hAnsi="Cambria"/>
          <w:sz w:val="16"/>
          <w:szCs w:val="16"/>
          <w:lang w:val="es-PE"/>
        </w:rPr>
        <w:t>Fondo</w:t>
      </w:r>
      <w:r>
        <w:rPr>
          <w:rFonts w:ascii="Cambria" w:hAnsi="Cambria"/>
          <w:sz w:val="16"/>
          <w:szCs w:val="16"/>
          <w:lang w:val="es-PE"/>
        </w:rPr>
        <w:t>.</w:t>
      </w:r>
      <w:r w:rsidRPr="00116A43">
        <w:rPr>
          <w:rFonts w:ascii="Cambria" w:hAnsi="Cambria"/>
          <w:sz w:val="16"/>
          <w:szCs w:val="16"/>
          <w:lang w:val="es-PE"/>
        </w:rPr>
        <w:t xml:space="preserve"> Oscar Elías Biscet y otros</w:t>
      </w:r>
      <w:r>
        <w:rPr>
          <w:rFonts w:ascii="Cambria" w:hAnsi="Cambria"/>
          <w:sz w:val="16"/>
          <w:szCs w:val="16"/>
          <w:lang w:val="es-PE"/>
        </w:rPr>
        <w:t>.</w:t>
      </w:r>
      <w:r w:rsidRPr="00116A43">
        <w:rPr>
          <w:rFonts w:ascii="Cambria" w:hAnsi="Cambria"/>
          <w:sz w:val="16"/>
          <w:szCs w:val="16"/>
          <w:lang w:val="es-PE"/>
        </w:rPr>
        <w:t xml:space="preserve"> Cuba</w:t>
      </w:r>
      <w:r>
        <w:rPr>
          <w:rFonts w:ascii="Cambria" w:hAnsi="Cambria"/>
          <w:sz w:val="16"/>
          <w:szCs w:val="16"/>
          <w:lang w:val="es-PE"/>
        </w:rPr>
        <w:t>.</w:t>
      </w:r>
      <w:r w:rsidRPr="00116A43">
        <w:rPr>
          <w:rFonts w:ascii="Cambria" w:hAnsi="Cambria"/>
          <w:sz w:val="16"/>
          <w:szCs w:val="16"/>
          <w:lang w:val="es-PE"/>
        </w:rPr>
        <w:t xml:space="preserve"> 21 de octubre de 2006, párr. 261</w:t>
      </w:r>
    </w:p>
  </w:footnote>
  <w:footnote w:id="227">
    <w:p w14:paraId="1271E215" w14:textId="104009DD"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CO"/>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CO"/>
        </w:rPr>
        <w:t xml:space="preserve">La Declaración Americana señala en su artículo IV que: “[t]oda persona tiene derecho a la libertad de investigación, de opinión y de expresión y difusión del pensamiento por cualquier medio”. </w:t>
      </w:r>
    </w:p>
  </w:footnote>
  <w:footnote w:id="228">
    <w:p w14:paraId="66757861" w14:textId="3FF14BA0" w:rsidR="00F640DA" w:rsidRPr="00116A43" w:rsidRDefault="00F640DA" w:rsidP="00116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CO"/>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CO"/>
        </w:rPr>
        <w:t>El artículo XX de la Declaración Americana establece que: “[t]oda persona, legal- mente capacitada, tiene el derecho de tomar parte en el gobierno de su país, directamente o por medio de sus representantes, y de participar en las elecciones populares, que serán de voto secreto, genuinas, periódicas y libres”.</w:t>
      </w:r>
    </w:p>
  </w:footnote>
  <w:footnote w:id="229">
    <w:p w14:paraId="1468DBF6" w14:textId="155A8F65"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rPr>
        <w:t xml:space="preserve"> </w:t>
      </w:r>
      <w:r w:rsidRPr="00116A43">
        <w:rPr>
          <w:rFonts w:ascii="Cambria" w:hAnsi="Cambria"/>
          <w:sz w:val="16"/>
          <w:szCs w:val="16"/>
          <w:lang w:val="es-PE"/>
        </w:rPr>
        <w:t xml:space="preserve">El artículo V de la Declaración Americana prescribe que: “toda persona tiene derecho a la protección de la Ley contra los ataques abusivos a su honra, a su reputación y a su vida privada y familiar”. </w:t>
      </w:r>
    </w:p>
  </w:footnote>
  <w:footnote w:id="230">
    <w:p w14:paraId="04FA4C04" w14:textId="5F7DCEA3" w:rsidR="00F640DA" w:rsidRPr="00116A43" w:rsidRDefault="00F640DA">
      <w:pPr>
        <w:pStyle w:val="FootnoteText"/>
        <w:jc w:val="both"/>
        <w:rPr>
          <w:rFonts w:ascii="Cambria" w:hAnsi="Cambria"/>
          <w:sz w:val="16"/>
          <w:szCs w:val="16"/>
          <w:u w:val="single"/>
          <w:lang w:val="es-PE"/>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w:t>
      </w:r>
      <w:r w:rsidRPr="00116A43">
        <w:rPr>
          <w:rFonts w:ascii="Cambria" w:hAnsi="Cambria"/>
          <w:color w:val="auto"/>
          <w:sz w:val="16"/>
          <w:szCs w:val="16"/>
          <w:lang w:val="es-AR"/>
        </w:rPr>
        <w:t>CIDH</w:t>
      </w:r>
      <w:r w:rsidRPr="00116A43">
        <w:rPr>
          <w:rFonts w:ascii="Cambria" w:hAnsi="Cambria"/>
          <w:color w:val="auto"/>
          <w:sz w:val="16"/>
          <w:szCs w:val="16"/>
          <w:lang w:val="es-UY"/>
        </w:rPr>
        <w:t xml:space="preserve">. </w:t>
      </w:r>
      <w:hyperlink r:id="rId79" w:history="1">
        <w:r w:rsidRPr="00116A43">
          <w:rPr>
            <w:rStyle w:val="Hyperlink"/>
            <w:rFonts w:ascii="Cambria" w:hAnsi="Cambria"/>
            <w:color w:val="auto"/>
            <w:sz w:val="16"/>
            <w:szCs w:val="16"/>
            <w:u w:val="none"/>
            <w:lang w:val="es-UY"/>
          </w:rPr>
          <w:t>Informe Anual 2009. Informe de la Relatoría Especial para la Libertad de Expresión</w:t>
        </w:r>
      </w:hyperlink>
      <w:r w:rsidRPr="00116A43">
        <w:rPr>
          <w:rFonts w:ascii="Cambria" w:hAnsi="Cambria"/>
          <w:color w:val="auto"/>
          <w:sz w:val="16"/>
          <w:szCs w:val="16"/>
          <w:lang w:val="es-UY"/>
        </w:rPr>
        <w:t xml:space="preserve">. </w:t>
      </w:r>
      <w:r w:rsidRPr="00116A43">
        <w:rPr>
          <w:rFonts w:ascii="Cambria" w:hAnsi="Cambria"/>
          <w:color w:val="auto"/>
          <w:sz w:val="16"/>
          <w:szCs w:val="16"/>
          <w:lang w:val="es-ES_tradnl"/>
        </w:rPr>
        <w:t>Capítulo III (Marco Jurídico Interamericano del Derecho a la Libertad de Expresión). OEA/</w:t>
      </w:r>
      <w:proofErr w:type="spellStart"/>
      <w:r w:rsidRPr="00116A43">
        <w:rPr>
          <w:rFonts w:ascii="Cambria" w:hAnsi="Cambria"/>
          <w:color w:val="auto"/>
          <w:sz w:val="16"/>
          <w:szCs w:val="16"/>
          <w:lang w:val="es-ES_tradnl"/>
        </w:rPr>
        <w:t>Ser.L</w:t>
      </w:r>
      <w:proofErr w:type="spellEnd"/>
      <w:r w:rsidRPr="00116A43">
        <w:rPr>
          <w:rFonts w:ascii="Cambria" w:hAnsi="Cambria"/>
          <w:color w:val="auto"/>
          <w:sz w:val="16"/>
          <w:szCs w:val="16"/>
          <w:lang w:val="es-ES_tradnl"/>
        </w:rPr>
        <w:t xml:space="preserve">/V/II. Doc. 51. 30 de diciembre de 2009. Párr. 7. </w:t>
      </w:r>
      <w:r w:rsidRPr="00116A43">
        <w:rPr>
          <w:rFonts w:ascii="Cambria" w:hAnsi="Cambria"/>
          <w:sz w:val="16"/>
          <w:szCs w:val="16"/>
          <w:lang w:val="es-PE"/>
        </w:rPr>
        <w:t>CIDH. Informe No. 27/18, Caso No. 12.127. Fondo. Vladimiro Roca Antúnez y otros. Cuba. 24 de febrero de 2018, párr. 79.</w:t>
      </w:r>
    </w:p>
  </w:footnote>
  <w:footnote w:id="231">
    <w:p w14:paraId="1142F898" w14:textId="5E40B0AE" w:rsidR="00F640DA" w:rsidRPr="00116A43" w:rsidRDefault="00F640DA">
      <w:pPr>
        <w:pStyle w:val="FootnoteText"/>
        <w:jc w:val="both"/>
        <w:rPr>
          <w:rFonts w:ascii="Cambria" w:hAnsi="Cambria"/>
          <w:color w:val="auto"/>
          <w:sz w:val="16"/>
          <w:szCs w:val="16"/>
          <w:lang w:val="es-US"/>
        </w:rPr>
      </w:pPr>
      <w:r w:rsidRPr="00116A43">
        <w:rPr>
          <w:rStyle w:val="FootnoteReference"/>
          <w:rFonts w:ascii="Cambria" w:hAnsi="Cambria"/>
          <w:color w:val="auto"/>
          <w:sz w:val="16"/>
          <w:szCs w:val="16"/>
        </w:rPr>
        <w:footnoteRef/>
      </w:r>
      <w:r w:rsidRPr="00116A43">
        <w:rPr>
          <w:rFonts w:ascii="Cambria" w:hAnsi="Cambria"/>
          <w:color w:val="auto"/>
          <w:sz w:val="16"/>
          <w:szCs w:val="16"/>
          <w:lang w:val="es-US"/>
        </w:rPr>
        <w:t xml:space="preserve"> CIDH, Informe No. 103/13, Caso 12.816. Fondo. Adán Guillermo López Lone y Otros. Honduras. 5 de noviembre de 2013. Párr. 210; </w:t>
      </w:r>
      <w:r w:rsidRPr="00116A43">
        <w:rPr>
          <w:rFonts w:ascii="Cambria" w:hAnsi="Cambria"/>
          <w:color w:val="auto"/>
          <w:sz w:val="16"/>
          <w:szCs w:val="16"/>
          <w:lang w:val="es-ES"/>
        </w:rPr>
        <w:t xml:space="preserve">CIDH, Informe No. 27/15, Caso 12.795. Fondo. Alfredo Lagos del Campo. Perú. 21 de julio de 2015. Párr. 75; </w:t>
      </w:r>
      <w:r w:rsidRPr="00116A43">
        <w:rPr>
          <w:rFonts w:ascii="Cambria" w:hAnsi="Cambria"/>
          <w:color w:val="auto"/>
          <w:sz w:val="16"/>
          <w:szCs w:val="16"/>
          <w:lang w:val="es-PE"/>
        </w:rPr>
        <w:t xml:space="preserve">CIDH. Alegatos ante la Corte Interamericana en el caso Ivcher Bronstein Vs. Perú. Transcritos en: Corte IDH. </w:t>
      </w:r>
      <w:r w:rsidRPr="00116A43">
        <w:rPr>
          <w:rFonts w:ascii="Cambria" w:hAnsi="Cambria"/>
          <w:i/>
          <w:iCs/>
          <w:color w:val="auto"/>
          <w:sz w:val="16"/>
          <w:szCs w:val="16"/>
          <w:lang w:val="es-PE"/>
        </w:rPr>
        <w:t>Caso Ivcher Bronstein Vs. Perú.</w:t>
      </w:r>
      <w:r w:rsidRPr="00116A43">
        <w:rPr>
          <w:rFonts w:ascii="Cambria" w:hAnsi="Cambria"/>
          <w:color w:val="auto"/>
          <w:sz w:val="16"/>
          <w:szCs w:val="16"/>
          <w:lang w:val="es-PE"/>
        </w:rPr>
        <w:t xml:space="preserve"> Sentencia de 6 de febrero de 2001. Serie C No. 74, párr. 143. d); CIDH. Alegatos ante la Corte Interamericana en el caso "La Última Tentación de Cristo" (Olmedo Bustos y otros) Vs. Chile. Transcritos en: Corte IDH. </w:t>
      </w:r>
      <w:r w:rsidRPr="00116A43">
        <w:rPr>
          <w:rFonts w:ascii="Cambria" w:hAnsi="Cambria"/>
          <w:i/>
          <w:iCs/>
          <w:color w:val="auto"/>
          <w:sz w:val="16"/>
          <w:szCs w:val="16"/>
          <w:lang w:val="es-PE"/>
        </w:rPr>
        <w:t>Caso "La Última Tentación de Cristo" (Olmedo Bustos y otros) Vs. Chile.</w:t>
      </w:r>
      <w:r w:rsidRPr="00116A43">
        <w:rPr>
          <w:rFonts w:ascii="Cambria" w:hAnsi="Cambria"/>
          <w:color w:val="auto"/>
          <w:sz w:val="16"/>
          <w:szCs w:val="16"/>
          <w:lang w:val="es-PE"/>
        </w:rPr>
        <w:t xml:space="preserve"> Sentencia de 5 de febrero de 2001. Serie C No. 73. Párr. 61. b).</w:t>
      </w:r>
    </w:p>
  </w:footnote>
  <w:footnote w:id="232">
    <w:p w14:paraId="5147891A" w14:textId="446E9E2D" w:rsidR="00F640DA" w:rsidRPr="00116A43" w:rsidRDefault="00F640DA">
      <w:pPr>
        <w:pStyle w:val="FootnoteText"/>
        <w:jc w:val="both"/>
        <w:rPr>
          <w:rFonts w:ascii="Cambria" w:hAnsi="Cambria"/>
          <w:color w:val="auto"/>
          <w:spacing w:val="-4"/>
          <w:sz w:val="16"/>
          <w:szCs w:val="16"/>
          <w:lang w:val="es-ES"/>
        </w:rPr>
      </w:pPr>
      <w:r w:rsidRPr="00116A43">
        <w:rPr>
          <w:rStyle w:val="FootnoteReference"/>
          <w:rFonts w:ascii="Cambria" w:hAnsi="Cambria"/>
          <w:color w:val="auto"/>
          <w:spacing w:val="-4"/>
          <w:sz w:val="16"/>
          <w:szCs w:val="16"/>
        </w:rPr>
        <w:footnoteRef/>
      </w:r>
      <w:r w:rsidRPr="00116A43">
        <w:rPr>
          <w:rFonts w:ascii="Cambria" w:hAnsi="Cambria"/>
          <w:color w:val="auto"/>
          <w:spacing w:val="-4"/>
          <w:sz w:val="16"/>
          <w:szCs w:val="16"/>
          <w:lang w:val="es-ES"/>
        </w:rPr>
        <w:t xml:space="preserve">  Corte IDH. </w:t>
      </w:r>
      <w:r w:rsidRPr="00116A43">
        <w:rPr>
          <w:rFonts w:ascii="Cambria" w:hAnsi="Cambria"/>
          <w:i/>
          <w:iCs/>
          <w:color w:val="auto"/>
          <w:spacing w:val="-4"/>
          <w:sz w:val="16"/>
          <w:szCs w:val="16"/>
          <w:lang w:val="es-ES"/>
        </w:rPr>
        <w:t>La Colegiación Obligatoria de Periodistas (arts. 13 y 29 Convención Americana sobre Derechos Humanos).</w:t>
      </w:r>
      <w:r w:rsidRPr="00116A43">
        <w:rPr>
          <w:rFonts w:ascii="Cambria" w:hAnsi="Cambria"/>
          <w:color w:val="auto"/>
          <w:spacing w:val="-4"/>
          <w:sz w:val="16"/>
          <w:szCs w:val="16"/>
          <w:lang w:val="es-ES"/>
        </w:rPr>
        <w:t xml:space="preserve"> Opinión Consultiva OC-5/85, </w:t>
      </w:r>
      <w:r w:rsidRPr="00116A43">
        <w:rPr>
          <w:rStyle w:val="Strong"/>
          <w:rFonts w:ascii="Cambria" w:hAnsi="Cambria"/>
          <w:b w:val="0"/>
          <w:color w:val="auto"/>
          <w:sz w:val="16"/>
          <w:szCs w:val="16"/>
          <w:shd w:val="clear" w:color="auto" w:fill="FFFFFF"/>
          <w:lang w:val="es-ES"/>
        </w:rPr>
        <w:t>del 13 de noviembre de 1985. Serie A No. 5, párr. 70</w:t>
      </w:r>
      <w:r w:rsidRPr="00116A43">
        <w:rPr>
          <w:rFonts w:ascii="Cambria" w:hAnsi="Cambria"/>
          <w:color w:val="auto"/>
          <w:spacing w:val="-4"/>
          <w:sz w:val="16"/>
          <w:szCs w:val="16"/>
          <w:lang w:val="es-ES"/>
        </w:rPr>
        <w:t>.</w:t>
      </w:r>
    </w:p>
  </w:footnote>
  <w:footnote w:id="233">
    <w:p w14:paraId="406398E4" w14:textId="5877E259" w:rsidR="00F640DA" w:rsidRPr="00116A43" w:rsidRDefault="00F640DA">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w:t>
      </w:r>
      <w:r w:rsidRPr="00116A43">
        <w:rPr>
          <w:rFonts w:ascii="Cambria" w:hAnsi="Cambria"/>
          <w:color w:val="auto"/>
          <w:sz w:val="16"/>
          <w:szCs w:val="16"/>
          <w:lang w:val="es-CO"/>
        </w:rPr>
        <w:t>CIDH. Informe No. 67/06. Caso 12.476. Oscar Elías Biscet y Otros</w:t>
      </w:r>
      <w:r>
        <w:rPr>
          <w:rFonts w:ascii="Cambria" w:hAnsi="Cambria"/>
          <w:color w:val="auto"/>
          <w:sz w:val="16"/>
          <w:szCs w:val="16"/>
          <w:lang w:val="es-CO"/>
        </w:rPr>
        <w:t xml:space="preserve">. </w:t>
      </w:r>
      <w:r w:rsidRPr="00116A43">
        <w:rPr>
          <w:rFonts w:ascii="Cambria" w:hAnsi="Cambria"/>
          <w:color w:val="auto"/>
          <w:sz w:val="16"/>
          <w:szCs w:val="16"/>
          <w:lang w:val="es-CO"/>
        </w:rPr>
        <w:t>Cuba. 21 de octubre de 2006</w:t>
      </w:r>
      <w:r>
        <w:rPr>
          <w:rFonts w:ascii="Cambria" w:hAnsi="Cambria"/>
          <w:color w:val="auto"/>
          <w:sz w:val="16"/>
          <w:szCs w:val="16"/>
          <w:lang w:val="es-CO"/>
        </w:rPr>
        <w:t>, p</w:t>
      </w:r>
      <w:r w:rsidRPr="00116A43">
        <w:rPr>
          <w:rFonts w:ascii="Cambria" w:hAnsi="Cambria"/>
          <w:color w:val="auto"/>
          <w:sz w:val="16"/>
          <w:szCs w:val="16"/>
          <w:lang w:val="es-CO"/>
        </w:rPr>
        <w:t xml:space="preserve">árr. 198. </w:t>
      </w:r>
    </w:p>
  </w:footnote>
  <w:footnote w:id="234">
    <w:p w14:paraId="47ED32A0" w14:textId="63EDDB56" w:rsidR="00F640DA" w:rsidRPr="00116A43" w:rsidRDefault="00F640DA">
      <w:pPr>
        <w:pStyle w:val="FootnoteText"/>
        <w:jc w:val="both"/>
        <w:rPr>
          <w:rFonts w:ascii="Cambria" w:hAnsi="Cambria"/>
          <w:color w:val="auto"/>
          <w:sz w:val="16"/>
          <w:szCs w:val="16"/>
          <w:lang w:val="es-ES"/>
        </w:rPr>
      </w:pPr>
      <w:r w:rsidRPr="00116A43">
        <w:rPr>
          <w:rStyle w:val="FootnoteReference"/>
          <w:rFonts w:ascii="Cambria" w:hAnsi="Cambria"/>
          <w:spacing w:val="-4"/>
          <w:sz w:val="16"/>
          <w:szCs w:val="16"/>
        </w:rPr>
        <w:footnoteRef/>
      </w:r>
      <w:r w:rsidRPr="00116A43">
        <w:rPr>
          <w:rFonts w:ascii="Cambria" w:hAnsi="Cambria"/>
          <w:spacing w:val="-4"/>
          <w:sz w:val="16"/>
          <w:szCs w:val="16"/>
          <w:lang w:val="es-PE"/>
        </w:rPr>
        <w:t xml:space="preserve"> </w:t>
      </w:r>
      <w:r w:rsidRPr="00116A43">
        <w:rPr>
          <w:rFonts w:ascii="Cambria" w:hAnsi="Cambria"/>
          <w:color w:val="auto"/>
          <w:spacing w:val="-4"/>
          <w:sz w:val="16"/>
          <w:szCs w:val="16"/>
          <w:lang w:val="es-ES"/>
        </w:rPr>
        <w:t xml:space="preserve">Corte IDH. </w:t>
      </w:r>
      <w:r w:rsidRPr="00116A43">
        <w:rPr>
          <w:rFonts w:ascii="Cambria" w:hAnsi="Cambria"/>
          <w:i/>
          <w:iCs/>
          <w:color w:val="auto"/>
          <w:spacing w:val="-4"/>
          <w:sz w:val="16"/>
          <w:szCs w:val="16"/>
          <w:lang w:val="es-ES"/>
        </w:rPr>
        <w:t>La Colegiación Obligatoria de Periodistas (arts. 13 y 29 Convención Americana sobre Derechos Humanos).</w:t>
      </w:r>
      <w:r w:rsidRPr="00116A43">
        <w:rPr>
          <w:rFonts w:ascii="Cambria" w:hAnsi="Cambria"/>
          <w:color w:val="auto"/>
          <w:spacing w:val="-4"/>
          <w:sz w:val="16"/>
          <w:szCs w:val="16"/>
          <w:lang w:val="es-ES"/>
        </w:rPr>
        <w:t xml:space="preserve"> Opinión Consultiva OC-5/85, </w:t>
      </w:r>
      <w:r w:rsidRPr="00116A43">
        <w:rPr>
          <w:rStyle w:val="Strong"/>
          <w:rFonts w:ascii="Cambria" w:hAnsi="Cambria"/>
          <w:b w:val="0"/>
          <w:color w:val="auto"/>
          <w:sz w:val="16"/>
          <w:szCs w:val="16"/>
          <w:shd w:val="clear" w:color="auto" w:fill="FFFFFF"/>
          <w:lang w:val="es-ES"/>
        </w:rPr>
        <w:t xml:space="preserve">del 13 de noviembre de 1985. Serie A No. 5, párr. </w:t>
      </w:r>
      <w:r w:rsidRPr="00116A43">
        <w:rPr>
          <w:rStyle w:val="Strong"/>
          <w:rFonts w:ascii="Cambria" w:hAnsi="Cambria"/>
          <w:b w:val="0"/>
          <w:sz w:val="16"/>
          <w:szCs w:val="16"/>
          <w:shd w:val="clear" w:color="auto" w:fill="FFFFFF"/>
          <w:lang w:val="es-PE"/>
        </w:rPr>
        <w:t xml:space="preserve">30. </w:t>
      </w:r>
      <w:r w:rsidRPr="00116A43">
        <w:rPr>
          <w:rFonts w:ascii="Cambria" w:hAnsi="Cambria"/>
          <w:color w:val="auto"/>
          <w:sz w:val="16"/>
          <w:szCs w:val="16"/>
          <w:lang w:val="es-CO"/>
        </w:rPr>
        <w:t>CIDH. Informe No. 148/19. Caso 12.971. Ronald Moya Chacón y Freddy Parrales Chaves. Costa Rica. 28 de septiembre de 2019, párr. 39.</w:t>
      </w:r>
    </w:p>
  </w:footnote>
  <w:footnote w:id="235">
    <w:p w14:paraId="71BC0F1F" w14:textId="7528E681" w:rsidR="00F640DA" w:rsidRPr="00116A43" w:rsidRDefault="00F640DA">
      <w:pPr>
        <w:pStyle w:val="FootnoteText"/>
        <w:jc w:val="both"/>
        <w:rPr>
          <w:rFonts w:ascii="Cambria" w:hAnsi="Cambria"/>
          <w:color w:val="auto"/>
          <w:sz w:val="16"/>
          <w:szCs w:val="16"/>
          <w:lang w:val="es-ES"/>
        </w:rPr>
      </w:pPr>
      <w:r w:rsidRPr="00116A43">
        <w:rPr>
          <w:rStyle w:val="FootnoteReference"/>
          <w:rFonts w:ascii="Cambria" w:eastAsiaTheme="majorEastAsia" w:hAnsi="Cambria"/>
          <w:color w:val="auto"/>
          <w:spacing w:val="-4"/>
          <w:sz w:val="16"/>
          <w:szCs w:val="16"/>
        </w:rPr>
        <w:footnoteRef/>
      </w:r>
      <w:r w:rsidRPr="00116A43">
        <w:rPr>
          <w:rFonts w:ascii="Cambria" w:hAnsi="Cambria"/>
          <w:color w:val="auto"/>
          <w:spacing w:val="-4"/>
          <w:sz w:val="16"/>
          <w:szCs w:val="16"/>
          <w:lang w:val="es-ES"/>
        </w:rPr>
        <w:t xml:space="preserve">  Corte IDH. </w:t>
      </w:r>
      <w:r w:rsidRPr="00116A43">
        <w:rPr>
          <w:rFonts w:ascii="Cambria" w:hAnsi="Cambria"/>
          <w:i/>
          <w:iCs/>
          <w:color w:val="auto"/>
          <w:spacing w:val="-4"/>
          <w:sz w:val="16"/>
          <w:szCs w:val="16"/>
          <w:lang w:val="es-ES"/>
        </w:rPr>
        <w:t>La Colegiación Obligatoria de Periodistas (arts. 13 y 29 de la Convención Americana sobre Derechos Humanos)</w:t>
      </w:r>
      <w:r w:rsidRPr="00116A43">
        <w:rPr>
          <w:rFonts w:ascii="Cambria" w:hAnsi="Cambria"/>
          <w:i/>
          <w:iCs/>
          <w:spacing w:val="-4"/>
          <w:sz w:val="16"/>
          <w:szCs w:val="16"/>
          <w:lang w:val="es-PE"/>
        </w:rPr>
        <w:t>.</w:t>
      </w:r>
      <w:r w:rsidRPr="00116A43">
        <w:rPr>
          <w:rFonts w:ascii="Cambria" w:hAnsi="Cambria"/>
          <w:i/>
          <w:color w:val="auto"/>
          <w:spacing w:val="-4"/>
          <w:sz w:val="16"/>
          <w:szCs w:val="16"/>
          <w:lang w:val="es-ES"/>
        </w:rPr>
        <w:t xml:space="preserve"> </w:t>
      </w:r>
      <w:r w:rsidRPr="00116A43">
        <w:rPr>
          <w:rFonts w:ascii="Cambria" w:hAnsi="Cambria"/>
          <w:color w:val="auto"/>
          <w:spacing w:val="-4"/>
          <w:sz w:val="16"/>
          <w:szCs w:val="16"/>
          <w:lang w:val="es-ES"/>
        </w:rPr>
        <w:t xml:space="preserve">Opinión Consultiva OC-5/85, </w:t>
      </w:r>
      <w:r w:rsidRPr="00116A43">
        <w:rPr>
          <w:rStyle w:val="Strong"/>
          <w:rFonts w:ascii="Cambria" w:hAnsi="Cambria"/>
          <w:b w:val="0"/>
          <w:color w:val="auto"/>
          <w:sz w:val="16"/>
          <w:szCs w:val="16"/>
          <w:shd w:val="clear" w:color="auto" w:fill="FFFFFF"/>
          <w:lang w:val="es-ES"/>
        </w:rPr>
        <w:t xml:space="preserve">del 13 de noviembre de 1985. Serie A No. 5, párr. </w:t>
      </w:r>
      <w:r w:rsidRPr="00116A43">
        <w:rPr>
          <w:rStyle w:val="Strong"/>
          <w:rFonts w:ascii="Cambria" w:hAnsi="Cambria"/>
          <w:b w:val="0"/>
          <w:sz w:val="16"/>
          <w:szCs w:val="16"/>
          <w:shd w:val="clear" w:color="auto" w:fill="FFFFFF"/>
          <w:lang w:val="es-PE"/>
        </w:rPr>
        <w:t>30</w:t>
      </w:r>
      <w:r w:rsidRPr="00116A43">
        <w:rPr>
          <w:rFonts w:ascii="Cambria" w:hAnsi="Cambria"/>
          <w:color w:val="auto"/>
          <w:spacing w:val="-4"/>
          <w:sz w:val="16"/>
          <w:szCs w:val="16"/>
          <w:lang w:val="es-ES"/>
        </w:rPr>
        <w:t>.</w:t>
      </w:r>
      <w:r w:rsidRPr="00116A43">
        <w:rPr>
          <w:rFonts w:ascii="Cambria" w:hAnsi="Cambria"/>
          <w:spacing w:val="-4"/>
          <w:sz w:val="16"/>
          <w:szCs w:val="16"/>
          <w:lang w:val="es-PE"/>
        </w:rPr>
        <w:t xml:space="preserve"> </w:t>
      </w:r>
      <w:r w:rsidRPr="00116A43">
        <w:rPr>
          <w:rFonts w:ascii="Cambria" w:hAnsi="Cambria"/>
          <w:color w:val="auto"/>
          <w:sz w:val="16"/>
          <w:szCs w:val="16"/>
          <w:lang w:val="es-CO"/>
        </w:rPr>
        <w:t>CIDH. Informe No. 148/19. Caso 12.971. Ronald Moya Chacón y Freddy Parrales Chaves. Costa Rica. 28 de septiembre de 2019, párr. 39.</w:t>
      </w:r>
    </w:p>
  </w:footnote>
  <w:footnote w:id="236">
    <w:p w14:paraId="013161DA" w14:textId="0C2CA939" w:rsidR="00F640DA" w:rsidRPr="00116A43" w:rsidRDefault="00F640DA">
      <w:pPr>
        <w:pStyle w:val="Footnotes"/>
        <w:spacing w:after="0"/>
        <w:ind w:firstLine="0"/>
        <w:rPr>
          <w:b/>
          <w:bCs/>
          <w:sz w:val="16"/>
          <w:szCs w:val="16"/>
          <w:lang w:val="es-ES"/>
        </w:rPr>
      </w:pPr>
      <w:r w:rsidRPr="00116A43">
        <w:rPr>
          <w:rStyle w:val="Strong"/>
          <w:rFonts w:eastAsia="Calibri" w:cs="Calibri"/>
          <w:b w:val="0"/>
          <w:bCs w:val="0"/>
          <w:sz w:val="16"/>
          <w:szCs w:val="16"/>
          <w:bdr w:val="nil"/>
          <w:shd w:val="clear" w:color="auto" w:fill="FFFFFF"/>
          <w:vertAlign w:val="superscript"/>
          <w:lang w:val="es-ES" w:eastAsia="es-ES"/>
        </w:rPr>
        <w:footnoteRef/>
      </w:r>
      <w:r w:rsidRPr="00116A43">
        <w:rPr>
          <w:rStyle w:val="Strong"/>
          <w:rFonts w:eastAsia="Calibri" w:cs="Calibri"/>
          <w:b w:val="0"/>
          <w:bCs w:val="0"/>
          <w:sz w:val="16"/>
          <w:szCs w:val="16"/>
          <w:bdr w:val="nil"/>
          <w:shd w:val="clear" w:color="auto" w:fill="FFFFFF"/>
          <w:lang w:val="es-ES" w:eastAsia="es-ES"/>
        </w:rPr>
        <w:t xml:space="preserve"> CIDH. Marco Jurídico Interamericano sobre la Libertad de Expresión. OEA </w:t>
      </w:r>
      <w:proofErr w:type="spellStart"/>
      <w:r w:rsidRPr="00116A43">
        <w:rPr>
          <w:rStyle w:val="Strong"/>
          <w:rFonts w:eastAsia="Calibri" w:cs="Calibri"/>
          <w:b w:val="0"/>
          <w:bCs w:val="0"/>
          <w:sz w:val="16"/>
          <w:szCs w:val="16"/>
          <w:bdr w:val="nil"/>
          <w:shd w:val="clear" w:color="auto" w:fill="FFFFFF"/>
          <w:lang w:val="es-ES" w:eastAsia="es-ES"/>
        </w:rPr>
        <w:t>Ser.L</w:t>
      </w:r>
      <w:proofErr w:type="spellEnd"/>
      <w:r w:rsidRPr="00116A43">
        <w:rPr>
          <w:rStyle w:val="Strong"/>
          <w:rFonts w:eastAsia="Calibri" w:cs="Calibri"/>
          <w:b w:val="0"/>
          <w:bCs w:val="0"/>
          <w:sz w:val="16"/>
          <w:szCs w:val="16"/>
          <w:bdr w:val="nil"/>
          <w:shd w:val="clear" w:color="auto" w:fill="FFFFFF"/>
          <w:lang w:val="es-ES" w:eastAsia="es-ES"/>
        </w:rPr>
        <w:t>/V/II CIDH/RELE/INF doc. 2/09. 30 de diciembre de 2009, párr. 1</w:t>
      </w:r>
      <w:r>
        <w:rPr>
          <w:rStyle w:val="Strong"/>
          <w:rFonts w:eastAsia="Calibri" w:cs="Calibri"/>
          <w:b w:val="0"/>
          <w:bCs w:val="0"/>
          <w:sz w:val="16"/>
          <w:szCs w:val="16"/>
          <w:bdr w:val="nil"/>
          <w:shd w:val="clear" w:color="auto" w:fill="FFFFFF"/>
          <w:lang w:val="es-ES" w:eastAsia="es-ES"/>
        </w:rPr>
        <w:t>6.</w:t>
      </w:r>
    </w:p>
  </w:footnote>
  <w:footnote w:id="237">
    <w:p w14:paraId="1B05E30E" w14:textId="2864AECC" w:rsidR="00F640DA" w:rsidRPr="00A65DA7" w:rsidRDefault="00F640DA">
      <w:pPr>
        <w:pStyle w:val="Footnotes"/>
        <w:spacing w:after="0"/>
        <w:ind w:firstLine="0"/>
        <w:rPr>
          <w:sz w:val="16"/>
          <w:szCs w:val="16"/>
          <w:lang w:val="es-419" w:eastAsia="pt-BR"/>
        </w:rPr>
      </w:pPr>
      <w:r w:rsidRPr="00116A43">
        <w:rPr>
          <w:rStyle w:val="FootnoteReference"/>
          <w:sz w:val="16"/>
          <w:szCs w:val="16"/>
        </w:rPr>
        <w:footnoteRef/>
      </w:r>
      <w:r w:rsidRPr="00116A43">
        <w:rPr>
          <w:rFonts w:eastAsia="Calibri" w:cs="Calibri"/>
          <w:color w:val="000000"/>
          <w:sz w:val="16"/>
          <w:szCs w:val="16"/>
          <w:bdr w:val="nil"/>
          <w:lang w:val="es-419" w:eastAsia="es-ES"/>
        </w:rPr>
        <w:t xml:space="preserve"> CIDH. Marco Jurídico Interamericano sobre la Libertad de Expresión. </w:t>
      </w:r>
      <w:r w:rsidRPr="00A65DA7">
        <w:rPr>
          <w:rFonts w:eastAsia="Calibri" w:cs="Calibri"/>
          <w:color w:val="000000"/>
          <w:sz w:val="16"/>
          <w:szCs w:val="16"/>
          <w:bdr w:val="nil"/>
          <w:lang w:val="es-419" w:eastAsia="es-ES"/>
        </w:rPr>
        <w:t>OEA Ser.L/V/II CIDH/RELE/INF doc. 2/09. 30 de diciembre de 2009, párr. 17</w:t>
      </w:r>
      <w:r w:rsidRPr="00A65DA7">
        <w:rPr>
          <w:sz w:val="16"/>
          <w:szCs w:val="16"/>
          <w:lang w:val="es-419"/>
        </w:rPr>
        <w:t>.</w:t>
      </w:r>
    </w:p>
  </w:footnote>
  <w:footnote w:id="238">
    <w:p w14:paraId="6B66C7F7" w14:textId="70E01031"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cs="Arial"/>
          <w:sz w:val="16"/>
          <w:szCs w:val="16"/>
          <w:vertAlign w:val="superscript"/>
          <w:lang w:val="es-ES"/>
        </w:rPr>
        <w:footnoteRef/>
      </w:r>
      <w:r w:rsidRPr="00116A43">
        <w:rPr>
          <w:rFonts w:ascii="Cambria" w:hAnsi="Cambria"/>
          <w:sz w:val="16"/>
          <w:szCs w:val="16"/>
          <w:lang w:val="es-ES"/>
        </w:rPr>
        <w:t xml:space="preserve"> </w:t>
      </w:r>
      <w:r w:rsidRPr="00116A43">
        <w:rPr>
          <w:rFonts w:ascii="Cambria" w:hAnsi="Cambria" w:cs="Arial"/>
          <w:sz w:val="16"/>
          <w:szCs w:val="16"/>
          <w:lang w:val="es-ES"/>
        </w:rPr>
        <w:t>CIDH, Informe</w:t>
      </w:r>
      <w:r w:rsidRPr="00116A43">
        <w:rPr>
          <w:rFonts w:ascii="Cambria" w:hAnsi="Cambria"/>
          <w:sz w:val="16"/>
          <w:szCs w:val="16"/>
          <w:lang w:val="es-ES"/>
        </w:rPr>
        <w:t xml:space="preserve"> No. 40/04, Caso 12.053, </w:t>
      </w:r>
      <w:r w:rsidRPr="003D0D74">
        <w:rPr>
          <w:rFonts w:ascii="Cambria" w:hAnsi="Cambria"/>
          <w:sz w:val="16"/>
          <w:szCs w:val="16"/>
          <w:lang w:val="es-ES"/>
        </w:rPr>
        <w:t>Comunidades indígenas mayas del distrito de Toledo</w:t>
      </w:r>
      <w:r>
        <w:rPr>
          <w:rFonts w:ascii="Cambria" w:hAnsi="Cambria"/>
          <w:sz w:val="16"/>
          <w:szCs w:val="16"/>
          <w:lang w:val="es-ES"/>
        </w:rPr>
        <w:t xml:space="preserve">. </w:t>
      </w:r>
      <w:r w:rsidRPr="00116A43">
        <w:rPr>
          <w:rFonts w:ascii="Cambria" w:hAnsi="Cambria"/>
          <w:sz w:val="16"/>
          <w:szCs w:val="16"/>
          <w:lang w:val="es-ES"/>
        </w:rPr>
        <w:t>Belice</w:t>
      </w:r>
      <w:r>
        <w:rPr>
          <w:rFonts w:ascii="Cambria" w:hAnsi="Cambria"/>
          <w:sz w:val="16"/>
          <w:szCs w:val="16"/>
          <w:lang w:val="es-ES"/>
        </w:rPr>
        <w:t>.</w:t>
      </w:r>
      <w:r w:rsidRPr="00116A43">
        <w:rPr>
          <w:rFonts w:ascii="Cambria" w:hAnsi="Cambria"/>
          <w:sz w:val="16"/>
          <w:szCs w:val="16"/>
          <w:lang w:val="es-ES"/>
        </w:rPr>
        <w:t xml:space="preserve"> 12 de octubre de 2004, párr. 162.</w:t>
      </w:r>
    </w:p>
  </w:footnote>
  <w:footnote w:id="239">
    <w:p w14:paraId="61124F28" w14:textId="00CF5F3A" w:rsidR="00F640DA" w:rsidRPr="00116A43" w:rsidRDefault="00F640DA">
      <w:pPr>
        <w:pStyle w:val="Footnotes"/>
        <w:spacing w:after="0"/>
        <w:ind w:firstLine="0"/>
        <w:rPr>
          <w:sz w:val="16"/>
          <w:szCs w:val="16"/>
          <w:lang w:val="es-ES"/>
        </w:rPr>
      </w:pPr>
      <w:r w:rsidRPr="00116A43">
        <w:rPr>
          <w:rFonts w:cs="Arial"/>
          <w:sz w:val="16"/>
          <w:szCs w:val="16"/>
          <w:vertAlign w:val="superscript"/>
          <w:lang w:val="es-ES"/>
        </w:rPr>
        <w:footnoteRef/>
      </w:r>
      <w:r w:rsidRPr="00116A43">
        <w:rPr>
          <w:rFonts w:cs="Arial"/>
          <w:sz w:val="16"/>
          <w:szCs w:val="16"/>
          <w:lang w:val="es-ES"/>
        </w:rPr>
        <w:t xml:space="preserve"> </w:t>
      </w:r>
      <w:r w:rsidRPr="00116A43">
        <w:rPr>
          <w:sz w:val="16"/>
          <w:szCs w:val="16"/>
          <w:lang w:val="es-ES"/>
        </w:rPr>
        <w:t xml:space="preserve">CIDH, Informe No. 80/11, Caso 12.626, </w:t>
      </w:r>
      <w:r w:rsidRPr="003D0D74">
        <w:rPr>
          <w:sz w:val="16"/>
          <w:szCs w:val="16"/>
          <w:lang w:val="es-ES"/>
        </w:rPr>
        <w:t xml:space="preserve">Jessica </w:t>
      </w:r>
      <w:proofErr w:type="spellStart"/>
      <w:r w:rsidRPr="003D0D74">
        <w:rPr>
          <w:sz w:val="16"/>
          <w:szCs w:val="16"/>
          <w:lang w:val="es-ES"/>
        </w:rPr>
        <w:t>Lenahan</w:t>
      </w:r>
      <w:proofErr w:type="spellEnd"/>
      <w:r w:rsidRPr="003D0D74">
        <w:rPr>
          <w:sz w:val="16"/>
          <w:szCs w:val="16"/>
          <w:lang w:val="es-ES"/>
        </w:rPr>
        <w:t xml:space="preserve"> (Gonzales) y otros</w:t>
      </w:r>
      <w:r>
        <w:rPr>
          <w:sz w:val="16"/>
          <w:szCs w:val="16"/>
          <w:lang w:val="es-ES"/>
        </w:rPr>
        <w:t xml:space="preserve">. </w:t>
      </w:r>
      <w:r w:rsidRPr="00116A43">
        <w:rPr>
          <w:sz w:val="16"/>
          <w:szCs w:val="16"/>
          <w:lang w:val="es-ES"/>
        </w:rPr>
        <w:t>Estados Unidos</w:t>
      </w:r>
      <w:r>
        <w:rPr>
          <w:sz w:val="16"/>
          <w:szCs w:val="16"/>
          <w:lang w:val="es-ES"/>
        </w:rPr>
        <w:t>.</w:t>
      </w:r>
      <w:r w:rsidRPr="00116A43">
        <w:rPr>
          <w:sz w:val="16"/>
          <w:szCs w:val="16"/>
          <w:lang w:val="es-ES"/>
        </w:rPr>
        <w:t xml:space="preserve"> 21 de julio de 2011, párr. 108; </w:t>
      </w:r>
      <w:r w:rsidRPr="00116A43">
        <w:rPr>
          <w:rFonts w:cs="Arial"/>
          <w:sz w:val="16"/>
          <w:szCs w:val="16"/>
          <w:lang w:val="es-ES"/>
        </w:rPr>
        <w:t>CIDH, Informe</w:t>
      </w:r>
      <w:r w:rsidRPr="00116A43">
        <w:rPr>
          <w:sz w:val="16"/>
          <w:szCs w:val="16"/>
          <w:lang w:val="es-ES"/>
        </w:rPr>
        <w:t xml:space="preserve"> No.40/04, Caso 12.053, </w:t>
      </w:r>
      <w:r w:rsidRPr="003D0D74">
        <w:rPr>
          <w:sz w:val="16"/>
          <w:szCs w:val="16"/>
          <w:lang w:val="es-ES"/>
        </w:rPr>
        <w:t>Comunidades indígenas mayas del distrito de Toledo</w:t>
      </w:r>
      <w:r>
        <w:rPr>
          <w:sz w:val="16"/>
          <w:szCs w:val="16"/>
          <w:lang w:val="es-ES"/>
        </w:rPr>
        <w:t xml:space="preserve">. </w:t>
      </w:r>
      <w:r w:rsidRPr="00116A43">
        <w:rPr>
          <w:sz w:val="16"/>
          <w:szCs w:val="16"/>
          <w:lang w:val="es-ES"/>
        </w:rPr>
        <w:t>Belice</w:t>
      </w:r>
      <w:r>
        <w:rPr>
          <w:sz w:val="16"/>
          <w:szCs w:val="16"/>
          <w:lang w:val="es-ES"/>
        </w:rPr>
        <w:t>.</w:t>
      </w:r>
      <w:r w:rsidRPr="00116A43">
        <w:rPr>
          <w:sz w:val="16"/>
          <w:szCs w:val="16"/>
          <w:lang w:val="es-ES"/>
        </w:rPr>
        <w:t xml:space="preserve"> 12 de octubre de 2004, párr. 162.</w:t>
      </w:r>
    </w:p>
  </w:footnote>
  <w:footnote w:id="240">
    <w:p w14:paraId="569D00C9" w14:textId="74A6B52D" w:rsidR="00F640DA" w:rsidRPr="00116A43" w:rsidRDefault="00F640DA">
      <w:pPr>
        <w:pStyle w:val="FootnoteText"/>
        <w:jc w:val="both"/>
        <w:rPr>
          <w:rFonts w:ascii="Cambria" w:hAnsi="Cambria"/>
          <w:color w:val="auto"/>
          <w:spacing w:val="-4"/>
          <w:sz w:val="16"/>
          <w:szCs w:val="16"/>
          <w:lang w:val="pt-BR"/>
        </w:rPr>
      </w:pPr>
      <w:r w:rsidRPr="00116A43">
        <w:rPr>
          <w:rStyle w:val="FootnoteReference"/>
          <w:rFonts w:ascii="Cambria" w:hAnsi="Cambria"/>
          <w:color w:val="auto"/>
          <w:spacing w:val="-4"/>
          <w:sz w:val="16"/>
          <w:szCs w:val="16"/>
        </w:rPr>
        <w:footnoteRef/>
      </w:r>
      <w:r w:rsidRPr="00116A43">
        <w:rPr>
          <w:rFonts w:ascii="Cambria" w:hAnsi="Cambria"/>
          <w:color w:val="auto"/>
          <w:spacing w:val="-4"/>
          <w:sz w:val="16"/>
          <w:szCs w:val="16"/>
          <w:lang w:val="es-ES"/>
        </w:rPr>
        <w:t xml:space="preserve"> CIDH, Informe sobre la Compatibilidad entre las Leyes de Desacato y la Convención Americana sobre Derechos Humanos. </w:t>
      </w:r>
      <w:r w:rsidRPr="00116A43">
        <w:rPr>
          <w:rFonts w:ascii="Cambria" w:hAnsi="Cambria"/>
          <w:color w:val="auto"/>
          <w:spacing w:val="-4"/>
          <w:sz w:val="16"/>
          <w:szCs w:val="16"/>
          <w:lang w:val="pt-BR"/>
        </w:rPr>
        <w:t>OEA/ser L/V/II.88, Doc.9 rev (1995), páginas 210 a 223. Anexo D</w:t>
      </w:r>
      <w:r w:rsidRPr="00116A43">
        <w:rPr>
          <w:rFonts w:ascii="Cambria" w:hAnsi="Cambria"/>
          <w:color w:val="auto"/>
          <w:sz w:val="16"/>
          <w:szCs w:val="16"/>
          <w:lang w:val="pt-BR"/>
        </w:rPr>
        <w:t xml:space="preserve">. </w:t>
      </w:r>
    </w:p>
  </w:footnote>
  <w:footnote w:id="241">
    <w:p w14:paraId="603407D8" w14:textId="4C906719" w:rsidR="00F640DA" w:rsidRPr="00116A43" w:rsidRDefault="00F640DA">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ONU. Comité de Derechos Humanos. Observación General No. 34: Artículo 19 Libertad de opinión y libertad de expresión. 12 de septiembre de 2011.</w:t>
      </w:r>
    </w:p>
  </w:footnote>
  <w:footnote w:id="242">
    <w:p w14:paraId="471DC7BA" w14:textId="0BA28CB9" w:rsidR="00F640DA" w:rsidRPr="00116A43" w:rsidRDefault="00F640DA">
      <w:pPr>
        <w:pStyle w:val="FootnoteText"/>
        <w:jc w:val="both"/>
        <w:rPr>
          <w:rFonts w:ascii="Cambria" w:hAnsi="Cambria"/>
          <w:color w:val="auto"/>
          <w:sz w:val="16"/>
          <w:szCs w:val="16"/>
          <w:lang w:val="es-ES"/>
        </w:rPr>
      </w:pPr>
      <w:r w:rsidRPr="00116A43">
        <w:rPr>
          <w:rStyle w:val="FootnoteReference"/>
          <w:rFonts w:ascii="Cambria" w:hAnsi="Cambria"/>
          <w:color w:val="auto"/>
          <w:sz w:val="16"/>
          <w:szCs w:val="16"/>
        </w:rPr>
        <w:footnoteRef/>
      </w:r>
      <w:r w:rsidRPr="00116A43">
        <w:rPr>
          <w:rFonts w:ascii="Cambria" w:hAnsi="Cambria"/>
          <w:color w:val="auto"/>
          <w:sz w:val="16"/>
          <w:szCs w:val="16"/>
          <w:lang w:val="es-ES"/>
        </w:rPr>
        <w:t xml:space="preserve"> CIDH. </w:t>
      </w:r>
      <w:r w:rsidRPr="00116A43">
        <w:rPr>
          <w:rFonts w:ascii="Cambria" w:hAnsi="Cambria"/>
          <w:color w:val="auto"/>
          <w:sz w:val="16"/>
          <w:szCs w:val="16"/>
          <w:lang w:val="es-CO"/>
        </w:rPr>
        <w:t>Informe No. 67/06. Caso 12.476. Oscar Elías Biscet y Otros</w:t>
      </w:r>
      <w:r>
        <w:rPr>
          <w:rFonts w:ascii="Cambria" w:hAnsi="Cambria"/>
          <w:color w:val="auto"/>
          <w:sz w:val="16"/>
          <w:szCs w:val="16"/>
          <w:lang w:val="es-CO"/>
        </w:rPr>
        <w:t xml:space="preserve">. </w:t>
      </w:r>
      <w:r w:rsidRPr="00116A43">
        <w:rPr>
          <w:rFonts w:ascii="Cambria" w:hAnsi="Cambria"/>
          <w:color w:val="auto"/>
          <w:sz w:val="16"/>
          <w:szCs w:val="16"/>
          <w:lang w:val="es-CO"/>
        </w:rPr>
        <w:t>Cuba. 21 de octubre de 2006</w:t>
      </w:r>
      <w:r w:rsidRPr="00116A43">
        <w:rPr>
          <w:rFonts w:ascii="Cambria" w:hAnsi="Cambria"/>
          <w:color w:val="auto"/>
          <w:sz w:val="16"/>
          <w:szCs w:val="16"/>
          <w:lang w:val="es-ES"/>
        </w:rPr>
        <w:t>.</w:t>
      </w:r>
    </w:p>
  </w:footnote>
  <w:footnote w:id="243">
    <w:p w14:paraId="0EE89CF4" w14:textId="18C85518" w:rsidR="00F640DA" w:rsidRPr="00116A43" w:rsidRDefault="00F640DA" w:rsidP="00116A43">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419"/>
        </w:rPr>
        <w:t xml:space="preserve"> </w:t>
      </w:r>
      <w:r w:rsidRPr="00116A43">
        <w:rPr>
          <w:rStyle w:val="Strong"/>
          <w:rFonts w:ascii="Cambria" w:hAnsi="Cambria"/>
          <w:b w:val="0"/>
          <w:bCs w:val="0"/>
          <w:color w:val="auto"/>
          <w:sz w:val="16"/>
          <w:szCs w:val="16"/>
          <w:shd w:val="clear" w:color="auto" w:fill="FFFFFF"/>
          <w:lang w:val="es-ES"/>
        </w:rPr>
        <w:t>CIDH, Informe No. 4/17, Caso 12.663. Fondo. Tulio Alberto Álvarez. Venezuela. 26 de enero de 2017, párr. 88.</w:t>
      </w:r>
      <w:r w:rsidRPr="00116A43">
        <w:rPr>
          <w:rFonts w:ascii="Cambria" w:hAnsi="Cambria"/>
          <w:sz w:val="16"/>
          <w:szCs w:val="16"/>
          <w:lang w:val="es-419"/>
        </w:rPr>
        <w:t xml:space="preserve"> </w:t>
      </w:r>
    </w:p>
  </w:footnote>
  <w:footnote w:id="244">
    <w:p w14:paraId="66CDC443" w14:textId="4CA58481" w:rsidR="00F640DA" w:rsidRPr="00A65DA7" w:rsidRDefault="00F640DA" w:rsidP="00116A43">
      <w:pPr>
        <w:pStyle w:val="FootnoteText"/>
        <w:jc w:val="both"/>
        <w:rPr>
          <w:rFonts w:ascii="Cambria" w:hAnsi="Cambria"/>
          <w:sz w:val="16"/>
          <w:szCs w:val="16"/>
          <w:lang w:val="es-US"/>
        </w:rPr>
      </w:pPr>
      <w:r w:rsidRPr="00116A43">
        <w:rPr>
          <w:rFonts w:ascii="Cambria" w:eastAsia="Arial Unicode MS" w:hAnsi="Cambria" w:cs="Times New Roman"/>
          <w:color w:val="auto"/>
          <w:sz w:val="16"/>
          <w:szCs w:val="16"/>
          <w:vertAlign w:val="superscript"/>
          <w:lang w:val="es-ES_tradnl" w:eastAsia="en-US"/>
        </w:rPr>
        <w:footnoteRef/>
      </w:r>
      <w:r w:rsidRPr="00116A43">
        <w:rPr>
          <w:rFonts w:ascii="Cambria" w:eastAsia="Arial Unicode MS" w:hAnsi="Cambria" w:cs="Times New Roman"/>
          <w:color w:val="auto"/>
          <w:sz w:val="16"/>
          <w:szCs w:val="16"/>
          <w:lang w:val="es-ES_tradnl" w:eastAsia="en-US"/>
        </w:rPr>
        <w:t xml:space="preserve"> CIDH. Marco Jurídico Interamericano sobre la Libertad de Expresión. </w:t>
      </w:r>
      <w:r w:rsidRPr="00A65DA7">
        <w:rPr>
          <w:rFonts w:ascii="Cambria" w:eastAsia="Arial Unicode MS" w:hAnsi="Cambria" w:cs="Times New Roman"/>
          <w:color w:val="auto"/>
          <w:sz w:val="16"/>
          <w:szCs w:val="16"/>
          <w:lang w:val="es-US" w:eastAsia="en-US"/>
        </w:rPr>
        <w:t>OEA Ser.L/V/II CIDH/RELE/INF doc. 2/09. 30 de diciembre de 2009, párrs. 110 y ss.</w:t>
      </w:r>
      <w:r w:rsidRPr="00A65DA7">
        <w:rPr>
          <w:rFonts w:ascii="Cambria" w:hAnsi="Cambria"/>
          <w:sz w:val="16"/>
          <w:szCs w:val="16"/>
          <w:lang w:val="es-US"/>
        </w:rPr>
        <w:t xml:space="preserve"> </w:t>
      </w:r>
    </w:p>
  </w:footnote>
  <w:footnote w:id="245">
    <w:p w14:paraId="29A72DF7" w14:textId="3F582376"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A65DA7">
        <w:rPr>
          <w:rFonts w:ascii="Cambria" w:hAnsi="Cambria"/>
          <w:sz w:val="16"/>
          <w:szCs w:val="16"/>
          <w:lang w:val="es-US"/>
        </w:rPr>
        <w:t xml:space="preserve"> CIDH, Informe Nº 27/18, Caso Nº 12.127. </w:t>
      </w:r>
      <w:r w:rsidRPr="00116A43">
        <w:rPr>
          <w:rFonts w:ascii="Cambria" w:hAnsi="Cambria"/>
          <w:sz w:val="16"/>
          <w:szCs w:val="16"/>
          <w:lang w:val="es-PE"/>
        </w:rPr>
        <w:t>Fondo</w:t>
      </w:r>
      <w:r>
        <w:rPr>
          <w:rFonts w:ascii="Cambria" w:hAnsi="Cambria"/>
          <w:sz w:val="16"/>
          <w:szCs w:val="16"/>
          <w:lang w:val="es-PE"/>
        </w:rPr>
        <w:t xml:space="preserve">. </w:t>
      </w:r>
      <w:r w:rsidRPr="00116A43">
        <w:rPr>
          <w:rFonts w:ascii="Cambria" w:hAnsi="Cambria"/>
          <w:sz w:val="16"/>
          <w:szCs w:val="16"/>
          <w:lang w:val="es-PE"/>
        </w:rPr>
        <w:t xml:space="preserve">Vladimiro Roca Antunez y Otros. Cuba. 24 de febrero de 2018, par. 103. </w:t>
      </w:r>
    </w:p>
  </w:footnote>
  <w:footnote w:id="246">
    <w:p w14:paraId="56504221" w14:textId="77777777" w:rsidR="00F640DA" w:rsidRPr="00116A43" w:rsidRDefault="00F640DA" w:rsidP="00447791">
      <w:pPr>
        <w:jc w:val="both"/>
        <w:rPr>
          <w:rFonts w:ascii="Cambria" w:hAnsi="Cambria"/>
          <w:sz w:val="16"/>
          <w:szCs w:val="16"/>
        </w:rPr>
      </w:pPr>
      <w:r w:rsidRPr="00116A43">
        <w:rPr>
          <w:rStyle w:val="FootnoteReference"/>
          <w:rFonts w:ascii="Cambria" w:hAnsi="Cambria"/>
          <w:sz w:val="16"/>
          <w:szCs w:val="16"/>
        </w:rPr>
        <w:footnoteRef/>
      </w:r>
      <w:r w:rsidRPr="00A65DA7">
        <w:rPr>
          <w:rFonts w:ascii="Cambria" w:hAnsi="Cambria"/>
          <w:sz w:val="16"/>
          <w:szCs w:val="16"/>
          <w:lang w:val="es-US"/>
        </w:rPr>
        <w:t xml:space="preserve"> CIDH. </w:t>
      </w:r>
      <w:hyperlink r:id="rId80" w:history="1">
        <w:r w:rsidRPr="00116A43">
          <w:rPr>
            <w:rStyle w:val="Hyperlink"/>
            <w:rFonts w:ascii="Cambria" w:hAnsi="Cambria"/>
            <w:sz w:val="16"/>
            <w:szCs w:val="16"/>
            <w:u w:val="none"/>
            <w:lang w:val="es-419"/>
          </w:rPr>
          <w:t xml:space="preserve">Informe Anual 2009. </w:t>
        </w:r>
        <w:r w:rsidRPr="00116A43">
          <w:rPr>
            <w:rStyle w:val="Hyperlink"/>
            <w:rFonts w:ascii="Cambria" w:hAnsi="Cambria"/>
            <w:sz w:val="16"/>
            <w:szCs w:val="16"/>
            <w:u w:val="none"/>
            <w:lang w:val="es-UY"/>
          </w:rPr>
          <w:t>Informe de la Relatoría Especial para la Libertad de Expresión</w:t>
        </w:r>
      </w:hyperlink>
      <w:r w:rsidRPr="00116A43">
        <w:rPr>
          <w:rFonts w:ascii="Cambria" w:hAnsi="Cambria"/>
          <w:sz w:val="16"/>
          <w:szCs w:val="16"/>
          <w:lang w:val="es-UY"/>
        </w:rPr>
        <w:t xml:space="preserve">. </w:t>
      </w:r>
      <w:r w:rsidRPr="00116A43">
        <w:rPr>
          <w:rFonts w:ascii="Cambria" w:hAnsi="Cambria"/>
          <w:sz w:val="16"/>
          <w:szCs w:val="16"/>
          <w:lang w:val="es-ES_tradnl"/>
        </w:rPr>
        <w:t>Capítulo III (Marco Jurídico Interamericano del Derecho a la Libertad de Expresión). OEA/</w:t>
      </w:r>
      <w:proofErr w:type="spellStart"/>
      <w:r w:rsidRPr="00116A43">
        <w:rPr>
          <w:rFonts w:ascii="Cambria" w:hAnsi="Cambria"/>
          <w:sz w:val="16"/>
          <w:szCs w:val="16"/>
          <w:lang w:val="es-ES_tradnl"/>
        </w:rPr>
        <w:t>Ser.L</w:t>
      </w:r>
      <w:proofErr w:type="spellEnd"/>
      <w:r w:rsidRPr="00116A43">
        <w:rPr>
          <w:rFonts w:ascii="Cambria" w:hAnsi="Cambria"/>
          <w:sz w:val="16"/>
          <w:szCs w:val="16"/>
          <w:lang w:val="es-ES_tradnl"/>
        </w:rPr>
        <w:t xml:space="preserve">/V/II. Doc. 51. 30 de diciembre de 2009. </w:t>
      </w:r>
      <w:proofErr w:type="spellStart"/>
      <w:r w:rsidRPr="00116A43">
        <w:rPr>
          <w:rFonts w:ascii="Cambria" w:hAnsi="Cambria"/>
          <w:sz w:val="16"/>
          <w:szCs w:val="16"/>
          <w:lang w:val="es-ES_tradnl"/>
        </w:rPr>
        <w:t>Párr</w:t>
      </w:r>
      <w:proofErr w:type="spellEnd"/>
      <w:r w:rsidRPr="00116A43">
        <w:rPr>
          <w:rFonts w:ascii="Cambria" w:hAnsi="Cambria"/>
          <w:sz w:val="16"/>
          <w:szCs w:val="16"/>
          <w:lang w:val="es-ES_tradnl"/>
        </w:rPr>
        <w:t xml:space="preserve"> </w:t>
      </w:r>
      <w:r w:rsidRPr="00116A43">
        <w:rPr>
          <w:rFonts w:ascii="Cambria" w:hAnsi="Cambria"/>
          <w:sz w:val="16"/>
          <w:szCs w:val="16"/>
        </w:rPr>
        <w:t>100; y</w:t>
      </w:r>
      <w:r w:rsidRPr="00116A43">
        <w:rPr>
          <w:rFonts w:ascii="Cambria" w:hAnsi="Cambria" w:cs="Arial"/>
          <w:sz w:val="16"/>
          <w:szCs w:val="16"/>
        </w:rPr>
        <w:t xml:space="preserve"> CIDH. Informe Anual 1994. Capítulo V: Informe sobre la Compatibilidad entre las Leyes de Desacato y la Convención Americana sobre Derechos Humanos.  OEA/Ser. L/V/II.88. doc. 9 </w:t>
      </w:r>
      <w:proofErr w:type="spellStart"/>
      <w:r w:rsidRPr="00116A43">
        <w:rPr>
          <w:rFonts w:ascii="Cambria" w:hAnsi="Cambria" w:cs="Arial"/>
          <w:sz w:val="16"/>
          <w:szCs w:val="16"/>
        </w:rPr>
        <w:t>rev.</w:t>
      </w:r>
      <w:proofErr w:type="spellEnd"/>
      <w:r w:rsidRPr="00116A43">
        <w:rPr>
          <w:rFonts w:ascii="Cambria" w:hAnsi="Cambria" w:cs="Arial"/>
          <w:sz w:val="16"/>
          <w:szCs w:val="16"/>
        </w:rPr>
        <w:t xml:space="preserve"> 17 de febrero de 1995.</w:t>
      </w:r>
    </w:p>
  </w:footnote>
  <w:footnote w:id="247">
    <w:p w14:paraId="3E2FD634" w14:textId="3355312C"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1">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3D0D74">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 84.</w:t>
      </w:r>
    </w:p>
  </w:footnote>
  <w:footnote w:id="248">
    <w:p w14:paraId="2C3D954E" w14:textId="48C22DF2"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Relator Especial de las Naciones Unidas (ONU) sobre la Promoción y Protección del Derecho a la Libertad de Opinión y de Expresión, Representante para la Libertad de los Medios de Comunicación de la Organización para la Seguridad y la Cooperación en Europa (OSCE), Relatora Especial para la Libertad de Expresión de la Comisión Interamericana de Derechos Humanos (OEA), y Relatora Especial sobre Libertad de Expresión y Acceso a la Información de la Comisión Africana de Derechos Humanos y de los Pueblos (CADHP). Declaración conjunta sobre libertad de expresión e Internet. 1 de junio de 2011.</w:t>
      </w:r>
    </w:p>
  </w:footnote>
  <w:footnote w:id="249">
    <w:p w14:paraId="37E9D606" w14:textId="664C2D83" w:rsidR="00F640DA" w:rsidRPr="00116A43" w:rsidRDefault="00F640DA" w:rsidP="00447791">
      <w:pPr>
        <w:pStyle w:val="FootnoteText"/>
        <w:jc w:val="both"/>
        <w:rPr>
          <w:rFonts w:ascii="Cambria" w:hAnsi="Cambria"/>
          <w:sz w:val="16"/>
          <w:szCs w:val="16"/>
          <w:lang w:val="es-PE"/>
        </w:rPr>
      </w:pPr>
      <w:r w:rsidRPr="00116A43">
        <w:rPr>
          <w:rStyle w:val="None"/>
          <w:rFonts w:ascii="Cambria" w:eastAsia="Times New Roman" w:hAnsi="Cambria" w:cs="Times New Roman"/>
          <w:sz w:val="16"/>
          <w:szCs w:val="16"/>
          <w:vertAlign w:val="superscript"/>
          <w:lang w:val="es-ES_tradnl"/>
        </w:rPr>
        <w:footnoteRef/>
      </w:r>
      <w:r w:rsidRPr="00116A43">
        <w:rPr>
          <w:rFonts w:ascii="Cambria" w:hAnsi="Cambria"/>
          <w:sz w:val="16"/>
          <w:szCs w:val="16"/>
          <w:lang w:val="es-ES_tradnl"/>
        </w:rPr>
        <w:t xml:space="preserve"> </w:t>
      </w:r>
      <w:r w:rsidRPr="00116A43">
        <w:rPr>
          <w:rFonts w:ascii="Cambria" w:hAnsi="Cambria"/>
          <w:sz w:val="16"/>
          <w:szCs w:val="16"/>
          <w:lang w:val="es-PE"/>
        </w:rPr>
        <w:t xml:space="preserve">CIDH. Relatoría Especial para la Libertad de Expresión. </w:t>
      </w:r>
      <w:hyperlink r:id="rId82">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 xml:space="preserve">. </w:t>
      </w:r>
      <w:r w:rsidRPr="00116A43">
        <w:rPr>
          <w:rFonts w:ascii="Cambria" w:hAnsi="Cambria"/>
          <w:sz w:val="16"/>
          <w:szCs w:val="16"/>
          <w:lang w:val="es-PE"/>
        </w:rPr>
        <w:t>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 </w:t>
      </w:r>
      <w:r w:rsidRPr="00116A43">
        <w:rPr>
          <w:rFonts w:ascii="Cambria" w:hAnsi="Cambria"/>
          <w:sz w:val="16"/>
          <w:szCs w:val="16"/>
          <w:lang w:val="es-ES_tradnl"/>
        </w:rPr>
        <w:t>32; CIDH. Guía Práctica N</w:t>
      </w:r>
      <w:r w:rsidRPr="00A65DA7">
        <w:rPr>
          <w:rStyle w:val="None"/>
          <w:rFonts w:ascii="Cambria" w:eastAsia="Cambria" w:hAnsi="Cambria" w:cs="Cambria"/>
          <w:sz w:val="16"/>
          <w:szCs w:val="16"/>
          <w:lang w:val="es-US"/>
        </w:rPr>
        <w:t>º</w:t>
      </w:r>
      <w:r w:rsidRPr="00116A43">
        <w:rPr>
          <w:rStyle w:val="None"/>
          <w:rFonts w:ascii="Cambria" w:eastAsia="Cambria" w:hAnsi="Cambria" w:cs="Cambria"/>
          <w:sz w:val="16"/>
          <w:szCs w:val="16"/>
          <w:lang w:val="es-ES_tradnl"/>
        </w:rPr>
        <w:t xml:space="preserve"> 3 de la SACROI COVID-19. ¿Cómo promover el acceso a internet durante la pandemia de COVID-19?</w:t>
      </w:r>
    </w:p>
  </w:footnote>
  <w:footnote w:id="250">
    <w:p w14:paraId="61985917" w14:textId="137AF434"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3">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 6.</w:t>
      </w:r>
    </w:p>
  </w:footnote>
  <w:footnote w:id="251">
    <w:p w14:paraId="305FAF13" w14:textId="00E7D744" w:rsidR="00F640DA" w:rsidRPr="00644687" w:rsidRDefault="00F640DA" w:rsidP="00447791">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r>
        <w:rPr>
          <w:rFonts w:ascii="Cambria" w:hAnsi="Cambria"/>
          <w:sz w:val="16"/>
          <w:szCs w:val="16"/>
          <w:lang w:val="es-PE"/>
        </w:rPr>
        <w:t>.</w:t>
      </w:r>
      <w:r w:rsidRPr="00116A43">
        <w:rPr>
          <w:rFonts w:ascii="Cambria" w:hAnsi="Cambria"/>
          <w:sz w:val="16"/>
          <w:szCs w:val="16"/>
          <w:lang w:val="es-PE"/>
        </w:rPr>
        <w:t xml:space="preserve"> Libertad de Expresión e Internet</w:t>
      </w:r>
      <w:r>
        <w:rPr>
          <w:rFonts w:ascii="Cambria" w:hAnsi="Cambria"/>
          <w:sz w:val="16"/>
          <w:szCs w:val="16"/>
          <w:lang w:val="es-PE"/>
        </w:rPr>
        <w:t>.</w:t>
      </w:r>
      <w:r w:rsidRPr="00116A43">
        <w:rPr>
          <w:rFonts w:ascii="Cambria" w:hAnsi="Cambria"/>
          <w:sz w:val="16"/>
          <w:szCs w:val="16"/>
          <w:lang w:val="es-PE"/>
        </w:rPr>
        <w:t xml:space="preserve"> OEA/Ser.L/V/II. </w:t>
      </w:r>
      <w:r w:rsidRPr="00644687">
        <w:rPr>
          <w:rFonts w:ascii="Cambria" w:hAnsi="Cambria"/>
          <w:sz w:val="16"/>
          <w:szCs w:val="16"/>
          <w:lang w:val="es-US"/>
        </w:rPr>
        <w:t xml:space="preserve">CIDH/RELE/INF. 11/13. 31 de diciembre 2013, párr. 18. </w:t>
      </w:r>
    </w:p>
  </w:footnote>
  <w:footnote w:id="252">
    <w:p w14:paraId="61CC3C13" w14:textId="73EB9C43" w:rsidR="00F640DA" w:rsidRPr="00644687" w:rsidRDefault="00F640DA" w:rsidP="00447791">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r>
        <w:rPr>
          <w:rFonts w:ascii="Cambria" w:hAnsi="Cambria"/>
          <w:sz w:val="16"/>
          <w:szCs w:val="16"/>
          <w:lang w:val="es-PE"/>
        </w:rPr>
        <w:t>.</w:t>
      </w:r>
      <w:r w:rsidRPr="00116A43">
        <w:rPr>
          <w:rFonts w:ascii="Cambria" w:hAnsi="Cambria"/>
          <w:sz w:val="16"/>
          <w:szCs w:val="16"/>
          <w:lang w:val="es-PE"/>
        </w:rPr>
        <w:t xml:space="preserve"> Libertad de Expresión e Internet</w:t>
      </w:r>
      <w:r>
        <w:rPr>
          <w:rFonts w:ascii="Cambria" w:hAnsi="Cambria"/>
          <w:sz w:val="16"/>
          <w:szCs w:val="16"/>
          <w:lang w:val="es-PE"/>
        </w:rPr>
        <w:t>.</w:t>
      </w:r>
      <w:r w:rsidRPr="00116A43">
        <w:rPr>
          <w:rFonts w:ascii="Cambria" w:hAnsi="Cambria"/>
          <w:sz w:val="16"/>
          <w:szCs w:val="16"/>
          <w:lang w:val="es-PE"/>
        </w:rPr>
        <w:t xml:space="preserve"> </w:t>
      </w:r>
      <w:r w:rsidRPr="00644687">
        <w:rPr>
          <w:rFonts w:ascii="Cambria" w:hAnsi="Cambria"/>
          <w:sz w:val="16"/>
          <w:szCs w:val="16"/>
          <w:lang w:val="pt-BR"/>
        </w:rPr>
        <w:t xml:space="preserve">OEA/Ser.L/V/II. </w:t>
      </w:r>
      <w:r w:rsidRPr="00644687">
        <w:rPr>
          <w:rFonts w:ascii="Cambria" w:hAnsi="Cambria"/>
          <w:sz w:val="16"/>
          <w:szCs w:val="16"/>
          <w:lang w:val="pt-BR"/>
        </w:rPr>
        <w:t xml:space="preserve">CIDH/RELE/INF. 11/13. </w:t>
      </w:r>
      <w:r w:rsidRPr="00644687">
        <w:rPr>
          <w:rFonts w:ascii="Cambria" w:hAnsi="Cambria"/>
          <w:sz w:val="16"/>
          <w:szCs w:val="16"/>
          <w:lang w:val="es-US"/>
        </w:rPr>
        <w:t xml:space="preserve">31 de diciembre 2013, párr. 18. </w:t>
      </w:r>
    </w:p>
  </w:footnote>
  <w:footnote w:id="253">
    <w:p w14:paraId="73298C60" w14:textId="5BCB6F8D" w:rsidR="00F640DA" w:rsidRPr="00644687" w:rsidRDefault="00F640DA" w:rsidP="00447791">
      <w:pPr>
        <w:pStyle w:val="FootnoteText"/>
        <w:jc w:val="both"/>
        <w:rPr>
          <w:rFonts w:ascii="Cambria" w:hAnsi="Cambria"/>
          <w:sz w:val="16"/>
          <w:szCs w:val="16"/>
          <w:lang w:val="es-US"/>
        </w:rPr>
      </w:pPr>
      <w:r w:rsidRPr="00116A43">
        <w:rPr>
          <w:rStyle w:val="FootnoteReference"/>
          <w:rFonts w:ascii="Cambria" w:hAnsi="Cambria"/>
          <w:sz w:val="16"/>
          <w:szCs w:val="16"/>
        </w:rPr>
        <w:footnoteRef/>
      </w:r>
      <w:r w:rsidRPr="00116A43">
        <w:rPr>
          <w:rFonts w:ascii="Cambria" w:hAnsi="Cambria"/>
          <w:sz w:val="16"/>
          <w:szCs w:val="16"/>
          <w:lang w:val="es-PE"/>
        </w:rPr>
        <w:t xml:space="preserve"> CIDH</w:t>
      </w:r>
      <w:r>
        <w:rPr>
          <w:rFonts w:ascii="Cambria" w:hAnsi="Cambria"/>
          <w:sz w:val="16"/>
          <w:szCs w:val="16"/>
          <w:lang w:val="es-PE"/>
        </w:rPr>
        <w:t>.</w:t>
      </w:r>
      <w:r w:rsidRPr="00116A43">
        <w:rPr>
          <w:rFonts w:ascii="Cambria" w:hAnsi="Cambria"/>
          <w:sz w:val="16"/>
          <w:szCs w:val="16"/>
          <w:lang w:val="es-PE"/>
        </w:rPr>
        <w:t xml:space="preserve"> Libertad de Expresión e Internet</w:t>
      </w:r>
      <w:r>
        <w:rPr>
          <w:rFonts w:ascii="Cambria" w:hAnsi="Cambria"/>
          <w:sz w:val="16"/>
          <w:szCs w:val="16"/>
          <w:lang w:val="es-PE"/>
        </w:rPr>
        <w:t>.</w:t>
      </w:r>
      <w:r w:rsidRPr="00116A43">
        <w:rPr>
          <w:rFonts w:ascii="Cambria" w:hAnsi="Cambria"/>
          <w:sz w:val="16"/>
          <w:szCs w:val="16"/>
          <w:lang w:val="es-PE"/>
        </w:rPr>
        <w:t xml:space="preserve"> OEA/Ser.L/V/II. </w:t>
      </w:r>
      <w:r w:rsidRPr="00644687">
        <w:rPr>
          <w:rFonts w:ascii="Cambria" w:hAnsi="Cambria"/>
          <w:sz w:val="16"/>
          <w:szCs w:val="16"/>
          <w:lang w:val="es-US"/>
        </w:rPr>
        <w:t xml:space="preserve">CIDH/RELE/INF. 11/13. 31 de diciembre 2013, párr. 19. </w:t>
      </w:r>
    </w:p>
  </w:footnote>
  <w:footnote w:id="254">
    <w:p w14:paraId="4CD1968A" w14:textId="18CBEEE3"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4">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w:t>
      </w:r>
      <w:r w:rsidRPr="00CC61E3">
        <w:rPr>
          <w:rFonts w:ascii="Cambria" w:hAnsi="Cambria"/>
          <w:sz w:val="16"/>
          <w:szCs w:val="16"/>
          <w:lang w:val="es-PE"/>
        </w:rPr>
        <w:t>párr. 11.</w:t>
      </w:r>
    </w:p>
  </w:footnote>
  <w:footnote w:id="255">
    <w:p w14:paraId="5934BFD1" w14:textId="76D511F3"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419"/>
        </w:rPr>
        <w:t xml:space="preserve"> </w:t>
      </w:r>
      <w:r w:rsidRPr="00116A43">
        <w:rPr>
          <w:rFonts w:ascii="Cambria" w:hAnsi="Cambria"/>
          <w:sz w:val="16"/>
          <w:szCs w:val="16"/>
          <w:lang w:val="es-PE"/>
        </w:rPr>
        <w:t xml:space="preserve">Declaración conjunta sobre libertad de expresión e Internet. 1 de junio de 2011, </w:t>
      </w:r>
      <w:r w:rsidRPr="00116A43">
        <w:rPr>
          <w:rFonts w:ascii="Cambria" w:hAnsi="Cambria"/>
          <w:i/>
          <w:sz w:val="16"/>
          <w:szCs w:val="16"/>
          <w:lang w:val="es-PE"/>
        </w:rPr>
        <w:t>supra</w:t>
      </w:r>
      <w:r w:rsidRPr="00116A43">
        <w:rPr>
          <w:rFonts w:ascii="Cambria" w:hAnsi="Cambria"/>
          <w:sz w:val="16"/>
          <w:szCs w:val="16"/>
          <w:lang w:val="es-PE"/>
        </w:rPr>
        <w:t>.</w:t>
      </w:r>
    </w:p>
  </w:footnote>
  <w:footnote w:id="256">
    <w:p w14:paraId="3760C1F6" w14:textId="629827CB" w:rsidR="00F640DA" w:rsidRPr="00916042" w:rsidRDefault="00F640DA" w:rsidP="008207E7">
      <w:pPr>
        <w:jc w:val="both"/>
        <w:rPr>
          <w:rFonts w:ascii="Cambria" w:hAnsi="Cambria"/>
          <w:sz w:val="16"/>
          <w:szCs w:val="16"/>
          <w:lang w:val="es-PE"/>
        </w:rPr>
      </w:pPr>
      <w:r w:rsidRPr="00916042">
        <w:rPr>
          <w:rStyle w:val="FootnoteReference"/>
          <w:rFonts w:ascii="Cambria" w:hAnsi="Cambria"/>
          <w:sz w:val="16"/>
          <w:szCs w:val="16"/>
        </w:rPr>
        <w:footnoteRef/>
      </w:r>
      <w:r w:rsidRPr="00916042">
        <w:rPr>
          <w:rFonts w:ascii="Cambria" w:hAnsi="Cambria"/>
          <w:sz w:val="16"/>
          <w:szCs w:val="16"/>
          <w:lang w:val="es-PE"/>
        </w:rPr>
        <w:t xml:space="preserve"> CIDH. Relatoría Especial para la Libertad de Expresión. Estándares para una Internet libre, abierta e incluyente. </w:t>
      </w:r>
      <w:r w:rsidRPr="00116A43">
        <w:rPr>
          <w:rFonts w:ascii="Cambria" w:hAnsi="Cambria"/>
          <w:sz w:val="16"/>
          <w:szCs w:val="16"/>
          <w:lang w:val="es-PE"/>
        </w:rPr>
        <w:t>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w:t>
      </w:r>
      <w:r w:rsidRPr="00916042">
        <w:rPr>
          <w:rFonts w:ascii="Cambria" w:hAnsi="Cambria"/>
          <w:sz w:val="16"/>
          <w:szCs w:val="16"/>
          <w:lang w:val="es-PE"/>
        </w:rPr>
        <w:t>párr. 89.</w:t>
      </w:r>
    </w:p>
  </w:footnote>
  <w:footnote w:id="257">
    <w:p w14:paraId="273CC092" w14:textId="023B92D5" w:rsidR="00F640DA" w:rsidRPr="00116A43" w:rsidRDefault="00F640DA">
      <w:pPr>
        <w:pStyle w:val="FootnoteText"/>
        <w:jc w:val="both"/>
        <w:rPr>
          <w:rFonts w:ascii="Cambria" w:hAnsi="Cambria"/>
          <w:color w:val="auto"/>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5">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 91.</w:t>
      </w:r>
    </w:p>
  </w:footnote>
  <w:footnote w:id="258">
    <w:p w14:paraId="0ACDA506" w14:textId="13D11725" w:rsidR="00F640DA" w:rsidRPr="00116A43" w:rsidRDefault="00F640DA">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419"/>
        </w:rPr>
        <w:t xml:space="preserve"> </w:t>
      </w:r>
      <w:r w:rsidRPr="00116A43">
        <w:rPr>
          <w:rFonts w:ascii="Cambria" w:hAnsi="Cambria"/>
          <w:sz w:val="16"/>
          <w:szCs w:val="16"/>
          <w:lang w:val="es-PE"/>
        </w:rPr>
        <w:t xml:space="preserve">CIDH. Libertad de Expresión e Internet. </w:t>
      </w:r>
      <w:r w:rsidRPr="00644687">
        <w:rPr>
          <w:rFonts w:ascii="Cambria" w:hAnsi="Cambria"/>
          <w:sz w:val="16"/>
          <w:szCs w:val="16"/>
          <w:lang w:val="es-US"/>
        </w:rPr>
        <w:t xml:space="preserve">OEA/Ser.L/V/II. CIDH/RELE/INF. 11/13. 31 de diciembre 2013, párr. 30. </w:t>
      </w:r>
    </w:p>
  </w:footnote>
  <w:footnote w:id="259">
    <w:p w14:paraId="53AB2662" w14:textId="427CA110"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6">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 88.</w:t>
      </w:r>
    </w:p>
  </w:footnote>
  <w:footnote w:id="260">
    <w:p w14:paraId="3BFC3C4E" w14:textId="0828E233"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Relatoría Especial para la Libertad de Expresión. </w:t>
      </w:r>
      <w:hyperlink r:id="rId87">
        <w:r w:rsidRPr="00116A43">
          <w:rPr>
            <w:rStyle w:val="EnlacedeInternet"/>
            <w:rFonts w:ascii="Cambria" w:hAnsi="Cambria"/>
            <w:i/>
            <w:iCs/>
            <w:sz w:val="16"/>
            <w:szCs w:val="16"/>
            <w:lang w:val="es-PE"/>
          </w:rPr>
          <w:t>Estándares para una Internet libre, abierta e incluyente</w:t>
        </w:r>
      </w:hyperlink>
      <w:r w:rsidRPr="00116A43">
        <w:rPr>
          <w:rFonts w:ascii="Cambria" w:hAnsi="Cambria"/>
          <w:i/>
          <w:iCs/>
          <w:sz w:val="16"/>
          <w:szCs w:val="16"/>
          <w:lang w:val="es-PE"/>
        </w:rPr>
        <w:t>.</w:t>
      </w:r>
      <w:r w:rsidRPr="00116A43">
        <w:rPr>
          <w:rFonts w:ascii="Cambria" w:hAnsi="Cambria"/>
          <w:sz w:val="16"/>
          <w:szCs w:val="16"/>
          <w:lang w:val="es-PE"/>
        </w:rPr>
        <w:t xml:space="preserve"> 5 de marzo 2017,</w:t>
      </w:r>
      <w:r>
        <w:rPr>
          <w:rFonts w:ascii="Cambria" w:hAnsi="Cambria"/>
          <w:sz w:val="16"/>
          <w:szCs w:val="16"/>
          <w:lang w:val="es-PE"/>
        </w:rPr>
        <w:t xml:space="preserve"> </w:t>
      </w:r>
      <w:r w:rsidRPr="00543201">
        <w:rPr>
          <w:rFonts w:ascii="Cambria" w:hAnsi="Cambria"/>
          <w:i/>
          <w:sz w:val="16"/>
          <w:szCs w:val="16"/>
          <w:lang w:val="es-PE"/>
        </w:rPr>
        <w:t>supra</w:t>
      </w:r>
      <w:r>
        <w:rPr>
          <w:rFonts w:ascii="Cambria" w:hAnsi="Cambria"/>
          <w:sz w:val="16"/>
          <w:szCs w:val="16"/>
          <w:lang w:val="es-PE"/>
        </w:rPr>
        <w:t>,</w:t>
      </w:r>
      <w:r w:rsidRPr="00116A43">
        <w:rPr>
          <w:rFonts w:ascii="Cambria" w:hAnsi="Cambria"/>
          <w:sz w:val="16"/>
          <w:szCs w:val="16"/>
          <w:lang w:val="es-PE"/>
        </w:rPr>
        <w:t xml:space="preserve"> párrs. 87 y 88. CIDH. Relatoría Especial para la Libertad de Expresión. 1 de junio de 2011. </w:t>
      </w:r>
      <w:hyperlink r:id="rId88" w:history="1">
        <w:r w:rsidRPr="00116A43">
          <w:rPr>
            <w:rStyle w:val="Hyperlink"/>
            <w:rFonts w:ascii="Cambria" w:hAnsi="Cambria"/>
            <w:i/>
            <w:iCs/>
            <w:sz w:val="16"/>
            <w:szCs w:val="16"/>
            <w:lang w:val="es-PE"/>
          </w:rPr>
          <w:t>Declaración conjunta sobre libertad de expresión e Internet.</w:t>
        </w:r>
      </w:hyperlink>
      <w:r w:rsidRPr="00116A43">
        <w:rPr>
          <w:rFonts w:ascii="Cambria" w:hAnsi="Cambria"/>
          <w:sz w:val="16"/>
          <w:szCs w:val="16"/>
          <w:lang w:val="es-PE"/>
        </w:rPr>
        <w:t xml:space="preserve"> Punto 3 (a), y </w:t>
      </w:r>
      <w:hyperlink r:id="rId89" w:history="1">
        <w:r w:rsidRPr="00116A43">
          <w:rPr>
            <w:rStyle w:val="Hyperlink"/>
            <w:rFonts w:ascii="Cambria" w:hAnsi="Cambria"/>
            <w:i/>
            <w:iCs/>
            <w:sz w:val="16"/>
            <w:szCs w:val="16"/>
            <w:lang w:val="es-PE"/>
          </w:rPr>
          <w:t>Declaración Conjunta sobre Libertad de Expresión y "Noticias Falsas" ("</w:t>
        </w:r>
        <w:proofErr w:type="spellStart"/>
        <w:r w:rsidRPr="00116A43">
          <w:rPr>
            <w:rStyle w:val="Hyperlink"/>
            <w:rFonts w:ascii="Cambria" w:hAnsi="Cambria"/>
            <w:i/>
            <w:iCs/>
            <w:sz w:val="16"/>
            <w:szCs w:val="16"/>
            <w:lang w:val="es-PE"/>
          </w:rPr>
          <w:t>Fake</w:t>
        </w:r>
        <w:proofErr w:type="spellEnd"/>
        <w:r w:rsidRPr="00116A43">
          <w:rPr>
            <w:rStyle w:val="Hyperlink"/>
            <w:rFonts w:ascii="Cambria" w:hAnsi="Cambria"/>
            <w:i/>
            <w:iCs/>
            <w:sz w:val="16"/>
            <w:szCs w:val="16"/>
            <w:lang w:val="es-PE"/>
          </w:rPr>
          <w:t xml:space="preserve"> News"), Desinformación y Propaganda.</w:t>
        </w:r>
      </w:hyperlink>
      <w:r w:rsidRPr="00116A43">
        <w:rPr>
          <w:rFonts w:ascii="Cambria" w:hAnsi="Cambria"/>
          <w:sz w:val="16"/>
          <w:szCs w:val="16"/>
          <w:lang w:val="es-PE"/>
        </w:rPr>
        <w:t xml:space="preserve"> </w:t>
      </w:r>
      <w:proofErr w:type="gramStart"/>
      <w:r w:rsidRPr="00116A43">
        <w:rPr>
          <w:rFonts w:ascii="Cambria" w:hAnsi="Cambria"/>
          <w:sz w:val="16"/>
          <w:szCs w:val="16"/>
          <w:lang w:val="es-PE"/>
        </w:rPr>
        <w:t>Marzo</w:t>
      </w:r>
      <w:proofErr w:type="gramEnd"/>
      <w:r w:rsidRPr="00116A43">
        <w:rPr>
          <w:rFonts w:ascii="Cambria" w:hAnsi="Cambria"/>
          <w:sz w:val="16"/>
          <w:szCs w:val="16"/>
          <w:lang w:val="es-PE"/>
        </w:rPr>
        <w:t xml:space="preserve"> 2017. </w:t>
      </w:r>
    </w:p>
  </w:footnote>
  <w:footnote w:id="261">
    <w:p w14:paraId="0236E993" w14:textId="57F38070" w:rsidR="00F640DA" w:rsidRPr="00116A43" w:rsidRDefault="00F640DA">
      <w:pPr>
        <w:pStyle w:val="FootnoteText"/>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Declaración conjunta sobre libertad de expresión e Internet. 1 de junio de 2011, </w:t>
      </w:r>
      <w:r w:rsidRPr="00116A43">
        <w:rPr>
          <w:rFonts w:ascii="Cambria" w:hAnsi="Cambria"/>
          <w:i/>
          <w:sz w:val="16"/>
          <w:szCs w:val="16"/>
          <w:lang w:val="es-PE"/>
        </w:rPr>
        <w:t>supra</w:t>
      </w:r>
      <w:r w:rsidRPr="00116A43">
        <w:rPr>
          <w:rFonts w:ascii="Cambria" w:hAnsi="Cambria"/>
          <w:sz w:val="16"/>
          <w:szCs w:val="16"/>
          <w:lang w:val="es-PE"/>
        </w:rPr>
        <w:t>.</w:t>
      </w:r>
    </w:p>
  </w:footnote>
  <w:footnote w:id="262">
    <w:p w14:paraId="51C66C6A" w14:textId="77777777" w:rsidR="00F640DA" w:rsidRPr="00116A43" w:rsidRDefault="00F640DA" w:rsidP="00CE3369">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 </w:t>
      </w:r>
      <w:r w:rsidRPr="00116A43">
        <w:rPr>
          <w:rFonts w:ascii="Cambria" w:hAnsi="Cambria"/>
          <w:i/>
          <w:sz w:val="16"/>
          <w:szCs w:val="16"/>
          <w:lang w:val="es-PE"/>
        </w:rPr>
        <w:t>Caso Castañeda Gutman Vs. México</w:t>
      </w:r>
      <w:r w:rsidRPr="00116A43">
        <w:rPr>
          <w:rFonts w:ascii="Cambria" w:hAnsi="Cambria"/>
          <w:sz w:val="16"/>
          <w:szCs w:val="16"/>
          <w:lang w:val="es-PE"/>
        </w:rPr>
        <w:t xml:space="preserve">. Excepciones Preliminares, Fondo, Reparaciones y Costas. Sentencia de 6 de agosto de 2008. Serie C No. 184, par. 146. </w:t>
      </w:r>
    </w:p>
  </w:footnote>
  <w:footnote w:id="263">
    <w:p w14:paraId="4439F8CC" w14:textId="392642DA"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Informe Anual 2002, 2003, Cap. IV. B. Cuba, párr. 11.</w:t>
      </w:r>
    </w:p>
  </w:footnote>
  <w:footnote w:id="264">
    <w:p w14:paraId="2CB8BED7" w14:textId="76812CFA"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PE"/>
        </w:rPr>
        <w:t xml:space="preserve"> CIDH. Informe No. 67/06. </w:t>
      </w:r>
      <w:r w:rsidRPr="00644687">
        <w:rPr>
          <w:rFonts w:ascii="Cambria" w:hAnsi="Cambria"/>
          <w:sz w:val="16"/>
          <w:szCs w:val="16"/>
          <w:lang w:val="es-US"/>
        </w:rPr>
        <w:t xml:space="preserve">Caso No. 12.476. </w:t>
      </w:r>
      <w:r w:rsidRPr="00116A43">
        <w:rPr>
          <w:rFonts w:ascii="Cambria" w:hAnsi="Cambria"/>
          <w:sz w:val="16"/>
          <w:szCs w:val="16"/>
          <w:lang w:val="es-PE"/>
        </w:rPr>
        <w:t>Fondo. Oscar Elías Biscet y otros. Cuba. 21 de octubre de 2006, párr. 245.</w:t>
      </w:r>
    </w:p>
  </w:footnote>
  <w:footnote w:id="265">
    <w:p w14:paraId="683F2FB8" w14:textId="74841C2B"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644687">
        <w:rPr>
          <w:rFonts w:ascii="Cambria" w:hAnsi="Cambria"/>
          <w:sz w:val="16"/>
          <w:szCs w:val="16"/>
          <w:lang w:val="es-US"/>
        </w:rPr>
        <w:t xml:space="preserve"> CIDH. Informe No. 67/06. Caso No. 12.476. </w:t>
      </w:r>
      <w:r w:rsidRPr="00116A43">
        <w:rPr>
          <w:rFonts w:ascii="Cambria" w:hAnsi="Cambria"/>
          <w:sz w:val="16"/>
          <w:szCs w:val="16"/>
          <w:lang w:val="es-PE"/>
        </w:rPr>
        <w:t>Fondo. Oscar Elías Biscet y otros. Cuba. 21 de octubre de 2006, párr. 246.</w:t>
      </w:r>
    </w:p>
  </w:footnote>
  <w:footnote w:id="266">
    <w:p w14:paraId="7F0A7F39" w14:textId="35F33B36" w:rsidR="00F640DA" w:rsidRPr="003D0D74" w:rsidRDefault="00F640DA" w:rsidP="00447791">
      <w:pPr>
        <w:pStyle w:val="FootnoteText"/>
        <w:jc w:val="both"/>
        <w:rPr>
          <w:rFonts w:ascii="Cambria" w:hAnsi="Cambria"/>
          <w:color w:val="auto"/>
          <w:sz w:val="16"/>
          <w:szCs w:val="16"/>
          <w:lang w:val="es-PE"/>
        </w:rPr>
      </w:pPr>
      <w:r w:rsidRPr="003D0D74">
        <w:rPr>
          <w:rStyle w:val="FootnoteReference"/>
          <w:rFonts w:ascii="Cambria" w:hAnsi="Cambria"/>
          <w:color w:val="auto"/>
          <w:sz w:val="16"/>
          <w:szCs w:val="16"/>
        </w:rPr>
        <w:footnoteRef/>
      </w:r>
      <w:r w:rsidRPr="00644687">
        <w:rPr>
          <w:rFonts w:ascii="Cambria" w:hAnsi="Cambria"/>
          <w:color w:val="auto"/>
          <w:sz w:val="16"/>
          <w:szCs w:val="16"/>
          <w:lang w:val="es-US"/>
        </w:rPr>
        <w:t xml:space="preserve"> CIDH. Informe No. 67/06. Caso No. 12.476. </w:t>
      </w:r>
      <w:r w:rsidRPr="003D0D74">
        <w:rPr>
          <w:rFonts w:ascii="Cambria" w:hAnsi="Cambria"/>
          <w:color w:val="auto"/>
          <w:sz w:val="16"/>
          <w:szCs w:val="16"/>
          <w:lang w:val="es-PE"/>
        </w:rPr>
        <w:t>Fondo. Oscar Elías Biscet y otros. Cuba. 21 de octubre de 2006, párr. 256.</w:t>
      </w:r>
    </w:p>
  </w:footnote>
  <w:footnote w:id="267">
    <w:p w14:paraId="56DAA111" w14:textId="77777777" w:rsidR="00F640DA" w:rsidRPr="003D0D74" w:rsidRDefault="00F640DA" w:rsidP="00E856B1">
      <w:pPr>
        <w:pStyle w:val="FootnoteText"/>
        <w:jc w:val="both"/>
        <w:rPr>
          <w:rFonts w:ascii="Cambria" w:hAnsi="Cambria"/>
          <w:color w:val="auto"/>
          <w:sz w:val="16"/>
          <w:szCs w:val="16"/>
          <w:lang w:val="es-PE"/>
        </w:rPr>
      </w:pPr>
      <w:r w:rsidRPr="003D0D74">
        <w:rPr>
          <w:rStyle w:val="FootnoteReference"/>
          <w:rFonts w:ascii="Cambria" w:hAnsi="Cambria"/>
          <w:color w:val="auto"/>
          <w:sz w:val="16"/>
          <w:szCs w:val="16"/>
        </w:rPr>
        <w:footnoteRef/>
      </w:r>
      <w:r w:rsidRPr="00644687">
        <w:rPr>
          <w:rFonts w:ascii="Cambria" w:hAnsi="Cambria"/>
          <w:color w:val="auto"/>
          <w:sz w:val="16"/>
          <w:szCs w:val="16"/>
          <w:lang w:val="es-US"/>
        </w:rPr>
        <w:t xml:space="preserve"> CIDH. Informe No. 67/06. Caso No. 12.476. </w:t>
      </w:r>
      <w:r w:rsidRPr="003D0D74">
        <w:rPr>
          <w:rFonts w:ascii="Cambria" w:hAnsi="Cambria"/>
          <w:color w:val="auto"/>
          <w:sz w:val="16"/>
          <w:szCs w:val="16"/>
          <w:lang w:val="es-PE"/>
        </w:rPr>
        <w:t xml:space="preserve">Fondo. Oscar Elías Biscet y otros. Cuba. 21 de octubre de 2006, párr. 232 a 234, e Informe </w:t>
      </w:r>
      <w:r w:rsidRPr="00644687">
        <w:rPr>
          <w:rFonts w:ascii="Cambria" w:hAnsi="Cambria"/>
          <w:color w:val="auto"/>
          <w:sz w:val="16"/>
          <w:szCs w:val="16"/>
          <w:lang w:val="es-US"/>
        </w:rPr>
        <w:t xml:space="preserve">No. 57/19. Caso No. 12.380. </w:t>
      </w:r>
      <w:r w:rsidRPr="003D0D74">
        <w:rPr>
          <w:rFonts w:ascii="Cambria" w:hAnsi="Cambria"/>
          <w:color w:val="auto"/>
          <w:sz w:val="16"/>
          <w:szCs w:val="16"/>
          <w:lang w:val="es-PE"/>
        </w:rPr>
        <w:t>Fondo. Miembros de la Corporación Colectivo de Abogados José Alvear Restrepo</w:t>
      </w:r>
      <w:r w:rsidRPr="003D0D74">
        <w:rPr>
          <w:rFonts w:ascii="Cambria" w:hAnsi="Cambria"/>
          <w:color w:val="auto"/>
          <w:sz w:val="16"/>
          <w:szCs w:val="16"/>
          <w:lang w:val="es-ES"/>
        </w:rPr>
        <w:t xml:space="preserve">. Colombia. </w:t>
      </w:r>
      <w:r w:rsidRPr="003D0D74">
        <w:rPr>
          <w:rFonts w:ascii="Cambria" w:hAnsi="Cambria"/>
          <w:color w:val="auto"/>
          <w:sz w:val="16"/>
          <w:szCs w:val="16"/>
          <w:lang w:val="es-PE"/>
        </w:rPr>
        <w:t>4 de mayo de 2019, párrs. 322 y 323.</w:t>
      </w:r>
    </w:p>
  </w:footnote>
  <w:footnote w:id="268">
    <w:p w14:paraId="55276863" w14:textId="0560095A" w:rsidR="00F640DA" w:rsidRPr="003D0D74" w:rsidRDefault="00F640DA" w:rsidP="0036712E">
      <w:pPr>
        <w:pStyle w:val="FootnoteText"/>
        <w:jc w:val="both"/>
        <w:rPr>
          <w:rFonts w:ascii="Cambria" w:hAnsi="Cambria"/>
          <w:color w:val="auto"/>
          <w:sz w:val="16"/>
          <w:szCs w:val="16"/>
          <w:lang w:val="es-PE"/>
        </w:rPr>
      </w:pPr>
      <w:r w:rsidRPr="003D0D74">
        <w:rPr>
          <w:rStyle w:val="FootnoteReference"/>
          <w:rFonts w:ascii="Cambria" w:hAnsi="Cambria"/>
          <w:color w:val="auto"/>
          <w:sz w:val="16"/>
          <w:szCs w:val="16"/>
        </w:rPr>
        <w:footnoteRef/>
      </w:r>
      <w:r w:rsidRPr="003D0D74">
        <w:rPr>
          <w:rFonts w:ascii="Cambria" w:hAnsi="Cambria"/>
          <w:color w:val="auto"/>
          <w:sz w:val="16"/>
          <w:szCs w:val="16"/>
          <w:lang w:val="es-VE"/>
        </w:rPr>
        <w:t xml:space="preserve"> CIDH, Verdad, Justicia y reparación: Cuarto informe sobre la situación de derechos humanos en Colombia, OEA/Ser.L/V/II.Doc.49/13, 31 de diciembre de 2013, párr. 775, e </w:t>
      </w:r>
      <w:r w:rsidRPr="003D0D74">
        <w:rPr>
          <w:rFonts w:ascii="Cambria" w:hAnsi="Cambria"/>
          <w:color w:val="auto"/>
          <w:sz w:val="16"/>
          <w:szCs w:val="16"/>
          <w:lang w:val="es-PE"/>
        </w:rPr>
        <w:t xml:space="preserve">Informe </w:t>
      </w:r>
      <w:r w:rsidRPr="00644687">
        <w:rPr>
          <w:rFonts w:ascii="Cambria" w:hAnsi="Cambria"/>
          <w:color w:val="auto"/>
          <w:sz w:val="16"/>
          <w:szCs w:val="16"/>
          <w:lang w:val="es-US"/>
        </w:rPr>
        <w:t xml:space="preserve">No. 57/19. Caso No. 12.380. </w:t>
      </w:r>
      <w:r w:rsidRPr="003D0D74">
        <w:rPr>
          <w:rFonts w:ascii="Cambria" w:hAnsi="Cambria"/>
          <w:color w:val="auto"/>
          <w:sz w:val="16"/>
          <w:szCs w:val="16"/>
          <w:lang w:val="es-PE"/>
        </w:rPr>
        <w:t>Fondo. Miembros de la Corporación Colectivo de Abogados José Alvear Restrepo</w:t>
      </w:r>
      <w:r w:rsidRPr="003D0D74">
        <w:rPr>
          <w:rFonts w:ascii="Cambria" w:hAnsi="Cambria"/>
          <w:color w:val="auto"/>
          <w:sz w:val="16"/>
          <w:szCs w:val="16"/>
          <w:lang w:val="es-ES"/>
        </w:rPr>
        <w:t xml:space="preserve">. Colombia. </w:t>
      </w:r>
      <w:r w:rsidRPr="003D0D74">
        <w:rPr>
          <w:rFonts w:ascii="Cambria" w:hAnsi="Cambria"/>
          <w:color w:val="auto"/>
          <w:sz w:val="16"/>
          <w:szCs w:val="16"/>
          <w:lang w:val="es-PE"/>
        </w:rPr>
        <w:t>4 de mayo de 2019, párrs. 322 y 323.</w:t>
      </w:r>
    </w:p>
  </w:footnote>
  <w:footnote w:id="269">
    <w:p w14:paraId="09873B06" w14:textId="77777777" w:rsidR="00F640DA" w:rsidRPr="00BA6ADA" w:rsidRDefault="00F640DA" w:rsidP="00E856B1">
      <w:pPr>
        <w:pStyle w:val="NoSpacing"/>
        <w:spacing w:before="0" w:after="0"/>
        <w:ind w:firstLine="0"/>
        <w:rPr>
          <w:rFonts w:asciiTheme="minorHAnsi" w:hAnsiTheme="minorHAnsi"/>
          <w:i/>
          <w:szCs w:val="16"/>
          <w:lang w:val="es-PE"/>
        </w:rPr>
      </w:pPr>
      <w:r w:rsidRPr="00D2631F">
        <w:rPr>
          <w:rStyle w:val="FootnoteReference"/>
          <w:sz w:val="16"/>
          <w:szCs w:val="16"/>
        </w:rPr>
        <w:footnoteRef/>
      </w:r>
      <w:r w:rsidRPr="00D2631F">
        <w:rPr>
          <w:sz w:val="16"/>
          <w:szCs w:val="16"/>
          <w:lang w:val="es-PE"/>
        </w:rPr>
        <w:t xml:space="preserve"> Relatoría Especial para la Libertad de Expresión. 2 de mayo de 2018. </w:t>
      </w:r>
      <w:hyperlink r:id="rId90" w:history="1">
        <w:r w:rsidRPr="003D0D74">
          <w:rPr>
            <w:rStyle w:val="Hyperlink"/>
            <w:i/>
            <w:sz w:val="16"/>
            <w:szCs w:val="16"/>
            <w:lang w:val="es-PE"/>
          </w:rPr>
          <w:t>Declaración Conjunta sobre la Independencia y la Diversidad de los Medios de Comunicación en la era Digital</w:t>
        </w:r>
      </w:hyperlink>
      <w:r w:rsidRPr="00D2631F">
        <w:rPr>
          <w:sz w:val="16"/>
          <w:szCs w:val="16"/>
          <w:lang w:val="es-PE"/>
        </w:rPr>
        <w:t>.</w:t>
      </w:r>
      <w:r w:rsidRPr="00D2631F">
        <w:rPr>
          <w:rFonts w:asciiTheme="minorHAnsi" w:hAnsiTheme="minorHAnsi"/>
          <w:szCs w:val="16"/>
          <w:lang w:val="es-PE"/>
        </w:rPr>
        <w:t xml:space="preserve"> </w:t>
      </w:r>
    </w:p>
  </w:footnote>
  <w:footnote w:id="270">
    <w:p w14:paraId="73D17CDC" w14:textId="77777777"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91" w:history="1">
        <w:r w:rsidRPr="00116A43">
          <w:rPr>
            <w:rStyle w:val="Internetlink"/>
            <w:rFonts w:ascii="Cambria" w:hAnsi="Cambria"/>
            <w:i/>
            <w:sz w:val="16"/>
            <w:szCs w:val="16"/>
            <w:lang w:val="es-ES"/>
          </w:rPr>
          <w:t>Declaración conjunta sobre violencia contra periodistas y comunicadores en el marco de manifestaciones sociales</w:t>
        </w:r>
      </w:hyperlink>
      <w:r w:rsidRPr="00116A43">
        <w:rPr>
          <w:rFonts w:ascii="Cambria" w:hAnsi="Cambria"/>
          <w:sz w:val="16"/>
          <w:szCs w:val="16"/>
          <w:lang w:val="es-PE"/>
        </w:rPr>
        <w:t>.</w:t>
      </w:r>
    </w:p>
  </w:footnote>
  <w:footnote w:id="271">
    <w:p w14:paraId="46AFF5AA" w14:textId="566E5512" w:rsidR="00F640DA" w:rsidRPr="00116A43" w:rsidRDefault="00F640DA" w:rsidP="00447791">
      <w:pPr>
        <w:pStyle w:val="FootnoteText"/>
        <w:tabs>
          <w:tab w:val="left" w:pos="720"/>
        </w:tabs>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sz w:val="16"/>
          <w:szCs w:val="16"/>
          <w:lang w:val="es-MX"/>
        </w:rPr>
        <w:t xml:space="preserve">CIDH. Relatoría Especial para la Libertad de Expresión. </w:t>
      </w:r>
      <w:hyperlink r:id="rId92" w:history="1">
        <w:r w:rsidRPr="00116A43">
          <w:rPr>
            <w:rStyle w:val="Hyperlink"/>
            <w:rFonts w:ascii="Cambria" w:hAnsi="Cambria"/>
            <w:sz w:val="16"/>
            <w:szCs w:val="16"/>
            <w:lang w:val="es-MX"/>
          </w:rPr>
          <w:t>Informe Zonas Silenciadas: regiones de alta peligrosidad para ejercer la libertad de expresión.</w:t>
        </w:r>
      </w:hyperlink>
      <w:r w:rsidRPr="00116A43">
        <w:rPr>
          <w:rFonts w:ascii="Cambria" w:hAnsi="Cambria"/>
          <w:sz w:val="16"/>
          <w:szCs w:val="16"/>
          <w:lang w:val="es-MX"/>
        </w:rPr>
        <w:t xml:space="preserve"> </w:t>
      </w:r>
      <w:r w:rsidRPr="00116A43">
        <w:rPr>
          <w:rFonts w:ascii="Cambria" w:hAnsi="Cambria"/>
          <w:sz w:val="16"/>
          <w:szCs w:val="16"/>
          <w:lang w:val="es-PE"/>
        </w:rPr>
        <w:t>OEA/Ser.L/V/IICIDH/RELE/INF.16/17, 15</w:t>
      </w:r>
      <w:r w:rsidRPr="00116A43">
        <w:rPr>
          <w:rFonts w:ascii="Cambria" w:hAnsi="Cambria"/>
          <w:sz w:val="16"/>
          <w:szCs w:val="16"/>
          <w:lang w:val="es-MX"/>
        </w:rPr>
        <w:t xml:space="preserve"> de marzo de 2017, párr. 158. </w:t>
      </w:r>
    </w:p>
  </w:footnote>
  <w:footnote w:id="272">
    <w:p w14:paraId="67704A68" w14:textId="3E7AC367"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 </w:t>
      </w:r>
      <w:r w:rsidRPr="00116A43">
        <w:rPr>
          <w:rFonts w:ascii="Cambria" w:hAnsi="Cambria"/>
          <w:i/>
          <w:iCs/>
          <w:sz w:val="16"/>
          <w:szCs w:val="16"/>
          <w:lang w:val="es-PE"/>
        </w:rPr>
        <w:t>Caso Ríos y otros Vs. Venezuela</w:t>
      </w:r>
      <w:r w:rsidRPr="00116A43">
        <w:rPr>
          <w:rFonts w:ascii="Cambria" w:hAnsi="Cambria"/>
          <w:sz w:val="16"/>
          <w:szCs w:val="16"/>
          <w:lang w:val="es-PE"/>
        </w:rPr>
        <w:t xml:space="preserve">. Excepciones Preliminares, Fondo, Reparaciones y Costas. Sentencia de 28 de enero de 2009. Serie C No. 194, párrs. 142, 143 y 148, y </w:t>
      </w:r>
      <w:r w:rsidRPr="00116A43">
        <w:rPr>
          <w:rFonts w:ascii="Cambria" w:hAnsi="Cambria"/>
          <w:i/>
          <w:iCs/>
          <w:sz w:val="16"/>
          <w:szCs w:val="16"/>
          <w:lang w:val="es-PE"/>
        </w:rPr>
        <w:t>Caso Perozo y otros Vs. Venezuela.</w:t>
      </w:r>
      <w:r w:rsidRPr="00116A43">
        <w:rPr>
          <w:rFonts w:ascii="Cambria" w:hAnsi="Cambria"/>
          <w:sz w:val="16"/>
          <w:szCs w:val="16"/>
          <w:lang w:val="es-PE"/>
        </w:rPr>
        <w:t xml:space="preserve"> Excepciones Preliminares, Fondo, Reparaciones y Costas. Sentencia de 28 de enero de 2009. Serie C No. 195, párrs. 154, 155 y 160.</w:t>
      </w:r>
    </w:p>
  </w:footnote>
  <w:footnote w:id="273">
    <w:p w14:paraId="446A0010" w14:textId="494DD291" w:rsidR="00F640DA" w:rsidRPr="00116A43" w:rsidRDefault="00F640DA" w:rsidP="00447791">
      <w:pPr>
        <w:pStyle w:val="FootnoteText"/>
        <w:jc w:val="both"/>
        <w:rPr>
          <w:rFonts w:ascii="Cambria" w:hAnsi="Cambria"/>
          <w:sz w:val="16"/>
          <w:szCs w:val="16"/>
          <w:lang w:val="es-PE"/>
        </w:rPr>
      </w:pPr>
      <w:r w:rsidRPr="00116A43">
        <w:rPr>
          <w:rFonts w:ascii="Cambria" w:hAnsi="Cambria"/>
          <w:sz w:val="16"/>
          <w:szCs w:val="16"/>
          <w:vertAlign w:val="superscript"/>
          <w:lang w:val="pt-BR"/>
        </w:rPr>
        <w:footnoteRef/>
      </w:r>
      <w:r w:rsidRPr="00116A43">
        <w:rPr>
          <w:rFonts w:ascii="Cambria" w:hAnsi="Cambria"/>
          <w:sz w:val="16"/>
          <w:szCs w:val="16"/>
          <w:lang w:val="es-PE"/>
        </w:rPr>
        <w:t xml:space="preserve"> Corte IDH. </w:t>
      </w:r>
      <w:r w:rsidRPr="00116A43">
        <w:rPr>
          <w:rFonts w:ascii="Cambria" w:hAnsi="Cambria"/>
          <w:i/>
          <w:iCs/>
          <w:sz w:val="16"/>
          <w:szCs w:val="16"/>
          <w:lang w:val="es-PE"/>
        </w:rPr>
        <w:t>Caso Perozo y otros Vs. Venezuela</w:t>
      </w:r>
      <w:r w:rsidRPr="00116A43">
        <w:rPr>
          <w:rFonts w:ascii="Cambria" w:hAnsi="Cambria"/>
          <w:sz w:val="16"/>
          <w:szCs w:val="16"/>
          <w:lang w:val="es-PE"/>
        </w:rPr>
        <w:t>. Excepciones Preliminares, Fondo, Reparaciones y Costas. Sentencia de 28 de enero de 2009. Serie C No. 195, párr. 360.</w:t>
      </w:r>
    </w:p>
  </w:footnote>
  <w:footnote w:id="274">
    <w:p w14:paraId="31913E4E" w14:textId="32FE029F" w:rsidR="00F640DA" w:rsidRPr="00116A43" w:rsidRDefault="00F640DA" w:rsidP="00447791">
      <w:pPr>
        <w:pStyle w:val="FootnoteText"/>
        <w:jc w:val="both"/>
        <w:rPr>
          <w:rFonts w:ascii="Cambria" w:hAnsi="Cambria"/>
          <w:sz w:val="16"/>
          <w:szCs w:val="16"/>
          <w:lang w:val="es-PE"/>
        </w:rPr>
      </w:pPr>
      <w:r w:rsidRPr="00116A43">
        <w:rPr>
          <w:rFonts w:ascii="Cambria" w:hAnsi="Cambria"/>
          <w:sz w:val="16"/>
          <w:szCs w:val="16"/>
          <w:vertAlign w:val="superscript"/>
          <w:lang w:val="pt-BR"/>
        </w:rPr>
        <w:footnoteRef/>
      </w:r>
      <w:r w:rsidRPr="00116A43">
        <w:rPr>
          <w:rFonts w:ascii="Cambria" w:hAnsi="Cambria"/>
          <w:sz w:val="16"/>
          <w:szCs w:val="16"/>
          <w:lang w:val="es-PE"/>
        </w:rPr>
        <w:t xml:space="preserve"> </w:t>
      </w:r>
      <w:r w:rsidRPr="00116A43">
        <w:rPr>
          <w:rFonts w:ascii="Cambria" w:hAnsi="Cambria"/>
          <w:sz w:val="16"/>
          <w:szCs w:val="16"/>
          <w:lang w:val="es-MX"/>
        </w:rPr>
        <w:t xml:space="preserve">CIDH. Relatoría Especial para la Libertad de Expresión. </w:t>
      </w:r>
      <w:hyperlink r:id="rId93" w:history="1">
        <w:r w:rsidRPr="00116A43">
          <w:rPr>
            <w:rStyle w:val="Hyperlink"/>
            <w:rFonts w:ascii="Cambria" w:hAnsi="Cambria"/>
            <w:sz w:val="16"/>
            <w:szCs w:val="16"/>
            <w:lang w:val="es-MX"/>
          </w:rPr>
          <w:t>Informe Zonas Silenciadas: regiones de alta peligrosidad para ejercer la libertad de expresión.</w:t>
        </w:r>
      </w:hyperlink>
      <w:r w:rsidRPr="00116A43">
        <w:rPr>
          <w:rFonts w:ascii="Cambria" w:hAnsi="Cambria"/>
          <w:sz w:val="16"/>
          <w:szCs w:val="16"/>
          <w:lang w:val="es-MX"/>
        </w:rPr>
        <w:t xml:space="preserve"> </w:t>
      </w:r>
      <w:r w:rsidRPr="00116A43">
        <w:rPr>
          <w:rFonts w:ascii="Cambria" w:hAnsi="Cambria"/>
          <w:sz w:val="16"/>
          <w:szCs w:val="16"/>
          <w:lang w:val="es-PE"/>
        </w:rPr>
        <w:t>OEA/Ser.L/V/IICIDH/RELE/INF.16/17, 15</w:t>
      </w:r>
      <w:r w:rsidRPr="00116A43">
        <w:rPr>
          <w:rFonts w:ascii="Cambria" w:hAnsi="Cambria"/>
          <w:sz w:val="16"/>
          <w:szCs w:val="16"/>
          <w:lang w:val="es-MX"/>
        </w:rPr>
        <w:t xml:space="preserve"> de marzo de 2017, </w:t>
      </w:r>
      <w:r w:rsidRPr="00116A43">
        <w:rPr>
          <w:rFonts w:ascii="Cambria" w:hAnsi="Cambria"/>
          <w:sz w:val="16"/>
          <w:szCs w:val="16"/>
          <w:lang w:val="es-PE"/>
        </w:rPr>
        <w:t xml:space="preserve">párr. 158. </w:t>
      </w:r>
    </w:p>
  </w:footnote>
  <w:footnote w:id="275">
    <w:p w14:paraId="2C0FFDAB" w14:textId="237A8317" w:rsidR="00F640DA" w:rsidRPr="00116A43" w:rsidRDefault="00F640DA" w:rsidP="00447791">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Comunicado de </w:t>
      </w:r>
      <w:r>
        <w:rPr>
          <w:rFonts w:ascii="Cambria" w:hAnsi="Cambria"/>
          <w:sz w:val="16"/>
          <w:szCs w:val="16"/>
          <w:lang w:val="es-PE"/>
        </w:rPr>
        <w:t>P</w:t>
      </w:r>
      <w:r w:rsidRPr="00116A43">
        <w:rPr>
          <w:rFonts w:ascii="Cambria" w:hAnsi="Cambria"/>
          <w:sz w:val="16"/>
          <w:szCs w:val="16"/>
          <w:lang w:val="es-PE"/>
        </w:rPr>
        <w:t xml:space="preserve">rensa 05/2021. La CIDH repudia actos de violencia contra el Congreso de los Estados Unidos de América y el proceso democrático en el país. 8 de enero de 2021. </w:t>
      </w:r>
    </w:p>
  </w:footnote>
  <w:footnote w:id="276">
    <w:p w14:paraId="117D46AD" w14:textId="13DE78D8" w:rsidR="00F640DA" w:rsidRPr="00116A43" w:rsidRDefault="00F640DA" w:rsidP="00447791">
      <w:pPr>
        <w:pStyle w:val="FootnoteText"/>
        <w:tabs>
          <w:tab w:val="left" w:pos="1800"/>
        </w:tabs>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 </w:t>
      </w:r>
      <w:r w:rsidRPr="00116A43">
        <w:rPr>
          <w:rFonts w:ascii="Cambria" w:hAnsi="Cambria"/>
          <w:i/>
          <w:iCs/>
          <w:sz w:val="16"/>
          <w:szCs w:val="16"/>
          <w:lang w:val="es-PE"/>
        </w:rPr>
        <w:t>Caso Perozo y otros Vs. Venezuela</w:t>
      </w:r>
      <w:r w:rsidRPr="00116A43">
        <w:rPr>
          <w:rFonts w:ascii="Cambria" w:hAnsi="Cambria"/>
          <w:sz w:val="16"/>
          <w:szCs w:val="16"/>
          <w:lang w:val="es-PE"/>
        </w:rPr>
        <w:t xml:space="preserve">. Excepciones Preliminares, Fondo, Reparaciones y Costas. Sentencia de 28 de enero de 2009. Serie C No. 195, párrs. 151 y ss. </w:t>
      </w:r>
      <w:r w:rsidRPr="00116A43">
        <w:rPr>
          <w:rFonts w:ascii="Cambria" w:hAnsi="Cambria"/>
          <w:sz w:val="16"/>
          <w:szCs w:val="16"/>
          <w:lang w:val="es-MX"/>
        </w:rPr>
        <w:t>CIDH. Relatoría Especial para la Libertad de Expresión</w:t>
      </w:r>
      <w:hyperlink r:id="rId94" w:history="1">
        <w:r w:rsidRPr="00116A43">
          <w:rPr>
            <w:rStyle w:val="Hyperlink"/>
            <w:rFonts w:ascii="Cambria" w:hAnsi="Cambria"/>
            <w:sz w:val="16"/>
            <w:szCs w:val="16"/>
            <w:lang w:val="es-MX"/>
          </w:rPr>
          <w:t>. Informe Zonas Silenciadas: regiones de alta peligrosidad para ejercer la libertad de expresión</w:t>
        </w:r>
      </w:hyperlink>
      <w:r w:rsidRPr="00116A43">
        <w:rPr>
          <w:rFonts w:ascii="Cambria" w:hAnsi="Cambria"/>
          <w:sz w:val="16"/>
          <w:szCs w:val="16"/>
          <w:lang w:val="es-MX"/>
        </w:rPr>
        <w:t xml:space="preserve">. </w:t>
      </w:r>
      <w:r w:rsidRPr="00116A43">
        <w:rPr>
          <w:rFonts w:ascii="Cambria" w:hAnsi="Cambria"/>
          <w:sz w:val="16"/>
          <w:szCs w:val="16"/>
          <w:lang w:val="es-PE"/>
        </w:rPr>
        <w:t>OEA/Ser.L/V/IICIDH/RELE/INF.16/17, 15</w:t>
      </w:r>
      <w:r w:rsidRPr="00116A43">
        <w:rPr>
          <w:rFonts w:ascii="Cambria" w:hAnsi="Cambria"/>
          <w:sz w:val="16"/>
          <w:szCs w:val="16"/>
          <w:lang w:val="es-MX"/>
        </w:rPr>
        <w:t xml:space="preserve"> de marzo de 2017, p</w:t>
      </w:r>
      <w:r w:rsidRPr="00116A43">
        <w:rPr>
          <w:rFonts w:ascii="Cambria" w:hAnsi="Cambria"/>
          <w:sz w:val="16"/>
          <w:szCs w:val="16"/>
          <w:lang w:val="es-PE"/>
        </w:rPr>
        <w:t xml:space="preserve">árr 158. </w:t>
      </w:r>
    </w:p>
  </w:footnote>
  <w:footnote w:id="277">
    <w:p w14:paraId="2607D5FE" w14:textId="61981BBA"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xml:space="preserve">. </w:t>
      </w:r>
      <w:hyperlink r:id="rId95" w:history="1">
        <w:r w:rsidRPr="00116A43">
          <w:rPr>
            <w:rStyle w:val="Hyperlink"/>
            <w:rFonts w:ascii="Cambria" w:hAnsi="Cambria"/>
            <w:sz w:val="16"/>
            <w:szCs w:val="16"/>
            <w:lang w:val="es-PE"/>
          </w:rPr>
          <w:t>Informe Espe</w:t>
        </w:r>
        <w:proofErr w:type="spellStart"/>
        <w:r w:rsidRPr="00116A43">
          <w:rPr>
            <w:rStyle w:val="Hyperlink"/>
            <w:rFonts w:ascii="Cambria" w:hAnsi="Cambria"/>
            <w:sz w:val="16"/>
            <w:szCs w:val="16"/>
            <w:lang w:val="es-MX"/>
          </w:rPr>
          <w:t>cial</w:t>
        </w:r>
        <w:proofErr w:type="spellEnd"/>
        <w:r w:rsidRPr="00116A43">
          <w:rPr>
            <w:rStyle w:val="Hyperlink"/>
            <w:rFonts w:ascii="Cambria" w:hAnsi="Cambria"/>
            <w:sz w:val="16"/>
            <w:szCs w:val="16"/>
            <w:lang w:val="es-MX"/>
          </w:rPr>
          <w:t xml:space="preserve"> sobre la Situación de la libertad de expresión en Cuba.</w:t>
        </w:r>
      </w:hyperlink>
      <w:r w:rsidRPr="00116A43">
        <w:rPr>
          <w:rFonts w:ascii="Cambria" w:hAnsi="Cambria"/>
          <w:sz w:val="16"/>
          <w:szCs w:val="16"/>
          <w:lang w:val="es-MX"/>
        </w:rPr>
        <w:t xml:space="preserve"> 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197.</w:t>
      </w:r>
    </w:p>
  </w:footnote>
  <w:footnote w:id="278">
    <w:p w14:paraId="2A59F859" w14:textId="5A31D299" w:rsidR="00F640DA" w:rsidRPr="00BA6ADA" w:rsidRDefault="00F640DA" w:rsidP="00BA6ADA">
      <w:pPr>
        <w:pStyle w:val="FootnoteText"/>
        <w:jc w:val="both"/>
        <w:rPr>
          <w:rFonts w:ascii="Cambria" w:hAnsi="Cambria"/>
          <w:sz w:val="16"/>
          <w:szCs w:val="16"/>
          <w:lang w:val="es-PE"/>
        </w:rPr>
      </w:pPr>
      <w:r w:rsidRPr="00BA6ADA">
        <w:rPr>
          <w:rStyle w:val="FootnoteReference"/>
          <w:rFonts w:ascii="Cambria" w:hAnsi="Cambria"/>
          <w:sz w:val="16"/>
          <w:szCs w:val="16"/>
        </w:rPr>
        <w:footnoteRef/>
      </w:r>
      <w:r w:rsidRPr="00BA6ADA">
        <w:rPr>
          <w:rFonts w:ascii="Cambria" w:hAnsi="Cambria"/>
          <w:sz w:val="16"/>
          <w:szCs w:val="16"/>
          <w:lang w:val="es-PE"/>
        </w:rPr>
        <w:t xml:space="preserve"> </w:t>
      </w:r>
      <w:r w:rsidRPr="002018BB">
        <w:rPr>
          <w:rFonts w:ascii="Cambria" w:hAnsi="Cambria"/>
          <w:sz w:val="16"/>
          <w:szCs w:val="16"/>
          <w:lang w:val="es-PE"/>
        </w:rPr>
        <w:t xml:space="preserve">CIDH. </w:t>
      </w:r>
      <w:r w:rsidRPr="002018BB">
        <w:rPr>
          <w:rFonts w:ascii="Cambria" w:hAnsi="Cambria"/>
          <w:sz w:val="16"/>
          <w:szCs w:val="16"/>
          <w:lang w:val="es-MX"/>
        </w:rPr>
        <w:t>Relatoría Especial para la Libertad de Expresión</w:t>
      </w:r>
      <w:r w:rsidRPr="002018BB">
        <w:rPr>
          <w:rFonts w:ascii="Cambria" w:hAnsi="Cambria"/>
          <w:sz w:val="16"/>
          <w:szCs w:val="16"/>
          <w:lang w:val="es-PE"/>
        </w:rPr>
        <w:t>. Informe Especial sobre la Situación de la libertad de expresión en Cuba</w:t>
      </w:r>
      <w:r>
        <w:rPr>
          <w:rFonts w:ascii="Cambria" w:hAnsi="Cambria"/>
          <w:sz w:val="16"/>
          <w:szCs w:val="16"/>
          <w:lang w:val="es-PE"/>
        </w:rPr>
        <w:t>.</w:t>
      </w:r>
      <w:r w:rsidRPr="002018BB">
        <w:rPr>
          <w:rFonts w:ascii="Cambria" w:hAnsi="Cambria"/>
          <w:sz w:val="16"/>
          <w:szCs w:val="16"/>
          <w:lang w:val="es-MX"/>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w:t>
      </w:r>
      <w:r w:rsidRPr="002018BB">
        <w:rPr>
          <w:rFonts w:ascii="Cambria" w:hAnsi="Cambria"/>
          <w:sz w:val="16"/>
          <w:szCs w:val="16"/>
          <w:lang w:val="es-MX"/>
        </w:rPr>
        <w:t xml:space="preserve">párr. 198, citando a la La pupila insomne. </w:t>
      </w:r>
      <w:r w:rsidRPr="00BA6ADA">
        <w:rPr>
          <w:rFonts w:ascii="Cambria" w:hAnsi="Cambria"/>
          <w:i/>
          <w:sz w:val="16"/>
          <w:szCs w:val="16"/>
          <w:lang w:val="es-MX"/>
        </w:rPr>
        <w:t>Fidel Castro: "Internet es un instrumento revolucionario".</w:t>
      </w:r>
      <w:r w:rsidRPr="002018BB">
        <w:rPr>
          <w:rFonts w:ascii="Cambria" w:hAnsi="Cambria"/>
          <w:sz w:val="16"/>
          <w:szCs w:val="16"/>
          <w:lang w:val="es-MX"/>
        </w:rPr>
        <w:t xml:space="preserve"> 7 de marzo de 2012. </w:t>
      </w:r>
      <w:r w:rsidRPr="00BA6ADA">
        <w:rPr>
          <w:rFonts w:ascii="Cambria" w:hAnsi="Cambria"/>
          <w:sz w:val="16"/>
          <w:szCs w:val="16"/>
          <w:lang w:val="es-PE"/>
        </w:rPr>
        <w:t>Fidel Castro en 1995 consideró que el internet serviría como un “caballo de Troya” que intenta promover la subversión y la división, o un instrumento para la difusión de propaganda imperialista y la manipulación de conciencias. El mismo Fidel Castro describe internet en 2012 como “un instrumento revolucionario que permite recibir y transmitir ideas, en las dos direcciones, algo que debemos saber usar”.</w:t>
      </w:r>
    </w:p>
  </w:footnote>
  <w:footnote w:id="279">
    <w:p w14:paraId="238CF5CB" w14:textId="4425B38F"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198.</w:t>
      </w:r>
    </w:p>
  </w:footnote>
  <w:footnote w:id="280">
    <w:p w14:paraId="7F5B3A49" w14:textId="234E3930"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200.</w:t>
      </w:r>
    </w:p>
  </w:footnote>
  <w:footnote w:id="281">
    <w:p w14:paraId="3099950D" w14:textId="70161B0C" w:rsidR="00F640DA" w:rsidRPr="00116A43" w:rsidRDefault="00F640DA" w:rsidP="00116A43">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419"/>
        </w:rPr>
        <w:t xml:space="preserve"> </w:t>
      </w:r>
      <w:r w:rsidRPr="00116A43">
        <w:rPr>
          <w:rFonts w:ascii="Cambria" w:hAnsi="Cambria"/>
          <w:sz w:val="16"/>
          <w:szCs w:val="16"/>
          <w:lang w:val="es-PE"/>
        </w:rPr>
        <w:t xml:space="preserve">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213. </w:t>
      </w:r>
    </w:p>
  </w:footnote>
  <w:footnote w:id="282">
    <w:p w14:paraId="7AF9C52F" w14:textId="486696C7" w:rsidR="00F640DA" w:rsidRPr="00116A43" w:rsidRDefault="00F640DA" w:rsidP="00116A43">
      <w:pPr>
        <w:pStyle w:val="FootnoteText"/>
        <w:jc w:val="both"/>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419"/>
        </w:rPr>
        <w:t xml:space="preserve"> </w:t>
      </w:r>
      <w:r w:rsidRPr="00116A43">
        <w:rPr>
          <w:rFonts w:ascii="Cambria" w:hAnsi="Cambria"/>
          <w:sz w:val="16"/>
          <w:szCs w:val="16"/>
          <w:lang w:val="es-PE"/>
        </w:rPr>
        <w:t xml:space="preserve">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219. </w:t>
      </w:r>
    </w:p>
  </w:footnote>
  <w:footnote w:id="283">
    <w:p w14:paraId="4F528716" w14:textId="7186603A"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419"/>
        </w:rPr>
        <w:t xml:space="preserve"> CIDH. </w:t>
      </w:r>
      <w:hyperlink r:id="rId96" w:history="1">
        <w:r w:rsidRPr="00116A43">
          <w:rPr>
            <w:rStyle w:val="Hyperlink"/>
            <w:rFonts w:ascii="Cambria" w:eastAsia="SimSun" w:hAnsi="Cambria"/>
            <w:sz w:val="16"/>
            <w:szCs w:val="16"/>
            <w:lang w:val="es-ES"/>
          </w:rPr>
          <w:t>Mujeres periodistas y libertad de expresión</w:t>
        </w:r>
      </w:hyperlink>
      <w:r w:rsidRPr="00116A43">
        <w:rPr>
          <w:rFonts w:ascii="Cambria" w:hAnsi="Cambria"/>
          <w:sz w:val="16"/>
          <w:szCs w:val="16"/>
          <w:lang w:val="es-ES"/>
        </w:rPr>
        <w:t xml:space="preserve">. OEA/Ser. L/V/II. CIDH/RELE/INF.20/18. 31 octubre de 2018, </w:t>
      </w:r>
      <w:proofErr w:type="spellStart"/>
      <w:r w:rsidRPr="00116A43">
        <w:rPr>
          <w:rFonts w:ascii="Cambria" w:hAnsi="Cambria"/>
          <w:sz w:val="16"/>
          <w:szCs w:val="16"/>
          <w:lang w:val="es-ES"/>
        </w:rPr>
        <w:t>párrs</w:t>
      </w:r>
      <w:proofErr w:type="spellEnd"/>
      <w:r w:rsidRPr="00116A43">
        <w:rPr>
          <w:rFonts w:ascii="Cambria" w:hAnsi="Cambria"/>
          <w:sz w:val="16"/>
          <w:szCs w:val="16"/>
          <w:lang w:val="es-ES"/>
        </w:rPr>
        <w:t>. 29 y 36.</w:t>
      </w:r>
    </w:p>
  </w:footnote>
  <w:footnote w:id="284">
    <w:p w14:paraId="12CF5EC7" w14:textId="328C0205"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i/>
          <w:iCs/>
          <w:sz w:val="16"/>
          <w:szCs w:val="16"/>
          <w:lang w:val="es-ES_tradnl"/>
        </w:rPr>
        <w:t xml:space="preserve">Mutatis </w:t>
      </w:r>
      <w:proofErr w:type="spellStart"/>
      <w:r w:rsidRPr="00116A43">
        <w:rPr>
          <w:rFonts w:ascii="Cambria" w:hAnsi="Cambria"/>
          <w:i/>
          <w:iCs/>
          <w:sz w:val="16"/>
          <w:szCs w:val="16"/>
          <w:lang w:val="es-ES_tradnl"/>
        </w:rPr>
        <w:t>mutandi</w:t>
      </w:r>
      <w:proofErr w:type="spellEnd"/>
      <w:r w:rsidRPr="00116A43">
        <w:rPr>
          <w:rFonts w:ascii="Cambria" w:hAnsi="Cambria"/>
          <w:sz w:val="16"/>
          <w:szCs w:val="16"/>
          <w:lang w:val="es-PE"/>
        </w:rPr>
        <w:t xml:space="preserve">, </w:t>
      </w:r>
      <w:r w:rsidRPr="00116A43">
        <w:rPr>
          <w:rFonts w:ascii="Cambria" w:hAnsi="Cambria"/>
          <w:sz w:val="16"/>
          <w:szCs w:val="16"/>
          <w:lang w:val="es-ES_tradnl"/>
        </w:rPr>
        <w:t xml:space="preserve">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97" w:history="1">
        <w:r w:rsidRPr="00116A43">
          <w:rPr>
            <w:rStyle w:val="Internetlink"/>
            <w:rFonts w:ascii="Cambria" w:hAnsi="Cambria" w:cs="Cambria"/>
            <w:i/>
            <w:sz w:val="16"/>
            <w:szCs w:val="16"/>
            <w:lang w:val="es-ES_tradnl"/>
          </w:rPr>
          <w:t>Declaración conjunta sobre violencia contra periodistas y comunicadores en el marco de manifestaciones sociales</w:t>
        </w:r>
      </w:hyperlink>
      <w:r w:rsidRPr="00116A43">
        <w:rPr>
          <w:rFonts w:ascii="Cambria" w:hAnsi="Cambria"/>
          <w:sz w:val="16"/>
          <w:szCs w:val="16"/>
          <w:lang w:val="es-ES_tradnl"/>
        </w:rPr>
        <w:t>.</w:t>
      </w:r>
    </w:p>
  </w:footnote>
  <w:footnote w:id="285">
    <w:p w14:paraId="52D7F69B" w14:textId="77777777" w:rsidR="00F640DA" w:rsidRPr="00116A43" w:rsidRDefault="00F640DA" w:rsidP="00447791">
      <w:pPr>
        <w:pStyle w:val="FootnoteText"/>
        <w:pBdr>
          <w:top w:val="none" w:sz="0" w:space="0" w:color="auto"/>
          <w:left w:val="none" w:sz="0" w:space="0" w:color="auto"/>
          <w:bottom w:val="none" w:sz="0" w:space="0" w:color="auto"/>
          <w:right w:val="none" w:sz="0" w:space="0" w:color="auto"/>
        </w:pBdr>
        <w:tabs>
          <w:tab w:val="left" w:pos="1800"/>
        </w:tabs>
        <w:jc w:val="both"/>
        <w:rPr>
          <w:rFonts w:ascii="Cambria" w:hAnsi="Cambria"/>
          <w:sz w:val="16"/>
          <w:szCs w:val="16"/>
          <w:lang w:val="es-PE"/>
        </w:rPr>
      </w:pPr>
      <w:r w:rsidRPr="00116A43">
        <w:rPr>
          <w:rFonts w:ascii="Cambria" w:hAnsi="Cambria" w:cs="Cambria"/>
          <w:sz w:val="16"/>
          <w:szCs w:val="16"/>
          <w:vertAlign w:val="superscript"/>
          <w:lang w:val="es-AR" w:eastAsia="x-none"/>
        </w:rPr>
        <w:footnoteRef/>
      </w:r>
      <w:r w:rsidRPr="00116A43">
        <w:rPr>
          <w:rFonts w:ascii="Cambria" w:hAnsi="Cambria"/>
          <w:sz w:val="16"/>
          <w:szCs w:val="16"/>
          <w:lang w:val="es-AR" w:eastAsia="x-none"/>
        </w:rPr>
        <w:t xml:space="preserve"> Corte IDH. </w:t>
      </w:r>
      <w:r w:rsidRPr="00116A43">
        <w:rPr>
          <w:rFonts w:ascii="Cambria" w:hAnsi="Cambria"/>
          <w:bCs/>
          <w:i/>
          <w:sz w:val="16"/>
          <w:szCs w:val="16"/>
          <w:lang w:val="es-AR" w:eastAsia="x-none"/>
        </w:rPr>
        <w:t>Caso Vélez Restrepo y Familiares Vs. Colombia</w:t>
      </w:r>
      <w:r w:rsidRPr="00116A43">
        <w:rPr>
          <w:rFonts w:ascii="Cambria" w:hAnsi="Cambria"/>
          <w:sz w:val="16"/>
          <w:szCs w:val="16"/>
          <w:lang w:val="es-PE"/>
        </w:rPr>
        <w:t xml:space="preserve">. </w:t>
      </w:r>
      <w:r w:rsidRPr="00116A43">
        <w:rPr>
          <w:rFonts w:ascii="Cambria" w:hAnsi="Cambria"/>
          <w:iCs/>
          <w:sz w:val="16"/>
          <w:szCs w:val="16"/>
          <w:lang w:val="es-AR" w:eastAsia="x-none"/>
        </w:rPr>
        <w:t>Excepción Preliminar, Fondo, Reparaciones y Costas.</w:t>
      </w:r>
      <w:r w:rsidRPr="00116A43">
        <w:rPr>
          <w:rFonts w:ascii="Cambria" w:hAnsi="Cambria"/>
          <w:sz w:val="16"/>
          <w:szCs w:val="16"/>
          <w:lang w:val="es-AR" w:eastAsia="x-none"/>
        </w:rPr>
        <w:t xml:space="preserve"> Sentencia de 3 de septiembre de 2012 Serie C No. 248. Párr. 209.</w:t>
      </w:r>
    </w:p>
  </w:footnote>
  <w:footnote w:id="286">
    <w:p w14:paraId="4EE323F5" w14:textId="77777777" w:rsidR="00F640DA" w:rsidRPr="00116A43" w:rsidRDefault="00F640DA" w:rsidP="00621F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Asamblea General de Naciones Unidas. La seguridad de los periodistas y la cuestión de la impunidad. Informe del Secretario General. A/72/290. 4 de agosto de 2017, párr. 12.</w:t>
      </w:r>
    </w:p>
  </w:footnote>
  <w:footnote w:id="287">
    <w:p w14:paraId="35F200C5" w14:textId="196E67D0" w:rsidR="00F640DA" w:rsidRPr="00116A43" w:rsidRDefault="00F640DA" w:rsidP="00447791">
      <w:pPr>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rPr>
        <w:t xml:space="preserve"> </w:t>
      </w:r>
      <w:r w:rsidRPr="00116A43">
        <w:rPr>
          <w:rFonts w:ascii="Cambria" w:eastAsia="Times New Roman" w:hAnsi="Cambria" w:cs="Cambria"/>
          <w:color w:val="000000"/>
          <w:sz w:val="16"/>
          <w:szCs w:val="16"/>
          <w:u w:color="000000"/>
          <w:bdr w:val="none" w:sz="0" w:space="0" w:color="auto"/>
          <w:lang w:val="es-PE" w:eastAsia="es-ES"/>
        </w:rPr>
        <w:t xml:space="preserve">El artículo XVIII de la </w:t>
      </w:r>
      <w:r>
        <w:rPr>
          <w:rFonts w:ascii="Cambria" w:eastAsia="Times New Roman" w:hAnsi="Cambria" w:cs="Cambria"/>
          <w:color w:val="000000"/>
          <w:sz w:val="16"/>
          <w:szCs w:val="16"/>
          <w:u w:color="000000"/>
          <w:bdr w:val="none" w:sz="0" w:space="0" w:color="auto"/>
          <w:lang w:val="es-PE" w:eastAsia="es-ES"/>
        </w:rPr>
        <w:t>Declaración</w:t>
      </w:r>
      <w:r w:rsidRPr="00116A43">
        <w:rPr>
          <w:rFonts w:ascii="Cambria" w:eastAsia="Times New Roman" w:hAnsi="Cambria" w:cs="Cambria"/>
          <w:color w:val="000000"/>
          <w:sz w:val="16"/>
          <w:szCs w:val="16"/>
          <w:u w:color="000000"/>
          <w:bdr w:val="none" w:sz="0" w:space="0" w:color="auto"/>
          <w:lang w:val="es-PE" w:eastAsia="es-ES"/>
        </w:rPr>
        <w:t xml:space="preserve"> Americana de Derechos Humanos establece que: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 </w:t>
      </w:r>
    </w:p>
  </w:footnote>
  <w:footnote w:id="288">
    <w:p w14:paraId="2A82955F" w14:textId="57918DB1" w:rsidR="00F640DA" w:rsidRPr="00116A43" w:rsidRDefault="00F640DA" w:rsidP="0044779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16"/>
          <w:szCs w:val="16"/>
          <w:u w:color="000000"/>
          <w:bdr w:val="none" w:sz="0" w:space="0" w:color="auto"/>
          <w:lang w:val="es-PE" w:eastAsia="es-ES"/>
        </w:rPr>
      </w:pPr>
      <w:r w:rsidRPr="00116A43">
        <w:rPr>
          <w:rStyle w:val="FootnoteReference"/>
          <w:rFonts w:ascii="Cambria" w:hAnsi="Cambria"/>
          <w:sz w:val="16"/>
          <w:szCs w:val="16"/>
        </w:rPr>
        <w:footnoteRef/>
      </w:r>
      <w:r w:rsidRPr="00116A43">
        <w:rPr>
          <w:rFonts w:ascii="Cambria" w:hAnsi="Cambria"/>
          <w:sz w:val="16"/>
          <w:szCs w:val="16"/>
        </w:rPr>
        <w:t xml:space="preserve"> </w:t>
      </w:r>
      <w:r w:rsidRPr="00116A43">
        <w:rPr>
          <w:rFonts w:ascii="Cambria" w:eastAsia="Times New Roman" w:hAnsi="Cambria" w:cs="Cambria"/>
          <w:color w:val="000000"/>
          <w:sz w:val="16"/>
          <w:szCs w:val="16"/>
          <w:u w:color="000000"/>
          <w:bdr w:val="none" w:sz="0" w:space="0" w:color="auto"/>
          <w:lang w:val="es-PE" w:eastAsia="es-ES"/>
        </w:rPr>
        <w:t xml:space="preserve">El artículo XXIV determina que: “[t]oda persona tiene derecho de presentar peticiones respetuosas a cualquiera autoridad competente, ya sea por motivo de interés general, ya de interés particular, y el de obtener pronta resolución este sentido”. </w:t>
      </w:r>
    </w:p>
  </w:footnote>
  <w:footnote w:id="289">
    <w:p w14:paraId="5CBC1ADE" w14:textId="7E93CC15" w:rsidR="00F640DA" w:rsidRPr="00116A43" w:rsidRDefault="00F640DA" w:rsidP="00116A43">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El artículo XXVI señala que: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footnote>
  <w:footnote w:id="290">
    <w:p w14:paraId="41478242" w14:textId="22B33D64" w:rsidR="00F640DA" w:rsidRPr="00116A43" w:rsidRDefault="00F640DA" w:rsidP="00447791">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121/18, Caso 10.573. Fondo. José Isabel Salas Galindo y otros. Estados Unidos. 5 de octubre de 2018, párr. 437. </w:t>
      </w:r>
    </w:p>
  </w:footnote>
  <w:footnote w:id="291">
    <w:p w14:paraId="6F5D0453" w14:textId="2BCC5C9F" w:rsidR="00F640DA" w:rsidRPr="00116A43" w:rsidRDefault="00F640DA" w:rsidP="00447791">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53/16, Caso 12.056 Fondo. Gabriel Oscar Jenkins. Argentina. 6 de diciembre de 2016, párr. 150 y ss. </w:t>
      </w:r>
    </w:p>
  </w:footnote>
  <w:footnote w:id="292">
    <w:p w14:paraId="5E7BE900" w14:textId="2DFD3B13" w:rsidR="00F640DA" w:rsidRPr="00116A43" w:rsidRDefault="00F640DA" w:rsidP="00447791">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29/20. Caso 12.865. Fondo. Djamel Ameziane. Estados Unidos de América, 22 de abril de 2020, párr. 211. </w:t>
      </w:r>
    </w:p>
  </w:footnote>
  <w:footnote w:id="293">
    <w:p w14:paraId="52A680C9" w14:textId="66D00411" w:rsidR="00F640DA" w:rsidRPr="00116A43" w:rsidRDefault="00F640DA" w:rsidP="00B92BE6">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53/16, Caso 12.056 Fondo. Gabriel Oscar Jenkins. Argentina. 6 de diciembre de 2016, párr. 152.</w:t>
      </w:r>
    </w:p>
  </w:footnote>
  <w:footnote w:id="294">
    <w:p w14:paraId="58A78C6A" w14:textId="10284405" w:rsidR="00F640DA" w:rsidRPr="00116A43" w:rsidRDefault="00F640DA" w:rsidP="00B92BE6">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Anual 2013. Informe de la Relatoría Especial para la Libertad de Expresión. Capítulo III (Violencia contra periodistas y trabajadores de medios: estándares interamericanos y prácticas nacionales sobre prevención, protección y procuración de la justicia). OEA/Ser.L/V/II.149. Doc. 50. 31 de diciembre de 2013</w:t>
      </w:r>
      <w:r>
        <w:rPr>
          <w:rFonts w:ascii="Cambria" w:hAnsi="Cambria"/>
          <w:sz w:val="16"/>
          <w:szCs w:val="16"/>
          <w:lang w:val="es-PE"/>
        </w:rPr>
        <w:t>, p</w:t>
      </w:r>
      <w:r w:rsidRPr="00116A43">
        <w:rPr>
          <w:rFonts w:ascii="Cambria" w:hAnsi="Cambria"/>
          <w:sz w:val="16"/>
          <w:szCs w:val="16"/>
          <w:lang w:val="es-PE"/>
        </w:rPr>
        <w:t>árr. 166.</w:t>
      </w:r>
    </w:p>
  </w:footnote>
  <w:footnote w:id="295">
    <w:p w14:paraId="7B7AD311" w14:textId="73C626B1" w:rsidR="00F640DA" w:rsidRPr="00116A43" w:rsidRDefault="00F640DA" w:rsidP="00B92BE6">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pt-BR"/>
        </w:rPr>
      </w:pPr>
      <w:r w:rsidRPr="00116A43">
        <w:rPr>
          <w:rFonts w:ascii="Cambria" w:hAnsi="Cambria"/>
          <w:sz w:val="16"/>
          <w:szCs w:val="16"/>
          <w:vertAlign w:val="superscript"/>
        </w:rPr>
        <w:footnoteRef/>
      </w:r>
      <w:r w:rsidRPr="00644687">
        <w:rPr>
          <w:rFonts w:ascii="Cambria" w:hAnsi="Cambria"/>
          <w:sz w:val="16"/>
          <w:szCs w:val="16"/>
          <w:lang w:val="es-PE"/>
        </w:rPr>
        <w:t xml:space="preserve"> CIDH, Informe No. 7/16, Caso 12.213. Fondo. Aristeu Guida da Silva y familia. </w:t>
      </w:r>
      <w:r w:rsidRPr="00116A43">
        <w:rPr>
          <w:rFonts w:ascii="Cambria" w:hAnsi="Cambria"/>
          <w:sz w:val="16"/>
          <w:szCs w:val="16"/>
          <w:lang w:val="pt-BR"/>
        </w:rPr>
        <w:t xml:space="preserve">Brasil. 13 de </w:t>
      </w:r>
      <w:r w:rsidRPr="00116A43">
        <w:rPr>
          <w:rFonts w:ascii="Cambria" w:hAnsi="Cambria"/>
          <w:sz w:val="16"/>
          <w:szCs w:val="16"/>
          <w:lang w:val="pt-BR"/>
        </w:rPr>
        <w:t>abril de 2016, p</w:t>
      </w:r>
      <w:r>
        <w:rPr>
          <w:rFonts w:ascii="Cambria" w:hAnsi="Cambria"/>
          <w:sz w:val="16"/>
          <w:szCs w:val="16"/>
          <w:lang w:val="pt-BR"/>
        </w:rPr>
        <w:t>á</w:t>
      </w:r>
      <w:r w:rsidRPr="00116A43">
        <w:rPr>
          <w:rFonts w:ascii="Cambria" w:hAnsi="Cambria"/>
          <w:sz w:val="16"/>
          <w:szCs w:val="16"/>
          <w:lang w:val="pt-BR"/>
        </w:rPr>
        <w:t>rr. 150</w:t>
      </w:r>
    </w:p>
  </w:footnote>
  <w:footnote w:id="296">
    <w:p w14:paraId="32003CD2" w14:textId="13C73AF5"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pt-BR"/>
        </w:rPr>
      </w:pPr>
      <w:r w:rsidRPr="00116A43">
        <w:rPr>
          <w:rFonts w:ascii="Cambria" w:hAnsi="Cambria"/>
          <w:sz w:val="16"/>
          <w:szCs w:val="16"/>
          <w:vertAlign w:val="superscript"/>
        </w:rPr>
        <w:footnoteRef/>
      </w:r>
      <w:r w:rsidRPr="00116A43">
        <w:rPr>
          <w:rFonts w:ascii="Cambria" w:hAnsi="Cambria"/>
          <w:sz w:val="16"/>
          <w:szCs w:val="16"/>
          <w:lang w:val="pt-BR"/>
        </w:rPr>
        <w:t xml:space="preserve"> </w:t>
      </w:r>
      <w:r w:rsidRPr="00116A43">
        <w:rPr>
          <w:rFonts w:ascii="Cambria" w:hAnsi="Cambria"/>
          <w:sz w:val="16"/>
          <w:szCs w:val="16"/>
          <w:lang w:val="pt-BR"/>
        </w:rPr>
        <w:t>CIDH. Informe No. 74/17, Caso 12.656. Fondo.Victorio Spoltore. Argentina. 5 de julio de 2017, p</w:t>
      </w:r>
      <w:r>
        <w:rPr>
          <w:rFonts w:ascii="Cambria" w:hAnsi="Cambria"/>
          <w:sz w:val="16"/>
          <w:szCs w:val="16"/>
          <w:lang w:val="pt-BR"/>
        </w:rPr>
        <w:t>á</w:t>
      </w:r>
      <w:r w:rsidRPr="00116A43">
        <w:rPr>
          <w:rFonts w:ascii="Cambria" w:hAnsi="Cambria"/>
          <w:sz w:val="16"/>
          <w:szCs w:val="16"/>
          <w:lang w:val="pt-BR"/>
        </w:rPr>
        <w:t xml:space="preserve">rr. 41. </w:t>
      </w:r>
    </w:p>
  </w:footnote>
  <w:footnote w:id="297">
    <w:p w14:paraId="16D1676E" w14:textId="77777777" w:rsidR="00F640DA" w:rsidRPr="00644687"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pt-BR"/>
        </w:rPr>
      </w:pPr>
      <w:r w:rsidRPr="00116A43">
        <w:rPr>
          <w:rFonts w:ascii="Cambria" w:hAnsi="Cambria"/>
          <w:sz w:val="16"/>
          <w:szCs w:val="16"/>
          <w:vertAlign w:val="superscript"/>
        </w:rPr>
        <w:footnoteRef/>
      </w:r>
      <w:r w:rsidRPr="00116A43">
        <w:rPr>
          <w:rFonts w:ascii="Cambria" w:hAnsi="Cambria"/>
          <w:sz w:val="16"/>
          <w:szCs w:val="16"/>
          <w:lang w:val="pt-BR"/>
        </w:rPr>
        <w:t xml:space="preserve"> </w:t>
      </w:r>
      <w:r w:rsidRPr="00116A43">
        <w:rPr>
          <w:rFonts w:ascii="Cambria" w:hAnsi="Cambria"/>
          <w:sz w:val="16"/>
          <w:szCs w:val="16"/>
          <w:lang w:val="pt-BR"/>
        </w:rPr>
        <w:t xml:space="preserve">Naciones Unidas. Comité de Derechos Humanos. </w:t>
      </w:r>
      <w:r w:rsidRPr="00644687">
        <w:rPr>
          <w:rFonts w:ascii="Cambria" w:hAnsi="Cambria"/>
          <w:sz w:val="16"/>
          <w:szCs w:val="16"/>
          <w:lang w:val="pt-BR"/>
        </w:rPr>
        <w:t>Observación General No. 32, CCPR/C/GC/32, 23 de agosto de 2007, párr.19.</w:t>
      </w:r>
    </w:p>
  </w:footnote>
  <w:footnote w:id="298">
    <w:p w14:paraId="3608C2A7" w14:textId="5D2D76C9" w:rsidR="00F640DA" w:rsidRPr="00116A43" w:rsidRDefault="00F640DA" w:rsidP="003A1E8F">
      <w:pPr>
        <w:pStyle w:val="FootnoteText"/>
        <w:rPr>
          <w:rFonts w:ascii="Cambria" w:hAnsi="Cambria" w:cstheme="minorBidi"/>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419"/>
        </w:rPr>
        <w:t>Informe 103/13, Caso 12.816, Adan Guillermo L</w:t>
      </w:r>
      <w:r>
        <w:rPr>
          <w:rFonts w:ascii="Cambria" w:hAnsi="Cambria"/>
          <w:sz w:val="16"/>
          <w:szCs w:val="16"/>
          <w:lang w:val="es-419"/>
        </w:rPr>
        <w:t>ó</w:t>
      </w:r>
      <w:r w:rsidRPr="00116A43">
        <w:rPr>
          <w:rFonts w:ascii="Cambria" w:hAnsi="Cambria"/>
          <w:sz w:val="16"/>
          <w:szCs w:val="16"/>
          <w:lang w:val="es-419"/>
        </w:rPr>
        <w:t xml:space="preserve">pez Lone y otros. Honduras. 5 de noviembre de 2013, párr. 113. </w:t>
      </w:r>
    </w:p>
  </w:footnote>
  <w:footnote w:id="299">
    <w:p w14:paraId="7A79A0BA" w14:textId="04A63DD1"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w:t>
      </w:r>
      <w:r w:rsidRPr="00116A43">
        <w:rPr>
          <w:rFonts w:ascii="Cambria" w:hAnsi="Cambria"/>
          <w:color w:val="auto"/>
          <w:sz w:val="16"/>
          <w:szCs w:val="16"/>
          <w:lang w:val="es-CO"/>
        </w:rPr>
        <w:t>CIDH. Informe Nº 67/06. Caso 12.476. Oscar Elías Biscet y Otros. Cuba. 21 de octubre de 2006</w:t>
      </w:r>
      <w:r>
        <w:rPr>
          <w:rFonts w:ascii="Cambria" w:hAnsi="Cambria"/>
          <w:color w:val="auto"/>
          <w:sz w:val="16"/>
          <w:szCs w:val="16"/>
          <w:lang w:val="es-CO"/>
        </w:rPr>
        <w:t>, p</w:t>
      </w:r>
      <w:r w:rsidRPr="00116A43">
        <w:rPr>
          <w:rFonts w:ascii="Cambria" w:hAnsi="Cambria"/>
          <w:color w:val="auto"/>
          <w:sz w:val="16"/>
          <w:szCs w:val="16"/>
          <w:lang w:val="es-CO"/>
        </w:rPr>
        <w:t xml:space="preserve">árr. </w:t>
      </w:r>
      <w:r>
        <w:rPr>
          <w:rFonts w:ascii="Cambria" w:hAnsi="Cambria"/>
          <w:color w:val="auto"/>
          <w:sz w:val="16"/>
          <w:szCs w:val="16"/>
          <w:lang w:val="es-CO"/>
        </w:rPr>
        <w:t>169</w:t>
      </w:r>
      <w:r w:rsidRPr="00116A43">
        <w:rPr>
          <w:rFonts w:ascii="Cambria" w:hAnsi="Cambria"/>
          <w:color w:val="auto"/>
          <w:sz w:val="16"/>
          <w:szCs w:val="16"/>
          <w:lang w:val="es-CO"/>
        </w:rPr>
        <w:t>; Informe N° 68/06. Caso 12.477. Fondo. Lorenzo Enrique Copello Castillo y Otros. Cuba. 21 de octubre de 2006</w:t>
      </w:r>
      <w:r>
        <w:rPr>
          <w:rFonts w:ascii="Cambria" w:hAnsi="Cambria"/>
          <w:color w:val="auto"/>
          <w:sz w:val="16"/>
          <w:szCs w:val="16"/>
          <w:lang w:val="es-CO"/>
        </w:rPr>
        <w:t>, p</w:t>
      </w:r>
      <w:r w:rsidRPr="00116A43">
        <w:rPr>
          <w:rFonts w:ascii="Cambria" w:hAnsi="Cambria"/>
          <w:color w:val="auto"/>
          <w:sz w:val="16"/>
          <w:szCs w:val="16"/>
          <w:lang w:val="es-CO"/>
        </w:rPr>
        <w:t>árr. 50</w:t>
      </w:r>
      <w:r w:rsidRPr="00116A43">
        <w:rPr>
          <w:rFonts w:ascii="Cambria" w:hAnsi="Cambria"/>
          <w:sz w:val="16"/>
          <w:szCs w:val="16"/>
          <w:lang w:val="es-CO"/>
        </w:rPr>
        <w:t>, p</w:t>
      </w:r>
      <w:r>
        <w:rPr>
          <w:rFonts w:ascii="Cambria" w:hAnsi="Cambria"/>
          <w:sz w:val="16"/>
          <w:szCs w:val="16"/>
          <w:lang w:val="es-CO"/>
        </w:rPr>
        <w:t>á</w:t>
      </w:r>
      <w:r w:rsidRPr="00116A43">
        <w:rPr>
          <w:rFonts w:ascii="Cambria" w:hAnsi="Cambria"/>
          <w:sz w:val="16"/>
          <w:szCs w:val="16"/>
          <w:lang w:val="es-CO"/>
        </w:rPr>
        <w:t xml:space="preserve">rr. 119. </w:t>
      </w:r>
    </w:p>
  </w:footnote>
  <w:footnote w:id="300">
    <w:p w14:paraId="2718017F" w14:textId="3432D62F"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w:t>
      </w:r>
      <w:r w:rsidRPr="00116A43">
        <w:rPr>
          <w:rFonts w:ascii="Cambria" w:hAnsi="Cambria"/>
          <w:sz w:val="16"/>
          <w:szCs w:val="16"/>
          <w:lang w:val="es-PE"/>
        </w:rPr>
        <w:t>CIDH</w:t>
      </w:r>
      <w:r>
        <w:rPr>
          <w:rFonts w:ascii="Cambria" w:hAnsi="Cambria"/>
          <w:sz w:val="16"/>
          <w:szCs w:val="16"/>
          <w:lang w:val="es-PE"/>
        </w:rPr>
        <w:t>.</w:t>
      </w:r>
      <w:r w:rsidRPr="00116A43">
        <w:rPr>
          <w:rFonts w:ascii="Cambria" w:hAnsi="Cambria"/>
          <w:sz w:val="16"/>
          <w:szCs w:val="16"/>
          <w:lang w:val="es-PE"/>
        </w:rPr>
        <w:t xml:space="preserve"> Informe Nº 27/18</w:t>
      </w:r>
      <w:r>
        <w:rPr>
          <w:rFonts w:ascii="Cambria" w:hAnsi="Cambria"/>
          <w:sz w:val="16"/>
          <w:szCs w:val="16"/>
          <w:lang w:val="es-PE"/>
        </w:rPr>
        <w:t>.</w:t>
      </w:r>
      <w:r w:rsidRPr="00116A43">
        <w:rPr>
          <w:rFonts w:ascii="Cambria" w:hAnsi="Cambria"/>
          <w:sz w:val="16"/>
          <w:szCs w:val="16"/>
          <w:lang w:val="es-PE"/>
        </w:rPr>
        <w:t xml:space="preserve"> Caso Nº 12.127. </w:t>
      </w:r>
      <w:r w:rsidRPr="00116A43">
        <w:rPr>
          <w:rFonts w:ascii="Cambria" w:hAnsi="Cambria"/>
          <w:sz w:val="16"/>
          <w:szCs w:val="16"/>
          <w:lang w:val="es-419"/>
        </w:rPr>
        <w:t xml:space="preserve">Fondo. Vladimiro Roca Antúnez y Otros. </w:t>
      </w:r>
      <w:r w:rsidRPr="00116A43">
        <w:rPr>
          <w:rFonts w:ascii="Cambria" w:hAnsi="Cambria"/>
          <w:sz w:val="16"/>
          <w:szCs w:val="16"/>
          <w:lang w:val="es-PE"/>
        </w:rPr>
        <w:t>Cuba. 24 de febrero de 2018</w:t>
      </w:r>
      <w:r w:rsidRPr="00116A43">
        <w:rPr>
          <w:rFonts w:ascii="Cambria" w:hAnsi="Cambria"/>
          <w:sz w:val="16"/>
          <w:szCs w:val="16"/>
          <w:lang w:val="es-CO"/>
        </w:rPr>
        <w:t xml:space="preserve">, párr. </w:t>
      </w:r>
      <w:r w:rsidRPr="00116A43">
        <w:rPr>
          <w:rFonts w:ascii="Cambria" w:hAnsi="Cambria"/>
          <w:sz w:val="16"/>
          <w:szCs w:val="16"/>
          <w:lang w:val="es-419"/>
        </w:rPr>
        <w:t>141.</w:t>
      </w:r>
    </w:p>
  </w:footnote>
  <w:footnote w:id="301">
    <w:p w14:paraId="5EFE3DC6" w14:textId="5B8D9305"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644687">
        <w:rPr>
          <w:rFonts w:ascii="Cambria" w:hAnsi="Cambria"/>
          <w:sz w:val="16"/>
          <w:szCs w:val="16"/>
          <w:lang w:val="es-US"/>
        </w:rPr>
        <w:t xml:space="preserve"> CIDH. Informe de Nº 92/05, Caso 12.148. </w:t>
      </w:r>
      <w:r w:rsidRPr="00116A43">
        <w:rPr>
          <w:rFonts w:ascii="Cambria" w:hAnsi="Cambria"/>
          <w:sz w:val="16"/>
          <w:szCs w:val="16"/>
          <w:lang w:val="es-419"/>
        </w:rPr>
        <w:t>Fondo</w:t>
      </w:r>
      <w:r w:rsidRPr="00116A43">
        <w:rPr>
          <w:rFonts w:ascii="Cambria" w:hAnsi="Cambria"/>
          <w:sz w:val="16"/>
          <w:szCs w:val="16"/>
          <w:lang w:val="es-PE"/>
        </w:rPr>
        <w:t>.</w:t>
      </w:r>
      <w:r w:rsidRPr="00116A43">
        <w:rPr>
          <w:rFonts w:ascii="Cambria" w:hAnsi="Cambria"/>
          <w:sz w:val="16"/>
          <w:szCs w:val="16"/>
          <w:lang w:val="es-419"/>
        </w:rPr>
        <w:t xml:space="preserve"> Michael Gayle</w:t>
      </w:r>
      <w:r w:rsidRPr="00116A43">
        <w:rPr>
          <w:rFonts w:ascii="Cambria" w:hAnsi="Cambria"/>
          <w:sz w:val="16"/>
          <w:szCs w:val="16"/>
          <w:lang w:val="es-PE"/>
        </w:rPr>
        <w:t>.</w:t>
      </w:r>
      <w:r w:rsidRPr="00116A43">
        <w:rPr>
          <w:rFonts w:ascii="Cambria" w:hAnsi="Cambria"/>
          <w:sz w:val="16"/>
          <w:szCs w:val="16"/>
          <w:lang w:val="es-419"/>
        </w:rPr>
        <w:t xml:space="preserve"> Jamaica, </w:t>
      </w:r>
      <w:r w:rsidRPr="00116A43">
        <w:rPr>
          <w:rFonts w:ascii="Cambria" w:hAnsi="Cambria"/>
          <w:sz w:val="16"/>
          <w:szCs w:val="16"/>
          <w:lang w:val="es-PE"/>
        </w:rPr>
        <w:t xml:space="preserve">24 de octubre de 2005, </w:t>
      </w:r>
      <w:r w:rsidRPr="00116A43">
        <w:rPr>
          <w:rFonts w:ascii="Cambria" w:hAnsi="Cambria"/>
          <w:sz w:val="16"/>
          <w:szCs w:val="16"/>
          <w:lang w:val="es-419"/>
        </w:rPr>
        <w:t>p</w:t>
      </w:r>
      <w:r>
        <w:rPr>
          <w:rFonts w:ascii="Cambria" w:hAnsi="Cambria"/>
          <w:sz w:val="16"/>
          <w:szCs w:val="16"/>
          <w:lang w:val="es-419"/>
        </w:rPr>
        <w:t>á</w:t>
      </w:r>
      <w:r w:rsidRPr="00116A43">
        <w:rPr>
          <w:rFonts w:ascii="Cambria" w:hAnsi="Cambria"/>
          <w:sz w:val="16"/>
          <w:szCs w:val="16"/>
          <w:lang w:val="es-419"/>
        </w:rPr>
        <w:t xml:space="preserve">rr. </w:t>
      </w:r>
      <w:r w:rsidRPr="00116A43">
        <w:rPr>
          <w:rFonts w:ascii="Cambria" w:hAnsi="Cambria"/>
          <w:sz w:val="16"/>
          <w:szCs w:val="16"/>
          <w:lang w:val="es-CO"/>
        </w:rPr>
        <w:t xml:space="preserve">56. </w:t>
      </w:r>
    </w:p>
  </w:footnote>
  <w:footnote w:id="302">
    <w:p w14:paraId="5A94D08F" w14:textId="614E18A1"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CO"/>
        </w:rPr>
        <w:t xml:space="preserve"> CIDH. </w:t>
      </w:r>
      <w:r w:rsidRPr="00116A43">
        <w:rPr>
          <w:rFonts w:ascii="Cambria" w:hAnsi="Cambria"/>
          <w:sz w:val="16"/>
          <w:szCs w:val="16"/>
          <w:lang w:val="es-419"/>
        </w:rPr>
        <w:t>Garantías para la independencia de las y los operadores de justicia: Hacia el fortalecimiento del acceso a la justicia y el estado de derecho en las Américas, OEA/Ser.L/V/II. Doc. 44, 5 diciembre 2013, p</w:t>
      </w:r>
      <w:r>
        <w:rPr>
          <w:rFonts w:ascii="Cambria" w:hAnsi="Cambria"/>
          <w:sz w:val="16"/>
          <w:szCs w:val="16"/>
          <w:lang w:val="es-419"/>
        </w:rPr>
        <w:t>á</w:t>
      </w:r>
      <w:r w:rsidRPr="00116A43">
        <w:rPr>
          <w:rFonts w:ascii="Cambria" w:hAnsi="Cambria"/>
          <w:sz w:val="16"/>
          <w:szCs w:val="16"/>
          <w:lang w:val="es-419"/>
        </w:rPr>
        <w:t>rr. 36.</w:t>
      </w:r>
    </w:p>
  </w:footnote>
  <w:footnote w:id="303">
    <w:p w14:paraId="1B86E6AD" w14:textId="1D4FA8C3" w:rsidR="00F640DA" w:rsidRPr="00116A43" w:rsidRDefault="00F640DA" w:rsidP="00B9424C">
      <w:pPr>
        <w:pStyle w:val="FootnoteText"/>
        <w:rPr>
          <w:rFonts w:ascii="Cambria" w:hAnsi="Cambria" w:cstheme="minorBidi"/>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 Caso Favela Nova Brasilia Vs. </w:t>
      </w:r>
      <w:r w:rsidRPr="00116A43">
        <w:rPr>
          <w:rFonts w:ascii="Cambria" w:hAnsi="Cambria"/>
          <w:sz w:val="16"/>
          <w:szCs w:val="16"/>
          <w:lang w:val="es-419"/>
        </w:rPr>
        <w:t>Brasil. Excepciones Preliminares, Fondo, Reparaciones y Costas. Sentencia de 16 de febrero de 2017. Serie C No. 333, p</w:t>
      </w:r>
      <w:r>
        <w:rPr>
          <w:rFonts w:ascii="Cambria" w:hAnsi="Cambria"/>
          <w:sz w:val="16"/>
          <w:szCs w:val="16"/>
          <w:lang w:val="es-419"/>
        </w:rPr>
        <w:t>ár</w:t>
      </w:r>
      <w:r w:rsidRPr="00116A43">
        <w:rPr>
          <w:rFonts w:ascii="Cambria" w:hAnsi="Cambria"/>
          <w:sz w:val="16"/>
          <w:szCs w:val="16"/>
          <w:lang w:val="es-419"/>
        </w:rPr>
        <w:t xml:space="preserve">r. 187. </w:t>
      </w:r>
    </w:p>
  </w:footnote>
  <w:footnote w:id="304">
    <w:p w14:paraId="214C4002" w14:textId="1409F298" w:rsidR="00F640DA" w:rsidRPr="00116A43" w:rsidRDefault="00F640DA" w:rsidP="00B9424C">
      <w:pPr>
        <w:pStyle w:val="FootnoteText"/>
        <w:rPr>
          <w:rFonts w:ascii="Cambria" w:hAnsi="Cambria"/>
          <w:sz w:val="16"/>
          <w:szCs w:val="16"/>
          <w:lang w:val="es-419"/>
        </w:rPr>
      </w:pPr>
      <w:r w:rsidRPr="00116A43">
        <w:rPr>
          <w:rStyle w:val="FootnoteReference"/>
          <w:rFonts w:ascii="Cambria" w:hAnsi="Cambria"/>
          <w:sz w:val="16"/>
          <w:szCs w:val="16"/>
        </w:rPr>
        <w:footnoteRef/>
      </w:r>
      <w:r w:rsidRPr="00116A43">
        <w:rPr>
          <w:rFonts w:ascii="Cambria" w:hAnsi="Cambria"/>
          <w:sz w:val="16"/>
          <w:szCs w:val="16"/>
          <w:lang w:val="es-CO"/>
        </w:rPr>
        <w:t xml:space="preserve"> CIDH. </w:t>
      </w:r>
      <w:r w:rsidRPr="00116A43">
        <w:rPr>
          <w:rFonts w:ascii="Cambria" w:hAnsi="Cambria"/>
          <w:sz w:val="16"/>
          <w:szCs w:val="16"/>
          <w:lang w:val="es-419"/>
        </w:rPr>
        <w:t xml:space="preserve">Garantías para la independencia de las y los operadores de justicia: Hacia el fortalecimiento del acceso a la justicia y el estado de derecho en las Américas, OEA/Ser.L/V/II. Doc. 44, 5 diciembre 2013, párr. 27. </w:t>
      </w:r>
    </w:p>
  </w:footnote>
  <w:footnote w:id="305">
    <w:p w14:paraId="1A11F2EA" w14:textId="6020A9FC"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CO"/>
        </w:rPr>
        <w:t xml:space="preserve"> CIDH. </w:t>
      </w:r>
      <w:r w:rsidRPr="00116A43">
        <w:rPr>
          <w:rFonts w:ascii="Cambria" w:hAnsi="Cambria"/>
          <w:sz w:val="16"/>
          <w:szCs w:val="16"/>
          <w:lang w:val="es-419"/>
        </w:rPr>
        <w:t>Garantías para la independencia de las y los operadores de justicia: Hacia el fortalecimiento del acceso a la justicia y el estado de derecho en las Américas, OEA/Ser.L/V/II. Doc. 44, 5 diciembre 2013, p</w:t>
      </w:r>
      <w:r>
        <w:rPr>
          <w:rFonts w:ascii="Cambria" w:hAnsi="Cambria"/>
          <w:sz w:val="16"/>
          <w:szCs w:val="16"/>
          <w:lang w:val="es-CO"/>
        </w:rPr>
        <w:t>á</w:t>
      </w:r>
      <w:r w:rsidRPr="00116A43">
        <w:rPr>
          <w:rFonts w:ascii="Cambria" w:hAnsi="Cambria"/>
          <w:sz w:val="16"/>
          <w:szCs w:val="16"/>
          <w:lang w:val="es-CO"/>
        </w:rPr>
        <w:t>r</w:t>
      </w:r>
      <w:r>
        <w:rPr>
          <w:rFonts w:ascii="Cambria" w:hAnsi="Cambria"/>
          <w:sz w:val="16"/>
          <w:szCs w:val="16"/>
          <w:lang w:val="es-CO"/>
        </w:rPr>
        <w:t>r</w:t>
      </w:r>
      <w:r w:rsidRPr="00116A43">
        <w:rPr>
          <w:rFonts w:ascii="Cambria" w:hAnsi="Cambria"/>
          <w:sz w:val="16"/>
          <w:szCs w:val="16"/>
          <w:lang w:val="es-CO"/>
        </w:rPr>
        <w:t>. 38</w:t>
      </w:r>
    </w:p>
  </w:footnote>
  <w:footnote w:id="306">
    <w:p w14:paraId="3DA0C33D"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419"/>
        </w:rPr>
      </w:pPr>
      <w:r w:rsidRPr="00116A43">
        <w:rPr>
          <w:rFonts w:ascii="Cambria" w:hAnsi="Cambria"/>
          <w:sz w:val="16"/>
          <w:szCs w:val="16"/>
          <w:vertAlign w:val="superscript"/>
        </w:rPr>
        <w:footnoteRef/>
      </w:r>
      <w:r w:rsidRPr="00116A43">
        <w:rPr>
          <w:rFonts w:ascii="Cambria" w:hAnsi="Cambria"/>
          <w:sz w:val="16"/>
          <w:szCs w:val="16"/>
          <w:lang w:val="es-419"/>
        </w:rPr>
        <w:t xml:space="preserve"> CIDH, Informe No. 150/18, Caso 12.954. Fondo. Jineth Bedoya Lima y otra. Colombia. 7 de diciembre de 2018, parr. 107.</w:t>
      </w:r>
    </w:p>
  </w:footnote>
  <w:footnote w:id="307">
    <w:p w14:paraId="5B6ED8E5" w14:textId="79CC1BFF"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CIDH. Informe Anual 2002. Capítulo IV</w:t>
      </w:r>
      <w:r>
        <w:rPr>
          <w:rFonts w:ascii="Cambria" w:hAnsi="Cambria"/>
          <w:sz w:val="16"/>
          <w:szCs w:val="16"/>
          <w:lang w:val="es-419"/>
        </w:rPr>
        <w:t>,</w:t>
      </w:r>
      <w:r w:rsidRPr="00116A43">
        <w:rPr>
          <w:rFonts w:ascii="Cambria" w:hAnsi="Cambria"/>
          <w:sz w:val="16"/>
          <w:szCs w:val="16"/>
          <w:lang w:val="es-419"/>
        </w:rPr>
        <w:t xml:space="preserve"> Cuba</w:t>
      </w:r>
      <w:r>
        <w:rPr>
          <w:rFonts w:ascii="Cambria" w:hAnsi="Cambria"/>
          <w:sz w:val="16"/>
          <w:szCs w:val="16"/>
          <w:lang w:val="es-419"/>
        </w:rPr>
        <w:t xml:space="preserve">, </w:t>
      </w:r>
      <w:r w:rsidRPr="00116A43">
        <w:rPr>
          <w:rFonts w:ascii="Cambria" w:hAnsi="Cambria"/>
          <w:sz w:val="16"/>
          <w:szCs w:val="16"/>
          <w:lang w:val="es-419"/>
        </w:rPr>
        <w:t xml:space="preserve">párr. 24. Citando: </w:t>
      </w:r>
      <w:r w:rsidRPr="00116A43">
        <w:rPr>
          <w:rFonts w:ascii="Cambria" w:hAnsi="Cambria"/>
          <w:sz w:val="16"/>
          <w:szCs w:val="16"/>
          <w:shd w:val="clear" w:color="auto" w:fill="FFFFFF"/>
          <w:lang w:val="es-419"/>
        </w:rPr>
        <w:t>Naciones Unidas, Consejo Económico y Social, Integración de los Derechos Humanos de la Mujer y la Perspectiva de Género, La Violencia contra la Mujer, </w:t>
      </w:r>
      <w:r w:rsidRPr="00116A43">
        <w:rPr>
          <w:rFonts w:ascii="Cambria" w:hAnsi="Cambria"/>
          <w:i/>
          <w:iCs/>
          <w:sz w:val="16"/>
          <w:szCs w:val="16"/>
          <w:shd w:val="clear" w:color="auto" w:fill="FFFFFF"/>
          <w:lang w:val="es-419"/>
        </w:rPr>
        <w:t>Informe de la Sra. Radhika Coomaraswarny, Relatora Especial sobre la Violencia contra la Mujer, con inclusión de sus causas y consecuencias</w:t>
      </w:r>
      <w:r w:rsidRPr="00116A43">
        <w:rPr>
          <w:rFonts w:ascii="Cambria" w:hAnsi="Cambria"/>
          <w:sz w:val="16"/>
          <w:szCs w:val="16"/>
          <w:shd w:val="clear" w:color="auto" w:fill="FFFFFF"/>
          <w:lang w:val="es-419"/>
        </w:rPr>
        <w:t>, presentado de conformidad con la resolución 1997/44 de la Comisión de Derechos Humanos, Informe sobre la Misión a Cuba, 56º período de sesiones, Tema 12 a) del programa provisional, E/CN.4/2000/68/Add.2, 8 de febrero de 2000, párrafo 6.</w:t>
      </w:r>
    </w:p>
  </w:footnote>
  <w:footnote w:id="308">
    <w:p w14:paraId="4683ABF2" w14:textId="265AF96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Corte IDH. </w:t>
      </w:r>
      <w:r w:rsidRPr="003D0D74">
        <w:rPr>
          <w:rFonts w:ascii="Cambria" w:hAnsi="Cambria"/>
          <w:i/>
          <w:sz w:val="16"/>
          <w:szCs w:val="16"/>
          <w:lang w:val="es-419"/>
        </w:rPr>
        <w:t>Caso Claude Reyes y otros Vs. Chile.</w:t>
      </w:r>
      <w:r w:rsidRPr="00116A43">
        <w:rPr>
          <w:rFonts w:ascii="Cambria" w:hAnsi="Cambria"/>
          <w:sz w:val="16"/>
          <w:szCs w:val="16"/>
          <w:lang w:val="es-419"/>
        </w:rPr>
        <w:t xml:space="preserve"> Fondo, Reparaciones y Costas. Sentencia de 19 de septiembre de 2006. Serie C No. 151, párr</w:t>
      </w:r>
      <w:r>
        <w:rPr>
          <w:rFonts w:ascii="Cambria" w:hAnsi="Cambria"/>
          <w:sz w:val="16"/>
          <w:szCs w:val="16"/>
          <w:lang w:val="es-419"/>
        </w:rPr>
        <w:t>s</w:t>
      </w:r>
      <w:r w:rsidRPr="00116A43">
        <w:rPr>
          <w:rFonts w:ascii="Cambria" w:hAnsi="Cambria"/>
          <w:sz w:val="16"/>
          <w:szCs w:val="16"/>
          <w:lang w:val="es-419"/>
        </w:rPr>
        <w:t xml:space="preserve">. 118 y 119. </w:t>
      </w:r>
    </w:p>
  </w:footnote>
  <w:footnote w:id="309">
    <w:p w14:paraId="55F4781F" w14:textId="0B1EB053" w:rsidR="00F640DA" w:rsidRPr="00116A43" w:rsidRDefault="00F640DA" w:rsidP="00212AD7">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419"/>
        </w:rPr>
        <w:t xml:space="preserve"> Corte IDH. </w:t>
      </w:r>
      <w:r w:rsidRPr="003D0D74">
        <w:rPr>
          <w:rFonts w:ascii="Cambria" w:hAnsi="Cambria"/>
          <w:i/>
          <w:sz w:val="16"/>
          <w:szCs w:val="16"/>
          <w:lang w:val="es-419"/>
        </w:rPr>
        <w:t>Caso Baena Ricardo y otros Vs. Panamá</w:t>
      </w:r>
      <w:r w:rsidRPr="00116A43">
        <w:rPr>
          <w:rFonts w:ascii="Cambria" w:hAnsi="Cambria"/>
          <w:sz w:val="16"/>
          <w:szCs w:val="16"/>
          <w:lang w:val="es-419"/>
        </w:rPr>
        <w:t xml:space="preserve">. Fondo, Reparaciones y Costas. </w:t>
      </w:r>
      <w:r w:rsidRPr="00116A43">
        <w:rPr>
          <w:rFonts w:ascii="Cambria" w:hAnsi="Cambria"/>
          <w:sz w:val="16"/>
          <w:szCs w:val="16"/>
          <w:lang w:val="es-PE"/>
        </w:rPr>
        <w:t xml:space="preserve">Sentencia de 2 de febrero de 2001. Serie C No. 72, párr. 126. </w:t>
      </w:r>
    </w:p>
  </w:footnote>
  <w:footnote w:id="310">
    <w:p w14:paraId="44684C30" w14:textId="335F13B4"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sz w:val="16"/>
          <w:szCs w:val="16"/>
          <w:vertAlign w:val="superscript"/>
        </w:rPr>
        <w:footnoteRef/>
      </w:r>
      <w:r w:rsidRPr="00116A43">
        <w:rPr>
          <w:rFonts w:ascii="Cambria" w:hAnsi="Cambria"/>
          <w:sz w:val="16"/>
          <w:szCs w:val="16"/>
          <w:lang w:val="es-PE"/>
        </w:rPr>
        <w:t xml:space="preserve"> CIDH, Informe No. 17/19, Caso 12.702. Fondo. Bonifacio Rios Avalos y Carlos Fernández Gadea. Paraguay. 12 de febrero de 2019, párr. 56. </w:t>
      </w:r>
    </w:p>
  </w:footnote>
  <w:footnote w:id="311">
    <w:p w14:paraId="53882429" w14:textId="77777777" w:rsidR="00F640DA" w:rsidRPr="00116A43" w:rsidRDefault="00F640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16"/>
          <w:szCs w:val="16"/>
          <w:bdr w:val="none" w:sz="0" w:space="0" w:color="auto"/>
        </w:rPr>
      </w:pPr>
      <w:r w:rsidRPr="00116A43">
        <w:rPr>
          <w:rStyle w:val="FootnoteReference"/>
          <w:rFonts w:ascii="Cambria" w:hAnsi="Cambria"/>
          <w:sz w:val="16"/>
          <w:szCs w:val="16"/>
        </w:rPr>
        <w:footnoteRef/>
      </w:r>
      <w:r w:rsidRPr="00116A43">
        <w:rPr>
          <w:rFonts w:ascii="Cambria" w:hAnsi="Cambria"/>
          <w:sz w:val="16"/>
          <w:szCs w:val="16"/>
          <w:lang w:val="es-PE"/>
        </w:rPr>
        <w:t xml:space="preserve"> </w:t>
      </w:r>
      <w:r w:rsidRPr="00116A43">
        <w:rPr>
          <w:rFonts w:ascii="Cambria" w:hAnsi="Cambria"/>
          <w:bCs/>
          <w:sz w:val="16"/>
          <w:szCs w:val="16"/>
          <w:bdr w:val="none" w:sz="0" w:space="0" w:color="auto"/>
        </w:rPr>
        <w:t>El artículo II de la Declaración Americana dispone lo siguiente: “[t]odas las personas son iguales ante la Ley y tienen los derechos y deberes consagrados en esta declaración sin distinción de raza, sexo, idioma, credo ni otra alguna”.</w:t>
      </w:r>
    </w:p>
  </w:footnote>
  <w:footnote w:id="312">
    <w:p w14:paraId="28E02192" w14:textId="3870B236" w:rsidR="00F640DA" w:rsidRPr="00116A43" w:rsidRDefault="00F640DA">
      <w:pPr>
        <w:pStyle w:val="Footnotes"/>
        <w:spacing w:after="0"/>
        <w:ind w:firstLine="0"/>
        <w:rPr>
          <w:sz w:val="16"/>
          <w:szCs w:val="16"/>
          <w:lang w:val="es-PE"/>
        </w:rPr>
      </w:pPr>
      <w:r w:rsidRPr="00116A43">
        <w:rPr>
          <w:sz w:val="16"/>
          <w:szCs w:val="16"/>
          <w:vertAlign w:val="superscript"/>
          <w:lang w:val="es-ES"/>
        </w:rPr>
        <w:footnoteRef/>
      </w:r>
      <w:r w:rsidRPr="00116A43">
        <w:rPr>
          <w:sz w:val="16"/>
          <w:szCs w:val="16"/>
          <w:lang w:val="es-ES"/>
        </w:rPr>
        <w:t xml:space="preserve"> CIDH, Informe No. 80/11, Caso 12.626, </w:t>
      </w:r>
      <w:r w:rsidRPr="003D0D74">
        <w:rPr>
          <w:sz w:val="16"/>
          <w:szCs w:val="16"/>
          <w:lang w:val="es-ES"/>
        </w:rPr>
        <w:t xml:space="preserve">Jessica </w:t>
      </w:r>
      <w:proofErr w:type="spellStart"/>
      <w:r w:rsidRPr="003D0D74">
        <w:rPr>
          <w:sz w:val="16"/>
          <w:szCs w:val="16"/>
          <w:lang w:val="es-ES"/>
        </w:rPr>
        <w:t>Lenahan</w:t>
      </w:r>
      <w:proofErr w:type="spellEnd"/>
      <w:r w:rsidRPr="003D0D74">
        <w:rPr>
          <w:sz w:val="16"/>
          <w:szCs w:val="16"/>
          <w:lang w:val="es-ES"/>
        </w:rPr>
        <w:t xml:space="preserve"> (Gonzales) y otros</w:t>
      </w:r>
      <w:r>
        <w:rPr>
          <w:sz w:val="16"/>
          <w:szCs w:val="16"/>
          <w:lang w:val="es-ES"/>
        </w:rPr>
        <w:t xml:space="preserve">. </w:t>
      </w:r>
      <w:r w:rsidRPr="00116A43">
        <w:rPr>
          <w:sz w:val="16"/>
          <w:szCs w:val="16"/>
          <w:lang w:val="es-ES"/>
        </w:rPr>
        <w:t>Estados Unidos</w:t>
      </w:r>
      <w:r>
        <w:rPr>
          <w:sz w:val="16"/>
          <w:szCs w:val="16"/>
          <w:lang w:val="es-ES"/>
        </w:rPr>
        <w:t xml:space="preserve">. </w:t>
      </w:r>
      <w:r w:rsidRPr="00116A43">
        <w:rPr>
          <w:sz w:val="16"/>
          <w:szCs w:val="16"/>
          <w:lang w:val="es-ES"/>
        </w:rPr>
        <w:t xml:space="preserve">21 de julio de 2011, párr. 107; </w:t>
      </w:r>
      <w:r w:rsidRPr="00116A43">
        <w:rPr>
          <w:rFonts w:cs="Arial"/>
          <w:sz w:val="16"/>
          <w:szCs w:val="16"/>
          <w:lang w:val="es-ES"/>
        </w:rPr>
        <w:t>CIDH, Informe</w:t>
      </w:r>
      <w:r w:rsidRPr="00116A43">
        <w:rPr>
          <w:sz w:val="16"/>
          <w:szCs w:val="16"/>
          <w:lang w:val="es-ES"/>
        </w:rPr>
        <w:t xml:space="preserve"> 40/04, Caso 12.053, </w:t>
      </w:r>
      <w:r w:rsidRPr="003D0D74">
        <w:rPr>
          <w:sz w:val="16"/>
          <w:szCs w:val="16"/>
          <w:lang w:val="es-ES"/>
        </w:rPr>
        <w:t>Comunidades indígenas mayas del distrito de Toledo</w:t>
      </w:r>
      <w:r>
        <w:rPr>
          <w:sz w:val="16"/>
          <w:szCs w:val="16"/>
          <w:lang w:val="es-ES"/>
        </w:rPr>
        <w:t xml:space="preserve">. </w:t>
      </w:r>
      <w:r w:rsidRPr="00116A43">
        <w:rPr>
          <w:sz w:val="16"/>
          <w:szCs w:val="16"/>
          <w:lang w:val="es-ES"/>
        </w:rPr>
        <w:t>Belice</w:t>
      </w:r>
      <w:r>
        <w:rPr>
          <w:sz w:val="16"/>
          <w:szCs w:val="16"/>
          <w:lang w:val="es-ES"/>
        </w:rPr>
        <w:t>.</w:t>
      </w:r>
      <w:r w:rsidRPr="00116A43">
        <w:rPr>
          <w:sz w:val="16"/>
          <w:szCs w:val="16"/>
          <w:lang w:val="es-ES"/>
        </w:rPr>
        <w:t xml:space="preserve"> 12 de octubre de 2004, párr. 163; CIDH, Informe 67/06, Caso 12.476, </w:t>
      </w:r>
      <w:r w:rsidRPr="003D0D74">
        <w:rPr>
          <w:sz w:val="16"/>
          <w:szCs w:val="16"/>
          <w:lang w:val="es-ES"/>
        </w:rPr>
        <w:t xml:space="preserve">Oscar Elías </w:t>
      </w:r>
      <w:proofErr w:type="spellStart"/>
      <w:r w:rsidRPr="003D0D74">
        <w:rPr>
          <w:sz w:val="16"/>
          <w:szCs w:val="16"/>
          <w:lang w:val="es-ES"/>
        </w:rPr>
        <w:t>Bicet</w:t>
      </w:r>
      <w:proofErr w:type="spellEnd"/>
      <w:r w:rsidRPr="003D0D74">
        <w:rPr>
          <w:sz w:val="16"/>
          <w:szCs w:val="16"/>
          <w:lang w:val="es-ES"/>
        </w:rPr>
        <w:t xml:space="preserve"> y otros</w:t>
      </w:r>
      <w:r>
        <w:rPr>
          <w:sz w:val="16"/>
          <w:szCs w:val="16"/>
          <w:lang w:val="es-ES"/>
        </w:rPr>
        <w:t xml:space="preserve">. </w:t>
      </w:r>
      <w:r w:rsidRPr="00CC75F5">
        <w:rPr>
          <w:sz w:val="16"/>
          <w:szCs w:val="16"/>
          <w:lang w:val="es-ES"/>
        </w:rPr>
        <w:t>Cuba</w:t>
      </w:r>
      <w:r>
        <w:rPr>
          <w:sz w:val="16"/>
          <w:szCs w:val="16"/>
          <w:lang w:val="es-ES"/>
        </w:rPr>
        <w:t>.</w:t>
      </w:r>
      <w:r w:rsidRPr="00116A43">
        <w:rPr>
          <w:sz w:val="16"/>
          <w:szCs w:val="16"/>
          <w:lang w:val="es-ES"/>
        </w:rPr>
        <w:t xml:space="preserve"> 21 de octubre de 2006, párr. 228; CIDH, </w:t>
      </w:r>
      <w:r w:rsidRPr="00116A43">
        <w:rPr>
          <w:i/>
          <w:sz w:val="16"/>
          <w:szCs w:val="16"/>
          <w:lang w:val="es-ES"/>
        </w:rPr>
        <w:t xml:space="preserve">Informe sobre terrorismo y derechos </w:t>
      </w:r>
      <w:proofErr w:type="gramStart"/>
      <w:r w:rsidRPr="00116A43">
        <w:rPr>
          <w:i/>
          <w:sz w:val="16"/>
          <w:szCs w:val="16"/>
          <w:lang w:val="es-ES"/>
        </w:rPr>
        <w:t>humanos</w:t>
      </w:r>
      <w:r w:rsidRPr="00116A43">
        <w:rPr>
          <w:sz w:val="16"/>
          <w:szCs w:val="16"/>
          <w:lang w:val="es-ES"/>
        </w:rPr>
        <w:t>,</w:t>
      </w:r>
      <w:r>
        <w:rPr>
          <w:sz w:val="16"/>
          <w:szCs w:val="16"/>
          <w:lang w:val="es-ES"/>
        </w:rPr>
        <w:t>.</w:t>
      </w:r>
      <w:proofErr w:type="gramEnd"/>
      <w:r>
        <w:rPr>
          <w:sz w:val="16"/>
          <w:szCs w:val="16"/>
          <w:lang w:val="es-ES"/>
        </w:rPr>
        <w:t xml:space="preserve"> </w:t>
      </w:r>
      <w:r w:rsidRPr="00116A43">
        <w:rPr>
          <w:sz w:val="16"/>
          <w:szCs w:val="16"/>
          <w:lang w:val="es-ES"/>
        </w:rPr>
        <w:t>OEA/</w:t>
      </w:r>
      <w:proofErr w:type="spellStart"/>
      <w:r w:rsidRPr="00116A43">
        <w:rPr>
          <w:sz w:val="16"/>
          <w:szCs w:val="16"/>
          <w:lang w:val="es-ES"/>
        </w:rPr>
        <w:t>Ser.L</w:t>
      </w:r>
      <w:proofErr w:type="spellEnd"/>
      <w:r w:rsidRPr="00116A43">
        <w:rPr>
          <w:sz w:val="16"/>
          <w:szCs w:val="16"/>
          <w:lang w:val="es-ES"/>
        </w:rPr>
        <w:t xml:space="preserve">./V/II.116 Doc. 5 </w:t>
      </w:r>
      <w:proofErr w:type="spellStart"/>
      <w:r w:rsidRPr="00116A43">
        <w:rPr>
          <w:sz w:val="16"/>
          <w:szCs w:val="16"/>
          <w:lang w:val="es-ES"/>
        </w:rPr>
        <w:t>rev.</w:t>
      </w:r>
      <w:proofErr w:type="spellEnd"/>
      <w:r w:rsidRPr="00116A43">
        <w:rPr>
          <w:sz w:val="16"/>
          <w:szCs w:val="16"/>
          <w:lang w:val="es-ES"/>
        </w:rPr>
        <w:t xml:space="preserve"> 1 </w:t>
      </w:r>
      <w:proofErr w:type="spellStart"/>
      <w:r w:rsidRPr="00116A43">
        <w:rPr>
          <w:sz w:val="16"/>
          <w:szCs w:val="16"/>
          <w:lang w:val="es-ES"/>
        </w:rPr>
        <w:t>corr</w:t>
      </w:r>
      <w:proofErr w:type="spellEnd"/>
      <w:r w:rsidRPr="00116A43">
        <w:rPr>
          <w:sz w:val="16"/>
          <w:szCs w:val="16"/>
          <w:lang w:val="es-ES"/>
        </w:rPr>
        <w:t>. 22 de octubre de 2002, párr. 335.</w:t>
      </w:r>
    </w:p>
  </w:footnote>
  <w:footnote w:id="313">
    <w:p w14:paraId="3974AE5D" w14:textId="77777777"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cs="Times New Roman"/>
          <w:sz w:val="16"/>
          <w:szCs w:val="16"/>
          <w:vertAlign w:val="superscript"/>
          <w:lang w:val="es-ES"/>
        </w:rPr>
        <w:footnoteRef/>
      </w:r>
      <w:r w:rsidRPr="00116A43">
        <w:rPr>
          <w:rFonts w:ascii="Cambria" w:hAnsi="Cambria"/>
          <w:sz w:val="16"/>
          <w:szCs w:val="16"/>
          <w:lang w:val="es-ES"/>
        </w:rPr>
        <w:t xml:space="preserve"> </w:t>
      </w:r>
      <w:r w:rsidRPr="00116A43">
        <w:rPr>
          <w:rFonts w:ascii="Cambria" w:hAnsi="Cambria" w:cs="Arial"/>
          <w:i/>
          <w:sz w:val="16"/>
          <w:szCs w:val="16"/>
          <w:lang w:val="es-ES"/>
        </w:rPr>
        <w:t>Véanse, por ejemplo</w:t>
      </w:r>
      <w:r w:rsidRPr="00116A43">
        <w:rPr>
          <w:rFonts w:ascii="Cambria" w:hAnsi="Cambria" w:cs="Arial"/>
          <w:sz w:val="16"/>
          <w:szCs w:val="16"/>
          <w:lang w:val="es-ES"/>
        </w:rPr>
        <w:t>, el Pacto Internacional de Derechos Civiles y Políticos (artículos 2 y 26), el Pacto Internacional de Derechos Económicos, Sociales y Culturales (artículos 2.2 y 3), el Convenio Europeo de Derechos Humanos (artículo 14) y la Carta Africana de Derechos Humanos y de los Pueblos (artículo 2).</w:t>
      </w:r>
    </w:p>
  </w:footnote>
  <w:footnote w:id="314">
    <w:p w14:paraId="4C51F4D6" w14:textId="77777777" w:rsidR="00F640DA" w:rsidRPr="00116A43" w:rsidRDefault="00F640DA">
      <w:pPr>
        <w:pStyle w:val="FootnoteText"/>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Corte IDH</w:t>
      </w:r>
      <w:r w:rsidRPr="00116A43">
        <w:rPr>
          <w:rFonts w:ascii="Cambria" w:hAnsi="Cambria"/>
          <w:i/>
          <w:iCs/>
          <w:sz w:val="16"/>
          <w:szCs w:val="16"/>
          <w:lang w:val="es-PE"/>
        </w:rPr>
        <w:t>. Condición Jurídica y Derechos de los Migrantes Indocumentados</w:t>
      </w:r>
      <w:r w:rsidRPr="00116A43">
        <w:rPr>
          <w:rFonts w:ascii="Cambria" w:hAnsi="Cambria"/>
          <w:sz w:val="16"/>
          <w:szCs w:val="16"/>
          <w:lang w:val="es-PE"/>
        </w:rPr>
        <w:t xml:space="preserve">. Opinión Consultiva OC-18/03 de 17 de septiembre de 2003. Serie A No. 18, párr. 101. CIDH. </w:t>
      </w:r>
      <w:r w:rsidRPr="00116A43">
        <w:rPr>
          <w:rFonts w:ascii="Cambria" w:hAnsi="Cambria" w:cs="Arial"/>
          <w:sz w:val="16"/>
          <w:szCs w:val="16"/>
          <w:lang w:val="es-ES"/>
        </w:rPr>
        <w:t>Informe</w:t>
      </w:r>
      <w:r w:rsidRPr="00116A43">
        <w:rPr>
          <w:rFonts w:ascii="Cambria" w:hAnsi="Cambria"/>
          <w:sz w:val="16"/>
          <w:szCs w:val="16"/>
          <w:lang w:val="es-ES"/>
        </w:rPr>
        <w:t xml:space="preserve"> No. 29/20. Caso 12.865. </w:t>
      </w:r>
      <w:proofErr w:type="spellStart"/>
      <w:r w:rsidRPr="00116A43">
        <w:rPr>
          <w:rFonts w:ascii="Cambria" w:hAnsi="Cambria"/>
          <w:sz w:val="16"/>
          <w:szCs w:val="16"/>
          <w:lang w:val="es-ES"/>
        </w:rPr>
        <w:t>Djamel</w:t>
      </w:r>
      <w:proofErr w:type="spellEnd"/>
      <w:r w:rsidRPr="00116A43">
        <w:rPr>
          <w:rFonts w:ascii="Cambria" w:hAnsi="Cambria"/>
          <w:sz w:val="16"/>
          <w:szCs w:val="16"/>
          <w:lang w:val="es-ES"/>
        </w:rPr>
        <w:t xml:space="preserve"> </w:t>
      </w:r>
      <w:proofErr w:type="spellStart"/>
      <w:r w:rsidRPr="00116A43">
        <w:rPr>
          <w:rFonts w:ascii="Cambria" w:hAnsi="Cambria"/>
          <w:sz w:val="16"/>
          <w:szCs w:val="16"/>
          <w:lang w:val="es-ES"/>
        </w:rPr>
        <w:t>Ameziane</w:t>
      </w:r>
      <w:proofErr w:type="spellEnd"/>
      <w:r w:rsidRPr="00116A43">
        <w:rPr>
          <w:rFonts w:ascii="Cambria" w:hAnsi="Cambria"/>
          <w:sz w:val="16"/>
          <w:szCs w:val="16"/>
          <w:lang w:val="es-ES"/>
        </w:rPr>
        <w:t>. Estados Unidos. 22 de abril de 2020, párr. 249.</w:t>
      </w:r>
    </w:p>
  </w:footnote>
  <w:footnote w:id="315">
    <w:p w14:paraId="7F2A816B" w14:textId="0C3B376A" w:rsidR="00F640DA" w:rsidRPr="00116A43" w:rsidRDefault="00F640DA">
      <w:pPr>
        <w:pStyle w:val="FootnoteText"/>
        <w:pBdr>
          <w:top w:val="none" w:sz="0" w:space="0" w:color="auto"/>
          <w:left w:val="none" w:sz="0" w:space="0" w:color="auto"/>
          <w:bottom w:val="none" w:sz="0" w:space="0" w:color="auto"/>
          <w:right w:val="none" w:sz="0" w:space="0" w:color="auto"/>
        </w:pBdr>
        <w:jc w:val="both"/>
        <w:rPr>
          <w:rFonts w:ascii="Cambria" w:hAnsi="Cambria"/>
          <w:sz w:val="16"/>
          <w:szCs w:val="16"/>
          <w:lang w:val="es-PE"/>
        </w:rPr>
      </w:pPr>
      <w:r w:rsidRPr="00116A43">
        <w:rPr>
          <w:rFonts w:ascii="Cambria" w:hAnsi="Cambria" w:cs="Arial"/>
          <w:sz w:val="16"/>
          <w:szCs w:val="16"/>
          <w:vertAlign w:val="superscript"/>
          <w:lang w:val="es-ES"/>
        </w:rPr>
        <w:footnoteRef/>
      </w:r>
      <w:r w:rsidRPr="00116A43">
        <w:rPr>
          <w:rFonts w:ascii="Cambria" w:hAnsi="Cambria"/>
          <w:sz w:val="16"/>
          <w:szCs w:val="16"/>
          <w:lang w:val="es-ES"/>
        </w:rPr>
        <w:t xml:space="preserve"> </w:t>
      </w:r>
      <w:r w:rsidRPr="00116A43">
        <w:rPr>
          <w:rFonts w:ascii="Cambria" w:hAnsi="Cambria" w:cs="Arial"/>
          <w:sz w:val="16"/>
          <w:szCs w:val="16"/>
          <w:lang w:val="es-ES"/>
        </w:rPr>
        <w:t>CIDH, Informe</w:t>
      </w:r>
      <w:r w:rsidRPr="00116A43">
        <w:rPr>
          <w:rFonts w:ascii="Cambria" w:hAnsi="Cambria"/>
          <w:sz w:val="16"/>
          <w:szCs w:val="16"/>
          <w:lang w:val="es-ES"/>
        </w:rPr>
        <w:t xml:space="preserve"> No. 40/04, Caso 12.053, </w:t>
      </w:r>
      <w:r w:rsidRPr="003D0D74">
        <w:rPr>
          <w:rFonts w:ascii="Cambria" w:hAnsi="Cambria"/>
          <w:sz w:val="16"/>
          <w:szCs w:val="16"/>
          <w:lang w:val="es-ES"/>
        </w:rPr>
        <w:t>Comunidades indígenas mayas del distrito de Toledo</w:t>
      </w:r>
      <w:r>
        <w:rPr>
          <w:rFonts w:ascii="Cambria" w:hAnsi="Cambria"/>
          <w:sz w:val="16"/>
          <w:szCs w:val="16"/>
          <w:lang w:val="es-ES"/>
        </w:rPr>
        <w:t xml:space="preserve">. </w:t>
      </w:r>
      <w:r w:rsidRPr="00116A43">
        <w:rPr>
          <w:rFonts w:ascii="Cambria" w:hAnsi="Cambria"/>
          <w:sz w:val="16"/>
          <w:szCs w:val="16"/>
          <w:lang w:val="es-ES"/>
        </w:rPr>
        <w:t>Belice</w:t>
      </w:r>
      <w:r>
        <w:rPr>
          <w:rFonts w:ascii="Cambria" w:hAnsi="Cambria"/>
          <w:sz w:val="16"/>
          <w:szCs w:val="16"/>
          <w:lang w:val="es-ES"/>
        </w:rPr>
        <w:t>.</w:t>
      </w:r>
      <w:r w:rsidRPr="00116A43">
        <w:rPr>
          <w:rFonts w:ascii="Cambria" w:hAnsi="Cambria"/>
          <w:sz w:val="16"/>
          <w:szCs w:val="16"/>
          <w:lang w:val="es-ES"/>
        </w:rPr>
        <w:t xml:space="preserve"> 12 de octubre de 2004, párr. 162.</w:t>
      </w:r>
    </w:p>
  </w:footnote>
  <w:footnote w:id="316">
    <w:p w14:paraId="1CB3D13F" w14:textId="628003D6" w:rsidR="00F640DA" w:rsidRPr="00116A43" w:rsidRDefault="00F640DA">
      <w:pPr>
        <w:pStyle w:val="Footnotes"/>
        <w:spacing w:after="0"/>
        <w:ind w:firstLine="0"/>
        <w:rPr>
          <w:sz w:val="16"/>
          <w:szCs w:val="16"/>
          <w:lang w:val="es-ES"/>
        </w:rPr>
      </w:pPr>
      <w:r w:rsidRPr="00116A43">
        <w:rPr>
          <w:rFonts w:cs="Arial"/>
          <w:sz w:val="16"/>
          <w:szCs w:val="16"/>
          <w:vertAlign w:val="superscript"/>
          <w:lang w:val="es-ES"/>
        </w:rPr>
        <w:footnoteRef/>
      </w:r>
      <w:r w:rsidRPr="00116A43">
        <w:rPr>
          <w:rFonts w:cs="Arial"/>
          <w:sz w:val="16"/>
          <w:szCs w:val="16"/>
          <w:lang w:val="es-ES"/>
        </w:rPr>
        <w:t xml:space="preserve"> </w:t>
      </w:r>
      <w:r w:rsidRPr="00116A43">
        <w:rPr>
          <w:sz w:val="16"/>
          <w:szCs w:val="16"/>
          <w:lang w:val="es-ES"/>
        </w:rPr>
        <w:t xml:space="preserve">CIDH, Informe No. 80/11, Caso 12.626, </w:t>
      </w:r>
      <w:r w:rsidRPr="003D0D74">
        <w:rPr>
          <w:sz w:val="16"/>
          <w:szCs w:val="16"/>
          <w:lang w:val="es-ES"/>
        </w:rPr>
        <w:t xml:space="preserve">Jessica </w:t>
      </w:r>
      <w:proofErr w:type="spellStart"/>
      <w:r w:rsidRPr="003D0D74">
        <w:rPr>
          <w:sz w:val="16"/>
          <w:szCs w:val="16"/>
          <w:lang w:val="es-ES"/>
        </w:rPr>
        <w:t>Lenahan</w:t>
      </w:r>
      <w:proofErr w:type="spellEnd"/>
      <w:r w:rsidRPr="003D0D74">
        <w:rPr>
          <w:sz w:val="16"/>
          <w:szCs w:val="16"/>
          <w:lang w:val="es-ES"/>
        </w:rPr>
        <w:t xml:space="preserve"> (Gonzales) y otros</w:t>
      </w:r>
      <w:r>
        <w:rPr>
          <w:sz w:val="16"/>
          <w:szCs w:val="16"/>
          <w:lang w:val="es-ES"/>
        </w:rPr>
        <w:t xml:space="preserve">. </w:t>
      </w:r>
      <w:r w:rsidRPr="00116A43">
        <w:rPr>
          <w:sz w:val="16"/>
          <w:szCs w:val="16"/>
          <w:lang w:val="es-ES"/>
        </w:rPr>
        <w:t>Estados Unidos</w:t>
      </w:r>
      <w:r>
        <w:rPr>
          <w:sz w:val="16"/>
          <w:szCs w:val="16"/>
          <w:lang w:val="es-ES"/>
        </w:rPr>
        <w:t>.</w:t>
      </w:r>
      <w:r w:rsidRPr="00116A43">
        <w:rPr>
          <w:sz w:val="16"/>
          <w:szCs w:val="16"/>
          <w:lang w:val="es-ES"/>
        </w:rPr>
        <w:t xml:space="preserve"> 21 de julio de 2011, párr. 108; </w:t>
      </w:r>
      <w:r w:rsidRPr="00116A43">
        <w:rPr>
          <w:rFonts w:cs="Arial"/>
          <w:sz w:val="16"/>
          <w:szCs w:val="16"/>
          <w:lang w:val="es-ES"/>
        </w:rPr>
        <w:t>CIDH, Informe</w:t>
      </w:r>
      <w:r w:rsidRPr="00116A43">
        <w:rPr>
          <w:sz w:val="16"/>
          <w:szCs w:val="16"/>
          <w:lang w:val="es-ES"/>
        </w:rPr>
        <w:t xml:space="preserve"> No.40/04, Caso 12.053, </w:t>
      </w:r>
      <w:r w:rsidRPr="00543201">
        <w:rPr>
          <w:sz w:val="16"/>
          <w:szCs w:val="16"/>
          <w:lang w:val="es-ES"/>
        </w:rPr>
        <w:t>Comunidades indígenas mayas del distrito de Toledo</w:t>
      </w:r>
      <w:r>
        <w:rPr>
          <w:sz w:val="16"/>
          <w:szCs w:val="16"/>
          <w:lang w:val="es-ES"/>
        </w:rPr>
        <w:t xml:space="preserve">. </w:t>
      </w:r>
      <w:r w:rsidRPr="00116A43">
        <w:rPr>
          <w:sz w:val="16"/>
          <w:szCs w:val="16"/>
          <w:lang w:val="es-ES"/>
        </w:rPr>
        <w:t>Belice</w:t>
      </w:r>
      <w:r>
        <w:rPr>
          <w:sz w:val="16"/>
          <w:szCs w:val="16"/>
          <w:lang w:val="es-ES"/>
        </w:rPr>
        <w:t>.</w:t>
      </w:r>
      <w:r w:rsidRPr="00116A43">
        <w:rPr>
          <w:sz w:val="16"/>
          <w:szCs w:val="16"/>
          <w:lang w:val="es-ES"/>
        </w:rPr>
        <w:t xml:space="preserve"> 12 de octubre de 2004, párr. 162.</w:t>
      </w:r>
    </w:p>
  </w:footnote>
  <w:footnote w:id="317">
    <w:p w14:paraId="396F1C9A" w14:textId="77777777" w:rsidR="00F640DA" w:rsidRPr="00116A43" w:rsidRDefault="00F640DA">
      <w:pPr>
        <w:pStyle w:val="Footnotes"/>
        <w:spacing w:after="0"/>
        <w:ind w:firstLine="0"/>
        <w:rPr>
          <w:sz w:val="16"/>
          <w:szCs w:val="16"/>
          <w:lang w:val="es-PE"/>
        </w:rPr>
      </w:pPr>
      <w:r w:rsidRPr="00116A43">
        <w:rPr>
          <w:sz w:val="16"/>
          <w:szCs w:val="16"/>
          <w:vertAlign w:val="superscript"/>
          <w:lang w:val="es-ES"/>
        </w:rPr>
        <w:footnoteRef/>
      </w:r>
      <w:r w:rsidRPr="00116A43">
        <w:rPr>
          <w:sz w:val="16"/>
          <w:szCs w:val="16"/>
          <w:lang w:val="es-ES"/>
        </w:rPr>
        <w:t xml:space="preserve"> CIDH, Informe No. 51/01, Caso 9903, </w:t>
      </w:r>
      <w:r w:rsidRPr="00116A43">
        <w:rPr>
          <w:i/>
          <w:sz w:val="16"/>
          <w:szCs w:val="16"/>
          <w:lang w:val="es-ES"/>
        </w:rPr>
        <w:t>Rafael Ferrer-</w:t>
      </w:r>
      <w:proofErr w:type="spellStart"/>
      <w:r w:rsidRPr="00116A43">
        <w:rPr>
          <w:i/>
          <w:sz w:val="16"/>
          <w:szCs w:val="16"/>
          <w:lang w:val="es-ES"/>
        </w:rPr>
        <w:t>Mazorra</w:t>
      </w:r>
      <w:proofErr w:type="spellEnd"/>
      <w:r w:rsidRPr="00116A43">
        <w:rPr>
          <w:i/>
          <w:sz w:val="16"/>
          <w:szCs w:val="16"/>
          <w:lang w:val="es-ES"/>
        </w:rPr>
        <w:t xml:space="preserve"> y otros</w:t>
      </w:r>
      <w:r w:rsidRPr="00116A43">
        <w:rPr>
          <w:sz w:val="16"/>
          <w:szCs w:val="16"/>
          <w:lang w:val="es-ES"/>
        </w:rPr>
        <w:t xml:space="preserve">, Estados Unidos, 4 de abril de 2001, párr. 23; CIDH, </w:t>
      </w:r>
      <w:r w:rsidRPr="00116A43">
        <w:rPr>
          <w:i/>
          <w:sz w:val="16"/>
          <w:szCs w:val="16"/>
          <w:lang w:val="es-ES"/>
        </w:rPr>
        <w:t>Informe sobre la situación de los derechos humanos de los solicitantes de asilo en el marco del sistema canadiense de determinación de la condición de refugiado</w:t>
      </w:r>
      <w:r w:rsidRPr="00116A43">
        <w:rPr>
          <w:sz w:val="16"/>
          <w:szCs w:val="16"/>
          <w:lang w:val="es-ES"/>
        </w:rPr>
        <w:t>, 28 de febrero de 2000, OEA/</w:t>
      </w:r>
      <w:proofErr w:type="spellStart"/>
      <w:r w:rsidRPr="00116A43">
        <w:rPr>
          <w:sz w:val="16"/>
          <w:szCs w:val="16"/>
          <w:lang w:val="es-ES"/>
        </w:rPr>
        <w:t>Ser.L</w:t>
      </w:r>
      <w:proofErr w:type="spellEnd"/>
      <w:r w:rsidRPr="00116A43">
        <w:rPr>
          <w:sz w:val="16"/>
          <w:szCs w:val="16"/>
          <w:lang w:val="es-ES"/>
        </w:rPr>
        <w:t xml:space="preserve">/V/II.106 Doc. 40 </w:t>
      </w:r>
      <w:proofErr w:type="spellStart"/>
      <w:r w:rsidRPr="00116A43">
        <w:rPr>
          <w:sz w:val="16"/>
          <w:szCs w:val="16"/>
          <w:lang w:val="es-ES"/>
        </w:rPr>
        <w:t>rev.</w:t>
      </w:r>
      <w:proofErr w:type="spellEnd"/>
      <w:r w:rsidRPr="00116A43">
        <w:rPr>
          <w:sz w:val="16"/>
          <w:szCs w:val="16"/>
          <w:lang w:val="es-ES"/>
        </w:rPr>
        <w:t xml:space="preserve">, párr. 96 (en el cual se cita al Comité Jurídico Interamericano, “Proyecto de Declaración de los derechos y deberes internacionales del hombre e informe acompañante” (1946)); CIDH, Informe No. 51/96, Informe Anual de la CIDH 1996, pág. 550, </w:t>
      </w:r>
      <w:proofErr w:type="spellStart"/>
      <w:r w:rsidRPr="00116A43">
        <w:rPr>
          <w:sz w:val="16"/>
          <w:szCs w:val="16"/>
          <w:lang w:val="es-ES"/>
        </w:rPr>
        <w:t>párrs</w:t>
      </w:r>
      <w:proofErr w:type="spellEnd"/>
      <w:r w:rsidRPr="00116A43">
        <w:rPr>
          <w:sz w:val="16"/>
          <w:szCs w:val="16"/>
          <w:lang w:val="es-ES"/>
        </w:rPr>
        <w:t>. 177-178.</w:t>
      </w:r>
    </w:p>
  </w:footnote>
  <w:footnote w:id="318">
    <w:p w14:paraId="76A91B0E" w14:textId="14CA89BB" w:rsidR="00F640DA" w:rsidRPr="00CC75F5" w:rsidRDefault="00F640DA">
      <w:pPr>
        <w:pStyle w:val="Footnotes"/>
        <w:spacing w:after="0"/>
        <w:ind w:firstLine="0"/>
        <w:rPr>
          <w:sz w:val="16"/>
          <w:szCs w:val="16"/>
          <w:lang w:val="es-PE"/>
        </w:rPr>
      </w:pPr>
      <w:r w:rsidRPr="00116A43">
        <w:rPr>
          <w:sz w:val="16"/>
          <w:szCs w:val="16"/>
          <w:vertAlign w:val="superscript"/>
          <w:lang w:val="es-ES"/>
        </w:rPr>
        <w:footnoteRef/>
      </w:r>
      <w:r w:rsidRPr="00F42F4B">
        <w:rPr>
          <w:sz w:val="16"/>
          <w:szCs w:val="16"/>
          <w:lang w:val="es-US"/>
        </w:rPr>
        <w:t xml:space="preserve"> CIDH, Informe No. 57/96, Caso 11.139, William Andrews. </w:t>
      </w:r>
      <w:r w:rsidRPr="00CC75F5">
        <w:rPr>
          <w:sz w:val="16"/>
          <w:szCs w:val="16"/>
          <w:lang w:val="es-ES"/>
        </w:rPr>
        <w:t>Estados Unidos</w:t>
      </w:r>
      <w:r>
        <w:rPr>
          <w:sz w:val="16"/>
          <w:szCs w:val="16"/>
          <w:lang w:val="es-ES"/>
        </w:rPr>
        <w:t>.</w:t>
      </w:r>
      <w:r w:rsidRPr="00CC75F5">
        <w:rPr>
          <w:sz w:val="16"/>
          <w:szCs w:val="16"/>
          <w:lang w:val="es-ES"/>
        </w:rPr>
        <w:t xml:space="preserve"> 6 de diciembre de 1996, párr. 173. </w:t>
      </w:r>
    </w:p>
  </w:footnote>
  <w:footnote w:id="319">
    <w:p w14:paraId="507FE37E" w14:textId="1E8EB590" w:rsidR="00F640DA" w:rsidRPr="00116A43" w:rsidRDefault="00F640DA">
      <w:pPr>
        <w:pStyle w:val="Footnotes"/>
        <w:spacing w:after="0"/>
        <w:ind w:firstLine="0"/>
        <w:rPr>
          <w:sz w:val="16"/>
          <w:szCs w:val="16"/>
          <w:lang w:val="es-ES"/>
        </w:rPr>
      </w:pPr>
      <w:r w:rsidRPr="00CC75F5">
        <w:rPr>
          <w:sz w:val="16"/>
          <w:szCs w:val="16"/>
          <w:vertAlign w:val="superscript"/>
          <w:lang w:val="es-ES"/>
        </w:rPr>
        <w:footnoteRef/>
      </w:r>
      <w:r w:rsidRPr="00CC75F5">
        <w:rPr>
          <w:sz w:val="16"/>
          <w:szCs w:val="16"/>
          <w:lang w:val="es-ES"/>
        </w:rPr>
        <w:t xml:space="preserve"> CIDH, Informe No. 67/06, Caso 12.476, </w:t>
      </w:r>
      <w:r w:rsidRPr="003D0D74">
        <w:rPr>
          <w:sz w:val="16"/>
          <w:szCs w:val="16"/>
          <w:lang w:val="es-ES"/>
        </w:rPr>
        <w:t xml:space="preserve">Oscar Elías </w:t>
      </w:r>
      <w:proofErr w:type="spellStart"/>
      <w:r w:rsidRPr="003D0D74">
        <w:rPr>
          <w:sz w:val="16"/>
          <w:szCs w:val="16"/>
          <w:lang w:val="es-ES"/>
        </w:rPr>
        <w:t>Biscet</w:t>
      </w:r>
      <w:proofErr w:type="spellEnd"/>
      <w:r w:rsidRPr="003D0D74">
        <w:rPr>
          <w:sz w:val="16"/>
          <w:szCs w:val="16"/>
          <w:lang w:val="es-ES"/>
        </w:rPr>
        <w:t xml:space="preserve"> y otros</w:t>
      </w:r>
      <w:r>
        <w:rPr>
          <w:sz w:val="16"/>
          <w:szCs w:val="16"/>
          <w:lang w:val="es-ES"/>
        </w:rPr>
        <w:t xml:space="preserve">. </w:t>
      </w:r>
      <w:r w:rsidRPr="00CC75F5">
        <w:rPr>
          <w:sz w:val="16"/>
          <w:szCs w:val="16"/>
          <w:lang w:val="es-ES"/>
        </w:rPr>
        <w:t>Cuba</w:t>
      </w:r>
      <w:r>
        <w:rPr>
          <w:sz w:val="16"/>
          <w:szCs w:val="16"/>
          <w:lang w:val="es-ES"/>
        </w:rPr>
        <w:t>.</w:t>
      </w:r>
      <w:r w:rsidRPr="00CC75F5">
        <w:rPr>
          <w:sz w:val="16"/>
          <w:szCs w:val="16"/>
          <w:lang w:val="es-ES"/>
        </w:rPr>
        <w:t xml:space="preserve"> 21 de octubre de 2006, </w:t>
      </w:r>
      <w:proofErr w:type="spellStart"/>
      <w:r w:rsidRPr="00CC75F5">
        <w:rPr>
          <w:sz w:val="16"/>
          <w:szCs w:val="16"/>
          <w:lang w:val="es-ES"/>
        </w:rPr>
        <w:t>párrs</w:t>
      </w:r>
      <w:proofErr w:type="spellEnd"/>
      <w:r w:rsidRPr="00CC75F5">
        <w:rPr>
          <w:sz w:val="16"/>
          <w:szCs w:val="16"/>
          <w:lang w:val="es-ES"/>
        </w:rPr>
        <w:t xml:space="preserve">. 228-231; CIDH, Informe No. 40/04, Caso 12.053, </w:t>
      </w:r>
      <w:r w:rsidRPr="003D0D74">
        <w:rPr>
          <w:sz w:val="16"/>
          <w:szCs w:val="16"/>
          <w:lang w:val="es-ES"/>
        </w:rPr>
        <w:t>Comunidades indígenas mayas del distrito de Toledo</w:t>
      </w:r>
      <w:r>
        <w:rPr>
          <w:sz w:val="16"/>
          <w:szCs w:val="16"/>
          <w:lang w:val="es-ES"/>
        </w:rPr>
        <w:t xml:space="preserve">. </w:t>
      </w:r>
      <w:r w:rsidRPr="00CC75F5">
        <w:rPr>
          <w:sz w:val="16"/>
          <w:szCs w:val="16"/>
          <w:lang w:val="es-ES"/>
        </w:rPr>
        <w:t>Belice</w:t>
      </w:r>
      <w:r>
        <w:rPr>
          <w:sz w:val="16"/>
          <w:szCs w:val="16"/>
          <w:lang w:val="es-ES"/>
        </w:rPr>
        <w:t>.</w:t>
      </w:r>
      <w:r w:rsidRPr="00CC75F5">
        <w:rPr>
          <w:sz w:val="16"/>
          <w:szCs w:val="16"/>
          <w:lang w:val="es-ES"/>
        </w:rPr>
        <w:t xml:space="preserve"> 12</w:t>
      </w:r>
      <w:r w:rsidRPr="00116A43">
        <w:rPr>
          <w:sz w:val="16"/>
          <w:szCs w:val="16"/>
          <w:lang w:val="es-ES"/>
        </w:rPr>
        <w:t xml:space="preserve"> de octubre de 2004, </w:t>
      </w:r>
      <w:proofErr w:type="spellStart"/>
      <w:r w:rsidRPr="00116A43">
        <w:rPr>
          <w:sz w:val="16"/>
          <w:szCs w:val="16"/>
          <w:lang w:val="es-ES"/>
        </w:rPr>
        <w:t>párrs</w:t>
      </w:r>
      <w:proofErr w:type="spellEnd"/>
      <w:r w:rsidRPr="00116A43">
        <w:rPr>
          <w:sz w:val="16"/>
          <w:szCs w:val="16"/>
          <w:lang w:val="es-ES"/>
        </w:rPr>
        <w:t>. 162, 166.</w:t>
      </w:r>
    </w:p>
  </w:footnote>
  <w:footnote w:id="320">
    <w:p w14:paraId="554738E8" w14:textId="7234DAC9" w:rsidR="00F640DA" w:rsidRPr="00116A43" w:rsidRDefault="00F640DA">
      <w:pPr>
        <w:pStyle w:val="Footnotes"/>
        <w:spacing w:after="0"/>
        <w:ind w:firstLine="0"/>
        <w:rPr>
          <w:sz w:val="16"/>
          <w:szCs w:val="16"/>
          <w:lang w:val="es-419"/>
        </w:rPr>
      </w:pPr>
      <w:r w:rsidRPr="00116A43">
        <w:rPr>
          <w:sz w:val="16"/>
          <w:szCs w:val="16"/>
          <w:vertAlign w:val="superscript"/>
          <w:lang w:val="es-ES"/>
        </w:rPr>
        <w:footnoteRef/>
      </w:r>
      <w:r w:rsidRPr="00116A43">
        <w:rPr>
          <w:sz w:val="16"/>
          <w:szCs w:val="16"/>
          <w:lang w:val="es-ES"/>
        </w:rPr>
        <w:t xml:space="preserve"> CIDH, Informe No. 51/01, Caso 9903, </w:t>
      </w:r>
      <w:r w:rsidRPr="003D0D74">
        <w:rPr>
          <w:sz w:val="16"/>
          <w:szCs w:val="16"/>
          <w:lang w:val="es-ES"/>
        </w:rPr>
        <w:t>Rafael Ferrer-</w:t>
      </w:r>
      <w:proofErr w:type="spellStart"/>
      <w:r w:rsidRPr="003D0D74">
        <w:rPr>
          <w:sz w:val="16"/>
          <w:szCs w:val="16"/>
          <w:lang w:val="es-ES"/>
        </w:rPr>
        <w:t>Mazorra</w:t>
      </w:r>
      <w:proofErr w:type="spellEnd"/>
      <w:r w:rsidRPr="003D0D74">
        <w:rPr>
          <w:sz w:val="16"/>
          <w:szCs w:val="16"/>
          <w:lang w:val="es-ES"/>
        </w:rPr>
        <w:t xml:space="preserve"> y otros</w:t>
      </w:r>
      <w:r>
        <w:rPr>
          <w:sz w:val="16"/>
          <w:szCs w:val="16"/>
          <w:lang w:val="es-ES"/>
        </w:rPr>
        <w:t>.</w:t>
      </w:r>
      <w:r w:rsidRPr="00116A43">
        <w:rPr>
          <w:sz w:val="16"/>
          <w:szCs w:val="16"/>
          <w:lang w:val="es-ES"/>
        </w:rPr>
        <w:t xml:space="preserve"> Estados Unidos 4 de abril de 2001, párr. 238 (citando para respaldar su posición la Corte Europea de Derechos Humanos, </w:t>
      </w:r>
      <w:r w:rsidRPr="00116A43">
        <w:rPr>
          <w:i/>
          <w:iCs/>
          <w:color w:val="000000"/>
          <w:sz w:val="16"/>
          <w:szCs w:val="16"/>
          <w:lang w:val="es-ES"/>
        </w:rPr>
        <w:t>Caso de la Lingüística Belga</w:t>
      </w:r>
      <w:r w:rsidRPr="00116A43">
        <w:rPr>
          <w:color w:val="000000"/>
          <w:sz w:val="16"/>
          <w:szCs w:val="16"/>
          <w:lang w:val="es-ES"/>
        </w:rPr>
        <w:t xml:space="preserve">, 23 de julio de 1968, Serie A No. 6, 1 E.H.R.R. 252, pág. 35, párr. </w:t>
      </w:r>
      <w:r w:rsidRPr="00116A43">
        <w:rPr>
          <w:color w:val="000000"/>
          <w:sz w:val="16"/>
          <w:szCs w:val="16"/>
          <w:lang w:val="es-419"/>
        </w:rPr>
        <w:t xml:space="preserve">10). </w:t>
      </w:r>
    </w:p>
  </w:footnote>
  <w:footnote w:id="321">
    <w:p w14:paraId="285EF7D8" w14:textId="77777777" w:rsidR="00F640DA" w:rsidRPr="00116A43" w:rsidRDefault="00F640DA">
      <w:pPr>
        <w:pStyle w:val="Footnotes"/>
        <w:spacing w:after="0"/>
        <w:ind w:firstLine="0"/>
        <w:rPr>
          <w:sz w:val="16"/>
          <w:szCs w:val="16"/>
          <w:lang w:val="es-PE"/>
        </w:rPr>
      </w:pPr>
      <w:r w:rsidRPr="00116A43">
        <w:rPr>
          <w:sz w:val="16"/>
          <w:szCs w:val="16"/>
          <w:vertAlign w:val="superscript"/>
          <w:lang w:val="es-ES"/>
        </w:rPr>
        <w:footnoteRef/>
      </w:r>
      <w:r w:rsidRPr="00116A43">
        <w:rPr>
          <w:sz w:val="16"/>
          <w:szCs w:val="16"/>
          <w:lang w:val="es-ES"/>
        </w:rPr>
        <w:t xml:space="preserve"> Comité de Derechos Humanos de las Naciones Unidas, Compilación de </w:t>
      </w:r>
      <w:proofErr w:type="gramStart"/>
      <w:r w:rsidRPr="00116A43">
        <w:rPr>
          <w:sz w:val="16"/>
          <w:szCs w:val="16"/>
          <w:lang w:val="es-ES"/>
        </w:rPr>
        <w:t>observaciones generales y recomendaciones generales</w:t>
      </w:r>
      <w:proofErr w:type="gramEnd"/>
      <w:r w:rsidRPr="00116A43">
        <w:rPr>
          <w:sz w:val="16"/>
          <w:szCs w:val="16"/>
          <w:lang w:val="es-ES"/>
        </w:rPr>
        <w:t xml:space="preserve"> adoptadas por los órganos de tratados de derechos humanos, HRI/GEN/1/Rev.1 (1994), Observación General 18, No discriminación, pág. 26. </w:t>
      </w:r>
    </w:p>
  </w:footnote>
  <w:footnote w:id="322">
    <w:p w14:paraId="5E56F1F5" w14:textId="67DAC393" w:rsidR="00F640DA" w:rsidRPr="00116A43" w:rsidRDefault="00F640DA">
      <w:pPr>
        <w:pStyle w:val="FootnoteText"/>
        <w:tabs>
          <w:tab w:val="left" w:pos="986"/>
        </w:tabs>
        <w:jc w:val="both"/>
        <w:rPr>
          <w:rFonts w:ascii="Cambria" w:hAnsi="Cambria"/>
          <w:sz w:val="16"/>
          <w:szCs w:val="16"/>
          <w:lang w:val="es-PE"/>
        </w:rPr>
      </w:pPr>
      <w:r w:rsidRPr="00116A43">
        <w:rPr>
          <w:rStyle w:val="FootnoteReference"/>
          <w:rFonts w:ascii="Cambria" w:hAnsi="Cambria"/>
          <w:sz w:val="16"/>
          <w:szCs w:val="16"/>
        </w:rPr>
        <w:footnoteRef/>
      </w:r>
      <w:r w:rsidRPr="00116A43">
        <w:rPr>
          <w:rFonts w:ascii="Cambria" w:hAnsi="Cambria"/>
          <w:sz w:val="16"/>
          <w:szCs w:val="16"/>
          <w:lang w:val="es-PE"/>
        </w:rPr>
        <w:t xml:space="preserve"> CIDH. </w:t>
      </w:r>
      <w:r w:rsidRPr="00116A43">
        <w:rPr>
          <w:rFonts w:ascii="Cambria" w:hAnsi="Cambria"/>
          <w:sz w:val="16"/>
          <w:szCs w:val="16"/>
          <w:lang w:val="es-MX"/>
        </w:rPr>
        <w:t>Relatoría Especial para la Libertad de Expresión</w:t>
      </w:r>
      <w:r w:rsidRPr="00116A43">
        <w:rPr>
          <w:rFonts w:ascii="Cambria" w:hAnsi="Cambria"/>
          <w:sz w:val="16"/>
          <w:szCs w:val="16"/>
          <w:lang w:val="es-PE"/>
        </w:rPr>
        <w:t>. Informe Especial sobre la Situación de la libertad de expresión en Cuba</w:t>
      </w:r>
      <w:r>
        <w:rPr>
          <w:rFonts w:ascii="Cambria" w:hAnsi="Cambria"/>
          <w:sz w:val="16"/>
          <w:szCs w:val="16"/>
          <w:lang w:val="es-PE"/>
        </w:rPr>
        <w:t xml:space="preserve">. </w:t>
      </w:r>
      <w:r w:rsidRPr="00116A43">
        <w:rPr>
          <w:rFonts w:ascii="Cambria" w:hAnsi="Cambria"/>
          <w:sz w:val="16"/>
          <w:szCs w:val="16"/>
          <w:lang w:val="es-MX"/>
        </w:rPr>
        <w:t>31 de diciembre de 2018,</w:t>
      </w:r>
      <w:r>
        <w:rPr>
          <w:rFonts w:ascii="Cambria" w:hAnsi="Cambria"/>
          <w:sz w:val="16"/>
          <w:szCs w:val="16"/>
          <w:lang w:val="es-MX"/>
        </w:rPr>
        <w:t xml:space="preserve"> </w:t>
      </w:r>
      <w:r w:rsidRPr="00543201">
        <w:rPr>
          <w:rFonts w:ascii="Cambria" w:hAnsi="Cambria"/>
          <w:i/>
          <w:sz w:val="16"/>
          <w:szCs w:val="16"/>
          <w:lang w:val="es-MX"/>
        </w:rPr>
        <w:t>supra,</w:t>
      </w:r>
      <w:r w:rsidRPr="00116A43">
        <w:rPr>
          <w:rFonts w:ascii="Cambria" w:hAnsi="Cambria"/>
          <w:sz w:val="16"/>
          <w:szCs w:val="16"/>
          <w:lang w:val="es-MX"/>
        </w:rPr>
        <w:t xml:space="preserve"> párr.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422" w14:textId="77777777" w:rsidR="00F640DA" w:rsidRDefault="00F640DA"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9A5B7EB" w14:textId="77777777" w:rsidR="00F640DA" w:rsidRDefault="00F6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CA85" w14:textId="77777777" w:rsidR="00F640DA" w:rsidRDefault="00F640DA" w:rsidP="00A50FCF">
    <w:pPr>
      <w:pStyle w:val="Header"/>
      <w:tabs>
        <w:tab w:val="clear" w:pos="4320"/>
        <w:tab w:val="clear" w:pos="8640"/>
      </w:tabs>
      <w:jc w:val="center"/>
      <w:rPr>
        <w:sz w:val="22"/>
        <w:szCs w:val="22"/>
      </w:rPr>
    </w:pPr>
    <w:r>
      <w:rPr>
        <w:noProof/>
        <w:sz w:val="22"/>
        <w:szCs w:val="22"/>
        <w:lang w:val="en-US"/>
      </w:rPr>
      <w:drawing>
        <wp:inline distT="0" distB="0" distL="0" distR="0" wp14:anchorId="5D39C675" wp14:editId="0C7F6B6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7B520B6" w14:textId="77777777" w:rsidR="00F640DA" w:rsidRPr="00EC7D62" w:rsidRDefault="00460990" w:rsidP="00A50FCF">
    <w:pPr>
      <w:pStyle w:val="Header"/>
      <w:tabs>
        <w:tab w:val="clear" w:pos="4320"/>
        <w:tab w:val="clear" w:pos="8640"/>
      </w:tabs>
      <w:jc w:val="center"/>
      <w:rPr>
        <w:sz w:val="22"/>
        <w:szCs w:val="22"/>
      </w:rPr>
    </w:pPr>
    <w:r>
      <w:rPr>
        <w:noProof/>
        <w:sz w:val="22"/>
        <w:szCs w:val="22"/>
        <w:bdr w:val="nil"/>
      </w:rPr>
      <w:pict w14:anchorId="20AF142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39A5F1C"/>
    <w:multiLevelType w:val="hybridMultilevel"/>
    <w:tmpl w:val="1F48536C"/>
    <w:styleLink w:val="ImportedStyle2"/>
    <w:lvl w:ilvl="0" w:tplc="C3341E82">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96CB6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FD694F4">
      <w:start w:val="1"/>
      <w:numFmt w:val="lowerRoman"/>
      <w:lvlText w:val="%3."/>
      <w:lvlJc w:val="left"/>
      <w:pPr>
        <w:tabs>
          <w:tab w:val="left" w:pos="1440"/>
        </w:tabs>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8C0286C">
      <w:start w:val="1"/>
      <w:numFmt w:val="decimal"/>
      <w:lvlText w:val="%4."/>
      <w:lvlJc w:val="left"/>
      <w:pPr>
        <w:tabs>
          <w:tab w:val="left" w:pos="144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600D07E">
      <w:start w:val="1"/>
      <w:numFmt w:val="lowerLetter"/>
      <w:lvlText w:val="%5."/>
      <w:lvlJc w:val="left"/>
      <w:pPr>
        <w:tabs>
          <w:tab w:val="left" w:pos="144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1748E7A">
      <w:start w:val="1"/>
      <w:numFmt w:val="lowerRoman"/>
      <w:lvlText w:val="%6."/>
      <w:lvlJc w:val="left"/>
      <w:pPr>
        <w:tabs>
          <w:tab w:val="left" w:pos="1440"/>
        </w:tabs>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6D3C0194">
      <w:start w:val="1"/>
      <w:numFmt w:val="decimal"/>
      <w:lvlText w:val="%7."/>
      <w:lvlJc w:val="left"/>
      <w:pPr>
        <w:tabs>
          <w:tab w:val="left" w:pos="144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8E0A412">
      <w:start w:val="1"/>
      <w:numFmt w:val="lowerLetter"/>
      <w:lvlText w:val="%8."/>
      <w:lvlJc w:val="left"/>
      <w:pPr>
        <w:tabs>
          <w:tab w:val="left" w:pos="144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24658E2">
      <w:start w:val="1"/>
      <w:numFmt w:val="lowerRoman"/>
      <w:lvlText w:val="%9."/>
      <w:lvlJc w:val="left"/>
      <w:pPr>
        <w:tabs>
          <w:tab w:val="left" w:pos="1440"/>
        </w:tabs>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C57C3"/>
    <w:multiLevelType w:val="hybridMultilevel"/>
    <w:tmpl w:val="CED66B4E"/>
    <w:lvl w:ilvl="0" w:tplc="08B202DE">
      <w:start w:val="1"/>
      <w:numFmt w:val="decimal"/>
      <w:lvlText w:val="%1."/>
      <w:lvlJc w:val="left"/>
      <w:pPr>
        <w:tabs>
          <w:tab w:val="num" w:pos="720"/>
        </w:tabs>
        <w:ind w:left="0" w:firstLine="720"/>
      </w:pPr>
      <w:rPr>
        <w:rFonts w:ascii="Cambria" w:hAnsi="Cambria" w:hint="default"/>
        <w:b w:val="0"/>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5BE7CB8"/>
    <w:multiLevelType w:val="hybridMultilevel"/>
    <w:tmpl w:val="79AAF4B0"/>
    <w:lvl w:ilvl="0" w:tplc="AD32F12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B35892"/>
    <w:multiLevelType w:val="hybridMultilevel"/>
    <w:tmpl w:val="FBF8E4EE"/>
    <w:lvl w:ilvl="0" w:tplc="FD08D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195813"/>
    <w:multiLevelType w:val="multilevel"/>
    <w:tmpl w:val="224E5352"/>
    <w:lvl w:ilvl="0">
      <w:start w:val="1"/>
      <w:numFmt w:val="decimal"/>
      <w:lvlText w:val="%1."/>
      <w:lvlJc w:val="left"/>
      <w:pPr>
        <w:ind w:left="1170" w:hanging="360"/>
      </w:pPr>
      <w:rPr>
        <w:rFonts w:hint="default"/>
        <w:b w:val="0"/>
        <w:sz w:val="20"/>
        <w:szCs w:val="20"/>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45" w15:restartNumberingAfterBreak="0">
    <w:nsid w:val="58AB599B"/>
    <w:multiLevelType w:val="hybridMultilevel"/>
    <w:tmpl w:val="5AD6254A"/>
    <w:lvl w:ilvl="0" w:tplc="0AF22EEE">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multilevel"/>
    <w:tmpl w:val="81B8D7CE"/>
    <w:lvl w:ilvl="0">
      <w:start w:val="1"/>
      <w:numFmt w:val="upperRoman"/>
      <w:pStyle w:val="Heading1"/>
      <w:lvlText w:val="%1."/>
      <w:lvlJc w:val="left"/>
      <w:pPr>
        <w:ind w:left="990" w:hanging="360"/>
      </w:pPr>
      <w:rPr>
        <w:rFonts w:hint="default"/>
      </w:rPr>
    </w:lvl>
    <w:lvl w:ilvl="1">
      <w:start w:val="1"/>
      <w:numFmt w:val="decimal"/>
      <w:isLgl/>
      <w:lvlText w:val="%1.%2"/>
      <w:lvlJc w:val="left"/>
      <w:pPr>
        <w:ind w:left="720" w:hanging="360"/>
      </w:pPr>
      <w:rPr>
        <w:rFonts w:cs="Cambria" w:hint="default"/>
      </w:rPr>
    </w:lvl>
    <w:lvl w:ilvl="2">
      <w:start w:val="1"/>
      <w:numFmt w:val="decimal"/>
      <w:isLgl/>
      <w:lvlText w:val="%1.%2.%3"/>
      <w:lvlJc w:val="left"/>
      <w:pPr>
        <w:ind w:left="1080" w:hanging="720"/>
      </w:pPr>
      <w:rPr>
        <w:rFonts w:cs="Cambria" w:hint="default"/>
      </w:rPr>
    </w:lvl>
    <w:lvl w:ilvl="3">
      <w:start w:val="1"/>
      <w:numFmt w:val="decimal"/>
      <w:isLgl/>
      <w:lvlText w:val="%1.%2.%3.%4"/>
      <w:lvlJc w:val="left"/>
      <w:pPr>
        <w:ind w:left="1080" w:hanging="720"/>
      </w:pPr>
      <w:rPr>
        <w:rFonts w:cs="Cambria" w:hint="default"/>
      </w:rPr>
    </w:lvl>
    <w:lvl w:ilvl="4">
      <w:start w:val="1"/>
      <w:numFmt w:val="decimal"/>
      <w:isLgl/>
      <w:lvlText w:val="%1.%2.%3.%4.%5"/>
      <w:lvlJc w:val="left"/>
      <w:pPr>
        <w:ind w:left="1440" w:hanging="1080"/>
      </w:pPr>
      <w:rPr>
        <w:rFonts w:cs="Cambria" w:hint="default"/>
      </w:rPr>
    </w:lvl>
    <w:lvl w:ilvl="5">
      <w:start w:val="1"/>
      <w:numFmt w:val="decimal"/>
      <w:isLgl/>
      <w:lvlText w:val="%1.%2.%3.%4.%5.%6"/>
      <w:lvlJc w:val="left"/>
      <w:pPr>
        <w:ind w:left="1440" w:hanging="1080"/>
      </w:pPr>
      <w:rPr>
        <w:rFonts w:cs="Cambria" w:hint="default"/>
      </w:rPr>
    </w:lvl>
    <w:lvl w:ilvl="6">
      <w:start w:val="1"/>
      <w:numFmt w:val="decimal"/>
      <w:isLgl/>
      <w:lvlText w:val="%1.%2.%3.%4.%5.%6.%7"/>
      <w:lvlJc w:val="left"/>
      <w:pPr>
        <w:ind w:left="1800" w:hanging="1440"/>
      </w:pPr>
      <w:rPr>
        <w:rFonts w:cs="Cambria" w:hint="default"/>
      </w:rPr>
    </w:lvl>
    <w:lvl w:ilvl="7">
      <w:start w:val="1"/>
      <w:numFmt w:val="decimal"/>
      <w:isLgl/>
      <w:lvlText w:val="%1.%2.%3.%4.%5.%6.%7.%8"/>
      <w:lvlJc w:val="left"/>
      <w:pPr>
        <w:ind w:left="1800" w:hanging="1440"/>
      </w:pPr>
      <w:rPr>
        <w:rFonts w:cs="Cambria" w:hint="default"/>
      </w:rPr>
    </w:lvl>
    <w:lvl w:ilvl="8">
      <w:start w:val="1"/>
      <w:numFmt w:val="decimal"/>
      <w:isLgl/>
      <w:lvlText w:val="%1.%2.%3.%4.%5.%6.%7.%8.%9"/>
      <w:lvlJc w:val="left"/>
      <w:pPr>
        <w:ind w:left="2160" w:hanging="1800"/>
      </w:pPr>
      <w:rPr>
        <w:rFonts w:cs="Cambria" w:hint="default"/>
      </w:r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81D6B"/>
    <w:multiLevelType w:val="hybridMultilevel"/>
    <w:tmpl w:val="F5FE9F7A"/>
    <w:lvl w:ilvl="0" w:tplc="592C5652">
      <w:start w:val="1"/>
      <w:numFmt w:val="decimal"/>
      <w:lvlText w:val="%1."/>
      <w:lvlJc w:val="left"/>
      <w:pPr>
        <w:ind w:left="720" w:hanging="360"/>
      </w:pPr>
      <w:rPr>
        <w:rFonts w:eastAsia="Cambria" w:cs="Tahom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5"/>
  </w:num>
  <w:num w:numId="4">
    <w:abstractNumId w:val="22"/>
  </w:num>
  <w:num w:numId="5">
    <w:abstractNumId w:val="49"/>
  </w:num>
  <w:num w:numId="6">
    <w:abstractNumId w:val="28"/>
  </w:num>
  <w:num w:numId="7">
    <w:abstractNumId w:val="7"/>
  </w:num>
  <w:num w:numId="8">
    <w:abstractNumId w:val="18"/>
  </w:num>
  <w:num w:numId="9">
    <w:abstractNumId w:val="43"/>
  </w:num>
  <w:num w:numId="10">
    <w:abstractNumId w:val="2"/>
  </w:num>
  <w:num w:numId="11">
    <w:abstractNumId w:val="38"/>
  </w:num>
  <w:num w:numId="12">
    <w:abstractNumId w:val="39"/>
  </w:num>
  <w:num w:numId="13">
    <w:abstractNumId w:val="46"/>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1"/>
  </w:num>
  <w:num w:numId="52">
    <w:abstractNumId w:val="42"/>
  </w:num>
  <w:num w:numId="53">
    <w:abstractNumId w:val="52"/>
  </w:num>
  <w:num w:numId="54">
    <w:abstractNumId w:val="47"/>
  </w:num>
  <w:num w:numId="55">
    <w:abstractNumId w:val="17"/>
  </w:num>
  <w:num w:numId="56">
    <w:abstractNumId w:val="44"/>
  </w:num>
  <w:num w:numId="57">
    <w:abstractNumId w:val="45"/>
  </w:num>
  <w:num w:numId="58">
    <w:abstractNumId w:val="35"/>
  </w:num>
  <w:num w:numId="59">
    <w:abstractNumId w:val="1"/>
  </w:num>
  <w:num w:numId="60">
    <w:abstractNumId w:val="60"/>
  </w:num>
  <w:num w:numId="61">
    <w:abstractNumId w:val="45"/>
    <w:lvlOverride w:ilvl="0">
      <w:startOverride w:val="1"/>
    </w:lvlOverride>
  </w:num>
  <w:num w:numId="62">
    <w:abstractNumId w:val="26"/>
  </w:num>
  <w:num w:numId="63">
    <w:abstractNumId w:val="26"/>
    <w:lvlOverride w:ilvl="0">
      <w:startOverride w:val="1"/>
    </w:lvlOverride>
  </w:num>
  <w:num w:numId="64">
    <w:abstractNumId w:val="26"/>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AF5"/>
    <w:rsid w:val="00000CDA"/>
    <w:rsid w:val="00001596"/>
    <w:rsid w:val="00002435"/>
    <w:rsid w:val="00002CDF"/>
    <w:rsid w:val="00002FD2"/>
    <w:rsid w:val="00003916"/>
    <w:rsid w:val="00004343"/>
    <w:rsid w:val="000047CD"/>
    <w:rsid w:val="00005059"/>
    <w:rsid w:val="00005545"/>
    <w:rsid w:val="00006E1F"/>
    <w:rsid w:val="000070D7"/>
    <w:rsid w:val="0000774E"/>
    <w:rsid w:val="00011905"/>
    <w:rsid w:val="00011D58"/>
    <w:rsid w:val="0001286D"/>
    <w:rsid w:val="000128F1"/>
    <w:rsid w:val="00013FAE"/>
    <w:rsid w:val="000140E8"/>
    <w:rsid w:val="00014BE7"/>
    <w:rsid w:val="00015412"/>
    <w:rsid w:val="00015BD8"/>
    <w:rsid w:val="000166A1"/>
    <w:rsid w:val="00016720"/>
    <w:rsid w:val="00017227"/>
    <w:rsid w:val="0001788C"/>
    <w:rsid w:val="00017DF0"/>
    <w:rsid w:val="0002045D"/>
    <w:rsid w:val="000208E9"/>
    <w:rsid w:val="000215AD"/>
    <w:rsid w:val="00021D69"/>
    <w:rsid w:val="00021EEF"/>
    <w:rsid w:val="00022BE2"/>
    <w:rsid w:val="00022E75"/>
    <w:rsid w:val="00022F3E"/>
    <w:rsid w:val="00023002"/>
    <w:rsid w:val="000233D2"/>
    <w:rsid w:val="00024654"/>
    <w:rsid w:val="000248F9"/>
    <w:rsid w:val="000249C2"/>
    <w:rsid w:val="00024CF7"/>
    <w:rsid w:val="00024E16"/>
    <w:rsid w:val="00025DFF"/>
    <w:rsid w:val="00026324"/>
    <w:rsid w:val="000278BD"/>
    <w:rsid w:val="0003174D"/>
    <w:rsid w:val="00031E08"/>
    <w:rsid w:val="00031FE6"/>
    <w:rsid w:val="00033D3A"/>
    <w:rsid w:val="000343E2"/>
    <w:rsid w:val="000343E8"/>
    <w:rsid w:val="0003475A"/>
    <w:rsid w:val="00034923"/>
    <w:rsid w:val="0003493F"/>
    <w:rsid w:val="0003496A"/>
    <w:rsid w:val="000357D6"/>
    <w:rsid w:val="000369F9"/>
    <w:rsid w:val="00036B50"/>
    <w:rsid w:val="00036CAA"/>
    <w:rsid w:val="00036F88"/>
    <w:rsid w:val="00040179"/>
    <w:rsid w:val="00040C3A"/>
    <w:rsid w:val="00040C50"/>
    <w:rsid w:val="00041311"/>
    <w:rsid w:val="00041B6B"/>
    <w:rsid w:val="00041EEF"/>
    <w:rsid w:val="00042291"/>
    <w:rsid w:val="000434CF"/>
    <w:rsid w:val="000438E9"/>
    <w:rsid w:val="00045AAA"/>
    <w:rsid w:val="000470D2"/>
    <w:rsid w:val="000512A3"/>
    <w:rsid w:val="00051488"/>
    <w:rsid w:val="0005199E"/>
    <w:rsid w:val="0005255B"/>
    <w:rsid w:val="00052BE8"/>
    <w:rsid w:val="000534E6"/>
    <w:rsid w:val="00053947"/>
    <w:rsid w:val="00055202"/>
    <w:rsid w:val="00055BF3"/>
    <w:rsid w:val="0005628A"/>
    <w:rsid w:val="0005663F"/>
    <w:rsid w:val="00056720"/>
    <w:rsid w:val="00056B8A"/>
    <w:rsid w:val="00057DD7"/>
    <w:rsid w:val="00060331"/>
    <w:rsid w:val="00060806"/>
    <w:rsid w:val="00060BBA"/>
    <w:rsid w:val="00060EB9"/>
    <w:rsid w:val="00061170"/>
    <w:rsid w:val="0006300D"/>
    <w:rsid w:val="00063CA8"/>
    <w:rsid w:val="000644E3"/>
    <w:rsid w:val="000659C8"/>
    <w:rsid w:val="000660FF"/>
    <w:rsid w:val="00066323"/>
    <w:rsid w:val="00067146"/>
    <w:rsid w:val="00067587"/>
    <w:rsid w:val="000716C5"/>
    <w:rsid w:val="00071FF6"/>
    <w:rsid w:val="00072499"/>
    <w:rsid w:val="00072D55"/>
    <w:rsid w:val="00072D8B"/>
    <w:rsid w:val="00073360"/>
    <w:rsid w:val="00073D64"/>
    <w:rsid w:val="0007537A"/>
    <w:rsid w:val="00075E23"/>
    <w:rsid w:val="0007660C"/>
    <w:rsid w:val="0007748F"/>
    <w:rsid w:val="00077559"/>
    <w:rsid w:val="00080139"/>
    <w:rsid w:val="00080804"/>
    <w:rsid w:val="00080CF9"/>
    <w:rsid w:val="00081ED4"/>
    <w:rsid w:val="0008236B"/>
    <w:rsid w:val="00082AEC"/>
    <w:rsid w:val="00083A15"/>
    <w:rsid w:val="00083A27"/>
    <w:rsid w:val="00083B44"/>
    <w:rsid w:val="00083F14"/>
    <w:rsid w:val="000843AA"/>
    <w:rsid w:val="0008551D"/>
    <w:rsid w:val="00085DC0"/>
    <w:rsid w:val="00086755"/>
    <w:rsid w:val="00086A2A"/>
    <w:rsid w:val="00090598"/>
    <w:rsid w:val="00090660"/>
    <w:rsid w:val="0009131D"/>
    <w:rsid w:val="00091922"/>
    <w:rsid w:val="0009222E"/>
    <w:rsid w:val="000927F8"/>
    <w:rsid w:val="00092BD8"/>
    <w:rsid w:val="000933C9"/>
    <w:rsid w:val="0009344A"/>
    <w:rsid w:val="000937DE"/>
    <w:rsid w:val="000953BE"/>
    <w:rsid w:val="000A010E"/>
    <w:rsid w:val="000A0AA1"/>
    <w:rsid w:val="000A15AF"/>
    <w:rsid w:val="000A19AB"/>
    <w:rsid w:val="000A228B"/>
    <w:rsid w:val="000A23A1"/>
    <w:rsid w:val="000A392E"/>
    <w:rsid w:val="000A3FC3"/>
    <w:rsid w:val="000A575F"/>
    <w:rsid w:val="000B0307"/>
    <w:rsid w:val="000B03D5"/>
    <w:rsid w:val="000B13D6"/>
    <w:rsid w:val="000B1436"/>
    <w:rsid w:val="000B153D"/>
    <w:rsid w:val="000B2E59"/>
    <w:rsid w:val="000B36B5"/>
    <w:rsid w:val="000B37DD"/>
    <w:rsid w:val="000B3CA2"/>
    <w:rsid w:val="000B458E"/>
    <w:rsid w:val="000B467E"/>
    <w:rsid w:val="000B4FEA"/>
    <w:rsid w:val="000B5E1C"/>
    <w:rsid w:val="000B69B9"/>
    <w:rsid w:val="000B78C9"/>
    <w:rsid w:val="000C0D5A"/>
    <w:rsid w:val="000C1509"/>
    <w:rsid w:val="000C163B"/>
    <w:rsid w:val="000C19EB"/>
    <w:rsid w:val="000C1A8D"/>
    <w:rsid w:val="000C1C5D"/>
    <w:rsid w:val="000C2806"/>
    <w:rsid w:val="000C28BB"/>
    <w:rsid w:val="000C2F73"/>
    <w:rsid w:val="000C4257"/>
    <w:rsid w:val="000C4CC9"/>
    <w:rsid w:val="000C622F"/>
    <w:rsid w:val="000C676E"/>
    <w:rsid w:val="000C7692"/>
    <w:rsid w:val="000D00EE"/>
    <w:rsid w:val="000D07E5"/>
    <w:rsid w:val="000D10DB"/>
    <w:rsid w:val="000D183E"/>
    <w:rsid w:val="000D1B09"/>
    <w:rsid w:val="000D26CB"/>
    <w:rsid w:val="000D28E1"/>
    <w:rsid w:val="000D341D"/>
    <w:rsid w:val="000D4E41"/>
    <w:rsid w:val="000D5B44"/>
    <w:rsid w:val="000D5F63"/>
    <w:rsid w:val="000D6A13"/>
    <w:rsid w:val="000D6D58"/>
    <w:rsid w:val="000D7E9C"/>
    <w:rsid w:val="000E0F91"/>
    <w:rsid w:val="000E2340"/>
    <w:rsid w:val="000E34A4"/>
    <w:rsid w:val="000E34F9"/>
    <w:rsid w:val="000E35A0"/>
    <w:rsid w:val="000E3BC7"/>
    <w:rsid w:val="000E3EBC"/>
    <w:rsid w:val="000E50DB"/>
    <w:rsid w:val="000E5119"/>
    <w:rsid w:val="000E5466"/>
    <w:rsid w:val="000E5EB5"/>
    <w:rsid w:val="000E7A7F"/>
    <w:rsid w:val="000F1C8C"/>
    <w:rsid w:val="000F1CC3"/>
    <w:rsid w:val="000F35ED"/>
    <w:rsid w:val="000F4BFA"/>
    <w:rsid w:val="000F4E32"/>
    <w:rsid w:val="000F5AFC"/>
    <w:rsid w:val="000F691D"/>
    <w:rsid w:val="000F72A4"/>
    <w:rsid w:val="000F736F"/>
    <w:rsid w:val="000F760C"/>
    <w:rsid w:val="0010041C"/>
    <w:rsid w:val="0010099F"/>
    <w:rsid w:val="00102690"/>
    <w:rsid w:val="00104A9F"/>
    <w:rsid w:val="00104E09"/>
    <w:rsid w:val="001068AA"/>
    <w:rsid w:val="00107131"/>
    <w:rsid w:val="0010729D"/>
    <w:rsid w:val="0010736F"/>
    <w:rsid w:val="00110E47"/>
    <w:rsid w:val="00111F53"/>
    <w:rsid w:val="0011208E"/>
    <w:rsid w:val="001129F3"/>
    <w:rsid w:val="00112D7A"/>
    <w:rsid w:val="0011310D"/>
    <w:rsid w:val="00113DCF"/>
    <w:rsid w:val="00113F44"/>
    <w:rsid w:val="00113F73"/>
    <w:rsid w:val="00114292"/>
    <w:rsid w:val="00114448"/>
    <w:rsid w:val="00114B5A"/>
    <w:rsid w:val="001154D3"/>
    <w:rsid w:val="00115B08"/>
    <w:rsid w:val="00115F27"/>
    <w:rsid w:val="001167EB"/>
    <w:rsid w:val="00116A43"/>
    <w:rsid w:val="00116D06"/>
    <w:rsid w:val="00116F9B"/>
    <w:rsid w:val="00117A30"/>
    <w:rsid w:val="00120867"/>
    <w:rsid w:val="00121332"/>
    <w:rsid w:val="00121CC2"/>
    <w:rsid w:val="00122DB7"/>
    <w:rsid w:val="001238A3"/>
    <w:rsid w:val="00123FFB"/>
    <w:rsid w:val="001246B8"/>
    <w:rsid w:val="001252CD"/>
    <w:rsid w:val="001277C1"/>
    <w:rsid w:val="00130364"/>
    <w:rsid w:val="0013172B"/>
    <w:rsid w:val="00133EE5"/>
    <w:rsid w:val="00134977"/>
    <w:rsid w:val="001361EE"/>
    <w:rsid w:val="00136569"/>
    <w:rsid w:val="00136DC3"/>
    <w:rsid w:val="00137DF8"/>
    <w:rsid w:val="001422E1"/>
    <w:rsid w:val="00142940"/>
    <w:rsid w:val="00143409"/>
    <w:rsid w:val="001443C1"/>
    <w:rsid w:val="0014666E"/>
    <w:rsid w:val="00146860"/>
    <w:rsid w:val="00147743"/>
    <w:rsid w:val="00147A72"/>
    <w:rsid w:val="00147F53"/>
    <w:rsid w:val="00147FD7"/>
    <w:rsid w:val="00150088"/>
    <w:rsid w:val="00150218"/>
    <w:rsid w:val="001507F5"/>
    <w:rsid w:val="00150C87"/>
    <w:rsid w:val="00151146"/>
    <w:rsid w:val="001511BA"/>
    <w:rsid w:val="00154D40"/>
    <w:rsid w:val="00155569"/>
    <w:rsid w:val="00155DCF"/>
    <w:rsid w:val="001566B5"/>
    <w:rsid w:val="001615B1"/>
    <w:rsid w:val="00165132"/>
    <w:rsid w:val="00165D10"/>
    <w:rsid w:val="0016693F"/>
    <w:rsid w:val="00167A34"/>
    <w:rsid w:val="00167D7C"/>
    <w:rsid w:val="00167DD8"/>
    <w:rsid w:val="001703DC"/>
    <w:rsid w:val="001730A8"/>
    <w:rsid w:val="00173448"/>
    <w:rsid w:val="001748AD"/>
    <w:rsid w:val="001766B2"/>
    <w:rsid w:val="0018050B"/>
    <w:rsid w:val="00181180"/>
    <w:rsid w:val="00181715"/>
    <w:rsid w:val="001818AC"/>
    <w:rsid w:val="00181D31"/>
    <w:rsid w:val="00181F21"/>
    <w:rsid w:val="00182D70"/>
    <w:rsid w:val="0018435E"/>
    <w:rsid w:val="00184FA3"/>
    <w:rsid w:val="00185A73"/>
    <w:rsid w:val="001862EF"/>
    <w:rsid w:val="00186987"/>
    <w:rsid w:val="00186F73"/>
    <w:rsid w:val="00187B30"/>
    <w:rsid w:val="00190180"/>
    <w:rsid w:val="00191286"/>
    <w:rsid w:val="0019151D"/>
    <w:rsid w:val="00192426"/>
    <w:rsid w:val="00192FB2"/>
    <w:rsid w:val="001930A3"/>
    <w:rsid w:val="00194104"/>
    <w:rsid w:val="00194FDD"/>
    <w:rsid w:val="001958E3"/>
    <w:rsid w:val="00195DDA"/>
    <w:rsid w:val="00196544"/>
    <w:rsid w:val="00197554"/>
    <w:rsid w:val="001A0C47"/>
    <w:rsid w:val="001A1652"/>
    <w:rsid w:val="001A3052"/>
    <w:rsid w:val="001A5797"/>
    <w:rsid w:val="001A701C"/>
    <w:rsid w:val="001A7870"/>
    <w:rsid w:val="001B0AD2"/>
    <w:rsid w:val="001B14E5"/>
    <w:rsid w:val="001B1903"/>
    <w:rsid w:val="001B2586"/>
    <w:rsid w:val="001B2A96"/>
    <w:rsid w:val="001B416D"/>
    <w:rsid w:val="001B5A1D"/>
    <w:rsid w:val="001B5FE5"/>
    <w:rsid w:val="001B62A0"/>
    <w:rsid w:val="001B653A"/>
    <w:rsid w:val="001B76D2"/>
    <w:rsid w:val="001B7CE6"/>
    <w:rsid w:val="001C0D04"/>
    <w:rsid w:val="001C17CA"/>
    <w:rsid w:val="001C1B41"/>
    <w:rsid w:val="001C1E57"/>
    <w:rsid w:val="001C25DC"/>
    <w:rsid w:val="001C3FD2"/>
    <w:rsid w:val="001C445E"/>
    <w:rsid w:val="001C4C3A"/>
    <w:rsid w:val="001C4D3D"/>
    <w:rsid w:val="001C4DBB"/>
    <w:rsid w:val="001C60A3"/>
    <w:rsid w:val="001C63F1"/>
    <w:rsid w:val="001C6937"/>
    <w:rsid w:val="001C7F7F"/>
    <w:rsid w:val="001D06A6"/>
    <w:rsid w:val="001D09F9"/>
    <w:rsid w:val="001D255F"/>
    <w:rsid w:val="001D3048"/>
    <w:rsid w:val="001D40DA"/>
    <w:rsid w:val="001D52DA"/>
    <w:rsid w:val="001D5ECE"/>
    <w:rsid w:val="001D64DB"/>
    <w:rsid w:val="001D65EF"/>
    <w:rsid w:val="001D6798"/>
    <w:rsid w:val="001D69B6"/>
    <w:rsid w:val="001E2278"/>
    <w:rsid w:val="001E237E"/>
    <w:rsid w:val="001E2597"/>
    <w:rsid w:val="001E538A"/>
    <w:rsid w:val="001E65E4"/>
    <w:rsid w:val="001F0295"/>
    <w:rsid w:val="001F1580"/>
    <w:rsid w:val="001F1D62"/>
    <w:rsid w:val="001F32F8"/>
    <w:rsid w:val="001F35DB"/>
    <w:rsid w:val="001F3980"/>
    <w:rsid w:val="001F47D6"/>
    <w:rsid w:val="001F597B"/>
    <w:rsid w:val="001F75F9"/>
    <w:rsid w:val="002015AD"/>
    <w:rsid w:val="002018BB"/>
    <w:rsid w:val="0020238C"/>
    <w:rsid w:val="0020382E"/>
    <w:rsid w:val="00203B0F"/>
    <w:rsid w:val="00204217"/>
    <w:rsid w:val="00204ACB"/>
    <w:rsid w:val="00205939"/>
    <w:rsid w:val="00205AA1"/>
    <w:rsid w:val="00210101"/>
    <w:rsid w:val="002101C6"/>
    <w:rsid w:val="002106A1"/>
    <w:rsid w:val="00210E39"/>
    <w:rsid w:val="0021135C"/>
    <w:rsid w:val="00211470"/>
    <w:rsid w:val="00212ABA"/>
    <w:rsid w:val="00212AD7"/>
    <w:rsid w:val="00212DF4"/>
    <w:rsid w:val="00213426"/>
    <w:rsid w:val="00213B82"/>
    <w:rsid w:val="00214149"/>
    <w:rsid w:val="002145AE"/>
    <w:rsid w:val="00214764"/>
    <w:rsid w:val="00214861"/>
    <w:rsid w:val="0021486A"/>
    <w:rsid w:val="00215116"/>
    <w:rsid w:val="00216145"/>
    <w:rsid w:val="00216484"/>
    <w:rsid w:val="002166F3"/>
    <w:rsid w:val="00217902"/>
    <w:rsid w:val="00220ABC"/>
    <w:rsid w:val="00223E1F"/>
    <w:rsid w:val="00223F24"/>
    <w:rsid w:val="002241D0"/>
    <w:rsid w:val="002250A3"/>
    <w:rsid w:val="00225FA5"/>
    <w:rsid w:val="00226389"/>
    <w:rsid w:val="00226409"/>
    <w:rsid w:val="00226539"/>
    <w:rsid w:val="002305CD"/>
    <w:rsid w:val="00230F48"/>
    <w:rsid w:val="00231C9F"/>
    <w:rsid w:val="00231FD6"/>
    <w:rsid w:val="00232A2D"/>
    <w:rsid w:val="002330DE"/>
    <w:rsid w:val="00233159"/>
    <w:rsid w:val="002346C7"/>
    <w:rsid w:val="00235217"/>
    <w:rsid w:val="0023619F"/>
    <w:rsid w:val="002366A1"/>
    <w:rsid w:val="00236F18"/>
    <w:rsid w:val="002410C4"/>
    <w:rsid w:val="002420B8"/>
    <w:rsid w:val="00243C2E"/>
    <w:rsid w:val="00245497"/>
    <w:rsid w:val="00245E7A"/>
    <w:rsid w:val="00246D1F"/>
    <w:rsid w:val="00246EEC"/>
    <w:rsid w:val="00247403"/>
    <w:rsid w:val="00247542"/>
    <w:rsid w:val="00247C4D"/>
    <w:rsid w:val="002513E3"/>
    <w:rsid w:val="0025173B"/>
    <w:rsid w:val="00252CB7"/>
    <w:rsid w:val="00252E96"/>
    <w:rsid w:val="00252F09"/>
    <w:rsid w:val="00254178"/>
    <w:rsid w:val="00254A44"/>
    <w:rsid w:val="00257830"/>
    <w:rsid w:val="00257C4F"/>
    <w:rsid w:val="002608EA"/>
    <w:rsid w:val="00261745"/>
    <w:rsid w:val="00262593"/>
    <w:rsid w:val="002630CB"/>
    <w:rsid w:val="00263C5E"/>
    <w:rsid w:val="0026512B"/>
    <w:rsid w:val="0026525D"/>
    <w:rsid w:val="00265AAA"/>
    <w:rsid w:val="00266215"/>
    <w:rsid w:val="00266702"/>
    <w:rsid w:val="00266B61"/>
    <w:rsid w:val="00266C80"/>
    <w:rsid w:val="0026712A"/>
    <w:rsid w:val="00267AAE"/>
    <w:rsid w:val="00267F1D"/>
    <w:rsid w:val="0027004C"/>
    <w:rsid w:val="002704DB"/>
    <w:rsid w:val="002714AB"/>
    <w:rsid w:val="00272A31"/>
    <w:rsid w:val="0027321E"/>
    <w:rsid w:val="002746A7"/>
    <w:rsid w:val="00275FD9"/>
    <w:rsid w:val="00277956"/>
    <w:rsid w:val="002803B9"/>
    <w:rsid w:val="00280A5E"/>
    <w:rsid w:val="00283388"/>
    <w:rsid w:val="002840D7"/>
    <w:rsid w:val="002840F7"/>
    <w:rsid w:val="0028618A"/>
    <w:rsid w:val="0029020F"/>
    <w:rsid w:val="0029087B"/>
    <w:rsid w:val="0029109E"/>
    <w:rsid w:val="002910DA"/>
    <w:rsid w:val="002926E5"/>
    <w:rsid w:val="00292A0A"/>
    <w:rsid w:val="00293FF4"/>
    <w:rsid w:val="00294030"/>
    <w:rsid w:val="00294789"/>
    <w:rsid w:val="002967A2"/>
    <w:rsid w:val="00297D36"/>
    <w:rsid w:val="00297DC5"/>
    <w:rsid w:val="002A0AAE"/>
    <w:rsid w:val="002A12BC"/>
    <w:rsid w:val="002A1571"/>
    <w:rsid w:val="002A17A4"/>
    <w:rsid w:val="002A1910"/>
    <w:rsid w:val="002A244B"/>
    <w:rsid w:val="002A458D"/>
    <w:rsid w:val="002A459B"/>
    <w:rsid w:val="002A5820"/>
    <w:rsid w:val="002A615A"/>
    <w:rsid w:val="002A6575"/>
    <w:rsid w:val="002A7EA0"/>
    <w:rsid w:val="002B0408"/>
    <w:rsid w:val="002B06BB"/>
    <w:rsid w:val="002B0DDA"/>
    <w:rsid w:val="002B1180"/>
    <w:rsid w:val="002B1691"/>
    <w:rsid w:val="002B16AD"/>
    <w:rsid w:val="002B1749"/>
    <w:rsid w:val="002B3BB2"/>
    <w:rsid w:val="002B3D1D"/>
    <w:rsid w:val="002B4D07"/>
    <w:rsid w:val="002B4F4B"/>
    <w:rsid w:val="002B6079"/>
    <w:rsid w:val="002C099E"/>
    <w:rsid w:val="002C0D7F"/>
    <w:rsid w:val="002C0EBD"/>
    <w:rsid w:val="002C1121"/>
    <w:rsid w:val="002C183C"/>
    <w:rsid w:val="002C193A"/>
    <w:rsid w:val="002C1BFC"/>
    <w:rsid w:val="002C1F23"/>
    <w:rsid w:val="002C4ACB"/>
    <w:rsid w:val="002C601A"/>
    <w:rsid w:val="002D0B3D"/>
    <w:rsid w:val="002D1355"/>
    <w:rsid w:val="002D198E"/>
    <w:rsid w:val="002D1EDE"/>
    <w:rsid w:val="002D2B26"/>
    <w:rsid w:val="002D5C58"/>
    <w:rsid w:val="002D7815"/>
    <w:rsid w:val="002D7B37"/>
    <w:rsid w:val="002D7EA2"/>
    <w:rsid w:val="002E09D5"/>
    <w:rsid w:val="002E0A91"/>
    <w:rsid w:val="002E0C6C"/>
    <w:rsid w:val="002E10AB"/>
    <w:rsid w:val="002E11A3"/>
    <w:rsid w:val="002E165A"/>
    <w:rsid w:val="002E1679"/>
    <w:rsid w:val="002E187C"/>
    <w:rsid w:val="002E1AEC"/>
    <w:rsid w:val="002E1F58"/>
    <w:rsid w:val="002E2475"/>
    <w:rsid w:val="002E37F8"/>
    <w:rsid w:val="002E4014"/>
    <w:rsid w:val="002E422D"/>
    <w:rsid w:val="002E68A6"/>
    <w:rsid w:val="002F01F6"/>
    <w:rsid w:val="002F173F"/>
    <w:rsid w:val="002F1DA9"/>
    <w:rsid w:val="002F222E"/>
    <w:rsid w:val="002F3DD4"/>
    <w:rsid w:val="002F6D66"/>
    <w:rsid w:val="002F725B"/>
    <w:rsid w:val="002F7C6D"/>
    <w:rsid w:val="00300484"/>
    <w:rsid w:val="003018E5"/>
    <w:rsid w:val="00301CD7"/>
    <w:rsid w:val="00302733"/>
    <w:rsid w:val="00302ABF"/>
    <w:rsid w:val="00302D75"/>
    <w:rsid w:val="00303272"/>
    <w:rsid w:val="00303BE7"/>
    <w:rsid w:val="00303BF2"/>
    <w:rsid w:val="00304394"/>
    <w:rsid w:val="003048F3"/>
    <w:rsid w:val="00304F03"/>
    <w:rsid w:val="00305237"/>
    <w:rsid w:val="0030611D"/>
    <w:rsid w:val="003076DF"/>
    <w:rsid w:val="00307905"/>
    <w:rsid w:val="00307FA6"/>
    <w:rsid w:val="003101A3"/>
    <w:rsid w:val="00310A4E"/>
    <w:rsid w:val="00311310"/>
    <w:rsid w:val="003117F0"/>
    <w:rsid w:val="00314078"/>
    <w:rsid w:val="00314423"/>
    <w:rsid w:val="0031463D"/>
    <w:rsid w:val="0031466E"/>
    <w:rsid w:val="0031535D"/>
    <w:rsid w:val="00315752"/>
    <w:rsid w:val="003161DE"/>
    <w:rsid w:val="00316C94"/>
    <w:rsid w:val="00317093"/>
    <w:rsid w:val="00317421"/>
    <w:rsid w:val="0031756E"/>
    <w:rsid w:val="003203DF"/>
    <w:rsid w:val="0032067D"/>
    <w:rsid w:val="00321975"/>
    <w:rsid w:val="00324B26"/>
    <w:rsid w:val="00324B28"/>
    <w:rsid w:val="00326588"/>
    <w:rsid w:val="003267FA"/>
    <w:rsid w:val="00326924"/>
    <w:rsid w:val="0032692E"/>
    <w:rsid w:val="00331406"/>
    <w:rsid w:val="0033169F"/>
    <w:rsid w:val="003322A8"/>
    <w:rsid w:val="0033260A"/>
    <w:rsid w:val="003336CD"/>
    <w:rsid w:val="00333EE0"/>
    <w:rsid w:val="0033467B"/>
    <w:rsid w:val="003346DF"/>
    <w:rsid w:val="00334E93"/>
    <w:rsid w:val="00335809"/>
    <w:rsid w:val="003362AA"/>
    <w:rsid w:val="003364B0"/>
    <w:rsid w:val="003367FB"/>
    <w:rsid w:val="00336A74"/>
    <w:rsid w:val="00337569"/>
    <w:rsid w:val="003375DE"/>
    <w:rsid w:val="00337D80"/>
    <w:rsid w:val="00340782"/>
    <w:rsid w:val="0034079A"/>
    <w:rsid w:val="00341014"/>
    <w:rsid w:val="0034205A"/>
    <w:rsid w:val="00343267"/>
    <w:rsid w:val="00343366"/>
    <w:rsid w:val="00343E40"/>
    <w:rsid w:val="00344299"/>
    <w:rsid w:val="00344F71"/>
    <w:rsid w:val="00345E78"/>
    <w:rsid w:val="00346C95"/>
    <w:rsid w:val="00347383"/>
    <w:rsid w:val="00347634"/>
    <w:rsid w:val="00350247"/>
    <w:rsid w:val="00350E4D"/>
    <w:rsid w:val="00350F55"/>
    <w:rsid w:val="00351608"/>
    <w:rsid w:val="00351866"/>
    <w:rsid w:val="003529BB"/>
    <w:rsid w:val="003534C3"/>
    <w:rsid w:val="003540DA"/>
    <w:rsid w:val="00354736"/>
    <w:rsid w:val="00354B57"/>
    <w:rsid w:val="00355425"/>
    <w:rsid w:val="00355700"/>
    <w:rsid w:val="00355D5E"/>
    <w:rsid w:val="00356185"/>
    <w:rsid w:val="00356E67"/>
    <w:rsid w:val="00357A73"/>
    <w:rsid w:val="00360380"/>
    <w:rsid w:val="00362547"/>
    <w:rsid w:val="00363A43"/>
    <w:rsid w:val="00363B0E"/>
    <w:rsid w:val="00364FCE"/>
    <w:rsid w:val="00365D51"/>
    <w:rsid w:val="003664B3"/>
    <w:rsid w:val="00366599"/>
    <w:rsid w:val="0036712E"/>
    <w:rsid w:val="003704D0"/>
    <w:rsid w:val="00370865"/>
    <w:rsid w:val="00370B43"/>
    <w:rsid w:val="00370BF0"/>
    <w:rsid w:val="00372104"/>
    <w:rsid w:val="00372F0D"/>
    <w:rsid w:val="003730E7"/>
    <w:rsid w:val="00373954"/>
    <w:rsid w:val="00374350"/>
    <w:rsid w:val="00375047"/>
    <w:rsid w:val="0037519E"/>
    <w:rsid w:val="00375BB5"/>
    <w:rsid w:val="003769CC"/>
    <w:rsid w:val="003773FC"/>
    <w:rsid w:val="00380278"/>
    <w:rsid w:val="003808DB"/>
    <w:rsid w:val="00380C47"/>
    <w:rsid w:val="003812E1"/>
    <w:rsid w:val="00381DE7"/>
    <w:rsid w:val="00384925"/>
    <w:rsid w:val="00384EF0"/>
    <w:rsid w:val="00385595"/>
    <w:rsid w:val="003858B1"/>
    <w:rsid w:val="00386A5F"/>
    <w:rsid w:val="00386CF0"/>
    <w:rsid w:val="0038709C"/>
    <w:rsid w:val="003873B2"/>
    <w:rsid w:val="0039018C"/>
    <w:rsid w:val="0039145A"/>
    <w:rsid w:val="003914C0"/>
    <w:rsid w:val="00391B32"/>
    <w:rsid w:val="00391C3E"/>
    <w:rsid w:val="003936BA"/>
    <w:rsid w:val="003937F5"/>
    <w:rsid w:val="0039459C"/>
    <w:rsid w:val="00394C61"/>
    <w:rsid w:val="0039570A"/>
    <w:rsid w:val="00396566"/>
    <w:rsid w:val="00397BB3"/>
    <w:rsid w:val="003A147D"/>
    <w:rsid w:val="003A1E8F"/>
    <w:rsid w:val="003A26A5"/>
    <w:rsid w:val="003A3471"/>
    <w:rsid w:val="003A38E9"/>
    <w:rsid w:val="003A47A9"/>
    <w:rsid w:val="003A51E5"/>
    <w:rsid w:val="003A5CD2"/>
    <w:rsid w:val="003A7099"/>
    <w:rsid w:val="003A7FD8"/>
    <w:rsid w:val="003B01E8"/>
    <w:rsid w:val="003B04F8"/>
    <w:rsid w:val="003B06C1"/>
    <w:rsid w:val="003B0EB2"/>
    <w:rsid w:val="003B1130"/>
    <w:rsid w:val="003B1890"/>
    <w:rsid w:val="003B2B4D"/>
    <w:rsid w:val="003B2E20"/>
    <w:rsid w:val="003B638B"/>
    <w:rsid w:val="003B6782"/>
    <w:rsid w:val="003B67FB"/>
    <w:rsid w:val="003B75C0"/>
    <w:rsid w:val="003B770E"/>
    <w:rsid w:val="003B7C34"/>
    <w:rsid w:val="003B7CC7"/>
    <w:rsid w:val="003B7E4A"/>
    <w:rsid w:val="003C2765"/>
    <w:rsid w:val="003C2E6F"/>
    <w:rsid w:val="003C2F1F"/>
    <w:rsid w:val="003C36B9"/>
    <w:rsid w:val="003C5088"/>
    <w:rsid w:val="003C51B9"/>
    <w:rsid w:val="003C5490"/>
    <w:rsid w:val="003C676B"/>
    <w:rsid w:val="003C6F1B"/>
    <w:rsid w:val="003D09BF"/>
    <w:rsid w:val="003D0D74"/>
    <w:rsid w:val="003D0F30"/>
    <w:rsid w:val="003D180A"/>
    <w:rsid w:val="003D1D62"/>
    <w:rsid w:val="003D21E8"/>
    <w:rsid w:val="003D22AD"/>
    <w:rsid w:val="003D2966"/>
    <w:rsid w:val="003D337B"/>
    <w:rsid w:val="003D3BC2"/>
    <w:rsid w:val="003D5023"/>
    <w:rsid w:val="003D6A37"/>
    <w:rsid w:val="003D7075"/>
    <w:rsid w:val="003D761A"/>
    <w:rsid w:val="003D7C0F"/>
    <w:rsid w:val="003E02A2"/>
    <w:rsid w:val="003E02E6"/>
    <w:rsid w:val="003E0A77"/>
    <w:rsid w:val="003E1212"/>
    <w:rsid w:val="003E167F"/>
    <w:rsid w:val="003E3B9D"/>
    <w:rsid w:val="003E4419"/>
    <w:rsid w:val="003E4EB1"/>
    <w:rsid w:val="003E51C0"/>
    <w:rsid w:val="003E6CA1"/>
    <w:rsid w:val="003E6EE8"/>
    <w:rsid w:val="003E7FC6"/>
    <w:rsid w:val="003F13DC"/>
    <w:rsid w:val="003F3071"/>
    <w:rsid w:val="003F33E2"/>
    <w:rsid w:val="003F4AE4"/>
    <w:rsid w:val="003F4C7A"/>
    <w:rsid w:val="003F5830"/>
    <w:rsid w:val="003F5EA3"/>
    <w:rsid w:val="003F6014"/>
    <w:rsid w:val="003F6409"/>
    <w:rsid w:val="003F66AF"/>
    <w:rsid w:val="003F6DE5"/>
    <w:rsid w:val="003F76C0"/>
    <w:rsid w:val="003F7A45"/>
    <w:rsid w:val="00401E05"/>
    <w:rsid w:val="00403AB2"/>
    <w:rsid w:val="004044BB"/>
    <w:rsid w:val="00404AE9"/>
    <w:rsid w:val="00404B79"/>
    <w:rsid w:val="00405970"/>
    <w:rsid w:val="00405D5E"/>
    <w:rsid w:val="0040655B"/>
    <w:rsid w:val="00406DA6"/>
    <w:rsid w:val="0040771B"/>
    <w:rsid w:val="004077F9"/>
    <w:rsid w:val="0041040E"/>
    <w:rsid w:val="004104C0"/>
    <w:rsid w:val="00412085"/>
    <w:rsid w:val="00413722"/>
    <w:rsid w:val="0041465D"/>
    <w:rsid w:val="00415F0D"/>
    <w:rsid w:val="004165C2"/>
    <w:rsid w:val="00417081"/>
    <w:rsid w:val="004176CB"/>
    <w:rsid w:val="00417C12"/>
    <w:rsid w:val="00417D76"/>
    <w:rsid w:val="00417F2F"/>
    <w:rsid w:val="004229F5"/>
    <w:rsid w:val="00424994"/>
    <w:rsid w:val="00426065"/>
    <w:rsid w:val="0042653D"/>
    <w:rsid w:val="00427CBB"/>
    <w:rsid w:val="00430C21"/>
    <w:rsid w:val="00430E03"/>
    <w:rsid w:val="0043125C"/>
    <w:rsid w:val="00431AF9"/>
    <w:rsid w:val="004325C6"/>
    <w:rsid w:val="00432D6E"/>
    <w:rsid w:val="004330B2"/>
    <w:rsid w:val="00433C4C"/>
    <w:rsid w:val="00434A70"/>
    <w:rsid w:val="00435204"/>
    <w:rsid w:val="00437313"/>
    <w:rsid w:val="00440CDD"/>
    <w:rsid w:val="00440D2C"/>
    <w:rsid w:val="004412CB"/>
    <w:rsid w:val="004413C2"/>
    <w:rsid w:val="00441DBA"/>
    <w:rsid w:val="00441ECB"/>
    <w:rsid w:val="00442C24"/>
    <w:rsid w:val="00443C49"/>
    <w:rsid w:val="0044493A"/>
    <w:rsid w:val="00444BE9"/>
    <w:rsid w:val="00444E2D"/>
    <w:rsid w:val="004466FA"/>
    <w:rsid w:val="00447791"/>
    <w:rsid w:val="004509B5"/>
    <w:rsid w:val="00450E8A"/>
    <w:rsid w:val="00451AC4"/>
    <w:rsid w:val="00451D97"/>
    <w:rsid w:val="004524F6"/>
    <w:rsid w:val="0045289F"/>
    <w:rsid w:val="00454BFF"/>
    <w:rsid w:val="004556C0"/>
    <w:rsid w:val="00460990"/>
    <w:rsid w:val="00460D77"/>
    <w:rsid w:val="00462692"/>
    <w:rsid w:val="004633B4"/>
    <w:rsid w:val="004636D1"/>
    <w:rsid w:val="00463D17"/>
    <w:rsid w:val="004649DC"/>
    <w:rsid w:val="004658D6"/>
    <w:rsid w:val="004663B1"/>
    <w:rsid w:val="00466965"/>
    <w:rsid w:val="00466AD3"/>
    <w:rsid w:val="00466B01"/>
    <w:rsid w:val="004670A6"/>
    <w:rsid w:val="004678C6"/>
    <w:rsid w:val="00467B7E"/>
    <w:rsid w:val="004700C1"/>
    <w:rsid w:val="00470318"/>
    <w:rsid w:val="00470646"/>
    <w:rsid w:val="00470CEB"/>
    <w:rsid w:val="00471403"/>
    <w:rsid w:val="0047244C"/>
    <w:rsid w:val="00472601"/>
    <w:rsid w:val="0047469E"/>
    <w:rsid w:val="004763DB"/>
    <w:rsid w:val="00476FA1"/>
    <w:rsid w:val="0047716A"/>
    <w:rsid w:val="004771E0"/>
    <w:rsid w:val="00477592"/>
    <w:rsid w:val="00480252"/>
    <w:rsid w:val="004802AB"/>
    <w:rsid w:val="00480521"/>
    <w:rsid w:val="00480618"/>
    <w:rsid w:val="00480668"/>
    <w:rsid w:val="00480DF4"/>
    <w:rsid w:val="00483ADA"/>
    <w:rsid w:val="00483E6B"/>
    <w:rsid w:val="00485810"/>
    <w:rsid w:val="00485D86"/>
    <w:rsid w:val="00486F1C"/>
    <w:rsid w:val="00487542"/>
    <w:rsid w:val="00490B1B"/>
    <w:rsid w:val="00490D0A"/>
    <w:rsid w:val="00492726"/>
    <w:rsid w:val="004930EA"/>
    <w:rsid w:val="004931EE"/>
    <w:rsid w:val="004933C2"/>
    <w:rsid w:val="0049419D"/>
    <w:rsid w:val="004970D1"/>
    <w:rsid w:val="004A1870"/>
    <w:rsid w:val="004A18F0"/>
    <w:rsid w:val="004A2041"/>
    <w:rsid w:val="004A209B"/>
    <w:rsid w:val="004A3277"/>
    <w:rsid w:val="004A3AED"/>
    <w:rsid w:val="004A43B6"/>
    <w:rsid w:val="004A588D"/>
    <w:rsid w:val="004A60F0"/>
    <w:rsid w:val="004A6F3B"/>
    <w:rsid w:val="004B0C05"/>
    <w:rsid w:val="004B1721"/>
    <w:rsid w:val="004B274F"/>
    <w:rsid w:val="004B37A8"/>
    <w:rsid w:val="004B44D0"/>
    <w:rsid w:val="004B4D35"/>
    <w:rsid w:val="004B4DFA"/>
    <w:rsid w:val="004B4E86"/>
    <w:rsid w:val="004B5290"/>
    <w:rsid w:val="004B5BA9"/>
    <w:rsid w:val="004B6196"/>
    <w:rsid w:val="004B7757"/>
    <w:rsid w:val="004B7A65"/>
    <w:rsid w:val="004C001A"/>
    <w:rsid w:val="004C0141"/>
    <w:rsid w:val="004C09B3"/>
    <w:rsid w:val="004C0F2D"/>
    <w:rsid w:val="004C161F"/>
    <w:rsid w:val="004C20D2"/>
    <w:rsid w:val="004C26F5"/>
    <w:rsid w:val="004C36EC"/>
    <w:rsid w:val="004C42FA"/>
    <w:rsid w:val="004C44D7"/>
    <w:rsid w:val="004C49D8"/>
    <w:rsid w:val="004C4B62"/>
    <w:rsid w:val="004C54C9"/>
    <w:rsid w:val="004C6315"/>
    <w:rsid w:val="004D06A0"/>
    <w:rsid w:val="004D077C"/>
    <w:rsid w:val="004D15C1"/>
    <w:rsid w:val="004D50A9"/>
    <w:rsid w:val="004D59D8"/>
    <w:rsid w:val="004D6025"/>
    <w:rsid w:val="004D6029"/>
    <w:rsid w:val="004D6654"/>
    <w:rsid w:val="004E0231"/>
    <w:rsid w:val="004E0278"/>
    <w:rsid w:val="004E063A"/>
    <w:rsid w:val="004E09F9"/>
    <w:rsid w:val="004E0A0B"/>
    <w:rsid w:val="004E0E5F"/>
    <w:rsid w:val="004E1597"/>
    <w:rsid w:val="004E1F36"/>
    <w:rsid w:val="004E2649"/>
    <w:rsid w:val="004E3B56"/>
    <w:rsid w:val="004E4C33"/>
    <w:rsid w:val="004E532E"/>
    <w:rsid w:val="004E54F2"/>
    <w:rsid w:val="004E54F3"/>
    <w:rsid w:val="004E764B"/>
    <w:rsid w:val="004E799C"/>
    <w:rsid w:val="004E7DDA"/>
    <w:rsid w:val="004E7E99"/>
    <w:rsid w:val="004F049D"/>
    <w:rsid w:val="004F0CA7"/>
    <w:rsid w:val="004F21D4"/>
    <w:rsid w:val="004F3241"/>
    <w:rsid w:val="004F3545"/>
    <w:rsid w:val="004F4349"/>
    <w:rsid w:val="004F4DEA"/>
    <w:rsid w:val="004F5079"/>
    <w:rsid w:val="004F709F"/>
    <w:rsid w:val="004F7146"/>
    <w:rsid w:val="004F7568"/>
    <w:rsid w:val="005008B1"/>
    <w:rsid w:val="00500C97"/>
    <w:rsid w:val="0050135F"/>
    <w:rsid w:val="00501399"/>
    <w:rsid w:val="00501BAD"/>
    <w:rsid w:val="0050332B"/>
    <w:rsid w:val="005037BA"/>
    <w:rsid w:val="005038D5"/>
    <w:rsid w:val="005048CA"/>
    <w:rsid w:val="00504AF5"/>
    <w:rsid w:val="00505CA5"/>
    <w:rsid w:val="0050633D"/>
    <w:rsid w:val="00507BC4"/>
    <w:rsid w:val="00507C2E"/>
    <w:rsid w:val="005128BC"/>
    <w:rsid w:val="005128E4"/>
    <w:rsid w:val="005133DB"/>
    <w:rsid w:val="00514641"/>
    <w:rsid w:val="00515905"/>
    <w:rsid w:val="00516878"/>
    <w:rsid w:val="005202F6"/>
    <w:rsid w:val="005202FA"/>
    <w:rsid w:val="00522716"/>
    <w:rsid w:val="005230BD"/>
    <w:rsid w:val="00523110"/>
    <w:rsid w:val="00524B59"/>
    <w:rsid w:val="0052524E"/>
    <w:rsid w:val="00525560"/>
    <w:rsid w:val="00525EAE"/>
    <w:rsid w:val="00527A1B"/>
    <w:rsid w:val="00527A57"/>
    <w:rsid w:val="00530AC2"/>
    <w:rsid w:val="005316A2"/>
    <w:rsid w:val="00531A90"/>
    <w:rsid w:val="00532604"/>
    <w:rsid w:val="00532A47"/>
    <w:rsid w:val="00532D73"/>
    <w:rsid w:val="005334A4"/>
    <w:rsid w:val="00535582"/>
    <w:rsid w:val="00535DAA"/>
    <w:rsid w:val="00536F65"/>
    <w:rsid w:val="00536F72"/>
    <w:rsid w:val="0053741A"/>
    <w:rsid w:val="00537490"/>
    <w:rsid w:val="005376E8"/>
    <w:rsid w:val="005403F8"/>
    <w:rsid w:val="005412D8"/>
    <w:rsid w:val="0054199F"/>
    <w:rsid w:val="00541CA3"/>
    <w:rsid w:val="00541CB4"/>
    <w:rsid w:val="00541FD6"/>
    <w:rsid w:val="0054313C"/>
    <w:rsid w:val="00543264"/>
    <w:rsid w:val="005444E3"/>
    <w:rsid w:val="0054467F"/>
    <w:rsid w:val="00544B43"/>
    <w:rsid w:val="00544C49"/>
    <w:rsid w:val="00545DBA"/>
    <w:rsid w:val="00547D7F"/>
    <w:rsid w:val="00550FA2"/>
    <w:rsid w:val="0055101A"/>
    <w:rsid w:val="005516A1"/>
    <w:rsid w:val="00552CCA"/>
    <w:rsid w:val="0055632C"/>
    <w:rsid w:val="00560547"/>
    <w:rsid w:val="005613D3"/>
    <w:rsid w:val="005614B1"/>
    <w:rsid w:val="00561535"/>
    <w:rsid w:val="00561EBD"/>
    <w:rsid w:val="00563006"/>
    <w:rsid w:val="00563724"/>
    <w:rsid w:val="00564960"/>
    <w:rsid w:val="00565D42"/>
    <w:rsid w:val="00565EAA"/>
    <w:rsid w:val="0056720D"/>
    <w:rsid w:val="005702D4"/>
    <w:rsid w:val="00572E77"/>
    <w:rsid w:val="0057386E"/>
    <w:rsid w:val="0057402A"/>
    <w:rsid w:val="0057466A"/>
    <w:rsid w:val="00575285"/>
    <w:rsid w:val="00575B69"/>
    <w:rsid w:val="005760CA"/>
    <w:rsid w:val="005771D0"/>
    <w:rsid w:val="00577F1F"/>
    <w:rsid w:val="00577F2D"/>
    <w:rsid w:val="0058049E"/>
    <w:rsid w:val="005806D4"/>
    <w:rsid w:val="00580850"/>
    <w:rsid w:val="00582E43"/>
    <w:rsid w:val="005830C2"/>
    <w:rsid w:val="00584213"/>
    <w:rsid w:val="005842FE"/>
    <w:rsid w:val="00584516"/>
    <w:rsid w:val="00584C15"/>
    <w:rsid w:val="00584E25"/>
    <w:rsid w:val="00587818"/>
    <w:rsid w:val="0058795C"/>
    <w:rsid w:val="0059113D"/>
    <w:rsid w:val="0059191A"/>
    <w:rsid w:val="00591A95"/>
    <w:rsid w:val="005921FF"/>
    <w:rsid w:val="005922DC"/>
    <w:rsid w:val="005934DE"/>
    <w:rsid w:val="00594411"/>
    <w:rsid w:val="00596831"/>
    <w:rsid w:val="005979A0"/>
    <w:rsid w:val="005A0195"/>
    <w:rsid w:val="005A07B9"/>
    <w:rsid w:val="005A3067"/>
    <w:rsid w:val="005A46C8"/>
    <w:rsid w:val="005A5CFB"/>
    <w:rsid w:val="005A5FB1"/>
    <w:rsid w:val="005A6029"/>
    <w:rsid w:val="005A6105"/>
    <w:rsid w:val="005A6958"/>
    <w:rsid w:val="005A6D0E"/>
    <w:rsid w:val="005A73BB"/>
    <w:rsid w:val="005A73CB"/>
    <w:rsid w:val="005B0780"/>
    <w:rsid w:val="005B0FC8"/>
    <w:rsid w:val="005B1EF5"/>
    <w:rsid w:val="005B217C"/>
    <w:rsid w:val="005B26C5"/>
    <w:rsid w:val="005B3B8D"/>
    <w:rsid w:val="005B45BC"/>
    <w:rsid w:val="005B47D1"/>
    <w:rsid w:val="005B4A76"/>
    <w:rsid w:val="005B4C94"/>
    <w:rsid w:val="005B5087"/>
    <w:rsid w:val="005B52B0"/>
    <w:rsid w:val="005B6482"/>
    <w:rsid w:val="005B6806"/>
    <w:rsid w:val="005B722B"/>
    <w:rsid w:val="005B772F"/>
    <w:rsid w:val="005B7894"/>
    <w:rsid w:val="005C0BAC"/>
    <w:rsid w:val="005C0D72"/>
    <w:rsid w:val="005C2962"/>
    <w:rsid w:val="005C2A46"/>
    <w:rsid w:val="005C4225"/>
    <w:rsid w:val="005C4C5E"/>
    <w:rsid w:val="005C5F05"/>
    <w:rsid w:val="005C6A29"/>
    <w:rsid w:val="005C6FE4"/>
    <w:rsid w:val="005D0447"/>
    <w:rsid w:val="005D0D3F"/>
    <w:rsid w:val="005D1086"/>
    <w:rsid w:val="005D249D"/>
    <w:rsid w:val="005D3E4A"/>
    <w:rsid w:val="005D3E9D"/>
    <w:rsid w:val="005D4E50"/>
    <w:rsid w:val="005D54BA"/>
    <w:rsid w:val="005D6623"/>
    <w:rsid w:val="005D6865"/>
    <w:rsid w:val="005E0E22"/>
    <w:rsid w:val="005E1469"/>
    <w:rsid w:val="005E2810"/>
    <w:rsid w:val="005E2C2F"/>
    <w:rsid w:val="005E2E0F"/>
    <w:rsid w:val="005E402A"/>
    <w:rsid w:val="005E4E75"/>
    <w:rsid w:val="005E4FFE"/>
    <w:rsid w:val="005E5447"/>
    <w:rsid w:val="005E5606"/>
    <w:rsid w:val="005E79E4"/>
    <w:rsid w:val="005E7DCA"/>
    <w:rsid w:val="005E7F78"/>
    <w:rsid w:val="005F094E"/>
    <w:rsid w:val="005F0DAD"/>
    <w:rsid w:val="005F0F33"/>
    <w:rsid w:val="005F10F1"/>
    <w:rsid w:val="005F1293"/>
    <w:rsid w:val="005F12BB"/>
    <w:rsid w:val="005F1E2E"/>
    <w:rsid w:val="005F1F8B"/>
    <w:rsid w:val="005F35F6"/>
    <w:rsid w:val="005F3B57"/>
    <w:rsid w:val="005F45F6"/>
    <w:rsid w:val="005F4CF5"/>
    <w:rsid w:val="005F5293"/>
    <w:rsid w:val="005F6AF2"/>
    <w:rsid w:val="005F6EA6"/>
    <w:rsid w:val="005F6FDB"/>
    <w:rsid w:val="005F7C3D"/>
    <w:rsid w:val="005F7FE2"/>
    <w:rsid w:val="006003F1"/>
    <w:rsid w:val="00600A90"/>
    <w:rsid w:val="00600DEB"/>
    <w:rsid w:val="00601FB9"/>
    <w:rsid w:val="0060312C"/>
    <w:rsid w:val="006035FB"/>
    <w:rsid w:val="006041FB"/>
    <w:rsid w:val="00605BD2"/>
    <w:rsid w:val="006110EB"/>
    <w:rsid w:val="00611FAF"/>
    <w:rsid w:val="00614D7D"/>
    <w:rsid w:val="00614EFA"/>
    <w:rsid w:val="00614FAE"/>
    <w:rsid w:val="00615DD8"/>
    <w:rsid w:val="00620344"/>
    <w:rsid w:val="00620700"/>
    <w:rsid w:val="00620819"/>
    <w:rsid w:val="00621159"/>
    <w:rsid w:val="00621689"/>
    <w:rsid w:val="006217A6"/>
    <w:rsid w:val="00621F43"/>
    <w:rsid w:val="00623922"/>
    <w:rsid w:val="00623B9D"/>
    <w:rsid w:val="00625038"/>
    <w:rsid w:val="00626655"/>
    <w:rsid w:val="00626897"/>
    <w:rsid w:val="00626C70"/>
    <w:rsid w:val="00627C9F"/>
    <w:rsid w:val="00630D5E"/>
    <w:rsid w:val="006311E9"/>
    <w:rsid w:val="00631402"/>
    <w:rsid w:val="006316CE"/>
    <w:rsid w:val="00632354"/>
    <w:rsid w:val="00632D9B"/>
    <w:rsid w:val="00634B32"/>
    <w:rsid w:val="00635307"/>
    <w:rsid w:val="006357CE"/>
    <w:rsid w:val="0063685A"/>
    <w:rsid w:val="0063724D"/>
    <w:rsid w:val="0063790D"/>
    <w:rsid w:val="00637DF7"/>
    <w:rsid w:val="0064066E"/>
    <w:rsid w:val="00642810"/>
    <w:rsid w:val="00642C6F"/>
    <w:rsid w:val="00643271"/>
    <w:rsid w:val="00644687"/>
    <w:rsid w:val="00644D46"/>
    <w:rsid w:val="00644F39"/>
    <w:rsid w:val="0064503D"/>
    <w:rsid w:val="00647B4B"/>
    <w:rsid w:val="00647F33"/>
    <w:rsid w:val="00647F5D"/>
    <w:rsid w:val="0065081B"/>
    <w:rsid w:val="00650BE7"/>
    <w:rsid w:val="00650CC4"/>
    <w:rsid w:val="00652333"/>
    <w:rsid w:val="006536C5"/>
    <w:rsid w:val="006538EE"/>
    <w:rsid w:val="00654D55"/>
    <w:rsid w:val="00654F3A"/>
    <w:rsid w:val="00655954"/>
    <w:rsid w:val="00656748"/>
    <w:rsid w:val="006577DA"/>
    <w:rsid w:val="00661ACB"/>
    <w:rsid w:val="00661BA6"/>
    <w:rsid w:val="00662D47"/>
    <w:rsid w:val="00664536"/>
    <w:rsid w:val="00665AC8"/>
    <w:rsid w:val="00665E73"/>
    <w:rsid w:val="00666DE9"/>
    <w:rsid w:val="006670C6"/>
    <w:rsid w:val="00667B88"/>
    <w:rsid w:val="00670147"/>
    <w:rsid w:val="00670637"/>
    <w:rsid w:val="006712FC"/>
    <w:rsid w:val="0067131F"/>
    <w:rsid w:val="0067197C"/>
    <w:rsid w:val="00672C6C"/>
    <w:rsid w:val="006747A6"/>
    <w:rsid w:val="006748B7"/>
    <w:rsid w:val="00675914"/>
    <w:rsid w:val="00675ECD"/>
    <w:rsid w:val="0067689C"/>
    <w:rsid w:val="00676AE4"/>
    <w:rsid w:val="006774D6"/>
    <w:rsid w:val="0068009E"/>
    <w:rsid w:val="00680608"/>
    <w:rsid w:val="0068108E"/>
    <w:rsid w:val="00681424"/>
    <w:rsid w:val="00681A79"/>
    <w:rsid w:val="006826CB"/>
    <w:rsid w:val="00684157"/>
    <w:rsid w:val="006853F8"/>
    <w:rsid w:val="0068571C"/>
    <w:rsid w:val="00685DF6"/>
    <w:rsid w:val="00691149"/>
    <w:rsid w:val="00691295"/>
    <w:rsid w:val="006913AA"/>
    <w:rsid w:val="006919E0"/>
    <w:rsid w:val="00691B13"/>
    <w:rsid w:val="00692219"/>
    <w:rsid w:val="0069395C"/>
    <w:rsid w:val="006955FA"/>
    <w:rsid w:val="0069564D"/>
    <w:rsid w:val="00695A8D"/>
    <w:rsid w:val="00695B7B"/>
    <w:rsid w:val="006961E1"/>
    <w:rsid w:val="006965DA"/>
    <w:rsid w:val="00696855"/>
    <w:rsid w:val="006A0295"/>
    <w:rsid w:val="006A077B"/>
    <w:rsid w:val="006A0D1E"/>
    <w:rsid w:val="006A17D2"/>
    <w:rsid w:val="006A1A03"/>
    <w:rsid w:val="006A1C38"/>
    <w:rsid w:val="006A2B52"/>
    <w:rsid w:val="006A30C8"/>
    <w:rsid w:val="006A3163"/>
    <w:rsid w:val="006A4774"/>
    <w:rsid w:val="006A4804"/>
    <w:rsid w:val="006A5197"/>
    <w:rsid w:val="006A6275"/>
    <w:rsid w:val="006A73E6"/>
    <w:rsid w:val="006A7DE0"/>
    <w:rsid w:val="006A7F78"/>
    <w:rsid w:val="006B0809"/>
    <w:rsid w:val="006B0FC8"/>
    <w:rsid w:val="006B1712"/>
    <w:rsid w:val="006B25EE"/>
    <w:rsid w:val="006B2A19"/>
    <w:rsid w:val="006B2D22"/>
    <w:rsid w:val="006B2D5C"/>
    <w:rsid w:val="006B3D01"/>
    <w:rsid w:val="006B4917"/>
    <w:rsid w:val="006B56D2"/>
    <w:rsid w:val="006B7B96"/>
    <w:rsid w:val="006C040E"/>
    <w:rsid w:val="006C17EA"/>
    <w:rsid w:val="006C1E15"/>
    <w:rsid w:val="006C246E"/>
    <w:rsid w:val="006C34C4"/>
    <w:rsid w:val="006C4933"/>
    <w:rsid w:val="006C4BBE"/>
    <w:rsid w:val="006C4CD5"/>
    <w:rsid w:val="006C4CFE"/>
    <w:rsid w:val="006C4EB1"/>
    <w:rsid w:val="006C58FA"/>
    <w:rsid w:val="006C61D4"/>
    <w:rsid w:val="006C6339"/>
    <w:rsid w:val="006C6E89"/>
    <w:rsid w:val="006C6FDD"/>
    <w:rsid w:val="006C7F6C"/>
    <w:rsid w:val="006D11E1"/>
    <w:rsid w:val="006D1FF4"/>
    <w:rsid w:val="006D3546"/>
    <w:rsid w:val="006D38E5"/>
    <w:rsid w:val="006D3CDA"/>
    <w:rsid w:val="006D3D82"/>
    <w:rsid w:val="006D400A"/>
    <w:rsid w:val="006D5AC1"/>
    <w:rsid w:val="006D72FE"/>
    <w:rsid w:val="006D767B"/>
    <w:rsid w:val="006D7AF8"/>
    <w:rsid w:val="006E0166"/>
    <w:rsid w:val="006E0457"/>
    <w:rsid w:val="006E05D5"/>
    <w:rsid w:val="006E1A11"/>
    <w:rsid w:val="006E1B7A"/>
    <w:rsid w:val="006E1ECE"/>
    <w:rsid w:val="006E2D94"/>
    <w:rsid w:val="006E541F"/>
    <w:rsid w:val="006E639E"/>
    <w:rsid w:val="006E65D7"/>
    <w:rsid w:val="006E6E70"/>
    <w:rsid w:val="006E7B0D"/>
    <w:rsid w:val="006E7B34"/>
    <w:rsid w:val="006F0110"/>
    <w:rsid w:val="006F06B2"/>
    <w:rsid w:val="006F135B"/>
    <w:rsid w:val="006F1970"/>
    <w:rsid w:val="006F26E4"/>
    <w:rsid w:val="006F295D"/>
    <w:rsid w:val="006F2C2F"/>
    <w:rsid w:val="006F3ED5"/>
    <w:rsid w:val="006F4847"/>
    <w:rsid w:val="006F5275"/>
    <w:rsid w:val="006F6B10"/>
    <w:rsid w:val="00700149"/>
    <w:rsid w:val="0070015E"/>
    <w:rsid w:val="00700C31"/>
    <w:rsid w:val="00701BA9"/>
    <w:rsid w:val="007029D7"/>
    <w:rsid w:val="007034F7"/>
    <w:rsid w:val="0070367D"/>
    <w:rsid w:val="007040A1"/>
    <w:rsid w:val="007053BE"/>
    <w:rsid w:val="00705749"/>
    <w:rsid w:val="00706581"/>
    <w:rsid w:val="0070697F"/>
    <w:rsid w:val="007071AC"/>
    <w:rsid w:val="0071087E"/>
    <w:rsid w:val="00711192"/>
    <w:rsid w:val="007111BE"/>
    <w:rsid w:val="007130B8"/>
    <w:rsid w:val="00713580"/>
    <w:rsid w:val="00713674"/>
    <w:rsid w:val="00713A1F"/>
    <w:rsid w:val="00713BBB"/>
    <w:rsid w:val="00713EFF"/>
    <w:rsid w:val="00713F53"/>
    <w:rsid w:val="007145C3"/>
    <w:rsid w:val="007147AF"/>
    <w:rsid w:val="00714B3A"/>
    <w:rsid w:val="00715F0E"/>
    <w:rsid w:val="0071652E"/>
    <w:rsid w:val="00716BE0"/>
    <w:rsid w:val="00717592"/>
    <w:rsid w:val="007178B7"/>
    <w:rsid w:val="00720312"/>
    <w:rsid w:val="00721188"/>
    <w:rsid w:val="0072199C"/>
    <w:rsid w:val="00722BC1"/>
    <w:rsid w:val="00722C9F"/>
    <w:rsid w:val="007234EF"/>
    <w:rsid w:val="007250DA"/>
    <w:rsid w:val="007253B8"/>
    <w:rsid w:val="00725F07"/>
    <w:rsid w:val="007265C0"/>
    <w:rsid w:val="00731969"/>
    <w:rsid w:val="00731BEB"/>
    <w:rsid w:val="0073201F"/>
    <w:rsid w:val="007336E0"/>
    <w:rsid w:val="00733D47"/>
    <w:rsid w:val="00734DCA"/>
    <w:rsid w:val="00735296"/>
    <w:rsid w:val="007353BA"/>
    <w:rsid w:val="007357D2"/>
    <w:rsid w:val="007364CA"/>
    <w:rsid w:val="0073741F"/>
    <w:rsid w:val="00740166"/>
    <w:rsid w:val="007407D8"/>
    <w:rsid w:val="00741694"/>
    <w:rsid w:val="007425BB"/>
    <w:rsid w:val="007431A8"/>
    <w:rsid w:val="007441FB"/>
    <w:rsid w:val="00744640"/>
    <w:rsid w:val="00745C58"/>
    <w:rsid w:val="007470B3"/>
    <w:rsid w:val="007473C3"/>
    <w:rsid w:val="0075132C"/>
    <w:rsid w:val="007527F1"/>
    <w:rsid w:val="00752C67"/>
    <w:rsid w:val="007539FB"/>
    <w:rsid w:val="00753EF7"/>
    <w:rsid w:val="00754097"/>
    <w:rsid w:val="00754219"/>
    <w:rsid w:val="007555E8"/>
    <w:rsid w:val="0075589E"/>
    <w:rsid w:val="007563BB"/>
    <w:rsid w:val="007565D7"/>
    <w:rsid w:val="0075685F"/>
    <w:rsid w:val="00757519"/>
    <w:rsid w:val="007577EE"/>
    <w:rsid w:val="0075781E"/>
    <w:rsid w:val="00757D1C"/>
    <w:rsid w:val="00760164"/>
    <w:rsid w:val="007615FE"/>
    <w:rsid w:val="00761860"/>
    <w:rsid w:val="0076287D"/>
    <w:rsid w:val="00763140"/>
    <w:rsid w:val="00763402"/>
    <w:rsid w:val="00764263"/>
    <w:rsid w:val="00764469"/>
    <w:rsid w:val="00764A06"/>
    <w:rsid w:val="00765748"/>
    <w:rsid w:val="00765E5D"/>
    <w:rsid w:val="0076643F"/>
    <w:rsid w:val="00766BDA"/>
    <w:rsid w:val="00771FDD"/>
    <w:rsid w:val="007722D3"/>
    <w:rsid w:val="00772FAE"/>
    <w:rsid w:val="0077369B"/>
    <w:rsid w:val="00773A2F"/>
    <w:rsid w:val="00773B57"/>
    <w:rsid w:val="00774E46"/>
    <w:rsid w:val="00775122"/>
    <w:rsid w:val="0077574B"/>
    <w:rsid w:val="00776F3D"/>
    <w:rsid w:val="00777F63"/>
    <w:rsid w:val="00780032"/>
    <w:rsid w:val="007807D1"/>
    <w:rsid w:val="00781102"/>
    <w:rsid w:val="007813B6"/>
    <w:rsid w:val="0078217F"/>
    <w:rsid w:val="00782507"/>
    <w:rsid w:val="00782D23"/>
    <w:rsid w:val="0078319B"/>
    <w:rsid w:val="00783C00"/>
    <w:rsid w:val="00784C23"/>
    <w:rsid w:val="00785E98"/>
    <w:rsid w:val="00785FBA"/>
    <w:rsid w:val="00786BF9"/>
    <w:rsid w:val="00787F1E"/>
    <w:rsid w:val="00790D16"/>
    <w:rsid w:val="00791108"/>
    <w:rsid w:val="00791460"/>
    <w:rsid w:val="00791D74"/>
    <w:rsid w:val="00792816"/>
    <w:rsid w:val="0079299B"/>
    <w:rsid w:val="0079334A"/>
    <w:rsid w:val="007933BC"/>
    <w:rsid w:val="0079348D"/>
    <w:rsid w:val="00793B6B"/>
    <w:rsid w:val="00794732"/>
    <w:rsid w:val="00795816"/>
    <w:rsid w:val="00796286"/>
    <w:rsid w:val="0079647E"/>
    <w:rsid w:val="007967A5"/>
    <w:rsid w:val="007A165B"/>
    <w:rsid w:val="007A1C32"/>
    <w:rsid w:val="007A1EB1"/>
    <w:rsid w:val="007A2FD7"/>
    <w:rsid w:val="007A5817"/>
    <w:rsid w:val="007A5BCE"/>
    <w:rsid w:val="007A5DD9"/>
    <w:rsid w:val="007A6424"/>
    <w:rsid w:val="007A68CF"/>
    <w:rsid w:val="007A75C5"/>
    <w:rsid w:val="007A7C3B"/>
    <w:rsid w:val="007B02BE"/>
    <w:rsid w:val="007B103C"/>
    <w:rsid w:val="007B1090"/>
    <w:rsid w:val="007B141C"/>
    <w:rsid w:val="007B162B"/>
    <w:rsid w:val="007B1B0D"/>
    <w:rsid w:val="007B2CC4"/>
    <w:rsid w:val="007B2EB9"/>
    <w:rsid w:val="007B4149"/>
    <w:rsid w:val="007B4E2E"/>
    <w:rsid w:val="007B60E9"/>
    <w:rsid w:val="007B6255"/>
    <w:rsid w:val="007B688A"/>
    <w:rsid w:val="007B6CC3"/>
    <w:rsid w:val="007C0047"/>
    <w:rsid w:val="007C0070"/>
    <w:rsid w:val="007C1710"/>
    <w:rsid w:val="007C3334"/>
    <w:rsid w:val="007C3DFC"/>
    <w:rsid w:val="007C5AE2"/>
    <w:rsid w:val="007C655E"/>
    <w:rsid w:val="007C6AAA"/>
    <w:rsid w:val="007C6C74"/>
    <w:rsid w:val="007C73D8"/>
    <w:rsid w:val="007C7477"/>
    <w:rsid w:val="007C748F"/>
    <w:rsid w:val="007C7975"/>
    <w:rsid w:val="007D1AFC"/>
    <w:rsid w:val="007D1E61"/>
    <w:rsid w:val="007D208A"/>
    <w:rsid w:val="007D286D"/>
    <w:rsid w:val="007D2B98"/>
    <w:rsid w:val="007D3A09"/>
    <w:rsid w:val="007D3D5C"/>
    <w:rsid w:val="007D3F6E"/>
    <w:rsid w:val="007D4D3F"/>
    <w:rsid w:val="007D52EE"/>
    <w:rsid w:val="007D542C"/>
    <w:rsid w:val="007E1669"/>
    <w:rsid w:val="007E198E"/>
    <w:rsid w:val="007E21BC"/>
    <w:rsid w:val="007E25B6"/>
    <w:rsid w:val="007E2CBB"/>
    <w:rsid w:val="007E2DA4"/>
    <w:rsid w:val="007E2E80"/>
    <w:rsid w:val="007E36B0"/>
    <w:rsid w:val="007E3B49"/>
    <w:rsid w:val="007E4308"/>
    <w:rsid w:val="007E4856"/>
    <w:rsid w:val="007E508A"/>
    <w:rsid w:val="007E5B7D"/>
    <w:rsid w:val="007E60BE"/>
    <w:rsid w:val="007E666C"/>
    <w:rsid w:val="007E782D"/>
    <w:rsid w:val="007E7D41"/>
    <w:rsid w:val="007E7DA6"/>
    <w:rsid w:val="007F09C4"/>
    <w:rsid w:val="007F1F12"/>
    <w:rsid w:val="007F26CD"/>
    <w:rsid w:val="007F3519"/>
    <w:rsid w:val="007F5961"/>
    <w:rsid w:val="007F618C"/>
    <w:rsid w:val="007F6EF2"/>
    <w:rsid w:val="007F7269"/>
    <w:rsid w:val="007F74E4"/>
    <w:rsid w:val="007F75AD"/>
    <w:rsid w:val="007F767F"/>
    <w:rsid w:val="0080071E"/>
    <w:rsid w:val="0080120D"/>
    <w:rsid w:val="00801453"/>
    <w:rsid w:val="00801F7E"/>
    <w:rsid w:val="00802631"/>
    <w:rsid w:val="0080265B"/>
    <w:rsid w:val="00803F1C"/>
    <w:rsid w:val="008041DB"/>
    <w:rsid w:val="008042D7"/>
    <w:rsid w:val="00804B0A"/>
    <w:rsid w:val="00804E51"/>
    <w:rsid w:val="00804F03"/>
    <w:rsid w:val="008056E2"/>
    <w:rsid w:val="00805DEC"/>
    <w:rsid w:val="00805E8D"/>
    <w:rsid w:val="0080600E"/>
    <w:rsid w:val="00807CA4"/>
    <w:rsid w:val="008103C1"/>
    <w:rsid w:val="008106F4"/>
    <w:rsid w:val="00810F85"/>
    <w:rsid w:val="00812204"/>
    <w:rsid w:val="00812C62"/>
    <w:rsid w:val="00813E26"/>
    <w:rsid w:val="00814232"/>
    <w:rsid w:val="008144B3"/>
    <w:rsid w:val="008171B2"/>
    <w:rsid w:val="00817305"/>
    <w:rsid w:val="00817612"/>
    <w:rsid w:val="008176EC"/>
    <w:rsid w:val="00820107"/>
    <w:rsid w:val="00820114"/>
    <w:rsid w:val="008207E7"/>
    <w:rsid w:val="00821FB1"/>
    <w:rsid w:val="0082242B"/>
    <w:rsid w:val="00824926"/>
    <w:rsid w:val="008279E6"/>
    <w:rsid w:val="00831155"/>
    <w:rsid w:val="00832008"/>
    <w:rsid w:val="00832A8C"/>
    <w:rsid w:val="0083309C"/>
    <w:rsid w:val="008335CA"/>
    <w:rsid w:val="008338A4"/>
    <w:rsid w:val="008343AD"/>
    <w:rsid w:val="00834FA5"/>
    <w:rsid w:val="00835059"/>
    <w:rsid w:val="00835232"/>
    <w:rsid w:val="008354CC"/>
    <w:rsid w:val="00835674"/>
    <w:rsid w:val="00836736"/>
    <w:rsid w:val="00836994"/>
    <w:rsid w:val="0083742D"/>
    <w:rsid w:val="00837C45"/>
    <w:rsid w:val="00840A03"/>
    <w:rsid w:val="00840EA6"/>
    <w:rsid w:val="00840F0B"/>
    <w:rsid w:val="00840F11"/>
    <w:rsid w:val="00841F2C"/>
    <w:rsid w:val="0084205C"/>
    <w:rsid w:val="00842776"/>
    <w:rsid w:val="00844730"/>
    <w:rsid w:val="00844E76"/>
    <w:rsid w:val="008456D9"/>
    <w:rsid w:val="008457C2"/>
    <w:rsid w:val="008463C3"/>
    <w:rsid w:val="00846EE6"/>
    <w:rsid w:val="00847102"/>
    <w:rsid w:val="00847608"/>
    <w:rsid w:val="00851EFB"/>
    <w:rsid w:val="00852DC5"/>
    <w:rsid w:val="00852DEF"/>
    <w:rsid w:val="00854ADD"/>
    <w:rsid w:val="00855453"/>
    <w:rsid w:val="00855AE6"/>
    <w:rsid w:val="00857A82"/>
    <w:rsid w:val="00860794"/>
    <w:rsid w:val="00861079"/>
    <w:rsid w:val="00861C7E"/>
    <w:rsid w:val="00862197"/>
    <w:rsid w:val="00862C50"/>
    <w:rsid w:val="008633FF"/>
    <w:rsid w:val="008636FE"/>
    <w:rsid w:val="008645D0"/>
    <w:rsid w:val="00864CE6"/>
    <w:rsid w:val="0086513E"/>
    <w:rsid w:val="00865198"/>
    <w:rsid w:val="008651FF"/>
    <w:rsid w:val="0086632D"/>
    <w:rsid w:val="0086633E"/>
    <w:rsid w:val="00867FE1"/>
    <w:rsid w:val="00870619"/>
    <w:rsid w:val="00870A08"/>
    <w:rsid w:val="00870C80"/>
    <w:rsid w:val="00870E84"/>
    <w:rsid w:val="00871168"/>
    <w:rsid w:val="00872E3A"/>
    <w:rsid w:val="00873836"/>
    <w:rsid w:val="00873F9C"/>
    <w:rsid w:val="008769C0"/>
    <w:rsid w:val="00880DC9"/>
    <w:rsid w:val="008817AB"/>
    <w:rsid w:val="008821B0"/>
    <w:rsid w:val="00882D8F"/>
    <w:rsid w:val="00883D8A"/>
    <w:rsid w:val="00885737"/>
    <w:rsid w:val="00886524"/>
    <w:rsid w:val="00886BFF"/>
    <w:rsid w:val="0088723C"/>
    <w:rsid w:val="00887832"/>
    <w:rsid w:val="00887ECA"/>
    <w:rsid w:val="00890095"/>
    <w:rsid w:val="00890650"/>
    <w:rsid w:val="00890823"/>
    <w:rsid w:val="00891BAE"/>
    <w:rsid w:val="00895385"/>
    <w:rsid w:val="00895956"/>
    <w:rsid w:val="00895AF9"/>
    <w:rsid w:val="0089674D"/>
    <w:rsid w:val="008970D9"/>
    <w:rsid w:val="0089743E"/>
    <w:rsid w:val="0089776D"/>
    <w:rsid w:val="00897E12"/>
    <w:rsid w:val="008A281E"/>
    <w:rsid w:val="008A373C"/>
    <w:rsid w:val="008A41D3"/>
    <w:rsid w:val="008A4215"/>
    <w:rsid w:val="008A4522"/>
    <w:rsid w:val="008A4602"/>
    <w:rsid w:val="008A4A2E"/>
    <w:rsid w:val="008A4C75"/>
    <w:rsid w:val="008A4E0A"/>
    <w:rsid w:val="008A690C"/>
    <w:rsid w:val="008A70C2"/>
    <w:rsid w:val="008A7E0F"/>
    <w:rsid w:val="008B036A"/>
    <w:rsid w:val="008B04C4"/>
    <w:rsid w:val="008B05BF"/>
    <w:rsid w:val="008B12F5"/>
    <w:rsid w:val="008B1854"/>
    <w:rsid w:val="008B1F4E"/>
    <w:rsid w:val="008B25B9"/>
    <w:rsid w:val="008B2FF1"/>
    <w:rsid w:val="008B392F"/>
    <w:rsid w:val="008B3FB6"/>
    <w:rsid w:val="008B4181"/>
    <w:rsid w:val="008B45D3"/>
    <w:rsid w:val="008B53AC"/>
    <w:rsid w:val="008B6925"/>
    <w:rsid w:val="008C0854"/>
    <w:rsid w:val="008C0BF0"/>
    <w:rsid w:val="008C1801"/>
    <w:rsid w:val="008C23E1"/>
    <w:rsid w:val="008C24EB"/>
    <w:rsid w:val="008C31A0"/>
    <w:rsid w:val="008C38E4"/>
    <w:rsid w:val="008C3F7F"/>
    <w:rsid w:val="008C439A"/>
    <w:rsid w:val="008C43C7"/>
    <w:rsid w:val="008C5A53"/>
    <w:rsid w:val="008C5DDF"/>
    <w:rsid w:val="008C6086"/>
    <w:rsid w:val="008C697E"/>
    <w:rsid w:val="008C6BA3"/>
    <w:rsid w:val="008C6EC0"/>
    <w:rsid w:val="008C7915"/>
    <w:rsid w:val="008C7D0F"/>
    <w:rsid w:val="008D18CE"/>
    <w:rsid w:val="008D1964"/>
    <w:rsid w:val="008D1B59"/>
    <w:rsid w:val="008D2CBF"/>
    <w:rsid w:val="008D3285"/>
    <w:rsid w:val="008D424D"/>
    <w:rsid w:val="008D4797"/>
    <w:rsid w:val="008D52CD"/>
    <w:rsid w:val="008D534E"/>
    <w:rsid w:val="008D5891"/>
    <w:rsid w:val="008D605F"/>
    <w:rsid w:val="008D6A72"/>
    <w:rsid w:val="008D733E"/>
    <w:rsid w:val="008D768D"/>
    <w:rsid w:val="008E01CE"/>
    <w:rsid w:val="008E062C"/>
    <w:rsid w:val="008E0E77"/>
    <w:rsid w:val="008E2683"/>
    <w:rsid w:val="008E2A7E"/>
    <w:rsid w:val="008E2DB4"/>
    <w:rsid w:val="008E3293"/>
    <w:rsid w:val="008E34A8"/>
    <w:rsid w:val="008E3759"/>
    <w:rsid w:val="008E47BE"/>
    <w:rsid w:val="008E491E"/>
    <w:rsid w:val="008E4E4B"/>
    <w:rsid w:val="008E5087"/>
    <w:rsid w:val="008E6366"/>
    <w:rsid w:val="008E7103"/>
    <w:rsid w:val="008F0751"/>
    <w:rsid w:val="008F0F58"/>
    <w:rsid w:val="008F1912"/>
    <w:rsid w:val="008F2390"/>
    <w:rsid w:val="008F24EA"/>
    <w:rsid w:val="008F2652"/>
    <w:rsid w:val="008F2A5B"/>
    <w:rsid w:val="008F3AA0"/>
    <w:rsid w:val="008F3FAF"/>
    <w:rsid w:val="008F420B"/>
    <w:rsid w:val="008F6EDC"/>
    <w:rsid w:val="008F7640"/>
    <w:rsid w:val="008F7B39"/>
    <w:rsid w:val="0090000A"/>
    <w:rsid w:val="00900728"/>
    <w:rsid w:val="00901E95"/>
    <w:rsid w:val="0090270B"/>
    <w:rsid w:val="00903947"/>
    <w:rsid w:val="0090399F"/>
    <w:rsid w:val="009041DC"/>
    <w:rsid w:val="00904D0E"/>
    <w:rsid w:val="009062E1"/>
    <w:rsid w:val="0090761A"/>
    <w:rsid w:val="0091011E"/>
    <w:rsid w:val="00910AA5"/>
    <w:rsid w:val="00911F4F"/>
    <w:rsid w:val="00912327"/>
    <w:rsid w:val="0091297C"/>
    <w:rsid w:val="00913125"/>
    <w:rsid w:val="00913522"/>
    <w:rsid w:val="00913BEC"/>
    <w:rsid w:val="00913C5C"/>
    <w:rsid w:val="0091525C"/>
    <w:rsid w:val="00916765"/>
    <w:rsid w:val="00917196"/>
    <w:rsid w:val="00917905"/>
    <w:rsid w:val="00917B5A"/>
    <w:rsid w:val="00920A58"/>
    <w:rsid w:val="00920A77"/>
    <w:rsid w:val="00920A8C"/>
    <w:rsid w:val="00921A39"/>
    <w:rsid w:val="0092250F"/>
    <w:rsid w:val="00924DAB"/>
    <w:rsid w:val="009256DD"/>
    <w:rsid w:val="009264A8"/>
    <w:rsid w:val="00926FA8"/>
    <w:rsid w:val="00927E59"/>
    <w:rsid w:val="00927F32"/>
    <w:rsid w:val="009309AC"/>
    <w:rsid w:val="00931168"/>
    <w:rsid w:val="009337FC"/>
    <w:rsid w:val="00933999"/>
    <w:rsid w:val="00934A2C"/>
    <w:rsid w:val="0093767D"/>
    <w:rsid w:val="00940FDE"/>
    <w:rsid w:val="00942424"/>
    <w:rsid w:val="00942425"/>
    <w:rsid w:val="0094270F"/>
    <w:rsid w:val="00942A89"/>
    <w:rsid w:val="00944D46"/>
    <w:rsid w:val="00945210"/>
    <w:rsid w:val="0094523B"/>
    <w:rsid w:val="009458B2"/>
    <w:rsid w:val="00945A3A"/>
    <w:rsid w:val="00946133"/>
    <w:rsid w:val="009464AE"/>
    <w:rsid w:val="00946A6F"/>
    <w:rsid w:val="00946CFE"/>
    <w:rsid w:val="0094743D"/>
    <w:rsid w:val="009474D6"/>
    <w:rsid w:val="009504A0"/>
    <w:rsid w:val="00950C19"/>
    <w:rsid w:val="00950FE2"/>
    <w:rsid w:val="00951388"/>
    <w:rsid w:val="009523C6"/>
    <w:rsid w:val="00952C42"/>
    <w:rsid w:val="009532B4"/>
    <w:rsid w:val="009542DE"/>
    <w:rsid w:val="0095469A"/>
    <w:rsid w:val="009568DB"/>
    <w:rsid w:val="00960104"/>
    <w:rsid w:val="009606A3"/>
    <w:rsid w:val="0096239D"/>
    <w:rsid w:val="009623D1"/>
    <w:rsid w:val="0096277A"/>
    <w:rsid w:val="009632A8"/>
    <w:rsid w:val="00963704"/>
    <w:rsid w:val="00964318"/>
    <w:rsid w:val="009643DE"/>
    <w:rsid w:val="00964AA8"/>
    <w:rsid w:val="00964D2F"/>
    <w:rsid w:val="00965657"/>
    <w:rsid w:val="0096706E"/>
    <w:rsid w:val="009672E5"/>
    <w:rsid w:val="00967BDE"/>
    <w:rsid w:val="0097032A"/>
    <w:rsid w:val="00970A76"/>
    <w:rsid w:val="00970E90"/>
    <w:rsid w:val="009712E2"/>
    <w:rsid w:val="00971624"/>
    <w:rsid w:val="009721AC"/>
    <w:rsid w:val="009736BF"/>
    <w:rsid w:val="00973A2A"/>
    <w:rsid w:val="00973BC1"/>
    <w:rsid w:val="00973F09"/>
    <w:rsid w:val="0097436C"/>
    <w:rsid w:val="00974376"/>
    <w:rsid w:val="00974A49"/>
    <w:rsid w:val="0097536E"/>
    <w:rsid w:val="00975401"/>
    <w:rsid w:val="00975C4E"/>
    <w:rsid w:val="00976792"/>
    <w:rsid w:val="00976E8F"/>
    <w:rsid w:val="0097702A"/>
    <w:rsid w:val="00977209"/>
    <w:rsid w:val="0098080F"/>
    <w:rsid w:val="00980F22"/>
    <w:rsid w:val="00981BFE"/>
    <w:rsid w:val="00981F8C"/>
    <w:rsid w:val="00981FBA"/>
    <w:rsid w:val="009829B6"/>
    <w:rsid w:val="00982F74"/>
    <w:rsid w:val="009834F2"/>
    <w:rsid w:val="0098469E"/>
    <w:rsid w:val="00984AD9"/>
    <w:rsid w:val="00985C09"/>
    <w:rsid w:val="00987B7C"/>
    <w:rsid w:val="0099063F"/>
    <w:rsid w:val="00990C03"/>
    <w:rsid w:val="00991791"/>
    <w:rsid w:val="0099192E"/>
    <w:rsid w:val="00993FA0"/>
    <w:rsid w:val="0099626D"/>
    <w:rsid w:val="00996E8A"/>
    <w:rsid w:val="00997853"/>
    <w:rsid w:val="00997BC5"/>
    <w:rsid w:val="00997D68"/>
    <w:rsid w:val="00997DB0"/>
    <w:rsid w:val="009A0FDB"/>
    <w:rsid w:val="009A1F56"/>
    <w:rsid w:val="009A28B8"/>
    <w:rsid w:val="009A2B81"/>
    <w:rsid w:val="009A2BC4"/>
    <w:rsid w:val="009A2F02"/>
    <w:rsid w:val="009A39BE"/>
    <w:rsid w:val="009A42CE"/>
    <w:rsid w:val="009A47F0"/>
    <w:rsid w:val="009A4F41"/>
    <w:rsid w:val="009A54EA"/>
    <w:rsid w:val="009A552C"/>
    <w:rsid w:val="009A5CC7"/>
    <w:rsid w:val="009A6AB8"/>
    <w:rsid w:val="009A6CA9"/>
    <w:rsid w:val="009A6E91"/>
    <w:rsid w:val="009A7DF3"/>
    <w:rsid w:val="009A7F71"/>
    <w:rsid w:val="009B090B"/>
    <w:rsid w:val="009B1B71"/>
    <w:rsid w:val="009B1DB8"/>
    <w:rsid w:val="009B2E24"/>
    <w:rsid w:val="009B2F1F"/>
    <w:rsid w:val="009B381B"/>
    <w:rsid w:val="009B4208"/>
    <w:rsid w:val="009B53BB"/>
    <w:rsid w:val="009B6010"/>
    <w:rsid w:val="009B646B"/>
    <w:rsid w:val="009B66A7"/>
    <w:rsid w:val="009B6844"/>
    <w:rsid w:val="009B6A16"/>
    <w:rsid w:val="009B6CE9"/>
    <w:rsid w:val="009B7007"/>
    <w:rsid w:val="009B7205"/>
    <w:rsid w:val="009C03E7"/>
    <w:rsid w:val="009C0F80"/>
    <w:rsid w:val="009C286B"/>
    <w:rsid w:val="009C2969"/>
    <w:rsid w:val="009C42CF"/>
    <w:rsid w:val="009C4E3F"/>
    <w:rsid w:val="009C5E57"/>
    <w:rsid w:val="009C61A8"/>
    <w:rsid w:val="009C6500"/>
    <w:rsid w:val="009D026D"/>
    <w:rsid w:val="009D02E9"/>
    <w:rsid w:val="009D09C6"/>
    <w:rsid w:val="009D0D1A"/>
    <w:rsid w:val="009D13FF"/>
    <w:rsid w:val="009D1753"/>
    <w:rsid w:val="009D2581"/>
    <w:rsid w:val="009D2FC4"/>
    <w:rsid w:val="009D38E8"/>
    <w:rsid w:val="009D4529"/>
    <w:rsid w:val="009D4D8C"/>
    <w:rsid w:val="009D5A93"/>
    <w:rsid w:val="009D6195"/>
    <w:rsid w:val="009D6644"/>
    <w:rsid w:val="009D69DC"/>
    <w:rsid w:val="009D7611"/>
    <w:rsid w:val="009E087A"/>
    <w:rsid w:val="009E0B61"/>
    <w:rsid w:val="009E14EB"/>
    <w:rsid w:val="009E1613"/>
    <w:rsid w:val="009E18D1"/>
    <w:rsid w:val="009E4E6F"/>
    <w:rsid w:val="009E53DE"/>
    <w:rsid w:val="009E5770"/>
    <w:rsid w:val="009E5B17"/>
    <w:rsid w:val="009E70F6"/>
    <w:rsid w:val="009F0583"/>
    <w:rsid w:val="009F0754"/>
    <w:rsid w:val="009F0B9A"/>
    <w:rsid w:val="009F11A4"/>
    <w:rsid w:val="009F2A55"/>
    <w:rsid w:val="009F2CA6"/>
    <w:rsid w:val="009F3D9F"/>
    <w:rsid w:val="009F60B9"/>
    <w:rsid w:val="009F6A07"/>
    <w:rsid w:val="009F7CE7"/>
    <w:rsid w:val="009F7ECB"/>
    <w:rsid w:val="00A0001D"/>
    <w:rsid w:val="00A00256"/>
    <w:rsid w:val="00A0029B"/>
    <w:rsid w:val="00A004A4"/>
    <w:rsid w:val="00A011F2"/>
    <w:rsid w:val="00A012E8"/>
    <w:rsid w:val="00A0172C"/>
    <w:rsid w:val="00A03C2D"/>
    <w:rsid w:val="00A03F88"/>
    <w:rsid w:val="00A040A7"/>
    <w:rsid w:val="00A04863"/>
    <w:rsid w:val="00A05D6B"/>
    <w:rsid w:val="00A076EC"/>
    <w:rsid w:val="00A100C7"/>
    <w:rsid w:val="00A1213E"/>
    <w:rsid w:val="00A13E9A"/>
    <w:rsid w:val="00A13F1C"/>
    <w:rsid w:val="00A141F5"/>
    <w:rsid w:val="00A1521A"/>
    <w:rsid w:val="00A163CA"/>
    <w:rsid w:val="00A165CD"/>
    <w:rsid w:val="00A16958"/>
    <w:rsid w:val="00A16ADF"/>
    <w:rsid w:val="00A17D49"/>
    <w:rsid w:val="00A20979"/>
    <w:rsid w:val="00A21E41"/>
    <w:rsid w:val="00A2213B"/>
    <w:rsid w:val="00A229B0"/>
    <w:rsid w:val="00A22F29"/>
    <w:rsid w:val="00A2392E"/>
    <w:rsid w:val="00A2399E"/>
    <w:rsid w:val="00A24101"/>
    <w:rsid w:val="00A246E2"/>
    <w:rsid w:val="00A24E7D"/>
    <w:rsid w:val="00A25764"/>
    <w:rsid w:val="00A25BE3"/>
    <w:rsid w:val="00A25F0B"/>
    <w:rsid w:val="00A263CE"/>
    <w:rsid w:val="00A26A8B"/>
    <w:rsid w:val="00A27F89"/>
    <w:rsid w:val="00A30619"/>
    <w:rsid w:val="00A31081"/>
    <w:rsid w:val="00A31AD5"/>
    <w:rsid w:val="00A3257B"/>
    <w:rsid w:val="00A328B3"/>
    <w:rsid w:val="00A33E1F"/>
    <w:rsid w:val="00A344D5"/>
    <w:rsid w:val="00A35225"/>
    <w:rsid w:val="00A35780"/>
    <w:rsid w:val="00A357C2"/>
    <w:rsid w:val="00A360FE"/>
    <w:rsid w:val="00A361A1"/>
    <w:rsid w:val="00A36717"/>
    <w:rsid w:val="00A3675E"/>
    <w:rsid w:val="00A36E0C"/>
    <w:rsid w:val="00A37BAC"/>
    <w:rsid w:val="00A403EE"/>
    <w:rsid w:val="00A4044F"/>
    <w:rsid w:val="00A412C1"/>
    <w:rsid w:val="00A435F8"/>
    <w:rsid w:val="00A43DD3"/>
    <w:rsid w:val="00A44222"/>
    <w:rsid w:val="00A46E7B"/>
    <w:rsid w:val="00A474A3"/>
    <w:rsid w:val="00A4799A"/>
    <w:rsid w:val="00A47A11"/>
    <w:rsid w:val="00A47B57"/>
    <w:rsid w:val="00A47F90"/>
    <w:rsid w:val="00A50C48"/>
    <w:rsid w:val="00A50C9A"/>
    <w:rsid w:val="00A50FCF"/>
    <w:rsid w:val="00A51401"/>
    <w:rsid w:val="00A51570"/>
    <w:rsid w:val="00A528D1"/>
    <w:rsid w:val="00A53D1E"/>
    <w:rsid w:val="00A54211"/>
    <w:rsid w:val="00A547F1"/>
    <w:rsid w:val="00A5524E"/>
    <w:rsid w:val="00A600D9"/>
    <w:rsid w:val="00A6015F"/>
    <w:rsid w:val="00A60F16"/>
    <w:rsid w:val="00A61079"/>
    <w:rsid w:val="00A610CD"/>
    <w:rsid w:val="00A61733"/>
    <w:rsid w:val="00A62481"/>
    <w:rsid w:val="00A63A65"/>
    <w:rsid w:val="00A63CA9"/>
    <w:rsid w:val="00A64EB0"/>
    <w:rsid w:val="00A65194"/>
    <w:rsid w:val="00A6559C"/>
    <w:rsid w:val="00A656B1"/>
    <w:rsid w:val="00A65C91"/>
    <w:rsid w:val="00A65D14"/>
    <w:rsid w:val="00A65DA7"/>
    <w:rsid w:val="00A667B3"/>
    <w:rsid w:val="00A67725"/>
    <w:rsid w:val="00A70B72"/>
    <w:rsid w:val="00A717EF"/>
    <w:rsid w:val="00A71B42"/>
    <w:rsid w:val="00A72782"/>
    <w:rsid w:val="00A72B47"/>
    <w:rsid w:val="00A73C4A"/>
    <w:rsid w:val="00A73D11"/>
    <w:rsid w:val="00A74620"/>
    <w:rsid w:val="00A74B3D"/>
    <w:rsid w:val="00A7518A"/>
    <w:rsid w:val="00A76B23"/>
    <w:rsid w:val="00A77121"/>
    <w:rsid w:val="00A800BC"/>
    <w:rsid w:val="00A81E14"/>
    <w:rsid w:val="00A82014"/>
    <w:rsid w:val="00A822D9"/>
    <w:rsid w:val="00A82EB0"/>
    <w:rsid w:val="00A833AE"/>
    <w:rsid w:val="00A83473"/>
    <w:rsid w:val="00A83560"/>
    <w:rsid w:val="00A836AC"/>
    <w:rsid w:val="00A85002"/>
    <w:rsid w:val="00A85F06"/>
    <w:rsid w:val="00A86A9F"/>
    <w:rsid w:val="00A871CB"/>
    <w:rsid w:val="00A87A34"/>
    <w:rsid w:val="00A87ACD"/>
    <w:rsid w:val="00A902D6"/>
    <w:rsid w:val="00A9054A"/>
    <w:rsid w:val="00A90A1C"/>
    <w:rsid w:val="00A91E45"/>
    <w:rsid w:val="00A927F6"/>
    <w:rsid w:val="00A92E7B"/>
    <w:rsid w:val="00A939E6"/>
    <w:rsid w:val="00A950CC"/>
    <w:rsid w:val="00A956D6"/>
    <w:rsid w:val="00A957AD"/>
    <w:rsid w:val="00A9616F"/>
    <w:rsid w:val="00A975E0"/>
    <w:rsid w:val="00A97FBA"/>
    <w:rsid w:val="00AA053E"/>
    <w:rsid w:val="00AA09A2"/>
    <w:rsid w:val="00AA0D5E"/>
    <w:rsid w:val="00AA1776"/>
    <w:rsid w:val="00AA1B15"/>
    <w:rsid w:val="00AA2114"/>
    <w:rsid w:val="00AA2658"/>
    <w:rsid w:val="00AA277C"/>
    <w:rsid w:val="00AA29E3"/>
    <w:rsid w:val="00AA2D14"/>
    <w:rsid w:val="00AA2D31"/>
    <w:rsid w:val="00AA2E1C"/>
    <w:rsid w:val="00AA306F"/>
    <w:rsid w:val="00AA358F"/>
    <w:rsid w:val="00AA4860"/>
    <w:rsid w:val="00AA678A"/>
    <w:rsid w:val="00AA6B22"/>
    <w:rsid w:val="00AA6B69"/>
    <w:rsid w:val="00AA6FF4"/>
    <w:rsid w:val="00AA71FC"/>
    <w:rsid w:val="00AA77D4"/>
    <w:rsid w:val="00AA77DD"/>
    <w:rsid w:val="00AA7996"/>
    <w:rsid w:val="00AA7FE2"/>
    <w:rsid w:val="00AB1452"/>
    <w:rsid w:val="00AB1CA8"/>
    <w:rsid w:val="00AB1D6B"/>
    <w:rsid w:val="00AB2816"/>
    <w:rsid w:val="00AB4C88"/>
    <w:rsid w:val="00AB5748"/>
    <w:rsid w:val="00AB5D98"/>
    <w:rsid w:val="00AB656B"/>
    <w:rsid w:val="00AB66F4"/>
    <w:rsid w:val="00AB75D3"/>
    <w:rsid w:val="00AB7CEA"/>
    <w:rsid w:val="00AC014E"/>
    <w:rsid w:val="00AC0307"/>
    <w:rsid w:val="00AC0748"/>
    <w:rsid w:val="00AC0AAC"/>
    <w:rsid w:val="00AC0AD9"/>
    <w:rsid w:val="00AC0F07"/>
    <w:rsid w:val="00AC19CB"/>
    <w:rsid w:val="00AC1FBE"/>
    <w:rsid w:val="00AC258F"/>
    <w:rsid w:val="00AC2A11"/>
    <w:rsid w:val="00AC310A"/>
    <w:rsid w:val="00AC36D8"/>
    <w:rsid w:val="00AC3BD2"/>
    <w:rsid w:val="00AC4B69"/>
    <w:rsid w:val="00AC5591"/>
    <w:rsid w:val="00AC5A05"/>
    <w:rsid w:val="00AC68BF"/>
    <w:rsid w:val="00AC6F64"/>
    <w:rsid w:val="00AC72FA"/>
    <w:rsid w:val="00AC7B1A"/>
    <w:rsid w:val="00AD0007"/>
    <w:rsid w:val="00AD0D8B"/>
    <w:rsid w:val="00AD1A1E"/>
    <w:rsid w:val="00AD1E43"/>
    <w:rsid w:val="00AD27AC"/>
    <w:rsid w:val="00AD2C07"/>
    <w:rsid w:val="00AD4537"/>
    <w:rsid w:val="00AD5130"/>
    <w:rsid w:val="00AD539F"/>
    <w:rsid w:val="00AD65FF"/>
    <w:rsid w:val="00AD7DD5"/>
    <w:rsid w:val="00AE0AE8"/>
    <w:rsid w:val="00AE1327"/>
    <w:rsid w:val="00AE2140"/>
    <w:rsid w:val="00AE2324"/>
    <w:rsid w:val="00AE3878"/>
    <w:rsid w:val="00AE394B"/>
    <w:rsid w:val="00AE4DA0"/>
    <w:rsid w:val="00AE5236"/>
    <w:rsid w:val="00AE5488"/>
    <w:rsid w:val="00AE61D2"/>
    <w:rsid w:val="00AE6D89"/>
    <w:rsid w:val="00AE6F91"/>
    <w:rsid w:val="00AE79CA"/>
    <w:rsid w:val="00AE7A04"/>
    <w:rsid w:val="00AF1E8A"/>
    <w:rsid w:val="00AF2128"/>
    <w:rsid w:val="00AF28C8"/>
    <w:rsid w:val="00AF4243"/>
    <w:rsid w:val="00AF5571"/>
    <w:rsid w:val="00AF5917"/>
    <w:rsid w:val="00AF60B1"/>
    <w:rsid w:val="00AF760F"/>
    <w:rsid w:val="00B007CD"/>
    <w:rsid w:val="00B00F48"/>
    <w:rsid w:val="00B01B48"/>
    <w:rsid w:val="00B024FF"/>
    <w:rsid w:val="00B02F0E"/>
    <w:rsid w:val="00B0311C"/>
    <w:rsid w:val="00B03C2A"/>
    <w:rsid w:val="00B04480"/>
    <w:rsid w:val="00B0498F"/>
    <w:rsid w:val="00B05658"/>
    <w:rsid w:val="00B056A5"/>
    <w:rsid w:val="00B069F6"/>
    <w:rsid w:val="00B06D27"/>
    <w:rsid w:val="00B071E3"/>
    <w:rsid w:val="00B07341"/>
    <w:rsid w:val="00B07F80"/>
    <w:rsid w:val="00B104F6"/>
    <w:rsid w:val="00B1115E"/>
    <w:rsid w:val="00B11644"/>
    <w:rsid w:val="00B11D90"/>
    <w:rsid w:val="00B1233E"/>
    <w:rsid w:val="00B12F55"/>
    <w:rsid w:val="00B13E3A"/>
    <w:rsid w:val="00B146C5"/>
    <w:rsid w:val="00B1499D"/>
    <w:rsid w:val="00B14C98"/>
    <w:rsid w:val="00B14EDC"/>
    <w:rsid w:val="00B16340"/>
    <w:rsid w:val="00B166D1"/>
    <w:rsid w:val="00B1776A"/>
    <w:rsid w:val="00B178BE"/>
    <w:rsid w:val="00B206D2"/>
    <w:rsid w:val="00B21188"/>
    <w:rsid w:val="00B21CB2"/>
    <w:rsid w:val="00B2310B"/>
    <w:rsid w:val="00B232DF"/>
    <w:rsid w:val="00B2397B"/>
    <w:rsid w:val="00B24599"/>
    <w:rsid w:val="00B25A09"/>
    <w:rsid w:val="00B25CEA"/>
    <w:rsid w:val="00B26361"/>
    <w:rsid w:val="00B26364"/>
    <w:rsid w:val="00B30030"/>
    <w:rsid w:val="00B302CF"/>
    <w:rsid w:val="00B30539"/>
    <w:rsid w:val="00B314DB"/>
    <w:rsid w:val="00B32EF6"/>
    <w:rsid w:val="00B33AC0"/>
    <w:rsid w:val="00B33D1B"/>
    <w:rsid w:val="00B34D6F"/>
    <w:rsid w:val="00B34FCF"/>
    <w:rsid w:val="00B361F2"/>
    <w:rsid w:val="00B36C1B"/>
    <w:rsid w:val="00B3718B"/>
    <w:rsid w:val="00B376BD"/>
    <w:rsid w:val="00B376EC"/>
    <w:rsid w:val="00B37967"/>
    <w:rsid w:val="00B37987"/>
    <w:rsid w:val="00B4031E"/>
    <w:rsid w:val="00B41B82"/>
    <w:rsid w:val="00B42124"/>
    <w:rsid w:val="00B42A55"/>
    <w:rsid w:val="00B44234"/>
    <w:rsid w:val="00B44D0F"/>
    <w:rsid w:val="00B45AC7"/>
    <w:rsid w:val="00B45E8E"/>
    <w:rsid w:val="00B4632A"/>
    <w:rsid w:val="00B469C3"/>
    <w:rsid w:val="00B47222"/>
    <w:rsid w:val="00B50236"/>
    <w:rsid w:val="00B50969"/>
    <w:rsid w:val="00B50E7C"/>
    <w:rsid w:val="00B5105B"/>
    <w:rsid w:val="00B51201"/>
    <w:rsid w:val="00B51669"/>
    <w:rsid w:val="00B52B85"/>
    <w:rsid w:val="00B5302B"/>
    <w:rsid w:val="00B530F1"/>
    <w:rsid w:val="00B5316C"/>
    <w:rsid w:val="00B55126"/>
    <w:rsid w:val="00B55A8F"/>
    <w:rsid w:val="00B55C8E"/>
    <w:rsid w:val="00B55E40"/>
    <w:rsid w:val="00B6095B"/>
    <w:rsid w:val="00B6221C"/>
    <w:rsid w:val="00B62789"/>
    <w:rsid w:val="00B6307C"/>
    <w:rsid w:val="00B632FA"/>
    <w:rsid w:val="00B63CB9"/>
    <w:rsid w:val="00B650ED"/>
    <w:rsid w:val="00B6729D"/>
    <w:rsid w:val="00B674EA"/>
    <w:rsid w:val="00B67CA0"/>
    <w:rsid w:val="00B70119"/>
    <w:rsid w:val="00B70BF2"/>
    <w:rsid w:val="00B73241"/>
    <w:rsid w:val="00B7391E"/>
    <w:rsid w:val="00B75162"/>
    <w:rsid w:val="00B80AAF"/>
    <w:rsid w:val="00B8121A"/>
    <w:rsid w:val="00B8181F"/>
    <w:rsid w:val="00B81C23"/>
    <w:rsid w:val="00B829BE"/>
    <w:rsid w:val="00B834C2"/>
    <w:rsid w:val="00B836CC"/>
    <w:rsid w:val="00B83813"/>
    <w:rsid w:val="00B83820"/>
    <w:rsid w:val="00B843FE"/>
    <w:rsid w:val="00B851B0"/>
    <w:rsid w:val="00B8528E"/>
    <w:rsid w:val="00B86527"/>
    <w:rsid w:val="00B87244"/>
    <w:rsid w:val="00B87BCA"/>
    <w:rsid w:val="00B87EA0"/>
    <w:rsid w:val="00B90618"/>
    <w:rsid w:val="00B917E7"/>
    <w:rsid w:val="00B92BE6"/>
    <w:rsid w:val="00B9394C"/>
    <w:rsid w:val="00B93AA6"/>
    <w:rsid w:val="00B9424C"/>
    <w:rsid w:val="00B94523"/>
    <w:rsid w:val="00B969BC"/>
    <w:rsid w:val="00B97BF9"/>
    <w:rsid w:val="00BA0C3E"/>
    <w:rsid w:val="00BA1BEC"/>
    <w:rsid w:val="00BA1D72"/>
    <w:rsid w:val="00BA276C"/>
    <w:rsid w:val="00BA2CFC"/>
    <w:rsid w:val="00BA33CF"/>
    <w:rsid w:val="00BA35AD"/>
    <w:rsid w:val="00BA5C99"/>
    <w:rsid w:val="00BA6438"/>
    <w:rsid w:val="00BA6ADA"/>
    <w:rsid w:val="00BA722D"/>
    <w:rsid w:val="00BA74DC"/>
    <w:rsid w:val="00BB1673"/>
    <w:rsid w:val="00BB1B5B"/>
    <w:rsid w:val="00BB2233"/>
    <w:rsid w:val="00BB287E"/>
    <w:rsid w:val="00BB306F"/>
    <w:rsid w:val="00BB47DE"/>
    <w:rsid w:val="00BB550D"/>
    <w:rsid w:val="00BB5EA4"/>
    <w:rsid w:val="00BB7D15"/>
    <w:rsid w:val="00BC094B"/>
    <w:rsid w:val="00BC1AA6"/>
    <w:rsid w:val="00BC1D7E"/>
    <w:rsid w:val="00BC1DD2"/>
    <w:rsid w:val="00BC21A9"/>
    <w:rsid w:val="00BC41E0"/>
    <w:rsid w:val="00BC5683"/>
    <w:rsid w:val="00BC60F0"/>
    <w:rsid w:val="00BC7972"/>
    <w:rsid w:val="00BC7E5B"/>
    <w:rsid w:val="00BD1394"/>
    <w:rsid w:val="00BD1688"/>
    <w:rsid w:val="00BD224A"/>
    <w:rsid w:val="00BD2D09"/>
    <w:rsid w:val="00BD2EF5"/>
    <w:rsid w:val="00BD38FE"/>
    <w:rsid w:val="00BD3E0E"/>
    <w:rsid w:val="00BD4403"/>
    <w:rsid w:val="00BD4B89"/>
    <w:rsid w:val="00BD56A5"/>
    <w:rsid w:val="00BD5ACC"/>
    <w:rsid w:val="00BD5C94"/>
    <w:rsid w:val="00BD5D9B"/>
    <w:rsid w:val="00BD6044"/>
    <w:rsid w:val="00BD63E6"/>
    <w:rsid w:val="00BD6BB8"/>
    <w:rsid w:val="00BD6C0A"/>
    <w:rsid w:val="00BD6EA7"/>
    <w:rsid w:val="00BD7BB3"/>
    <w:rsid w:val="00BD7F7B"/>
    <w:rsid w:val="00BE0757"/>
    <w:rsid w:val="00BE0ACF"/>
    <w:rsid w:val="00BE0E54"/>
    <w:rsid w:val="00BE2028"/>
    <w:rsid w:val="00BE33B9"/>
    <w:rsid w:val="00BF01BC"/>
    <w:rsid w:val="00BF0985"/>
    <w:rsid w:val="00BF2A7B"/>
    <w:rsid w:val="00BF2C73"/>
    <w:rsid w:val="00BF3E90"/>
    <w:rsid w:val="00BF4938"/>
    <w:rsid w:val="00BF4F35"/>
    <w:rsid w:val="00BF509A"/>
    <w:rsid w:val="00BF5220"/>
    <w:rsid w:val="00BF55E7"/>
    <w:rsid w:val="00BF64F4"/>
    <w:rsid w:val="00BF6FD8"/>
    <w:rsid w:val="00BF720B"/>
    <w:rsid w:val="00BF7E3F"/>
    <w:rsid w:val="00BF7F72"/>
    <w:rsid w:val="00C00A0B"/>
    <w:rsid w:val="00C00B36"/>
    <w:rsid w:val="00C0108B"/>
    <w:rsid w:val="00C01FD6"/>
    <w:rsid w:val="00C0204A"/>
    <w:rsid w:val="00C023A3"/>
    <w:rsid w:val="00C02F8E"/>
    <w:rsid w:val="00C03680"/>
    <w:rsid w:val="00C03787"/>
    <w:rsid w:val="00C04198"/>
    <w:rsid w:val="00C048AC"/>
    <w:rsid w:val="00C04D7F"/>
    <w:rsid w:val="00C053DE"/>
    <w:rsid w:val="00C054DF"/>
    <w:rsid w:val="00C06A8D"/>
    <w:rsid w:val="00C070E5"/>
    <w:rsid w:val="00C07BF8"/>
    <w:rsid w:val="00C1079E"/>
    <w:rsid w:val="00C107D1"/>
    <w:rsid w:val="00C10D0C"/>
    <w:rsid w:val="00C116BD"/>
    <w:rsid w:val="00C1203D"/>
    <w:rsid w:val="00C145D7"/>
    <w:rsid w:val="00C148DA"/>
    <w:rsid w:val="00C1569D"/>
    <w:rsid w:val="00C159B6"/>
    <w:rsid w:val="00C16381"/>
    <w:rsid w:val="00C163B0"/>
    <w:rsid w:val="00C172F7"/>
    <w:rsid w:val="00C172FE"/>
    <w:rsid w:val="00C17930"/>
    <w:rsid w:val="00C21762"/>
    <w:rsid w:val="00C21A09"/>
    <w:rsid w:val="00C22D10"/>
    <w:rsid w:val="00C22D5B"/>
    <w:rsid w:val="00C244A4"/>
    <w:rsid w:val="00C24543"/>
    <w:rsid w:val="00C253A8"/>
    <w:rsid w:val="00C256A2"/>
    <w:rsid w:val="00C25921"/>
    <w:rsid w:val="00C26A77"/>
    <w:rsid w:val="00C26BBD"/>
    <w:rsid w:val="00C26C7E"/>
    <w:rsid w:val="00C26E03"/>
    <w:rsid w:val="00C31336"/>
    <w:rsid w:val="00C31CD1"/>
    <w:rsid w:val="00C32CB5"/>
    <w:rsid w:val="00C330D5"/>
    <w:rsid w:val="00C33163"/>
    <w:rsid w:val="00C34806"/>
    <w:rsid w:val="00C35DC2"/>
    <w:rsid w:val="00C3653D"/>
    <w:rsid w:val="00C36A3B"/>
    <w:rsid w:val="00C36D45"/>
    <w:rsid w:val="00C375E5"/>
    <w:rsid w:val="00C37900"/>
    <w:rsid w:val="00C408B7"/>
    <w:rsid w:val="00C41057"/>
    <w:rsid w:val="00C412F3"/>
    <w:rsid w:val="00C42BB9"/>
    <w:rsid w:val="00C445B3"/>
    <w:rsid w:val="00C448A3"/>
    <w:rsid w:val="00C45190"/>
    <w:rsid w:val="00C502DA"/>
    <w:rsid w:val="00C50385"/>
    <w:rsid w:val="00C50748"/>
    <w:rsid w:val="00C51515"/>
    <w:rsid w:val="00C52C05"/>
    <w:rsid w:val="00C52C06"/>
    <w:rsid w:val="00C530C1"/>
    <w:rsid w:val="00C53258"/>
    <w:rsid w:val="00C5484D"/>
    <w:rsid w:val="00C557C6"/>
    <w:rsid w:val="00C557EF"/>
    <w:rsid w:val="00C558A4"/>
    <w:rsid w:val="00C5660B"/>
    <w:rsid w:val="00C56A8F"/>
    <w:rsid w:val="00C5719D"/>
    <w:rsid w:val="00C603DF"/>
    <w:rsid w:val="00C6161D"/>
    <w:rsid w:val="00C641BB"/>
    <w:rsid w:val="00C64706"/>
    <w:rsid w:val="00C657C7"/>
    <w:rsid w:val="00C65B61"/>
    <w:rsid w:val="00C66B72"/>
    <w:rsid w:val="00C66EE9"/>
    <w:rsid w:val="00C6779A"/>
    <w:rsid w:val="00C67E88"/>
    <w:rsid w:val="00C67F7A"/>
    <w:rsid w:val="00C716EB"/>
    <w:rsid w:val="00C7388F"/>
    <w:rsid w:val="00C740AA"/>
    <w:rsid w:val="00C7448C"/>
    <w:rsid w:val="00C74651"/>
    <w:rsid w:val="00C74827"/>
    <w:rsid w:val="00C74D56"/>
    <w:rsid w:val="00C76603"/>
    <w:rsid w:val="00C772FD"/>
    <w:rsid w:val="00C77518"/>
    <w:rsid w:val="00C77B4F"/>
    <w:rsid w:val="00C836FF"/>
    <w:rsid w:val="00C848FA"/>
    <w:rsid w:val="00C85586"/>
    <w:rsid w:val="00C85E34"/>
    <w:rsid w:val="00C86856"/>
    <w:rsid w:val="00C8732B"/>
    <w:rsid w:val="00C877FC"/>
    <w:rsid w:val="00C87FE3"/>
    <w:rsid w:val="00C90594"/>
    <w:rsid w:val="00C90650"/>
    <w:rsid w:val="00C92C2B"/>
    <w:rsid w:val="00C93866"/>
    <w:rsid w:val="00C953F7"/>
    <w:rsid w:val="00C9567A"/>
    <w:rsid w:val="00C95875"/>
    <w:rsid w:val="00C95E69"/>
    <w:rsid w:val="00C96C81"/>
    <w:rsid w:val="00CA06C0"/>
    <w:rsid w:val="00CA1278"/>
    <w:rsid w:val="00CA27C6"/>
    <w:rsid w:val="00CA4B0F"/>
    <w:rsid w:val="00CA4E46"/>
    <w:rsid w:val="00CA64AC"/>
    <w:rsid w:val="00CA65D6"/>
    <w:rsid w:val="00CA6B50"/>
    <w:rsid w:val="00CA7451"/>
    <w:rsid w:val="00CA782D"/>
    <w:rsid w:val="00CB0630"/>
    <w:rsid w:val="00CB0D53"/>
    <w:rsid w:val="00CB19A5"/>
    <w:rsid w:val="00CB19D7"/>
    <w:rsid w:val="00CB212D"/>
    <w:rsid w:val="00CB2660"/>
    <w:rsid w:val="00CB44B4"/>
    <w:rsid w:val="00CB467C"/>
    <w:rsid w:val="00CB67B9"/>
    <w:rsid w:val="00CB7249"/>
    <w:rsid w:val="00CB7A07"/>
    <w:rsid w:val="00CB7D5A"/>
    <w:rsid w:val="00CC1718"/>
    <w:rsid w:val="00CC2B96"/>
    <w:rsid w:val="00CC39A5"/>
    <w:rsid w:val="00CC4CDC"/>
    <w:rsid w:val="00CC513E"/>
    <w:rsid w:val="00CC52E3"/>
    <w:rsid w:val="00CC5E90"/>
    <w:rsid w:val="00CC61E3"/>
    <w:rsid w:val="00CC6827"/>
    <w:rsid w:val="00CC6E48"/>
    <w:rsid w:val="00CC75F5"/>
    <w:rsid w:val="00CC774E"/>
    <w:rsid w:val="00CD02E3"/>
    <w:rsid w:val="00CD046C"/>
    <w:rsid w:val="00CD04FD"/>
    <w:rsid w:val="00CD0ACE"/>
    <w:rsid w:val="00CD4A93"/>
    <w:rsid w:val="00CD5E9E"/>
    <w:rsid w:val="00CD7634"/>
    <w:rsid w:val="00CE076C"/>
    <w:rsid w:val="00CE09A1"/>
    <w:rsid w:val="00CE0DC3"/>
    <w:rsid w:val="00CE0FA0"/>
    <w:rsid w:val="00CE1937"/>
    <w:rsid w:val="00CE2965"/>
    <w:rsid w:val="00CE32FA"/>
    <w:rsid w:val="00CE3369"/>
    <w:rsid w:val="00CE3E0C"/>
    <w:rsid w:val="00CE429B"/>
    <w:rsid w:val="00CE451A"/>
    <w:rsid w:val="00CE4546"/>
    <w:rsid w:val="00CE4792"/>
    <w:rsid w:val="00CE5199"/>
    <w:rsid w:val="00CE5558"/>
    <w:rsid w:val="00CE6553"/>
    <w:rsid w:val="00CE66D5"/>
    <w:rsid w:val="00CE7172"/>
    <w:rsid w:val="00CE7D4B"/>
    <w:rsid w:val="00CF1BE1"/>
    <w:rsid w:val="00CF2833"/>
    <w:rsid w:val="00CF3E4C"/>
    <w:rsid w:val="00CF44F0"/>
    <w:rsid w:val="00CF5B36"/>
    <w:rsid w:val="00CF5D1C"/>
    <w:rsid w:val="00CF5FD5"/>
    <w:rsid w:val="00CF637A"/>
    <w:rsid w:val="00CF744B"/>
    <w:rsid w:val="00D01FF8"/>
    <w:rsid w:val="00D02ED2"/>
    <w:rsid w:val="00D02F20"/>
    <w:rsid w:val="00D02F80"/>
    <w:rsid w:val="00D03992"/>
    <w:rsid w:val="00D03DC5"/>
    <w:rsid w:val="00D0549C"/>
    <w:rsid w:val="00D05695"/>
    <w:rsid w:val="00D059DE"/>
    <w:rsid w:val="00D05F2F"/>
    <w:rsid w:val="00D064F4"/>
    <w:rsid w:val="00D064F7"/>
    <w:rsid w:val="00D06BD3"/>
    <w:rsid w:val="00D07150"/>
    <w:rsid w:val="00D075B0"/>
    <w:rsid w:val="00D10A28"/>
    <w:rsid w:val="00D10C84"/>
    <w:rsid w:val="00D110D7"/>
    <w:rsid w:val="00D12582"/>
    <w:rsid w:val="00D12742"/>
    <w:rsid w:val="00D13FCE"/>
    <w:rsid w:val="00D153E0"/>
    <w:rsid w:val="00D155CF"/>
    <w:rsid w:val="00D1656C"/>
    <w:rsid w:val="00D16668"/>
    <w:rsid w:val="00D168ED"/>
    <w:rsid w:val="00D221BC"/>
    <w:rsid w:val="00D22671"/>
    <w:rsid w:val="00D22CD4"/>
    <w:rsid w:val="00D2300F"/>
    <w:rsid w:val="00D23051"/>
    <w:rsid w:val="00D2313B"/>
    <w:rsid w:val="00D234DD"/>
    <w:rsid w:val="00D23C12"/>
    <w:rsid w:val="00D23ED3"/>
    <w:rsid w:val="00D2488D"/>
    <w:rsid w:val="00D24C8D"/>
    <w:rsid w:val="00D255DB"/>
    <w:rsid w:val="00D2631F"/>
    <w:rsid w:val="00D2703D"/>
    <w:rsid w:val="00D271A8"/>
    <w:rsid w:val="00D27374"/>
    <w:rsid w:val="00D306D1"/>
    <w:rsid w:val="00D30C33"/>
    <w:rsid w:val="00D31043"/>
    <w:rsid w:val="00D32338"/>
    <w:rsid w:val="00D328B9"/>
    <w:rsid w:val="00D3424B"/>
    <w:rsid w:val="00D34786"/>
    <w:rsid w:val="00D349B1"/>
    <w:rsid w:val="00D34AEB"/>
    <w:rsid w:val="00D35323"/>
    <w:rsid w:val="00D35F99"/>
    <w:rsid w:val="00D374C2"/>
    <w:rsid w:val="00D377B9"/>
    <w:rsid w:val="00D37BFC"/>
    <w:rsid w:val="00D4004F"/>
    <w:rsid w:val="00D41C8C"/>
    <w:rsid w:val="00D41E96"/>
    <w:rsid w:val="00D422E2"/>
    <w:rsid w:val="00D4285A"/>
    <w:rsid w:val="00D42BC8"/>
    <w:rsid w:val="00D43266"/>
    <w:rsid w:val="00D44150"/>
    <w:rsid w:val="00D44564"/>
    <w:rsid w:val="00D454E9"/>
    <w:rsid w:val="00D45901"/>
    <w:rsid w:val="00D468D9"/>
    <w:rsid w:val="00D46CE5"/>
    <w:rsid w:val="00D47A8E"/>
    <w:rsid w:val="00D47DC9"/>
    <w:rsid w:val="00D50103"/>
    <w:rsid w:val="00D50ADB"/>
    <w:rsid w:val="00D519DA"/>
    <w:rsid w:val="00D52D14"/>
    <w:rsid w:val="00D52EAC"/>
    <w:rsid w:val="00D53748"/>
    <w:rsid w:val="00D558CF"/>
    <w:rsid w:val="00D56E0D"/>
    <w:rsid w:val="00D57C19"/>
    <w:rsid w:val="00D6054D"/>
    <w:rsid w:val="00D60DF1"/>
    <w:rsid w:val="00D62920"/>
    <w:rsid w:val="00D62E3A"/>
    <w:rsid w:val="00D62F47"/>
    <w:rsid w:val="00D632AC"/>
    <w:rsid w:val="00D639A7"/>
    <w:rsid w:val="00D64A61"/>
    <w:rsid w:val="00D654F2"/>
    <w:rsid w:val="00D65BD6"/>
    <w:rsid w:val="00D67BDE"/>
    <w:rsid w:val="00D70488"/>
    <w:rsid w:val="00D712D3"/>
    <w:rsid w:val="00D71422"/>
    <w:rsid w:val="00D71DFE"/>
    <w:rsid w:val="00D72C98"/>
    <w:rsid w:val="00D72DC6"/>
    <w:rsid w:val="00D7318D"/>
    <w:rsid w:val="00D744C5"/>
    <w:rsid w:val="00D745D6"/>
    <w:rsid w:val="00D74723"/>
    <w:rsid w:val="00D74EA6"/>
    <w:rsid w:val="00D7558D"/>
    <w:rsid w:val="00D75EF6"/>
    <w:rsid w:val="00D76992"/>
    <w:rsid w:val="00D76CC9"/>
    <w:rsid w:val="00D77BE6"/>
    <w:rsid w:val="00D800E5"/>
    <w:rsid w:val="00D8126C"/>
    <w:rsid w:val="00D813D8"/>
    <w:rsid w:val="00D81678"/>
    <w:rsid w:val="00D81D92"/>
    <w:rsid w:val="00D8290B"/>
    <w:rsid w:val="00D8352E"/>
    <w:rsid w:val="00D83BA1"/>
    <w:rsid w:val="00D84473"/>
    <w:rsid w:val="00D84474"/>
    <w:rsid w:val="00D84FBE"/>
    <w:rsid w:val="00D85B9D"/>
    <w:rsid w:val="00D869E9"/>
    <w:rsid w:val="00D87BAF"/>
    <w:rsid w:val="00D907EC"/>
    <w:rsid w:val="00D91341"/>
    <w:rsid w:val="00D9309C"/>
    <w:rsid w:val="00D93353"/>
    <w:rsid w:val="00D9349C"/>
    <w:rsid w:val="00D946CB"/>
    <w:rsid w:val="00D9609C"/>
    <w:rsid w:val="00D968E2"/>
    <w:rsid w:val="00D96FBC"/>
    <w:rsid w:val="00D97550"/>
    <w:rsid w:val="00D9773A"/>
    <w:rsid w:val="00DA04C5"/>
    <w:rsid w:val="00DA15F9"/>
    <w:rsid w:val="00DA224D"/>
    <w:rsid w:val="00DA2727"/>
    <w:rsid w:val="00DA582D"/>
    <w:rsid w:val="00DA6284"/>
    <w:rsid w:val="00DA63B1"/>
    <w:rsid w:val="00DA70FE"/>
    <w:rsid w:val="00DA7B5F"/>
    <w:rsid w:val="00DB04A3"/>
    <w:rsid w:val="00DB100B"/>
    <w:rsid w:val="00DB11D8"/>
    <w:rsid w:val="00DB20E5"/>
    <w:rsid w:val="00DB278D"/>
    <w:rsid w:val="00DB2E96"/>
    <w:rsid w:val="00DB3F7E"/>
    <w:rsid w:val="00DB60CE"/>
    <w:rsid w:val="00DB630C"/>
    <w:rsid w:val="00DB6370"/>
    <w:rsid w:val="00DB7353"/>
    <w:rsid w:val="00DB7573"/>
    <w:rsid w:val="00DB75FD"/>
    <w:rsid w:val="00DB7DF9"/>
    <w:rsid w:val="00DC08AB"/>
    <w:rsid w:val="00DC09FD"/>
    <w:rsid w:val="00DC100B"/>
    <w:rsid w:val="00DC11E7"/>
    <w:rsid w:val="00DC1E11"/>
    <w:rsid w:val="00DC2CC7"/>
    <w:rsid w:val="00DC3715"/>
    <w:rsid w:val="00DC3CE7"/>
    <w:rsid w:val="00DC3DB1"/>
    <w:rsid w:val="00DC45B4"/>
    <w:rsid w:val="00DC4B80"/>
    <w:rsid w:val="00DC4EA4"/>
    <w:rsid w:val="00DC5D69"/>
    <w:rsid w:val="00DC6573"/>
    <w:rsid w:val="00DC6B2F"/>
    <w:rsid w:val="00DC7023"/>
    <w:rsid w:val="00DC769A"/>
    <w:rsid w:val="00DC78E3"/>
    <w:rsid w:val="00DC79B8"/>
    <w:rsid w:val="00DD07B7"/>
    <w:rsid w:val="00DD1211"/>
    <w:rsid w:val="00DD1E88"/>
    <w:rsid w:val="00DD3D86"/>
    <w:rsid w:val="00DD4794"/>
    <w:rsid w:val="00DD514A"/>
    <w:rsid w:val="00DD5403"/>
    <w:rsid w:val="00DD6188"/>
    <w:rsid w:val="00DD739D"/>
    <w:rsid w:val="00DE058A"/>
    <w:rsid w:val="00DE0941"/>
    <w:rsid w:val="00DE0C1A"/>
    <w:rsid w:val="00DE127D"/>
    <w:rsid w:val="00DE25B8"/>
    <w:rsid w:val="00DE26F2"/>
    <w:rsid w:val="00DE2F95"/>
    <w:rsid w:val="00DE3E5E"/>
    <w:rsid w:val="00DE425A"/>
    <w:rsid w:val="00DE4303"/>
    <w:rsid w:val="00DE4A12"/>
    <w:rsid w:val="00DE567C"/>
    <w:rsid w:val="00DE73E3"/>
    <w:rsid w:val="00DE743D"/>
    <w:rsid w:val="00DE7484"/>
    <w:rsid w:val="00DE7823"/>
    <w:rsid w:val="00DF087D"/>
    <w:rsid w:val="00DF0F0C"/>
    <w:rsid w:val="00DF1848"/>
    <w:rsid w:val="00DF1B00"/>
    <w:rsid w:val="00DF1E94"/>
    <w:rsid w:val="00DF1EC4"/>
    <w:rsid w:val="00DF1F6C"/>
    <w:rsid w:val="00DF329B"/>
    <w:rsid w:val="00DF3843"/>
    <w:rsid w:val="00DF3A5E"/>
    <w:rsid w:val="00DF3D15"/>
    <w:rsid w:val="00DF5AC4"/>
    <w:rsid w:val="00E02555"/>
    <w:rsid w:val="00E02FFA"/>
    <w:rsid w:val="00E0340B"/>
    <w:rsid w:val="00E0372A"/>
    <w:rsid w:val="00E0390A"/>
    <w:rsid w:val="00E0464C"/>
    <w:rsid w:val="00E04A90"/>
    <w:rsid w:val="00E053E8"/>
    <w:rsid w:val="00E0655B"/>
    <w:rsid w:val="00E079D9"/>
    <w:rsid w:val="00E10040"/>
    <w:rsid w:val="00E10BA7"/>
    <w:rsid w:val="00E11CA0"/>
    <w:rsid w:val="00E13A7E"/>
    <w:rsid w:val="00E13CEC"/>
    <w:rsid w:val="00E14276"/>
    <w:rsid w:val="00E149FC"/>
    <w:rsid w:val="00E14A64"/>
    <w:rsid w:val="00E14F2A"/>
    <w:rsid w:val="00E157AF"/>
    <w:rsid w:val="00E15A02"/>
    <w:rsid w:val="00E1661C"/>
    <w:rsid w:val="00E1693B"/>
    <w:rsid w:val="00E16F8B"/>
    <w:rsid w:val="00E17CE2"/>
    <w:rsid w:val="00E20213"/>
    <w:rsid w:val="00E20BC5"/>
    <w:rsid w:val="00E2111E"/>
    <w:rsid w:val="00E219C7"/>
    <w:rsid w:val="00E2285C"/>
    <w:rsid w:val="00E22AA0"/>
    <w:rsid w:val="00E22C65"/>
    <w:rsid w:val="00E22EB7"/>
    <w:rsid w:val="00E23CF7"/>
    <w:rsid w:val="00E25213"/>
    <w:rsid w:val="00E25436"/>
    <w:rsid w:val="00E2601C"/>
    <w:rsid w:val="00E279F2"/>
    <w:rsid w:val="00E30672"/>
    <w:rsid w:val="00E30BC2"/>
    <w:rsid w:val="00E31237"/>
    <w:rsid w:val="00E31829"/>
    <w:rsid w:val="00E31B85"/>
    <w:rsid w:val="00E32066"/>
    <w:rsid w:val="00E3209F"/>
    <w:rsid w:val="00E32A49"/>
    <w:rsid w:val="00E32AB2"/>
    <w:rsid w:val="00E334AB"/>
    <w:rsid w:val="00E33715"/>
    <w:rsid w:val="00E33F93"/>
    <w:rsid w:val="00E34111"/>
    <w:rsid w:val="00E342F8"/>
    <w:rsid w:val="00E34369"/>
    <w:rsid w:val="00E352A6"/>
    <w:rsid w:val="00E3660C"/>
    <w:rsid w:val="00E375C4"/>
    <w:rsid w:val="00E3771A"/>
    <w:rsid w:val="00E40757"/>
    <w:rsid w:val="00E40C75"/>
    <w:rsid w:val="00E41416"/>
    <w:rsid w:val="00E42200"/>
    <w:rsid w:val="00E43157"/>
    <w:rsid w:val="00E437B8"/>
    <w:rsid w:val="00E45259"/>
    <w:rsid w:val="00E4552F"/>
    <w:rsid w:val="00E461CE"/>
    <w:rsid w:val="00E510E5"/>
    <w:rsid w:val="00E534F0"/>
    <w:rsid w:val="00E5381F"/>
    <w:rsid w:val="00E53EA4"/>
    <w:rsid w:val="00E5415E"/>
    <w:rsid w:val="00E54CE6"/>
    <w:rsid w:val="00E54DB4"/>
    <w:rsid w:val="00E55EEC"/>
    <w:rsid w:val="00E56C15"/>
    <w:rsid w:val="00E570DA"/>
    <w:rsid w:val="00E575DD"/>
    <w:rsid w:val="00E57FC4"/>
    <w:rsid w:val="00E6119A"/>
    <w:rsid w:val="00E620CD"/>
    <w:rsid w:val="00E625BF"/>
    <w:rsid w:val="00E62A24"/>
    <w:rsid w:val="00E62D09"/>
    <w:rsid w:val="00E6361D"/>
    <w:rsid w:val="00E638A1"/>
    <w:rsid w:val="00E65495"/>
    <w:rsid w:val="00E663A8"/>
    <w:rsid w:val="00E66AD5"/>
    <w:rsid w:val="00E67146"/>
    <w:rsid w:val="00E67AA0"/>
    <w:rsid w:val="00E701DE"/>
    <w:rsid w:val="00E70579"/>
    <w:rsid w:val="00E70608"/>
    <w:rsid w:val="00E707C5"/>
    <w:rsid w:val="00E70EE3"/>
    <w:rsid w:val="00E71531"/>
    <w:rsid w:val="00E720CA"/>
    <w:rsid w:val="00E7309C"/>
    <w:rsid w:val="00E73B82"/>
    <w:rsid w:val="00E743B8"/>
    <w:rsid w:val="00E75C47"/>
    <w:rsid w:val="00E761AD"/>
    <w:rsid w:val="00E76343"/>
    <w:rsid w:val="00E76839"/>
    <w:rsid w:val="00E80288"/>
    <w:rsid w:val="00E80872"/>
    <w:rsid w:val="00E816BA"/>
    <w:rsid w:val="00E81FEC"/>
    <w:rsid w:val="00E82C0C"/>
    <w:rsid w:val="00E82C1B"/>
    <w:rsid w:val="00E8381C"/>
    <w:rsid w:val="00E83A35"/>
    <w:rsid w:val="00E84EB5"/>
    <w:rsid w:val="00E85662"/>
    <w:rsid w:val="00E856B1"/>
    <w:rsid w:val="00E8671D"/>
    <w:rsid w:val="00E8789F"/>
    <w:rsid w:val="00E90BE2"/>
    <w:rsid w:val="00E92634"/>
    <w:rsid w:val="00E9287E"/>
    <w:rsid w:val="00E938A7"/>
    <w:rsid w:val="00E948A8"/>
    <w:rsid w:val="00E9603C"/>
    <w:rsid w:val="00E97B71"/>
    <w:rsid w:val="00E97D9E"/>
    <w:rsid w:val="00EA0B97"/>
    <w:rsid w:val="00EA0B99"/>
    <w:rsid w:val="00EA1447"/>
    <w:rsid w:val="00EA1CDE"/>
    <w:rsid w:val="00EA2445"/>
    <w:rsid w:val="00EA3D34"/>
    <w:rsid w:val="00EA460D"/>
    <w:rsid w:val="00EA49D8"/>
    <w:rsid w:val="00EA50F8"/>
    <w:rsid w:val="00EA529D"/>
    <w:rsid w:val="00EA78EA"/>
    <w:rsid w:val="00EB0451"/>
    <w:rsid w:val="00EB4244"/>
    <w:rsid w:val="00EB454D"/>
    <w:rsid w:val="00EB4978"/>
    <w:rsid w:val="00EB60B4"/>
    <w:rsid w:val="00EB72EC"/>
    <w:rsid w:val="00EB7A4F"/>
    <w:rsid w:val="00EB7FDB"/>
    <w:rsid w:val="00EC16CC"/>
    <w:rsid w:val="00EC1DE7"/>
    <w:rsid w:val="00EC419F"/>
    <w:rsid w:val="00EC5091"/>
    <w:rsid w:val="00EC67D5"/>
    <w:rsid w:val="00EC6EEE"/>
    <w:rsid w:val="00EC6F01"/>
    <w:rsid w:val="00EC7F1C"/>
    <w:rsid w:val="00ED088B"/>
    <w:rsid w:val="00ED0D0C"/>
    <w:rsid w:val="00ED1727"/>
    <w:rsid w:val="00ED251E"/>
    <w:rsid w:val="00ED256A"/>
    <w:rsid w:val="00ED2C23"/>
    <w:rsid w:val="00ED2CB3"/>
    <w:rsid w:val="00ED3A83"/>
    <w:rsid w:val="00ED4122"/>
    <w:rsid w:val="00ED50BD"/>
    <w:rsid w:val="00ED6224"/>
    <w:rsid w:val="00ED6749"/>
    <w:rsid w:val="00ED68FB"/>
    <w:rsid w:val="00ED7365"/>
    <w:rsid w:val="00ED76BE"/>
    <w:rsid w:val="00ED7ACC"/>
    <w:rsid w:val="00ED7C35"/>
    <w:rsid w:val="00ED7E5E"/>
    <w:rsid w:val="00EE1A7A"/>
    <w:rsid w:val="00EE1E98"/>
    <w:rsid w:val="00EE276A"/>
    <w:rsid w:val="00EE2E60"/>
    <w:rsid w:val="00EE40F0"/>
    <w:rsid w:val="00EE4A0D"/>
    <w:rsid w:val="00EE547A"/>
    <w:rsid w:val="00EE5829"/>
    <w:rsid w:val="00EE5F84"/>
    <w:rsid w:val="00EE6857"/>
    <w:rsid w:val="00EE6DFF"/>
    <w:rsid w:val="00EE6FCE"/>
    <w:rsid w:val="00EE71AA"/>
    <w:rsid w:val="00EE7EB7"/>
    <w:rsid w:val="00EF023C"/>
    <w:rsid w:val="00EF0E72"/>
    <w:rsid w:val="00EF10F7"/>
    <w:rsid w:val="00EF1E7A"/>
    <w:rsid w:val="00EF44FF"/>
    <w:rsid w:val="00EF53B6"/>
    <w:rsid w:val="00EF619B"/>
    <w:rsid w:val="00EF629E"/>
    <w:rsid w:val="00EF6C90"/>
    <w:rsid w:val="00F0077E"/>
    <w:rsid w:val="00F00B55"/>
    <w:rsid w:val="00F01097"/>
    <w:rsid w:val="00F010D8"/>
    <w:rsid w:val="00F0131A"/>
    <w:rsid w:val="00F020EC"/>
    <w:rsid w:val="00F02AD1"/>
    <w:rsid w:val="00F03B3F"/>
    <w:rsid w:val="00F041B6"/>
    <w:rsid w:val="00F047F4"/>
    <w:rsid w:val="00F04C39"/>
    <w:rsid w:val="00F050DB"/>
    <w:rsid w:val="00F055A5"/>
    <w:rsid w:val="00F05877"/>
    <w:rsid w:val="00F06DC5"/>
    <w:rsid w:val="00F06E4E"/>
    <w:rsid w:val="00F07163"/>
    <w:rsid w:val="00F1033D"/>
    <w:rsid w:val="00F10B4F"/>
    <w:rsid w:val="00F13643"/>
    <w:rsid w:val="00F155B0"/>
    <w:rsid w:val="00F15D28"/>
    <w:rsid w:val="00F15DD3"/>
    <w:rsid w:val="00F162FA"/>
    <w:rsid w:val="00F16AC1"/>
    <w:rsid w:val="00F16CE5"/>
    <w:rsid w:val="00F17619"/>
    <w:rsid w:val="00F17BF0"/>
    <w:rsid w:val="00F17D97"/>
    <w:rsid w:val="00F202EE"/>
    <w:rsid w:val="00F20568"/>
    <w:rsid w:val="00F210EF"/>
    <w:rsid w:val="00F213E1"/>
    <w:rsid w:val="00F21964"/>
    <w:rsid w:val="00F21A19"/>
    <w:rsid w:val="00F2241E"/>
    <w:rsid w:val="00F23156"/>
    <w:rsid w:val="00F253CC"/>
    <w:rsid w:val="00F2558F"/>
    <w:rsid w:val="00F258BD"/>
    <w:rsid w:val="00F259C1"/>
    <w:rsid w:val="00F25A22"/>
    <w:rsid w:val="00F262A0"/>
    <w:rsid w:val="00F27AF1"/>
    <w:rsid w:val="00F311B6"/>
    <w:rsid w:val="00F317F5"/>
    <w:rsid w:val="00F31BA6"/>
    <w:rsid w:val="00F31CA6"/>
    <w:rsid w:val="00F31EB4"/>
    <w:rsid w:val="00F3269A"/>
    <w:rsid w:val="00F33056"/>
    <w:rsid w:val="00F33272"/>
    <w:rsid w:val="00F337B7"/>
    <w:rsid w:val="00F36663"/>
    <w:rsid w:val="00F37106"/>
    <w:rsid w:val="00F37462"/>
    <w:rsid w:val="00F37C85"/>
    <w:rsid w:val="00F40241"/>
    <w:rsid w:val="00F4051A"/>
    <w:rsid w:val="00F40873"/>
    <w:rsid w:val="00F40A17"/>
    <w:rsid w:val="00F40F3A"/>
    <w:rsid w:val="00F40FA4"/>
    <w:rsid w:val="00F4117E"/>
    <w:rsid w:val="00F4190B"/>
    <w:rsid w:val="00F41B34"/>
    <w:rsid w:val="00F4289C"/>
    <w:rsid w:val="00F42F4B"/>
    <w:rsid w:val="00F44D30"/>
    <w:rsid w:val="00F45209"/>
    <w:rsid w:val="00F45405"/>
    <w:rsid w:val="00F50E60"/>
    <w:rsid w:val="00F519CF"/>
    <w:rsid w:val="00F51D6C"/>
    <w:rsid w:val="00F531A4"/>
    <w:rsid w:val="00F534F0"/>
    <w:rsid w:val="00F53E54"/>
    <w:rsid w:val="00F54157"/>
    <w:rsid w:val="00F54365"/>
    <w:rsid w:val="00F55914"/>
    <w:rsid w:val="00F55BDD"/>
    <w:rsid w:val="00F5687A"/>
    <w:rsid w:val="00F56B5F"/>
    <w:rsid w:val="00F56BA5"/>
    <w:rsid w:val="00F57E35"/>
    <w:rsid w:val="00F60E22"/>
    <w:rsid w:val="00F6106F"/>
    <w:rsid w:val="00F6176E"/>
    <w:rsid w:val="00F61ECB"/>
    <w:rsid w:val="00F6268E"/>
    <w:rsid w:val="00F62B1A"/>
    <w:rsid w:val="00F62B23"/>
    <w:rsid w:val="00F640DA"/>
    <w:rsid w:val="00F64392"/>
    <w:rsid w:val="00F66C2F"/>
    <w:rsid w:val="00F66D70"/>
    <w:rsid w:val="00F6791C"/>
    <w:rsid w:val="00F67B0A"/>
    <w:rsid w:val="00F67B40"/>
    <w:rsid w:val="00F727AE"/>
    <w:rsid w:val="00F72DF5"/>
    <w:rsid w:val="00F734FC"/>
    <w:rsid w:val="00F736F1"/>
    <w:rsid w:val="00F73C29"/>
    <w:rsid w:val="00F73D33"/>
    <w:rsid w:val="00F747F7"/>
    <w:rsid w:val="00F74C7B"/>
    <w:rsid w:val="00F755A1"/>
    <w:rsid w:val="00F76974"/>
    <w:rsid w:val="00F770D6"/>
    <w:rsid w:val="00F77FB5"/>
    <w:rsid w:val="00F81395"/>
    <w:rsid w:val="00F81C89"/>
    <w:rsid w:val="00F81D8B"/>
    <w:rsid w:val="00F81EBF"/>
    <w:rsid w:val="00F8242E"/>
    <w:rsid w:val="00F8335B"/>
    <w:rsid w:val="00F84528"/>
    <w:rsid w:val="00F84CAF"/>
    <w:rsid w:val="00F85A74"/>
    <w:rsid w:val="00F86BB4"/>
    <w:rsid w:val="00F872B3"/>
    <w:rsid w:val="00F90A8C"/>
    <w:rsid w:val="00F917D1"/>
    <w:rsid w:val="00F91ADA"/>
    <w:rsid w:val="00F934B6"/>
    <w:rsid w:val="00F93738"/>
    <w:rsid w:val="00F93C8E"/>
    <w:rsid w:val="00F93E53"/>
    <w:rsid w:val="00F94346"/>
    <w:rsid w:val="00F94570"/>
    <w:rsid w:val="00F95810"/>
    <w:rsid w:val="00F9582A"/>
    <w:rsid w:val="00F9653B"/>
    <w:rsid w:val="00FA0420"/>
    <w:rsid w:val="00FA04DE"/>
    <w:rsid w:val="00FA138B"/>
    <w:rsid w:val="00FA190E"/>
    <w:rsid w:val="00FA255E"/>
    <w:rsid w:val="00FA2A97"/>
    <w:rsid w:val="00FA3353"/>
    <w:rsid w:val="00FA44B0"/>
    <w:rsid w:val="00FA4EAA"/>
    <w:rsid w:val="00FA5885"/>
    <w:rsid w:val="00FA5C19"/>
    <w:rsid w:val="00FA6ECD"/>
    <w:rsid w:val="00FA781B"/>
    <w:rsid w:val="00FA7CAF"/>
    <w:rsid w:val="00FB03F4"/>
    <w:rsid w:val="00FB10D9"/>
    <w:rsid w:val="00FB62CF"/>
    <w:rsid w:val="00FB6383"/>
    <w:rsid w:val="00FB7595"/>
    <w:rsid w:val="00FC0024"/>
    <w:rsid w:val="00FC04BB"/>
    <w:rsid w:val="00FC0BCB"/>
    <w:rsid w:val="00FC1484"/>
    <w:rsid w:val="00FC2AC7"/>
    <w:rsid w:val="00FC2BEC"/>
    <w:rsid w:val="00FC36BD"/>
    <w:rsid w:val="00FC4CAA"/>
    <w:rsid w:val="00FC5640"/>
    <w:rsid w:val="00FC5A25"/>
    <w:rsid w:val="00FD0A96"/>
    <w:rsid w:val="00FD1AE6"/>
    <w:rsid w:val="00FD1FF8"/>
    <w:rsid w:val="00FD2927"/>
    <w:rsid w:val="00FD2E9A"/>
    <w:rsid w:val="00FD3C3B"/>
    <w:rsid w:val="00FD4D43"/>
    <w:rsid w:val="00FD5A31"/>
    <w:rsid w:val="00FD6488"/>
    <w:rsid w:val="00FD66A3"/>
    <w:rsid w:val="00FD6A0A"/>
    <w:rsid w:val="00FD7389"/>
    <w:rsid w:val="00FD7D56"/>
    <w:rsid w:val="00FD7DB5"/>
    <w:rsid w:val="00FD7F71"/>
    <w:rsid w:val="00FE05C7"/>
    <w:rsid w:val="00FE24B7"/>
    <w:rsid w:val="00FE3B64"/>
    <w:rsid w:val="00FE4756"/>
    <w:rsid w:val="00FE485E"/>
    <w:rsid w:val="00FE48B0"/>
    <w:rsid w:val="00FE4CBF"/>
    <w:rsid w:val="00FE680C"/>
    <w:rsid w:val="00FE6B45"/>
    <w:rsid w:val="00FE7051"/>
    <w:rsid w:val="00FF0F93"/>
    <w:rsid w:val="00FF134D"/>
    <w:rsid w:val="00FF1D26"/>
    <w:rsid w:val="00FF3978"/>
    <w:rsid w:val="00FF3C48"/>
    <w:rsid w:val="00FF42FD"/>
    <w:rsid w:val="00FF4E8F"/>
    <w:rsid w:val="00FF5324"/>
    <w:rsid w:val="00FF55F3"/>
    <w:rsid w:val="00FF5851"/>
    <w:rsid w:val="00FF5B55"/>
    <w:rsid w:val="00FF6E48"/>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375047"/>
    <w:pPr>
      <w:keepNext/>
      <w:keepLines/>
      <w:numPr>
        <w:numId w:val="53"/>
      </w:numPr>
      <w:ind w:left="720" w:hanging="720"/>
      <w:outlineLvl w:val="0"/>
    </w:pPr>
    <w:rPr>
      <w:rFonts w:ascii="Cambria" w:eastAsiaTheme="majorEastAsia" w:hAnsi="Cambria" w:cstheme="majorBidi"/>
      <w:b/>
      <w:bCs/>
      <w:sz w:val="20"/>
      <w:szCs w:val="20"/>
      <w:lang w:val="es-UY"/>
    </w:rPr>
  </w:style>
  <w:style w:type="paragraph" w:styleId="Heading2">
    <w:name w:val="heading 2"/>
    <w:basedOn w:val="Normal"/>
    <w:next w:val="Normal"/>
    <w:link w:val="Heading2Char"/>
    <w:qFormat/>
    <w:rsid w:val="004F709F"/>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hanging="720"/>
      <w:outlineLvl w:val="1"/>
    </w:pPr>
    <w:rPr>
      <w:rFonts w:ascii="Cambria" w:hAnsi="Cambria" w:cs="Arial"/>
      <w:b/>
      <w:bCs/>
      <w:iCs/>
      <w:sz w:val="20"/>
      <w:szCs w:val="20"/>
      <w:bdr w:val="none" w:sz="0" w:space="0" w:color="auto"/>
      <w:lang w:val="es-PE"/>
    </w:rPr>
  </w:style>
  <w:style w:type="paragraph" w:styleId="Heading3">
    <w:name w:val="heading 3"/>
    <w:basedOn w:val="Normal"/>
    <w:next w:val="Normal"/>
    <w:link w:val="Heading3Char"/>
    <w:qFormat/>
    <w:rsid w:val="00577F2D"/>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ind w:left="720" w:hanging="720"/>
      <w:outlineLvl w:val="2"/>
    </w:pPr>
    <w:rPr>
      <w:rFonts w:ascii="Cambria" w:eastAsia="Times New Roman" w:hAnsi="Cambria" w:cs="Arial"/>
      <w:b/>
      <w:bCs/>
      <w:sz w:val="20"/>
      <w:szCs w:val="20"/>
      <w:bdr w:val="none" w:sz="0" w:space="0" w:color="auto"/>
      <w:lang w:val="es-PE"/>
    </w:rPr>
  </w:style>
  <w:style w:type="paragraph" w:styleId="Heading5">
    <w:name w:val="heading 5"/>
    <w:basedOn w:val="Normal"/>
    <w:next w:val="Normal"/>
    <w:link w:val="Heading5Char"/>
    <w:uiPriority w:val="9"/>
    <w:unhideWhenUsed/>
    <w:qFormat/>
    <w:rsid w:val="0086519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Colorful List - Accent 1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norma,fn"/>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75047"/>
    <w:rPr>
      <w:rFonts w:ascii="Cambria" w:eastAsiaTheme="majorEastAsia" w:hAnsi="Cambria" w:cstheme="majorBidi"/>
      <w:b/>
      <w:bCs/>
      <w:lang w:val="es-UY"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7C0047"/>
    <w:pPr>
      <w:tabs>
        <w:tab w:val="left" w:pos="1440"/>
        <w:tab w:val="right" w:leader="dot" w:pos="9350"/>
      </w:tabs>
      <w:spacing w:after="100"/>
      <w:ind w:left="1440" w:hanging="720"/>
    </w:pPr>
    <w:rPr>
      <w:rFonts w:asciiTheme="majorHAnsi" w:hAnsiTheme="majorHAnsi"/>
      <w:noProof/>
      <w:sz w:val="20"/>
      <w:szCs w:val="20"/>
    </w:rPr>
  </w:style>
  <w:style w:type="paragraph" w:styleId="TOC1">
    <w:name w:val="toc 1"/>
    <w:basedOn w:val="Normal"/>
    <w:next w:val="Normal"/>
    <w:autoRedefine/>
    <w:uiPriority w:val="39"/>
    <w:unhideWhenUsed/>
    <w:rsid w:val="00F640DA"/>
    <w:pPr>
      <w:tabs>
        <w:tab w:val="left" w:pos="1440"/>
        <w:tab w:val="right" w:leader="dot" w:pos="9350"/>
      </w:tabs>
      <w:spacing w:after="100"/>
    </w:pPr>
    <w:rPr>
      <w:rFonts w:asciiTheme="majorHAnsi" w:hAnsiTheme="majorHAnsi"/>
      <w:noProof/>
      <w:sz w:val="20"/>
      <w:szCs w:val="20"/>
    </w:rPr>
  </w:style>
  <w:style w:type="paragraph" w:styleId="TOC3">
    <w:name w:val="toc 3"/>
    <w:basedOn w:val="Normal"/>
    <w:next w:val="Normal"/>
    <w:autoRedefine/>
    <w:uiPriority w:val="39"/>
    <w:unhideWhenUsed/>
    <w:rsid w:val="00BF509A"/>
    <w:pPr>
      <w:tabs>
        <w:tab w:val="left" w:pos="880"/>
        <w:tab w:val="left" w:pos="2160"/>
        <w:tab w:val="right" w:leader="dot" w:pos="9350"/>
      </w:tabs>
      <w:spacing w:after="100"/>
      <w:ind w:left="2160" w:hanging="720"/>
    </w:pPr>
    <w:rPr>
      <w:rFonts w:asciiTheme="majorHAnsi" w:hAnsiTheme="majorHAnsi"/>
      <w:noProof/>
      <w:sz w:val="20"/>
      <w:szCs w:val="20"/>
      <w:lang w:val="es-CO"/>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1"/>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4F709F"/>
    <w:rPr>
      <w:rFonts w:ascii="Cambria" w:hAnsi="Cambria" w:cs="Arial"/>
      <w:b/>
      <w:bCs/>
      <w:iCs/>
      <w:bdr w:val="none" w:sz="0" w:space="0" w:color="auto"/>
      <w:lang w:val="es-PE" w:eastAsia="en-US"/>
    </w:rPr>
  </w:style>
  <w:style w:type="character" w:customStyle="1" w:styleId="Heading3Char">
    <w:name w:val="Heading 3 Char"/>
    <w:basedOn w:val="DefaultParagraphFont"/>
    <w:link w:val="Heading3"/>
    <w:rsid w:val="00577F2D"/>
    <w:rPr>
      <w:rFonts w:ascii="Cambria" w:eastAsia="Times New Roman" w:hAnsi="Cambria" w:cs="Arial"/>
      <w:b/>
      <w:bCs/>
      <w:bdr w:val="none" w:sz="0" w:space="0" w:color="auto"/>
      <w:lang w:val="es-PE"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unhideWhenUsed/>
    <w:rsid w:val="00406DA6"/>
    <w:rPr>
      <w:sz w:val="20"/>
      <w:szCs w:val="20"/>
    </w:rPr>
  </w:style>
  <w:style w:type="character" w:customStyle="1" w:styleId="CommentTextChar">
    <w:name w:val="Comment Text Char"/>
    <w:basedOn w:val="DefaultParagraphFont"/>
    <w:link w:val="CommentText"/>
    <w:uiPriority w:val="99"/>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C4DB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table" w:styleId="TableGrid">
    <w:name w:val="Table Grid"/>
    <w:basedOn w:val="TableNormal"/>
    <w:uiPriority w:val="59"/>
    <w:rsid w:val="004670A6"/>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rafosChar">
    <w:name w:val="parrafos Char"/>
    <w:basedOn w:val="DefaultParagraphFont"/>
    <w:link w:val="parrafos"/>
    <w:locked/>
    <w:rsid w:val="0050332B"/>
    <w:rPr>
      <w:rFonts w:asciiTheme="majorHAnsi" w:hAnsiTheme="majorHAnsi"/>
      <w:color w:val="000000" w:themeColor="text1"/>
      <w:lang w:val="es-VE" w:eastAsia="en-US"/>
    </w:rPr>
  </w:style>
  <w:style w:type="paragraph" w:customStyle="1" w:styleId="parrafos">
    <w:name w:val="parrafos"/>
    <w:basedOn w:val="Normal"/>
    <w:link w:val="parrafosChar"/>
    <w:qFormat/>
    <w:rsid w:val="0050332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ListParagraphChar">
    <w:name w:val="List Paragraph Char"/>
    <w:aliases w:val="Párrafo de lista1 Char,List Paragraph1 Char,Colorful List - Accent 11 Char,List Paragraph11 Char,List Paragraph2 Char,Colorful List - Accent 12 Char,Lista vistosa - Énfasis 11 Char"/>
    <w:link w:val="ListParagraph"/>
    <w:uiPriority w:val="99"/>
    <w:locked/>
    <w:rsid w:val="00DD5403"/>
    <w:rPr>
      <w:rFonts w:ascii="Cambria" w:eastAsia="Cambria" w:hAnsi="Cambria" w:cs="Cambria"/>
      <w:color w:val="000000"/>
      <w:sz w:val="24"/>
      <w:szCs w:val="24"/>
      <w:u w:color="000000"/>
      <w:lang w:val="en-US"/>
    </w:rPr>
  </w:style>
  <w:style w:type="paragraph" w:customStyle="1" w:styleId="Refdenotaalpi">
    <w:name w:val="Ref. de nota al pi"/>
    <w:aliases w:val="f1"/>
    <w:basedOn w:val="Normal"/>
    <w:uiPriority w:val="99"/>
    <w:rsid w:val="00061170"/>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eastAsia="es-ES"/>
    </w:rPr>
  </w:style>
  <w:style w:type="character" w:styleId="Strong">
    <w:name w:val="Strong"/>
    <w:uiPriority w:val="22"/>
    <w:qFormat/>
    <w:rsid w:val="00061170"/>
    <w:rPr>
      <w:b/>
      <w:bCs/>
    </w:rPr>
  </w:style>
  <w:style w:type="paragraph" w:customStyle="1" w:styleId="Footnotes">
    <w:name w:val="Footnotes"/>
    <w:basedOn w:val="FootnoteText"/>
    <w:qFormat/>
    <w:rsid w:val="0074016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eastAsia="Times New Roman" w:hAnsi="Cambria" w:cs="Times New Roman"/>
      <w:color w:val="auto"/>
      <w:sz w:val="18"/>
      <w:szCs w:val="18"/>
      <w:bdr w:val="none" w:sz="0" w:space="0" w:color="auto"/>
      <w:lang w:eastAsia="en-US"/>
    </w:rPr>
  </w:style>
  <w:style w:type="paragraph" w:styleId="TOCHeading">
    <w:name w:val="TOC Heading"/>
    <w:basedOn w:val="Heading1"/>
    <w:next w:val="Normal"/>
    <w:uiPriority w:val="39"/>
    <w:unhideWhenUsed/>
    <w:qFormat/>
    <w:rsid w:val="00536F6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color w:val="365F91" w:themeColor="accent1" w:themeShade="BF"/>
      <w:sz w:val="32"/>
      <w:szCs w:val="32"/>
      <w:bdr w:val="none" w:sz="0" w:space="0" w:color="auto"/>
      <w:lang w:val="en-US"/>
    </w:rPr>
  </w:style>
  <w:style w:type="paragraph" w:styleId="NormalWeb">
    <w:name w:val="Normal (Web)"/>
    <w:basedOn w:val="Normal"/>
    <w:uiPriority w:val="99"/>
    <w:unhideWhenUsed/>
    <w:rsid w:val="001F02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paragraph" w:styleId="Revision">
    <w:name w:val="Revision"/>
    <w:hidden/>
    <w:uiPriority w:val="99"/>
    <w:semiHidden/>
    <w:rsid w:val="00985C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FollowedHyperlink">
    <w:name w:val="FollowedHyperlink"/>
    <w:basedOn w:val="DefaultParagraphFont"/>
    <w:uiPriority w:val="99"/>
    <w:semiHidden/>
    <w:unhideWhenUsed/>
    <w:rsid w:val="007E2E80"/>
    <w:rPr>
      <w:color w:val="800080" w:themeColor="followedHyperlink"/>
      <w:u w:val="single"/>
    </w:rPr>
  </w:style>
  <w:style w:type="character" w:customStyle="1" w:styleId="UnresolvedMention1">
    <w:name w:val="Unresolved Mention1"/>
    <w:basedOn w:val="DefaultParagraphFont"/>
    <w:uiPriority w:val="99"/>
    <w:semiHidden/>
    <w:unhideWhenUsed/>
    <w:rsid w:val="006670C6"/>
    <w:rPr>
      <w:color w:val="605E5C"/>
      <w:shd w:val="clear" w:color="auto" w:fill="E1DFDD"/>
    </w:rPr>
  </w:style>
  <w:style w:type="character" w:customStyle="1" w:styleId="EnlacedeInternet">
    <w:name w:val="Enlace de Internet"/>
    <w:uiPriority w:val="99"/>
    <w:unhideWhenUsed/>
    <w:rsid w:val="00031E08"/>
    <w:rPr>
      <w:color w:val="0000FF"/>
      <w:u w:val="single"/>
    </w:rPr>
  </w:style>
  <w:style w:type="paragraph" w:styleId="NoSpacing">
    <w:name w:val="No Spacing"/>
    <w:aliases w:val="Informes"/>
    <w:link w:val="NoSpacingChar"/>
    <w:uiPriority w:val="1"/>
    <w:qFormat/>
    <w:rsid w:val="005B3B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pPr>
    <w:rPr>
      <w:rFonts w:ascii="Cambria" w:eastAsia="Times New Roman" w:hAnsi="Cambria"/>
      <w:szCs w:val="22"/>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5806D4"/>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200" w:after="160" w:line="240" w:lineRule="exact"/>
      <w:ind w:left="544" w:hanging="544"/>
      <w:jc w:val="both"/>
    </w:pPr>
    <w:rPr>
      <w:rFonts w:asciiTheme="minorHAnsi" w:eastAsia="Times New Roman" w:hAnsiTheme="minorHAnsi"/>
      <w:sz w:val="22"/>
      <w:szCs w:val="22"/>
      <w:bdr w:val="none" w:sz="0" w:space="0" w:color="auto"/>
      <w:vertAlign w:val="superscript"/>
      <w:lang w:val="en-US"/>
    </w:rPr>
  </w:style>
  <w:style w:type="character" w:customStyle="1" w:styleId="Internetlink">
    <w:name w:val="Internet link"/>
    <w:rsid w:val="005806D4"/>
    <w:rPr>
      <w:color w:val="0000FF"/>
      <w:u w:val="single"/>
    </w:rPr>
  </w:style>
  <w:style w:type="character" w:customStyle="1" w:styleId="NoSpacingChar">
    <w:name w:val="No Spacing Char"/>
    <w:aliases w:val="Informes Char"/>
    <w:link w:val="NoSpacing"/>
    <w:uiPriority w:val="1"/>
    <w:qFormat/>
    <w:locked/>
    <w:rsid w:val="005806D4"/>
    <w:rPr>
      <w:rFonts w:ascii="Cambria" w:eastAsia="Times New Roman" w:hAnsi="Cambria"/>
      <w:szCs w:val="22"/>
      <w:bdr w:val="none" w:sz="0" w:space="0" w:color="auto"/>
      <w:lang w:val="en-US" w:eastAsia="en-US"/>
    </w:rPr>
  </w:style>
  <w:style w:type="character" w:customStyle="1" w:styleId="Heading5Char">
    <w:name w:val="Heading 5 Char"/>
    <w:basedOn w:val="DefaultParagraphFont"/>
    <w:link w:val="Heading5"/>
    <w:uiPriority w:val="9"/>
    <w:rsid w:val="00865198"/>
    <w:rPr>
      <w:rFonts w:asciiTheme="majorHAnsi" w:eastAsiaTheme="majorEastAsia" w:hAnsiTheme="majorHAnsi" w:cstheme="majorBidi"/>
      <w:color w:val="365F91" w:themeColor="accent1" w:themeShade="BF"/>
      <w:sz w:val="24"/>
      <w:szCs w:val="24"/>
      <w:lang w:eastAsia="en-US"/>
    </w:rPr>
  </w:style>
  <w:style w:type="character" w:customStyle="1" w:styleId="Hyperlink1">
    <w:name w:val="Hyperlink.1"/>
    <w:basedOn w:val="DefaultParagraphFont"/>
    <w:rsid w:val="00350247"/>
    <w:rPr>
      <w:rFonts w:ascii="Cambria" w:eastAsia="Cambria" w:hAnsi="Cambria" w:cs="Cambria"/>
      <w:outline w:val="0"/>
      <w:color w:val="0000FF"/>
      <w:sz w:val="16"/>
      <w:szCs w:val="16"/>
      <w:u w:val="single" w:color="0000FF"/>
      <w:lang w:val="es-ES_tradnl"/>
    </w:rPr>
  </w:style>
  <w:style w:type="character" w:customStyle="1" w:styleId="None">
    <w:name w:val="None"/>
    <w:rsid w:val="006853F8"/>
  </w:style>
  <w:style w:type="paragraph" w:customStyle="1" w:styleId="Body">
    <w:name w:val="Body"/>
    <w:rsid w:val="009E18D1"/>
    <w:rPr>
      <w:rFonts w:cs="Arial Unicode MS"/>
      <w:color w:val="000000"/>
      <w:sz w:val="24"/>
      <w:szCs w:val="24"/>
      <w:u w:color="000000"/>
      <w:lang w:val="en-US" w:eastAsia="en-US"/>
      <w14:textOutline w14:w="0" w14:cap="flat" w14:cmpd="sng" w14:algn="ctr">
        <w14:noFill/>
        <w14:prstDash w14:val="solid"/>
        <w14:bevel/>
      </w14:textOutline>
    </w:rPr>
  </w:style>
  <w:style w:type="numbering" w:customStyle="1" w:styleId="ImportedStyle2">
    <w:name w:val="Imported Style 2"/>
    <w:rsid w:val="009E18D1"/>
    <w:pPr>
      <w:numPr>
        <w:numId w:val="59"/>
      </w:numPr>
    </w:pPr>
  </w:style>
  <w:style w:type="character" w:customStyle="1" w:styleId="Hyperlink10">
    <w:name w:val="Hyperlink.10"/>
    <w:basedOn w:val="None"/>
    <w:rsid w:val="009E18D1"/>
    <w:rPr>
      <w:rFonts w:ascii="Cambria" w:eastAsia="Cambria" w:hAnsi="Cambria" w:cs="Cambria"/>
      <w:i/>
      <w:iCs/>
      <w:outline w:val="0"/>
      <w:color w:val="0000FF"/>
      <w:sz w:val="16"/>
      <w:szCs w:val="16"/>
      <w:u w:val="single" w:color="0000FF"/>
      <w:shd w:val="clear" w:color="auto" w:fill="00FF00"/>
      <w:lang w:val="es-ES_tradnl"/>
    </w:rPr>
  </w:style>
  <w:style w:type="character" w:styleId="HTMLTypewriter">
    <w:name w:val="HTML Typewriter"/>
    <w:basedOn w:val="DefaultParagraphFont"/>
    <w:rsid w:val="00F76974"/>
    <w:rPr>
      <w:rFonts w:ascii="Courier New" w:eastAsia="Times New Roman" w:hAnsi="Courier New" w:cs="Courier New"/>
      <w:sz w:val="20"/>
      <w:szCs w:val="20"/>
    </w:rPr>
  </w:style>
  <w:style w:type="paragraph" w:customStyle="1" w:styleId="xmsonormal">
    <w:name w:val="x_msonormal"/>
    <w:basedOn w:val="Normal"/>
    <w:rsid w:val="00AE21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AE21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styleId="BodyText3">
    <w:name w:val="Body Text 3"/>
    <w:basedOn w:val="Normal"/>
    <w:link w:val="BodyText3Char"/>
    <w:uiPriority w:val="99"/>
    <w:unhideWhenUsed/>
    <w:rsid w:val="000C2F73"/>
    <w:pPr>
      <w:spacing w:after="120"/>
    </w:pPr>
    <w:rPr>
      <w:rFonts w:ascii="Cambria" w:hAnsi="Cambria"/>
      <w:sz w:val="16"/>
      <w:szCs w:val="16"/>
      <w:lang w:eastAsia="es-ES"/>
    </w:rPr>
  </w:style>
  <w:style w:type="character" w:customStyle="1" w:styleId="BodyText3Char">
    <w:name w:val="Body Text 3 Char"/>
    <w:basedOn w:val="DefaultParagraphFont"/>
    <w:link w:val="BodyText3"/>
    <w:uiPriority w:val="99"/>
    <w:rsid w:val="000C2F73"/>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072">
      <w:bodyDiv w:val="1"/>
      <w:marLeft w:val="0"/>
      <w:marRight w:val="0"/>
      <w:marTop w:val="0"/>
      <w:marBottom w:val="0"/>
      <w:divBdr>
        <w:top w:val="none" w:sz="0" w:space="0" w:color="auto"/>
        <w:left w:val="none" w:sz="0" w:space="0" w:color="auto"/>
        <w:bottom w:val="none" w:sz="0" w:space="0" w:color="auto"/>
        <w:right w:val="none" w:sz="0" w:space="0" w:color="auto"/>
      </w:divBdr>
    </w:div>
    <w:div w:id="229272779">
      <w:bodyDiv w:val="1"/>
      <w:marLeft w:val="0"/>
      <w:marRight w:val="0"/>
      <w:marTop w:val="0"/>
      <w:marBottom w:val="0"/>
      <w:divBdr>
        <w:top w:val="none" w:sz="0" w:space="0" w:color="auto"/>
        <w:left w:val="none" w:sz="0" w:space="0" w:color="auto"/>
        <w:bottom w:val="none" w:sz="0" w:space="0" w:color="auto"/>
        <w:right w:val="none" w:sz="0" w:space="0" w:color="auto"/>
      </w:divBdr>
    </w:div>
    <w:div w:id="277026299">
      <w:bodyDiv w:val="1"/>
      <w:marLeft w:val="0"/>
      <w:marRight w:val="0"/>
      <w:marTop w:val="0"/>
      <w:marBottom w:val="0"/>
      <w:divBdr>
        <w:top w:val="none" w:sz="0" w:space="0" w:color="auto"/>
        <w:left w:val="none" w:sz="0" w:space="0" w:color="auto"/>
        <w:bottom w:val="none" w:sz="0" w:space="0" w:color="auto"/>
        <w:right w:val="none" w:sz="0" w:space="0" w:color="auto"/>
      </w:divBdr>
    </w:div>
    <w:div w:id="392773846">
      <w:bodyDiv w:val="1"/>
      <w:marLeft w:val="0"/>
      <w:marRight w:val="0"/>
      <w:marTop w:val="0"/>
      <w:marBottom w:val="0"/>
      <w:divBdr>
        <w:top w:val="none" w:sz="0" w:space="0" w:color="auto"/>
        <w:left w:val="none" w:sz="0" w:space="0" w:color="auto"/>
        <w:bottom w:val="none" w:sz="0" w:space="0" w:color="auto"/>
        <w:right w:val="none" w:sz="0" w:space="0" w:color="auto"/>
      </w:divBdr>
    </w:div>
    <w:div w:id="409280704">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54300167">
      <w:bodyDiv w:val="1"/>
      <w:marLeft w:val="0"/>
      <w:marRight w:val="0"/>
      <w:marTop w:val="0"/>
      <w:marBottom w:val="0"/>
      <w:divBdr>
        <w:top w:val="none" w:sz="0" w:space="0" w:color="auto"/>
        <w:left w:val="none" w:sz="0" w:space="0" w:color="auto"/>
        <w:bottom w:val="none" w:sz="0" w:space="0" w:color="auto"/>
        <w:right w:val="none" w:sz="0" w:space="0" w:color="auto"/>
      </w:divBdr>
    </w:div>
    <w:div w:id="541720774">
      <w:bodyDiv w:val="1"/>
      <w:marLeft w:val="0"/>
      <w:marRight w:val="0"/>
      <w:marTop w:val="0"/>
      <w:marBottom w:val="0"/>
      <w:divBdr>
        <w:top w:val="none" w:sz="0" w:space="0" w:color="auto"/>
        <w:left w:val="none" w:sz="0" w:space="0" w:color="auto"/>
        <w:bottom w:val="none" w:sz="0" w:space="0" w:color="auto"/>
        <w:right w:val="none" w:sz="0" w:space="0" w:color="auto"/>
      </w:divBdr>
    </w:div>
    <w:div w:id="621765050">
      <w:bodyDiv w:val="1"/>
      <w:marLeft w:val="0"/>
      <w:marRight w:val="0"/>
      <w:marTop w:val="0"/>
      <w:marBottom w:val="0"/>
      <w:divBdr>
        <w:top w:val="none" w:sz="0" w:space="0" w:color="auto"/>
        <w:left w:val="none" w:sz="0" w:space="0" w:color="auto"/>
        <w:bottom w:val="none" w:sz="0" w:space="0" w:color="auto"/>
        <w:right w:val="none" w:sz="0" w:space="0" w:color="auto"/>
      </w:divBdr>
    </w:div>
    <w:div w:id="691732665">
      <w:bodyDiv w:val="1"/>
      <w:marLeft w:val="0"/>
      <w:marRight w:val="0"/>
      <w:marTop w:val="0"/>
      <w:marBottom w:val="0"/>
      <w:divBdr>
        <w:top w:val="none" w:sz="0" w:space="0" w:color="auto"/>
        <w:left w:val="none" w:sz="0" w:space="0" w:color="auto"/>
        <w:bottom w:val="none" w:sz="0" w:space="0" w:color="auto"/>
        <w:right w:val="none" w:sz="0" w:space="0" w:color="auto"/>
      </w:divBdr>
    </w:div>
    <w:div w:id="1125660535">
      <w:bodyDiv w:val="1"/>
      <w:marLeft w:val="0"/>
      <w:marRight w:val="0"/>
      <w:marTop w:val="0"/>
      <w:marBottom w:val="0"/>
      <w:divBdr>
        <w:top w:val="none" w:sz="0" w:space="0" w:color="auto"/>
        <w:left w:val="none" w:sz="0" w:space="0" w:color="auto"/>
        <w:bottom w:val="none" w:sz="0" w:space="0" w:color="auto"/>
        <w:right w:val="none" w:sz="0" w:space="0" w:color="auto"/>
      </w:divBdr>
    </w:div>
    <w:div w:id="1205410169">
      <w:bodyDiv w:val="1"/>
      <w:marLeft w:val="0"/>
      <w:marRight w:val="0"/>
      <w:marTop w:val="0"/>
      <w:marBottom w:val="0"/>
      <w:divBdr>
        <w:top w:val="none" w:sz="0" w:space="0" w:color="auto"/>
        <w:left w:val="none" w:sz="0" w:space="0" w:color="auto"/>
        <w:bottom w:val="none" w:sz="0" w:space="0" w:color="auto"/>
        <w:right w:val="none" w:sz="0" w:space="0" w:color="auto"/>
      </w:divBdr>
    </w:div>
    <w:div w:id="1234193273">
      <w:bodyDiv w:val="1"/>
      <w:marLeft w:val="0"/>
      <w:marRight w:val="0"/>
      <w:marTop w:val="0"/>
      <w:marBottom w:val="0"/>
      <w:divBdr>
        <w:top w:val="none" w:sz="0" w:space="0" w:color="auto"/>
        <w:left w:val="none" w:sz="0" w:space="0" w:color="auto"/>
        <w:bottom w:val="none" w:sz="0" w:space="0" w:color="auto"/>
        <w:right w:val="none" w:sz="0" w:space="0" w:color="auto"/>
      </w:divBdr>
    </w:div>
    <w:div w:id="1234777178">
      <w:bodyDiv w:val="1"/>
      <w:marLeft w:val="0"/>
      <w:marRight w:val="0"/>
      <w:marTop w:val="0"/>
      <w:marBottom w:val="0"/>
      <w:divBdr>
        <w:top w:val="none" w:sz="0" w:space="0" w:color="auto"/>
        <w:left w:val="none" w:sz="0" w:space="0" w:color="auto"/>
        <w:bottom w:val="none" w:sz="0" w:space="0" w:color="auto"/>
        <w:right w:val="none" w:sz="0" w:space="0" w:color="auto"/>
      </w:divBdr>
    </w:div>
    <w:div w:id="1322536504">
      <w:bodyDiv w:val="1"/>
      <w:marLeft w:val="0"/>
      <w:marRight w:val="0"/>
      <w:marTop w:val="0"/>
      <w:marBottom w:val="0"/>
      <w:divBdr>
        <w:top w:val="none" w:sz="0" w:space="0" w:color="auto"/>
        <w:left w:val="none" w:sz="0" w:space="0" w:color="auto"/>
        <w:bottom w:val="none" w:sz="0" w:space="0" w:color="auto"/>
        <w:right w:val="none" w:sz="0" w:space="0" w:color="auto"/>
      </w:divBdr>
    </w:div>
    <w:div w:id="1515343407">
      <w:bodyDiv w:val="1"/>
      <w:marLeft w:val="0"/>
      <w:marRight w:val="0"/>
      <w:marTop w:val="0"/>
      <w:marBottom w:val="0"/>
      <w:divBdr>
        <w:top w:val="none" w:sz="0" w:space="0" w:color="auto"/>
        <w:left w:val="none" w:sz="0" w:space="0" w:color="auto"/>
        <w:bottom w:val="none" w:sz="0" w:space="0" w:color="auto"/>
        <w:right w:val="none" w:sz="0" w:space="0" w:color="auto"/>
      </w:divBdr>
    </w:div>
    <w:div w:id="1579514727">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3323142">
      <w:bodyDiv w:val="1"/>
      <w:marLeft w:val="0"/>
      <w:marRight w:val="0"/>
      <w:marTop w:val="0"/>
      <w:marBottom w:val="0"/>
      <w:divBdr>
        <w:top w:val="none" w:sz="0" w:space="0" w:color="auto"/>
        <w:left w:val="none" w:sz="0" w:space="0" w:color="auto"/>
        <w:bottom w:val="none" w:sz="0" w:space="0" w:color="auto"/>
        <w:right w:val="none" w:sz="0" w:space="0" w:color="auto"/>
      </w:divBdr>
    </w:div>
    <w:div w:id="181733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lpais.com/diario/2008/04/05/sociedad/1207346408_850215.html" TargetMode="External"/><Relationship Id="rId21" Type="http://schemas.openxmlformats.org/officeDocument/2006/relationships/hyperlink" Target="https://www.14ymedio.com/blogs/generacion_y/Tropical-mafia_7_647405254.html" TargetMode="External"/><Relationship Id="rId34" Type="http://schemas.openxmlformats.org/officeDocument/2006/relationships/hyperlink" Target="https://journalism.columbia.edu/system/files/content/past_cabot_winners_list-2021.pdf" TargetMode="External"/><Relationship Id="rId42" Type="http://schemas.openxmlformats.org/officeDocument/2006/relationships/hyperlink" Target="https://www.reuters.com/article/internet-cuba-usa-ciberwar-idLTASIE7160SY20110207" TargetMode="External"/><Relationship Id="rId47" Type="http://schemas.openxmlformats.org/officeDocument/2006/relationships/hyperlink" Target="https://www.youtube.com/watch?v=D-5DjXeAovY" TargetMode="External"/><Relationship Id="rId50" Type="http://schemas.openxmlformats.org/officeDocument/2006/relationships/hyperlink" Target="https://www.icrc.org/sites/default/files/topic/file_plus_list/0685_people-deprived-libert_spa_web_.pdf" TargetMode="External"/><Relationship Id="rId55" Type="http://schemas.openxmlformats.org/officeDocument/2006/relationships/hyperlink" Target="https://tbinternet.ohchr.org/_layouts/15/treatybodyexternal/Download.aspx?symbolno=CEDAW/C/GC/35&amp;Lang=en" TargetMode="External"/><Relationship Id="rId63" Type="http://schemas.openxmlformats.org/officeDocument/2006/relationships/hyperlink" Target="http://www.cidh.org/countryrep/cuba83sp/capitulo8.htm" TargetMode="External"/><Relationship Id="rId68" Type="http://schemas.openxmlformats.org/officeDocument/2006/relationships/hyperlink" Target="http://www.cidh.org/countryrep/Defensores/defensoresindice.htm" TargetMode="External"/><Relationship Id="rId76" Type="http://schemas.openxmlformats.org/officeDocument/2006/relationships/hyperlink" Target="http://www.oas.org/es/cidh/expresion/docs/publicaciones/internet_2016_esp.pdf" TargetMode="External"/><Relationship Id="rId84" Type="http://schemas.openxmlformats.org/officeDocument/2006/relationships/hyperlink" Target="http://www.oas.org/es/cidh/expresion/docs/publicaciones/internet_2016_esp.pdf" TargetMode="External"/><Relationship Id="rId89" Type="http://schemas.openxmlformats.org/officeDocument/2006/relationships/hyperlink" Target="http://www.oas.org/es/cidh/expresion/showarticle.asp?artID=1056&amp;lID=2" TargetMode="External"/><Relationship Id="rId97" Type="http://schemas.openxmlformats.org/officeDocument/2006/relationships/hyperlink" Target="https://www.oas.org/es/cidh/expresion/showarticle.asp?artID=931&amp;lID=2" TargetMode="External"/><Relationship Id="rId7" Type="http://schemas.openxmlformats.org/officeDocument/2006/relationships/hyperlink" Target="http://www.cervantesvirtual.com/obra-visor/constitucion-de-la-republica-de-cuba-de-1976-incluye-la-reforma-constitucional-del-26-de-mayo-2002/html/d89469f5-2cfd-4009-85ab-ba8540d6d5ec_2.html" TargetMode="External"/><Relationship Id="rId71" Type="http://schemas.openxmlformats.org/officeDocument/2006/relationships/hyperlink" Target="http://www.oas.org/es/cidh/expresion/docs/publicaciones/internet_2016_esp.pdf" TargetMode="External"/><Relationship Id="rId92" Type="http://schemas.openxmlformats.org/officeDocument/2006/relationships/hyperlink" Target="http://www.oas.org/es/cidh/expresion/docs/publicaciones/ZONAS_SILENCIADAS_ESP.pdf" TargetMode="External"/><Relationship Id="rId2" Type="http://schemas.openxmlformats.org/officeDocument/2006/relationships/hyperlink" Target="http://www.oas.org/es/cidh/expresion/docs/informes/Cuba-es.pdf" TargetMode="External"/><Relationship Id="rId16" Type="http://schemas.openxmlformats.org/officeDocument/2006/relationships/hyperlink" Target="http://www.oas.org/es/cidh/expresion/docs/informes/Cuba-es.pdf" TargetMode="External"/><Relationship Id="rId29" Type="http://schemas.openxmlformats.org/officeDocument/2006/relationships/hyperlink" Target="https://www.periodismociudadano.com/la-bloguera-cubana-yoani-sanchez-elegida-por-la-revista-times-como-una-de-las-100-personas-mas-influyentes/" TargetMode="External"/><Relationship Id="rId11" Type="http://schemas.openxmlformats.org/officeDocument/2006/relationships/hyperlink" Target="https://www.rsf-es.org/clasificacion-mundial-2021-tabla-de-paises/" TargetMode="External"/><Relationship Id="rId24" Type="http://schemas.openxmlformats.org/officeDocument/2006/relationships/hyperlink" Target="https://generacionypt.wordpress.com/2011/08/02/na-propria-carne-2/" TargetMode="External"/><Relationship Id="rId32" Type="http://schemas.openxmlformats.org/officeDocument/2006/relationships/hyperlink" Target="https://d.docs.live.net/20895565342ea0bb/Documents/CIDH/Peticiones%20y%20casos/Yoani%20Sanchez%20Vs.%20Cuba/Generacion%20Y%20Wins%202008%20Best%20of%20the%20Blogs%20Award" TargetMode="External"/><Relationship Id="rId37" Type="http://schemas.openxmlformats.org/officeDocument/2006/relationships/hyperlink" Target="http://www.fhrcuba.org/2012/01/yoani-sanchez-included-in-foreign-policy-magazines-top-100-global-thinkers-list/" TargetMode="External"/><Relationship Id="rId40" Type="http://schemas.openxmlformats.org/officeDocument/2006/relationships/hyperlink" Target="https://www.bbc.com/mundo/noticias/2012/10/121016_ultnot_cuba_permisos_viaje_extranjero_jmp" TargetMode="External"/><Relationship Id="rId45" Type="http://schemas.openxmlformats.org/officeDocument/2006/relationships/hyperlink" Target="https://www.bbc.com/mundo/noticias/2011/11/111108_debate_twitter_yoani_mariela_castro_lav" TargetMode="External"/><Relationship Id="rId53" Type="http://schemas.openxmlformats.org/officeDocument/2006/relationships/hyperlink" Target="https://tbinternet.ohchr.org/_layouts/15/treatybodyexternal/Download.aspx?symbolno=CEDAW/C/GC/35&amp;Lang=en" TargetMode="External"/><Relationship Id="rId58" Type="http://schemas.openxmlformats.org/officeDocument/2006/relationships/hyperlink" Target="http://www.oas.org/es/cidh/expresion/docs/informes/MujeresPeriodistas.pdf" TargetMode="External"/><Relationship Id="rId66" Type="http://schemas.openxmlformats.org/officeDocument/2006/relationships/hyperlink" Target="https://www.oas.org/es/cidh/expresion/publicaciones/ProtestayDerechosHumanos.pdf" TargetMode="External"/><Relationship Id="rId74" Type="http://schemas.openxmlformats.org/officeDocument/2006/relationships/hyperlink" Target="http://www.oas.org/es/cidh/expresion/docs/publicaciones/internet_2016_esp.pdf" TargetMode="External"/><Relationship Id="rId79" Type="http://schemas.openxmlformats.org/officeDocument/2006/relationships/hyperlink" Target="http://www.oas.org/es/cidh/expresion/docs/informes/anuales/Informe%20Anual%202009%201%20ESP.pdf" TargetMode="External"/><Relationship Id="rId87" Type="http://schemas.openxmlformats.org/officeDocument/2006/relationships/hyperlink" Target="http://www.oas.org/es/cidh/expresion/docs/publicaciones/internet_2016_esp.pdf" TargetMode="External"/><Relationship Id="rId5" Type="http://schemas.openxmlformats.org/officeDocument/2006/relationships/hyperlink" Target="http://www.oas.org/es/cidh/informes/pdfs/Cuba2020-es.pdf" TargetMode="External"/><Relationship Id="rId61" Type="http://schemas.openxmlformats.org/officeDocument/2006/relationships/hyperlink" Target="http://www.oas.org/es/cidh/audiencias/Hearings.aspx?Lang=es&amp;Session=125" TargetMode="External"/><Relationship Id="rId82" Type="http://schemas.openxmlformats.org/officeDocument/2006/relationships/hyperlink" Target="http://www.oas.org/es/cidh/expresion/docs/publicaciones/internet_2016_esp.pdf" TargetMode="External"/><Relationship Id="rId90" Type="http://schemas.openxmlformats.org/officeDocument/2006/relationships/hyperlink" Target="http://www.oas.org/es/cidh/expresion/showarticle.asp?artID=1100&amp;lID=2" TargetMode="External"/><Relationship Id="rId95" Type="http://schemas.openxmlformats.org/officeDocument/2006/relationships/hyperlink" Target="http://www.oas.org/es/cidh/expresion/docs/informes/Cuba-es.pdf" TargetMode="External"/><Relationship Id="rId19" Type="http://schemas.openxmlformats.org/officeDocument/2006/relationships/hyperlink" Target="https://generacionypt.wordpress.com/2008/07/21/ciber-mutilados-placeholders/" TargetMode="External"/><Relationship Id="rId14" Type="http://schemas.openxmlformats.org/officeDocument/2006/relationships/hyperlink" Target="http://www.oas.org/es/cidh/informes/pdfs/Cuba2020-es.pdf" TargetMode="External"/><Relationship Id="rId22" Type="http://schemas.openxmlformats.org/officeDocument/2006/relationships/hyperlink" Target="https://generacionypt.wordpress.com/2010/04/10/do-leite-a-barricada/" TargetMode="External"/><Relationship Id="rId27" Type="http://schemas.openxmlformats.org/officeDocument/2006/relationships/hyperlink" Target="https://www.periodismociudadano.com/la-blogger-cubana-yoani-sanchez-gana-el-premio-ortega-y-gasset-de-periodismo-digital/" TargetMode="External"/><Relationship Id="rId30" Type="http://schemas.openxmlformats.org/officeDocument/2006/relationships/hyperlink" Target="http://content.time.com/time/specials/packages/article/0,28804,1879276_1879279_1879300,00.html" TargetMode="External"/><Relationship Id="rId35" Type="http://schemas.openxmlformats.org/officeDocument/2006/relationships/hyperlink" Target="https://www.reuters.com/article/us-usa-cuba-blogger/cuba-stops-blogger-traveling-to-nyc-to-accept-prize-idUSTRE59C5VB20091013" TargetMode="External"/><Relationship Id="rId43" Type="http://schemas.openxmlformats.org/officeDocument/2006/relationships/hyperlink" Target="https://www.elnuevoherald.com/ultimas-noticias/article2012539.html" TargetMode="External"/><Relationship Id="rId48" Type="http://schemas.openxmlformats.org/officeDocument/2006/relationships/hyperlink" Target="https://www.youtube.com/watch?v=D-5DjXeAovY" TargetMode="External"/><Relationship Id="rId56" Type="http://schemas.openxmlformats.org/officeDocument/2006/relationships/hyperlink" Target="https://tbinternet.ohchr.org/_layouts/15/treatybodyexternal/Download.aspx?symbolno=CEDAW/C/GC/35&amp;Lang=en" TargetMode="External"/><Relationship Id="rId64" Type="http://schemas.openxmlformats.org/officeDocument/2006/relationships/hyperlink" Target="http://www.oas.org/es/cidh/informes/pdfs/Cuba2020-es.pdf" TargetMode="External"/><Relationship Id="rId69" Type="http://schemas.openxmlformats.org/officeDocument/2006/relationships/hyperlink" Target="https://www.oas.org/es/cidh/expresion/publicaciones/ProtestayDerechosHumanos.pdf" TargetMode="External"/><Relationship Id="rId77" Type="http://schemas.openxmlformats.org/officeDocument/2006/relationships/hyperlink" Target="http://www.oas.org/es/cidh/expresion/docs/publicaciones/internet_2016_esp.pdf" TargetMode="External"/><Relationship Id="rId8" Type="http://schemas.openxmlformats.org/officeDocument/2006/relationships/hyperlink" Target="http://juriscuba.com/constitucion-de-la-republica-de-cuba-2019/" TargetMode="External"/><Relationship Id="rId51" Type="http://schemas.openxmlformats.org/officeDocument/2006/relationships/hyperlink" Target="https://www.oas.org/es/cidh/mandato/Basicos/PrincipiosPPL.asp" TargetMode="External"/><Relationship Id="rId72" Type="http://schemas.openxmlformats.org/officeDocument/2006/relationships/hyperlink" Target="http://www.oas.org/es/cidh/expresion/docs/publicaciones/internet_2016_esp.pdf" TargetMode="External"/><Relationship Id="rId80" Type="http://schemas.openxmlformats.org/officeDocument/2006/relationships/hyperlink" Target="http://www.oas.org/es/cidh/expresion/docs/informes/anuales/Informe%20Anual%202009%201%20ESP.pdf" TargetMode="External"/><Relationship Id="rId85" Type="http://schemas.openxmlformats.org/officeDocument/2006/relationships/hyperlink" Target="http://www.oas.org/es/cidh/expresion/docs/publicaciones/internet_2016_esp.pdf" TargetMode="External"/><Relationship Id="rId93" Type="http://schemas.openxmlformats.org/officeDocument/2006/relationships/hyperlink" Target="http://www.oas.org/es/cidh/expresion/docs/publicaciones/ZONAS_SILENCIADAS_ESP.pdf" TargetMode="External"/><Relationship Id="rId3" Type="http://schemas.openxmlformats.org/officeDocument/2006/relationships/hyperlink" Target="http://www.oas.org/es/cidh/informes/pdfs/Cuba2020-es.pdf" TargetMode="External"/><Relationship Id="rId12" Type="http://schemas.openxmlformats.org/officeDocument/2006/relationships/hyperlink" Target="http://www.oas.org/es/cidh/expresion/showarticle.asp?lID=2&amp;artID=1042" TargetMode="External"/><Relationship Id="rId17" Type="http://schemas.openxmlformats.org/officeDocument/2006/relationships/hyperlink" Target="https://www.14ymedio.com/blogs/generacion_y/sospecho-sospechas-sospechamos_7_123057694.html" TargetMode="External"/><Relationship Id="rId25" Type="http://schemas.openxmlformats.org/officeDocument/2006/relationships/hyperlink" Target="https://www.14ymedio.com/blogs/generacion_y/planta_7_1076962294.html" TargetMode="External"/><Relationship Id="rId33" Type="http://schemas.openxmlformats.org/officeDocument/2006/relationships/hyperlink" Target="https://d.docs.live.net/20895565342ea0bb/Documents/CIDH/Peticiones%20y%20casos/Yoani%20Sanchez%20Vs.%20Cuba/Yoani%20se%20lleva%20el%20Premio%20The%20Bobs%20al%20mejor%20blog%20del%202008" TargetMode="External"/><Relationship Id="rId38" Type="http://schemas.openxmlformats.org/officeDocument/2006/relationships/hyperlink" Target="https://www.acnur.org/fileadmin/Documentos/BDL/2012/8950.pdf" TargetMode="External"/><Relationship Id="rId46" Type="http://schemas.openxmlformats.org/officeDocument/2006/relationships/hyperlink" Target="https://www.youtube.com/watch?v=D-5DjXeAovY" TargetMode="External"/><Relationship Id="rId59" Type="http://schemas.openxmlformats.org/officeDocument/2006/relationships/hyperlink" Target="http://www.oas.org/es/cidh/expresion/docs/informes/MujeresPeriodistas.pdf" TargetMode="External"/><Relationship Id="rId67" Type="http://schemas.openxmlformats.org/officeDocument/2006/relationships/hyperlink" Target="http://www.cidh.org/countryrep/Defensores/defensoresindice.htm" TargetMode="External"/><Relationship Id="rId20" Type="http://schemas.openxmlformats.org/officeDocument/2006/relationships/hyperlink" Target="https://www.14ymedio.com/blogs/generacion_y/Leche-agua-sombra_7_508219174.html" TargetMode="External"/><Relationship Id="rId41" Type="http://schemas.openxmlformats.org/officeDocument/2006/relationships/hyperlink" Target="http://www.oas.org/es/cidh/docs/anual/2012/indice.asp" TargetMode="External"/><Relationship Id="rId54" Type="http://schemas.openxmlformats.org/officeDocument/2006/relationships/hyperlink" Target="https://tbinternet.ohchr.org/Treaties/CEDAW/Shared%20Documents/1_Global/INT_CEDAW_GEC_3731_S.pdf" TargetMode="External"/><Relationship Id="rId62" Type="http://schemas.openxmlformats.org/officeDocument/2006/relationships/hyperlink" Target="https://cubalex.org/2020/08/04/asi-reprimen-a-las-mujeres-cubanas/" TargetMode="External"/><Relationship Id="rId70" Type="http://schemas.openxmlformats.org/officeDocument/2006/relationships/hyperlink" Target="https://www.oas.org/es/cidh/expresion/publicaciones/ProtestayDerechosHumanos.pdf" TargetMode="External"/><Relationship Id="rId75" Type="http://schemas.openxmlformats.org/officeDocument/2006/relationships/hyperlink" Target="http://www.oas.org/es/cidh/expresion/docs/informes/Cuba-es.pdf" TargetMode="External"/><Relationship Id="rId83" Type="http://schemas.openxmlformats.org/officeDocument/2006/relationships/hyperlink" Target="http://www.oas.org/es/cidh/expresion/docs/publicaciones/internet_2016_esp.pdf" TargetMode="External"/><Relationship Id="rId88" Type="http://schemas.openxmlformats.org/officeDocument/2006/relationships/hyperlink" Target="http://www.oas.org/es/cidh/expresion/showarticle.asp?artID=849&amp;lID=2" TargetMode="External"/><Relationship Id="rId91" Type="http://schemas.openxmlformats.org/officeDocument/2006/relationships/hyperlink" Target="https://www.oas.org/es/cidh/expresion/showarticle.asp?artID=931&amp;lID=2" TargetMode="External"/><Relationship Id="rId96" Type="http://schemas.openxmlformats.org/officeDocument/2006/relationships/hyperlink" Target="http://www.oas.org/es/cidh/expresion/docs/informes/MujeresPeriodistas.pdf" TargetMode="External"/><Relationship Id="rId1" Type="http://schemas.openxmlformats.org/officeDocument/2006/relationships/hyperlink" Target="http://www.oas.org/es/cidh/decisiones/MC/cautelares.asp?Year=2012&amp;Country=CUB" TargetMode="External"/><Relationship Id="rId6" Type="http://schemas.openxmlformats.org/officeDocument/2006/relationships/hyperlink" Target="http://www.oas.org/es/cidh/informes/pdfs/Cuba2020-es.pdf" TargetMode="External"/><Relationship Id="rId15" Type="http://schemas.openxmlformats.org/officeDocument/2006/relationships/hyperlink" Target="https://www.14ymedio.com/blogs/generacion_y/generacion_y-yoani_sanchez-cuba-habana_7_1558714114.html" TargetMode="External"/><Relationship Id="rId23" Type="http://schemas.openxmlformats.org/officeDocument/2006/relationships/hyperlink" Target="https://www.14ymedio.com/blogs/generacion_y/IPhone-Rosa_7_679202074.html" TargetMode="External"/><Relationship Id="rId28" Type="http://schemas.openxmlformats.org/officeDocument/2006/relationships/hyperlink" Target="http://content.time.com/time/specials/2007/article/0,28804,1733748_1733756_1735878,00.html" TargetMode="External"/><Relationship Id="rId36" Type="http://schemas.openxmlformats.org/officeDocument/2006/relationships/hyperlink" Target="https://foreignpolicy.com/2011/11/28/the-fp-top-100-global-thinkers-4/" TargetMode="External"/><Relationship Id="rId49" Type="http://schemas.openxmlformats.org/officeDocument/2006/relationships/hyperlink" Target="http://www.cubadebate.cu/?s=Yoani" TargetMode="External"/><Relationship Id="rId57" Type="http://schemas.openxmlformats.org/officeDocument/2006/relationships/hyperlink" Target="http://www.oas.org/es/cidh/expresion/docs/informes/MujeresPeriodistas.pdf" TargetMode="External"/><Relationship Id="rId10" Type="http://schemas.openxmlformats.org/officeDocument/2006/relationships/hyperlink" Target="http://juriscuba.com/constitucion-de-la-republica-de-cuba-2019/" TargetMode="External"/><Relationship Id="rId31" Type="http://schemas.openxmlformats.org/officeDocument/2006/relationships/hyperlink" Target="https://ipi.media/cuban-blogger-yoani-sanchez-is-named-ipis-60th-and-final-world-press-freedom-hero/" TargetMode="External"/><Relationship Id="rId44" Type="http://schemas.openxmlformats.org/officeDocument/2006/relationships/hyperlink" Target="https://www.youtube.com/watch?v=9r6fXWI98HU" TargetMode="External"/><Relationship Id="rId52" Type="http://schemas.openxmlformats.org/officeDocument/2006/relationships/hyperlink" Target="https://www.oas.org/es/cidh/mandato/Basicos/PrincipiosPPL.asp" TargetMode="External"/><Relationship Id="rId60" Type="http://schemas.openxmlformats.org/officeDocument/2006/relationships/hyperlink" Target="http://www.oas.org/es/cidh/expresion/docs/informes/MujeresPeriodistas.pdf" TargetMode="External"/><Relationship Id="rId65" Type="http://schemas.openxmlformats.org/officeDocument/2006/relationships/hyperlink" Target="http://www.oas.org/es/cidh/informes/pdfs/Cuba2020-es.pdf" TargetMode="External"/><Relationship Id="rId73" Type="http://schemas.openxmlformats.org/officeDocument/2006/relationships/hyperlink" Target="http://www.oas.org/es/cidh/expresion/docs/publicaciones/internet_2016_esp.pdf" TargetMode="External"/><Relationship Id="rId78" Type="http://schemas.openxmlformats.org/officeDocument/2006/relationships/hyperlink" Target="http://www.oas.org/es/cidh/expresion/docs/publicaciones/internet_2016_esp.pdf" TargetMode="External"/><Relationship Id="rId81" Type="http://schemas.openxmlformats.org/officeDocument/2006/relationships/hyperlink" Target="http://www.oas.org/es/cidh/expresion/docs/publicaciones/internet_2016_esp.pdf" TargetMode="External"/><Relationship Id="rId86" Type="http://schemas.openxmlformats.org/officeDocument/2006/relationships/hyperlink" Target="http://www.oas.org/es/cidh/expresion/docs/publicaciones/internet_2016_esp.pdf" TargetMode="External"/><Relationship Id="rId94" Type="http://schemas.openxmlformats.org/officeDocument/2006/relationships/hyperlink" Target="http://www.oas.org/es/cidh/expresion/docs/publicaciones/ZONAS_SILENCIADAS_ESP.pdf" TargetMode="External"/><Relationship Id="rId4" Type="http://schemas.openxmlformats.org/officeDocument/2006/relationships/hyperlink" Target="http://www.oas.org/es/cidh/informes/pdfs/Cuba2020-es.pdf" TargetMode="External"/><Relationship Id="rId9" Type="http://schemas.openxmlformats.org/officeDocument/2006/relationships/hyperlink" Target="http://www.cervantesvirtual.com/obra-visor/constitucion-de-la-republica-de-cuba-de-1976-incluye-la-reforma-constitucional-del-26-de-mayo-2002/html/d89469f5-2cfd-4009-85ab-ba8540d6d5ec_2.html" TargetMode="External"/><Relationship Id="rId13" Type="http://schemas.openxmlformats.org/officeDocument/2006/relationships/hyperlink" Target="http://www.oas.org/es/cidh/informes/pdfs/Cuba2020-es.pdf" TargetMode="External"/><Relationship Id="rId18" Type="http://schemas.openxmlformats.org/officeDocument/2006/relationships/hyperlink" Target="https://www.14ymedio.com/blogs/generacion_y/Democracia-Chevrolet_7_280241974.html" TargetMode="External"/><Relationship Id="rId39" Type="http://schemas.openxmlformats.org/officeDocument/2006/relationships/hyperlink" Target="https://www.reuters.com/article/portada-cuba-reforma-viajes-idLTASIE89F00H20121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3058581-4412-40A6-9764-9E05187DFC64}"/>
      </w:docPartPr>
      <w:docPartBody>
        <w:p w:rsidR="004447DB" w:rsidRDefault="00331D8C">
          <w:r w:rsidRPr="000964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E9"/>
    <w:rsid w:val="0001099B"/>
    <w:rsid w:val="000378EE"/>
    <w:rsid w:val="000408A1"/>
    <w:rsid w:val="00047B54"/>
    <w:rsid w:val="0009356F"/>
    <w:rsid w:val="0017151E"/>
    <w:rsid w:val="00185B12"/>
    <w:rsid w:val="001B3C20"/>
    <w:rsid w:val="001C2CF4"/>
    <w:rsid w:val="001C6CAB"/>
    <w:rsid w:val="001E39DC"/>
    <w:rsid w:val="00200ED8"/>
    <w:rsid w:val="00234E57"/>
    <w:rsid w:val="002675F0"/>
    <w:rsid w:val="00307BA2"/>
    <w:rsid w:val="00331D8C"/>
    <w:rsid w:val="00350844"/>
    <w:rsid w:val="003926E6"/>
    <w:rsid w:val="003F0AAB"/>
    <w:rsid w:val="004447DB"/>
    <w:rsid w:val="0045562F"/>
    <w:rsid w:val="004946FE"/>
    <w:rsid w:val="00495E22"/>
    <w:rsid w:val="004A0788"/>
    <w:rsid w:val="004B294B"/>
    <w:rsid w:val="004C19FA"/>
    <w:rsid w:val="004D63DD"/>
    <w:rsid w:val="004F5D31"/>
    <w:rsid w:val="005476D8"/>
    <w:rsid w:val="005B0FC6"/>
    <w:rsid w:val="005C4DB6"/>
    <w:rsid w:val="005F3D47"/>
    <w:rsid w:val="00607937"/>
    <w:rsid w:val="00612B30"/>
    <w:rsid w:val="007564B1"/>
    <w:rsid w:val="0078064B"/>
    <w:rsid w:val="007B39B0"/>
    <w:rsid w:val="007C7891"/>
    <w:rsid w:val="007E733B"/>
    <w:rsid w:val="008020FD"/>
    <w:rsid w:val="00802A0B"/>
    <w:rsid w:val="00820AFD"/>
    <w:rsid w:val="00836DBC"/>
    <w:rsid w:val="00837AB2"/>
    <w:rsid w:val="00882585"/>
    <w:rsid w:val="008F2825"/>
    <w:rsid w:val="00991263"/>
    <w:rsid w:val="00A37B29"/>
    <w:rsid w:val="00A550CC"/>
    <w:rsid w:val="00A579CE"/>
    <w:rsid w:val="00A924D7"/>
    <w:rsid w:val="00AA0E80"/>
    <w:rsid w:val="00AA51A5"/>
    <w:rsid w:val="00AB1DC1"/>
    <w:rsid w:val="00AE30BB"/>
    <w:rsid w:val="00B426E9"/>
    <w:rsid w:val="00B5768C"/>
    <w:rsid w:val="00B66BA6"/>
    <w:rsid w:val="00BC092D"/>
    <w:rsid w:val="00BD4A1F"/>
    <w:rsid w:val="00BE41F8"/>
    <w:rsid w:val="00BF534B"/>
    <w:rsid w:val="00C13283"/>
    <w:rsid w:val="00CE2C5A"/>
    <w:rsid w:val="00D9716A"/>
    <w:rsid w:val="00DD0F66"/>
    <w:rsid w:val="00E334E7"/>
    <w:rsid w:val="00E538E3"/>
    <w:rsid w:val="00E66EE8"/>
    <w:rsid w:val="00EB7700"/>
    <w:rsid w:val="00EE4739"/>
    <w:rsid w:val="00F2637E"/>
    <w:rsid w:val="00F3435E"/>
    <w:rsid w:val="00F548A4"/>
    <w:rsid w:val="00FD67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5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55B8-9D68-4155-9D1B-AF06AB45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28334</Words>
  <Characters>161506</Characters>
  <Application>Microsoft Office Word</Application>
  <DocSecurity>0</DocSecurity>
  <Lines>1345</Lines>
  <Paragraphs>378</Paragraphs>
  <ScaleCrop>false</ScaleCrop>
  <Company/>
  <LinksUpToDate>false</LinksUpToDate>
  <CharactersWithSpaces>189462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297/21</dc:title>
  <dc:subject/>
  <dc:creator/>
  <cp:keywords/>
  <dc:description/>
  <cp:lastModifiedBy/>
  <cp:revision>1</cp:revision>
  <dcterms:created xsi:type="dcterms:W3CDTF">2021-12-15T14:40:00Z</dcterms:created>
  <dcterms:modified xsi:type="dcterms:W3CDTF">2021-12-15T14:41:00Z</dcterms:modified>
</cp:coreProperties>
</file>