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D71BD" w14:textId="7F08A703" w:rsidR="00040C3A" w:rsidRPr="004768D0" w:rsidRDefault="00D306D1" w:rsidP="00627C9F">
      <w:pPr>
        <w:jc w:val="both"/>
        <w:rPr>
          <w:rFonts w:asciiTheme="majorHAnsi" w:hAnsiTheme="majorHAnsi" w:cs="Univers"/>
          <w:b/>
          <w:bCs/>
          <w:color w:val="000000" w:themeColor="text1"/>
          <w:sz w:val="22"/>
          <w:szCs w:val="22"/>
          <w:lang w:val="es-ES"/>
        </w:rPr>
      </w:pPr>
      <w:bookmarkStart w:id="0" w:name="_GoBack"/>
      <w:bookmarkEnd w:id="0"/>
      <w:r w:rsidRPr="004768D0">
        <w:rPr>
          <w:rFonts w:asciiTheme="majorHAnsi" w:hAnsiTheme="majorHAnsi"/>
          <w:noProof/>
          <w:color w:val="000000" w:themeColor="text1"/>
          <w:sz w:val="22"/>
          <w:szCs w:val="22"/>
        </w:rPr>
        <mc:AlternateContent>
          <mc:Choice Requires="wps">
            <w:drawing>
              <wp:anchor distT="0" distB="0" distL="114300" distR="114300" simplePos="0" relativeHeight="251653632" behindDoc="1" locked="0" layoutInCell="1" allowOverlap="1" wp14:anchorId="3545A64A" wp14:editId="24FB3969">
                <wp:simplePos x="0" y="0"/>
                <wp:positionH relativeFrom="column">
                  <wp:posOffset>-414068</wp:posOffset>
                </wp:positionH>
                <wp:positionV relativeFrom="paragraph">
                  <wp:posOffset>-439947</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45208" id="Rectangle 1" o:spid="_x0000_s1026" style="position:absolute;margin-left:-32.6pt;margin-top:-34.65pt;width:121.5pt;height:71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" fillcolor="#4a7194" stroked="f" strokeweight="2pt"/>
            </w:pict>
          </mc:Fallback>
        </mc:AlternateContent>
      </w:r>
      <w:r w:rsidR="003E6CA1" w:rsidRPr="004768D0">
        <w:rPr>
          <w:rFonts w:asciiTheme="majorHAnsi" w:hAnsiTheme="majorHAnsi"/>
          <w:noProof/>
          <w:color w:val="000000" w:themeColor="text1"/>
          <w:sz w:val="22"/>
          <w:szCs w:val="22"/>
        </w:rPr>
        <mc:AlternateContent>
          <mc:Choice Requires="wps">
            <w:drawing>
              <wp:anchor distT="0" distB="0" distL="114300" distR="114300" simplePos="0" relativeHeight="251673088" behindDoc="0" locked="0" layoutInCell="1" allowOverlap="1" wp14:anchorId="182E4299" wp14:editId="41BDB61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F2114" w14:textId="77777777" w:rsidR="00ED3D6C" w:rsidRDefault="00ED3D6C" w:rsidP="00AE5488">
                            <w:r>
                              <w:rPr>
                                <w:noProof/>
                              </w:rPr>
                              <w:drawing>
                                <wp:inline distT="0" distB="0" distL="0" distR="0" wp14:anchorId="175B57AE" wp14:editId="263F6E4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9A608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E429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8DF2114" w14:textId="77777777" w:rsidR="00ED3D6C" w:rsidRDefault="00ED3D6C" w:rsidP="00AE5488">
                      <w:r>
                        <w:rPr>
                          <w:noProof/>
                        </w:rPr>
                        <w:drawing>
                          <wp:inline distT="0" distB="0" distL="0" distR="0" wp14:anchorId="175B57AE" wp14:editId="263F6E4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9A608A">
                        <w:t xml:space="preserve">               </w:t>
                      </w:r>
                    </w:p>
                  </w:txbxContent>
                </v:textbox>
              </v:shape>
            </w:pict>
          </mc:Fallback>
        </mc:AlternateContent>
      </w:r>
    </w:p>
    <w:p w14:paraId="340133E1" w14:textId="6CC3A23A" w:rsidR="00040C3A" w:rsidRPr="004768D0" w:rsidRDefault="00040C3A" w:rsidP="00040C3A">
      <w:pPr>
        <w:tabs>
          <w:tab w:val="center" w:pos="5400"/>
        </w:tabs>
        <w:suppressAutoHyphens/>
        <w:jc w:val="both"/>
        <w:rPr>
          <w:rFonts w:asciiTheme="majorHAnsi" w:hAnsiTheme="majorHAnsi"/>
          <w:color w:val="000000" w:themeColor="text1"/>
          <w:sz w:val="22"/>
          <w:szCs w:val="22"/>
          <w:lang w:val="es-ES"/>
        </w:rPr>
      </w:pPr>
    </w:p>
    <w:p w14:paraId="2D301EDF" w14:textId="08F1AF88" w:rsidR="00040C3A" w:rsidRPr="004768D0" w:rsidRDefault="00040C3A" w:rsidP="00040C3A">
      <w:pPr>
        <w:tabs>
          <w:tab w:val="center" w:pos="5400"/>
        </w:tabs>
        <w:suppressAutoHyphens/>
        <w:jc w:val="both"/>
        <w:rPr>
          <w:rFonts w:asciiTheme="majorHAnsi" w:hAnsiTheme="majorHAnsi"/>
          <w:color w:val="000000" w:themeColor="text1"/>
          <w:sz w:val="22"/>
          <w:szCs w:val="22"/>
          <w:lang w:val="es-ES"/>
        </w:rPr>
      </w:pPr>
    </w:p>
    <w:p w14:paraId="2A1D2C93" w14:textId="2E4CADCA" w:rsidR="005128E4" w:rsidRPr="004768D0" w:rsidRDefault="005128E4" w:rsidP="00040C3A">
      <w:pPr>
        <w:tabs>
          <w:tab w:val="center" w:pos="5400"/>
        </w:tabs>
        <w:suppressAutoHyphens/>
        <w:rPr>
          <w:rFonts w:asciiTheme="majorHAnsi" w:hAnsiTheme="majorHAnsi"/>
          <w:color w:val="000000" w:themeColor="text1"/>
          <w:sz w:val="22"/>
          <w:szCs w:val="22"/>
          <w:lang w:val="es-ES"/>
        </w:rPr>
      </w:pPr>
    </w:p>
    <w:p w14:paraId="3C43DBE5" w14:textId="4317B18A" w:rsidR="005128E4" w:rsidRPr="004768D0" w:rsidRDefault="005128E4" w:rsidP="00040C3A">
      <w:pPr>
        <w:tabs>
          <w:tab w:val="center" w:pos="5400"/>
        </w:tabs>
        <w:suppressAutoHyphens/>
        <w:rPr>
          <w:rFonts w:asciiTheme="majorHAnsi" w:hAnsiTheme="majorHAnsi"/>
          <w:color w:val="000000" w:themeColor="text1"/>
          <w:sz w:val="22"/>
          <w:szCs w:val="22"/>
          <w:lang w:val="es-ES"/>
        </w:rPr>
      </w:pPr>
    </w:p>
    <w:p w14:paraId="1257A787" w14:textId="7BE0648B" w:rsidR="005128E4" w:rsidRPr="004768D0" w:rsidRDefault="005128E4" w:rsidP="00040C3A">
      <w:pPr>
        <w:tabs>
          <w:tab w:val="center" w:pos="5400"/>
        </w:tabs>
        <w:suppressAutoHyphens/>
        <w:rPr>
          <w:rFonts w:asciiTheme="majorHAnsi" w:hAnsiTheme="majorHAnsi"/>
          <w:color w:val="000000" w:themeColor="text1"/>
          <w:sz w:val="22"/>
          <w:szCs w:val="22"/>
          <w:lang w:val="es-ES"/>
        </w:rPr>
      </w:pPr>
    </w:p>
    <w:p w14:paraId="47C29685" w14:textId="33EA12B4" w:rsidR="00040C3A" w:rsidRPr="004768D0" w:rsidRDefault="00040C3A" w:rsidP="005128E4">
      <w:pPr>
        <w:tabs>
          <w:tab w:val="center" w:pos="5400"/>
        </w:tabs>
        <w:suppressAutoHyphens/>
        <w:jc w:val="center"/>
        <w:rPr>
          <w:rFonts w:asciiTheme="majorHAnsi" w:hAnsiTheme="majorHAnsi"/>
          <w:color w:val="000000" w:themeColor="text1"/>
          <w:sz w:val="22"/>
          <w:szCs w:val="22"/>
          <w:lang w:val="es-ES"/>
        </w:rPr>
      </w:pPr>
    </w:p>
    <w:p w14:paraId="0F155A2A" w14:textId="3162995C" w:rsidR="00040C3A" w:rsidRPr="004768D0" w:rsidRDefault="00040C3A" w:rsidP="005128E4">
      <w:pPr>
        <w:tabs>
          <w:tab w:val="center" w:pos="5400"/>
        </w:tabs>
        <w:suppressAutoHyphens/>
        <w:jc w:val="center"/>
        <w:rPr>
          <w:rFonts w:asciiTheme="majorHAnsi" w:hAnsiTheme="majorHAnsi"/>
          <w:color w:val="000000" w:themeColor="text1"/>
          <w:sz w:val="22"/>
          <w:szCs w:val="22"/>
          <w:lang w:val="es-ES"/>
        </w:rPr>
      </w:pPr>
    </w:p>
    <w:p w14:paraId="4130BBAC" w14:textId="1FFE089F" w:rsidR="005B52B0" w:rsidRPr="004768D0" w:rsidRDefault="005B52B0" w:rsidP="005128E4">
      <w:pPr>
        <w:tabs>
          <w:tab w:val="center" w:pos="5400"/>
        </w:tabs>
        <w:suppressAutoHyphens/>
        <w:jc w:val="center"/>
        <w:rPr>
          <w:rFonts w:asciiTheme="majorHAnsi" w:hAnsiTheme="majorHAnsi"/>
          <w:color w:val="000000" w:themeColor="text1"/>
          <w:sz w:val="22"/>
          <w:szCs w:val="22"/>
          <w:lang w:val="es-ES"/>
        </w:rPr>
      </w:pPr>
    </w:p>
    <w:p w14:paraId="059C9B17" w14:textId="60581B63" w:rsidR="005B52B0" w:rsidRPr="004768D0" w:rsidRDefault="005B52B0" w:rsidP="005128E4">
      <w:pPr>
        <w:tabs>
          <w:tab w:val="center" w:pos="5400"/>
        </w:tabs>
        <w:suppressAutoHyphens/>
        <w:jc w:val="center"/>
        <w:rPr>
          <w:rFonts w:asciiTheme="majorHAnsi" w:hAnsiTheme="majorHAnsi"/>
          <w:color w:val="000000" w:themeColor="text1"/>
          <w:sz w:val="22"/>
          <w:szCs w:val="22"/>
          <w:lang w:val="es-ES"/>
        </w:rPr>
      </w:pPr>
    </w:p>
    <w:p w14:paraId="63F68085" w14:textId="55D4AC67" w:rsidR="005B52B0" w:rsidRPr="004768D0" w:rsidRDefault="005B52B0" w:rsidP="005128E4">
      <w:pPr>
        <w:tabs>
          <w:tab w:val="center" w:pos="5400"/>
        </w:tabs>
        <w:suppressAutoHyphens/>
        <w:jc w:val="center"/>
        <w:rPr>
          <w:rFonts w:asciiTheme="majorHAnsi" w:hAnsiTheme="majorHAnsi"/>
          <w:color w:val="000000" w:themeColor="text1"/>
          <w:sz w:val="22"/>
          <w:szCs w:val="22"/>
          <w:lang w:val="es-ES"/>
        </w:rPr>
      </w:pPr>
    </w:p>
    <w:p w14:paraId="02AD4CE1" w14:textId="790924AF"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4D6B100E" w14:textId="179FBCD8"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1F53CB66" w14:textId="263DCA8D" w:rsidR="00040C3A" w:rsidRPr="004768D0" w:rsidRDefault="001C3D62" w:rsidP="00040C3A">
      <w:pPr>
        <w:tabs>
          <w:tab w:val="center" w:pos="5400"/>
        </w:tabs>
        <w:suppressAutoHyphens/>
        <w:jc w:val="center"/>
        <w:rPr>
          <w:rFonts w:asciiTheme="majorHAnsi" w:hAnsiTheme="majorHAnsi"/>
          <w:color w:val="000000" w:themeColor="text1"/>
          <w:sz w:val="22"/>
          <w:szCs w:val="22"/>
          <w:lang w:val="es-ES"/>
        </w:rPr>
      </w:pPr>
      <w:r w:rsidRPr="004768D0">
        <w:rPr>
          <w:rFonts w:asciiTheme="majorHAnsi" w:hAnsiTheme="majorHAnsi"/>
          <w:noProof/>
          <w:color w:val="000000" w:themeColor="text1"/>
          <w:sz w:val="22"/>
          <w:szCs w:val="22"/>
        </w:rPr>
        <mc:AlternateContent>
          <mc:Choice Requires="wps">
            <w:drawing>
              <wp:anchor distT="0" distB="0" distL="114300" distR="114300" simplePos="0" relativeHeight="251651584" behindDoc="0" locked="0" layoutInCell="1" allowOverlap="1" wp14:anchorId="67FF1417" wp14:editId="5A50C770">
                <wp:simplePos x="0" y="0"/>
                <wp:positionH relativeFrom="column">
                  <wp:posOffset>-259847</wp:posOffset>
                </wp:positionH>
                <wp:positionV relativeFrom="paragraph">
                  <wp:posOffset>207237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FDE7A" w14:textId="581AF4D4" w:rsidR="00ED3D6C" w:rsidRPr="001C3D62" w:rsidRDefault="00ED3D6C" w:rsidP="007A5817">
                            <w:pPr>
                              <w:spacing w:line="276" w:lineRule="auto"/>
                              <w:jc w:val="right"/>
                              <w:rPr>
                                <w:rFonts w:asciiTheme="minorHAnsi" w:hAnsiTheme="minorHAnsi"/>
                                <w:color w:val="FFFFFF" w:themeColor="background1"/>
                                <w:sz w:val="22"/>
                                <w:lang w:val="pt-BR"/>
                              </w:rPr>
                            </w:pPr>
                            <w:r w:rsidRPr="001C3D62">
                              <w:rPr>
                                <w:rFonts w:asciiTheme="minorHAnsi" w:hAnsiTheme="minorHAnsi"/>
                                <w:color w:val="FFFFFF" w:themeColor="background1"/>
                                <w:sz w:val="22"/>
                                <w:lang w:val="pt-BR"/>
                              </w:rPr>
                              <w:t>OEA/Ser.L/V/II.</w:t>
                            </w:r>
                          </w:p>
                          <w:p w14:paraId="1156B043" w14:textId="2B6C2A7D" w:rsidR="00ED3D6C" w:rsidRPr="001C3D62" w:rsidRDefault="001C3D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163</w:t>
                            </w:r>
                          </w:p>
                          <w:p w14:paraId="45B4A7D2" w14:textId="59C10F1F" w:rsidR="00ED3D6C" w:rsidRPr="001C3D62" w:rsidRDefault="001C3D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28 julio </w:t>
                            </w:r>
                            <w:r w:rsidR="00ED3D6C" w:rsidRPr="001C3D62">
                              <w:rPr>
                                <w:rFonts w:asciiTheme="minorHAnsi" w:hAnsiTheme="minorHAnsi"/>
                                <w:color w:val="FFFFFF" w:themeColor="background1"/>
                                <w:sz w:val="22"/>
                                <w:lang w:val="pt-BR"/>
                              </w:rPr>
                              <w:t>2021</w:t>
                            </w:r>
                          </w:p>
                          <w:p w14:paraId="3E9706F2" w14:textId="61F6E278" w:rsidR="00ED3D6C" w:rsidRPr="001C3D62" w:rsidRDefault="00ED3D6C" w:rsidP="007A5817">
                            <w:pPr>
                              <w:spacing w:line="276" w:lineRule="auto"/>
                              <w:jc w:val="right"/>
                              <w:rPr>
                                <w:rFonts w:asciiTheme="minorHAnsi" w:hAnsiTheme="minorHAnsi"/>
                                <w:color w:val="FFFFFF" w:themeColor="background1"/>
                                <w:sz w:val="22"/>
                                <w:lang w:val="pt-BR"/>
                              </w:rPr>
                            </w:pPr>
                            <w:r w:rsidRPr="001C3D62">
                              <w:rPr>
                                <w:rFonts w:asciiTheme="minorHAnsi" w:hAnsiTheme="minorHAnsi"/>
                                <w:color w:val="FFFFFF" w:themeColor="background1"/>
                                <w:sz w:val="22"/>
                                <w:lang w:val="pt-BR"/>
                              </w:rPr>
                              <w:t xml:space="preserve">Original: </w:t>
                            </w:r>
                            <w:r w:rsidR="001C3D62">
                              <w:rPr>
                                <w:rFonts w:asciiTheme="minorHAnsi" w:hAnsiTheme="minorHAnsi"/>
                                <w:color w:val="FFFFFF" w:themeColor="background1"/>
                                <w:sz w:val="22"/>
                                <w:lang w:val="pt-BR"/>
                              </w:rPr>
                              <w:t>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F1417" id="Text Box 8" o:spid="_x0000_s1027" type="#_x0000_t202" style="position:absolute;left:0;text-align:left;margin-left:-20.45pt;margin-top:16.3pt;width:109.5pt;height:10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" filled="f" stroked="f" strokeweight=".5pt">
                <v:textbox>
                  <w:txbxContent>
                    <w:p w14:paraId="138FDE7A" w14:textId="581AF4D4" w:rsidR="00ED3D6C" w:rsidRPr="001C3D62" w:rsidRDefault="00ED3D6C" w:rsidP="007A5817">
                      <w:pPr>
                        <w:spacing w:line="276" w:lineRule="auto"/>
                        <w:jc w:val="right"/>
                        <w:rPr>
                          <w:rFonts w:asciiTheme="minorHAnsi" w:hAnsiTheme="minorHAnsi"/>
                          <w:color w:val="FFFFFF" w:themeColor="background1"/>
                          <w:sz w:val="22"/>
                          <w:lang w:val="pt-BR"/>
                        </w:rPr>
                      </w:pPr>
                      <w:r w:rsidRPr="001C3D62">
                        <w:rPr>
                          <w:rFonts w:asciiTheme="minorHAnsi" w:hAnsiTheme="minorHAnsi"/>
                          <w:color w:val="FFFFFF" w:themeColor="background1"/>
                          <w:sz w:val="22"/>
                          <w:lang w:val="pt-BR"/>
                        </w:rPr>
                        <w:t>OEA/Ser.L/V/II.</w:t>
                      </w:r>
                    </w:p>
                    <w:p w14:paraId="1156B043" w14:textId="2B6C2A7D" w:rsidR="00ED3D6C" w:rsidRPr="001C3D62" w:rsidRDefault="001C3D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163</w:t>
                      </w:r>
                    </w:p>
                    <w:p w14:paraId="45B4A7D2" w14:textId="59C10F1F" w:rsidR="00ED3D6C" w:rsidRPr="001C3D62" w:rsidRDefault="001C3D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28 julio </w:t>
                      </w:r>
                      <w:r w:rsidR="00ED3D6C" w:rsidRPr="001C3D62">
                        <w:rPr>
                          <w:rFonts w:asciiTheme="minorHAnsi" w:hAnsiTheme="minorHAnsi"/>
                          <w:color w:val="FFFFFF" w:themeColor="background1"/>
                          <w:sz w:val="22"/>
                          <w:lang w:val="pt-BR"/>
                        </w:rPr>
                        <w:t>2021</w:t>
                      </w:r>
                    </w:p>
                    <w:p w14:paraId="3E9706F2" w14:textId="61F6E278" w:rsidR="00ED3D6C" w:rsidRPr="001C3D62" w:rsidRDefault="00ED3D6C" w:rsidP="007A5817">
                      <w:pPr>
                        <w:spacing w:line="276" w:lineRule="auto"/>
                        <w:jc w:val="right"/>
                        <w:rPr>
                          <w:rFonts w:asciiTheme="minorHAnsi" w:hAnsiTheme="minorHAnsi"/>
                          <w:color w:val="FFFFFF" w:themeColor="background1"/>
                          <w:sz w:val="22"/>
                          <w:lang w:val="pt-BR"/>
                        </w:rPr>
                      </w:pPr>
                      <w:r w:rsidRPr="001C3D62">
                        <w:rPr>
                          <w:rFonts w:asciiTheme="minorHAnsi" w:hAnsiTheme="minorHAnsi"/>
                          <w:color w:val="FFFFFF" w:themeColor="background1"/>
                          <w:sz w:val="22"/>
                          <w:lang w:val="pt-BR"/>
                        </w:rPr>
                        <w:t xml:space="preserve">Original: </w:t>
                      </w:r>
                      <w:r w:rsidR="001C3D62">
                        <w:rPr>
                          <w:rFonts w:asciiTheme="minorHAnsi" w:hAnsiTheme="minorHAnsi"/>
                          <w:color w:val="FFFFFF" w:themeColor="background1"/>
                          <w:sz w:val="22"/>
                          <w:lang w:val="pt-BR"/>
                        </w:rPr>
                        <w:t>español</w:t>
                      </w:r>
                    </w:p>
                  </w:txbxContent>
                </v:textbox>
              </v:shape>
            </w:pict>
          </mc:Fallback>
        </mc:AlternateContent>
      </w:r>
    </w:p>
    <w:p w14:paraId="6CAEB828" w14:textId="2B904FC3" w:rsidR="00040C3A" w:rsidRPr="004768D0" w:rsidRDefault="001C3D62" w:rsidP="00040C3A">
      <w:pPr>
        <w:tabs>
          <w:tab w:val="center" w:pos="5400"/>
        </w:tabs>
        <w:suppressAutoHyphens/>
        <w:jc w:val="center"/>
        <w:rPr>
          <w:rFonts w:asciiTheme="majorHAnsi" w:hAnsiTheme="majorHAnsi"/>
          <w:color w:val="000000" w:themeColor="text1"/>
          <w:sz w:val="22"/>
          <w:szCs w:val="22"/>
          <w:lang w:val="es-ES"/>
        </w:rPr>
      </w:pPr>
      <w:r w:rsidRPr="004768D0">
        <w:rPr>
          <w:rFonts w:asciiTheme="majorHAnsi" w:hAnsiTheme="majorHAnsi"/>
          <w:noProof/>
          <w:color w:val="000000" w:themeColor="text1"/>
          <w:sz w:val="22"/>
          <w:szCs w:val="22"/>
        </w:rPr>
        <mc:AlternateContent>
          <mc:Choice Requires="wps">
            <w:drawing>
              <wp:anchor distT="0" distB="0" distL="114300" distR="114300" simplePos="0" relativeHeight="251671040" behindDoc="0" locked="0" layoutInCell="1" allowOverlap="1" wp14:anchorId="26001170" wp14:editId="6379F0E2">
                <wp:simplePos x="0" y="0"/>
                <wp:positionH relativeFrom="column">
                  <wp:posOffset>1421130</wp:posOffset>
                </wp:positionH>
                <wp:positionV relativeFrom="paragraph">
                  <wp:posOffset>25400</wp:posOffset>
                </wp:positionV>
                <wp:extent cx="4441190" cy="3517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441190" cy="351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C7C54" w14:textId="54FC18F5" w:rsidR="00ED3D6C" w:rsidRPr="001002C6" w:rsidRDefault="00ED3D6C" w:rsidP="00997BC5">
                            <w:pPr>
                              <w:spacing w:line="276" w:lineRule="auto"/>
                              <w:rPr>
                                <w:rFonts w:asciiTheme="majorHAnsi" w:hAnsiTheme="majorHAnsi" w:cs="Arial"/>
                                <w:b/>
                                <w:bCs/>
                                <w:color w:val="0D0D0D" w:themeColor="text1" w:themeTint="F2"/>
                                <w:sz w:val="36"/>
                                <w:szCs w:val="22"/>
                                <w:lang w:val="es-ES"/>
                              </w:rPr>
                            </w:pPr>
                            <w:r w:rsidRPr="001002C6">
                              <w:rPr>
                                <w:rFonts w:asciiTheme="majorHAnsi" w:hAnsiTheme="majorHAnsi" w:cs="Arial"/>
                                <w:b/>
                                <w:bCs/>
                                <w:color w:val="0D0D0D" w:themeColor="text1" w:themeTint="F2"/>
                                <w:sz w:val="36"/>
                                <w:szCs w:val="22"/>
                                <w:lang w:val="es-ES"/>
                              </w:rPr>
                              <w:t xml:space="preserve">INFORME </w:t>
                            </w:r>
                            <w:r w:rsidRPr="001002C6">
                              <w:rPr>
                                <w:rFonts w:asciiTheme="majorHAnsi" w:hAnsiTheme="majorHAnsi" w:cs="Arial"/>
                                <w:b/>
                                <w:bCs/>
                                <w:color w:val="0D0D0D" w:themeColor="text1" w:themeTint="F2"/>
                                <w:sz w:val="36"/>
                                <w:szCs w:val="40"/>
                                <w:lang w:val="es-ES"/>
                              </w:rPr>
                              <w:t>No.</w:t>
                            </w:r>
                            <w:r w:rsidRPr="001002C6">
                              <w:rPr>
                                <w:rFonts w:asciiTheme="majorHAnsi" w:hAnsiTheme="majorHAnsi" w:cs="Arial"/>
                                <w:b/>
                                <w:bCs/>
                                <w:color w:val="0D0D0D" w:themeColor="text1" w:themeTint="F2"/>
                                <w:sz w:val="36"/>
                                <w:szCs w:val="22"/>
                                <w:lang w:val="es-ES"/>
                              </w:rPr>
                              <w:t xml:space="preserve"> </w:t>
                            </w:r>
                            <w:r w:rsidR="001C3D62">
                              <w:rPr>
                                <w:rFonts w:asciiTheme="majorHAnsi" w:hAnsiTheme="majorHAnsi" w:cs="Arial"/>
                                <w:b/>
                                <w:bCs/>
                                <w:color w:val="0D0D0D" w:themeColor="text1" w:themeTint="F2"/>
                                <w:sz w:val="36"/>
                                <w:szCs w:val="22"/>
                                <w:lang w:val="es-ES"/>
                              </w:rPr>
                              <w:t>155</w:t>
                            </w:r>
                            <w:r w:rsidRPr="001002C6">
                              <w:rPr>
                                <w:rFonts w:asciiTheme="majorHAnsi" w:hAnsiTheme="majorHAnsi" w:cs="Arial"/>
                                <w:b/>
                                <w:bCs/>
                                <w:color w:val="0D0D0D" w:themeColor="text1" w:themeTint="F2"/>
                                <w:sz w:val="36"/>
                                <w:szCs w:val="22"/>
                                <w:lang w:val="es-ES"/>
                              </w:rPr>
                              <w:t>/21</w:t>
                            </w:r>
                          </w:p>
                          <w:p w14:paraId="31FA86D9" w14:textId="77777777" w:rsidR="00ED3D6C" w:rsidRPr="001002C6" w:rsidRDefault="00ED3D6C" w:rsidP="00997BC5">
                            <w:pPr>
                              <w:spacing w:line="276" w:lineRule="auto"/>
                              <w:rPr>
                                <w:rFonts w:asciiTheme="majorHAnsi" w:hAnsiTheme="majorHAnsi" w:cs="Arial"/>
                                <w:b/>
                                <w:color w:val="0D0D0D" w:themeColor="text1" w:themeTint="F2"/>
                                <w:sz w:val="36"/>
                                <w:szCs w:val="22"/>
                                <w:lang w:val="es-ES"/>
                              </w:rPr>
                            </w:pPr>
                            <w:r w:rsidRPr="001002C6">
                              <w:rPr>
                                <w:rFonts w:asciiTheme="majorHAnsi" w:hAnsiTheme="majorHAnsi" w:cs="Arial"/>
                                <w:b/>
                                <w:color w:val="0D0D0D" w:themeColor="text1" w:themeTint="F2"/>
                                <w:sz w:val="36"/>
                                <w:szCs w:val="22"/>
                                <w:lang w:val="es-ES"/>
                              </w:rPr>
                              <w:t>PETICIÓN 151-15</w:t>
                            </w:r>
                          </w:p>
                          <w:p w14:paraId="7313EE9F" w14:textId="77777777" w:rsidR="00ED3D6C" w:rsidRPr="001002C6" w:rsidRDefault="00ED3D6C" w:rsidP="00997BC5">
                            <w:pPr>
                              <w:spacing w:line="276" w:lineRule="auto"/>
                              <w:rPr>
                                <w:rFonts w:asciiTheme="majorHAnsi" w:hAnsiTheme="majorHAnsi" w:cs="Arial"/>
                                <w:color w:val="0D0D0D" w:themeColor="text1" w:themeTint="F2"/>
                                <w:szCs w:val="22"/>
                                <w:lang w:val="es-ES"/>
                              </w:rPr>
                            </w:pPr>
                            <w:r w:rsidRPr="001002C6">
                              <w:rPr>
                                <w:rFonts w:asciiTheme="majorHAnsi" w:hAnsiTheme="majorHAnsi" w:cs="Arial"/>
                                <w:color w:val="0D0D0D" w:themeColor="text1" w:themeTint="F2"/>
                                <w:szCs w:val="22"/>
                                <w:lang w:val="es-ES"/>
                              </w:rPr>
                              <w:t>INFORME DE ADMISIBILIDAD</w:t>
                            </w:r>
                          </w:p>
                          <w:p w14:paraId="5EB64804" w14:textId="77777777" w:rsidR="00ED3D6C" w:rsidRPr="001002C6" w:rsidRDefault="00ED3D6C" w:rsidP="00997BC5">
                            <w:pPr>
                              <w:spacing w:line="276" w:lineRule="auto"/>
                              <w:rPr>
                                <w:rFonts w:asciiTheme="majorHAnsi" w:hAnsiTheme="majorHAnsi" w:cs="Arial"/>
                                <w:color w:val="0D0D0D" w:themeColor="text1" w:themeTint="F2"/>
                                <w:szCs w:val="22"/>
                                <w:lang w:val="es-ES"/>
                              </w:rPr>
                            </w:pPr>
                            <w:bookmarkStart w:id="1" w:name="_ftnref1"/>
                          </w:p>
                          <w:p w14:paraId="11F59DD8" w14:textId="1463E955" w:rsidR="00ED3D6C" w:rsidRPr="001002C6" w:rsidRDefault="00ED3D6C" w:rsidP="00997BC5">
                            <w:pPr>
                              <w:spacing w:line="276" w:lineRule="auto"/>
                              <w:rPr>
                                <w:rFonts w:asciiTheme="majorHAnsi" w:hAnsiTheme="majorHAnsi" w:cs="Arial"/>
                                <w:color w:val="0D0D0D" w:themeColor="text1" w:themeTint="F2"/>
                                <w:szCs w:val="22"/>
                                <w:lang w:val="es-ES"/>
                              </w:rPr>
                            </w:pPr>
                            <w:r w:rsidRPr="001002C6">
                              <w:rPr>
                                <w:rFonts w:asciiTheme="majorHAnsi" w:hAnsiTheme="majorHAnsi" w:cs="Arial"/>
                                <w:color w:val="0D0D0D" w:themeColor="text1" w:themeTint="F2"/>
                                <w:szCs w:val="22"/>
                                <w:lang w:val="es-ES"/>
                              </w:rPr>
                              <w:t>MARCOS R</w:t>
                            </w:r>
                            <w:r w:rsidR="000211CE">
                              <w:rPr>
                                <w:rFonts w:asciiTheme="majorHAnsi" w:hAnsiTheme="majorHAnsi" w:cs="Arial"/>
                                <w:color w:val="0D0D0D" w:themeColor="text1" w:themeTint="F2"/>
                                <w:szCs w:val="22"/>
                                <w:lang w:val="es-ES"/>
                              </w:rPr>
                              <w:t>E</w:t>
                            </w:r>
                            <w:r w:rsidRPr="001002C6">
                              <w:rPr>
                                <w:rFonts w:asciiTheme="majorHAnsi" w:hAnsiTheme="majorHAnsi" w:cs="Arial"/>
                                <w:color w:val="0D0D0D" w:themeColor="text1" w:themeTint="F2"/>
                                <w:szCs w:val="22"/>
                                <w:lang w:val="es-ES"/>
                              </w:rPr>
                              <w:t>BELLO FILHO y otros</w:t>
                            </w:r>
                            <w:bookmarkEnd w:id="1"/>
                          </w:p>
                          <w:p w14:paraId="16B51986" w14:textId="77777777" w:rsidR="00ED3D6C" w:rsidRPr="001002C6" w:rsidRDefault="00ED3D6C" w:rsidP="00997BC5">
                            <w:pPr>
                              <w:spacing w:line="276" w:lineRule="auto"/>
                              <w:rPr>
                                <w:rFonts w:asciiTheme="majorHAnsi" w:hAnsiTheme="majorHAnsi" w:cs="Arial"/>
                                <w:color w:val="0D0D0D" w:themeColor="text1" w:themeTint="F2"/>
                                <w:szCs w:val="22"/>
                                <w:lang w:val="es-ES"/>
                              </w:rPr>
                            </w:pPr>
                            <w:r w:rsidRPr="001002C6">
                              <w:rPr>
                                <w:rFonts w:asciiTheme="majorHAnsi" w:hAnsiTheme="majorHAnsi" w:cs="Arial"/>
                                <w:color w:val="0D0D0D" w:themeColor="text1" w:themeTint="F2"/>
                                <w:szCs w:val="22"/>
                                <w:lang w:val="es-ES"/>
                              </w:rPr>
                              <w:t>BRASIL</w:t>
                            </w:r>
                          </w:p>
                          <w:p w14:paraId="3CA0EA0B" w14:textId="77777777" w:rsidR="00ED3D6C" w:rsidRPr="001002C6" w:rsidRDefault="00ED3D6C"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01170" id="Text Box 5" o:spid="_x0000_s1028" type="#_x0000_t202" style="position:absolute;left:0;text-align:left;margin-left:111.9pt;margin-top:2pt;width:349.7pt;height:27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" filled="f" stroked="f" strokeweight=".5pt">
                <v:textbox>
                  <w:txbxContent>
                    <w:p w14:paraId="38BC7C54" w14:textId="54FC18F5" w:rsidR="00ED3D6C" w:rsidRPr="001002C6" w:rsidRDefault="00ED3D6C" w:rsidP="00997BC5">
                      <w:pPr>
                        <w:spacing w:line="276" w:lineRule="auto"/>
                        <w:rPr>
                          <w:rFonts w:asciiTheme="majorHAnsi" w:hAnsiTheme="majorHAnsi" w:cs="Arial"/>
                          <w:b/>
                          <w:bCs/>
                          <w:color w:val="0D0D0D" w:themeColor="text1" w:themeTint="F2"/>
                          <w:sz w:val="36"/>
                          <w:szCs w:val="22"/>
                          <w:lang w:val="es-ES"/>
                        </w:rPr>
                      </w:pPr>
                      <w:r w:rsidRPr="001002C6">
                        <w:rPr>
                          <w:rFonts w:asciiTheme="majorHAnsi" w:hAnsiTheme="majorHAnsi" w:cs="Arial"/>
                          <w:b/>
                          <w:bCs/>
                          <w:color w:val="0D0D0D" w:themeColor="text1" w:themeTint="F2"/>
                          <w:sz w:val="36"/>
                          <w:szCs w:val="22"/>
                          <w:lang w:val="es-ES"/>
                        </w:rPr>
                        <w:t xml:space="preserve">INFORME </w:t>
                      </w:r>
                      <w:r w:rsidRPr="001002C6">
                        <w:rPr>
                          <w:rFonts w:asciiTheme="majorHAnsi" w:hAnsiTheme="majorHAnsi" w:cs="Arial"/>
                          <w:b/>
                          <w:bCs/>
                          <w:color w:val="0D0D0D" w:themeColor="text1" w:themeTint="F2"/>
                          <w:sz w:val="36"/>
                          <w:szCs w:val="40"/>
                          <w:lang w:val="es-ES"/>
                        </w:rPr>
                        <w:t>No.</w:t>
                      </w:r>
                      <w:r w:rsidRPr="001002C6">
                        <w:rPr>
                          <w:rFonts w:asciiTheme="majorHAnsi" w:hAnsiTheme="majorHAnsi" w:cs="Arial"/>
                          <w:b/>
                          <w:bCs/>
                          <w:color w:val="0D0D0D" w:themeColor="text1" w:themeTint="F2"/>
                          <w:sz w:val="36"/>
                          <w:szCs w:val="22"/>
                          <w:lang w:val="es-ES"/>
                        </w:rPr>
                        <w:t xml:space="preserve"> </w:t>
                      </w:r>
                      <w:r w:rsidR="001C3D62">
                        <w:rPr>
                          <w:rFonts w:asciiTheme="majorHAnsi" w:hAnsiTheme="majorHAnsi" w:cs="Arial"/>
                          <w:b/>
                          <w:bCs/>
                          <w:color w:val="0D0D0D" w:themeColor="text1" w:themeTint="F2"/>
                          <w:sz w:val="36"/>
                          <w:szCs w:val="22"/>
                          <w:lang w:val="es-ES"/>
                        </w:rPr>
                        <w:t>155</w:t>
                      </w:r>
                      <w:r w:rsidRPr="001002C6">
                        <w:rPr>
                          <w:rFonts w:asciiTheme="majorHAnsi" w:hAnsiTheme="majorHAnsi" w:cs="Arial"/>
                          <w:b/>
                          <w:bCs/>
                          <w:color w:val="0D0D0D" w:themeColor="text1" w:themeTint="F2"/>
                          <w:sz w:val="36"/>
                          <w:szCs w:val="22"/>
                          <w:lang w:val="es-ES"/>
                        </w:rPr>
                        <w:t>/21</w:t>
                      </w:r>
                    </w:p>
                    <w:p w14:paraId="31FA86D9" w14:textId="77777777" w:rsidR="00ED3D6C" w:rsidRPr="001002C6" w:rsidRDefault="00ED3D6C" w:rsidP="00997BC5">
                      <w:pPr>
                        <w:spacing w:line="276" w:lineRule="auto"/>
                        <w:rPr>
                          <w:rFonts w:asciiTheme="majorHAnsi" w:hAnsiTheme="majorHAnsi" w:cs="Arial"/>
                          <w:b/>
                          <w:color w:val="0D0D0D" w:themeColor="text1" w:themeTint="F2"/>
                          <w:sz w:val="36"/>
                          <w:szCs w:val="22"/>
                          <w:lang w:val="es-ES"/>
                        </w:rPr>
                      </w:pPr>
                      <w:r w:rsidRPr="001002C6">
                        <w:rPr>
                          <w:rFonts w:asciiTheme="majorHAnsi" w:hAnsiTheme="majorHAnsi" w:cs="Arial"/>
                          <w:b/>
                          <w:color w:val="0D0D0D" w:themeColor="text1" w:themeTint="F2"/>
                          <w:sz w:val="36"/>
                          <w:szCs w:val="22"/>
                          <w:lang w:val="es-ES"/>
                        </w:rPr>
                        <w:t>PETICIÓN 151-15</w:t>
                      </w:r>
                    </w:p>
                    <w:p w14:paraId="7313EE9F" w14:textId="77777777" w:rsidR="00ED3D6C" w:rsidRPr="001002C6" w:rsidRDefault="00ED3D6C" w:rsidP="00997BC5">
                      <w:pPr>
                        <w:spacing w:line="276" w:lineRule="auto"/>
                        <w:rPr>
                          <w:rFonts w:asciiTheme="majorHAnsi" w:hAnsiTheme="majorHAnsi" w:cs="Arial"/>
                          <w:color w:val="0D0D0D" w:themeColor="text1" w:themeTint="F2"/>
                          <w:szCs w:val="22"/>
                          <w:lang w:val="es-ES"/>
                        </w:rPr>
                      </w:pPr>
                      <w:r w:rsidRPr="001002C6">
                        <w:rPr>
                          <w:rFonts w:asciiTheme="majorHAnsi" w:hAnsiTheme="majorHAnsi" w:cs="Arial"/>
                          <w:color w:val="0D0D0D" w:themeColor="text1" w:themeTint="F2"/>
                          <w:szCs w:val="22"/>
                          <w:lang w:val="es-ES"/>
                        </w:rPr>
                        <w:t>INFORME DE ADMISIBILIDAD</w:t>
                      </w:r>
                    </w:p>
                    <w:p w14:paraId="5EB64804" w14:textId="77777777" w:rsidR="00ED3D6C" w:rsidRPr="001002C6" w:rsidRDefault="00ED3D6C" w:rsidP="00997BC5">
                      <w:pPr>
                        <w:spacing w:line="276" w:lineRule="auto"/>
                        <w:rPr>
                          <w:rFonts w:asciiTheme="majorHAnsi" w:hAnsiTheme="majorHAnsi" w:cs="Arial"/>
                          <w:color w:val="0D0D0D" w:themeColor="text1" w:themeTint="F2"/>
                          <w:szCs w:val="22"/>
                          <w:lang w:val="es-ES"/>
                        </w:rPr>
                      </w:pPr>
                      <w:bookmarkStart w:id="2" w:name="_ftnref1"/>
                    </w:p>
                    <w:p w14:paraId="11F59DD8" w14:textId="1463E955" w:rsidR="00ED3D6C" w:rsidRPr="001002C6" w:rsidRDefault="00ED3D6C" w:rsidP="00997BC5">
                      <w:pPr>
                        <w:spacing w:line="276" w:lineRule="auto"/>
                        <w:rPr>
                          <w:rFonts w:asciiTheme="majorHAnsi" w:hAnsiTheme="majorHAnsi" w:cs="Arial"/>
                          <w:color w:val="0D0D0D" w:themeColor="text1" w:themeTint="F2"/>
                          <w:szCs w:val="22"/>
                          <w:lang w:val="es-ES"/>
                        </w:rPr>
                      </w:pPr>
                      <w:r w:rsidRPr="001002C6">
                        <w:rPr>
                          <w:rFonts w:asciiTheme="majorHAnsi" w:hAnsiTheme="majorHAnsi" w:cs="Arial"/>
                          <w:color w:val="0D0D0D" w:themeColor="text1" w:themeTint="F2"/>
                          <w:szCs w:val="22"/>
                          <w:lang w:val="es-ES"/>
                        </w:rPr>
                        <w:t>MARCOS R</w:t>
                      </w:r>
                      <w:r w:rsidR="000211CE">
                        <w:rPr>
                          <w:rFonts w:asciiTheme="majorHAnsi" w:hAnsiTheme="majorHAnsi" w:cs="Arial"/>
                          <w:color w:val="0D0D0D" w:themeColor="text1" w:themeTint="F2"/>
                          <w:szCs w:val="22"/>
                          <w:lang w:val="es-ES"/>
                        </w:rPr>
                        <w:t>E</w:t>
                      </w:r>
                      <w:r w:rsidRPr="001002C6">
                        <w:rPr>
                          <w:rFonts w:asciiTheme="majorHAnsi" w:hAnsiTheme="majorHAnsi" w:cs="Arial"/>
                          <w:color w:val="0D0D0D" w:themeColor="text1" w:themeTint="F2"/>
                          <w:szCs w:val="22"/>
                          <w:lang w:val="es-ES"/>
                        </w:rPr>
                        <w:t>BELLO FILHO y otros</w:t>
                      </w:r>
                      <w:bookmarkEnd w:id="2"/>
                    </w:p>
                    <w:p w14:paraId="16B51986" w14:textId="77777777" w:rsidR="00ED3D6C" w:rsidRPr="001002C6" w:rsidRDefault="00ED3D6C" w:rsidP="00997BC5">
                      <w:pPr>
                        <w:spacing w:line="276" w:lineRule="auto"/>
                        <w:rPr>
                          <w:rFonts w:asciiTheme="majorHAnsi" w:hAnsiTheme="majorHAnsi" w:cs="Arial"/>
                          <w:color w:val="0D0D0D" w:themeColor="text1" w:themeTint="F2"/>
                          <w:szCs w:val="22"/>
                          <w:lang w:val="es-ES"/>
                        </w:rPr>
                      </w:pPr>
                      <w:r w:rsidRPr="001002C6">
                        <w:rPr>
                          <w:rFonts w:asciiTheme="majorHAnsi" w:hAnsiTheme="majorHAnsi" w:cs="Arial"/>
                          <w:color w:val="0D0D0D" w:themeColor="text1" w:themeTint="F2"/>
                          <w:szCs w:val="22"/>
                          <w:lang w:val="es-ES"/>
                        </w:rPr>
                        <w:t>BRASIL</w:t>
                      </w:r>
                    </w:p>
                    <w:p w14:paraId="3CA0EA0B" w14:textId="77777777" w:rsidR="00ED3D6C" w:rsidRPr="001002C6" w:rsidRDefault="00ED3D6C" w:rsidP="007A5817">
                      <w:pPr>
                        <w:rPr>
                          <w:color w:val="0D0D0D" w:themeColor="text1" w:themeTint="F2"/>
                          <w:lang w:val="es-ES"/>
                        </w:rPr>
                      </w:pPr>
                    </w:p>
                  </w:txbxContent>
                </v:textbox>
              </v:shape>
            </w:pict>
          </mc:Fallback>
        </mc:AlternateContent>
      </w:r>
    </w:p>
    <w:p w14:paraId="05DBC7E7" w14:textId="30CF49C9"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5B9095A6" w14:textId="72A2279D" w:rsidR="00040C3A" w:rsidRPr="004768D0" w:rsidRDefault="00040C3A" w:rsidP="00040C3A">
      <w:pPr>
        <w:tabs>
          <w:tab w:val="center" w:pos="5400"/>
        </w:tabs>
        <w:suppressAutoHyphens/>
        <w:jc w:val="center"/>
        <w:rPr>
          <w:rFonts w:asciiTheme="majorHAnsi" w:hAnsiTheme="majorHAnsi" w:cs="Arial"/>
          <w:color w:val="000000" w:themeColor="text1"/>
          <w:sz w:val="22"/>
          <w:szCs w:val="22"/>
          <w:lang w:val="es-ES"/>
        </w:rPr>
      </w:pPr>
    </w:p>
    <w:p w14:paraId="54C9EC00" w14:textId="6E156023"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616FAF03" w14:textId="7B991030"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1499FF54" w14:textId="77777777"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72E4E8F1" w14:textId="77777777"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52C964EE" w14:textId="77777777" w:rsidR="005128E4" w:rsidRPr="004768D0" w:rsidRDefault="005128E4" w:rsidP="00040C3A">
      <w:pPr>
        <w:tabs>
          <w:tab w:val="center" w:pos="5400"/>
        </w:tabs>
        <w:suppressAutoHyphens/>
        <w:jc w:val="center"/>
        <w:rPr>
          <w:rFonts w:asciiTheme="majorHAnsi" w:hAnsiTheme="majorHAnsi"/>
          <w:color w:val="000000" w:themeColor="text1"/>
          <w:sz w:val="22"/>
          <w:szCs w:val="22"/>
          <w:lang w:val="es-ES"/>
        </w:rPr>
      </w:pPr>
    </w:p>
    <w:p w14:paraId="1331D036" w14:textId="77777777"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790D619C" w14:textId="77777777" w:rsidR="005128E4" w:rsidRPr="004768D0" w:rsidRDefault="005128E4" w:rsidP="00040C3A">
      <w:pPr>
        <w:tabs>
          <w:tab w:val="center" w:pos="5400"/>
        </w:tabs>
        <w:suppressAutoHyphens/>
        <w:jc w:val="center"/>
        <w:rPr>
          <w:rFonts w:asciiTheme="majorHAnsi" w:hAnsiTheme="majorHAnsi"/>
          <w:color w:val="000000" w:themeColor="text1"/>
          <w:sz w:val="22"/>
          <w:szCs w:val="22"/>
          <w:lang w:val="es-ES"/>
        </w:rPr>
      </w:pPr>
    </w:p>
    <w:p w14:paraId="11668E24" w14:textId="77777777" w:rsidR="005128E4" w:rsidRPr="004768D0" w:rsidRDefault="005128E4" w:rsidP="00040C3A">
      <w:pPr>
        <w:tabs>
          <w:tab w:val="center" w:pos="5400"/>
        </w:tabs>
        <w:suppressAutoHyphens/>
        <w:jc w:val="center"/>
        <w:rPr>
          <w:rFonts w:asciiTheme="majorHAnsi" w:hAnsiTheme="majorHAnsi"/>
          <w:color w:val="000000" w:themeColor="text1"/>
          <w:sz w:val="22"/>
          <w:szCs w:val="22"/>
          <w:lang w:val="es-ES"/>
        </w:rPr>
      </w:pPr>
    </w:p>
    <w:p w14:paraId="2667C748" w14:textId="77777777" w:rsidR="005128E4" w:rsidRPr="004768D0" w:rsidRDefault="005128E4" w:rsidP="00040C3A">
      <w:pPr>
        <w:tabs>
          <w:tab w:val="center" w:pos="5400"/>
        </w:tabs>
        <w:suppressAutoHyphens/>
        <w:jc w:val="center"/>
        <w:rPr>
          <w:rFonts w:asciiTheme="majorHAnsi" w:hAnsiTheme="majorHAnsi"/>
          <w:color w:val="000000" w:themeColor="text1"/>
          <w:sz w:val="22"/>
          <w:szCs w:val="22"/>
          <w:lang w:val="es-ES"/>
        </w:rPr>
      </w:pPr>
    </w:p>
    <w:p w14:paraId="7654E494" w14:textId="77777777"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31D1F049" w14:textId="77777777" w:rsidR="00040C3A" w:rsidRPr="004768D0" w:rsidRDefault="00040C3A" w:rsidP="00040C3A">
      <w:pPr>
        <w:tabs>
          <w:tab w:val="center" w:pos="5400"/>
        </w:tabs>
        <w:suppressAutoHyphens/>
        <w:jc w:val="center"/>
        <w:rPr>
          <w:rFonts w:asciiTheme="majorHAnsi" w:hAnsiTheme="majorHAnsi"/>
          <w:color w:val="000000" w:themeColor="text1"/>
          <w:sz w:val="22"/>
          <w:szCs w:val="22"/>
          <w:lang w:val="es-ES"/>
        </w:rPr>
      </w:pPr>
    </w:p>
    <w:p w14:paraId="5DFBF75C"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264D7245"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04257F7C"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2D98774A"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4D25110C"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220BD7EC"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3B67350D"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016B1608"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0438F060"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176A4096"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623C71D2"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43E7701E"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20C5115B"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43379D76"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47A083B2" w14:textId="77777777" w:rsidR="00A50FCF" w:rsidRPr="004768D0" w:rsidRDefault="0090270B" w:rsidP="00040C3A">
      <w:pPr>
        <w:tabs>
          <w:tab w:val="center" w:pos="5400"/>
        </w:tabs>
        <w:suppressAutoHyphens/>
        <w:jc w:val="center"/>
        <w:rPr>
          <w:rFonts w:asciiTheme="majorHAnsi" w:hAnsiTheme="majorHAnsi"/>
          <w:color w:val="000000" w:themeColor="text1"/>
          <w:sz w:val="18"/>
          <w:szCs w:val="22"/>
          <w:lang w:val="es-ES"/>
        </w:rPr>
      </w:pPr>
      <w:r w:rsidRPr="004768D0">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432CBEFD" wp14:editId="26A7BE5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72FB" w14:textId="7E9F24D4" w:rsidR="00ED3D6C" w:rsidRPr="001002C6" w:rsidRDefault="00ED3D6C" w:rsidP="00C1138B">
                            <w:pPr>
                              <w:tabs>
                                <w:tab w:val="center" w:pos="5400"/>
                              </w:tabs>
                              <w:suppressAutoHyphens/>
                              <w:spacing w:before="60"/>
                              <w:rPr>
                                <w:rFonts w:asciiTheme="majorHAnsi" w:hAnsiTheme="majorHAnsi"/>
                                <w:color w:val="0D0D0D" w:themeColor="text1" w:themeTint="F2"/>
                                <w:sz w:val="18"/>
                                <w:szCs w:val="22"/>
                                <w:lang w:val="es-ES"/>
                              </w:rPr>
                            </w:pPr>
                            <w:r w:rsidRPr="002C302D">
                              <w:rPr>
                                <w:rFonts w:asciiTheme="majorHAnsi" w:hAnsiTheme="majorHAnsi"/>
                                <w:color w:val="0D0D0D" w:themeColor="text1" w:themeTint="F2"/>
                                <w:sz w:val="18"/>
                                <w:szCs w:val="20"/>
                                <w:lang w:val="es-ES"/>
                              </w:rPr>
                              <w:t xml:space="preserve">Aprobado electrónicamente por la Comisión el </w:t>
                            </w:r>
                            <w:r w:rsidR="001C3D62">
                              <w:rPr>
                                <w:rFonts w:asciiTheme="majorHAnsi" w:hAnsiTheme="majorHAnsi"/>
                                <w:color w:val="0D0D0D" w:themeColor="text1" w:themeTint="F2"/>
                                <w:sz w:val="18"/>
                                <w:szCs w:val="20"/>
                                <w:lang w:val="es-ES"/>
                              </w:rPr>
                              <w:t>28</w:t>
                            </w:r>
                            <w:r w:rsidRPr="002C302D">
                              <w:rPr>
                                <w:rFonts w:asciiTheme="majorHAnsi" w:hAnsiTheme="majorHAnsi"/>
                                <w:color w:val="0D0D0D" w:themeColor="text1" w:themeTint="F2"/>
                                <w:sz w:val="18"/>
                                <w:szCs w:val="20"/>
                                <w:lang w:val="es-ES"/>
                              </w:rPr>
                              <w:t xml:space="preserve"> de</w:t>
                            </w:r>
                            <w:r w:rsidRPr="001002C6">
                              <w:rPr>
                                <w:rFonts w:asciiTheme="majorHAnsi" w:hAnsiTheme="majorHAnsi"/>
                                <w:color w:val="0D0D0D" w:themeColor="text1" w:themeTint="F2"/>
                                <w:sz w:val="18"/>
                                <w:szCs w:val="20"/>
                                <w:lang w:val="es-ES"/>
                              </w:rPr>
                              <w:t xml:space="preserve"> </w:t>
                            </w:r>
                            <w:r w:rsidR="001C3D62">
                              <w:rPr>
                                <w:rFonts w:asciiTheme="majorHAnsi" w:hAnsiTheme="majorHAnsi"/>
                                <w:color w:val="0D0D0D" w:themeColor="text1" w:themeTint="F2"/>
                                <w:sz w:val="18"/>
                                <w:szCs w:val="20"/>
                                <w:lang w:val="es-ES"/>
                              </w:rPr>
                              <w:t>julio</w:t>
                            </w:r>
                            <w:r w:rsidRPr="001002C6">
                              <w:rPr>
                                <w:rFonts w:asciiTheme="majorHAnsi" w:hAnsiTheme="majorHAnsi"/>
                                <w:color w:val="0D0D0D" w:themeColor="text1" w:themeTint="F2"/>
                                <w:sz w:val="18"/>
                                <w:szCs w:val="20"/>
                                <w:lang w:val="es-ES"/>
                              </w:rPr>
                              <w:t xml:space="preserve"> de 2021.</w:t>
                            </w:r>
                          </w:p>
                          <w:p w14:paraId="2ACAC54D" w14:textId="77777777" w:rsidR="00ED3D6C" w:rsidRPr="001002C6" w:rsidRDefault="00ED3D6C"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FFE4B4" w14:textId="77777777" w:rsidR="00ED3D6C" w:rsidRPr="001002C6" w:rsidRDefault="00ED3D6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BEF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A5F72FB" w14:textId="7E9F24D4" w:rsidR="00ED3D6C" w:rsidRPr="001002C6" w:rsidRDefault="00ED3D6C" w:rsidP="00C1138B">
                      <w:pPr>
                        <w:tabs>
                          <w:tab w:val="center" w:pos="5400"/>
                        </w:tabs>
                        <w:suppressAutoHyphens/>
                        <w:spacing w:before="60"/>
                        <w:rPr>
                          <w:rFonts w:asciiTheme="majorHAnsi" w:hAnsiTheme="majorHAnsi"/>
                          <w:color w:val="0D0D0D" w:themeColor="text1" w:themeTint="F2"/>
                          <w:sz w:val="18"/>
                          <w:szCs w:val="22"/>
                          <w:lang w:val="es-ES"/>
                        </w:rPr>
                      </w:pPr>
                      <w:r w:rsidRPr="002C302D">
                        <w:rPr>
                          <w:rFonts w:asciiTheme="majorHAnsi" w:hAnsiTheme="majorHAnsi"/>
                          <w:color w:val="0D0D0D" w:themeColor="text1" w:themeTint="F2"/>
                          <w:sz w:val="18"/>
                          <w:szCs w:val="20"/>
                          <w:lang w:val="es-ES"/>
                        </w:rPr>
                        <w:t xml:space="preserve">Aprobado electrónicamente por la Comisión el </w:t>
                      </w:r>
                      <w:r w:rsidR="001C3D62">
                        <w:rPr>
                          <w:rFonts w:asciiTheme="majorHAnsi" w:hAnsiTheme="majorHAnsi"/>
                          <w:color w:val="0D0D0D" w:themeColor="text1" w:themeTint="F2"/>
                          <w:sz w:val="18"/>
                          <w:szCs w:val="20"/>
                          <w:lang w:val="es-ES"/>
                        </w:rPr>
                        <w:t>28</w:t>
                      </w:r>
                      <w:r w:rsidRPr="002C302D">
                        <w:rPr>
                          <w:rFonts w:asciiTheme="majorHAnsi" w:hAnsiTheme="majorHAnsi"/>
                          <w:color w:val="0D0D0D" w:themeColor="text1" w:themeTint="F2"/>
                          <w:sz w:val="18"/>
                          <w:szCs w:val="20"/>
                          <w:lang w:val="es-ES"/>
                        </w:rPr>
                        <w:t xml:space="preserve"> de</w:t>
                      </w:r>
                      <w:r w:rsidRPr="001002C6">
                        <w:rPr>
                          <w:rFonts w:asciiTheme="majorHAnsi" w:hAnsiTheme="majorHAnsi"/>
                          <w:color w:val="0D0D0D" w:themeColor="text1" w:themeTint="F2"/>
                          <w:sz w:val="18"/>
                          <w:szCs w:val="20"/>
                          <w:lang w:val="es-ES"/>
                        </w:rPr>
                        <w:t xml:space="preserve"> </w:t>
                      </w:r>
                      <w:r w:rsidR="001C3D62">
                        <w:rPr>
                          <w:rFonts w:asciiTheme="majorHAnsi" w:hAnsiTheme="majorHAnsi"/>
                          <w:color w:val="0D0D0D" w:themeColor="text1" w:themeTint="F2"/>
                          <w:sz w:val="18"/>
                          <w:szCs w:val="20"/>
                          <w:lang w:val="es-ES"/>
                        </w:rPr>
                        <w:t>julio</w:t>
                      </w:r>
                      <w:r w:rsidRPr="001002C6">
                        <w:rPr>
                          <w:rFonts w:asciiTheme="majorHAnsi" w:hAnsiTheme="majorHAnsi"/>
                          <w:color w:val="0D0D0D" w:themeColor="text1" w:themeTint="F2"/>
                          <w:sz w:val="18"/>
                          <w:szCs w:val="20"/>
                          <w:lang w:val="es-ES"/>
                        </w:rPr>
                        <w:t xml:space="preserve"> de 2021.</w:t>
                      </w:r>
                    </w:p>
                    <w:p w14:paraId="2ACAC54D" w14:textId="77777777" w:rsidR="00ED3D6C" w:rsidRPr="001002C6" w:rsidRDefault="00ED3D6C"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FFE4B4" w14:textId="77777777" w:rsidR="00ED3D6C" w:rsidRPr="001002C6" w:rsidRDefault="00ED3D6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3E9169B"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50153B6F"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5995E65E"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66B38434"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0FE3B9DA" w14:textId="77777777" w:rsidR="00A50FCF" w:rsidRPr="004768D0" w:rsidRDefault="0090270B" w:rsidP="00040C3A">
      <w:pPr>
        <w:tabs>
          <w:tab w:val="center" w:pos="5400"/>
        </w:tabs>
        <w:suppressAutoHyphens/>
        <w:jc w:val="center"/>
        <w:rPr>
          <w:rFonts w:asciiTheme="majorHAnsi" w:hAnsiTheme="majorHAnsi"/>
          <w:color w:val="000000" w:themeColor="text1"/>
          <w:sz w:val="18"/>
          <w:szCs w:val="22"/>
          <w:lang w:val="es-ES"/>
        </w:rPr>
      </w:pPr>
      <w:r w:rsidRPr="004768D0">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0C3EB015" wp14:editId="5BF5D5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665B2" w14:textId="6FA6CEDB" w:rsidR="00ED3D6C" w:rsidRPr="0038709A" w:rsidRDefault="00ED3D6C"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No.</w:t>
                            </w:r>
                            <w:r w:rsidR="001C3D62">
                              <w:rPr>
                                <w:rFonts w:asciiTheme="majorHAnsi" w:hAnsiTheme="majorHAnsi"/>
                                <w:color w:val="595959" w:themeColor="text1" w:themeTint="A6"/>
                                <w:sz w:val="18"/>
                                <w:szCs w:val="18"/>
                                <w:lang w:val="pt-BR"/>
                              </w:rPr>
                              <w:t xml:space="preserve"> </w:t>
                            </w:r>
                            <w:r w:rsidR="001C3D62">
                              <w:rPr>
                                <w:rFonts w:asciiTheme="majorHAnsi" w:hAnsiTheme="majorHAnsi"/>
                                <w:color w:val="595959" w:themeColor="text1" w:themeTint="A6"/>
                                <w:sz w:val="18"/>
                                <w:szCs w:val="18"/>
                                <w:lang w:val="es-ES"/>
                              </w:rPr>
                              <w:t>155/21</w:t>
                            </w:r>
                            <w:r w:rsidRPr="001002C6">
                              <w:rPr>
                                <w:rFonts w:asciiTheme="majorHAnsi" w:hAnsiTheme="majorHAnsi"/>
                                <w:color w:val="595959" w:themeColor="text1" w:themeTint="A6"/>
                                <w:sz w:val="18"/>
                                <w:szCs w:val="18"/>
                                <w:lang w:val="es-ES"/>
                              </w:rPr>
                              <w:t xml:space="preserve">. Petición 151-15. Admisibilidad. Marcos </w:t>
                            </w:r>
                            <w:proofErr w:type="spellStart"/>
                            <w:r w:rsidRPr="001002C6">
                              <w:rPr>
                                <w:rFonts w:asciiTheme="majorHAnsi" w:hAnsiTheme="majorHAnsi"/>
                                <w:color w:val="595959" w:themeColor="text1" w:themeTint="A6"/>
                                <w:sz w:val="18"/>
                                <w:szCs w:val="18"/>
                                <w:lang w:val="es-ES"/>
                              </w:rPr>
                              <w:t>R</w:t>
                            </w:r>
                            <w:r w:rsidR="000211CE">
                              <w:rPr>
                                <w:rFonts w:asciiTheme="majorHAnsi" w:hAnsiTheme="majorHAnsi"/>
                                <w:color w:val="595959" w:themeColor="text1" w:themeTint="A6"/>
                                <w:sz w:val="18"/>
                                <w:szCs w:val="18"/>
                                <w:lang w:val="es-ES"/>
                              </w:rPr>
                              <w:t>e</w:t>
                            </w:r>
                            <w:r w:rsidRPr="001002C6">
                              <w:rPr>
                                <w:rFonts w:asciiTheme="majorHAnsi" w:hAnsiTheme="majorHAnsi"/>
                                <w:color w:val="595959" w:themeColor="text1" w:themeTint="A6"/>
                                <w:sz w:val="18"/>
                                <w:szCs w:val="18"/>
                                <w:lang w:val="es-ES"/>
                              </w:rPr>
                              <w:t>bello</w:t>
                            </w:r>
                            <w:proofErr w:type="spellEnd"/>
                            <w:r w:rsidRPr="001002C6">
                              <w:rPr>
                                <w:rFonts w:asciiTheme="majorHAnsi" w:hAnsiTheme="majorHAnsi"/>
                                <w:color w:val="595959" w:themeColor="text1" w:themeTint="A6"/>
                                <w:sz w:val="18"/>
                                <w:szCs w:val="18"/>
                                <w:lang w:val="es-ES"/>
                              </w:rPr>
                              <w:t xml:space="preserve"> Filho y otros.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1C3D62">
                              <w:rPr>
                                <w:rFonts w:asciiTheme="majorHAnsi" w:hAnsiTheme="majorHAnsi"/>
                                <w:color w:val="595959" w:themeColor="text1" w:themeTint="A6"/>
                                <w:sz w:val="18"/>
                                <w:szCs w:val="18"/>
                                <w:lang w:val="pt-BR"/>
                              </w:rPr>
                              <w:t>28 de julio de 2021</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B01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79665B2" w14:textId="6FA6CEDB" w:rsidR="00ED3D6C" w:rsidRPr="0038709A" w:rsidRDefault="00ED3D6C"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No.</w:t>
                      </w:r>
                      <w:r w:rsidR="001C3D62">
                        <w:rPr>
                          <w:rFonts w:asciiTheme="majorHAnsi" w:hAnsiTheme="majorHAnsi"/>
                          <w:color w:val="595959" w:themeColor="text1" w:themeTint="A6"/>
                          <w:sz w:val="18"/>
                          <w:szCs w:val="18"/>
                          <w:lang w:val="pt-BR"/>
                        </w:rPr>
                        <w:t xml:space="preserve"> </w:t>
                      </w:r>
                      <w:r w:rsidR="001C3D62">
                        <w:rPr>
                          <w:rFonts w:asciiTheme="majorHAnsi" w:hAnsiTheme="majorHAnsi"/>
                          <w:color w:val="595959" w:themeColor="text1" w:themeTint="A6"/>
                          <w:sz w:val="18"/>
                          <w:szCs w:val="18"/>
                          <w:lang w:val="es-ES"/>
                        </w:rPr>
                        <w:t>155/21</w:t>
                      </w:r>
                      <w:r w:rsidRPr="001002C6">
                        <w:rPr>
                          <w:rFonts w:asciiTheme="majorHAnsi" w:hAnsiTheme="majorHAnsi"/>
                          <w:color w:val="595959" w:themeColor="text1" w:themeTint="A6"/>
                          <w:sz w:val="18"/>
                          <w:szCs w:val="18"/>
                          <w:lang w:val="es-ES"/>
                        </w:rPr>
                        <w:t xml:space="preserve">. Petición 151-15. Admisibilidad. Marcos </w:t>
                      </w:r>
                      <w:proofErr w:type="spellStart"/>
                      <w:r w:rsidRPr="001002C6">
                        <w:rPr>
                          <w:rFonts w:asciiTheme="majorHAnsi" w:hAnsiTheme="majorHAnsi"/>
                          <w:color w:val="595959" w:themeColor="text1" w:themeTint="A6"/>
                          <w:sz w:val="18"/>
                          <w:szCs w:val="18"/>
                          <w:lang w:val="es-ES"/>
                        </w:rPr>
                        <w:t>R</w:t>
                      </w:r>
                      <w:r w:rsidR="000211CE">
                        <w:rPr>
                          <w:rFonts w:asciiTheme="majorHAnsi" w:hAnsiTheme="majorHAnsi"/>
                          <w:color w:val="595959" w:themeColor="text1" w:themeTint="A6"/>
                          <w:sz w:val="18"/>
                          <w:szCs w:val="18"/>
                          <w:lang w:val="es-ES"/>
                        </w:rPr>
                        <w:t>e</w:t>
                      </w:r>
                      <w:r w:rsidRPr="001002C6">
                        <w:rPr>
                          <w:rFonts w:asciiTheme="majorHAnsi" w:hAnsiTheme="majorHAnsi"/>
                          <w:color w:val="595959" w:themeColor="text1" w:themeTint="A6"/>
                          <w:sz w:val="18"/>
                          <w:szCs w:val="18"/>
                          <w:lang w:val="es-ES"/>
                        </w:rPr>
                        <w:t>bello</w:t>
                      </w:r>
                      <w:proofErr w:type="spellEnd"/>
                      <w:r w:rsidRPr="001002C6">
                        <w:rPr>
                          <w:rFonts w:asciiTheme="majorHAnsi" w:hAnsiTheme="majorHAnsi"/>
                          <w:color w:val="595959" w:themeColor="text1" w:themeTint="A6"/>
                          <w:sz w:val="18"/>
                          <w:szCs w:val="18"/>
                          <w:lang w:val="es-ES"/>
                        </w:rPr>
                        <w:t xml:space="preserve"> Filho y otros.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1C3D62">
                        <w:rPr>
                          <w:rFonts w:asciiTheme="majorHAnsi" w:hAnsiTheme="majorHAnsi"/>
                          <w:color w:val="595959" w:themeColor="text1" w:themeTint="A6"/>
                          <w:sz w:val="18"/>
                          <w:szCs w:val="18"/>
                          <w:lang w:val="pt-BR"/>
                        </w:rPr>
                        <w:t>28 de julio de 2021</w:t>
                      </w:r>
                      <w:r w:rsidRPr="0038709A">
                        <w:rPr>
                          <w:rFonts w:asciiTheme="majorHAnsi" w:hAnsiTheme="majorHAnsi"/>
                          <w:color w:val="595959" w:themeColor="text1" w:themeTint="A6"/>
                          <w:sz w:val="18"/>
                          <w:szCs w:val="18"/>
                          <w:lang w:val="pt-BR"/>
                        </w:rPr>
                        <w:t>.</w:t>
                      </w:r>
                    </w:p>
                  </w:txbxContent>
                </v:textbox>
              </v:shape>
            </w:pict>
          </mc:Fallback>
        </mc:AlternateContent>
      </w:r>
    </w:p>
    <w:p w14:paraId="2E5D9672" w14:textId="77777777" w:rsidR="00A50FCF" w:rsidRPr="004768D0" w:rsidRDefault="00A50FCF" w:rsidP="00040C3A">
      <w:pPr>
        <w:tabs>
          <w:tab w:val="center" w:pos="5400"/>
        </w:tabs>
        <w:suppressAutoHyphens/>
        <w:jc w:val="center"/>
        <w:rPr>
          <w:rFonts w:asciiTheme="majorHAnsi" w:hAnsiTheme="majorHAnsi"/>
          <w:color w:val="000000" w:themeColor="text1"/>
          <w:sz w:val="18"/>
          <w:szCs w:val="22"/>
          <w:lang w:val="es-ES"/>
        </w:rPr>
      </w:pPr>
    </w:p>
    <w:p w14:paraId="57615A5F" w14:textId="77777777" w:rsidR="0090270B" w:rsidRPr="004768D0" w:rsidRDefault="00D306D1" w:rsidP="005516A1">
      <w:pPr>
        <w:tabs>
          <w:tab w:val="center" w:pos="5400"/>
        </w:tabs>
        <w:suppressAutoHyphens/>
        <w:jc w:val="center"/>
        <w:rPr>
          <w:rFonts w:asciiTheme="majorHAnsi" w:hAnsiTheme="majorHAnsi"/>
          <w:b/>
          <w:color w:val="000000" w:themeColor="text1"/>
          <w:sz w:val="20"/>
          <w:lang w:val="es-ES"/>
        </w:rPr>
      </w:pPr>
      <w:r w:rsidRPr="004768D0">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01028D89" wp14:editId="59FC645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5FC2D" w14:textId="77777777" w:rsidR="00ED3D6C" w:rsidRPr="00D72DC6" w:rsidRDefault="00ED3D6C" w:rsidP="00F02AD1">
                            <w:pPr>
                              <w:rPr>
                                <w:color w:val="FFFFFF" w:themeColor="background1"/>
                                <w14:textFill>
                                  <w14:noFill/>
                                </w14:textFill>
                              </w:rPr>
                            </w:pPr>
                            <w:r>
                              <w:rPr>
                                <w:noProof/>
                                <w:color w:val="FFFFFF" w:themeColor="background1"/>
                              </w:rPr>
                              <w:drawing>
                                <wp:inline distT="0" distB="0" distL="0" distR="0" wp14:anchorId="6A7658E1" wp14:editId="593CADB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8D8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CB5FC2D" w14:textId="77777777" w:rsidR="00ED3D6C" w:rsidRPr="00D72DC6" w:rsidRDefault="00ED3D6C" w:rsidP="00F02AD1">
                      <w:pPr>
                        <w:rPr>
                          <w:color w:val="FFFFFF" w:themeColor="background1"/>
                          <w14:textFill>
                            <w14:noFill/>
                          </w14:textFill>
                        </w:rPr>
                      </w:pPr>
                      <w:r>
                        <w:rPr>
                          <w:noProof/>
                          <w:color w:val="FFFFFF" w:themeColor="background1"/>
                        </w:rPr>
                        <w:drawing>
                          <wp:inline distT="0" distB="0" distL="0" distR="0" wp14:anchorId="6A7658E1" wp14:editId="593CADB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768D0">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42A301FA" wp14:editId="028FAF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D8F59" w14:textId="77777777" w:rsidR="00ED3D6C" w:rsidRPr="001C3D62" w:rsidRDefault="00ED3D6C" w:rsidP="00D306D1">
                            <w:pPr>
                              <w:jc w:val="center"/>
                              <w:rPr>
                                <w:rFonts w:asciiTheme="minorHAnsi" w:hAnsiTheme="minorHAnsi"/>
                                <w:b/>
                                <w:color w:val="FFFFFF" w:themeColor="background1"/>
                              </w:rPr>
                            </w:pPr>
                            <w:r w:rsidRPr="001C3D62">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01F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5D8F59" w14:textId="77777777" w:rsidR="00ED3D6C" w:rsidRPr="001C3D62" w:rsidRDefault="00ED3D6C" w:rsidP="00D306D1">
                      <w:pPr>
                        <w:jc w:val="center"/>
                        <w:rPr>
                          <w:rFonts w:asciiTheme="minorHAnsi" w:hAnsiTheme="minorHAnsi"/>
                          <w:b/>
                          <w:color w:val="FFFFFF" w:themeColor="background1"/>
                        </w:rPr>
                      </w:pPr>
                      <w:r w:rsidRPr="001C3D62">
                        <w:rPr>
                          <w:rFonts w:asciiTheme="minorHAnsi" w:hAnsiTheme="minorHAnsi"/>
                          <w:b/>
                          <w:color w:val="FFFFFF" w:themeColor="background1"/>
                          <w:lang w:val="pt-BR"/>
                        </w:rPr>
                        <w:t>www.cidh.org</w:t>
                      </w:r>
                    </w:p>
                  </w:txbxContent>
                </v:textbox>
              </v:shape>
            </w:pict>
          </mc:Fallback>
        </mc:AlternateContent>
      </w:r>
    </w:p>
    <w:p w14:paraId="4CD4C8E0" w14:textId="77777777" w:rsidR="0070697F" w:rsidRPr="004768D0" w:rsidRDefault="004A6A54" w:rsidP="005516A1">
      <w:pPr>
        <w:tabs>
          <w:tab w:val="center" w:pos="5400"/>
        </w:tabs>
        <w:suppressAutoHyphens/>
        <w:jc w:val="center"/>
        <w:rPr>
          <w:rFonts w:asciiTheme="majorHAnsi" w:hAnsiTheme="majorHAnsi"/>
          <w:b/>
          <w:color w:val="000000" w:themeColor="text1"/>
          <w:sz w:val="20"/>
          <w:lang w:val="es-ES"/>
        </w:rPr>
        <w:sectPr w:rsidR="0070697F" w:rsidRPr="004768D0"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768D0">
        <w:rPr>
          <w:rFonts w:asciiTheme="majorHAnsi" w:hAnsiTheme="majorHAnsi"/>
          <w:b/>
          <w:color w:val="000000" w:themeColor="text1"/>
          <w:sz w:val="20"/>
          <w:lang w:val="es-ES"/>
        </w:rPr>
        <w:tab/>
      </w:r>
    </w:p>
    <w:p w14:paraId="1A2B1577" w14:textId="77777777" w:rsidR="003239B8" w:rsidRPr="004768D0" w:rsidRDefault="00A37F2E" w:rsidP="004A6A54">
      <w:pPr>
        <w:spacing w:after="240"/>
        <w:ind w:firstLine="720"/>
        <w:jc w:val="both"/>
        <w:rPr>
          <w:rFonts w:asciiTheme="majorHAnsi" w:hAnsiTheme="majorHAnsi"/>
          <w:b/>
          <w:bCs/>
          <w:color w:val="000000" w:themeColor="text1"/>
          <w:sz w:val="20"/>
          <w:szCs w:val="20"/>
          <w:lang w:val="es-ES"/>
        </w:rPr>
      </w:pPr>
      <w:r w:rsidRPr="004768D0">
        <w:rPr>
          <w:rFonts w:asciiTheme="majorHAnsi" w:hAnsiTheme="majorHAnsi"/>
          <w:b/>
          <w:bCs/>
          <w:color w:val="000000" w:themeColor="text1"/>
          <w:sz w:val="20"/>
          <w:szCs w:val="20"/>
          <w:lang w:val="es-ES"/>
        </w:rPr>
        <w:lastRenderedPageBreak/>
        <w:t>I.</w:t>
      </w:r>
      <w:r w:rsidRPr="004768D0">
        <w:rPr>
          <w:rFonts w:asciiTheme="majorHAnsi" w:hAnsiTheme="majorHAnsi"/>
          <w:b/>
          <w:bCs/>
          <w:color w:val="000000" w:themeColor="text1"/>
          <w:sz w:val="20"/>
          <w:szCs w:val="20"/>
          <w:lang w:val="es-ES"/>
        </w:rPr>
        <w:tab/>
      </w:r>
      <w:r w:rsidR="0052395A" w:rsidRPr="004768D0">
        <w:rPr>
          <w:rFonts w:asciiTheme="majorHAnsi" w:hAnsiTheme="majorHAnsi"/>
          <w:b/>
          <w:bCs/>
          <w:color w:val="000000" w:themeColor="text1"/>
          <w:sz w:val="20"/>
          <w:szCs w:val="20"/>
          <w:lang w:val="es-ES"/>
        </w:rPr>
        <w:t>DATOS DE LA PETICIÓN</w:t>
      </w:r>
      <w:r w:rsidR="003239B8" w:rsidRPr="004768D0">
        <w:rPr>
          <w:rFonts w:asciiTheme="majorHAnsi" w:hAnsiTheme="majorHAnsi"/>
          <w:b/>
          <w:bCs/>
          <w:color w:val="000000" w:themeColor="text1"/>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D6F96" w14:paraId="4D4DF9C2" w14:textId="77777777" w:rsidTr="008D6F96">
        <w:tc>
          <w:tcPr>
            <w:tcW w:w="3600" w:type="dxa"/>
            <w:tcBorders>
              <w:top w:val="single" w:sz="4" w:space="0" w:color="auto"/>
              <w:bottom w:val="single" w:sz="6" w:space="0" w:color="auto"/>
            </w:tcBorders>
            <w:shd w:val="clear" w:color="auto" w:fill="4A7194"/>
            <w:vAlign w:val="center"/>
          </w:tcPr>
          <w:p w14:paraId="01E332C7" w14:textId="77777777" w:rsidR="003239B8" w:rsidRPr="001C3D62" w:rsidRDefault="00A37F2E" w:rsidP="007F4608">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 xml:space="preserve">Parte </w:t>
            </w:r>
            <w:r w:rsidR="0052395A" w:rsidRPr="001C3D62">
              <w:rPr>
                <w:rFonts w:ascii="Cambria" w:hAnsi="Cambria"/>
                <w:b/>
                <w:bCs/>
                <w:color w:val="FFFFFF" w:themeColor="background1"/>
                <w:sz w:val="20"/>
                <w:szCs w:val="20"/>
                <w:lang w:val="es-ES"/>
              </w:rPr>
              <w:t>peticionaria</w:t>
            </w:r>
            <w:r w:rsidR="003239B8" w:rsidRPr="001C3D62">
              <w:rPr>
                <w:rFonts w:ascii="Cambria" w:hAnsi="Cambria"/>
                <w:b/>
                <w:bCs/>
                <w:color w:val="FFFFFF" w:themeColor="background1"/>
                <w:sz w:val="20"/>
                <w:szCs w:val="20"/>
                <w:lang w:val="es-ES"/>
              </w:rPr>
              <w:t>:</w:t>
            </w:r>
          </w:p>
        </w:tc>
        <w:tc>
          <w:tcPr>
            <w:tcW w:w="5760" w:type="dxa"/>
            <w:vAlign w:val="center"/>
          </w:tcPr>
          <w:p w14:paraId="041FA6C8" w14:textId="77777777" w:rsidR="003239B8" w:rsidRPr="004768D0" w:rsidRDefault="007F4608" w:rsidP="007F4608">
            <w:pPr>
              <w:jc w:val="both"/>
              <w:rPr>
                <w:rFonts w:ascii="Cambria" w:hAnsi="Cambria"/>
                <w:bCs/>
                <w:color w:val="000000" w:themeColor="text1"/>
                <w:sz w:val="20"/>
                <w:szCs w:val="20"/>
                <w:lang w:val="es-ES"/>
              </w:rPr>
            </w:pPr>
            <w:r w:rsidRPr="004768D0">
              <w:rPr>
                <w:rFonts w:ascii="Cambria" w:hAnsi="Cambria"/>
                <w:bCs/>
                <w:color w:val="000000" w:themeColor="text1"/>
                <w:sz w:val="20"/>
                <w:szCs w:val="20"/>
                <w:lang w:val="es-ES"/>
              </w:rPr>
              <w:t>Defensoría</w:t>
            </w:r>
            <w:r w:rsidR="00E2348E" w:rsidRPr="004768D0">
              <w:rPr>
                <w:rFonts w:ascii="Cambria" w:hAnsi="Cambria"/>
                <w:bCs/>
                <w:color w:val="000000" w:themeColor="text1"/>
                <w:sz w:val="20"/>
                <w:szCs w:val="20"/>
                <w:lang w:val="es-ES"/>
              </w:rPr>
              <w:t xml:space="preserve"> Pública </w:t>
            </w:r>
            <w:r w:rsidRPr="004768D0">
              <w:rPr>
                <w:rFonts w:ascii="Cambria" w:hAnsi="Cambria"/>
                <w:bCs/>
                <w:color w:val="000000" w:themeColor="text1"/>
                <w:sz w:val="20"/>
                <w:szCs w:val="20"/>
                <w:lang w:val="es-ES"/>
              </w:rPr>
              <w:t>del Estado de</w:t>
            </w:r>
            <w:r w:rsidR="00E2348E" w:rsidRPr="004768D0">
              <w:rPr>
                <w:rFonts w:ascii="Cambria" w:hAnsi="Cambria"/>
                <w:bCs/>
                <w:color w:val="000000" w:themeColor="text1"/>
                <w:sz w:val="20"/>
                <w:szCs w:val="20"/>
                <w:lang w:val="es-ES"/>
              </w:rPr>
              <w:t xml:space="preserve"> São Paulo</w:t>
            </w:r>
          </w:p>
        </w:tc>
      </w:tr>
      <w:tr w:rsidR="008C651D" w:rsidRPr="008D6F96" w14:paraId="264D387F" w14:textId="77777777" w:rsidTr="008D6F96">
        <w:tc>
          <w:tcPr>
            <w:tcW w:w="3600" w:type="dxa"/>
            <w:tcBorders>
              <w:top w:val="single" w:sz="6" w:space="0" w:color="auto"/>
              <w:bottom w:val="single" w:sz="6" w:space="0" w:color="auto"/>
            </w:tcBorders>
            <w:shd w:val="clear" w:color="auto" w:fill="4A7194"/>
            <w:vAlign w:val="center"/>
          </w:tcPr>
          <w:p w14:paraId="437373AA" w14:textId="77777777" w:rsidR="003239B8" w:rsidRPr="001C3D62" w:rsidRDefault="0052395A" w:rsidP="007F4608">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Presuntas víctimas</w:t>
            </w:r>
            <w:r w:rsidR="003239B8" w:rsidRPr="001C3D62">
              <w:rPr>
                <w:rFonts w:ascii="Cambria" w:hAnsi="Cambria"/>
                <w:b/>
                <w:bCs/>
                <w:color w:val="FFFFFF" w:themeColor="background1"/>
                <w:sz w:val="20"/>
                <w:szCs w:val="20"/>
                <w:lang w:val="es-ES"/>
              </w:rPr>
              <w:t>:</w:t>
            </w:r>
          </w:p>
        </w:tc>
        <w:tc>
          <w:tcPr>
            <w:tcW w:w="5760" w:type="dxa"/>
            <w:vAlign w:val="center"/>
          </w:tcPr>
          <w:p w14:paraId="3F291667" w14:textId="25943641" w:rsidR="003239B8" w:rsidRPr="001002C6" w:rsidRDefault="00E2348E" w:rsidP="00415F9F">
            <w:pPr>
              <w:jc w:val="both"/>
              <w:rPr>
                <w:rFonts w:ascii="Cambria" w:hAnsi="Cambria"/>
                <w:bCs/>
                <w:color w:val="000000" w:themeColor="text1"/>
                <w:sz w:val="20"/>
                <w:szCs w:val="20"/>
                <w:lang w:val="pt-BR"/>
              </w:rPr>
            </w:pPr>
            <w:r w:rsidRPr="001002C6">
              <w:rPr>
                <w:rFonts w:ascii="Cambria" w:hAnsi="Cambria"/>
                <w:bCs/>
                <w:color w:val="000000" w:themeColor="text1"/>
                <w:sz w:val="20"/>
                <w:szCs w:val="20"/>
                <w:lang w:val="pt-BR"/>
              </w:rPr>
              <w:t>Marcos R</w:t>
            </w:r>
            <w:r w:rsidR="000211CE">
              <w:rPr>
                <w:rFonts w:ascii="Cambria" w:hAnsi="Cambria"/>
                <w:bCs/>
                <w:color w:val="000000" w:themeColor="text1"/>
                <w:sz w:val="20"/>
                <w:szCs w:val="20"/>
                <w:lang w:val="pt-BR"/>
              </w:rPr>
              <w:t>e</w:t>
            </w:r>
            <w:r w:rsidRPr="001002C6">
              <w:rPr>
                <w:rFonts w:ascii="Cambria" w:hAnsi="Cambria"/>
                <w:bCs/>
                <w:color w:val="000000" w:themeColor="text1"/>
                <w:sz w:val="20"/>
                <w:szCs w:val="20"/>
                <w:lang w:val="pt-BR"/>
              </w:rPr>
              <w:t xml:space="preserve">bello Filho, Thiago Roberto Soares, Edson Rogério Silva dos Santos, Wagner Lins dos Santos, Diego Vieira dos Santos Miranda, Ana Paula Gonzaga dos Santos, Eddie Joey Oliveira, Ricardo Porto Noronha, Mateus Andrade de Freitas, Rogério Monteiro Ferreira </w:t>
            </w:r>
            <w:r w:rsidR="007F4608" w:rsidRPr="001002C6">
              <w:rPr>
                <w:rFonts w:ascii="Cambria" w:hAnsi="Cambria"/>
                <w:bCs/>
                <w:color w:val="000000" w:themeColor="text1"/>
                <w:sz w:val="20"/>
                <w:szCs w:val="20"/>
                <w:lang w:val="pt-BR"/>
              </w:rPr>
              <w:t>y</w:t>
            </w:r>
            <w:r w:rsidRPr="001002C6">
              <w:rPr>
                <w:rFonts w:ascii="Cambria" w:hAnsi="Cambria"/>
                <w:bCs/>
                <w:color w:val="000000" w:themeColor="text1"/>
                <w:sz w:val="20"/>
                <w:szCs w:val="20"/>
                <w:lang w:val="pt-BR"/>
              </w:rPr>
              <w:t xml:space="preserve"> familiares: Débora Maria da Silva (</w:t>
            </w:r>
            <w:r w:rsidR="007F4608" w:rsidRPr="001002C6">
              <w:rPr>
                <w:rFonts w:ascii="Cambria" w:hAnsi="Cambria"/>
                <w:bCs/>
                <w:color w:val="000000" w:themeColor="text1"/>
                <w:sz w:val="20"/>
                <w:szCs w:val="20"/>
                <w:lang w:val="pt-BR"/>
              </w:rPr>
              <w:t>madre de</w:t>
            </w:r>
            <w:r w:rsidRPr="001002C6">
              <w:rPr>
                <w:rFonts w:ascii="Cambria" w:hAnsi="Cambria"/>
                <w:bCs/>
                <w:color w:val="000000" w:themeColor="text1"/>
                <w:sz w:val="20"/>
                <w:szCs w:val="20"/>
                <w:lang w:val="pt-BR"/>
              </w:rPr>
              <w:t xml:space="preserve"> Edson Rogério Silva dos Santos), Edinalva Santos (</w:t>
            </w:r>
            <w:r w:rsidR="007F4608" w:rsidRPr="001002C6">
              <w:rPr>
                <w:rFonts w:ascii="Cambria" w:hAnsi="Cambria"/>
                <w:bCs/>
                <w:color w:val="000000" w:themeColor="text1"/>
                <w:sz w:val="20"/>
                <w:szCs w:val="20"/>
                <w:lang w:val="pt-BR"/>
              </w:rPr>
              <w:t>madre de</w:t>
            </w:r>
            <w:r w:rsidRPr="001002C6">
              <w:rPr>
                <w:rFonts w:ascii="Cambria" w:hAnsi="Cambria"/>
                <w:bCs/>
                <w:color w:val="000000" w:themeColor="text1"/>
                <w:sz w:val="20"/>
                <w:szCs w:val="20"/>
                <w:lang w:val="pt-BR"/>
              </w:rPr>
              <w:t xml:space="preserve"> Marcos R</w:t>
            </w:r>
            <w:r w:rsidR="000211CE">
              <w:rPr>
                <w:rFonts w:ascii="Cambria" w:hAnsi="Cambria"/>
                <w:bCs/>
                <w:color w:val="000000" w:themeColor="text1"/>
                <w:sz w:val="20"/>
                <w:szCs w:val="20"/>
                <w:lang w:val="pt-BR"/>
              </w:rPr>
              <w:t>e</w:t>
            </w:r>
            <w:r w:rsidRPr="001002C6">
              <w:rPr>
                <w:rFonts w:ascii="Cambria" w:hAnsi="Cambria"/>
                <w:bCs/>
                <w:color w:val="000000" w:themeColor="text1"/>
                <w:sz w:val="20"/>
                <w:szCs w:val="20"/>
                <w:lang w:val="pt-BR"/>
              </w:rPr>
              <w:t>bello Filho), Vera Lúcia Gonzaga dos Santos (</w:t>
            </w:r>
            <w:r w:rsidR="007F4608" w:rsidRPr="001002C6">
              <w:rPr>
                <w:rFonts w:ascii="Cambria" w:hAnsi="Cambria"/>
                <w:bCs/>
                <w:color w:val="000000" w:themeColor="text1"/>
                <w:sz w:val="20"/>
                <w:szCs w:val="20"/>
                <w:lang w:val="pt-BR"/>
              </w:rPr>
              <w:t>madre de</w:t>
            </w:r>
            <w:r w:rsidRPr="001002C6">
              <w:rPr>
                <w:rFonts w:ascii="Cambria" w:hAnsi="Cambria"/>
                <w:bCs/>
                <w:color w:val="000000" w:themeColor="text1"/>
                <w:sz w:val="20"/>
                <w:szCs w:val="20"/>
                <w:lang w:val="pt-BR"/>
              </w:rPr>
              <w:t xml:space="preserve"> Ana Paula Gonzaga dos Santos </w:t>
            </w:r>
            <w:r w:rsidR="007F4608" w:rsidRPr="001002C6">
              <w:rPr>
                <w:rFonts w:ascii="Cambria" w:hAnsi="Cambria"/>
                <w:bCs/>
                <w:color w:val="000000" w:themeColor="text1"/>
                <w:sz w:val="20"/>
                <w:szCs w:val="20"/>
                <w:lang w:val="pt-BR"/>
              </w:rPr>
              <w:t>y</w:t>
            </w:r>
            <w:r w:rsidRPr="001002C6">
              <w:rPr>
                <w:rFonts w:ascii="Cambria" w:hAnsi="Cambria"/>
                <w:bCs/>
                <w:color w:val="000000" w:themeColor="text1"/>
                <w:sz w:val="20"/>
                <w:szCs w:val="20"/>
                <w:lang w:val="pt-BR"/>
              </w:rPr>
              <w:t xml:space="preserve"> </w:t>
            </w:r>
            <w:r w:rsidR="007F4608" w:rsidRPr="001002C6">
              <w:rPr>
                <w:rFonts w:ascii="Cambria" w:hAnsi="Cambria"/>
                <w:bCs/>
                <w:color w:val="000000" w:themeColor="text1"/>
                <w:sz w:val="20"/>
                <w:szCs w:val="20"/>
                <w:lang w:val="pt-BR"/>
              </w:rPr>
              <w:t>suegra de</w:t>
            </w:r>
            <w:r w:rsidRPr="001002C6">
              <w:rPr>
                <w:rFonts w:ascii="Cambria" w:hAnsi="Cambria"/>
                <w:bCs/>
                <w:color w:val="000000" w:themeColor="text1"/>
                <w:sz w:val="20"/>
                <w:szCs w:val="20"/>
                <w:lang w:val="pt-BR"/>
              </w:rPr>
              <w:t xml:space="preserve"> Eddie Joey Oliveira), Rita de Cássia Ribeiro (</w:t>
            </w:r>
            <w:r w:rsidR="007F4608" w:rsidRPr="001002C6">
              <w:rPr>
                <w:rFonts w:ascii="Cambria" w:hAnsi="Cambria"/>
                <w:bCs/>
                <w:color w:val="000000" w:themeColor="text1"/>
                <w:sz w:val="20"/>
                <w:szCs w:val="20"/>
                <w:lang w:val="pt-BR"/>
              </w:rPr>
              <w:t>madre de</w:t>
            </w:r>
            <w:r w:rsidRPr="001002C6">
              <w:rPr>
                <w:rFonts w:ascii="Cambria" w:hAnsi="Cambria"/>
                <w:bCs/>
                <w:color w:val="000000" w:themeColor="text1"/>
                <w:sz w:val="20"/>
                <w:szCs w:val="20"/>
                <w:lang w:val="pt-BR"/>
              </w:rPr>
              <w:t xml:space="preserve"> Rogério Monteiro Ferreira), Maria da Pureza de Araújo Noronha (</w:t>
            </w:r>
            <w:r w:rsidR="007F4608" w:rsidRPr="001002C6">
              <w:rPr>
                <w:rFonts w:ascii="Cambria" w:hAnsi="Cambria"/>
                <w:bCs/>
                <w:color w:val="000000" w:themeColor="text1"/>
                <w:sz w:val="20"/>
                <w:szCs w:val="20"/>
                <w:lang w:val="pt-BR"/>
              </w:rPr>
              <w:t>abuela de</w:t>
            </w:r>
            <w:r w:rsidRPr="001002C6">
              <w:rPr>
                <w:rFonts w:ascii="Cambria" w:hAnsi="Cambria"/>
                <w:bCs/>
                <w:color w:val="000000" w:themeColor="text1"/>
                <w:sz w:val="20"/>
                <w:szCs w:val="20"/>
                <w:lang w:val="pt-BR"/>
              </w:rPr>
              <w:t xml:space="preserve"> Ricardo Porto Noronha), Cleiton da Silva Noronha (</w:t>
            </w:r>
            <w:r w:rsidR="007F4608" w:rsidRPr="001002C6">
              <w:rPr>
                <w:rFonts w:ascii="Cambria" w:hAnsi="Cambria"/>
                <w:bCs/>
                <w:color w:val="000000" w:themeColor="text1"/>
                <w:sz w:val="20"/>
                <w:szCs w:val="20"/>
                <w:lang w:val="pt-BR"/>
              </w:rPr>
              <w:t>hermano de</w:t>
            </w:r>
            <w:r w:rsidRPr="001002C6">
              <w:rPr>
                <w:rFonts w:ascii="Cambria" w:hAnsi="Cambria"/>
                <w:bCs/>
                <w:color w:val="000000" w:themeColor="text1"/>
                <w:sz w:val="20"/>
                <w:szCs w:val="20"/>
                <w:lang w:val="pt-BR"/>
              </w:rPr>
              <w:t xml:space="preserve"> Ricardo Porto Noronha), Ilza Maria de Jesus Soares (</w:t>
            </w:r>
            <w:r w:rsidR="007F4608" w:rsidRPr="001002C6">
              <w:rPr>
                <w:rFonts w:ascii="Cambria" w:hAnsi="Cambria"/>
                <w:bCs/>
                <w:color w:val="000000" w:themeColor="text1"/>
                <w:sz w:val="20"/>
                <w:szCs w:val="20"/>
                <w:lang w:val="pt-BR"/>
              </w:rPr>
              <w:t>madre de</w:t>
            </w:r>
            <w:r w:rsidRPr="001002C6">
              <w:rPr>
                <w:rFonts w:ascii="Cambria" w:hAnsi="Cambria"/>
                <w:bCs/>
                <w:color w:val="000000" w:themeColor="text1"/>
                <w:sz w:val="20"/>
                <w:szCs w:val="20"/>
                <w:lang w:val="pt-BR"/>
              </w:rPr>
              <w:t xml:space="preserve"> Thiago Roberto Soares), Maria Sônia Lins (</w:t>
            </w:r>
            <w:r w:rsidR="007F4608" w:rsidRPr="001002C6">
              <w:rPr>
                <w:rFonts w:ascii="Cambria" w:hAnsi="Cambria"/>
                <w:bCs/>
                <w:color w:val="000000" w:themeColor="text1"/>
                <w:sz w:val="20"/>
                <w:szCs w:val="20"/>
                <w:lang w:val="pt-BR"/>
              </w:rPr>
              <w:t>madre de</w:t>
            </w:r>
            <w:r w:rsidRPr="001002C6">
              <w:rPr>
                <w:rFonts w:ascii="Cambria" w:hAnsi="Cambria"/>
                <w:bCs/>
                <w:color w:val="000000" w:themeColor="text1"/>
                <w:sz w:val="20"/>
                <w:szCs w:val="20"/>
                <w:lang w:val="pt-BR"/>
              </w:rPr>
              <w:t xml:space="preserve"> Wagner Lins dos Santos), Vera Lúcia Andrade de Freitas (</w:t>
            </w:r>
            <w:r w:rsidR="007F4608" w:rsidRPr="001002C6">
              <w:rPr>
                <w:rFonts w:ascii="Cambria" w:hAnsi="Cambria"/>
                <w:bCs/>
                <w:color w:val="000000" w:themeColor="text1"/>
                <w:sz w:val="20"/>
                <w:szCs w:val="20"/>
                <w:lang w:val="pt-BR"/>
              </w:rPr>
              <w:t>madre de</w:t>
            </w:r>
            <w:r w:rsidRPr="001002C6">
              <w:rPr>
                <w:rFonts w:ascii="Cambria" w:hAnsi="Cambria"/>
                <w:bCs/>
                <w:color w:val="000000" w:themeColor="text1"/>
                <w:sz w:val="20"/>
                <w:szCs w:val="20"/>
                <w:lang w:val="pt-BR"/>
              </w:rPr>
              <w:t xml:space="preserve"> Mateus Andrade de Freitas), João Inocêncio Correia de Freitas (</w:t>
            </w:r>
            <w:r w:rsidR="007F4608" w:rsidRPr="001002C6">
              <w:rPr>
                <w:rFonts w:ascii="Cambria" w:hAnsi="Cambria"/>
                <w:bCs/>
                <w:color w:val="000000" w:themeColor="text1"/>
                <w:sz w:val="20"/>
                <w:szCs w:val="20"/>
                <w:lang w:val="pt-BR"/>
              </w:rPr>
              <w:t>padre de</w:t>
            </w:r>
            <w:r w:rsidRPr="001002C6">
              <w:rPr>
                <w:rFonts w:ascii="Cambria" w:hAnsi="Cambria"/>
                <w:bCs/>
                <w:color w:val="000000" w:themeColor="text1"/>
                <w:sz w:val="20"/>
                <w:szCs w:val="20"/>
                <w:lang w:val="pt-BR"/>
              </w:rPr>
              <w:t xml:space="preserve"> Mateus Andrade de Freitas)</w:t>
            </w:r>
          </w:p>
        </w:tc>
      </w:tr>
      <w:tr w:rsidR="008C651D" w:rsidRPr="004768D0" w14:paraId="3F0777F2" w14:textId="77777777" w:rsidTr="008D6F96">
        <w:tc>
          <w:tcPr>
            <w:tcW w:w="3600" w:type="dxa"/>
            <w:tcBorders>
              <w:top w:val="single" w:sz="6" w:space="0" w:color="auto"/>
              <w:bottom w:val="single" w:sz="6" w:space="0" w:color="auto"/>
            </w:tcBorders>
            <w:shd w:val="clear" w:color="auto" w:fill="4A7194"/>
            <w:vAlign w:val="center"/>
          </w:tcPr>
          <w:p w14:paraId="7B7D3A1F" w14:textId="77777777" w:rsidR="003239B8" w:rsidRPr="001C3D62" w:rsidRDefault="003239B8" w:rsidP="007F4608">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Estado denunciado:</w:t>
            </w:r>
          </w:p>
        </w:tc>
        <w:tc>
          <w:tcPr>
            <w:tcW w:w="5760" w:type="dxa"/>
            <w:vAlign w:val="center"/>
          </w:tcPr>
          <w:p w14:paraId="0E2BBD3D" w14:textId="77777777" w:rsidR="003239B8" w:rsidRPr="004768D0" w:rsidRDefault="006A20E7" w:rsidP="007F4608">
            <w:pPr>
              <w:jc w:val="both"/>
              <w:rPr>
                <w:rFonts w:ascii="Cambria" w:hAnsi="Cambria"/>
                <w:bCs/>
                <w:color w:val="000000" w:themeColor="text1"/>
                <w:sz w:val="20"/>
                <w:szCs w:val="20"/>
                <w:lang w:val="es-ES"/>
              </w:rPr>
            </w:pPr>
            <w:r w:rsidRPr="004768D0">
              <w:rPr>
                <w:rFonts w:ascii="Cambria" w:hAnsi="Cambria"/>
                <w:bCs/>
                <w:color w:val="000000" w:themeColor="text1"/>
                <w:sz w:val="20"/>
                <w:szCs w:val="20"/>
                <w:lang w:val="es-ES"/>
              </w:rPr>
              <w:t>Brasil</w:t>
            </w:r>
            <w:r w:rsidR="004A6A54" w:rsidRPr="004768D0">
              <w:rPr>
                <w:rStyle w:val="FootnoteReference"/>
                <w:rFonts w:ascii="Cambria" w:hAnsi="Cambria"/>
                <w:bCs/>
                <w:color w:val="000000" w:themeColor="text1"/>
                <w:sz w:val="20"/>
                <w:szCs w:val="20"/>
                <w:lang w:val="es-ES"/>
              </w:rPr>
              <w:footnoteReference w:id="2"/>
            </w:r>
          </w:p>
        </w:tc>
      </w:tr>
      <w:tr w:rsidR="008C651D" w:rsidRPr="008D6F96" w14:paraId="1996BF44" w14:textId="77777777" w:rsidTr="008D6F96">
        <w:tc>
          <w:tcPr>
            <w:tcW w:w="3600" w:type="dxa"/>
            <w:tcBorders>
              <w:top w:val="single" w:sz="6" w:space="0" w:color="auto"/>
              <w:bottom w:val="single" w:sz="6" w:space="0" w:color="auto"/>
            </w:tcBorders>
            <w:shd w:val="clear" w:color="auto" w:fill="4A7194"/>
            <w:vAlign w:val="center"/>
          </w:tcPr>
          <w:p w14:paraId="1C914DE4" w14:textId="77777777" w:rsidR="00223A29" w:rsidRPr="001C3D62" w:rsidRDefault="0052395A" w:rsidP="007665A8">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Derechos invocados</w:t>
            </w:r>
            <w:r w:rsidR="001B3A00" w:rsidRPr="001C3D62">
              <w:rPr>
                <w:rFonts w:ascii="Cambria" w:hAnsi="Cambria"/>
                <w:b/>
                <w:bCs/>
                <w:color w:val="FFFFFF" w:themeColor="background1"/>
                <w:sz w:val="20"/>
                <w:szCs w:val="20"/>
                <w:lang w:val="es-ES"/>
              </w:rPr>
              <w:t>:</w:t>
            </w:r>
          </w:p>
        </w:tc>
        <w:tc>
          <w:tcPr>
            <w:tcW w:w="5760" w:type="dxa"/>
            <w:vAlign w:val="center"/>
          </w:tcPr>
          <w:p w14:paraId="0D65E88A" w14:textId="77777777" w:rsidR="00223A29" w:rsidRPr="004768D0" w:rsidRDefault="0052395A" w:rsidP="007F4608">
            <w:pPr>
              <w:jc w:val="both"/>
              <w:rPr>
                <w:rFonts w:ascii="Cambria" w:hAnsi="Cambria"/>
                <w:bCs/>
                <w:color w:val="000000" w:themeColor="text1"/>
                <w:sz w:val="20"/>
                <w:szCs w:val="20"/>
                <w:lang w:val="es-ES"/>
              </w:rPr>
            </w:pPr>
            <w:r w:rsidRPr="004768D0">
              <w:rPr>
                <w:rFonts w:ascii="Cambria" w:hAnsi="Cambria"/>
                <w:bCs/>
                <w:sz w:val="20"/>
                <w:szCs w:val="20"/>
                <w:lang w:val="es-ES"/>
              </w:rPr>
              <w:t>Artículos</w:t>
            </w:r>
            <w:r w:rsidR="009959F6" w:rsidRPr="004768D0">
              <w:rPr>
                <w:rFonts w:ascii="Cambria" w:hAnsi="Cambria"/>
                <w:bCs/>
                <w:sz w:val="20"/>
                <w:szCs w:val="20"/>
                <w:lang w:val="es-ES"/>
              </w:rPr>
              <w:t xml:space="preserve"> </w:t>
            </w:r>
            <w:r w:rsidR="004A3499" w:rsidRPr="004768D0">
              <w:rPr>
                <w:rFonts w:ascii="Cambria" w:hAnsi="Cambria"/>
                <w:bCs/>
                <w:sz w:val="20"/>
                <w:szCs w:val="20"/>
                <w:lang w:val="es-ES"/>
              </w:rPr>
              <w:t xml:space="preserve">4 </w:t>
            </w:r>
            <w:r w:rsidR="007F4608" w:rsidRPr="004768D0">
              <w:rPr>
                <w:rFonts w:ascii="Cambria" w:hAnsi="Cambria"/>
                <w:bCs/>
                <w:sz w:val="20"/>
                <w:szCs w:val="20"/>
                <w:lang w:val="es-ES"/>
              </w:rPr>
              <w:t>(derecho a la vida)</w:t>
            </w:r>
            <w:r w:rsidR="004A3499" w:rsidRPr="004768D0">
              <w:rPr>
                <w:rFonts w:ascii="Cambria" w:hAnsi="Cambria"/>
                <w:bCs/>
                <w:sz w:val="20"/>
                <w:szCs w:val="20"/>
                <w:lang w:val="es-ES"/>
              </w:rPr>
              <w:t xml:space="preserve">, 5 </w:t>
            </w:r>
            <w:r w:rsidR="007F4608" w:rsidRPr="004768D0">
              <w:rPr>
                <w:rFonts w:ascii="Cambria" w:hAnsi="Cambria"/>
                <w:bCs/>
                <w:sz w:val="20"/>
                <w:szCs w:val="20"/>
                <w:lang w:val="es-ES"/>
              </w:rPr>
              <w:t>(derecho a la integridad personal)</w:t>
            </w:r>
            <w:r w:rsidR="004A3499" w:rsidRPr="004768D0">
              <w:rPr>
                <w:rFonts w:ascii="Cambria" w:hAnsi="Cambria"/>
                <w:bCs/>
                <w:sz w:val="20"/>
                <w:szCs w:val="20"/>
                <w:lang w:val="es-ES"/>
              </w:rPr>
              <w:t xml:space="preserve">, 7 </w:t>
            </w:r>
            <w:r w:rsidR="007F4608" w:rsidRPr="004768D0">
              <w:rPr>
                <w:rFonts w:ascii="Cambria" w:hAnsi="Cambria"/>
                <w:bCs/>
                <w:sz w:val="20"/>
                <w:szCs w:val="20"/>
                <w:lang w:val="es-ES"/>
              </w:rPr>
              <w:t>(derecho a la libertad personal)</w:t>
            </w:r>
            <w:r w:rsidR="004A3499" w:rsidRPr="004768D0">
              <w:rPr>
                <w:rFonts w:ascii="Cambria" w:hAnsi="Cambria"/>
                <w:bCs/>
                <w:sz w:val="20"/>
                <w:szCs w:val="20"/>
                <w:lang w:val="es-ES"/>
              </w:rPr>
              <w:t>, 8 (</w:t>
            </w:r>
            <w:r w:rsidRPr="004768D0">
              <w:rPr>
                <w:rFonts w:ascii="Cambria" w:hAnsi="Cambria"/>
                <w:bCs/>
                <w:sz w:val="20"/>
                <w:szCs w:val="20"/>
                <w:lang w:val="es-ES"/>
              </w:rPr>
              <w:t>garantías judiciales</w:t>
            </w:r>
            <w:r w:rsidR="004A3499" w:rsidRPr="004768D0">
              <w:rPr>
                <w:rFonts w:ascii="Cambria" w:hAnsi="Cambria"/>
                <w:bCs/>
                <w:sz w:val="20"/>
                <w:szCs w:val="20"/>
                <w:lang w:val="es-ES"/>
              </w:rPr>
              <w:t>)</w:t>
            </w:r>
            <w:r w:rsidR="007F4608" w:rsidRPr="004768D0">
              <w:rPr>
                <w:rFonts w:ascii="Cambria" w:hAnsi="Cambria"/>
                <w:bCs/>
                <w:sz w:val="20"/>
                <w:szCs w:val="20"/>
                <w:lang w:val="es-ES"/>
              </w:rPr>
              <w:t xml:space="preserve"> y</w:t>
            </w:r>
            <w:r w:rsidR="004A3499" w:rsidRPr="004768D0">
              <w:rPr>
                <w:rFonts w:ascii="Cambria" w:hAnsi="Cambria"/>
                <w:bCs/>
                <w:sz w:val="20"/>
                <w:szCs w:val="20"/>
                <w:lang w:val="es-ES"/>
              </w:rPr>
              <w:t xml:space="preserve"> 25 (</w:t>
            </w:r>
            <w:r w:rsidRPr="004768D0">
              <w:rPr>
                <w:rFonts w:ascii="Cambria" w:hAnsi="Cambria"/>
                <w:bCs/>
                <w:sz w:val="20"/>
                <w:szCs w:val="20"/>
                <w:lang w:val="es-ES"/>
              </w:rPr>
              <w:t>protección</w:t>
            </w:r>
            <w:r w:rsidR="004A3499" w:rsidRPr="004768D0">
              <w:rPr>
                <w:rFonts w:ascii="Cambria" w:hAnsi="Cambria"/>
                <w:bCs/>
                <w:sz w:val="20"/>
                <w:szCs w:val="20"/>
                <w:lang w:val="es-ES"/>
              </w:rPr>
              <w:t xml:space="preserve"> judicial) </w:t>
            </w:r>
            <w:r w:rsidR="009959F6" w:rsidRPr="004768D0">
              <w:rPr>
                <w:rFonts w:ascii="Cambria" w:hAnsi="Cambria"/>
                <w:bCs/>
                <w:sz w:val="20"/>
                <w:szCs w:val="20"/>
                <w:lang w:val="es-ES"/>
              </w:rPr>
              <w:t>d</w:t>
            </w:r>
            <w:r w:rsidRPr="004768D0">
              <w:rPr>
                <w:rFonts w:ascii="Cambria" w:hAnsi="Cambria"/>
                <w:bCs/>
                <w:sz w:val="20"/>
                <w:szCs w:val="20"/>
                <w:lang w:val="es-ES"/>
              </w:rPr>
              <w:t>e l</w:t>
            </w:r>
            <w:r w:rsidR="009959F6" w:rsidRPr="004768D0">
              <w:rPr>
                <w:rFonts w:ascii="Cambria" w:hAnsi="Cambria"/>
                <w:bCs/>
                <w:sz w:val="20"/>
                <w:szCs w:val="20"/>
                <w:lang w:val="es-ES"/>
              </w:rPr>
              <w:t xml:space="preserve">a </w:t>
            </w:r>
            <w:r w:rsidRPr="004768D0">
              <w:rPr>
                <w:rFonts w:ascii="Cambria" w:hAnsi="Cambria"/>
                <w:bCs/>
                <w:sz w:val="20"/>
                <w:szCs w:val="20"/>
                <w:lang w:val="es-ES"/>
              </w:rPr>
              <w:t>Convención Americana sobre Derechos Humanos</w:t>
            </w:r>
            <w:r w:rsidR="004A3499" w:rsidRPr="004768D0">
              <w:rPr>
                <w:rStyle w:val="FootnoteReference"/>
                <w:rFonts w:ascii="Cambria" w:hAnsi="Cambria"/>
                <w:bCs/>
                <w:color w:val="000000" w:themeColor="text1"/>
                <w:sz w:val="20"/>
                <w:szCs w:val="20"/>
                <w:lang w:val="es-ES"/>
              </w:rPr>
              <w:footnoteReference w:id="3"/>
            </w:r>
            <w:r w:rsidR="004A3499" w:rsidRPr="004768D0">
              <w:rPr>
                <w:rFonts w:ascii="Cambria" w:hAnsi="Cambria"/>
                <w:bCs/>
                <w:color w:val="000000" w:themeColor="text1"/>
                <w:sz w:val="20"/>
                <w:szCs w:val="20"/>
                <w:lang w:val="es-ES"/>
              </w:rPr>
              <w:t>, e</w:t>
            </w:r>
            <w:r w:rsidRPr="004768D0">
              <w:rPr>
                <w:rFonts w:ascii="Cambria" w:hAnsi="Cambria"/>
                <w:bCs/>
                <w:color w:val="000000" w:themeColor="text1"/>
                <w:sz w:val="20"/>
                <w:szCs w:val="20"/>
                <w:lang w:val="es-ES"/>
              </w:rPr>
              <w:t>n relación con el</w:t>
            </w:r>
            <w:r w:rsidR="004A3499" w:rsidRPr="004768D0">
              <w:rPr>
                <w:rFonts w:ascii="Cambria" w:hAnsi="Cambria"/>
                <w:bCs/>
                <w:color w:val="000000" w:themeColor="text1"/>
                <w:sz w:val="20"/>
                <w:szCs w:val="20"/>
                <w:lang w:val="es-ES"/>
              </w:rPr>
              <w:t xml:space="preserve"> </w:t>
            </w:r>
            <w:r w:rsidRPr="004768D0">
              <w:rPr>
                <w:rFonts w:ascii="Cambria" w:hAnsi="Cambria"/>
                <w:bCs/>
                <w:color w:val="000000" w:themeColor="text1"/>
                <w:sz w:val="20"/>
                <w:szCs w:val="20"/>
                <w:lang w:val="es-ES"/>
              </w:rPr>
              <w:t>artículo</w:t>
            </w:r>
            <w:r w:rsidR="004A3499" w:rsidRPr="004768D0">
              <w:rPr>
                <w:rFonts w:ascii="Cambria" w:hAnsi="Cambria"/>
                <w:bCs/>
                <w:color w:val="000000" w:themeColor="text1"/>
                <w:sz w:val="20"/>
                <w:szCs w:val="20"/>
                <w:lang w:val="es-ES"/>
              </w:rPr>
              <w:t xml:space="preserve"> 1.1 (</w:t>
            </w:r>
            <w:r w:rsidR="007F4608" w:rsidRPr="004768D0">
              <w:rPr>
                <w:rFonts w:ascii="Cambria" w:hAnsi="Cambria"/>
                <w:bCs/>
                <w:color w:val="000000" w:themeColor="text1"/>
                <w:sz w:val="20"/>
                <w:szCs w:val="20"/>
                <w:lang w:val="es-ES"/>
              </w:rPr>
              <w:t>obligación de respetar los derechos</w:t>
            </w:r>
            <w:r w:rsidR="004A3499" w:rsidRPr="004768D0">
              <w:rPr>
                <w:rFonts w:ascii="Cambria" w:hAnsi="Cambria"/>
                <w:bCs/>
                <w:color w:val="000000" w:themeColor="text1"/>
                <w:sz w:val="20"/>
                <w:szCs w:val="20"/>
                <w:lang w:val="es-ES"/>
              </w:rPr>
              <w:t>)</w:t>
            </w:r>
          </w:p>
        </w:tc>
      </w:tr>
    </w:tbl>
    <w:p w14:paraId="473451F8" w14:textId="77777777" w:rsidR="003239B8" w:rsidRPr="004768D0" w:rsidRDefault="00A37F2E" w:rsidP="003239B8">
      <w:pPr>
        <w:spacing w:before="240" w:after="240"/>
        <w:ind w:firstLine="720"/>
        <w:jc w:val="both"/>
        <w:rPr>
          <w:rFonts w:asciiTheme="majorHAnsi" w:hAnsiTheme="majorHAnsi"/>
          <w:b/>
          <w:bCs/>
          <w:color w:val="000000" w:themeColor="text1"/>
          <w:sz w:val="20"/>
          <w:szCs w:val="20"/>
          <w:lang w:val="es-ES"/>
        </w:rPr>
      </w:pPr>
      <w:r w:rsidRPr="004768D0">
        <w:rPr>
          <w:rFonts w:asciiTheme="majorHAnsi" w:hAnsiTheme="majorHAnsi"/>
          <w:b/>
          <w:bCs/>
          <w:color w:val="000000" w:themeColor="text1"/>
          <w:sz w:val="20"/>
          <w:szCs w:val="20"/>
          <w:lang w:val="es-ES"/>
        </w:rPr>
        <w:t>II.</w:t>
      </w:r>
      <w:r w:rsidRPr="004768D0">
        <w:rPr>
          <w:rFonts w:asciiTheme="majorHAnsi" w:hAnsiTheme="majorHAnsi"/>
          <w:b/>
          <w:bCs/>
          <w:color w:val="000000" w:themeColor="text1"/>
          <w:sz w:val="20"/>
          <w:szCs w:val="20"/>
          <w:lang w:val="es-ES"/>
        </w:rPr>
        <w:tab/>
      </w:r>
      <w:r w:rsidR="0052395A" w:rsidRPr="004768D0">
        <w:rPr>
          <w:rFonts w:asciiTheme="majorHAnsi" w:hAnsiTheme="majorHAnsi"/>
          <w:b/>
          <w:bCs/>
          <w:color w:val="000000" w:themeColor="text1"/>
          <w:sz w:val="20"/>
          <w:szCs w:val="20"/>
          <w:lang w:val="es-ES"/>
        </w:rPr>
        <w:t>TRÁMITE</w:t>
      </w:r>
      <w:r w:rsidRPr="004768D0">
        <w:rPr>
          <w:rFonts w:asciiTheme="majorHAnsi" w:hAnsiTheme="majorHAnsi"/>
          <w:b/>
          <w:bCs/>
          <w:color w:val="000000" w:themeColor="text1"/>
          <w:sz w:val="20"/>
          <w:szCs w:val="20"/>
          <w:lang w:val="es-ES"/>
        </w:rPr>
        <w:t xml:space="preserve"> ANTE </w:t>
      </w:r>
      <w:r w:rsidR="0052395A" w:rsidRPr="004768D0">
        <w:rPr>
          <w:rFonts w:asciiTheme="majorHAnsi" w:hAnsiTheme="majorHAnsi"/>
          <w:b/>
          <w:bCs/>
          <w:color w:val="000000" w:themeColor="text1"/>
          <w:sz w:val="20"/>
          <w:szCs w:val="20"/>
          <w:lang w:val="es-ES"/>
        </w:rPr>
        <w:t>L</w:t>
      </w:r>
      <w:r w:rsidRPr="004768D0">
        <w:rPr>
          <w:rFonts w:asciiTheme="majorHAnsi" w:hAnsiTheme="majorHAnsi"/>
          <w:b/>
          <w:bCs/>
          <w:color w:val="000000" w:themeColor="text1"/>
          <w:sz w:val="20"/>
          <w:szCs w:val="20"/>
          <w:lang w:val="es-ES"/>
        </w:rPr>
        <w:t>A</w:t>
      </w:r>
      <w:r w:rsidR="003239B8" w:rsidRPr="004768D0">
        <w:rPr>
          <w:rFonts w:asciiTheme="majorHAnsi" w:hAnsiTheme="majorHAnsi"/>
          <w:b/>
          <w:bCs/>
          <w:color w:val="000000" w:themeColor="text1"/>
          <w:sz w:val="20"/>
          <w:szCs w:val="20"/>
          <w:lang w:val="es-ES"/>
        </w:rPr>
        <w:t xml:space="preserve"> CIDH</w:t>
      </w:r>
      <w:r w:rsidR="008E3BFE" w:rsidRPr="004768D0">
        <w:rPr>
          <w:rStyle w:val="FootnoteReference"/>
          <w:rFonts w:ascii="Cambria" w:hAnsi="Cambria"/>
          <w:b/>
          <w:color w:val="000000" w:themeColor="text1"/>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2395A" w:rsidRPr="004768D0" w14:paraId="51DF1263" w14:textId="77777777" w:rsidTr="008D6F96">
        <w:tc>
          <w:tcPr>
            <w:tcW w:w="3600" w:type="dxa"/>
            <w:tcBorders>
              <w:top w:val="single" w:sz="6" w:space="0" w:color="auto"/>
              <w:bottom w:val="single" w:sz="6" w:space="0" w:color="auto"/>
            </w:tcBorders>
            <w:shd w:val="clear" w:color="auto" w:fill="4A7194"/>
            <w:vAlign w:val="center"/>
          </w:tcPr>
          <w:p w14:paraId="3D396EC3" w14:textId="77777777" w:rsidR="0052395A" w:rsidRPr="001C3D62" w:rsidRDefault="0052395A" w:rsidP="007F4608">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Fecha de presentación</w:t>
            </w:r>
          </w:p>
          <w:p w14:paraId="5F5AF63F" w14:textId="77777777" w:rsidR="0052395A" w:rsidRPr="001C3D62" w:rsidRDefault="0052395A" w:rsidP="004A6A54">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de la petición:</w:t>
            </w:r>
          </w:p>
        </w:tc>
        <w:tc>
          <w:tcPr>
            <w:tcW w:w="5760" w:type="dxa"/>
            <w:vAlign w:val="center"/>
          </w:tcPr>
          <w:p w14:paraId="3FA5ACB3" w14:textId="77777777" w:rsidR="0052395A" w:rsidRPr="004768D0" w:rsidRDefault="0052395A" w:rsidP="007F4608">
            <w:pPr>
              <w:jc w:val="both"/>
              <w:rPr>
                <w:rFonts w:ascii="Cambria" w:hAnsi="Cambria"/>
                <w:bCs/>
                <w:color w:val="000000" w:themeColor="text1"/>
                <w:sz w:val="20"/>
                <w:szCs w:val="20"/>
                <w:lang w:val="es-ES"/>
              </w:rPr>
            </w:pPr>
            <w:r w:rsidRPr="004768D0">
              <w:rPr>
                <w:rFonts w:ascii="Cambria" w:hAnsi="Cambria"/>
                <w:bCs/>
                <w:color w:val="000000" w:themeColor="text1"/>
                <w:sz w:val="20"/>
                <w:szCs w:val="20"/>
                <w:lang w:val="es-ES"/>
              </w:rPr>
              <w:t xml:space="preserve">16 de </w:t>
            </w:r>
            <w:r w:rsidR="007F4608" w:rsidRPr="004768D0">
              <w:rPr>
                <w:rFonts w:ascii="Cambria" w:hAnsi="Cambria"/>
                <w:bCs/>
                <w:color w:val="000000" w:themeColor="text1"/>
                <w:sz w:val="20"/>
                <w:szCs w:val="20"/>
                <w:lang w:val="es-ES"/>
              </w:rPr>
              <w:t>marzo</w:t>
            </w:r>
            <w:r w:rsidRPr="004768D0">
              <w:rPr>
                <w:rFonts w:ascii="Cambria" w:hAnsi="Cambria"/>
                <w:bCs/>
                <w:color w:val="000000" w:themeColor="text1"/>
                <w:sz w:val="20"/>
                <w:szCs w:val="20"/>
                <w:lang w:val="es-ES"/>
              </w:rPr>
              <w:t xml:space="preserve"> de 2015</w:t>
            </w:r>
          </w:p>
        </w:tc>
      </w:tr>
      <w:tr w:rsidR="0052395A" w:rsidRPr="004768D0" w14:paraId="573C7B30" w14:textId="77777777" w:rsidTr="008D6F96">
        <w:tc>
          <w:tcPr>
            <w:tcW w:w="3600" w:type="dxa"/>
            <w:tcBorders>
              <w:top w:val="single" w:sz="6" w:space="0" w:color="auto"/>
              <w:bottom w:val="single" w:sz="6" w:space="0" w:color="auto"/>
            </w:tcBorders>
            <w:shd w:val="clear" w:color="auto" w:fill="4A7194"/>
          </w:tcPr>
          <w:p w14:paraId="75D1451D" w14:textId="77777777" w:rsidR="0052395A" w:rsidRPr="001C3D62" w:rsidRDefault="0052395A" w:rsidP="007F4608">
            <w:pPr>
              <w:jc w:val="center"/>
              <w:rPr>
                <w:rFonts w:ascii="Cambria" w:hAnsi="Cambria"/>
                <w:b/>
                <w:color w:val="FFFFFF" w:themeColor="background1"/>
                <w:sz w:val="20"/>
                <w:szCs w:val="20"/>
                <w:lang w:val="es-ES"/>
              </w:rPr>
            </w:pPr>
            <w:r w:rsidRPr="001C3D62">
              <w:rPr>
                <w:rFonts w:ascii="Cambria" w:hAnsi="Cambria"/>
                <w:b/>
                <w:color w:val="FFFFFF" w:themeColor="background1"/>
                <w:sz w:val="20"/>
                <w:szCs w:val="20"/>
                <w:lang w:val="es-ES"/>
              </w:rPr>
              <w:t>Fecha de notificación</w:t>
            </w:r>
          </w:p>
          <w:p w14:paraId="785571FA" w14:textId="77777777" w:rsidR="0052395A" w:rsidRPr="001C3D62" w:rsidRDefault="0052395A" w:rsidP="00A37F2E">
            <w:pPr>
              <w:jc w:val="center"/>
              <w:rPr>
                <w:rFonts w:ascii="Cambria" w:hAnsi="Cambria"/>
                <w:b/>
                <w:color w:val="FFFFFF" w:themeColor="background1"/>
                <w:sz w:val="20"/>
                <w:szCs w:val="20"/>
                <w:lang w:val="es-ES"/>
              </w:rPr>
            </w:pPr>
            <w:r w:rsidRPr="001C3D62">
              <w:rPr>
                <w:rFonts w:ascii="Cambria" w:hAnsi="Cambria"/>
                <w:b/>
                <w:color w:val="FFFFFF" w:themeColor="background1"/>
                <w:sz w:val="20"/>
                <w:szCs w:val="20"/>
                <w:lang w:val="es-ES"/>
              </w:rPr>
              <w:t>de la petición al Estado:</w:t>
            </w:r>
          </w:p>
        </w:tc>
        <w:tc>
          <w:tcPr>
            <w:tcW w:w="5760" w:type="dxa"/>
            <w:vAlign w:val="center"/>
          </w:tcPr>
          <w:p w14:paraId="01027B2F" w14:textId="77777777" w:rsidR="0052395A" w:rsidRPr="004768D0" w:rsidRDefault="0052395A" w:rsidP="007F4608">
            <w:pPr>
              <w:jc w:val="both"/>
              <w:rPr>
                <w:rFonts w:ascii="Cambria" w:hAnsi="Cambria"/>
                <w:bCs/>
                <w:color w:val="000000" w:themeColor="text1"/>
                <w:sz w:val="20"/>
                <w:szCs w:val="20"/>
                <w:lang w:val="es-ES"/>
              </w:rPr>
            </w:pPr>
            <w:r w:rsidRPr="004768D0">
              <w:rPr>
                <w:rFonts w:ascii="Cambria" w:hAnsi="Cambria"/>
                <w:bCs/>
                <w:color w:val="000000" w:themeColor="text1"/>
                <w:sz w:val="20"/>
                <w:szCs w:val="20"/>
                <w:lang w:val="es-ES"/>
              </w:rPr>
              <w:t>24 de abril de 2018</w:t>
            </w:r>
          </w:p>
        </w:tc>
      </w:tr>
      <w:tr w:rsidR="0052395A" w:rsidRPr="004768D0" w14:paraId="774BE03D" w14:textId="77777777" w:rsidTr="008D6F96">
        <w:tc>
          <w:tcPr>
            <w:tcW w:w="3600" w:type="dxa"/>
            <w:tcBorders>
              <w:top w:val="single" w:sz="6" w:space="0" w:color="auto"/>
              <w:bottom w:val="single" w:sz="6" w:space="0" w:color="auto"/>
            </w:tcBorders>
            <w:shd w:val="clear" w:color="auto" w:fill="4A7194"/>
          </w:tcPr>
          <w:p w14:paraId="464EB45C" w14:textId="77777777" w:rsidR="0052395A" w:rsidRPr="001C3D62" w:rsidRDefault="0052395A" w:rsidP="007F4608">
            <w:pPr>
              <w:jc w:val="center"/>
              <w:rPr>
                <w:rFonts w:ascii="Cambria" w:hAnsi="Cambria"/>
                <w:b/>
                <w:color w:val="FFFFFF" w:themeColor="background1"/>
                <w:sz w:val="20"/>
                <w:szCs w:val="20"/>
                <w:lang w:val="es-ES"/>
              </w:rPr>
            </w:pPr>
            <w:r w:rsidRPr="001C3D62">
              <w:rPr>
                <w:rFonts w:ascii="Cambria" w:hAnsi="Cambria"/>
                <w:b/>
                <w:color w:val="FFFFFF" w:themeColor="background1"/>
                <w:sz w:val="20"/>
                <w:szCs w:val="20"/>
                <w:lang w:val="es-ES"/>
              </w:rPr>
              <w:t>Fecha de la primera respuesta</w:t>
            </w:r>
          </w:p>
          <w:p w14:paraId="5469FD25" w14:textId="77777777" w:rsidR="0052395A" w:rsidRPr="001C3D62" w:rsidRDefault="0052395A" w:rsidP="004A6A54">
            <w:pPr>
              <w:jc w:val="center"/>
              <w:rPr>
                <w:rFonts w:ascii="Cambria" w:hAnsi="Cambria"/>
                <w:b/>
                <w:bCs/>
                <w:color w:val="FFFFFF" w:themeColor="background1"/>
                <w:sz w:val="20"/>
                <w:szCs w:val="20"/>
                <w:lang w:val="es-ES"/>
              </w:rPr>
            </w:pPr>
            <w:r w:rsidRPr="001C3D62">
              <w:rPr>
                <w:rFonts w:ascii="Cambria" w:hAnsi="Cambria"/>
                <w:b/>
                <w:color w:val="FFFFFF" w:themeColor="background1"/>
                <w:sz w:val="20"/>
                <w:szCs w:val="20"/>
                <w:lang w:val="es-ES"/>
              </w:rPr>
              <w:t>del Estado:</w:t>
            </w:r>
          </w:p>
        </w:tc>
        <w:tc>
          <w:tcPr>
            <w:tcW w:w="5760" w:type="dxa"/>
            <w:vAlign w:val="center"/>
          </w:tcPr>
          <w:p w14:paraId="0121587A" w14:textId="77777777" w:rsidR="0052395A" w:rsidRPr="004768D0" w:rsidRDefault="0052395A" w:rsidP="007F4608">
            <w:pPr>
              <w:jc w:val="both"/>
              <w:rPr>
                <w:rFonts w:ascii="Cambria" w:hAnsi="Cambria"/>
                <w:bCs/>
                <w:color w:val="000000" w:themeColor="text1"/>
                <w:sz w:val="20"/>
                <w:szCs w:val="20"/>
                <w:lang w:val="es-ES"/>
              </w:rPr>
            </w:pPr>
            <w:r w:rsidRPr="004768D0">
              <w:rPr>
                <w:rFonts w:ascii="Cambria" w:hAnsi="Cambria"/>
                <w:bCs/>
                <w:color w:val="000000" w:themeColor="text1"/>
                <w:sz w:val="20"/>
                <w:szCs w:val="20"/>
                <w:lang w:val="es-ES"/>
              </w:rPr>
              <w:t>1 de agosto de 2018</w:t>
            </w:r>
          </w:p>
        </w:tc>
      </w:tr>
      <w:tr w:rsidR="0052395A" w:rsidRPr="008D6F96" w14:paraId="1693F5FE" w14:textId="77777777" w:rsidTr="008D6F96">
        <w:tc>
          <w:tcPr>
            <w:tcW w:w="3600" w:type="dxa"/>
            <w:tcBorders>
              <w:top w:val="single" w:sz="6" w:space="0" w:color="auto"/>
              <w:bottom w:val="single" w:sz="6" w:space="0" w:color="auto"/>
            </w:tcBorders>
            <w:shd w:val="clear" w:color="auto" w:fill="4A7194"/>
          </w:tcPr>
          <w:p w14:paraId="34E66C8A" w14:textId="77777777" w:rsidR="0052395A" w:rsidRPr="001C3D62" w:rsidRDefault="0052395A" w:rsidP="007F4608">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Observaciones adicionales</w:t>
            </w:r>
          </w:p>
          <w:p w14:paraId="06DEAA33" w14:textId="77777777" w:rsidR="0052395A" w:rsidRPr="001C3D62" w:rsidRDefault="0052395A" w:rsidP="008E3BFE">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de la parte peticionaria:</w:t>
            </w:r>
          </w:p>
        </w:tc>
        <w:tc>
          <w:tcPr>
            <w:tcW w:w="5760" w:type="dxa"/>
            <w:vAlign w:val="center"/>
          </w:tcPr>
          <w:p w14:paraId="2734259E" w14:textId="77777777" w:rsidR="0052395A" w:rsidRPr="004768D0" w:rsidRDefault="0052395A" w:rsidP="007F4608">
            <w:pPr>
              <w:jc w:val="both"/>
              <w:rPr>
                <w:rFonts w:ascii="Cambria" w:hAnsi="Cambria"/>
                <w:bCs/>
                <w:color w:val="000000" w:themeColor="text1"/>
                <w:sz w:val="20"/>
                <w:szCs w:val="20"/>
                <w:lang w:val="es-ES"/>
              </w:rPr>
            </w:pPr>
            <w:r w:rsidRPr="004768D0">
              <w:rPr>
                <w:rFonts w:ascii="Cambria" w:hAnsi="Cambria"/>
                <w:bCs/>
                <w:color w:val="000000" w:themeColor="text1"/>
                <w:sz w:val="20"/>
                <w:szCs w:val="20"/>
                <w:lang w:val="es-ES"/>
              </w:rPr>
              <w:t xml:space="preserve">20 de agosto de 2018, 4 de </w:t>
            </w:r>
            <w:r w:rsidR="007F4608" w:rsidRPr="004768D0">
              <w:rPr>
                <w:rFonts w:ascii="Cambria" w:hAnsi="Cambria"/>
                <w:bCs/>
                <w:color w:val="000000" w:themeColor="text1"/>
                <w:sz w:val="20"/>
                <w:szCs w:val="20"/>
                <w:lang w:val="es-ES"/>
              </w:rPr>
              <w:t>septiembre</w:t>
            </w:r>
            <w:r w:rsidRPr="004768D0">
              <w:rPr>
                <w:rFonts w:ascii="Cambria" w:hAnsi="Cambria"/>
                <w:bCs/>
                <w:color w:val="000000" w:themeColor="text1"/>
                <w:sz w:val="20"/>
                <w:szCs w:val="20"/>
                <w:lang w:val="es-ES"/>
              </w:rPr>
              <w:t xml:space="preserve"> de 2018, 24 de </w:t>
            </w:r>
            <w:r w:rsidR="007F4608" w:rsidRPr="004768D0">
              <w:rPr>
                <w:rFonts w:ascii="Cambria" w:hAnsi="Cambria"/>
                <w:bCs/>
                <w:color w:val="000000" w:themeColor="text1"/>
                <w:sz w:val="20"/>
                <w:szCs w:val="20"/>
                <w:lang w:val="es-ES"/>
              </w:rPr>
              <w:t>mayo</w:t>
            </w:r>
            <w:r w:rsidRPr="004768D0">
              <w:rPr>
                <w:rFonts w:ascii="Cambria" w:hAnsi="Cambria"/>
                <w:bCs/>
                <w:color w:val="000000" w:themeColor="text1"/>
                <w:sz w:val="20"/>
                <w:szCs w:val="20"/>
                <w:lang w:val="es-ES"/>
              </w:rPr>
              <w:t xml:space="preserve"> de 2019, 23 de </w:t>
            </w:r>
            <w:r w:rsidR="007F4608" w:rsidRPr="004768D0">
              <w:rPr>
                <w:rFonts w:ascii="Cambria" w:hAnsi="Cambria"/>
                <w:bCs/>
                <w:color w:val="000000" w:themeColor="text1"/>
                <w:sz w:val="20"/>
                <w:szCs w:val="20"/>
                <w:lang w:val="es-ES"/>
              </w:rPr>
              <w:t>octubre</w:t>
            </w:r>
            <w:r w:rsidRPr="004768D0">
              <w:rPr>
                <w:rFonts w:ascii="Cambria" w:hAnsi="Cambria"/>
                <w:bCs/>
                <w:color w:val="000000" w:themeColor="text1"/>
                <w:sz w:val="20"/>
                <w:szCs w:val="20"/>
                <w:lang w:val="es-ES"/>
              </w:rPr>
              <w:t xml:space="preserve"> de 2019, 8 </w:t>
            </w:r>
            <w:r w:rsidR="007F4608" w:rsidRPr="004768D0">
              <w:rPr>
                <w:rFonts w:ascii="Cambria" w:hAnsi="Cambria"/>
                <w:bCs/>
                <w:color w:val="000000" w:themeColor="text1"/>
                <w:sz w:val="20"/>
                <w:szCs w:val="20"/>
                <w:lang w:val="es-ES"/>
              </w:rPr>
              <w:t>julio</w:t>
            </w:r>
            <w:r w:rsidRPr="004768D0">
              <w:rPr>
                <w:rFonts w:ascii="Cambria" w:hAnsi="Cambria"/>
                <w:bCs/>
                <w:color w:val="000000" w:themeColor="text1"/>
                <w:sz w:val="20"/>
                <w:szCs w:val="20"/>
                <w:lang w:val="es-ES"/>
              </w:rPr>
              <w:t xml:space="preserve"> de 2020</w:t>
            </w:r>
          </w:p>
        </w:tc>
      </w:tr>
      <w:tr w:rsidR="0052395A" w:rsidRPr="008D6F96" w14:paraId="2F49466E" w14:textId="77777777" w:rsidTr="008D6F96">
        <w:tc>
          <w:tcPr>
            <w:tcW w:w="3600" w:type="dxa"/>
            <w:tcBorders>
              <w:top w:val="single" w:sz="6" w:space="0" w:color="auto"/>
              <w:bottom w:val="single" w:sz="6" w:space="0" w:color="auto"/>
            </w:tcBorders>
            <w:shd w:val="clear" w:color="auto" w:fill="4A7194"/>
          </w:tcPr>
          <w:p w14:paraId="4550D1B6" w14:textId="77777777" w:rsidR="0052395A" w:rsidRPr="001C3D62" w:rsidRDefault="0052395A" w:rsidP="007F4608">
            <w:pPr>
              <w:jc w:val="center"/>
              <w:rPr>
                <w:rFonts w:ascii="Cambria" w:hAnsi="Cambria"/>
                <w:b/>
                <w:color w:val="FFFFFF" w:themeColor="background1"/>
                <w:sz w:val="20"/>
                <w:szCs w:val="20"/>
                <w:lang w:val="es-ES"/>
              </w:rPr>
            </w:pPr>
            <w:r w:rsidRPr="001C3D62">
              <w:rPr>
                <w:rFonts w:ascii="Cambria" w:hAnsi="Cambria"/>
                <w:b/>
                <w:color w:val="FFFFFF" w:themeColor="background1"/>
                <w:sz w:val="20"/>
                <w:szCs w:val="20"/>
                <w:lang w:val="es-ES"/>
              </w:rPr>
              <w:t>Observaciones adicionales</w:t>
            </w:r>
          </w:p>
          <w:p w14:paraId="488A150C" w14:textId="77777777" w:rsidR="0052395A" w:rsidRPr="001C3D62" w:rsidRDefault="0052395A" w:rsidP="008E3BFE">
            <w:pPr>
              <w:jc w:val="center"/>
              <w:rPr>
                <w:rFonts w:ascii="Cambria" w:hAnsi="Cambria"/>
                <w:b/>
                <w:bCs/>
                <w:color w:val="FFFFFF" w:themeColor="background1"/>
                <w:sz w:val="20"/>
                <w:szCs w:val="20"/>
                <w:lang w:val="es-ES"/>
              </w:rPr>
            </w:pPr>
            <w:r w:rsidRPr="001C3D62">
              <w:rPr>
                <w:rFonts w:ascii="Cambria" w:hAnsi="Cambria"/>
                <w:b/>
                <w:color w:val="FFFFFF" w:themeColor="background1"/>
                <w:sz w:val="20"/>
                <w:szCs w:val="20"/>
                <w:lang w:val="es-ES"/>
              </w:rPr>
              <w:t>del Estado:</w:t>
            </w:r>
          </w:p>
        </w:tc>
        <w:tc>
          <w:tcPr>
            <w:tcW w:w="5760" w:type="dxa"/>
            <w:vAlign w:val="center"/>
          </w:tcPr>
          <w:p w14:paraId="745656B5" w14:textId="77777777" w:rsidR="0052395A" w:rsidRPr="004768D0" w:rsidRDefault="0052395A" w:rsidP="007F4608">
            <w:pPr>
              <w:jc w:val="both"/>
              <w:rPr>
                <w:rFonts w:ascii="Cambria" w:hAnsi="Cambria"/>
                <w:bCs/>
                <w:color w:val="000000" w:themeColor="text1"/>
                <w:sz w:val="20"/>
                <w:szCs w:val="20"/>
                <w:lang w:val="es-ES"/>
              </w:rPr>
            </w:pPr>
            <w:r w:rsidRPr="004768D0">
              <w:rPr>
                <w:rFonts w:ascii="Cambria" w:hAnsi="Cambria"/>
                <w:bCs/>
                <w:color w:val="000000" w:themeColor="text1"/>
                <w:sz w:val="20"/>
                <w:szCs w:val="20"/>
                <w:lang w:val="es-ES"/>
              </w:rPr>
              <w:t xml:space="preserve">25 de </w:t>
            </w:r>
            <w:r w:rsidR="007F4608" w:rsidRPr="004768D0">
              <w:rPr>
                <w:rFonts w:ascii="Cambria" w:hAnsi="Cambria"/>
                <w:bCs/>
                <w:color w:val="000000" w:themeColor="text1"/>
                <w:sz w:val="20"/>
                <w:szCs w:val="20"/>
                <w:lang w:val="es-ES"/>
              </w:rPr>
              <w:t>enero</w:t>
            </w:r>
            <w:r w:rsidRPr="004768D0">
              <w:rPr>
                <w:rFonts w:ascii="Cambria" w:hAnsi="Cambria"/>
                <w:bCs/>
                <w:color w:val="000000" w:themeColor="text1"/>
                <w:sz w:val="20"/>
                <w:szCs w:val="20"/>
                <w:lang w:val="es-ES"/>
              </w:rPr>
              <w:t xml:space="preserve"> de 2019, 18 de </w:t>
            </w:r>
            <w:r w:rsidR="007F4608" w:rsidRPr="004768D0">
              <w:rPr>
                <w:rFonts w:ascii="Cambria" w:hAnsi="Cambria"/>
                <w:bCs/>
                <w:color w:val="000000" w:themeColor="text1"/>
                <w:sz w:val="20"/>
                <w:szCs w:val="20"/>
                <w:lang w:val="es-ES"/>
              </w:rPr>
              <w:t>julio</w:t>
            </w:r>
            <w:r w:rsidRPr="004768D0">
              <w:rPr>
                <w:rFonts w:ascii="Cambria" w:hAnsi="Cambria"/>
                <w:bCs/>
                <w:color w:val="000000" w:themeColor="text1"/>
                <w:sz w:val="20"/>
                <w:szCs w:val="20"/>
                <w:lang w:val="es-ES"/>
              </w:rPr>
              <w:t xml:space="preserve"> de 2019</w:t>
            </w:r>
          </w:p>
        </w:tc>
      </w:tr>
    </w:tbl>
    <w:p w14:paraId="291FBA5C" w14:textId="77777777" w:rsidR="003239B8" w:rsidRPr="004768D0" w:rsidRDefault="00D358AF" w:rsidP="003239B8">
      <w:pPr>
        <w:spacing w:before="240" w:after="240"/>
        <w:ind w:firstLine="720"/>
        <w:jc w:val="both"/>
        <w:rPr>
          <w:rFonts w:asciiTheme="majorHAnsi" w:hAnsiTheme="majorHAnsi"/>
          <w:b/>
          <w:bCs/>
          <w:color w:val="000000" w:themeColor="text1"/>
          <w:sz w:val="20"/>
          <w:szCs w:val="20"/>
          <w:lang w:val="es-ES"/>
        </w:rPr>
      </w:pPr>
      <w:r w:rsidRPr="004768D0">
        <w:rPr>
          <w:rFonts w:asciiTheme="majorHAnsi" w:hAnsiTheme="majorHAnsi"/>
          <w:b/>
          <w:bCs/>
          <w:color w:val="000000" w:themeColor="text1"/>
          <w:sz w:val="20"/>
          <w:szCs w:val="20"/>
          <w:lang w:val="es-ES"/>
        </w:rPr>
        <w:t xml:space="preserve">III. </w:t>
      </w:r>
      <w:r w:rsidRPr="004768D0">
        <w:rPr>
          <w:rFonts w:asciiTheme="majorHAnsi" w:hAnsiTheme="majorHAnsi"/>
          <w:b/>
          <w:bCs/>
          <w:color w:val="000000" w:themeColor="text1"/>
          <w:sz w:val="20"/>
          <w:szCs w:val="20"/>
          <w:lang w:val="es-ES"/>
        </w:rPr>
        <w:tab/>
      </w:r>
      <w:r w:rsidR="0052395A" w:rsidRPr="004768D0">
        <w:rPr>
          <w:rFonts w:asciiTheme="majorHAnsi" w:hAnsiTheme="majorHAnsi"/>
          <w:b/>
          <w:bCs/>
          <w:color w:val="000000" w:themeColor="text1"/>
          <w:sz w:val="20"/>
          <w:szCs w:val="20"/>
          <w:lang w:val="es-ES"/>
        </w:rPr>
        <w:t>COMPETENCIA</w:t>
      </w:r>
      <w:r w:rsidR="00EE00E9" w:rsidRPr="004768D0">
        <w:rPr>
          <w:rFonts w:asciiTheme="majorHAnsi" w:hAnsiTheme="majorHAnsi"/>
          <w:b/>
          <w:bCs/>
          <w:color w:val="000000" w:themeColor="text1"/>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2395A" w:rsidRPr="004768D0" w14:paraId="532BBD0E" w14:textId="77777777" w:rsidTr="008D6F96">
        <w:trPr>
          <w:cantSplit/>
        </w:trPr>
        <w:tc>
          <w:tcPr>
            <w:tcW w:w="3600" w:type="dxa"/>
            <w:tcBorders>
              <w:top w:val="single" w:sz="4" w:space="0" w:color="auto"/>
              <w:bottom w:val="single" w:sz="6" w:space="0" w:color="auto"/>
            </w:tcBorders>
            <w:shd w:val="clear" w:color="auto" w:fill="4A7194"/>
          </w:tcPr>
          <w:p w14:paraId="413D3171" w14:textId="77777777" w:rsidR="0052395A" w:rsidRPr="001C3D62" w:rsidRDefault="0052395A" w:rsidP="007F4608">
            <w:pPr>
              <w:jc w:val="center"/>
              <w:rPr>
                <w:rFonts w:ascii="Cambria" w:hAnsi="Cambria"/>
                <w:b/>
                <w:bCs/>
                <w:i/>
                <w:color w:val="FFFFFF" w:themeColor="background1"/>
                <w:sz w:val="20"/>
                <w:szCs w:val="20"/>
                <w:lang w:val="es-ES"/>
              </w:rPr>
            </w:pPr>
            <w:r w:rsidRPr="001C3D62">
              <w:rPr>
                <w:rFonts w:asciiTheme="majorHAnsi" w:hAnsiTheme="majorHAnsi"/>
                <w:b/>
                <w:color w:val="FFFFFF" w:themeColor="background1"/>
                <w:sz w:val="20"/>
                <w:szCs w:val="20"/>
                <w:lang w:val="es-ES"/>
              </w:rPr>
              <w:t xml:space="preserve">Competencia </w:t>
            </w:r>
            <w:r w:rsidRPr="001C3D62">
              <w:rPr>
                <w:rFonts w:asciiTheme="majorHAnsi" w:hAnsiTheme="majorHAnsi"/>
                <w:b/>
                <w:i/>
                <w:color w:val="FFFFFF" w:themeColor="background1"/>
                <w:sz w:val="20"/>
                <w:szCs w:val="20"/>
                <w:lang w:val="es-ES"/>
              </w:rPr>
              <w:t>ratione personae</w:t>
            </w:r>
            <w:r w:rsidRPr="001C3D62">
              <w:rPr>
                <w:rFonts w:asciiTheme="majorHAnsi" w:hAnsiTheme="majorHAnsi"/>
                <w:b/>
                <w:color w:val="FFFFFF" w:themeColor="background1"/>
                <w:sz w:val="20"/>
                <w:szCs w:val="20"/>
                <w:lang w:val="es-ES"/>
              </w:rPr>
              <w:t>:</w:t>
            </w:r>
          </w:p>
        </w:tc>
        <w:tc>
          <w:tcPr>
            <w:tcW w:w="5760" w:type="dxa"/>
            <w:vAlign w:val="center"/>
          </w:tcPr>
          <w:p w14:paraId="639E839B" w14:textId="77777777" w:rsidR="0052395A" w:rsidRPr="004768D0" w:rsidRDefault="0052395A" w:rsidP="007F4608">
            <w:pPr>
              <w:rPr>
                <w:rFonts w:ascii="Cambria" w:hAnsi="Cambria"/>
                <w:bCs/>
                <w:color w:val="000000" w:themeColor="text1"/>
                <w:sz w:val="20"/>
                <w:szCs w:val="20"/>
                <w:lang w:val="es-ES"/>
              </w:rPr>
            </w:pPr>
            <w:r w:rsidRPr="004768D0">
              <w:rPr>
                <w:rFonts w:ascii="Cambria" w:hAnsi="Cambria"/>
                <w:bCs/>
                <w:sz w:val="20"/>
                <w:szCs w:val="20"/>
                <w:lang w:val="es-ES"/>
              </w:rPr>
              <w:t>Sí</w:t>
            </w:r>
          </w:p>
        </w:tc>
      </w:tr>
      <w:tr w:rsidR="0052395A" w:rsidRPr="004768D0" w14:paraId="004E23CF" w14:textId="77777777" w:rsidTr="008D6F96">
        <w:trPr>
          <w:cantSplit/>
        </w:trPr>
        <w:tc>
          <w:tcPr>
            <w:tcW w:w="3600" w:type="dxa"/>
            <w:tcBorders>
              <w:top w:val="single" w:sz="6" w:space="0" w:color="auto"/>
              <w:bottom w:val="single" w:sz="6" w:space="0" w:color="auto"/>
            </w:tcBorders>
            <w:shd w:val="clear" w:color="auto" w:fill="4A7194"/>
          </w:tcPr>
          <w:p w14:paraId="5000A391" w14:textId="77777777" w:rsidR="0052395A" w:rsidRPr="001C3D62" w:rsidRDefault="0052395A" w:rsidP="007F4608">
            <w:pPr>
              <w:jc w:val="center"/>
              <w:rPr>
                <w:rFonts w:ascii="Cambria" w:hAnsi="Cambria"/>
                <w:b/>
                <w:bCs/>
                <w:color w:val="FFFFFF" w:themeColor="background1"/>
                <w:sz w:val="20"/>
                <w:szCs w:val="20"/>
                <w:lang w:val="es-ES"/>
              </w:rPr>
            </w:pPr>
            <w:r w:rsidRPr="001C3D62">
              <w:rPr>
                <w:rFonts w:asciiTheme="majorHAnsi" w:hAnsiTheme="majorHAnsi"/>
                <w:b/>
                <w:color w:val="FFFFFF" w:themeColor="background1"/>
                <w:sz w:val="20"/>
                <w:szCs w:val="20"/>
                <w:lang w:val="es-ES"/>
              </w:rPr>
              <w:t xml:space="preserve">Competencia </w:t>
            </w:r>
            <w:r w:rsidRPr="001C3D62">
              <w:rPr>
                <w:rFonts w:asciiTheme="majorHAnsi" w:hAnsiTheme="majorHAnsi"/>
                <w:b/>
                <w:i/>
                <w:color w:val="FFFFFF" w:themeColor="background1"/>
                <w:sz w:val="20"/>
                <w:szCs w:val="20"/>
                <w:lang w:val="es-ES"/>
              </w:rPr>
              <w:t>ratione loci</w:t>
            </w:r>
            <w:r w:rsidRPr="001C3D62">
              <w:rPr>
                <w:rFonts w:asciiTheme="majorHAnsi" w:hAnsiTheme="majorHAnsi"/>
                <w:b/>
                <w:color w:val="FFFFFF" w:themeColor="background1"/>
                <w:sz w:val="20"/>
                <w:szCs w:val="20"/>
                <w:lang w:val="es-ES"/>
              </w:rPr>
              <w:t>:</w:t>
            </w:r>
          </w:p>
        </w:tc>
        <w:tc>
          <w:tcPr>
            <w:tcW w:w="5760" w:type="dxa"/>
            <w:vAlign w:val="center"/>
          </w:tcPr>
          <w:p w14:paraId="438FD794" w14:textId="77777777" w:rsidR="0052395A" w:rsidRPr="004768D0" w:rsidRDefault="0052395A" w:rsidP="007F4608">
            <w:pPr>
              <w:rPr>
                <w:rFonts w:ascii="Cambria" w:hAnsi="Cambria"/>
                <w:bCs/>
                <w:color w:val="000000" w:themeColor="text1"/>
                <w:sz w:val="20"/>
                <w:szCs w:val="20"/>
                <w:lang w:val="es-ES"/>
              </w:rPr>
            </w:pPr>
            <w:r w:rsidRPr="004768D0">
              <w:rPr>
                <w:rFonts w:ascii="Cambria" w:hAnsi="Cambria"/>
                <w:bCs/>
                <w:sz w:val="20"/>
                <w:szCs w:val="20"/>
                <w:lang w:val="es-ES"/>
              </w:rPr>
              <w:t>Sí</w:t>
            </w:r>
          </w:p>
        </w:tc>
      </w:tr>
      <w:tr w:rsidR="0052395A" w:rsidRPr="004768D0" w14:paraId="61431242" w14:textId="77777777" w:rsidTr="008D6F96">
        <w:trPr>
          <w:cantSplit/>
        </w:trPr>
        <w:tc>
          <w:tcPr>
            <w:tcW w:w="3600" w:type="dxa"/>
            <w:tcBorders>
              <w:top w:val="single" w:sz="6" w:space="0" w:color="auto"/>
              <w:bottom w:val="single" w:sz="6" w:space="0" w:color="auto"/>
            </w:tcBorders>
            <w:shd w:val="clear" w:color="auto" w:fill="4A7194"/>
          </w:tcPr>
          <w:p w14:paraId="50C063E9" w14:textId="77777777" w:rsidR="0052395A" w:rsidRPr="001C3D62" w:rsidRDefault="0052395A" w:rsidP="007F4608">
            <w:pPr>
              <w:jc w:val="center"/>
              <w:rPr>
                <w:rFonts w:ascii="Cambria" w:hAnsi="Cambria"/>
                <w:b/>
                <w:bCs/>
                <w:color w:val="FFFFFF" w:themeColor="background1"/>
                <w:sz w:val="20"/>
                <w:szCs w:val="20"/>
                <w:lang w:val="es-ES"/>
              </w:rPr>
            </w:pPr>
            <w:r w:rsidRPr="001C3D62">
              <w:rPr>
                <w:rFonts w:asciiTheme="majorHAnsi" w:hAnsiTheme="majorHAnsi"/>
                <w:b/>
                <w:color w:val="FFFFFF" w:themeColor="background1"/>
                <w:sz w:val="20"/>
                <w:szCs w:val="20"/>
                <w:lang w:val="es-ES"/>
              </w:rPr>
              <w:t xml:space="preserve">Competencia </w:t>
            </w:r>
            <w:r w:rsidRPr="001C3D62">
              <w:rPr>
                <w:rFonts w:asciiTheme="majorHAnsi" w:hAnsiTheme="majorHAnsi"/>
                <w:b/>
                <w:i/>
                <w:color w:val="FFFFFF" w:themeColor="background1"/>
                <w:sz w:val="20"/>
                <w:szCs w:val="20"/>
                <w:lang w:val="es-ES"/>
              </w:rPr>
              <w:t>ratione temporis</w:t>
            </w:r>
            <w:r w:rsidRPr="001C3D62">
              <w:rPr>
                <w:rFonts w:asciiTheme="majorHAnsi" w:hAnsiTheme="majorHAnsi"/>
                <w:b/>
                <w:color w:val="FFFFFF" w:themeColor="background1"/>
                <w:sz w:val="20"/>
                <w:szCs w:val="20"/>
                <w:lang w:val="es-ES"/>
              </w:rPr>
              <w:t>:</w:t>
            </w:r>
          </w:p>
        </w:tc>
        <w:tc>
          <w:tcPr>
            <w:tcW w:w="5760" w:type="dxa"/>
            <w:vAlign w:val="center"/>
          </w:tcPr>
          <w:p w14:paraId="7FC5C5D2" w14:textId="77777777" w:rsidR="0052395A" w:rsidRPr="004768D0" w:rsidRDefault="0052395A" w:rsidP="007F4608">
            <w:pPr>
              <w:rPr>
                <w:bCs/>
                <w:color w:val="000000" w:themeColor="text1"/>
                <w:sz w:val="20"/>
                <w:szCs w:val="20"/>
                <w:lang w:val="es-ES"/>
              </w:rPr>
            </w:pPr>
            <w:r w:rsidRPr="004768D0">
              <w:rPr>
                <w:bCs/>
                <w:sz w:val="20"/>
                <w:szCs w:val="20"/>
                <w:lang w:val="es-ES"/>
              </w:rPr>
              <w:t>Sí</w:t>
            </w:r>
          </w:p>
        </w:tc>
      </w:tr>
      <w:tr w:rsidR="008C651D" w:rsidRPr="008D6F96" w14:paraId="58A182C9" w14:textId="77777777" w:rsidTr="008D6F96">
        <w:trPr>
          <w:cantSplit/>
        </w:trPr>
        <w:tc>
          <w:tcPr>
            <w:tcW w:w="3600" w:type="dxa"/>
            <w:tcBorders>
              <w:top w:val="single" w:sz="6" w:space="0" w:color="auto"/>
              <w:bottom w:val="single" w:sz="6" w:space="0" w:color="auto"/>
            </w:tcBorders>
            <w:shd w:val="clear" w:color="auto" w:fill="4A7194"/>
            <w:vAlign w:val="center"/>
          </w:tcPr>
          <w:p w14:paraId="65204950" w14:textId="77777777" w:rsidR="003239B8" w:rsidRPr="001C3D62" w:rsidRDefault="0052395A" w:rsidP="007F4608">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Competencia</w:t>
            </w:r>
            <w:r w:rsidRPr="001C3D62">
              <w:rPr>
                <w:rFonts w:ascii="Cambria" w:hAnsi="Cambria"/>
                <w:b/>
                <w:bCs/>
                <w:i/>
                <w:color w:val="FFFFFF" w:themeColor="background1"/>
                <w:sz w:val="20"/>
                <w:szCs w:val="20"/>
                <w:lang w:val="es-ES"/>
              </w:rPr>
              <w:t xml:space="preserve"> ratione materiae</w:t>
            </w:r>
            <w:r w:rsidR="003239B8" w:rsidRPr="001C3D62">
              <w:rPr>
                <w:rFonts w:ascii="Cambria" w:hAnsi="Cambria"/>
                <w:b/>
                <w:bCs/>
                <w:color w:val="FFFFFF" w:themeColor="background1"/>
                <w:sz w:val="20"/>
                <w:szCs w:val="20"/>
                <w:lang w:val="es-ES"/>
              </w:rPr>
              <w:t>:</w:t>
            </w:r>
          </w:p>
        </w:tc>
        <w:tc>
          <w:tcPr>
            <w:tcW w:w="5760" w:type="dxa"/>
            <w:vAlign w:val="center"/>
          </w:tcPr>
          <w:p w14:paraId="22A96C03" w14:textId="77777777" w:rsidR="003239B8" w:rsidRPr="004768D0" w:rsidRDefault="0052395A" w:rsidP="007F4608">
            <w:pPr>
              <w:jc w:val="both"/>
              <w:rPr>
                <w:rFonts w:ascii="Cambria" w:hAnsi="Cambria"/>
                <w:bCs/>
                <w:color w:val="000000" w:themeColor="text1"/>
                <w:sz w:val="20"/>
                <w:szCs w:val="20"/>
                <w:lang w:val="es-ES"/>
              </w:rPr>
            </w:pPr>
            <w:r w:rsidRPr="004768D0">
              <w:rPr>
                <w:rFonts w:asciiTheme="majorHAnsi" w:hAnsiTheme="majorHAnsi"/>
                <w:bCs/>
                <w:color w:val="000000" w:themeColor="text1"/>
                <w:sz w:val="20"/>
                <w:szCs w:val="20"/>
                <w:lang w:val="es-ES"/>
              </w:rPr>
              <w:t>Sí, Convención Americana (instrumento adoptado el 25 de septiembre de 1992)</w:t>
            </w:r>
          </w:p>
        </w:tc>
      </w:tr>
    </w:tbl>
    <w:p w14:paraId="47232EBD" w14:textId="77777777" w:rsidR="003239B8" w:rsidRPr="004768D0" w:rsidRDefault="003239B8" w:rsidP="00E770E8">
      <w:pPr>
        <w:keepNext/>
        <w:keepLines/>
        <w:spacing w:before="240" w:after="240"/>
        <w:ind w:firstLine="720"/>
        <w:jc w:val="both"/>
        <w:rPr>
          <w:rFonts w:asciiTheme="majorHAnsi" w:hAnsiTheme="majorHAnsi"/>
          <w:b/>
          <w:bCs/>
          <w:color w:val="000000" w:themeColor="text1"/>
          <w:sz w:val="20"/>
          <w:szCs w:val="20"/>
          <w:lang w:val="es-ES"/>
        </w:rPr>
      </w:pPr>
      <w:r w:rsidRPr="004768D0">
        <w:rPr>
          <w:rFonts w:asciiTheme="majorHAnsi" w:hAnsiTheme="majorHAnsi"/>
          <w:b/>
          <w:bCs/>
          <w:color w:val="000000" w:themeColor="text1"/>
          <w:sz w:val="20"/>
          <w:szCs w:val="20"/>
          <w:lang w:val="es-ES"/>
        </w:rPr>
        <w:lastRenderedPageBreak/>
        <w:t xml:space="preserve">IV. </w:t>
      </w:r>
      <w:r w:rsidRPr="004768D0">
        <w:rPr>
          <w:rFonts w:asciiTheme="majorHAnsi" w:hAnsiTheme="majorHAnsi"/>
          <w:b/>
          <w:bCs/>
          <w:color w:val="000000" w:themeColor="text1"/>
          <w:sz w:val="20"/>
          <w:szCs w:val="20"/>
          <w:lang w:val="es-ES"/>
        </w:rPr>
        <w:tab/>
      </w:r>
      <w:r w:rsidR="0052395A" w:rsidRPr="004768D0">
        <w:rPr>
          <w:rFonts w:asciiTheme="majorHAnsi" w:hAnsiTheme="majorHAnsi"/>
          <w:b/>
          <w:bCs/>
          <w:color w:val="000000" w:themeColor="text1"/>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4768D0" w14:paraId="5A791303" w14:textId="77777777" w:rsidTr="008D6F96">
        <w:trPr>
          <w:cantSplit/>
        </w:trPr>
        <w:tc>
          <w:tcPr>
            <w:tcW w:w="3600" w:type="dxa"/>
            <w:tcBorders>
              <w:top w:val="single" w:sz="4" w:space="0" w:color="auto"/>
              <w:bottom w:val="single" w:sz="6" w:space="0" w:color="auto"/>
            </w:tcBorders>
            <w:shd w:val="clear" w:color="auto" w:fill="4A7194"/>
            <w:vAlign w:val="center"/>
          </w:tcPr>
          <w:p w14:paraId="2BC4DAB5" w14:textId="77777777" w:rsidR="007F4608" w:rsidRPr="001C3D62" w:rsidRDefault="007F4608" w:rsidP="00E770E8">
            <w:pPr>
              <w:keepNext/>
              <w:keepLines/>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Duplicación de procedimientos</w:t>
            </w:r>
          </w:p>
          <w:p w14:paraId="3A07279F" w14:textId="77777777" w:rsidR="00EE00E9" w:rsidRPr="001C3D62" w:rsidRDefault="007F4608" w:rsidP="00E770E8">
            <w:pPr>
              <w:keepNext/>
              <w:keepLines/>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y cosa juzgada internacional:</w:t>
            </w:r>
          </w:p>
        </w:tc>
        <w:tc>
          <w:tcPr>
            <w:tcW w:w="5760" w:type="dxa"/>
            <w:vAlign w:val="center"/>
          </w:tcPr>
          <w:p w14:paraId="3F87DEBF" w14:textId="77777777" w:rsidR="00EE00E9" w:rsidRPr="004768D0" w:rsidRDefault="009959F6" w:rsidP="00E770E8">
            <w:pPr>
              <w:keepNext/>
              <w:keepLines/>
              <w:jc w:val="both"/>
              <w:rPr>
                <w:rFonts w:ascii="Cambria" w:hAnsi="Cambria"/>
                <w:bCs/>
                <w:color w:val="000000" w:themeColor="text1"/>
                <w:sz w:val="20"/>
                <w:szCs w:val="20"/>
                <w:lang w:val="es-ES"/>
              </w:rPr>
            </w:pPr>
            <w:r w:rsidRPr="004768D0">
              <w:rPr>
                <w:rFonts w:ascii="Cambria" w:hAnsi="Cambria"/>
                <w:bCs/>
                <w:color w:val="000000" w:themeColor="text1"/>
                <w:sz w:val="20"/>
                <w:szCs w:val="20"/>
                <w:lang w:val="es-ES"/>
              </w:rPr>
              <w:t>No</w:t>
            </w:r>
          </w:p>
        </w:tc>
      </w:tr>
      <w:tr w:rsidR="007F4608" w:rsidRPr="008D6F96" w14:paraId="162716D6" w14:textId="77777777" w:rsidTr="008D6F96">
        <w:trPr>
          <w:cantSplit/>
        </w:trPr>
        <w:tc>
          <w:tcPr>
            <w:tcW w:w="3600" w:type="dxa"/>
            <w:tcBorders>
              <w:top w:val="single" w:sz="4" w:space="0" w:color="auto"/>
              <w:bottom w:val="single" w:sz="6" w:space="0" w:color="auto"/>
            </w:tcBorders>
            <w:shd w:val="clear" w:color="auto" w:fill="4A7194"/>
            <w:vAlign w:val="center"/>
          </w:tcPr>
          <w:p w14:paraId="71DB3AD2" w14:textId="77777777" w:rsidR="007F4608" w:rsidRPr="001C3D62" w:rsidRDefault="007F4608" w:rsidP="00D21316">
            <w:pPr>
              <w:jc w:val="center"/>
              <w:rPr>
                <w:rFonts w:ascii="Cambria" w:hAnsi="Cambria"/>
                <w:b/>
                <w:bCs/>
                <w:i/>
                <w:color w:val="FFFFFF" w:themeColor="background1"/>
                <w:sz w:val="20"/>
                <w:szCs w:val="20"/>
                <w:lang w:val="es-ES"/>
              </w:rPr>
            </w:pPr>
            <w:r w:rsidRPr="001C3D62">
              <w:rPr>
                <w:rFonts w:ascii="Cambria" w:hAnsi="Cambria"/>
                <w:b/>
                <w:bCs/>
                <w:color w:val="FFFFFF" w:themeColor="background1"/>
                <w:sz w:val="20"/>
                <w:szCs w:val="20"/>
                <w:lang w:val="es-ES"/>
              </w:rPr>
              <w:t>Derechos declarados admitidos:</w:t>
            </w:r>
          </w:p>
        </w:tc>
        <w:tc>
          <w:tcPr>
            <w:tcW w:w="5760" w:type="dxa"/>
            <w:vAlign w:val="center"/>
          </w:tcPr>
          <w:p w14:paraId="026C773D" w14:textId="77777777" w:rsidR="007F4608" w:rsidRPr="004768D0" w:rsidRDefault="007F4608" w:rsidP="007F4608">
            <w:pPr>
              <w:jc w:val="both"/>
              <w:rPr>
                <w:rFonts w:ascii="Cambria" w:hAnsi="Cambria"/>
                <w:bCs/>
                <w:color w:val="000000" w:themeColor="text1"/>
                <w:sz w:val="20"/>
                <w:szCs w:val="20"/>
                <w:lang w:val="es-ES"/>
              </w:rPr>
            </w:pPr>
            <w:r w:rsidRPr="004768D0">
              <w:rPr>
                <w:rFonts w:ascii="Cambria" w:hAnsi="Cambria"/>
                <w:bCs/>
                <w:sz w:val="20"/>
                <w:szCs w:val="20"/>
                <w:lang w:val="es-ES"/>
              </w:rPr>
              <w:t xml:space="preserve">Artículos 4 (derecho a la vida), 5 (derecho a la integridad personal), 7 (derecho a la libertad personal), 8 (garantías judiciales) y 25 (protección judicial) de la Convención </w:t>
            </w:r>
            <w:r w:rsidRPr="004768D0">
              <w:rPr>
                <w:rFonts w:ascii="Cambria" w:hAnsi="Cambria"/>
                <w:bCs/>
                <w:color w:val="000000" w:themeColor="text1"/>
                <w:sz w:val="20"/>
                <w:szCs w:val="20"/>
                <w:lang w:val="es-ES"/>
              </w:rPr>
              <w:t>Americana, en relación con los artículos 1.1 (obligación de respetar los derechos) y 2 (deber de adoptar disposiciones de derecho interno) de la Convención</w:t>
            </w:r>
          </w:p>
        </w:tc>
      </w:tr>
      <w:tr w:rsidR="007F4608" w:rsidRPr="008D6F96" w14:paraId="07FCF470" w14:textId="77777777" w:rsidTr="008D6F96">
        <w:trPr>
          <w:cantSplit/>
        </w:trPr>
        <w:tc>
          <w:tcPr>
            <w:tcW w:w="3600" w:type="dxa"/>
            <w:tcBorders>
              <w:top w:val="single" w:sz="6" w:space="0" w:color="auto"/>
              <w:bottom w:val="single" w:sz="6" w:space="0" w:color="auto"/>
            </w:tcBorders>
            <w:shd w:val="clear" w:color="auto" w:fill="4A7194"/>
          </w:tcPr>
          <w:p w14:paraId="74A3C1A5" w14:textId="77777777" w:rsidR="007F4608" w:rsidRPr="001C3D62" w:rsidRDefault="007F4608" w:rsidP="00D21316">
            <w:pPr>
              <w:jc w:val="center"/>
              <w:rPr>
                <w:rFonts w:ascii="Cambria" w:hAnsi="Cambria"/>
                <w:b/>
                <w:bCs/>
                <w:color w:val="FFFFFF" w:themeColor="background1"/>
                <w:sz w:val="20"/>
                <w:szCs w:val="20"/>
                <w:lang w:val="es-ES"/>
              </w:rPr>
            </w:pPr>
            <w:r w:rsidRPr="001C3D62">
              <w:rPr>
                <w:rFonts w:ascii="Cambria" w:hAnsi="Cambria"/>
                <w:b/>
                <w:color w:val="FFFFFF" w:themeColor="background1"/>
                <w:sz w:val="20"/>
                <w:szCs w:val="20"/>
                <w:lang w:val="es-ES"/>
              </w:rPr>
              <w:t>Agotamiento de los recursos internos o aplicabilidad de una excepción a la regla:</w:t>
            </w:r>
          </w:p>
        </w:tc>
        <w:tc>
          <w:tcPr>
            <w:tcW w:w="5760" w:type="dxa"/>
            <w:vAlign w:val="center"/>
          </w:tcPr>
          <w:p w14:paraId="4948C6BC" w14:textId="77777777" w:rsidR="007F4608" w:rsidRPr="004768D0" w:rsidRDefault="007F4608" w:rsidP="007F4608">
            <w:pPr>
              <w:rPr>
                <w:rFonts w:ascii="Cambria" w:hAnsi="Cambria"/>
                <w:bCs/>
                <w:color w:val="000000" w:themeColor="text1"/>
                <w:sz w:val="20"/>
                <w:szCs w:val="20"/>
                <w:lang w:val="es-ES"/>
              </w:rPr>
            </w:pPr>
            <w:r w:rsidRPr="004768D0">
              <w:rPr>
                <w:bCs/>
                <w:sz w:val="20"/>
                <w:szCs w:val="20"/>
                <w:lang w:val="es-ES"/>
              </w:rPr>
              <w:t>Sí, en lo que respecta a la sección VI.</w:t>
            </w:r>
          </w:p>
        </w:tc>
      </w:tr>
      <w:tr w:rsidR="007F4608" w:rsidRPr="008D6F96" w14:paraId="06E39919" w14:textId="77777777" w:rsidTr="008D6F96">
        <w:trPr>
          <w:cantSplit/>
        </w:trPr>
        <w:tc>
          <w:tcPr>
            <w:tcW w:w="3600" w:type="dxa"/>
            <w:tcBorders>
              <w:top w:val="single" w:sz="6" w:space="0" w:color="auto"/>
              <w:bottom w:val="single" w:sz="6" w:space="0" w:color="auto"/>
            </w:tcBorders>
            <w:shd w:val="clear" w:color="auto" w:fill="4A7194"/>
            <w:vAlign w:val="center"/>
          </w:tcPr>
          <w:p w14:paraId="0E3A33DF" w14:textId="77777777" w:rsidR="007F4608" w:rsidRPr="001C3D62" w:rsidRDefault="007F4608" w:rsidP="007F4608">
            <w:pPr>
              <w:jc w:val="center"/>
              <w:rPr>
                <w:rFonts w:ascii="Cambria" w:hAnsi="Cambria"/>
                <w:b/>
                <w:bCs/>
                <w:color w:val="FFFFFF" w:themeColor="background1"/>
                <w:sz w:val="20"/>
                <w:szCs w:val="20"/>
                <w:lang w:val="es-ES"/>
              </w:rPr>
            </w:pPr>
            <w:r w:rsidRPr="001C3D62">
              <w:rPr>
                <w:rFonts w:ascii="Cambria" w:hAnsi="Cambria"/>
                <w:b/>
                <w:bCs/>
                <w:color w:val="FFFFFF" w:themeColor="background1"/>
                <w:sz w:val="20"/>
                <w:szCs w:val="20"/>
                <w:lang w:val="es-ES"/>
              </w:rPr>
              <w:t>Presentación dentro del plazo:</w:t>
            </w:r>
          </w:p>
        </w:tc>
        <w:tc>
          <w:tcPr>
            <w:tcW w:w="5760" w:type="dxa"/>
          </w:tcPr>
          <w:p w14:paraId="69E4BAEA" w14:textId="77777777" w:rsidR="007F4608" w:rsidRPr="004768D0" w:rsidRDefault="007F4608" w:rsidP="007F4608">
            <w:pPr>
              <w:rPr>
                <w:rFonts w:ascii="Cambria" w:hAnsi="Cambria"/>
                <w:bCs/>
                <w:color w:val="000000" w:themeColor="text1"/>
                <w:sz w:val="20"/>
                <w:szCs w:val="20"/>
                <w:lang w:val="es-ES"/>
              </w:rPr>
            </w:pPr>
            <w:r w:rsidRPr="004768D0">
              <w:rPr>
                <w:bCs/>
                <w:sz w:val="20"/>
                <w:szCs w:val="20"/>
                <w:lang w:val="es-ES"/>
              </w:rPr>
              <w:t>Sí, en lo que respecta a la sección VI.</w:t>
            </w:r>
          </w:p>
        </w:tc>
      </w:tr>
    </w:tbl>
    <w:p w14:paraId="647511BF" w14:textId="77777777" w:rsidR="003239B8" w:rsidRPr="004768D0" w:rsidRDefault="00223A29" w:rsidP="003239B8">
      <w:pPr>
        <w:spacing w:before="240" w:after="240"/>
        <w:ind w:firstLine="720"/>
        <w:jc w:val="both"/>
        <w:rPr>
          <w:rFonts w:asciiTheme="majorHAnsi" w:hAnsiTheme="majorHAnsi"/>
          <w:b/>
          <w:color w:val="000000" w:themeColor="text1"/>
          <w:sz w:val="20"/>
          <w:szCs w:val="20"/>
          <w:lang w:val="es-ES"/>
        </w:rPr>
      </w:pPr>
      <w:r w:rsidRPr="004768D0">
        <w:rPr>
          <w:rFonts w:asciiTheme="majorHAnsi" w:hAnsiTheme="majorHAnsi"/>
          <w:b/>
          <w:color w:val="000000" w:themeColor="text1"/>
          <w:sz w:val="20"/>
          <w:szCs w:val="20"/>
          <w:lang w:val="es-ES"/>
        </w:rPr>
        <w:t xml:space="preserve">V. </w:t>
      </w:r>
      <w:r w:rsidRPr="004768D0">
        <w:rPr>
          <w:rFonts w:asciiTheme="majorHAnsi" w:hAnsiTheme="majorHAnsi"/>
          <w:b/>
          <w:color w:val="000000" w:themeColor="text1"/>
          <w:sz w:val="20"/>
          <w:szCs w:val="20"/>
          <w:lang w:val="es-ES"/>
        </w:rPr>
        <w:tab/>
      </w:r>
      <w:r w:rsidR="00A07DD9" w:rsidRPr="004768D0">
        <w:rPr>
          <w:rFonts w:asciiTheme="majorHAnsi" w:hAnsiTheme="majorHAnsi"/>
          <w:b/>
          <w:color w:val="000000" w:themeColor="text1"/>
          <w:sz w:val="20"/>
          <w:szCs w:val="20"/>
          <w:lang w:val="es-ES"/>
        </w:rPr>
        <w:t xml:space="preserve">HECHOS </w:t>
      </w:r>
      <w:r w:rsidR="003239B8" w:rsidRPr="004768D0">
        <w:rPr>
          <w:rFonts w:asciiTheme="majorHAnsi" w:hAnsiTheme="majorHAnsi"/>
          <w:b/>
          <w:color w:val="000000" w:themeColor="text1"/>
          <w:sz w:val="20"/>
          <w:szCs w:val="20"/>
          <w:lang w:val="es-ES"/>
        </w:rPr>
        <w:t xml:space="preserve">ALEGADOS </w:t>
      </w:r>
    </w:p>
    <w:p w14:paraId="7A36B908" w14:textId="77777777" w:rsidR="004A3499" w:rsidRPr="004768D0" w:rsidRDefault="00A07DD9" w:rsidP="007F4608">
      <w:pPr>
        <w:pStyle w:val="ListParagraph"/>
        <w:numPr>
          <w:ilvl w:val="0"/>
          <w:numId w:val="103"/>
        </w:numPr>
        <w:jc w:val="both"/>
        <w:rPr>
          <w:bCs/>
          <w:color w:val="000000" w:themeColor="text1"/>
          <w:sz w:val="20"/>
          <w:szCs w:val="20"/>
          <w:lang w:val="es-ES"/>
        </w:rPr>
      </w:pPr>
      <w:r w:rsidRPr="004768D0">
        <w:rPr>
          <w:color w:val="000000" w:themeColor="text1"/>
          <w:sz w:val="20"/>
          <w:szCs w:val="20"/>
          <w:lang w:val="es-ES"/>
        </w:rPr>
        <w:t>La parte peticionaria</w:t>
      </w:r>
      <w:r w:rsidR="004A3499" w:rsidRPr="004768D0">
        <w:rPr>
          <w:color w:val="000000" w:themeColor="text1"/>
          <w:sz w:val="20"/>
          <w:szCs w:val="20"/>
          <w:lang w:val="es-ES"/>
        </w:rPr>
        <w:t xml:space="preserve"> afirma que </w:t>
      </w:r>
      <w:r w:rsidRPr="004768D0">
        <w:rPr>
          <w:color w:val="000000" w:themeColor="text1"/>
          <w:sz w:val="20"/>
          <w:szCs w:val="20"/>
          <w:lang w:val="es-ES"/>
        </w:rPr>
        <w:t>el Estado brasileño</w:t>
      </w:r>
      <w:r w:rsidR="004A3499" w:rsidRPr="004768D0">
        <w:rPr>
          <w:color w:val="000000" w:themeColor="text1"/>
          <w:sz w:val="20"/>
          <w:szCs w:val="20"/>
          <w:lang w:val="es-ES"/>
        </w:rPr>
        <w:t xml:space="preserve"> </w:t>
      </w:r>
      <w:r w:rsidR="000C0AC4" w:rsidRPr="004768D0">
        <w:rPr>
          <w:color w:val="000000" w:themeColor="text1"/>
          <w:sz w:val="20"/>
          <w:szCs w:val="20"/>
          <w:lang w:val="es-ES"/>
        </w:rPr>
        <w:t xml:space="preserve">es responsable de la violación de derechos humanos a raíz de </w:t>
      </w:r>
      <w:r w:rsidR="00415F9F">
        <w:rPr>
          <w:color w:val="000000" w:themeColor="text1"/>
          <w:sz w:val="20"/>
          <w:szCs w:val="20"/>
          <w:lang w:val="es-ES"/>
        </w:rPr>
        <w:t xml:space="preserve">las </w:t>
      </w:r>
      <w:r w:rsidR="000C0AC4" w:rsidRPr="004768D0">
        <w:rPr>
          <w:color w:val="000000" w:themeColor="text1"/>
          <w:sz w:val="20"/>
          <w:szCs w:val="20"/>
          <w:lang w:val="es-ES"/>
        </w:rPr>
        <w:t xml:space="preserve">agresiones y </w:t>
      </w:r>
      <w:r w:rsidR="00415F9F">
        <w:rPr>
          <w:color w:val="000000" w:themeColor="text1"/>
          <w:sz w:val="20"/>
          <w:szCs w:val="20"/>
          <w:lang w:val="es-ES"/>
        </w:rPr>
        <w:t xml:space="preserve">las </w:t>
      </w:r>
      <w:r w:rsidRPr="004768D0">
        <w:rPr>
          <w:color w:val="000000" w:themeColor="text1"/>
          <w:sz w:val="20"/>
          <w:szCs w:val="20"/>
          <w:lang w:val="es-ES"/>
        </w:rPr>
        <w:t>ejecuciones sumarias</w:t>
      </w:r>
      <w:r w:rsidR="004A3499" w:rsidRPr="004768D0">
        <w:rPr>
          <w:color w:val="000000" w:themeColor="text1"/>
          <w:sz w:val="20"/>
          <w:szCs w:val="20"/>
          <w:lang w:val="es-ES"/>
        </w:rPr>
        <w:t xml:space="preserve"> cometidas por </w:t>
      </w:r>
      <w:r w:rsidR="00415F9F">
        <w:rPr>
          <w:color w:val="000000" w:themeColor="text1"/>
          <w:sz w:val="20"/>
          <w:szCs w:val="20"/>
          <w:lang w:val="es-ES"/>
        </w:rPr>
        <w:t xml:space="preserve">agentes de </w:t>
      </w:r>
      <w:r w:rsidR="004A3499" w:rsidRPr="004768D0">
        <w:rPr>
          <w:color w:val="000000" w:themeColor="text1"/>
          <w:sz w:val="20"/>
          <w:szCs w:val="20"/>
          <w:lang w:val="es-ES"/>
        </w:rPr>
        <w:t>polic</w:t>
      </w:r>
      <w:r w:rsidR="000C0AC4" w:rsidRPr="004768D0">
        <w:rPr>
          <w:color w:val="000000" w:themeColor="text1"/>
          <w:sz w:val="20"/>
          <w:szCs w:val="20"/>
          <w:lang w:val="es-ES"/>
        </w:rPr>
        <w:t xml:space="preserve">ía en </w:t>
      </w:r>
      <w:r w:rsidR="007F4608" w:rsidRPr="004768D0">
        <w:rPr>
          <w:color w:val="000000" w:themeColor="text1"/>
          <w:sz w:val="20"/>
          <w:szCs w:val="20"/>
          <w:lang w:val="es-ES"/>
        </w:rPr>
        <w:t>mayo</w:t>
      </w:r>
      <w:r w:rsidR="004A3499" w:rsidRPr="004768D0">
        <w:rPr>
          <w:color w:val="000000" w:themeColor="text1"/>
          <w:sz w:val="20"/>
          <w:szCs w:val="20"/>
          <w:lang w:val="es-ES"/>
        </w:rPr>
        <w:t xml:space="preserve"> de 2006 </w:t>
      </w:r>
      <w:r w:rsidR="000C0AC4" w:rsidRPr="004768D0">
        <w:rPr>
          <w:color w:val="000000" w:themeColor="text1"/>
          <w:sz w:val="20"/>
          <w:szCs w:val="20"/>
          <w:lang w:val="es-ES"/>
        </w:rPr>
        <w:t xml:space="preserve">y en </w:t>
      </w:r>
      <w:r w:rsidR="007F4608" w:rsidRPr="004768D0">
        <w:rPr>
          <w:color w:val="000000" w:themeColor="text1"/>
          <w:sz w:val="20"/>
          <w:szCs w:val="20"/>
          <w:lang w:val="es-ES"/>
        </w:rPr>
        <w:t>marzo</w:t>
      </w:r>
      <w:r w:rsidR="004A3499" w:rsidRPr="004768D0">
        <w:rPr>
          <w:color w:val="000000" w:themeColor="text1"/>
          <w:sz w:val="20"/>
          <w:szCs w:val="20"/>
          <w:lang w:val="es-ES"/>
        </w:rPr>
        <w:t xml:space="preserve"> de 2007 </w:t>
      </w:r>
      <w:r w:rsidR="000C0AC4" w:rsidRPr="004768D0">
        <w:rPr>
          <w:color w:val="000000" w:themeColor="text1"/>
          <w:sz w:val="20"/>
          <w:szCs w:val="20"/>
          <w:lang w:val="es-ES"/>
        </w:rPr>
        <w:t xml:space="preserve">en la ciudad </w:t>
      </w:r>
      <w:r w:rsidR="004A3499" w:rsidRPr="004768D0">
        <w:rPr>
          <w:color w:val="000000" w:themeColor="text1"/>
          <w:sz w:val="20"/>
          <w:szCs w:val="20"/>
          <w:lang w:val="es-ES"/>
        </w:rPr>
        <w:t xml:space="preserve">de Santos, estado de São Paulo, </w:t>
      </w:r>
      <w:r w:rsidR="000C0AC4" w:rsidRPr="004768D0">
        <w:rPr>
          <w:color w:val="000000" w:themeColor="text1"/>
          <w:sz w:val="20"/>
          <w:szCs w:val="20"/>
          <w:lang w:val="es-ES"/>
        </w:rPr>
        <w:t>así como de la impunidad</w:t>
      </w:r>
      <w:r w:rsidR="004A3499" w:rsidRPr="004768D0">
        <w:rPr>
          <w:color w:val="000000" w:themeColor="text1"/>
          <w:sz w:val="20"/>
          <w:szCs w:val="20"/>
          <w:lang w:val="es-ES"/>
        </w:rPr>
        <w:t xml:space="preserve"> </w:t>
      </w:r>
      <w:r w:rsidR="000C0AC4" w:rsidRPr="004768D0">
        <w:rPr>
          <w:color w:val="000000" w:themeColor="text1"/>
          <w:sz w:val="20"/>
          <w:szCs w:val="20"/>
          <w:lang w:val="es-ES"/>
        </w:rPr>
        <w:t>subsiguiente</w:t>
      </w:r>
      <w:r w:rsidR="004A3499" w:rsidRPr="004768D0">
        <w:rPr>
          <w:color w:val="000000" w:themeColor="text1"/>
          <w:sz w:val="20"/>
          <w:szCs w:val="20"/>
          <w:lang w:val="es-ES"/>
        </w:rPr>
        <w:t xml:space="preserve">, </w:t>
      </w:r>
      <w:r w:rsidR="000C0AC4" w:rsidRPr="004768D0">
        <w:rPr>
          <w:color w:val="000000" w:themeColor="text1"/>
          <w:sz w:val="20"/>
          <w:szCs w:val="20"/>
          <w:lang w:val="es-ES"/>
        </w:rPr>
        <w:t>en</w:t>
      </w:r>
      <w:r w:rsidR="004A3499" w:rsidRPr="004768D0">
        <w:rPr>
          <w:color w:val="000000" w:themeColor="text1"/>
          <w:sz w:val="20"/>
          <w:szCs w:val="20"/>
          <w:lang w:val="es-ES"/>
        </w:rPr>
        <w:t xml:space="preserve"> </w:t>
      </w:r>
      <w:r w:rsidR="000C0AC4" w:rsidRPr="004768D0">
        <w:rPr>
          <w:color w:val="000000" w:themeColor="text1"/>
          <w:sz w:val="20"/>
          <w:szCs w:val="20"/>
          <w:lang w:val="es-ES"/>
        </w:rPr>
        <w:t>perjuicio</w:t>
      </w:r>
      <w:r w:rsidR="004A3499" w:rsidRPr="004768D0">
        <w:rPr>
          <w:color w:val="000000" w:themeColor="text1"/>
          <w:sz w:val="20"/>
          <w:szCs w:val="20"/>
          <w:lang w:val="es-ES"/>
        </w:rPr>
        <w:t xml:space="preserve"> d</w:t>
      </w:r>
      <w:r w:rsidR="000C0AC4" w:rsidRPr="004768D0">
        <w:rPr>
          <w:color w:val="000000" w:themeColor="text1"/>
          <w:sz w:val="20"/>
          <w:szCs w:val="20"/>
          <w:lang w:val="es-ES"/>
        </w:rPr>
        <w:t>e l</w:t>
      </w:r>
      <w:r w:rsidR="004A3499" w:rsidRPr="004768D0">
        <w:rPr>
          <w:color w:val="000000" w:themeColor="text1"/>
          <w:sz w:val="20"/>
          <w:szCs w:val="20"/>
          <w:lang w:val="es-ES"/>
        </w:rPr>
        <w:t xml:space="preserve">as </w:t>
      </w:r>
      <w:r w:rsidR="000C0AC4" w:rsidRPr="004768D0">
        <w:rPr>
          <w:color w:val="000000" w:themeColor="text1"/>
          <w:sz w:val="20"/>
          <w:szCs w:val="20"/>
          <w:lang w:val="es-ES"/>
        </w:rPr>
        <w:t>personas</w:t>
      </w:r>
      <w:r w:rsidR="004A3499" w:rsidRPr="004768D0">
        <w:rPr>
          <w:color w:val="000000" w:themeColor="text1"/>
          <w:sz w:val="20"/>
          <w:szCs w:val="20"/>
          <w:lang w:val="es-ES"/>
        </w:rPr>
        <w:t xml:space="preserve"> </w:t>
      </w:r>
      <w:r w:rsidR="000C0AC4" w:rsidRPr="004768D0">
        <w:rPr>
          <w:color w:val="000000" w:themeColor="text1"/>
          <w:sz w:val="20"/>
          <w:szCs w:val="20"/>
          <w:lang w:val="es-ES"/>
        </w:rPr>
        <w:t>ejecutadas</w:t>
      </w:r>
      <w:r w:rsidR="004A3499" w:rsidRPr="004768D0">
        <w:rPr>
          <w:color w:val="000000" w:themeColor="text1"/>
          <w:sz w:val="20"/>
          <w:szCs w:val="20"/>
          <w:lang w:val="es-ES"/>
        </w:rPr>
        <w:t xml:space="preserve"> </w:t>
      </w:r>
      <w:r w:rsidR="000C0AC4" w:rsidRPr="004768D0">
        <w:rPr>
          <w:color w:val="000000" w:themeColor="text1"/>
          <w:sz w:val="20"/>
          <w:szCs w:val="20"/>
          <w:lang w:val="es-ES"/>
        </w:rPr>
        <w:t>y</w:t>
      </w:r>
      <w:r w:rsidR="004A3499" w:rsidRPr="004768D0">
        <w:rPr>
          <w:color w:val="000000" w:themeColor="text1"/>
          <w:sz w:val="20"/>
          <w:szCs w:val="20"/>
          <w:lang w:val="es-ES"/>
        </w:rPr>
        <w:t xml:space="preserve"> </w:t>
      </w:r>
      <w:r w:rsidR="000C0AC4" w:rsidRPr="004768D0">
        <w:rPr>
          <w:color w:val="000000" w:themeColor="text1"/>
          <w:sz w:val="20"/>
          <w:szCs w:val="20"/>
          <w:lang w:val="es-ES"/>
        </w:rPr>
        <w:t>sus</w:t>
      </w:r>
      <w:r w:rsidR="004A3499" w:rsidRPr="004768D0">
        <w:rPr>
          <w:color w:val="000000" w:themeColor="text1"/>
          <w:sz w:val="20"/>
          <w:szCs w:val="20"/>
          <w:lang w:val="es-ES"/>
        </w:rPr>
        <w:t xml:space="preserve"> familiares.</w:t>
      </w:r>
      <w:r w:rsidR="00F74F6E" w:rsidRPr="004768D0">
        <w:rPr>
          <w:color w:val="000000" w:themeColor="text1"/>
          <w:sz w:val="20"/>
          <w:szCs w:val="20"/>
          <w:lang w:val="es-ES"/>
        </w:rPr>
        <w:t xml:space="preserve"> </w:t>
      </w:r>
      <w:r w:rsidR="000C0AC4" w:rsidRPr="004768D0">
        <w:rPr>
          <w:color w:val="000000" w:themeColor="text1"/>
          <w:sz w:val="20"/>
          <w:szCs w:val="20"/>
          <w:lang w:val="es-ES"/>
        </w:rPr>
        <w:t xml:space="preserve">En el cuadro que se presenta a continuación, </w:t>
      </w:r>
      <w:r w:rsidR="00AE6D2B" w:rsidRPr="004768D0">
        <w:rPr>
          <w:bCs/>
          <w:color w:val="000000" w:themeColor="text1"/>
          <w:sz w:val="20"/>
          <w:szCs w:val="20"/>
          <w:lang w:val="es-ES"/>
        </w:rPr>
        <w:t>elaborad</w:t>
      </w:r>
      <w:r w:rsidR="000C0AC4" w:rsidRPr="004768D0">
        <w:rPr>
          <w:bCs/>
          <w:color w:val="000000" w:themeColor="text1"/>
          <w:sz w:val="20"/>
          <w:szCs w:val="20"/>
          <w:lang w:val="es-ES"/>
        </w:rPr>
        <w:t>o por la Comisión</w:t>
      </w:r>
      <w:r w:rsidR="00AE6D2B" w:rsidRPr="004768D0">
        <w:rPr>
          <w:bCs/>
          <w:color w:val="000000" w:themeColor="text1"/>
          <w:sz w:val="20"/>
          <w:szCs w:val="20"/>
          <w:lang w:val="es-ES"/>
        </w:rPr>
        <w:t xml:space="preserve"> Interamericana </w:t>
      </w:r>
      <w:r w:rsidR="00415F9F">
        <w:rPr>
          <w:bCs/>
          <w:color w:val="000000" w:themeColor="text1"/>
          <w:sz w:val="20"/>
          <w:szCs w:val="20"/>
          <w:lang w:val="es-ES"/>
        </w:rPr>
        <w:t xml:space="preserve">sobre la base </w:t>
      </w:r>
      <w:r w:rsidR="00AE6D2B" w:rsidRPr="004768D0">
        <w:rPr>
          <w:bCs/>
          <w:color w:val="000000" w:themeColor="text1"/>
          <w:sz w:val="20"/>
          <w:szCs w:val="20"/>
          <w:lang w:val="es-ES"/>
        </w:rPr>
        <w:t>d</w:t>
      </w:r>
      <w:r w:rsidR="000C0AC4" w:rsidRPr="004768D0">
        <w:rPr>
          <w:bCs/>
          <w:color w:val="000000" w:themeColor="text1"/>
          <w:sz w:val="20"/>
          <w:szCs w:val="20"/>
          <w:lang w:val="es-ES"/>
        </w:rPr>
        <w:t>e l</w:t>
      </w:r>
      <w:r w:rsidR="00AE6D2B" w:rsidRPr="004768D0">
        <w:rPr>
          <w:bCs/>
          <w:color w:val="000000" w:themeColor="text1"/>
          <w:sz w:val="20"/>
          <w:szCs w:val="20"/>
          <w:lang w:val="es-ES"/>
        </w:rPr>
        <w:t xml:space="preserve">as </w:t>
      </w:r>
      <w:r w:rsidR="000C0AC4" w:rsidRPr="004768D0">
        <w:rPr>
          <w:bCs/>
          <w:color w:val="000000" w:themeColor="text1"/>
          <w:sz w:val="20"/>
          <w:szCs w:val="20"/>
          <w:lang w:val="es-ES"/>
        </w:rPr>
        <w:t>alegaciones</w:t>
      </w:r>
      <w:r w:rsidR="00AE6D2B" w:rsidRPr="004768D0">
        <w:rPr>
          <w:bCs/>
          <w:color w:val="000000" w:themeColor="text1"/>
          <w:sz w:val="20"/>
          <w:szCs w:val="20"/>
          <w:lang w:val="es-ES"/>
        </w:rPr>
        <w:t xml:space="preserve"> </w:t>
      </w:r>
      <w:r w:rsidR="000C0AC4" w:rsidRPr="004768D0">
        <w:rPr>
          <w:bCs/>
          <w:color w:val="000000" w:themeColor="text1"/>
          <w:sz w:val="20"/>
          <w:szCs w:val="20"/>
          <w:lang w:val="es-ES"/>
        </w:rPr>
        <w:t>y los</w:t>
      </w:r>
      <w:r w:rsidR="00AE6D2B" w:rsidRPr="004768D0">
        <w:rPr>
          <w:bCs/>
          <w:color w:val="000000" w:themeColor="text1"/>
          <w:sz w:val="20"/>
          <w:szCs w:val="20"/>
          <w:lang w:val="es-ES"/>
        </w:rPr>
        <w:t xml:space="preserve"> elementos </w:t>
      </w:r>
      <w:r w:rsidR="000C0AC4" w:rsidRPr="004768D0">
        <w:rPr>
          <w:bCs/>
          <w:color w:val="000000" w:themeColor="text1"/>
          <w:sz w:val="20"/>
          <w:szCs w:val="20"/>
          <w:lang w:val="es-ES"/>
        </w:rPr>
        <w:t>aportados por la parte</w:t>
      </w:r>
      <w:r w:rsidRPr="004768D0">
        <w:rPr>
          <w:bCs/>
          <w:color w:val="000000" w:themeColor="text1"/>
          <w:sz w:val="20"/>
          <w:szCs w:val="20"/>
          <w:lang w:val="es-ES"/>
        </w:rPr>
        <w:t xml:space="preserve"> peticionaria</w:t>
      </w:r>
      <w:r w:rsidR="00AE6D2B" w:rsidRPr="004768D0">
        <w:rPr>
          <w:bCs/>
          <w:color w:val="000000" w:themeColor="text1"/>
          <w:sz w:val="20"/>
          <w:szCs w:val="20"/>
          <w:lang w:val="es-ES"/>
        </w:rPr>
        <w:t xml:space="preserve">, </w:t>
      </w:r>
      <w:r w:rsidR="000C0AC4" w:rsidRPr="004768D0">
        <w:rPr>
          <w:bCs/>
          <w:color w:val="000000" w:themeColor="text1"/>
          <w:sz w:val="20"/>
          <w:szCs w:val="20"/>
          <w:lang w:val="es-ES"/>
        </w:rPr>
        <w:t xml:space="preserve">se </w:t>
      </w:r>
      <w:r w:rsidR="00257978" w:rsidRPr="004768D0">
        <w:rPr>
          <w:bCs/>
          <w:color w:val="000000" w:themeColor="text1"/>
          <w:sz w:val="20"/>
          <w:szCs w:val="20"/>
          <w:lang w:val="es-ES"/>
        </w:rPr>
        <w:t>descr</w:t>
      </w:r>
      <w:r w:rsidR="000C0AC4" w:rsidRPr="004768D0">
        <w:rPr>
          <w:bCs/>
          <w:color w:val="000000" w:themeColor="text1"/>
          <w:sz w:val="20"/>
          <w:szCs w:val="20"/>
          <w:lang w:val="es-ES"/>
        </w:rPr>
        <w:t>iben y se</w:t>
      </w:r>
      <w:r w:rsidR="00257978" w:rsidRPr="004768D0">
        <w:rPr>
          <w:bCs/>
          <w:color w:val="000000" w:themeColor="text1"/>
          <w:sz w:val="20"/>
          <w:szCs w:val="20"/>
          <w:lang w:val="es-ES"/>
        </w:rPr>
        <w:t xml:space="preserve"> sistematiza</w:t>
      </w:r>
      <w:r w:rsidR="000C0AC4" w:rsidRPr="004768D0">
        <w:rPr>
          <w:bCs/>
          <w:color w:val="000000" w:themeColor="text1"/>
          <w:sz w:val="20"/>
          <w:szCs w:val="20"/>
          <w:lang w:val="es-ES"/>
        </w:rPr>
        <w:t>n l</w:t>
      </w:r>
      <w:r w:rsidR="00257978" w:rsidRPr="004768D0">
        <w:rPr>
          <w:bCs/>
          <w:color w:val="000000" w:themeColor="text1"/>
          <w:sz w:val="20"/>
          <w:szCs w:val="20"/>
          <w:lang w:val="es-ES"/>
        </w:rPr>
        <w:t xml:space="preserve">os </w:t>
      </w:r>
      <w:r w:rsidR="000C0AC4" w:rsidRPr="004768D0">
        <w:rPr>
          <w:bCs/>
          <w:color w:val="000000" w:themeColor="text1"/>
          <w:sz w:val="20"/>
          <w:szCs w:val="20"/>
          <w:lang w:val="es-ES"/>
        </w:rPr>
        <w:t>hechos</w:t>
      </w:r>
      <w:r w:rsidR="00257978" w:rsidRPr="004768D0">
        <w:rPr>
          <w:bCs/>
          <w:color w:val="000000" w:themeColor="text1"/>
          <w:sz w:val="20"/>
          <w:szCs w:val="20"/>
          <w:lang w:val="es-ES"/>
        </w:rPr>
        <w:t xml:space="preserve"> alegados</w:t>
      </w:r>
      <w:r w:rsidR="00AE6D2B" w:rsidRPr="004768D0">
        <w:rPr>
          <w:bCs/>
          <w:color w:val="000000" w:themeColor="text1"/>
          <w:sz w:val="20"/>
          <w:szCs w:val="20"/>
          <w:lang w:val="es-ES"/>
        </w:rPr>
        <w:t>:</w:t>
      </w:r>
    </w:p>
    <w:p w14:paraId="20655049" w14:textId="77777777" w:rsidR="004A3499" w:rsidRPr="004768D0" w:rsidRDefault="004A3499" w:rsidP="004A3499">
      <w:pPr>
        <w:jc w:val="both"/>
        <w:rPr>
          <w:rFonts w:asciiTheme="majorHAnsi" w:hAnsiTheme="majorHAnsi"/>
          <w:color w:val="000000" w:themeColor="text1"/>
          <w:sz w:val="20"/>
          <w:szCs w:val="20"/>
          <w:lang w:val="es-ES"/>
        </w:rPr>
      </w:pPr>
    </w:p>
    <w:tbl>
      <w:tblPr>
        <w:tblStyle w:val="TableGrid"/>
        <w:tblW w:w="0" w:type="auto"/>
        <w:tblLook w:val="04A0" w:firstRow="1" w:lastRow="0" w:firstColumn="1" w:lastColumn="0" w:noHBand="0" w:noVBand="1"/>
      </w:tblPr>
      <w:tblGrid>
        <w:gridCol w:w="9350"/>
      </w:tblGrid>
      <w:tr w:rsidR="00257978" w:rsidRPr="008D6F96" w14:paraId="60BF4D7F" w14:textId="77777777" w:rsidTr="00F74F6E">
        <w:tc>
          <w:tcPr>
            <w:tcW w:w="9350" w:type="dxa"/>
            <w:shd w:val="clear" w:color="auto" w:fill="000000" w:themeFill="text1"/>
          </w:tcPr>
          <w:p w14:paraId="69C5B50B" w14:textId="7EEECEE0" w:rsidR="00257978" w:rsidRPr="004768D0" w:rsidRDefault="00257978" w:rsidP="000C0AC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20"/>
                <w:szCs w:val="20"/>
                <w:lang w:val="es-ES"/>
              </w:rPr>
            </w:pPr>
            <w:r w:rsidRPr="004768D0">
              <w:rPr>
                <w:rFonts w:asciiTheme="majorHAnsi" w:hAnsiTheme="majorHAnsi"/>
                <w:b/>
                <w:bCs/>
                <w:color w:val="FFFFFF" w:themeColor="background1"/>
                <w:sz w:val="18"/>
                <w:szCs w:val="18"/>
                <w:lang w:val="es-ES"/>
              </w:rPr>
              <w:t>M</w:t>
            </w:r>
            <w:r w:rsidR="000C0AC4" w:rsidRPr="004768D0">
              <w:rPr>
                <w:rFonts w:asciiTheme="majorHAnsi" w:hAnsiTheme="majorHAnsi"/>
                <w:b/>
                <w:bCs/>
                <w:color w:val="FFFFFF" w:themeColor="background1"/>
                <w:sz w:val="18"/>
                <w:szCs w:val="18"/>
                <w:lang w:val="es-ES"/>
              </w:rPr>
              <w:t xml:space="preserve">uerte </w:t>
            </w:r>
            <w:r w:rsidR="00F74F6E" w:rsidRPr="004768D0">
              <w:rPr>
                <w:rFonts w:asciiTheme="majorHAnsi" w:hAnsiTheme="majorHAnsi"/>
                <w:b/>
                <w:bCs/>
                <w:color w:val="FFFFFF" w:themeColor="background1"/>
                <w:sz w:val="18"/>
                <w:szCs w:val="18"/>
                <w:lang w:val="es-ES"/>
              </w:rPr>
              <w:t xml:space="preserve">de </w:t>
            </w:r>
            <w:r w:rsidRPr="004768D0">
              <w:rPr>
                <w:rFonts w:asciiTheme="majorHAnsi" w:hAnsiTheme="majorHAnsi"/>
                <w:b/>
                <w:bCs/>
                <w:color w:val="FFFFFF" w:themeColor="background1"/>
                <w:sz w:val="18"/>
                <w:szCs w:val="18"/>
                <w:lang w:val="es-ES"/>
              </w:rPr>
              <w:t xml:space="preserve">Marcos </w:t>
            </w:r>
            <w:proofErr w:type="spellStart"/>
            <w:r w:rsidRPr="004768D0">
              <w:rPr>
                <w:rFonts w:asciiTheme="majorHAnsi" w:hAnsiTheme="majorHAnsi"/>
                <w:b/>
                <w:bCs/>
                <w:color w:val="FFFFFF" w:themeColor="background1"/>
                <w:sz w:val="18"/>
                <w:szCs w:val="18"/>
                <w:lang w:val="es-ES"/>
              </w:rPr>
              <w:t>R</w:t>
            </w:r>
            <w:r w:rsidR="000211CE">
              <w:rPr>
                <w:rFonts w:asciiTheme="majorHAnsi" w:hAnsiTheme="majorHAnsi"/>
                <w:b/>
                <w:bCs/>
                <w:color w:val="FFFFFF" w:themeColor="background1"/>
                <w:sz w:val="18"/>
                <w:szCs w:val="18"/>
                <w:lang w:val="es-ES"/>
              </w:rPr>
              <w:t>e</w:t>
            </w:r>
            <w:r w:rsidRPr="004768D0">
              <w:rPr>
                <w:rFonts w:asciiTheme="majorHAnsi" w:hAnsiTheme="majorHAnsi"/>
                <w:b/>
                <w:bCs/>
                <w:color w:val="FFFFFF" w:themeColor="background1"/>
                <w:sz w:val="18"/>
                <w:szCs w:val="18"/>
                <w:lang w:val="es-ES"/>
              </w:rPr>
              <w:t>bello</w:t>
            </w:r>
            <w:proofErr w:type="spellEnd"/>
            <w:r w:rsidRPr="004768D0">
              <w:rPr>
                <w:rFonts w:asciiTheme="majorHAnsi" w:hAnsiTheme="majorHAnsi"/>
                <w:b/>
                <w:bCs/>
                <w:color w:val="FFFFFF" w:themeColor="background1"/>
                <w:sz w:val="18"/>
                <w:szCs w:val="18"/>
                <w:lang w:val="es-ES"/>
              </w:rPr>
              <w:t xml:space="preserve"> Filho </w:t>
            </w:r>
            <w:r w:rsidR="000C0AC4" w:rsidRPr="004768D0">
              <w:rPr>
                <w:rFonts w:asciiTheme="majorHAnsi" w:hAnsiTheme="majorHAnsi"/>
                <w:b/>
                <w:bCs/>
                <w:color w:val="FFFFFF" w:themeColor="background1"/>
                <w:sz w:val="18"/>
                <w:szCs w:val="18"/>
                <w:lang w:val="es-ES"/>
              </w:rPr>
              <w:t>y</w:t>
            </w:r>
            <w:r w:rsidRPr="004768D0">
              <w:rPr>
                <w:rFonts w:asciiTheme="majorHAnsi" w:hAnsiTheme="majorHAnsi"/>
                <w:b/>
                <w:bCs/>
                <w:color w:val="FFFFFF" w:themeColor="background1"/>
                <w:sz w:val="18"/>
                <w:szCs w:val="18"/>
                <w:lang w:val="es-ES"/>
              </w:rPr>
              <w:t xml:space="preserve"> Thiago Roberto Soares</w:t>
            </w:r>
            <w:r w:rsidR="00372008" w:rsidRPr="004768D0">
              <w:rPr>
                <w:rFonts w:asciiTheme="majorHAnsi" w:hAnsiTheme="majorHAnsi"/>
                <w:b/>
                <w:bCs/>
                <w:color w:val="FFFFFF" w:themeColor="background1"/>
                <w:sz w:val="18"/>
                <w:szCs w:val="18"/>
                <w:lang w:val="es-ES"/>
              </w:rPr>
              <w:t>, acaecida</w:t>
            </w:r>
            <w:r w:rsidRPr="004768D0">
              <w:rPr>
                <w:rFonts w:asciiTheme="majorHAnsi" w:hAnsiTheme="majorHAnsi"/>
                <w:b/>
                <w:bCs/>
                <w:color w:val="FFFFFF" w:themeColor="background1"/>
                <w:sz w:val="18"/>
                <w:szCs w:val="18"/>
                <w:lang w:val="es-ES"/>
              </w:rPr>
              <w:t xml:space="preserve"> e</w:t>
            </w:r>
            <w:r w:rsidR="000C0AC4" w:rsidRPr="004768D0">
              <w:rPr>
                <w:rFonts w:asciiTheme="majorHAnsi" w:hAnsiTheme="majorHAnsi"/>
                <w:b/>
                <w:bCs/>
                <w:color w:val="FFFFFF" w:themeColor="background1"/>
                <w:sz w:val="18"/>
                <w:szCs w:val="18"/>
                <w:lang w:val="es-ES"/>
              </w:rPr>
              <w:t>l</w:t>
            </w:r>
            <w:r w:rsidRPr="004768D0">
              <w:rPr>
                <w:rFonts w:asciiTheme="majorHAnsi" w:hAnsiTheme="majorHAnsi"/>
                <w:b/>
                <w:bCs/>
                <w:color w:val="FFFFFF" w:themeColor="background1"/>
                <w:sz w:val="18"/>
                <w:szCs w:val="18"/>
                <w:lang w:val="es-ES"/>
              </w:rPr>
              <w:t xml:space="preserve"> 14 de </w:t>
            </w:r>
            <w:r w:rsidR="007F4608" w:rsidRPr="004768D0">
              <w:rPr>
                <w:rFonts w:asciiTheme="majorHAnsi" w:hAnsiTheme="majorHAnsi"/>
                <w:b/>
                <w:bCs/>
                <w:color w:val="FFFFFF" w:themeColor="background1"/>
                <w:sz w:val="18"/>
                <w:szCs w:val="18"/>
                <w:lang w:val="es-ES"/>
              </w:rPr>
              <w:t>mayo</w:t>
            </w:r>
            <w:r w:rsidRPr="004768D0">
              <w:rPr>
                <w:rFonts w:asciiTheme="majorHAnsi" w:hAnsiTheme="majorHAnsi"/>
                <w:b/>
                <w:bCs/>
                <w:color w:val="FFFFFF" w:themeColor="background1"/>
                <w:sz w:val="18"/>
                <w:szCs w:val="18"/>
                <w:lang w:val="es-ES"/>
              </w:rPr>
              <w:t xml:space="preserve"> de 2006</w:t>
            </w:r>
          </w:p>
        </w:tc>
      </w:tr>
      <w:tr w:rsidR="00257978" w:rsidRPr="008D6F96" w14:paraId="4A53A20C" w14:textId="77777777" w:rsidTr="00257978">
        <w:tc>
          <w:tcPr>
            <w:tcW w:w="9350" w:type="dxa"/>
          </w:tcPr>
          <w:p w14:paraId="260CED8F" w14:textId="77777777" w:rsidR="00257978" w:rsidRPr="004768D0" w:rsidRDefault="000C0AC4" w:rsidP="00F74F6E">
            <w:pPr>
              <w:spacing w:before="120" w:after="120"/>
              <w:jc w:val="both"/>
              <w:rPr>
                <w:rFonts w:ascii="Cambria" w:hAnsi="Cambria"/>
                <w:sz w:val="16"/>
                <w:szCs w:val="16"/>
                <w:lang w:val="es-ES"/>
              </w:rPr>
            </w:pPr>
            <w:r w:rsidRPr="004768D0">
              <w:rPr>
                <w:rFonts w:ascii="Cambria" w:hAnsi="Cambria"/>
                <w:sz w:val="16"/>
                <w:szCs w:val="16"/>
                <w:lang w:val="es-ES"/>
              </w:rPr>
              <w:t xml:space="preserve">El </w:t>
            </w:r>
            <w:r w:rsidR="00257978" w:rsidRPr="004768D0">
              <w:rPr>
                <w:rFonts w:ascii="Cambria" w:hAnsi="Cambria"/>
                <w:sz w:val="16"/>
                <w:szCs w:val="16"/>
                <w:lang w:val="es-ES"/>
              </w:rPr>
              <w:t xml:space="preserve">14 de </w:t>
            </w:r>
            <w:r w:rsidR="007F4608" w:rsidRPr="004768D0">
              <w:rPr>
                <w:rFonts w:ascii="Cambria" w:hAnsi="Cambria"/>
                <w:sz w:val="16"/>
                <w:szCs w:val="16"/>
                <w:lang w:val="es-ES"/>
              </w:rPr>
              <w:t>mayo</w:t>
            </w:r>
            <w:r w:rsidR="00257978" w:rsidRPr="004768D0">
              <w:rPr>
                <w:rFonts w:ascii="Cambria" w:hAnsi="Cambria"/>
                <w:sz w:val="16"/>
                <w:szCs w:val="16"/>
                <w:lang w:val="es-ES"/>
              </w:rPr>
              <w:t xml:space="preserve"> de 2006, </w:t>
            </w:r>
            <w:r w:rsidRPr="004768D0">
              <w:rPr>
                <w:rFonts w:ascii="Cambria" w:hAnsi="Cambria"/>
                <w:sz w:val="16"/>
                <w:szCs w:val="16"/>
                <w:lang w:val="es-ES"/>
              </w:rPr>
              <w:t xml:space="preserve">a las </w:t>
            </w:r>
            <w:r w:rsidR="00257978" w:rsidRPr="004768D0">
              <w:rPr>
                <w:rFonts w:ascii="Cambria" w:hAnsi="Cambria"/>
                <w:sz w:val="16"/>
                <w:szCs w:val="16"/>
                <w:lang w:val="es-ES"/>
              </w:rPr>
              <w:t>23</w:t>
            </w:r>
            <w:r w:rsidRPr="004768D0">
              <w:rPr>
                <w:rFonts w:ascii="Cambria" w:hAnsi="Cambria"/>
                <w:sz w:val="16"/>
                <w:szCs w:val="16"/>
                <w:lang w:val="es-ES"/>
              </w:rPr>
              <w:t>:</w:t>
            </w:r>
            <w:r w:rsidR="00257978" w:rsidRPr="004768D0">
              <w:rPr>
                <w:rFonts w:ascii="Cambria" w:hAnsi="Cambria"/>
                <w:sz w:val="16"/>
                <w:szCs w:val="16"/>
                <w:lang w:val="es-ES"/>
              </w:rPr>
              <w:t>30</w:t>
            </w:r>
            <w:r w:rsidRPr="004768D0">
              <w:rPr>
                <w:rFonts w:ascii="Cambria" w:hAnsi="Cambria"/>
                <w:sz w:val="16"/>
                <w:szCs w:val="16"/>
                <w:lang w:val="es-ES"/>
              </w:rPr>
              <w:t xml:space="preserve"> horas, aproximadamente</w:t>
            </w:r>
            <w:r w:rsidR="00257978" w:rsidRPr="004768D0">
              <w:rPr>
                <w:rFonts w:ascii="Cambria" w:hAnsi="Cambria"/>
                <w:sz w:val="16"/>
                <w:szCs w:val="16"/>
                <w:lang w:val="es-ES"/>
              </w:rPr>
              <w:t xml:space="preserve">, </w:t>
            </w:r>
            <w:bookmarkStart w:id="3" w:name="_Hlk72854255"/>
            <w:r w:rsidR="001F69B8" w:rsidRPr="004768D0">
              <w:rPr>
                <w:rFonts w:ascii="Cambria" w:hAnsi="Cambria"/>
                <w:sz w:val="16"/>
                <w:szCs w:val="16"/>
                <w:lang w:val="es-ES"/>
              </w:rPr>
              <w:t xml:space="preserve">los jóvenes </w:t>
            </w:r>
            <w:r w:rsidR="00257978" w:rsidRPr="004768D0">
              <w:rPr>
                <w:rFonts w:ascii="Cambria" w:hAnsi="Cambria"/>
                <w:sz w:val="16"/>
                <w:szCs w:val="16"/>
                <w:lang w:val="es-ES"/>
              </w:rPr>
              <w:t xml:space="preserve">Marcos, Thiago </w:t>
            </w:r>
            <w:r w:rsidRPr="004768D0">
              <w:rPr>
                <w:rFonts w:ascii="Cambria" w:hAnsi="Cambria"/>
                <w:sz w:val="16"/>
                <w:szCs w:val="16"/>
                <w:lang w:val="es-ES"/>
              </w:rPr>
              <w:t>y</w:t>
            </w:r>
            <w:r w:rsidR="00257978" w:rsidRPr="004768D0">
              <w:rPr>
                <w:rFonts w:ascii="Cambria" w:hAnsi="Cambria"/>
                <w:sz w:val="16"/>
                <w:szCs w:val="16"/>
                <w:lang w:val="es-ES"/>
              </w:rPr>
              <w:t xml:space="preserve"> </w:t>
            </w:r>
            <w:proofErr w:type="spellStart"/>
            <w:r w:rsidR="00257978" w:rsidRPr="004768D0">
              <w:rPr>
                <w:rFonts w:ascii="Cambria" w:hAnsi="Cambria"/>
                <w:sz w:val="16"/>
                <w:szCs w:val="16"/>
                <w:lang w:val="es-ES"/>
              </w:rPr>
              <w:t>Jó</w:t>
            </w:r>
            <w:proofErr w:type="spellEnd"/>
            <w:r w:rsidR="00257978" w:rsidRPr="004768D0">
              <w:rPr>
                <w:rFonts w:ascii="Cambria" w:hAnsi="Cambria"/>
                <w:sz w:val="16"/>
                <w:szCs w:val="16"/>
                <w:lang w:val="es-ES"/>
              </w:rPr>
              <w:t xml:space="preserve"> </w:t>
            </w:r>
            <w:proofErr w:type="spellStart"/>
            <w:r w:rsidR="00257978" w:rsidRPr="004768D0">
              <w:rPr>
                <w:rFonts w:ascii="Cambria" w:hAnsi="Cambria"/>
                <w:sz w:val="16"/>
                <w:szCs w:val="16"/>
                <w:lang w:val="es-ES"/>
              </w:rPr>
              <w:t>Farias</w:t>
            </w:r>
            <w:proofErr w:type="spellEnd"/>
            <w:r w:rsidR="00257978" w:rsidRPr="004768D0">
              <w:rPr>
                <w:rFonts w:ascii="Cambria" w:hAnsi="Cambria"/>
                <w:sz w:val="16"/>
                <w:szCs w:val="16"/>
                <w:lang w:val="es-ES"/>
              </w:rPr>
              <w:t xml:space="preserve"> da Silva </w:t>
            </w:r>
            <w:bookmarkEnd w:id="3"/>
            <w:r w:rsidR="00257978" w:rsidRPr="004768D0">
              <w:rPr>
                <w:rFonts w:ascii="Cambria" w:hAnsi="Cambria"/>
                <w:sz w:val="16"/>
                <w:szCs w:val="16"/>
                <w:lang w:val="es-ES"/>
              </w:rPr>
              <w:t xml:space="preserve">(de 22 </w:t>
            </w:r>
            <w:r w:rsidRPr="004768D0">
              <w:rPr>
                <w:rFonts w:ascii="Cambria" w:hAnsi="Cambria"/>
                <w:sz w:val="16"/>
                <w:szCs w:val="16"/>
                <w:lang w:val="es-ES"/>
              </w:rPr>
              <w:t>años</w:t>
            </w:r>
            <w:r w:rsidR="00257978" w:rsidRPr="004768D0">
              <w:rPr>
                <w:rFonts w:ascii="Cambria" w:hAnsi="Cambria"/>
                <w:sz w:val="16"/>
                <w:szCs w:val="16"/>
                <w:lang w:val="es-ES"/>
              </w:rPr>
              <w:t xml:space="preserve">) </w:t>
            </w:r>
            <w:r w:rsidR="00E770E8" w:rsidRPr="004768D0">
              <w:rPr>
                <w:rFonts w:ascii="Cambria" w:hAnsi="Cambria"/>
                <w:sz w:val="16"/>
                <w:szCs w:val="16"/>
                <w:lang w:val="es-ES"/>
              </w:rPr>
              <w:t>estaban</w:t>
            </w:r>
            <w:r w:rsidR="00257978" w:rsidRPr="004768D0">
              <w:rPr>
                <w:rFonts w:ascii="Cambria" w:hAnsi="Cambria"/>
                <w:sz w:val="16"/>
                <w:szCs w:val="16"/>
                <w:lang w:val="es-ES"/>
              </w:rPr>
              <w:t xml:space="preserve"> </w:t>
            </w:r>
            <w:r w:rsidR="00E770E8" w:rsidRPr="004768D0">
              <w:rPr>
                <w:rFonts w:ascii="Cambria" w:hAnsi="Cambria"/>
                <w:sz w:val="16"/>
                <w:szCs w:val="16"/>
                <w:lang w:val="es-ES"/>
              </w:rPr>
              <w:t>e</w:t>
            </w:r>
            <w:r w:rsidR="00257978" w:rsidRPr="004768D0">
              <w:rPr>
                <w:rFonts w:ascii="Cambria" w:hAnsi="Cambria"/>
                <w:sz w:val="16"/>
                <w:szCs w:val="16"/>
                <w:lang w:val="es-ES"/>
              </w:rPr>
              <w:t>n</w:t>
            </w:r>
            <w:r w:rsidR="00E770E8" w:rsidRPr="004768D0">
              <w:rPr>
                <w:rFonts w:ascii="Cambria" w:hAnsi="Cambria"/>
                <w:sz w:val="16"/>
                <w:szCs w:val="16"/>
                <w:lang w:val="es-ES"/>
              </w:rPr>
              <w:t xml:space="preserve"> una</w:t>
            </w:r>
            <w:r w:rsidR="00257978" w:rsidRPr="004768D0">
              <w:rPr>
                <w:rFonts w:ascii="Cambria" w:hAnsi="Cambria"/>
                <w:sz w:val="16"/>
                <w:szCs w:val="16"/>
                <w:lang w:val="es-ES"/>
              </w:rPr>
              <w:t xml:space="preserve"> </w:t>
            </w:r>
            <w:r w:rsidR="00E770E8" w:rsidRPr="004768D0">
              <w:rPr>
                <w:rFonts w:ascii="Cambria" w:hAnsi="Cambria"/>
                <w:sz w:val="16"/>
                <w:szCs w:val="16"/>
                <w:lang w:val="es-ES"/>
              </w:rPr>
              <w:t>pizzería</w:t>
            </w:r>
            <w:r w:rsidR="00A70AAA" w:rsidRPr="004768D0">
              <w:rPr>
                <w:rFonts w:ascii="Cambria" w:hAnsi="Cambria"/>
                <w:sz w:val="16"/>
                <w:szCs w:val="16"/>
                <w:lang w:val="es-ES"/>
              </w:rPr>
              <w:t xml:space="preserve"> y sala de juegos situada en la calle </w:t>
            </w:r>
            <w:r w:rsidR="00257978" w:rsidRPr="004768D0">
              <w:rPr>
                <w:rFonts w:ascii="Cambria" w:hAnsi="Cambria"/>
                <w:sz w:val="16"/>
                <w:szCs w:val="16"/>
                <w:lang w:val="es-ES"/>
              </w:rPr>
              <w:t xml:space="preserve">São Francisco, s/n, </w:t>
            </w:r>
            <w:r w:rsidRPr="004768D0">
              <w:rPr>
                <w:rFonts w:ascii="Cambria" w:hAnsi="Cambria"/>
                <w:sz w:val="16"/>
                <w:szCs w:val="16"/>
                <w:lang w:val="es-ES"/>
              </w:rPr>
              <w:t>en el c</w:t>
            </w:r>
            <w:r w:rsidR="00257978" w:rsidRPr="004768D0">
              <w:rPr>
                <w:rFonts w:ascii="Cambria" w:hAnsi="Cambria"/>
                <w:sz w:val="16"/>
                <w:szCs w:val="16"/>
                <w:lang w:val="es-ES"/>
              </w:rPr>
              <w:t xml:space="preserve">entro de Santos, </w:t>
            </w:r>
            <w:r w:rsidR="00A70AAA" w:rsidRPr="004768D0">
              <w:rPr>
                <w:rFonts w:ascii="Cambria" w:hAnsi="Cambria"/>
                <w:sz w:val="16"/>
                <w:szCs w:val="16"/>
                <w:lang w:val="es-ES"/>
              </w:rPr>
              <w:t>cuando</w:t>
            </w:r>
            <w:r w:rsidR="00257978" w:rsidRPr="004768D0">
              <w:rPr>
                <w:rFonts w:ascii="Cambria" w:hAnsi="Cambria"/>
                <w:sz w:val="16"/>
                <w:szCs w:val="16"/>
                <w:lang w:val="es-ES"/>
              </w:rPr>
              <w:t xml:space="preserve"> </w:t>
            </w:r>
            <w:r w:rsidR="00A70AAA" w:rsidRPr="004768D0">
              <w:rPr>
                <w:rFonts w:ascii="Cambria" w:hAnsi="Cambria"/>
                <w:sz w:val="16"/>
                <w:szCs w:val="16"/>
                <w:lang w:val="es-ES"/>
              </w:rPr>
              <w:t>llegaron dos hombres</w:t>
            </w:r>
            <w:r w:rsidR="00257978" w:rsidRPr="004768D0">
              <w:rPr>
                <w:rFonts w:ascii="Cambria" w:hAnsi="Cambria"/>
                <w:sz w:val="16"/>
                <w:szCs w:val="16"/>
                <w:lang w:val="es-ES"/>
              </w:rPr>
              <w:t xml:space="preserve"> </w:t>
            </w:r>
            <w:r w:rsidR="00A70AAA" w:rsidRPr="004768D0">
              <w:rPr>
                <w:rFonts w:ascii="Cambria" w:hAnsi="Cambria"/>
                <w:sz w:val="16"/>
                <w:szCs w:val="16"/>
                <w:lang w:val="es-ES"/>
              </w:rPr>
              <w:t>encapuchados</w:t>
            </w:r>
            <w:r w:rsidR="00257978" w:rsidRPr="004768D0">
              <w:rPr>
                <w:rFonts w:ascii="Cambria" w:hAnsi="Cambria"/>
                <w:sz w:val="16"/>
                <w:szCs w:val="16"/>
                <w:lang w:val="es-ES"/>
              </w:rPr>
              <w:t xml:space="preserve"> </w:t>
            </w:r>
            <w:r w:rsidR="006062C8" w:rsidRPr="004768D0">
              <w:rPr>
                <w:rFonts w:ascii="Cambria" w:hAnsi="Cambria"/>
                <w:sz w:val="16"/>
                <w:szCs w:val="16"/>
                <w:lang w:val="es-ES"/>
              </w:rPr>
              <w:t>e</w:t>
            </w:r>
            <w:r w:rsidR="00257978" w:rsidRPr="004768D0">
              <w:rPr>
                <w:rFonts w:ascii="Cambria" w:hAnsi="Cambria"/>
                <w:sz w:val="16"/>
                <w:szCs w:val="16"/>
                <w:lang w:val="es-ES"/>
              </w:rPr>
              <w:t>n</w:t>
            </w:r>
            <w:r w:rsidR="006062C8" w:rsidRPr="004768D0">
              <w:rPr>
                <w:rFonts w:ascii="Cambria" w:hAnsi="Cambria"/>
                <w:sz w:val="16"/>
                <w:szCs w:val="16"/>
                <w:lang w:val="es-ES"/>
              </w:rPr>
              <w:t xml:space="preserve"> una</w:t>
            </w:r>
            <w:r w:rsidR="00257978" w:rsidRPr="004768D0">
              <w:rPr>
                <w:rFonts w:ascii="Cambria" w:hAnsi="Cambria"/>
                <w:sz w:val="16"/>
                <w:szCs w:val="16"/>
                <w:lang w:val="es-ES"/>
              </w:rPr>
              <w:t xml:space="preserve"> moto </w:t>
            </w:r>
            <w:r w:rsidR="006062C8" w:rsidRPr="004768D0">
              <w:rPr>
                <w:rFonts w:ascii="Cambria" w:hAnsi="Cambria"/>
                <w:sz w:val="16"/>
                <w:szCs w:val="16"/>
                <w:lang w:val="es-ES"/>
              </w:rPr>
              <w:t>negra</w:t>
            </w:r>
            <w:r w:rsidR="00257978" w:rsidRPr="004768D0">
              <w:rPr>
                <w:rFonts w:ascii="Cambria" w:hAnsi="Cambria"/>
                <w:sz w:val="16"/>
                <w:szCs w:val="16"/>
                <w:lang w:val="es-ES"/>
              </w:rPr>
              <w:t xml:space="preserve"> </w:t>
            </w:r>
            <w:r w:rsidR="006062C8" w:rsidRPr="004768D0">
              <w:rPr>
                <w:rFonts w:ascii="Cambria" w:hAnsi="Cambria"/>
                <w:sz w:val="16"/>
                <w:szCs w:val="16"/>
                <w:lang w:val="es-ES"/>
              </w:rPr>
              <w:t xml:space="preserve">y cuatro </w:t>
            </w:r>
            <w:r w:rsidR="00A70AAA" w:rsidRPr="004768D0">
              <w:rPr>
                <w:rFonts w:ascii="Cambria" w:hAnsi="Cambria"/>
                <w:sz w:val="16"/>
                <w:szCs w:val="16"/>
                <w:lang w:val="es-ES"/>
              </w:rPr>
              <w:t>encapuchados</w:t>
            </w:r>
            <w:r w:rsidR="00257978" w:rsidRPr="004768D0">
              <w:rPr>
                <w:rFonts w:ascii="Cambria" w:hAnsi="Cambria"/>
                <w:sz w:val="16"/>
                <w:szCs w:val="16"/>
                <w:lang w:val="es-ES"/>
              </w:rPr>
              <w:t xml:space="preserve"> </w:t>
            </w:r>
            <w:r w:rsidR="006062C8" w:rsidRPr="004768D0">
              <w:rPr>
                <w:rFonts w:ascii="Cambria" w:hAnsi="Cambria"/>
                <w:sz w:val="16"/>
                <w:szCs w:val="16"/>
                <w:lang w:val="es-ES"/>
              </w:rPr>
              <w:t>e</w:t>
            </w:r>
            <w:r w:rsidR="00257978" w:rsidRPr="004768D0">
              <w:rPr>
                <w:rFonts w:ascii="Cambria" w:hAnsi="Cambria"/>
                <w:sz w:val="16"/>
                <w:szCs w:val="16"/>
                <w:lang w:val="es-ES"/>
              </w:rPr>
              <w:t>n</w:t>
            </w:r>
            <w:r w:rsidR="006062C8" w:rsidRPr="004768D0">
              <w:rPr>
                <w:rFonts w:ascii="Cambria" w:hAnsi="Cambria"/>
                <w:sz w:val="16"/>
                <w:szCs w:val="16"/>
                <w:lang w:val="es-ES"/>
              </w:rPr>
              <w:t xml:space="preserve"> un</w:t>
            </w:r>
            <w:r w:rsidR="00257978" w:rsidRPr="004768D0">
              <w:rPr>
                <w:rFonts w:ascii="Cambria" w:hAnsi="Cambria"/>
                <w:sz w:val="16"/>
                <w:szCs w:val="16"/>
                <w:lang w:val="es-ES"/>
              </w:rPr>
              <w:t xml:space="preserve"> </w:t>
            </w:r>
            <w:r w:rsidR="006062C8" w:rsidRPr="004768D0">
              <w:rPr>
                <w:rFonts w:ascii="Cambria" w:hAnsi="Cambria"/>
                <w:sz w:val="16"/>
                <w:szCs w:val="16"/>
                <w:lang w:val="es-ES"/>
              </w:rPr>
              <w:t>vehículo</w:t>
            </w:r>
            <w:r w:rsidR="00257978" w:rsidRPr="004768D0">
              <w:rPr>
                <w:rFonts w:ascii="Cambria" w:hAnsi="Cambria"/>
                <w:sz w:val="16"/>
                <w:szCs w:val="16"/>
                <w:lang w:val="es-ES"/>
              </w:rPr>
              <w:t xml:space="preserve"> Fiat Marea </w:t>
            </w:r>
            <w:r w:rsidR="006062C8" w:rsidRPr="004768D0">
              <w:rPr>
                <w:rFonts w:ascii="Cambria" w:hAnsi="Cambria"/>
                <w:sz w:val="16"/>
                <w:szCs w:val="16"/>
                <w:lang w:val="es-ES"/>
              </w:rPr>
              <w:t>negro</w:t>
            </w:r>
            <w:r w:rsidR="00257978" w:rsidRPr="004768D0">
              <w:rPr>
                <w:rFonts w:ascii="Cambria" w:hAnsi="Cambria"/>
                <w:sz w:val="16"/>
                <w:szCs w:val="16"/>
                <w:lang w:val="es-ES"/>
              </w:rPr>
              <w:t>. Do</w:t>
            </w:r>
            <w:r w:rsidR="006062C8" w:rsidRPr="004768D0">
              <w:rPr>
                <w:rFonts w:ascii="Cambria" w:hAnsi="Cambria"/>
                <w:sz w:val="16"/>
                <w:szCs w:val="16"/>
                <w:lang w:val="es-ES"/>
              </w:rPr>
              <w:t xml:space="preserve">s llevaban pantalón gris y </w:t>
            </w:r>
            <w:r w:rsidR="00257978" w:rsidRPr="004768D0">
              <w:rPr>
                <w:rFonts w:ascii="Cambria" w:hAnsi="Cambria"/>
                <w:sz w:val="16"/>
                <w:szCs w:val="16"/>
                <w:lang w:val="es-ES"/>
              </w:rPr>
              <w:t xml:space="preserve">botas </w:t>
            </w:r>
            <w:r w:rsidR="006062C8" w:rsidRPr="004768D0">
              <w:rPr>
                <w:rFonts w:ascii="Cambria" w:hAnsi="Cambria"/>
                <w:sz w:val="16"/>
                <w:szCs w:val="16"/>
                <w:lang w:val="es-ES"/>
              </w:rPr>
              <w:t>negras</w:t>
            </w:r>
            <w:r w:rsidR="00257978" w:rsidRPr="004768D0">
              <w:rPr>
                <w:rFonts w:ascii="Cambria" w:hAnsi="Cambria"/>
                <w:sz w:val="16"/>
                <w:szCs w:val="16"/>
                <w:lang w:val="es-ES"/>
              </w:rPr>
              <w:t xml:space="preserve">. </w:t>
            </w:r>
            <w:r w:rsidR="00E04ED3" w:rsidRPr="004768D0">
              <w:rPr>
                <w:rFonts w:ascii="Cambria" w:hAnsi="Cambria"/>
                <w:sz w:val="16"/>
                <w:szCs w:val="16"/>
                <w:lang w:val="es-ES"/>
              </w:rPr>
              <w:t>Llamaron a</w:t>
            </w:r>
            <w:r w:rsidR="00257978" w:rsidRPr="004768D0">
              <w:rPr>
                <w:rFonts w:ascii="Cambria" w:hAnsi="Cambria"/>
                <w:sz w:val="16"/>
                <w:szCs w:val="16"/>
                <w:lang w:val="es-ES"/>
              </w:rPr>
              <w:t xml:space="preserve"> Thiago (</w:t>
            </w:r>
            <w:r w:rsidR="00E04ED3" w:rsidRPr="004768D0">
              <w:rPr>
                <w:rFonts w:ascii="Cambria" w:hAnsi="Cambria"/>
                <w:sz w:val="16"/>
                <w:szCs w:val="16"/>
                <w:lang w:val="es-ES"/>
              </w:rPr>
              <w:t>conocido como</w:t>
            </w:r>
            <w:r w:rsidR="00257978" w:rsidRPr="004768D0">
              <w:rPr>
                <w:rFonts w:ascii="Cambria" w:hAnsi="Cambria"/>
                <w:sz w:val="16"/>
                <w:szCs w:val="16"/>
                <w:lang w:val="es-ES"/>
              </w:rPr>
              <w:t xml:space="preserve"> </w:t>
            </w:r>
            <w:r w:rsidR="00E04ED3" w:rsidRPr="004768D0">
              <w:rPr>
                <w:rFonts w:ascii="Cambria" w:hAnsi="Cambria"/>
                <w:sz w:val="16"/>
                <w:szCs w:val="16"/>
                <w:lang w:val="es-ES"/>
              </w:rPr>
              <w:t>“</w:t>
            </w:r>
            <w:proofErr w:type="spellStart"/>
            <w:r w:rsidR="00257978" w:rsidRPr="004768D0">
              <w:rPr>
                <w:rFonts w:ascii="Cambria" w:hAnsi="Cambria"/>
                <w:sz w:val="16"/>
                <w:szCs w:val="16"/>
                <w:lang w:val="es-ES"/>
              </w:rPr>
              <w:t>Amarelinho</w:t>
            </w:r>
            <w:proofErr w:type="spellEnd"/>
            <w:r w:rsidR="00E04ED3" w:rsidRPr="004768D0">
              <w:rPr>
                <w:rFonts w:ascii="Cambria" w:hAnsi="Cambria"/>
                <w:sz w:val="16"/>
                <w:szCs w:val="16"/>
                <w:lang w:val="es-ES"/>
              </w:rPr>
              <w:t>”</w:t>
            </w:r>
            <w:r w:rsidR="00257978" w:rsidRPr="004768D0">
              <w:rPr>
                <w:rFonts w:ascii="Cambria" w:hAnsi="Cambria"/>
                <w:sz w:val="16"/>
                <w:szCs w:val="16"/>
                <w:lang w:val="es-ES"/>
              </w:rPr>
              <w:t xml:space="preserve">) para </w:t>
            </w:r>
            <w:r w:rsidR="00E04ED3" w:rsidRPr="004768D0">
              <w:rPr>
                <w:rFonts w:ascii="Cambria" w:hAnsi="Cambria"/>
                <w:sz w:val="16"/>
                <w:szCs w:val="16"/>
                <w:lang w:val="es-ES"/>
              </w:rPr>
              <w:t xml:space="preserve">que saliera y le dispararon. Después entraron y les dispararon a </w:t>
            </w:r>
            <w:r w:rsidR="00257978" w:rsidRPr="004768D0">
              <w:rPr>
                <w:rFonts w:ascii="Cambria" w:hAnsi="Cambria"/>
                <w:sz w:val="16"/>
                <w:szCs w:val="16"/>
                <w:lang w:val="es-ES"/>
              </w:rPr>
              <w:t xml:space="preserve">Marcos </w:t>
            </w:r>
            <w:r w:rsidR="00E04ED3" w:rsidRPr="004768D0">
              <w:rPr>
                <w:rFonts w:ascii="Cambria" w:hAnsi="Cambria"/>
                <w:sz w:val="16"/>
                <w:szCs w:val="16"/>
                <w:lang w:val="es-ES"/>
              </w:rPr>
              <w:t>y</w:t>
            </w:r>
            <w:r w:rsidR="00257978" w:rsidRPr="004768D0">
              <w:rPr>
                <w:rFonts w:ascii="Cambria" w:hAnsi="Cambria"/>
                <w:sz w:val="16"/>
                <w:szCs w:val="16"/>
                <w:lang w:val="es-ES"/>
              </w:rPr>
              <w:t xml:space="preserve"> </w:t>
            </w:r>
            <w:proofErr w:type="spellStart"/>
            <w:r w:rsidR="00257978" w:rsidRPr="004768D0">
              <w:rPr>
                <w:rFonts w:ascii="Cambria" w:hAnsi="Cambria"/>
                <w:sz w:val="16"/>
                <w:szCs w:val="16"/>
                <w:lang w:val="es-ES"/>
              </w:rPr>
              <w:t>Jó</w:t>
            </w:r>
            <w:proofErr w:type="spellEnd"/>
            <w:r w:rsidR="00257978" w:rsidRPr="004768D0">
              <w:rPr>
                <w:rFonts w:ascii="Cambria" w:hAnsi="Cambria"/>
                <w:sz w:val="16"/>
                <w:szCs w:val="16"/>
                <w:lang w:val="es-ES"/>
              </w:rPr>
              <w:t>.</w:t>
            </w:r>
          </w:p>
          <w:p w14:paraId="59025A6B" w14:textId="77777777" w:rsidR="00257978" w:rsidRPr="004768D0" w:rsidRDefault="00257978" w:rsidP="007F7312">
            <w:pPr>
              <w:spacing w:before="120" w:after="120"/>
              <w:jc w:val="both"/>
              <w:rPr>
                <w:rFonts w:ascii="Cambria" w:hAnsi="Cambria"/>
                <w:sz w:val="16"/>
                <w:szCs w:val="16"/>
                <w:lang w:val="es-ES"/>
              </w:rPr>
            </w:pPr>
            <w:r w:rsidRPr="004768D0">
              <w:rPr>
                <w:rFonts w:ascii="Cambria" w:hAnsi="Cambria"/>
                <w:sz w:val="16"/>
                <w:szCs w:val="16"/>
                <w:lang w:val="es-ES"/>
              </w:rPr>
              <w:t>Marcos rec</w:t>
            </w:r>
            <w:r w:rsidR="00E04ED3" w:rsidRPr="004768D0">
              <w:rPr>
                <w:rFonts w:ascii="Cambria" w:hAnsi="Cambria"/>
                <w:sz w:val="16"/>
                <w:szCs w:val="16"/>
                <w:lang w:val="es-ES"/>
              </w:rPr>
              <w:t>ibió</w:t>
            </w:r>
            <w:r w:rsidRPr="004768D0">
              <w:rPr>
                <w:rFonts w:ascii="Cambria" w:hAnsi="Cambria"/>
                <w:sz w:val="16"/>
                <w:szCs w:val="16"/>
                <w:lang w:val="es-ES"/>
              </w:rPr>
              <w:t xml:space="preserve"> </w:t>
            </w:r>
            <w:r w:rsidR="007F7312">
              <w:rPr>
                <w:rFonts w:ascii="Cambria" w:hAnsi="Cambria"/>
                <w:sz w:val="16"/>
                <w:szCs w:val="16"/>
                <w:lang w:val="es-ES"/>
              </w:rPr>
              <w:t xml:space="preserve">tres </w:t>
            </w:r>
            <w:r w:rsidRPr="004768D0">
              <w:rPr>
                <w:rFonts w:ascii="Cambria" w:hAnsi="Cambria"/>
                <w:sz w:val="16"/>
                <w:szCs w:val="16"/>
                <w:lang w:val="es-ES"/>
              </w:rPr>
              <w:t xml:space="preserve">tiros </w:t>
            </w:r>
            <w:r w:rsidR="00E04ED3" w:rsidRPr="004768D0">
              <w:rPr>
                <w:rFonts w:ascii="Cambria" w:hAnsi="Cambria"/>
                <w:sz w:val="16"/>
                <w:szCs w:val="16"/>
                <w:lang w:val="es-ES"/>
              </w:rPr>
              <w:t>en la</w:t>
            </w:r>
            <w:r w:rsidRPr="004768D0">
              <w:rPr>
                <w:rFonts w:ascii="Cambria" w:hAnsi="Cambria"/>
                <w:sz w:val="16"/>
                <w:szCs w:val="16"/>
                <w:lang w:val="es-ES"/>
              </w:rPr>
              <w:t xml:space="preserve"> </w:t>
            </w:r>
            <w:r w:rsidR="00E04ED3" w:rsidRPr="004768D0">
              <w:rPr>
                <w:rFonts w:ascii="Cambria" w:hAnsi="Cambria"/>
                <w:sz w:val="16"/>
                <w:szCs w:val="16"/>
                <w:lang w:val="es-ES"/>
              </w:rPr>
              <w:t>cabeza</w:t>
            </w:r>
            <w:r w:rsidRPr="004768D0">
              <w:rPr>
                <w:rFonts w:ascii="Cambria" w:hAnsi="Cambria"/>
                <w:sz w:val="16"/>
                <w:szCs w:val="16"/>
                <w:lang w:val="es-ES"/>
              </w:rPr>
              <w:t>, a c</w:t>
            </w:r>
            <w:r w:rsidR="00E04ED3" w:rsidRPr="004768D0">
              <w:rPr>
                <w:rFonts w:ascii="Cambria" w:hAnsi="Cambria"/>
                <w:sz w:val="16"/>
                <w:szCs w:val="16"/>
                <w:lang w:val="es-ES"/>
              </w:rPr>
              <w:t>orta distancia</w:t>
            </w:r>
            <w:r w:rsidRPr="004768D0">
              <w:rPr>
                <w:rFonts w:ascii="Cambria" w:hAnsi="Cambria"/>
                <w:sz w:val="16"/>
                <w:szCs w:val="16"/>
                <w:lang w:val="es-ES"/>
              </w:rPr>
              <w:t xml:space="preserve">; Thiago, </w:t>
            </w:r>
            <w:r w:rsidR="007F7312">
              <w:rPr>
                <w:rFonts w:ascii="Cambria" w:hAnsi="Cambria"/>
                <w:sz w:val="16"/>
                <w:szCs w:val="16"/>
                <w:lang w:val="es-ES"/>
              </w:rPr>
              <w:t>nueve</w:t>
            </w:r>
            <w:r w:rsidRPr="004768D0">
              <w:rPr>
                <w:rFonts w:ascii="Cambria" w:hAnsi="Cambria"/>
                <w:sz w:val="16"/>
                <w:szCs w:val="16"/>
                <w:lang w:val="es-ES"/>
              </w:rPr>
              <w:t xml:space="preserve"> tiros (</w:t>
            </w:r>
            <w:r w:rsidR="007F7312">
              <w:rPr>
                <w:rFonts w:ascii="Cambria" w:hAnsi="Cambria"/>
                <w:sz w:val="16"/>
                <w:szCs w:val="16"/>
                <w:lang w:val="es-ES"/>
              </w:rPr>
              <w:t>ocho</w:t>
            </w:r>
            <w:r w:rsidRPr="004768D0">
              <w:rPr>
                <w:rFonts w:ascii="Cambria" w:hAnsi="Cambria"/>
                <w:sz w:val="16"/>
                <w:szCs w:val="16"/>
                <w:lang w:val="es-ES"/>
              </w:rPr>
              <w:t xml:space="preserve"> por </w:t>
            </w:r>
            <w:r w:rsidR="00E04ED3" w:rsidRPr="004768D0">
              <w:rPr>
                <w:rFonts w:ascii="Cambria" w:hAnsi="Cambria"/>
                <w:sz w:val="16"/>
                <w:szCs w:val="16"/>
                <w:lang w:val="es-ES"/>
              </w:rPr>
              <w:t>de</w:t>
            </w:r>
            <w:r w:rsidRPr="004768D0">
              <w:rPr>
                <w:rFonts w:ascii="Cambria" w:hAnsi="Cambria"/>
                <w:sz w:val="16"/>
                <w:szCs w:val="16"/>
                <w:lang w:val="es-ES"/>
              </w:rPr>
              <w:t xml:space="preserve">trás): </w:t>
            </w:r>
            <w:r w:rsidR="007F7312">
              <w:rPr>
                <w:rFonts w:ascii="Cambria" w:hAnsi="Cambria"/>
                <w:sz w:val="16"/>
                <w:szCs w:val="16"/>
                <w:lang w:val="es-ES"/>
              </w:rPr>
              <w:t>dos</w:t>
            </w:r>
            <w:r w:rsidRPr="004768D0">
              <w:rPr>
                <w:rFonts w:ascii="Cambria" w:hAnsi="Cambria"/>
                <w:sz w:val="16"/>
                <w:szCs w:val="16"/>
                <w:lang w:val="es-ES"/>
              </w:rPr>
              <w:t xml:space="preserve"> </w:t>
            </w:r>
            <w:r w:rsidR="00E04ED3" w:rsidRPr="004768D0">
              <w:rPr>
                <w:rFonts w:ascii="Cambria" w:hAnsi="Cambria"/>
                <w:sz w:val="16"/>
                <w:szCs w:val="16"/>
                <w:lang w:val="es-ES"/>
              </w:rPr>
              <w:t>e</w:t>
            </w:r>
            <w:r w:rsidRPr="004768D0">
              <w:rPr>
                <w:rFonts w:ascii="Cambria" w:hAnsi="Cambria"/>
                <w:sz w:val="16"/>
                <w:szCs w:val="16"/>
                <w:lang w:val="es-ES"/>
              </w:rPr>
              <w:t>n</w:t>
            </w:r>
            <w:r w:rsidR="00E04ED3" w:rsidRPr="004768D0">
              <w:rPr>
                <w:rFonts w:ascii="Cambria" w:hAnsi="Cambria"/>
                <w:sz w:val="16"/>
                <w:szCs w:val="16"/>
                <w:lang w:val="es-ES"/>
              </w:rPr>
              <w:t xml:space="preserve"> l</w:t>
            </w:r>
            <w:r w:rsidRPr="004768D0">
              <w:rPr>
                <w:rFonts w:ascii="Cambria" w:hAnsi="Cambria"/>
                <w:sz w:val="16"/>
                <w:szCs w:val="16"/>
                <w:lang w:val="es-ES"/>
              </w:rPr>
              <w:t xml:space="preserve">a </w:t>
            </w:r>
            <w:r w:rsidR="00E04ED3" w:rsidRPr="004768D0">
              <w:rPr>
                <w:rFonts w:ascii="Cambria" w:hAnsi="Cambria"/>
                <w:sz w:val="16"/>
                <w:szCs w:val="16"/>
                <w:lang w:val="es-ES"/>
              </w:rPr>
              <w:t>cabeza</w:t>
            </w:r>
            <w:r w:rsidRPr="004768D0">
              <w:rPr>
                <w:rFonts w:ascii="Cambria" w:hAnsi="Cambria"/>
                <w:sz w:val="16"/>
                <w:szCs w:val="16"/>
                <w:lang w:val="es-ES"/>
              </w:rPr>
              <w:t xml:space="preserve">, </w:t>
            </w:r>
            <w:r w:rsidR="007F7312">
              <w:rPr>
                <w:rFonts w:ascii="Cambria" w:hAnsi="Cambria"/>
                <w:sz w:val="16"/>
                <w:szCs w:val="16"/>
                <w:lang w:val="es-ES"/>
              </w:rPr>
              <w:t>uno</w:t>
            </w:r>
            <w:r w:rsidRPr="004768D0">
              <w:rPr>
                <w:rFonts w:ascii="Cambria" w:hAnsi="Cambria"/>
                <w:sz w:val="16"/>
                <w:szCs w:val="16"/>
                <w:lang w:val="es-ES"/>
              </w:rPr>
              <w:t xml:space="preserve"> </w:t>
            </w:r>
            <w:r w:rsidR="00E04ED3" w:rsidRPr="004768D0">
              <w:rPr>
                <w:rFonts w:ascii="Cambria" w:hAnsi="Cambria"/>
                <w:sz w:val="16"/>
                <w:szCs w:val="16"/>
                <w:lang w:val="es-ES"/>
              </w:rPr>
              <w:t>en la espalda</w:t>
            </w:r>
            <w:r w:rsidRPr="004768D0">
              <w:rPr>
                <w:rFonts w:ascii="Cambria" w:hAnsi="Cambria"/>
                <w:sz w:val="16"/>
                <w:szCs w:val="16"/>
                <w:lang w:val="es-ES"/>
              </w:rPr>
              <w:t xml:space="preserve">, </w:t>
            </w:r>
            <w:r w:rsidR="007F7312">
              <w:rPr>
                <w:rFonts w:ascii="Cambria" w:hAnsi="Cambria"/>
                <w:sz w:val="16"/>
                <w:szCs w:val="16"/>
                <w:lang w:val="es-ES"/>
              </w:rPr>
              <w:t>uno</w:t>
            </w:r>
            <w:r w:rsidRPr="004768D0">
              <w:rPr>
                <w:rFonts w:ascii="Cambria" w:hAnsi="Cambria"/>
                <w:sz w:val="16"/>
                <w:szCs w:val="16"/>
                <w:lang w:val="es-ES"/>
              </w:rPr>
              <w:t xml:space="preserve"> </w:t>
            </w:r>
            <w:r w:rsidR="00E04ED3" w:rsidRPr="004768D0">
              <w:rPr>
                <w:rFonts w:ascii="Cambria" w:hAnsi="Cambria"/>
                <w:sz w:val="16"/>
                <w:szCs w:val="16"/>
                <w:lang w:val="es-ES"/>
              </w:rPr>
              <w:t>en el muslo</w:t>
            </w:r>
            <w:r w:rsidRPr="004768D0">
              <w:rPr>
                <w:rFonts w:ascii="Cambria" w:hAnsi="Cambria"/>
                <w:sz w:val="16"/>
                <w:szCs w:val="16"/>
                <w:lang w:val="es-ES"/>
              </w:rPr>
              <w:t xml:space="preserve"> </w:t>
            </w:r>
            <w:r w:rsidR="00E04ED3" w:rsidRPr="004768D0">
              <w:rPr>
                <w:rFonts w:ascii="Cambria" w:hAnsi="Cambria"/>
                <w:sz w:val="16"/>
                <w:szCs w:val="16"/>
                <w:lang w:val="es-ES"/>
              </w:rPr>
              <w:t>y</w:t>
            </w:r>
            <w:r w:rsidRPr="004768D0">
              <w:rPr>
                <w:rFonts w:ascii="Cambria" w:hAnsi="Cambria"/>
                <w:sz w:val="16"/>
                <w:szCs w:val="16"/>
                <w:lang w:val="es-ES"/>
              </w:rPr>
              <w:t xml:space="preserve"> </w:t>
            </w:r>
            <w:r w:rsidR="007F7312">
              <w:rPr>
                <w:rFonts w:ascii="Cambria" w:hAnsi="Cambria"/>
                <w:sz w:val="16"/>
                <w:szCs w:val="16"/>
                <w:lang w:val="es-ES"/>
              </w:rPr>
              <w:t>cinco</w:t>
            </w:r>
            <w:r w:rsidRPr="004768D0">
              <w:rPr>
                <w:rFonts w:ascii="Cambria" w:hAnsi="Cambria"/>
                <w:sz w:val="16"/>
                <w:szCs w:val="16"/>
                <w:lang w:val="es-ES"/>
              </w:rPr>
              <w:t xml:space="preserve"> </w:t>
            </w:r>
            <w:r w:rsidR="00E04ED3" w:rsidRPr="004768D0">
              <w:rPr>
                <w:rFonts w:ascii="Cambria" w:hAnsi="Cambria"/>
                <w:sz w:val="16"/>
                <w:szCs w:val="16"/>
                <w:lang w:val="es-ES"/>
              </w:rPr>
              <w:t>en los antebrazos</w:t>
            </w:r>
            <w:r w:rsidRPr="004768D0">
              <w:rPr>
                <w:rFonts w:ascii="Cambria" w:hAnsi="Cambria"/>
                <w:sz w:val="16"/>
                <w:szCs w:val="16"/>
                <w:lang w:val="es-ES"/>
              </w:rPr>
              <w:t xml:space="preserve">; </w:t>
            </w:r>
            <w:r w:rsidR="00E04ED3" w:rsidRPr="004768D0">
              <w:rPr>
                <w:rFonts w:ascii="Cambria" w:hAnsi="Cambria"/>
                <w:sz w:val="16"/>
                <w:szCs w:val="16"/>
                <w:lang w:val="es-ES"/>
              </w:rPr>
              <w:t>y</w:t>
            </w:r>
            <w:r w:rsidRPr="004768D0">
              <w:rPr>
                <w:rFonts w:ascii="Cambria" w:hAnsi="Cambria"/>
                <w:sz w:val="16"/>
                <w:szCs w:val="16"/>
                <w:lang w:val="es-ES"/>
              </w:rPr>
              <w:t xml:space="preserve"> </w:t>
            </w:r>
            <w:proofErr w:type="spellStart"/>
            <w:r w:rsidRPr="004768D0">
              <w:rPr>
                <w:rFonts w:ascii="Cambria" w:hAnsi="Cambria"/>
                <w:sz w:val="16"/>
                <w:szCs w:val="16"/>
                <w:lang w:val="es-ES"/>
              </w:rPr>
              <w:t>Jó</w:t>
            </w:r>
            <w:proofErr w:type="spellEnd"/>
            <w:r w:rsidRPr="004768D0">
              <w:rPr>
                <w:rFonts w:ascii="Cambria" w:hAnsi="Cambria"/>
                <w:sz w:val="16"/>
                <w:szCs w:val="16"/>
                <w:lang w:val="es-ES"/>
              </w:rPr>
              <w:t xml:space="preserve">, </w:t>
            </w:r>
            <w:r w:rsidR="007F7312">
              <w:rPr>
                <w:rFonts w:ascii="Cambria" w:hAnsi="Cambria"/>
                <w:sz w:val="16"/>
                <w:szCs w:val="16"/>
                <w:lang w:val="es-ES"/>
              </w:rPr>
              <w:t>ocho</w:t>
            </w:r>
            <w:r w:rsidRPr="004768D0">
              <w:rPr>
                <w:rFonts w:ascii="Cambria" w:hAnsi="Cambria"/>
                <w:sz w:val="16"/>
                <w:szCs w:val="16"/>
                <w:lang w:val="es-ES"/>
              </w:rPr>
              <w:t xml:space="preserve"> tiros. </w:t>
            </w:r>
            <w:r w:rsidR="00E04ED3" w:rsidRPr="004768D0">
              <w:rPr>
                <w:rFonts w:ascii="Cambria" w:hAnsi="Cambria"/>
                <w:sz w:val="16"/>
                <w:szCs w:val="16"/>
                <w:lang w:val="es-ES"/>
              </w:rPr>
              <w:t>Los dos</w:t>
            </w:r>
            <w:r w:rsidRPr="004768D0">
              <w:rPr>
                <w:rFonts w:ascii="Cambria" w:hAnsi="Cambria"/>
                <w:sz w:val="16"/>
                <w:szCs w:val="16"/>
                <w:lang w:val="es-ES"/>
              </w:rPr>
              <w:t xml:space="preserve"> </w:t>
            </w:r>
            <w:r w:rsidR="00E04ED3" w:rsidRPr="004768D0">
              <w:rPr>
                <w:rFonts w:ascii="Cambria" w:hAnsi="Cambria"/>
                <w:sz w:val="16"/>
                <w:szCs w:val="16"/>
                <w:lang w:val="es-ES"/>
              </w:rPr>
              <w:t>primeros</w:t>
            </w:r>
            <w:r w:rsidRPr="004768D0">
              <w:rPr>
                <w:rFonts w:ascii="Cambria" w:hAnsi="Cambria"/>
                <w:sz w:val="16"/>
                <w:szCs w:val="16"/>
                <w:lang w:val="es-ES"/>
              </w:rPr>
              <w:t xml:space="preserve"> </w:t>
            </w:r>
            <w:r w:rsidR="00E04ED3" w:rsidRPr="004768D0">
              <w:rPr>
                <w:rFonts w:ascii="Cambria" w:hAnsi="Cambria"/>
                <w:sz w:val="16"/>
                <w:szCs w:val="16"/>
                <w:lang w:val="es-ES"/>
              </w:rPr>
              <w:t xml:space="preserve">murieron de sus heridas y </w:t>
            </w:r>
            <w:proofErr w:type="spellStart"/>
            <w:r w:rsidRPr="004768D0">
              <w:rPr>
                <w:rFonts w:ascii="Cambria" w:hAnsi="Cambria"/>
                <w:sz w:val="16"/>
                <w:szCs w:val="16"/>
                <w:lang w:val="es-ES"/>
              </w:rPr>
              <w:t>Jó</w:t>
            </w:r>
            <w:proofErr w:type="spellEnd"/>
            <w:r w:rsidRPr="004768D0">
              <w:rPr>
                <w:rFonts w:ascii="Cambria" w:hAnsi="Cambria"/>
                <w:sz w:val="16"/>
                <w:szCs w:val="16"/>
                <w:lang w:val="es-ES"/>
              </w:rPr>
              <w:t xml:space="preserve"> </w:t>
            </w:r>
            <w:r w:rsidR="00E04ED3" w:rsidRPr="004768D0">
              <w:rPr>
                <w:rFonts w:ascii="Cambria" w:hAnsi="Cambria"/>
                <w:sz w:val="16"/>
                <w:szCs w:val="16"/>
                <w:lang w:val="es-ES"/>
              </w:rPr>
              <w:t>quedó</w:t>
            </w:r>
            <w:r w:rsidRPr="004768D0">
              <w:rPr>
                <w:rFonts w:ascii="Cambria" w:hAnsi="Cambria"/>
                <w:sz w:val="16"/>
                <w:szCs w:val="16"/>
                <w:lang w:val="es-ES"/>
              </w:rPr>
              <w:t xml:space="preserve"> </w:t>
            </w:r>
            <w:r w:rsidR="00E04ED3" w:rsidRPr="004768D0">
              <w:rPr>
                <w:rFonts w:ascii="Cambria" w:hAnsi="Cambria"/>
                <w:sz w:val="16"/>
                <w:szCs w:val="16"/>
                <w:lang w:val="es-ES"/>
              </w:rPr>
              <w:t>parapléjico</w:t>
            </w:r>
            <w:r w:rsidRPr="004768D0">
              <w:rPr>
                <w:rFonts w:ascii="Cambria" w:hAnsi="Cambria"/>
                <w:sz w:val="16"/>
                <w:szCs w:val="16"/>
                <w:lang w:val="es-ES"/>
              </w:rPr>
              <w:t>.</w:t>
            </w:r>
          </w:p>
        </w:tc>
      </w:tr>
      <w:tr w:rsidR="00257978" w:rsidRPr="008D6F96" w14:paraId="14FE4E50" w14:textId="77777777" w:rsidTr="00F74F6E">
        <w:tc>
          <w:tcPr>
            <w:tcW w:w="9350" w:type="dxa"/>
            <w:shd w:val="clear" w:color="auto" w:fill="000000" w:themeFill="text1"/>
          </w:tcPr>
          <w:p w14:paraId="057C84C6" w14:textId="0F6E3BD4" w:rsidR="00257978" w:rsidRPr="004768D0" w:rsidRDefault="00372008" w:rsidP="003720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8"/>
                <w:szCs w:val="18"/>
                <w:lang w:val="es-ES"/>
              </w:rPr>
            </w:pPr>
            <w:r w:rsidRPr="004768D0">
              <w:rPr>
                <w:rFonts w:asciiTheme="majorHAnsi" w:hAnsiTheme="majorHAnsi"/>
                <w:b/>
                <w:bCs/>
                <w:color w:val="FFFFFF" w:themeColor="background1"/>
                <w:sz w:val="18"/>
                <w:szCs w:val="18"/>
                <w:lang w:val="es-ES"/>
              </w:rPr>
              <w:t>Aspectos relacionados con la investigación de la muerte de</w:t>
            </w:r>
            <w:r w:rsidR="00257978" w:rsidRPr="004768D0">
              <w:rPr>
                <w:rFonts w:asciiTheme="majorHAnsi" w:hAnsiTheme="majorHAnsi"/>
                <w:b/>
                <w:bCs/>
                <w:color w:val="FFFFFF" w:themeColor="background1"/>
                <w:sz w:val="18"/>
                <w:szCs w:val="18"/>
                <w:lang w:val="es-ES"/>
              </w:rPr>
              <w:t xml:space="preserve"> Marcos </w:t>
            </w:r>
            <w:proofErr w:type="spellStart"/>
            <w:r w:rsidR="00257978" w:rsidRPr="004768D0">
              <w:rPr>
                <w:rFonts w:asciiTheme="majorHAnsi" w:hAnsiTheme="majorHAnsi"/>
                <w:b/>
                <w:bCs/>
                <w:color w:val="FFFFFF" w:themeColor="background1"/>
                <w:sz w:val="18"/>
                <w:szCs w:val="18"/>
                <w:lang w:val="es-ES"/>
              </w:rPr>
              <w:t>R</w:t>
            </w:r>
            <w:r w:rsidR="000211CE">
              <w:rPr>
                <w:rFonts w:asciiTheme="majorHAnsi" w:hAnsiTheme="majorHAnsi"/>
                <w:b/>
                <w:bCs/>
                <w:color w:val="FFFFFF" w:themeColor="background1"/>
                <w:sz w:val="18"/>
                <w:szCs w:val="18"/>
                <w:lang w:val="es-ES"/>
              </w:rPr>
              <w:t>e</w:t>
            </w:r>
            <w:r w:rsidR="00257978" w:rsidRPr="004768D0">
              <w:rPr>
                <w:rFonts w:asciiTheme="majorHAnsi" w:hAnsiTheme="majorHAnsi"/>
                <w:b/>
                <w:bCs/>
                <w:color w:val="FFFFFF" w:themeColor="background1"/>
                <w:sz w:val="18"/>
                <w:szCs w:val="18"/>
                <w:lang w:val="es-ES"/>
              </w:rPr>
              <w:t>bello</w:t>
            </w:r>
            <w:proofErr w:type="spellEnd"/>
            <w:r w:rsidR="00257978" w:rsidRPr="004768D0">
              <w:rPr>
                <w:rFonts w:asciiTheme="majorHAnsi" w:hAnsiTheme="majorHAnsi"/>
                <w:b/>
                <w:bCs/>
                <w:color w:val="FFFFFF" w:themeColor="background1"/>
                <w:sz w:val="18"/>
                <w:szCs w:val="18"/>
                <w:lang w:val="es-ES"/>
              </w:rPr>
              <w:t xml:space="preserve"> Filho </w:t>
            </w:r>
            <w:r w:rsidRPr="004768D0">
              <w:rPr>
                <w:rFonts w:asciiTheme="majorHAnsi" w:hAnsiTheme="majorHAnsi"/>
                <w:b/>
                <w:bCs/>
                <w:color w:val="FFFFFF" w:themeColor="background1"/>
                <w:sz w:val="18"/>
                <w:szCs w:val="18"/>
                <w:lang w:val="es-ES"/>
              </w:rPr>
              <w:t>y</w:t>
            </w:r>
            <w:r w:rsidR="00257978" w:rsidRPr="004768D0">
              <w:rPr>
                <w:rFonts w:asciiTheme="majorHAnsi" w:hAnsiTheme="majorHAnsi"/>
                <w:b/>
                <w:bCs/>
                <w:color w:val="FFFFFF" w:themeColor="background1"/>
                <w:sz w:val="18"/>
                <w:szCs w:val="18"/>
                <w:lang w:val="es-ES"/>
              </w:rPr>
              <w:t xml:space="preserve"> Thiago Roberto Soares</w:t>
            </w:r>
          </w:p>
        </w:tc>
      </w:tr>
      <w:tr w:rsidR="00257978" w:rsidRPr="008D6F96" w14:paraId="214B4C80" w14:textId="77777777" w:rsidTr="00257978">
        <w:tc>
          <w:tcPr>
            <w:tcW w:w="9350" w:type="dxa"/>
          </w:tcPr>
          <w:p w14:paraId="7B0F173E" w14:textId="77777777" w:rsidR="00F74F6E" w:rsidRPr="004768D0" w:rsidRDefault="00F74F6E" w:rsidP="00F74F6E">
            <w:pPr>
              <w:spacing w:before="120" w:after="120"/>
              <w:jc w:val="both"/>
              <w:rPr>
                <w:rFonts w:ascii="Cambria" w:hAnsi="Cambria"/>
                <w:sz w:val="16"/>
                <w:szCs w:val="16"/>
                <w:lang w:val="es-ES"/>
              </w:rPr>
            </w:pPr>
            <w:r w:rsidRPr="004768D0">
              <w:rPr>
                <w:rFonts w:ascii="Cambria" w:hAnsi="Cambria"/>
                <w:sz w:val="16"/>
                <w:szCs w:val="16"/>
                <w:lang w:val="es-ES"/>
              </w:rPr>
              <w:t xml:space="preserve">Durante </w:t>
            </w:r>
            <w:r w:rsidR="00E04ED3" w:rsidRPr="004768D0">
              <w:rPr>
                <w:rFonts w:ascii="Cambria" w:hAnsi="Cambria"/>
                <w:sz w:val="16"/>
                <w:szCs w:val="16"/>
                <w:lang w:val="es-ES"/>
              </w:rPr>
              <w:t>la</w:t>
            </w:r>
            <w:r w:rsidRPr="004768D0">
              <w:rPr>
                <w:rFonts w:ascii="Cambria" w:hAnsi="Cambria"/>
                <w:sz w:val="16"/>
                <w:szCs w:val="16"/>
                <w:lang w:val="es-ES"/>
              </w:rPr>
              <w:t xml:space="preserve">s </w:t>
            </w:r>
            <w:r w:rsidR="00E04ED3" w:rsidRPr="004768D0">
              <w:rPr>
                <w:rFonts w:ascii="Cambria" w:hAnsi="Cambria"/>
                <w:sz w:val="16"/>
                <w:szCs w:val="16"/>
                <w:lang w:val="es-ES"/>
              </w:rPr>
              <w:t>indagaciones del delito</w:t>
            </w:r>
            <w:r w:rsidRPr="004768D0">
              <w:rPr>
                <w:rFonts w:ascii="Cambria" w:hAnsi="Cambria"/>
                <w:sz w:val="16"/>
                <w:szCs w:val="16"/>
                <w:lang w:val="es-ES"/>
              </w:rPr>
              <w:t xml:space="preserve">, que </w:t>
            </w:r>
            <w:r w:rsidR="00E04ED3" w:rsidRPr="004768D0">
              <w:rPr>
                <w:rFonts w:ascii="Cambria" w:hAnsi="Cambria"/>
                <w:sz w:val="16"/>
                <w:szCs w:val="16"/>
                <w:lang w:val="es-ES"/>
              </w:rPr>
              <w:t xml:space="preserve">constan en el expediente de la </w:t>
            </w:r>
            <w:r w:rsidR="00C03E33" w:rsidRPr="004768D0">
              <w:rPr>
                <w:rFonts w:ascii="Cambria" w:hAnsi="Cambria"/>
                <w:sz w:val="16"/>
                <w:szCs w:val="16"/>
                <w:lang w:val="es-ES"/>
              </w:rPr>
              <w:t>investigación</w:t>
            </w:r>
            <w:r w:rsidRPr="004768D0">
              <w:rPr>
                <w:rFonts w:ascii="Cambria" w:hAnsi="Cambria"/>
                <w:sz w:val="16"/>
                <w:szCs w:val="16"/>
                <w:lang w:val="es-ES"/>
              </w:rPr>
              <w:t xml:space="preserve"> policial </w:t>
            </w:r>
            <w:r w:rsidR="00E04ED3" w:rsidRPr="004768D0">
              <w:rPr>
                <w:rFonts w:ascii="Cambria" w:hAnsi="Cambria"/>
                <w:sz w:val="16"/>
                <w:szCs w:val="16"/>
                <w:lang w:val="es-ES"/>
              </w:rPr>
              <w:t>N.</w:t>
            </w:r>
            <w:r w:rsidRPr="004768D0">
              <w:rPr>
                <w:rFonts w:ascii="Cambria" w:hAnsi="Cambria"/>
                <w:sz w:val="16"/>
                <w:szCs w:val="16"/>
                <w:lang w:val="es-ES"/>
              </w:rPr>
              <w:t>° 120/06 d</w:t>
            </w:r>
            <w:r w:rsidR="00E04ED3" w:rsidRPr="004768D0">
              <w:rPr>
                <w:rFonts w:ascii="Cambria" w:hAnsi="Cambria"/>
                <w:sz w:val="16"/>
                <w:szCs w:val="16"/>
                <w:lang w:val="es-ES"/>
              </w:rPr>
              <w:t>el</w:t>
            </w:r>
            <w:r w:rsidRPr="004768D0">
              <w:rPr>
                <w:rFonts w:ascii="Cambria" w:hAnsi="Cambria"/>
                <w:sz w:val="16"/>
                <w:szCs w:val="16"/>
                <w:lang w:val="es-ES"/>
              </w:rPr>
              <w:t xml:space="preserve"> </w:t>
            </w:r>
            <w:r w:rsidR="004744F0" w:rsidRPr="004768D0">
              <w:rPr>
                <w:rFonts w:ascii="Cambria" w:hAnsi="Cambria"/>
                <w:sz w:val="16"/>
                <w:szCs w:val="16"/>
                <w:lang w:val="es-ES"/>
              </w:rPr>
              <w:t>Quinto</w:t>
            </w:r>
            <w:r w:rsidRPr="004768D0">
              <w:rPr>
                <w:rFonts w:ascii="Cambria" w:hAnsi="Cambria"/>
                <w:sz w:val="16"/>
                <w:szCs w:val="16"/>
                <w:lang w:val="es-ES"/>
              </w:rPr>
              <w:t xml:space="preserve"> Distrito Policial de Santos </w:t>
            </w:r>
            <w:r w:rsidR="00E04ED3" w:rsidRPr="004768D0">
              <w:rPr>
                <w:rFonts w:ascii="Cambria" w:hAnsi="Cambria"/>
                <w:sz w:val="16"/>
                <w:szCs w:val="16"/>
                <w:lang w:val="es-ES"/>
              </w:rPr>
              <w:t xml:space="preserve">y en autos </w:t>
            </w:r>
            <w:r w:rsidRPr="004768D0">
              <w:rPr>
                <w:rFonts w:ascii="Cambria" w:hAnsi="Cambria"/>
                <w:sz w:val="16"/>
                <w:szCs w:val="16"/>
                <w:lang w:val="es-ES"/>
              </w:rPr>
              <w:t xml:space="preserve">como </w:t>
            </w:r>
            <w:r w:rsidR="00C03E33" w:rsidRPr="004768D0">
              <w:rPr>
                <w:rFonts w:ascii="Cambria" w:hAnsi="Cambria"/>
                <w:sz w:val="16"/>
                <w:szCs w:val="16"/>
                <w:lang w:val="es-ES"/>
              </w:rPr>
              <w:t>investigación</w:t>
            </w:r>
            <w:r w:rsidRPr="004768D0">
              <w:rPr>
                <w:rFonts w:ascii="Cambria" w:hAnsi="Cambria"/>
                <w:sz w:val="16"/>
                <w:szCs w:val="16"/>
                <w:lang w:val="es-ES"/>
              </w:rPr>
              <w:t xml:space="preserve"> policial </w:t>
            </w:r>
            <w:r w:rsidR="00E04ED3" w:rsidRPr="004768D0">
              <w:rPr>
                <w:rFonts w:ascii="Cambria" w:hAnsi="Cambria"/>
                <w:sz w:val="16"/>
                <w:szCs w:val="16"/>
                <w:lang w:val="es-ES"/>
              </w:rPr>
              <w:t>N.</w:t>
            </w:r>
            <w:r w:rsidRPr="004768D0">
              <w:rPr>
                <w:rFonts w:ascii="Cambria" w:hAnsi="Cambria"/>
                <w:sz w:val="16"/>
                <w:szCs w:val="16"/>
                <w:lang w:val="es-ES"/>
              </w:rPr>
              <w:t>° 184/06 d</w:t>
            </w:r>
            <w:r w:rsidR="00E04ED3" w:rsidRPr="004768D0">
              <w:rPr>
                <w:rFonts w:ascii="Cambria" w:hAnsi="Cambria"/>
                <w:sz w:val="16"/>
                <w:szCs w:val="16"/>
                <w:lang w:val="es-ES"/>
              </w:rPr>
              <w:t>el</w:t>
            </w:r>
            <w:r w:rsidRPr="004768D0">
              <w:rPr>
                <w:rFonts w:ascii="Cambria" w:hAnsi="Cambria"/>
                <w:sz w:val="16"/>
                <w:szCs w:val="16"/>
                <w:lang w:val="es-ES"/>
              </w:rPr>
              <w:t xml:space="preserve"> </w:t>
            </w:r>
            <w:r w:rsidR="00545A17" w:rsidRPr="004768D0">
              <w:rPr>
                <w:rFonts w:ascii="Cambria" w:hAnsi="Cambria"/>
                <w:sz w:val="16"/>
                <w:szCs w:val="16"/>
                <w:lang w:val="es-ES"/>
              </w:rPr>
              <w:t xml:space="preserve">Primer Juzgado Penal y del Jurado </w:t>
            </w:r>
            <w:r w:rsidRPr="004768D0">
              <w:rPr>
                <w:rFonts w:ascii="Cambria" w:hAnsi="Cambria"/>
                <w:sz w:val="16"/>
                <w:szCs w:val="16"/>
                <w:lang w:val="es-ES"/>
              </w:rPr>
              <w:t xml:space="preserve">de Santos, </w:t>
            </w:r>
            <w:r w:rsidR="00545A17" w:rsidRPr="004768D0">
              <w:rPr>
                <w:rFonts w:ascii="Cambria" w:hAnsi="Cambria"/>
                <w:sz w:val="16"/>
                <w:szCs w:val="16"/>
                <w:lang w:val="es-ES"/>
              </w:rPr>
              <w:t xml:space="preserve">se determinó inicialmente que </w:t>
            </w:r>
            <w:r w:rsidRPr="004768D0">
              <w:rPr>
                <w:rFonts w:ascii="Cambria" w:hAnsi="Cambria"/>
                <w:sz w:val="16"/>
                <w:szCs w:val="16"/>
                <w:lang w:val="es-ES"/>
              </w:rPr>
              <w:t xml:space="preserve">Marcos </w:t>
            </w:r>
            <w:r w:rsidR="001F69B8" w:rsidRPr="004768D0">
              <w:rPr>
                <w:rFonts w:ascii="Cambria" w:hAnsi="Cambria"/>
                <w:sz w:val="16"/>
                <w:szCs w:val="16"/>
                <w:lang w:val="es-ES"/>
              </w:rPr>
              <w:t xml:space="preserve">habría sido arrestado por portación de drogas en </w:t>
            </w:r>
            <w:r w:rsidRPr="004768D0">
              <w:rPr>
                <w:rFonts w:ascii="Cambria" w:hAnsi="Cambria"/>
                <w:sz w:val="16"/>
                <w:szCs w:val="16"/>
                <w:lang w:val="es-ES"/>
              </w:rPr>
              <w:t>1999</w:t>
            </w:r>
            <w:r w:rsidR="001F69B8" w:rsidRPr="004768D0">
              <w:rPr>
                <w:rFonts w:ascii="Cambria" w:hAnsi="Cambria"/>
                <w:sz w:val="16"/>
                <w:szCs w:val="16"/>
                <w:lang w:val="es-ES"/>
              </w:rPr>
              <w:t xml:space="preserve"> en </w:t>
            </w:r>
            <w:r w:rsidRPr="004768D0">
              <w:rPr>
                <w:rFonts w:ascii="Cambria" w:hAnsi="Cambria"/>
                <w:sz w:val="16"/>
                <w:szCs w:val="16"/>
                <w:lang w:val="es-ES"/>
              </w:rPr>
              <w:t xml:space="preserve">São </w:t>
            </w:r>
            <w:proofErr w:type="spellStart"/>
            <w:r w:rsidRPr="004768D0">
              <w:rPr>
                <w:rFonts w:ascii="Cambria" w:hAnsi="Cambria"/>
                <w:sz w:val="16"/>
                <w:szCs w:val="16"/>
                <w:lang w:val="es-ES"/>
              </w:rPr>
              <w:t>Sebastião</w:t>
            </w:r>
            <w:proofErr w:type="spellEnd"/>
            <w:r w:rsidR="001F69B8" w:rsidRPr="004768D0">
              <w:rPr>
                <w:rFonts w:ascii="Cambria" w:hAnsi="Cambria"/>
                <w:sz w:val="16"/>
                <w:szCs w:val="16"/>
                <w:lang w:val="es-ES"/>
              </w:rPr>
              <w:t xml:space="preserve"> y </w:t>
            </w:r>
            <w:r w:rsidRPr="004768D0">
              <w:rPr>
                <w:rFonts w:ascii="Cambria" w:hAnsi="Cambria"/>
                <w:sz w:val="16"/>
                <w:szCs w:val="16"/>
                <w:lang w:val="es-ES"/>
              </w:rPr>
              <w:t xml:space="preserve">que Thiago </w:t>
            </w:r>
            <w:r w:rsidR="001F69B8" w:rsidRPr="004768D0">
              <w:rPr>
                <w:rFonts w:ascii="Cambria" w:hAnsi="Cambria"/>
                <w:sz w:val="16"/>
                <w:szCs w:val="16"/>
                <w:lang w:val="es-ES"/>
              </w:rPr>
              <w:t>usaba</w:t>
            </w:r>
            <w:r w:rsidRPr="004768D0">
              <w:rPr>
                <w:rFonts w:ascii="Cambria" w:hAnsi="Cambria"/>
                <w:sz w:val="16"/>
                <w:szCs w:val="16"/>
                <w:lang w:val="es-ES"/>
              </w:rPr>
              <w:t xml:space="preserve"> </w:t>
            </w:r>
            <w:r w:rsidR="001F69B8" w:rsidRPr="004768D0">
              <w:rPr>
                <w:rFonts w:ascii="Cambria" w:hAnsi="Cambria"/>
                <w:sz w:val="16"/>
                <w:szCs w:val="16"/>
                <w:lang w:val="es-ES"/>
              </w:rPr>
              <w:t>marihuana</w:t>
            </w:r>
            <w:r w:rsidRPr="004768D0">
              <w:rPr>
                <w:rFonts w:ascii="Cambria" w:hAnsi="Cambria"/>
                <w:sz w:val="16"/>
                <w:szCs w:val="16"/>
                <w:lang w:val="es-ES"/>
              </w:rPr>
              <w:t xml:space="preserve"> </w:t>
            </w:r>
            <w:r w:rsidR="001F69B8" w:rsidRPr="004768D0">
              <w:rPr>
                <w:rFonts w:ascii="Cambria" w:hAnsi="Cambria"/>
                <w:sz w:val="16"/>
                <w:szCs w:val="16"/>
                <w:lang w:val="es-ES"/>
              </w:rPr>
              <w:t xml:space="preserve">y habría sido arrestado cuando era </w:t>
            </w:r>
            <w:r w:rsidRPr="004768D0">
              <w:rPr>
                <w:rFonts w:ascii="Cambria" w:hAnsi="Cambria"/>
                <w:sz w:val="16"/>
                <w:szCs w:val="16"/>
                <w:lang w:val="es-ES"/>
              </w:rPr>
              <w:t>adolescente. Es</w:t>
            </w:r>
            <w:r w:rsidR="001F69B8" w:rsidRPr="004768D0">
              <w:rPr>
                <w:rFonts w:ascii="Cambria" w:hAnsi="Cambria"/>
                <w:sz w:val="16"/>
                <w:szCs w:val="16"/>
                <w:lang w:val="es-ES"/>
              </w:rPr>
              <w:t xml:space="preserve">os datos fueron utilizados para </w:t>
            </w:r>
            <w:r w:rsidRPr="004768D0">
              <w:rPr>
                <w:rFonts w:ascii="Cambria" w:hAnsi="Cambria"/>
                <w:sz w:val="16"/>
                <w:szCs w:val="16"/>
                <w:lang w:val="es-ES"/>
              </w:rPr>
              <w:t>des</w:t>
            </w:r>
            <w:r w:rsidR="001F69B8" w:rsidRPr="004768D0">
              <w:rPr>
                <w:rFonts w:ascii="Cambria" w:hAnsi="Cambria"/>
                <w:sz w:val="16"/>
                <w:szCs w:val="16"/>
                <w:lang w:val="es-ES"/>
              </w:rPr>
              <w:t xml:space="preserve">acreditar a los jóvenes y </w:t>
            </w:r>
            <w:r w:rsidRPr="004768D0">
              <w:rPr>
                <w:rFonts w:ascii="Cambria" w:hAnsi="Cambria"/>
                <w:sz w:val="16"/>
                <w:szCs w:val="16"/>
                <w:lang w:val="es-ES"/>
              </w:rPr>
              <w:t xml:space="preserve">justificar </w:t>
            </w:r>
            <w:r w:rsidR="001F69B8" w:rsidRPr="004768D0">
              <w:rPr>
                <w:rFonts w:ascii="Cambria" w:hAnsi="Cambria"/>
                <w:sz w:val="16"/>
                <w:szCs w:val="16"/>
                <w:lang w:val="es-ES"/>
              </w:rPr>
              <w:t xml:space="preserve">los actos de </w:t>
            </w:r>
            <w:r w:rsidR="000C0AC4" w:rsidRPr="004768D0">
              <w:rPr>
                <w:rFonts w:ascii="Cambria" w:hAnsi="Cambria"/>
                <w:sz w:val="16"/>
                <w:szCs w:val="16"/>
                <w:lang w:val="es-ES"/>
              </w:rPr>
              <w:t>sus</w:t>
            </w:r>
            <w:r w:rsidRPr="004768D0">
              <w:rPr>
                <w:rFonts w:ascii="Cambria" w:hAnsi="Cambria"/>
                <w:sz w:val="16"/>
                <w:szCs w:val="16"/>
                <w:lang w:val="es-ES"/>
              </w:rPr>
              <w:t xml:space="preserve"> </w:t>
            </w:r>
            <w:r w:rsidR="001F69B8" w:rsidRPr="004768D0">
              <w:rPr>
                <w:rFonts w:ascii="Cambria" w:hAnsi="Cambria"/>
                <w:sz w:val="16"/>
                <w:szCs w:val="16"/>
                <w:lang w:val="es-ES"/>
              </w:rPr>
              <w:t>ejecutores</w:t>
            </w:r>
            <w:r w:rsidRPr="004768D0">
              <w:rPr>
                <w:rFonts w:ascii="Cambria" w:hAnsi="Cambria"/>
                <w:sz w:val="16"/>
                <w:szCs w:val="16"/>
                <w:lang w:val="es-ES"/>
              </w:rPr>
              <w:t xml:space="preserve">. </w:t>
            </w:r>
            <w:r w:rsidR="000B614B" w:rsidRPr="004768D0">
              <w:rPr>
                <w:rFonts w:ascii="Cambria" w:hAnsi="Cambria"/>
                <w:sz w:val="16"/>
                <w:szCs w:val="16"/>
                <w:lang w:val="es-ES"/>
              </w:rPr>
              <w:t>El</w:t>
            </w:r>
            <w:r w:rsidRPr="004768D0">
              <w:rPr>
                <w:rFonts w:ascii="Cambria" w:hAnsi="Cambria"/>
                <w:sz w:val="16"/>
                <w:szCs w:val="16"/>
                <w:lang w:val="es-ES"/>
              </w:rPr>
              <w:t xml:space="preserve"> </w:t>
            </w:r>
            <w:r w:rsidR="001F69B8" w:rsidRPr="004768D0">
              <w:rPr>
                <w:rFonts w:ascii="Cambria" w:hAnsi="Cambria"/>
                <w:sz w:val="16"/>
                <w:szCs w:val="16"/>
                <w:lang w:val="es-ES"/>
              </w:rPr>
              <w:t>informe</w:t>
            </w:r>
            <w:r w:rsidRPr="004768D0">
              <w:rPr>
                <w:rFonts w:ascii="Cambria" w:hAnsi="Cambria"/>
                <w:sz w:val="16"/>
                <w:szCs w:val="16"/>
                <w:lang w:val="es-ES"/>
              </w:rPr>
              <w:t xml:space="preserve"> d</w:t>
            </w:r>
            <w:r w:rsidR="000B614B" w:rsidRPr="004768D0">
              <w:rPr>
                <w:rFonts w:ascii="Cambria" w:hAnsi="Cambria"/>
                <w:sz w:val="16"/>
                <w:szCs w:val="16"/>
                <w:lang w:val="es-ES"/>
              </w:rPr>
              <w:t>e la</w:t>
            </w:r>
            <w:r w:rsidRPr="004768D0">
              <w:rPr>
                <w:rFonts w:ascii="Cambria" w:hAnsi="Cambria"/>
                <w:sz w:val="16"/>
                <w:szCs w:val="16"/>
                <w:lang w:val="es-ES"/>
              </w:rPr>
              <w:t xml:space="preserve"> </w:t>
            </w:r>
            <w:r w:rsidR="00C03E33" w:rsidRPr="004768D0">
              <w:rPr>
                <w:rFonts w:ascii="Cambria" w:hAnsi="Cambria"/>
                <w:sz w:val="16"/>
                <w:szCs w:val="16"/>
                <w:lang w:val="es-ES"/>
              </w:rPr>
              <w:t>investigación</w:t>
            </w:r>
            <w:r w:rsidRPr="004768D0">
              <w:rPr>
                <w:rFonts w:ascii="Cambria" w:hAnsi="Cambria"/>
                <w:sz w:val="16"/>
                <w:szCs w:val="16"/>
                <w:lang w:val="es-ES"/>
              </w:rPr>
              <w:t xml:space="preserve"> policial </w:t>
            </w:r>
            <w:r w:rsidR="000B614B" w:rsidRPr="004768D0">
              <w:rPr>
                <w:rFonts w:ascii="Cambria" w:hAnsi="Cambria"/>
                <w:sz w:val="16"/>
                <w:szCs w:val="16"/>
                <w:lang w:val="es-ES"/>
              </w:rPr>
              <w:t xml:space="preserve">pondría de manifiesto esa </w:t>
            </w:r>
            <w:r w:rsidRPr="004768D0">
              <w:rPr>
                <w:rFonts w:ascii="Cambria" w:hAnsi="Cambria"/>
                <w:sz w:val="16"/>
                <w:szCs w:val="16"/>
                <w:lang w:val="es-ES"/>
              </w:rPr>
              <w:t xml:space="preserve">forma de </w:t>
            </w:r>
            <w:r w:rsidR="000B614B" w:rsidRPr="004768D0">
              <w:rPr>
                <w:rFonts w:ascii="Cambria" w:hAnsi="Cambria"/>
                <w:sz w:val="16"/>
                <w:szCs w:val="16"/>
                <w:lang w:val="es-ES"/>
              </w:rPr>
              <w:t>c</w:t>
            </w:r>
            <w:r w:rsidRPr="004768D0">
              <w:rPr>
                <w:rFonts w:ascii="Cambria" w:hAnsi="Cambria"/>
                <w:sz w:val="16"/>
                <w:szCs w:val="16"/>
                <w:lang w:val="es-ES"/>
              </w:rPr>
              <w:t xml:space="preserve">alificar </w:t>
            </w:r>
            <w:r w:rsidR="000B614B" w:rsidRPr="004768D0">
              <w:rPr>
                <w:rFonts w:ascii="Cambria" w:hAnsi="Cambria"/>
                <w:sz w:val="16"/>
                <w:szCs w:val="16"/>
                <w:lang w:val="es-ES"/>
              </w:rPr>
              <w:t>l</w:t>
            </w:r>
            <w:r w:rsidRPr="004768D0">
              <w:rPr>
                <w:rFonts w:ascii="Cambria" w:hAnsi="Cambria"/>
                <w:sz w:val="16"/>
                <w:szCs w:val="16"/>
                <w:lang w:val="es-ES"/>
              </w:rPr>
              <w:t>as m</w:t>
            </w:r>
            <w:r w:rsidR="000B614B" w:rsidRPr="004768D0">
              <w:rPr>
                <w:rFonts w:ascii="Cambria" w:hAnsi="Cambria"/>
                <w:sz w:val="16"/>
                <w:szCs w:val="16"/>
                <w:lang w:val="es-ES"/>
              </w:rPr>
              <w:t>uertes</w:t>
            </w:r>
            <w:r w:rsidRPr="004768D0">
              <w:rPr>
                <w:rFonts w:ascii="Cambria" w:hAnsi="Cambria"/>
                <w:sz w:val="16"/>
                <w:szCs w:val="16"/>
                <w:lang w:val="es-ES"/>
              </w:rPr>
              <w:t>.</w:t>
            </w:r>
          </w:p>
          <w:p w14:paraId="0CFBB0F8" w14:textId="77777777" w:rsidR="00F74F6E" w:rsidRPr="004768D0" w:rsidRDefault="004744F0" w:rsidP="00F74F6E">
            <w:pPr>
              <w:spacing w:before="120" w:after="120"/>
              <w:jc w:val="both"/>
              <w:rPr>
                <w:rFonts w:ascii="Cambria" w:hAnsi="Cambria"/>
                <w:sz w:val="16"/>
                <w:szCs w:val="16"/>
                <w:lang w:val="es-ES"/>
              </w:rPr>
            </w:pPr>
            <w:r w:rsidRPr="004768D0">
              <w:rPr>
                <w:rFonts w:ascii="Cambria" w:hAnsi="Cambria"/>
                <w:sz w:val="16"/>
                <w:szCs w:val="16"/>
                <w:lang w:val="es-ES"/>
              </w:rPr>
              <w:t>Una testigo</w:t>
            </w:r>
            <w:r w:rsidR="00F74F6E" w:rsidRPr="004768D0">
              <w:rPr>
                <w:rFonts w:ascii="Cambria" w:hAnsi="Cambria"/>
                <w:sz w:val="16"/>
                <w:szCs w:val="16"/>
                <w:lang w:val="es-ES"/>
              </w:rPr>
              <w:t xml:space="preserve"> presencial (</w:t>
            </w:r>
            <w:r w:rsidRPr="004768D0">
              <w:rPr>
                <w:rFonts w:ascii="Cambria" w:hAnsi="Cambria"/>
                <w:sz w:val="16"/>
                <w:szCs w:val="16"/>
                <w:lang w:val="es-ES"/>
              </w:rPr>
              <w:t>cuyo nombre no se ha dado a conocer por motivos de seguridad</w:t>
            </w:r>
            <w:r w:rsidR="00F74F6E" w:rsidRPr="004768D0">
              <w:rPr>
                <w:rFonts w:ascii="Cambria" w:hAnsi="Cambria"/>
                <w:sz w:val="16"/>
                <w:szCs w:val="16"/>
                <w:lang w:val="es-ES"/>
              </w:rPr>
              <w:t xml:space="preserve">) </w:t>
            </w:r>
            <w:r w:rsidRPr="004768D0">
              <w:rPr>
                <w:rFonts w:ascii="Cambria" w:hAnsi="Cambria"/>
                <w:sz w:val="16"/>
                <w:szCs w:val="16"/>
                <w:lang w:val="es-ES"/>
              </w:rPr>
              <w:t>le contó a la familia</w:t>
            </w:r>
            <w:r w:rsidR="00F74F6E" w:rsidRPr="004768D0">
              <w:rPr>
                <w:rFonts w:ascii="Cambria" w:hAnsi="Cambria"/>
                <w:sz w:val="16"/>
                <w:szCs w:val="16"/>
                <w:lang w:val="es-ES"/>
              </w:rPr>
              <w:t xml:space="preserve"> de Marcos que </w:t>
            </w:r>
            <w:r w:rsidRPr="004768D0">
              <w:rPr>
                <w:rFonts w:ascii="Cambria" w:hAnsi="Cambria"/>
                <w:sz w:val="16"/>
                <w:szCs w:val="16"/>
                <w:lang w:val="es-ES"/>
              </w:rPr>
              <w:t>l</w:t>
            </w:r>
            <w:r w:rsidR="00F74F6E" w:rsidRPr="004768D0">
              <w:rPr>
                <w:rFonts w:ascii="Cambria" w:hAnsi="Cambria"/>
                <w:sz w:val="16"/>
                <w:szCs w:val="16"/>
                <w:lang w:val="es-ES"/>
              </w:rPr>
              <w:t xml:space="preserve">os </w:t>
            </w:r>
            <w:r w:rsidR="00E04ED3" w:rsidRPr="004768D0">
              <w:rPr>
                <w:rFonts w:ascii="Cambria" w:hAnsi="Cambria"/>
                <w:sz w:val="16"/>
                <w:szCs w:val="16"/>
                <w:lang w:val="es-ES"/>
              </w:rPr>
              <w:t>policías militares</w:t>
            </w:r>
            <w:r w:rsidR="00F74F6E" w:rsidRPr="004768D0">
              <w:rPr>
                <w:rFonts w:ascii="Cambria" w:hAnsi="Cambria"/>
                <w:sz w:val="16"/>
                <w:szCs w:val="16"/>
                <w:lang w:val="es-ES"/>
              </w:rPr>
              <w:t xml:space="preserve"> con</w:t>
            </w:r>
            <w:r w:rsidRPr="004768D0">
              <w:rPr>
                <w:rFonts w:ascii="Cambria" w:hAnsi="Cambria"/>
                <w:sz w:val="16"/>
                <w:szCs w:val="16"/>
                <w:lang w:val="es-ES"/>
              </w:rPr>
              <w:t>ocidos por los apodos de “</w:t>
            </w:r>
            <w:r w:rsidR="00F74F6E" w:rsidRPr="004768D0">
              <w:rPr>
                <w:rFonts w:ascii="Cambria" w:hAnsi="Cambria"/>
                <w:sz w:val="16"/>
                <w:szCs w:val="16"/>
                <w:lang w:val="es-ES"/>
              </w:rPr>
              <w:t>Bolacha</w:t>
            </w:r>
            <w:r w:rsidRPr="004768D0">
              <w:rPr>
                <w:rFonts w:ascii="Cambria" w:hAnsi="Cambria"/>
                <w:sz w:val="16"/>
                <w:szCs w:val="16"/>
                <w:lang w:val="es-ES"/>
              </w:rPr>
              <w:t>”</w:t>
            </w:r>
            <w:r w:rsidR="00F74F6E" w:rsidRPr="004768D0">
              <w:rPr>
                <w:rFonts w:ascii="Cambria" w:hAnsi="Cambria"/>
                <w:sz w:val="16"/>
                <w:szCs w:val="16"/>
                <w:lang w:val="es-ES"/>
              </w:rPr>
              <w:t xml:space="preserve">, </w:t>
            </w:r>
            <w:r w:rsidRPr="004768D0">
              <w:rPr>
                <w:rFonts w:ascii="Cambria" w:hAnsi="Cambria"/>
                <w:sz w:val="16"/>
                <w:szCs w:val="16"/>
                <w:lang w:val="es-ES"/>
              </w:rPr>
              <w:t>“</w:t>
            </w:r>
            <w:proofErr w:type="spellStart"/>
            <w:r w:rsidR="00F74F6E" w:rsidRPr="004768D0">
              <w:rPr>
                <w:rFonts w:ascii="Cambria" w:hAnsi="Cambria"/>
                <w:sz w:val="16"/>
                <w:szCs w:val="16"/>
                <w:lang w:val="es-ES"/>
              </w:rPr>
              <w:t>Bubu</w:t>
            </w:r>
            <w:proofErr w:type="spellEnd"/>
            <w:r w:rsidRPr="004768D0">
              <w:rPr>
                <w:rFonts w:ascii="Cambria" w:hAnsi="Cambria"/>
                <w:sz w:val="16"/>
                <w:szCs w:val="16"/>
                <w:lang w:val="es-ES"/>
              </w:rPr>
              <w:t>”</w:t>
            </w:r>
            <w:r w:rsidR="00F74F6E" w:rsidRPr="004768D0">
              <w:rPr>
                <w:rFonts w:ascii="Cambria" w:hAnsi="Cambria"/>
                <w:sz w:val="16"/>
                <w:szCs w:val="16"/>
                <w:lang w:val="es-ES"/>
              </w:rPr>
              <w:t xml:space="preserve">, </w:t>
            </w:r>
            <w:r w:rsidRPr="004768D0">
              <w:rPr>
                <w:rFonts w:ascii="Cambria" w:hAnsi="Cambria"/>
                <w:sz w:val="16"/>
                <w:szCs w:val="16"/>
                <w:lang w:val="es-ES"/>
              </w:rPr>
              <w:t>“</w:t>
            </w:r>
            <w:proofErr w:type="spellStart"/>
            <w:r w:rsidR="00F74F6E" w:rsidRPr="004768D0">
              <w:rPr>
                <w:rFonts w:ascii="Cambria" w:hAnsi="Cambria"/>
                <w:sz w:val="16"/>
                <w:szCs w:val="16"/>
                <w:lang w:val="es-ES"/>
              </w:rPr>
              <w:t>Derinho</w:t>
            </w:r>
            <w:proofErr w:type="spellEnd"/>
            <w:r w:rsidRPr="004768D0">
              <w:rPr>
                <w:rFonts w:ascii="Cambria" w:hAnsi="Cambria"/>
                <w:sz w:val="16"/>
                <w:szCs w:val="16"/>
                <w:lang w:val="es-ES"/>
              </w:rPr>
              <w:t>”</w:t>
            </w:r>
            <w:r w:rsidR="00F74F6E" w:rsidRPr="004768D0">
              <w:rPr>
                <w:rFonts w:ascii="Cambria" w:hAnsi="Cambria"/>
                <w:sz w:val="16"/>
                <w:szCs w:val="16"/>
                <w:lang w:val="es-ES"/>
              </w:rPr>
              <w:t xml:space="preserve"> </w:t>
            </w:r>
            <w:r w:rsidRPr="004768D0">
              <w:rPr>
                <w:rFonts w:ascii="Cambria" w:hAnsi="Cambria"/>
                <w:sz w:val="16"/>
                <w:szCs w:val="16"/>
                <w:lang w:val="es-ES"/>
              </w:rPr>
              <w:t>y</w:t>
            </w:r>
            <w:r w:rsidR="00F74F6E" w:rsidRPr="004768D0">
              <w:rPr>
                <w:rFonts w:ascii="Cambria" w:hAnsi="Cambria"/>
                <w:sz w:val="16"/>
                <w:szCs w:val="16"/>
                <w:lang w:val="es-ES"/>
              </w:rPr>
              <w:t xml:space="preserve"> </w:t>
            </w:r>
            <w:r w:rsidRPr="004768D0">
              <w:rPr>
                <w:rFonts w:ascii="Cambria" w:hAnsi="Cambria"/>
                <w:sz w:val="16"/>
                <w:szCs w:val="16"/>
                <w:lang w:val="es-ES"/>
              </w:rPr>
              <w:t>“</w:t>
            </w:r>
            <w:proofErr w:type="spellStart"/>
            <w:r w:rsidR="00F74F6E" w:rsidRPr="004768D0">
              <w:rPr>
                <w:rFonts w:ascii="Cambria" w:hAnsi="Cambria"/>
                <w:sz w:val="16"/>
                <w:szCs w:val="16"/>
                <w:lang w:val="es-ES"/>
              </w:rPr>
              <w:t>Aragão</w:t>
            </w:r>
            <w:proofErr w:type="spellEnd"/>
            <w:r w:rsidRPr="004768D0">
              <w:rPr>
                <w:rFonts w:ascii="Cambria" w:hAnsi="Cambria"/>
                <w:sz w:val="16"/>
                <w:szCs w:val="16"/>
                <w:lang w:val="es-ES"/>
              </w:rPr>
              <w:t>”</w:t>
            </w:r>
            <w:r w:rsidR="00F74F6E" w:rsidRPr="004768D0">
              <w:rPr>
                <w:rFonts w:ascii="Cambria" w:hAnsi="Cambria"/>
                <w:sz w:val="16"/>
                <w:szCs w:val="16"/>
                <w:lang w:val="es-ES"/>
              </w:rPr>
              <w:t xml:space="preserve"> est</w:t>
            </w:r>
            <w:r w:rsidRPr="004768D0">
              <w:rPr>
                <w:rFonts w:ascii="Cambria" w:hAnsi="Cambria"/>
                <w:sz w:val="16"/>
                <w:szCs w:val="16"/>
                <w:lang w:val="es-ES"/>
              </w:rPr>
              <w:t>aban involucrados en la muerte de los jóvenes</w:t>
            </w:r>
            <w:r w:rsidR="00F74F6E" w:rsidRPr="004768D0">
              <w:rPr>
                <w:rFonts w:ascii="Cambria" w:hAnsi="Cambria"/>
                <w:sz w:val="16"/>
                <w:szCs w:val="16"/>
                <w:lang w:val="es-ES"/>
              </w:rPr>
              <w:t xml:space="preserve">. </w:t>
            </w:r>
          </w:p>
          <w:p w14:paraId="2EC0CEEB" w14:textId="77777777" w:rsidR="00F74F6E" w:rsidRPr="004768D0" w:rsidRDefault="004744F0" w:rsidP="00F74F6E">
            <w:pPr>
              <w:spacing w:before="120" w:after="120"/>
              <w:jc w:val="both"/>
              <w:rPr>
                <w:rFonts w:ascii="Cambria" w:hAnsi="Cambria"/>
                <w:sz w:val="16"/>
                <w:szCs w:val="16"/>
                <w:lang w:val="es-ES"/>
              </w:rPr>
            </w:pPr>
            <w:r w:rsidRPr="004768D0">
              <w:rPr>
                <w:rFonts w:ascii="Cambria" w:hAnsi="Cambria"/>
                <w:sz w:val="16"/>
                <w:szCs w:val="16"/>
                <w:lang w:val="es-ES"/>
              </w:rPr>
              <w:t>La</w:t>
            </w:r>
            <w:r w:rsidR="00F74F6E" w:rsidRPr="004768D0">
              <w:rPr>
                <w:rFonts w:ascii="Cambria" w:hAnsi="Cambria"/>
                <w:sz w:val="16"/>
                <w:szCs w:val="16"/>
                <w:lang w:val="es-ES"/>
              </w:rPr>
              <w:t xml:space="preserve"> </w:t>
            </w:r>
            <w:r w:rsidR="007F4608" w:rsidRPr="004768D0">
              <w:rPr>
                <w:rFonts w:ascii="Cambria" w:hAnsi="Cambria"/>
                <w:sz w:val="16"/>
                <w:szCs w:val="16"/>
                <w:lang w:val="es-ES"/>
              </w:rPr>
              <w:t>madre de</w:t>
            </w:r>
            <w:r w:rsidR="00F74F6E" w:rsidRPr="004768D0">
              <w:rPr>
                <w:rFonts w:ascii="Cambria" w:hAnsi="Cambria"/>
                <w:sz w:val="16"/>
                <w:szCs w:val="16"/>
                <w:lang w:val="es-ES"/>
              </w:rPr>
              <w:t xml:space="preserve"> Marcos, </w:t>
            </w:r>
            <w:proofErr w:type="spellStart"/>
            <w:r w:rsidR="00F74F6E" w:rsidRPr="004768D0">
              <w:rPr>
                <w:rFonts w:ascii="Cambria" w:hAnsi="Cambria"/>
                <w:sz w:val="16"/>
                <w:szCs w:val="16"/>
                <w:lang w:val="es-ES"/>
              </w:rPr>
              <w:t>Edinalva</w:t>
            </w:r>
            <w:proofErr w:type="spellEnd"/>
            <w:r w:rsidR="00F74F6E" w:rsidRPr="004768D0">
              <w:rPr>
                <w:rFonts w:ascii="Cambria" w:hAnsi="Cambria"/>
                <w:sz w:val="16"/>
                <w:szCs w:val="16"/>
                <w:lang w:val="es-ES"/>
              </w:rPr>
              <w:t xml:space="preserve">, informa </w:t>
            </w:r>
            <w:r w:rsidRPr="004768D0">
              <w:rPr>
                <w:rFonts w:ascii="Cambria" w:hAnsi="Cambria"/>
                <w:sz w:val="16"/>
                <w:szCs w:val="16"/>
                <w:lang w:val="es-ES"/>
              </w:rPr>
              <w:t>que transmitió los datos de es</w:t>
            </w:r>
            <w:r w:rsidR="00242B93">
              <w:rPr>
                <w:rFonts w:ascii="Cambria" w:hAnsi="Cambria"/>
                <w:sz w:val="16"/>
                <w:szCs w:val="16"/>
                <w:lang w:val="es-ES"/>
              </w:rPr>
              <w:t>a</w:t>
            </w:r>
            <w:r w:rsidRPr="004768D0">
              <w:rPr>
                <w:rFonts w:ascii="Cambria" w:hAnsi="Cambria"/>
                <w:sz w:val="16"/>
                <w:szCs w:val="16"/>
                <w:lang w:val="es-ES"/>
              </w:rPr>
              <w:t xml:space="preserve"> testigo al Quinto Distrito</w:t>
            </w:r>
            <w:r w:rsidR="00F74F6E" w:rsidRPr="004768D0">
              <w:rPr>
                <w:rFonts w:ascii="Cambria" w:hAnsi="Cambria"/>
                <w:sz w:val="16"/>
                <w:szCs w:val="16"/>
                <w:lang w:val="es-ES"/>
              </w:rPr>
              <w:t xml:space="preserve"> Policial. </w:t>
            </w:r>
            <w:r w:rsidRPr="004768D0">
              <w:rPr>
                <w:rFonts w:ascii="Cambria" w:hAnsi="Cambria"/>
                <w:sz w:val="16"/>
                <w:szCs w:val="16"/>
                <w:lang w:val="es-ES"/>
              </w:rPr>
              <w:t xml:space="preserve">Posteriormente, cuando </w:t>
            </w:r>
            <w:r w:rsidR="00242B93">
              <w:rPr>
                <w:rFonts w:ascii="Cambria" w:hAnsi="Cambria"/>
                <w:sz w:val="16"/>
                <w:szCs w:val="16"/>
                <w:lang w:val="es-ES"/>
              </w:rPr>
              <w:t xml:space="preserve">la </w:t>
            </w:r>
            <w:r w:rsidRPr="004768D0">
              <w:rPr>
                <w:rFonts w:ascii="Cambria" w:hAnsi="Cambria"/>
                <w:sz w:val="16"/>
                <w:szCs w:val="16"/>
                <w:lang w:val="es-ES"/>
              </w:rPr>
              <w:t xml:space="preserve">visitó, se enteró de que </w:t>
            </w:r>
            <w:r w:rsidR="00242B93">
              <w:rPr>
                <w:rFonts w:ascii="Cambria" w:hAnsi="Cambria"/>
                <w:sz w:val="16"/>
                <w:szCs w:val="16"/>
                <w:lang w:val="es-ES"/>
              </w:rPr>
              <w:t>l</w:t>
            </w:r>
            <w:r w:rsidRPr="004768D0">
              <w:rPr>
                <w:rFonts w:ascii="Cambria" w:hAnsi="Cambria"/>
                <w:sz w:val="16"/>
                <w:szCs w:val="16"/>
                <w:lang w:val="es-ES"/>
              </w:rPr>
              <w:t xml:space="preserve">a </w:t>
            </w:r>
            <w:r w:rsidR="00242B93">
              <w:rPr>
                <w:rFonts w:ascii="Cambria" w:hAnsi="Cambria"/>
                <w:sz w:val="16"/>
                <w:szCs w:val="16"/>
                <w:lang w:val="es-ES"/>
              </w:rPr>
              <w:t xml:space="preserve">testigo </w:t>
            </w:r>
            <w:r w:rsidRPr="004768D0">
              <w:rPr>
                <w:rFonts w:ascii="Cambria" w:hAnsi="Cambria"/>
                <w:sz w:val="16"/>
                <w:szCs w:val="16"/>
                <w:lang w:val="es-ES"/>
              </w:rPr>
              <w:t xml:space="preserve">había sido amenazada y </w:t>
            </w:r>
            <w:r w:rsidR="00F74F6E" w:rsidRPr="004768D0">
              <w:rPr>
                <w:rFonts w:ascii="Cambria" w:hAnsi="Cambria"/>
                <w:sz w:val="16"/>
                <w:szCs w:val="16"/>
                <w:lang w:val="es-ES"/>
              </w:rPr>
              <w:t xml:space="preserve">agredida por </w:t>
            </w:r>
            <w:r w:rsidR="00E04ED3" w:rsidRPr="004768D0">
              <w:rPr>
                <w:rFonts w:ascii="Cambria" w:hAnsi="Cambria"/>
                <w:sz w:val="16"/>
                <w:szCs w:val="16"/>
                <w:lang w:val="es-ES"/>
              </w:rPr>
              <w:t>policías militares</w:t>
            </w:r>
            <w:r w:rsidR="00F74F6E" w:rsidRPr="004768D0">
              <w:rPr>
                <w:rFonts w:ascii="Cambria" w:hAnsi="Cambria"/>
                <w:sz w:val="16"/>
                <w:szCs w:val="16"/>
                <w:lang w:val="es-ES"/>
              </w:rPr>
              <w:t xml:space="preserve"> </w:t>
            </w:r>
            <w:r w:rsidRPr="004768D0">
              <w:rPr>
                <w:rFonts w:ascii="Cambria" w:hAnsi="Cambria"/>
                <w:sz w:val="16"/>
                <w:szCs w:val="16"/>
                <w:lang w:val="es-ES"/>
              </w:rPr>
              <w:t>en su</w:t>
            </w:r>
            <w:r w:rsidR="00F74F6E" w:rsidRPr="004768D0">
              <w:rPr>
                <w:rFonts w:ascii="Cambria" w:hAnsi="Cambria"/>
                <w:sz w:val="16"/>
                <w:szCs w:val="16"/>
                <w:lang w:val="es-ES"/>
              </w:rPr>
              <w:t xml:space="preserve"> casa. </w:t>
            </w:r>
            <w:r w:rsidRPr="004768D0">
              <w:rPr>
                <w:rFonts w:ascii="Cambria" w:hAnsi="Cambria"/>
                <w:sz w:val="16"/>
                <w:szCs w:val="16"/>
                <w:lang w:val="es-ES"/>
              </w:rPr>
              <w:t>Los</w:t>
            </w:r>
            <w:r w:rsidR="00F74F6E" w:rsidRPr="004768D0">
              <w:rPr>
                <w:rFonts w:ascii="Cambria" w:hAnsi="Cambria"/>
                <w:sz w:val="16"/>
                <w:szCs w:val="16"/>
                <w:lang w:val="es-ES"/>
              </w:rPr>
              <w:t xml:space="preserve"> polic</w:t>
            </w:r>
            <w:r w:rsidRPr="004768D0">
              <w:rPr>
                <w:rFonts w:ascii="Cambria" w:hAnsi="Cambria"/>
                <w:sz w:val="16"/>
                <w:szCs w:val="16"/>
                <w:lang w:val="es-ES"/>
              </w:rPr>
              <w:t xml:space="preserve">ías la habrían amenazado con </w:t>
            </w:r>
            <w:r w:rsidR="00FC4885" w:rsidRPr="004768D0">
              <w:rPr>
                <w:rFonts w:ascii="Cambria" w:hAnsi="Cambria"/>
                <w:sz w:val="16"/>
                <w:szCs w:val="16"/>
                <w:lang w:val="es-ES"/>
              </w:rPr>
              <w:t xml:space="preserve">acusarla falsamente de </w:t>
            </w:r>
            <w:r w:rsidR="00242B93">
              <w:rPr>
                <w:rFonts w:ascii="Cambria" w:hAnsi="Cambria"/>
                <w:sz w:val="16"/>
                <w:szCs w:val="16"/>
                <w:lang w:val="es-ES"/>
              </w:rPr>
              <w:t xml:space="preserve">un </w:t>
            </w:r>
            <w:r w:rsidRPr="004768D0">
              <w:rPr>
                <w:rFonts w:ascii="Cambria" w:hAnsi="Cambria"/>
                <w:sz w:val="16"/>
                <w:szCs w:val="16"/>
                <w:lang w:val="es-ES"/>
              </w:rPr>
              <w:t xml:space="preserve">delito </w:t>
            </w:r>
            <w:r w:rsidR="00F74F6E" w:rsidRPr="004768D0">
              <w:rPr>
                <w:rFonts w:ascii="Cambria" w:hAnsi="Cambria"/>
                <w:sz w:val="16"/>
                <w:szCs w:val="16"/>
                <w:lang w:val="es-ES"/>
              </w:rPr>
              <w:t xml:space="preserve">para justificar </w:t>
            </w:r>
            <w:r w:rsidR="00FC4885" w:rsidRPr="004768D0">
              <w:rPr>
                <w:rFonts w:ascii="Cambria" w:hAnsi="Cambria"/>
                <w:sz w:val="16"/>
                <w:szCs w:val="16"/>
                <w:lang w:val="es-ES"/>
              </w:rPr>
              <w:t>su</w:t>
            </w:r>
            <w:r w:rsidRPr="004768D0">
              <w:rPr>
                <w:rFonts w:ascii="Cambria" w:hAnsi="Cambria"/>
                <w:sz w:val="16"/>
                <w:szCs w:val="16"/>
                <w:lang w:val="es-ES"/>
              </w:rPr>
              <w:t xml:space="preserve"> detención. Después de esas amenazas, la testigo </w:t>
            </w:r>
            <w:r w:rsidR="00F74F6E" w:rsidRPr="004768D0">
              <w:rPr>
                <w:rFonts w:ascii="Cambria" w:hAnsi="Cambria"/>
                <w:sz w:val="16"/>
                <w:szCs w:val="16"/>
                <w:lang w:val="es-ES"/>
              </w:rPr>
              <w:t>no identific</w:t>
            </w:r>
            <w:r w:rsidRPr="004768D0">
              <w:rPr>
                <w:rFonts w:ascii="Cambria" w:hAnsi="Cambria"/>
                <w:sz w:val="16"/>
                <w:szCs w:val="16"/>
                <w:lang w:val="es-ES"/>
              </w:rPr>
              <w:t xml:space="preserve">ó a nadie cuando declaró formalmente en la investigación. No obstante, relató que había visto a cuatro </w:t>
            </w:r>
            <w:r w:rsidR="000C0AC4" w:rsidRPr="004768D0">
              <w:rPr>
                <w:rFonts w:ascii="Cambria" w:hAnsi="Cambria"/>
                <w:sz w:val="16"/>
                <w:szCs w:val="16"/>
                <w:lang w:val="es-ES"/>
              </w:rPr>
              <w:t>personas</w:t>
            </w:r>
            <w:r w:rsidR="00F74F6E" w:rsidRPr="004768D0">
              <w:rPr>
                <w:rFonts w:ascii="Cambria" w:hAnsi="Cambria"/>
                <w:sz w:val="16"/>
                <w:szCs w:val="16"/>
                <w:lang w:val="es-ES"/>
              </w:rPr>
              <w:t xml:space="preserve"> encapu</w:t>
            </w:r>
            <w:r w:rsidRPr="004768D0">
              <w:rPr>
                <w:rFonts w:ascii="Cambria" w:hAnsi="Cambria"/>
                <w:sz w:val="16"/>
                <w:szCs w:val="16"/>
                <w:lang w:val="es-ES"/>
              </w:rPr>
              <w:t>ch</w:t>
            </w:r>
            <w:r w:rsidR="00F74F6E" w:rsidRPr="004768D0">
              <w:rPr>
                <w:rFonts w:ascii="Cambria" w:hAnsi="Cambria"/>
                <w:sz w:val="16"/>
                <w:szCs w:val="16"/>
                <w:lang w:val="es-ES"/>
              </w:rPr>
              <w:t xml:space="preserve">adas </w:t>
            </w:r>
            <w:r w:rsidRPr="004768D0">
              <w:rPr>
                <w:rFonts w:ascii="Cambria" w:hAnsi="Cambria"/>
                <w:sz w:val="16"/>
                <w:szCs w:val="16"/>
                <w:lang w:val="es-ES"/>
              </w:rPr>
              <w:t>e</w:t>
            </w:r>
            <w:r w:rsidR="00F74F6E" w:rsidRPr="004768D0">
              <w:rPr>
                <w:rFonts w:ascii="Cambria" w:hAnsi="Cambria"/>
                <w:sz w:val="16"/>
                <w:szCs w:val="16"/>
                <w:lang w:val="es-ES"/>
              </w:rPr>
              <w:t>n</w:t>
            </w:r>
            <w:r w:rsidRPr="004768D0">
              <w:rPr>
                <w:rFonts w:ascii="Cambria" w:hAnsi="Cambria"/>
                <w:sz w:val="16"/>
                <w:szCs w:val="16"/>
                <w:lang w:val="es-ES"/>
              </w:rPr>
              <w:t xml:space="preserve"> </w:t>
            </w:r>
            <w:r w:rsidR="00F74F6E" w:rsidRPr="004768D0">
              <w:rPr>
                <w:rFonts w:ascii="Cambria" w:hAnsi="Cambria"/>
                <w:sz w:val="16"/>
                <w:szCs w:val="16"/>
                <w:lang w:val="es-ES"/>
              </w:rPr>
              <w:t>u</w:t>
            </w:r>
            <w:r w:rsidRPr="004768D0">
              <w:rPr>
                <w:rFonts w:ascii="Cambria" w:hAnsi="Cambria"/>
                <w:sz w:val="16"/>
                <w:szCs w:val="16"/>
                <w:lang w:val="es-ES"/>
              </w:rPr>
              <w:t>n</w:t>
            </w:r>
            <w:r w:rsidR="00F74F6E" w:rsidRPr="004768D0">
              <w:rPr>
                <w:rFonts w:ascii="Cambria" w:hAnsi="Cambria"/>
                <w:sz w:val="16"/>
                <w:szCs w:val="16"/>
                <w:lang w:val="es-ES"/>
              </w:rPr>
              <w:t xml:space="preserve"> Marea </w:t>
            </w:r>
            <w:r w:rsidR="006062C8" w:rsidRPr="004768D0">
              <w:rPr>
                <w:rFonts w:ascii="Cambria" w:hAnsi="Cambria"/>
                <w:sz w:val="16"/>
                <w:szCs w:val="16"/>
                <w:lang w:val="es-ES"/>
              </w:rPr>
              <w:t>negro</w:t>
            </w:r>
            <w:r w:rsidR="00F74F6E" w:rsidRPr="004768D0">
              <w:rPr>
                <w:rFonts w:ascii="Cambria" w:hAnsi="Cambria"/>
                <w:sz w:val="16"/>
                <w:szCs w:val="16"/>
                <w:lang w:val="es-ES"/>
              </w:rPr>
              <w:t xml:space="preserve"> </w:t>
            </w:r>
            <w:r w:rsidRPr="004768D0">
              <w:rPr>
                <w:rFonts w:ascii="Cambria" w:hAnsi="Cambria"/>
                <w:sz w:val="16"/>
                <w:szCs w:val="16"/>
                <w:lang w:val="es-ES"/>
              </w:rPr>
              <w:t xml:space="preserve">y que dos llevaban pantalón gris y </w:t>
            </w:r>
            <w:r w:rsidR="00F74F6E" w:rsidRPr="004768D0">
              <w:rPr>
                <w:rFonts w:ascii="Cambria" w:hAnsi="Cambria"/>
                <w:sz w:val="16"/>
                <w:szCs w:val="16"/>
                <w:lang w:val="es-ES"/>
              </w:rPr>
              <w:t xml:space="preserve">botas </w:t>
            </w:r>
            <w:r w:rsidR="006062C8" w:rsidRPr="004768D0">
              <w:rPr>
                <w:rFonts w:ascii="Cambria" w:hAnsi="Cambria"/>
                <w:sz w:val="16"/>
                <w:szCs w:val="16"/>
                <w:lang w:val="es-ES"/>
              </w:rPr>
              <w:t>negras</w:t>
            </w:r>
            <w:r w:rsidR="00F74F6E" w:rsidRPr="004768D0">
              <w:rPr>
                <w:rFonts w:ascii="Cambria" w:hAnsi="Cambria"/>
                <w:sz w:val="16"/>
                <w:szCs w:val="16"/>
                <w:lang w:val="es-ES"/>
              </w:rPr>
              <w:t xml:space="preserve">, </w:t>
            </w:r>
            <w:r w:rsidR="00242B93">
              <w:rPr>
                <w:rFonts w:ascii="Cambria" w:hAnsi="Cambria"/>
                <w:sz w:val="16"/>
                <w:szCs w:val="16"/>
                <w:lang w:val="es-ES"/>
              </w:rPr>
              <w:t>prendas</w:t>
            </w:r>
            <w:r w:rsidRPr="004768D0">
              <w:rPr>
                <w:rFonts w:ascii="Cambria" w:hAnsi="Cambria"/>
                <w:sz w:val="16"/>
                <w:szCs w:val="16"/>
                <w:lang w:val="es-ES"/>
              </w:rPr>
              <w:t xml:space="preserve"> que forman</w:t>
            </w:r>
            <w:r w:rsidR="00F74F6E" w:rsidRPr="004768D0">
              <w:rPr>
                <w:rFonts w:ascii="Cambria" w:hAnsi="Cambria"/>
                <w:sz w:val="16"/>
                <w:szCs w:val="16"/>
                <w:lang w:val="es-ES"/>
              </w:rPr>
              <w:t xml:space="preserve"> parte d</w:t>
            </w:r>
            <w:r w:rsidRPr="004768D0">
              <w:rPr>
                <w:rFonts w:ascii="Cambria" w:hAnsi="Cambria"/>
                <w:sz w:val="16"/>
                <w:szCs w:val="16"/>
                <w:lang w:val="es-ES"/>
              </w:rPr>
              <w:t>el</w:t>
            </w:r>
            <w:r w:rsidR="00F74F6E" w:rsidRPr="004768D0">
              <w:rPr>
                <w:rFonts w:ascii="Cambria" w:hAnsi="Cambria"/>
                <w:sz w:val="16"/>
                <w:szCs w:val="16"/>
                <w:lang w:val="es-ES"/>
              </w:rPr>
              <w:t xml:space="preserve"> uniforme d</w:t>
            </w:r>
            <w:r w:rsidRPr="004768D0">
              <w:rPr>
                <w:rFonts w:ascii="Cambria" w:hAnsi="Cambria"/>
                <w:sz w:val="16"/>
                <w:szCs w:val="16"/>
                <w:lang w:val="es-ES"/>
              </w:rPr>
              <w:t>e l</w:t>
            </w:r>
            <w:r w:rsidR="00F74F6E" w:rsidRPr="004768D0">
              <w:rPr>
                <w:rFonts w:ascii="Cambria" w:hAnsi="Cambria"/>
                <w:sz w:val="16"/>
                <w:szCs w:val="16"/>
                <w:lang w:val="es-ES"/>
              </w:rPr>
              <w:t xml:space="preserve">a </w:t>
            </w:r>
            <w:r w:rsidR="00372008" w:rsidRPr="004768D0">
              <w:rPr>
                <w:rFonts w:ascii="Cambria" w:hAnsi="Cambria"/>
                <w:sz w:val="16"/>
                <w:szCs w:val="16"/>
                <w:lang w:val="es-ES"/>
              </w:rPr>
              <w:t>Policía</w:t>
            </w:r>
            <w:r w:rsidR="00F74F6E" w:rsidRPr="004768D0">
              <w:rPr>
                <w:rFonts w:ascii="Cambria" w:hAnsi="Cambria"/>
                <w:sz w:val="16"/>
                <w:szCs w:val="16"/>
                <w:lang w:val="es-ES"/>
              </w:rPr>
              <w:t xml:space="preserve"> Militar </w:t>
            </w:r>
            <w:r w:rsidR="007F4608" w:rsidRPr="004768D0">
              <w:rPr>
                <w:rFonts w:ascii="Cambria" w:hAnsi="Cambria"/>
                <w:sz w:val="16"/>
                <w:szCs w:val="16"/>
                <w:lang w:val="es-ES"/>
              </w:rPr>
              <w:t xml:space="preserve">del </w:t>
            </w:r>
            <w:r w:rsidR="0000579C">
              <w:rPr>
                <w:rFonts w:ascii="Cambria" w:hAnsi="Cambria"/>
                <w:sz w:val="16"/>
                <w:szCs w:val="16"/>
                <w:lang w:val="es-ES"/>
              </w:rPr>
              <w:t>estado de São Paulo</w:t>
            </w:r>
            <w:r w:rsidR="00F74F6E" w:rsidRPr="004768D0">
              <w:rPr>
                <w:rFonts w:ascii="Cambria" w:hAnsi="Cambria"/>
                <w:sz w:val="16"/>
                <w:szCs w:val="16"/>
                <w:lang w:val="es-ES"/>
              </w:rPr>
              <w:t>.</w:t>
            </w:r>
          </w:p>
          <w:p w14:paraId="35CEE962" w14:textId="77777777" w:rsidR="00F74F6E" w:rsidRPr="004768D0" w:rsidRDefault="009A17FD" w:rsidP="00F74F6E">
            <w:pPr>
              <w:spacing w:before="120" w:after="120"/>
              <w:jc w:val="both"/>
              <w:rPr>
                <w:rFonts w:ascii="Cambria" w:hAnsi="Cambria"/>
                <w:sz w:val="16"/>
                <w:szCs w:val="16"/>
                <w:lang w:val="es-ES"/>
              </w:rPr>
            </w:pPr>
            <w:r w:rsidRPr="004768D0">
              <w:rPr>
                <w:rFonts w:ascii="Cambria" w:hAnsi="Cambria"/>
                <w:sz w:val="16"/>
                <w:szCs w:val="16"/>
                <w:lang w:val="es-ES"/>
              </w:rPr>
              <w:t>El</w:t>
            </w:r>
            <w:r w:rsidR="00F74F6E" w:rsidRPr="004768D0">
              <w:rPr>
                <w:rFonts w:ascii="Cambria" w:hAnsi="Cambria"/>
                <w:sz w:val="16"/>
                <w:szCs w:val="16"/>
                <w:lang w:val="es-ES"/>
              </w:rPr>
              <w:t xml:space="preserve"> </w:t>
            </w:r>
            <w:r w:rsidRPr="004768D0">
              <w:rPr>
                <w:rFonts w:ascii="Cambria" w:hAnsi="Cambria"/>
                <w:sz w:val="16"/>
                <w:szCs w:val="16"/>
                <w:lang w:val="es-ES"/>
              </w:rPr>
              <w:t xml:space="preserve">agente </w:t>
            </w:r>
            <w:r w:rsidR="004744F0" w:rsidRPr="004768D0">
              <w:rPr>
                <w:rFonts w:ascii="Cambria" w:hAnsi="Cambria"/>
                <w:sz w:val="16"/>
                <w:szCs w:val="16"/>
                <w:lang w:val="es-ES"/>
              </w:rPr>
              <w:t>“</w:t>
            </w:r>
            <w:r w:rsidR="00F74F6E" w:rsidRPr="004768D0">
              <w:rPr>
                <w:rFonts w:ascii="Cambria" w:hAnsi="Cambria"/>
                <w:sz w:val="16"/>
                <w:szCs w:val="16"/>
                <w:lang w:val="es-ES"/>
              </w:rPr>
              <w:t>Bolacha</w:t>
            </w:r>
            <w:r w:rsidR="004744F0" w:rsidRPr="004768D0">
              <w:rPr>
                <w:rFonts w:ascii="Cambria" w:hAnsi="Cambria"/>
                <w:sz w:val="16"/>
                <w:szCs w:val="16"/>
                <w:lang w:val="es-ES"/>
              </w:rPr>
              <w:t>”</w:t>
            </w:r>
            <w:r w:rsidR="00F74F6E" w:rsidRPr="004768D0">
              <w:rPr>
                <w:rFonts w:ascii="Cambria" w:hAnsi="Cambria"/>
                <w:sz w:val="16"/>
                <w:szCs w:val="16"/>
                <w:lang w:val="es-ES"/>
              </w:rPr>
              <w:t xml:space="preserve">, identificado como Ezequiel </w:t>
            </w:r>
            <w:proofErr w:type="spellStart"/>
            <w:r w:rsidR="00F74F6E" w:rsidRPr="004768D0">
              <w:rPr>
                <w:rFonts w:ascii="Cambria" w:hAnsi="Cambria"/>
                <w:sz w:val="16"/>
                <w:szCs w:val="16"/>
                <w:lang w:val="es-ES"/>
              </w:rPr>
              <w:t>Magalhaes</w:t>
            </w:r>
            <w:proofErr w:type="spellEnd"/>
            <w:r w:rsidR="00F74F6E" w:rsidRPr="004768D0">
              <w:rPr>
                <w:rFonts w:ascii="Cambria" w:hAnsi="Cambria"/>
                <w:sz w:val="16"/>
                <w:szCs w:val="16"/>
                <w:lang w:val="es-ES"/>
              </w:rPr>
              <w:t xml:space="preserve"> da Silva </w:t>
            </w:r>
            <w:r w:rsidRPr="004768D0">
              <w:rPr>
                <w:rFonts w:ascii="Cambria" w:hAnsi="Cambria"/>
                <w:sz w:val="16"/>
                <w:szCs w:val="16"/>
                <w:lang w:val="es-ES"/>
              </w:rPr>
              <w:t xml:space="preserve">y adscrito </w:t>
            </w:r>
            <w:r w:rsidR="000644E5" w:rsidRPr="004768D0">
              <w:rPr>
                <w:rFonts w:ascii="Cambria" w:hAnsi="Cambria"/>
                <w:sz w:val="16"/>
                <w:szCs w:val="16"/>
                <w:lang w:val="es-ES"/>
              </w:rPr>
              <w:t xml:space="preserve">al </w:t>
            </w:r>
            <w:r w:rsidRPr="004768D0">
              <w:rPr>
                <w:rFonts w:ascii="Cambria" w:hAnsi="Cambria"/>
                <w:sz w:val="16"/>
                <w:szCs w:val="16"/>
                <w:lang w:val="es-ES"/>
              </w:rPr>
              <w:t>Primer</w:t>
            </w:r>
            <w:r w:rsidR="00F74F6E" w:rsidRPr="004768D0">
              <w:rPr>
                <w:rFonts w:ascii="Cambria" w:hAnsi="Cambria"/>
                <w:sz w:val="16"/>
                <w:szCs w:val="16"/>
                <w:lang w:val="es-ES"/>
              </w:rPr>
              <w:t xml:space="preserve"> </w:t>
            </w:r>
            <w:r w:rsidRPr="004768D0">
              <w:rPr>
                <w:rFonts w:ascii="Cambria" w:hAnsi="Cambria"/>
                <w:sz w:val="16"/>
                <w:szCs w:val="16"/>
                <w:lang w:val="es-ES"/>
              </w:rPr>
              <w:t>Batallón</w:t>
            </w:r>
            <w:r w:rsidR="00F74F6E" w:rsidRPr="004768D0">
              <w:rPr>
                <w:rFonts w:ascii="Cambria" w:hAnsi="Cambria"/>
                <w:sz w:val="16"/>
                <w:szCs w:val="16"/>
                <w:lang w:val="es-ES"/>
              </w:rPr>
              <w:t xml:space="preserve"> de Choque, R</w:t>
            </w:r>
            <w:r w:rsidR="000644E5" w:rsidRPr="004768D0">
              <w:rPr>
                <w:rFonts w:ascii="Cambria" w:hAnsi="Cambria"/>
                <w:sz w:val="16"/>
                <w:szCs w:val="16"/>
                <w:lang w:val="es-ES"/>
              </w:rPr>
              <w:t>u</w:t>
            </w:r>
            <w:r w:rsidR="00F74F6E" w:rsidRPr="004768D0">
              <w:rPr>
                <w:rFonts w:ascii="Cambria" w:hAnsi="Cambria"/>
                <w:sz w:val="16"/>
                <w:szCs w:val="16"/>
                <w:lang w:val="es-ES"/>
              </w:rPr>
              <w:t xml:space="preserve">ta de Santos, </w:t>
            </w:r>
            <w:r w:rsidR="00000CF9" w:rsidRPr="004768D0">
              <w:rPr>
                <w:rFonts w:ascii="Cambria" w:hAnsi="Cambria"/>
                <w:sz w:val="16"/>
                <w:szCs w:val="16"/>
                <w:lang w:val="es-ES"/>
              </w:rPr>
              <w:t xml:space="preserve">tenía un </w:t>
            </w:r>
            <w:r w:rsidR="00F74F6E" w:rsidRPr="004768D0">
              <w:rPr>
                <w:rFonts w:ascii="Cambria" w:hAnsi="Cambria"/>
                <w:sz w:val="16"/>
                <w:szCs w:val="16"/>
                <w:lang w:val="es-ES"/>
              </w:rPr>
              <w:t xml:space="preserve">Marea </w:t>
            </w:r>
            <w:r w:rsidR="006062C8" w:rsidRPr="004768D0">
              <w:rPr>
                <w:rFonts w:ascii="Cambria" w:hAnsi="Cambria"/>
                <w:sz w:val="16"/>
                <w:szCs w:val="16"/>
                <w:lang w:val="es-ES"/>
              </w:rPr>
              <w:t>negro</w:t>
            </w:r>
            <w:r w:rsidR="00F74F6E" w:rsidRPr="004768D0">
              <w:rPr>
                <w:rFonts w:ascii="Cambria" w:hAnsi="Cambria"/>
                <w:sz w:val="16"/>
                <w:szCs w:val="16"/>
                <w:lang w:val="es-ES"/>
              </w:rPr>
              <w:t xml:space="preserve">, </w:t>
            </w:r>
            <w:r w:rsidR="00000CF9" w:rsidRPr="004768D0">
              <w:rPr>
                <w:rFonts w:ascii="Cambria" w:hAnsi="Cambria"/>
                <w:sz w:val="16"/>
                <w:szCs w:val="16"/>
                <w:lang w:val="es-ES"/>
              </w:rPr>
              <w:t>exactamente</w:t>
            </w:r>
            <w:r w:rsidR="00F74F6E" w:rsidRPr="004768D0">
              <w:rPr>
                <w:rFonts w:ascii="Cambria" w:hAnsi="Cambria"/>
                <w:sz w:val="16"/>
                <w:szCs w:val="16"/>
                <w:lang w:val="es-ES"/>
              </w:rPr>
              <w:t xml:space="preserve"> como </w:t>
            </w:r>
            <w:r w:rsidR="00000CF9" w:rsidRPr="004768D0">
              <w:rPr>
                <w:rFonts w:ascii="Cambria" w:hAnsi="Cambria"/>
                <w:sz w:val="16"/>
                <w:szCs w:val="16"/>
                <w:lang w:val="es-ES"/>
              </w:rPr>
              <w:t xml:space="preserve">el que vieron las </w:t>
            </w:r>
            <w:r w:rsidR="000C0AC4" w:rsidRPr="004768D0">
              <w:rPr>
                <w:rFonts w:ascii="Cambria" w:hAnsi="Cambria"/>
                <w:sz w:val="16"/>
                <w:szCs w:val="16"/>
                <w:lang w:val="es-ES"/>
              </w:rPr>
              <w:t>personas</w:t>
            </w:r>
            <w:r w:rsidR="00F74F6E" w:rsidRPr="004768D0">
              <w:rPr>
                <w:rFonts w:ascii="Cambria" w:hAnsi="Cambria"/>
                <w:sz w:val="16"/>
                <w:szCs w:val="16"/>
                <w:lang w:val="es-ES"/>
              </w:rPr>
              <w:t xml:space="preserve"> que </w:t>
            </w:r>
            <w:r w:rsidR="00000CF9" w:rsidRPr="004768D0">
              <w:rPr>
                <w:rFonts w:ascii="Cambria" w:hAnsi="Cambria"/>
                <w:sz w:val="16"/>
                <w:szCs w:val="16"/>
                <w:lang w:val="es-ES"/>
              </w:rPr>
              <w:t>estaban</w:t>
            </w:r>
            <w:r w:rsidR="00F74F6E" w:rsidRPr="004768D0">
              <w:rPr>
                <w:rFonts w:ascii="Cambria" w:hAnsi="Cambria"/>
                <w:sz w:val="16"/>
                <w:szCs w:val="16"/>
                <w:lang w:val="es-ES"/>
              </w:rPr>
              <w:t xml:space="preserve"> </w:t>
            </w:r>
            <w:r w:rsidR="00000CF9" w:rsidRPr="004768D0">
              <w:rPr>
                <w:rFonts w:ascii="Cambria" w:hAnsi="Cambria"/>
                <w:sz w:val="16"/>
                <w:szCs w:val="16"/>
                <w:lang w:val="es-ES"/>
              </w:rPr>
              <w:t>e</w:t>
            </w:r>
            <w:r w:rsidR="00F74F6E" w:rsidRPr="004768D0">
              <w:rPr>
                <w:rFonts w:ascii="Cambria" w:hAnsi="Cambria"/>
                <w:sz w:val="16"/>
                <w:szCs w:val="16"/>
                <w:lang w:val="es-ES"/>
              </w:rPr>
              <w:t>n</w:t>
            </w:r>
            <w:r w:rsidR="00000CF9" w:rsidRPr="004768D0">
              <w:rPr>
                <w:rFonts w:ascii="Cambria" w:hAnsi="Cambria"/>
                <w:sz w:val="16"/>
                <w:szCs w:val="16"/>
                <w:lang w:val="es-ES"/>
              </w:rPr>
              <w:t xml:space="preserve"> l</w:t>
            </w:r>
            <w:r w:rsidR="00F74F6E" w:rsidRPr="004768D0">
              <w:rPr>
                <w:rFonts w:ascii="Cambria" w:hAnsi="Cambria"/>
                <w:sz w:val="16"/>
                <w:szCs w:val="16"/>
                <w:lang w:val="es-ES"/>
              </w:rPr>
              <w:t xml:space="preserve">a </w:t>
            </w:r>
            <w:r w:rsidR="00E770E8" w:rsidRPr="004768D0">
              <w:rPr>
                <w:rFonts w:ascii="Cambria" w:hAnsi="Cambria"/>
                <w:sz w:val="16"/>
                <w:szCs w:val="16"/>
                <w:lang w:val="es-ES"/>
              </w:rPr>
              <w:t>pizzería</w:t>
            </w:r>
            <w:r w:rsidR="00F74F6E" w:rsidRPr="004768D0">
              <w:rPr>
                <w:rFonts w:ascii="Cambria" w:hAnsi="Cambria"/>
                <w:sz w:val="16"/>
                <w:szCs w:val="16"/>
                <w:lang w:val="es-ES"/>
              </w:rPr>
              <w:t xml:space="preserve">. </w:t>
            </w:r>
            <w:r w:rsidR="00000CF9" w:rsidRPr="004768D0">
              <w:rPr>
                <w:rFonts w:ascii="Cambria" w:hAnsi="Cambria"/>
                <w:sz w:val="16"/>
                <w:szCs w:val="16"/>
                <w:lang w:val="es-ES"/>
              </w:rPr>
              <w:t xml:space="preserve">Eso se descubrió después que un </w:t>
            </w:r>
            <w:r w:rsidR="00F74F6E" w:rsidRPr="004768D0">
              <w:rPr>
                <w:rFonts w:ascii="Cambria" w:hAnsi="Cambria"/>
                <w:sz w:val="16"/>
                <w:szCs w:val="16"/>
                <w:lang w:val="es-ES"/>
              </w:rPr>
              <w:t>familiar d</w:t>
            </w:r>
            <w:r w:rsidR="00000CF9" w:rsidRPr="004768D0">
              <w:rPr>
                <w:rFonts w:ascii="Cambria" w:hAnsi="Cambria"/>
                <w:sz w:val="16"/>
                <w:szCs w:val="16"/>
                <w:lang w:val="es-ES"/>
              </w:rPr>
              <w:t>e l</w:t>
            </w:r>
            <w:r w:rsidR="00F74F6E" w:rsidRPr="004768D0">
              <w:rPr>
                <w:rFonts w:ascii="Cambria" w:hAnsi="Cambria"/>
                <w:sz w:val="16"/>
                <w:szCs w:val="16"/>
                <w:lang w:val="es-ES"/>
              </w:rPr>
              <w:t xml:space="preserve">as </w:t>
            </w:r>
            <w:r w:rsidR="00000CF9" w:rsidRPr="004768D0">
              <w:rPr>
                <w:rFonts w:ascii="Cambria" w:hAnsi="Cambria"/>
                <w:sz w:val="16"/>
                <w:szCs w:val="16"/>
                <w:lang w:val="es-ES"/>
              </w:rPr>
              <w:t>víctimas</w:t>
            </w:r>
            <w:r w:rsidR="00F74F6E" w:rsidRPr="004768D0">
              <w:rPr>
                <w:rFonts w:ascii="Cambria" w:hAnsi="Cambria"/>
                <w:sz w:val="16"/>
                <w:szCs w:val="16"/>
                <w:lang w:val="es-ES"/>
              </w:rPr>
              <w:t xml:space="preserve"> recon</w:t>
            </w:r>
            <w:r w:rsidR="00000CF9" w:rsidRPr="004768D0">
              <w:rPr>
                <w:rFonts w:ascii="Cambria" w:hAnsi="Cambria"/>
                <w:sz w:val="16"/>
                <w:szCs w:val="16"/>
                <w:lang w:val="es-ES"/>
              </w:rPr>
              <w:t xml:space="preserve">oció el automóvil, fotografió la </w:t>
            </w:r>
            <w:r w:rsidR="00F74F6E" w:rsidRPr="004768D0">
              <w:rPr>
                <w:rFonts w:ascii="Cambria" w:hAnsi="Cambria"/>
                <w:sz w:val="16"/>
                <w:szCs w:val="16"/>
                <w:lang w:val="es-ES"/>
              </w:rPr>
              <w:t xml:space="preserve">placa </w:t>
            </w:r>
            <w:r w:rsidR="00000CF9" w:rsidRPr="004768D0">
              <w:rPr>
                <w:rFonts w:ascii="Cambria" w:hAnsi="Cambria"/>
                <w:sz w:val="16"/>
                <w:szCs w:val="16"/>
                <w:lang w:val="es-ES"/>
              </w:rPr>
              <w:t xml:space="preserve">de matrícula y </w:t>
            </w:r>
            <w:r w:rsidR="00F74F6E" w:rsidRPr="004768D0">
              <w:rPr>
                <w:rFonts w:ascii="Cambria" w:hAnsi="Cambria"/>
                <w:sz w:val="16"/>
                <w:szCs w:val="16"/>
                <w:lang w:val="es-ES"/>
              </w:rPr>
              <w:t>solicit</w:t>
            </w:r>
            <w:r w:rsidR="00000CF9" w:rsidRPr="004768D0">
              <w:rPr>
                <w:rFonts w:ascii="Cambria" w:hAnsi="Cambria"/>
                <w:sz w:val="16"/>
                <w:szCs w:val="16"/>
                <w:lang w:val="es-ES"/>
              </w:rPr>
              <w:t xml:space="preserve">ó que se la rastreara. El agente </w:t>
            </w:r>
            <w:r w:rsidR="00F74F6E" w:rsidRPr="004768D0">
              <w:rPr>
                <w:rFonts w:ascii="Cambria" w:hAnsi="Cambria"/>
                <w:sz w:val="16"/>
                <w:szCs w:val="16"/>
                <w:lang w:val="es-ES"/>
              </w:rPr>
              <w:t xml:space="preserve">Ezequiel </w:t>
            </w:r>
            <w:r w:rsidR="00000CF9" w:rsidRPr="004768D0">
              <w:rPr>
                <w:rFonts w:ascii="Cambria" w:hAnsi="Cambria"/>
                <w:sz w:val="16"/>
                <w:szCs w:val="16"/>
                <w:lang w:val="es-ES"/>
              </w:rPr>
              <w:t xml:space="preserve">prestó declaración </w:t>
            </w:r>
            <w:r w:rsidR="00F74F6E" w:rsidRPr="004768D0">
              <w:rPr>
                <w:rFonts w:ascii="Cambria" w:hAnsi="Cambria"/>
                <w:sz w:val="16"/>
                <w:szCs w:val="16"/>
                <w:lang w:val="es-ES"/>
              </w:rPr>
              <w:t xml:space="preserve">durante </w:t>
            </w:r>
            <w:r w:rsidR="00000CF9" w:rsidRPr="004768D0">
              <w:rPr>
                <w:rFonts w:ascii="Cambria" w:hAnsi="Cambria"/>
                <w:sz w:val="16"/>
                <w:szCs w:val="16"/>
                <w:lang w:val="es-ES"/>
              </w:rPr>
              <w:t>l</w:t>
            </w:r>
            <w:r w:rsidR="00F74F6E" w:rsidRPr="004768D0">
              <w:rPr>
                <w:rFonts w:ascii="Cambria" w:hAnsi="Cambria"/>
                <w:sz w:val="16"/>
                <w:szCs w:val="16"/>
                <w:lang w:val="es-ES"/>
              </w:rPr>
              <w:t xml:space="preserve">as </w:t>
            </w:r>
            <w:r w:rsidR="00E04ED3" w:rsidRPr="004768D0">
              <w:rPr>
                <w:rFonts w:ascii="Cambria" w:hAnsi="Cambria"/>
                <w:sz w:val="16"/>
                <w:szCs w:val="16"/>
                <w:lang w:val="es-ES"/>
              </w:rPr>
              <w:t>investigaciones</w:t>
            </w:r>
            <w:r w:rsidR="00F74F6E" w:rsidRPr="004768D0">
              <w:rPr>
                <w:rFonts w:ascii="Cambria" w:hAnsi="Cambria"/>
                <w:sz w:val="16"/>
                <w:szCs w:val="16"/>
                <w:lang w:val="es-ES"/>
              </w:rPr>
              <w:t xml:space="preserve">, </w:t>
            </w:r>
            <w:r w:rsidR="00000CF9" w:rsidRPr="004768D0">
              <w:rPr>
                <w:rFonts w:ascii="Cambria" w:hAnsi="Cambria"/>
                <w:sz w:val="16"/>
                <w:szCs w:val="16"/>
                <w:lang w:val="es-ES"/>
              </w:rPr>
              <w:t xml:space="preserve">pero negó todo involucramiento en el delito y dijo que, el día de los </w:t>
            </w:r>
            <w:r w:rsidR="000C0AC4" w:rsidRPr="004768D0">
              <w:rPr>
                <w:rFonts w:ascii="Cambria" w:hAnsi="Cambria"/>
                <w:sz w:val="16"/>
                <w:szCs w:val="16"/>
                <w:lang w:val="es-ES"/>
              </w:rPr>
              <w:t>hechos</w:t>
            </w:r>
            <w:r w:rsidR="00F74F6E" w:rsidRPr="004768D0">
              <w:rPr>
                <w:rFonts w:ascii="Cambria" w:hAnsi="Cambria"/>
                <w:sz w:val="16"/>
                <w:szCs w:val="16"/>
                <w:lang w:val="es-ES"/>
              </w:rPr>
              <w:t>, esta</w:t>
            </w:r>
            <w:r w:rsidR="00000CF9" w:rsidRPr="004768D0">
              <w:rPr>
                <w:rFonts w:ascii="Cambria" w:hAnsi="Cambria"/>
                <w:sz w:val="16"/>
                <w:szCs w:val="16"/>
                <w:lang w:val="es-ES"/>
              </w:rPr>
              <w:t>b</w:t>
            </w:r>
            <w:r w:rsidR="00F74F6E" w:rsidRPr="004768D0">
              <w:rPr>
                <w:rFonts w:ascii="Cambria" w:hAnsi="Cambria"/>
                <w:sz w:val="16"/>
                <w:szCs w:val="16"/>
                <w:lang w:val="es-ES"/>
              </w:rPr>
              <w:t xml:space="preserve">a </w:t>
            </w:r>
            <w:r w:rsidR="00000CF9" w:rsidRPr="004768D0">
              <w:rPr>
                <w:rFonts w:ascii="Cambria" w:hAnsi="Cambria"/>
                <w:sz w:val="16"/>
                <w:szCs w:val="16"/>
                <w:lang w:val="es-ES"/>
              </w:rPr>
              <w:t>en l</w:t>
            </w:r>
            <w:r w:rsidR="00F74F6E" w:rsidRPr="004768D0">
              <w:rPr>
                <w:rFonts w:ascii="Cambria" w:hAnsi="Cambria"/>
                <w:sz w:val="16"/>
                <w:szCs w:val="16"/>
                <w:lang w:val="es-ES"/>
              </w:rPr>
              <w:t>a casa d</w:t>
            </w:r>
            <w:r w:rsidR="00000CF9" w:rsidRPr="004768D0">
              <w:rPr>
                <w:rFonts w:ascii="Cambria" w:hAnsi="Cambria"/>
                <w:sz w:val="16"/>
                <w:szCs w:val="16"/>
                <w:lang w:val="es-ES"/>
              </w:rPr>
              <w:t>e su</w:t>
            </w:r>
            <w:r w:rsidR="00F74F6E" w:rsidRPr="004768D0">
              <w:rPr>
                <w:rFonts w:ascii="Cambria" w:hAnsi="Cambria"/>
                <w:sz w:val="16"/>
                <w:szCs w:val="16"/>
                <w:lang w:val="es-ES"/>
              </w:rPr>
              <w:t xml:space="preserve"> m</w:t>
            </w:r>
            <w:r w:rsidR="00000CF9" w:rsidRPr="004768D0">
              <w:rPr>
                <w:rFonts w:ascii="Cambria" w:hAnsi="Cambria"/>
                <w:sz w:val="16"/>
                <w:szCs w:val="16"/>
                <w:lang w:val="es-ES"/>
              </w:rPr>
              <w:t>adre</w:t>
            </w:r>
            <w:r w:rsidR="00F74F6E" w:rsidRPr="004768D0">
              <w:rPr>
                <w:rFonts w:ascii="Cambria" w:hAnsi="Cambria"/>
                <w:sz w:val="16"/>
                <w:szCs w:val="16"/>
                <w:lang w:val="es-ES"/>
              </w:rPr>
              <w:t xml:space="preserve">, </w:t>
            </w:r>
            <w:r w:rsidRPr="004768D0">
              <w:rPr>
                <w:rFonts w:ascii="Cambria" w:hAnsi="Cambria"/>
                <w:sz w:val="16"/>
                <w:szCs w:val="16"/>
                <w:lang w:val="es-ES"/>
              </w:rPr>
              <w:t>en la ciudad de</w:t>
            </w:r>
            <w:r w:rsidR="00F74F6E" w:rsidRPr="004768D0">
              <w:rPr>
                <w:rFonts w:ascii="Cambria" w:hAnsi="Cambria"/>
                <w:sz w:val="16"/>
                <w:szCs w:val="16"/>
                <w:lang w:val="es-ES"/>
              </w:rPr>
              <w:t xml:space="preserve"> Praia Grande. </w:t>
            </w:r>
            <w:r w:rsidR="00000CF9" w:rsidRPr="004768D0">
              <w:rPr>
                <w:rFonts w:ascii="Cambria" w:hAnsi="Cambria"/>
                <w:sz w:val="16"/>
                <w:szCs w:val="16"/>
                <w:lang w:val="es-ES"/>
              </w:rPr>
              <w:t xml:space="preserve">Según </w:t>
            </w:r>
            <w:r w:rsidR="00F74F6E" w:rsidRPr="004768D0">
              <w:rPr>
                <w:rFonts w:ascii="Cambria" w:hAnsi="Cambria"/>
                <w:sz w:val="16"/>
                <w:szCs w:val="16"/>
                <w:lang w:val="es-ES"/>
              </w:rPr>
              <w:t xml:space="preserve">consta, Ezequiel </w:t>
            </w:r>
            <w:r w:rsidR="00665F82" w:rsidRPr="004768D0">
              <w:rPr>
                <w:rFonts w:ascii="Cambria" w:hAnsi="Cambria"/>
                <w:sz w:val="16"/>
                <w:szCs w:val="16"/>
                <w:lang w:val="es-ES"/>
              </w:rPr>
              <w:t>dejó la</w:t>
            </w:r>
            <w:r w:rsidR="00F74F6E" w:rsidRPr="004768D0">
              <w:rPr>
                <w:rFonts w:ascii="Cambria" w:hAnsi="Cambria"/>
                <w:sz w:val="16"/>
                <w:szCs w:val="16"/>
                <w:lang w:val="es-ES"/>
              </w:rPr>
              <w:t xml:space="preserve"> </w:t>
            </w:r>
            <w:r w:rsidR="008C02A6">
              <w:rPr>
                <w:rFonts w:ascii="Cambria" w:hAnsi="Cambria"/>
                <w:sz w:val="16"/>
                <w:szCs w:val="16"/>
                <w:lang w:val="es-ES"/>
              </w:rPr>
              <w:t>p</w:t>
            </w:r>
            <w:r w:rsidR="00372008" w:rsidRPr="004768D0">
              <w:rPr>
                <w:rFonts w:ascii="Cambria" w:hAnsi="Cambria"/>
                <w:sz w:val="16"/>
                <w:szCs w:val="16"/>
                <w:lang w:val="es-ES"/>
              </w:rPr>
              <w:t>olicía</w:t>
            </w:r>
            <w:r w:rsidR="00F74F6E" w:rsidRPr="004768D0">
              <w:rPr>
                <w:rFonts w:ascii="Cambria" w:hAnsi="Cambria"/>
                <w:sz w:val="16"/>
                <w:szCs w:val="16"/>
                <w:lang w:val="es-ES"/>
              </w:rPr>
              <w:t xml:space="preserve"> posteriormente </w:t>
            </w:r>
            <w:r w:rsidR="00665F82" w:rsidRPr="004768D0">
              <w:rPr>
                <w:rFonts w:ascii="Cambria" w:hAnsi="Cambria"/>
                <w:sz w:val="16"/>
                <w:szCs w:val="16"/>
                <w:lang w:val="es-ES"/>
              </w:rPr>
              <w:t>y se mudó a otro</w:t>
            </w:r>
            <w:r w:rsidR="00F74F6E" w:rsidRPr="004768D0">
              <w:rPr>
                <w:rFonts w:ascii="Cambria" w:hAnsi="Cambria"/>
                <w:sz w:val="16"/>
                <w:szCs w:val="16"/>
                <w:lang w:val="es-ES"/>
              </w:rPr>
              <w:t xml:space="preserve"> estado.</w:t>
            </w:r>
          </w:p>
          <w:p w14:paraId="5DDC3089" w14:textId="77777777" w:rsidR="00F74F6E" w:rsidRPr="004768D0" w:rsidRDefault="00665F82" w:rsidP="00F74F6E">
            <w:pPr>
              <w:spacing w:before="120" w:after="120"/>
              <w:jc w:val="both"/>
              <w:rPr>
                <w:rFonts w:ascii="Cambria" w:hAnsi="Cambria"/>
                <w:sz w:val="16"/>
                <w:szCs w:val="16"/>
                <w:lang w:val="es-ES"/>
              </w:rPr>
            </w:pPr>
            <w:r w:rsidRPr="004768D0">
              <w:rPr>
                <w:rFonts w:ascii="Cambria" w:hAnsi="Cambria"/>
                <w:sz w:val="16"/>
                <w:szCs w:val="16"/>
                <w:lang w:val="es-ES"/>
              </w:rPr>
              <w:t xml:space="preserve">El dueño del </w:t>
            </w:r>
            <w:r w:rsidR="00F74F6E" w:rsidRPr="004768D0">
              <w:rPr>
                <w:rFonts w:ascii="Cambria" w:hAnsi="Cambria"/>
                <w:sz w:val="16"/>
                <w:szCs w:val="16"/>
                <w:lang w:val="es-ES"/>
              </w:rPr>
              <w:t>establecim</w:t>
            </w:r>
            <w:r w:rsidRPr="004768D0">
              <w:rPr>
                <w:rFonts w:ascii="Cambria" w:hAnsi="Cambria"/>
                <w:sz w:val="16"/>
                <w:szCs w:val="16"/>
                <w:lang w:val="es-ES"/>
              </w:rPr>
              <w:t>i</w:t>
            </w:r>
            <w:r w:rsidR="00F74F6E" w:rsidRPr="004768D0">
              <w:rPr>
                <w:rFonts w:ascii="Cambria" w:hAnsi="Cambria"/>
                <w:sz w:val="16"/>
                <w:szCs w:val="16"/>
                <w:lang w:val="es-ES"/>
              </w:rPr>
              <w:t>ento</w:t>
            </w:r>
            <w:r w:rsidRPr="004768D0">
              <w:rPr>
                <w:rFonts w:ascii="Cambria" w:hAnsi="Cambria"/>
                <w:sz w:val="16"/>
                <w:szCs w:val="16"/>
                <w:lang w:val="es-ES"/>
              </w:rPr>
              <w:t xml:space="preserve"> declaró</w:t>
            </w:r>
            <w:r w:rsidR="008C02A6">
              <w:rPr>
                <w:rFonts w:ascii="Cambria" w:hAnsi="Cambria"/>
                <w:sz w:val="16"/>
                <w:szCs w:val="16"/>
                <w:lang w:val="es-ES"/>
              </w:rPr>
              <w:t xml:space="preserve"> qu</w:t>
            </w:r>
            <w:r w:rsidRPr="004768D0">
              <w:rPr>
                <w:rFonts w:ascii="Cambria" w:hAnsi="Cambria"/>
                <w:sz w:val="16"/>
                <w:szCs w:val="16"/>
                <w:lang w:val="es-ES"/>
              </w:rPr>
              <w:t xml:space="preserve">e, </w:t>
            </w:r>
            <w:r w:rsidR="00F74F6E" w:rsidRPr="004768D0">
              <w:rPr>
                <w:rFonts w:ascii="Cambria" w:hAnsi="Cambria"/>
                <w:sz w:val="16"/>
                <w:szCs w:val="16"/>
                <w:lang w:val="es-ES"/>
              </w:rPr>
              <w:t>momentos antes d</w:t>
            </w:r>
            <w:r w:rsidRPr="004768D0">
              <w:rPr>
                <w:rFonts w:ascii="Cambria" w:hAnsi="Cambria"/>
                <w:sz w:val="16"/>
                <w:szCs w:val="16"/>
                <w:lang w:val="es-ES"/>
              </w:rPr>
              <w:t>el</w:t>
            </w:r>
            <w:r w:rsidR="00F74F6E" w:rsidRPr="004768D0">
              <w:rPr>
                <w:rFonts w:ascii="Cambria" w:hAnsi="Cambria"/>
                <w:sz w:val="16"/>
                <w:szCs w:val="16"/>
                <w:lang w:val="es-ES"/>
              </w:rPr>
              <w:t xml:space="preserve"> ataque, pas</w:t>
            </w:r>
            <w:r w:rsidRPr="004768D0">
              <w:rPr>
                <w:rFonts w:ascii="Cambria" w:hAnsi="Cambria"/>
                <w:sz w:val="16"/>
                <w:szCs w:val="16"/>
                <w:lang w:val="es-ES"/>
              </w:rPr>
              <w:t xml:space="preserve">ó por el lugar </w:t>
            </w:r>
            <w:r w:rsidR="00F74F6E" w:rsidRPr="004768D0">
              <w:rPr>
                <w:rFonts w:ascii="Cambria" w:hAnsi="Cambria"/>
                <w:sz w:val="16"/>
                <w:szCs w:val="16"/>
                <w:lang w:val="es-ES"/>
              </w:rPr>
              <w:t>u</w:t>
            </w:r>
            <w:r w:rsidR="009A17FD" w:rsidRPr="004768D0">
              <w:rPr>
                <w:rFonts w:ascii="Cambria" w:hAnsi="Cambria"/>
                <w:sz w:val="16"/>
                <w:szCs w:val="16"/>
                <w:lang w:val="es-ES"/>
              </w:rPr>
              <w:t xml:space="preserve">n vehículo de la </w:t>
            </w:r>
            <w:r w:rsidR="00372008" w:rsidRPr="004768D0">
              <w:rPr>
                <w:rFonts w:ascii="Cambria" w:hAnsi="Cambria"/>
                <w:sz w:val="16"/>
                <w:szCs w:val="16"/>
                <w:lang w:val="es-ES"/>
              </w:rPr>
              <w:t>Policía</w:t>
            </w:r>
            <w:r w:rsidR="00F74F6E" w:rsidRPr="004768D0">
              <w:rPr>
                <w:rFonts w:ascii="Cambria" w:hAnsi="Cambria"/>
                <w:sz w:val="16"/>
                <w:szCs w:val="16"/>
                <w:lang w:val="es-ES"/>
              </w:rPr>
              <w:t xml:space="preserve"> Militar </w:t>
            </w:r>
            <w:r w:rsidRPr="004768D0">
              <w:rPr>
                <w:rFonts w:ascii="Cambria" w:hAnsi="Cambria"/>
                <w:sz w:val="16"/>
                <w:szCs w:val="16"/>
                <w:lang w:val="es-ES"/>
              </w:rPr>
              <w:t xml:space="preserve">a baja </w:t>
            </w:r>
            <w:r w:rsidR="00F74F6E" w:rsidRPr="004768D0">
              <w:rPr>
                <w:rFonts w:ascii="Cambria" w:hAnsi="Cambria"/>
                <w:sz w:val="16"/>
                <w:szCs w:val="16"/>
                <w:lang w:val="es-ES"/>
              </w:rPr>
              <w:t>velocidad</w:t>
            </w:r>
            <w:r w:rsidRPr="004768D0">
              <w:rPr>
                <w:rFonts w:ascii="Cambria" w:hAnsi="Cambria"/>
                <w:sz w:val="16"/>
                <w:szCs w:val="16"/>
                <w:lang w:val="es-ES"/>
              </w:rPr>
              <w:t xml:space="preserve"> y sus ocupantes </w:t>
            </w:r>
            <w:r w:rsidR="00F74F6E" w:rsidRPr="004768D0">
              <w:rPr>
                <w:rFonts w:ascii="Cambria" w:hAnsi="Cambria"/>
                <w:sz w:val="16"/>
                <w:szCs w:val="16"/>
                <w:lang w:val="es-ES"/>
              </w:rPr>
              <w:t>observa</w:t>
            </w:r>
            <w:r w:rsidRPr="004768D0">
              <w:rPr>
                <w:rFonts w:ascii="Cambria" w:hAnsi="Cambria"/>
                <w:sz w:val="16"/>
                <w:szCs w:val="16"/>
                <w:lang w:val="es-ES"/>
              </w:rPr>
              <w:t>ron</w:t>
            </w:r>
            <w:r w:rsidR="00F74F6E" w:rsidRPr="004768D0">
              <w:rPr>
                <w:rFonts w:ascii="Cambria" w:hAnsi="Cambria"/>
                <w:sz w:val="16"/>
                <w:szCs w:val="16"/>
                <w:lang w:val="es-ES"/>
              </w:rPr>
              <w:t xml:space="preserve"> atentamente </w:t>
            </w:r>
            <w:r w:rsidRPr="004768D0">
              <w:rPr>
                <w:rFonts w:ascii="Cambria" w:hAnsi="Cambria"/>
                <w:sz w:val="16"/>
                <w:szCs w:val="16"/>
                <w:lang w:val="es-ES"/>
              </w:rPr>
              <w:t>el</w:t>
            </w:r>
            <w:r w:rsidR="00F74F6E" w:rsidRPr="004768D0">
              <w:rPr>
                <w:rFonts w:ascii="Cambria" w:hAnsi="Cambria"/>
                <w:sz w:val="16"/>
                <w:szCs w:val="16"/>
                <w:lang w:val="es-ES"/>
              </w:rPr>
              <w:t xml:space="preserve"> interior d</w:t>
            </w:r>
            <w:r w:rsidRPr="004768D0">
              <w:rPr>
                <w:rFonts w:ascii="Cambria" w:hAnsi="Cambria"/>
                <w:sz w:val="16"/>
                <w:szCs w:val="16"/>
                <w:lang w:val="es-ES"/>
              </w:rPr>
              <w:t>e l</w:t>
            </w:r>
            <w:r w:rsidR="00F74F6E" w:rsidRPr="004768D0">
              <w:rPr>
                <w:rFonts w:ascii="Cambria" w:hAnsi="Cambria"/>
                <w:sz w:val="16"/>
                <w:szCs w:val="16"/>
                <w:lang w:val="es-ES"/>
              </w:rPr>
              <w:t xml:space="preserve">a </w:t>
            </w:r>
            <w:r w:rsidR="00E04ED3" w:rsidRPr="004768D0">
              <w:rPr>
                <w:rFonts w:ascii="Cambria" w:hAnsi="Cambria"/>
                <w:sz w:val="16"/>
                <w:szCs w:val="16"/>
                <w:lang w:val="es-ES"/>
              </w:rPr>
              <w:t>pizzería y sala de juegos</w:t>
            </w:r>
            <w:r w:rsidR="00F74F6E" w:rsidRPr="004768D0">
              <w:rPr>
                <w:rFonts w:ascii="Cambria" w:hAnsi="Cambria"/>
                <w:sz w:val="16"/>
                <w:szCs w:val="16"/>
                <w:lang w:val="es-ES"/>
              </w:rPr>
              <w:t>.</w:t>
            </w:r>
          </w:p>
          <w:p w14:paraId="633EF31A" w14:textId="77777777" w:rsidR="00F74F6E" w:rsidRPr="004768D0" w:rsidRDefault="00C65DE2" w:rsidP="00F74F6E">
            <w:pPr>
              <w:spacing w:before="120" w:after="120"/>
              <w:jc w:val="both"/>
              <w:rPr>
                <w:rFonts w:ascii="Cambria" w:hAnsi="Cambria"/>
                <w:sz w:val="16"/>
                <w:szCs w:val="16"/>
                <w:lang w:val="es-ES"/>
              </w:rPr>
            </w:pPr>
            <w:r w:rsidRPr="004768D0">
              <w:rPr>
                <w:rFonts w:ascii="Cambria" w:hAnsi="Cambria"/>
                <w:sz w:val="16"/>
                <w:szCs w:val="16"/>
                <w:lang w:val="es-ES"/>
              </w:rPr>
              <w:lastRenderedPageBreak/>
              <w:t>La</w:t>
            </w:r>
            <w:r w:rsidR="00F74F6E" w:rsidRPr="004768D0">
              <w:rPr>
                <w:rFonts w:ascii="Cambria" w:hAnsi="Cambria"/>
                <w:sz w:val="16"/>
                <w:szCs w:val="16"/>
                <w:lang w:val="es-ES"/>
              </w:rPr>
              <w:t xml:space="preserve"> </w:t>
            </w:r>
            <w:r w:rsidR="007F4608" w:rsidRPr="004768D0">
              <w:rPr>
                <w:rFonts w:ascii="Cambria" w:hAnsi="Cambria"/>
                <w:sz w:val="16"/>
                <w:szCs w:val="16"/>
                <w:lang w:val="es-ES"/>
              </w:rPr>
              <w:t>madre de</w:t>
            </w:r>
            <w:r w:rsidR="00F74F6E" w:rsidRPr="004768D0">
              <w:rPr>
                <w:rFonts w:ascii="Cambria" w:hAnsi="Cambria"/>
                <w:sz w:val="16"/>
                <w:szCs w:val="16"/>
                <w:lang w:val="es-ES"/>
              </w:rPr>
              <w:t xml:space="preserve"> Thiago, </w:t>
            </w:r>
            <w:proofErr w:type="spellStart"/>
            <w:r w:rsidR="00F74F6E" w:rsidRPr="004768D0">
              <w:rPr>
                <w:rFonts w:ascii="Cambria" w:hAnsi="Cambria"/>
                <w:sz w:val="16"/>
                <w:szCs w:val="16"/>
                <w:lang w:val="es-ES"/>
              </w:rPr>
              <w:t>Ilza</w:t>
            </w:r>
            <w:proofErr w:type="spellEnd"/>
            <w:r w:rsidR="00F74F6E" w:rsidRPr="004768D0">
              <w:rPr>
                <w:rFonts w:ascii="Cambria" w:hAnsi="Cambria"/>
                <w:sz w:val="16"/>
                <w:szCs w:val="16"/>
                <w:lang w:val="es-ES"/>
              </w:rPr>
              <w:t xml:space="preserve"> Maria de </w:t>
            </w:r>
            <w:proofErr w:type="spellStart"/>
            <w:r w:rsidR="00F74F6E" w:rsidRPr="004768D0">
              <w:rPr>
                <w:rFonts w:ascii="Cambria" w:hAnsi="Cambria"/>
                <w:sz w:val="16"/>
                <w:szCs w:val="16"/>
                <w:lang w:val="es-ES"/>
              </w:rPr>
              <w:t>Jesus</w:t>
            </w:r>
            <w:proofErr w:type="spellEnd"/>
            <w:r w:rsidR="00F74F6E" w:rsidRPr="004768D0">
              <w:rPr>
                <w:rFonts w:ascii="Cambria" w:hAnsi="Cambria"/>
                <w:sz w:val="16"/>
                <w:szCs w:val="16"/>
                <w:lang w:val="es-ES"/>
              </w:rPr>
              <w:t xml:space="preserve"> Soares, </w:t>
            </w:r>
            <w:r w:rsidRPr="004768D0">
              <w:rPr>
                <w:rFonts w:ascii="Cambria" w:hAnsi="Cambria"/>
                <w:sz w:val="16"/>
                <w:szCs w:val="16"/>
                <w:lang w:val="es-ES"/>
              </w:rPr>
              <w:t>en su declaración ante la Comisión</w:t>
            </w:r>
            <w:r w:rsidR="00F74F6E" w:rsidRPr="004768D0">
              <w:rPr>
                <w:rFonts w:ascii="Cambria" w:hAnsi="Cambria"/>
                <w:sz w:val="16"/>
                <w:szCs w:val="16"/>
                <w:lang w:val="es-ES"/>
              </w:rPr>
              <w:t xml:space="preserve"> </w:t>
            </w:r>
            <w:r w:rsidRPr="004768D0">
              <w:rPr>
                <w:rFonts w:ascii="Cambria" w:hAnsi="Cambria"/>
                <w:sz w:val="16"/>
                <w:szCs w:val="16"/>
                <w:lang w:val="es-ES"/>
              </w:rPr>
              <w:t>Justicia</w:t>
            </w:r>
            <w:r w:rsidR="00F74F6E" w:rsidRPr="004768D0">
              <w:rPr>
                <w:rFonts w:ascii="Cambria" w:hAnsi="Cambria"/>
                <w:sz w:val="16"/>
                <w:szCs w:val="16"/>
                <w:lang w:val="es-ES"/>
              </w:rPr>
              <w:t xml:space="preserve"> </w:t>
            </w:r>
            <w:r w:rsidRPr="004768D0">
              <w:rPr>
                <w:rFonts w:ascii="Cambria" w:hAnsi="Cambria"/>
                <w:sz w:val="16"/>
                <w:szCs w:val="16"/>
                <w:lang w:val="es-ES"/>
              </w:rPr>
              <w:t>y</w:t>
            </w:r>
            <w:r w:rsidR="00F74F6E" w:rsidRPr="004768D0">
              <w:rPr>
                <w:rFonts w:ascii="Cambria" w:hAnsi="Cambria"/>
                <w:sz w:val="16"/>
                <w:szCs w:val="16"/>
                <w:lang w:val="es-ES"/>
              </w:rPr>
              <w:t xml:space="preserve"> Paz d</w:t>
            </w:r>
            <w:r w:rsidRPr="004768D0">
              <w:rPr>
                <w:rFonts w:ascii="Cambria" w:hAnsi="Cambria"/>
                <w:sz w:val="16"/>
                <w:szCs w:val="16"/>
                <w:lang w:val="es-ES"/>
              </w:rPr>
              <w:t>e l</w:t>
            </w:r>
            <w:r w:rsidR="00F74F6E" w:rsidRPr="004768D0">
              <w:rPr>
                <w:rFonts w:ascii="Cambria" w:hAnsi="Cambria"/>
                <w:sz w:val="16"/>
                <w:szCs w:val="16"/>
                <w:lang w:val="es-ES"/>
              </w:rPr>
              <w:t>a Arquidi</w:t>
            </w:r>
            <w:r w:rsidRPr="004768D0">
              <w:rPr>
                <w:rFonts w:ascii="Cambria" w:hAnsi="Cambria"/>
                <w:sz w:val="16"/>
                <w:szCs w:val="16"/>
                <w:lang w:val="es-ES"/>
              </w:rPr>
              <w:t xml:space="preserve">ócesis </w:t>
            </w:r>
            <w:r w:rsidR="00F74F6E" w:rsidRPr="004768D0">
              <w:rPr>
                <w:rFonts w:ascii="Cambria" w:hAnsi="Cambria"/>
                <w:sz w:val="16"/>
                <w:szCs w:val="16"/>
                <w:lang w:val="es-ES"/>
              </w:rPr>
              <w:t>de São Paulo (CJP), relat</w:t>
            </w:r>
            <w:r w:rsidRPr="004768D0">
              <w:rPr>
                <w:rFonts w:ascii="Cambria" w:hAnsi="Cambria"/>
                <w:sz w:val="16"/>
                <w:szCs w:val="16"/>
                <w:lang w:val="es-ES"/>
              </w:rPr>
              <w:t xml:space="preserve">ó </w:t>
            </w:r>
            <w:r w:rsidR="00F74F6E" w:rsidRPr="004768D0">
              <w:rPr>
                <w:rFonts w:ascii="Cambria" w:hAnsi="Cambria"/>
                <w:sz w:val="16"/>
                <w:szCs w:val="16"/>
                <w:lang w:val="es-ES"/>
              </w:rPr>
              <w:t>que Thiago no t</w:t>
            </w:r>
            <w:r w:rsidRPr="004768D0">
              <w:rPr>
                <w:rFonts w:ascii="Cambria" w:hAnsi="Cambria"/>
                <w:sz w:val="16"/>
                <w:szCs w:val="16"/>
                <w:lang w:val="es-ES"/>
              </w:rPr>
              <w:t>enía</w:t>
            </w:r>
            <w:r w:rsidR="00F74F6E" w:rsidRPr="004768D0">
              <w:rPr>
                <w:rFonts w:ascii="Cambria" w:hAnsi="Cambria"/>
                <w:sz w:val="16"/>
                <w:szCs w:val="16"/>
                <w:lang w:val="es-ES"/>
              </w:rPr>
              <w:t xml:space="preserve"> antecedentes </w:t>
            </w:r>
            <w:r w:rsidRPr="004768D0">
              <w:rPr>
                <w:rFonts w:ascii="Cambria" w:hAnsi="Cambria"/>
                <w:sz w:val="16"/>
                <w:szCs w:val="16"/>
                <w:lang w:val="es-ES"/>
              </w:rPr>
              <w:t xml:space="preserve">penales. Dijo </w:t>
            </w:r>
            <w:r w:rsidR="00F74F6E" w:rsidRPr="004768D0">
              <w:rPr>
                <w:rFonts w:ascii="Cambria" w:hAnsi="Cambria"/>
                <w:sz w:val="16"/>
                <w:szCs w:val="16"/>
                <w:lang w:val="es-ES"/>
              </w:rPr>
              <w:t xml:space="preserve">que </w:t>
            </w:r>
            <w:r w:rsidRPr="004768D0">
              <w:rPr>
                <w:rFonts w:ascii="Cambria" w:hAnsi="Cambria"/>
                <w:sz w:val="16"/>
                <w:szCs w:val="16"/>
                <w:lang w:val="es-ES"/>
              </w:rPr>
              <w:t>varias</w:t>
            </w:r>
            <w:r w:rsidR="00F74F6E" w:rsidRPr="004768D0">
              <w:rPr>
                <w:rFonts w:ascii="Cambria" w:hAnsi="Cambria"/>
                <w:sz w:val="16"/>
                <w:szCs w:val="16"/>
                <w:lang w:val="es-ES"/>
              </w:rPr>
              <w:t xml:space="preserve"> </w:t>
            </w:r>
            <w:r w:rsidR="000C0AC4" w:rsidRPr="004768D0">
              <w:rPr>
                <w:rFonts w:ascii="Cambria" w:hAnsi="Cambria"/>
                <w:sz w:val="16"/>
                <w:szCs w:val="16"/>
                <w:lang w:val="es-ES"/>
              </w:rPr>
              <w:t>personas</w:t>
            </w:r>
            <w:r w:rsidR="00F74F6E" w:rsidRPr="004768D0">
              <w:rPr>
                <w:rFonts w:ascii="Cambria" w:hAnsi="Cambria"/>
                <w:sz w:val="16"/>
                <w:szCs w:val="16"/>
                <w:lang w:val="es-ES"/>
              </w:rPr>
              <w:t xml:space="preserve"> </w:t>
            </w:r>
            <w:r w:rsidRPr="004768D0">
              <w:rPr>
                <w:rFonts w:ascii="Cambria" w:hAnsi="Cambria"/>
                <w:sz w:val="16"/>
                <w:szCs w:val="16"/>
                <w:lang w:val="es-ES"/>
              </w:rPr>
              <w:t>presenciaron</w:t>
            </w:r>
            <w:r w:rsidR="00F74F6E" w:rsidRPr="004768D0">
              <w:rPr>
                <w:rFonts w:ascii="Cambria" w:hAnsi="Cambria"/>
                <w:sz w:val="16"/>
                <w:szCs w:val="16"/>
                <w:lang w:val="es-ES"/>
              </w:rPr>
              <w:t xml:space="preserve"> </w:t>
            </w:r>
            <w:r w:rsidRPr="004768D0">
              <w:rPr>
                <w:rFonts w:ascii="Cambria" w:hAnsi="Cambria"/>
                <w:sz w:val="16"/>
                <w:szCs w:val="16"/>
                <w:lang w:val="es-ES"/>
              </w:rPr>
              <w:t>el delito y le contaron cómo había sucedido</w:t>
            </w:r>
            <w:r w:rsidR="00F74F6E" w:rsidRPr="004768D0">
              <w:rPr>
                <w:rFonts w:ascii="Cambria" w:hAnsi="Cambria"/>
                <w:sz w:val="16"/>
                <w:szCs w:val="16"/>
                <w:lang w:val="es-ES"/>
              </w:rPr>
              <w:t>. Inform</w:t>
            </w:r>
            <w:r w:rsidRPr="004768D0">
              <w:rPr>
                <w:rFonts w:ascii="Cambria" w:hAnsi="Cambria"/>
                <w:sz w:val="16"/>
                <w:szCs w:val="16"/>
                <w:lang w:val="es-ES"/>
              </w:rPr>
              <w:t xml:space="preserve">ó </w:t>
            </w:r>
            <w:r w:rsidR="00F74F6E" w:rsidRPr="004768D0">
              <w:rPr>
                <w:rFonts w:ascii="Cambria" w:hAnsi="Cambria"/>
                <w:sz w:val="16"/>
                <w:szCs w:val="16"/>
                <w:lang w:val="es-ES"/>
              </w:rPr>
              <w:t xml:space="preserve">que Thiago </w:t>
            </w:r>
            <w:r w:rsidRPr="004768D0">
              <w:rPr>
                <w:rFonts w:ascii="Cambria" w:hAnsi="Cambria"/>
                <w:sz w:val="16"/>
                <w:szCs w:val="16"/>
                <w:lang w:val="es-ES"/>
              </w:rPr>
              <w:t>ya le había hablado de varios incidentes de persecución, agresiones y amenazas</w:t>
            </w:r>
            <w:r w:rsidR="008C02A6" w:rsidRPr="008C02A6">
              <w:rPr>
                <w:rFonts w:ascii="Cambria" w:hAnsi="Cambria"/>
                <w:sz w:val="16"/>
                <w:szCs w:val="16"/>
                <w:lang w:val="es-ES"/>
              </w:rPr>
              <w:t xml:space="preserve"> a jóvenes del barrio</w:t>
            </w:r>
            <w:r w:rsidRPr="004768D0">
              <w:rPr>
                <w:rFonts w:ascii="Cambria" w:hAnsi="Cambria"/>
                <w:sz w:val="16"/>
                <w:szCs w:val="16"/>
                <w:lang w:val="es-ES"/>
              </w:rPr>
              <w:t xml:space="preserve"> por agentes de policía</w:t>
            </w:r>
            <w:r w:rsidR="009A608A">
              <w:rPr>
                <w:rFonts w:ascii="Cambria" w:hAnsi="Cambria"/>
                <w:sz w:val="16"/>
                <w:szCs w:val="16"/>
                <w:lang w:val="es-ES"/>
              </w:rPr>
              <w:t xml:space="preserve"> </w:t>
            </w:r>
            <w:r w:rsidRPr="004768D0">
              <w:rPr>
                <w:rFonts w:ascii="Cambria" w:hAnsi="Cambria"/>
                <w:sz w:val="16"/>
                <w:szCs w:val="16"/>
                <w:lang w:val="es-ES"/>
              </w:rPr>
              <w:t xml:space="preserve">y le había dicho incluso que, si algo le </w:t>
            </w:r>
            <w:r w:rsidR="008C02A6">
              <w:rPr>
                <w:rFonts w:ascii="Cambria" w:hAnsi="Cambria"/>
                <w:sz w:val="16"/>
                <w:szCs w:val="16"/>
                <w:lang w:val="es-ES"/>
              </w:rPr>
              <w:t>pasaba</w:t>
            </w:r>
            <w:r w:rsidRPr="004768D0">
              <w:rPr>
                <w:rFonts w:ascii="Cambria" w:hAnsi="Cambria"/>
                <w:sz w:val="16"/>
                <w:szCs w:val="16"/>
                <w:lang w:val="es-ES"/>
              </w:rPr>
              <w:t xml:space="preserve"> a él, el responsable sería el agente de policía </w:t>
            </w:r>
            <w:r w:rsidR="004744F0" w:rsidRPr="004768D0">
              <w:rPr>
                <w:rFonts w:ascii="Cambria" w:hAnsi="Cambria"/>
                <w:sz w:val="16"/>
                <w:szCs w:val="16"/>
                <w:lang w:val="es-ES"/>
              </w:rPr>
              <w:t>“</w:t>
            </w:r>
            <w:proofErr w:type="spellStart"/>
            <w:r w:rsidR="00F74F6E" w:rsidRPr="004768D0">
              <w:rPr>
                <w:rFonts w:ascii="Cambria" w:hAnsi="Cambria"/>
                <w:sz w:val="16"/>
                <w:szCs w:val="16"/>
                <w:lang w:val="es-ES"/>
              </w:rPr>
              <w:t>Bubu</w:t>
            </w:r>
            <w:proofErr w:type="spellEnd"/>
            <w:r w:rsidR="004744F0" w:rsidRPr="004768D0">
              <w:rPr>
                <w:rFonts w:ascii="Cambria" w:hAnsi="Cambria"/>
                <w:sz w:val="16"/>
                <w:szCs w:val="16"/>
                <w:lang w:val="es-ES"/>
              </w:rPr>
              <w:t>”</w:t>
            </w:r>
            <w:r w:rsidR="00F74F6E" w:rsidRPr="004768D0">
              <w:rPr>
                <w:rFonts w:ascii="Cambria" w:hAnsi="Cambria"/>
                <w:sz w:val="16"/>
                <w:szCs w:val="16"/>
                <w:lang w:val="es-ES"/>
              </w:rPr>
              <w:t xml:space="preserve">. </w:t>
            </w:r>
            <w:proofErr w:type="spellStart"/>
            <w:r w:rsidR="00F74F6E" w:rsidRPr="004768D0">
              <w:rPr>
                <w:rFonts w:ascii="Cambria" w:hAnsi="Cambria"/>
                <w:sz w:val="16"/>
                <w:szCs w:val="16"/>
                <w:lang w:val="es-ES"/>
              </w:rPr>
              <w:t>Ilza</w:t>
            </w:r>
            <w:proofErr w:type="spellEnd"/>
            <w:r w:rsidR="00F74F6E" w:rsidRPr="004768D0">
              <w:rPr>
                <w:rFonts w:ascii="Cambria" w:hAnsi="Cambria"/>
                <w:sz w:val="16"/>
                <w:szCs w:val="16"/>
                <w:lang w:val="es-ES"/>
              </w:rPr>
              <w:t xml:space="preserve"> </w:t>
            </w:r>
            <w:r w:rsidR="00617A3D" w:rsidRPr="004768D0">
              <w:rPr>
                <w:rFonts w:ascii="Cambria" w:hAnsi="Cambria"/>
                <w:sz w:val="16"/>
                <w:szCs w:val="16"/>
                <w:lang w:val="es-ES"/>
              </w:rPr>
              <w:t xml:space="preserve">relató también </w:t>
            </w:r>
            <w:r w:rsidR="00F74F6E" w:rsidRPr="004768D0">
              <w:rPr>
                <w:rFonts w:ascii="Cambria" w:hAnsi="Cambria"/>
                <w:sz w:val="16"/>
                <w:szCs w:val="16"/>
                <w:lang w:val="es-ES"/>
              </w:rPr>
              <w:t xml:space="preserve">que, </w:t>
            </w:r>
            <w:r w:rsidR="00617A3D" w:rsidRPr="004768D0">
              <w:rPr>
                <w:rFonts w:ascii="Cambria" w:hAnsi="Cambria"/>
                <w:sz w:val="16"/>
                <w:szCs w:val="16"/>
                <w:lang w:val="es-ES"/>
              </w:rPr>
              <w:t>cuando fue al Séptimo</w:t>
            </w:r>
            <w:r w:rsidR="00BC2A79" w:rsidRPr="004768D0">
              <w:rPr>
                <w:rFonts w:ascii="Cambria" w:hAnsi="Cambria"/>
                <w:sz w:val="16"/>
                <w:szCs w:val="16"/>
                <w:lang w:val="es-ES"/>
              </w:rPr>
              <w:t xml:space="preserve"> </w:t>
            </w:r>
            <w:r w:rsidR="00F74F6E" w:rsidRPr="004768D0">
              <w:rPr>
                <w:rFonts w:ascii="Cambria" w:hAnsi="Cambria"/>
                <w:sz w:val="16"/>
                <w:szCs w:val="16"/>
                <w:lang w:val="es-ES"/>
              </w:rPr>
              <w:t xml:space="preserve">Distrito Policial, </w:t>
            </w:r>
            <w:r w:rsidR="00617A3D" w:rsidRPr="004768D0">
              <w:rPr>
                <w:rFonts w:ascii="Cambria" w:hAnsi="Cambria"/>
                <w:sz w:val="16"/>
                <w:szCs w:val="16"/>
                <w:lang w:val="es-ES"/>
              </w:rPr>
              <w:t xml:space="preserve">inmediatamente después del delito, encontró allí a </w:t>
            </w:r>
            <w:r w:rsidR="00E04ED3" w:rsidRPr="004768D0">
              <w:rPr>
                <w:rFonts w:ascii="Cambria" w:hAnsi="Cambria"/>
                <w:sz w:val="16"/>
                <w:szCs w:val="16"/>
                <w:lang w:val="es-ES"/>
              </w:rPr>
              <w:t>policías militares</w:t>
            </w:r>
            <w:r w:rsidR="00F74F6E" w:rsidRPr="004768D0">
              <w:rPr>
                <w:rFonts w:ascii="Cambria" w:hAnsi="Cambria"/>
                <w:sz w:val="16"/>
                <w:szCs w:val="16"/>
                <w:lang w:val="es-ES"/>
              </w:rPr>
              <w:t xml:space="preserve"> armados </w:t>
            </w:r>
            <w:r w:rsidR="00617A3D" w:rsidRPr="004768D0">
              <w:rPr>
                <w:rFonts w:ascii="Cambria" w:hAnsi="Cambria"/>
                <w:sz w:val="16"/>
                <w:szCs w:val="16"/>
                <w:lang w:val="es-ES"/>
              </w:rPr>
              <w:t>con</w:t>
            </w:r>
            <w:r w:rsidR="00F74F6E" w:rsidRPr="004768D0">
              <w:rPr>
                <w:rFonts w:ascii="Cambria" w:hAnsi="Cambria"/>
                <w:sz w:val="16"/>
                <w:szCs w:val="16"/>
                <w:lang w:val="es-ES"/>
              </w:rPr>
              <w:t xml:space="preserve"> </w:t>
            </w:r>
            <w:r w:rsidR="00617A3D" w:rsidRPr="004768D0">
              <w:rPr>
                <w:rFonts w:ascii="Cambria" w:hAnsi="Cambria"/>
                <w:sz w:val="16"/>
                <w:szCs w:val="16"/>
                <w:lang w:val="es-ES"/>
              </w:rPr>
              <w:t>ametralladoras</w:t>
            </w:r>
            <w:r w:rsidR="00F74F6E" w:rsidRPr="004768D0">
              <w:rPr>
                <w:rFonts w:ascii="Cambria" w:hAnsi="Cambria"/>
                <w:sz w:val="16"/>
                <w:szCs w:val="16"/>
                <w:lang w:val="es-ES"/>
              </w:rPr>
              <w:t xml:space="preserve"> </w:t>
            </w:r>
            <w:r w:rsidR="00617A3D" w:rsidRPr="004768D0">
              <w:rPr>
                <w:rFonts w:ascii="Cambria" w:hAnsi="Cambria"/>
                <w:sz w:val="16"/>
                <w:szCs w:val="16"/>
                <w:lang w:val="es-ES"/>
              </w:rPr>
              <w:t>y</w:t>
            </w:r>
            <w:r w:rsidR="00F74F6E" w:rsidRPr="004768D0">
              <w:rPr>
                <w:rFonts w:ascii="Cambria" w:hAnsi="Cambria"/>
                <w:sz w:val="16"/>
                <w:szCs w:val="16"/>
                <w:lang w:val="es-ES"/>
              </w:rPr>
              <w:t xml:space="preserve"> </w:t>
            </w:r>
            <w:r w:rsidR="00A70AAA" w:rsidRPr="004768D0">
              <w:rPr>
                <w:rFonts w:ascii="Cambria" w:hAnsi="Cambria"/>
                <w:sz w:val="16"/>
                <w:szCs w:val="16"/>
                <w:lang w:val="es-ES"/>
              </w:rPr>
              <w:t>encapuchados</w:t>
            </w:r>
            <w:r w:rsidR="00F74F6E" w:rsidRPr="004768D0">
              <w:rPr>
                <w:rFonts w:ascii="Cambria" w:hAnsi="Cambria"/>
                <w:sz w:val="16"/>
                <w:szCs w:val="16"/>
                <w:lang w:val="es-ES"/>
              </w:rPr>
              <w:t>.</w:t>
            </w:r>
          </w:p>
          <w:p w14:paraId="0101058A" w14:textId="77777777" w:rsidR="00F74F6E" w:rsidRPr="004768D0" w:rsidRDefault="00F74F6E" w:rsidP="00F74F6E">
            <w:pPr>
              <w:spacing w:before="120" w:after="120"/>
              <w:jc w:val="both"/>
              <w:rPr>
                <w:rFonts w:ascii="Cambria" w:hAnsi="Cambria"/>
                <w:sz w:val="16"/>
                <w:szCs w:val="16"/>
                <w:lang w:val="es-ES"/>
              </w:rPr>
            </w:pPr>
            <w:proofErr w:type="spellStart"/>
            <w:r w:rsidRPr="004768D0">
              <w:rPr>
                <w:rFonts w:ascii="Cambria" w:hAnsi="Cambria"/>
                <w:sz w:val="16"/>
                <w:szCs w:val="16"/>
                <w:lang w:val="es-ES"/>
              </w:rPr>
              <w:t>Edinalva</w:t>
            </w:r>
            <w:proofErr w:type="spellEnd"/>
            <w:r w:rsidRPr="004768D0">
              <w:rPr>
                <w:rFonts w:ascii="Cambria" w:hAnsi="Cambria"/>
                <w:sz w:val="16"/>
                <w:szCs w:val="16"/>
                <w:lang w:val="es-ES"/>
              </w:rPr>
              <w:t xml:space="preserve"> Santos, </w:t>
            </w:r>
            <w:r w:rsidR="00617A3D" w:rsidRPr="004768D0">
              <w:rPr>
                <w:rFonts w:ascii="Cambria" w:hAnsi="Cambria"/>
                <w:sz w:val="16"/>
                <w:szCs w:val="16"/>
                <w:lang w:val="es-ES"/>
              </w:rPr>
              <w:t>la madre</w:t>
            </w:r>
            <w:r w:rsidRPr="004768D0">
              <w:rPr>
                <w:rFonts w:ascii="Cambria" w:hAnsi="Cambria"/>
                <w:sz w:val="16"/>
                <w:szCs w:val="16"/>
                <w:lang w:val="es-ES"/>
              </w:rPr>
              <w:t xml:space="preserve"> de Marcos, </w:t>
            </w:r>
            <w:r w:rsidR="00617A3D" w:rsidRPr="004768D0">
              <w:rPr>
                <w:rFonts w:ascii="Cambria" w:hAnsi="Cambria"/>
                <w:sz w:val="16"/>
                <w:szCs w:val="16"/>
                <w:lang w:val="es-ES"/>
              </w:rPr>
              <w:t>al declarar ante la CJP, también confirmó</w:t>
            </w:r>
            <w:r w:rsidRPr="004768D0">
              <w:rPr>
                <w:rFonts w:ascii="Cambria" w:hAnsi="Cambria"/>
                <w:sz w:val="16"/>
                <w:szCs w:val="16"/>
                <w:lang w:val="es-ES"/>
              </w:rPr>
              <w:t xml:space="preserve"> que f</w:t>
            </w:r>
            <w:r w:rsidR="00617A3D" w:rsidRPr="004768D0">
              <w:rPr>
                <w:rFonts w:ascii="Cambria" w:hAnsi="Cambria"/>
                <w:sz w:val="16"/>
                <w:szCs w:val="16"/>
                <w:lang w:val="es-ES"/>
              </w:rPr>
              <w:t>ue</w:t>
            </w:r>
            <w:r w:rsidRPr="004768D0">
              <w:rPr>
                <w:rFonts w:ascii="Cambria" w:hAnsi="Cambria"/>
                <w:sz w:val="16"/>
                <w:szCs w:val="16"/>
                <w:lang w:val="es-ES"/>
              </w:rPr>
              <w:t xml:space="preserve"> </w:t>
            </w:r>
            <w:r w:rsidR="004744F0" w:rsidRPr="004768D0">
              <w:rPr>
                <w:rFonts w:ascii="Cambria" w:hAnsi="Cambria"/>
                <w:sz w:val="16"/>
                <w:szCs w:val="16"/>
                <w:lang w:val="es-ES"/>
              </w:rPr>
              <w:t>“</w:t>
            </w:r>
            <w:proofErr w:type="spellStart"/>
            <w:r w:rsidRPr="004768D0">
              <w:rPr>
                <w:rFonts w:ascii="Cambria" w:hAnsi="Cambria"/>
                <w:sz w:val="16"/>
                <w:szCs w:val="16"/>
                <w:lang w:val="es-ES"/>
              </w:rPr>
              <w:t>Bubu</w:t>
            </w:r>
            <w:proofErr w:type="spellEnd"/>
            <w:r w:rsidR="004744F0" w:rsidRPr="004768D0">
              <w:rPr>
                <w:rFonts w:ascii="Cambria" w:hAnsi="Cambria"/>
                <w:sz w:val="16"/>
                <w:szCs w:val="16"/>
                <w:lang w:val="es-ES"/>
              </w:rPr>
              <w:t>”</w:t>
            </w:r>
            <w:r w:rsidRPr="004768D0">
              <w:rPr>
                <w:rFonts w:ascii="Cambria" w:hAnsi="Cambria"/>
                <w:sz w:val="16"/>
                <w:szCs w:val="16"/>
                <w:lang w:val="es-ES"/>
              </w:rPr>
              <w:t xml:space="preserve"> qu</w:t>
            </w:r>
            <w:r w:rsidR="00617A3D" w:rsidRPr="004768D0">
              <w:rPr>
                <w:rFonts w:ascii="Cambria" w:hAnsi="Cambria"/>
                <w:sz w:val="16"/>
                <w:szCs w:val="16"/>
                <w:lang w:val="es-ES"/>
              </w:rPr>
              <w:t xml:space="preserve">ien le disparó a </w:t>
            </w:r>
            <w:r w:rsidRPr="004768D0">
              <w:rPr>
                <w:rFonts w:ascii="Cambria" w:hAnsi="Cambria"/>
                <w:sz w:val="16"/>
                <w:szCs w:val="16"/>
                <w:lang w:val="es-ES"/>
              </w:rPr>
              <w:t xml:space="preserve">Thiago, </w:t>
            </w:r>
            <w:r w:rsidR="008C02A6">
              <w:rPr>
                <w:rFonts w:ascii="Cambria" w:hAnsi="Cambria"/>
                <w:sz w:val="16"/>
                <w:szCs w:val="16"/>
                <w:lang w:val="es-ES"/>
              </w:rPr>
              <w:t>ya que</w:t>
            </w:r>
            <w:r w:rsidR="00617A3D" w:rsidRPr="004768D0">
              <w:rPr>
                <w:rFonts w:ascii="Cambria" w:hAnsi="Cambria"/>
                <w:sz w:val="16"/>
                <w:szCs w:val="16"/>
                <w:lang w:val="es-ES"/>
              </w:rPr>
              <w:t xml:space="preserve"> se quitó la capucha en un momento dado y las </w:t>
            </w:r>
            <w:r w:rsidR="000C0AC4" w:rsidRPr="004768D0">
              <w:rPr>
                <w:rFonts w:ascii="Cambria" w:hAnsi="Cambria"/>
                <w:sz w:val="16"/>
                <w:szCs w:val="16"/>
                <w:lang w:val="es-ES"/>
              </w:rPr>
              <w:t>personas</w:t>
            </w:r>
            <w:r w:rsidRPr="004768D0">
              <w:rPr>
                <w:rFonts w:ascii="Cambria" w:hAnsi="Cambria"/>
                <w:sz w:val="16"/>
                <w:szCs w:val="16"/>
                <w:lang w:val="es-ES"/>
              </w:rPr>
              <w:t xml:space="preserve"> que esta</w:t>
            </w:r>
            <w:r w:rsidR="00617A3D" w:rsidRPr="004768D0">
              <w:rPr>
                <w:rFonts w:ascii="Cambria" w:hAnsi="Cambria"/>
                <w:sz w:val="16"/>
                <w:szCs w:val="16"/>
                <w:lang w:val="es-ES"/>
              </w:rPr>
              <w:t xml:space="preserve">ban en el lugar lo habrían </w:t>
            </w:r>
            <w:r w:rsidRPr="004768D0">
              <w:rPr>
                <w:rFonts w:ascii="Cambria" w:hAnsi="Cambria"/>
                <w:sz w:val="16"/>
                <w:szCs w:val="16"/>
                <w:lang w:val="es-ES"/>
              </w:rPr>
              <w:t>visto. Esas m</w:t>
            </w:r>
            <w:r w:rsidR="00617A3D" w:rsidRPr="004768D0">
              <w:rPr>
                <w:rFonts w:ascii="Cambria" w:hAnsi="Cambria"/>
                <w:sz w:val="16"/>
                <w:szCs w:val="16"/>
                <w:lang w:val="es-ES"/>
              </w:rPr>
              <w:t>i</w:t>
            </w:r>
            <w:r w:rsidRPr="004768D0">
              <w:rPr>
                <w:rFonts w:ascii="Cambria" w:hAnsi="Cambria"/>
                <w:sz w:val="16"/>
                <w:szCs w:val="16"/>
                <w:lang w:val="es-ES"/>
              </w:rPr>
              <w:t xml:space="preserve">smas </w:t>
            </w:r>
            <w:r w:rsidR="000C0AC4" w:rsidRPr="004768D0">
              <w:rPr>
                <w:rFonts w:ascii="Cambria" w:hAnsi="Cambria"/>
                <w:sz w:val="16"/>
                <w:szCs w:val="16"/>
                <w:lang w:val="es-ES"/>
              </w:rPr>
              <w:t>personas</w:t>
            </w:r>
            <w:r w:rsidRPr="004768D0">
              <w:rPr>
                <w:rFonts w:ascii="Cambria" w:hAnsi="Cambria"/>
                <w:sz w:val="16"/>
                <w:szCs w:val="16"/>
                <w:lang w:val="es-ES"/>
              </w:rPr>
              <w:t xml:space="preserve"> informar</w:t>
            </w:r>
            <w:r w:rsidR="00617A3D" w:rsidRPr="004768D0">
              <w:rPr>
                <w:rFonts w:ascii="Cambria" w:hAnsi="Cambria"/>
                <w:sz w:val="16"/>
                <w:szCs w:val="16"/>
                <w:lang w:val="es-ES"/>
              </w:rPr>
              <w:t xml:space="preserve">on </w:t>
            </w:r>
            <w:r w:rsidRPr="004768D0">
              <w:rPr>
                <w:rFonts w:ascii="Cambria" w:hAnsi="Cambria"/>
                <w:sz w:val="16"/>
                <w:szCs w:val="16"/>
                <w:lang w:val="es-ES"/>
              </w:rPr>
              <w:t xml:space="preserve">que </w:t>
            </w:r>
            <w:r w:rsidR="00617A3D" w:rsidRPr="004768D0">
              <w:rPr>
                <w:rFonts w:ascii="Cambria" w:hAnsi="Cambria"/>
                <w:sz w:val="16"/>
                <w:szCs w:val="16"/>
                <w:lang w:val="es-ES"/>
              </w:rPr>
              <w:t>l</w:t>
            </w:r>
            <w:r w:rsidRPr="004768D0">
              <w:rPr>
                <w:rFonts w:ascii="Cambria" w:hAnsi="Cambria"/>
                <w:sz w:val="16"/>
                <w:szCs w:val="16"/>
                <w:lang w:val="es-ES"/>
              </w:rPr>
              <w:t xml:space="preserve">os </w:t>
            </w:r>
            <w:r w:rsidR="00617A3D" w:rsidRPr="004768D0">
              <w:rPr>
                <w:rFonts w:ascii="Cambria" w:hAnsi="Cambria"/>
                <w:sz w:val="16"/>
                <w:szCs w:val="16"/>
                <w:lang w:val="es-ES"/>
              </w:rPr>
              <w:t xml:space="preserve">autores de los disparos recogieron los casquillos de bala del lugar. Sin embargo, no </w:t>
            </w:r>
            <w:r w:rsidRPr="004768D0">
              <w:rPr>
                <w:rFonts w:ascii="Cambria" w:hAnsi="Cambria"/>
                <w:sz w:val="16"/>
                <w:szCs w:val="16"/>
                <w:lang w:val="es-ES"/>
              </w:rPr>
              <w:t xml:space="preserve">consta </w:t>
            </w:r>
            <w:r w:rsidR="00617A3D" w:rsidRPr="004768D0">
              <w:rPr>
                <w:rFonts w:ascii="Cambria" w:hAnsi="Cambria"/>
                <w:sz w:val="16"/>
                <w:szCs w:val="16"/>
                <w:lang w:val="es-ES"/>
              </w:rPr>
              <w:t>en</w:t>
            </w:r>
            <w:r w:rsidRPr="004768D0">
              <w:rPr>
                <w:rFonts w:ascii="Cambria" w:hAnsi="Cambria"/>
                <w:sz w:val="16"/>
                <w:szCs w:val="16"/>
                <w:lang w:val="es-ES"/>
              </w:rPr>
              <w:t xml:space="preserve"> autos que </w:t>
            </w:r>
            <w:r w:rsidR="00617A3D" w:rsidRPr="004768D0">
              <w:rPr>
                <w:rFonts w:ascii="Cambria" w:hAnsi="Cambria"/>
                <w:sz w:val="16"/>
                <w:szCs w:val="16"/>
                <w:lang w:val="es-ES"/>
              </w:rPr>
              <w:t xml:space="preserve">dichas </w:t>
            </w:r>
            <w:r w:rsidR="000C0AC4" w:rsidRPr="004768D0">
              <w:rPr>
                <w:rFonts w:ascii="Cambria" w:hAnsi="Cambria"/>
                <w:sz w:val="16"/>
                <w:szCs w:val="16"/>
                <w:lang w:val="es-ES"/>
              </w:rPr>
              <w:t>personas</w:t>
            </w:r>
            <w:r w:rsidRPr="004768D0">
              <w:rPr>
                <w:rFonts w:ascii="Cambria" w:hAnsi="Cambria"/>
                <w:sz w:val="16"/>
                <w:szCs w:val="16"/>
                <w:lang w:val="es-ES"/>
              </w:rPr>
              <w:t xml:space="preserve"> </w:t>
            </w:r>
            <w:r w:rsidR="00617A3D" w:rsidRPr="004768D0">
              <w:rPr>
                <w:rFonts w:ascii="Cambria" w:hAnsi="Cambria"/>
                <w:sz w:val="16"/>
                <w:szCs w:val="16"/>
                <w:lang w:val="es-ES"/>
              </w:rPr>
              <w:t xml:space="preserve">hayan sido llamadas a prestar declaración. La </w:t>
            </w:r>
            <w:r w:rsidR="007F4608" w:rsidRPr="004768D0">
              <w:rPr>
                <w:rFonts w:ascii="Cambria" w:hAnsi="Cambria"/>
                <w:sz w:val="16"/>
                <w:szCs w:val="16"/>
                <w:lang w:val="es-ES"/>
              </w:rPr>
              <w:t>madre de</w:t>
            </w:r>
            <w:r w:rsidRPr="004768D0">
              <w:rPr>
                <w:rFonts w:ascii="Cambria" w:hAnsi="Cambria"/>
                <w:sz w:val="16"/>
                <w:szCs w:val="16"/>
                <w:lang w:val="es-ES"/>
              </w:rPr>
              <w:t xml:space="preserve"> Marcos inform</w:t>
            </w:r>
            <w:r w:rsidR="00617A3D" w:rsidRPr="004768D0">
              <w:rPr>
                <w:rFonts w:ascii="Cambria" w:hAnsi="Cambria"/>
                <w:sz w:val="16"/>
                <w:szCs w:val="16"/>
                <w:lang w:val="es-ES"/>
              </w:rPr>
              <w:t xml:space="preserve">ó que su hijo había recibido amenazas de </w:t>
            </w:r>
            <w:r w:rsidR="004744F0" w:rsidRPr="004768D0">
              <w:rPr>
                <w:rFonts w:ascii="Cambria" w:hAnsi="Cambria"/>
                <w:sz w:val="16"/>
                <w:szCs w:val="16"/>
                <w:lang w:val="es-ES"/>
              </w:rPr>
              <w:t>“</w:t>
            </w:r>
            <w:r w:rsidRPr="004768D0">
              <w:rPr>
                <w:rFonts w:ascii="Cambria" w:hAnsi="Cambria"/>
                <w:sz w:val="16"/>
                <w:szCs w:val="16"/>
                <w:lang w:val="es-ES"/>
              </w:rPr>
              <w:t>Bolacha</w:t>
            </w:r>
            <w:r w:rsidR="004744F0" w:rsidRPr="004768D0">
              <w:rPr>
                <w:rFonts w:ascii="Cambria" w:hAnsi="Cambria"/>
                <w:sz w:val="16"/>
                <w:szCs w:val="16"/>
                <w:lang w:val="es-ES"/>
              </w:rPr>
              <w:t>”</w:t>
            </w:r>
            <w:r w:rsidRPr="004768D0">
              <w:rPr>
                <w:rFonts w:ascii="Cambria" w:hAnsi="Cambria"/>
                <w:sz w:val="16"/>
                <w:szCs w:val="16"/>
                <w:lang w:val="es-ES"/>
              </w:rPr>
              <w:t xml:space="preserve">, </w:t>
            </w:r>
            <w:r w:rsidR="00617A3D" w:rsidRPr="004768D0">
              <w:rPr>
                <w:rFonts w:ascii="Cambria" w:hAnsi="Cambria"/>
                <w:sz w:val="16"/>
                <w:szCs w:val="16"/>
                <w:lang w:val="es-ES"/>
              </w:rPr>
              <w:t>propietario de un</w:t>
            </w:r>
            <w:r w:rsidRPr="004768D0">
              <w:rPr>
                <w:rFonts w:ascii="Cambria" w:hAnsi="Cambria"/>
                <w:sz w:val="16"/>
                <w:szCs w:val="16"/>
                <w:lang w:val="es-ES"/>
              </w:rPr>
              <w:t xml:space="preserve"> </w:t>
            </w:r>
            <w:r w:rsidR="006062C8" w:rsidRPr="004768D0">
              <w:rPr>
                <w:rFonts w:ascii="Cambria" w:hAnsi="Cambria"/>
                <w:sz w:val="16"/>
                <w:szCs w:val="16"/>
                <w:lang w:val="es-ES"/>
              </w:rPr>
              <w:t>vehículo</w:t>
            </w:r>
            <w:r w:rsidRPr="004768D0">
              <w:rPr>
                <w:rFonts w:ascii="Cambria" w:hAnsi="Cambria"/>
                <w:sz w:val="16"/>
                <w:szCs w:val="16"/>
                <w:lang w:val="es-ES"/>
              </w:rPr>
              <w:t xml:space="preserve"> Marea </w:t>
            </w:r>
            <w:r w:rsidR="006062C8" w:rsidRPr="004768D0">
              <w:rPr>
                <w:rFonts w:ascii="Cambria" w:hAnsi="Cambria"/>
                <w:sz w:val="16"/>
                <w:szCs w:val="16"/>
                <w:lang w:val="es-ES"/>
              </w:rPr>
              <w:t>negro</w:t>
            </w:r>
            <w:r w:rsidRPr="004768D0">
              <w:rPr>
                <w:rFonts w:ascii="Cambria" w:hAnsi="Cambria"/>
                <w:sz w:val="16"/>
                <w:szCs w:val="16"/>
                <w:lang w:val="es-ES"/>
              </w:rPr>
              <w:t xml:space="preserve">, </w:t>
            </w:r>
            <w:r w:rsidR="00617A3D" w:rsidRPr="004768D0">
              <w:rPr>
                <w:rFonts w:ascii="Cambria" w:hAnsi="Cambria"/>
                <w:sz w:val="16"/>
                <w:szCs w:val="16"/>
                <w:lang w:val="es-ES"/>
              </w:rPr>
              <w:t>y</w:t>
            </w:r>
            <w:r w:rsidRPr="004768D0">
              <w:rPr>
                <w:rFonts w:ascii="Cambria" w:hAnsi="Cambria"/>
                <w:sz w:val="16"/>
                <w:szCs w:val="16"/>
                <w:lang w:val="es-ES"/>
              </w:rPr>
              <w:t xml:space="preserve"> que </w:t>
            </w:r>
            <w:r w:rsidR="00617A3D" w:rsidRPr="004768D0">
              <w:rPr>
                <w:rFonts w:ascii="Cambria" w:hAnsi="Cambria"/>
                <w:sz w:val="16"/>
                <w:szCs w:val="16"/>
                <w:lang w:val="es-ES"/>
              </w:rPr>
              <w:t xml:space="preserve">ya había </w:t>
            </w:r>
            <w:r w:rsidRPr="004768D0">
              <w:rPr>
                <w:rFonts w:ascii="Cambria" w:hAnsi="Cambria"/>
                <w:sz w:val="16"/>
                <w:szCs w:val="16"/>
                <w:lang w:val="es-ES"/>
              </w:rPr>
              <w:t xml:space="preserve">sido agredido por otro </w:t>
            </w:r>
            <w:r w:rsidR="00617A3D" w:rsidRPr="004768D0">
              <w:rPr>
                <w:rFonts w:ascii="Cambria" w:hAnsi="Cambria"/>
                <w:sz w:val="16"/>
                <w:szCs w:val="16"/>
                <w:lang w:val="es-ES"/>
              </w:rPr>
              <w:t xml:space="preserve">agente de </w:t>
            </w:r>
            <w:r w:rsidRPr="004768D0">
              <w:rPr>
                <w:rFonts w:ascii="Cambria" w:hAnsi="Cambria"/>
                <w:sz w:val="16"/>
                <w:szCs w:val="16"/>
                <w:lang w:val="es-ES"/>
              </w:rPr>
              <w:t>polic</w:t>
            </w:r>
            <w:r w:rsidR="00617A3D" w:rsidRPr="004768D0">
              <w:rPr>
                <w:rFonts w:ascii="Cambria" w:hAnsi="Cambria"/>
                <w:sz w:val="16"/>
                <w:szCs w:val="16"/>
                <w:lang w:val="es-ES"/>
              </w:rPr>
              <w:t xml:space="preserve">ía llamado </w:t>
            </w:r>
            <w:proofErr w:type="spellStart"/>
            <w:r w:rsidRPr="004768D0">
              <w:rPr>
                <w:rFonts w:ascii="Cambria" w:hAnsi="Cambria"/>
                <w:sz w:val="16"/>
                <w:szCs w:val="16"/>
                <w:lang w:val="es-ES"/>
              </w:rPr>
              <w:t>Aragão</w:t>
            </w:r>
            <w:proofErr w:type="spellEnd"/>
            <w:r w:rsidRPr="004768D0">
              <w:rPr>
                <w:rFonts w:ascii="Cambria" w:hAnsi="Cambria"/>
                <w:sz w:val="16"/>
                <w:szCs w:val="16"/>
                <w:lang w:val="es-ES"/>
              </w:rPr>
              <w:t xml:space="preserve">. Por </w:t>
            </w:r>
            <w:r w:rsidR="00617A3D" w:rsidRPr="004768D0">
              <w:rPr>
                <w:rFonts w:ascii="Cambria" w:hAnsi="Cambria"/>
                <w:sz w:val="16"/>
                <w:szCs w:val="16"/>
                <w:lang w:val="es-ES"/>
              </w:rPr>
              <w:t>último</w:t>
            </w:r>
            <w:r w:rsidRPr="004768D0">
              <w:rPr>
                <w:rFonts w:ascii="Cambria" w:hAnsi="Cambria"/>
                <w:sz w:val="16"/>
                <w:szCs w:val="16"/>
                <w:lang w:val="es-ES"/>
              </w:rPr>
              <w:t xml:space="preserve">, </w:t>
            </w:r>
            <w:r w:rsidR="00617A3D" w:rsidRPr="004768D0">
              <w:rPr>
                <w:rFonts w:ascii="Cambria" w:hAnsi="Cambria"/>
                <w:sz w:val="16"/>
                <w:szCs w:val="16"/>
                <w:lang w:val="es-ES"/>
              </w:rPr>
              <w:t xml:space="preserve">relató que esos dos policías habían amenazado a la testigo </w:t>
            </w:r>
            <w:r w:rsidRPr="004768D0">
              <w:rPr>
                <w:rFonts w:ascii="Cambria" w:hAnsi="Cambria"/>
                <w:sz w:val="16"/>
                <w:szCs w:val="16"/>
                <w:lang w:val="es-ES"/>
              </w:rPr>
              <w:t xml:space="preserve">presencial </w:t>
            </w:r>
            <w:r w:rsidR="00617A3D" w:rsidRPr="004768D0">
              <w:rPr>
                <w:rFonts w:ascii="Cambria" w:hAnsi="Cambria"/>
                <w:sz w:val="16"/>
                <w:szCs w:val="16"/>
                <w:lang w:val="es-ES"/>
              </w:rPr>
              <w:t xml:space="preserve">antes </w:t>
            </w:r>
            <w:r w:rsidRPr="004768D0">
              <w:rPr>
                <w:rFonts w:ascii="Cambria" w:hAnsi="Cambria"/>
                <w:sz w:val="16"/>
                <w:szCs w:val="16"/>
                <w:lang w:val="es-ES"/>
              </w:rPr>
              <w:t xml:space="preserve">mencionada. No consta </w:t>
            </w:r>
            <w:r w:rsidR="00617A3D" w:rsidRPr="004768D0">
              <w:rPr>
                <w:rFonts w:ascii="Cambria" w:hAnsi="Cambria"/>
                <w:sz w:val="16"/>
                <w:szCs w:val="16"/>
                <w:lang w:val="es-ES"/>
              </w:rPr>
              <w:t xml:space="preserve">en los </w:t>
            </w:r>
            <w:r w:rsidRPr="004768D0">
              <w:rPr>
                <w:rFonts w:ascii="Cambria" w:hAnsi="Cambria"/>
                <w:sz w:val="16"/>
                <w:szCs w:val="16"/>
                <w:lang w:val="es-ES"/>
              </w:rPr>
              <w:t>autos d</w:t>
            </w:r>
            <w:r w:rsidR="00617A3D" w:rsidRPr="004768D0">
              <w:rPr>
                <w:rFonts w:ascii="Cambria" w:hAnsi="Cambria"/>
                <w:sz w:val="16"/>
                <w:szCs w:val="16"/>
                <w:lang w:val="es-ES"/>
              </w:rPr>
              <w:t>e la</w:t>
            </w:r>
            <w:r w:rsidRPr="004768D0">
              <w:rPr>
                <w:rFonts w:ascii="Cambria" w:hAnsi="Cambria"/>
                <w:sz w:val="16"/>
                <w:szCs w:val="16"/>
                <w:lang w:val="es-ES"/>
              </w:rPr>
              <w:t xml:space="preserve"> </w:t>
            </w:r>
            <w:r w:rsidR="00C03E33" w:rsidRPr="004768D0">
              <w:rPr>
                <w:rFonts w:ascii="Cambria" w:hAnsi="Cambria"/>
                <w:sz w:val="16"/>
                <w:szCs w:val="16"/>
                <w:lang w:val="es-ES"/>
              </w:rPr>
              <w:t>investigación</w:t>
            </w:r>
            <w:r w:rsidRPr="004768D0">
              <w:rPr>
                <w:rFonts w:ascii="Cambria" w:hAnsi="Cambria"/>
                <w:sz w:val="16"/>
                <w:szCs w:val="16"/>
                <w:lang w:val="es-ES"/>
              </w:rPr>
              <w:t xml:space="preserve"> que </w:t>
            </w:r>
            <w:r w:rsidR="00617A3D" w:rsidRPr="004768D0">
              <w:rPr>
                <w:rFonts w:ascii="Cambria" w:hAnsi="Cambria"/>
                <w:sz w:val="16"/>
                <w:szCs w:val="16"/>
                <w:lang w:val="es-ES"/>
              </w:rPr>
              <w:t xml:space="preserve">el agente de policía </w:t>
            </w:r>
            <w:proofErr w:type="spellStart"/>
            <w:r w:rsidRPr="004768D0">
              <w:rPr>
                <w:rFonts w:ascii="Cambria" w:hAnsi="Cambria"/>
                <w:sz w:val="16"/>
                <w:szCs w:val="16"/>
                <w:lang w:val="es-ES"/>
              </w:rPr>
              <w:t>Aragão</w:t>
            </w:r>
            <w:proofErr w:type="spellEnd"/>
            <w:r w:rsidRPr="004768D0">
              <w:rPr>
                <w:rFonts w:ascii="Cambria" w:hAnsi="Cambria"/>
                <w:sz w:val="16"/>
                <w:szCs w:val="16"/>
                <w:lang w:val="es-ES"/>
              </w:rPr>
              <w:t xml:space="preserve"> </w:t>
            </w:r>
            <w:r w:rsidR="005C05A4" w:rsidRPr="004768D0">
              <w:rPr>
                <w:rFonts w:ascii="Cambria" w:hAnsi="Cambria"/>
                <w:sz w:val="16"/>
                <w:szCs w:val="16"/>
                <w:lang w:val="es-ES"/>
              </w:rPr>
              <w:t xml:space="preserve">haya sido llamado a prestar declaración sobre los </w:t>
            </w:r>
            <w:r w:rsidR="000C0AC4" w:rsidRPr="004768D0">
              <w:rPr>
                <w:rFonts w:ascii="Cambria" w:hAnsi="Cambria"/>
                <w:sz w:val="16"/>
                <w:szCs w:val="16"/>
                <w:lang w:val="es-ES"/>
              </w:rPr>
              <w:t>hechos</w:t>
            </w:r>
            <w:r w:rsidRPr="004768D0">
              <w:rPr>
                <w:rFonts w:ascii="Cambria" w:hAnsi="Cambria"/>
                <w:sz w:val="16"/>
                <w:szCs w:val="16"/>
                <w:lang w:val="es-ES"/>
              </w:rPr>
              <w:t>.</w:t>
            </w:r>
          </w:p>
          <w:p w14:paraId="1F3E317D" w14:textId="77777777" w:rsidR="00F74F6E" w:rsidRPr="004768D0" w:rsidRDefault="00F74F6E" w:rsidP="00F74F6E">
            <w:pPr>
              <w:spacing w:before="120" w:after="120"/>
              <w:jc w:val="both"/>
              <w:rPr>
                <w:rFonts w:ascii="Cambria" w:hAnsi="Cambria"/>
                <w:sz w:val="16"/>
                <w:szCs w:val="16"/>
                <w:lang w:val="es-ES"/>
              </w:rPr>
            </w:pPr>
            <w:r w:rsidRPr="004768D0">
              <w:rPr>
                <w:rFonts w:ascii="Cambria" w:hAnsi="Cambria"/>
                <w:sz w:val="16"/>
                <w:szCs w:val="16"/>
                <w:lang w:val="es-ES"/>
              </w:rPr>
              <w:t>Débora Maria da Silva relat</w:t>
            </w:r>
            <w:r w:rsidR="004246B8" w:rsidRPr="004768D0">
              <w:rPr>
                <w:rFonts w:ascii="Cambria" w:hAnsi="Cambria"/>
                <w:sz w:val="16"/>
                <w:szCs w:val="16"/>
                <w:lang w:val="es-ES"/>
              </w:rPr>
              <w:t>ó</w:t>
            </w:r>
            <w:r w:rsidRPr="004768D0">
              <w:rPr>
                <w:rFonts w:ascii="Cambria" w:hAnsi="Cambria"/>
                <w:sz w:val="16"/>
                <w:szCs w:val="16"/>
                <w:lang w:val="es-ES"/>
              </w:rPr>
              <w:t xml:space="preserve"> que, </w:t>
            </w:r>
            <w:r w:rsidR="004246B8" w:rsidRPr="004768D0">
              <w:rPr>
                <w:rFonts w:ascii="Cambria" w:hAnsi="Cambria"/>
                <w:sz w:val="16"/>
                <w:szCs w:val="16"/>
                <w:lang w:val="es-ES"/>
              </w:rPr>
              <w:t xml:space="preserve">el día siguiente a las ejecuciones, por la mañana, habló por teléfono con el </w:t>
            </w:r>
            <w:r w:rsidRPr="004768D0">
              <w:rPr>
                <w:rFonts w:ascii="Cambria" w:hAnsi="Cambria"/>
                <w:sz w:val="16"/>
                <w:szCs w:val="16"/>
                <w:lang w:val="es-ES"/>
              </w:rPr>
              <w:t>polic</w:t>
            </w:r>
            <w:r w:rsidR="004246B8" w:rsidRPr="004768D0">
              <w:rPr>
                <w:rFonts w:ascii="Cambria" w:hAnsi="Cambria"/>
                <w:sz w:val="16"/>
                <w:szCs w:val="16"/>
                <w:lang w:val="es-ES"/>
              </w:rPr>
              <w:t>ía</w:t>
            </w:r>
            <w:r w:rsidRPr="004768D0">
              <w:rPr>
                <w:rFonts w:ascii="Cambria" w:hAnsi="Cambria"/>
                <w:sz w:val="16"/>
                <w:szCs w:val="16"/>
                <w:lang w:val="es-ES"/>
              </w:rPr>
              <w:t xml:space="preserve"> militar </w:t>
            </w:r>
            <w:r w:rsidR="00E04ED3" w:rsidRPr="004768D0">
              <w:rPr>
                <w:rFonts w:ascii="Cambria" w:hAnsi="Cambria"/>
                <w:sz w:val="16"/>
                <w:szCs w:val="16"/>
                <w:lang w:val="es-ES"/>
              </w:rPr>
              <w:t>conocido como</w:t>
            </w:r>
            <w:r w:rsidRPr="004768D0">
              <w:rPr>
                <w:rFonts w:ascii="Cambria" w:hAnsi="Cambria"/>
                <w:sz w:val="16"/>
                <w:szCs w:val="16"/>
                <w:lang w:val="es-ES"/>
              </w:rPr>
              <w:t xml:space="preserve"> </w:t>
            </w:r>
            <w:r w:rsidR="004744F0" w:rsidRPr="004768D0">
              <w:rPr>
                <w:rFonts w:ascii="Cambria" w:hAnsi="Cambria"/>
                <w:sz w:val="16"/>
                <w:szCs w:val="16"/>
                <w:lang w:val="es-ES"/>
              </w:rPr>
              <w:t>“</w:t>
            </w:r>
            <w:proofErr w:type="spellStart"/>
            <w:r w:rsidRPr="004768D0">
              <w:rPr>
                <w:rFonts w:ascii="Cambria" w:hAnsi="Cambria"/>
                <w:sz w:val="16"/>
                <w:szCs w:val="16"/>
                <w:lang w:val="es-ES"/>
              </w:rPr>
              <w:t>Bubu</w:t>
            </w:r>
            <w:proofErr w:type="spellEnd"/>
            <w:r w:rsidR="004744F0" w:rsidRPr="004768D0">
              <w:rPr>
                <w:rFonts w:ascii="Cambria" w:hAnsi="Cambria"/>
                <w:sz w:val="16"/>
                <w:szCs w:val="16"/>
                <w:lang w:val="es-ES"/>
              </w:rPr>
              <w:t>”</w:t>
            </w:r>
            <w:r w:rsidRPr="004768D0">
              <w:rPr>
                <w:rFonts w:ascii="Cambria" w:hAnsi="Cambria"/>
                <w:sz w:val="16"/>
                <w:szCs w:val="16"/>
                <w:lang w:val="es-ES"/>
              </w:rPr>
              <w:t>, co</w:t>
            </w:r>
            <w:r w:rsidR="004246B8" w:rsidRPr="004768D0">
              <w:rPr>
                <w:rFonts w:ascii="Cambria" w:hAnsi="Cambria"/>
                <w:sz w:val="16"/>
                <w:szCs w:val="16"/>
                <w:lang w:val="es-ES"/>
              </w:rPr>
              <w:t xml:space="preserve">n quien tiene parentesco lejano. El agente le dijo que avisara a todos sus conocidos, pero </w:t>
            </w:r>
            <w:r w:rsidR="004744F0" w:rsidRPr="004768D0">
              <w:rPr>
                <w:rFonts w:ascii="Cambria" w:hAnsi="Cambria"/>
                <w:sz w:val="16"/>
                <w:szCs w:val="16"/>
                <w:lang w:val="es-ES"/>
              </w:rPr>
              <w:t>“</w:t>
            </w:r>
            <w:r w:rsidRPr="004768D0">
              <w:rPr>
                <w:rFonts w:ascii="Cambria" w:hAnsi="Cambria"/>
                <w:sz w:val="16"/>
                <w:szCs w:val="16"/>
                <w:lang w:val="es-ES"/>
              </w:rPr>
              <w:t xml:space="preserve">no </w:t>
            </w:r>
            <w:r w:rsidR="004246B8" w:rsidRPr="004768D0">
              <w:rPr>
                <w:rFonts w:ascii="Cambria" w:hAnsi="Cambria"/>
                <w:sz w:val="16"/>
                <w:szCs w:val="16"/>
                <w:lang w:val="es-ES"/>
              </w:rPr>
              <w:t>a la basura</w:t>
            </w:r>
            <w:r w:rsidR="004744F0" w:rsidRPr="004768D0">
              <w:rPr>
                <w:rFonts w:ascii="Cambria" w:hAnsi="Cambria"/>
                <w:sz w:val="16"/>
                <w:szCs w:val="16"/>
                <w:lang w:val="es-ES"/>
              </w:rPr>
              <w:t>”</w:t>
            </w:r>
            <w:r w:rsidRPr="004768D0">
              <w:rPr>
                <w:rFonts w:ascii="Cambria" w:hAnsi="Cambria"/>
                <w:sz w:val="16"/>
                <w:szCs w:val="16"/>
                <w:lang w:val="es-ES"/>
              </w:rPr>
              <w:t>,</w:t>
            </w:r>
            <w:r w:rsidRPr="004768D0">
              <w:rPr>
                <w:rFonts w:ascii="Cambria" w:hAnsi="Cambria"/>
                <w:bCs/>
                <w:sz w:val="16"/>
                <w:szCs w:val="16"/>
                <w:lang w:val="es-ES"/>
              </w:rPr>
              <w:t xml:space="preserve"> </w:t>
            </w:r>
            <w:r w:rsidR="004246B8" w:rsidRPr="004768D0">
              <w:rPr>
                <w:rFonts w:ascii="Cambria" w:hAnsi="Cambria"/>
                <w:bCs/>
                <w:sz w:val="16"/>
                <w:szCs w:val="16"/>
                <w:lang w:val="es-ES"/>
              </w:rPr>
              <w:t xml:space="preserve">que </w:t>
            </w:r>
            <w:r w:rsidRPr="004768D0">
              <w:rPr>
                <w:rFonts w:ascii="Cambria" w:hAnsi="Cambria"/>
                <w:sz w:val="16"/>
                <w:szCs w:val="16"/>
                <w:lang w:val="es-ES"/>
              </w:rPr>
              <w:t xml:space="preserve">no </w:t>
            </w:r>
            <w:r w:rsidR="004246B8" w:rsidRPr="004768D0">
              <w:rPr>
                <w:rFonts w:ascii="Cambria" w:hAnsi="Cambria"/>
                <w:sz w:val="16"/>
                <w:szCs w:val="16"/>
                <w:lang w:val="es-ES"/>
              </w:rPr>
              <w:t xml:space="preserve">salieran de la casa ese día, puesto que quien estuviese en la calle sería </w:t>
            </w:r>
            <w:r w:rsidRPr="004768D0">
              <w:rPr>
                <w:rFonts w:ascii="Cambria" w:hAnsi="Cambria"/>
                <w:sz w:val="16"/>
                <w:szCs w:val="16"/>
                <w:lang w:val="es-ES"/>
              </w:rPr>
              <w:t>considerado</w:t>
            </w:r>
            <w:r w:rsidR="004246B8" w:rsidRPr="004768D0">
              <w:rPr>
                <w:rFonts w:ascii="Cambria" w:hAnsi="Cambria"/>
                <w:sz w:val="16"/>
                <w:szCs w:val="16"/>
                <w:lang w:val="es-ES"/>
              </w:rPr>
              <w:t xml:space="preserve"> como</w:t>
            </w:r>
            <w:r w:rsidRPr="004768D0">
              <w:rPr>
                <w:rFonts w:ascii="Cambria" w:hAnsi="Cambria"/>
                <w:sz w:val="16"/>
                <w:szCs w:val="16"/>
                <w:lang w:val="es-ES"/>
              </w:rPr>
              <w:t xml:space="preserve"> </w:t>
            </w:r>
            <w:r w:rsidR="004744F0" w:rsidRPr="004768D0">
              <w:rPr>
                <w:rFonts w:ascii="Cambria" w:hAnsi="Cambria"/>
                <w:sz w:val="16"/>
                <w:szCs w:val="16"/>
                <w:lang w:val="es-ES"/>
              </w:rPr>
              <w:t>“</w:t>
            </w:r>
            <w:r w:rsidR="004246B8" w:rsidRPr="004768D0">
              <w:rPr>
                <w:rFonts w:ascii="Cambria" w:hAnsi="Cambria"/>
                <w:sz w:val="16"/>
                <w:szCs w:val="16"/>
                <w:lang w:val="es-ES"/>
              </w:rPr>
              <w:t>ene</w:t>
            </w:r>
            <w:r w:rsidRPr="004768D0">
              <w:rPr>
                <w:rFonts w:ascii="Cambria" w:hAnsi="Cambria"/>
                <w:sz w:val="16"/>
                <w:szCs w:val="16"/>
                <w:lang w:val="es-ES"/>
              </w:rPr>
              <w:t>migo d</w:t>
            </w:r>
            <w:r w:rsidR="004246B8" w:rsidRPr="004768D0">
              <w:rPr>
                <w:rFonts w:ascii="Cambria" w:hAnsi="Cambria"/>
                <w:sz w:val="16"/>
                <w:szCs w:val="16"/>
                <w:lang w:val="es-ES"/>
              </w:rPr>
              <w:t xml:space="preserve">e la </w:t>
            </w:r>
            <w:r w:rsidR="007037C8">
              <w:rPr>
                <w:rFonts w:ascii="Cambria" w:hAnsi="Cambria"/>
                <w:sz w:val="16"/>
                <w:szCs w:val="16"/>
                <w:lang w:val="es-ES"/>
              </w:rPr>
              <w:t>p</w:t>
            </w:r>
            <w:r w:rsidR="00372008" w:rsidRPr="004768D0">
              <w:rPr>
                <w:rFonts w:ascii="Cambria" w:hAnsi="Cambria"/>
                <w:sz w:val="16"/>
                <w:szCs w:val="16"/>
                <w:lang w:val="es-ES"/>
              </w:rPr>
              <w:t>olicía</w:t>
            </w:r>
            <w:r w:rsidR="004744F0" w:rsidRPr="004768D0">
              <w:rPr>
                <w:rFonts w:ascii="Cambria" w:hAnsi="Cambria"/>
                <w:sz w:val="16"/>
                <w:szCs w:val="16"/>
                <w:lang w:val="es-ES"/>
              </w:rPr>
              <w:t>”</w:t>
            </w:r>
            <w:r w:rsidRPr="004768D0">
              <w:rPr>
                <w:rFonts w:ascii="Cambria" w:hAnsi="Cambria"/>
                <w:sz w:val="16"/>
                <w:szCs w:val="16"/>
                <w:lang w:val="es-ES"/>
              </w:rPr>
              <w:t xml:space="preserve">. </w:t>
            </w:r>
            <w:r w:rsidR="008B0D3C" w:rsidRPr="004768D0">
              <w:rPr>
                <w:rFonts w:ascii="Cambria" w:hAnsi="Cambria"/>
                <w:sz w:val="16"/>
                <w:szCs w:val="16"/>
                <w:lang w:val="es-ES"/>
              </w:rPr>
              <w:t xml:space="preserve">Le preguntó a </w:t>
            </w:r>
            <w:r w:rsidRPr="004768D0">
              <w:rPr>
                <w:rFonts w:ascii="Cambria" w:hAnsi="Cambria"/>
                <w:sz w:val="16"/>
                <w:szCs w:val="16"/>
                <w:lang w:val="es-ES"/>
              </w:rPr>
              <w:t>Débora s</w:t>
            </w:r>
            <w:r w:rsidR="008B0D3C" w:rsidRPr="004768D0">
              <w:rPr>
                <w:rFonts w:ascii="Cambria" w:hAnsi="Cambria"/>
                <w:sz w:val="16"/>
                <w:szCs w:val="16"/>
                <w:lang w:val="es-ES"/>
              </w:rPr>
              <w:t xml:space="preserve">i </w:t>
            </w:r>
            <w:r w:rsidR="007037C8">
              <w:rPr>
                <w:rFonts w:ascii="Cambria" w:hAnsi="Cambria"/>
                <w:sz w:val="16"/>
                <w:szCs w:val="16"/>
                <w:lang w:val="es-ES"/>
              </w:rPr>
              <w:t xml:space="preserve">se estaba mencionando </w:t>
            </w:r>
            <w:r w:rsidR="008B0D3C" w:rsidRPr="004768D0">
              <w:rPr>
                <w:rFonts w:ascii="Cambria" w:hAnsi="Cambria"/>
                <w:sz w:val="16"/>
                <w:szCs w:val="16"/>
                <w:lang w:val="es-ES"/>
              </w:rPr>
              <w:t xml:space="preserve">el nombre de él </w:t>
            </w:r>
            <w:r w:rsidR="007037C8">
              <w:rPr>
                <w:rFonts w:ascii="Cambria" w:hAnsi="Cambria"/>
                <w:sz w:val="16"/>
                <w:szCs w:val="16"/>
                <w:lang w:val="es-ES"/>
              </w:rPr>
              <w:t xml:space="preserve">en relación con </w:t>
            </w:r>
            <w:r w:rsidR="008B0D3C" w:rsidRPr="004768D0">
              <w:rPr>
                <w:rFonts w:ascii="Cambria" w:hAnsi="Cambria"/>
                <w:sz w:val="16"/>
                <w:szCs w:val="16"/>
                <w:lang w:val="es-ES"/>
              </w:rPr>
              <w:t xml:space="preserve">la muerte de </w:t>
            </w:r>
            <w:r w:rsidRPr="004768D0">
              <w:rPr>
                <w:rFonts w:ascii="Cambria" w:hAnsi="Cambria"/>
                <w:sz w:val="16"/>
                <w:szCs w:val="16"/>
                <w:lang w:val="es-ES"/>
              </w:rPr>
              <w:t>Thiago (</w:t>
            </w:r>
            <w:proofErr w:type="spellStart"/>
            <w:r w:rsidRPr="004768D0">
              <w:rPr>
                <w:rFonts w:ascii="Cambria" w:hAnsi="Cambria"/>
                <w:sz w:val="16"/>
                <w:szCs w:val="16"/>
                <w:lang w:val="es-ES"/>
              </w:rPr>
              <w:t>Amarelinho</w:t>
            </w:r>
            <w:proofErr w:type="spellEnd"/>
            <w:r w:rsidRPr="004768D0">
              <w:rPr>
                <w:rFonts w:ascii="Cambria" w:hAnsi="Cambria"/>
                <w:sz w:val="16"/>
                <w:szCs w:val="16"/>
                <w:lang w:val="es-ES"/>
              </w:rPr>
              <w:t xml:space="preserve">), Marcos </w:t>
            </w:r>
            <w:r w:rsidR="008B0D3C" w:rsidRPr="004768D0">
              <w:rPr>
                <w:rFonts w:ascii="Cambria" w:hAnsi="Cambria"/>
                <w:sz w:val="16"/>
                <w:szCs w:val="16"/>
                <w:lang w:val="es-ES"/>
              </w:rPr>
              <w:t>y</w:t>
            </w:r>
            <w:r w:rsidRPr="004768D0">
              <w:rPr>
                <w:rFonts w:ascii="Cambria" w:hAnsi="Cambria"/>
                <w:sz w:val="16"/>
                <w:szCs w:val="16"/>
                <w:lang w:val="es-ES"/>
              </w:rPr>
              <w:t xml:space="preserve"> </w:t>
            </w:r>
            <w:proofErr w:type="spellStart"/>
            <w:r w:rsidRPr="004768D0">
              <w:rPr>
                <w:rFonts w:ascii="Cambria" w:hAnsi="Cambria"/>
                <w:sz w:val="16"/>
                <w:szCs w:val="16"/>
                <w:lang w:val="es-ES"/>
              </w:rPr>
              <w:t>Jó</w:t>
            </w:r>
            <w:proofErr w:type="spellEnd"/>
            <w:r w:rsidR="008B0D3C" w:rsidRPr="004768D0">
              <w:rPr>
                <w:rFonts w:ascii="Cambria" w:hAnsi="Cambria"/>
                <w:sz w:val="16"/>
                <w:szCs w:val="16"/>
                <w:lang w:val="es-ES"/>
              </w:rPr>
              <w:t xml:space="preserve">, acaecida la noche </w:t>
            </w:r>
            <w:r w:rsidRPr="004768D0">
              <w:rPr>
                <w:rFonts w:ascii="Cambria" w:hAnsi="Cambria"/>
                <w:sz w:val="16"/>
                <w:szCs w:val="16"/>
                <w:lang w:val="es-ES"/>
              </w:rPr>
              <w:t xml:space="preserve">anterior. Débora </w:t>
            </w:r>
            <w:r w:rsidR="008B0D3C" w:rsidRPr="004768D0">
              <w:rPr>
                <w:rFonts w:ascii="Cambria" w:hAnsi="Cambria"/>
                <w:sz w:val="16"/>
                <w:szCs w:val="16"/>
                <w:lang w:val="es-ES"/>
              </w:rPr>
              <w:t xml:space="preserve">le dijo que sí. Entonces, él habría dicho </w:t>
            </w:r>
            <w:r w:rsidRPr="004768D0">
              <w:rPr>
                <w:rFonts w:ascii="Cambria" w:hAnsi="Cambria"/>
                <w:sz w:val="16"/>
                <w:szCs w:val="16"/>
                <w:lang w:val="es-ES"/>
              </w:rPr>
              <w:t xml:space="preserve">que </w:t>
            </w:r>
            <w:r w:rsidR="004744F0" w:rsidRPr="004768D0">
              <w:rPr>
                <w:rFonts w:ascii="Cambria" w:hAnsi="Cambria"/>
                <w:sz w:val="16"/>
                <w:szCs w:val="16"/>
                <w:lang w:val="es-ES"/>
              </w:rPr>
              <w:t>“</w:t>
            </w:r>
            <w:r w:rsidRPr="004768D0">
              <w:rPr>
                <w:rFonts w:ascii="Cambria" w:hAnsi="Cambria"/>
                <w:sz w:val="16"/>
                <w:szCs w:val="16"/>
                <w:lang w:val="es-ES"/>
              </w:rPr>
              <w:t>n</w:t>
            </w:r>
            <w:r w:rsidR="008B0D3C" w:rsidRPr="004768D0">
              <w:rPr>
                <w:rFonts w:ascii="Cambria" w:hAnsi="Cambria"/>
                <w:sz w:val="16"/>
                <w:szCs w:val="16"/>
                <w:lang w:val="es-ES"/>
              </w:rPr>
              <w:t xml:space="preserve">osotros ya no aguantábamos más que ese </w:t>
            </w:r>
            <w:r w:rsidR="00414A93">
              <w:rPr>
                <w:rFonts w:ascii="Cambria" w:hAnsi="Cambria"/>
                <w:sz w:val="16"/>
                <w:szCs w:val="16"/>
                <w:lang w:val="es-ES"/>
              </w:rPr>
              <w:t>mocoso</w:t>
            </w:r>
            <w:r w:rsidR="008B0D3C" w:rsidRPr="004768D0">
              <w:rPr>
                <w:rFonts w:ascii="Cambria" w:hAnsi="Cambria"/>
                <w:sz w:val="16"/>
                <w:szCs w:val="16"/>
                <w:lang w:val="es-ES"/>
              </w:rPr>
              <w:t xml:space="preserve"> estuviera diciendo que había matado y humillado a un </w:t>
            </w:r>
            <w:r w:rsidRPr="004768D0">
              <w:rPr>
                <w:rFonts w:ascii="Cambria" w:hAnsi="Cambria"/>
                <w:sz w:val="16"/>
                <w:szCs w:val="16"/>
                <w:lang w:val="es-ES"/>
              </w:rPr>
              <w:t>PM [polic</w:t>
            </w:r>
            <w:r w:rsidR="008B0D3C" w:rsidRPr="004768D0">
              <w:rPr>
                <w:rFonts w:ascii="Cambria" w:hAnsi="Cambria"/>
                <w:sz w:val="16"/>
                <w:szCs w:val="16"/>
                <w:lang w:val="es-ES"/>
              </w:rPr>
              <w:t>ía</w:t>
            </w:r>
            <w:r w:rsidRPr="004768D0">
              <w:rPr>
                <w:rFonts w:ascii="Cambria" w:hAnsi="Cambria"/>
                <w:sz w:val="16"/>
                <w:szCs w:val="16"/>
                <w:lang w:val="es-ES"/>
              </w:rPr>
              <w:t xml:space="preserve"> militar]</w:t>
            </w:r>
            <w:r w:rsidR="004744F0" w:rsidRPr="004768D0">
              <w:rPr>
                <w:rFonts w:ascii="Cambria" w:hAnsi="Cambria"/>
                <w:sz w:val="16"/>
                <w:szCs w:val="16"/>
                <w:lang w:val="es-ES"/>
              </w:rPr>
              <w:t>”</w:t>
            </w:r>
            <w:r w:rsidRPr="004768D0">
              <w:rPr>
                <w:rFonts w:ascii="Cambria" w:hAnsi="Cambria"/>
                <w:sz w:val="16"/>
                <w:szCs w:val="16"/>
                <w:lang w:val="es-ES"/>
              </w:rPr>
              <w:t xml:space="preserve"> </w:t>
            </w:r>
            <w:r w:rsidR="008B0D3C" w:rsidRPr="004768D0">
              <w:rPr>
                <w:rFonts w:ascii="Cambria" w:hAnsi="Cambria"/>
                <w:sz w:val="16"/>
                <w:szCs w:val="16"/>
                <w:lang w:val="es-ES"/>
              </w:rPr>
              <w:t>y</w:t>
            </w:r>
            <w:r w:rsidRPr="004768D0">
              <w:rPr>
                <w:rFonts w:ascii="Cambria" w:hAnsi="Cambria"/>
                <w:sz w:val="16"/>
                <w:szCs w:val="16"/>
                <w:lang w:val="es-ES"/>
              </w:rPr>
              <w:t xml:space="preserve"> que </w:t>
            </w:r>
            <w:r w:rsidR="008B0D3C" w:rsidRPr="004768D0">
              <w:rPr>
                <w:rFonts w:ascii="Cambria" w:hAnsi="Cambria"/>
                <w:sz w:val="16"/>
                <w:szCs w:val="16"/>
                <w:lang w:val="es-ES"/>
              </w:rPr>
              <w:t xml:space="preserve">los policías habrían obligado al joven a </w:t>
            </w:r>
            <w:r w:rsidR="004744F0" w:rsidRPr="004768D0">
              <w:rPr>
                <w:rFonts w:ascii="Cambria" w:hAnsi="Cambria"/>
                <w:sz w:val="16"/>
                <w:szCs w:val="16"/>
                <w:lang w:val="es-ES"/>
              </w:rPr>
              <w:t>“</w:t>
            </w:r>
            <w:r w:rsidR="008B0D3C" w:rsidRPr="004768D0">
              <w:rPr>
                <w:rFonts w:ascii="Cambria" w:hAnsi="Cambria"/>
                <w:sz w:val="16"/>
                <w:szCs w:val="16"/>
                <w:lang w:val="es-ES"/>
              </w:rPr>
              <w:t xml:space="preserve">arrodillarse y orinarse </w:t>
            </w:r>
            <w:r w:rsidRPr="004768D0">
              <w:rPr>
                <w:rFonts w:ascii="Cambria" w:hAnsi="Cambria"/>
                <w:sz w:val="16"/>
                <w:szCs w:val="16"/>
                <w:lang w:val="es-ES"/>
              </w:rPr>
              <w:t>antes de mor</w:t>
            </w:r>
            <w:r w:rsidR="008B0D3C" w:rsidRPr="004768D0">
              <w:rPr>
                <w:rFonts w:ascii="Cambria" w:hAnsi="Cambria"/>
                <w:sz w:val="16"/>
                <w:szCs w:val="16"/>
                <w:lang w:val="es-ES"/>
              </w:rPr>
              <w:t>ir</w:t>
            </w:r>
            <w:r w:rsidR="004744F0" w:rsidRPr="004768D0">
              <w:rPr>
                <w:rFonts w:ascii="Cambria" w:hAnsi="Cambria"/>
                <w:sz w:val="16"/>
                <w:szCs w:val="16"/>
                <w:lang w:val="es-ES"/>
              </w:rPr>
              <w:t>”</w:t>
            </w:r>
            <w:r w:rsidRPr="004768D0">
              <w:rPr>
                <w:rFonts w:ascii="Cambria" w:hAnsi="Cambria"/>
                <w:sz w:val="16"/>
                <w:szCs w:val="16"/>
                <w:lang w:val="es-ES"/>
              </w:rPr>
              <w:t xml:space="preserve">. Por </w:t>
            </w:r>
            <w:r w:rsidR="008B0D3C" w:rsidRPr="004768D0">
              <w:rPr>
                <w:rFonts w:ascii="Cambria" w:hAnsi="Cambria"/>
                <w:sz w:val="16"/>
                <w:szCs w:val="16"/>
                <w:lang w:val="es-ES"/>
              </w:rPr>
              <w:t xml:space="preserve">último, dijo que estaba en el vehículo policial y que había pasado por el lugar, pero que no había participado en las ejecuciones. </w:t>
            </w:r>
            <w:r w:rsidR="00A706EC" w:rsidRPr="004768D0">
              <w:rPr>
                <w:rFonts w:ascii="Cambria" w:hAnsi="Cambria"/>
                <w:sz w:val="16"/>
                <w:szCs w:val="16"/>
                <w:lang w:val="es-ES"/>
              </w:rPr>
              <w:t xml:space="preserve">Este agente de policía tampoco fue llamado a prestar declaración durante la instrucción de la </w:t>
            </w:r>
            <w:r w:rsidR="00C03E33" w:rsidRPr="004768D0">
              <w:rPr>
                <w:rFonts w:ascii="Cambria" w:hAnsi="Cambria"/>
                <w:sz w:val="16"/>
                <w:szCs w:val="16"/>
                <w:lang w:val="es-ES"/>
              </w:rPr>
              <w:t>investigación</w:t>
            </w:r>
            <w:r w:rsidRPr="004768D0">
              <w:rPr>
                <w:rFonts w:ascii="Cambria" w:hAnsi="Cambria"/>
                <w:sz w:val="16"/>
                <w:szCs w:val="16"/>
                <w:lang w:val="es-ES"/>
              </w:rPr>
              <w:t xml:space="preserve"> policial.</w:t>
            </w:r>
          </w:p>
          <w:p w14:paraId="2FFD3E49" w14:textId="4372F2AA" w:rsidR="00257978" w:rsidRPr="004768D0" w:rsidRDefault="003F410A" w:rsidP="0058409C">
            <w:pPr>
              <w:spacing w:before="120" w:after="120"/>
              <w:jc w:val="both"/>
              <w:rPr>
                <w:rFonts w:ascii="Cambria" w:hAnsi="Cambria"/>
                <w:sz w:val="16"/>
                <w:szCs w:val="16"/>
                <w:lang w:val="es-ES"/>
              </w:rPr>
            </w:pPr>
            <w:r w:rsidRPr="004768D0">
              <w:rPr>
                <w:rFonts w:ascii="Cambria" w:hAnsi="Cambria"/>
                <w:sz w:val="16"/>
                <w:szCs w:val="16"/>
                <w:lang w:val="es-ES"/>
              </w:rPr>
              <w:t>La</w:t>
            </w:r>
            <w:r w:rsidR="00F74F6E" w:rsidRPr="004768D0">
              <w:rPr>
                <w:rFonts w:ascii="Cambria" w:hAnsi="Cambria"/>
                <w:sz w:val="16"/>
                <w:szCs w:val="16"/>
                <w:lang w:val="es-ES"/>
              </w:rPr>
              <w:t xml:space="preserve"> </w:t>
            </w:r>
            <w:r w:rsidR="00C03E33" w:rsidRPr="004768D0">
              <w:rPr>
                <w:rFonts w:ascii="Cambria" w:hAnsi="Cambria"/>
                <w:sz w:val="16"/>
                <w:szCs w:val="16"/>
                <w:lang w:val="es-ES"/>
              </w:rPr>
              <w:t>investigación</w:t>
            </w:r>
            <w:r w:rsidR="00F74F6E" w:rsidRPr="004768D0">
              <w:rPr>
                <w:rFonts w:ascii="Cambria" w:hAnsi="Cambria"/>
                <w:sz w:val="16"/>
                <w:szCs w:val="16"/>
                <w:lang w:val="es-ES"/>
              </w:rPr>
              <w:t xml:space="preserve"> policial f</w:t>
            </w:r>
            <w:r w:rsidRPr="004768D0">
              <w:rPr>
                <w:rFonts w:ascii="Cambria" w:hAnsi="Cambria"/>
                <w:sz w:val="16"/>
                <w:szCs w:val="16"/>
                <w:lang w:val="es-ES"/>
              </w:rPr>
              <w:t xml:space="preserve">ue archivada el </w:t>
            </w:r>
            <w:r w:rsidR="00F74F6E" w:rsidRPr="004768D0">
              <w:rPr>
                <w:rFonts w:ascii="Cambria" w:hAnsi="Cambria"/>
                <w:sz w:val="16"/>
                <w:szCs w:val="16"/>
                <w:lang w:val="es-ES"/>
              </w:rPr>
              <w:t xml:space="preserve">7 de </w:t>
            </w:r>
            <w:r w:rsidR="007F4608" w:rsidRPr="004768D0">
              <w:rPr>
                <w:rFonts w:ascii="Cambria" w:hAnsi="Cambria"/>
                <w:sz w:val="16"/>
                <w:szCs w:val="16"/>
                <w:lang w:val="es-ES"/>
              </w:rPr>
              <w:t>mayo</w:t>
            </w:r>
            <w:r w:rsidR="00F74F6E" w:rsidRPr="004768D0">
              <w:rPr>
                <w:rFonts w:ascii="Cambria" w:hAnsi="Cambria"/>
                <w:sz w:val="16"/>
                <w:szCs w:val="16"/>
                <w:lang w:val="es-ES"/>
              </w:rPr>
              <w:t xml:space="preserve"> de 2008</w:t>
            </w:r>
            <w:r w:rsidRPr="004768D0">
              <w:rPr>
                <w:rFonts w:ascii="Cambria" w:hAnsi="Cambria"/>
                <w:sz w:val="16"/>
                <w:szCs w:val="16"/>
                <w:lang w:val="es-ES"/>
              </w:rPr>
              <w:t xml:space="preserve">, y el delito quedó sin </w:t>
            </w:r>
            <w:r w:rsidR="001002C6">
              <w:rPr>
                <w:rFonts w:ascii="Cambria" w:hAnsi="Cambria"/>
                <w:sz w:val="16"/>
                <w:szCs w:val="16"/>
                <w:lang w:val="es-ES"/>
              </w:rPr>
              <w:t>solución</w:t>
            </w:r>
            <w:r w:rsidRPr="004768D0">
              <w:rPr>
                <w:rFonts w:ascii="Cambria" w:hAnsi="Cambria"/>
                <w:sz w:val="16"/>
                <w:szCs w:val="16"/>
                <w:lang w:val="es-ES"/>
              </w:rPr>
              <w:t xml:space="preserve">. </w:t>
            </w:r>
            <w:r w:rsidR="00A07DD9" w:rsidRPr="004768D0">
              <w:rPr>
                <w:rFonts w:ascii="Cambria" w:hAnsi="Cambria"/>
                <w:sz w:val="16"/>
                <w:szCs w:val="16"/>
                <w:lang w:val="es-ES"/>
              </w:rPr>
              <w:t>La parte peticionaria</w:t>
            </w:r>
            <w:r w:rsidR="00F74F6E" w:rsidRPr="004768D0">
              <w:rPr>
                <w:rFonts w:ascii="Cambria" w:hAnsi="Cambria"/>
                <w:sz w:val="16"/>
                <w:szCs w:val="16"/>
                <w:lang w:val="es-ES"/>
              </w:rPr>
              <w:t xml:space="preserve"> destac</w:t>
            </w:r>
            <w:r w:rsidRPr="004768D0">
              <w:rPr>
                <w:rFonts w:ascii="Cambria" w:hAnsi="Cambria"/>
                <w:sz w:val="16"/>
                <w:szCs w:val="16"/>
                <w:lang w:val="es-ES"/>
              </w:rPr>
              <w:t>ó</w:t>
            </w:r>
            <w:r w:rsidR="00F74F6E" w:rsidRPr="004768D0">
              <w:rPr>
                <w:rFonts w:ascii="Cambria" w:hAnsi="Cambria"/>
                <w:sz w:val="16"/>
                <w:szCs w:val="16"/>
                <w:lang w:val="es-ES"/>
              </w:rPr>
              <w:t xml:space="preserve">, entre </w:t>
            </w:r>
            <w:r w:rsidRPr="004768D0">
              <w:rPr>
                <w:rFonts w:ascii="Cambria" w:hAnsi="Cambria"/>
                <w:sz w:val="16"/>
                <w:szCs w:val="16"/>
                <w:lang w:val="es-ES"/>
              </w:rPr>
              <w:t>l</w:t>
            </w:r>
            <w:r w:rsidR="00F74F6E" w:rsidRPr="004768D0">
              <w:rPr>
                <w:rFonts w:ascii="Cambria" w:hAnsi="Cambria"/>
                <w:sz w:val="16"/>
                <w:szCs w:val="16"/>
                <w:lang w:val="es-ES"/>
              </w:rPr>
              <w:t>as fal</w:t>
            </w:r>
            <w:r w:rsidRPr="004768D0">
              <w:rPr>
                <w:rFonts w:ascii="Cambria" w:hAnsi="Cambria"/>
                <w:sz w:val="16"/>
                <w:szCs w:val="16"/>
                <w:lang w:val="es-ES"/>
              </w:rPr>
              <w:t xml:space="preserve">las de la investigación del </w:t>
            </w:r>
            <w:r w:rsidR="00F74F6E" w:rsidRPr="004768D0">
              <w:rPr>
                <w:rFonts w:ascii="Cambria" w:hAnsi="Cambria"/>
                <w:sz w:val="16"/>
                <w:szCs w:val="16"/>
                <w:lang w:val="es-ES"/>
              </w:rPr>
              <w:t xml:space="preserve">caso, i) </w:t>
            </w:r>
            <w:r w:rsidRPr="004768D0">
              <w:rPr>
                <w:rFonts w:ascii="Cambria" w:hAnsi="Cambria"/>
                <w:sz w:val="16"/>
                <w:szCs w:val="16"/>
                <w:lang w:val="es-ES"/>
              </w:rPr>
              <w:t xml:space="preserve">que no se habían agotado las </w:t>
            </w:r>
            <w:r w:rsidR="0058409C">
              <w:rPr>
                <w:rFonts w:ascii="Cambria" w:hAnsi="Cambria"/>
                <w:sz w:val="16"/>
                <w:szCs w:val="16"/>
                <w:lang w:val="es-ES"/>
              </w:rPr>
              <w:t>posibles líneas</w:t>
            </w:r>
            <w:r w:rsidRPr="004768D0">
              <w:rPr>
                <w:rFonts w:ascii="Cambria" w:hAnsi="Cambria"/>
                <w:sz w:val="16"/>
                <w:szCs w:val="16"/>
                <w:lang w:val="es-ES"/>
              </w:rPr>
              <w:t xml:space="preserve"> de investigación como un </w:t>
            </w:r>
            <w:r w:rsidR="00F74F6E" w:rsidRPr="004768D0">
              <w:rPr>
                <w:rFonts w:ascii="Cambria" w:hAnsi="Cambria"/>
                <w:sz w:val="16"/>
                <w:szCs w:val="16"/>
                <w:lang w:val="es-ES"/>
              </w:rPr>
              <w:t>todo</w:t>
            </w:r>
            <w:r w:rsidR="0058409C">
              <w:rPr>
                <w:rFonts w:ascii="Cambria" w:hAnsi="Cambria"/>
                <w:sz w:val="16"/>
                <w:szCs w:val="16"/>
                <w:lang w:val="es-ES"/>
              </w:rPr>
              <w:t>;</w:t>
            </w:r>
            <w:r w:rsidR="00F74F6E" w:rsidRPr="004768D0">
              <w:rPr>
                <w:rFonts w:ascii="Cambria" w:hAnsi="Cambria"/>
                <w:sz w:val="16"/>
                <w:szCs w:val="16"/>
                <w:lang w:val="es-ES"/>
              </w:rPr>
              <w:t xml:space="preserve"> ii) </w:t>
            </w:r>
            <w:r w:rsidR="0058409C" w:rsidRPr="0058409C">
              <w:rPr>
                <w:rFonts w:ascii="Cambria" w:hAnsi="Cambria"/>
                <w:sz w:val="16"/>
                <w:szCs w:val="16"/>
                <w:lang w:val="es-ES"/>
              </w:rPr>
              <w:t xml:space="preserve">específicamente, </w:t>
            </w:r>
            <w:r w:rsidRPr="004768D0">
              <w:rPr>
                <w:rFonts w:ascii="Cambria" w:hAnsi="Cambria"/>
                <w:sz w:val="16"/>
                <w:szCs w:val="16"/>
                <w:lang w:val="es-ES"/>
              </w:rPr>
              <w:t xml:space="preserve">que no se había preservado la </w:t>
            </w:r>
            <w:r w:rsidR="00E04ED3" w:rsidRPr="004768D0">
              <w:rPr>
                <w:rFonts w:ascii="Cambria" w:hAnsi="Cambria"/>
                <w:sz w:val="16"/>
                <w:szCs w:val="16"/>
                <w:lang w:val="es-ES"/>
              </w:rPr>
              <w:t>escena del delito</w:t>
            </w:r>
            <w:r w:rsidRPr="004768D0">
              <w:rPr>
                <w:rFonts w:ascii="Cambria" w:hAnsi="Cambria"/>
                <w:sz w:val="16"/>
                <w:szCs w:val="16"/>
                <w:lang w:val="es-ES"/>
              </w:rPr>
              <w:t xml:space="preserve"> y no se había efectuado un peritaje de la misma,</w:t>
            </w:r>
            <w:r w:rsidR="00F74F6E" w:rsidRPr="004768D0">
              <w:rPr>
                <w:rFonts w:ascii="Cambria" w:hAnsi="Cambria"/>
                <w:sz w:val="16"/>
                <w:szCs w:val="16"/>
                <w:lang w:val="es-ES"/>
              </w:rPr>
              <w:t xml:space="preserve"> </w:t>
            </w:r>
            <w:r w:rsidRPr="004768D0">
              <w:rPr>
                <w:rFonts w:ascii="Cambria" w:hAnsi="Cambria"/>
                <w:sz w:val="16"/>
                <w:szCs w:val="16"/>
                <w:lang w:val="es-ES"/>
              </w:rPr>
              <w:t>y</w:t>
            </w:r>
            <w:r w:rsidR="00F74F6E" w:rsidRPr="004768D0">
              <w:rPr>
                <w:rFonts w:ascii="Cambria" w:hAnsi="Cambria"/>
                <w:sz w:val="16"/>
                <w:szCs w:val="16"/>
                <w:lang w:val="es-ES"/>
              </w:rPr>
              <w:t xml:space="preserve"> iii) </w:t>
            </w:r>
            <w:r w:rsidRPr="004768D0">
              <w:rPr>
                <w:rFonts w:ascii="Cambria" w:hAnsi="Cambria"/>
                <w:sz w:val="16"/>
                <w:szCs w:val="16"/>
                <w:lang w:val="es-ES"/>
              </w:rPr>
              <w:t xml:space="preserve">que no habían prestado declaración los agentes de policía conocidos como </w:t>
            </w:r>
            <w:proofErr w:type="spellStart"/>
            <w:r w:rsidR="00F74F6E" w:rsidRPr="004768D0">
              <w:rPr>
                <w:rFonts w:ascii="Cambria" w:hAnsi="Cambria"/>
                <w:sz w:val="16"/>
                <w:szCs w:val="16"/>
                <w:lang w:val="es-ES"/>
              </w:rPr>
              <w:t>Aragão</w:t>
            </w:r>
            <w:proofErr w:type="spellEnd"/>
            <w:r w:rsidR="00F74F6E" w:rsidRPr="004768D0">
              <w:rPr>
                <w:rFonts w:ascii="Cambria" w:hAnsi="Cambria"/>
                <w:sz w:val="16"/>
                <w:szCs w:val="16"/>
                <w:lang w:val="es-ES"/>
              </w:rPr>
              <w:t xml:space="preserve"> </w:t>
            </w:r>
            <w:r w:rsidRPr="004768D0">
              <w:rPr>
                <w:rFonts w:ascii="Cambria" w:hAnsi="Cambria"/>
                <w:sz w:val="16"/>
                <w:szCs w:val="16"/>
                <w:lang w:val="es-ES"/>
              </w:rPr>
              <w:t xml:space="preserve">y </w:t>
            </w:r>
            <w:r w:rsidR="004744F0" w:rsidRPr="004768D0">
              <w:rPr>
                <w:rFonts w:ascii="Cambria" w:hAnsi="Cambria"/>
                <w:sz w:val="16"/>
                <w:szCs w:val="16"/>
                <w:lang w:val="es-ES"/>
              </w:rPr>
              <w:t>“</w:t>
            </w:r>
            <w:proofErr w:type="spellStart"/>
            <w:r w:rsidR="00F74F6E" w:rsidRPr="004768D0">
              <w:rPr>
                <w:rFonts w:ascii="Cambria" w:hAnsi="Cambria"/>
                <w:sz w:val="16"/>
                <w:szCs w:val="16"/>
                <w:lang w:val="es-ES"/>
              </w:rPr>
              <w:t>Bubu</w:t>
            </w:r>
            <w:proofErr w:type="spellEnd"/>
            <w:r w:rsidR="004744F0" w:rsidRPr="004768D0">
              <w:rPr>
                <w:rFonts w:ascii="Cambria" w:hAnsi="Cambria"/>
                <w:sz w:val="16"/>
                <w:szCs w:val="16"/>
                <w:lang w:val="es-ES"/>
              </w:rPr>
              <w:t>”</w:t>
            </w:r>
            <w:r w:rsidR="00F74F6E" w:rsidRPr="004768D0">
              <w:rPr>
                <w:rFonts w:ascii="Cambria" w:hAnsi="Cambria"/>
                <w:sz w:val="16"/>
                <w:szCs w:val="16"/>
                <w:lang w:val="es-ES"/>
              </w:rPr>
              <w:t>.</w:t>
            </w:r>
          </w:p>
        </w:tc>
      </w:tr>
      <w:tr w:rsidR="00257978" w:rsidRPr="008D6F96" w14:paraId="25C443BE" w14:textId="77777777" w:rsidTr="00F74F6E">
        <w:tc>
          <w:tcPr>
            <w:tcW w:w="9350" w:type="dxa"/>
            <w:shd w:val="clear" w:color="auto" w:fill="000000" w:themeFill="text1"/>
          </w:tcPr>
          <w:p w14:paraId="60C2A1C1" w14:textId="77777777" w:rsidR="00257978" w:rsidRPr="004768D0" w:rsidRDefault="00372008" w:rsidP="003720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es-ES"/>
              </w:rPr>
            </w:pPr>
            <w:r w:rsidRPr="004768D0">
              <w:rPr>
                <w:rFonts w:asciiTheme="majorHAnsi" w:hAnsiTheme="majorHAnsi"/>
                <w:b/>
                <w:bCs/>
                <w:color w:val="FFFFFF" w:themeColor="background1"/>
                <w:sz w:val="18"/>
                <w:szCs w:val="18"/>
                <w:lang w:val="es-ES"/>
              </w:rPr>
              <w:lastRenderedPageBreak/>
              <w:t>Muerte de</w:t>
            </w:r>
            <w:r w:rsidR="00F74F6E" w:rsidRPr="004768D0">
              <w:rPr>
                <w:rFonts w:asciiTheme="majorHAnsi" w:hAnsiTheme="majorHAnsi"/>
                <w:b/>
                <w:bCs/>
                <w:color w:val="FFFFFF" w:themeColor="background1"/>
                <w:sz w:val="18"/>
                <w:szCs w:val="18"/>
                <w:lang w:val="es-ES"/>
              </w:rPr>
              <w:t xml:space="preserve"> Edson </w:t>
            </w:r>
            <w:proofErr w:type="spellStart"/>
            <w:r w:rsidR="00F74F6E" w:rsidRPr="004768D0">
              <w:rPr>
                <w:rFonts w:asciiTheme="majorHAnsi" w:hAnsiTheme="majorHAnsi"/>
                <w:b/>
                <w:bCs/>
                <w:color w:val="FFFFFF" w:themeColor="background1"/>
                <w:sz w:val="18"/>
                <w:szCs w:val="18"/>
                <w:lang w:val="es-ES"/>
              </w:rPr>
              <w:t>Rogério</w:t>
            </w:r>
            <w:proofErr w:type="spellEnd"/>
            <w:r w:rsidR="00F74F6E" w:rsidRPr="004768D0">
              <w:rPr>
                <w:rFonts w:asciiTheme="majorHAnsi" w:hAnsiTheme="majorHAnsi"/>
                <w:b/>
                <w:bCs/>
                <w:color w:val="FFFFFF" w:themeColor="background1"/>
                <w:sz w:val="18"/>
                <w:szCs w:val="18"/>
                <w:lang w:val="es-ES"/>
              </w:rPr>
              <w:t xml:space="preserve"> Silva dos Santos</w:t>
            </w:r>
            <w:r w:rsidRPr="004768D0">
              <w:rPr>
                <w:rFonts w:asciiTheme="majorHAnsi" w:hAnsiTheme="majorHAnsi"/>
                <w:b/>
                <w:bCs/>
                <w:color w:val="FFFFFF" w:themeColor="background1"/>
                <w:sz w:val="18"/>
                <w:szCs w:val="18"/>
                <w:lang w:val="es-ES"/>
              </w:rPr>
              <w:t>, acaecida el</w:t>
            </w:r>
            <w:r w:rsidR="00F74F6E" w:rsidRPr="004768D0">
              <w:rPr>
                <w:rFonts w:asciiTheme="majorHAnsi" w:hAnsiTheme="majorHAnsi"/>
                <w:b/>
                <w:bCs/>
                <w:color w:val="FFFFFF" w:themeColor="background1"/>
                <w:sz w:val="18"/>
                <w:szCs w:val="18"/>
                <w:lang w:val="es-ES"/>
              </w:rPr>
              <w:t xml:space="preserve"> 15 de </w:t>
            </w:r>
            <w:r w:rsidR="007F4608" w:rsidRPr="004768D0">
              <w:rPr>
                <w:rFonts w:asciiTheme="majorHAnsi" w:hAnsiTheme="majorHAnsi"/>
                <w:b/>
                <w:bCs/>
                <w:color w:val="FFFFFF" w:themeColor="background1"/>
                <w:sz w:val="18"/>
                <w:szCs w:val="18"/>
                <w:lang w:val="es-ES"/>
              </w:rPr>
              <w:t>mayo</w:t>
            </w:r>
            <w:r w:rsidR="00F74F6E" w:rsidRPr="004768D0">
              <w:rPr>
                <w:rFonts w:asciiTheme="majorHAnsi" w:hAnsiTheme="majorHAnsi"/>
                <w:b/>
                <w:bCs/>
                <w:color w:val="FFFFFF" w:themeColor="background1"/>
                <w:sz w:val="18"/>
                <w:szCs w:val="18"/>
                <w:lang w:val="es-ES"/>
              </w:rPr>
              <w:t xml:space="preserve"> de 2006</w:t>
            </w:r>
          </w:p>
        </w:tc>
      </w:tr>
      <w:tr w:rsidR="00257978" w:rsidRPr="008D6F96" w14:paraId="4E38DD9E" w14:textId="77777777" w:rsidTr="00257978">
        <w:tc>
          <w:tcPr>
            <w:tcW w:w="9350" w:type="dxa"/>
          </w:tcPr>
          <w:p w14:paraId="75678AEA" w14:textId="77777777" w:rsidR="003E644D" w:rsidRPr="004768D0"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Edson </w:t>
            </w:r>
            <w:r w:rsidR="00A047E3" w:rsidRPr="004768D0">
              <w:rPr>
                <w:rFonts w:asciiTheme="majorHAnsi" w:hAnsiTheme="majorHAnsi"/>
                <w:color w:val="000000" w:themeColor="text1"/>
                <w:sz w:val="16"/>
                <w:szCs w:val="16"/>
                <w:lang w:val="es-ES"/>
              </w:rPr>
              <w:t>estaba</w:t>
            </w:r>
            <w:r w:rsidRPr="004768D0">
              <w:rPr>
                <w:rFonts w:asciiTheme="majorHAnsi" w:hAnsiTheme="majorHAnsi"/>
                <w:color w:val="000000" w:themeColor="text1"/>
                <w:sz w:val="16"/>
                <w:szCs w:val="16"/>
                <w:lang w:val="es-ES"/>
              </w:rPr>
              <w:t xml:space="preserve"> </w:t>
            </w:r>
            <w:r w:rsidR="00A047E3" w:rsidRPr="004768D0">
              <w:rPr>
                <w:rFonts w:asciiTheme="majorHAnsi" w:hAnsiTheme="majorHAnsi"/>
                <w:color w:val="000000" w:themeColor="text1"/>
                <w:sz w:val="16"/>
                <w:szCs w:val="16"/>
                <w:lang w:val="es-ES"/>
              </w:rPr>
              <w:t xml:space="preserve">conduciendo la </w:t>
            </w:r>
            <w:r w:rsidRPr="004768D0">
              <w:rPr>
                <w:rFonts w:asciiTheme="majorHAnsi" w:hAnsiTheme="majorHAnsi"/>
                <w:color w:val="000000" w:themeColor="text1"/>
                <w:sz w:val="16"/>
                <w:szCs w:val="16"/>
                <w:lang w:val="es-ES"/>
              </w:rPr>
              <w:t xml:space="preserve">moto de </w:t>
            </w:r>
            <w:r w:rsidR="00ED3D6C">
              <w:rPr>
                <w:rFonts w:asciiTheme="majorHAnsi" w:hAnsiTheme="majorHAnsi"/>
                <w:color w:val="000000" w:themeColor="text1"/>
                <w:sz w:val="16"/>
                <w:szCs w:val="16"/>
                <w:lang w:val="es-ES"/>
              </w:rPr>
              <w:t>su</w:t>
            </w:r>
            <w:r w:rsidRPr="004768D0">
              <w:rPr>
                <w:rFonts w:asciiTheme="majorHAnsi" w:hAnsiTheme="majorHAnsi"/>
                <w:color w:val="000000" w:themeColor="text1"/>
                <w:sz w:val="16"/>
                <w:szCs w:val="16"/>
                <w:lang w:val="es-ES"/>
              </w:rPr>
              <w:t xml:space="preserve"> amigo Ricardo </w:t>
            </w:r>
            <w:r w:rsidR="00A047E3" w:rsidRPr="004768D0">
              <w:rPr>
                <w:rFonts w:asciiTheme="majorHAnsi" w:hAnsiTheme="majorHAnsi"/>
                <w:color w:val="000000" w:themeColor="text1"/>
                <w:sz w:val="16"/>
                <w:szCs w:val="16"/>
                <w:lang w:val="es-ES"/>
              </w:rPr>
              <w:t xml:space="preserve">cuando se quedó sin combustible. Empujó la moto hasta la estación de servicio </w:t>
            </w:r>
            <w:proofErr w:type="spellStart"/>
            <w:r w:rsidRPr="004768D0">
              <w:rPr>
                <w:rFonts w:asciiTheme="majorHAnsi" w:hAnsiTheme="majorHAnsi"/>
                <w:color w:val="000000" w:themeColor="text1"/>
                <w:sz w:val="16"/>
                <w:szCs w:val="16"/>
                <w:lang w:val="es-ES"/>
              </w:rPr>
              <w:t>Umuarama</w:t>
            </w:r>
            <w:proofErr w:type="spellEnd"/>
            <w:r w:rsidRPr="004768D0">
              <w:rPr>
                <w:rFonts w:asciiTheme="majorHAnsi" w:hAnsiTheme="majorHAnsi"/>
                <w:color w:val="000000" w:themeColor="text1"/>
                <w:sz w:val="16"/>
                <w:szCs w:val="16"/>
                <w:lang w:val="es-ES"/>
              </w:rPr>
              <w:t xml:space="preserve">, </w:t>
            </w:r>
            <w:r w:rsidR="00ED3D6C">
              <w:rPr>
                <w:rFonts w:asciiTheme="majorHAnsi" w:hAnsiTheme="majorHAnsi"/>
                <w:color w:val="000000" w:themeColor="text1"/>
                <w:sz w:val="16"/>
                <w:szCs w:val="16"/>
                <w:lang w:val="es-ES"/>
              </w:rPr>
              <w:t>ubicada en</w:t>
            </w:r>
            <w:r w:rsidR="00A047E3" w:rsidRPr="004768D0">
              <w:rPr>
                <w:rFonts w:asciiTheme="majorHAnsi" w:hAnsiTheme="majorHAnsi"/>
                <w:color w:val="000000" w:themeColor="text1"/>
                <w:sz w:val="16"/>
                <w:szCs w:val="16"/>
                <w:lang w:val="es-ES"/>
              </w:rPr>
              <w:t xml:space="preserve"> la </w:t>
            </w:r>
            <w:r w:rsidRPr="004768D0">
              <w:rPr>
                <w:rFonts w:asciiTheme="majorHAnsi" w:hAnsiTheme="majorHAnsi"/>
                <w:color w:val="000000" w:themeColor="text1"/>
                <w:sz w:val="16"/>
                <w:szCs w:val="16"/>
                <w:lang w:val="es-ES"/>
              </w:rPr>
              <w:t xml:space="preserve">avenida </w:t>
            </w:r>
            <w:proofErr w:type="spellStart"/>
            <w:r w:rsidRPr="004768D0">
              <w:rPr>
                <w:rFonts w:asciiTheme="majorHAnsi" w:hAnsiTheme="majorHAnsi"/>
                <w:color w:val="000000" w:themeColor="text1"/>
                <w:sz w:val="16"/>
                <w:szCs w:val="16"/>
                <w:lang w:val="es-ES"/>
              </w:rPr>
              <w:t>Nossa</w:t>
            </w:r>
            <w:proofErr w:type="spellEnd"/>
            <w:r w:rsidRPr="004768D0">
              <w:rPr>
                <w:rFonts w:asciiTheme="majorHAnsi" w:hAnsiTheme="majorHAnsi"/>
                <w:color w:val="000000" w:themeColor="text1"/>
                <w:sz w:val="16"/>
                <w:szCs w:val="16"/>
                <w:lang w:val="es-ES"/>
              </w:rPr>
              <w:t xml:space="preserve"> </w:t>
            </w:r>
            <w:proofErr w:type="spellStart"/>
            <w:r w:rsidRPr="004768D0">
              <w:rPr>
                <w:rFonts w:asciiTheme="majorHAnsi" w:hAnsiTheme="majorHAnsi"/>
                <w:color w:val="000000" w:themeColor="text1"/>
                <w:sz w:val="16"/>
                <w:szCs w:val="16"/>
                <w:lang w:val="es-ES"/>
              </w:rPr>
              <w:t>Senhora</w:t>
            </w:r>
            <w:proofErr w:type="spellEnd"/>
            <w:r w:rsidRPr="004768D0">
              <w:rPr>
                <w:rFonts w:asciiTheme="majorHAnsi" w:hAnsiTheme="majorHAnsi"/>
                <w:color w:val="000000" w:themeColor="text1"/>
                <w:sz w:val="16"/>
                <w:szCs w:val="16"/>
                <w:lang w:val="es-ES"/>
              </w:rPr>
              <w:t xml:space="preserve"> de Fátima</w:t>
            </w:r>
            <w:r w:rsidR="00ED3D6C">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673, </w:t>
            </w:r>
            <w:r w:rsidR="00A047E3" w:rsidRPr="004768D0">
              <w:rPr>
                <w:rFonts w:asciiTheme="majorHAnsi" w:hAnsiTheme="majorHAnsi"/>
                <w:color w:val="000000" w:themeColor="text1"/>
                <w:sz w:val="16"/>
                <w:szCs w:val="16"/>
                <w:lang w:val="es-ES"/>
              </w:rPr>
              <w:t xml:space="preserve">en la </w:t>
            </w:r>
            <w:r w:rsidRPr="004768D0">
              <w:rPr>
                <w:rFonts w:asciiTheme="majorHAnsi" w:hAnsiTheme="majorHAnsi"/>
                <w:color w:val="000000" w:themeColor="text1"/>
                <w:sz w:val="16"/>
                <w:szCs w:val="16"/>
                <w:lang w:val="es-ES"/>
              </w:rPr>
              <w:t>esquina co</w:t>
            </w:r>
            <w:r w:rsidR="00A047E3" w:rsidRPr="004768D0">
              <w:rPr>
                <w:rFonts w:asciiTheme="majorHAnsi" w:hAnsiTheme="majorHAnsi"/>
                <w:color w:val="000000" w:themeColor="text1"/>
                <w:sz w:val="16"/>
                <w:szCs w:val="16"/>
                <w:lang w:val="es-ES"/>
              </w:rPr>
              <w:t xml:space="preserve">n la calle </w:t>
            </w:r>
            <w:r w:rsidRPr="004768D0">
              <w:rPr>
                <w:rFonts w:asciiTheme="majorHAnsi" w:hAnsiTheme="majorHAnsi"/>
                <w:color w:val="000000" w:themeColor="text1"/>
                <w:sz w:val="16"/>
                <w:szCs w:val="16"/>
                <w:lang w:val="es-ES"/>
              </w:rPr>
              <w:t xml:space="preserve">Jovino de Melo, </w:t>
            </w:r>
            <w:r w:rsidR="00A047E3" w:rsidRPr="004768D0">
              <w:rPr>
                <w:rFonts w:asciiTheme="majorHAnsi" w:hAnsiTheme="majorHAnsi"/>
                <w:color w:val="000000" w:themeColor="text1"/>
                <w:sz w:val="16"/>
                <w:szCs w:val="16"/>
                <w:lang w:val="es-ES"/>
              </w:rPr>
              <w:t xml:space="preserve">pero estaba cerrada. Desde allí llamó por teléfono a </w:t>
            </w:r>
            <w:r w:rsidRPr="004768D0">
              <w:rPr>
                <w:rFonts w:asciiTheme="majorHAnsi" w:hAnsiTheme="majorHAnsi"/>
                <w:color w:val="000000" w:themeColor="text1"/>
                <w:sz w:val="16"/>
                <w:szCs w:val="16"/>
                <w:lang w:val="es-ES"/>
              </w:rPr>
              <w:t xml:space="preserve">Ricardo, que </w:t>
            </w:r>
            <w:r w:rsidR="00A047E3" w:rsidRPr="004768D0">
              <w:rPr>
                <w:rFonts w:asciiTheme="majorHAnsi" w:hAnsiTheme="majorHAnsi"/>
                <w:color w:val="000000" w:themeColor="text1"/>
                <w:sz w:val="16"/>
                <w:szCs w:val="16"/>
                <w:lang w:val="es-ES"/>
              </w:rPr>
              <w:t xml:space="preserve">llegó en la </w:t>
            </w:r>
            <w:r w:rsidRPr="004768D0">
              <w:rPr>
                <w:rFonts w:asciiTheme="majorHAnsi" w:hAnsiTheme="majorHAnsi"/>
                <w:color w:val="000000" w:themeColor="text1"/>
                <w:sz w:val="16"/>
                <w:szCs w:val="16"/>
                <w:lang w:val="es-ES"/>
              </w:rPr>
              <w:t xml:space="preserve">moto </w:t>
            </w:r>
            <w:r w:rsidR="00A047E3" w:rsidRPr="004768D0">
              <w:rPr>
                <w:rFonts w:asciiTheme="majorHAnsi" w:hAnsiTheme="majorHAnsi"/>
                <w:color w:val="000000" w:themeColor="text1"/>
                <w:sz w:val="16"/>
                <w:szCs w:val="16"/>
                <w:lang w:val="es-ES"/>
              </w:rPr>
              <w:t xml:space="preserve">de </w:t>
            </w:r>
            <w:r w:rsidRPr="004768D0">
              <w:rPr>
                <w:rFonts w:asciiTheme="majorHAnsi" w:hAnsiTheme="majorHAnsi"/>
                <w:color w:val="000000" w:themeColor="text1"/>
                <w:sz w:val="16"/>
                <w:szCs w:val="16"/>
                <w:lang w:val="es-ES"/>
              </w:rPr>
              <w:t xml:space="preserve">Edson. </w:t>
            </w:r>
            <w:r w:rsidR="00A12375" w:rsidRPr="004768D0">
              <w:rPr>
                <w:rFonts w:asciiTheme="majorHAnsi" w:hAnsiTheme="majorHAnsi"/>
                <w:color w:val="000000" w:themeColor="text1"/>
                <w:sz w:val="16"/>
                <w:szCs w:val="16"/>
                <w:lang w:val="es-ES"/>
              </w:rPr>
              <w:t>Acto seguido, ambos hombres, un guardia y un empleado de la estación de servicio</w:t>
            </w:r>
            <w:r w:rsidRPr="004768D0">
              <w:rPr>
                <w:rFonts w:asciiTheme="majorHAnsi" w:hAnsiTheme="majorHAnsi"/>
                <w:color w:val="000000" w:themeColor="text1"/>
                <w:sz w:val="16"/>
                <w:szCs w:val="16"/>
                <w:lang w:val="es-ES"/>
              </w:rPr>
              <w:t xml:space="preserve"> f</w:t>
            </w:r>
            <w:r w:rsidR="00A12375" w:rsidRPr="004768D0">
              <w:rPr>
                <w:rFonts w:asciiTheme="majorHAnsi" w:hAnsiTheme="majorHAnsi"/>
                <w:color w:val="000000" w:themeColor="text1"/>
                <w:sz w:val="16"/>
                <w:szCs w:val="16"/>
                <w:lang w:val="es-ES"/>
              </w:rPr>
              <w:t xml:space="preserve">ueron </w:t>
            </w:r>
            <w:r w:rsidRPr="004768D0">
              <w:rPr>
                <w:rFonts w:asciiTheme="majorHAnsi" w:hAnsiTheme="majorHAnsi"/>
                <w:color w:val="000000" w:themeColor="text1"/>
                <w:sz w:val="16"/>
                <w:szCs w:val="16"/>
                <w:lang w:val="es-ES"/>
              </w:rPr>
              <w:t>abo</w:t>
            </w:r>
            <w:r w:rsidR="00A12375" w:rsidRPr="004768D0">
              <w:rPr>
                <w:rFonts w:asciiTheme="majorHAnsi" w:hAnsiTheme="majorHAnsi"/>
                <w:color w:val="000000" w:themeColor="text1"/>
                <w:sz w:val="16"/>
                <w:szCs w:val="16"/>
                <w:lang w:val="es-ES"/>
              </w:rPr>
              <w:t xml:space="preserve">rdados por ocho </w:t>
            </w:r>
            <w:r w:rsidR="00E04ED3" w:rsidRPr="004768D0">
              <w:rPr>
                <w:rFonts w:asciiTheme="majorHAnsi" w:hAnsiTheme="majorHAnsi"/>
                <w:color w:val="000000" w:themeColor="text1"/>
                <w:sz w:val="16"/>
                <w:szCs w:val="16"/>
                <w:lang w:val="es-ES"/>
              </w:rPr>
              <w:t>policías militares</w:t>
            </w:r>
            <w:r w:rsidRPr="004768D0">
              <w:rPr>
                <w:rFonts w:asciiTheme="majorHAnsi" w:hAnsiTheme="majorHAnsi"/>
                <w:color w:val="000000" w:themeColor="text1"/>
                <w:sz w:val="16"/>
                <w:szCs w:val="16"/>
                <w:lang w:val="es-ES"/>
              </w:rPr>
              <w:t xml:space="preserve"> que </w:t>
            </w:r>
            <w:r w:rsidR="00A12375" w:rsidRPr="004768D0">
              <w:rPr>
                <w:rFonts w:asciiTheme="majorHAnsi" w:hAnsiTheme="majorHAnsi"/>
                <w:color w:val="000000" w:themeColor="text1"/>
                <w:sz w:val="16"/>
                <w:szCs w:val="16"/>
                <w:lang w:val="es-ES"/>
              </w:rPr>
              <w:t>ocupaban</w:t>
            </w:r>
            <w:r w:rsidRPr="004768D0">
              <w:rPr>
                <w:rFonts w:asciiTheme="majorHAnsi" w:hAnsiTheme="majorHAnsi"/>
                <w:color w:val="000000" w:themeColor="text1"/>
                <w:sz w:val="16"/>
                <w:szCs w:val="16"/>
                <w:lang w:val="es-ES"/>
              </w:rPr>
              <w:t xml:space="preserve"> </w:t>
            </w:r>
            <w:r w:rsidR="00A12375" w:rsidRPr="004768D0">
              <w:rPr>
                <w:rFonts w:asciiTheme="majorHAnsi" w:hAnsiTheme="majorHAnsi"/>
                <w:color w:val="000000" w:themeColor="text1"/>
                <w:sz w:val="16"/>
                <w:szCs w:val="16"/>
                <w:lang w:val="es-ES"/>
              </w:rPr>
              <w:t>un</w:t>
            </w:r>
            <w:r w:rsidRPr="004768D0">
              <w:rPr>
                <w:rFonts w:asciiTheme="majorHAnsi" w:hAnsiTheme="majorHAnsi"/>
                <w:color w:val="000000" w:themeColor="text1"/>
                <w:sz w:val="16"/>
                <w:szCs w:val="16"/>
                <w:lang w:val="es-ES"/>
              </w:rPr>
              <w:t xml:space="preserve"> </w:t>
            </w:r>
            <w:r w:rsidR="006062C8" w:rsidRPr="004768D0">
              <w:rPr>
                <w:rFonts w:asciiTheme="majorHAnsi" w:hAnsiTheme="majorHAnsi"/>
                <w:color w:val="000000" w:themeColor="text1"/>
                <w:sz w:val="16"/>
                <w:szCs w:val="16"/>
                <w:lang w:val="es-ES"/>
              </w:rPr>
              <w:t>vehículo</w:t>
            </w:r>
            <w:r w:rsidRPr="004768D0">
              <w:rPr>
                <w:rFonts w:asciiTheme="majorHAnsi" w:hAnsiTheme="majorHAnsi"/>
                <w:color w:val="000000" w:themeColor="text1"/>
                <w:sz w:val="16"/>
                <w:szCs w:val="16"/>
                <w:lang w:val="es-ES"/>
              </w:rPr>
              <w:t xml:space="preserve"> Blazer </w:t>
            </w:r>
            <w:r w:rsidR="00A12375"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dos </w:t>
            </w:r>
            <w:r w:rsidR="006062C8" w:rsidRPr="004768D0">
              <w:rPr>
                <w:rFonts w:asciiTheme="majorHAnsi" w:hAnsiTheme="majorHAnsi"/>
                <w:color w:val="000000" w:themeColor="text1"/>
                <w:sz w:val="16"/>
                <w:szCs w:val="16"/>
                <w:lang w:val="es-ES"/>
              </w:rPr>
              <w:t>vehículo</w:t>
            </w:r>
            <w:r w:rsidRPr="004768D0">
              <w:rPr>
                <w:rFonts w:asciiTheme="majorHAnsi" w:hAnsiTheme="majorHAnsi"/>
                <w:color w:val="000000" w:themeColor="text1"/>
                <w:sz w:val="16"/>
                <w:szCs w:val="16"/>
                <w:lang w:val="es-ES"/>
              </w:rPr>
              <w:t>s Gol d</w:t>
            </w:r>
            <w:r w:rsidR="00A12375" w:rsidRPr="004768D0">
              <w:rPr>
                <w:rFonts w:asciiTheme="majorHAnsi" w:hAnsiTheme="majorHAnsi"/>
                <w:color w:val="000000" w:themeColor="text1"/>
                <w:sz w:val="16"/>
                <w:szCs w:val="16"/>
                <w:lang w:val="es-ES"/>
              </w:rPr>
              <w:t xml:space="preserve">e la </w:t>
            </w:r>
            <w:r w:rsidR="00372008" w:rsidRPr="004768D0">
              <w:rPr>
                <w:rFonts w:asciiTheme="majorHAnsi" w:hAnsiTheme="majorHAnsi"/>
                <w:color w:val="000000" w:themeColor="text1"/>
                <w:sz w:val="16"/>
                <w:szCs w:val="16"/>
                <w:lang w:val="es-ES"/>
              </w:rPr>
              <w:t>Policía</w:t>
            </w:r>
            <w:r w:rsidRPr="004768D0">
              <w:rPr>
                <w:rFonts w:asciiTheme="majorHAnsi" w:hAnsiTheme="majorHAnsi"/>
                <w:color w:val="000000" w:themeColor="text1"/>
                <w:sz w:val="16"/>
                <w:szCs w:val="16"/>
                <w:lang w:val="es-ES"/>
              </w:rPr>
              <w:t xml:space="preserve"> Militar. </w:t>
            </w:r>
          </w:p>
          <w:p w14:paraId="20492A5F" w14:textId="77777777" w:rsidR="003E644D" w:rsidRPr="004768D0"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Ricardo </w:t>
            </w:r>
            <w:r w:rsidR="00A12375" w:rsidRPr="004768D0">
              <w:rPr>
                <w:rFonts w:asciiTheme="majorHAnsi" w:hAnsiTheme="majorHAnsi"/>
                <w:color w:val="000000" w:themeColor="text1"/>
                <w:sz w:val="16"/>
                <w:szCs w:val="16"/>
                <w:lang w:val="es-ES"/>
              </w:rPr>
              <w:t xml:space="preserve">le contó </w:t>
            </w:r>
            <w:r w:rsidRPr="004768D0">
              <w:rPr>
                <w:rFonts w:asciiTheme="majorHAnsi" w:hAnsiTheme="majorHAnsi"/>
                <w:color w:val="000000" w:themeColor="text1"/>
                <w:sz w:val="16"/>
                <w:szCs w:val="16"/>
                <w:lang w:val="es-ES"/>
              </w:rPr>
              <w:t xml:space="preserve">a Débora Maria da Silva, </w:t>
            </w:r>
            <w:r w:rsidR="007F4608" w:rsidRPr="004768D0">
              <w:rPr>
                <w:rFonts w:asciiTheme="majorHAnsi" w:hAnsiTheme="majorHAnsi"/>
                <w:color w:val="000000" w:themeColor="text1"/>
                <w:sz w:val="16"/>
                <w:szCs w:val="16"/>
                <w:lang w:val="es-ES"/>
              </w:rPr>
              <w:t>madre de</w:t>
            </w:r>
            <w:r w:rsidRPr="004768D0">
              <w:rPr>
                <w:rFonts w:asciiTheme="majorHAnsi" w:hAnsiTheme="majorHAnsi"/>
                <w:color w:val="000000" w:themeColor="text1"/>
                <w:sz w:val="16"/>
                <w:szCs w:val="16"/>
                <w:lang w:val="es-ES"/>
              </w:rPr>
              <w:t xml:space="preserve"> </w:t>
            </w:r>
            <w:r w:rsidR="00ED3D6C" w:rsidRPr="00ED3D6C">
              <w:rPr>
                <w:rFonts w:asciiTheme="majorHAnsi" w:hAnsiTheme="majorHAnsi"/>
                <w:color w:val="000000" w:themeColor="text1"/>
                <w:sz w:val="16"/>
                <w:szCs w:val="16"/>
                <w:lang w:val="es-ES"/>
              </w:rPr>
              <w:t xml:space="preserve">Edson </w:t>
            </w:r>
            <w:proofErr w:type="spellStart"/>
            <w:r w:rsidR="00ED3D6C" w:rsidRPr="00ED3D6C">
              <w:rPr>
                <w:rFonts w:asciiTheme="majorHAnsi" w:hAnsiTheme="majorHAnsi"/>
                <w:color w:val="000000" w:themeColor="text1"/>
                <w:sz w:val="16"/>
                <w:szCs w:val="16"/>
                <w:lang w:val="es-ES"/>
              </w:rPr>
              <w:t>Rogério</w:t>
            </w:r>
            <w:proofErr w:type="spellEnd"/>
            <w:r w:rsidR="00ED3D6C" w:rsidRPr="00ED3D6C">
              <w:rPr>
                <w:rFonts w:asciiTheme="majorHAnsi" w:hAnsiTheme="majorHAnsi"/>
                <w:color w:val="000000" w:themeColor="text1"/>
                <w:sz w:val="16"/>
                <w:szCs w:val="16"/>
                <w:lang w:val="es-ES"/>
              </w:rPr>
              <w:t xml:space="preserve"> </w:t>
            </w:r>
            <w:proofErr w:type="spellStart"/>
            <w:r w:rsidR="00ED3D6C" w:rsidRPr="00ED3D6C">
              <w:rPr>
                <w:rFonts w:asciiTheme="majorHAnsi" w:hAnsiTheme="majorHAnsi"/>
                <w:color w:val="000000" w:themeColor="text1"/>
                <w:sz w:val="16"/>
                <w:szCs w:val="16"/>
                <w:lang w:val="es-ES"/>
              </w:rPr>
              <w:t>Silvados</w:t>
            </w:r>
            <w:proofErr w:type="spellEnd"/>
            <w:r w:rsidR="00ED3D6C" w:rsidRPr="00ED3D6C">
              <w:rPr>
                <w:rFonts w:asciiTheme="majorHAnsi" w:hAnsiTheme="majorHAnsi"/>
                <w:color w:val="000000" w:themeColor="text1"/>
                <w:sz w:val="16"/>
                <w:szCs w:val="16"/>
                <w:lang w:val="es-ES"/>
              </w:rPr>
              <w:t xml:space="preserve"> Santos</w:t>
            </w:r>
            <w:r w:rsidRPr="004768D0">
              <w:rPr>
                <w:rFonts w:asciiTheme="majorHAnsi" w:hAnsiTheme="majorHAnsi"/>
                <w:color w:val="000000" w:themeColor="text1"/>
                <w:sz w:val="16"/>
                <w:szCs w:val="16"/>
                <w:lang w:val="es-ES"/>
              </w:rPr>
              <w:t xml:space="preserve">, que </w:t>
            </w:r>
            <w:r w:rsidR="00A12375" w:rsidRPr="004768D0">
              <w:rPr>
                <w:rFonts w:asciiTheme="majorHAnsi" w:hAnsiTheme="majorHAnsi"/>
                <w:color w:val="000000" w:themeColor="text1"/>
                <w:sz w:val="16"/>
                <w:szCs w:val="16"/>
                <w:lang w:val="es-ES"/>
              </w:rPr>
              <w:t xml:space="preserve">los agentes de policía lo golpearon después que él les dijo que ya había cumplido íntegramente una </w:t>
            </w:r>
            <w:r w:rsidRPr="004768D0">
              <w:rPr>
                <w:rFonts w:asciiTheme="majorHAnsi" w:hAnsiTheme="majorHAnsi"/>
                <w:color w:val="000000" w:themeColor="text1"/>
                <w:sz w:val="16"/>
                <w:szCs w:val="16"/>
                <w:lang w:val="es-ES"/>
              </w:rPr>
              <w:t xml:space="preserve">pena por </w:t>
            </w:r>
            <w:r w:rsidR="00A12375" w:rsidRPr="004768D0">
              <w:rPr>
                <w:rFonts w:asciiTheme="majorHAnsi" w:hAnsiTheme="majorHAnsi"/>
                <w:color w:val="000000" w:themeColor="text1"/>
                <w:sz w:val="16"/>
                <w:szCs w:val="16"/>
                <w:lang w:val="es-ES"/>
              </w:rPr>
              <w:t>robo</w:t>
            </w:r>
            <w:r w:rsidRPr="004768D0">
              <w:rPr>
                <w:rFonts w:asciiTheme="majorHAnsi" w:hAnsiTheme="majorHAnsi"/>
                <w:color w:val="000000" w:themeColor="text1"/>
                <w:sz w:val="16"/>
                <w:szCs w:val="16"/>
                <w:lang w:val="es-ES"/>
              </w:rPr>
              <w:t xml:space="preserve"> </w:t>
            </w:r>
            <w:r w:rsidR="00A12375" w:rsidRPr="004768D0">
              <w:rPr>
                <w:rFonts w:asciiTheme="majorHAnsi" w:hAnsiTheme="majorHAnsi"/>
                <w:color w:val="000000" w:themeColor="text1"/>
                <w:sz w:val="16"/>
                <w:szCs w:val="16"/>
                <w:lang w:val="es-ES"/>
              </w:rPr>
              <w:t>muchos</w:t>
            </w:r>
            <w:r w:rsidRPr="004768D0">
              <w:rPr>
                <w:rFonts w:asciiTheme="majorHAnsi" w:hAnsiTheme="majorHAnsi"/>
                <w:color w:val="000000" w:themeColor="text1"/>
                <w:sz w:val="16"/>
                <w:szCs w:val="16"/>
                <w:lang w:val="es-ES"/>
              </w:rPr>
              <w:t xml:space="preserve"> </w:t>
            </w:r>
            <w:r w:rsidR="000C0AC4" w:rsidRPr="004768D0">
              <w:rPr>
                <w:rFonts w:asciiTheme="majorHAnsi" w:hAnsiTheme="majorHAnsi"/>
                <w:color w:val="000000" w:themeColor="text1"/>
                <w:sz w:val="16"/>
                <w:szCs w:val="16"/>
                <w:lang w:val="es-ES"/>
              </w:rPr>
              <w:t>años</w:t>
            </w:r>
            <w:r w:rsidRPr="004768D0">
              <w:rPr>
                <w:rFonts w:asciiTheme="majorHAnsi" w:hAnsiTheme="majorHAnsi"/>
                <w:color w:val="000000" w:themeColor="text1"/>
                <w:sz w:val="16"/>
                <w:szCs w:val="16"/>
                <w:lang w:val="es-ES"/>
              </w:rPr>
              <w:t xml:space="preserve"> antes</w:t>
            </w:r>
            <w:r w:rsidR="00791A3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Débora Maria da Silva </w:t>
            </w:r>
            <w:r w:rsidR="00E43DE8" w:rsidRPr="004768D0">
              <w:rPr>
                <w:rFonts w:asciiTheme="majorHAnsi" w:hAnsiTheme="majorHAnsi"/>
                <w:color w:val="000000" w:themeColor="text1"/>
                <w:sz w:val="16"/>
                <w:szCs w:val="16"/>
                <w:lang w:val="es-ES"/>
              </w:rPr>
              <w:t xml:space="preserve">denunció el hecho a la Comisión </w:t>
            </w:r>
            <w:r w:rsidR="00C65DE2" w:rsidRPr="004768D0">
              <w:rPr>
                <w:rFonts w:asciiTheme="majorHAnsi" w:hAnsiTheme="majorHAnsi"/>
                <w:color w:val="000000" w:themeColor="text1"/>
                <w:sz w:val="16"/>
                <w:szCs w:val="16"/>
                <w:lang w:val="es-ES"/>
              </w:rPr>
              <w:t>Justicia</w:t>
            </w:r>
            <w:r w:rsidRPr="004768D0">
              <w:rPr>
                <w:rFonts w:asciiTheme="majorHAnsi" w:hAnsiTheme="majorHAnsi"/>
                <w:color w:val="000000" w:themeColor="text1"/>
                <w:sz w:val="16"/>
                <w:szCs w:val="16"/>
                <w:lang w:val="es-ES"/>
              </w:rPr>
              <w:t xml:space="preserve"> </w:t>
            </w:r>
            <w:r w:rsidR="00E43DE8"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Paz de São Paulo</w:t>
            </w:r>
            <w:r w:rsidR="00791A37" w:rsidRPr="004768D0">
              <w:rPr>
                <w:rFonts w:asciiTheme="majorHAnsi" w:hAnsiTheme="majorHAnsi"/>
                <w:color w:val="000000" w:themeColor="text1"/>
                <w:sz w:val="16"/>
                <w:szCs w:val="16"/>
                <w:lang w:val="es-ES"/>
              </w:rPr>
              <w:t xml:space="preserve"> </w:t>
            </w:r>
            <w:r w:rsidR="00E43DE8" w:rsidRPr="004768D0">
              <w:rPr>
                <w:rFonts w:asciiTheme="majorHAnsi" w:hAnsiTheme="majorHAnsi"/>
                <w:color w:val="000000" w:themeColor="text1"/>
                <w:sz w:val="16"/>
                <w:szCs w:val="16"/>
                <w:lang w:val="es-ES"/>
              </w:rPr>
              <w:t>cuando prestó declaración el</w:t>
            </w:r>
            <w:r w:rsidRPr="004768D0">
              <w:rPr>
                <w:rFonts w:asciiTheme="majorHAnsi" w:hAnsiTheme="majorHAnsi"/>
                <w:color w:val="000000" w:themeColor="text1"/>
                <w:sz w:val="16"/>
                <w:szCs w:val="16"/>
                <w:lang w:val="es-ES"/>
              </w:rPr>
              <w:t xml:space="preserve"> 1 de </w:t>
            </w:r>
            <w:r w:rsidR="007F4608" w:rsidRPr="004768D0">
              <w:rPr>
                <w:rFonts w:asciiTheme="majorHAnsi" w:hAnsiTheme="majorHAnsi"/>
                <w:color w:val="000000" w:themeColor="text1"/>
                <w:sz w:val="16"/>
                <w:szCs w:val="16"/>
                <w:lang w:val="es-ES"/>
              </w:rPr>
              <w:t>octubre</w:t>
            </w:r>
            <w:r w:rsidRPr="004768D0">
              <w:rPr>
                <w:rFonts w:asciiTheme="majorHAnsi" w:hAnsiTheme="majorHAnsi"/>
                <w:color w:val="000000" w:themeColor="text1"/>
                <w:sz w:val="16"/>
                <w:szCs w:val="16"/>
                <w:lang w:val="es-ES"/>
              </w:rPr>
              <w:t xml:space="preserve"> de 2007</w:t>
            </w:r>
            <w:r w:rsidR="00791A37" w:rsidRPr="004768D0">
              <w:rPr>
                <w:rFonts w:asciiTheme="majorHAnsi" w:hAnsiTheme="majorHAnsi"/>
                <w:color w:val="000000" w:themeColor="text1"/>
                <w:sz w:val="16"/>
                <w:szCs w:val="16"/>
                <w:lang w:val="es-ES"/>
              </w:rPr>
              <w:t>.</w:t>
            </w:r>
          </w:p>
          <w:p w14:paraId="31EB3FA0" w14:textId="77777777" w:rsidR="00791A37" w:rsidRPr="004768D0"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De</w:t>
            </w:r>
            <w:r w:rsidR="00E43DE8" w:rsidRPr="004768D0">
              <w:rPr>
                <w:rFonts w:asciiTheme="majorHAnsi" w:hAnsiTheme="majorHAnsi"/>
                <w:color w:val="000000" w:themeColor="text1"/>
                <w:sz w:val="16"/>
                <w:szCs w:val="16"/>
                <w:lang w:val="es-ES"/>
              </w:rPr>
              <w:t>spués de haber sido sometido a un registro</w:t>
            </w:r>
            <w:r w:rsidRPr="004768D0">
              <w:rPr>
                <w:rFonts w:asciiTheme="majorHAnsi" w:hAnsiTheme="majorHAnsi"/>
                <w:color w:val="000000" w:themeColor="text1"/>
                <w:sz w:val="16"/>
                <w:szCs w:val="16"/>
                <w:lang w:val="es-ES"/>
              </w:rPr>
              <w:t xml:space="preserve">, que </w:t>
            </w:r>
            <w:r w:rsidR="00E43DE8" w:rsidRPr="004768D0">
              <w:rPr>
                <w:rFonts w:asciiTheme="majorHAnsi" w:hAnsiTheme="majorHAnsi"/>
                <w:color w:val="000000" w:themeColor="text1"/>
                <w:sz w:val="16"/>
                <w:szCs w:val="16"/>
                <w:lang w:val="es-ES"/>
              </w:rPr>
              <w:t xml:space="preserve">habría </w:t>
            </w:r>
            <w:r w:rsidRPr="004768D0">
              <w:rPr>
                <w:rFonts w:asciiTheme="majorHAnsi" w:hAnsiTheme="majorHAnsi"/>
                <w:color w:val="000000" w:themeColor="text1"/>
                <w:sz w:val="16"/>
                <w:szCs w:val="16"/>
                <w:lang w:val="es-ES"/>
              </w:rPr>
              <w:t xml:space="preserve">durado </w:t>
            </w:r>
            <w:r w:rsidR="00791A37" w:rsidRPr="004768D0">
              <w:rPr>
                <w:rFonts w:asciiTheme="majorHAnsi" w:hAnsiTheme="majorHAnsi"/>
                <w:color w:val="000000" w:themeColor="text1"/>
                <w:sz w:val="16"/>
                <w:szCs w:val="16"/>
                <w:lang w:val="es-ES"/>
              </w:rPr>
              <w:t>d</w:t>
            </w:r>
            <w:r w:rsidR="00E43DE8" w:rsidRPr="004768D0">
              <w:rPr>
                <w:rFonts w:asciiTheme="majorHAnsi" w:hAnsiTheme="majorHAnsi"/>
                <w:color w:val="000000" w:themeColor="text1"/>
                <w:sz w:val="16"/>
                <w:szCs w:val="16"/>
                <w:lang w:val="es-ES"/>
              </w:rPr>
              <w:t>i</w:t>
            </w:r>
            <w:r w:rsidR="00791A37" w:rsidRPr="004768D0">
              <w:rPr>
                <w:rFonts w:asciiTheme="majorHAnsi" w:hAnsiTheme="majorHAnsi"/>
                <w:color w:val="000000" w:themeColor="text1"/>
                <w:sz w:val="16"/>
                <w:szCs w:val="16"/>
                <w:lang w:val="es-ES"/>
              </w:rPr>
              <w:t>ez</w:t>
            </w:r>
            <w:r w:rsidRPr="004768D0">
              <w:rPr>
                <w:rFonts w:asciiTheme="majorHAnsi" w:hAnsiTheme="majorHAnsi"/>
                <w:color w:val="000000" w:themeColor="text1"/>
                <w:sz w:val="16"/>
                <w:szCs w:val="16"/>
                <w:lang w:val="es-ES"/>
              </w:rPr>
              <w:t xml:space="preserve"> minutos, Edson </w:t>
            </w:r>
            <w:r w:rsidR="00E43DE8" w:rsidRPr="004768D0">
              <w:rPr>
                <w:rFonts w:asciiTheme="majorHAnsi" w:hAnsiTheme="majorHAnsi"/>
                <w:color w:val="000000" w:themeColor="text1"/>
                <w:sz w:val="16"/>
                <w:szCs w:val="16"/>
                <w:lang w:val="es-ES"/>
              </w:rPr>
              <w:t xml:space="preserve">tomó </w:t>
            </w:r>
            <w:r w:rsidR="00C648FD" w:rsidRPr="004768D0">
              <w:rPr>
                <w:rFonts w:asciiTheme="majorHAnsi" w:hAnsiTheme="majorHAnsi"/>
                <w:color w:val="000000" w:themeColor="text1"/>
                <w:sz w:val="16"/>
                <w:szCs w:val="16"/>
                <w:lang w:val="es-ES"/>
              </w:rPr>
              <w:t>su</w:t>
            </w:r>
            <w:r w:rsidR="00E43DE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moto </w:t>
            </w:r>
            <w:r w:rsidR="00E43DE8" w:rsidRPr="004768D0">
              <w:rPr>
                <w:rFonts w:asciiTheme="majorHAnsi" w:hAnsiTheme="majorHAnsi"/>
                <w:color w:val="000000" w:themeColor="text1"/>
                <w:sz w:val="16"/>
                <w:szCs w:val="16"/>
                <w:lang w:val="es-ES"/>
              </w:rPr>
              <w:t xml:space="preserve">y fue a </w:t>
            </w:r>
            <w:r w:rsidRPr="004768D0">
              <w:rPr>
                <w:rFonts w:asciiTheme="majorHAnsi" w:hAnsiTheme="majorHAnsi"/>
                <w:color w:val="000000" w:themeColor="text1"/>
                <w:sz w:val="16"/>
                <w:szCs w:val="16"/>
                <w:lang w:val="es-ES"/>
              </w:rPr>
              <w:t xml:space="preserve">buscar gasolina </w:t>
            </w:r>
            <w:r w:rsidR="00E43DE8"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E43DE8" w:rsidRPr="004768D0">
              <w:rPr>
                <w:rFonts w:asciiTheme="majorHAnsi" w:hAnsiTheme="majorHAnsi"/>
                <w:color w:val="000000" w:themeColor="text1"/>
                <w:sz w:val="16"/>
                <w:szCs w:val="16"/>
                <w:lang w:val="es-ES"/>
              </w:rPr>
              <w:t xml:space="preserve"> la estación de servicio </w:t>
            </w:r>
            <w:r w:rsidRPr="004768D0">
              <w:rPr>
                <w:rFonts w:asciiTheme="majorHAnsi" w:hAnsiTheme="majorHAnsi"/>
                <w:color w:val="000000" w:themeColor="text1"/>
                <w:sz w:val="16"/>
                <w:szCs w:val="16"/>
                <w:lang w:val="es-ES"/>
              </w:rPr>
              <w:t>Portal</w:t>
            </w:r>
            <w:r w:rsidR="00E43DE8" w:rsidRPr="004768D0">
              <w:rPr>
                <w:rFonts w:asciiTheme="majorHAnsi" w:hAnsiTheme="majorHAnsi"/>
                <w:color w:val="000000" w:themeColor="text1"/>
                <w:sz w:val="16"/>
                <w:szCs w:val="16"/>
                <w:lang w:val="es-ES"/>
              </w:rPr>
              <w:t xml:space="preserve"> con un bidón </w:t>
            </w:r>
            <w:r w:rsidRPr="004768D0">
              <w:rPr>
                <w:rFonts w:asciiTheme="majorHAnsi" w:hAnsiTheme="majorHAnsi"/>
                <w:color w:val="000000" w:themeColor="text1"/>
                <w:sz w:val="16"/>
                <w:szCs w:val="16"/>
                <w:lang w:val="es-ES"/>
              </w:rPr>
              <w:t>plástic</w:t>
            </w:r>
            <w:r w:rsidR="00E43DE8" w:rsidRPr="004768D0">
              <w:rPr>
                <w:rFonts w:asciiTheme="majorHAnsi" w:hAnsiTheme="majorHAnsi"/>
                <w:color w:val="000000" w:themeColor="text1"/>
                <w:sz w:val="16"/>
                <w:szCs w:val="16"/>
                <w:lang w:val="es-ES"/>
              </w:rPr>
              <w:t xml:space="preserve">o para </w:t>
            </w:r>
            <w:r w:rsidRPr="004768D0">
              <w:rPr>
                <w:rFonts w:asciiTheme="majorHAnsi" w:hAnsiTheme="majorHAnsi"/>
                <w:color w:val="000000" w:themeColor="text1"/>
                <w:sz w:val="16"/>
                <w:szCs w:val="16"/>
                <w:lang w:val="es-ES"/>
              </w:rPr>
              <w:t xml:space="preserve">refrigerante. Ricardo </w:t>
            </w:r>
            <w:r w:rsidR="00E43DE8" w:rsidRPr="004768D0">
              <w:rPr>
                <w:rFonts w:asciiTheme="majorHAnsi" w:hAnsiTheme="majorHAnsi"/>
                <w:color w:val="000000" w:themeColor="text1"/>
                <w:sz w:val="16"/>
                <w:szCs w:val="16"/>
                <w:lang w:val="es-ES"/>
              </w:rPr>
              <w:t xml:space="preserve">se quedó esperando a </w:t>
            </w:r>
            <w:r w:rsidR="00791A37" w:rsidRPr="004768D0">
              <w:rPr>
                <w:rFonts w:asciiTheme="majorHAnsi" w:hAnsiTheme="majorHAnsi"/>
                <w:color w:val="000000" w:themeColor="text1"/>
                <w:sz w:val="16"/>
                <w:szCs w:val="16"/>
                <w:lang w:val="es-ES"/>
              </w:rPr>
              <w:t>Edson</w:t>
            </w:r>
            <w:r w:rsidRPr="004768D0">
              <w:rPr>
                <w:rFonts w:asciiTheme="majorHAnsi" w:hAnsiTheme="majorHAnsi"/>
                <w:color w:val="000000" w:themeColor="text1"/>
                <w:sz w:val="16"/>
                <w:szCs w:val="16"/>
                <w:lang w:val="es-ES"/>
              </w:rPr>
              <w:t xml:space="preserve"> </w:t>
            </w:r>
            <w:r w:rsidR="00E43DE8" w:rsidRPr="004768D0">
              <w:rPr>
                <w:rFonts w:asciiTheme="majorHAnsi" w:hAnsiTheme="majorHAnsi"/>
                <w:color w:val="000000" w:themeColor="text1"/>
                <w:sz w:val="16"/>
                <w:szCs w:val="16"/>
                <w:lang w:val="es-ES"/>
              </w:rPr>
              <w:t xml:space="preserve">hasta las </w:t>
            </w:r>
            <w:r w:rsidR="007F7312">
              <w:rPr>
                <w:rFonts w:asciiTheme="majorHAnsi" w:hAnsiTheme="majorHAnsi"/>
                <w:color w:val="000000" w:themeColor="text1"/>
                <w:sz w:val="16"/>
                <w:szCs w:val="16"/>
                <w:lang w:val="es-ES"/>
              </w:rPr>
              <w:t>cinco</w:t>
            </w:r>
            <w:r w:rsidR="00E43DE8" w:rsidRPr="004768D0">
              <w:rPr>
                <w:rFonts w:asciiTheme="majorHAnsi" w:hAnsiTheme="majorHAnsi"/>
                <w:color w:val="000000" w:themeColor="text1"/>
                <w:sz w:val="16"/>
                <w:szCs w:val="16"/>
                <w:lang w:val="es-ES"/>
              </w:rPr>
              <w:t xml:space="preserve"> de la mañana. A esa hora, le pidió prestada la </w:t>
            </w:r>
            <w:r w:rsidRPr="004768D0">
              <w:rPr>
                <w:rFonts w:asciiTheme="majorHAnsi" w:hAnsiTheme="majorHAnsi"/>
                <w:color w:val="000000" w:themeColor="text1"/>
                <w:sz w:val="16"/>
                <w:szCs w:val="16"/>
                <w:lang w:val="es-ES"/>
              </w:rPr>
              <w:t xml:space="preserve">bicicleta </w:t>
            </w:r>
            <w:r w:rsidR="00E43DE8" w:rsidRPr="004768D0">
              <w:rPr>
                <w:rFonts w:asciiTheme="majorHAnsi" w:hAnsiTheme="majorHAnsi"/>
                <w:color w:val="000000" w:themeColor="text1"/>
                <w:sz w:val="16"/>
                <w:szCs w:val="16"/>
                <w:lang w:val="es-ES"/>
              </w:rPr>
              <w:t>al guar</w:t>
            </w:r>
            <w:r w:rsidR="00C648FD" w:rsidRPr="004768D0">
              <w:rPr>
                <w:rFonts w:asciiTheme="majorHAnsi" w:hAnsiTheme="majorHAnsi"/>
                <w:color w:val="000000" w:themeColor="text1"/>
                <w:sz w:val="16"/>
                <w:szCs w:val="16"/>
                <w:lang w:val="es-ES"/>
              </w:rPr>
              <w:t>d</w:t>
            </w:r>
            <w:r w:rsidR="00E43DE8" w:rsidRPr="004768D0">
              <w:rPr>
                <w:rFonts w:asciiTheme="majorHAnsi" w:hAnsiTheme="majorHAnsi"/>
                <w:color w:val="000000" w:themeColor="text1"/>
                <w:sz w:val="16"/>
                <w:szCs w:val="16"/>
                <w:lang w:val="es-ES"/>
              </w:rPr>
              <w:t>ia y se fue a</w:t>
            </w:r>
            <w:r w:rsidRPr="004768D0">
              <w:rPr>
                <w:rFonts w:asciiTheme="majorHAnsi" w:hAnsiTheme="majorHAnsi"/>
                <w:color w:val="000000" w:themeColor="text1"/>
                <w:sz w:val="16"/>
                <w:szCs w:val="16"/>
                <w:lang w:val="es-ES"/>
              </w:rPr>
              <w:t xml:space="preserve"> comprar gasolina para su moto. </w:t>
            </w:r>
          </w:p>
          <w:p w14:paraId="28F4B10C" w14:textId="77777777" w:rsidR="00257978" w:rsidRPr="004768D0" w:rsidRDefault="003E644D" w:rsidP="007F731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De</w:t>
            </w:r>
            <w:r w:rsidR="00E43DE8" w:rsidRPr="004768D0">
              <w:rPr>
                <w:rFonts w:asciiTheme="majorHAnsi" w:hAnsiTheme="majorHAnsi"/>
                <w:color w:val="000000" w:themeColor="text1"/>
                <w:sz w:val="16"/>
                <w:szCs w:val="16"/>
                <w:lang w:val="es-ES"/>
              </w:rPr>
              <w:t>s</w:t>
            </w:r>
            <w:r w:rsidRPr="004768D0">
              <w:rPr>
                <w:rFonts w:asciiTheme="majorHAnsi" w:hAnsiTheme="majorHAnsi"/>
                <w:color w:val="000000" w:themeColor="text1"/>
                <w:sz w:val="16"/>
                <w:szCs w:val="16"/>
                <w:lang w:val="es-ES"/>
              </w:rPr>
              <w:t>p</w:t>
            </w:r>
            <w:r w:rsidR="00C648FD" w:rsidRPr="004768D0">
              <w:rPr>
                <w:rFonts w:asciiTheme="majorHAnsi" w:hAnsiTheme="majorHAnsi"/>
                <w:color w:val="000000" w:themeColor="text1"/>
                <w:sz w:val="16"/>
                <w:szCs w:val="16"/>
                <w:lang w:val="es-ES"/>
              </w:rPr>
              <w:t xml:space="preserve">ués se supo que </w:t>
            </w:r>
            <w:r w:rsidRPr="004768D0">
              <w:rPr>
                <w:rFonts w:asciiTheme="majorHAnsi" w:hAnsiTheme="majorHAnsi"/>
                <w:color w:val="000000" w:themeColor="text1"/>
                <w:sz w:val="16"/>
                <w:szCs w:val="16"/>
                <w:lang w:val="es-ES"/>
              </w:rPr>
              <w:t>Edson ha</w:t>
            </w:r>
            <w:r w:rsidR="00C648FD" w:rsidRPr="004768D0">
              <w:rPr>
                <w:rFonts w:asciiTheme="majorHAnsi" w:hAnsiTheme="majorHAnsi"/>
                <w:color w:val="000000" w:themeColor="text1"/>
                <w:sz w:val="16"/>
                <w:szCs w:val="16"/>
                <w:lang w:val="es-ES"/>
              </w:rPr>
              <w:t>bía</w:t>
            </w:r>
            <w:r w:rsidRPr="004768D0">
              <w:rPr>
                <w:rFonts w:asciiTheme="majorHAnsi" w:hAnsiTheme="majorHAnsi"/>
                <w:color w:val="000000" w:themeColor="text1"/>
                <w:sz w:val="16"/>
                <w:szCs w:val="16"/>
                <w:lang w:val="es-ES"/>
              </w:rPr>
              <w:t xml:space="preserve"> sido abordado </w:t>
            </w:r>
            <w:r w:rsidR="00C648FD" w:rsidRPr="004768D0">
              <w:rPr>
                <w:rFonts w:asciiTheme="majorHAnsi" w:hAnsiTheme="majorHAnsi"/>
                <w:color w:val="000000" w:themeColor="text1"/>
                <w:sz w:val="16"/>
                <w:szCs w:val="16"/>
                <w:lang w:val="es-ES"/>
              </w:rPr>
              <w:t xml:space="preserve">en las proximidades, en </w:t>
            </w:r>
            <w:r w:rsidRPr="004768D0">
              <w:rPr>
                <w:rFonts w:asciiTheme="majorHAnsi" w:hAnsiTheme="majorHAnsi"/>
                <w:color w:val="000000" w:themeColor="text1"/>
                <w:sz w:val="16"/>
                <w:szCs w:val="16"/>
                <w:lang w:val="es-ES"/>
              </w:rPr>
              <w:t xml:space="preserve">Morro Nova Cintra, </w:t>
            </w:r>
            <w:r w:rsidR="00ED3D6C">
              <w:rPr>
                <w:rFonts w:asciiTheme="majorHAnsi" w:hAnsiTheme="majorHAnsi"/>
                <w:color w:val="000000" w:themeColor="text1"/>
                <w:sz w:val="16"/>
                <w:szCs w:val="16"/>
                <w:lang w:val="es-ES"/>
              </w:rPr>
              <w:t xml:space="preserve">y había sido </w:t>
            </w:r>
            <w:r w:rsidRPr="004768D0">
              <w:rPr>
                <w:rFonts w:asciiTheme="majorHAnsi" w:hAnsiTheme="majorHAnsi"/>
                <w:color w:val="000000" w:themeColor="text1"/>
                <w:sz w:val="16"/>
                <w:szCs w:val="16"/>
                <w:lang w:val="es-ES"/>
              </w:rPr>
              <w:t>baleado</w:t>
            </w:r>
            <w:r w:rsidR="00ED3D6C">
              <w:rPr>
                <w:rFonts w:asciiTheme="majorHAnsi" w:hAnsiTheme="majorHAnsi"/>
                <w:color w:val="000000" w:themeColor="text1"/>
                <w:sz w:val="16"/>
                <w:szCs w:val="16"/>
                <w:lang w:val="es-ES"/>
              </w:rPr>
              <w:t>. Recibió</w:t>
            </w:r>
            <w:r w:rsidRPr="004768D0">
              <w:rPr>
                <w:rFonts w:asciiTheme="majorHAnsi" w:hAnsiTheme="majorHAnsi"/>
                <w:color w:val="000000" w:themeColor="text1"/>
                <w:sz w:val="16"/>
                <w:szCs w:val="16"/>
                <w:lang w:val="es-ES"/>
              </w:rPr>
              <w:t xml:space="preserve"> </w:t>
            </w:r>
            <w:r w:rsidR="007F7312">
              <w:rPr>
                <w:rFonts w:asciiTheme="majorHAnsi" w:hAnsiTheme="majorHAnsi"/>
                <w:color w:val="000000" w:themeColor="text1"/>
                <w:sz w:val="16"/>
                <w:szCs w:val="16"/>
                <w:lang w:val="es-ES"/>
              </w:rPr>
              <w:t>cinco</w:t>
            </w:r>
            <w:r w:rsidRPr="004768D0">
              <w:rPr>
                <w:rFonts w:asciiTheme="majorHAnsi" w:hAnsiTheme="majorHAnsi"/>
                <w:color w:val="000000" w:themeColor="text1"/>
                <w:sz w:val="16"/>
                <w:szCs w:val="16"/>
                <w:lang w:val="es-ES"/>
              </w:rPr>
              <w:t xml:space="preserve"> </w:t>
            </w:r>
            <w:r w:rsidR="00E04CE6" w:rsidRPr="004768D0">
              <w:rPr>
                <w:rFonts w:asciiTheme="majorHAnsi" w:hAnsiTheme="majorHAnsi"/>
                <w:color w:val="000000" w:themeColor="text1"/>
                <w:sz w:val="16"/>
                <w:szCs w:val="16"/>
                <w:lang w:val="es-ES"/>
              </w:rPr>
              <w:t>disparos</w:t>
            </w:r>
            <w:r w:rsidRPr="004768D0">
              <w:rPr>
                <w:rFonts w:asciiTheme="majorHAnsi" w:hAnsiTheme="majorHAnsi"/>
                <w:color w:val="000000" w:themeColor="text1"/>
                <w:sz w:val="16"/>
                <w:szCs w:val="16"/>
                <w:lang w:val="es-ES"/>
              </w:rPr>
              <w:t xml:space="preserve">: </w:t>
            </w:r>
            <w:r w:rsidR="007F7312">
              <w:rPr>
                <w:rFonts w:asciiTheme="majorHAnsi" w:hAnsiTheme="majorHAnsi"/>
                <w:color w:val="000000" w:themeColor="text1"/>
                <w:sz w:val="16"/>
                <w:szCs w:val="16"/>
                <w:lang w:val="es-ES"/>
              </w:rPr>
              <w:t>tres</w:t>
            </w:r>
            <w:r w:rsidRPr="004768D0">
              <w:rPr>
                <w:rFonts w:asciiTheme="majorHAnsi" w:hAnsiTheme="majorHAnsi"/>
                <w:color w:val="000000" w:themeColor="text1"/>
                <w:sz w:val="16"/>
                <w:szCs w:val="16"/>
                <w:lang w:val="es-ES"/>
              </w:rPr>
              <w:t xml:space="preserve"> </w:t>
            </w:r>
            <w:r w:rsidR="00E04CE6"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E04CE6" w:rsidRPr="004768D0">
              <w:rPr>
                <w:rFonts w:asciiTheme="majorHAnsi" w:hAnsiTheme="majorHAnsi"/>
                <w:color w:val="000000" w:themeColor="text1"/>
                <w:sz w:val="16"/>
                <w:szCs w:val="16"/>
                <w:lang w:val="es-ES"/>
              </w:rPr>
              <w:t xml:space="preserve"> el</w:t>
            </w:r>
            <w:r w:rsidRPr="004768D0">
              <w:rPr>
                <w:rFonts w:asciiTheme="majorHAnsi" w:hAnsiTheme="majorHAnsi"/>
                <w:color w:val="000000" w:themeColor="text1"/>
                <w:sz w:val="16"/>
                <w:szCs w:val="16"/>
                <w:lang w:val="es-ES"/>
              </w:rPr>
              <w:t xml:space="preserve"> tórax </w:t>
            </w:r>
            <w:r w:rsidR="00E04CE6" w:rsidRPr="004768D0">
              <w:rPr>
                <w:rFonts w:asciiTheme="majorHAnsi" w:hAnsiTheme="majorHAnsi"/>
                <w:color w:val="000000" w:themeColor="text1"/>
                <w:sz w:val="16"/>
                <w:szCs w:val="16"/>
                <w:lang w:val="es-ES"/>
              </w:rPr>
              <w:t>y el abdomen</w:t>
            </w:r>
            <w:r w:rsidRPr="004768D0">
              <w:rPr>
                <w:rFonts w:asciiTheme="majorHAnsi" w:hAnsiTheme="majorHAnsi"/>
                <w:color w:val="000000" w:themeColor="text1"/>
                <w:sz w:val="16"/>
                <w:szCs w:val="16"/>
                <w:lang w:val="es-ES"/>
              </w:rPr>
              <w:t xml:space="preserve">, </w:t>
            </w:r>
            <w:r w:rsidR="007F7312">
              <w:rPr>
                <w:rFonts w:asciiTheme="majorHAnsi" w:hAnsiTheme="majorHAnsi"/>
                <w:color w:val="000000" w:themeColor="text1"/>
                <w:sz w:val="16"/>
                <w:szCs w:val="16"/>
                <w:lang w:val="es-ES"/>
              </w:rPr>
              <w:t>de frente</w:t>
            </w:r>
            <w:r w:rsidR="00ED3D6C">
              <w:rPr>
                <w:rFonts w:asciiTheme="majorHAnsi" w:hAnsiTheme="majorHAnsi"/>
                <w:color w:val="000000" w:themeColor="text1"/>
                <w:sz w:val="16"/>
                <w:szCs w:val="16"/>
                <w:lang w:val="es-ES"/>
              </w:rPr>
              <w:t>, y</w:t>
            </w:r>
            <w:r w:rsidRPr="004768D0">
              <w:rPr>
                <w:rFonts w:asciiTheme="majorHAnsi" w:hAnsiTheme="majorHAnsi"/>
                <w:color w:val="000000" w:themeColor="text1"/>
                <w:sz w:val="16"/>
                <w:szCs w:val="16"/>
                <w:lang w:val="es-ES"/>
              </w:rPr>
              <w:t xml:space="preserve"> </w:t>
            </w:r>
            <w:r w:rsidR="007F7312">
              <w:rPr>
                <w:rFonts w:asciiTheme="majorHAnsi" w:hAnsiTheme="majorHAnsi"/>
                <w:color w:val="000000" w:themeColor="text1"/>
                <w:sz w:val="16"/>
                <w:szCs w:val="16"/>
                <w:lang w:val="es-ES"/>
              </w:rPr>
              <w:t>dos</w:t>
            </w:r>
            <w:r w:rsidRPr="004768D0">
              <w:rPr>
                <w:rFonts w:asciiTheme="majorHAnsi" w:hAnsiTheme="majorHAnsi"/>
                <w:color w:val="000000" w:themeColor="text1"/>
                <w:sz w:val="16"/>
                <w:szCs w:val="16"/>
                <w:lang w:val="es-ES"/>
              </w:rPr>
              <w:t xml:space="preserve"> </w:t>
            </w:r>
            <w:r w:rsidR="00E04CE6" w:rsidRPr="004768D0">
              <w:rPr>
                <w:rFonts w:asciiTheme="majorHAnsi" w:hAnsiTheme="majorHAnsi"/>
                <w:color w:val="000000" w:themeColor="text1"/>
                <w:sz w:val="16"/>
                <w:szCs w:val="16"/>
                <w:lang w:val="es-ES"/>
              </w:rPr>
              <w:t xml:space="preserve">debajo </w:t>
            </w:r>
            <w:r w:rsidRPr="004768D0">
              <w:rPr>
                <w:rFonts w:asciiTheme="majorHAnsi" w:hAnsiTheme="majorHAnsi"/>
                <w:color w:val="000000" w:themeColor="text1"/>
                <w:sz w:val="16"/>
                <w:szCs w:val="16"/>
                <w:lang w:val="es-ES"/>
              </w:rPr>
              <w:t>d</w:t>
            </w:r>
            <w:r w:rsidR="00E04CE6" w:rsidRPr="004768D0">
              <w:rPr>
                <w:rFonts w:asciiTheme="majorHAnsi" w:hAnsiTheme="majorHAnsi"/>
                <w:color w:val="000000" w:themeColor="text1"/>
                <w:sz w:val="16"/>
                <w:szCs w:val="16"/>
                <w:lang w:val="es-ES"/>
              </w:rPr>
              <w:t>e l</w:t>
            </w:r>
            <w:r w:rsidRPr="004768D0">
              <w:rPr>
                <w:rFonts w:asciiTheme="majorHAnsi" w:hAnsiTheme="majorHAnsi"/>
                <w:color w:val="000000" w:themeColor="text1"/>
                <w:sz w:val="16"/>
                <w:szCs w:val="16"/>
                <w:lang w:val="es-ES"/>
              </w:rPr>
              <w:t xml:space="preserve">a cintura, </w:t>
            </w:r>
            <w:r w:rsidR="007F7312">
              <w:rPr>
                <w:rFonts w:asciiTheme="majorHAnsi" w:hAnsiTheme="majorHAnsi"/>
                <w:color w:val="000000" w:themeColor="text1"/>
                <w:sz w:val="16"/>
                <w:szCs w:val="16"/>
                <w:lang w:val="es-ES"/>
              </w:rPr>
              <w:t>por detrás</w:t>
            </w:r>
            <w:r w:rsidRPr="004768D0">
              <w:rPr>
                <w:rFonts w:asciiTheme="majorHAnsi" w:hAnsiTheme="majorHAnsi"/>
                <w:color w:val="000000" w:themeColor="text1"/>
                <w:sz w:val="16"/>
                <w:szCs w:val="16"/>
                <w:lang w:val="es-ES"/>
              </w:rPr>
              <w:t>. Seg</w:t>
            </w:r>
            <w:r w:rsidR="00E04CE6" w:rsidRPr="004768D0">
              <w:rPr>
                <w:rFonts w:asciiTheme="majorHAnsi" w:hAnsiTheme="majorHAnsi"/>
                <w:color w:val="000000" w:themeColor="text1"/>
                <w:sz w:val="16"/>
                <w:szCs w:val="16"/>
                <w:lang w:val="es-ES"/>
              </w:rPr>
              <w:t xml:space="preserve">ún el parte policial, el cuerpo habría </w:t>
            </w:r>
            <w:r w:rsidRPr="004768D0">
              <w:rPr>
                <w:rFonts w:asciiTheme="majorHAnsi" w:hAnsiTheme="majorHAnsi"/>
                <w:color w:val="000000" w:themeColor="text1"/>
                <w:sz w:val="16"/>
                <w:szCs w:val="16"/>
                <w:lang w:val="es-ES"/>
              </w:rPr>
              <w:t xml:space="preserve">sido encontrado </w:t>
            </w:r>
            <w:r w:rsidR="00E04CE6" w:rsidRPr="004768D0">
              <w:rPr>
                <w:rFonts w:asciiTheme="majorHAnsi" w:hAnsiTheme="majorHAnsi"/>
                <w:color w:val="000000" w:themeColor="text1"/>
                <w:sz w:val="16"/>
                <w:szCs w:val="16"/>
                <w:lang w:val="es-ES"/>
              </w:rPr>
              <w:t xml:space="preserve">a las </w:t>
            </w:r>
            <w:r w:rsidRPr="004768D0">
              <w:rPr>
                <w:rFonts w:asciiTheme="majorHAnsi" w:hAnsiTheme="majorHAnsi"/>
                <w:color w:val="000000" w:themeColor="text1"/>
                <w:sz w:val="16"/>
                <w:szCs w:val="16"/>
                <w:lang w:val="es-ES"/>
              </w:rPr>
              <w:t>23</w:t>
            </w:r>
            <w:r w:rsidR="00E04CE6"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20</w:t>
            </w:r>
            <w:r w:rsidR="00E04CE6" w:rsidRPr="004768D0">
              <w:rPr>
                <w:rFonts w:asciiTheme="majorHAnsi" w:hAnsiTheme="majorHAnsi"/>
                <w:color w:val="000000" w:themeColor="text1"/>
                <w:sz w:val="16"/>
                <w:szCs w:val="16"/>
                <w:lang w:val="es-ES"/>
              </w:rPr>
              <w:t xml:space="preserve"> horas en la calle </w:t>
            </w:r>
            <w:r w:rsidRPr="004768D0">
              <w:rPr>
                <w:rFonts w:asciiTheme="majorHAnsi" w:hAnsiTheme="majorHAnsi"/>
                <w:color w:val="000000" w:themeColor="text1"/>
                <w:sz w:val="16"/>
                <w:szCs w:val="16"/>
                <w:lang w:val="es-ES"/>
              </w:rPr>
              <w:t xml:space="preserve">Torquato </w:t>
            </w:r>
            <w:proofErr w:type="spellStart"/>
            <w:r w:rsidRPr="004768D0">
              <w:rPr>
                <w:rFonts w:asciiTheme="majorHAnsi" w:hAnsiTheme="majorHAnsi"/>
                <w:color w:val="000000" w:themeColor="text1"/>
                <w:sz w:val="16"/>
                <w:szCs w:val="16"/>
                <w:lang w:val="es-ES"/>
              </w:rPr>
              <w:t>Dias</w:t>
            </w:r>
            <w:proofErr w:type="spellEnd"/>
            <w:r w:rsidRPr="004768D0">
              <w:rPr>
                <w:rFonts w:asciiTheme="majorHAnsi" w:hAnsiTheme="majorHAnsi"/>
                <w:color w:val="000000" w:themeColor="text1"/>
                <w:sz w:val="16"/>
                <w:szCs w:val="16"/>
                <w:lang w:val="es-ES"/>
              </w:rPr>
              <w:t xml:space="preserve"> 288</w:t>
            </w:r>
            <w:r w:rsidR="00791A37" w:rsidRPr="004768D0">
              <w:rPr>
                <w:rFonts w:asciiTheme="majorHAnsi" w:hAnsiTheme="majorHAnsi"/>
                <w:color w:val="000000" w:themeColor="text1"/>
                <w:sz w:val="16"/>
                <w:szCs w:val="16"/>
                <w:lang w:val="es-ES"/>
              </w:rPr>
              <w:t xml:space="preserve">. </w:t>
            </w:r>
            <w:r w:rsidR="00E04CE6" w:rsidRPr="004768D0">
              <w:rPr>
                <w:rFonts w:asciiTheme="majorHAnsi" w:hAnsiTheme="majorHAnsi"/>
                <w:color w:val="000000" w:themeColor="text1"/>
                <w:sz w:val="16"/>
                <w:szCs w:val="16"/>
                <w:lang w:val="es-ES"/>
              </w:rPr>
              <w:t xml:space="preserve">Ese mismo día, por la </w:t>
            </w:r>
            <w:r w:rsidR="00791A37" w:rsidRPr="004768D0">
              <w:rPr>
                <w:rFonts w:asciiTheme="majorHAnsi" w:hAnsiTheme="majorHAnsi"/>
                <w:color w:val="000000" w:themeColor="text1"/>
                <w:sz w:val="16"/>
                <w:szCs w:val="16"/>
                <w:lang w:val="es-ES"/>
              </w:rPr>
              <w:t xml:space="preserve">tarde, </w:t>
            </w:r>
            <w:r w:rsidR="00E04CE6" w:rsidRPr="004768D0">
              <w:rPr>
                <w:rFonts w:asciiTheme="majorHAnsi" w:hAnsiTheme="majorHAnsi"/>
                <w:color w:val="000000" w:themeColor="text1"/>
                <w:sz w:val="16"/>
                <w:szCs w:val="16"/>
                <w:lang w:val="es-ES"/>
              </w:rPr>
              <w:t>el</w:t>
            </w:r>
            <w:r w:rsidR="00791A37" w:rsidRPr="004768D0">
              <w:rPr>
                <w:rFonts w:asciiTheme="majorHAnsi" w:hAnsiTheme="majorHAnsi"/>
                <w:color w:val="000000" w:themeColor="text1"/>
                <w:sz w:val="16"/>
                <w:szCs w:val="16"/>
                <w:lang w:val="es-ES"/>
              </w:rPr>
              <w:t xml:space="preserve"> m</w:t>
            </w:r>
            <w:r w:rsidR="00E04CE6" w:rsidRPr="004768D0">
              <w:rPr>
                <w:rFonts w:asciiTheme="majorHAnsi" w:hAnsiTheme="majorHAnsi"/>
                <w:color w:val="000000" w:themeColor="text1"/>
                <w:sz w:val="16"/>
                <w:szCs w:val="16"/>
                <w:lang w:val="es-ES"/>
              </w:rPr>
              <w:t>i</w:t>
            </w:r>
            <w:r w:rsidR="00791A37" w:rsidRPr="004768D0">
              <w:rPr>
                <w:rFonts w:asciiTheme="majorHAnsi" w:hAnsiTheme="majorHAnsi"/>
                <w:color w:val="000000" w:themeColor="text1"/>
                <w:sz w:val="16"/>
                <w:szCs w:val="16"/>
                <w:lang w:val="es-ES"/>
              </w:rPr>
              <w:t xml:space="preserve">smo Edson </w:t>
            </w:r>
            <w:r w:rsidR="00E04CE6" w:rsidRPr="004768D0">
              <w:rPr>
                <w:rFonts w:asciiTheme="majorHAnsi" w:hAnsiTheme="majorHAnsi"/>
                <w:color w:val="000000" w:themeColor="text1"/>
                <w:sz w:val="16"/>
                <w:szCs w:val="16"/>
                <w:lang w:val="es-ES"/>
              </w:rPr>
              <w:t xml:space="preserve">había barrido esa calle, ya que hacía cuatro años que trabajaba en la </w:t>
            </w:r>
            <w:r w:rsidRPr="004768D0">
              <w:rPr>
                <w:rFonts w:asciiTheme="majorHAnsi" w:hAnsiTheme="majorHAnsi"/>
                <w:color w:val="000000" w:themeColor="text1"/>
                <w:sz w:val="16"/>
                <w:szCs w:val="16"/>
                <w:lang w:val="es-ES"/>
              </w:rPr>
              <w:t xml:space="preserve">empresa </w:t>
            </w:r>
            <w:proofErr w:type="spellStart"/>
            <w:r w:rsidRPr="004768D0">
              <w:rPr>
                <w:rFonts w:asciiTheme="majorHAnsi" w:hAnsiTheme="majorHAnsi"/>
                <w:color w:val="000000" w:themeColor="text1"/>
                <w:sz w:val="16"/>
                <w:szCs w:val="16"/>
                <w:lang w:val="es-ES"/>
              </w:rPr>
              <w:t>Terracom</w:t>
            </w:r>
            <w:proofErr w:type="spellEnd"/>
            <w:r w:rsidRPr="004768D0">
              <w:rPr>
                <w:rFonts w:asciiTheme="majorHAnsi" w:hAnsiTheme="majorHAnsi"/>
                <w:color w:val="000000" w:themeColor="text1"/>
                <w:sz w:val="16"/>
                <w:szCs w:val="16"/>
                <w:lang w:val="es-ES"/>
              </w:rPr>
              <w:t xml:space="preserve">, </w:t>
            </w:r>
            <w:r w:rsidR="00E04CE6" w:rsidRPr="004768D0">
              <w:rPr>
                <w:rFonts w:asciiTheme="majorHAnsi" w:hAnsiTheme="majorHAnsi"/>
                <w:color w:val="000000" w:themeColor="text1"/>
                <w:sz w:val="16"/>
                <w:szCs w:val="16"/>
                <w:lang w:val="es-ES"/>
              </w:rPr>
              <w:t>concesionaria</w:t>
            </w:r>
            <w:r w:rsidRPr="004768D0">
              <w:rPr>
                <w:rFonts w:asciiTheme="majorHAnsi" w:hAnsiTheme="majorHAnsi"/>
                <w:color w:val="000000" w:themeColor="text1"/>
                <w:sz w:val="16"/>
                <w:szCs w:val="16"/>
                <w:lang w:val="es-ES"/>
              </w:rPr>
              <w:t xml:space="preserve"> d</w:t>
            </w:r>
            <w:r w:rsidR="00E04CE6" w:rsidRPr="004768D0">
              <w:rPr>
                <w:rFonts w:asciiTheme="majorHAnsi" w:hAnsiTheme="majorHAnsi"/>
                <w:color w:val="000000" w:themeColor="text1"/>
                <w:sz w:val="16"/>
                <w:szCs w:val="16"/>
                <w:lang w:val="es-ES"/>
              </w:rPr>
              <w:t>e limpieza</w:t>
            </w:r>
            <w:r w:rsidRPr="004768D0">
              <w:rPr>
                <w:rFonts w:asciiTheme="majorHAnsi" w:hAnsiTheme="majorHAnsi"/>
                <w:color w:val="000000" w:themeColor="text1"/>
                <w:sz w:val="16"/>
                <w:szCs w:val="16"/>
                <w:lang w:val="es-ES"/>
              </w:rPr>
              <w:t xml:space="preserve"> pública </w:t>
            </w:r>
            <w:r w:rsidR="009A17FD" w:rsidRPr="004768D0">
              <w:rPr>
                <w:rFonts w:asciiTheme="majorHAnsi" w:hAnsiTheme="majorHAnsi"/>
                <w:color w:val="000000" w:themeColor="text1"/>
                <w:sz w:val="16"/>
                <w:szCs w:val="16"/>
                <w:lang w:val="es-ES"/>
              </w:rPr>
              <w:t>en la ciudad de</w:t>
            </w:r>
            <w:r w:rsidRPr="004768D0">
              <w:rPr>
                <w:rFonts w:asciiTheme="majorHAnsi" w:hAnsiTheme="majorHAnsi"/>
                <w:color w:val="000000" w:themeColor="text1"/>
                <w:sz w:val="16"/>
                <w:szCs w:val="16"/>
                <w:lang w:val="es-ES"/>
              </w:rPr>
              <w:t xml:space="preserve"> Santos</w:t>
            </w:r>
            <w:r w:rsidR="00E04CE6" w:rsidRPr="004768D0">
              <w:rPr>
                <w:rFonts w:asciiTheme="majorHAnsi" w:hAnsiTheme="majorHAnsi"/>
                <w:color w:val="000000" w:themeColor="text1"/>
                <w:sz w:val="16"/>
                <w:szCs w:val="16"/>
                <w:lang w:val="es-ES"/>
              </w:rPr>
              <w:t>, lo cual constaba en su tarjeta de trabajo</w:t>
            </w:r>
            <w:r w:rsidRPr="004768D0">
              <w:rPr>
                <w:rFonts w:asciiTheme="majorHAnsi" w:hAnsiTheme="majorHAnsi"/>
                <w:color w:val="000000" w:themeColor="text1"/>
                <w:sz w:val="16"/>
                <w:szCs w:val="16"/>
                <w:lang w:val="es-ES"/>
              </w:rPr>
              <w:t>.</w:t>
            </w:r>
          </w:p>
        </w:tc>
      </w:tr>
      <w:tr w:rsidR="00F17F2E" w:rsidRPr="008D6F96" w14:paraId="2EEE0668" w14:textId="77777777" w:rsidTr="00F17F2E">
        <w:tc>
          <w:tcPr>
            <w:tcW w:w="9350" w:type="dxa"/>
            <w:shd w:val="clear" w:color="auto" w:fill="000000" w:themeFill="text1"/>
          </w:tcPr>
          <w:p w14:paraId="769AE271" w14:textId="77777777" w:rsidR="00F17F2E" w:rsidRPr="004768D0" w:rsidRDefault="0037200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color w:val="000000" w:themeColor="text1"/>
                <w:sz w:val="16"/>
                <w:szCs w:val="16"/>
                <w:lang w:val="es-ES"/>
              </w:rPr>
            </w:pPr>
            <w:r w:rsidRPr="004768D0">
              <w:rPr>
                <w:rFonts w:asciiTheme="majorHAnsi" w:hAnsiTheme="majorHAnsi"/>
                <w:b/>
                <w:bCs/>
                <w:color w:val="FFFFFF" w:themeColor="background1"/>
                <w:sz w:val="18"/>
                <w:szCs w:val="18"/>
                <w:lang w:val="es-ES"/>
              </w:rPr>
              <w:t>Aspectos relacionados con la investigación de la muerte de</w:t>
            </w:r>
            <w:r w:rsidR="00F17F2E" w:rsidRPr="004768D0">
              <w:rPr>
                <w:rFonts w:asciiTheme="majorHAnsi" w:hAnsiTheme="majorHAnsi"/>
                <w:b/>
                <w:bCs/>
                <w:color w:val="FFFFFF" w:themeColor="background1"/>
                <w:sz w:val="18"/>
                <w:szCs w:val="18"/>
                <w:lang w:val="es-ES"/>
              </w:rPr>
              <w:t xml:space="preserve"> Edson Rogério Silva dos Santos </w:t>
            </w:r>
          </w:p>
        </w:tc>
      </w:tr>
      <w:tr w:rsidR="00F17F2E" w:rsidRPr="008D6F96" w14:paraId="208F70AD" w14:textId="77777777" w:rsidTr="00257978">
        <w:tc>
          <w:tcPr>
            <w:tcW w:w="9350" w:type="dxa"/>
          </w:tcPr>
          <w:p w14:paraId="7C789945" w14:textId="77777777" w:rsidR="00F27918" w:rsidRPr="004768D0"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Durante </w:t>
            </w:r>
            <w:r w:rsidR="00F41459"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 xml:space="preserve">as </w:t>
            </w:r>
            <w:r w:rsidR="00E04ED3" w:rsidRPr="004768D0">
              <w:rPr>
                <w:rFonts w:asciiTheme="majorHAnsi" w:hAnsiTheme="majorHAnsi"/>
                <w:color w:val="000000" w:themeColor="text1"/>
                <w:sz w:val="16"/>
                <w:szCs w:val="16"/>
                <w:lang w:val="es-ES"/>
              </w:rPr>
              <w:t>in</w:t>
            </w:r>
            <w:r w:rsidR="00F41459" w:rsidRPr="004768D0">
              <w:rPr>
                <w:rFonts w:asciiTheme="majorHAnsi" w:hAnsiTheme="majorHAnsi"/>
                <w:color w:val="000000" w:themeColor="text1"/>
                <w:sz w:val="16"/>
                <w:szCs w:val="16"/>
                <w:lang w:val="es-ES"/>
              </w:rPr>
              <w:t xml:space="preserve">dagaciones </w:t>
            </w:r>
            <w:r w:rsidRPr="004768D0">
              <w:rPr>
                <w:rFonts w:asciiTheme="majorHAnsi" w:hAnsiTheme="majorHAnsi"/>
                <w:color w:val="000000" w:themeColor="text1"/>
                <w:sz w:val="16"/>
                <w:szCs w:val="16"/>
                <w:lang w:val="es-ES"/>
              </w:rPr>
              <w:t>(</w:t>
            </w:r>
            <w:r w:rsidR="00F41459" w:rsidRPr="004768D0">
              <w:rPr>
                <w:rFonts w:asciiTheme="majorHAnsi" w:hAnsiTheme="majorHAnsi"/>
                <w:color w:val="000000" w:themeColor="text1"/>
                <w:sz w:val="16"/>
                <w:szCs w:val="16"/>
                <w:lang w:val="es-ES"/>
              </w:rPr>
              <w:t xml:space="preserve">que constan en el expediente de la </w:t>
            </w:r>
            <w:r w:rsidR="00C03E33" w:rsidRPr="004768D0">
              <w:rPr>
                <w:rFonts w:asciiTheme="majorHAnsi" w:hAnsiTheme="majorHAnsi"/>
                <w:color w:val="000000" w:themeColor="text1"/>
                <w:sz w:val="16"/>
                <w:szCs w:val="16"/>
                <w:lang w:val="es-ES"/>
              </w:rPr>
              <w:t>investigación</w:t>
            </w:r>
            <w:r w:rsidRPr="004768D0">
              <w:rPr>
                <w:rFonts w:asciiTheme="majorHAnsi" w:hAnsiTheme="majorHAnsi"/>
                <w:color w:val="000000" w:themeColor="text1"/>
                <w:sz w:val="16"/>
                <w:szCs w:val="16"/>
                <w:lang w:val="es-ES"/>
              </w:rPr>
              <w:t xml:space="preserve"> policial </w:t>
            </w:r>
            <w:r w:rsidR="00F41459"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lang w:val="es-ES"/>
              </w:rPr>
              <w:t>° 122/06 d</w:t>
            </w:r>
            <w:r w:rsidR="00F41459" w:rsidRPr="004768D0">
              <w:rPr>
                <w:rFonts w:asciiTheme="majorHAnsi" w:hAnsiTheme="majorHAnsi"/>
                <w:color w:val="000000" w:themeColor="text1"/>
                <w:sz w:val="16"/>
                <w:szCs w:val="16"/>
                <w:lang w:val="es-ES"/>
              </w:rPr>
              <w:t>el</w:t>
            </w:r>
            <w:r w:rsidRPr="004768D0">
              <w:rPr>
                <w:rFonts w:asciiTheme="majorHAnsi" w:hAnsiTheme="majorHAnsi"/>
                <w:color w:val="000000" w:themeColor="text1"/>
                <w:sz w:val="16"/>
                <w:szCs w:val="16"/>
                <w:lang w:val="es-ES"/>
              </w:rPr>
              <w:t xml:space="preserve"> </w:t>
            </w:r>
            <w:r w:rsidR="004744F0" w:rsidRPr="004768D0">
              <w:rPr>
                <w:rFonts w:asciiTheme="majorHAnsi" w:hAnsiTheme="majorHAnsi"/>
                <w:color w:val="000000" w:themeColor="text1"/>
                <w:sz w:val="16"/>
                <w:szCs w:val="16"/>
                <w:lang w:val="es-ES"/>
              </w:rPr>
              <w:t>Quinto Distrito</w:t>
            </w:r>
            <w:r w:rsidRPr="004768D0">
              <w:rPr>
                <w:rFonts w:asciiTheme="majorHAnsi" w:hAnsiTheme="majorHAnsi"/>
                <w:color w:val="000000" w:themeColor="text1"/>
                <w:sz w:val="16"/>
                <w:szCs w:val="16"/>
                <w:lang w:val="es-ES"/>
              </w:rPr>
              <w:t xml:space="preserve"> Policial de Santos </w:t>
            </w:r>
            <w:r w:rsidR="00F41459" w:rsidRPr="004768D0">
              <w:rPr>
                <w:rFonts w:asciiTheme="majorHAnsi" w:hAnsiTheme="majorHAnsi"/>
                <w:color w:val="000000" w:themeColor="text1"/>
                <w:sz w:val="16"/>
                <w:szCs w:val="16"/>
                <w:lang w:val="es-ES"/>
              </w:rPr>
              <w:t xml:space="preserve">y en autos </w:t>
            </w:r>
            <w:r w:rsidRPr="004768D0">
              <w:rPr>
                <w:rFonts w:asciiTheme="majorHAnsi" w:hAnsiTheme="majorHAnsi"/>
                <w:color w:val="000000" w:themeColor="text1"/>
                <w:sz w:val="16"/>
                <w:szCs w:val="16"/>
                <w:lang w:val="es-ES"/>
              </w:rPr>
              <w:t xml:space="preserve">como </w:t>
            </w:r>
            <w:r w:rsidR="00C03E33" w:rsidRPr="004768D0">
              <w:rPr>
                <w:rFonts w:asciiTheme="majorHAnsi" w:hAnsiTheme="majorHAnsi"/>
                <w:color w:val="000000" w:themeColor="text1"/>
                <w:sz w:val="16"/>
                <w:szCs w:val="16"/>
                <w:lang w:val="es-ES"/>
              </w:rPr>
              <w:t>investigación</w:t>
            </w:r>
            <w:r w:rsidRPr="004768D0">
              <w:rPr>
                <w:rFonts w:asciiTheme="majorHAnsi" w:hAnsiTheme="majorHAnsi"/>
                <w:color w:val="000000" w:themeColor="text1"/>
                <w:sz w:val="16"/>
                <w:szCs w:val="16"/>
                <w:lang w:val="es-ES"/>
              </w:rPr>
              <w:t xml:space="preserve"> policial </w:t>
            </w:r>
            <w:r w:rsidR="00F41459"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lang w:val="es-ES"/>
              </w:rPr>
              <w:t>° 166/06 d</w:t>
            </w:r>
            <w:r w:rsidR="00F41459" w:rsidRPr="004768D0">
              <w:rPr>
                <w:rFonts w:asciiTheme="majorHAnsi" w:hAnsiTheme="majorHAnsi"/>
                <w:color w:val="000000" w:themeColor="text1"/>
                <w:sz w:val="16"/>
                <w:szCs w:val="16"/>
                <w:lang w:val="es-ES"/>
              </w:rPr>
              <w:t xml:space="preserve">el Primer Juzgado Penal y del Jurado </w:t>
            </w:r>
            <w:r w:rsidRPr="004768D0">
              <w:rPr>
                <w:rFonts w:asciiTheme="majorHAnsi" w:hAnsiTheme="majorHAnsi"/>
                <w:color w:val="000000" w:themeColor="text1"/>
                <w:sz w:val="16"/>
                <w:szCs w:val="16"/>
                <w:lang w:val="es-ES"/>
              </w:rPr>
              <w:t xml:space="preserve">de Santos), </w:t>
            </w:r>
            <w:r w:rsidR="00F41459" w:rsidRPr="004768D0">
              <w:rPr>
                <w:rFonts w:asciiTheme="majorHAnsi" w:hAnsiTheme="majorHAnsi"/>
                <w:color w:val="000000" w:themeColor="text1"/>
                <w:sz w:val="16"/>
                <w:szCs w:val="16"/>
                <w:lang w:val="es-ES"/>
              </w:rPr>
              <w:t xml:space="preserve">se determinó </w:t>
            </w:r>
            <w:r w:rsidRPr="004768D0">
              <w:rPr>
                <w:rFonts w:asciiTheme="majorHAnsi" w:hAnsiTheme="majorHAnsi"/>
                <w:color w:val="000000" w:themeColor="text1"/>
                <w:sz w:val="16"/>
                <w:szCs w:val="16"/>
                <w:lang w:val="es-ES"/>
              </w:rPr>
              <w:t xml:space="preserve">que </w:t>
            </w:r>
            <w:r w:rsidR="00F41459"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a ficha de antecedentes de Edson f</w:t>
            </w:r>
            <w:r w:rsidR="00F41459" w:rsidRPr="004768D0">
              <w:rPr>
                <w:rFonts w:asciiTheme="majorHAnsi" w:hAnsiTheme="majorHAnsi"/>
                <w:color w:val="000000" w:themeColor="text1"/>
                <w:sz w:val="16"/>
                <w:szCs w:val="16"/>
                <w:lang w:val="es-ES"/>
              </w:rPr>
              <w:t>ue</w:t>
            </w:r>
            <w:r w:rsidRPr="004768D0">
              <w:rPr>
                <w:rFonts w:asciiTheme="majorHAnsi" w:hAnsiTheme="majorHAnsi"/>
                <w:color w:val="000000" w:themeColor="text1"/>
                <w:sz w:val="16"/>
                <w:szCs w:val="16"/>
                <w:lang w:val="es-ES"/>
              </w:rPr>
              <w:t xml:space="preserve"> consultada </w:t>
            </w:r>
            <w:r w:rsidR="00F41459"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F41459" w:rsidRPr="004768D0">
              <w:rPr>
                <w:rFonts w:asciiTheme="majorHAnsi" w:hAnsiTheme="majorHAnsi"/>
                <w:color w:val="000000" w:themeColor="text1"/>
                <w:sz w:val="16"/>
                <w:szCs w:val="16"/>
                <w:lang w:val="es-ES"/>
              </w:rPr>
              <w:t xml:space="preserve"> el</w:t>
            </w:r>
            <w:r w:rsidRPr="004768D0">
              <w:rPr>
                <w:rFonts w:asciiTheme="majorHAnsi" w:hAnsiTheme="majorHAnsi"/>
                <w:color w:val="000000" w:themeColor="text1"/>
                <w:sz w:val="16"/>
                <w:szCs w:val="16"/>
                <w:lang w:val="es-ES"/>
              </w:rPr>
              <w:t xml:space="preserve"> Sistema de </w:t>
            </w:r>
            <w:r w:rsidR="00F41459" w:rsidRPr="004768D0">
              <w:rPr>
                <w:rFonts w:asciiTheme="majorHAnsi" w:hAnsiTheme="majorHAnsi"/>
                <w:color w:val="000000" w:themeColor="text1"/>
                <w:sz w:val="16"/>
                <w:szCs w:val="16"/>
                <w:lang w:val="es-ES"/>
              </w:rPr>
              <w:t>Identificación</w:t>
            </w:r>
            <w:r w:rsidRPr="004768D0">
              <w:rPr>
                <w:rFonts w:asciiTheme="majorHAnsi" w:hAnsiTheme="majorHAnsi"/>
                <w:color w:val="000000" w:themeColor="text1"/>
                <w:sz w:val="16"/>
                <w:szCs w:val="16"/>
                <w:lang w:val="es-ES"/>
              </w:rPr>
              <w:t xml:space="preserve"> Civil </w:t>
            </w:r>
            <w:r w:rsidR="00F41459" w:rsidRPr="004768D0">
              <w:rPr>
                <w:rFonts w:asciiTheme="majorHAnsi" w:hAnsiTheme="majorHAnsi"/>
                <w:color w:val="000000" w:themeColor="text1"/>
                <w:sz w:val="16"/>
                <w:szCs w:val="16"/>
                <w:lang w:val="es-ES"/>
              </w:rPr>
              <w:t xml:space="preserve">y Penal de la </w:t>
            </w:r>
            <w:r w:rsidRPr="004768D0">
              <w:rPr>
                <w:rFonts w:asciiTheme="majorHAnsi" w:hAnsiTheme="majorHAnsi"/>
                <w:color w:val="000000" w:themeColor="text1"/>
                <w:sz w:val="16"/>
                <w:szCs w:val="16"/>
                <w:lang w:val="es-ES"/>
              </w:rPr>
              <w:t>Secretar</w:t>
            </w:r>
            <w:r w:rsidR="00F41459" w:rsidRPr="004768D0">
              <w:rPr>
                <w:rFonts w:asciiTheme="majorHAnsi" w:hAnsiTheme="majorHAnsi"/>
                <w:color w:val="000000" w:themeColor="text1"/>
                <w:sz w:val="16"/>
                <w:szCs w:val="16"/>
                <w:lang w:val="es-ES"/>
              </w:rPr>
              <w:t>ía</w:t>
            </w:r>
            <w:r w:rsidRPr="004768D0">
              <w:rPr>
                <w:rFonts w:asciiTheme="majorHAnsi" w:hAnsiTheme="majorHAnsi"/>
                <w:color w:val="000000" w:themeColor="text1"/>
                <w:sz w:val="16"/>
                <w:szCs w:val="16"/>
                <w:lang w:val="es-ES"/>
              </w:rPr>
              <w:t xml:space="preserve"> de </w:t>
            </w:r>
            <w:r w:rsidR="00F41459" w:rsidRPr="004768D0">
              <w:rPr>
                <w:rFonts w:asciiTheme="majorHAnsi" w:hAnsiTheme="majorHAnsi"/>
                <w:color w:val="000000" w:themeColor="text1"/>
                <w:sz w:val="16"/>
                <w:szCs w:val="16"/>
                <w:lang w:val="es-ES"/>
              </w:rPr>
              <w:t>Seguridad</w:t>
            </w:r>
            <w:r w:rsidRPr="004768D0">
              <w:rPr>
                <w:rFonts w:asciiTheme="majorHAnsi" w:hAnsiTheme="majorHAnsi"/>
                <w:color w:val="000000" w:themeColor="text1"/>
                <w:sz w:val="16"/>
                <w:szCs w:val="16"/>
                <w:lang w:val="es-ES"/>
              </w:rPr>
              <w:t xml:space="preserve"> Pública </w:t>
            </w:r>
            <w:r w:rsidR="00F41459" w:rsidRPr="004768D0">
              <w:rPr>
                <w:rFonts w:asciiTheme="majorHAnsi" w:hAnsiTheme="majorHAnsi"/>
                <w:color w:val="000000" w:themeColor="text1"/>
                <w:sz w:val="16"/>
                <w:szCs w:val="16"/>
                <w:lang w:val="es-ES"/>
              </w:rPr>
              <w:t xml:space="preserve">veinte veces entre las </w:t>
            </w:r>
            <w:r w:rsidRPr="004768D0">
              <w:rPr>
                <w:rFonts w:asciiTheme="majorHAnsi" w:hAnsiTheme="majorHAnsi"/>
                <w:color w:val="000000" w:themeColor="text1"/>
                <w:sz w:val="16"/>
                <w:szCs w:val="16"/>
                <w:lang w:val="es-ES"/>
              </w:rPr>
              <w:t>23</w:t>
            </w:r>
            <w:r w:rsidR="00F41459"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 xml:space="preserve">53 </w:t>
            </w:r>
            <w:r w:rsidR="00F41459" w:rsidRPr="004768D0">
              <w:rPr>
                <w:rFonts w:asciiTheme="majorHAnsi" w:hAnsiTheme="majorHAnsi"/>
                <w:color w:val="000000" w:themeColor="text1"/>
                <w:sz w:val="16"/>
                <w:szCs w:val="16"/>
                <w:lang w:val="es-ES"/>
              </w:rPr>
              <w:t xml:space="preserve">horas del día </w:t>
            </w:r>
            <w:r w:rsidRPr="004768D0">
              <w:rPr>
                <w:rFonts w:asciiTheme="majorHAnsi" w:hAnsiTheme="majorHAnsi"/>
                <w:color w:val="000000" w:themeColor="text1"/>
                <w:sz w:val="16"/>
                <w:szCs w:val="16"/>
                <w:lang w:val="es-ES"/>
              </w:rPr>
              <w:t xml:space="preserve">15 </w:t>
            </w:r>
            <w:r w:rsidR="00F41459" w:rsidRPr="004768D0">
              <w:rPr>
                <w:rFonts w:asciiTheme="majorHAnsi" w:hAnsiTheme="majorHAnsi"/>
                <w:color w:val="000000" w:themeColor="text1"/>
                <w:sz w:val="16"/>
                <w:szCs w:val="16"/>
                <w:lang w:val="es-ES"/>
              </w:rPr>
              <w:t>y l</w:t>
            </w:r>
            <w:r w:rsidRPr="004768D0">
              <w:rPr>
                <w:rFonts w:asciiTheme="majorHAnsi" w:hAnsiTheme="majorHAnsi"/>
                <w:color w:val="000000" w:themeColor="text1"/>
                <w:sz w:val="16"/>
                <w:szCs w:val="16"/>
                <w:lang w:val="es-ES"/>
              </w:rPr>
              <w:t>as 17</w:t>
            </w:r>
            <w:r w:rsidR="00F41459"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 xml:space="preserve">22 </w:t>
            </w:r>
            <w:r w:rsidR="00F41459" w:rsidRPr="004768D0">
              <w:rPr>
                <w:rFonts w:asciiTheme="majorHAnsi" w:hAnsiTheme="majorHAnsi"/>
                <w:color w:val="000000" w:themeColor="text1"/>
                <w:sz w:val="16"/>
                <w:szCs w:val="16"/>
                <w:lang w:val="es-ES"/>
              </w:rPr>
              <w:t xml:space="preserve">horas del día </w:t>
            </w:r>
            <w:r w:rsidRPr="004768D0">
              <w:rPr>
                <w:rFonts w:asciiTheme="majorHAnsi" w:hAnsiTheme="majorHAnsi"/>
                <w:color w:val="000000" w:themeColor="text1"/>
                <w:sz w:val="16"/>
                <w:szCs w:val="16"/>
                <w:lang w:val="es-ES"/>
              </w:rPr>
              <w:t>16.</w:t>
            </w:r>
          </w:p>
          <w:p w14:paraId="399CF5EF" w14:textId="77777777" w:rsidR="00F27918" w:rsidRPr="004768D0" w:rsidRDefault="001E7F13"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Los agentes del </w:t>
            </w:r>
            <w:r w:rsidR="00F27918" w:rsidRPr="004768D0">
              <w:rPr>
                <w:rFonts w:asciiTheme="majorHAnsi" w:hAnsiTheme="majorHAnsi"/>
                <w:color w:val="000000" w:themeColor="text1"/>
                <w:sz w:val="16"/>
                <w:szCs w:val="16"/>
                <w:lang w:val="es-ES"/>
              </w:rPr>
              <w:t xml:space="preserve">Centro de </w:t>
            </w:r>
            <w:r w:rsidRPr="004768D0">
              <w:rPr>
                <w:rFonts w:asciiTheme="majorHAnsi" w:hAnsiTheme="majorHAnsi"/>
                <w:color w:val="000000" w:themeColor="text1"/>
                <w:sz w:val="16"/>
                <w:szCs w:val="16"/>
                <w:lang w:val="es-ES"/>
              </w:rPr>
              <w:t>Operaciones</w:t>
            </w:r>
            <w:r w:rsidR="00F27918" w:rsidRPr="004768D0">
              <w:rPr>
                <w:rFonts w:asciiTheme="majorHAnsi" w:hAnsiTheme="majorHAnsi"/>
                <w:color w:val="000000" w:themeColor="text1"/>
                <w:sz w:val="16"/>
                <w:szCs w:val="16"/>
                <w:lang w:val="es-ES"/>
              </w:rPr>
              <w:t xml:space="preserve"> d</w:t>
            </w:r>
            <w:r w:rsidRPr="004768D0">
              <w:rPr>
                <w:rFonts w:asciiTheme="majorHAnsi" w:hAnsiTheme="majorHAnsi"/>
                <w:color w:val="000000" w:themeColor="text1"/>
                <w:sz w:val="16"/>
                <w:szCs w:val="16"/>
                <w:lang w:val="es-ES"/>
              </w:rPr>
              <w:t>e l</w:t>
            </w:r>
            <w:r w:rsidR="00F27918" w:rsidRPr="004768D0">
              <w:rPr>
                <w:rFonts w:asciiTheme="majorHAnsi" w:hAnsiTheme="majorHAnsi"/>
                <w:color w:val="000000" w:themeColor="text1"/>
                <w:sz w:val="16"/>
                <w:szCs w:val="16"/>
                <w:lang w:val="es-ES"/>
              </w:rPr>
              <w:t xml:space="preserve">a </w:t>
            </w:r>
            <w:r w:rsidR="00372008" w:rsidRPr="004768D0">
              <w:rPr>
                <w:rFonts w:asciiTheme="majorHAnsi" w:hAnsiTheme="majorHAnsi"/>
                <w:color w:val="000000" w:themeColor="text1"/>
                <w:sz w:val="16"/>
                <w:szCs w:val="16"/>
                <w:lang w:val="es-ES"/>
              </w:rPr>
              <w:t>Policía</w:t>
            </w:r>
            <w:r w:rsidR="00F27918" w:rsidRPr="004768D0">
              <w:rPr>
                <w:rFonts w:asciiTheme="majorHAnsi" w:hAnsiTheme="majorHAnsi"/>
                <w:color w:val="000000" w:themeColor="text1"/>
                <w:sz w:val="16"/>
                <w:szCs w:val="16"/>
                <w:lang w:val="es-ES"/>
              </w:rPr>
              <w:t xml:space="preserve"> Militar (COPOM) que </w:t>
            </w:r>
            <w:r w:rsidRPr="004768D0">
              <w:rPr>
                <w:rFonts w:asciiTheme="majorHAnsi" w:hAnsiTheme="majorHAnsi"/>
                <w:color w:val="000000" w:themeColor="text1"/>
                <w:sz w:val="16"/>
                <w:szCs w:val="16"/>
                <w:lang w:val="es-ES"/>
              </w:rPr>
              <w:t xml:space="preserve">habían trabajado </w:t>
            </w:r>
            <w:r w:rsidR="009A608A">
              <w:rPr>
                <w:rFonts w:asciiTheme="majorHAnsi" w:hAnsiTheme="majorHAnsi"/>
                <w:color w:val="000000" w:themeColor="text1"/>
                <w:sz w:val="16"/>
                <w:szCs w:val="16"/>
                <w:lang w:val="es-ES"/>
              </w:rPr>
              <w:t>durante ese período</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prestaron declaración y dijeron que no recordaban haber hecho esas </w:t>
            </w:r>
            <w:r w:rsidR="00F27918" w:rsidRPr="004768D0">
              <w:rPr>
                <w:rFonts w:asciiTheme="majorHAnsi" w:hAnsiTheme="majorHAnsi"/>
                <w:color w:val="000000" w:themeColor="text1"/>
                <w:sz w:val="16"/>
                <w:szCs w:val="16"/>
                <w:lang w:val="es-ES"/>
              </w:rPr>
              <w:t>consultas.</w:t>
            </w:r>
          </w:p>
          <w:p w14:paraId="5593B40E" w14:textId="77777777" w:rsidR="00F27918" w:rsidRPr="004768D0"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Edson </w:t>
            </w:r>
            <w:r w:rsidR="001E7F13" w:rsidRPr="004768D0">
              <w:rPr>
                <w:rFonts w:asciiTheme="majorHAnsi" w:hAnsiTheme="majorHAnsi"/>
                <w:color w:val="000000" w:themeColor="text1"/>
                <w:sz w:val="16"/>
                <w:szCs w:val="16"/>
                <w:lang w:val="es-ES"/>
              </w:rPr>
              <w:t xml:space="preserve">había sido condenado por robo en </w:t>
            </w:r>
            <w:r w:rsidRPr="004768D0">
              <w:rPr>
                <w:rFonts w:asciiTheme="majorHAnsi" w:hAnsiTheme="majorHAnsi"/>
                <w:color w:val="000000" w:themeColor="text1"/>
                <w:sz w:val="16"/>
                <w:szCs w:val="16"/>
                <w:lang w:val="es-ES"/>
              </w:rPr>
              <w:t>1997</w:t>
            </w:r>
            <w:r w:rsidR="001E7F13" w:rsidRPr="004768D0">
              <w:rPr>
                <w:rFonts w:asciiTheme="majorHAnsi" w:hAnsiTheme="majorHAnsi"/>
                <w:color w:val="000000" w:themeColor="text1"/>
                <w:sz w:val="16"/>
                <w:szCs w:val="16"/>
                <w:lang w:val="es-ES"/>
              </w:rPr>
              <w:t xml:space="preserve"> y había cumplido </w:t>
            </w:r>
            <w:r w:rsidR="00F7645C" w:rsidRPr="004768D0">
              <w:rPr>
                <w:rFonts w:asciiTheme="majorHAnsi" w:hAnsiTheme="majorHAnsi"/>
                <w:color w:val="000000" w:themeColor="text1"/>
                <w:sz w:val="16"/>
                <w:szCs w:val="16"/>
                <w:lang w:val="es-ES"/>
              </w:rPr>
              <w:t xml:space="preserve">íntegramente su </w:t>
            </w:r>
            <w:r w:rsidRPr="004768D0">
              <w:rPr>
                <w:rFonts w:asciiTheme="majorHAnsi" w:hAnsiTheme="majorHAnsi"/>
                <w:color w:val="000000" w:themeColor="text1"/>
                <w:sz w:val="16"/>
                <w:szCs w:val="16"/>
                <w:lang w:val="es-ES"/>
              </w:rPr>
              <w:t xml:space="preserve">pena. </w:t>
            </w:r>
            <w:r w:rsidR="00A07DD9" w:rsidRPr="004768D0">
              <w:rPr>
                <w:rFonts w:asciiTheme="majorHAnsi" w:hAnsiTheme="majorHAnsi"/>
                <w:color w:val="000000" w:themeColor="text1"/>
                <w:sz w:val="16"/>
                <w:szCs w:val="16"/>
                <w:lang w:val="es-ES"/>
              </w:rPr>
              <w:t>La parte peticionaria</w:t>
            </w:r>
            <w:r w:rsidRPr="004768D0">
              <w:rPr>
                <w:rFonts w:asciiTheme="majorHAnsi" w:hAnsiTheme="majorHAnsi"/>
                <w:color w:val="000000" w:themeColor="text1"/>
                <w:sz w:val="16"/>
                <w:szCs w:val="16"/>
                <w:lang w:val="es-ES"/>
              </w:rPr>
              <w:t xml:space="preserve"> </w:t>
            </w:r>
            <w:r w:rsidR="00F7645C" w:rsidRPr="004768D0">
              <w:rPr>
                <w:rFonts w:asciiTheme="majorHAnsi" w:hAnsiTheme="majorHAnsi"/>
                <w:color w:val="000000" w:themeColor="text1"/>
                <w:sz w:val="16"/>
                <w:szCs w:val="16"/>
                <w:lang w:val="es-ES"/>
              </w:rPr>
              <w:t xml:space="preserve">recalcó </w:t>
            </w:r>
            <w:r w:rsidRPr="004768D0">
              <w:rPr>
                <w:rFonts w:asciiTheme="majorHAnsi" w:hAnsiTheme="majorHAnsi"/>
                <w:color w:val="000000" w:themeColor="text1"/>
                <w:sz w:val="16"/>
                <w:szCs w:val="16"/>
                <w:lang w:val="es-ES"/>
              </w:rPr>
              <w:t xml:space="preserve">que </w:t>
            </w:r>
            <w:r w:rsidR="00F7645C" w:rsidRPr="004768D0">
              <w:rPr>
                <w:rFonts w:asciiTheme="majorHAnsi" w:hAnsiTheme="majorHAnsi"/>
                <w:color w:val="000000" w:themeColor="text1"/>
                <w:sz w:val="16"/>
                <w:szCs w:val="16"/>
                <w:lang w:val="es-ES"/>
              </w:rPr>
              <w:t xml:space="preserve">los </w:t>
            </w:r>
            <w:r w:rsidRPr="004768D0">
              <w:rPr>
                <w:rFonts w:asciiTheme="majorHAnsi" w:hAnsiTheme="majorHAnsi"/>
                <w:color w:val="000000" w:themeColor="text1"/>
                <w:sz w:val="16"/>
                <w:szCs w:val="16"/>
                <w:lang w:val="es-ES"/>
              </w:rPr>
              <w:t xml:space="preserve">grupos de </w:t>
            </w:r>
            <w:r w:rsidR="00F7645C" w:rsidRPr="004768D0">
              <w:rPr>
                <w:rFonts w:asciiTheme="majorHAnsi" w:hAnsiTheme="majorHAnsi"/>
                <w:color w:val="000000" w:themeColor="text1"/>
                <w:sz w:val="16"/>
                <w:szCs w:val="16"/>
                <w:lang w:val="es-ES"/>
              </w:rPr>
              <w:t>exterminio</w:t>
            </w:r>
            <w:r w:rsidRPr="004768D0">
              <w:rPr>
                <w:rFonts w:asciiTheme="majorHAnsi" w:hAnsiTheme="majorHAnsi"/>
                <w:color w:val="000000" w:themeColor="text1"/>
                <w:sz w:val="16"/>
                <w:szCs w:val="16"/>
                <w:lang w:val="es-ES"/>
              </w:rPr>
              <w:t xml:space="preserve"> </w:t>
            </w:r>
            <w:r w:rsidR="00F7645C"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 xml:space="preserve">n Brasil </w:t>
            </w:r>
            <w:r w:rsidR="00F7645C" w:rsidRPr="004768D0">
              <w:rPr>
                <w:rFonts w:asciiTheme="majorHAnsi" w:hAnsiTheme="majorHAnsi"/>
                <w:color w:val="000000" w:themeColor="text1"/>
                <w:sz w:val="16"/>
                <w:szCs w:val="16"/>
                <w:lang w:val="es-ES"/>
              </w:rPr>
              <w:t>acostumbran asesinar</w:t>
            </w:r>
            <w:r w:rsidRPr="004768D0">
              <w:rPr>
                <w:rFonts w:asciiTheme="majorHAnsi" w:hAnsiTheme="majorHAnsi"/>
                <w:color w:val="000000" w:themeColor="text1"/>
                <w:sz w:val="16"/>
                <w:szCs w:val="16"/>
                <w:lang w:val="es-ES"/>
              </w:rPr>
              <w:t xml:space="preserve"> </w:t>
            </w:r>
            <w:r w:rsidR="001B7B7E" w:rsidRPr="004768D0">
              <w:rPr>
                <w:rFonts w:asciiTheme="majorHAnsi" w:hAnsiTheme="majorHAnsi"/>
                <w:color w:val="000000" w:themeColor="text1"/>
                <w:sz w:val="16"/>
                <w:szCs w:val="16"/>
                <w:lang w:val="es-ES"/>
              </w:rPr>
              <w:t xml:space="preserve">a </w:t>
            </w:r>
            <w:r w:rsidR="000C0AC4" w:rsidRPr="004768D0">
              <w:rPr>
                <w:rFonts w:asciiTheme="majorHAnsi" w:hAnsiTheme="majorHAnsi"/>
                <w:color w:val="000000" w:themeColor="text1"/>
                <w:sz w:val="16"/>
                <w:szCs w:val="16"/>
                <w:lang w:val="es-ES"/>
              </w:rPr>
              <w:t>personas</w:t>
            </w:r>
            <w:r w:rsidRPr="004768D0">
              <w:rPr>
                <w:rFonts w:asciiTheme="majorHAnsi" w:hAnsiTheme="majorHAnsi"/>
                <w:color w:val="000000" w:themeColor="text1"/>
                <w:sz w:val="16"/>
                <w:szCs w:val="16"/>
                <w:lang w:val="es-ES"/>
              </w:rPr>
              <w:t xml:space="preserve"> </w:t>
            </w:r>
            <w:r w:rsidR="00F7645C" w:rsidRPr="004768D0">
              <w:rPr>
                <w:rFonts w:asciiTheme="majorHAnsi" w:hAnsiTheme="majorHAnsi"/>
                <w:color w:val="000000" w:themeColor="text1"/>
                <w:sz w:val="16"/>
                <w:szCs w:val="16"/>
                <w:lang w:val="es-ES"/>
              </w:rPr>
              <w:t>con</w:t>
            </w:r>
            <w:r w:rsidRPr="004768D0">
              <w:rPr>
                <w:rFonts w:asciiTheme="majorHAnsi" w:hAnsiTheme="majorHAnsi"/>
                <w:color w:val="000000" w:themeColor="text1"/>
                <w:sz w:val="16"/>
                <w:szCs w:val="16"/>
                <w:lang w:val="es-ES"/>
              </w:rPr>
              <w:t xml:space="preserve"> </w:t>
            </w:r>
            <w:r w:rsidR="00207ECC" w:rsidRPr="004768D0">
              <w:rPr>
                <w:rFonts w:asciiTheme="majorHAnsi" w:hAnsiTheme="majorHAnsi"/>
                <w:color w:val="000000" w:themeColor="text1"/>
                <w:sz w:val="16"/>
                <w:szCs w:val="16"/>
                <w:lang w:val="es-ES"/>
              </w:rPr>
              <w:t>antecedentes penales</w:t>
            </w:r>
            <w:r w:rsidRPr="004768D0">
              <w:rPr>
                <w:rFonts w:asciiTheme="majorHAnsi" w:hAnsiTheme="majorHAnsi"/>
                <w:color w:val="000000" w:themeColor="text1"/>
                <w:sz w:val="16"/>
                <w:szCs w:val="16"/>
                <w:lang w:val="es-ES"/>
              </w:rPr>
              <w:t>.</w:t>
            </w:r>
          </w:p>
          <w:p w14:paraId="1E6F5BF3" w14:textId="77777777" w:rsidR="00F27918" w:rsidRPr="004768D0" w:rsidRDefault="001B7B7E"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Prestaron declaración los primeros agentes de policía que llegaron a la </w:t>
            </w:r>
            <w:r w:rsidR="00E04ED3" w:rsidRPr="004768D0">
              <w:rPr>
                <w:rFonts w:asciiTheme="majorHAnsi" w:hAnsiTheme="majorHAnsi"/>
                <w:color w:val="000000" w:themeColor="text1"/>
                <w:sz w:val="16"/>
                <w:szCs w:val="16"/>
                <w:lang w:val="es-ES"/>
              </w:rPr>
              <w:t>escena del delito</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pero ninguno de ellos confirmó que hubiera participado en </w:t>
            </w:r>
            <w:r w:rsidR="000E19DC" w:rsidRPr="004768D0">
              <w:rPr>
                <w:rFonts w:asciiTheme="majorHAnsi" w:hAnsiTheme="majorHAnsi"/>
                <w:color w:val="000000" w:themeColor="text1"/>
                <w:sz w:val="16"/>
                <w:szCs w:val="16"/>
                <w:lang w:val="es-ES"/>
              </w:rPr>
              <w:t xml:space="preserve">la interceptación policial </w:t>
            </w:r>
            <w:r w:rsidRPr="004768D0">
              <w:rPr>
                <w:rFonts w:asciiTheme="majorHAnsi" w:hAnsiTheme="majorHAnsi"/>
                <w:color w:val="000000" w:themeColor="text1"/>
                <w:sz w:val="16"/>
                <w:szCs w:val="16"/>
                <w:lang w:val="es-ES"/>
              </w:rPr>
              <w:t>en la gasolinera</w:t>
            </w:r>
            <w:r w:rsidR="00F27918" w:rsidRPr="004768D0">
              <w:rPr>
                <w:rFonts w:asciiTheme="majorHAnsi" w:hAnsiTheme="majorHAnsi"/>
                <w:color w:val="000000" w:themeColor="text1"/>
                <w:sz w:val="16"/>
                <w:szCs w:val="16"/>
                <w:lang w:val="es-ES"/>
              </w:rPr>
              <w:t>.</w:t>
            </w:r>
          </w:p>
          <w:p w14:paraId="31272B1B" w14:textId="77777777" w:rsidR="00F27918" w:rsidRPr="004768D0" w:rsidRDefault="00A07DD9"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La parte peticionaria</w:t>
            </w:r>
            <w:r w:rsidR="00F27918" w:rsidRPr="004768D0">
              <w:rPr>
                <w:rFonts w:asciiTheme="majorHAnsi" w:hAnsiTheme="majorHAnsi"/>
                <w:color w:val="000000" w:themeColor="text1"/>
                <w:sz w:val="16"/>
                <w:szCs w:val="16"/>
                <w:lang w:val="es-ES"/>
              </w:rPr>
              <w:t xml:space="preserve"> </w:t>
            </w:r>
            <w:r w:rsidR="003F5235" w:rsidRPr="004768D0">
              <w:rPr>
                <w:rFonts w:asciiTheme="majorHAnsi" w:hAnsiTheme="majorHAnsi"/>
                <w:color w:val="000000" w:themeColor="text1"/>
                <w:sz w:val="16"/>
                <w:szCs w:val="16"/>
                <w:lang w:val="es-ES"/>
              </w:rPr>
              <w:t xml:space="preserve">destacó asimismo que un </w:t>
            </w:r>
            <w:r w:rsidR="001F69B8" w:rsidRPr="004768D0">
              <w:rPr>
                <w:rFonts w:asciiTheme="majorHAnsi" w:hAnsiTheme="majorHAnsi"/>
                <w:color w:val="000000" w:themeColor="text1"/>
                <w:sz w:val="16"/>
                <w:szCs w:val="16"/>
                <w:lang w:val="es-ES"/>
              </w:rPr>
              <w:t>informe</w:t>
            </w:r>
            <w:r w:rsidR="00F27918" w:rsidRPr="004768D0">
              <w:rPr>
                <w:rFonts w:asciiTheme="majorHAnsi" w:hAnsiTheme="majorHAnsi"/>
                <w:color w:val="000000" w:themeColor="text1"/>
                <w:sz w:val="16"/>
                <w:szCs w:val="16"/>
                <w:lang w:val="es-ES"/>
              </w:rPr>
              <w:t xml:space="preserve"> de u</w:t>
            </w:r>
            <w:r w:rsidR="003F5235" w:rsidRPr="004768D0">
              <w:rPr>
                <w:rFonts w:asciiTheme="majorHAnsi" w:hAnsiTheme="majorHAnsi"/>
                <w:color w:val="000000" w:themeColor="text1"/>
                <w:sz w:val="16"/>
                <w:szCs w:val="16"/>
                <w:lang w:val="es-ES"/>
              </w:rPr>
              <w:t xml:space="preserve">no de los vehículos de la </w:t>
            </w:r>
            <w:r w:rsidR="00372008" w:rsidRPr="004768D0">
              <w:rPr>
                <w:rFonts w:asciiTheme="majorHAnsi" w:hAnsiTheme="majorHAnsi"/>
                <w:color w:val="000000" w:themeColor="text1"/>
                <w:sz w:val="16"/>
                <w:szCs w:val="16"/>
                <w:lang w:val="es-ES"/>
              </w:rPr>
              <w:t>Policía</w:t>
            </w:r>
            <w:r w:rsidR="00F27918" w:rsidRPr="004768D0">
              <w:rPr>
                <w:rFonts w:asciiTheme="majorHAnsi" w:hAnsiTheme="majorHAnsi"/>
                <w:color w:val="000000" w:themeColor="text1"/>
                <w:sz w:val="16"/>
                <w:szCs w:val="16"/>
                <w:lang w:val="es-ES"/>
              </w:rPr>
              <w:t xml:space="preserve"> Militar </w:t>
            </w:r>
            <w:r w:rsidR="003F5235" w:rsidRPr="004768D0">
              <w:rPr>
                <w:rFonts w:asciiTheme="majorHAnsi" w:hAnsiTheme="majorHAnsi"/>
                <w:color w:val="000000" w:themeColor="text1"/>
                <w:sz w:val="16"/>
                <w:szCs w:val="16"/>
                <w:lang w:val="es-ES"/>
              </w:rPr>
              <w:t xml:space="preserve">utilizado en la zona esa noche </w:t>
            </w:r>
            <w:r w:rsidR="00F27918" w:rsidRPr="004768D0">
              <w:rPr>
                <w:rFonts w:asciiTheme="majorHAnsi" w:hAnsiTheme="majorHAnsi"/>
                <w:color w:val="000000" w:themeColor="text1"/>
                <w:sz w:val="16"/>
                <w:szCs w:val="16"/>
                <w:lang w:val="es-ES"/>
              </w:rPr>
              <w:t xml:space="preserve">indica que </w:t>
            </w:r>
            <w:r w:rsidR="003F5235" w:rsidRPr="004768D0">
              <w:rPr>
                <w:rFonts w:asciiTheme="majorHAnsi" w:hAnsiTheme="majorHAnsi"/>
                <w:color w:val="000000" w:themeColor="text1"/>
                <w:sz w:val="16"/>
                <w:szCs w:val="16"/>
                <w:lang w:val="es-ES"/>
              </w:rPr>
              <w:t xml:space="preserve">habría hecho un recorrido en </w:t>
            </w:r>
            <w:r w:rsidR="00F27918" w:rsidRPr="004768D0">
              <w:rPr>
                <w:rFonts w:asciiTheme="majorHAnsi" w:hAnsiTheme="majorHAnsi"/>
                <w:color w:val="000000" w:themeColor="text1"/>
                <w:sz w:val="16"/>
                <w:szCs w:val="16"/>
                <w:lang w:val="es-ES"/>
              </w:rPr>
              <w:t xml:space="preserve">Santos que era </w:t>
            </w:r>
            <w:r w:rsidR="003F5235" w:rsidRPr="004768D0">
              <w:rPr>
                <w:rFonts w:asciiTheme="majorHAnsi" w:hAnsiTheme="majorHAnsi"/>
                <w:color w:val="000000" w:themeColor="text1"/>
                <w:sz w:val="16"/>
                <w:szCs w:val="16"/>
                <w:lang w:val="es-ES"/>
              </w:rPr>
              <w:t>compatible</w:t>
            </w:r>
            <w:r w:rsidR="00F27918" w:rsidRPr="004768D0">
              <w:rPr>
                <w:rFonts w:asciiTheme="majorHAnsi" w:hAnsiTheme="majorHAnsi"/>
                <w:color w:val="000000" w:themeColor="text1"/>
                <w:sz w:val="16"/>
                <w:szCs w:val="16"/>
                <w:lang w:val="es-ES"/>
              </w:rPr>
              <w:t xml:space="preserve"> co</w:t>
            </w:r>
            <w:r w:rsidR="003F5235" w:rsidRPr="004768D0">
              <w:rPr>
                <w:rFonts w:asciiTheme="majorHAnsi" w:hAnsiTheme="majorHAnsi"/>
                <w:color w:val="000000" w:themeColor="text1"/>
                <w:sz w:val="16"/>
                <w:szCs w:val="16"/>
                <w:lang w:val="es-ES"/>
              </w:rPr>
              <w:t xml:space="preserve">n el recorrido </w:t>
            </w:r>
            <w:r w:rsidR="00F27918" w:rsidRPr="004768D0">
              <w:rPr>
                <w:rFonts w:asciiTheme="majorHAnsi" w:hAnsiTheme="majorHAnsi"/>
                <w:color w:val="000000" w:themeColor="text1"/>
                <w:sz w:val="16"/>
                <w:szCs w:val="16"/>
                <w:lang w:val="es-ES"/>
              </w:rPr>
              <w:t xml:space="preserve">que Edson </w:t>
            </w:r>
            <w:r w:rsidR="003F5235" w:rsidRPr="004768D0">
              <w:rPr>
                <w:rFonts w:asciiTheme="majorHAnsi" w:hAnsiTheme="majorHAnsi"/>
                <w:color w:val="000000" w:themeColor="text1"/>
                <w:sz w:val="16"/>
                <w:szCs w:val="16"/>
                <w:lang w:val="es-ES"/>
              </w:rPr>
              <w:t>probablemente</w:t>
            </w:r>
            <w:r w:rsidR="00F27918" w:rsidRPr="004768D0">
              <w:rPr>
                <w:rFonts w:asciiTheme="majorHAnsi" w:hAnsiTheme="majorHAnsi"/>
                <w:color w:val="000000" w:themeColor="text1"/>
                <w:sz w:val="16"/>
                <w:szCs w:val="16"/>
                <w:lang w:val="es-ES"/>
              </w:rPr>
              <w:t xml:space="preserve"> </w:t>
            </w:r>
            <w:r w:rsidR="003F5235" w:rsidRPr="004768D0">
              <w:rPr>
                <w:rFonts w:asciiTheme="majorHAnsi" w:hAnsiTheme="majorHAnsi"/>
                <w:color w:val="000000" w:themeColor="text1"/>
                <w:sz w:val="16"/>
                <w:szCs w:val="16"/>
                <w:lang w:val="es-ES"/>
              </w:rPr>
              <w:t>h</w:t>
            </w:r>
            <w:r w:rsidR="009A608A">
              <w:rPr>
                <w:rFonts w:asciiTheme="majorHAnsi" w:hAnsiTheme="majorHAnsi"/>
                <w:color w:val="000000" w:themeColor="text1"/>
                <w:sz w:val="16"/>
                <w:szCs w:val="16"/>
                <w:lang w:val="es-ES"/>
              </w:rPr>
              <w:t>ubiera</w:t>
            </w:r>
            <w:r w:rsidR="003F5235" w:rsidRPr="004768D0">
              <w:rPr>
                <w:rFonts w:asciiTheme="majorHAnsi" w:hAnsiTheme="majorHAnsi"/>
                <w:color w:val="000000" w:themeColor="text1"/>
                <w:sz w:val="16"/>
                <w:szCs w:val="16"/>
                <w:lang w:val="es-ES"/>
              </w:rPr>
              <w:t xml:space="preserve"> hecho desde la estación de servicio hasta el lugar donde murió</w:t>
            </w:r>
            <w:r w:rsidR="00F27918" w:rsidRPr="004768D0">
              <w:rPr>
                <w:rFonts w:asciiTheme="majorHAnsi" w:hAnsiTheme="majorHAnsi"/>
                <w:color w:val="000000" w:themeColor="text1"/>
                <w:sz w:val="16"/>
                <w:szCs w:val="16"/>
                <w:lang w:val="es-ES"/>
              </w:rPr>
              <w:t>.</w:t>
            </w:r>
          </w:p>
          <w:p w14:paraId="46AD7CA1" w14:textId="77777777" w:rsidR="00F27918" w:rsidRPr="004768D0" w:rsidRDefault="003F5235"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lastRenderedPageBreak/>
              <w:t>El</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empleado de la estación de servicio</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afirmó</w:t>
            </w:r>
            <w:r w:rsidR="00F27918" w:rsidRPr="004768D0">
              <w:rPr>
                <w:rFonts w:asciiTheme="majorHAnsi" w:hAnsiTheme="majorHAnsi"/>
                <w:color w:val="000000" w:themeColor="text1"/>
                <w:sz w:val="16"/>
                <w:szCs w:val="16"/>
                <w:lang w:val="es-ES"/>
              </w:rPr>
              <w:t xml:space="preserve"> que no recon</w:t>
            </w:r>
            <w:r w:rsidRPr="004768D0">
              <w:rPr>
                <w:rFonts w:asciiTheme="majorHAnsi" w:hAnsiTheme="majorHAnsi"/>
                <w:color w:val="000000" w:themeColor="text1"/>
                <w:sz w:val="16"/>
                <w:szCs w:val="16"/>
                <w:lang w:val="es-ES"/>
              </w:rPr>
              <w:t xml:space="preserve">oció a ninguno de los agentes de policía que </w:t>
            </w:r>
            <w:r w:rsidR="00134B08" w:rsidRPr="004768D0">
              <w:rPr>
                <w:rFonts w:asciiTheme="majorHAnsi" w:hAnsiTheme="majorHAnsi"/>
                <w:color w:val="000000" w:themeColor="text1"/>
                <w:sz w:val="16"/>
                <w:szCs w:val="16"/>
                <w:lang w:val="es-ES"/>
              </w:rPr>
              <w:t xml:space="preserve">respondieron al </w:t>
            </w:r>
            <w:r w:rsidRPr="004768D0">
              <w:rPr>
                <w:rFonts w:asciiTheme="majorHAnsi" w:hAnsiTheme="majorHAnsi"/>
                <w:color w:val="000000" w:themeColor="text1"/>
                <w:sz w:val="16"/>
                <w:szCs w:val="16"/>
                <w:lang w:val="es-ES"/>
              </w:rPr>
              <w:t>incidente</w:t>
            </w:r>
            <w:r w:rsidR="00F27918" w:rsidRPr="004768D0">
              <w:rPr>
                <w:rFonts w:asciiTheme="majorHAnsi" w:hAnsiTheme="majorHAnsi"/>
                <w:color w:val="000000" w:themeColor="text1"/>
                <w:sz w:val="16"/>
                <w:szCs w:val="16"/>
                <w:lang w:val="es-ES"/>
              </w:rPr>
              <w:t xml:space="preserve">. </w:t>
            </w:r>
          </w:p>
          <w:p w14:paraId="089313D1" w14:textId="77777777" w:rsidR="00F27918" w:rsidRPr="004768D0" w:rsidRDefault="003F5235"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Sin embargo, ese intento de reconocimiento fue hecho por primera vez recién el </w:t>
            </w:r>
            <w:r w:rsidR="00F27918" w:rsidRPr="004768D0">
              <w:rPr>
                <w:rFonts w:asciiTheme="majorHAnsi" w:hAnsiTheme="majorHAnsi"/>
                <w:color w:val="000000" w:themeColor="text1"/>
                <w:sz w:val="16"/>
                <w:szCs w:val="16"/>
                <w:lang w:val="es-ES"/>
              </w:rPr>
              <w:t xml:space="preserve">12 de </w:t>
            </w:r>
            <w:r w:rsidR="007F4608" w:rsidRPr="004768D0">
              <w:rPr>
                <w:rFonts w:asciiTheme="majorHAnsi" w:hAnsiTheme="majorHAnsi"/>
                <w:color w:val="000000" w:themeColor="text1"/>
                <w:sz w:val="16"/>
                <w:szCs w:val="16"/>
                <w:lang w:val="es-ES"/>
              </w:rPr>
              <w:t>marzo</w:t>
            </w:r>
            <w:r w:rsidR="00F27918" w:rsidRPr="004768D0">
              <w:rPr>
                <w:rFonts w:asciiTheme="majorHAnsi" w:hAnsiTheme="majorHAnsi"/>
                <w:color w:val="000000" w:themeColor="text1"/>
                <w:sz w:val="16"/>
                <w:szCs w:val="16"/>
                <w:lang w:val="es-ES"/>
              </w:rPr>
              <w:t xml:space="preserve"> de 2008, </w:t>
            </w:r>
            <w:r w:rsidRPr="004768D0">
              <w:rPr>
                <w:rFonts w:asciiTheme="majorHAnsi" w:hAnsiTheme="majorHAnsi"/>
                <w:color w:val="000000" w:themeColor="text1"/>
                <w:sz w:val="16"/>
                <w:szCs w:val="16"/>
                <w:lang w:val="es-ES"/>
              </w:rPr>
              <w:t xml:space="preserve">casi </w:t>
            </w:r>
            <w:r w:rsidR="00F27918" w:rsidRPr="004768D0">
              <w:rPr>
                <w:rFonts w:asciiTheme="majorHAnsi" w:hAnsiTheme="majorHAnsi"/>
                <w:color w:val="000000" w:themeColor="text1"/>
                <w:sz w:val="16"/>
                <w:szCs w:val="16"/>
                <w:lang w:val="es-ES"/>
              </w:rPr>
              <w:t xml:space="preserve">dos </w:t>
            </w:r>
            <w:r w:rsidR="000C0AC4" w:rsidRPr="004768D0">
              <w:rPr>
                <w:rFonts w:asciiTheme="majorHAnsi" w:hAnsiTheme="majorHAnsi"/>
                <w:color w:val="000000" w:themeColor="text1"/>
                <w:sz w:val="16"/>
                <w:szCs w:val="16"/>
                <w:lang w:val="es-ES"/>
              </w:rPr>
              <w:t>años</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después del</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homicidio</w:t>
            </w:r>
            <w:r w:rsidR="00F27918" w:rsidRPr="004768D0">
              <w:rPr>
                <w:rFonts w:asciiTheme="majorHAnsi" w:hAnsiTheme="majorHAnsi"/>
                <w:color w:val="000000" w:themeColor="text1"/>
                <w:sz w:val="16"/>
                <w:szCs w:val="16"/>
                <w:lang w:val="es-ES"/>
              </w:rPr>
              <w:t xml:space="preserve">. </w:t>
            </w:r>
            <w:r w:rsidR="00A07DD9" w:rsidRPr="004768D0">
              <w:rPr>
                <w:rFonts w:asciiTheme="majorHAnsi" w:hAnsiTheme="majorHAnsi"/>
                <w:color w:val="000000" w:themeColor="text1"/>
                <w:sz w:val="16"/>
                <w:szCs w:val="16"/>
                <w:lang w:val="es-ES"/>
              </w:rPr>
              <w:t>La parte peticionaria</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destacó</w:t>
            </w:r>
            <w:r w:rsidR="00F27918" w:rsidRPr="004768D0">
              <w:rPr>
                <w:rFonts w:asciiTheme="majorHAnsi" w:hAnsiTheme="majorHAnsi"/>
                <w:color w:val="000000" w:themeColor="text1"/>
                <w:sz w:val="16"/>
                <w:szCs w:val="16"/>
                <w:lang w:val="es-ES"/>
              </w:rPr>
              <w:t xml:space="preserve"> que</w:t>
            </w:r>
            <w:r w:rsidRPr="004768D0">
              <w:rPr>
                <w:rFonts w:asciiTheme="majorHAnsi" w:hAnsiTheme="majorHAnsi"/>
                <w:color w:val="000000" w:themeColor="text1"/>
                <w:sz w:val="16"/>
                <w:szCs w:val="16"/>
                <w:lang w:val="es-ES"/>
              </w:rPr>
              <w:t>, debido a</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l</w:t>
            </w:r>
            <w:r w:rsidR="00F27918" w:rsidRPr="004768D0">
              <w:rPr>
                <w:rFonts w:asciiTheme="majorHAnsi" w:hAnsiTheme="majorHAnsi"/>
                <w:color w:val="000000" w:themeColor="text1"/>
                <w:sz w:val="16"/>
                <w:szCs w:val="16"/>
                <w:lang w:val="es-ES"/>
              </w:rPr>
              <w:t xml:space="preserve">a demora </w:t>
            </w:r>
            <w:r w:rsidRPr="004768D0">
              <w:rPr>
                <w:rFonts w:asciiTheme="majorHAnsi" w:hAnsiTheme="majorHAnsi"/>
                <w:color w:val="000000" w:themeColor="text1"/>
                <w:sz w:val="16"/>
                <w:szCs w:val="16"/>
                <w:lang w:val="es-ES"/>
              </w:rPr>
              <w:t>e</w:t>
            </w:r>
            <w:r w:rsidR="00F27918"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lang w:val="es-ES"/>
              </w:rPr>
              <w:t xml:space="preserve"> l</w:t>
            </w:r>
            <w:r w:rsidR="00F27918" w:rsidRPr="004768D0">
              <w:rPr>
                <w:rFonts w:asciiTheme="majorHAnsi" w:hAnsiTheme="majorHAnsi"/>
                <w:color w:val="000000" w:themeColor="text1"/>
                <w:sz w:val="16"/>
                <w:szCs w:val="16"/>
                <w:lang w:val="es-ES"/>
              </w:rPr>
              <w:t xml:space="preserve">as </w:t>
            </w:r>
            <w:r w:rsidRPr="004768D0">
              <w:rPr>
                <w:rFonts w:asciiTheme="majorHAnsi" w:hAnsiTheme="majorHAnsi"/>
                <w:color w:val="000000" w:themeColor="text1"/>
                <w:sz w:val="16"/>
                <w:szCs w:val="16"/>
                <w:lang w:val="es-ES"/>
              </w:rPr>
              <w:t>diligencias, un</w:t>
            </w:r>
            <w:r w:rsidR="009A608A">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guardia </w:t>
            </w:r>
            <w:r w:rsidR="00F27918" w:rsidRPr="004768D0">
              <w:rPr>
                <w:rFonts w:asciiTheme="majorHAnsi" w:hAnsiTheme="majorHAnsi"/>
                <w:color w:val="000000" w:themeColor="text1"/>
                <w:sz w:val="16"/>
                <w:szCs w:val="16"/>
                <w:lang w:val="es-ES"/>
              </w:rPr>
              <w:t xml:space="preserve">de </w:t>
            </w:r>
            <w:r w:rsidR="00F41459" w:rsidRPr="004768D0">
              <w:rPr>
                <w:rFonts w:asciiTheme="majorHAnsi" w:hAnsiTheme="majorHAnsi"/>
                <w:color w:val="000000" w:themeColor="text1"/>
                <w:sz w:val="16"/>
                <w:szCs w:val="16"/>
                <w:lang w:val="es-ES"/>
              </w:rPr>
              <w:t>seguridad</w:t>
            </w:r>
            <w:r w:rsidR="00F27918" w:rsidRPr="004768D0">
              <w:rPr>
                <w:rFonts w:asciiTheme="majorHAnsi" w:hAnsiTheme="majorHAnsi"/>
                <w:color w:val="000000" w:themeColor="text1"/>
                <w:sz w:val="16"/>
                <w:szCs w:val="16"/>
                <w:lang w:val="es-ES"/>
              </w:rPr>
              <w:t xml:space="preserve"> que traba</w:t>
            </w:r>
            <w:r w:rsidRPr="004768D0">
              <w:rPr>
                <w:rFonts w:asciiTheme="majorHAnsi" w:hAnsiTheme="majorHAnsi"/>
                <w:color w:val="000000" w:themeColor="text1"/>
                <w:sz w:val="16"/>
                <w:szCs w:val="16"/>
                <w:lang w:val="es-ES"/>
              </w:rPr>
              <w:t xml:space="preserve">jaba en el lugar no prestó declaración porque en el ínterin se había ido de </w:t>
            </w:r>
            <w:r w:rsidR="00F27918" w:rsidRPr="004768D0">
              <w:rPr>
                <w:rFonts w:asciiTheme="majorHAnsi" w:hAnsiTheme="majorHAnsi"/>
                <w:color w:val="000000" w:themeColor="text1"/>
                <w:sz w:val="16"/>
                <w:szCs w:val="16"/>
                <w:lang w:val="es-ES"/>
              </w:rPr>
              <w:t xml:space="preserve">São Paulo </w:t>
            </w:r>
            <w:r w:rsidRPr="004768D0">
              <w:rPr>
                <w:rFonts w:asciiTheme="majorHAnsi" w:hAnsiTheme="majorHAnsi"/>
                <w:color w:val="000000" w:themeColor="text1"/>
                <w:sz w:val="16"/>
                <w:szCs w:val="16"/>
                <w:lang w:val="es-ES"/>
              </w:rPr>
              <w:t xml:space="preserve">y </w:t>
            </w:r>
            <w:r w:rsidR="00F27918" w:rsidRPr="004768D0">
              <w:rPr>
                <w:rFonts w:asciiTheme="majorHAnsi" w:hAnsiTheme="majorHAnsi"/>
                <w:color w:val="000000" w:themeColor="text1"/>
                <w:sz w:val="16"/>
                <w:szCs w:val="16"/>
                <w:lang w:val="es-ES"/>
              </w:rPr>
              <w:t xml:space="preserve">se </w:t>
            </w:r>
            <w:r w:rsidRPr="004768D0">
              <w:rPr>
                <w:rFonts w:asciiTheme="majorHAnsi" w:hAnsiTheme="majorHAnsi"/>
                <w:color w:val="000000" w:themeColor="text1"/>
                <w:sz w:val="16"/>
                <w:szCs w:val="16"/>
                <w:lang w:val="es-ES"/>
              </w:rPr>
              <w:t xml:space="preserve">había </w:t>
            </w:r>
            <w:r w:rsidR="00F27918" w:rsidRPr="004768D0">
              <w:rPr>
                <w:rFonts w:asciiTheme="majorHAnsi" w:hAnsiTheme="majorHAnsi"/>
                <w:color w:val="000000" w:themeColor="text1"/>
                <w:sz w:val="16"/>
                <w:szCs w:val="16"/>
                <w:lang w:val="es-ES"/>
              </w:rPr>
              <w:t>mudado a otro estado.</w:t>
            </w:r>
          </w:p>
          <w:p w14:paraId="0D6BFEEA" w14:textId="77777777" w:rsidR="00F27918" w:rsidRPr="004768D0" w:rsidRDefault="00323A46"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La</w:t>
            </w:r>
            <w:r w:rsidR="00F27918" w:rsidRPr="004768D0">
              <w:rPr>
                <w:rFonts w:asciiTheme="majorHAnsi" w:hAnsiTheme="majorHAnsi"/>
                <w:color w:val="000000" w:themeColor="text1"/>
                <w:sz w:val="16"/>
                <w:szCs w:val="16"/>
                <w:lang w:val="es-ES"/>
              </w:rPr>
              <w:t xml:space="preserve"> </w:t>
            </w:r>
            <w:r w:rsidR="007F4608" w:rsidRPr="004768D0">
              <w:rPr>
                <w:rFonts w:asciiTheme="majorHAnsi" w:hAnsiTheme="majorHAnsi"/>
                <w:color w:val="000000" w:themeColor="text1"/>
                <w:sz w:val="16"/>
                <w:szCs w:val="16"/>
                <w:lang w:val="es-ES"/>
              </w:rPr>
              <w:t>madre de</w:t>
            </w:r>
            <w:r w:rsidR="00F27918" w:rsidRPr="004768D0">
              <w:rPr>
                <w:rFonts w:asciiTheme="majorHAnsi" w:hAnsiTheme="majorHAnsi"/>
                <w:color w:val="000000" w:themeColor="text1"/>
                <w:sz w:val="16"/>
                <w:szCs w:val="16"/>
                <w:lang w:val="es-ES"/>
              </w:rPr>
              <w:t xml:space="preserve"> Edson, Débora Maria da Silva, </w:t>
            </w:r>
            <w:r w:rsidRPr="004768D0">
              <w:rPr>
                <w:rFonts w:asciiTheme="majorHAnsi" w:hAnsiTheme="majorHAnsi"/>
                <w:color w:val="000000" w:themeColor="text1"/>
                <w:sz w:val="16"/>
                <w:szCs w:val="16"/>
                <w:lang w:val="es-ES"/>
              </w:rPr>
              <w:t>afirmó</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a la</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Comisión</w:t>
            </w:r>
            <w:r w:rsidR="00F27918" w:rsidRPr="004768D0">
              <w:rPr>
                <w:rFonts w:asciiTheme="majorHAnsi" w:hAnsiTheme="majorHAnsi"/>
                <w:color w:val="000000" w:themeColor="text1"/>
                <w:sz w:val="16"/>
                <w:szCs w:val="16"/>
                <w:lang w:val="es-ES"/>
              </w:rPr>
              <w:t xml:space="preserve"> de Paz </w:t>
            </w:r>
            <w:r w:rsidRPr="004768D0">
              <w:rPr>
                <w:rFonts w:asciiTheme="majorHAnsi" w:hAnsiTheme="majorHAnsi"/>
                <w:color w:val="000000" w:themeColor="text1"/>
                <w:sz w:val="16"/>
                <w:szCs w:val="16"/>
                <w:lang w:val="es-ES"/>
              </w:rPr>
              <w:t>y</w:t>
            </w:r>
            <w:r w:rsidR="00F27918" w:rsidRPr="004768D0">
              <w:rPr>
                <w:rFonts w:asciiTheme="majorHAnsi" w:hAnsiTheme="majorHAnsi"/>
                <w:color w:val="000000" w:themeColor="text1"/>
                <w:sz w:val="16"/>
                <w:szCs w:val="16"/>
                <w:lang w:val="es-ES"/>
              </w:rPr>
              <w:t xml:space="preserve"> </w:t>
            </w:r>
            <w:r w:rsidR="00C65DE2" w:rsidRPr="004768D0">
              <w:rPr>
                <w:rFonts w:asciiTheme="majorHAnsi" w:hAnsiTheme="majorHAnsi"/>
                <w:color w:val="000000" w:themeColor="text1"/>
                <w:sz w:val="16"/>
                <w:szCs w:val="16"/>
                <w:lang w:val="es-ES"/>
              </w:rPr>
              <w:t>Justicia</w:t>
            </w:r>
            <w:r w:rsidR="00F27918" w:rsidRPr="004768D0">
              <w:rPr>
                <w:rFonts w:asciiTheme="majorHAnsi" w:hAnsiTheme="majorHAnsi"/>
                <w:color w:val="000000" w:themeColor="text1"/>
                <w:sz w:val="16"/>
                <w:szCs w:val="16"/>
                <w:lang w:val="es-ES"/>
              </w:rPr>
              <w:t xml:space="preserve"> de São Paulo que Edson f</w:t>
            </w:r>
            <w:r w:rsidRPr="004768D0">
              <w:rPr>
                <w:rFonts w:asciiTheme="majorHAnsi" w:hAnsiTheme="majorHAnsi"/>
                <w:color w:val="000000" w:themeColor="text1"/>
                <w:sz w:val="16"/>
                <w:szCs w:val="16"/>
                <w:lang w:val="es-ES"/>
              </w:rPr>
              <w:t>ue</w:t>
            </w:r>
            <w:r w:rsidR="00F27918" w:rsidRPr="004768D0">
              <w:rPr>
                <w:rFonts w:asciiTheme="majorHAnsi" w:hAnsiTheme="majorHAnsi"/>
                <w:color w:val="000000" w:themeColor="text1"/>
                <w:sz w:val="16"/>
                <w:szCs w:val="16"/>
                <w:lang w:val="es-ES"/>
              </w:rPr>
              <w:t xml:space="preserve"> abordado </w:t>
            </w:r>
            <w:r w:rsidRPr="004768D0">
              <w:rPr>
                <w:rFonts w:asciiTheme="majorHAnsi" w:hAnsiTheme="majorHAnsi"/>
                <w:color w:val="000000" w:themeColor="text1"/>
                <w:sz w:val="16"/>
                <w:szCs w:val="16"/>
                <w:lang w:val="es-ES"/>
              </w:rPr>
              <w:t>cerca de la gasolinera</w:t>
            </w:r>
            <w:r w:rsidR="00F27918" w:rsidRPr="004768D0">
              <w:rPr>
                <w:rFonts w:asciiTheme="majorHAnsi" w:hAnsiTheme="majorHAnsi"/>
                <w:color w:val="000000" w:themeColor="text1"/>
                <w:sz w:val="16"/>
                <w:szCs w:val="16"/>
                <w:lang w:val="es-ES"/>
              </w:rPr>
              <w:t xml:space="preserve"> por d</w:t>
            </w:r>
            <w:r w:rsidRPr="004768D0">
              <w:rPr>
                <w:rFonts w:asciiTheme="majorHAnsi" w:hAnsiTheme="majorHAnsi"/>
                <w:color w:val="000000" w:themeColor="text1"/>
                <w:sz w:val="16"/>
                <w:szCs w:val="16"/>
                <w:lang w:val="es-ES"/>
              </w:rPr>
              <w:t xml:space="preserve">os vehículos policiales y que </w:t>
            </w:r>
            <w:r w:rsidR="00F27918" w:rsidRPr="004768D0">
              <w:rPr>
                <w:rFonts w:asciiTheme="majorHAnsi" w:hAnsiTheme="majorHAnsi"/>
                <w:color w:val="000000" w:themeColor="text1"/>
                <w:sz w:val="16"/>
                <w:szCs w:val="16"/>
                <w:lang w:val="es-ES"/>
              </w:rPr>
              <w:t xml:space="preserve">otro </w:t>
            </w:r>
            <w:r w:rsidRPr="004768D0">
              <w:rPr>
                <w:rFonts w:asciiTheme="majorHAnsi" w:hAnsiTheme="majorHAnsi"/>
                <w:color w:val="000000" w:themeColor="text1"/>
                <w:sz w:val="16"/>
                <w:szCs w:val="16"/>
                <w:lang w:val="es-ES"/>
              </w:rPr>
              <w:t xml:space="preserve">empleado de la gasolinera presenció los </w:t>
            </w:r>
            <w:r w:rsidR="000C0AC4" w:rsidRPr="004768D0">
              <w:rPr>
                <w:rFonts w:asciiTheme="majorHAnsi" w:hAnsiTheme="majorHAnsi"/>
                <w:color w:val="000000" w:themeColor="text1"/>
                <w:sz w:val="16"/>
                <w:szCs w:val="16"/>
                <w:lang w:val="es-ES"/>
              </w:rPr>
              <w:t>hechos</w:t>
            </w:r>
            <w:r w:rsidR="00F27918" w:rsidRPr="004768D0">
              <w:rPr>
                <w:rFonts w:asciiTheme="majorHAnsi" w:hAnsiTheme="majorHAnsi"/>
                <w:color w:val="000000" w:themeColor="text1"/>
                <w:sz w:val="16"/>
                <w:szCs w:val="16"/>
                <w:lang w:val="es-ES"/>
              </w:rPr>
              <w:t xml:space="preserve">. </w:t>
            </w:r>
            <w:r w:rsidR="000E19DC" w:rsidRPr="004768D0">
              <w:rPr>
                <w:rFonts w:asciiTheme="majorHAnsi" w:hAnsiTheme="majorHAnsi"/>
                <w:color w:val="000000" w:themeColor="text1"/>
                <w:sz w:val="16"/>
                <w:szCs w:val="16"/>
                <w:lang w:val="es-ES"/>
              </w:rPr>
              <w:t xml:space="preserve">Relató </w:t>
            </w:r>
            <w:r w:rsidR="00F27918" w:rsidRPr="004768D0">
              <w:rPr>
                <w:rFonts w:asciiTheme="majorHAnsi" w:hAnsiTheme="majorHAnsi"/>
                <w:color w:val="000000" w:themeColor="text1"/>
                <w:sz w:val="16"/>
                <w:szCs w:val="16"/>
                <w:lang w:val="es-ES"/>
              </w:rPr>
              <w:t>que Ricardo (</w:t>
            </w:r>
            <w:r w:rsidR="000E19DC" w:rsidRPr="004768D0">
              <w:rPr>
                <w:rFonts w:asciiTheme="majorHAnsi" w:hAnsiTheme="majorHAnsi"/>
                <w:color w:val="000000" w:themeColor="text1"/>
                <w:sz w:val="16"/>
                <w:szCs w:val="16"/>
                <w:lang w:val="es-ES"/>
              </w:rPr>
              <w:t>el</w:t>
            </w:r>
            <w:r w:rsidR="00F27918" w:rsidRPr="004768D0">
              <w:rPr>
                <w:rFonts w:asciiTheme="majorHAnsi" w:hAnsiTheme="majorHAnsi"/>
                <w:color w:val="000000" w:themeColor="text1"/>
                <w:sz w:val="16"/>
                <w:szCs w:val="16"/>
                <w:lang w:val="es-ES"/>
              </w:rPr>
              <w:t xml:space="preserve"> amigo que </w:t>
            </w:r>
            <w:r w:rsidR="000E19DC" w:rsidRPr="004768D0">
              <w:rPr>
                <w:rFonts w:asciiTheme="majorHAnsi" w:hAnsiTheme="majorHAnsi"/>
                <w:color w:val="000000" w:themeColor="text1"/>
                <w:sz w:val="16"/>
                <w:szCs w:val="16"/>
                <w:lang w:val="es-ES"/>
              </w:rPr>
              <w:t>estaba</w:t>
            </w:r>
            <w:r w:rsidR="00F27918" w:rsidRPr="004768D0">
              <w:rPr>
                <w:rFonts w:asciiTheme="majorHAnsi" w:hAnsiTheme="majorHAnsi"/>
                <w:color w:val="000000" w:themeColor="text1"/>
                <w:sz w:val="16"/>
                <w:szCs w:val="16"/>
                <w:lang w:val="es-ES"/>
              </w:rPr>
              <w:t xml:space="preserve"> </w:t>
            </w:r>
            <w:r w:rsidR="000E19DC" w:rsidRPr="004768D0">
              <w:rPr>
                <w:rFonts w:asciiTheme="majorHAnsi" w:hAnsiTheme="majorHAnsi"/>
                <w:color w:val="000000" w:themeColor="text1"/>
                <w:sz w:val="16"/>
                <w:szCs w:val="16"/>
                <w:lang w:val="es-ES"/>
              </w:rPr>
              <w:t>con</w:t>
            </w:r>
            <w:r w:rsidR="00F27918" w:rsidRPr="004768D0">
              <w:rPr>
                <w:rFonts w:asciiTheme="majorHAnsi" w:hAnsiTheme="majorHAnsi"/>
                <w:color w:val="000000" w:themeColor="text1"/>
                <w:sz w:val="16"/>
                <w:szCs w:val="16"/>
                <w:lang w:val="es-ES"/>
              </w:rPr>
              <w:t xml:space="preserve"> Edson) l</w:t>
            </w:r>
            <w:r w:rsidR="000E19DC" w:rsidRPr="004768D0">
              <w:rPr>
                <w:rFonts w:asciiTheme="majorHAnsi" w:hAnsiTheme="majorHAnsi"/>
                <w:color w:val="000000" w:themeColor="text1"/>
                <w:sz w:val="16"/>
                <w:szCs w:val="16"/>
                <w:lang w:val="es-ES"/>
              </w:rPr>
              <w:t xml:space="preserve">e había contado en el velatorio que, </w:t>
            </w:r>
            <w:r w:rsidR="00F27918" w:rsidRPr="004768D0">
              <w:rPr>
                <w:rFonts w:asciiTheme="majorHAnsi" w:hAnsiTheme="majorHAnsi"/>
                <w:color w:val="000000" w:themeColor="text1"/>
                <w:sz w:val="16"/>
                <w:szCs w:val="16"/>
                <w:lang w:val="es-ES"/>
              </w:rPr>
              <w:t xml:space="preserve">durante </w:t>
            </w:r>
            <w:r w:rsidR="000E19DC" w:rsidRPr="004768D0">
              <w:rPr>
                <w:rFonts w:asciiTheme="majorHAnsi" w:hAnsiTheme="majorHAnsi"/>
                <w:color w:val="000000" w:themeColor="text1"/>
                <w:sz w:val="16"/>
                <w:szCs w:val="16"/>
                <w:lang w:val="es-ES"/>
              </w:rPr>
              <w:t xml:space="preserve">la interceptación policial en la estación de servicio, los agentes los golpearon y le dijeron a </w:t>
            </w:r>
            <w:r w:rsidR="00F27918" w:rsidRPr="004768D0">
              <w:rPr>
                <w:rFonts w:asciiTheme="majorHAnsi" w:hAnsiTheme="majorHAnsi"/>
                <w:color w:val="000000" w:themeColor="text1"/>
                <w:sz w:val="16"/>
                <w:szCs w:val="16"/>
                <w:lang w:val="es-ES"/>
              </w:rPr>
              <w:t xml:space="preserve">Edson: </w:t>
            </w:r>
            <w:r w:rsidR="004744F0" w:rsidRPr="004768D0">
              <w:rPr>
                <w:rFonts w:asciiTheme="majorHAnsi" w:hAnsiTheme="majorHAnsi"/>
                <w:color w:val="000000" w:themeColor="text1"/>
                <w:sz w:val="16"/>
                <w:szCs w:val="16"/>
                <w:lang w:val="es-ES"/>
              </w:rPr>
              <w:t>“</w:t>
            </w:r>
            <w:r w:rsidR="000E19DC" w:rsidRPr="004768D0">
              <w:rPr>
                <w:rFonts w:asciiTheme="majorHAnsi" w:hAnsiTheme="majorHAnsi"/>
                <w:color w:val="000000" w:themeColor="text1"/>
                <w:sz w:val="16"/>
                <w:szCs w:val="16"/>
                <w:lang w:val="es-ES"/>
              </w:rPr>
              <w:t>Eres ladrón</w:t>
            </w:r>
            <w:r w:rsidR="00803E0D">
              <w:rPr>
                <w:rFonts w:asciiTheme="majorHAnsi" w:hAnsiTheme="majorHAnsi"/>
                <w:color w:val="000000" w:themeColor="text1"/>
                <w:sz w:val="16"/>
                <w:szCs w:val="16"/>
                <w:lang w:val="es-ES"/>
              </w:rPr>
              <w:t>; estás muerto</w:t>
            </w:r>
            <w:r w:rsidR="004744F0" w:rsidRPr="004768D0">
              <w:rPr>
                <w:rFonts w:asciiTheme="majorHAnsi" w:hAnsiTheme="majorHAnsi"/>
                <w:color w:val="000000" w:themeColor="text1"/>
                <w:sz w:val="16"/>
                <w:szCs w:val="16"/>
                <w:lang w:val="es-ES"/>
              </w:rPr>
              <w:t>”</w:t>
            </w:r>
            <w:r w:rsidR="00F27918" w:rsidRPr="004768D0">
              <w:rPr>
                <w:rFonts w:asciiTheme="majorHAnsi" w:hAnsiTheme="majorHAnsi"/>
                <w:color w:val="000000" w:themeColor="text1"/>
                <w:sz w:val="16"/>
                <w:szCs w:val="16"/>
                <w:lang w:val="es-ES"/>
              </w:rPr>
              <w:t xml:space="preserve"> </w:t>
            </w:r>
            <w:r w:rsidR="000E19DC" w:rsidRPr="004768D0">
              <w:rPr>
                <w:rFonts w:asciiTheme="majorHAnsi" w:hAnsiTheme="majorHAnsi"/>
                <w:color w:val="000000" w:themeColor="text1"/>
                <w:sz w:val="16"/>
                <w:szCs w:val="16"/>
                <w:lang w:val="es-ES"/>
              </w:rPr>
              <w:t xml:space="preserve">después de </w:t>
            </w:r>
            <w:r w:rsidR="00F27918" w:rsidRPr="004768D0">
              <w:rPr>
                <w:rFonts w:asciiTheme="majorHAnsi" w:hAnsiTheme="majorHAnsi"/>
                <w:color w:val="000000" w:themeColor="text1"/>
                <w:sz w:val="16"/>
                <w:szCs w:val="16"/>
                <w:lang w:val="es-ES"/>
              </w:rPr>
              <w:t>confirmar que t</w:t>
            </w:r>
            <w:r w:rsidR="000E19DC" w:rsidRPr="004768D0">
              <w:rPr>
                <w:rFonts w:asciiTheme="majorHAnsi" w:hAnsiTheme="majorHAnsi"/>
                <w:color w:val="000000" w:themeColor="text1"/>
                <w:sz w:val="16"/>
                <w:szCs w:val="16"/>
                <w:lang w:val="es-ES"/>
              </w:rPr>
              <w:t>enía</w:t>
            </w:r>
            <w:r w:rsidR="00F27918" w:rsidRPr="004768D0">
              <w:rPr>
                <w:rFonts w:asciiTheme="majorHAnsi" w:hAnsiTheme="majorHAnsi"/>
                <w:color w:val="000000" w:themeColor="text1"/>
                <w:sz w:val="16"/>
                <w:szCs w:val="16"/>
                <w:lang w:val="es-ES"/>
              </w:rPr>
              <w:t xml:space="preserve"> </w:t>
            </w:r>
            <w:r w:rsidR="00207ECC" w:rsidRPr="004768D0">
              <w:rPr>
                <w:rFonts w:asciiTheme="majorHAnsi" w:hAnsiTheme="majorHAnsi"/>
                <w:color w:val="000000" w:themeColor="text1"/>
                <w:sz w:val="16"/>
                <w:szCs w:val="16"/>
                <w:lang w:val="es-ES"/>
              </w:rPr>
              <w:t>antecedentes penales</w:t>
            </w:r>
            <w:r w:rsidR="00F27918" w:rsidRPr="004768D0">
              <w:rPr>
                <w:rFonts w:asciiTheme="majorHAnsi" w:hAnsiTheme="majorHAnsi"/>
                <w:color w:val="000000" w:themeColor="text1"/>
                <w:sz w:val="16"/>
                <w:szCs w:val="16"/>
                <w:lang w:val="es-ES"/>
              </w:rPr>
              <w:t xml:space="preserve">. </w:t>
            </w:r>
            <w:r w:rsidR="000E19DC" w:rsidRPr="004768D0">
              <w:rPr>
                <w:rFonts w:asciiTheme="majorHAnsi" w:hAnsiTheme="majorHAnsi"/>
                <w:color w:val="000000" w:themeColor="text1"/>
                <w:sz w:val="16"/>
                <w:szCs w:val="16"/>
                <w:lang w:val="es-ES"/>
              </w:rPr>
              <w:t>Informó</w:t>
            </w:r>
            <w:r w:rsidR="00F27918" w:rsidRPr="004768D0">
              <w:rPr>
                <w:rFonts w:asciiTheme="majorHAnsi" w:hAnsiTheme="majorHAnsi"/>
                <w:color w:val="000000" w:themeColor="text1"/>
                <w:sz w:val="16"/>
                <w:szCs w:val="16"/>
                <w:lang w:val="es-ES"/>
              </w:rPr>
              <w:t xml:space="preserve"> </w:t>
            </w:r>
            <w:r w:rsidR="000E19DC" w:rsidRPr="004768D0">
              <w:rPr>
                <w:rFonts w:asciiTheme="majorHAnsi" w:hAnsiTheme="majorHAnsi"/>
                <w:color w:val="000000" w:themeColor="text1"/>
                <w:sz w:val="16"/>
                <w:szCs w:val="16"/>
                <w:lang w:val="es-ES"/>
              </w:rPr>
              <w:t>también</w:t>
            </w:r>
            <w:r w:rsidR="00F27918" w:rsidRPr="004768D0">
              <w:rPr>
                <w:rFonts w:asciiTheme="majorHAnsi" w:hAnsiTheme="majorHAnsi"/>
                <w:color w:val="000000" w:themeColor="text1"/>
                <w:sz w:val="16"/>
                <w:szCs w:val="16"/>
                <w:lang w:val="es-ES"/>
              </w:rPr>
              <w:t xml:space="preserve"> que </w:t>
            </w:r>
            <w:r w:rsidR="000E19DC" w:rsidRPr="004768D0">
              <w:rPr>
                <w:rFonts w:asciiTheme="majorHAnsi" w:hAnsiTheme="majorHAnsi"/>
                <w:color w:val="000000" w:themeColor="text1"/>
                <w:sz w:val="16"/>
                <w:szCs w:val="16"/>
                <w:lang w:val="es-ES"/>
              </w:rPr>
              <w:t>un</w:t>
            </w:r>
            <w:r w:rsidR="00F27918" w:rsidRPr="004768D0">
              <w:rPr>
                <w:rFonts w:asciiTheme="majorHAnsi" w:hAnsiTheme="majorHAnsi"/>
                <w:color w:val="000000" w:themeColor="text1"/>
                <w:sz w:val="16"/>
                <w:szCs w:val="16"/>
                <w:lang w:val="es-ES"/>
              </w:rPr>
              <w:t xml:space="preserve"> morador d</w:t>
            </w:r>
            <w:r w:rsidR="000E19DC" w:rsidRPr="004768D0">
              <w:rPr>
                <w:rFonts w:asciiTheme="majorHAnsi" w:hAnsiTheme="majorHAnsi"/>
                <w:color w:val="000000" w:themeColor="text1"/>
                <w:sz w:val="16"/>
                <w:szCs w:val="16"/>
                <w:lang w:val="es-ES"/>
              </w:rPr>
              <w:t>el</w:t>
            </w:r>
            <w:r w:rsidR="00F27918" w:rsidRPr="004768D0">
              <w:rPr>
                <w:rFonts w:asciiTheme="majorHAnsi" w:hAnsiTheme="majorHAnsi"/>
                <w:color w:val="000000" w:themeColor="text1"/>
                <w:sz w:val="16"/>
                <w:szCs w:val="16"/>
                <w:lang w:val="es-ES"/>
              </w:rPr>
              <w:t xml:space="preserve"> Conjunto Residencial Nova Cintra </w:t>
            </w:r>
            <w:r w:rsidR="000E19DC" w:rsidRPr="004768D0">
              <w:rPr>
                <w:rFonts w:asciiTheme="majorHAnsi" w:hAnsiTheme="majorHAnsi"/>
                <w:color w:val="000000" w:themeColor="text1"/>
                <w:sz w:val="16"/>
                <w:szCs w:val="16"/>
                <w:lang w:val="es-ES"/>
              </w:rPr>
              <w:t xml:space="preserve">llamó al </w:t>
            </w:r>
            <w:r w:rsidR="00F27918" w:rsidRPr="004768D0">
              <w:rPr>
                <w:rFonts w:asciiTheme="majorHAnsi" w:hAnsiTheme="majorHAnsi"/>
                <w:color w:val="000000" w:themeColor="text1"/>
                <w:sz w:val="16"/>
                <w:szCs w:val="16"/>
                <w:lang w:val="es-ES"/>
              </w:rPr>
              <w:t xml:space="preserve">COPOM </w:t>
            </w:r>
            <w:r w:rsidR="000E19DC" w:rsidRPr="004768D0">
              <w:rPr>
                <w:rFonts w:asciiTheme="majorHAnsi" w:hAnsiTheme="majorHAnsi"/>
                <w:color w:val="000000" w:themeColor="text1"/>
                <w:sz w:val="16"/>
                <w:szCs w:val="16"/>
                <w:lang w:val="es-ES"/>
              </w:rPr>
              <w:t xml:space="preserve">cuando oyó los disparos, que </w:t>
            </w:r>
            <w:r w:rsidR="00F27918" w:rsidRPr="004768D0">
              <w:rPr>
                <w:rFonts w:asciiTheme="majorHAnsi" w:hAnsiTheme="majorHAnsi"/>
                <w:color w:val="000000" w:themeColor="text1"/>
                <w:sz w:val="16"/>
                <w:szCs w:val="16"/>
                <w:lang w:val="es-ES"/>
              </w:rPr>
              <w:t xml:space="preserve">ese morador </w:t>
            </w:r>
            <w:r w:rsidR="000E19DC" w:rsidRPr="004768D0">
              <w:rPr>
                <w:rFonts w:asciiTheme="majorHAnsi" w:hAnsiTheme="majorHAnsi"/>
                <w:color w:val="000000" w:themeColor="text1"/>
                <w:sz w:val="16"/>
                <w:szCs w:val="16"/>
                <w:lang w:val="es-ES"/>
              </w:rPr>
              <w:t>se habría acercado al cuerpo y habría visto casquillos de bala</w:t>
            </w:r>
            <w:r w:rsidR="00F27918" w:rsidRPr="004768D0">
              <w:rPr>
                <w:rFonts w:asciiTheme="majorHAnsi" w:hAnsiTheme="majorHAnsi"/>
                <w:color w:val="000000" w:themeColor="text1"/>
                <w:sz w:val="16"/>
                <w:szCs w:val="16"/>
                <w:lang w:val="es-ES"/>
              </w:rPr>
              <w:t xml:space="preserve"> </w:t>
            </w:r>
            <w:r w:rsidR="000E19DC" w:rsidRPr="004768D0">
              <w:rPr>
                <w:rFonts w:asciiTheme="majorHAnsi" w:hAnsiTheme="majorHAnsi"/>
                <w:color w:val="000000" w:themeColor="text1"/>
                <w:sz w:val="16"/>
                <w:szCs w:val="16"/>
                <w:lang w:val="es-ES"/>
              </w:rPr>
              <w:t>calibre</w:t>
            </w:r>
            <w:r w:rsidR="00F27918" w:rsidRPr="004768D0">
              <w:rPr>
                <w:rFonts w:asciiTheme="majorHAnsi" w:hAnsiTheme="majorHAnsi"/>
                <w:color w:val="000000" w:themeColor="text1"/>
                <w:sz w:val="16"/>
                <w:szCs w:val="16"/>
                <w:lang w:val="es-ES"/>
              </w:rPr>
              <w:t xml:space="preserve"> .380 </w:t>
            </w:r>
            <w:r w:rsidR="000E19DC" w:rsidRPr="004768D0">
              <w:rPr>
                <w:rFonts w:asciiTheme="majorHAnsi" w:hAnsiTheme="majorHAnsi"/>
                <w:color w:val="000000" w:themeColor="text1"/>
                <w:sz w:val="16"/>
                <w:szCs w:val="16"/>
                <w:lang w:val="es-ES"/>
              </w:rPr>
              <w:t xml:space="preserve">y que también habría levantado la </w:t>
            </w:r>
            <w:r w:rsidR="00F27918" w:rsidRPr="004768D0">
              <w:rPr>
                <w:rFonts w:asciiTheme="majorHAnsi" w:hAnsiTheme="majorHAnsi"/>
                <w:color w:val="000000" w:themeColor="text1"/>
                <w:sz w:val="16"/>
                <w:szCs w:val="16"/>
                <w:lang w:val="es-ES"/>
              </w:rPr>
              <w:t>moto</w:t>
            </w:r>
            <w:r w:rsidR="000E19DC" w:rsidRPr="004768D0">
              <w:rPr>
                <w:rFonts w:asciiTheme="majorHAnsi" w:hAnsiTheme="majorHAnsi"/>
                <w:color w:val="000000" w:themeColor="text1"/>
                <w:sz w:val="16"/>
                <w:szCs w:val="16"/>
                <w:lang w:val="es-ES"/>
              </w:rPr>
              <w:t xml:space="preserve"> y observado que </w:t>
            </w:r>
            <w:r w:rsidR="00803E0D">
              <w:rPr>
                <w:rFonts w:asciiTheme="majorHAnsi" w:hAnsiTheme="majorHAnsi"/>
                <w:color w:val="000000" w:themeColor="text1"/>
                <w:sz w:val="16"/>
                <w:szCs w:val="16"/>
                <w:lang w:val="es-ES"/>
              </w:rPr>
              <w:t>le quedaba</w:t>
            </w:r>
            <w:r w:rsidR="000E19DC" w:rsidRPr="004768D0">
              <w:rPr>
                <w:rFonts w:asciiTheme="majorHAnsi" w:hAnsiTheme="majorHAnsi"/>
                <w:color w:val="000000" w:themeColor="text1"/>
                <w:sz w:val="16"/>
                <w:szCs w:val="16"/>
                <w:lang w:val="es-ES"/>
              </w:rPr>
              <w:t xml:space="preserve"> un poco de </w:t>
            </w:r>
            <w:r w:rsidR="00F27918" w:rsidRPr="004768D0">
              <w:rPr>
                <w:rFonts w:asciiTheme="majorHAnsi" w:hAnsiTheme="majorHAnsi"/>
                <w:color w:val="000000" w:themeColor="text1"/>
                <w:sz w:val="16"/>
                <w:szCs w:val="16"/>
                <w:lang w:val="es-ES"/>
              </w:rPr>
              <w:t xml:space="preserve">gasolina. </w:t>
            </w:r>
            <w:r w:rsidR="000E19DC" w:rsidRPr="004768D0">
              <w:rPr>
                <w:rFonts w:asciiTheme="majorHAnsi" w:hAnsiTheme="majorHAnsi"/>
                <w:color w:val="000000" w:themeColor="text1"/>
                <w:sz w:val="16"/>
                <w:szCs w:val="16"/>
                <w:lang w:val="es-ES"/>
              </w:rPr>
              <w:t xml:space="preserve">Sin embargo, ese </w:t>
            </w:r>
            <w:r w:rsidR="00F27918" w:rsidRPr="004768D0">
              <w:rPr>
                <w:rFonts w:asciiTheme="majorHAnsi" w:hAnsiTheme="majorHAnsi"/>
                <w:color w:val="000000" w:themeColor="text1"/>
                <w:sz w:val="16"/>
                <w:szCs w:val="16"/>
                <w:lang w:val="es-ES"/>
              </w:rPr>
              <w:t>morador</w:t>
            </w:r>
            <w:r w:rsidR="000E19DC" w:rsidRPr="004768D0">
              <w:rPr>
                <w:rFonts w:asciiTheme="majorHAnsi" w:hAnsiTheme="majorHAnsi"/>
                <w:color w:val="000000" w:themeColor="text1"/>
                <w:sz w:val="16"/>
                <w:szCs w:val="16"/>
                <w:lang w:val="es-ES"/>
              </w:rPr>
              <w:t xml:space="preserve"> no fue llamado a prestar declaración durante la </w:t>
            </w:r>
            <w:r w:rsidR="00C03E33" w:rsidRPr="004768D0">
              <w:rPr>
                <w:rFonts w:asciiTheme="majorHAnsi" w:hAnsiTheme="majorHAnsi"/>
                <w:color w:val="000000" w:themeColor="text1"/>
                <w:sz w:val="16"/>
                <w:szCs w:val="16"/>
                <w:lang w:val="es-ES"/>
              </w:rPr>
              <w:t>investigación</w:t>
            </w:r>
            <w:r w:rsidR="00F27918" w:rsidRPr="004768D0">
              <w:rPr>
                <w:rFonts w:asciiTheme="majorHAnsi" w:hAnsiTheme="majorHAnsi"/>
                <w:color w:val="000000" w:themeColor="text1"/>
                <w:sz w:val="16"/>
                <w:szCs w:val="16"/>
                <w:lang w:val="es-ES"/>
              </w:rPr>
              <w:t xml:space="preserve">. </w:t>
            </w:r>
            <w:r w:rsidR="00803E0D">
              <w:rPr>
                <w:rFonts w:asciiTheme="majorHAnsi" w:hAnsiTheme="majorHAnsi"/>
                <w:color w:val="000000" w:themeColor="text1"/>
                <w:sz w:val="16"/>
                <w:szCs w:val="16"/>
                <w:lang w:val="es-ES"/>
              </w:rPr>
              <w:t xml:space="preserve">Agregó </w:t>
            </w:r>
            <w:r w:rsidR="00F27918" w:rsidRPr="004768D0">
              <w:rPr>
                <w:rFonts w:asciiTheme="majorHAnsi" w:hAnsiTheme="majorHAnsi"/>
                <w:color w:val="000000" w:themeColor="text1"/>
                <w:sz w:val="16"/>
                <w:szCs w:val="16"/>
                <w:lang w:val="es-ES"/>
              </w:rPr>
              <w:t xml:space="preserve">que, durante </w:t>
            </w:r>
            <w:r w:rsidR="000E19DC" w:rsidRPr="004768D0">
              <w:rPr>
                <w:rFonts w:asciiTheme="majorHAnsi" w:hAnsiTheme="majorHAnsi"/>
                <w:color w:val="000000" w:themeColor="text1"/>
                <w:sz w:val="16"/>
                <w:szCs w:val="16"/>
                <w:lang w:val="es-ES"/>
              </w:rPr>
              <w:t>el</w:t>
            </w:r>
            <w:r w:rsidR="00F27918" w:rsidRPr="004768D0">
              <w:rPr>
                <w:rFonts w:asciiTheme="majorHAnsi" w:hAnsiTheme="majorHAnsi"/>
                <w:color w:val="000000" w:themeColor="text1"/>
                <w:sz w:val="16"/>
                <w:szCs w:val="16"/>
                <w:lang w:val="es-ES"/>
              </w:rPr>
              <w:t xml:space="preserve"> vel</w:t>
            </w:r>
            <w:r w:rsidR="000E19DC" w:rsidRPr="004768D0">
              <w:rPr>
                <w:rFonts w:asciiTheme="majorHAnsi" w:hAnsiTheme="majorHAnsi"/>
                <w:color w:val="000000" w:themeColor="text1"/>
                <w:sz w:val="16"/>
                <w:szCs w:val="16"/>
                <w:lang w:val="es-ES"/>
              </w:rPr>
              <w:t xml:space="preserve">atorio, varios </w:t>
            </w:r>
            <w:r w:rsidR="00373E5F" w:rsidRPr="004768D0">
              <w:rPr>
                <w:rFonts w:asciiTheme="majorHAnsi" w:hAnsiTheme="majorHAnsi"/>
                <w:color w:val="000000" w:themeColor="text1"/>
                <w:sz w:val="16"/>
                <w:szCs w:val="16"/>
                <w:lang w:val="es-ES"/>
              </w:rPr>
              <w:t>vehículos policiales</w:t>
            </w:r>
            <w:r w:rsidR="00F27918" w:rsidRPr="004768D0">
              <w:rPr>
                <w:rFonts w:asciiTheme="majorHAnsi" w:hAnsiTheme="majorHAnsi"/>
                <w:color w:val="000000" w:themeColor="text1"/>
                <w:sz w:val="16"/>
                <w:szCs w:val="16"/>
                <w:lang w:val="es-ES"/>
              </w:rPr>
              <w:t xml:space="preserve"> </w:t>
            </w:r>
            <w:r w:rsidR="00323D9D" w:rsidRPr="004768D0">
              <w:rPr>
                <w:rFonts w:asciiTheme="majorHAnsi" w:hAnsiTheme="majorHAnsi"/>
                <w:color w:val="000000" w:themeColor="text1"/>
                <w:sz w:val="16"/>
                <w:szCs w:val="16"/>
                <w:lang w:val="es-ES"/>
              </w:rPr>
              <w:t xml:space="preserve">pasaron repetidas veces frente el lugar a gran velocidad, haciendo chirriar los neumáticos. También había un </w:t>
            </w:r>
            <w:r w:rsidR="00F27918" w:rsidRPr="004768D0">
              <w:rPr>
                <w:rFonts w:asciiTheme="majorHAnsi" w:hAnsiTheme="majorHAnsi"/>
                <w:color w:val="000000" w:themeColor="text1"/>
                <w:sz w:val="16"/>
                <w:szCs w:val="16"/>
                <w:lang w:val="es-ES"/>
              </w:rPr>
              <w:t xml:space="preserve">Marea </w:t>
            </w:r>
            <w:r w:rsidR="006062C8" w:rsidRPr="004768D0">
              <w:rPr>
                <w:rFonts w:asciiTheme="majorHAnsi" w:hAnsiTheme="majorHAnsi"/>
                <w:color w:val="000000" w:themeColor="text1"/>
                <w:sz w:val="16"/>
                <w:szCs w:val="16"/>
                <w:lang w:val="es-ES"/>
              </w:rPr>
              <w:t>negro</w:t>
            </w:r>
            <w:r w:rsidR="00F27918" w:rsidRPr="004768D0">
              <w:rPr>
                <w:rFonts w:asciiTheme="majorHAnsi" w:hAnsiTheme="majorHAnsi"/>
                <w:color w:val="000000" w:themeColor="text1"/>
                <w:sz w:val="16"/>
                <w:szCs w:val="16"/>
                <w:lang w:val="es-ES"/>
              </w:rPr>
              <w:t xml:space="preserve"> estacionado </w:t>
            </w:r>
            <w:r w:rsidR="00323D9D" w:rsidRPr="004768D0">
              <w:rPr>
                <w:rFonts w:asciiTheme="majorHAnsi" w:hAnsiTheme="majorHAnsi"/>
                <w:color w:val="000000" w:themeColor="text1"/>
                <w:sz w:val="16"/>
                <w:szCs w:val="16"/>
                <w:lang w:val="es-ES"/>
              </w:rPr>
              <w:t>e</w:t>
            </w:r>
            <w:r w:rsidR="00F27918" w:rsidRPr="004768D0">
              <w:rPr>
                <w:rFonts w:asciiTheme="majorHAnsi" w:hAnsiTheme="majorHAnsi"/>
                <w:color w:val="000000" w:themeColor="text1"/>
                <w:sz w:val="16"/>
                <w:szCs w:val="16"/>
                <w:lang w:val="es-ES"/>
              </w:rPr>
              <w:t>n</w:t>
            </w:r>
            <w:r w:rsidR="00323D9D" w:rsidRPr="004768D0">
              <w:rPr>
                <w:rFonts w:asciiTheme="majorHAnsi" w:hAnsiTheme="majorHAnsi"/>
                <w:color w:val="000000" w:themeColor="text1"/>
                <w:sz w:val="16"/>
                <w:szCs w:val="16"/>
                <w:lang w:val="es-ES"/>
              </w:rPr>
              <w:t xml:space="preserve"> el lugar</w:t>
            </w:r>
            <w:r w:rsidR="00F27918" w:rsidRPr="004768D0">
              <w:rPr>
                <w:rFonts w:asciiTheme="majorHAnsi" w:hAnsiTheme="majorHAnsi"/>
                <w:color w:val="000000" w:themeColor="text1"/>
                <w:sz w:val="16"/>
                <w:szCs w:val="16"/>
                <w:lang w:val="es-ES"/>
              </w:rPr>
              <w:t xml:space="preserve">, de </w:t>
            </w:r>
            <w:r w:rsidR="00323D9D" w:rsidRPr="004768D0">
              <w:rPr>
                <w:rFonts w:asciiTheme="majorHAnsi" w:hAnsiTheme="majorHAnsi"/>
                <w:color w:val="000000" w:themeColor="text1"/>
                <w:sz w:val="16"/>
                <w:szCs w:val="16"/>
                <w:lang w:val="es-ES"/>
              </w:rPr>
              <w:t>d</w:t>
            </w:r>
            <w:r w:rsidR="00F27918" w:rsidRPr="004768D0">
              <w:rPr>
                <w:rFonts w:asciiTheme="majorHAnsi" w:hAnsiTheme="majorHAnsi"/>
                <w:color w:val="000000" w:themeColor="text1"/>
                <w:sz w:val="16"/>
                <w:szCs w:val="16"/>
                <w:lang w:val="es-ES"/>
              </w:rPr>
              <w:t xml:space="preserve">onde </w:t>
            </w:r>
            <w:r w:rsidR="00323D9D" w:rsidRPr="004768D0">
              <w:rPr>
                <w:rFonts w:asciiTheme="majorHAnsi" w:hAnsiTheme="majorHAnsi"/>
                <w:color w:val="000000" w:themeColor="text1"/>
                <w:sz w:val="16"/>
                <w:szCs w:val="16"/>
                <w:lang w:val="es-ES"/>
              </w:rPr>
              <w:t xml:space="preserve">salía </w:t>
            </w:r>
            <w:r w:rsidR="00F27918" w:rsidRPr="004768D0">
              <w:rPr>
                <w:rFonts w:asciiTheme="majorHAnsi" w:hAnsiTheme="majorHAnsi"/>
                <w:color w:val="000000" w:themeColor="text1"/>
                <w:sz w:val="16"/>
                <w:szCs w:val="16"/>
                <w:lang w:val="es-ES"/>
              </w:rPr>
              <w:t xml:space="preserve">constantemente </w:t>
            </w:r>
            <w:r w:rsidR="00323D9D" w:rsidRPr="004768D0">
              <w:rPr>
                <w:rFonts w:asciiTheme="majorHAnsi" w:hAnsiTheme="majorHAnsi"/>
                <w:color w:val="000000" w:themeColor="text1"/>
                <w:sz w:val="16"/>
                <w:szCs w:val="16"/>
                <w:lang w:val="es-ES"/>
              </w:rPr>
              <w:t xml:space="preserve">una persona que entraba en el </w:t>
            </w:r>
            <w:r w:rsidR="000E19DC" w:rsidRPr="004768D0">
              <w:rPr>
                <w:rFonts w:asciiTheme="majorHAnsi" w:hAnsiTheme="majorHAnsi"/>
                <w:color w:val="000000" w:themeColor="text1"/>
                <w:sz w:val="16"/>
                <w:szCs w:val="16"/>
                <w:lang w:val="es-ES"/>
              </w:rPr>
              <w:t>velatorio</w:t>
            </w:r>
            <w:r w:rsidR="00F27918" w:rsidRPr="004768D0">
              <w:rPr>
                <w:rFonts w:asciiTheme="majorHAnsi" w:hAnsiTheme="majorHAnsi"/>
                <w:color w:val="000000" w:themeColor="text1"/>
                <w:sz w:val="16"/>
                <w:szCs w:val="16"/>
                <w:lang w:val="es-ES"/>
              </w:rPr>
              <w:t xml:space="preserve"> </w:t>
            </w:r>
            <w:r w:rsidR="00323D9D" w:rsidRPr="004768D0">
              <w:rPr>
                <w:rFonts w:asciiTheme="majorHAnsi" w:hAnsiTheme="majorHAnsi"/>
                <w:color w:val="000000" w:themeColor="text1"/>
                <w:sz w:val="16"/>
                <w:szCs w:val="16"/>
                <w:lang w:val="es-ES"/>
              </w:rPr>
              <w:t xml:space="preserve">y después volvía al </w:t>
            </w:r>
            <w:r w:rsidR="006062C8" w:rsidRPr="004768D0">
              <w:rPr>
                <w:rFonts w:asciiTheme="majorHAnsi" w:hAnsiTheme="majorHAnsi"/>
                <w:color w:val="000000" w:themeColor="text1"/>
                <w:sz w:val="16"/>
                <w:szCs w:val="16"/>
                <w:lang w:val="es-ES"/>
              </w:rPr>
              <w:t>vehículo</w:t>
            </w:r>
            <w:r w:rsidR="00F27918" w:rsidRPr="004768D0">
              <w:rPr>
                <w:rFonts w:asciiTheme="majorHAnsi" w:hAnsiTheme="majorHAnsi"/>
                <w:color w:val="000000" w:themeColor="text1"/>
                <w:sz w:val="16"/>
                <w:szCs w:val="16"/>
                <w:lang w:val="es-ES"/>
              </w:rPr>
              <w:t xml:space="preserve">. </w:t>
            </w:r>
            <w:r w:rsidR="00CF044D" w:rsidRPr="004768D0">
              <w:rPr>
                <w:rFonts w:asciiTheme="majorHAnsi" w:hAnsiTheme="majorHAnsi"/>
                <w:color w:val="000000" w:themeColor="text1"/>
                <w:sz w:val="16"/>
                <w:szCs w:val="16"/>
                <w:lang w:val="es-ES"/>
              </w:rPr>
              <w:t>Esa</w:t>
            </w:r>
            <w:r w:rsidR="00F27918" w:rsidRPr="004768D0">
              <w:rPr>
                <w:rFonts w:asciiTheme="majorHAnsi" w:hAnsiTheme="majorHAnsi"/>
                <w:color w:val="000000" w:themeColor="text1"/>
                <w:sz w:val="16"/>
                <w:szCs w:val="16"/>
                <w:lang w:val="es-ES"/>
              </w:rPr>
              <w:t xml:space="preserve"> </w:t>
            </w:r>
            <w:r w:rsidR="00CF044D" w:rsidRPr="004768D0">
              <w:rPr>
                <w:rFonts w:asciiTheme="majorHAnsi" w:hAnsiTheme="majorHAnsi"/>
                <w:color w:val="000000" w:themeColor="text1"/>
                <w:sz w:val="16"/>
                <w:szCs w:val="16"/>
                <w:lang w:val="es-ES"/>
              </w:rPr>
              <w:t>intimidación</w:t>
            </w:r>
            <w:r w:rsidR="00F27918" w:rsidRPr="004768D0">
              <w:rPr>
                <w:rFonts w:asciiTheme="majorHAnsi" w:hAnsiTheme="majorHAnsi"/>
                <w:color w:val="000000" w:themeColor="text1"/>
                <w:sz w:val="16"/>
                <w:szCs w:val="16"/>
                <w:lang w:val="es-ES"/>
              </w:rPr>
              <w:t xml:space="preserve"> policial que </w:t>
            </w:r>
            <w:r w:rsidR="00CF044D" w:rsidRPr="004768D0">
              <w:rPr>
                <w:rFonts w:asciiTheme="majorHAnsi" w:hAnsiTheme="majorHAnsi"/>
                <w:color w:val="000000" w:themeColor="text1"/>
                <w:sz w:val="16"/>
                <w:szCs w:val="16"/>
                <w:lang w:val="es-ES"/>
              </w:rPr>
              <w:t xml:space="preserve">se produjo en el </w:t>
            </w:r>
            <w:r w:rsidR="000E19DC" w:rsidRPr="004768D0">
              <w:rPr>
                <w:rFonts w:asciiTheme="majorHAnsi" w:hAnsiTheme="majorHAnsi"/>
                <w:color w:val="000000" w:themeColor="text1"/>
                <w:sz w:val="16"/>
                <w:szCs w:val="16"/>
                <w:lang w:val="es-ES"/>
              </w:rPr>
              <w:t>velatorio</w:t>
            </w:r>
            <w:r w:rsidR="00F27918" w:rsidRPr="004768D0">
              <w:rPr>
                <w:rFonts w:asciiTheme="majorHAnsi" w:hAnsiTheme="majorHAnsi"/>
                <w:color w:val="000000" w:themeColor="text1"/>
                <w:sz w:val="16"/>
                <w:szCs w:val="16"/>
                <w:lang w:val="es-ES"/>
              </w:rPr>
              <w:t xml:space="preserve"> no f</w:t>
            </w:r>
            <w:r w:rsidR="00CF044D" w:rsidRPr="004768D0">
              <w:rPr>
                <w:rFonts w:asciiTheme="majorHAnsi" w:hAnsiTheme="majorHAnsi"/>
                <w:color w:val="000000" w:themeColor="text1"/>
                <w:sz w:val="16"/>
                <w:szCs w:val="16"/>
                <w:lang w:val="es-ES"/>
              </w:rPr>
              <w:t>ue</w:t>
            </w:r>
            <w:r w:rsidR="00F27918" w:rsidRPr="004768D0">
              <w:rPr>
                <w:rFonts w:asciiTheme="majorHAnsi" w:hAnsiTheme="majorHAnsi"/>
                <w:color w:val="000000" w:themeColor="text1"/>
                <w:sz w:val="16"/>
                <w:szCs w:val="16"/>
                <w:lang w:val="es-ES"/>
              </w:rPr>
              <w:t xml:space="preserve"> investigada </w:t>
            </w:r>
            <w:r w:rsidR="00CF044D" w:rsidRPr="004768D0">
              <w:rPr>
                <w:rFonts w:asciiTheme="majorHAnsi" w:hAnsiTheme="majorHAnsi"/>
                <w:color w:val="000000" w:themeColor="text1"/>
                <w:sz w:val="16"/>
                <w:szCs w:val="16"/>
                <w:lang w:val="es-ES"/>
              </w:rPr>
              <w:t>por las</w:t>
            </w:r>
            <w:r w:rsidR="00F27918" w:rsidRPr="004768D0">
              <w:rPr>
                <w:rFonts w:asciiTheme="majorHAnsi" w:hAnsiTheme="majorHAnsi"/>
                <w:color w:val="000000" w:themeColor="text1"/>
                <w:sz w:val="16"/>
                <w:szCs w:val="16"/>
                <w:lang w:val="es-ES"/>
              </w:rPr>
              <w:t xml:space="preserve"> autoridades.</w:t>
            </w:r>
          </w:p>
          <w:p w14:paraId="031EFD26" w14:textId="77777777" w:rsidR="00F27918" w:rsidRPr="004768D0" w:rsidRDefault="00CF044D"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Las cintas de las cámaras </w:t>
            </w:r>
            <w:r w:rsidR="00F27918" w:rsidRPr="004768D0">
              <w:rPr>
                <w:rFonts w:asciiTheme="majorHAnsi" w:hAnsiTheme="majorHAnsi"/>
                <w:color w:val="000000" w:themeColor="text1"/>
                <w:sz w:val="16"/>
                <w:szCs w:val="16"/>
                <w:lang w:val="es-ES"/>
              </w:rPr>
              <w:t xml:space="preserve">de </w:t>
            </w:r>
            <w:r w:rsidR="00F41459" w:rsidRPr="004768D0">
              <w:rPr>
                <w:rFonts w:asciiTheme="majorHAnsi" w:hAnsiTheme="majorHAnsi"/>
                <w:color w:val="000000" w:themeColor="text1"/>
                <w:sz w:val="16"/>
                <w:szCs w:val="16"/>
                <w:lang w:val="es-ES"/>
              </w:rPr>
              <w:t>seguridad</w:t>
            </w:r>
            <w:r w:rsidR="00F27918" w:rsidRPr="004768D0">
              <w:rPr>
                <w:rFonts w:asciiTheme="majorHAnsi" w:hAnsiTheme="majorHAnsi"/>
                <w:color w:val="000000" w:themeColor="text1"/>
                <w:sz w:val="16"/>
                <w:szCs w:val="16"/>
                <w:lang w:val="es-ES"/>
              </w:rPr>
              <w:t xml:space="preserve"> d</w:t>
            </w:r>
            <w:r w:rsidRPr="004768D0">
              <w:rPr>
                <w:rFonts w:asciiTheme="majorHAnsi" w:hAnsiTheme="majorHAnsi"/>
                <w:color w:val="000000" w:themeColor="text1"/>
                <w:sz w:val="16"/>
                <w:szCs w:val="16"/>
                <w:lang w:val="es-ES"/>
              </w:rPr>
              <w:t>e la</w:t>
            </w:r>
            <w:r w:rsidR="00F27918" w:rsidRPr="004768D0">
              <w:rPr>
                <w:rFonts w:asciiTheme="majorHAnsi" w:hAnsiTheme="majorHAnsi"/>
                <w:color w:val="000000" w:themeColor="text1"/>
                <w:sz w:val="16"/>
                <w:szCs w:val="16"/>
                <w:lang w:val="es-ES"/>
              </w:rPr>
              <w:t xml:space="preserve"> </w:t>
            </w:r>
            <w:r w:rsidR="0011535F" w:rsidRPr="004768D0">
              <w:rPr>
                <w:rFonts w:asciiTheme="majorHAnsi" w:hAnsiTheme="majorHAnsi"/>
                <w:color w:val="000000" w:themeColor="text1"/>
                <w:sz w:val="16"/>
                <w:szCs w:val="16"/>
                <w:lang w:val="es-ES"/>
              </w:rPr>
              <w:t>gasolinera</w:t>
            </w:r>
            <w:r w:rsidR="00F27918" w:rsidRPr="004768D0">
              <w:rPr>
                <w:rFonts w:asciiTheme="majorHAnsi" w:hAnsiTheme="majorHAnsi"/>
                <w:color w:val="000000" w:themeColor="text1"/>
                <w:sz w:val="16"/>
                <w:szCs w:val="16"/>
                <w:lang w:val="es-ES"/>
              </w:rPr>
              <w:t xml:space="preserve"> f</w:t>
            </w:r>
            <w:r w:rsidRPr="004768D0">
              <w:rPr>
                <w:rFonts w:asciiTheme="majorHAnsi" w:hAnsiTheme="majorHAnsi"/>
                <w:color w:val="000000" w:themeColor="text1"/>
                <w:sz w:val="16"/>
                <w:szCs w:val="16"/>
                <w:lang w:val="es-ES"/>
              </w:rPr>
              <w:t xml:space="preserve">ueron pedidas recién dos </w:t>
            </w:r>
            <w:r w:rsidR="00F27918" w:rsidRPr="004768D0">
              <w:rPr>
                <w:rFonts w:asciiTheme="majorHAnsi" w:hAnsiTheme="majorHAnsi"/>
                <w:color w:val="000000" w:themeColor="text1"/>
                <w:sz w:val="16"/>
                <w:szCs w:val="16"/>
                <w:lang w:val="es-ES"/>
              </w:rPr>
              <w:t xml:space="preserve">meses </w:t>
            </w:r>
            <w:r w:rsidRPr="004768D0">
              <w:rPr>
                <w:rFonts w:asciiTheme="majorHAnsi" w:hAnsiTheme="majorHAnsi"/>
                <w:color w:val="000000" w:themeColor="text1"/>
                <w:sz w:val="16"/>
                <w:szCs w:val="16"/>
                <w:lang w:val="es-ES"/>
              </w:rPr>
              <w:t xml:space="preserve">después de la </w:t>
            </w:r>
            <w:r w:rsidR="00372008" w:rsidRPr="004768D0">
              <w:rPr>
                <w:rFonts w:asciiTheme="majorHAnsi" w:hAnsiTheme="majorHAnsi"/>
                <w:color w:val="000000" w:themeColor="text1"/>
                <w:sz w:val="16"/>
                <w:szCs w:val="16"/>
                <w:lang w:val="es-ES"/>
              </w:rPr>
              <w:t>muerte de</w:t>
            </w:r>
            <w:r w:rsidR="00F27918" w:rsidRPr="004768D0">
              <w:rPr>
                <w:rFonts w:asciiTheme="majorHAnsi" w:hAnsiTheme="majorHAnsi"/>
                <w:color w:val="000000" w:themeColor="text1"/>
                <w:sz w:val="16"/>
                <w:szCs w:val="16"/>
                <w:lang w:val="es-ES"/>
              </w:rPr>
              <w:t xml:space="preserve"> Edson. </w:t>
            </w:r>
            <w:r w:rsidRPr="004768D0">
              <w:rPr>
                <w:rFonts w:asciiTheme="majorHAnsi" w:hAnsiTheme="majorHAnsi"/>
                <w:color w:val="000000" w:themeColor="text1"/>
                <w:sz w:val="16"/>
                <w:szCs w:val="16"/>
                <w:lang w:val="es-ES"/>
              </w:rPr>
              <w:t xml:space="preserve">Para entonces, ya habían sido regrabadas, lo cual se hacía </w:t>
            </w:r>
            <w:r w:rsidR="00F27918" w:rsidRPr="004768D0">
              <w:rPr>
                <w:rFonts w:asciiTheme="majorHAnsi" w:hAnsiTheme="majorHAnsi"/>
                <w:color w:val="000000" w:themeColor="text1"/>
                <w:sz w:val="16"/>
                <w:szCs w:val="16"/>
                <w:lang w:val="es-ES"/>
              </w:rPr>
              <w:t xml:space="preserve">cada semana. </w:t>
            </w:r>
            <w:r w:rsidRPr="004768D0">
              <w:rPr>
                <w:rFonts w:asciiTheme="majorHAnsi" w:hAnsiTheme="majorHAnsi"/>
                <w:color w:val="000000" w:themeColor="text1"/>
                <w:sz w:val="16"/>
                <w:szCs w:val="16"/>
                <w:lang w:val="es-ES"/>
              </w:rPr>
              <w:t>La</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propia</w:t>
            </w:r>
            <w:r w:rsidR="00F27918" w:rsidRPr="004768D0">
              <w:rPr>
                <w:rFonts w:asciiTheme="majorHAnsi" w:hAnsiTheme="majorHAnsi"/>
                <w:color w:val="000000" w:themeColor="text1"/>
                <w:sz w:val="16"/>
                <w:szCs w:val="16"/>
                <w:lang w:val="es-ES"/>
              </w:rPr>
              <w:t xml:space="preserve"> </w:t>
            </w:r>
            <w:r w:rsidR="007F4608" w:rsidRPr="004768D0">
              <w:rPr>
                <w:rFonts w:asciiTheme="majorHAnsi" w:hAnsiTheme="majorHAnsi"/>
                <w:color w:val="000000" w:themeColor="text1"/>
                <w:sz w:val="16"/>
                <w:szCs w:val="16"/>
                <w:lang w:val="es-ES"/>
              </w:rPr>
              <w:t>madre de</w:t>
            </w:r>
            <w:r w:rsidR="00F27918" w:rsidRPr="004768D0">
              <w:rPr>
                <w:rFonts w:asciiTheme="majorHAnsi" w:hAnsiTheme="majorHAnsi"/>
                <w:color w:val="000000" w:themeColor="text1"/>
                <w:sz w:val="16"/>
                <w:szCs w:val="16"/>
                <w:lang w:val="es-ES"/>
              </w:rPr>
              <w:t xml:space="preserve"> Edson, </w:t>
            </w:r>
            <w:r w:rsidRPr="004768D0">
              <w:rPr>
                <w:rFonts w:asciiTheme="majorHAnsi" w:hAnsiTheme="majorHAnsi"/>
                <w:color w:val="000000" w:themeColor="text1"/>
                <w:sz w:val="16"/>
                <w:szCs w:val="16"/>
                <w:lang w:val="es-ES"/>
              </w:rPr>
              <w:t>la señora</w:t>
            </w:r>
            <w:r w:rsidR="00F27918" w:rsidRPr="004768D0">
              <w:rPr>
                <w:rFonts w:asciiTheme="majorHAnsi" w:hAnsiTheme="majorHAnsi"/>
                <w:color w:val="000000" w:themeColor="text1"/>
                <w:sz w:val="16"/>
                <w:szCs w:val="16"/>
                <w:lang w:val="es-ES"/>
              </w:rPr>
              <w:t xml:space="preserve"> Débora, </w:t>
            </w:r>
            <w:r w:rsidRPr="004768D0">
              <w:rPr>
                <w:rFonts w:asciiTheme="majorHAnsi" w:hAnsiTheme="majorHAnsi"/>
                <w:color w:val="000000" w:themeColor="text1"/>
                <w:sz w:val="16"/>
                <w:szCs w:val="16"/>
                <w:lang w:val="es-ES"/>
              </w:rPr>
              <w:t xml:space="preserve">había </w:t>
            </w:r>
            <w:r w:rsidR="00F27918" w:rsidRPr="004768D0">
              <w:rPr>
                <w:rFonts w:asciiTheme="majorHAnsi" w:hAnsiTheme="majorHAnsi"/>
                <w:color w:val="000000" w:themeColor="text1"/>
                <w:sz w:val="16"/>
                <w:szCs w:val="16"/>
                <w:lang w:val="es-ES"/>
              </w:rPr>
              <w:t xml:space="preserve">informado </w:t>
            </w:r>
            <w:r w:rsidRPr="004768D0">
              <w:rPr>
                <w:rFonts w:asciiTheme="majorHAnsi" w:hAnsiTheme="majorHAnsi"/>
                <w:color w:val="000000" w:themeColor="text1"/>
                <w:sz w:val="16"/>
                <w:szCs w:val="16"/>
                <w:lang w:val="es-ES"/>
              </w:rPr>
              <w:t xml:space="preserve">al jefe de policía sobre la existencia de esas cintas tres días después de la muerte. Según </w:t>
            </w:r>
            <w:r w:rsidR="00F27918" w:rsidRPr="004768D0">
              <w:rPr>
                <w:rFonts w:asciiTheme="majorHAnsi" w:hAnsiTheme="majorHAnsi"/>
                <w:color w:val="000000" w:themeColor="text1"/>
                <w:sz w:val="16"/>
                <w:szCs w:val="16"/>
                <w:lang w:val="es-ES"/>
              </w:rPr>
              <w:t xml:space="preserve">Débora, </w:t>
            </w:r>
            <w:r w:rsidRPr="004768D0">
              <w:rPr>
                <w:rFonts w:asciiTheme="majorHAnsi" w:hAnsiTheme="majorHAnsi"/>
                <w:color w:val="000000" w:themeColor="text1"/>
                <w:sz w:val="16"/>
                <w:szCs w:val="16"/>
                <w:lang w:val="es-ES"/>
              </w:rPr>
              <w:t>c</w:t>
            </w:r>
            <w:r w:rsidR="00F27918" w:rsidRPr="004768D0">
              <w:rPr>
                <w:rFonts w:asciiTheme="majorHAnsi" w:hAnsiTheme="majorHAnsi"/>
                <w:color w:val="000000" w:themeColor="text1"/>
                <w:sz w:val="16"/>
                <w:szCs w:val="16"/>
                <w:lang w:val="es-ES"/>
              </w:rPr>
              <w:t>uando el</w:t>
            </w:r>
            <w:r w:rsidRPr="004768D0">
              <w:rPr>
                <w:rFonts w:asciiTheme="majorHAnsi" w:hAnsiTheme="majorHAnsi"/>
                <w:color w:val="000000" w:themeColor="text1"/>
                <w:sz w:val="16"/>
                <w:szCs w:val="16"/>
                <w:lang w:val="es-ES"/>
              </w:rPr>
              <w:t xml:space="preserve">la le pidió al procurador que obtuviera la cinta, él le aconsejó que acudiera al jefe de policía y le dijera que era amiga de él (el procurador) para </w:t>
            </w:r>
            <w:r w:rsidR="00CA76B2" w:rsidRPr="004768D0">
              <w:rPr>
                <w:rFonts w:asciiTheme="majorHAnsi" w:hAnsiTheme="majorHAnsi"/>
                <w:color w:val="000000" w:themeColor="text1"/>
                <w:sz w:val="16"/>
                <w:szCs w:val="16"/>
                <w:lang w:val="es-ES"/>
              </w:rPr>
              <w:t xml:space="preserve">pedirle </w:t>
            </w:r>
            <w:r w:rsidRPr="004768D0">
              <w:rPr>
                <w:rFonts w:asciiTheme="majorHAnsi" w:hAnsiTheme="majorHAnsi"/>
                <w:color w:val="000000" w:themeColor="text1"/>
                <w:sz w:val="16"/>
                <w:szCs w:val="16"/>
                <w:lang w:val="es-ES"/>
              </w:rPr>
              <w:t>que efectuara la diligencia</w:t>
            </w:r>
            <w:r w:rsidR="00F27918" w:rsidRPr="004768D0">
              <w:rPr>
                <w:rFonts w:asciiTheme="majorHAnsi" w:hAnsiTheme="majorHAnsi"/>
                <w:color w:val="000000" w:themeColor="text1"/>
                <w:sz w:val="16"/>
                <w:szCs w:val="16"/>
                <w:lang w:val="es-ES"/>
              </w:rPr>
              <w:t>.</w:t>
            </w:r>
          </w:p>
          <w:p w14:paraId="56E25FBD" w14:textId="7578FB86" w:rsidR="00F27918" w:rsidRPr="004768D0" w:rsidRDefault="00803E0D"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Pr>
                <w:rFonts w:asciiTheme="majorHAnsi" w:hAnsiTheme="majorHAnsi"/>
                <w:color w:val="000000" w:themeColor="text1"/>
                <w:sz w:val="16"/>
                <w:szCs w:val="16"/>
                <w:lang w:val="es-ES"/>
              </w:rPr>
              <w:t xml:space="preserve">No </w:t>
            </w:r>
            <w:r w:rsidR="00F27918" w:rsidRPr="004768D0">
              <w:rPr>
                <w:rFonts w:asciiTheme="majorHAnsi" w:hAnsiTheme="majorHAnsi"/>
                <w:color w:val="000000" w:themeColor="text1"/>
                <w:sz w:val="16"/>
                <w:szCs w:val="16"/>
                <w:lang w:val="es-ES"/>
              </w:rPr>
              <w:t xml:space="preserve">consta </w:t>
            </w:r>
            <w:r w:rsidR="00135DA0">
              <w:rPr>
                <w:rFonts w:asciiTheme="majorHAnsi" w:hAnsiTheme="majorHAnsi"/>
                <w:color w:val="000000" w:themeColor="text1"/>
                <w:sz w:val="16"/>
                <w:szCs w:val="16"/>
                <w:lang w:val="es-ES"/>
              </w:rPr>
              <w:t>en la</w:t>
            </w:r>
            <w:r w:rsidR="00F27918" w:rsidRPr="004768D0">
              <w:rPr>
                <w:rFonts w:asciiTheme="majorHAnsi" w:hAnsiTheme="majorHAnsi"/>
                <w:color w:val="000000" w:themeColor="text1"/>
                <w:sz w:val="16"/>
                <w:szCs w:val="16"/>
                <w:lang w:val="es-ES"/>
              </w:rPr>
              <w:t xml:space="preserve"> </w:t>
            </w:r>
            <w:r w:rsidR="00C03E33" w:rsidRPr="004768D0">
              <w:rPr>
                <w:rFonts w:asciiTheme="majorHAnsi" w:hAnsiTheme="majorHAnsi"/>
                <w:color w:val="000000" w:themeColor="text1"/>
                <w:sz w:val="16"/>
                <w:szCs w:val="16"/>
                <w:lang w:val="es-ES"/>
              </w:rPr>
              <w:t>investigación</w:t>
            </w:r>
            <w:r w:rsidR="00F27918" w:rsidRPr="004768D0">
              <w:rPr>
                <w:rFonts w:asciiTheme="majorHAnsi" w:hAnsiTheme="majorHAnsi"/>
                <w:color w:val="000000" w:themeColor="text1"/>
                <w:sz w:val="16"/>
                <w:szCs w:val="16"/>
                <w:lang w:val="es-ES"/>
              </w:rPr>
              <w:t xml:space="preserve"> </w:t>
            </w:r>
            <w:r w:rsidR="00CF044D" w:rsidRPr="004768D0">
              <w:rPr>
                <w:rFonts w:asciiTheme="majorHAnsi" w:hAnsiTheme="majorHAnsi"/>
                <w:color w:val="000000" w:themeColor="text1"/>
                <w:sz w:val="16"/>
                <w:szCs w:val="16"/>
                <w:lang w:val="es-ES"/>
              </w:rPr>
              <w:t xml:space="preserve">ningún </w:t>
            </w:r>
            <w:r w:rsidR="00CA76B2" w:rsidRPr="004768D0">
              <w:rPr>
                <w:rFonts w:asciiTheme="majorHAnsi" w:hAnsiTheme="majorHAnsi"/>
                <w:color w:val="000000" w:themeColor="text1"/>
                <w:sz w:val="16"/>
                <w:szCs w:val="16"/>
                <w:lang w:val="es-ES"/>
              </w:rPr>
              <w:t>informe pericial</w:t>
            </w:r>
            <w:r w:rsidR="00CF044D" w:rsidRPr="004768D0">
              <w:rPr>
                <w:rFonts w:asciiTheme="majorHAnsi" w:hAnsiTheme="majorHAnsi"/>
                <w:color w:val="000000" w:themeColor="text1"/>
                <w:sz w:val="16"/>
                <w:szCs w:val="16"/>
                <w:lang w:val="es-ES"/>
              </w:rPr>
              <w:t xml:space="preserve"> de la </w:t>
            </w:r>
            <w:r w:rsidR="00E04ED3" w:rsidRPr="004768D0">
              <w:rPr>
                <w:rFonts w:asciiTheme="majorHAnsi" w:hAnsiTheme="majorHAnsi"/>
                <w:color w:val="000000" w:themeColor="text1"/>
                <w:sz w:val="16"/>
                <w:szCs w:val="16"/>
                <w:lang w:val="es-ES"/>
              </w:rPr>
              <w:t>escena del delito</w:t>
            </w:r>
            <w:r w:rsidR="00F27918" w:rsidRPr="004768D0">
              <w:rPr>
                <w:rFonts w:asciiTheme="majorHAnsi" w:hAnsiTheme="majorHAnsi"/>
                <w:color w:val="000000" w:themeColor="text1"/>
                <w:sz w:val="16"/>
                <w:szCs w:val="16"/>
                <w:lang w:val="es-ES"/>
              </w:rPr>
              <w:t>.</w:t>
            </w:r>
          </w:p>
          <w:p w14:paraId="457FB3B3" w14:textId="77777777" w:rsidR="00F27918" w:rsidRPr="004768D0"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Tam</w:t>
            </w:r>
            <w:r w:rsidR="00CA76B2" w:rsidRPr="004768D0">
              <w:rPr>
                <w:rFonts w:asciiTheme="majorHAnsi" w:hAnsiTheme="majorHAnsi"/>
                <w:color w:val="000000" w:themeColor="text1"/>
                <w:sz w:val="16"/>
                <w:szCs w:val="16"/>
                <w:lang w:val="es-ES"/>
              </w:rPr>
              <w:t xml:space="preserve">poco se recuperó el proyectil de </w:t>
            </w:r>
            <w:r w:rsidRPr="004768D0">
              <w:rPr>
                <w:rFonts w:asciiTheme="majorHAnsi" w:hAnsiTheme="majorHAnsi"/>
                <w:color w:val="000000" w:themeColor="text1"/>
                <w:sz w:val="16"/>
                <w:szCs w:val="16"/>
                <w:lang w:val="es-ES"/>
              </w:rPr>
              <w:t>arma de f</w:t>
            </w:r>
            <w:r w:rsidR="00CA76B2" w:rsidRPr="004768D0">
              <w:rPr>
                <w:rFonts w:asciiTheme="majorHAnsi" w:hAnsiTheme="majorHAnsi"/>
                <w:color w:val="000000" w:themeColor="text1"/>
                <w:sz w:val="16"/>
                <w:szCs w:val="16"/>
                <w:lang w:val="es-ES"/>
              </w:rPr>
              <w:t>uego</w:t>
            </w:r>
            <w:r w:rsidRPr="004768D0">
              <w:rPr>
                <w:rFonts w:asciiTheme="majorHAnsi" w:hAnsiTheme="majorHAnsi"/>
                <w:color w:val="000000" w:themeColor="text1"/>
                <w:sz w:val="16"/>
                <w:szCs w:val="16"/>
                <w:lang w:val="es-ES"/>
              </w:rPr>
              <w:t xml:space="preserve"> que </w:t>
            </w:r>
            <w:r w:rsidR="00CA76B2" w:rsidRPr="004768D0">
              <w:rPr>
                <w:rFonts w:asciiTheme="majorHAnsi" w:hAnsiTheme="majorHAnsi"/>
                <w:color w:val="000000" w:themeColor="text1"/>
                <w:sz w:val="16"/>
                <w:szCs w:val="16"/>
                <w:lang w:val="es-ES"/>
              </w:rPr>
              <w:t xml:space="preserve">quedó </w:t>
            </w:r>
            <w:r w:rsidRPr="004768D0">
              <w:rPr>
                <w:rFonts w:asciiTheme="majorHAnsi" w:hAnsiTheme="majorHAnsi"/>
                <w:color w:val="000000" w:themeColor="text1"/>
                <w:sz w:val="16"/>
                <w:szCs w:val="16"/>
                <w:lang w:val="es-ES"/>
              </w:rPr>
              <w:t xml:space="preserve">alojado </w:t>
            </w:r>
            <w:r w:rsidR="00CA76B2"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CA76B2" w:rsidRPr="004768D0">
              <w:rPr>
                <w:rFonts w:asciiTheme="majorHAnsi" w:hAnsiTheme="majorHAnsi"/>
                <w:color w:val="000000" w:themeColor="text1"/>
                <w:sz w:val="16"/>
                <w:szCs w:val="16"/>
                <w:lang w:val="es-ES"/>
              </w:rPr>
              <w:t xml:space="preserve"> el cuerpo de </w:t>
            </w:r>
            <w:r w:rsidRPr="004768D0">
              <w:rPr>
                <w:rFonts w:asciiTheme="majorHAnsi" w:hAnsiTheme="majorHAnsi"/>
                <w:color w:val="000000" w:themeColor="text1"/>
                <w:sz w:val="16"/>
                <w:szCs w:val="16"/>
                <w:lang w:val="es-ES"/>
              </w:rPr>
              <w:t xml:space="preserve">Edson. </w:t>
            </w:r>
            <w:r w:rsidR="00CA76B2" w:rsidRPr="004768D0">
              <w:rPr>
                <w:rFonts w:asciiTheme="majorHAnsi" w:hAnsiTheme="majorHAnsi"/>
                <w:color w:val="000000" w:themeColor="text1"/>
                <w:sz w:val="16"/>
                <w:szCs w:val="16"/>
                <w:lang w:val="es-ES"/>
              </w:rPr>
              <w:t>Lo</w:t>
            </w:r>
            <w:r w:rsidRPr="004768D0">
              <w:rPr>
                <w:rFonts w:asciiTheme="majorHAnsi" w:hAnsiTheme="majorHAnsi"/>
                <w:color w:val="000000" w:themeColor="text1"/>
                <w:sz w:val="16"/>
                <w:szCs w:val="16"/>
                <w:lang w:val="es-ES"/>
              </w:rPr>
              <w:t xml:space="preserve">s médicos </w:t>
            </w:r>
            <w:r w:rsidR="00CA76B2" w:rsidRPr="004768D0">
              <w:rPr>
                <w:rFonts w:asciiTheme="majorHAnsi" w:hAnsiTheme="majorHAnsi"/>
                <w:color w:val="000000" w:themeColor="text1"/>
                <w:sz w:val="16"/>
                <w:szCs w:val="16"/>
                <w:lang w:val="es-ES"/>
              </w:rPr>
              <w:t>forenses señalaron,</w:t>
            </w:r>
            <w:r w:rsidRPr="004768D0">
              <w:rPr>
                <w:rFonts w:asciiTheme="majorHAnsi" w:hAnsiTheme="majorHAnsi"/>
                <w:color w:val="000000" w:themeColor="text1"/>
                <w:sz w:val="16"/>
                <w:szCs w:val="16"/>
                <w:lang w:val="es-ES"/>
              </w:rPr>
              <w:t xml:space="preserve"> </w:t>
            </w:r>
            <w:r w:rsidR="00CA76B2" w:rsidRPr="004768D0">
              <w:rPr>
                <w:rFonts w:asciiTheme="majorHAnsi" w:hAnsiTheme="majorHAnsi"/>
                <w:color w:val="000000" w:themeColor="text1"/>
                <w:sz w:val="16"/>
                <w:szCs w:val="16"/>
                <w:lang w:val="es-ES"/>
              </w:rPr>
              <w:t xml:space="preserve">en el informe de </w:t>
            </w:r>
            <w:r w:rsidRPr="004768D0">
              <w:rPr>
                <w:rFonts w:asciiTheme="majorHAnsi" w:hAnsiTheme="majorHAnsi"/>
                <w:color w:val="000000" w:themeColor="text1"/>
                <w:sz w:val="16"/>
                <w:szCs w:val="16"/>
                <w:lang w:val="es-ES"/>
              </w:rPr>
              <w:t xml:space="preserve">necropsia, que </w:t>
            </w:r>
            <w:r w:rsidR="00CA76B2" w:rsidRPr="004768D0">
              <w:rPr>
                <w:rFonts w:asciiTheme="majorHAnsi" w:hAnsiTheme="majorHAnsi"/>
                <w:color w:val="000000" w:themeColor="text1"/>
                <w:sz w:val="16"/>
                <w:szCs w:val="16"/>
                <w:lang w:val="es-ES"/>
              </w:rPr>
              <w:t xml:space="preserve">tuvieron </w:t>
            </w:r>
            <w:r w:rsidR="000F3FF5" w:rsidRPr="004768D0">
              <w:rPr>
                <w:rFonts w:asciiTheme="majorHAnsi" w:hAnsiTheme="majorHAnsi"/>
                <w:color w:val="000000" w:themeColor="text1"/>
                <w:sz w:val="16"/>
                <w:szCs w:val="16"/>
                <w:lang w:val="es-ES"/>
              </w:rPr>
              <w:t>dificultades</w:t>
            </w:r>
            <w:r w:rsidRPr="004768D0">
              <w:rPr>
                <w:rFonts w:asciiTheme="majorHAnsi" w:hAnsiTheme="majorHAnsi"/>
                <w:color w:val="000000" w:themeColor="text1"/>
                <w:sz w:val="16"/>
                <w:szCs w:val="16"/>
                <w:lang w:val="es-ES"/>
              </w:rPr>
              <w:t xml:space="preserve"> </w:t>
            </w:r>
            <w:r w:rsidR="000F3FF5" w:rsidRPr="004768D0">
              <w:rPr>
                <w:rFonts w:asciiTheme="majorHAnsi" w:hAnsiTheme="majorHAnsi"/>
                <w:color w:val="000000" w:themeColor="text1"/>
                <w:sz w:val="16"/>
                <w:szCs w:val="16"/>
                <w:lang w:val="es-ES"/>
              </w:rPr>
              <w:t xml:space="preserve">para extraerlo. </w:t>
            </w:r>
            <w:r w:rsidRPr="004768D0">
              <w:rPr>
                <w:rFonts w:asciiTheme="majorHAnsi" w:hAnsiTheme="majorHAnsi"/>
                <w:color w:val="000000" w:themeColor="text1"/>
                <w:sz w:val="16"/>
                <w:szCs w:val="16"/>
                <w:lang w:val="es-ES"/>
              </w:rPr>
              <w:t xml:space="preserve">Edson </w:t>
            </w:r>
            <w:r w:rsidR="000F3FF5" w:rsidRPr="004768D0">
              <w:rPr>
                <w:rFonts w:asciiTheme="majorHAnsi" w:hAnsiTheme="majorHAnsi"/>
                <w:color w:val="000000" w:themeColor="text1"/>
                <w:sz w:val="16"/>
                <w:szCs w:val="16"/>
                <w:lang w:val="es-ES"/>
              </w:rPr>
              <w:t>fue</w:t>
            </w:r>
            <w:r w:rsidRPr="004768D0">
              <w:rPr>
                <w:rFonts w:asciiTheme="majorHAnsi" w:hAnsiTheme="majorHAnsi"/>
                <w:color w:val="000000" w:themeColor="text1"/>
                <w:sz w:val="16"/>
                <w:szCs w:val="16"/>
                <w:lang w:val="es-ES"/>
              </w:rPr>
              <w:t xml:space="preserve"> enterrado co</w:t>
            </w:r>
            <w:r w:rsidR="000F3FF5" w:rsidRPr="004768D0">
              <w:rPr>
                <w:rFonts w:asciiTheme="majorHAnsi" w:hAnsiTheme="majorHAnsi"/>
                <w:color w:val="000000" w:themeColor="text1"/>
                <w:sz w:val="16"/>
                <w:szCs w:val="16"/>
                <w:lang w:val="es-ES"/>
              </w:rPr>
              <w:t xml:space="preserve">n una de las </w:t>
            </w:r>
            <w:r w:rsidRPr="004768D0">
              <w:rPr>
                <w:rFonts w:asciiTheme="majorHAnsi" w:hAnsiTheme="majorHAnsi"/>
                <w:color w:val="000000" w:themeColor="text1"/>
                <w:sz w:val="16"/>
                <w:szCs w:val="16"/>
                <w:lang w:val="es-ES"/>
              </w:rPr>
              <w:t xml:space="preserve">balas que </w:t>
            </w:r>
            <w:r w:rsidR="000F3FF5"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o mat</w:t>
            </w:r>
            <w:r w:rsidR="000F3FF5" w:rsidRPr="004768D0">
              <w:rPr>
                <w:rFonts w:asciiTheme="majorHAnsi" w:hAnsiTheme="majorHAnsi"/>
                <w:color w:val="000000" w:themeColor="text1"/>
                <w:sz w:val="16"/>
                <w:szCs w:val="16"/>
                <w:lang w:val="es-ES"/>
              </w:rPr>
              <w:t xml:space="preserve">ó todavía </w:t>
            </w:r>
            <w:r w:rsidRPr="004768D0">
              <w:rPr>
                <w:rFonts w:asciiTheme="majorHAnsi" w:hAnsiTheme="majorHAnsi"/>
                <w:color w:val="000000" w:themeColor="text1"/>
                <w:sz w:val="16"/>
                <w:szCs w:val="16"/>
                <w:lang w:val="es-ES"/>
              </w:rPr>
              <w:t xml:space="preserve">alojada </w:t>
            </w:r>
            <w:r w:rsidR="000F3FF5"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0F3FF5" w:rsidRPr="004768D0">
              <w:rPr>
                <w:rFonts w:asciiTheme="majorHAnsi" w:hAnsiTheme="majorHAnsi"/>
                <w:color w:val="000000" w:themeColor="text1"/>
                <w:sz w:val="16"/>
                <w:szCs w:val="16"/>
                <w:lang w:val="es-ES"/>
              </w:rPr>
              <w:t xml:space="preserve"> </w:t>
            </w:r>
            <w:r w:rsidR="00803E0D">
              <w:rPr>
                <w:rFonts w:asciiTheme="majorHAnsi" w:hAnsiTheme="majorHAnsi"/>
                <w:color w:val="000000" w:themeColor="text1"/>
                <w:sz w:val="16"/>
                <w:szCs w:val="16"/>
                <w:lang w:val="es-ES"/>
              </w:rPr>
              <w:t>el</w:t>
            </w:r>
            <w:r w:rsidRPr="004768D0">
              <w:rPr>
                <w:rFonts w:asciiTheme="majorHAnsi" w:hAnsiTheme="majorHAnsi"/>
                <w:color w:val="000000" w:themeColor="text1"/>
                <w:sz w:val="16"/>
                <w:szCs w:val="16"/>
                <w:lang w:val="es-ES"/>
              </w:rPr>
              <w:t xml:space="preserve"> c</w:t>
            </w:r>
            <w:r w:rsidR="000F3FF5" w:rsidRPr="004768D0">
              <w:rPr>
                <w:rFonts w:asciiTheme="majorHAnsi" w:hAnsiTheme="majorHAnsi"/>
                <w:color w:val="000000" w:themeColor="text1"/>
                <w:sz w:val="16"/>
                <w:szCs w:val="16"/>
                <w:lang w:val="es-ES"/>
              </w:rPr>
              <w:t>uerpo</w:t>
            </w:r>
            <w:r w:rsidRPr="004768D0">
              <w:rPr>
                <w:rFonts w:asciiTheme="majorHAnsi" w:hAnsiTheme="majorHAnsi"/>
                <w:color w:val="000000" w:themeColor="text1"/>
                <w:sz w:val="16"/>
                <w:szCs w:val="16"/>
                <w:lang w:val="es-ES"/>
              </w:rPr>
              <w:t xml:space="preserve">. </w:t>
            </w:r>
            <w:r w:rsidR="000D0997" w:rsidRPr="004768D0">
              <w:rPr>
                <w:rFonts w:asciiTheme="majorHAnsi" w:hAnsiTheme="majorHAnsi"/>
                <w:color w:val="000000" w:themeColor="text1"/>
                <w:sz w:val="16"/>
                <w:szCs w:val="16"/>
                <w:lang w:val="es-ES"/>
              </w:rPr>
              <w:t>El</w:t>
            </w:r>
            <w:r w:rsidRPr="004768D0">
              <w:rPr>
                <w:rFonts w:asciiTheme="majorHAnsi" w:hAnsiTheme="majorHAnsi"/>
                <w:color w:val="000000" w:themeColor="text1"/>
                <w:sz w:val="16"/>
                <w:szCs w:val="16"/>
                <w:lang w:val="es-ES"/>
              </w:rPr>
              <w:t xml:space="preserve"> </w:t>
            </w:r>
            <w:r w:rsidR="000D0997" w:rsidRPr="004768D0">
              <w:rPr>
                <w:rFonts w:asciiTheme="majorHAnsi" w:hAnsiTheme="majorHAnsi"/>
                <w:color w:val="000000" w:themeColor="text1"/>
                <w:sz w:val="16"/>
                <w:szCs w:val="16"/>
                <w:lang w:val="es-ES"/>
              </w:rPr>
              <w:t>proyectil</w:t>
            </w:r>
            <w:r w:rsidRPr="004768D0">
              <w:rPr>
                <w:rFonts w:asciiTheme="majorHAnsi" w:hAnsiTheme="majorHAnsi"/>
                <w:color w:val="000000" w:themeColor="text1"/>
                <w:sz w:val="16"/>
                <w:szCs w:val="16"/>
                <w:lang w:val="es-ES"/>
              </w:rPr>
              <w:t xml:space="preserve"> </w:t>
            </w:r>
            <w:r w:rsidR="000D0997" w:rsidRPr="004768D0">
              <w:rPr>
                <w:rFonts w:asciiTheme="majorHAnsi" w:hAnsiTheme="majorHAnsi"/>
                <w:color w:val="000000" w:themeColor="text1"/>
                <w:sz w:val="16"/>
                <w:szCs w:val="16"/>
                <w:lang w:val="es-ES"/>
              </w:rPr>
              <w:t xml:space="preserve">fue </w:t>
            </w:r>
            <w:r w:rsidRPr="004768D0">
              <w:rPr>
                <w:rFonts w:asciiTheme="majorHAnsi" w:hAnsiTheme="majorHAnsi"/>
                <w:color w:val="000000" w:themeColor="text1"/>
                <w:sz w:val="16"/>
                <w:szCs w:val="16"/>
                <w:lang w:val="es-ES"/>
              </w:rPr>
              <w:t xml:space="preserve">retirado </w:t>
            </w:r>
            <w:r w:rsidR="000D0997" w:rsidRPr="004768D0">
              <w:rPr>
                <w:rFonts w:asciiTheme="majorHAnsi" w:hAnsiTheme="majorHAnsi"/>
                <w:color w:val="000000" w:themeColor="text1"/>
                <w:sz w:val="16"/>
                <w:szCs w:val="16"/>
                <w:lang w:val="es-ES"/>
              </w:rPr>
              <w:t xml:space="preserve">solo después de la exhumación del </w:t>
            </w:r>
            <w:r w:rsidRPr="004768D0">
              <w:rPr>
                <w:rFonts w:asciiTheme="majorHAnsi" w:hAnsiTheme="majorHAnsi"/>
                <w:color w:val="000000" w:themeColor="text1"/>
                <w:sz w:val="16"/>
                <w:szCs w:val="16"/>
                <w:lang w:val="es-ES"/>
              </w:rPr>
              <w:t>cadáver realizada e</w:t>
            </w:r>
            <w:r w:rsidR="000D0997" w:rsidRPr="004768D0">
              <w:rPr>
                <w:rFonts w:asciiTheme="majorHAnsi" w:hAnsiTheme="majorHAnsi"/>
                <w:color w:val="000000" w:themeColor="text1"/>
                <w:sz w:val="16"/>
                <w:szCs w:val="16"/>
                <w:lang w:val="es-ES"/>
              </w:rPr>
              <w:t xml:space="preserve">n junio </w:t>
            </w:r>
            <w:r w:rsidRPr="004768D0">
              <w:rPr>
                <w:rFonts w:asciiTheme="majorHAnsi" w:hAnsiTheme="majorHAnsi"/>
                <w:color w:val="000000" w:themeColor="text1"/>
                <w:sz w:val="16"/>
                <w:szCs w:val="16"/>
                <w:lang w:val="es-ES"/>
              </w:rPr>
              <w:t xml:space="preserve">de 2012. No </w:t>
            </w:r>
            <w:r w:rsidR="000D0997" w:rsidRPr="004768D0">
              <w:rPr>
                <w:rFonts w:asciiTheme="majorHAnsi" w:hAnsiTheme="majorHAnsi"/>
                <w:color w:val="000000" w:themeColor="text1"/>
                <w:sz w:val="16"/>
                <w:szCs w:val="16"/>
                <w:lang w:val="es-ES"/>
              </w:rPr>
              <w:t xml:space="preserve">consta </w:t>
            </w:r>
            <w:r w:rsidRPr="004768D0">
              <w:rPr>
                <w:rFonts w:asciiTheme="majorHAnsi" w:hAnsiTheme="majorHAnsi"/>
                <w:color w:val="000000" w:themeColor="text1"/>
                <w:sz w:val="16"/>
                <w:szCs w:val="16"/>
                <w:lang w:val="es-ES"/>
              </w:rPr>
              <w:t xml:space="preserve">que </w:t>
            </w:r>
            <w:r w:rsidR="000D0997" w:rsidRPr="004768D0">
              <w:rPr>
                <w:rFonts w:asciiTheme="majorHAnsi" w:hAnsiTheme="majorHAnsi"/>
                <w:color w:val="000000" w:themeColor="text1"/>
                <w:sz w:val="16"/>
                <w:szCs w:val="16"/>
                <w:lang w:val="es-ES"/>
              </w:rPr>
              <w:t xml:space="preserve">se haya efectuado ninguna prueba de </w:t>
            </w:r>
            <w:r w:rsidRPr="004768D0">
              <w:rPr>
                <w:rFonts w:asciiTheme="majorHAnsi" w:hAnsiTheme="majorHAnsi"/>
                <w:color w:val="000000" w:themeColor="text1"/>
                <w:sz w:val="16"/>
                <w:szCs w:val="16"/>
                <w:lang w:val="es-ES"/>
              </w:rPr>
              <w:t>balístic</w:t>
            </w:r>
            <w:r w:rsidR="000D0997" w:rsidRPr="004768D0">
              <w:rPr>
                <w:rFonts w:asciiTheme="majorHAnsi" w:hAnsiTheme="majorHAnsi"/>
                <w:color w:val="000000" w:themeColor="text1"/>
                <w:sz w:val="16"/>
                <w:szCs w:val="16"/>
                <w:lang w:val="es-ES"/>
              </w:rPr>
              <w:t>a con el proyectil</w:t>
            </w:r>
            <w:r w:rsidRPr="004768D0">
              <w:rPr>
                <w:rFonts w:asciiTheme="majorHAnsi" w:hAnsiTheme="majorHAnsi"/>
                <w:color w:val="000000" w:themeColor="text1"/>
                <w:sz w:val="16"/>
                <w:szCs w:val="16"/>
                <w:lang w:val="es-ES"/>
              </w:rPr>
              <w:t>.</w:t>
            </w:r>
          </w:p>
          <w:p w14:paraId="4F1DA2EF" w14:textId="77777777" w:rsidR="00F27918" w:rsidRPr="004768D0" w:rsidRDefault="000D0997"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El </w:t>
            </w:r>
            <w:r w:rsidR="00F27918" w:rsidRPr="004768D0">
              <w:rPr>
                <w:rFonts w:asciiTheme="majorHAnsi" w:hAnsiTheme="majorHAnsi"/>
                <w:color w:val="000000" w:themeColor="text1"/>
                <w:sz w:val="16"/>
                <w:szCs w:val="16"/>
                <w:lang w:val="es-ES"/>
              </w:rPr>
              <w:t>polic</w:t>
            </w:r>
            <w:r w:rsidRPr="004768D0">
              <w:rPr>
                <w:rFonts w:asciiTheme="majorHAnsi" w:hAnsiTheme="majorHAnsi"/>
                <w:color w:val="000000" w:themeColor="text1"/>
                <w:sz w:val="16"/>
                <w:szCs w:val="16"/>
                <w:lang w:val="es-ES"/>
              </w:rPr>
              <w:t xml:space="preserve">ía </w:t>
            </w:r>
            <w:r w:rsidR="00F27918" w:rsidRPr="004768D0">
              <w:rPr>
                <w:rFonts w:asciiTheme="majorHAnsi" w:hAnsiTheme="majorHAnsi"/>
                <w:color w:val="000000" w:themeColor="text1"/>
                <w:sz w:val="16"/>
                <w:szCs w:val="16"/>
                <w:lang w:val="es-ES"/>
              </w:rPr>
              <w:t xml:space="preserve">militar que </w:t>
            </w:r>
            <w:r w:rsidR="0084419A" w:rsidRPr="004768D0">
              <w:rPr>
                <w:rFonts w:asciiTheme="majorHAnsi" w:hAnsiTheme="majorHAnsi"/>
                <w:color w:val="000000" w:themeColor="text1"/>
                <w:sz w:val="16"/>
                <w:szCs w:val="16"/>
                <w:lang w:val="es-ES"/>
              </w:rPr>
              <w:t xml:space="preserve">hizo </w:t>
            </w:r>
            <w:r w:rsidRPr="004768D0">
              <w:rPr>
                <w:rFonts w:asciiTheme="majorHAnsi" w:hAnsiTheme="majorHAnsi"/>
                <w:color w:val="000000" w:themeColor="text1"/>
                <w:sz w:val="16"/>
                <w:szCs w:val="16"/>
                <w:lang w:val="es-ES"/>
              </w:rPr>
              <w:t xml:space="preserve">el parte policial fue el </w:t>
            </w:r>
            <w:r w:rsidR="00F27918" w:rsidRPr="004768D0">
              <w:rPr>
                <w:rFonts w:asciiTheme="majorHAnsi" w:hAnsiTheme="majorHAnsi"/>
                <w:color w:val="000000" w:themeColor="text1"/>
                <w:sz w:val="16"/>
                <w:szCs w:val="16"/>
                <w:lang w:val="es-ES"/>
              </w:rPr>
              <w:t xml:space="preserve">soldado </w:t>
            </w:r>
            <w:proofErr w:type="spellStart"/>
            <w:r w:rsidR="00F27918" w:rsidRPr="004768D0">
              <w:rPr>
                <w:rFonts w:asciiTheme="majorHAnsi" w:hAnsiTheme="majorHAnsi"/>
                <w:color w:val="000000" w:themeColor="text1"/>
                <w:sz w:val="16"/>
                <w:szCs w:val="16"/>
                <w:lang w:val="es-ES"/>
              </w:rPr>
              <w:t>Aragão</w:t>
            </w:r>
            <w:proofErr w:type="spellEnd"/>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el mismo </w:t>
            </w:r>
            <w:r w:rsidR="00F27918" w:rsidRPr="004768D0">
              <w:rPr>
                <w:rFonts w:asciiTheme="majorHAnsi" w:hAnsiTheme="majorHAnsi"/>
                <w:color w:val="000000" w:themeColor="text1"/>
                <w:sz w:val="16"/>
                <w:szCs w:val="16"/>
                <w:lang w:val="es-ES"/>
              </w:rPr>
              <w:t xml:space="preserve">mencionado </w:t>
            </w:r>
            <w:r w:rsidRPr="004768D0">
              <w:rPr>
                <w:rFonts w:asciiTheme="majorHAnsi" w:hAnsiTheme="majorHAnsi"/>
                <w:color w:val="000000" w:themeColor="text1"/>
                <w:sz w:val="16"/>
                <w:szCs w:val="16"/>
                <w:lang w:val="es-ES"/>
              </w:rPr>
              <w:t>e</w:t>
            </w:r>
            <w:r w:rsidR="00F27918"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lang w:val="es-ES"/>
              </w:rPr>
              <w:t xml:space="preserve"> relación con la muerte </w:t>
            </w:r>
            <w:r w:rsidR="00372008" w:rsidRPr="004768D0">
              <w:rPr>
                <w:rFonts w:asciiTheme="majorHAnsi" w:hAnsiTheme="majorHAnsi"/>
                <w:color w:val="000000" w:themeColor="text1"/>
                <w:sz w:val="16"/>
                <w:szCs w:val="16"/>
                <w:lang w:val="es-ES"/>
              </w:rPr>
              <w:t>de</w:t>
            </w:r>
            <w:r w:rsidR="00F27918" w:rsidRPr="004768D0">
              <w:rPr>
                <w:rFonts w:asciiTheme="majorHAnsi" w:hAnsiTheme="majorHAnsi"/>
                <w:color w:val="000000" w:themeColor="text1"/>
                <w:sz w:val="16"/>
                <w:szCs w:val="16"/>
                <w:lang w:val="es-ES"/>
              </w:rPr>
              <w:t xml:space="preserve"> Marcos, Thiago </w:t>
            </w:r>
            <w:r w:rsidRPr="004768D0">
              <w:rPr>
                <w:rFonts w:asciiTheme="majorHAnsi" w:hAnsiTheme="majorHAnsi"/>
                <w:color w:val="000000" w:themeColor="text1"/>
                <w:sz w:val="16"/>
                <w:szCs w:val="16"/>
                <w:lang w:val="es-ES"/>
              </w:rPr>
              <w:t>y</w:t>
            </w:r>
            <w:r w:rsidR="00F27918" w:rsidRPr="004768D0">
              <w:rPr>
                <w:rFonts w:asciiTheme="majorHAnsi" w:hAnsiTheme="majorHAnsi"/>
                <w:color w:val="000000" w:themeColor="text1"/>
                <w:sz w:val="16"/>
                <w:szCs w:val="16"/>
                <w:lang w:val="es-ES"/>
              </w:rPr>
              <w:t xml:space="preserve"> </w:t>
            </w:r>
            <w:proofErr w:type="spellStart"/>
            <w:r w:rsidR="00F27918" w:rsidRPr="004768D0">
              <w:rPr>
                <w:rFonts w:asciiTheme="majorHAnsi" w:hAnsiTheme="majorHAnsi"/>
                <w:color w:val="000000" w:themeColor="text1"/>
                <w:sz w:val="16"/>
                <w:szCs w:val="16"/>
                <w:lang w:val="es-ES"/>
              </w:rPr>
              <w:t>Jó</w:t>
            </w:r>
            <w:proofErr w:type="spellEnd"/>
            <w:r w:rsidR="00F27918" w:rsidRPr="004768D0">
              <w:rPr>
                <w:rFonts w:asciiTheme="majorHAnsi" w:hAnsiTheme="majorHAnsi"/>
                <w:color w:val="000000" w:themeColor="text1"/>
                <w:sz w:val="16"/>
                <w:szCs w:val="16"/>
                <w:lang w:val="es-ES"/>
              </w:rPr>
              <w:t xml:space="preserve"> </w:t>
            </w:r>
            <w:proofErr w:type="spellStart"/>
            <w:r w:rsidR="00F27918" w:rsidRPr="004768D0">
              <w:rPr>
                <w:rFonts w:asciiTheme="majorHAnsi" w:hAnsiTheme="majorHAnsi"/>
                <w:color w:val="000000" w:themeColor="text1"/>
                <w:sz w:val="16"/>
                <w:szCs w:val="16"/>
                <w:lang w:val="es-ES"/>
              </w:rPr>
              <w:t>Farias</w:t>
            </w:r>
            <w:proofErr w:type="spellEnd"/>
            <w:r w:rsidR="00F27918" w:rsidRPr="004768D0">
              <w:rPr>
                <w:rFonts w:asciiTheme="majorHAnsi" w:hAnsiTheme="majorHAnsi"/>
                <w:color w:val="000000" w:themeColor="text1"/>
                <w:sz w:val="16"/>
                <w:szCs w:val="16"/>
                <w:lang w:val="es-ES"/>
              </w:rPr>
              <w:t xml:space="preserve"> da Silva). </w:t>
            </w:r>
            <w:r w:rsidRPr="004768D0">
              <w:rPr>
                <w:rFonts w:asciiTheme="majorHAnsi" w:hAnsiTheme="majorHAnsi"/>
                <w:color w:val="000000" w:themeColor="text1"/>
                <w:sz w:val="16"/>
                <w:szCs w:val="16"/>
                <w:lang w:val="es-ES"/>
              </w:rPr>
              <w:t xml:space="preserve">Cuando prestó declaración en esta </w:t>
            </w:r>
            <w:r w:rsidR="00C03E33" w:rsidRPr="004768D0">
              <w:rPr>
                <w:rFonts w:asciiTheme="majorHAnsi" w:hAnsiTheme="majorHAnsi"/>
                <w:color w:val="000000" w:themeColor="text1"/>
                <w:sz w:val="16"/>
                <w:szCs w:val="16"/>
                <w:lang w:val="es-ES"/>
              </w:rPr>
              <w:t>investigación</w:t>
            </w:r>
            <w:r w:rsidR="00F27918" w:rsidRPr="004768D0">
              <w:rPr>
                <w:rFonts w:asciiTheme="majorHAnsi" w:hAnsiTheme="majorHAnsi"/>
                <w:color w:val="000000" w:themeColor="text1"/>
                <w:sz w:val="16"/>
                <w:szCs w:val="16"/>
                <w:lang w:val="es-ES"/>
              </w:rPr>
              <w:t>, di</w:t>
            </w:r>
            <w:r w:rsidRPr="004768D0">
              <w:rPr>
                <w:rFonts w:asciiTheme="majorHAnsi" w:hAnsiTheme="majorHAnsi"/>
                <w:color w:val="000000" w:themeColor="text1"/>
                <w:sz w:val="16"/>
                <w:szCs w:val="16"/>
                <w:lang w:val="es-ES"/>
              </w:rPr>
              <w:t>jo que había recibido una llamada del</w:t>
            </w:r>
            <w:r w:rsidR="00F27918" w:rsidRPr="004768D0">
              <w:rPr>
                <w:rFonts w:asciiTheme="majorHAnsi" w:hAnsiTheme="majorHAnsi"/>
                <w:color w:val="000000" w:themeColor="text1"/>
                <w:sz w:val="16"/>
                <w:szCs w:val="16"/>
                <w:lang w:val="es-ES"/>
              </w:rPr>
              <w:t xml:space="preserve"> COPOM para </w:t>
            </w:r>
            <w:r w:rsidRPr="004768D0">
              <w:rPr>
                <w:rFonts w:asciiTheme="majorHAnsi" w:hAnsiTheme="majorHAnsi"/>
                <w:color w:val="000000" w:themeColor="text1"/>
                <w:sz w:val="16"/>
                <w:szCs w:val="16"/>
                <w:lang w:val="es-ES"/>
              </w:rPr>
              <w:t xml:space="preserve">que se trasladara al lugar de un </w:t>
            </w:r>
            <w:r w:rsidR="00F27918" w:rsidRPr="004768D0">
              <w:rPr>
                <w:rFonts w:asciiTheme="majorHAnsi" w:hAnsiTheme="majorHAnsi"/>
                <w:color w:val="000000" w:themeColor="text1"/>
                <w:sz w:val="16"/>
                <w:szCs w:val="16"/>
                <w:lang w:val="es-ES"/>
              </w:rPr>
              <w:t>a</w:t>
            </w:r>
            <w:r w:rsidRPr="004768D0">
              <w:rPr>
                <w:rFonts w:asciiTheme="majorHAnsi" w:hAnsiTheme="majorHAnsi"/>
                <w:color w:val="000000" w:themeColor="text1"/>
                <w:sz w:val="16"/>
                <w:szCs w:val="16"/>
                <w:lang w:val="es-ES"/>
              </w:rPr>
              <w:t>c</w:t>
            </w:r>
            <w:r w:rsidR="00F27918" w:rsidRPr="004768D0">
              <w:rPr>
                <w:rFonts w:asciiTheme="majorHAnsi" w:hAnsiTheme="majorHAnsi"/>
                <w:color w:val="000000" w:themeColor="text1"/>
                <w:sz w:val="16"/>
                <w:szCs w:val="16"/>
                <w:lang w:val="es-ES"/>
              </w:rPr>
              <w:t xml:space="preserve">cidente de </w:t>
            </w:r>
            <w:r w:rsidRPr="004768D0">
              <w:rPr>
                <w:rFonts w:asciiTheme="majorHAnsi" w:hAnsiTheme="majorHAnsi"/>
                <w:color w:val="000000" w:themeColor="text1"/>
                <w:sz w:val="16"/>
                <w:szCs w:val="16"/>
                <w:lang w:val="es-ES"/>
              </w:rPr>
              <w:t>tránsito</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y</w:t>
            </w:r>
            <w:r w:rsidR="00F27918" w:rsidRPr="004768D0">
              <w:rPr>
                <w:rFonts w:asciiTheme="majorHAnsi" w:hAnsiTheme="majorHAnsi"/>
                <w:color w:val="000000" w:themeColor="text1"/>
                <w:sz w:val="16"/>
                <w:szCs w:val="16"/>
                <w:lang w:val="es-ES"/>
              </w:rPr>
              <w:t xml:space="preserve"> que, a</w:t>
            </w:r>
            <w:r w:rsidRPr="004768D0">
              <w:rPr>
                <w:rFonts w:asciiTheme="majorHAnsi" w:hAnsiTheme="majorHAnsi"/>
                <w:color w:val="000000" w:themeColor="text1"/>
                <w:sz w:val="16"/>
                <w:szCs w:val="16"/>
                <w:lang w:val="es-ES"/>
              </w:rPr>
              <w:t>l llegar, encontró la víctima</w:t>
            </w:r>
            <w:r w:rsidR="00F27918" w:rsidRPr="004768D0">
              <w:rPr>
                <w:rFonts w:asciiTheme="majorHAnsi" w:hAnsiTheme="majorHAnsi"/>
                <w:color w:val="000000" w:themeColor="text1"/>
                <w:sz w:val="16"/>
                <w:szCs w:val="16"/>
                <w:lang w:val="es-ES"/>
              </w:rPr>
              <w:t xml:space="preserve"> baleada. Sobre </w:t>
            </w:r>
            <w:r w:rsidRPr="004768D0">
              <w:rPr>
                <w:rFonts w:asciiTheme="majorHAnsi" w:hAnsiTheme="majorHAnsi"/>
                <w:color w:val="000000" w:themeColor="text1"/>
                <w:sz w:val="16"/>
                <w:szCs w:val="16"/>
                <w:lang w:val="es-ES"/>
              </w:rPr>
              <w:t>el</w:t>
            </w:r>
            <w:r w:rsidR="00F27918" w:rsidRPr="004768D0">
              <w:rPr>
                <w:rFonts w:asciiTheme="majorHAnsi" w:hAnsiTheme="majorHAnsi"/>
                <w:color w:val="000000" w:themeColor="text1"/>
                <w:sz w:val="16"/>
                <w:szCs w:val="16"/>
                <w:lang w:val="es-ES"/>
              </w:rPr>
              <w:t xml:space="preserve"> </w:t>
            </w:r>
            <w:r w:rsidR="004744F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accidente</w:t>
            </w:r>
            <w:r w:rsidR="00F27918" w:rsidRPr="004768D0">
              <w:rPr>
                <w:rFonts w:asciiTheme="majorHAnsi" w:hAnsiTheme="majorHAnsi"/>
                <w:color w:val="000000" w:themeColor="text1"/>
                <w:sz w:val="16"/>
                <w:szCs w:val="16"/>
                <w:lang w:val="es-ES"/>
              </w:rPr>
              <w:t xml:space="preserve"> de </w:t>
            </w:r>
            <w:r w:rsidRPr="004768D0">
              <w:rPr>
                <w:rFonts w:asciiTheme="majorHAnsi" w:hAnsiTheme="majorHAnsi"/>
                <w:color w:val="000000" w:themeColor="text1"/>
                <w:sz w:val="16"/>
                <w:szCs w:val="16"/>
                <w:lang w:val="es-ES"/>
              </w:rPr>
              <w:t>tránsito</w:t>
            </w:r>
            <w:r w:rsidR="004744F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 xml:space="preserve"> no consta ninguna </w:t>
            </w:r>
            <w:r w:rsidR="00F27918" w:rsidRPr="004768D0">
              <w:rPr>
                <w:rFonts w:asciiTheme="majorHAnsi" w:hAnsiTheme="majorHAnsi"/>
                <w:color w:val="000000" w:themeColor="text1"/>
                <w:sz w:val="16"/>
                <w:szCs w:val="16"/>
                <w:lang w:val="es-ES"/>
              </w:rPr>
              <w:t>informa</w:t>
            </w:r>
            <w:r w:rsidRPr="004768D0">
              <w:rPr>
                <w:rFonts w:asciiTheme="majorHAnsi" w:hAnsiTheme="majorHAnsi"/>
                <w:color w:val="000000" w:themeColor="text1"/>
                <w:sz w:val="16"/>
                <w:szCs w:val="16"/>
                <w:lang w:val="es-ES"/>
              </w:rPr>
              <w:t xml:space="preserve">ción en </w:t>
            </w:r>
            <w:r w:rsidR="00F27918" w:rsidRPr="004768D0">
              <w:rPr>
                <w:rFonts w:asciiTheme="majorHAnsi" w:hAnsiTheme="majorHAnsi"/>
                <w:color w:val="000000" w:themeColor="text1"/>
                <w:sz w:val="16"/>
                <w:szCs w:val="16"/>
                <w:lang w:val="es-ES"/>
              </w:rPr>
              <w:t xml:space="preserve">autos. </w:t>
            </w:r>
          </w:p>
          <w:p w14:paraId="3F007A8C" w14:textId="77777777" w:rsidR="00F27918" w:rsidRPr="004768D0" w:rsidRDefault="000D0997"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Tampoco</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se hizo un peritaje de la </w:t>
            </w:r>
            <w:r w:rsidR="00F27918" w:rsidRPr="004768D0">
              <w:rPr>
                <w:rFonts w:asciiTheme="majorHAnsi" w:hAnsiTheme="majorHAnsi"/>
                <w:color w:val="000000" w:themeColor="text1"/>
                <w:sz w:val="16"/>
                <w:szCs w:val="16"/>
                <w:lang w:val="es-ES"/>
              </w:rPr>
              <w:t>moto d</w:t>
            </w:r>
            <w:r w:rsidRPr="004768D0">
              <w:rPr>
                <w:rFonts w:asciiTheme="majorHAnsi" w:hAnsiTheme="majorHAnsi"/>
                <w:color w:val="000000" w:themeColor="text1"/>
                <w:sz w:val="16"/>
                <w:szCs w:val="16"/>
                <w:lang w:val="es-ES"/>
              </w:rPr>
              <w:t>e</w:t>
            </w:r>
            <w:r w:rsidR="00F27918" w:rsidRPr="004768D0">
              <w:rPr>
                <w:rFonts w:asciiTheme="majorHAnsi" w:hAnsiTheme="majorHAnsi"/>
                <w:color w:val="000000" w:themeColor="text1"/>
                <w:sz w:val="16"/>
                <w:szCs w:val="16"/>
                <w:lang w:val="es-ES"/>
              </w:rPr>
              <w:t xml:space="preserve"> Edson. Débora cont</w:t>
            </w:r>
            <w:r w:rsidR="00CE240E" w:rsidRPr="004768D0">
              <w:rPr>
                <w:rFonts w:asciiTheme="majorHAnsi" w:hAnsiTheme="majorHAnsi"/>
                <w:color w:val="000000" w:themeColor="text1"/>
                <w:sz w:val="16"/>
                <w:szCs w:val="16"/>
                <w:lang w:val="es-ES"/>
              </w:rPr>
              <w:t>ó</w:t>
            </w:r>
            <w:r w:rsidR="00F27918" w:rsidRPr="004768D0">
              <w:rPr>
                <w:rFonts w:asciiTheme="majorHAnsi" w:hAnsiTheme="majorHAnsi"/>
                <w:color w:val="000000" w:themeColor="text1"/>
                <w:sz w:val="16"/>
                <w:szCs w:val="16"/>
                <w:lang w:val="es-ES"/>
              </w:rPr>
              <w:t xml:space="preserve"> que, </w:t>
            </w:r>
            <w:r w:rsidR="00CE240E" w:rsidRPr="004768D0">
              <w:rPr>
                <w:rFonts w:asciiTheme="majorHAnsi" w:hAnsiTheme="majorHAnsi"/>
                <w:color w:val="000000" w:themeColor="text1"/>
                <w:sz w:val="16"/>
                <w:szCs w:val="16"/>
                <w:lang w:val="es-ES"/>
              </w:rPr>
              <w:t>l</w:t>
            </w:r>
            <w:r w:rsidR="00F27918" w:rsidRPr="004768D0">
              <w:rPr>
                <w:rFonts w:asciiTheme="majorHAnsi" w:hAnsiTheme="majorHAnsi"/>
                <w:color w:val="000000" w:themeColor="text1"/>
                <w:sz w:val="16"/>
                <w:szCs w:val="16"/>
                <w:lang w:val="es-ES"/>
              </w:rPr>
              <w:t xml:space="preserve">a primera vez que </w:t>
            </w:r>
            <w:r w:rsidR="00CE240E" w:rsidRPr="004768D0">
              <w:rPr>
                <w:rFonts w:asciiTheme="majorHAnsi" w:hAnsiTheme="majorHAnsi"/>
                <w:color w:val="000000" w:themeColor="text1"/>
                <w:sz w:val="16"/>
                <w:szCs w:val="16"/>
                <w:lang w:val="es-ES"/>
              </w:rPr>
              <w:t xml:space="preserve">trató de </w:t>
            </w:r>
            <w:r w:rsidR="00803E0D">
              <w:rPr>
                <w:rFonts w:asciiTheme="majorHAnsi" w:hAnsiTheme="majorHAnsi"/>
                <w:color w:val="000000" w:themeColor="text1"/>
                <w:sz w:val="16"/>
                <w:szCs w:val="16"/>
                <w:lang w:val="es-ES"/>
              </w:rPr>
              <w:t>recuperar</w:t>
            </w:r>
            <w:r w:rsidR="00F27918" w:rsidRPr="004768D0">
              <w:rPr>
                <w:rFonts w:asciiTheme="majorHAnsi" w:hAnsiTheme="majorHAnsi"/>
                <w:color w:val="000000" w:themeColor="text1"/>
                <w:sz w:val="16"/>
                <w:szCs w:val="16"/>
                <w:lang w:val="es-ES"/>
              </w:rPr>
              <w:t xml:space="preserve"> </w:t>
            </w:r>
            <w:r w:rsidR="00CE240E" w:rsidRPr="004768D0">
              <w:rPr>
                <w:rFonts w:asciiTheme="majorHAnsi" w:hAnsiTheme="majorHAnsi"/>
                <w:color w:val="000000" w:themeColor="text1"/>
                <w:sz w:val="16"/>
                <w:szCs w:val="16"/>
                <w:lang w:val="es-ES"/>
              </w:rPr>
              <w:t>l</w:t>
            </w:r>
            <w:r w:rsidR="00F27918" w:rsidRPr="004768D0">
              <w:rPr>
                <w:rFonts w:asciiTheme="majorHAnsi" w:hAnsiTheme="majorHAnsi"/>
                <w:color w:val="000000" w:themeColor="text1"/>
                <w:sz w:val="16"/>
                <w:szCs w:val="16"/>
                <w:lang w:val="es-ES"/>
              </w:rPr>
              <w:t xml:space="preserve">a moto de su </w:t>
            </w:r>
            <w:r w:rsidR="00CE240E" w:rsidRPr="004768D0">
              <w:rPr>
                <w:rFonts w:asciiTheme="majorHAnsi" w:hAnsiTheme="majorHAnsi"/>
                <w:color w:val="000000" w:themeColor="text1"/>
                <w:sz w:val="16"/>
                <w:szCs w:val="16"/>
                <w:lang w:val="es-ES"/>
              </w:rPr>
              <w:t xml:space="preserve">hijo, la jefa de policía </w:t>
            </w:r>
            <w:r w:rsidR="00F27918" w:rsidRPr="004768D0">
              <w:rPr>
                <w:rFonts w:asciiTheme="majorHAnsi" w:hAnsiTheme="majorHAnsi"/>
                <w:color w:val="000000" w:themeColor="text1"/>
                <w:sz w:val="16"/>
                <w:szCs w:val="16"/>
                <w:lang w:val="es-ES"/>
              </w:rPr>
              <w:t xml:space="preserve">interina </w:t>
            </w:r>
            <w:r w:rsidR="00CE240E" w:rsidRPr="004768D0">
              <w:rPr>
                <w:rFonts w:asciiTheme="majorHAnsi" w:hAnsiTheme="majorHAnsi"/>
                <w:color w:val="000000" w:themeColor="text1"/>
                <w:sz w:val="16"/>
                <w:szCs w:val="16"/>
                <w:lang w:val="es-ES"/>
              </w:rPr>
              <w:t xml:space="preserve">le dijo que tenía que esperar </w:t>
            </w:r>
            <w:r w:rsidR="00F27918" w:rsidRPr="004768D0">
              <w:rPr>
                <w:rFonts w:asciiTheme="majorHAnsi" w:hAnsiTheme="majorHAnsi"/>
                <w:color w:val="000000" w:themeColor="text1"/>
                <w:sz w:val="16"/>
                <w:szCs w:val="16"/>
                <w:lang w:val="es-ES"/>
              </w:rPr>
              <w:t xml:space="preserve">porque </w:t>
            </w:r>
            <w:r w:rsidR="00CE240E" w:rsidRPr="004768D0">
              <w:rPr>
                <w:rFonts w:asciiTheme="majorHAnsi" w:hAnsiTheme="majorHAnsi"/>
                <w:color w:val="000000" w:themeColor="text1"/>
                <w:sz w:val="16"/>
                <w:szCs w:val="16"/>
                <w:lang w:val="es-ES"/>
              </w:rPr>
              <w:t>l</w:t>
            </w:r>
            <w:r w:rsidR="00F27918" w:rsidRPr="004768D0">
              <w:rPr>
                <w:rFonts w:asciiTheme="majorHAnsi" w:hAnsiTheme="majorHAnsi"/>
                <w:color w:val="000000" w:themeColor="text1"/>
                <w:sz w:val="16"/>
                <w:szCs w:val="16"/>
                <w:lang w:val="es-ES"/>
              </w:rPr>
              <w:t>a moto d</w:t>
            </w:r>
            <w:r w:rsidR="00CE240E" w:rsidRPr="004768D0">
              <w:rPr>
                <w:rFonts w:asciiTheme="majorHAnsi" w:hAnsiTheme="majorHAnsi"/>
                <w:color w:val="000000" w:themeColor="text1"/>
                <w:sz w:val="16"/>
                <w:szCs w:val="16"/>
                <w:lang w:val="es-ES"/>
              </w:rPr>
              <w:t xml:space="preserve">ebía ser sometida a un peritaje. Diez días después, como no se </w:t>
            </w:r>
            <w:r w:rsidR="00803E0D">
              <w:rPr>
                <w:rFonts w:asciiTheme="majorHAnsi" w:hAnsiTheme="majorHAnsi"/>
                <w:color w:val="000000" w:themeColor="text1"/>
                <w:sz w:val="16"/>
                <w:szCs w:val="16"/>
                <w:lang w:val="es-ES"/>
              </w:rPr>
              <w:t>había hecho n</w:t>
            </w:r>
            <w:r w:rsidR="00CE240E" w:rsidRPr="004768D0">
              <w:rPr>
                <w:rFonts w:asciiTheme="majorHAnsi" w:hAnsiTheme="majorHAnsi"/>
                <w:color w:val="000000" w:themeColor="text1"/>
                <w:sz w:val="16"/>
                <w:szCs w:val="16"/>
                <w:lang w:val="es-ES"/>
              </w:rPr>
              <w:t>ingún peritaje, la jefa de policía liberó l</w:t>
            </w:r>
            <w:r w:rsidR="00F27918" w:rsidRPr="004768D0">
              <w:rPr>
                <w:rFonts w:asciiTheme="majorHAnsi" w:hAnsiTheme="majorHAnsi"/>
                <w:color w:val="000000" w:themeColor="text1"/>
                <w:sz w:val="16"/>
                <w:szCs w:val="16"/>
                <w:lang w:val="es-ES"/>
              </w:rPr>
              <w:t>a moto.</w:t>
            </w:r>
          </w:p>
          <w:p w14:paraId="106A30E4" w14:textId="77777777" w:rsidR="00F27918" w:rsidRPr="004768D0" w:rsidRDefault="003346C1"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La moto no solo no fue sometida a un peritaje, sino que </w:t>
            </w:r>
            <w:r w:rsidR="000D0997" w:rsidRPr="004768D0">
              <w:rPr>
                <w:rFonts w:asciiTheme="majorHAnsi" w:hAnsiTheme="majorHAnsi"/>
                <w:color w:val="000000" w:themeColor="text1"/>
                <w:sz w:val="16"/>
                <w:szCs w:val="16"/>
                <w:lang w:val="es-ES"/>
              </w:rPr>
              <w:t>tampoco</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fue </w:t>
            </w:r>
            <w:r w:rsidR="00F27918" w:rsidRPr="004768D0">
              <w:rPr>
                <w:rFonts w:asciiTheme="majorHAnsi" w:hAnsiTheme="majorHAnsi"/>
                <w:color w:val="000000" w:themeColor="text1"/>
                <w:sz w:val="16"/>
                <w:szCs w:val="16"/>
                <w:lang w:val="es-ES"/>
              </w:rPr>
              <w:t xml:space="preserve">preservada. </w:t>
            </w:r>
            <w:r w:rsidRPr="004768D0">
              <w:rPr>
                <w:rFonts w:asciiTheme="majorHAnsi" w:hAnsiTheme="majorHAnsi"/>
                <w:color w:val="000000" w:themeColor="text1"/>
                <w:sz w:val="16"/>
                <w:szCs w:val="16"/>
                <w:lang w:val="es-ES"/>
              </w:rPr>
              <w:t>C</w:t>
            </w:r>
            <w:r w:rsidR="00F27918" w:rsidRPr="004768D0">
              <w:rPr>
                <w:rFonts w:asciiTheme="majorHAnsi" w:hAnsiTheme="majorHAnsi"/>
                <w:color w:val="000000" w:themeColor="text1"/>
                <w:sz w:val="16"/>
                <w:szCs w:val="16"/>
                <w:lang w:val="es-ES"/>
              </w:rPr>
              <w:t xml:space="preserve">uando </w:t>
            </w:r>
            <w:r w:rsidR="00CF044D" w:rsidRPr="004768D0">
              <w:rPr>
                <w:rFonts w:asciiTheme="majorHAnsi" w:hAnsiTheme="majorHAnsi"/>
                <w:color w:val="000000" w:themeColor="text1"/>
                <w:sz w:val="16"/>
                <w:szCs w:val="16"/>
                <w:lang w:val="es-ES"/>
              </w:rPr>
              <w:t>la señora</w:t>
            </w:r>
            <w:r w:rsidR="00F27918" w:rsidRPr="004768D0">
              <w:rPr>
                <w:rFonts w:asciiTheme="majorHAnsi" w:hAnsiTheme="majorHAnsi"/>
                <w:color w:val="000000" w:themeColor="text1"/>
                <w:sz w:val="16"/>
                <w:szCs w:val="16"/>
                <w:lang w:val="es-ES"/>
              </w:rPr>
              <w:t xml:space="preserve"> Débora </w:t>
            </w:r>
            <w:r w:rsidRPr="004768D0">
              <w:rPr>
                <w:rFonts w:asciiTheme="majorHAnsi" w:hAnsiTheme="majorHAnsi"/>
                <w:color w:val="000000" w:themeColor="text1"/>
                <w:sz w:val="16"/>
                <w:szCs w:val="16"/>
                <w:lang w:val="es-ES"/>
              </w:rPr>
              <w:t>l</w:t>
            </w:r>
            <w:r w:rsidR="00F27918" w:rsidRPr="004768D0">
              <w:rPr>
                <w:rFonts w:asciiTheme="majorHAnsi" w:hAnsiTheme="majorHAnsi"/>
                <w:color w:val="000000" w:themeColor="text1"/>
                <w:sz w:val="16"/>
                <w:szCs w:val="16"/>
                <w:lang w:val="es-ES"/>
              </w:rPr>
              <w:t>a rec</w:t>
            </w:r>
            <w:r w:rsidRPr="004768D0">
              <w:rPr>
                <w:rFonts w:asciiTheme="majorHAnsi" w:hAnsiTheme="majorHAnsi"/>
                <w:color w:val="000000" w:themeColor="text1"/>
                <w:sz w:val="16"/>
                <w:szCs w:val="16"/>
                <w:lang w:val="es-ES"/>
              </w:rPr>
              <w:t>ibió en un</w:t>
            </w:r>
            <w:r w:rsidR="00F27918" w:rsidRPr="004768D0">
              <w:rPr>
                <w:rFonts w:asciiTheme="majorHAnsi" w:hAnsiTheme="majorHAnsi"/>
                <w:color w:val="000000" w:themeColor="text1"/>
                <w:sz w:val="16"/>
                <w:szCs w:val="16"/>
                <w:lang w:val="es-ES"/>
              </w:rPr>
              <w:t xml:space="preserve"> p</w:t>
            </w:r>
            <w:r w:rsidRPr="004768D0">
              <w:rPr>
                <w:rFonts w:asciiTheme="majorHAnsi" w:hAnsiTheme="majorHAnsi"/>
                <w:color w:val="000000" w:themeColor="text1"/>
                <w:sz w:val="16"/>
                <w:szCs w:val="16"/>
                <w:lang w:val="es-ES"/>
              </w:rPr>
              <w:t>a</w:t>
            </w:r>
            <w:r w:rsidR="00F27918" w:rsidRPr="004768D0">
              <w:rPr>
                <w:rFonts w:asciiTheme="majorHAnsi" w:hAnsiTheme="majorHAnsi"/>
                <w:color w:val="000000" w:themeColor="text1"/>
                <w:sz w:val="16"/>
                <w:szCs w:val="16"/>
                <w:lang w:val="es-ES"/>
              </w:rPr>
              <w:t xml:space="preserve">tio municipal, </w:t>
            </w:r>
            <w:r w:rsidRPr="004768D0">
              <w:rPr>
                <w:rFonts w:asciiTheme="majorHAnsi" w:hAnsiTheme="majorHAnsi"/>
                <w:color w:val="000000" w:themeColor="text1"/>
                <w:sz w:val="16"/>
                <w:szCs w:val="16"/>
                <w:lang w:val="es-ES"/>
              </w:rPr>
              <w:t>constató</w:t>
            </w:r>
            <w:r w:rsidR="00F27918" w:rsidRPr="004768D0">
              <w:rPr>
                <w:rFonts w:asciiTheme="majorHAnsi" w:hAnsiTheme="majorHAnsi"/>
                <w:color w:val="000000" w:themeColor="text1"/>
                <w:sz w:val="16"/>
                <w:szCs w:val="16"/>
                <w:lang w:val="es-ES"/>
              </w:rPr>
              <w:t xml:space="preserve"> que </w:t>
            </w:r>
            <w:r w:rsidRPr="004768D0">
              <w:rPr>
                <w:rFonts w:asciiTheme="majorHAnsi" w:hAnsiTheme="majorHAnsi"/>
                <w:color w:val="000000" w:themeColor="text1"/>
                <w:sz w:val="16"/>
                <w:szCs w:val="16"/>
                <w:lang w:val="es-ES"/>
              </w:rPr>
              <w:t>el</w:t>
            </w:r>
            <w:r w:rsidR="00F27918" w:rsidRPr="004768D0">
              <w:rPr>
                <w:rFonts w:asciiTheme="majorHAnsi" w:hAnsiTheme="majorHAnsi"/>
                <w:color w:val="000000" w:themeColor="text1"/>
                <w:sz w:val="16"/>
                <w:szCs w:val="16"/>
                <w:lang w:val="es-ES"/>
              </w:rPr>
              <w:t xml:space="preserve"> tanque de combust</w:t>
            </w:r>
            <w:r w:rsidRPr="004768D0">
              <w:rPr>
                <w:rFonts w:asciiTheme="majorHAnsi" w:hAnsiTheme="majorHAnsi"/>
                <w:color w:val="000000" w:themeColor="text1"/>
                <w:sz w:val="16"/>
                <w:szCs w:val="16"/>
                <w:lang w:val="es-ES"/>
              </w:rPr>
              <w:t xml:space="preserve">ible tenía un polvo blanco en el fondo, que descubrió que era azúcar. Llamó a un agente de policía que trabajaban en el lugar y le preguntó qué significaba eso. El policía le respondió que seguramente le habían hecho eso a la moto en el </w:t>
            </w:r>
            <w:r w:rsidR="00F27918" w:rsidRPr="004768D0">
              <w:rPr>
                <w:rFonts w:asciiTheme="majorHAnsi" w:hAnsiTheme="majorHAnsi"/>
                <w:color w:val="000000" w:themeColor="text1"/>
                <w:sz w:val="16"/>
                <w:szCs w:val="16"/>
                <w:lang w:val="es-ES"/>
              </w:rPr>
              <w:t xml:space="preserve">Distrito Policial para </w:t>
            </w:r>
            <w:r w:rsidRPr="004768D0">
              <w:rPr>
                <w:rFonts w:asciiTheme="majorHAnsi" w:hAnsiTheme="majorHAnsi"/>
                <w:color w:val="000000" w:themeColor="text1"/>
                <w:sz w:val="16"/>
                <w:szCs w:val="16"/>
                <w:lang w:val="es-ES"/>
              </w:rPr>
              <w:t xml:space="preserve">arruinar el </w:t>
            </w:r>
            <w:r w:rsidR="00F27918" w:rsidRPr="004768D0">
              <w:rPr>
                <w:rFonts w:asciiTheme="majorHAnsi" w:hAnsiTheme="majorHAnsi"/>
                <w:color w:val="000000" w:themeColor="text1"/>
                <w:sz w:val="16"/>
                <w:szCs w:val="16"/>
                <w:lang w:val="es-ES"/>
              </w:rPr>
              <w:t xml:space="preserve">motor. No </w:t>
            </w:r>
            <w:r w:rsidRPr="004768D0">
              <w:rPr>
                <w:rFonts w:asciiTheme="majorHAnsi" w:hAnsiTheme="majorHAnsi"/>
                <w:color w:val="000000" w:themeColor="text1"/>
                <w:sz w:val="16"/>
                <w:szCs w:val="16"/>
                <w:lang w:val="es-ES"/>
              </w:rPr>
              <w:t>se investigó el asunto</w:t>
            </w:r>
            <w:r w:rsidR="00F27918" w:rsidRPr="004768D0">
              <w:rPr>
                <w:rFonts w:asciiTheme="majorHAnsi" w:hAnsiTheme="majorHAnsi"/>
                <w:color w:val="000000" w:themeColor="text1"/>
                <w:sz w:val="16"/>
                <w:szCs w:val="16"/>
                <w:lang w:val="es-ES"/>
              </w:rPr>
              <w:t>.</w:t>
            </w:r>
          </w:p>
          <w:p w14:paraId="54E2611C" w14:textId="77777777" w:rsidR="00F27918" w:rsidRPr="004768D0" w:rsidRDefault="002562F9"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Varios vehículos de la</w:t>
            </w:r>
            <w:r w:rsidR="00F27918" w:rsidRPr="004768D0">
              <w:rPr>
                <w:rFonts w:asciiTheme="majorHAnsi" w:hAnsiTheme="majorHAnsi"/>
                <w:color w:val="000000" w:themeColor="text1"/>
                <w:sz w:val="16"/>
                <w:szCs w:val="16"/>
                <w:lang w:val="es-ES"/>
              </w:rPr>
              <w:t xml:space="preserve"> </w:t>
            </w:r>
            <w:r w:rsidR="00372008" w:rsidRPr="004768D0">
              <w:rPr>
                <w:rFonts w:asciiTheme="majorHAnsi" w:hAnsiTheme="majorHAnsi"/>
                <w:color w:val="000000" w:themeColor="text1"/>
                <w:sz w:val="16"/>
                <w:szCs w:val="16"/>
                <w:lang w:val="es-ES"/>
              </w:rPr>
              <w:t>Policía</w:t>
            </w:r>
            <w:r w:rsidR="00F27918" w:rsidRPr="004768D0">
              <w:rPr>
                <w:rFonts w:asciiTheme="majorHAnsi" w:hAnsiTheme="majorHAnsi"/>
                <w:color w:val="000000" w:themeColor="text1"/>
                <w:sz w:val="16"/>
                <w:szCs w:val="16"/>
                <w:lang w:val="es-ES"/>
              </w:rPr>
              <w:t xml:space="preserve"> Militar </w:t>
            </w:r>
            <w:r w:rsidRPr="004768D0">
              <w:rPr>
                <w:rFonts w:asciiTheme="majorHAnsi" w:hAnsiTheme="majorHAnsi"/>
                <w:color w:val="000000" w:themeColor="text1"/>
                <w:sz w:val="16"/>
                <w:szCs w:val="16"/>
                <w:lang w:val="es-ES"/>
              </w:rPr>
              <w:t>fueron vistos en los alrededores de la iglesia donde se celebró una misa un año después de la</w:t>
            </w:r>
            <w:r w:rsidR="00F27918" w:rsidRPr="004768D0">
              <w:rPr>
                <w:rFonts w:asciiTheme="majorHAnsi" w:hAnsiTheme="majorHAnsi"/>
                <w:color w:val="000000" w:themeColor="text1"/>
                <w:sz w:val="16"/>
                <w:szCs w:val="16"/>
                <w:lang w:val="es-ES"/>
              </w:rPr>
              <w:t xml:space="preserve"> </w:t>
            </w:r>
            <w:r w:rsidR="00372008" w:rsidRPr="004768D0">
              <w:rPr>
                <w:rFonts w:asciiTheme="majorHAnsi" w:hAnsiTheme="majorHAnsi"/>
                <w:color w:val="000000" w:themeColor="text1"/>
                <w:sz w:val="16"/>
                <w:szCs w:val="16"/>
                <w:lang w:val="es-ES"/>
              </w:rPr>
              <w:t>muerte de</w:t>
            </w:r>
            <w:r w:rsidR="00F27918" w:rsidRPr="004768D0">
              <w:rPr>
                <w:rFonts w:asciiTheme="majorHAnsi" w:hAnsiTheme="majorHAnsi"/>
                <w:color w:val="000000" w:themeColor="text1"/>
                <w:sz w:val="16"/>
                <w:szCs w:val="16"/>
                <w:lang w:val="es-ES"/>
              </w:rPr>
              <w:t xml:space="preserve"> Edson, </w:t>
            </w:r>
            <w:r w:rsidRPr="004768D0">
              <w:rPr>
                <w:rFonts w:asciiTheme="majorHAnsi" w:hAnsiTheme="majorHAnsi"/>
                <w:color w:val="000000" w:themeColor="text1"/>
                <w:sz w:val="16"/>
                <w:szCs w:val="16"/>
                <w:lang w:val="es-ES"/>
              </w:rPr>
              <w:t xml:space="preserve">que pasaron a gran </w:t>
            </w:r>
            <w:r w:rsidR="00F27918" w:rsidRPr="004768D0">
              <w:rPr>
                <w:rFonts w:asciiTheme="majorHAnsi" w:hAnsiTheme="majorHAnsi"/>
                <w:color w:val="000000" w:themeColor="text1"/>
                <w:sz w:val="16"/>
                <w:szCs w:val="16"/>
                <w:lang w:val="es-ES"/>
              </w:rPr>
              <w:t>velocidad, co</w:t>
            </w:r>
            <w:r w:rsidRPr="004768D0">
              <w:rPr>
                <w:rFonts w:asciiTheme="majorHAnsi" w:hAnsiTheme="majorHAnsi"/>
                <w:color w:val="000000" w:themeColor="text1"/>
                <w:sz w:val="16"/>
                <w:szCs w:val="16"/>
                <w:lang w:val="es-ES"/>
              </w:rPr>
              <w:t xml:space="preserve">n agentes </w:t>
            </w:r>
            <w:r w:rsidR="00A70AAA" w:rsidRPr="004768D0">
              <w:rPr>
                <w:rFonts w:asciiTheme="majorHAnsi" w:hAnsiTheme="majorHAnsi"/>
                <w:color w:val="000000" w:themeColor="text1"/>
                <w:sz w:val="16"/>
                <w:szCs w:val="16"/>
                <w:lang w:val="es-ES"/>
              </w:rPr>
              <w:t>encapuchados</w:t>
            </w:r>
            <w:r w:rsidR="00F27918"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y con el cuerpo </w:t>
            </w:r>
            <w:r w:rsidR="00803E0D">
              <w:rPr>
                <w:rFonts w:asciiTheme="majorHAnsi" w:hAnsiTheme="majorHAnsi"/>
                <w:color w:val="000000" w:themeColor="text1"/>
                <w:sz w:val="16"/>
                <w:szCs w:val="16"/>
                <w:lang w:val="es-ES"/>
              </w:rPr>
              <w:t xml:space="preserve">sobresaliendo </w:t>
            </w:r>
            <w:r w:rsidRPr="004768D0">
              <w:rPr>
                <w:rFonts w:asciiTheme="majorHAnsi" w:hAnsiTheme="majorHAnsi"/>
                <w:color w:val="000000" w:themeColor="text1"/>
                <w:sz w:val="16"/>
                <w:szCs w:val="16"/>
                <w:lang w:val="es-ES"/>
              </w:rPr>
              <w:t xml:space="preserve">de los </w:t>
            </w:r>
            <w:r w:rsidR="006062C8" w:rsidRPr="004768D0">
              <w:rPr>
                <w:rFonts w:asciiTheme="majorHAnsi" w:hAnsiTheme="majorHAnsi"/>
                <w:color w:val="000000" w:themeColor="text1"/>
                <w:sz w:val="16"/>
                <w:szCs w:val="16"/>
                <w:lang w:val="es-ES"/>
              </w:rPr>
              <w:t>vehículo</w:t>
            </w:r>
            <w:r w:rsidR="00F27918" w:rsidRPr="004768D0">
              <w:rPr>
                <w:rFonts w:asciiTheme="majorHAnsi" w:hAnsiTheme="majorHAnsi"/>
                <w:color w:val="000000" w:themeColor="text1"/>
                <w:sz w:val="16"/>
                <w:szCs w:val="16"/>
                <w:lang w:val="es-ES"/>
              </w:rPr>
              <w:t>s.</w:t>
            </w:r>
          </w:p>
          <w:p w14:paraId="0BB4578D" w14:textId="1A073B0D" w:rsidR="00F17F2E" w:rsidRPr="004768D0" w:rsidRDefault="002562F9" w:rsidP="0034687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La </w:t>
            </w:r>
            <w:r w:rsidR="00C03E33" w:rsidRPr="004768D0">
              <w:rPr>
                <w:rFonts w:asciiTheme="majorHAnsi" w:hAnsiTheme="majorHAnsi"/>
                <w:color w:val="000000" w:themeColor="text1"/>
                <w:sz w:val="16"/>
                <w:szCs w:val="16"/>
                <w:lang w:val="es-ES"/>
              </w:rPr>
              <w:t>investigación</w:t>
            </w:r>
            <w:r w:rsidR="00F27918" w:rsidRPr="004768D0">
              <w:rPr>
                <w:rFonts w:asciiTheme="majorHAnsi" w:hAnsiTheme="majorHAnsi"/>
                <w:color w:val="000000" w:themeColor="text1"/>
                <w:sz w:val="16"/>
                <w:szCs w:val="16"/>
                <w:lang w:val="es-ES"/>
              </w:rPr>
              <w:t xml:space="preserve"> policial f</w:t>
            </w:r>
            <w:r w:rsidR="00346878" w:rsidRPr="004768D0">
              <w:rPr>
                <w:rFonts w:asciiTheme="majorHAnsi" w:hAnsiTheme="majorHAnsi"/>
                <w:color w:val="000000" w:themeColor="text1"/>
                <w:sz w:val="16"/>
                <w:szCs w:val="16"/>
                <w:lang w:val="es-ES"/>
              </w:rPr>
              <w:t xml:space="preserve">ue archivada el </w:t>
            </w:r>
            <w:r w:rsidR="00F27918" w:rsidRPr="004768D0">
              <w:rPr>
                <w:rFonts w:asciiTheme="majorHAnsi" w:hAnsiTheme="majorHAnsi"/>
                <w:color w:val="000000" w:themeColor="text1"/>
                <w:sz w:val="16"/>
                <w:szCs w:val="16"/>
                <w:lang w:val="es-ES"/>
              </w:rPr>
              <w:t xml:space="preserve">23 de </w:t>
            </w:r>
            <w:r w:rsidR="00346878" w:rsidRPr="004768D0">
              <w:rPr>
                <w:rFonts w:asciiTheme="majorHAnsi" w:hAnsiTheme="majorHAnsi"/>
                <w:color w:val="000000" w:themeColor="text1"/>
                <w:sz w:val="16"/>
                <w:szCs w:val="16"/>
                <w:lang w:val="es-ES"/>
              </w:rPr>
              <w:t>junio</w:t>
            </w:r>
            <w:r w:rsidR="00F27918" w:rsidRPr="004768D0">
              <w:rPr>
                <w:rFonts w:asciiTheme="majorHAnsi" w:hAnsiTheme="majorHAnsi"/>
                <w:color w:val="000000" w:themeColor="text1"/>
                <w:sz w:val="16"/>
                <w:szCs w:val="16"/>
                <w:lang w:val="es-ES"/>
              </w:rPr>
              <w:t xml:space="preserve"> de 2008. </w:t>
            </w:r>
            <w:r w:rsidR="00346878" w:rsidRPr="004768D0">
              <w:rPr>
                <w:rFonts w:asciiTheme="majorHAnsi" w:hAnsiTheme="majorHAnsi"/>
                <w:color w:val="000000" w:themeColor="text1"/>
                <w:sz w:val="16"/>
                <w:szCs w:val="16"/>
                <w:lang w:val="es-ES"/>
              </w:rPr>
              <w:t xml:space="preserve">El delito quedó sin </w:t>
            </w:r>
            <w:r w:rsidR="00135DA0">
              <w:rPr>
                <w:rFonts w:asciiTheme="majorHAnsi" w:hAnsiTheme="majorHAnsi"/>
                <w:color w:val="000000" w:themeColor="text1"/>
                <w:sz w:val="16"/>
                <w:szCs w:val="16"/>
                <w:lang w:val="es-ES"/>
              </w:rPr>
              <w:t>solución</w:t>
            </w:r>
            <w:r w:rsidR="00346878" w:rsidRPr="004768D0">
              <w:rPr>
                <w:rFonts w:asciiTheme="majorHAnsi" w:hAnsiTheme="majorHAnsi"/>
                <w:color w:val="000000" w:themeColor="text1"/>
                <w:sz w:val="16"/>
                <w:szCs w:val="16"/>
                <w:lang w:val="es-ES"/>
              </w:rPr>
              <w:t xml:space="preserve">. Al </w:t>
            </w:r>
            <w:r w:rsidR="00F27918" w:rsidRPr="004768D0">
              <w:rPr>
                <w:rFonts w:asciiTheme="majorHAnsi" w:hAnsiTheme="majorHAnsi"/>
                <w:color w:val="000000" w:themeColor="text1"/>
                <w:sz w:val="16"/>
                <w:szCs w:val="16"/>
                <w:lang w:val="es-ES"/>
              </w:rPr>
              <w:t xml:space="preserve">solicitar </w:t>
            </w:r>
            <w:r w:rsidR="00346878" w:rsidRPr="004768D0">
              <w:rPr>
                <w:rFonts w:asciiTheme="majorHAnsi" w:hAnsiTheme="majorHAnsi"/>
                <w:color w:val="000000" w:themeColor="text1"/>
                <w:sz w:val="16"/>
                <w:szCs w:val="16"/>
                <w:lang w:val="es-ES"/>
              </w:rPr>
              <w:t>el</w:t>
            </w:r>
            <w:r w:rsidR="00F27918" w:rsidRPr="004768D0">
              <w:rPr>
                <w:rFonts w:asciiTheme="majorHAnsi" w:hAnsiTheme="majorHAnsi"/>
                <w:color w:val="000000" w:themeColor="text1"/>
                <w:sz w:val="16"/>
                <w:szCs w:val="16"/>
                <w:lang w:val="es-ES"/>
              </w:rPr>
              <w:t xml:space="preserve"> ar</w:t>
            </w:r>
            <w:r w:rsidR="00346878" w:rsidRPr="004768D0">
              <w:rPr>
                <w:rFonts w:asciiTheme="majorHAnsi" w:hAnsiTheme="majorHAnsi"/>
                <w:color w:val="000000" w:themeColor="text1"/>
                <w:sz w:val="16"/>
                <w:szCs w:val="16"/>
                <w:lang w:val="es-ES"/>
              </w:rPr>
              <w:t>chivamiento, el Ministerio</w:t>
            </w:r>
            <w:r w:rsidR="00F27918" w:rsidRPr="004768D0">
              <w:rPr>
                <w:rFonts w:asciiTheme="majorHAnsi" w:hAnsiTheme="majorHAnsi"/>
                <w:color w:val="000000" w:themeColor="text1"/>
                <w:sz w:val="16"/>
                <w:szCs w:val="16"/>
                <w:lang w:val="es-ES"/>
              </w:rPr>
              <w:t xml:space="preserve"> Público </w:t>
            </w:r>
            <w:r w:rsidR="00346878" w:rsidRPr="004768D0">
              <w:rPr>
                <w:rFonts w:asciiTheme="majorHAnsi" w:hAnsiTheme="majorHAnsi"/>
                <w:color w:val="000000" w:themeColor="text1"/>
                <w:sz w:val="16"/>
                <w:szCs w:val="16"/>
                <w:lang w:val="es-ES"/>
              </w:rPr>
              <w:t xml:space="preserve">recalcó </w:t>
            </w:r>
            <w:r w:rsidR="00F27918" w:rsidRPr="004768D0">
              <w:rPr>
                <w:rFonts w:asciiTheme="majorHAnsi" w:hAnsiTheme="majorHAnsi"/>
                <w:color w:val="000000" w:themeColor="text1"/>
                <w:sz w:val="16"/>
                <w:szCs w:val="16"/>
                <w:lang w:val="es-ES"/>
              </w:rPr>
              <w:t>que</w:t>
            </w:r>
            <w:r w:rsidR="00346878" w:rsidRPr="004768D0">
              <w:rPr>
                <w:rFonts w:asciiTheme="majorHAnsi" w:hAnsiTheme="majorHAnsi"/>
                <w:color w:val="000000" w:themeColor="text1"/>
                <w:sz w:val="16"/>
                <w:szCs w:val="16"/>
                <w:lang w:val="es-ES"/>
              </w:rPr>
              <w:t xml:space="preserve">, </w:t>
            </w:r>
            <w:r w:rsidR="00F27918" w:rsidRPr="004768D0">
              <w:rPr>
                <w:rFonts w:asciiTheme="majorHAnsi" w:hAnsiTheme="majorHAnsi"/>
                <w:color w:val="000000" w:themeColor="text1"/>
                <w:sz w:val="16"/>
                <w:szCs w:val="16"/>
                <w:lang w:val="es-ES"/>
              </w:rPr>
              <w:t xml:space="preserve">entre </w:t>
            </w:r>
            <w:r w:rsidR="00346878" w:rsidRPr="004768D0">
              <w:rPr>
                <w:rFonts w:asciiTheme="majorHAnsi" w:hAnsiTheme="majorHAnsi"/>
                <w:color w:val="000000" w:themeColor="text1"/>
                <w:sz w:val="16"/>
                <w:szCs w:val="16"/>
                <w:lang w:val="es-ES"/>
              </w:rPr>
              <w:t xml:space="preserve">el </w:t>
            </w:r>
            <w:r w:rsidR="00F27918" w:rsidRPr="004768D0">
              <w:rPr>
                <w:rFonts w:asciiTheme="majorHAnsi" w:hAnsiTheme="majorHAnsi"/>
                <w:color w:val="000000" w:themeColor="text1"/>
                <w:sz w:val="16"/>
                <w:szCs w:val="16"/>
                <w:lang w:val="es-ES"/>
              </w:rPr>
              <w:t xml:space="preserve">13 </w:t>
            </w:r>
            <w:r w:rsidR="00346878" w:rsidRPr="004768D0">
              <w:rPr>
                <w:rFonts w:asciiTheme="majorHAnsi" w:hAnsiTheme="majorHAnsi"/>
                <w:color w:val="000000" w:themeColor="text1"/>
                <w:sz w:val="16"/>
                <w:szCs w:val="16"/>
                <w:lang w:val="es-ES"/>
              </w:rPr>
              <w:t xml:space="preserve">y el </w:t>
            </w:r>
            <w:r w:rsidR="00F27918" w:rsidRPr="004768D0">
              <w:rPr>
                <w:rFonts w:asciiTheme="majorHAnsi" w:hAnsiTheme="majorHAnsi"/>
                <w:color w:val="000000" w:themeColor="text1"/>
                <w:sz w:val="16"/>
                <w:szCs w:val="16"/>
                <w:lang w:val="es-ES"/>
              </w:rPr>
              <w:t xml:space="preserve">17 de </w:t>
            </w:r>
            <w:r w:rsidR="007F4608" w:rsidRPr="004768D0">
              <w:rPr>
                <w:rFonts w:asciiTheme="majorHAnsi" w:hAnsiTheme="majorHAnsi"/>
                <w:color w:val="000000" w:themeColor="text1"/>
                <w:sz w:val="16"/>
                <w:szCs w:val="16"/>
                <w:lang w:val="es-ES"/>
              </w:rPr>
              <w:t>mayo</w:t>
            </w:r>
            <w:r w:rsidR="00F27918" w:rsidRPr="004768D0">
              <w:rPr>
                <w:rFonts w:asciiTheme="majorHAnsi" w:hAnsiTheme="majorHAnsi"/>
                <w:color w:val="000000" w:themeColor="text1"/>
                <w:sz w:val="16"/>
                <w:szCs w:val="16"/>
                <w:lang w:val="es-ES"/>
              </w:rPr>
              <w:t xml:space="preserve"> de 2006</w:t>
            </w:r>
            <w:r w:rsidR="00346878" w:rsidRPr="004768D0">
              <w:rPr>
                <w:rFonts w:asciiTheme="majorHAnsi" w:hAnsiTheme="majorHAnsi"/>
                <w:color w:val="000000" w:themeColor="text1"/>
                <w:sz w:val="16"/>
                <w:szCs w:val="16"/>
                <w:lang w:val="es-ES"/>
              </w:rPr>
              <w:t xml:space="preserve">, hubo </w:t>
            </w:r>
            <w:r w:rsidR="00F27918" w:rsidRPr="004768D0">
              <w:rPr>
                <w:rFonts w:asciiTheme="majorHAnsi" w:hAnsiTheme="majorHAnsi"/>
                <w:color w:val="000000" w:themeColor="text1"/>
                <w:sz w:val="16"/>
                <w:szCs w:val="16"/>
                <w:lang w:val="es-ES"/>
              </w:rPr>
              <w:t>ataques e</w:t>
            </w:r>
            <w:r w:rsidR="00346878" w:rsidRPr="004768D0">
              <w:rPr>
                <w:rFonts w:asciiTheme="majorHAnsi" w:hAnsiTheme="majorHAnsi"/>
                <w:color w:val="000000" w:themeColor="text1"/>
                <w:sz w:val="16"/>
                <w:szCs w:val="16"/>
                <w:lang w:val="es-ES"/>
              </w:rPr>
              <w:t>n</w:t>
            </w:r>
            <w:r w:rsidR="00F27918" w:rsidRPr="004768D0">
              <w:rPr>
                <w:rFonts w:asciiTheme="majorHAnsi" w:hAnsiTheme="majorHAnsi"/>
                <w:color w:val="000000" w:themeColor="text1"/>
                <w:sz w:val="16"/>
                <w:szCs w:val="16"/>
                <w:lang w:val="es-ES"/>
              </w:rPr>
              <w:t xml:space="preserve"> todo </w:t>
            </w:r>
            <w:r w:rsidR="00346878" w:rsidRPr="004768D0">
              <w:rPr>
                <w:rFonts w:asciiTheme="majorHAnsi" w:hAnsiTheme="majorHAnsi"/>
                <w:color w:val="000000" w:themeColor="text1"/>
                <w:sz w:val="16"/>
                <w:szCs w:val="16"/>
                <w:lang w:val="es-ES"/>
              </w:rPr>
              <w:t>el</w:t>
            </w:r>
            <w:r w:rsidR="00F27918" w:rsidRPr="004768D0">
              <w:rPr>
                <w:rFonts w:asciiTheme="majorHAnsi" w:hAnsiTheme="majorHAnsi"/>
                <w:color w:val="000000" w:themeColor="text1"/>
                <w:sz w:val="16"/>
                <w:szCs w:val="16"/>
                <w:lang w:val="es-ES"/>
              </w:rPr>
              <w:t xml:space="preserve"> estado de São Paulo promovidos por </w:t>
            </w:r>
            <w:r w:rsidR="00346878" w:rsidRPr="004768D0">
              <w:rPr>
                <w:rFonts w:asciiTheme="majorHAnsi" w:hAnsiTheme="majorHAnsi"/>
                <w:color w:val="000000" w:themeColor="text1"/>
                <w:sz w:val="16"/>
                <w:szCs w:val="16"/>
                <w:lang w:val="es-ES"/>
              </w:rPr>
              <w:t xml:space="preserve">integrantes de una facción delictiva y </w:t>
            </w:r>
            <w:r w:rsidR="00F27918" w:rsidRPr="004768D0">
              <w:rPr>
                <w:rFonts w:asciiTheme="majorHAnsi" w:hAnsiTheme="majorHAnsi"/>
                <w:color w:val="000000" w:themeColor="text1"/>
                <w:sz w:val="16"/>
                <w:szCs w:val="16"/>
                <w:lang w:val="es-ES"/>
              </w:rPr>
              <w:t xml:space="preserve">que, </w:t>
            </w:r>
            <w:r w:rsidR="004744F0" w:rsidRPr="004768D0">
              <w:rPr>
                <w:rFonts w:asciiTheme="majorHAnsi" w:hAnsiTheme="majorHAnsi"/>
                <w:color w:val="000000" w:themeColor="text1"/>
                <w:sz w:val="16"/>
                <w:szCs w:val="16"/>
                <w:lang w:val="es-ES"/>
              </w:rPr>
              <w:t>“</w:t>
            </w:r>
            <w:r w:rsidR="00346878" w:rsidRPr="004768D0">
              <w:rPr>
                <w:rFonts w:asciiTheme="majorHAnsi" w:hAnsiTheme="majorHAnsi"/>
                <w:color w:val="000000" w:themeColor="text1"/>
                <w:sz w:val="16"/>
                <w:szCs w:val="16"/>
                <w:lang w:val="es-ES"/>
              </w:rPr>
              <w:t>en</w:t>
            </w:r>
            <w:r w:rsidR="00F27918" w:rsidRPr="004768D0">
              <w:rPr>
                <w:rFonts w:asciiTheme="majorHAnsi" w:hAnsiTheme="majorHAnsi"/>
                <w:color w:val="000000" w:themeColor="text1"/>
                <w:sz w:val="16"/>
                <w:szCs w:val="16"/>
                <w:lang w:val="es-ES"/>
              </w:rPr>
              <w:t xml:space="preserve"> </w:t>
            </w:r>
            <w:r w:rsidR="00346878" w:rsidRPr="004768D0">
              <w:rPr>
                <w:rFonts w:asciiTheme="majorHAnsi" w:hAnsiTheme="majorHAnsi"/>
                <w:color w:val="000000" w:themeColor="text1"/>
                <w:sz w:val="16"/>
                <w:szCs w:val="16"/>
                <w:lang w:val="es-ES"/>
              </w:rPr>
              <w:t>represalia</w:t>
            </w:r>
            <w:r w:rsidR="00F27918" w:rsidRPr="004768D0">
              <w:rPr>
                <w:rFonts w:asciiTheme="majorHAnsi" w:hAnsiTheme="majorHAnsi"/>
                <w:color w:val="000000" w:themeColor="text1"/>
                <w:sz w:val="16"/>
                <w:szCs w:val="16"/>
                <w:lang w:val="es-ES"/>
              </w:rPr>
              <w:t xml:space="preserve">, </w:t>
            </w:r>
            <w:r w:rsidR="00346878" w:rsidRPr="004768D0">
              <w:rPr>
                <w:rFonts w:asciiTheme="majorHAnsi" w:hAnsiTheme="majorHAnsi"/>
                <w:color w:val="000000" w:themeColor="text1"/>
                <w:sz w:val="16"/>
                <w:szCs w:val="16"/>
                <w:lang w:val="es-ES"/>
              </w:rPr>
              <w:t xml:space="preserve">la </w:t>
            </w:r>
            <w:r w:rsidR="00372008" w:rsidRPr="004768D0">
              <w:rPr>
                <w:rFonts w:asciiTheme="majorHAnsi" w:hAnsiTheme="majorHAnsi"/>
                <w:color w:val="000000" w:themeColor="text1"/>
                <w:sz w:val="16"/>
                <w:szCs w:val="16"/>
                <w:lang w:val="es-ES"/>
              </w:rPr>
              <w:t>Policía</w:t>
            </w:r>
            <w:r w:rsidR="00F27918" w:rsidRPr="004768D0">
              <w:rPr>
                <w:rFonts w:asciiTheme="majorHAnsi" w:hAnsiTheme="majorHAnsi"/>
                <w:color w:val="000000" w:themeColor="text1"/>
                <w:sz w:val="16"/>
                <w:szCs w:val="16"/>
                <w:lang w:val="es-ES"/>
              </w:rPr>
              <w:t xml:space="preserve"> Militar </w:t>
            </w:r>
            <w:r w:rsidR="00346878" w:rsidRPr="004768D0">
              <w:rPr>
                <w:rFonts w:asciiTheme="majorHAnsi" w:hAnsiTheme="majorHAnsi"/>
                <w:color w:val="000000" w:themeColor="text1"/>
                <w:sz w:val="16"/>
                <w:szCs w:val="16"/>
                <w:lang w:val="es-ES"/>
              </w:rPr>
              <w:t>y</w:t>
            </w:r>
            <w:r w:rsidR="00F27918" w:rsidRPr="004768D0">
              <w:rPr>
                <w:rFonts w:asciiTheme="majorHAnsi" w:hAnsiTheme="majorHAnsi"/>
                <w:color w:val="000000" w:themeColor="text1"/>
                <w:sz w:val="16"/>
                <w:szCs w:val="16"/>
                <w:lang w:val="es-ES"/>
              </w:rPr>
              <w:t xml:space="preserve"> Civil rea</w:t>
            </w:r>
            <w:r w:rsidR="00346878" w:rsidRPr="004768D0">
              <w:rPr>
                <w:rFonts w:asciiTheme="majorHAnsi" w:hAnsiTheme="majorHAnsi"/>
                <w:color w:val="000000" w:themeColor="text1"/>
                <w:sz w:val="16"/>
                <w:szCs w:val="16"/>
                <w:lang w:val="es-ES"/>
              </w:rPr>
              <w:t>ccionó ante algunos de los</w:t>
            </w:r>
            <w:r w:rsidR="00F27918" w:rsidRPr="004768D0">
              <w:rPr>
                <w:rFonts w:asciiTheme="majorHAnsi" w:hAnsiTheme="majorHAnsi"/>
                <w:color w:val="000000" w:themeColor="text1"/>
                <w:sz w:val="16"/>
                <w:szCs w:val="16"/>
                <w:lang w:val="es-ES"/>
              </w:rPr>
              <w:t xml:space="preserve"> ataques </w:t>
            </w:r>
            <w:r w:rsidR="00346878" w:rsidRPr="004768D0">
              <w:rPr>
                <w:rFonts w:asciiTheme="majorHAnsi" w:hAnsiTheme="majorHAnsi"/>
                <w:color w:val="000000" w:themeColor="text1"/>
                <w:sz w:val="16"/>
                <w:szCs w:val="16"/>
                <w:lang w:val="es-ES"/>
              </w:rPr>
              <w:t xml:space="preserve">y hubo también interferencia de </w:t>
            </w:r>
            <w:r w:rsidR="00F27918" w:rsidRPr="004768D0">
              <w:rPr>
                <w:rFonts w:asciiTheme="majorHAnsi" w:hAnsiTheme="majorHAnsi"/>
                <w:color w:val="000000" w:themeColor="text1"/>
                <w:sz w:val="16"/>
                <w:szCs w:val="16"/>
                <w:lang w:val="es-ES"/>
              </w:rPr>
              <w:t>grupos parapolicia</w:t>
            </w:r>
            <w:r w:rsidR="00346878" w:rsidRPr="004768D0">
              <w:rPr>
                <w:rFonts w:asciiTheme="majorHAnsi" w:hAnsiTheme="majorHAnsi"/>
                <w:color w:val="000000" w:themeColor="text1"/>
                <w:sz w:val="16"/>
                <w:szCs w:val="16"/>
                <w:lang w:val="es-ES"/>
              </w:rPr>
              <w:t>les</w:t>
            </w:r>
            <w:r w:rsidR="004744F0" w:rsidRPr="004768D0">
              <w:rPr>
                <w:rFonts w:asciiTheme="majorHAnsi" w:hAnsiTheme="majorHAnsi"/>
                <w:color w:val="000000" w:themeColor="text1"/>
                <w:sz w:val="16"/>
                <w:szCs w:val="16"/>
                <w:lang w:val="es-ES"/>
              </w:rPr>
              <w:t>”</w:t>
            </w:r>
            <w:r w:rsidR="00F27918" w:rsidRPr="004768D0">
              <w:rPr>
                <w:rFonts w:asciiTheme="majorHAnsi" w:hAnsiTheme="majorHAnsi"/>
                <w:color w:val="000000" w:themeColor="text1"/>
                <w:sz w:val="16"/>
                <w:szCs w:val="16"/>
                <w:lang w:val="es-ES"/>
              </w:rPr>
              <w:t>.</w:t>
            </w:r>
          </w:p>
        </w:tc>
      </w:tr>
      <w:tr w:rsidR="00257978" w:rsidRPr="008D6F96" w14:paraId="3B0AC7FF" w14:textId="77777777" w:rsidTr="00F27918">
        <w:tc>
          <w:tcPr>
            <w:tcW w:w="9350" w:type="dxa"/>
            <w:shd w:val="clear" w:color="auto" w:fill="000000" w:themeFill="text1"/>
          </w:tcPr>
          <w:p w14:paraId="39E25605" w14:textId="77777777" w:rsidR="00257978" w:rsidRPr="004768D0" w:rsidRDefault="00F27918" w:rsidP="003720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color w:val="FFFFFF" w:themeColor="background1"/>
                <w:sz w:val="16"/>
                <w:szCs w:val="16"/>
                <w:lang w:val="es-ES"/>
              </w:rPr>
            </w:pPr>
            <w:r w:rsidRPr="004768D0">
              <w:rPr>
                <w:rFonts w:asciiTheme="majorHAnsi" w:hAnsiTheme="majorHAnsi"/>
                <w:b/>
                <w:bCs/>
                <w:color w:val="FFFFFF" w:themeColor="background1"/>
                <w:sz w:val="16"/>
                <w:szCs w:val="16"/>
                <w:lang w:val="es-ES"/>
              </w:rPr>
              <w:lastRenderedPageBreak/>
              <w:t>M</w:t>
            </w:r>
            <w:r w:rsidR="00372008" w:rsidRPr="004768D0">
              <w:rPr>
                <w:rFonts w:asciiTheme="majorHAnsi" w:hAnsiTheme="majorHAnsi"/>
                <w:b/>
                <w:bCs/>
                <w:color w:val="FFFFFF" w:themeColor="background1"/>
                <w:sz w:val="16"/>
                <w:szCs w:val="16"/>
                <w:lang w:val="es-ES"/>
              </w:rPr>
              <w:t xml:space="preserve">uerte de </w:t>
            </w:r>
            <w:r w:rsidRPr="004768D0">
              <w:rPr>
                <w:rFonts w:asciiTheme="majorHAnsi" w:hAnsiTheme="majorHAnsi"/>
                <w:b/>
                <w:bCs/>
                <w:color w:val="FFFFFF" w:themeColor="background1"/>
                <w:sz w:val="16"/>
                <w:szCs w:val="16"/>
                <w:lang w:val="es-ES"/>
              </w:rPr>
              <w:t xml:space="preserve">Wagner </w:t>
            </w:r>
            <w:proofErr w:type="spellStart"/>
            <w:r w:rsidRPr="004768D0">
              <w:rPr>
                <w:rFonts w:asciiTheme="majorHAnsi" w:hAnsiTheme="majorHAnsi"/>
                <w:b/>
                <w:bCs/>
                <w:color w:val="FFFFFF" w:themeColor="background1"/>
                <w:sz w:val="16"/>
                <w:szCs w:val="16"/>
                <w:lang w:val="es-ES"/>
              </w:rPr>
              <w:t>Lins</w:t>
            </w:r>
            <w:proofErr w:type="spellEnd"/>
            <w:r w:rsidRPr="004768D0">
              <w:rPr>
                <w:rFonts w:asciiTheme="majorHAnsi" w:hAnsiTheme="majorHAnsi"/>
                <w:b/>
                <w:bCs/>
                <w:color w:val="FFFFFF" w:themeColor="background1"/>
                <w:sz w:val="16"/>
                <w:szCs w:val="16"/>
                <w:lang w:val="es-ES"/>
              </w:rPr>
              <w:t xml:space="preserve"> dos Santos </w:t>
            </w:r>
            <w:r w:rsidR="00372008" w:rsidRPr="004768D0">
              <w:rPr>
                <w:rFonts w:asciiTheme="majorHAnsi" w:hAnsiTheme="majorHAnsi"/>
                <w:b/>
                <w:bCs/>
                <w:color w:val="FFFFFF" w:themeColor="background1"/>
                <w:sz w:val="16"/>
                <w:szCs w:val="16"/>
                <w:lang w:val="es-ES"/>
              </w:rPr>
              <w:t>y</w:t>
            </w:r>
            <w:r w:rsidRPr="004768D0">
              <w:rPr>
                <w:rFonts w:asciiTheme="majorHAnsi" w:hAnsiTheme="majorHAnsi"/>
                <w:b/>
                <w:bCs/>
                <w:color w:val="FFFFFF" w:themeColor="background1"/>
                <w:sz w:val="16"/>
                <w:szCs w:val="16"/>
                <w:lang w:val="es-ES"/>
              </w:rPr>
              <w:t xml:space="preserve"> Diego Vieira dos Santos Miranda</w:t>
            </w:r>
            <w:r w:rsidR="00372008" w:rsidRPr="004768D0">
              <w:rPr>
                <w:rFonts w:asciiTheme="majorHAnsi" w:hAnsiTheme="majorHAnsi"/>
                <w:b/>
                <w:bCs/>
                <w:color w:val="FFFFFF" w:themeColor="background1"/>
                <w:sz w:val="16"/>
                <w:szCs w:val="16"/>
                <w:lang w:val="es-ES"/>
              </w:rPr>
              <w:t xml:space="preserve">, acaecida el </w:t>
            </w:r>
            <w:r w:rsidRPr="004768D0">
              <w:rPr>
                <w:rFonts w:asciiTheme="majorHAnsi" w:hAnsiTheme="majorHAnsi"/>
                <w:b/>
                <w:bCs/>
                <w:color w:val="FFFFFF" w:themeColor="background1"/>
                <w:sz w:val="16"/>
                <w:szCs w:val="16"/>
                <w:lang w:val="es-ES"/>
              </w:rPr>
              <w:t xml:space="preserve">15 de </w:t>
            </w:r>
            <w:r w:rsidR="007F4608" w:rsidRPr="004768D0">
              <w:rPr>
                <w:rFonts w:asciiTheme="majorHAnsi" w:hAnsiTheme="majorHAnsi"/>
                <w:b/>
                <w:bCs/>
                <w:color w:val="FFFFFF" w:themeColor="background1"/>
                <w:sz w:val="16"/>
                <w:szCs w:val="16"/>
                <w:lang w:val="es-ES"/>
              </w:rPr>
              <w:t>mayo</w:t>
            </w:r>
            <w:r w:rsidRPr="004768D0">
              <w:rPr>
                <w:rFonts w:asciiTheme="majorHAnsi" w:hAnsiTheme="majorHAnsi"/>
                <w:b/>
                <w:bCs/>
                <w:color w:val="FFFFFF" w:themeColor="background1"/>
                <w:sz w:val="16"/>
                <w:szCs w:val="16"/>
                <w:lang w:val="es-ES"/>
              </w:rPr>
              <w:t xml:space="preserve"> de 2006</w:t>
            </w:r>
          </w:p>
        </w:tc>
      </w:tr>
      <w:tr w:rsidR="00257978" w:rsidRPr="008D6F96" w14:paraId="596A74A1" w14:textId="77777777" w:rsidTr="00257978">
        <w:tc>
          <w:tcPr>
            <w:tcW w:w="9350" w:type="dxa"/>
          </w:tcPr>
          <w:p w14:paraId="27A754BC" w14:textId="4685CB33" w:rsidR="00257978" w:rsidRPr="004768D0" w:rsidRDefault="00F63FC9" w:rsidP="007477C2">
            <w:pPr>
              <w:spacing w:before="120" w:after="120"/>
              <w:jc w:val="both"/>
              <w:rPr>
                <w:rFonts w:ascii="Cambria" w:hAnsi="Cambria"/>
                <w:sz w:val="16"/>
                <w:szCs w:val="16"/>
                <w:lang w:val="es-ES"/>
              </w:rPr>
            </w:pPr>
            <w:r w:rsidRPr="004768D0">
              <w:rPr>
                <w:rFonts w:ascii="Cambria" w:hAnsi="Cambria"/>
                <w:sz w:val="16"/>
                <w:szCs w:val="16"/>
                <w:lang w:val="es-ES"/>
              </w:rPr>
              <w:t>Lo</w:t>
            </w:r>
            <w:r w:rsidR="00F27918" w:rsidRPr="004768D0">
              <w:rPr>
                <w:rFonts w:ascii="Cambria" w:hAnsi="Cambria"/>
                <w:sz w:val="16"/>
                <w:szCs w:val="16"/>
                <w:lang w:val="es-ES"/>
              </w:rPr>
              <w:t xml:space="preserve">s primos Wagner </w:t>
            </w:r>
            <w:r w:rsidRPr="004768D0">
              <w:rPr>
                <w:rFonts w:ascii="Cambria" w:hAnsi="Cambria"/>
                <w:sz w:val="16"/>
                <w:szCs w:val="16"/>
                <w:lang w:val="es-ES"/>
              </w:rPr>
              <w:t>y</w:t>
            </w:r>
            <w:r w:rsidR="00F27918" w:rsidRPr="004768D0">
              <w:rPr>
                <w:rFonts w:ascii="Cambria" w:hAnsi="Cambria"/>
                <w:sz w:val="16"/>
                <w:szCs w:val="16"/>
                <w:lang w:val="es-ES"/>
              </w:rPr>
              <w:t xml:space="preserve"> Diego </w:t>
            </w:r>
            <w:r w:rsidRPr="004768D0">
              <w:rPr>
                <w:rFonts w:ascii="Cambria" w:hAnsi="Cambria"/>
                <w:sz w:val="16"/>
                <w:szCs w:val="16"/>
                <w:lang w:val="es-ES"/>
              </w:rPr>
              <w:t>estaban</w:t>
            </w:r>
            <w:r w:rsidR="00F27918" w:rsidRPr="004768D0">
              <w:rPr>
                <w:rFonts w:ascii="Cambria" w:hAnsi="Cambria"/>
                <w:sz w:val="16"/>
                <w:szCs w:val="16"/>
                <w:lang w:val="es-ES"/>
              </w:rPr>
              <w:t xml:space="preserve"> </w:t>
            </w:r>
            <w:r w:rsidR="007F7312">
              <w:rPr>
                <w:rFonts w:ascii="Cambria" w:hAnsi="Cambria"/>
                <w:sz w:val="16"/>
                <w:szCs w:val="16"/>
                <w:lang w:val="es-ES"/>
              </w:rPr>
              <w:t xml:space="preserve">regresando </w:t>
            </w:r>
            <w:r w:rsidRPr="004768D0">
              <w:rPr>
                <w:rFonts w:ascii="Cambria" w:hAnsi="Cambria"/>
                <w:sz w:val="16"/>
                <w:szCs w:val="16"/>
                <w:lang w:val="es-ES"/>
              </w:rPr>
              <w:t xml:space="preserve">de la </w:t>
            </w:r>
            <w:r w:rsidR="00F27918" w:rsidRPr="004768D0">
              <w:rPr>
                <w:rFonts w:ascii="Cambria" w:hAnsi="Cambria"/>
                <w:sz w:val="16"/>
                <w:szCs w:val="16"/>
                <w:lang w:val="es-ES"/>
              </w:rPr>
              <w:t>casa d</w:t>
            </w:r>
            <w:r w:rsidRPr="004768D0">
              <w:rPr>
                <w:rFonts w:ascii="Cambria" w:hAnsi="Cambria"/>
                <w:sz w:val="16"/>
                <w:szCs w:val="16"/>
                <w:lang w:val="es-ES"/>
              </w:rPr>
              <w:t>e la hermana</w:t>
            </w:r>
            <w:r w:rsidR="00F27918" w:rsidRPr="004768D0">
              <w:rPr>
                <w:rFonts w:ascii="Cambria" w:hAnsi="Cambria"/>
                <w:sz w:val="16"/>
                <w:szCs w:val="16"/>
                <w:lang w:val="es-ES"/>
              </w:rPr>
              <w:t xml:space="preserve"> de Wagner, </w:t>
            </w:r>
            <w:r w:rsidRPr="004768D0">
              <w:rPr>
                <w:rFonts w:ascii="Cambria" w:hAnsi="Cambria"/>
                <w:sz w:val="16"/>
                <w:szCs w:val="16"/>
                <w:lang w:val="es-ES"/>
              </w:rPr>
              <w:t>en</w:t>
            </w:r>
            <w:r w:rsidR="00F27918" w:rsidRPr="004768D0">
              <w:rPr>
                <w:rFonts w:ascii="Cambria" w:hAnsi="Cambria"/>
                <w:sz w:val="16"/>
                <w:szCs w:val="16"/>
                <w:lang w:val="es-ES"/>
              </w:rPr>
              <w:t xml:space="preserve"> São Vicente, </w:t>
            </w:r>
            <w:r w:rsidRPr="004768D0">
              <w:rPr>
                <w:rFonts w:ascii="Cambria" w:hAnsi="Cambria"/>
                <w:sz w:val="16"/>
                <w:szCs w:val="16"/>
                <w:lang w:val="es-ES"/>
              </w:rPr>
              <w:t>cuando</w:t>
            </w:r>
            <w:r w:rsidR="00F27918" w:rsidRPr="004768D0">
              <w:rPr>
                <w:rFonts w:ascii="Cambria" w:hAnsi="Cambria"/>
                <w:sz w:val="16"/>
                <w:szCs w:val="16"/>
                <w:lang w:val="es-ES"/>
              </w:rPr>
              <w:t xml:space="preserve">, </w:t>
            </w:r>
            <w:r w:rsidRPr="004768D0">
              <w:rPr>
                <w:rFonts w:ascii="Cambria" w:hAnsi="Cambria"/>
                <w:sz w:val="16"/>
                <w:szCs w:val="16"/>
                <w:lang w:val="es-ES"/>
              </w:rPr>
              <w:t xml:space="preserve">en la calle </w:t>
            </w:r>
            <w:proofErr w:type="spellStart"/>
            <w:r w:rsidR="00F27918" w:rsidRPr="004768D0">
              <w:rPr>
                <w:rFonts w:ascii="Cambria" w:hAnsi="Cambria"/>
                <w:sz w:val="16"/>
                <w:szCs w:val="16"/>
                <w:lang w:val="es-ES"/>
              </w:rPr>
              <w:t>Caminho</w:t>
            </w:r>
            <w:proofErr w:type="spellEnd"/>
            <w:r w:rsidR="00F27918" w:rsidRPr="004768D0">
              <w:rPr>
                <w:rFonts w:ascii="Cambria" w:hAnsi="Cambria"/>
                <w:sz w:val="16"/>
                <w:szCs w:val="16"/>
                <w:lang w:val="es-ES"/>
              </w:rPr>
              <w:t xml:space="preserve"> da Divisa, </w:t>
            </w:r>
            <w:r w:rsidRPr="004768D0">
              <w:rPr>
                <w:rFonts w:ascii="Cambria" w:hAnsi="Cambria"/>
                <w:sz w:val="16"/>
                <w:szCs w:val="16"/>
                <w:lang w:val="es-ES"/>
              </w:rPr>
              <w:t>e</w:t>
            </w:r>
            <w:r w:rsidR="00F27918" w:rsidRPr="004768D0">
              <w:rPr>
                <w:rFonts w:ascii="Cambria" w:hAnsi="Cambria"/>
                <w:sz w:val="16"/>
                <w:szCs w:val="16"/>
                <w:lang w:val="es-ES"/>
              </w:rPr>
              <w:t xml:space="preserve">n </w:t>
            </w:r>
            <w:proofErr w:type="spellStart"/>
            <w:r w:rsidR="00F27918" w:rsidRPr="004768D0">
              <w:rPr>
                <w:rFonts w:ascii="Cambria" w:hAnsi="Cambria"/>
                <w:sz w:val="16"/>
                <w:szCs w:val="16"/>
                <w:lang w:val="es-ES"/>
              </w:rPr>
              <w:t>Jardim</w:t>
            </w:r>
            <w:proofErr w:type="spellEnd"/>
            <w:r w:rsidR="00F27918" w:rsidRPr="004768D0">
              <w:rPr>
                <w:rFonts w:ascii="Cambria" w:hAnsi="Cambria"/>
                <w:sz w:val="16"/>
                <w:szCs w:val="16"/>
                <w:lang w:val="es-ES"/>
              </w:rPr>
              <w:t xml:space="preserve"> Castelo</w:t>
            </w:r>
            <w:r w:rsidRPr="004768D0">
              <w:rPr>
                <w:rFonts w:ascii="Cambria" w:hAnsi="Cambria"/>
                <w:sz w:val="16"/>
                <w:szCs w:val="16"/>
                <w:lang w:val="es-ES"/>
              </w:rPr>
              <w:t xml:space="preserve"> (</w:t>
            </w:r>
            <w:r w:rsidR="00F27918" w:rsidRPr="004768D0">
              <w:rPr>
                <w:rFonts w:ascii="Cambria" w:hAnsi="Cambria"/>
                <w:sz w:val="16"/>
                <w:szCs w:val="16"/>
                <w:lang w:val="es-ES"/>
              </w:rPr>
              <w:t>Santos</w:t>
            </w:r>
            <w:r w:rsidRPr="004768D0">
              <w:rPr>
                <w:rFonts w:ascii="Cambria" w:hAnsi="Cambria"/>
                <w:sz w:val="16"/>
                <w:szCs w:val="16"/>
                <w:lang w:val="es-ES"/>
              </w:rPr>
              <w:t>)</w:t>
            </w:r>
            <w:r w:rsidR="00F27918" w:rsidRPr="004768D0">
              <w:rPr>
                <w:rFonts w:ascii="Cambria" w:hAnsi="Cambria"/>
                <w:sz w:val="16"/>
                <w:szCs w:val="16"/>
                <w:lang w:val="es-ES"/>
              </w:rPr>
              <w:t xml:space="preserve">, </w:t>
            </w:r>
            <w:r w:rsidRPr="004768D0">
              <w:rPr>
                <w:rFonts w:ascii="Cambria" w:hAnsi="Cambria"/>
                <w:sz w:val="16"/>
                <w:szCs w:val="16"/>
                <w:lang w:val="es-ES"/>
              </w:rPr>
              <w:t xml:space="preserve">a las </w:t>
            </w:r>
            <w:r w:rsidR="00F27918" w:rsidRPr="004768D0">
              <w:rPr>
                <w:rFonts w:ascii="Cambria" w:hAnsi="Cambria"/>
                <w:sz w:val="16"/>
                <w:szCs w:val="16"/>
                <w:lang w:val="es-ES"/>
              </w:rPr>
              <w:t>22</w:t>
            </w:r>
            <w:r w:rsidRPr="004768D0">
              <w:rPr>
                <w:rFonts w:ascii="Cambria" w:hAnsi="Cambria"/>
                <w:sz w:val="16"/>
                <w:szCs w:val="16"/>
                <w:lang w:val="es-ES"/>
              </w:rPr>
              <w:t>:00</w:t>
            </w:r>
            <w:r w:rsidR="00F27918" w:rsidRPr="004768D0">
              <w:rPr>
                <w:rFonts w:ascii="Cambria" w:hAnsi="Cambria"/>
                <w:sz w:val="16"/>
                <w:szCs w:val="16"/>
                <w:lang w:val="es-ES"/>
              </w:rPr>
              <w:t xml:space="preserve"> horas, </w:t>
            </w:r>
            <w:r w:rsidRPr="004768D0">
              <w:rPr>
                <w:rFonts w:ascii="Cambria" w:hAnsi="Cambria"/>
                <w:sz w:val="16"/>
                <w:szCs w:val="16"/>
                <w:lang w:val="es-ES"/>
              </w:rPr>
              <w:t xml:space="preserve">aproximadamente, oyeron disparos y vieron aparecer </w:t>
            </w:r>
            <w:r w:rsidR="007F7312">
              <w:rPr>
                <w:rFonts w:ascii="Cambria" w:hAnsi="Cambria"/>
                <w:sz w:val="16"/>
                <w:szCs w:val="16"/>
                <w:lang w:val="es-ES"/>
              </w:rPr>
              <w:t xml:space="preserve">una </w:t>
            </w:r>
            <w:r w:rsidR="00F27918" w:rsidRPr="004768D0">
              <w:rPr>
                <w:rFonts w:ascii="Cambria" w:hAnsi="Cambria"/>
                <w:sz w:val="16"/>
                <w:szCs w:val="16"/>
                <w:lang w:val="es-ES"/>
              </w:rPr>
              <w:t xml:space="preserve">moto </w:t>
            </w:r>
            <w:r w:rsidRPr="004768D0">
              <w:rPr>
                <w:rFonts w:ascii="Cambria" w:hAnsi="Cambria"/>
                <w:sz w:val="16"/>
                <w:szCs w:val="16"/>
                <w:lang w:val="es-ES"/>
              </w:rPr>
              <w:t>roja</w:t>
            </w:r>
            <w:r w:rsidR="00F27918" w:rsidRPr="004768D0">
              <w:rPr>
                <w:rFonts w:ascii="Cambria" w:hAnsi="Cambria"/>
                <w:sz w:val="16"/>
                <w:szCs w:val="16"/>
                <w:lang w:val="es-ES"/>
              </w:rPr>
              <w:t xml:space="preserve"> grande, estilo </w:t>
            </w:r>
            <w:r w:rsidRPr="004768D0">
              <w:rPr>
                <w:rFonts w:ascii="Cambria" w:hAnsi="Cambria"/>
                <w:i/>
                <w:sz w:val="16"/>
                <w:szCs w:val="16"/>
                <w:lang w:val="es-ES"/>
              </w:rPr>
              <w:t>motocros</w:t>
            </w:r>
            <w:r w:rsidR="00F27918" w:rsidRPr="004768D0">
              <w:rPr>
                <w:rFonts w:ascii="Cambria" w:hAnsi="Cambria"/>
                <w:i/>
                <w:sz w:val="16"/>
                <w:szCs w:val="16"/>
                <w:lang w:val="es-ES"/>
              </w:rPr>
              <w:t>s</w:t>
            </w:r>
            <w:r w:rsidR="00F27918" w:rsidRPr="004768D0">
              <w:rPr>
                <w:rFonts w:ascii="Cambria" w:hAnsi="Cambria"/>
                <w:sz w:val="16"/>
                <w:szCs w:val="16"/>
                <w:lang w:val="es-ES"/>
              </w:rPr>
              <w:t>,</w:t>
            </w:r>
            <w:r w:rsidR="00F27918" w:rsidRPr="004768D0">
              <w:rPr>
                <w:rFonts w:ascii="Cambria" w:hAnsi="Cambria"/>
                <w:b/>
                <w:bCs/>
                <w:sz w:val="16"/>
                <w:szCs w:val="16"/>
                <w:lang w:val="es-ES"/>
              </w:rPr>
              <w:t xml:space="preserve"> </w:t>
            </w:r>
            <w:r w:rsidRPr="004768D0">
              <w:rPr>
                <w:rFonts w:ascii="Cambria" w:hAnsi="Cambria"/>
                <w:sz w:val="16"/>
                <w:szCs w:val="16"/>
                <w:lang w:val="es-ES"/>
              </w:rPr>
              <w:t>posiblemente</w:t>
            </w:r>
            <w:r w:rsidR="00F27918" w:rsidRPr="004768D0">
              <w:rPr>
                <w:rFonts w:ascii="Cambria" w:hAnsi="Cambria"/>
                <w:sz w:val="16"/>
                <w:szCs w:val="16"/>
                <w:lang w:val="es-ES"/>
              </w:rPr>
              <w:t xml:space="preserve"> </w:t>
            </w:r>
            <w:r w:rsidRPr="004768D0">
              <w:rPr>
                <w:rFonts w:ascii="Cambria" w:hAnsi="Cambria"/>
                <w:sz w:val="16"/>
                <w:szCs w:val="16"/>
                <w:lang w:val="es-ES"/>
              </w:rPr>
              <w:t>una</w:t>
            </w:r>
            <w:r w:rsidR="00F27918" w:rsidRPr="004768D0">
              <w:rPr>
                <w:rFonts w:ascii="Cambria" w:hAnsi="Cambria"/>
                <w:sz w:val="16"/>
                <w:szCs w:val="16"/>
                <w:lang w:val="es-ES"/>
              </w:rPr>
              <w:t xml:space="preserve"> Yamaha XT, </w:t>
            </w:r>
            <w:r w:rsidRPr="004768D0">
              <w:rPr>
                <w:rFonts w:ascii="Cambria" w:hAnsi="Cambria"/>
                <w:sz w:val="16"/>
                <w:szCs w:val="16"/>
                <w:lang w:val="es-ES"/>
              </w:rPr>
              <w:t>con</w:t>
            </w:r>
            <w:r w:rsidR="00F27918" w:rsidRPr="004768D0">
              <w:rPr>
                <w:rFonts w:ascii="Cambria" w:hAnsi="Cambria"/>
                <w:sz w:val="16"/>
                <w:szCs w:val="16"/>
                <w:lang w:val="es-ES"/>
              </w:rPr>
              <w:t xml:space="preserve"> </w:t>
            </w:r>
            <w:r w:rsidR="007F7312">
              <w:rPr>
                <w:rFonts w:ascii="Cambria" w:hAnsi="Cambria"/>
                <w:sz w:val="16"/>
                <w:szCs w:val="16"/>
                <w:lang w:val="es-ES"/>
              </w:rPr>
              <w:t>dos</w:t>
            </w:r>
            <w:r w:rsidR="00F27918" w:rsidRPr="004768D0">
              <w:rPr>
                <w:rFonts w:ascii="Cambria" w:hAnsi="Cambria"/>
                <w:sz w:val="16"/>
                <w:szCs w:val="16"/>
                <w:lang w:val="es-ES"/>
              </w:rPr>
              <w:t xml:space="preserve"> hom</w:t>
            </w:r>
            <w:r w:rsidRPr="004768D0">
              <w:rPr>
                <w:rFonts w:ascii="Cambria" w:hAnsi="Cambria"/>
                <w:sz w:val="16"/>
                <w:szCs w:val="16"/>
                <w:lang w:val="es-ES"/>
              </w:rPr>
              <w:t>bre</w:t>
            </w:r>
            <w:r w:rsidR="00F27918" w:rsidRPr="004768D0">
              <w:rPr>
                <w:rFonts w:ascii="Cambria" w:hAnsi="Cambria"/>
                <w:sz w:val="16"/>
                <w:szCs w:val="16"/>
                <w:lang w:val="es-ES"/>
              </w:rPr>
              <w:t xml:space="preserve">s </w:t>
            </w:r>
            <w:r w:rsidR="00A70AAA" w:rsidRPr="004768D0">
              <w:rPr>
                <w:rFonts w:ascii="Cambria" w:hAnsi="Cambria"/>
                <w:sz w:val="16"/>
                <w:szCs w:val="16"/>
                <w:lang w:val="es-ES"/>
              </w:rPr>
              <w:t>encapuchados</w:t>
            </w:r>
            <w:r w:rsidR="00F27918" w:rsidRPr="004768D0">
              <w:rPr>
                <w:rFonts w:ascii="Cambria" w:hAnsi="Cambria"/>
                <w:sz w:val="16"/>
                <w:szCs w:val="16"/>
                <w:lang w:val="es-ES"/>
              </w:rPr>
              <w:t xml:space="preserve">. </w:t>
            </w:r>
            <w:r w:rsidRPr="004768D0">
              <w:rPr>
                <w:rFonts w:ascii="Cambria" w:hAnsi="Cambria"/>
                <w:sz w:val="16"/>
                <w:szCs w:val="16"/>
                <w:lang w:val="es-ES"/>
              </w:rPr>
              <w:t xml:space="preserve">El hombre que iba en el asiento trasero de la </w:t>
            </w:r>
            <w:r w:rsidR="00F27918" w:rsidRPr="004768D0">
              <w:rPr>
                <w:rFonts w:ascii="Cambria" w:hAnsi="Cambria"/>
                <w:sz w:val="16"/>
                <w:szCs w:val="16"/>
                <w:lang w:val="es-ES"/>
              </w:rPr>
              <w:t xml:space="preserve">moto </w:t>
            </w:r>
            <w:r w:rsidR="007477C2">
              <w:rPr>
                <w:rFonts w:ascii="Cambria" w:hAnsi="Cambria"/>
                <w:sz w:val="16"/>
                <w:szCs w:val="16"/>
                <w:lang w:val="es-ES"/>
              </w:rPr>
              <w:t xml:space="preserve">les </w:t>
            </w:r>
            <w:r w:rsidRPr="004768D0">
              <w:rPr>
                <w:rFonts w:ascii="Cambria" w:hAnsi="Cambria"/>
                <w:sz w:val="16"/>
                <w:szCs w:val="16"/>
                <w:lang w:val="es-ES"/>
              </w:rPr>
              <w:t>disparó</w:t>
            </w:r>
            <w:r w:rsidR="00F27918" w:rsidRPr="004768D0">
              <w:rPr>
                <w:rFonts w:ascii="Cambria" w:hAnsi="Cambria"/>
                <w:sz w:val="16"/>
                <w:szCs w:val="16"/>
                <w:lang w:val="es-ES"/>
              </w:rPr>
              <w:t xml:space="preserve"> </w:t>
            </w:r>
            <w:r w:rsidRPr="004768D0">
              <w:rPr>
                <w:rFonts w:ascii="Cambria" w:hAnsi="Cambria"/>
                <w:sz w:val="16"/>
                <w:szCs w:val="16"/>
                <w:lang w:val="es-ES"/>
              </w:rPr>
              <w:t xml:space="preserve">con una </w:t>
            </w:r>
            <w:r w:rsidR="00135DA0">
              <w:rPr>
                <w:rFonts w:ascii="Cambria" w:hAnsi="Cambria"/>
                <w:sz w:val="16"/>
                <w:szCs w:val="16"/>
                <w:lang w:val="es-ES"/>
              </w:rPr>
              <w:t xml:space="preserve">subametralladora o </w:t>
            </w:r>
            <w:r w:rsidRPr="004768D0">
              <w:rPr>
                <w:rFonts w:ascii="Cambria" w:hAnsi="Cambria"/>
                <w:sz w:val="16"/>
                <w:szCs w:val="16"/>
                <w:lang w:val="es-ES"/>
              </w:rPr>
              <w:t>metralleta</w:t>
            </w:r>
            <w:r w:rsidR="00F27918" w:rsidRPr="004768D0">
              <w:rPr>
                <w:rFonts w:ascii="Cambria" w:hAnsi="Cambria"/>
                <w:sz w:val="16"/>
                <w:szCs w:val="16"/>
                <w:lang w:val="es-ES"/>
              </w:rPr>
              <w:t xml:space="preserve">. </w:t>
            </w:r>
            <w:r w:rsidRPr="004768D0">
              <w:rPr>
                <w:rFonts w:ascii="Cambria" w:hAnsi="Cambria"/>
                <w:sz w:val="16"/>
                <w:szCs w:val="16"/>
                <w:lang w:val="es-ES"/>
              </w:rPr>
              <w:t>En ese</w:t>
            </w:r>
            <w:r w:rsidR="00F27918" w:rsidRPr="004768D0">
              <w:rPr>
                <w:rFonts w:ascii="Cambria" w:hAnsi="Cambria"/>
                <w:sz w:val="16"/>
                <w:szCs w:val="16"/>
                <w:lang w:val="es-ES"/>
              </w:rPr>
              <w:t xml:space="preserve"> momento, Anderson Francisco Anchia (de 16 </w:t>
            </w:r>
            <w:r w:rsidR="000C0AC4" w:rsidRPr="004768D0">
              <w:rPr>
                <w:rFonts w:ascii="Cambria" w:hAnsi="Cambria"/>
                <w:sz w:val="16"/>
                <w:szCs w:val="16"/>
                <w:lang w:val="es-ES"/>
              </w:rPr>
              <w:t>años</w:t>
            </w:r>
            <w:r w:rsidR="00F27918" w:rsidRPr="004768D0">
              <w:rPr>
                <w:rFonts w:ascii="Cambria" w:hAnsi="Cambria"/>
                <w:sz w:val="16"/>
                <w:szCs w:val="16"/>
                <w:lang w:val="es-ES"/>
              </w:rPr>
              <w:t xml:space="preserve">) </w:t>
            </w:r>
            <w:r w:rsidR="00B9588A" w:rsidRPr="004768D0">
              <w:rPr>
                <w:rFonts w:ascii="Cambria" w:hAnsi="Cambria"/>
                <w:sz w:val="16"/>
                <w:szCs w:val="16"/>
                <w:lang w:val="es-ES"/>
              </w:rPr>
              <w:t>y</w:t>
            </w:r>
            <w:r w:rsidR="00F27918" w:rsidRPr="004768D0">
              <w:rPr>
                <w:rFonts w:ascii="Cambria" w:hAnsi="Cambria"/>
                <w:sz w:val="16"/>
                <w:szCs w:val="16"/>
                <w:lang w:val="es-ES"/>
              </w:rPr>
              <w:t xml:space="preserve"> </w:t>
            </w:r>
            <w:proofErr w:type="spellStart"/>
            <w:r w:rsidR="00F27918" w:rsidRPr="004768D0">
              <w:rPr>
                <w:rFonts w:ascii="Cambria" w:hAnsi="Cambria"/>
                <w:sz w:val="16"/>
                <w:szCs w:val="16"/>
                <w:lang w:val="es-ES"/>
              </w:rPr>
              <w:t>Éwerton</w:t>
            </w:r>
            <w:proofErr w:type="spellEnd"/>
            <w:r w:rsidR="00F27918" w:rsidRPr="004768D0">
              <w:rPr>
                <w:rFonts w:ascii="Cambria" w:hAnsi="Cambria"/>
                <w:sz w:val="16"/>
                <w:szCs w:val="16"/>
                <w:lang w:val="es-ES"/>
              </w:rPr>
              <w:t xml:space="preserve"> de Castro Moreira (de 19 </w:t>
            </w:r>
            <w:r w:rsidR="000C0AC4" w:rsidRPr="004768D0">
              <w:rPr>
                <w:rFonts w:ascii="Cambria" w:hAnsi="Cambria"/>
                <w:sz w:val="16"/>
                <w:szCs w:val="16"/>
                <w:lang w:val="es-ES"/>
              </w:rPr>
              <w:t>años</w:t>
            </w:r>
            <w:r w:rsidR="00F27918" w:rsidRPr="004768D0">
              <w:rPr>
                <w:rFonts w:ascii="Cambria" w:hAnsi="Cambria"/>
                <w:sz w:val="16"/>
                <w:szCs w:val="16"/>
                <w:lang w:val="es-ES"/>
              </w:rPr>
              <w:t xml:space="preserve">) </w:t>
            </w:r>
            <w:r w:rsidRPr="004768D0">
              <w:rPr>
                <w:rFonts w:ascii="Cambria" w:hAnsi="Cambria"/>
                <w:sz w:val="16"/>
                <w:szCs w:val="16"/>
                <w:lang w:val="es-ES"/>
              </w:rPr>
              <w:t>estaban</w:t>
            </w:r>
            <w:r w:rsidR="00F27918" w:rsidRPr="004768D0">
              <w:rPr>
                <w:rFonts w:ascii="Cambria" w:hAnsi="Cambria"/>
                <w:sz w:val="16"/>
                <w:szCs w:val="16"/>
                <w:lang w:val="es-ES"/>
              </w:rPr>
              <w:t xml:space="preserve"> a </w:t>
            </w:r>
            <w:r w:rsidRPr="004768D0">
              <w:rPr>
                <w:rFonts w:ascii="Cambria" w:hAnsi="Cambria"/>
                <w:sz w:val="16"/>
                <w:szCs w:val="16"/>
                <w:lang w:val="es-ES"/>
              </w:rPr>
              <w:t>pocos</w:t>
            </w:r>
            <w:r w:rsidR="00F27918" w:rsidRPr="004768D0">
              <w:rPr>
                <w:rFonts w:ascii="Cambria" w:hAnsi="Cambria"/>
                <w:sz w:val="16"/>
                <w:szCs w:val="16"/>
                <w:lang w:val="es-ES"/>
              </w:rPr>
              <w:t xml:space="preserve"> metros de </w:t>
            </w:r>
            <w:r w:rsidRPr="004768D0">
              <w:rPr>
                <w:rFonts w:ascii="Cambria" w:hAnsi="Cambria"/>
                <w:sz w:val="16"/>
                <w:szCs w:val="16"/>
                <w:lang w:val="es-ES"/>
              </w:rPr>
              <w:t>un</w:t>
            </w:r>
            <w:r w:rsidR="00F27918" w:rsidRPr="004768D0">
              <w:rPr>
                <w:rFonts w:ascii="Cambria" w:hAnsi="Cambria"/>
                <w:sz w:val="16"/>
                <w:szCs w:val="16"/>
                <w:lang w:val="es-ES"/>
              </w:rPr>
              <w:t xml:space="preserve"> bar, </w:t>
            </w:r>
            <w:r w:rsidRPr="004768D0">
              <w:rPr>
                <w:rFonts w:ascii="Cambria" w:hAnsi="Cambria"/>
                <w:sz w:val="16"/>
                <w:szCs w:val="16"/>
                <w:lang w:val="es-ES"/>
              </w:rPr>
              <w:t>donde</w:t>
            </w:r>
            <w:r w:rsidR="00F27918" w:rsidRPr="004768D0">
              <w:rPr>
                <w:rFonts w:ascii="Cambria" w:hAnsi="Cambria"/>
                <w:sz w:val="16"/>
                <w:szCs w:val="16"/>
                <w:lang w:val="es-ES"/>
              </w:rPr>
              <w:t xml:space="preserve"> </w:t>
            </w:r>
            <w:r w:rsidRPr="004768D0">
              <w:rPr>
                <w:rFonts w:ascii="Cambria" w:hAnsi="Cambria"/>
                <w:sz w:val="16"/>
                <w:szCs w:val="16"/>
                <w:lang w:val="es-ES"/>
              </w:rPr>
              <w:t>se efectuaron l</w:t>
            </w:r>
            <w:r w:rsidR="00F27918" w:rsidRPr="004768D0">
              <w:rPr>
                <w:rFonts w:ascii="Cambria" w:hAnsi="Cambria"/>
                <w:sz w:val="16"/>
                <w:szCs w:val="16"/>
                <w:lang w:val="es-ES"/>
              </w:rPr>
              <w:t xml:space="preserve">os </w:t>
            </w:r>
            <w:r w:rsidR="00E04ED3" w:rsidRPr="004768D0">
              <w:rPr>
                <w:rFonts w:ascii="Cambria" w:hAnsi="Cambria"/>
                <w:sz w:val="16"/>
                <w:szCs w:val="16"/>
                <w:lang w:val="es-ES"/>
              </w:rPr>
              <w:t>primeros</w:t>
            </w:r>
            <w:r w:rsidR="00F27918" w:rsidRPr="004768D0">
              <w:rPr>
                <w:rFonts w:ascii="Cambria" w:hAnsi="Cambria"/>
                <w:sz w:val="16"/>
                <w:szCs w:val="16"/>
                <w:lang w:val="es-ES"/>
              </w:rPr>
              <w:t xml:space="preserve"> disparos. Wagner rec</w:t>
            </w:r>
            <w:r w:rsidRPr="004768D0">
              <w:rPr>
                <w:rFonts w:ascii="Cambria" w:hAnsi="Cambria"/>
                <w:sz w:val="16"/>
                <w:szCs w:val="16"/>
                <w:lang w:val="es-ES"/>
              </w:rPr>
              <w:t>ibió</w:t>
            </w:r>
            <w:r w:rsidR="00F27918" w:rsidRPr="004768D0">
              <w:rPr>
                <w:rFonts w:ascii="Cambria" w:hAnsi="Cambria"/>
                <w:sz w:val="16"/>
                <w:szCs w:val="16"/>
                <w:lang w:val="es-ES"/>
              </w:rPr>
              <w:t xml:space="preserve"> </w:t>
            </w:r>
            <w:r w:rsidR="007F7312">
              <w:rPr>
                <w:rFonts w:ascii="Cambria" w:hAnsi="Cambria"/>
                <w:sz w:val="16"/>
                <w:szCs w:val="16"/>
                <w:lang w:val="es-ES"/>
              </w:rPr>
              <w:t>seis</w:t>
            </w:r>
            <w:r w:rsidR="00F27918" w:rsidRPr="004768D0">
              <w:rPr>
                <w:rFonts w:ascii="Cambria" w:hAnsi="Cambria"/>
                <w:sz w:val="16"/>
                <w:szCs w:val="16"/>
                <w:lang w:val="es-ES"/>
              </w:rPr>
              <w:t xml:space="preserve"> tiros </w:t>
            </w:r>
            <w:r w:rsidR="007F7312">
              <w:rPr>
                <w:rFonts w:ascii="Cambria" w:hAnsi="Cambria"/>
                <w:sz w:val="16"/>
                <w:szCs w:val="16"/>
                <w:lang w:val="es-ES"/>
              </w:rPr>
              <w:t>por</w:t>
            </w:r>
            <w:r w:rsidR="00F27918" w:rsidRPr="004768D0">
              <w:rPr>
                <w:rFonts w:ascii="Cambria" w:hAnsi="Cambria"/>
                <w:sz w:val="16"/>
                <w:szCs w:val="16"/>
                <w:lang w:val="es-ES"/>
              </w:rPr>
              <w:t xml:space="preserve"> </w:t>
            </w:r>
            <w:r w:rsidR="007F7312">
              <w:rPr>
                <w:rFonts w:ascii="Cambria" w:hAnsi="Cambria"/>
                <w:sz w:val="16"/>
                <w:szCs w:val="16"/>
                <w:lang w:val="es-ES"/>
              </w:rPr>
              <w:t>de</w:t>
            </w:r>
            <w:r w:rsidR="00F27918" w:rsidRPr="004768D0">
              <w:rPr>
                <w:rFonts w:ascii="Cambria" w:hAnsi="Cambria"/>
                <w:sz w:val="16"/>
                <w:szCs w:val="16"/>
                <w:lang w:val="es-ES"/>
              </w:rPr>
              <w:t xml:space="preserve">trás, que </w:t>
            </w:r>
            <w:r w:rsidR="00B9588A" w:rsidRPr="004768D0">
              <w:rPr>
                <w:rFonts w:ascii="Cambria" w:hAnsi="Cambria"/>
                <w:sz w:val="16"/>
                <w:szCs w:val="16"/>
                <w:lang w:val="es-ES"/>
              </w:rPr>
              <w:t xml:space="preserve">le causaron la muerte. </w:t>
            </w:r>
            <w:r w:rsidR="00F27918" w:rsidRPr="004768D0">
              <w:rPr>
                <w:rFonts w:ascii="Cambria" w:hAnsi="Cambria"/>
                <w:sz w:val="16"/>
                <w:szCs w:val="16"/>
                <w:lang w:val="es-ES"/>
              </w:rPr>
              <w:t>Diego f</w:t>
            </w:r>
            <w:r w:rsidR="00B9588A" w:rsidRPr="004768D0">
              <w:rPr>
                <w:rFonts w:ascii="Cambria" w:hAnsi="Cambria"/>
                <w:sz w:val="16"/>
                <w:szCs w:val="16"/>
                <w:lang w:val="es-ES"/>
              </w:rPr>
              <w:t>ue</w:t>
            </w:r>
            <w:r w:rsidR="00F27918" w:rsidRPr="004768D0">
              <w:rPr>
                <w:rFonts w:ascii="Cambria" w:hAnsi="Cambria"/>
                <w:sz w:val="16"/>
                <w:szCs w:val="16"/>
                <w:lang w:val="es-ES"/>
              </w:rPr>
              <w:t xml:space="preserve"> </w:t>
            </w:r>
            <w:r w:rsidR="00B9588A" w:rsidRPr="004768D0">
              <w:rPr>
                <w:rFonts w:ascii="Cambria" w:hAnsi="Cambria"/>
                <w:sz w:val="16"/>
                <w:szCs w:val="16"/>
                <w:lang w:val="es-ES"/>
              </w:rPr>
              <w:t>alcanzado</w:t>
            </w:r>
            <w:r w:rsidR="00F27918" w:rsidRPr="004768D0">
              <w:rPr>
                <w:rFonts w:ascii="Cambria" w:hAnsi="Cambria"/>
                <w:sz w:val="16"/>
                <w:szCs w:val="16"/>
                <w:lang w:val="es-ES"/>
              </w:rPr>
              <w:t xml:space="preserve"> por </w:t>
            </w:r>
            <w:r w:rsidR="007F7312">
              <w:rPr>
                <w:rFonts w:ascii="Cambria" w:hAnsi="Cambria"/>
                <w:sz w:val="16"/>
                <w:szCs w:val="16"/>
                <w:lang w:val="es-ES"/>
              </w:rPr>
              <w:t>un</w:t>
            </w:r>
            <w:r w:rsidR="00F27918" w:rsidRPr="004768D0">
              <w:rPr>
                <w:rFonts w:ascii="Cambria" w:hAnsi="Cambria"/>
                <w:sz w:val="16"/>
                <w:szCs w:val="16"/>
                <w:lang w:val="es-ES"/>
              </w:rPr>
              <w:t xml:space="preserve"> tiro </w:t>
            </w:r>
            <w:r w:rsidR="00B9588A" w:rsidRPr="004768D0">
              <w:rPr>
                <w:rFonts w:ascii="Cambria" w:hAnsi="Cambria"/>
                <w:sz w:val="16"/>
                <w:szCs w:val="16"/>
                <w:lang w:val="es-ES"/>
              </w:rPr>
              <w:t>e</w:t>
            </w:r>
            <w:r w:rsidR="00F27918" w:rsidRPr="004768D0">
              <w:rPr>
                <w:rFonts w:ascii="Cambria" w:hAnsi="Cambria"/>
                <w:sz w:val="16"/>
                <w:szCs w:val="16"/>
                <w:lang w:val="es-ES"/>
              </w:rPr>
              <w:t>n</w:t>
            </w:r>
            <w:r w:rsidR="00B9588A" w:rsidRPr="004768D0">
              <w:rPr>
                <w:rFonts w:ascii="Cambria" w:hAnsi="Cambria"/>
                <w:sz w:val="16"/>
                <w:szCs w:val="16"/>
                <w:lang w:val="es-ES"/>
              </w:rPr>
              <w:t xml:space="preserve"> l</w:t>
            </w:r>
            <w:r w:rsidR="00F27918" w:rsidRPr="004768D0">
              <w:rPr>
                <w:rFonts w:ascii="Cambria" w:hAnsi="Cambria"/>
                <w:sz w:val="16"/>
                <w:szCs w:val="16"/>
                <w:lang w:val="es-ES"/>
              </w:rPr>
              <w:t>a p</w:t>
            </w:r>
            <w:r w:rsidR="00B9588A" w:rsidRPr="004768D0">
              <w:rPr>
                <w:rFonts w:ascii="Cambria" w:hAnsi="Cambria"/>
                <w:sz w:val="16"/>
                <w:szCs w:val="16"/>
                <w:lang w:val="es-ES"/>
              </w:rPr>
              <w:t>i</w:t>
            </w:r>
            <w:r w:rsidR="00F27918" w:rsidRPr="004768D0">
              <w:rPr>
                <w:rFonts w:ascii="Cambria" w:hAnsi="Cambria"/>
                <w:sz w:val="16"/>
                <w:szCs w:val="16"/>
                <w:lang w:val="es-ES"/>
              </w:rPr>
              <w:t>erna; Anderson (</w:t>
            </w:r>
            <w:r w:rsidR="00B9588A" w:rsidRPr="004768D0">
              <w:rPr>
                <w:rFonts w:ascii="Cambria" w:hAnsi="Cambria"/>
                <w:sz w:val="16"/>
                <w:szCs w:val="16"/>
                <w:lang w:val="es-ES"/>
              </w:rPr>
              <w:t xml:space="preserve">que estaba en el </w:t>
            </w:r>
            <w:r w:rsidR="00F27918" w:rsidRPr="004768D0">
              <w:rPr>
                <w:rFonts w:ascii="Cambria" w:hAnsi="Cambria"/>
                <w:sz w:val="16"/>
                <w:szCs w:val="16"/>
                <w:lang w:val="es-ES"/>
              </w:rPr>
              <w:t xml:space="preserve">bar), por </w:t>
            </w:r>
            <w:r w:rsidR="007F7312">
              <w:rPr>
                <w:rFonts w:ascii="Cambria" w:hAnsi="Cambria"/>
                <w:sz w:val="16"/>
                <w:szCs w:val="16"/>
                <w:lang w:val="es-ES"/>
              </w:rPr>
              <w:t>dos</w:t>
            </w:r>
            <w:r w:rsidR="00F27918" w:rsidRPr="004768D0">
              <w:rPr>
                <w:rFonts w:ascii="Cambria" w:hAnsi="Cambria"/>
                <w:sz w:val="16"/>
                <w:szCs w:val="16"/>
                <w:lang w:val="es-ES"/>
              </w:rPr>
              <w:t xml:space="preserve"> tiros, </w:t>
            </w:r>
            <w:r w:rsidR="00B9588A" w:rsidRPr="004768D0">
              <w:rPr>
                <w:rFonts w:ascii="Cambria" w:hAnsi="Cambria"/>
                <w:sz w:val="16"/>
                <w:szCs w:val="16"/>
                <w:lang w:val="es-ES"/>
              </w:rPr>
              <w:t>también</w:t>
            </w:r>
            <w:r w:rsidR="00F27918" w:rsidRPr="004768D0">
              <w:rPr>
                <w:rFonts w:ascii="Cambria" w:hAnsi="Cambria"/>
                <w:sz w:val="16"/>
                <w:szCs w:val="16"/>
                <w:lang w:val="es-ES"/>
              </w:rPr>
              <w:t xml:space="preserve"> </w:t>
            </w:r>
            <w:r w:rsidR="00B9588A" w:rsidRPr="004768D0">
              <w:rPr>
                <w:rFonts w:ascii="Cambria" w:hAnsi="Cambria"/>
                <w:sz w:val="16"/>
                <w:szCs w:val="16"/>
                <w:lang w:val="es-ES"/>
              </w:rPr>
              <w:t>e</w:t>
            </w:r>
            <w:r w:rsidR="00F27918" w:rsidRPr="004768D0">
              <w:rPr>
                <w:rFonts w:ascii="Cambria" w:hAnsi="Cambria"/>
                <w:sz w:val="16"/>
                <w:szCs w:val="16"/>
                <w:lang w:val="es-ES"/>
              </w:rPr>
              <w:t>n</w:t>
            </w:r>
            <w:r w:rsidR="00B9588A" w:rsidRPr="004768D0">
              <w:rPr>
                <w:rFonts w:ascii="Cambria" w:hAnsi="Cambria"/>
                <w:sz w:val="16"/>
                <w:szCs w:val="16"/>
                <w:lang w:val="es-ES"/>
              </w:rPr>
              <w:t xml:space="preserve"> l</w:t>
            </w:r>
            <w:r w:rsidR="00F27918" w:rsidRPr="004768D0">
              <w:rPr>
                <w:rFonts w:ascii="Cambria" w:hAnsi="Cambria"/>
                <w:sz w:val="16"/>
                <w:szCs w:val="16"/>
                <w:lang w:val="es-ES"/>
              </w:rPr>
              <w:t>a p</w:t>
            </w:r>
            <w:r w:rsidR="007F7312">
              <w:rPr>
                <w:rFonts w:ascii="Cambria" w:hAnsi="Cambria"/>
                <w:sz w:val="16"/>
                <w:szCs w:val="16"/>
                <w:lang w:val="es-ES"/>
              </w:rPr>
              <w:t>i</w:t>
            </w:r>
            <w:r w:rsidR="00F27918" w:rsidRPr="004768D0">
              <w:rPr>
                <w:rFonts w:ascii="Cambria" w:hAnsi="Cambria"/>
                <w:sz w:val="16"/>
                <w:szCs w:val="16"/>
                <w:lang w:val="es-ES"/>
              </w:rPr>
              <w:t>erna</w:t>
            </w:r>
            <w:r w:rsidR="00B9588A" w:rsidRPr="004768D0">
              <w:rPr>
                <w:rFonts w:ascii="Cambria" w:hAnsi="Cambria"/>
                <w:sz w:val="16"/>
                <w:szCs w:val="16"/>
                <w:lang w:val="es-ES"/>
              </w:rPr>
              <w:t>,</w:t>
            </w:r>
            <w:r w:rsidR="00F27918" w:rsidRPr="004768D0">
              <w:rPr>
                <w:rFonts w:ascii="Cambria" w:hAnsi="Cambria"/>
                <w:sz w:val="16"/>
                <w:szCs w:val="16"/>
                <w:lang w:val="es-ES"/>
              </w:rPr>
              <w:t xml:space="preserve"> </w:t>
            </w:r>
            <w:r w:rsidR="00B9588A" w:rsidRPr="004768D0">
              <w:rPr>
                <w:rFonts w:ascii="Cambria" w:hAnsi="Cambria"/>
                <w:sz w:val="16"/>
                <w:szCs w:val="16"/>
                <w:lang w:val="es-ES"/>
              </w:rPr>
              <w:t>y</w:t>
            </w:r>
            <w:r w:rsidR="00F27918" w:rsidRPr="004768D0">
              <w:rPr>
                <w:rFonts w:ascii="Cambria" w:hAnsi="Cambria"/>
                <w:sz w:val="16"/>
                <w:szCs w:val="16"/>
                <w:lang w:val="es-ES"/>
              </w:rPr>
              <w:t xml:space="preserve"> </w:t>
            </w:r>
            <w:proofErr w:type="spellStart"/>
            <w:r w:rsidR="00F27918" w:rsidRPr="004768D0">
              <w:rPr>
                <w:rFonts w:ascii="Cambria" w:hAnsi="Cambria"/>
                <w:sz w:val="16"/>
                <w:szCs w:val="16"/>
                <w:lang w:val="es-ES"/>
              </w:rPr>
              <w:t>Éwerton</w:t>
            </w:r>
            <w:proofErr w:type="spellEnd"/>
            <w:r w:rsidR="00F27918" w:rsidRPr="004768D0">
              <w:rPr>
                <w:rFonts w:ascii="Cambria" w:hAnsi="Cambria"/>
                <w:sz w:val="16"/>
                <w:szCs w:val="16"/>
                <w:lang w:val="es-ES"/>
              </w:rPr>
              <w:t xml:space="preserve"> (</w:t>
            </w:r>
            <w:r w:rsidR="00B9588A" w:rsidRPr="004768D0">
              <w:rPr>
                <w:rFonts w:ascii="Cambria" w:hAnsi="Cambria"/>
                <w:sz w:val="16"/>
                <w:szCs w:val="16"/>
                <w:lang w:val="es-ES"/>
              </w:rPr>
              <w:t>que estaba en el bar</w:t>
            </w:r>
            <w:r w:rsidR="00F27918" w:rsidRPr="004768D0">
              <w:rPr>
                <w:rFonts w:ascii="Cambria" w:hAnsi="Cambria"/>
                <w:sz w:val="16"/>
                <w:szCs w:val="16"/>
                <w:lang w:val="es-ES"/>
              </w:rPr>
              <w:t xml:space="preserve">), por </w:t>
            </w:r>
            <w:r w:rsidR="007F7312">
              <w:rPr>
                <w:rFonts w:ascii="Cambria" w:hAnsi="Cambria"/>
                <w:sz w:val="16"/>
                <w:szCs w:val="16"/>
                <w:lang w:val="es-ES"/>
              </w:rPr>
              <w:t>un</w:t>
            </w:r>
            <w:r w:rsidR="00F27918" w:rsidRPr="004768D0">
              <w:rPr>
                <w:rFonts w:ascii="Cambria" w:hAnsi="Cambria"/>
                <w:sz w:val="16"/>
                <w:szCs w:val="16"/>
                <w:lang w:val="es-ES"/>
              </w:rPr>
              <w:t xml:space="preserve"> tiro </w:t>
            </w:r>
            <w:r w:rsidR="00E04ED3" w:rsidRPr="004768D0">
              <w:rPr>
                <w:rFonts w:ascii="Cambria" w:hAnsi="Cambria"/>
                <w:sz w:val="16"/>
                <w:szCs w:val="16"/>
                <w:lang w:val="es-ES"/>
              </w:rPr>
              <w:t>en la espalda</w:t>
            </w:r>
            <w:r w:rsidR="00F27918" w:rsidRPr="004768D0">
              <w:rPr>
                <w:rFonts w:ascii="Cambria" w:hAnsi="Cambria"/>
                <w:sz w:val="16"/>
                <w:szCs w:val="16"/>
                <w:lang w:val="es-ES"/>
              </w:rPr>
              <w:t>.</w:t>
            </w:r>
            <w:r w:rsidR="00B9588A" w:rsidRPr="004768D0">
              <w:rPr>
                <w:rFonts w:ascii="Cambria" w:hAnsi="Cambria"/>
                <w:sz w:val="16"/>
                <w:szCs w:val="16"/>
                <w:lang w:val="es-ES"/>
              </w:rPr>
              <w:t xml:space="preserve"> </w:t>
            </w:r>
          </w:p>
        </w:tc>
      </w:tr>
      <w:tr w:rsidR="00257978" w:rsidRPr="008D6F96" w14:paraId="50A322BC" w14:textId="77777777" w:rsidTr="00C25420">
        <w:tc>
          <w:tcPr>
            <w:tcW w:w="9350" w:type="dxa"/>
            <w:shd w:val="clear" w:color="auto" w:fill="000000" w:themeFill="text1"/>
          </w:tcPr>
          <w:p w14:paraId="64093780" w14:textId="77777777" w:rsidR="00257978" w:rsidRPr="004768D0" w:rsidRDefault="00372008" w:rsidP="003720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es-ES"/>
              </w:rPr>
            </w:pPr>
            <w:r w:rsidRPr="004768D0">
              <w:rPr>
                <w:rFonts w:asciiTheme="majorHAnsi" w:hAnsiTheme="majorHAnsi"/>
                <w:b/>
                <w:bCs/>
                <w:color w:val="FFFFFF" w:themeColor="background1"/>
                <w:sz w:val="16"/>
                <w:szCs w:val="16"/>
                <w:lang w:val="es-ES"/>
              </w:rPr>
              <w:t>Aspectos relacionados con la investigación de la muerte de</w:t>
            </w:r>
            <w:r w:rsidR="00C25420" w:rsidRPr="004768D0">
              <w:rPr>
                <w:rFonts w:asciiTheme="majorHAnsi" w:hAnsiTheme="majorHAnsi"/>
                <w:b/>
                <w:bCs/>
                <w:color w:val="FFFFFF" w:themeColor="background1"/>
                <w:sz w:val="16"/>
                <w:szCs w:val="16"/>
                <w:lang w:val="es-ES"/>
              </w:rPr>
              <w:t xml:space="preserve"> Wagner Lins dos Santos </w:t>
            </w:r>
            <w:r w:rsidRPr="004768D0">
              <w:rPr>
                <w:rFonts w:asciiTheme="majorHAnsi" w:hAnsiTheme="majorHAnsi"/>
                <w:b/>
                <w:bCs/>
                <w:color w:val="FFFFFF" w:themeColor="background1"/>
                <w:sz w:val="16"/>
                <w:szCs w:val="16"/>
                <w:lang w:val="es-ES"/>
              </w:rPr>
              <w:t>y</w:t>
            </w:r>
            <w:r w:rsidR="00C25420" w:rsidRPr="004768D0">
              <w:rPr>
                <w:rFonts w:asciiTheme="majorHAnsi" w:hAnsiTheme="majorHAnsi"/>
                <w:b/>
                <w:bCs/>
                <w:color w:val="FFFFFF" w:themeColor="background1"/>
                <w:sz w:val="16"/>
                <w:szCs w:val="16"/>
                <w:lang w:val="es-ES"/>
              </w:rPr>
              <w:t xml:space="preserve"> Diego Vieira dos Santos Miranda</w:t>
            </w:r>
          </w:p>
        </w:tc>
      </w:tr>
      <w:tr w:rsidR="00257978" w:rsidRPr="008D6F96" w14:paraId="209A9A53" w14:textId="77777777" w:rsidTr="00257978">
        <w:tc>
          <w:tcPr>
            <w:tcW w:w="9350" w:type="dxa"/>
          </w:tcPr>
          <w:p w14:paraId="1D785C18" w14:textId="77777777" w:rsidR="00204009" w:rsidRPr="004768D0" w:rsidRDefault="00B9588A" w:rsidP="00204009">
            <w:pPr>
              <w:spacing w:before="120" w:after="120"/>
              <w:jc w:val="both"/>
              <w:rPr>
                <w:rFonts w:ascii="Cambria" w:hAnsi="Cambria"/>
                <w:sz w:val="16"/>
                <w:szCs w:val="16"/>
                <w:lang w:val="es-ES"/>
              </w:rPr>
            </w:pPr>
            <w:r w:rsidRPr="004768D0">
              <w:rPr>
                <w:rFonts w:ascii="Cambria" w:hAnsi="Cambria"/>
                <w:sz w:val="16"/>
                <w:szCs w:val="16"/>
                <w:lang w:val="es-ES"/>
              </w:rPr>
              <w:t xml:space="preserve">Las indagaciones del delito constan en el expediente de la </w:t>
            </w:r>
            <w:r w:rsidR="00C03E33" w:rsidRPr="004768D0">
              <w:rPr>
                <w:rFonts w:ascii="Cambria" w:hAnsi="Cambria"/>
                <w:sz w:val="16"/>
                <w:szCs w:val="16"/>
                <w:lang w:val="es-ES"/>
              </w:rPr>
              <w:t>investigación</w:t>
            </w:r>
            <w:r w:rsidR="00204009" w:rsidRPr="004768D0">
              <w:rPr>
                <w:rFonts w:ascii="Cambria" w:hAnsi="Cambria"/>
                <w:sz w:val="16"/>
                <w:szCs w:val="16"/>
                <w:lang w:val="es-ES"/>
              </w:rPr>
              <w:t xml:space="preserve"> policial </w:t>
            </w:r>
            <w:r w:rsidRPr="004768D0">
              <w:rPr>
                <w:rFonts w:ascii="Cambria" w:hAnsi="Cambria"/>
                <w:sz w:val="16"/>
                <w:szCs w:val="16"/>
                <w:lang w:val="es-ES"/>
              </w:rPr>
              <w:t>N.</w:t>
            </w:r>
            <w:r w:rsidR="00204009" w:rsidRPr="004768D0">
              <w:rPr>
                <w:rFonts w:ascii="Cambria" w:hAnsi="Cambria"/>
                <w:sz w:val="16"/>
                <w:szCs w:val="16"/>
                <w:lang w:val="es-ES"/>
              </w:rPr>
              <w:t>° 121/06 d</w:t>
            </w:r>
            <w:r w:rsidRPr="004768D0">
              <w:rPr>
                <w:rFonts w:ascii="Cambria" w:hAnsi="Cambria"/>
                <w:sz w:val="16"/>
                <w:szCs w:val="16"/>
                <w:lang w:val="es-ES"/>
              </w:rPr>
              <w:t>el</w:t>
            </w:r>
            <w:r w:rsidR="00204009" w:rsidRPr="004768D0">
              <w:rPr>
                <w:rFonts w:ascii="Cambria" w:hAnsi="Cambria"/>
                <w:sz w:val="16"/>
                <w:szCs w:val="16"/>
                <w:lang w:val="es-ES"/>
              </w:rPr>
              <w:t xml:space="preserve"> </w:t>
            </w:r>
            <w:r w:rsidR="004744F0" w:rsidRPr="004768D0">
              <w:rPr>
                <w:rFonts w:ascii="Cambria" w:hAnsi="Cambria"/>
                <w:sz w:val="16"/>
                <w:szCs w:val="16"/>
                <w:lang w:val="es-ES"/>
              </w:rPr>
              <w:t>Quinto Distrito</w:t>
            </w:r>
            <w:r w:rsidR="00204009" w:rsidRPr="004768D0">
              <w:rPr>
                <w:rFonts w:ascii="Cambria" w:hAnsi="Cambria"/>
                <w:sz w:val="16"/>
                <w:szCs w:val="16"/>
                <w:lang w:val="es-ES"/>
              </w:rPr>
              <w:t xml:space="preserve"> Policial de Santos</w:t>
            </w:r>
            <w:r w:rsidRPr="004768D0">
              <w:rPr>
                <w:rFonts w:ascii="Cambria" w:hAnsi="Cambria"/>
                <w:sz w:val="16"/>
                <w:szCs w:val="16"/>
                <w:lang w:val="es-ES"/>
              </w:rPr>
              <w:t xml:space="preserve"> y en autos </w:t>
            </w:r>
            <w:r w:rsidR="00204009" w:rsidRPr="004768D0">
              <w:rPr>
                <w:rFonts w:ascii="Cambria" w:hAnsi="Cambria"/>
                <w:sz w:val="16"/>
                <w:szCs w:val="16"/>
                <w:lang w:val="es-ES"/>
              </w:rPr>
              <w:t xml:space="preserve">como </w:t>
            </w:r>
            <w:r w:rsidR="00C03E33" w:rsidRPr="004768D0">
              <w:rPr>
                <w:rFonts w:ascii="Cambria" w:hAnsi="Cambria"/>
                <w:sz w:val="16"/>
                <w:szCs w:val="16"/>
                <w:lang w:val="es-ES"/>
              </w:rPr>
              <w:t>investigación</w:t>
            </w:r>
            <w:r w:rsidR="00204009" w:rsidRPr="004768D0">
              <w:rPr>
                <w:rFonts w:ascii="Cambria" w:hAnsi="Cambria"/>
                <w:sz w:val="16"/>
                <w:szCs w:val="16"/>
                <w:lang w:val="es-ES"/>
              </w:rPr>
              <w:t xml:space="preserve"> policial </w:t>
            </w:r>
            <w:r w:rsidRPr="004768D0">
              <w:rPr>
                <w:rFonts w:ascii="Cambria" w:hAnsi="Cambria"/>
                <w:sz w:val="16"/>
                <w:szCs w:val="16"/>
                <w:lang w:val="es-ES"/>
              </w:rPr>
              <w:t>N.</w:t>
            </w:r>
            <w:r w:rsidR="00204009" w:rsidRPr="004768D0">
              <w:rPr>
                <w:rFonts w:ascii="Cambria" w:hAnsi="Cambria"/>
                <w:sz w:val="16"/>
                <w:szCs w:val="16"/>
                <w:lang w:val="es-ES"/>
              </w:rPr>
              <w:t>° 197/06 d</w:t>
            </w:r>
            <w:r w:rsidRPr="004768D0">
              <w:rPr>
                <w:rFonts w:ascii="Cambria" w:hAnsi="Cambria"/>
                <w:sz w:val="16"/>
                <w:szCs w:val="16"/>
                <w:lang w:val="es-ES"/>
              </w:rPr>
              <w:t xml:space="preserve">el Primer Juzgado Penal y del Jurado </w:t>
            </w:r>
            <w:r w:rsidR="00204009" w:rsidRPr="004768D0">
              <w:rPr>
                <w:rFonts w:ascii="Cambria" w:hAnsi="Cambria"/>
                <w:sz w:val="16"/>
                <w:szCs w:val="16"/>
                <w:lang w:val="es-ES"/>
              </w:rPr>
              <w:t>de Santos.</w:t>
            </w:r>
          </w:p>
          <w:p w14:paraId="2D71B75F" w14:textId="77777777" w:rsidR="00204009" w:rsidRPr="004768D0" w:rsidRDefault="00B9588A" w:rsidP="00204009">
            <w:pPr>
              <w:spacing w:before="120" w:after="120"/>
              <w:jc w:val="both"/>
              <w:rPr>
                <w:rFonts w:ascii="Cambria" w:hAnsi="Cambria"/>
                <w:sz w:val="16"/>
                <w:szCs w:val="16"/>
                <w:lang w:val="es-ES"/>
              </w:rPr>
            </w:pPr>
            <w:r w:rsidRPr="004768D0">
              <w:rPr>
                <w:rFonts w:ascii="Cambria" w:hAnsi="Cambria"/>
                <w:sz w:val="16"/>
                <w:szCs w:val="16"/>
                <w:lang w:val="es-ES"/>
              </w:rPr>
              <w:t xml:space="preserve">Tras el parte policial del día, la primera declaración </w:t>
            </w:r>
            <w:r w:rsidR="00204009" w:rsidRPr="004768D0">
              <w:rPr>
                <w:rFonts w:ascii="Cambria" w:hAnsi="Cambria"/>
                <w:sz w:val="16"/>
                <w:szCs w:val="16"/>
                <w:lang w:val="es-ES"/>
              </w:rPr>
              <w:t xml:space="preserve">de </w:t>
            </w:r>
            <w:r w:rsidR="003346C1" w:rsidRPr="004768D0">
              <w:rPr>
                <w:rFonts w:ascii="Cambria" w:hAnsi="Cambria"/>
                <w:sz w:val="16"/>
                <w:szCs w:val="16"/>
                <w:lang w:val="es-ES"/>
              </w:rPr>
              <w:t>testigos</w:t>
            </w:r>
            <w:r w:rsidR="00204009" w:rsidRPr="004768D0">
              <w:rPr>
                <w:rFonts w:ascii="Cambria" w:hAnsi="Cambria"/>
                <w:sz w:val="16"/>
                <w:szCs w:val="16"/>
                <w:lang w:val="es-ES"/>
              </w:rPr>
              <w:t xml:space="preserve"> </w:t>
            </w:r>
            <w:r w:rsidRPr="004768D0">
              <w:rPr>
                <w:rFonts w:ascii="Cambria" w:hAnsi="Cambria"/>
                <w:sz w:val="16"/>
                <w:szCs w:val="16"/>
                <w:lang w:val="es-ES"/>
              </w:rPr>
              <w:t>en el</w:t>
            </w:r>
            <w:r w:rsidR="00204009" w:rsidRPr="004768D0">
              <w:rPr>
                <w:rFonts w:ascii="Cambria" w:hAnsi="Cambria"/>
                <w:sz w:val="16"/>
                <w:szCs w:val="16"/>
                <w:lang w:val="es-ES"/>
              </w:rPr>
              <w:t xml:space="preserve"> caso </w:t>
            </w:r>
            <w:r w:rsidRPr="004768D0">
              <w:rPr>
                <w:rFonts w:ascii="Cambria" w:hAnsi="Cambria"/>
                <w:sz w:val="16"/>
                <w:szCs w:val="16"/>
                <w:lang w:val="es-ES"/>
              </w:rPr>
              <w:t xml:space="preserve">se tomó </w:t>
            </w:r>
            <w:r w:rsidR="00204009" w:rsidRPr="004768D0">
              <w:rPr>
                <w:rFonts w:ascii="Cambria" w:hAnsi="Cambria"/>
                <w:sz w:val="16"/>
                <w:szCs w:val="16"/>
                <w:lang w:val="es-ES"/>
              </w:rPr>
              <w:t xml:space="preserve">59 </w:t>
            </w:r>
            <w:r w:rsidRPr="004768D0">
              <w:rPr>
                <w:rFonts w:ascii="Cambria" w:hAnsi="Cambria"/>
                <w:sz w:val="16"/>
                <w:szCs w:val="16"/>
                <w:lang w:val="es-ES"/>
              </w:rPr>
              <w:t>días</w:t>
            </w:r>
            <w:r w:rsidR="00204009" w:rsidRPr="004768D0">
              <w:rPr>
                <w:rFonts w:ascii="Cambria" w:hAnsi="Cambria"/>
                <w:sz w:val="16"/>
                <w:szCs w:val="16"/>
                <w:lang w:val="es-ES"/>
              </w:rPr>
              <w:t xml:space="preserve"> </w:t>
            </w:r>
            <w:r w:rsidRPr="004768D0">
              <w:rPr>
                <w:rFonts w:ascii="Cambria" w:hAnsi="Cambria"/>
                <w:sz w:val="16"/>
                <w:szCs w:val="16"/>
                <w:lang w:val="es-ES"/>
              </w:rPr>
              <w:t>después de l</w:t>
            </w:r>
            <w:r w:rsidR="00204009" w:rsidRPr="004768D0">
              <w:rPr>
                <w:rFonts w:ascii="Cambria" w:hAnsi="Cambria"/>
                <w:sz w:val="16"/>
                <w:szCs w:val="16"/>
                <w:lang w:val="es-ES"/>
              </w:rPr>
              <w:t xml:space="preserve">os </w:t>
            </w:r>
            <w:r w:rsidR="000C0AC4" w:rsidRPr="004768D0">
              <w:rPr>
                <w:rFonts w:ascii="Cambria" w:hAnsi="Cambria"/>
                <w:sz w:val="16"/>
                <w:szCs w:val="16"/>
                <w:lang w:val="es-ES"/>
              </w:rPr>
              <w:t>hechos</w:t>
            </w:r>
            <w:r w:rsidR="00204009" w:rsidRPr="004768D0">
              <w:rPr>
                <w:rFonts w:ascii="Cambria" w:hAnsi="Cambria"/>
                <w:sz w:val="16"/>
                <w:szCs w:val="16"/>
                <w:lang w:val="es-ES"/>
              </w:rPr>
              <w:t xml:space="preserve"> (</w:t>
            </w:r>
            <w:r w:rsidRPr="004768D0">
              <w:rPr>
                <w:rFonts w:ascii="Cambria" w:hAnsi="Cambria"/>
                <w:sz w:val="16"/>
                <w:szCs w:val="16"/>
                <w:lang w:val="es-ES"/>
              </w:rPr>
              <w:t xml:space="preserve">el </w:t>
            </w:r>
            <w:r w:rsidR="00204009" w:rsidRPr="004768D0">
              <w:rPr>
                <w:rFonts w:ascii="Cambria" w:hAnsi="Cambria"/>
                <w:sz w:val="16"/>
                <w:szCs w:val="16"/>
                <w:lang w:val="es-ES"/>
              </w:rPr>
              <w:t xml:space="preserve">13 de </w:t>
            </w:r>
            <w:r w:rsidR="007F4608" w:rsidRPr="004768D0">
              <w:rPr>
                <w:rFonts w:ascii="Cambria" w:hAnsi="Cambria"/>
                <w:sz w:val="16"/>
                <w:szCs w:val="16"/>
                <w:lang w:val="es-ES"/>
              </w:rPr>
              <w:t>julio</w:t>
            </w:r>
            <w:r w:rsidR="00204009" w:rsidRPr="004768D0">
              <w:rPr>
                <w:rFonts w:ascii="Cambria" w:hAnsi="Cambria"/>
                <w:sz w:val="16"/>
                <w:szCs w:val="16"/>
                <w:lang w:val="es-ES"/>
              </w:rPr>
              <w:t xml:space="preserve"> de 2006). </w:t>
            </w:r>
            <w:r w:rsidRPr="004768D0">
              <w:rPr>
                <w:rFonts w:ascii="Cambria" w:hAnsi="Cambria"/>
                <w:sz w:val="16"/>
                <w:szCs w:val="16"/>
                <w:lang w:val="es-ES"/>
              </w:rPr>
              <w:t xml:space="preserve">Declararon las </w:t>
            </w:r>
            <w:r w:rsidR="00000CF9" w:rsidRPr="004768D0">
              <w:rPr>
                <w:rFonts w:ascii="Cambria" w:hAnsi="Cambria"/>
                <w:sz w:val="16"/>
                <w:szCs w:val="16"/>
                <w:lang w:val="es-ES"/>
              </w:rPr>
              <w:t>víctimas</w:t>
            </w:r>
            <w:r w:rsidR="00204009" w:rsidRPr="004768D0">
              <w:rPr>
                <w:rFonts w:ascii="Cambria" w:hAnsi="Cambria"/>
                <w:sz w:val="16"/>
                <w:szCs w:val="16"/>
                <w:lang w:val="es-ES"/>
              </w:rPr>
              <w:t xml:space="preserve"> </w:t>
            </w:r>
            <w:r w:rsidRPr="004768D0">
              <w:rPr>
                <w:rFonts w:ascii="Cambria" w:hAnsi="Cambria"/>
                <w:sz w:val="16"/>
                <w:szCs w:val="16"/>
                <w:lang w:val="es-ES"/>
              </w:rPr>
              <w:t>sobrevivientes</w:t>
            </w:r>
            <w:r w:rsidR="00204009" w:rsidRPr="004768D0">
              <w:rPr>
                <w:rFonts w:ascii="Cambria" w:hAnsi="Cambria"/>
                <w:sz w:val="16"/>
                <w:szCs w:val="16"/>
                <w:lang w:val="es-ES"/>
              </w:rPr>
              <w:t>, qu</w:t>
            </w:r>
            <w:r w:rsidR="00CE212A">
              <w:rPr>
                <w:rFonts w:ascii="Cambria" w:hAnsi="Cambria"/>
                <w:sz w:val="16"/>
                <w:szCs w:val="16"/>
                <w:lang w:val="es-ES"/>
              </w:rPr>
              <w:t>i</w:t>
            </w:r>
            <w:r w:rsidR="00204009" w:rsidRPr="004768D0">
              <w:rPr>
                <w:rFonts w:ascii="Cambria" w:hAnsi="Cambria"/>
                <w:sz w:val="16"/>
                <w:szCs w:val="16"/>
                <w:lang w:val="es-ES"/>
              </w:rPr>
              <w:t>e</w:t>
            </w:r>
            <w:r w:rsidR="00CE212A">
              <w:rPr>
                <w:rFonts w:ascii="Cambria" w:hAnsi="Cambria"/>
                <w:sz w:val="16"/>
                <w:szCs w:val="16"/>
                <w:lang w:val="es-ES"/>
              </w:rPr>
              <w:t>nes</w:t>
            </w:r>
            <w:r w:rsidR="00204009" w:rsidRPr="004768D0">
              <w:rPr>
                <w:rFonts w:ascii="Cambria" w:hAnsi="Cambria"/>
                <w:sz w:val="16"/>
                <w:szCs w:val="16"/>
                <w:lang w:val="es-ES"/>
              </w:rPr>
              <w:t xml:space="preserve"> </w:t>
            </w:r>
            <w:r w:rsidRPr="004768D0">
              <w:rPr>
                <w:rFonts w:ascii="Cambria" w:hAnsi="Cambria"/>
                <w:sz w:val="16"/>
                <w:szCs w:val="16"/>
                <w:lang w:val="es-ES"/>
              </w:rPr>
              <w:t>afirmaron</w:t>
            </w:r>
            <w:r w:rsidR="00204009" w:rsidRPr="004768D0">
              <w:rPr>
                <w:rFonts w:ascii="Cambria" w:hAnsi="Cambria"/>
                <w:sz w:val="16"/>
                <w:szCs w:val="16"/>
                <w:lang w:val="es-ES"/>
              </w:rPr>
              <w:t xml:space="preserve"> </w:t>
            </w:r>
            <w:r w:rsidRPr="004768D0">
              <w:rPr>
                <w:rFonts w:ascii="Cambria" w:hAnsi="Cambria"/>
                <w:sz w:val="16"/>
                <w:szCs w:val="16"/>
                <w:lang w:val="es-ES"/>
              </w:rPr>
              <w:t xml:space="preserve">que no </w:t>
            </w:r>
            <w:r w:rsidR="00CE212A">
              <w:rPr>
                <w:rFonts w:ascii="Cambria" w:hAnsi="Cambria"/>
                <w:sz w:val="16"/>
                <w:szCs w:val="16"/>
                <w:lang w:val="es-ES"/>
              </w:rPr>
              <w:t xml:space="preserve">podían </w:t>
            </w:r>
            <w:r w:rsidRPr="004768D0">
              <w:rPr>
                <w:rFonts w:ascii="Cambria" w:hAnsi="Cambria"/>
                <w:sz w:val="16"/>
                <w:szCs w:val="16"/>
                <w:lang w:val="es-ES"/>
              </w:rPr>
              <w:t>reconocer a nadie, dada la rapidez con que se desarrollaron los hechos</w:t>
            </w:r>
            <w:r w:rsidR="00204009" w:rsidRPr="004768D0">
              <w:rPr>
                <w:rFonts w:ascii="Cambria" w:hAnsi="Cambria"/>
                <w:sz w:val="16"/>
                <w:szCs w:val="16"/>
                <w:lang w:val="es-ES"/>
              </w:rPr>
              <w:t xml:space="preserve">. </w:t>
            </w:r>
            <w:r w:rsidRPr="004768D0">
              <w:rPr>
                <w:rFonts w:ascii="Cambria" w:hAnsi="Cambria"/>
                <w:sz w:val="16"/>
                <w:szCs w:val="16"/>
                <w:lang w:val="es-ES"/>
              </w:rPr>
              <w:t xml:space="preserve">Se proporcionó información sobre el color y la probable marca de la </w:t>
            </w:r>
            <w:r w:rsidR="00204009" w:rsidRPr="004768D0">
              <w:rPr>
                <w:rFonts w:ascii="Cambria" w:hAnsi="Cambria"/>
                <w:sz w:val="16"/>
                <w:szCs w:val="16"/>
                <w:lang w:val="es-ES"/>
              </w:rPr>
              <w:t xml:space="preserve">moto. </w:t>
            </w:r>
            <w:r w:rsidRPr="004768D0">
              <w:rPr>
                <w:rFonts w:ascii="Cambria" w:hAnsi="Cambria"/>
                <w:sz w:val="16"/>
                <w:szCs w:val="16"/>
                <w:lang w:val="es-ES"/>
              </w:rPr>
              <w:t>Declararon también la madre y el</w:t>
            </w:r>
            <w:r w:rsidR="00204009" w:rsidRPr="004768D0">
              <w:rPr>
                <w:rFonts w:ascii="Cambria" w:hAnsi="Cambria"/>
                <w:sz w:val="16"/>
                <w:szCs w:val="16"/>
                <w:lang w:val="es-ES"/>
              </w:rPr>
              <w:t xml:space="preserve"> padrast</w:t>
            </w:r>
            <w:r w:rsidRPr="004768D0">
              <w:rPr>
                <w:rFonts w:ascii="Cambria" w:hAnsi="Cambria"/>
                <w:sz w:val="16"/>
                <w:szCs w:val="16"/>
                <w:lang w:val="es-ES"/>
              </w:rPr>
              <w:t>r</w:t>
            </w:r>
            <w:r w:rsidR="00204009" w:rsidRPr="004768D0">
              <w:rPr>
                <w:rFonts w:ascii="Cambria" w:hAnsi="Cambria"/>
                <w:sz w:val="16"/>
                <w:szCs w:val="16"/>
                <w:lang w:val="es-ES"/>
              </w:rPr>
              <w:t xml:space="preserve">o de Wagner, </w:t>
            </w:r>
            <w:r w:rsidRPr="004768D0">
              <w:rPr>
                <w:rFonts w:ascii="Cambria" w:hAnsi="Cambria"/>
                <w:sz w:val="16"/>
                <w:szCs w:val="16"/>
                <w:lang w:val="es-ES"/>
              </w:rPr>
              <w:t>a quienes se les preguntó solo sobre el carácter</w:t>
            </w:r>
            <w:r w:rsidR="00204009" w:rsidRPr="004768D0">
              <w:rPr>
                <w:rFonts w:ascii="Cambria" w:hAnsi="Cambria"/>
                <w:sz w:val="16"/>
                <w:szCs w:val="16"/>
                <w:lang w:val="es-ES"/>
              </w:rPr>
              <w:t xml:space="preserve"> d</w:t>
            </w:r>
            <w:r w:rsidRPr="004768D0">
              <w:rPr>
                <w:rFonts w:ascii="Cambria" w:hAnsi="Cambria"/>
                <w:sz w:val="16"/>
                <w:szCs w:val="16"/>
                <w:lang w:val="es-ES"/>
              </w:rPr>
              <w:t>e la</w:t>
            </w:r>
            <w:r w:rsidR="00204009" w:rsidRPr="004768D0">
              <w:rPr>
                <w:rFonts w:ascii="Cambria" w:hAnsi="Cambria"/>
                <w:sz w:val="16"/>
                <w:szCs w:val="16"/>
                <w:lang w:val="es-ES"/>
              </w:rPr>
              <w:t xml:space="preserve"> </w:t>
            </w:r>
            <w:r w:rsidR="000D0997" w:rsidRPr="004768D0">
              <w:rPr>
                <w:rFonts w:ascii="Cambria" w:hAnsi="Cambria"/>
                <w:sz w:val="16"/>
                <w:szCs w:val="16"/>
                <w:lang w:val="es-ES"/>
              </w:rPr>
              <w:t>víctima</w:t>
            </w:r>
            <w:r w:rsidR="00204009" w:rsidRPr="004768D0">
              <w:rPr>
                <w:rFonts w:ascii="Cambria" w:hAnsi="Cambria"/>
                <w:sz w:val="16"/>
                <w:szCs w:val="16"/>
                <w:lang w:val="es-ES"/>
              </w:rPr>
              <w:t xml:space="preserve"> fa</w:t>
            </w:r>
            <w:r w:rsidRPr="004768D0">
              <w:rPr>
                <w:rFonts w:ascii="Cambria" w:hAnsi="Cambria"/>
                <w:sz w:val="16"/>
                <w:szCs w:val="16"/>
                <w:lang w:val="es-ES"/>
              </w:rPr>
              <w:t xml:space="preserve">llecida. No se tomó declaración a ningún otro </w:t>
            </w:r>
            <w:r w:rsidR="00204009" w:rsidRPr="004768D0">
              <w:rPr>
                <w:rFonts w:ascii="Cambria" w:hAnsi="Cambria"/>
                <w:sz w:val="16"/>
                <w:szCs w:val="16"/>
                <w:lang w:val="es-ES"/>
              </w:rPr>
              <w:lastRenderedPageBreak/>
              <w:t>familiar d</w:t>
            </w:r>
            <w:r w:rsidRPr="004768D0">
              <w:rPr>
                <w:rFonts w:ascii="Cambria" w:hAnsi="Cambria"/>
                <w:sz w:val="16"/>
                <w:szCs w:val="16"/>
                <w:lang w:val="es-ES"/>
              </w:rPr>
              <w:t>e l</w:t>
            </w:r>
            <w:r w:rsidR="00204009" w:rsidRPr="004768D0">
              <w:rPr>
                <w:rFonts w:ascii="Cambria" w:hAnsi="Cambria"/>
                <w:sz w:val="16"/>
                <w:szCs w:val="16"/>
                <w:lang w:val="es-ES"/>
              </w:rPr>
              <w:t xml:space="preserve">as </w:t>
            </w:r>
            <w:r w:rsidR="00000CF9" w:rsidRPr="004768D0">
              <w:rPr>
                <w:rFonts w:ascii="Cambria" w:hAnsi="Cambria"/>
                <w:sz w:val="16"/>
                <w:szCs w:val="16"/>
                <w:lang w:val="es-ES"/>
              </w:rPr>
              <w:t>víctimas</w:t>
            </w:r>
            <w:r w:rsidRPr="004768D0">
              <w:rPr>
                <w:rFonts w:ascii="Cambria" w:hAnsi="Cambria"/>
                <w:sz w:val="16"/>
                <w:szCs w:val="16"/>
                <w:lang w:val="es-ES"/>
              </w:rPr>
              <w:t xml:space="preserve">. Los </w:t>
            </w:r>
            <w:r w:rsidR="00E04ED3" w:rsidRPr="004768D0">
              <w:rPr>
                <w:rFonts w:ascii="Cambria" w:hAnsi="Cambria"/>
                <w:sz w:val="16"/>
                <w:szCs w:val="16"/>
                <w:lang w:val="es-ES"/>
              </w:rPr>
              <w:t>policías militares</w:t>
            </w:r>
            <w:r w:rsidR="00204009" w:rsidRPr="004768D0">
              <w:rPr>
                <w:rFonts w:ascii="Cambria" w:hAnsi="Cambria"/>
                <w:sz w:val="16"/>
                <w:szCs w:val="16"/>
                <w:lang w:val="es-ES"/>
              </w:rPr>
              <w:t xml:space="preserve"> que </w:t>
            </w:r>
            <w:r w:rsidR="00134B08" w:rsidRPr="004768D0">
              <w:rPr>
                <w:rFonts w:ascii="Cambria" w:hAnsi="Cambria"/>
                <w:sz w:val="16"/>
                <w:szCs w:val="16"/>
                <w:lang w:val="es-ES"/>
              </w:rPr>
              <w:t xml:space="preserve">respondieron al </w:t>
            </w:r>
            <w:r w:rsidR="005D63D3" w:rsidRPr="004768D0">
              <w:rPr>
                <w:rFonts w:ascii="Cambria" w:hAnsi="Cambria"/>
                <w:sz w:val="16"/>
                <w:szCs w:val="16"/>
                <w:lang w:val="es-ES"/>
              </w:rPr>
              <w:t xml:space="preserve">incidente también declararon y dijeron que no sabían nada sobre el </w:t>
            </w:r>
            <w:r w:rsidR="00204009" w:rsidRPr="004768D0">
              <w:rPr>
                <w:rFonts w:ascii="Cambria" w:hAnsi="Cambria"/>
                <w:sz w:val="16"/>
                <w:szCs w:val="16"/>
                <w:lang w:val="es-ES"/>
              </w:rPr>
              <w:t xml:space="preserve">delito. </w:t>
            </w:r>
          </w:p>
          <w:p w14:paraId="7E948941" w14:textId="77777777" w:rsidR="00204009" w:rsidRPr="004768D0" w:rsidRDefault="004744F0" w:rsidP="00204009">
            <w:pPr>
              <w:spacing w:before="120" w:after="120"/>
              <w:jc w:val="both"/>
              <w:rPr>
                <w:rFonts w:ascii="Cambria" w:hAnsi="Cambria"/>
                <w:sz w:val="16"/>
                <w:szCs w:val="16"/>
                <w:lang w:val="es-ES"/>
              </w:rPr>
            </w:pPr>
            <w:r w:rsidRPr="004768D0">
              <w:rPr>
                <w:rFonts w:ascii="Cambria" w:hAnsi="Cambria"/>
                <w:sz w:val="16"/>
                <w:szCs w:val="16"/>
                <w:lang w:val="es-ES"/>
              </w:rPr>
              <w:t>Un testigo</w:t>
            </w:r>
            <w:r w:rsidR="00204009" w:rsidRPr="004768D0">
              <w:rPr>
                <w:rFonts w:ascii="Cambria" w:hAnsi="Cambria"/>
                <w:sz w:val="16"/>
                <w:szCs w:val="16"/>
                <w:lang w:val="es-ES"/>
              </w:rPr>
              <w:t xml:space="preserve"> (que p</w:t>
            </w:r>
            <w:r w:rsidR="005D63D3" w:rsidRPr="004768D0">
              <w:rPr>
                <w:rFonts w:ascii="Cambria" w:hAnsi="Cambria"/>
                <w:sz w:val="16"/>
                <w:szCs w:val="16"/>
                <w:lang w:val="es-ES"/>
              </w:rPr>
              <w:t>idió que no lo identificaran porque temía represalias</w:t>
            </w:r>
            <w:r w:rsidR="00204009" w:rsidRPr="004768D0">
              <w:rPr>
                <w:rFonts w:ascii="Cambria" w:hAnsi="Cambria"/>
                <w:sz w:val="16"/>
                <w:szCs w:val="16"/>
                <w:lang w:val="es-ES"/>
              </w:rPr>
              <w:t xml:space="preserve">) </w:t>
            </w:r>
            <w:r w:rsidR="005D63D3" w:rsidRPr="004768D0">
              <w:rPr>
                <w:rFonts w:ascii="Cambria" w:hAnsi="Cambria"/>
                <w:sz w:val="16"/>
                <w:szCs w:val="16"/>
                <w:lang w:val="es-ES"/>
              </w:rPr>
              <w:t>afirmó</w:t>
            </w:r>
            <w:r w:rsidR="00204009" w:rsidRPr="004768D0">
              <w:rPr>
                <w:rFonts w:ascii="Cambria" w:hAnsi="Cambria"/>
                <w:sz w:val="16"/>
                <w:szCs w:val="16"/>
                <w:lang w:val="es-ES"/>
              </w:rPr>
              <w:t>, e</w:t>
            </w:r>
            <w:r w:rsidR="005D63D3" w:rsidRPr="004768D0">
              <w:rPr>
                <w:rFonts w:ascii="Cambria" w:hAnsi="Cambria"/>
                <w:sz w:val="16"/>
                <w:szCs w:val="16"/>
                <w:lang w:val="es-ES"/>
              </w:rPr>
              <w:t xml:space="preserve">n una </w:t>
            </w:r>
            <w:r w:rsidR="00204009" w:rsidRPr="004768D0">
              <w:rPr>
                <w:rFonts w:ascii="Cambria" w:hAnsi="Cambria"/>
                <w:sz w:val="16"/>
                <w:szCs w:val="16"/>
                <w:lang w:val="es-ES"/>
              </w:rPr>
              <w:t xml:space="preserve">entrevista </w:t>
            </w:r>
            <w:r w:rsidR="005D63D3" w:rsidRPr="004768D0">
              <w:rPr>
                <w:rFonts w:ascii="Cambria" w:hAnsi="Cambria"/>
                <w:sz w:val="16"/>
                <w:szCs w:val="16"/>
                <w:lang w:val="es-ES"/>
              </w:rPr>
              <w:t xml:space="preserve">realizada en </w:t>
            </w:r>
            <w:r w:rsidR="00204009" w:rsidRPr="004768D0">
              <w:rPr>
                <w:rFonts w:ascii="Cambria" w:hAnsi="Cambria"/>
                <w:sz w:val="16"/>
                <w:szCs w:val="16"/>
                <w:lang w:val="es-ES"/>
              </w:rPr>
              <w:t>Santos e</w:t>
            </w:r>
            <w:r w:rsidR="005D63D3" w:rsidRPr="004768D0">
              <w:rPr>
                <w:rFonts w:ascii="Cambria" w:hAnsi="Cambria"/>
                <w:sz w:val="16"/>
                <w:szCs w:val="16"/>
                <w:lang w:val="es-ES"/>
              </w:rPr>
              <w:t>n</w:t>
            </w:r>
            <w:r w:rsidR="00204009" w:rsidRPr="004768D0">
              <w:rPr>
                <w:rFonts w:ascii="Cambria" w:hAnsi="Cambria"/>
                <w:sz w:val="16"/>
                <w:szCs w:val="16"/>
                <w:lang w:val="es-ES"/>
              </w:rPr>
              <w:t xml:space="preserve"> </w:t>
            </w:r>
            <w:r w:rsidR="007F4608" w:rsidRPr="004768D0">
              <w:rPr>
                <w:rFonts w:ascii="Cambria" w:hAnsi="Cambria"/>
                <w:sz w:val="16"/>
                <w:szCs w:val="16"/>
                <w:lang w:val="es-ES"/>
              </w:rPr>
              <w:t>enero</w:t>
            </w:r>
            <w:r w:rsidR="00204009" w:rsidRPr="004768D0">
              <w:rPr>
                <w:rFonts w:ascii="Cambria" w:hAnsi="Cambria"/>
                <w:sz w:val="16"/>
                <w:szCs w:val="16"/>
                <w:lang w:val="es-ES"/>
              </w:rPr>
              <w:t xml:space="preserve"> de 2010, que </w:t>
            </w:r>
            <w:r w:rsidR="005D63D3" w:rsidRPr="004768D0">
              <w:rPr>
                <w:rFonts w:ascii="Cambria" w:hAnsi="Cambria"/>
                <w:sz w:val="16"/>
                <w:szCs w:val="16"/>
                <w:lang w:val="es-ES"/>
              </w:rPr>
              <w:t>había</w:t>
            </w:r>
            <w:r w:rsidR="00204009" w:rsidRPr="004768D0">
              <w:rPr>
                <w:rFonts w:ascii="Cambria" w:hAnsi="Cambria"/>
                <w:sz w:val="16"/>
                <w:szCs w:val="16"/>
                <w:lang w:val="es-ES"/>
              </w:rPr>
              <w:t xml:space="preserve"> </w:t>
            </w:r>
            <w:r w:rsidR="005D63D3" w:rsidRPr="004768D0">
              <w:rPr>
                <w:rFonts w:ascii="Cambria" w:hAnsi="Cambria"/>
                <w:sz w:val="16"/>
                <w:szCs w:val="16"/>
                <w:lang w:val="es-ES"/>
              </w:rPr>
              <w:t xml:space="preserve">unas diez </w:t>
            </w:r>
            <w:r w:rsidR="000C0AC4" w:rsidRPr="004768D0">
              <w:rPr>
                <w:rFonts w:ascii="Cambria" w:hAnsi="Cambria"/>
                <w:sz w:val="16"/>
                <w:szCs w:val="16"/>
                <w:lang w:val="es-ES"/>
              </w:rPr>
              <w:t>personas</w:t>
            </w:r>
            <w:r w:rsidR="00204009" w:rsidRPr="004768D0">
              <w:rPr>
                <w:rFonts w:ascii="Cambria" w:hAnsi="Cambria"/>
                <w:sz w:val="16"/>
                <w:szCs w:val="16"/>
                <w:lang w:val="es-ES"/>
              </w:rPr>
              <w:t xml:space="preserve"> </w:t>
            </w:r>
            <w:r w:rsidR="005D63D3" w:rsidRPr="004768D0">
              <w:rPr>
                <w:rFonts w:ascii="Cambria" w:hAnsi="Cambria"/>
                <w:sz w:val="16"/>
                <w:szCs w:val="16"/>
                <w:lang w:val="es-ES"/>
              </w:rPr>
              <w:t>e</w:t>
            </w:r>
            <w:r w:rsidR="00204009" w:rsidRPr="004768D0">
              <w:rPr>
                <w:rFonts w:ascii="Cambria" w:hAnsi="Cambria"/>
                <w:sz w:val="16"/>
                <w:szCs w:val="16"/>
                <w:lang w:val="es-ES"/>
              </w:rPr>
              <w:t>n</w:t>
            </w:r>
            <w:r w:rsidR="005D63D3" w:rsidRPr="004768D0">
              <w:rPr>
                <w:rFonts w:ascii="Cambria" w:hAnsi="Cambria"/>
                <w:sz w:val="16"/>
                <w:szCs w:val="16"/>
                <w:lang w:val="es-ES"/>
              </w:rPr>
              <w:t xml:space="preserve"> la</w:t>
            </w:r>
            <w:r w:rsidR="00204009" w:rsidRPr="004768D0">
              <w:rPr>
                <w:rFonts w:ascii="Cambria" w:hAnsi="Cambria"/>
                <w:sz w:val="16"/>
                <w:szCs w:val="16"/>
                <w:lang w:val="es-ES"/>
              </w:rPr>
              <w:t xml:space="preserve"> </w:t>
            </w:r>
            <w:r w:rsidR="00E04ED3" w:rsidRPr="004768D0">
              <w:rPr>
                <w:rFonts w:ascii="Cambria" w:hAnsi="Cambria"/>
                <w:sz w:val="16"/>
                <w:szCs w:val="16"/>
                <w:lang w:val="es-ES"/>
              </w:rPr>
              <w:t>escena del delito</w:t>
            </w:r>
            <w:r w:rsidR="00204009" w:rsidRPr="004768D0">
              <w:rPr>
                <w:rFonts w:ascii="Cambria" w:hAnsi="Cambria"/>
                <w:sz w:val="16"/>
                <w:szCs w:val="16"/>
                <w:lang w:val="es-ES"/>
              </w:rPr>
              <w:t xml:space="preserve"> </w:t>
            </w:r>
            <w:r w:rsidR="005D63D3" w:rsidRPr="004768D0">
              <w:rPr>
                <w:rFonts w:ascii="Cambria" w:hAnsi="Cambria"/>
                <w:sz w:val="16"/>
                <w:szCs w:val="16"/>
                <w:lang w:val="es-ES"/>
              </w:rPr>
              <w:t>cuando</w:t>
            </w:r>
            <w:r w:rsidR="00204009" w:rsidRPr="004768D0">
              <w:rPr>
                <w:rFonts w:ascii="Cambria" w:hAnsi="Cambria"/>
                <w:sz w:val="16"/>
                <w:szCs w:val="16"/>
                <w:lang w:val="es-ES"/>
              </w:rPr>
              <w:t xml:space="preserve"> </w:t>
            </w:r>
            <w:r w:rsidR="005D63D3" w:rsidRPr="004768D0">
              <w:rPr>
                <w:rFonts w:ascii="Cambria" w:hAnsi="Cambria"/>
                <w:sz w:val="16"/>
                <w:szCs w:val="16"/>
                <w:lang w:val="es-ES"/>
              </w:rPr>
              <w:t>llegó l</w:t>
            </w:r>
            <w:r w:rsidR="00204009" w:rsidRPr="004768D0">
              <w:rPr>
                <w:rFonts w:ascii="Cambria" w:hAnsi="Cambria"/>
                <w:sz w:val="16"/>
                <w:szCs w:val="16"/>
                <w:lang w:val="es-ES"/>
              </w:rPr>
              <w:t xml:space="preserve">a </w:t>
            </w:r>
            <w:r w:rsidR="005D63D3" w:rsidRPr="004768D0">
              <w:rPr>
                <w:rFonts w:ascii="Cambria" w:hAnsi="Cambria"/>
                <w:sz w:val="16"/>
                <w:szCs w:val="16"/>
                <w:lang w:val="es-ES"/>
              </w:rPr>
              <w:t xml:space="preserve">ambulancia. No se tomó declaración a esas </w:t>
            </w:r>
            <w:r w:rsidR="000C0AC4" w:rsidRPr="004768D0">
              <w:rPr>
                <w:rFonts w:ascii="Cambria" w:hAnsi="Cambria"/>
                <w:sz w:val="16"/>
                <w:szCs w:val="16"/>
                <w:lang w:val="es-ES"/>
              </w:rPr>
              <w:t>personas</w:t>
            </w:r>
            <w:r w:rsidR="00204009" w:rsidRPr="004768D0">
              <w:rPr>
                <w:rFonts w:ascii="Cambria" w:hAnsi="Cambria"/>
                <w:sz w:val="16"/>
                <w:szCs w:val="16"/>
                <w:lang w:val="es-ES"/>
              </w:rPr>
              <w:t>.</w:t>
            </w:r>
          </w:p>
          <w:p w14:paraId="23628956" w14:textId="77E41BB7" w:rsidR="00204009" w:rsidRPr="004768D0" w:rsidRDefault="005D63D3" w:rsidP="00204009">
            <w:pPr>
              <w:spacing w:before="120" w:after="120"/>
              <w:jc w:val="both"/>
              <w:rPr>
                <w:rFonts w:ascii="Cambria" w:hAnsi="Cambria"/>
                <w:sz w:val="16"/>
                <w:szCs w:val="16"/>
                <w:lang w:val="es-ES"/>
              </w:rPr>
            </w:pPr>
            <w:r w:rsidRPr="004768D0">
              <w:rPr>
                <w:rFonts w:ascii="Cambria" w:hAnsi="Cambria"/>
                <w:sz w:val="16"/>
                <w:szCs w:val="16"/>
                <w:lang w:val="es-ES"/>
              </w:rPr>
              <w:t xml:space="preserve">El mismo testigo que pidió que no lo identificaran relató asimismo que todos los jóvenes fueron </w:t>
            </w:r>
            <w:r w:rsidR="00204009" w:rsidRPr="004768D0">
              <w:rPr>
                <w:rFonts w:ascii="Cambria" w:hAnsi="Cambria"/>
                <w:sz w:val="16"/>
                <w:szCs w:val="16"/>
                <w:lang w:val="es-ES"/>
              </w:rPr>
              <w:t xml:space="preserve">socorridos por </w:t>
            </w:r>
            <w:r w:rsidRPr="004768D0">
              <w:rPr>
                <w:rFonts w:ascii="Cambria" w:hAnsi="Cambria"/>
                <w:sz w:val="16"/>
                <w:szCs w:val="16"/>
                <w:lang w:val="es-ES"/>
              </w:rPr>
              <w:t>una</w:t>
            </w:r>
            <w:r w:rsidR="00204009" w:rsidRPr="004768D0">
              <w:rPr>
                <w:rFonts w:ascii="Cambria" w:hAnsi="Cambria"/>
                <w:sz w:val="16"/>
                <w:szCs w:val="16"/>
                <w:lang w:val="es-ES"/>
              </w:rPr>
              <w:t xml:space="preserve"> </w:t>
            </w:r>
            <w:r w:rsidRPr="004768D0">
              <w:rPr>
                <w:rFonts w:ascii="Cambria" w:hAnsi="Cambria"/>
                <w:sz w:val="16"/>
                <w:szCs w:val="16"/>
                <w:lang w:val="es-ES"/>
              </w:rPr>
              <w:t>ambulancia</w:t>
            </w:r>
            <w:r w:rsidR="00204009" w:rsidRPr="004768D0">
              <w:rPr>
                <w:rFonts w:ascii="Cambria" w:hAnsi="Cambria"/>
                <w:sz w:val="16"/>
                <w:szCs w:val="16"/>
                <w:lang w:val="es-ES"/>
              </w:rPr>
              <w:t xml:space="preserve"> d</w:t>
            </w:r>
            <w:r w:rsidRPr="004768D0">
              <w:rPr>
                <w:rFonts w:ascii="Cambria" w:hAnsi="Cambria"/>
                <w:sz w:val="16"/>
                <w:szCs w:val="16"/>
                <w:lang w:val="es-ES"/>
              </w:rPr>
              <w:t>el</w:t>
            </w:r>
            <w:r w:rsidR="00204009" w:rsidRPr="004768D0">
              <w:rPr>
                <w:rFonts w:ascii="Cambria" w:hAnsi="Cambria"/>
                <w:sz w:val="16"/>
                <w:szCs w:val="16"/>
                <w:lang w:val="es-ES"/>
              </w:rPr>
              <w:t xml:space="preserve"> Hospital Municipal d</w:t>
            </w:r>
            <w:r w:rsidRPr="004768D0">
              <w:rPr>
                <w:rFonts w:ascii="Cambria" w:hAnsi="Cambria"/>
                <w:sz w:val="16"/>
                <w:szCs w:val="16"/>
                <w:lang w:val="es-ES"/>
              </w:rPr>
              <w:t>e</w:t>
            </w:r>
            <w:r w:rsidR="00204009" w:rsidRPr="004768D0">
              <w:rPr>
                <w:rFonts w:ascii="Cambria" w:hAnsi="Cambria"/>
                <w:sz w:val="16"/>
                <w:szCs w:val="16"/>
                <w:lang w:val="es-ES"/>
              </w:rPr>
              <w:t xml:space="preserve"> Vila Noroeste, que </w:t>
            </w:r>
            <w:r w:rsidRPr="004768D0">
              <w:rPr>
                <w:rFonts w:ascii="Cambria" w:hAnsi="Cambria"/>
                <w:sz w:val="16"/>
                <w:szCs w:val="16"/>
                <w:lang w:val="es-ES"/>
              </w:rPr>
              <w:t xml:space="preserve">llegó al </w:t>
            </w:r>
            <w:r w:rsidR="00204009" w:rsidRPr="004768D0">
              <w:rPr>
                <w:rFonts w:ascii="Cambria" w:hAnsi="Cambria"/>
                <w:sz w:val="16"/>
                <w:szCs w:val="16"/>
                <w:lang w:val="es-ES"/>
              </w:rPr>
              <w:t xml:space="preserve">bar </w:t>
            </w:r>
            <w:r w:rsidRPr="004768D0">
              <w:rPr>
                <w:rFonts w:ascii="Cambria" w:hAnsi="Cambria"/>
                <w:sz w:val="16"/>
                <w:szCs w:val="16"/>
                <w:lang w:val="es-ES"/>
              </w:rPr>
              <w:t xml:space="preserve">unos </w:t>
            </w:r>
            <w:r w:rsidR="00204009" w:rsidRPr="004768D0">
              <w:rPr>
                <w:rFonts w:ascii="Cambria" w:hAnsi="Cambria"/>
                <w:sz w:val="16"/>
                <w:szCs w:val="16"/>
                <w:lang w:val="es-ES"/>
              </w:rPr>
              <w:t xml:space="preserve">10 minutos </w:t>
            </w:r>
            <w:r w:rsidRPr="004768D0">
              <w:rPr>
                <w:rFonts w:ascii="Cambria" w:hAnsi="Cambria"/>
                <w:sz w:val="16"/>
                <w:szCs w:val="16"/>
                <w:lang w:val="es-ES"/>
              </w:rPr>
              <w:t xml:space="preserve">después de la acción de los </w:t>
            </w:r>
            <w:r w:rsidR="00A70AAA" w:rsidRPr="004768D0">
              <w:rPr>
                <w:rFonts w:ascii="Cambria" w:hAnsi="Cambria"/>
                <w:sz w:val="16"/>
                <w:szCs w:val="16"/>
                <w:lang w:val="es-ES"/>
              </w:rPr>
              <w:t>encapuchados</w:t>
            </w:r>
            <w:r w:rsidRPr="004768D0">
              <w:rPr>
                <w:rFonts w:ascii="Cambria" w:hAnsi="Cambria"/>
                <w:sz w:val="16"/>
                <w:szCs w:val="16"/>
                <w:lang w:val="es-ES"/>
              </w:rPr>
              <w:t xml:space="preserve"> y </w:t>
            </w:r>
            <w:r w:rsidR="00CE212A">
              <w:rPr>
                <w:rFonts w:ascii="Cambria" w:hAnsi="Cambria"/>
                <w:sz w:val="16"/>
                <w:szCs w:val="16"/>
                <w:lang w:val="es-ES"/>
              </w:rPr>
              <w:t>se llev</w:t>
            </w:r>
            <w:r w:rsidRPr="004768D0">
              <w:rPr>
                <w:rFonts w:ascii="Cambria" w:hAnsi="Cambria"/>
                <w:sz w:val="16"/>
                <w:szCs w:val="16"/>
                <w:lang w:val="es-ES"/>
              </w:rPr>
              <w:t>ó a las víctimas. Dijo que llegaron pol</w:t>
            </w:r>
            <w:r w:rsidR="00E04ED3" w:rsidRPr="004768D0">
              <w:rPr>
                <w:rFonts w:ascii="Cambria" w:hAnsi="Cambria"/>
                <w:sz w:val="16"/>
                <w:szCs w:val="16"/>
                <w:lang w:val="es-ES"/>
              </w:rPr>
              <w:t>icías militares</w:t>
            </w:r>
            <w:r w:rsidR="00204009" w:rsidRPr="004768D0">
              <w:rPr>
                <w:rFonts w:ascii="Cambria" w:hAnsi="Cambria"/>
                <w:sz w:val="16"/>
                <w:szCs w:val="16"/>
                <w:lang w:val="es-ES"/>
              </w:rPr>
              <w:t xml:space="preserve"> </w:t>
            </w:r>
            <w:r w:rsidRPr="004768D0">
              <w:rPr>
                <w:rFonts w:ascii="Cambria" w:hAnsi="Cambria"/>
                <w:sz w:val="16"/>
                <w:szCs w:val="16"/>
                <w:lang w:val="es-ES"/>
              </w:rPr>
              <w:t xml:space="preserve">a la sala de urgencias del </w:t>
            </w:r>
            <w:r w:rsidR="00204009" w:rsidRPr="004768D0">
              <w:rPr>
                <w:rFonts w:ascii="Cambria" w:hAnsi="Cambria"/>
                <w:sz w:val="16"/>
                <w:szCs w:val="16"/>
                <w:lang w:val="es-ES"/>
              </w:rPr>
              <w:t>hospital</w:t>
            </w:r>
            <w:r w:rsidRPr="004768D0">
              <w:rPr>
                <w:rFonts w:ascii="Cambria" w:hAnsi="Cambria"/>
                <w:sz w:val="16"/>
                <w:szCs w:val="16"/>
                <w:lang w:val="es-ES"/>
              </w:rPr>
              <w:t xml:space="preserve"> y, apuntando las </w:t>
            </w:r>
            <w:r w:rsidR="00204009" w:rsidRPr="004768D0">
              <w:rPr>
                <w:rFonts w:ascii="Cambria" w:hAnsi="Cambria"/>
                <w:sz w:val="16"/>
                <w:szCs w:val="16"/>
                <w:lang w:val="es-ES"/>
              </w:rPr>
              <w:t xml:space="preserve">armas a </w:t>
            </w:r>
            <w:r w:rsidRPr="004768D0">
              <w:rPr>
                <w:rFonts w:ascii="Cambria" w:hAnsi="Cambria"/>
                <w:sz w:val="16"/>
                <w:szCs w:val="16"/>
                <w:lang w:val="es-ES"/>
              </w:rPr>
              <w:t>l</w:t>
            </w:r>
            <w:r w:rsidR="00204009" w:rsidRPr="004768D0">
              <w:rPr>
                <w:rFonts w:ascii="Cambria" w:hAnsi="Cambria"/>
                <w:sz w:val="16"/>
                <w:szCs w:val="16"/>
                <w:lang w:val="es-ES"/>
              </w:rPr>
              <w:t xml:space="preserve">as </w:t>
            </w:r>
            <w:r w:rsidR="00000CF9" w:rsidRPr="004768D0">
              <w:rPr>
                <w:rFonts w:ascii="Cambria" w:hAnsi="Cambria"/>
                <w:sz w:val="16"/>
                <w:szCs w:val="16"/>
                <w:lang w:val="es-ES"/>
              </w:rPr>
              <w:t>víctimas</w:t>
            </w:r>
            <w:r w:rsidR="00204009" w:rsidRPr="004768D0">
              <w:rPr>
                <w:rFonts w:ascii="Cambria" w:hAnsi="Cambria"/>
                <w:sz w:val="16"/>
                <w:szCs w:val="16"/>
                <w:lang w:val="es-ES"/>
              </w:rPr>
              <w:t xml:space="preserve">, </w:t>
            </w:r>
            <w:r w:rsidRPr="004768D0">
              <w:rPr>
                <w:rFonts w:ascii="Cambria" w:hAnsi="Cambria"/>
                <w:sz w:val="16"/>
                <w:szCs w:val="16"/>
                <w:lang w:val="es-ES"/>
              </w:rPr>
              <w:t xml:space="preserve">les </w:t>
            </w:r>
            <w:r w:rsidR="00204009" w:rsidRPr="004768D0">
              <w:rPr>
                <w:rFonts w:ascii="Cambria" w:hAnsi="Cambria"/>
                <w:sz w:val="16"/>
                <w:szCs w:val="16"/>
                <w:lang w:val="es-ES"/>
              </w:rPr>
              <w:t>p</w:t>
            </w:r>
            <w:r w:rsidRPr="004768D0">
              <w:rPr>
                <w:rFonts w:ascii="Cambria" w:hAnsi="Cambria"/>
                <w:sz w:val="16"/>
                <w:szCs w:val="16"/>
                <w:lang w:val="es-ES"/>
              </w:rPr>
              <w:t xml:space="preserve">reguntaron </w:t>
            </w:r>
            <w:r w:rsidR="00204009" w:rsidRPr="004768D0">
              <w:rPr>
                <w:rFonts w:ascii="Cambria" w:hAnsi="Cambria"/>
                <w:sz w:val="16"/>
                <w:szCs w:val="16"/>
                <w:lang w:val="es-ES"/>
              </w:rPr>
              <w:t xml:space="preserve">sobre </w:t>
            </w:r>
            <w:r w:rsidR="000C0AC4" w:rsidRPr="004768D0">
              <w:rPr>
                <w:rFonts w:ascii="Cambria" w:hAnsi="Cambria"/>
                <w:sz w:val="16"/>
                <w:szCs w:val="16"/>
                <w:lang w:val="es-ES"/>
              </w:rPr>
              <w:t>sus</w:t>
            </w:r>
            <w:r w:rsidR="00204009" w:rsidRPr="004768D0">
              <w:rPr>
                <w:rFonts w:ascii="Cambria" w:hAnsi="Cambria"/>
                <w:sz w:val="16"/>
                <w:szCs w:val="16"/>
                <w:lang w:val="es-ES"/>
              </w:rPr>
              <w:t xml:space="preserve"> </w:t>
            </w:r>
            <w:r w:rsidR="00207ECC" w:rsidRPr="004768D0">
              <w:rPr>
                <w:rFonts w:ascii="Cambria" w:hAnsi="Cambria"/>
                <w:sz w:val="16"/>
                <w:szCs w:val="16"/>
                <w:lang w:val="es-ES"/>
              </w:rPr>
              <w:t>antecedentes penales</w:t>
            </w:r>
            <w:r w:rsidR="00204009" w:rsidRPr="004768D0">
              <w:rPr>
                <w:rFonts w:ascii="Cambria" w:hAnsi="Cambria"/>
                <w:sz w:val="16"/>
                <w:szCs w:val="16"/>
                <w:lang w:val="es-ES"/>
              </w:rPr>
              <w:t xml:space="preserve">. </w:t>
            </w:r>
            <w:r w:rsidRPr="004768D0">
              <w:rPr>
                <w:rFonts w:ascii="Cambria" w:hAnsi="Cambria"/>
                <w:sz w:val="16"/>
                <w:szCs w:val="16"/>
                <w:lang w:val="es-ES"/>
              </w:rPr>
              <w:t xml:space="preserve">El testigo dijo también que le pareció extraño que los </w:t>
            </w:r>
            <w:r w:rsidR="00E04ED3" w:rsidRPr="004768D0">
              <w:rPr>
                <w:rFonts w:ascii="Cambria" w:hAnsi="Cambria"/>
                <w:sz w:val="16"/>
                <w:szCs w:val="16"/>
                <w:lang w:val="es-ES"/>
              </w:rPr>
              <w:t>policías militares</w:t>
            </w:r>
            <w:r w:rsidR="00204009" w:rsidRPr="004768D0">
              <w:rPr>
                <w:rFonts w:ascii="Cambria" w:hAnsi="Cambria"/>
                <w:sz w:val="16"/>
                <w:szCs w:val="16"/>
                <w:lang w:val="es-ES"/>
              </w:rPr>
              <w:t xml:space="preserve"> </w:t>
            </w:r>
            <w:r w:rsidRPr="004768D0">
              <w:rPr>
                <w:rFonts w:ascii="Cambria" w:hAnsi="Cambria"/>
                <w:sz w:val="16"/>
                <w:szCs w:val="16"/>
                <w:lang w:val="es-ES"/>
              </w:rPr>
              <w:t xml:space="preserve">llevaran capuchas enrolladas en la </w:t>
            </w:r>
            <w:r w:rsidR="00E04ED3" w:rsidRPr="004768D0">
              <w:rPr>
                <w:rFonts w:ascii="Cambria" w:hAnsi="Cambria"/>
                <w:sz w:val="16"/>
                <w:szCs w:val="16"/>
                <w:lang w:val="es-ES"/>
              </w:rPr>
              <w:t>cabeza</w:t>
            </w:r>
            <w:r w:rsidR="00204009" w:rsidRPr="004768D0">
              <w:rPr>
                <w:rFonts w:ascii="Cambria" w:hAnsi="Cambria"/>
                <w:sz w:val="16"/>
                <w:szCs w:val="16"/>
                <w:lang w:val="es-ES"/>
              </w:rPr>
              <w:t xml:space="preserve"> e</w:t>
            </w:r>
            <w:r w:rsidRPr="004768D0">
              <w:rPr>
                <w:rFonts w:ascii="Cambria" w:hAnsi="Cambria"/>
                <w:sz w:val="16"/>
                <w:szCs w:val="16"/>
                <w:lang w:val="es-ES"/>
              </w:rPr>
              <w:t>n</w:t>
            </w:r>
            <w:r w:rsidR="00204009" w:rsidRPr="004768D0">
              <w:rPr>
                <w:rFonts w:ascii="Cambria" w:hAnsi="Cambria"/>
                <w:sz w:val="16"/>
                <w:szCs w:val="16"/>
                <w:lang w:val="es-ES"/>
              </w:rPr>
              <w:t xml:space="preserve"> forma de gorro </w:t>
            </w:r>
            <w:r w:rsidRPr="004768D0">
              <w:rPr>
                <w:rFonts w:ascii="Cambria" w:hAnsi="Cambria"/>
                <w:sz w:val="16"/>
                <w:szCs w:val="16"/>
                <w:lang w:val="es-ES"/>
              </w:rPr>
              <w:t>y</w:t>
            </w:r>
            <w:r w:rsidR="00204009" w:rsidRPr="004768D0">
              <w:rPr>
                <w:rFonts w:ascii="Cambria" w:hAnsi="Cambria"/>
                <w:sz w:val="16"/>
                <w:szCs w:val="16"/>
                <w:lang w:val="es-ES"/>
              </w:rPr>
              <w:t xml:space="preserve"> que </w:t>
            </w:r>
            <w:r w:rsidRPr="004768D0">
              <w:rPr>
                <w:rFonts w:ascii="Cambria" w:hAnsi="Cambria"/>
                <w:sz w:val="16"/>
                <w:szCs w:val="16"/>
                <w:lang w:val="es-ES"/>
              </w:rPr>
              <w:t>l</w:t>
            </w:r>
            <w:r w:rsidR="00204009" w:rsidRPr="004768D0">
              <w:rPr>
                <w:rFonts w:ascii="Cambria" w:hAnsi="Cambria"/>
                <w:sz w:val="16"/>
                <w:szCs w:val="16"/>
                <w:lang w:val="es-ES"/>
              </w:rPr>
              <w:t xml:space="preserve">as armas que </w:t>
            </w:r>
            <w:r w:rsidRPr="004768D0">
              <w:rPr>
                <w:rFonts w:ascii="Cambria" w:hAnsi="Cambria"/>
                <w:sz w:val="16"/>
                <w:szCs w:val="16"/>
                <w:lang w:val="es-ES"/>
              </w:rPr>
              <w:t>portaban</w:t>
            </w:r>
            <w:r w:rsidR="00204009" w:rsidRPr="004768D0">
              <w:rPr>
                <w:rFonts w:ascii="Cambria" w:hAnsi="Cambria"/>
                <w:sz w:val="16"/>
                <w:szCs w:val="16"/>
                <w:lang w:val="es-ES"/>
              </w:rPr>
              <w:t xml:space="preserve"> </w:t>
            </w:r>
            <w:r w:rsidRPr="004768D0">
              <w:rPr>
                <w:rFonts w:ascii="Cambria" w:hAnsi="Cambria"/>
                <w:sz w:val="16"/>
                <w:szCs w:val="16"/>
                <w:lang w:val="es-ES"/>
              </w:rPr>
              <w:t>eran</w:t>
            </w:r>
            <w:r w:rsidR="00204009" w:rsidRPr="004768D0">
              <w:rPr>
                <w:rFonts w:ascii="Cambria" w:hAnsi="Cambria"/>
                <w:sz w:val="16"/>
                <w:szCs w:val="16"/>
                <w:lang w:val="es-ES"/>
              </w:rPr>
              <w:t xml:space="preserve"> </w:t>
            </w:r>
            <w:r w:rsidRPr="004768D0">
              <w:rPr>
                <w:rFonts w:ascii="Cambria" w:hAnsi="Cambria"/>
                <w:sz w:val="16"/>
                <w:szCs w:val="16"/>
                <w:lang w:val="es-ES"/>
              </w:rPr>
              <w:t xml:space="preserve">parecidas a la </w:t>
            </w:r>
            <w:r w:rsidR="00204009" w:rsidRPr="004768D0">
              <w:rPr>
                <w:rFonts w:ascii="Cambria" w:hAnsi="Cambria"/>
                <w:sz w:val="16"/>
                <w:szCs w:val="16"/>
                <w:lang w:val="es-ES"/>
              </w:rPr>
              <w:t>utilizada p</w:t>
            </w:r>
            <w:r w:rsidRPr="004768D0">
              <w:rPr>
                <w:rFonts w:ascii="Cambria" w:hAnsi="Cambria"/>
                <w:sz w:val="16"/>
                <w:szCs w:val="16"/>
                <w:lang w:val="es-ES"/>
              </w:rPr>
              <w:t xml:space="preserve">or el </w:t>
            </w:r>
            <w:r w:rsidR="00204009" w:rsidRPr="004768D0">
              <w:rPr>
                <w:rFonts w:ascii="Cambria" w:hAnsi="Cambria"/>
                <w:sz w:val="16"/>
                <w:szCs w:val="16"/>
                <w:lang w:val="es-ES"/>
              </w:rPr>
              <w:t xml:space="preserve">tirador </w:t>
            </w:r>
            <w:r w:rsidRPr="004768D0">
              <w:rPr>
                <w:rFonts w:ascii="Cambria" w:hAnsi="Cambria"/>
                <w:sz w:val="16"/>
                <w:szCs w:val="16"/>
                <w:lang w:val="es-ES"/>
              </w:rPr>
              <w:t>e</w:t>
            </w:r>
            <w:r w:rsidR="00204009" w:rsidRPr="004768D0">
              <w:rPr>
                <w:rFonts w:ascii="Cambria" w:hAnsi="Cambria"/>
                <w:sz w:val="16"/>
                <w:szCs w:val="16"/>
                <w:lang w:val="es-ES"/>
              </w:rPr>
              <w:t>n</w:t>
            </w:r>
            <w:r w:rsidRPr="004768D0">
              <w:rPr>
                <w:rFonts w:ascii="Cambria" w:hAnsi="Cambria"/>
                <w:sz w:val="16"/>
                <w:szCs w:val="16"/>
                <w:lang w:val="es-ES"/>
              </w:rPr>
              <w:t xml:space="preserve"> l</w:t>
            </w:r>
            <w:r w:rsidR="00204009" w:rsidRPr="004768D0">
              <w:rPr>
                <w:rFonts w:ascii="Cambria" w:hAnsi="Cambria"/>
                <w:sz w:val="16"/>
                <w:szCs w:val="16"/>
                <w:lang w:val="es-ES"/>
              </w:rPr>
              <w:t>a moto (</w:t>
            </w:r>
            <w:r w:rsidR="00512C56">
              <w:rPr>
                <w:rFonts w:ascii="Cambria" w:hAnsi="Cambria"/>
                <w:sz w:val="16"/>
                <w:szCs w:val="16"/>
                <w:lang w:val="es-ES"/>
              </w:rPr>
              <w:t>subametralladora</w:t>
            </w:r>
            <w:r w:rsidR="00512C56" w:rsidRPr="004768D0">
              <w:rPr>
                <w:rFonts w:ascii="Cambria" w:hAnsi="Cambria"/>
                <w:sz w:val="16"/>
                <w:szCs w:val="16"/>
                <w:lang w:val="es-ES"/>
              </w:rPr>
              <w:t xml:space="preserve"> </w:t>
            </w:r>
            <w:r w:rsidR="00512C56">
              <w:rPr>
                <w:rFonts w:ascii="Cambria" w:hAnsi="Cambria"/>
                <w:sz w:val="16"/>
                <w:szCs w:val="16"/>
                <w:lang w:val="es-ES"/>
              </w:rPr>
              <w:t xml:space="preserve">o </w:t>
            </w:r>
            <w:r w:rsidR="00204009" w:rsidRPr="004768D0">
              <w:rPr>
                <w:rFonts w:ascii="Cambria" w:hAnsi="Cambria"/>
                <w:sz w:val="16"/>
                <w:szCs w:val="16"/>
                <w:lang w:val="es-ES"/>
              </w:rPr>
              <w:t>m</w:t>
            </w:r>
            <w:r w:rsidRPr="004768D0">
              <w:rPr>
                <w:rFonts w:ascii="Cambria" w:hAnsi="Cambria"/>
                <w:sz w:val="16"/>
                <w:szCs w:val="16"/>
                <w:lang w:val="es-ES"/>
              </w:rPr>
              <w:t>etralleta</w:t>
            </w:r>
            <w:r w:rsidR="00204009" w:rsidRPr="004768D0">
              <w:rPr>
                <w:rFonts w:ascii="Cambria" w:hAnsi="Cambria"/>
                <w:sz w:val="16"/>
                <w:szCs w:val="16"/>
                <w:lang w:val="es-ES"/>
              </w:rPr>
              <w:t>).</w:t>
            </w:r>
          </w:p>
          <w:p w14:paraId="163B7280" w14:textId="77777777" w:rsidR="00204009" w:rsidRPr="004768D0" w:rsidRDefault="00AD1CC2" w:rsidP="00204009">
            <w:pPr>
              <w:spacing w:before="120" w:after="120"/>
              <w:jc w:val="both"/>
              <w:rPr>
                <w:rFonts w:ascii="Cambria" w:hAnsi="Cambria"/>
                <w:sz w:val="16"/>
                <w:szCs w:val="16"/>
                <w:lang w:val="es-ES"/>
              </w:rPr>
            </w:pPr>
            <w:r w:rsidRPr="004768D0">
              <w:rPr>
                <w:rFonts w:ascii="Cambria" w:hAnsi="Cambria"/>
                <w:sz w:val="16"/>
                <w:szCs w:val="16"/>
                <w:lang w:val="es-ES"/>
              </w:rPr>
              <w:t>El señor</w:t>
            </w:r>
            <w:r w:rsidR="00204009" w:rsidRPr="004768D0">
              <w:rPr>
                <w:rFonts w:ascii="Cambria" w:hAnsi="Cambria"/>
                <w:sz w:val="16"/>
                <w:szCs w:val="16"/>
                <w:lang w:val="es-ES"/>
              </w:rPr>
              <w:t xml:space="preserve"> </w:t>
            </w:r>
            <w:proofErr w:type="spellStart"/>
            <w:r w:rsidR="00204009" w:rsidRPr="004768D0">
              <w:rPr>
                <w:rFonts w:ascii="Cambria" w:hAnsi="Cambria"/>
                <w:sz w:val="16"/>
                <w:szCs w:val="16"/>
                <w:lang w:val="es-ES"/>
              </w:rPr>
              <w:t>Murilo</w:t>
            </w:r>
            <w:proofErr w:type="spellEnd"/>
            <w:r w:rsidR="00204009" w:rsidRPr="004768D0">
              <w:rPr>
                <w:rFonts w:ascii="Cambria" w:hAnsi="Cambria"/>
                <w:sz w:val="16"/>
                <w:szCs w:val="16"/>
                <w:lang w:val="es-ES"/>
              </w:rPr>
              <w:t xml:space="preserve"> </w:t>
            </w:r>
            <w:proofErr w:type="spellStart"/>
            <w:r w:rsidR="00204009" w:rsidRPr="004768D0">
              <w:rPr>
                <w:rFonts w:ascii="Cambria" w:hAnsi="Cambria"/>
                <w:sz w:val="16"/>
                <w:szCs w:val="16"/>
                <w:lang w:val="es-ES"/>
              </w:rPr>
              <w:t>Martins</w:t>
            </w:r>
            <w:proofErr w:type="spellEnd"/>
            <w:r w:rsidR="00204009" w:rsidRPr="004768D0">
              <w:rPr>
                <w:rFonts w:ascii="Cambria" w:hAnsi="Cambria"/>
                <w:sz w:val="16"/>
                <w:szCs w:val="16"/>
                <w:lang w:val="es-ES"/>
              </w:rPr>
              <w:t>, padrast</w:t>
            </w:r>
            <w:r w:rsidRPr="004768D0">
              <w:rPr>
                <w:rFonts w:ascii="Cambria" w:hAnsi="Cambria"/>
                <w:sz w:val="16"/>
                <w:szCs w:val="16"/>
                <w:lang w:val="es-ES"/>
              </w:rPr>
              <w:t>r</w:t>
            </w:r>
            <w:r w:rsidR="00204009" w:rsidRPr="004768D0">
              <w:rPr>
                <w:rFonts w:ascii="Cambria" w:hAnsi="Cambria"/>
                <w:sz w:val="16"/>
                <w:szCs w:val="16"/>
                <w:lang w:val="es-ES"/>
              </w:rPr>
              <w:t>o d</w:t>
            </w:r>
            <w:r w:rsidRPr="004768D0">
              <w:rPr>
                <w:rFonts w:ascii="Cambria" w:hAnsi="Cambria"/>
                <w:sz w:val="16"/>
                <w:szCs w:val="16"/>
                <w:lang w:val="es-ES"/>
              </w:rPr>
              <w:t>e l</w:t>
            </w:r>
            <w:r w:rsidR="00204009" w:rsidRPr="004768D0">
              <w:rPr>
                <w:rFonts w:ascii="Cambria" w:hAnsi="Cambria"/>
                <w:sz w:val="16"/>
                <w:szCs w:val="16"/>
                <w:lang w:val="es-ES"/>
              </w:rPr>
              <w:t xml:space="preserve">a </w:t>
            </w:r>
            <w:r w:rsidR="000D0997" w:rsidRPr="004768D0">
              <w:rPr>
                <w:rFonts w:ascii="Cambria" w:hAnsi="Cambria"/>
                <w:sz w:val="16"/>
                <w:szCs w:val="16"/>
                <w:lang w:val="es-ES"/>
              </w:rPr>
              <w:t>víctima</w:t>
            </w:r>
            <w:r w:rsidR="00204009" w:rsidRPr="004768D0">
              <w:rPr>
                <w:rFonts w:ascii="Cambria" w:hAnsi="Cambria"/>
                <w:sz w:val="16"/>
                <w:szCs w:val="16"/>
                <w:lang w:val="es-ES"/>
              </w:rPr>
              <w:t xml:space="preserve"> Wagner, </w:t>
            </w:r>
            <w:r w:rsidRPr="004768D0">
              <w:rPr>
                <w:rFonts w:ascii="Cambria" w:hAnsi="Cambria"/>
                <w:sz w:val="16"/>
                <w:szCs w:val="16"/>
                <w:lang w:val="es-ES"/>
              </w:rPr>
              <w:t>contó</w:t>
            </w:r>
            <w:r w:rsidR="00204009" w:rsidRPr="004768D0">
              <w:rPr>
                <w:rFonts w:ascii="Cambria" w:hAnsi="Cambria"/>
                <w:sz w:val="16"/>
                <w:szCs w:val="16"/>
                <w:lang w:val="es-ES"/>
              </w:rPr>
              <w:t xml:space="preserve"> que, </w:t>
            </w:r>
            <w:r w:rsidRPr="004768D0">
              <w:rPr>
                <w:rFonts w:ascii="Cambria" w:hAnsi="Cambria"/>
                <w:sz w:val="16"/>
                <w:szCs w:val="16"/>
                <w:lang w:val="es-ES"/>
              </w:rPr>
              <w:t xml:space="preserve">unos </w:t>
            </w:r>
            <w:r w:rsidR="00B9588A" w:rsidRPr="004768D0">
              <w:rPr>
                <w:rFonts w:ascii="Cambria" w:hAnsi="Cambria"/>
                <w:sz w:val="16"/>
                <w:szCs w:val="16"/>
                <w:lang w:val="es-ES"/>
              </w:rPr>
              <w:t>días</w:t>
            </w:r>
            <w:r w:rsidR="00204009" w:rsidRPr="004768D0">
              <w:rPr>
                <w:rFonts w:ascii="Cambria" w:hAnsi="Cambria"/>
                <w:sz w:val="16"/>
                <w:szCs w:val="16"/>
                <w:lang w:val="es-ES"/>
              </w:rPr>
              <w:t xml:space="preserve"> </w:t>
            </w:r>
            <w:r w:rsidRPr="004768D0">
              <w:rPr>
                <w:rFonts w:ascii="Cambria" w:hAnsi="Cambria"/>
                <w:sz w:val="16"/>
                <w:szCs w:val="16"/>
                <w:lang w:val="es-ES"/>
              </w:rPr>
              <w:t>después de l</w:t>
            </w:r>
            <w:r w:rsidR="00204009" w:rsidRPr="004768D0">
              <w:rPr>
                <w:rFonts w:ascii="Cambria" w:hAnsi="Cambria"/>
                <w:sz w:val="16"/>
                <w:szCs w:val="16"/>
                <w:lang w:val="es-ES"/>
              </w:rPr>
              <w:t xml:space="preserve">os </w:t>
            </w:r>
            <w:r w:rsidR="000C0AC4" w:rsidRPr="004768D0">
              <w:rPr>
                <w:rFonts w:ascii="Cambria" w:hAnsi="Cambria"/>
                <w:sz w:val="16"/>
                <w:szCs w:val="16"/>
                <w:lang w:val="es-ES"/>
              </w:rPr>
              <w:t>hechos</w:t>
            </w:r>
            <w:r w:rsidR="00204009" w:rsidRPr="004768D0">
              <w:rPr>
                <w:rFonts w:ascii="Cambria" w:hAnsi="Cambria"/>
                <w:sz w:val="16"/>
                <w:szCs w:val="16"/>
                <w:lang w:val="es-ES"/>
              </w:rPr>
              <w:t>, f</w:t>
            </w:r>
            <w:r w:rsidRPr="004768D0">
              <w:rPr>
                <w:rFonts w:ascii="Cambria" w:hAnsi="Cambria"/>
                <w:sz w:val="16"/>
                <w:szCs w:val="16"/>
                <w:lang w:val="es-ES"/>
              </w:rPr>
              <w:t xml:space="preserve">ue hasta el lugar y vio que había un establecimiento </w:t>
            </w:r>
            <w:r w:rsidR="00204009" w:rsidRPr="004768D0">
              <w:rPr>
                <w:rFonts w:ascii="Cambria" w:hAnsi="Cambria"/>
                <w:sz w:val="16"/>
                <w:szCs w:val="16"/>
                <w:lang w:val="es-ES"/>
              </w:rPr>
              <w:t xml:space="preserve">comercial </w:t>
            </w:r>
            <w:r w:rsidRPr="004768D0">
              <w:rPr>
                <w:rFonts w:ascii="Cambria" w:hAnsi="Cambria"/>
                <w:sz w:val="16"/>
                <w:szCs w:val="16"/>
                <w:lang w:val="es-ES"/>
              </w:rPr>
              <w:t>e</w:t>
            </w:r>
            <w:r w:rsidR="00204009" w:rsidRPr="004768D0">
              <w:rPr>
                <w:rFonts w:ascii="Cambria" w:hAnsi="Cambria"/>
                <w:sz w:val="16"/>
                <w:szCs w:val="16"/>
                <w:lang w:val="es-ES"/>
              </w:rPr>
              <w:t>n</w:t>
            </w:r>
            <w:r w:rsidRPr="004768D0">
              <w:rPr>
                <w:rFonts w:ascii="Cambria" w:hAnsi="Cambria"/>
                <w:sz w:val="16"/>
                <w:szCs w:val="16"/>
                <w:lang w:val="es-ES"/>
              </w:rPr>
              <w:t xml:space="preserve"> l</w:t>
            </w:r>
            <w:r w:rsidR="00204009" w:rsidRPr="004768D0">
              <w:rPr>
                <w:rFonts w:ascii="Cambria" w:hAnsi="Cambria"/>
                <w:sz w:val="16"/>
                <w:szCs w:val="16"/>
                <w:lang w:val="es-ES"/>
              </w:rPr>
              <w:t xml:space="preserve">as proximidades. </w:t>
            </w:r>
            <w:r w:rsidRPr="004768D0">
              <w:rPr>
                <w:rFonts w:ascii="Cambria" w:hAnsi="Cambria"/>
                <w:sz w:val="16"/>
                <w:szCs w:val="16"/>
                <w:lang w:val="es-ES"/>
              </w:rPr>
              <w:t>Conversó</w:t>
            </w:r>
            <w:r w:rsidR="00204009" w:rsidRPr="004768D0">
              <w:rPr>
                <w:rFonts w:ascii="Cambria" w:hAnsi="Cambria"/>
                <w:sz w:val="16"/>
                <w:szCs w:val="16"/>
                <w:lang w:val="es-ES"/>
              </w:rPr>
              <w:t xml:space="preserve"> </w:t>
            </w:r>
            <w:r w:rsidRPr="004768D0">
              <w:rPr>
                <w:rFonts w:ascii="Cambria" w:hAnsi="Cambria"/>
                <w:sz w:val="16"/>
                <w:szCs w:val="16"/>
                <w:lang w:val="es-ES"/>
              </w:rPr>
              <w:t>con</w:t>
            </w:r>
            <w:r w:rsidR="00204009" w:rsidRPr="004768D0">
              <w:rPr>
                <w:rFonts w:ascii="Cambria" w:hAnsi="Cambria"/>
                <w:sz w:val="16"/>
                <w:szCs w:val="16"/>
                <w:lang w:val="es-ES"/>
              </w:rPr>
              <w:t xml:space="preserve"> </w:t>
            </w:r>
            <w:r w:rsidRPr="004768D0">
              <w:rPr>
                <w:rFonts w:ascii="Cambria" w:hAnsi="Cambria"/>
                <w:sz w:val="16"/>
                <w:szCs w:val="16"/>
                <w:lang w:val="es-ES"/>
              </w:rPr>
              <w:t>el</w:t>
            </w:r>
            <w:r w:rsidR="00204009" w:rsidRPr="004768D0">
              <w:rPr>
                <w:rFonts w:ascii="Cambria" w:hAnsi="Cambria"/>
                <w:sz w:val="16"/>
                <w:szCs w:val="16"/>
                <w:lang w:val="es-ES"/>
              </w:rPr>
              <w:t xml:space="preserve"> </w:t>
            </w:r>
            <w:r w:rsidRPr="004768D0">
              <w:rPr>
                <w:rFonts w:ascii="Cambria" w:hAnsi="Cambria"/>
                <w:sz w:val="16"/>
                <w:szCs w:val="16"/>
                <w:lang w:val="es-ES"/>
              </w:rPr>
              <w:t>propietario</w:t>
            </w:r>
            <w:r w:rsidR="00204009" w:rsidRPr="004768D0">
              <w:rPr>
                <w:rFonts w:ascii="Cambria" w:hAnsi="Cambria"/>
                <w:sz w:val="16"/>
                <w:szCs w:val="16"/>
                <w:lang w:val="es-ES"/>
              </w:rPr>
              <w:t xml:space="preserve"> d</w:t>
            </w:r>
            <w:r w:rsidRPr="004768D0">
              <w:rPr>
                <w:rFonts w:ascii="Cambria" w:hAnsi="Cambria"/>
                <w:sz w:val="16"/>
                <w:szCs w:val="16"/>
                <w:lang w:val="es-ES"/>
              </w:rPr>
              <w:t>el</w:t>
            </w:r>
            <w:r w:rsidR="00204009" w:rsidRPr="004768D0">
              <w:rPr>
                <w:rFonts w:ascii="Cambria" w:hAnsi="Cambria"/>
                <w:sz w:val="16"/>
                <w:szCs w:val="16"/>
                <w:lang w:val="es-ES"/>
              </w:rPr>
              <w:t xml:space="preserve"> local, qu</w:t>
            </w:r>
            <w:r w:rsidRPr="004768D0">
              <w:rPr>
                <w:rFonts w:ascii="Cambria" w:hAnsi="Cambria"/>
                <w:sz w:val="16"/>
                <w:szCs w:val="16"/>
                <w:lang w:val="es-ES"/>
              </w:rPr>
              <w:t xml:space="preserve">ien </w:t>
            </w:r>
            <w:r w:rsidR="00CE212A">
              <w:rPr>
                <w:rFonts w:ascii="Cambria" w:hAnsi="Cambria"/>
                <w:sz w:val="16"/>
                <w:szCs w:val="16"/>
                <w:lang w:val="es-ES"/>
              </w:rPr>
              <w:t xml:space="preserve">le </w:t>
            </w:r>
            <w:r w:rsidRPr="004768D0">
              <w:rPr>
                <w:rFonts w:ascii="Cambria" w:hAnsi="Cambria"/>
                <w:sz w:val="16"/>
                <w:szCs w:val="16"/>
                <w:lang w:val="es-ES"/>
              </w:rPr>
              <w:t xml:space="preserve">dijo que había presenciado los </w:t>
            </w:r>
            <w:r w:rsidR="000C0AC4" w:rsidRPr="004768D0">
              <w:rPr>
                <w:rFonts w:ascii="Cambria" w:hAnsi="Cambria"/>
                <w:sz w:val="16"/>
                <w:szCs w:val="16"/>
                <w:lang w:val="es-ES"/>
              </w:rPr>
              <w:t>hechos</w:t>
            </w:r>
            <w:r w:rsidR="00204009" w:rsidRPr="004768D0">
              <w:rPr>
                <w:rFonts w:ascii="Cambria" w:hAnsi="Cambria"/>
                <w:sz w:val="16"/>
                <w:szCs w:val="16"/>
                <w:lang w:val="es-ES"/>
              </w:rPr>
              <w:t xml:space="preserve">, </w:t>
            </w:r>
            <w:r w:rsidRPr="004768D0">
              <w:rPr>
                <w:rFonts w:ascii="Cambria" w:hAnsi="Cambria"/>
                <w:sz w:val="16"/>
                <w:szCs w:val="16"/>
                <w:lang w:val="es-ES"/>
              </w:rPr>
              <w:t>pero que, inmediatamente después de los</w:t>
            </w:r>
            <w:r w:rsidR="00204009" w:rsidRPr="004768D0">
              <w:rPr>
                <w:rFonts w:ascii="Cambria" w:hAnsi="Cambria"/>
                <w:sz w:val="16"/>
                <w:szCs w:val="16"/>
                <w:lang w:val="es-ES"/>
              </w:rPr>
              <w:t xml:space="preserve"> disparos, </w:t>
            </w:r>
            <w:r w:rsidRPr="004768D0">
              <w:rPr>
                <w:rFonts w:ascii="Cambria" w:hAnsi="Cambria"/>
                <w:sz w:val="16"/>
                <w:szCs w:val="16"/>
                <w:lang w:val="es-ES"/>
              </w:rPr>
              <w:t>llegó l</w:t>
            </w:r>
            <w:r w:rsidR="00204009" w:rsidRPr="004768D0">
              <w:rPr>
                <w:rFonts w:ascii="Cambria" w:hAnsi="Cambria"/>
                <w:sz w:val="16"/>
                <w:szCs w:val="16"/>
                <w:lang w:val="es-ES"/>
              </w:rPr>
              <w:t xml:space="preserve">a </w:t>
            </w:r>
            <w:r w:rsidR="00372008" w:rsidRPr="004768D0">
              <w:rPr>
                <w:rFonts w:ascii="Cambria" w:hAnsi="Cambria"/>
                <w:sz w:val="16"/>
                <w:szCs w:val="16"/>
                <w:lang w:val="es-ES"/>
              </w:rPr>
              <w:t>policía</w:t>
            </w:r>
            <w:r w:rsidR="00204009" w:rsidRPr="004768D0">
              <w:rPr>
                <w:rFonts w:ascii="Cambria" w:hAnsi="Cambria"/>
                <w:sz w:val="16"/>
                <w:szCs w:val="16"/>
                <w:lang w:val="es-ES"/>
              </w:rPr>
              <w:t xml:space="preserve"> </w:t>
            </w:r>
            <w:r w:rsidRPr="004768D0">
              <w:rPr>
                <w:rFonts w:ascii="Cambria" w:hAnsi="Cambria"/>
                <w:sz w:val="16"/>
                <w:szCs w:val="16"/>
                <w:lang w:val="es-ES"/>
              </w:rPr>
              <w:t>y le ordenó que cerrara el estabelecimiento</w:t>
            </w:r>
            <w:r w:rsidR="00204009" w:rsidRPr="004768D0">
              <w:rPr>
                <w:rFonts w:ascii="Cambria" w:hAnsi="Cambria"/>
                <w:sz w:val="16"/>
                <w:szCs w:val="16"/>
                <w:lang w:val="es-ES"/>
              </w:rPr>
              <w:t>.</w:t>
            </w:r>
          </w:p>
          <w:p w14:paraId="01A44C34" w14:textId="77777777" w:rsidR="00204009" w:rsidRPr="004768D0" w:rsidRDefault="00AD1CC2" w:rsidP="00204009">
            <w:pPr>
              <w:spacing w:before="120" w:after="120"/>
              <w:jc w:val="both"/>
              <w:rPr>
                <w:rFonts w:ascii="Cambria" w:hAnsi="Cambria"/>
                <w:sz w:val="16"/>
                <w:szCs w:val="16"/>
                <w:lang w:val="es-ES"/>
              </w:rPr>
            </w:pPr>
            <w:r w:rsidRPr="004768D0">
              <w:rPr>
                <w:rFonts w:ascii="Cambria" w:hAnsi="Cambria"/>
                <w:sz w:val="16"/>
                <w:szCs w:val="16"/>
                <w:lang w:val="es-ES"/>
              </w:rPr>
              <w:t>La</w:t>
            </w:r>
            <w:r w:rsidR="00204009" w:rsidRPr="004768D0">
              <w:rPr>
                <w:rFonts w:ascii="Cambria" w:hAnsi="Cambria"/>
                <w:sz w:val="16"/>
                <w:szCs w:val="16"/>
                <w:lang w:val="es-ES"/>
              </w:rPr>
              <w:t xml:space="preserve"> </w:t>
            </w:r>
            <w:r w:rsidR="00372008" w:rsidRPr="004768D0">
              <w:rPr>
                <w:rFonts w:ascii="Cambria" w:hAnsi="Cambria"/>
                <w:sz w:val="16"/>
                <w:szCs w:val="16"/>
                <w:lang w:val="es-ES"/>
              </w:rPr>
              <w:t>policía</w:t>
            </w:r>
            <w:r w:rsidR="00204009" w:rsidRPr="004768D0">
              <w:rPr>
                <w:rFonts w:ascii="Cambria" w:hAnsi="Cambria"/>
                <w:sz w:val="16"/>
                <w:szCs w:val="16"/>
                <w:lang w:val="es-ES"/>
              </w:rPr>
              <w:t xml:space="preserve"> </w:t>
            </w:r>
            <w:r w:rsidRPr="004768D0">
              <w:rPr>
                <w:rFonts w:ascii="Cambria" w:hAnsi="Cambria"/>
                <w:sz w:val="16"/>
                <w:szCs w:val="16"/>
                <w:lang w:val="es-ES"/>
              </w:rPr>
              <w:t xml:space="preserve">no hizo ninguna </w:t>
            </w:r>
            <w:r w:rsidR="00B034C6" w:rsidRPr="004768D0">
              <w:rPr>
                <w:rFonts w:ascii="Cambria" w:hAnsi="Cambria"/>
                <w:sz w:val="16"/>
                <w:szCs w:val="16"/>
                <w:lang w:val="es-ES"/>
              </w:rPr>
              <w:t>diligencia</w:t>
            </w:r>
            <w:r w:rsidR="00204009" w:rsidRPr="004768D0">
              <w:rPr>
                <w:rFonts w:ascii="Cambria" w:hAnsi="Cambria"/>
                <w:sz w:val="16"/>
                <w:szCs w:val="16"/>
                <w:lang w:val="es-ES"/>
              </w:rPr>
              <w:t xml:space="preserve"> </w:t>
            </w:r>
            <w:r w:rsidR="00B034C6" w:rsidRPr="004768D0">
              <w:rPr>
                <w:rFonts w:ascii="Cambria" w:hAnsi="Cambria"/>
                <w:sz w:val="16"/>
                <w:szCs w:val="16"/>
                <w:lang w:val="es-ES"/>
              </w:rPr>
              <w:t xml:space="preserve">encaminada a </w:t>
            </w:r>
            <w:r w:rsidR="00204009" w:rsidRPr="004768D0">
              <w:rPr>
                <w:rFonts w:ascii="Cambria" w:hAnsi="Cambria"/>
                <w:sz w:val="16"/>
                <w:szCs w:val="16"/>
                <w:lang w:val="es-ES"/>
              </w:rPr>
              <w:t xml:space="preserve">localizar </w:t>
            </w:r>
            <w:r w:rsidR="00B034C6" w:rsidRPr="004768D0">
              <w:rPr>
                <w:rFonts w:ascii="Cambria" w:hAnsi="Cambria"/>
                <w:sz w:val="16"/>
                <w:szCs w:val="16"/>
                <w:lang w:val="es-ES"/>
              </w:rPr>
              <w:t>a l</w:t>
            </w:r>
            <w:r w:rsidR="00204009" w:rsidRPr="004768D0">
              <w:rPr>
                <w:rFonts w:ascii="Cambria" w:hAnsi="Cambria"/>
                <w:sz w:val="16"/>
                <w:szCs w:val="16"/>
                <w:lang w:val="es-ES"/>
              </w:rPr>
              <w:t xml:space="preserve">as </w:t>
            </w:r>
            <w:r w:rsidR="000C0AC4" w:rsidRPr="004768D0">
              <w:rPr>
                <w:rFonts w:ascii="Cambria" w:hAnsi="Cambria"/>
                <w:sz w:val="16"/>
                <w:szCs w:val="16"/>
                <w:lang w:val="es-ES"/>
              </w:rPr>
              <w:t>personas</w:t>
            </w:r>
            <w:r w:rsidR="00204009" w:rsidRPr="004768D0">
              <w:rPr>
                <w:rFonts w:ascii="Cambria" w:hAnsi="Cambria"/>
                <w:sz w:val="16"/>
                <w:szCs w:val="16"/>
                <w:lang w:val="es-ES"/>
              </w:rPr>
              <w:t xml:space="preserve"> que </w:t>
            </w:r>
            <w:r w:rsidR="00B034C6" w:rsidRPr="004768D0">
              <w:rPr>
                <w:rFonts w:ascii="Cambria" w:hAnsi="Cambria"/>
                <w:sz w:val="16"/>
                <w:szCs w:val="16"/>
                <w:lang w:val="es-ES"/>
              </w:rPr>
              <w:t>estaban</w:t>
            </w:r>
            <w:r w:rsidR="00204009" w:rsidRPr="004768D0">
              <w:rPr>
                <w:rFonts w:ascii="Cambria" w:hAnsi="Cambria"/>
                <w:sz w:val="16"/>
                <w:szCs w:val="16"/>
                <w:lang w:val="es-ES"/>
              </w:rPr>
              <w:t xml:space="preserve"> </w:t>
            </w:r>
            <w:r w:rsidR="00B034C6" w:rsidRPr="004768D0">
              <w:rPr>
                <w:rFonts w:ascii="Cambria" w:hAnsi="Cambria"/>
                <w:sz w:val="16"/>
                <w:szCs w:val="16"/>
                <w:lang w:val="es-ES"/>
              </w:rPr>
              <w:t>e</w:t>
            </w:r>
            <w:r w:rsidR="00204009" w:rsidRPr="004768D0">
              <w:rPr>
                <w:rFonts w:ascii="Cambria" w:hAnsi="Cambria"/>
                <w:sz w:val="16"/>
                <w:szCs w:val="16"/>
                <w:lang w:val="es-ES"/>
              </w:rPr>
              <w:t>n</w:t>
            </w:r>
            <w:r w:rsidR="00B034C6" w:rsidRPr="004768D0">
              <w:rPr>
                <w:rFonts w:ascii="Cambria" w:hAnsi="Cambria"/>
                <w:sz w:val="16"/>
                <w:szCs w:val="16"/>
                <w:lang w:val="es-ES"/>
              </w:rPr>
              <w:t xml:space="preserve"> el</w:t>
            </w:r>
            <w:r w:rsidR="00204009" w:rsidRPr="004768D0">
              <w:rPr>
                <w:rFonts w:ascii="Cambria" w:hAnsi="Cambria"/>
                <w:sz w:val="16"/>
                <w:szCs w:val="16"/>
                <w:lang w:val="es-ES"/>
              </w:rPr>
              <w:t xml:space="preserve"> bar </w:t>
            </w:r>
            <w:r w:rsidR="00B034C6" w:rsidRPr="004768D0">
              <w:rPr>
                <w:rFonts w:ascii="Cambria" w:hAnsi="Cambria"/>
                <w:sz w:val="16"/>
                <w:szCs w:val="16"/>
                <w:lang w:val="es-ES"/>
              </w:rPr>
              <w:t xml:space="preserve">y en los </w:t>
            </w:r>
            <w:r w:rsidR="00204009" w:rsidRPr="004768D0">
              <w:rPr>
                <w:rFonts w:ascii="Cambria" w:hAnsi="Cambria"/>
                <w:sz w:val="16"/>
                <w:szCs w:val="16"/>
                <w:lang w:val="es-ES"/>
              </w:rPr>
              <w:t>a</w:t>
            </w:r>
            <w:r w:rsidR="00B034C6" w:rsidRPr="004768D0">
              <w:rPr>
                <w:rFonts w:ascii="Cambria" w:hAnsi="Cambria"/>
                <w:sz w:val="16"/>
                <w:szCs w:val="16"/>
                <w:lang w:val="es-ES"/>
              </w:rPr>
              <w:t>l</w:t>
            </w:r>
            <w:r w:rsidR="00204009" w:rsidRPr="004768D0">
              <w:rPr>
                <w:rFonts w:ascii="Cambria" w:hAnsi="Cambria"/>
                <w:sz w:val="16"/>
                <w:szCs w:val="16"/>
                <w:lang w:val="es-ES"/>
              </w:rPr>
              <w:t>red</w:t>
            </w:r>
            <w:r w:rsidR="00B034C6" w:rsidRPr="004768D0">
              <w:rPr>
                <w:rFonts w:ascii="Cambria" w:hAnsi="Cambria"/>
                <w:sz w:val="16"/>
                <w:szCs w:val="16"/>
                <w:lang w:val="es-ES"/>
              </w:rPr>
              <w:t>ed</w:t>
            </w:r>
            <w:r w:rsidR="00204009" w:rsidRPr="004768D0">
              <w:rPr>
                <w:rFonts w:ascii="Cambria" w:hAnsi="Cambria"/>
                <w:sz w:val="16"/>
                <w:szCs w:val="16"/>
                <w:lang w:val="es-ES"/>
              </w:rPr>
              <w:t xml:space="preserve">ores durante </w:t>
            </w:r>
            <w:r w:rsidR="00B034C6" w:rsidRPr="004768D0">
              <w:rPr>
                <w:rFonts w:ascii="Cambria" w:hAnsi="Cambria"/>
                <w:sz w:val="16"/>
                <w:szCs w:val="16"/>
                <w:lang w:val="es-ES"/>
              </w:rPr>
              <w:t>los sucesos ni a tomarles declaración. T</w:t>
            </w:r>
            <w:r w:rsidR="000D0997" w:rsidRPr="004768D0">
              <w:rPr>
                <w:rFonts w:ascii="Cambria" w:hAnsi="Cambria"/>
                <w:sz w:val="16"/>
                <w:szCs w:val="16"/>
                <w:lang w:val="es-ES"/>
              </w:rPr>
              <w:t>ampoco</w:t>
            </w:r>
            <w:r w:rsidR="00204009" w:rsidRPr="004768D0">
              <w:rPr>
                <w:rFonts w:ascii="Cambria" w:hAnsi="Cambria"/>
                <w:sz w:val="16"/>
                <w:szCs w:val="16"/>
                <w:lang w:val="es-ES"/>
              </w:rPr>
              <w:t xml:space="preserve"> t</w:t>
            </w:r>
            <w:r w:rsidR="00B034C6" w:rsidRPr="004768D0">
              <w:rPr>
                <w:rFonts w:ascii="Cambria" w:hAnsi="Cambria"/>
                <w:sz w:val="16"/>
                <w:szCs w:val="16"/>
                <w:lang w:val="es-ES"/>
              </w:rPr>
              <w:t xml:space="preserve">rató de </w:t>
            </w:r>
            <w:r w:rsidR="00204009" w:rsidRPr="004768D0">
              <w:rPr>
                <w:rFonts w:ascii="Cambria" w:hAnsi="Cambria"/>
                <w:sz w:val="16"/>
                <w:szCs w:val="16"/>
                <w:lang w:val="es-ES"/>
              </w:rPr>
              <w:t>identifica</w:t>
            </w:r>
            <w:r w:rsidR="00B034C6" w:rsidRPr="004768D0">
              <w:rPr>
                <w:rFonts w:ascii="Cambria" w:hAnsi="Cambria"/>
                <w:sz w:val="16"/>
                <w:szCs w:val="16"/>
                <w:lang w:val="es-ES"/>
              </w:rPr>
              <w:t xml:space="preserve">r el </w:t>
            </w:r>
            <w:r w:rsidR="00204009" w:rsidRPr="004768D0">
              <w:rPr>
                <w:rFonts w:ascii="Cambria" w:hAnsi="Cambria"/>
                <w:sz w:val="16"/>
                <w:szCs w:val="16"/>
                <w:lang w:val="es-ES"/>
              </w:rPr>
              <w:t>arma utilizada a partir d</w:t>
            </w:r>
            <w:r w:rsidR="00B034C6" w:rsidRPr="004768D0">
              <w:rPr>
                <w:rFonts w:ascii="Cambria" w:hAnsi="Cambria"/>
                <w:sz w:val="16"/>
                <w:szCs w:val="16"/>
                <w:lang w:val="es-ES"/>
              </w:rPr>
              <w:t>e l</w:t>
            </w:r>
            <w:r w:rsidR="00204009" w:rsidRPr="004768D0">
              <w:rPr>
                <w:rFonts w:ascii="Cambria" w:hAnsi="Cambria"/>
                <w:sz w:val="16"/>
                <w:szCs w:val="16"/>
                <w:lang w:val="es-ES"/>
              </w:rPr>
              <w:t xml:space="preserve">os </w:t>
            </w:r>
            <w:r w:rsidR="00B034C6" w:rsidRPr="004768D0">
              <w:rPr>
                <w:rFonts w:ascii="Cambria" w:hAnsi="Cambria"/>
                <w:sz w:val="16"/>
                <w:szCs w:val="16"/>
                <w:lang w:val="es-ES"/>
              </w:rPr>
              <w:t>proyectiles</w:t>
            </w:r>
            <w:r w:rsidR="00204009" w:rsidRPr="004768D0">
              <w:rPr>
                <w:rFonts w:ascii="Cambria" w:hAnsi="Cambria"/>
                <w:sz w:val="16"/>
                <w:szCs w:val="16"/>
                <w:lang w:val="es-ES"/>
              </w:rPr>
              <w:t xml:space="preserve"> recuperados.</w:t>
            </w:r>
          </w:p>
          <w:p w14:paraId="170C271B" w14:textId="77777777" w:rsidR="00204009" w:rsidRPr="004768D0" w:rsidRDefault="00134B08" w:rsidP="00204009">
            <w:pPr>
              <w:spacing w:before="120" w:after="120"/>
              <w:jc w:val="both"/>
              <w:rPr>
                <w:rFonts w:ascii="Cambria" w:hAnsi="Cambria"/>
                <w:sz w:val="16"/>
                <w:szCs w:val="16"/>
                <w:lang w:val="es-ES"/>
              </w:rPr>
            </w:pPr>
            <w:r w:rsidRPr="004768D0">
              <w:rPr>
                <w:rFonts w:ascii="Cambria" w:hAnsi="Cambria"/>
                <w:sz w:val="16"/>
                <w:szCs w:val="16"/>
                <w:lang w:val="es-ES"/>
              </w:rPr>
              <w:t xml:space="preserve">Los agentes de policía que respondieron al incidente alegaron nuevamente que solo habían recibido una llamada del </w:t>
            </w:r>
            <w:r w:rsidR="00204009" w:rsidRPr="004768D0">
              <w:rPr>
                <w:rFonts w:ascii="Cambria" w:hAnsi="Cambria"/>
                <w:sz w:val="16"/>
                <w:szCs w:val="16"/>
                <w:lang w:val="es-ES"/>
              </w:rPr>
              <w:t xml:space="preserve">COPOM para </w:t>
            </w:r>
            <w:r w:rsidR="003315FE" w:rsidRPr="004768D0">
              <w:rPr>
                <w:rFonts w:ascii="Cambria" w:hAnsi="Cambria"/>
                <w:sz w:val="16"/>
                <w:szCs w:val="16"/>
                <w:lang w:val="es-ES"/>
              </w:rPr>
              <w:t xml:space="preserve">que fueran a </w:t>
            </w:r>
            <w:r w:rsidR="00204009" w:rsidRPr="004768D0">
              <w:rPr>
                <w:rFonts w:ascii="Cambria" w:hAnsi="Cambria"/>
                <w:sz w:val="16"/>
                <w:szCs w:val="16"/>
                <w:lang w:val="es-ES"/>
              </w:rPr>
              <w:t>socorrer a</w:t>
            </w:r>
            <w:r w:rsidR="003315FE" w:rsidRPr="004768D0">
              <w:rPr>
                <w:rFonts w:ascii="Cambria" w:hAnsi="Cambria"/>
                <w:sz w:val="16"/>
                <w:szCs w:val="16"/>
                <w:lang w:val="es-ES"/>
              </w:rPr>
              <w:t xml:space="preserve"> la</w:t>
            </w:r>
            <w:r w:rsidR="00204009" w:rsidRPr="004768D0">
              <w:rPr>
                <w:rFonts w:ascii="Cambria" w:hAnsi="Cambria"/>
                <w:sz w:val="16"/>
                <w:szCs w:val="16"/>
                <w:lang w:val="es-ES"/>
              </w:rPr>
              <w:t xml:space="preserve">s </w:t>
            </w:r>
            <w:r w:rsidR="00000CF9" w:rsidRPr="004768D0">
              <w:rPr>
                <w:rFonts w:ascii="Cambria" w:hAnsi="Cambria"/>
                <w:sz w:val="16"/>
                <w:szCs w:val="16"/>
                <w:lang w:val="es-ES"/>
              </w:rPr>
              <w:t>víctimas</w:t>
            </w:r>
            <w:r w:rsidR="00204009" w:rsidRPr="004768D0">
              <w:rPr>
                <w:rFonts w:ascii="Cambria" w:hAnsi="Cambria"/>
                <w:sz w:val="16"/>
                <w:szCs w:val="16"/>
                <w:lang w:val="es-ES"/>
              </w:rPr>
              <w:t xml:space="preserve">. No </w:t>
            </w:r>
            <w:r w:rsidR="003315FE" w:rsidRPr="004768D0">
              <w:rPr>
                <w:rFonts w:ascii="Cambria" w:hAnsi="Cambria"/>
                <w:sz w:val="16"/>
                <w:szCs w:val="16"/>
                <w:lang w:val="es-ES"/>
              </w:rPr>
              <w:t xml:space="preserve">se efectuó una comprobación de esa llamada. No es posible </w:t>
            </w:r>
            <w:r w:rsidR="00204009" w:rsidRPr="004768D0">
              <w:rPr>
                <w:rFonts w:ascii="Cambria" w:hAnsi="Cambria"/>
                <w:sz w:val="16"/>
                <w:szCs w:val="16"/>
                <w:lang w:val="es-ES"/>
              </w:rPr>
              <w:t>saber s</w:t>
            </w:r>
            <w:r w:rsidR="003315FE" w:rsidRPr="004768D0">
              <w:rPr>
                <w:rFonts w:ascii="Cambria" w:hAnsi="Cambria"/>
                <w:sz w:val="16"/>
                <w:szCs w:val="16"/>
                <w:lang w:val="es-ES"/>
              </w:rPr>
              <w:t>i l</w:t>
            </w:r>
            <w:r w:rsidR="00204009" w:rsidRPr="004768D0">
              <w:rPr>
                <w:rFonts w:ascii="Cambria" w:hAnsi="Cambria"/>
                <w:sz w:val="16"/>
                <w:szCs w:val="16"/>
                <w:lang w:val="es-ES"/>
              </w:rPr>
              <w:t>os polic</w:t>
            </w:r>
            <w:r w:rsidR="003315FE" w:rsidRPr="004768D0">
              <w:rPr>
                <w:rFonts w:ascii="Cambria" w:hAnsi="Cambria"/>
                <w:sz w:val="16"/>
                <w:szCs w:val="16"/>
                <w:lang w:val="es-ES"/>
              </w:rPr>
              <w:t xml:space="preserve">ías se trasladaron al lugar para responder a la llamada o </w:t>
            </w:r>
            <w:r w:rsidR="00204009" w:rsidRPr="004768D0">
              <w:rPr>
                <w:rFonts w:ascii="Cambria" w:hAnsi="Cambria"/>
                <w:sz w:val="16"/>
                <w:szCs w:val="16"/>
                <w:lang w:val="es-ES"/>
              </w:rPr>
              <w:t>por c</w:t>
            </w:r>
            <w:r w:rsidR="003315FE" w:rsidRPr="004768D0">
              <w:rPr>
                <w:rFonts w:ascii="Cambria" w:hAnsi="Cambria"/>
                <w:sz w:val="16"/>
                <w:szCs w:val="16"/>
                <w:lang w:val="es-ES"/>
              </w:rPr>
              <w:t>ue</w:t>
            </w:r>
            <w:r w:rsidR="00204009" w:rsidRPr="004768D0">
              <w:rPr>
                <w:rFonts w:ascii="Cambria" w:hAnsi="Cambria"/>
                <w:sz w:val="16"/>
                <w:szCs w:val="16"/>
                <w:lang w:val="es-ES"/>
              </w:rPr>
              <w:t xml:space="preserve">nta </w:t>
            </w:r>
            <w:r w:rsidR="003315FE" w:rsidRPr="004768D0">
              <w:rPr>
                <w:rFonts w:ascii="Cambria" w:hAnsi="Cambria"/>
                <w:sz w:val="16"/>
                <w:szCs w:val="16"/>
                <w:lang w:val="es-ES"/>
              </w:rPr>
              <w:t>propia</w:t>
            </w:r>
            <w:r w:rsidR="00204009" w:rsidRPr="004768D0">
              <w:rPr>
                <w:rFonts w:ascii="Cambria" w:hAnsi="Cambria"/>
                <w:sz w:val="16"/>
                <w:szCs w:val="16"/>
                <w:lang w:val="es-ES"/>
              </w:rPr>
              <w:t xml:space="preserve">. </w:t>
            </w:r>
            <w:r w:rsidR="003315FE" w:rsidRPr="004768D0">
              <w:rPr>
                <w:rFonts w:ascii="Cambria" w:hAnsi="Cambria"/>
                <w:sz w:val="16"/>
                <w:szCs w:val="16"/>
                <w:lang w:val="es-ES"/>
              </w:rPr>
              <w:t>La</w:t>
            </w:r>
            <w:r w:rsidR="00204009" w:rsidRPr="004768D0">
              <w:rPr>
                <w:rFonts w:ascii="Cambria" w:hAnsi="Cambria"/>
                <w:sz w:val="16"/>
                <w:szCs w:val="16"/>
                <w:lang w:val="es-ES"/>
              </w:rPr>
              <w:t xml:space="preserve"> </w:t>
            </w:r>
            <w:r w:rsidR="000D0997" w:rsidRPr="004768D0">
              <w:rPr>
                <w:rFonts w:ascii="Cambria" w:hAnsi="Cambria"/>
                <w:sz w:val="16"/>
                <w:szCs w:val="16"/>
                <w:lang w:val="es-ES"/>
              </w:rPr>
              <w:t>víctima</w:t>
            </w:r>
            <w:r w:rsidR="00204009" w:rsidRPr="004768D0">
              <w:rPr>
                <w:rFonts w:ascii="Cambria" w:hAnsi="Cambria"/>
                <w:sz w:val="16"/>
                <w:szCs w:val="16"/>
                <w:lang w:val="es-ES"/>
              </w:rPr>
              <w:t xml:space="preserve"> </w:t>
            </w:r>
            <w:r w:rsidR="003315FE" w:rsidRPr="004768D0">
              <w:rPr>
                <w:rFonts w:ascii="Cambria" w:hAnsi="Cambria"/>
                <w:sz w:val="16"/>
                <w:szCs w:val="16"/>
                <w:lang w:val="es-ES"/>
              </w:rPr>
              <w:t>sobreviviente</w:t>
            </w:r>
            <w:r w:rsidR="00204009" w:rsidRPr="004768D0">
              <w:rPr>
                <w:rFonts w:ascii="Cambria" w:hAnsi="Cambria"/>
                <w:sz w:val="16"/>
                <w:szCs w:val="16"/>
                <w:lang w:val="es-ES"/>
              </w:rPr>
              <w:t xml:space="preserve"> </w:t>
            </w:r>
            <w:r w:rsidR="003315FE" w:rsidRPr="004768D0">
              <w:rPr>
                <w:rFonts w:ascii="Cambria" w:hAnsi="Cambria"/>
                <w:sz w:val="16"/>
                <w:szCs w:val="16"/>
                <w:lang w:val="es-ES"/>
              </w:rPr>
              <w:t>afirmó</w:t>
            </w:r>
            <w:r w:rsidR="00204009" w:rsidRPr="004768D0">
              <w:rPr>
                <w:rFonts w:ascii="Cambria" w:hAnsi="Cambria"/>
                <w:sz w:val="16"/>
                <w:szCs w:val="16"/>
                <w:lang w:val="es-ES"/>
              </w:rPr>
              <w:t xml:space="preserve"> que, </w:t>
            </w:r>
            <w:r w:rsidR="003315FE" w:rsidRPr="004768D0">
              <w:rPr>
                <w:rFonts w:ascii="Cambria" w:hAnsi="Cambria"/>
                <w:sz w:val="16"/>
                <w:szCs w:val="16"/>
                <w:lang w:val="es-ES"/>
              </w:rPr>
              <w:t>e</w:t>
            </w:r>
            <w:r w:rsidR="00204009" w:rsidRPr="004768D0">
              <w:rPr>
                <w:rFonts w:ascii="Cambria" w:hAnsi="Cambria"/>
                <w:sz w:val="16"/>
                <w:szCs w:val="16"/>
                <w:lang w:val="es-ES"/>
              </w:rPr>
              <w:t>n</w:t>
            </w:r>
            <w:r w:rsidR="003315FE" w:rsidRPr="004768D0">
              <w:rPr>
                <w:rFonts w:ascii="Cambria" w:hAnsi="Cambria"/>
                <w:sz w:val="16"/>
                <w:szCs w:val="16"/>
                <w:lang w:val="es-ES"/>
              </w:rPr>
              <w:t xml:space="preserve"> realidad, no fue ningún agente de policía al lugar para</w:t>
            </w:r>
            <w:r w:rsidR="00204009" w:rsidRPr="004768D0">
              <w:rPr>
                <w:rFonts w:ascii="Cambria" w:hAnsi="Cambria"/>
                <w:sz w:val="16"/>
                <w:szCs w:val="16"/>
                <w:lang w:val="es-ES"/>
              </w:rPr>
              <w:t xml:space="preserve"> socorr</w:t>
            </w:r>
            <w:r w:rsidR="003315FE" w:rsidRPr="004768D0">
              <w:rPr>
                <w:rFonts w:ascii="Cambria" w:hAnsi="Cambria"/>
                <w:sz w:val="16"/>
                <w:szCs w:val="16"/>
                <w:lang w:val="es-ES"/>
              </w:rPr>
              <w:t>er</w:t>
            </w:r>
            <w:r w:rsidR="00204009" w:rsidRPr="004768D0">
              <w:rPr>
                <w:rFonts w:ascii="Cambria" w:hAnsi="Cambria"/>
                <w:sz w:val="16"/>
                <w:szCs w:val="16"/>
                <w:lang w:val="es-ES"/>
              </w:rPr>
              <w:t>l</w:t>
            </w:r>
            <w:r w:rsidR="003315FE" w:rsidRPr="004768D0">
              <w:rPr>
                <w:rFonts w:ascii="Cambria" w:hAnsi="Cambria"/>
                <w:sz w:val="16"/>
                <w:szCs w:val="16"/>
                <w:lang w:val="es-ES"/>
              </w:rPr>
              <w:t>o</w:t>
            </w:r>
            <w:r w:rsidR="00204009" w:rsidRPr="004768D0">
              <w:rPr>
                <w:rFonts w:ascii="Cambria" w:hAnsi="Cambria"/>
                <w:sz w:val="16"/>
                <w:szCs w:val="16"/>
                <w:lang w:val="es-ES"/>
              </w:rPr>
              <w:t>s</w:t>
            </w:r>
            <w:r w:rsidR="003315FE" w:rsidRPr="004768D0">
              <w:rPr>
                <w:rFonts w:ascii="Cambria" w:hAnsi="Cambria"/>
                <w:sz w:val="16"/>
                <w:szCs w:val="16"/>
                <w:lang w:val="es-ES"/>
              </w:rPr>
              <w:t xml:space="preserve">, sino que se presentaron solo en la sala de urgencias del </w:t>
            </w:r>
            <w:r w:rsidR="00204009" w:rsidRPr="004768D0">
              <w:rPr>
                <w:rFonts w:ascii="Cambria" w:hAnsi="Cambria"/>
                <w:sz w:val="16"/>
                <w:szCs w:val="16"/>
                <w:lang w:val="es-ES"/>
              </w:rPr>
              <w:t>hospital.</w:t>
            </w:r>
          </w:p>
          <w:p w14:paraId="484503D6" w14:textId="77777777" w:rsidR="00204009" w:rsidRPr="004768D0" w:rsidRDefault="003315FE" w:rsidP="00204009">
            <w:pPr>
              <w:spacing w:before="120" w:after="120"/>
              <w:jc w:val="both"/>
              <w:rPr>
                <w:rFonts w:ascii="Cambria" w:hAnsi="Cambria"/>
                <w:sz w:val="16"/>
                <w:szCs w:val="16"/>
                <w:lang w:val="es-ES"/>
              </w:rPr>
            </w:pPr>
            <w:r w:rsidRPr="004768D0">
              <w:rPr>
                <w:rFonts w:ascii="Cambria" w:hAnsi="Cambria"/>
                <w:sz w:val="16"/>
                <w:szCs w:val="16"/>
                <w:lang w:val="es-ES"/>
              </w:rPr>
              <w:t xml:space="preserve">Los tres </w:t>
            </w:r>
            <w:r w:rsidR="00B9588A" w:rsidRPr="004768D0">
              <w:rPr>
                <w:rFonts w:ascii="Cambria" w:hAnsi="Cambria"/>
                <w:sz w:val="16"/>
                <w:szCs w:val="16"/>
                <w:lang w:val="es-ES"/>
              </w:rPr>
              <w:t>sobrevivientes</w:t>
            </w:r>
            <w:r w:rsidR="00204009" w:rsidRPr="004768D0">
              <w:rPr>
                <w:rFonts w:ascii="Cambria" w:hAnsi="Cambria"/>
                <w:sz w:val="16"/>
                <w:szCs w:val="16"/>
                <w:lang w:val="es-ES"/>
              </w:rPr>
              <w:t xml:space="preserve"> no f</w:t>
            </w:r>
            <w:r w:rsidRPr="004768D0">
              <w:rPr>
                <w:rFonts w:ascii="Cambria" w:hAnsi="Cambria"/>
                <w:sz w:val="16"/>
                <w:szCs w:val="16"/>
                <w:lang w:val="es-ES"/>
              </w:rPr>
              <w:t xml:space="preserve">ueron sometidos de inmediato a </w:t>
            </w:r>
            <w:r w:rsidR="00204009" w:rsidRPr="004768D0">
              <w:rPr>
                <w:rFonts w:ascii="Cambria" w:hAnsi="Cambria"/>
                <w:sz w:val="16"/>
                <w:szCs w:val="16"/>
                <w:lang w:val="es-ES"/>
              </w:rPr>
              <w:t>ex</w:t>
            </w:r>
            <w:r w:rsidRPr="004768D0">
              <w:rPr>
                <w:rFonts w:ascii="Cambria" w:hAnsi="Cambria"/>
                <w:sz w:val="16"/>
                <w:szCs w:val="16"/>
                <w:lang w:val="es-ES"/>
              </w:rPr>
              <w:t>á</w:t>
            </w:r>
            <w:r w:rsidR="00204009" w:rsidRPr="004768D0">
              <w:rPr>
                <w:rFonts w:ascii="Cambria" w:hAnsi="Cambria"/>
                <w:sz w:val="16"/>
                <w:szCs w:val="16"/>
                <w:lang w:val="es-ES"/>
              </w:rPr>
              <w:t>me</w:t>
            </w:r>
            <w:r w:rsidRPr="004768D0">
              <w:rPr>
                <w:rFonts w:ascii="Cambria" w:hAnsi="Cambria"/>
                <w:sz w:val="16"/>
                <w:szCs w:val="16"/>
                <w:lang w:val="es-ES"/>
              </w:rPr>
              <w:t>ne</w:t>
            </w:r>
            <w:r w:rsidR="00204009" w:rsidRPr="004768D0">
              <w:rPr>
                <w:rFonts w:ascii="Cambria" w:hAnsi="Cambria"/>
                <w:sz w:val="16"/>
                <w:szCs w:val="16"/>
                <w:lang w:val="es-ES"/>
              </w:rPr>
              <w:t>s de</w:t>
            </w:r>
            <w:r w:rsidRPr="004768D0">
              <w:rPr>
                <w:rFonts w:ascii="Cambria" w:hAnsi="Cambria"/>
                <w:sz w:val="16"/>
                <w:szCs w:val="16"/>
                <w:lang w:val="es-ES"/>
              </w:rPr>
              <w:t xml:space="preserve">l cuerpo del </w:t>
            </w:r>
            <w:r w:rsidR="00204009" w:rsidRPr="004768D0">
              <w:rPr>
                <w:rFonts w:ascii="Cambria" w:hAnsi="Cambria"/>
                <w:sz w:val="16"/>
                <w:szCs w:val="16"/>
                <w:lang w:val="es-ES"/>
              </w:rPr>
              <w:t xml:space="preserve">delito. </w:t>
            </w:r>
            <w:r w:rsidRPr="004768D0">
              <w:rPr>
                <w:rFonts w:ascii="Cambria" w:hAnsi="Cambria"/>
                <w:sz w:val="16"/>
                <w:szCs w:val="16"/>
                <w:lang w:val="es-ES"/>
              </w:rPr>
              <w:t xml:space="preserve">La autoridad policial solicitó tales exámenes en </w:t>
            </w:r>
            <w:r w:rsidR="007F4608" w:rsidRPr="004768D0">
              <w:rPr>
                <w:rFonts w:ascii="Cambria" w:hAnsi="Cambria"/>
                <w:sz w:val="16"/>
                <w:szCs w:val="16"/>
                <w:lang w:val="es-ES"/>
              </w:rPr>
              <w:t>julio</w:t>
            </w:r>
            <w:r w:rsidR="00204009" w:rsidRPr="004768D0">
              <w:rPr>
                <w:rFonts w:ascii="Cambria" w:hAnsi="Cambria"/>
                <w:sz w:val="16"/>
                <w:szCs w:val="16"/>
                <w:lang w:val="es-ES"/>
              </w:rPr>
              <w:t xml:space="preserve"> </w:t>
            </w:r>
            <w:r w:rsidRPr="004768D0">
              <w:rPr>
                <w:rFonts w:ascii="Cambria" w:hAnsi="Cambria"/>
                <w:sz w:val="16"/>
                <w:szCs w:val="16"/>
                <w:lang w:val="es-ES"/>
              </w:rPr>
              <w:t>y</w:t>
            </w:r>
            <w:r w:rsidR="00204009" w:rsidRPr="004768D0">
              <w:rPr>
                <w:rFonts w:ascii="Cambria" w:hAnsi="Cambria"/>
                <w:sz w:val="16"/>
                <w:szCs w:val="16"/>
                <w:lang w:val="es-ES"/>
              </w:rPr>
              <w:t xml:space="preserve"> agosto, </w:t>
            </w:r>
            <w:r w:rsidRPr="004768D0">
              <w:rPr>
                <w:rFonts w:ascii="Cambria" w:hAnsi="Cambria"/>
                <w:sz w:val="16"/>
                <w:szCs w:val="16"/>
                <w:lang w:val="es-ES"/>
              </w:rPr>
              <w:t>después de las declaraciones de los</w:t>
            </w:r>
            <w:r w:rsidR="00204009" w:rsidRPr="004768D0">
              <w:rPr>
                <w:rFonts w:ascii="Cambria" w:hAnsi="Cambria"/>
                <w:sz w:val="16"/>
                <w:szCs w:val="16"/>
                <w:lang w:val="es-ES"/>
              </w:rPr>
              <w:t xml:space="preserve"> </w:t>
            </w:r>
            <w:r w:rsidR="00B9588A" w:rsidRPr="004768D0">
              <w:rPr>
                <w:rFonts w:ascii="Cambria" w:hAnsi="Cambria"/>
                <w:sz w:val="16"/>
                <w:szCs w:val="16"/>
                <w:lang w:val="es-ES"/>
              </w:rPr>
              <w:t>sobrevivientes</w:t>
            </w:r>
            <w:r w:rsidR="00204009" w:rsidRPr="004768D0">
              <w:rPr>
                <w:rFonts w:ascii="Cambria" w:hAnsi="Cambria"/>
                <w:sz w:val="16"/>
                <w:szCs w:val="16"/>
                <w:lang w:val="es-ES"/>
              </w:rPr>
              <w:t>. N</w:t>
            </w:r>
            <w:r w:rsidRPr="004768D0">
              <w:rPr>
                <w:rFonts w:ascii="Cambria" w:hAnsi="Cambria"/>
                <w:sz w:val="16"/>
                <w:szCs w:val="16"/>
                <w:lang w:val="es-ES"/>
              </w:rPr>
              <w:t>o se hicieron todos los exámenes</w:t>
            </w:r>
            <w:r w:rsidR="00204009" w:rsidRPr="004768D0">
              <w:rPr>
                <w:rFonts w:ascii="Cambria" w:hAnsi="Cambria"/>
                <w:sz w:val="16"/>
                <w:szCs w:val="16"/>
                <w:lang w:val="es-ES"/>
              </w:rPr>
              <w:t xml:space="preserve">. </w:t>
            </w:r>
            <w:r w:rsidRPr="004768D0">
              <w:rPr>
                <w:rFonts w:ascii="Cambria" w:hAnsi="Cambria"/>
                <w:sz w:val="16"/>
                <w:szCs w:val="16"/>
                <w:lang w:val="es-ES"/>
              </w:rPr>
              <w:t>Con</w:t>
            </w:r>
            <w:r w:rsidR="00204009" w:rsidRPr="004768D0">
              <w:rPr>
                <w:rFonts w:ascii="Cambria" w:hAnsi="Cambria"/>
                <w:sz w:val="16"/>
                <w:szCs w:val="16"/>
                <w:lang w:val="es-ES"/>
              </w:rPr>
              <w:t xml:space="preserve"> </w:t>
            </w:r>
            <w:r w:rsidRPr="004768D0">
              <w:rPr>
                <w:rFonts w:ascii="Cambria" w:hAnsi="Cambria"/>
                <w:sz w:val="16"/>
                <w:szCs w:val="16"/>
                <w:lang w:val="es-ES"/>
              </w:rPr>
              <w:t>respecto</w:t>
            </w:r>
            <w:r w:rsidR="00204009" w:rsidRPr="004768D0">
              <w:rPr>
                <w:rFonts w:ascii="Cambria" w:hAnsi="Cambria"/>
                <w:sz w:val="16"/>
                <w:szCs w:val="16"/>
                <w:lang w:val="es-ES"/>
              </w:rPr>
              <w:t xml:space="preserve"> a </w:t>
            </w:r>
            <w:proofErr w:type="spellStart"/>
            <w:r w:rsidR="00204009" w:rsidRPr="004768D0">
              <w:rPr>
                <w:rFonts w:ascii="Cambria" w:hAnsi="Cambria"/>
                <w:sz w:val="16"/>
                <w:szCs w:val="16"/>
                <w:lang w:val="es-ES"/>
              </w:rPr>
              <w:t>Éwerton</w:t>
            </w:r>
            <w:proofErr w:type="spellEnd"/>
            <w:r w:rsidR="00204009" w:rsidRPr="004768D0">
              <w:rPr>
                <w:rFonts w:ascii="Cambria" w:hAnsi="Cambria"/>
                <w:sz w:val="16"/>
                <w:szCs w:val="16"/>
                <w:lang w:val="es-ES"/>
              </w:rPr>
              <w:t xml:space="preserve">, por </w:t>
            </w:r>
            <w:r w:rsidRPr="004768D0">
              <w:rPr>
                <w:rFonts w:ascii="Cambria" w:hAnsi="Cambria"/>
                <w:sz w:val="16"/>
                <w:szCs w:val="16"/>
                <w:lang w:val="es-ES"/>
              </w:rPr>
              <w:t>ejemplo</w:t>
            </w:r>
            <w:r w:rsidR="00204009" w:rsidRPr="004768D0">
              <w:rPr>
                <w:rFonts w:ascii="Cambria" w:hAnsi="Cambria"/>
                <w:sz w:val="16"/>
                <w:szCs w:val="16"/>
                <w:lang w:val="es-ES"/>
              </w:rPr>
              <w:t xml:space="preserve">, </w:t>
            </w:r>
            <w:r w:rsidRPr="004768D0">
              <w:rPr>
                <w:rFonts w:ascii="Cambria" w:hAnsi="Cambria"/>
                <w:sz w:val="16"/>
                <w:szCs w:val="16"/>
                <w:lang w:val="es-ES"/>
              </w:rPr>
              <w:t>el</w:t>
            </w:r>
            <w:r w:rsidR="00204009" w:rsidRPr="004768D0">
              <w:rPr>
                <w:rFonts w:ascii="Cambria" w:hAnsi="Cambria"/>
                <w:sz w:val="16"/>
                <w:szCs w:val="16"/>
                <w:lang w:val="es-ES"/>
              </w:rPr>
              <w:t xml:space="preserve"> </w:t>
            </w:r>
            <w:r w:rsidRPr="004768D0">
              <w:rPr>
                <w:rFonts w:ascii="Cambria" w:hAnsi="Cambria"/>
                <w:sz w:val="16"/>
                <w:szCs w:val="16"/>
                <w:lang w:val="es-ES"/>
              </w:rPr>
              <w:t>director</w:t>
            </w:r>
            <w:r w:rsidR="00204009" w:rsidRPr="004768D0">
              <w:rPr>
                <w:rFonts w:ascii="Cambria" w:hAnsi="Cambria"/>
                <w:sz w:val="16"/>
                <w:szCs w:val="16"/>
                <w:lang w:val="es-ES"/>
              </w:rPr>
              <w:t xml:space="preserve"> d</w:t>
            </w:r>
            <w:r w:rsidRPr="004768D0">
              <w:rPr>
                <w:rFonts w:ascii="Cambria" w:hAnsi="Cambria"/>
                <w:sz w:val="16"/>
                <w:szCs w:val="16"/>
                <w:lang w:val="es-ES"/>
              </w:rPr>
              <w:t>el</w:t>
            </w:r>
            <w:r w:rsidR="00204009" w:rsidRPr="004768D0">
              <w:rPr>
                <w:rFonts w:ascii="Cambria" w:hAnsi="Cambria"/>
                <w:sz w:val="16"/>
                <w:szCs w:val="16"/>
                <w:lang w:val="es-ES"/>
              </w:rPr>
              <w:t xml:space="preserve"> Núcleo </w:t>
            </w:r>
            <w:r w:rsidRPr="004768D0">
              <w:rPr>
                <w:rFonts w:ascii="Cambria" w:hAnsi="Cambria"/>
                <w:sz w:val="16"/>
                <w:szCs w:val="16"/>
                <w:lang w:val="es-ES"/>
              </w:rPr>
              <w:t xml:space="preserve">Regional </w:t>
            </w:r>
            <w:r w:rsidR="00204009" w:rsidRPr="004768D0">
              <w:rPr>
                <w:rFonts w:ascii="Cambria" w:hAnsi="Cambria"/>
                <w:sz w:val="16"/>
                <w:szCs w:val="16"/>
                <w:lang w:val="es-ES"/>
              </w:rPr>
              <w:t>de Per</w:t>
            </w:r>
            <w:r w:rsidRPr="004768D0">
              <w:rPr>
                <w:rFonts w:ascii="Cambria" w:hAnsi="Cambria"/>
                <w:sz w:val="16"/>
                <w:szCs w:val="16"/>
                <w:lang w:val="es-ES"/>
              </w:rPr>
              <w:t xml:space="preserve">itajes Forenses </w:t>
            </w:r>
            <w:r w:rsidR="00204009" w:rsidRPr="004768D0">
              <w:rPr>
                <w:rFonts w:ascii="Cambria" w:hAnsi="Cambria"/>
                <w:sz w:val="16"/>
                <w:szCs w:val="16"/>
                <w:lang w:val="es-ES"/>
              </w:rPr>
              <w:t xml:space="preserve">de Santos </w:t>
            </w:r>
            <w:r w:rsidRPr="004768D0">
              <w:rPr>
                <w:rFonts w:ascii="Cambria" w:hAnsi="Cambria"/>
                <w:sz w:val="16"/>
                <w:szCs w:val="16"/>
                <w:lang w:val="es-ES"/>
              </w:rPr>
              <w:t>confirmó</w:t>
            </w:r>
            <w:r w:rsidR="00204009" w:rsidRPr="004768D0">
              <w:rPr>
                <w:rFonts w:ascii="Cambria" w:hAnsi="Cambria"/>
                <w:sz w:val="16"/>
                <w:szCs w:val="16"/>
                <w:lang w:val="es-ES"/>
              </w:rPr>
              <w:t>, e</w:t>
            </w:r>
            <w:r w:rsidRPr="004768D0">
              <w:rPr>
                <w:rFonts w:ascii="Cambria" w:hAnsi="Cambria"/>
                <w:sz w:val="16"/>
                <w:szCs w:val="16"/>
                <w:lang w:val="es-ES"/>
              </w:rPr>
              <w:t xml:space="preserve">n un oficio cursado a la jueza del Juzgado del Jurado y </w:t>
            </w:r>
            <w:r w:rsidR="00F40309" w:rsidRPr="004768D0">
              <w:rPr>
                <w:rFonts w:ascii="Cambria" w:hAnsi="Cambria"/>
                <w:sz w:val="16"/>
                <w:szCs w:val="16"/>
                <w:lang w:val="es-ES"/>
              </w:rPr>
              <w:t xml:space="preserve">Aplicación de Sentencias Penales </w:t>
            </w:r>
            <w:r w:rsidR="00204009" w:rsidRPr="004768D0">
              <w:rPr>
                <w:rFonts w:ascii="Cambria" w:hAnsi="Cambria"/>
                <w:sz w:val="16"/>
                <w:szCs w:val="16"/>
                <w:lang w:val="es-ES"/>
              </w:rPr>
              <w:t>de Santos</w:t>
            </w:r>
            <w:r w:rsidR="00F40309" w:rsidRPr="004768D0">
              <w:rPr>
                <w:rFonts w:ascii="Cambria" w:hAnsi="Cambria"/>
                <w:sz w:val="16"/>
                <w:szCs w:val="16"/>
                <w:lang w:val="es-ES"/>
              </w:rPr>
              <w:t xml:space="preserve"> el </w:t>
            </w:r>
            <w:r w:rsidR="00204009" w:rsidRPr="004768D0">
              <w:rPr>
                <w:rFonts w:ascii="Cambria" w:hAnsi="Cambria"/>
                <w:sz w:val="16"/>
                <w:szCs w:val="16"/>
                <w:lang w:val="es-ES"/>
              </w:rPr>
              <w:t xml:space="preserve">10 de </w:t>
            </w:r>
            <w:r w:rsidR="007F4608" w:rsidRPr="004768D0">
              <w:rPr>
                <w:rFonts w:ascii="Cambria" w:hAnsi="Cambria"/>
                <w:sz w:val="16"/>
                <w:szCs w:val="16"/>
                <w:lang w:val="es-ES"/>
              </w:rPr>
              <w:t>mayo</w:t>
            </w:r>
            <w:r w:rsidR="00204009" w:rsidRPr="004768D0">
              <w:rPr>
                <w:rFonts w:ascii="Cambria" w:hAnsi="Cambria"/>
                <w:sz w:val="16"/>
                <w:szCs w:val="16"/>
                <w:lang w:val="es-ES"/>
              </w:rPr>
              <w:t xml:space="preserve"> de 2007, que </w:t>
            </w:r>
            <w:r w:rsidR="00F40309" w:rsidRPr="004768D0">
              <w:rPr>
                <w:rFonts w:ascii="Cambria" w:hAnsi="Cambria"/>
                <w:sz w:val="16"/>
                <w:szCs w:val="16"/>
                <w:lang w:val="es-ES"/>
              </w:rPr>
              <w:t xml:space="preserve">hasta ese momento </w:t>
            </w:r>
            <w:r w:rsidR="00204009" w:rsidRPr="004768D0">
              <w:rPr>
                <w:rFonts w:ascii="Cambria" w:hAnsi="Cambria"/>
                <w:sz w:val="16"/>
                <w:szCs w:val="16"/>
                <w:lang w:val="es-ES"/>
              </w:rPr>
              <w:t>no ha</w:t>
            </w:r>
            <w:r w:rsidR="00F40309" w:rsidRPr="004768D0">
              <w:rPr>
                <w:rFonts w:ascii="Cambria" w:hAnsi="Cambria"/>
                <w:sz w:val="16"/>
                <w:szCs w:val="16"/>
                <w:lang w:val="es-ES"/>
              </w:rPr>
              <w:t xml:space="preserve">bía ningún informe de examen del cuerpo del </w:t>
            </w:r>
            <w:r w:rsidR="00204009" w:rsidRPr="004768D0">
              <w:rPr>
                <w:rFonts w:ascii="Cambria" w:hAnsi="Cambria"/>
                <w:sz w:val="16"/>
                <w:szCs w:val="16"/>
                <w:lang w:val="es-ES"/>
              </w:rPr>
              <w:t xml:space="preserve">delito de </w:t>
            </w:r>
            <w:proofErr w:type="spellStart"/>
            <w:r w:rsidR="00204009" w:rsidRPr="004768D0">
              <w:rPr>
                <w:rFonts w:ascii="Cambria" w:hAnsi="Cambria"/>
                <w:sz w:val="16"/>
                <w:szCs w:val="16"/>
                <w:lang w:val="es-ES"/>
              </w:rPr>
              <w:t>Éwerton</w:t>
            </w:r>
            <w:proofErr w:type="spellEnd"/>
            <w:r w:rsidR="00204009" w:rsidRPr="004768D0">
              <w:rPr>
                <w:rFonts w:ascii="Cambria" w:hAnsi="Cambria"/>
                <w:sz w:val="16"/>
                <w:szCs w:val="16"/>
                <w:lang w:val="es-ES"/>
              </w:rPr>
              <w:t xml:space="preserve">, </w:t>
            </w:r>
            <w:r w:rsidR="00F40309" w:rsidRPr="004768D0">
              <w:rPr>
                <w:rFonts w:ascii="Cambria" w:hAnsi="Cambria"/>
                <w:sz w:val="16"/>
                <w:szCs w:val="16"/>
                <w:lang w:val="es-ES"/>
              </w:rPr>
              <w:t>casi un año después que fuera</w:t>
            </w:r>
            <w:r w:rsidR="00204009" w:rsidRPr="004768D0">
              <w:rPr>
                <w:rFonts w:ascii="Cambria" w:hAnsi="Cambria"/>
                <w:sz w:val="16"/>
                <w:szCs w:val="16"/>
                <w:lang w:val="es-ES"/>
              </w:rPr>
              <w:t xml:space="preserve"> baleado </w:t>
            </w:r>
            <w:r w:rsidR="00F40309" w:rsidRPr="004768D0">
              <w:rPr>
                <w:rFonts w:ascii="Cambria" w:hAnsi="Cambria"/>
                <w:sz w:val="16"/>
                <w:szCs w:val="16"/>
                <w:lang w:val="es-ES"/>
              </w:rPr>
              <w:t>e</w:t>
            </w:r>
            <w:r w:rsidR="00204009" w:rsidRPr="004768D0">
              <w:rPr>
                <w:rFonts w:ascii="Cambria" w:hAnsi="Cambria"/>
                <w:sz w:val="16"/>
                <w:szCs w:val="16"/>
                <w:lang w:val="es-ES"/>
              </w:rPr>
              <w:t>n</w:t>
            </w:r>
            <w:r w:rsidR="00F40309" w:rsidRPr="004768D0">
              <w:rPr>
                <w:rFonts w:ascii="Cambria" w:hAnsi="Cambria"/>
                <w:sz w:val="16"/>
                <w:szCs w:val="16"/>
                <w:lang w:val="es-ES"/>
              </w:rPr>
              <w:t xml:space="preserve"> </w:t>
            </w:r>
            <w:r w:rsidR="00204009" w:rsidRPr="004768D0">
              <w:rPr>
                <w:rFonts w:ascii="Cambria" w:hAnsi="Cambria"/>
                <w:sz w:val="16"/>
                <w:szCs w:val="16"/>
                <w:lang w:val="es-ES"/>
              </w:rPr>
              <w:t>u</w:t>
            </w:r>
            <w:r w:rsidR="00F40309" w:rsidRPr="004768D0">
              <w:rPr>
                <w:rFonts w:ascii="Cambria" w:hAnsi="Cambria"/>
                <w:sz w:val="16"/>
                <w:szCs w:val="16"/>
                <w:lang w:val="es-ES"/>
              </w:rPr>
              <w:t>n</w:t>
            </w:r>
            <w:r w:rsidR="00204009" w:rsidRPr="004768D0">
              <w:rPr>
                <w:rFonts w:ascii="Cambria" w:hAnsi="Cambria"/>
                <w:sz w:val="16"/>
                <w:szCs w:val="16"/>
                <w:lang w:val="es-ES"/>
              </w:rPr>
              <w:t xml:space="preserve"> </w:t>
            </w:r>
            <w:r w:rsidR="00F40309" w:rsidRPr="004768D0">
              <w:rPr>
                <w:rFonts w:ascii="Cambria" w:hAnsi="Cambria"/>
                <w:sz w:val="16"/>
                <w:szCs w:val="16"/>
                <w:lang w:val="es-ES"/>
              </w:rPr>
              <w:t>in</w:t>
            </w:r>
            <w:r w:rsidR="00204009" w:rsidRPr="004768D0">
              <w:rPr>
                <w:rFonts w:ascii="Cambria" w:hAnsi="Cambria"/>
                <w:sz w:val="16"/>
                <w:szCs w:val="16"/>
                <w:lang w:val="es-ES"/>
              </w:rPr>
              <w:t>tent</w:t>
            </w:r>
            <w:r w:rsidR="00F40309" w:rsidRPr="004768D0">
              <w:rPr>
                <w:rFonts w:ascii="Cambria" w:hAnsi="Cambria"/>
                <w:sz w:val="16"/>
                <w:szCs w:val="16"/>
                <w:lang w:val="es-ES"/>
              </w:rPr>
              <w:t>o de homicidio</w:t>
            </w:r>
            <w:r w:rsidR="00204009" w:rsidRPr="004768D0">
              <w:rPr>
                <w:rFonts w:ascii="Cambria" w:hAnsi="Cambria"/>
                <w:sz w:val="16"/>
                <w:szCs w:val="16"/>
                <w:lang w:val="es-ES"/>
              </w:rPr>
              <w:t xml:space="preserve">. </w:t>
            </w:r>
            <w:r w:rsidR="00F40309" w:rsidRPr="004768D0">
              <w:rPr>
                <w:rFonts w:ascii="Cambria" w:hAnsi="Cambria"/>
                <w:sz w:val="16"/>
                <w:szCs w:val="16"/>
                <w:lang w:val="es-ES"/>
              </w:rPr>
              <w:t>La</w:t>
            </w:r>
            <w:r w:rsidR="00204009" w:rsidRPr="004768D0">
              <w:rPr>
                <w:rFonts w:ascii="Cambria" w:hAnsi="Cambria"/>
                <w:sz w:val="16"/>
                <w:szCs w:val="16"/>
                <w:lang w:val="es-ES"/>
              </w:rPr>
              <w:t xml:space="preserve"> </w:t>
            </w:r>
            <w:r w:rsidR="00E04ED3" w:rsidRPr="004768D0">
              <w:rPr>
                <w:rFonts w:ascii="Cambria" w:hAnsi="Cambria"/>
                <w:sz w:val="16"/>
                <w:szCs w:val="16"/>
                <w:lang w:val="es-ES"/>
              </w:rPr>
              <w:t>escena del delito</w:t>
            </w:r>
            <w:r w:rsidR="00204009" w:rsidRPr="004768D0">
              <w:rPr>
                <w:rFonts w:ascii="Cambria" w:hAnsi="Cambria"/>
                <w:sz w:val="16"/>
                <w:szCs w:val="16"/>
                <w:lang w:val="es-ES"/>
              </w:rPr>
              <w:t xml:space="preserve"> </w:t>
            </w:r>
            <w:r w:rsidR="000D0997" w:rsidRPr="004768D0">
              <w:rPr>
                <w:rFonts w:ascii="Cambria" w:hAnsi="Cambria"/>
                <w:sz w:val="16"/>
                <w:szCs w:val="16"/>
                <w:lang w:val="es-ES"/>
              </w:rPr>
              <w:t>tampoco</w:t>
            </w:r>
            <w:r w:rsidR="00204009" w:rsidRPr="004768D0">
              <w:rPr>
                <w:rFonts w:ascii="Cambria" w:hAnsi="Cambria"/>
                <w:sz w:val="16"/>
                <w:szCs w:val="16"/>
                <w:lang w:val="es-ES"/>
              </w:rPr>
              <w:t xml:space="preserve"> f</w:t>
            </w:r>
            <w:r w:rsidR="00F40309" w:rsidRPr="004768D0">
              <w:rPr>
                <w:rFonts w:ascii="Cambria" w:hAnsi="Cambria"/>
                <w:sz w:val="16"/>
                <w:szCs w:val="16"/>
                <w:lang w:val="es-ES"/>
              </w:rPr>
              <w:t>ue sometida debidamente a un peritaje</w:t>
            </w:r>
            <w:r w:rsidR="00204009" w:rsidRPr="004768D0">
              <w:rPr>
                <w:rFonts w:ascii="Cambria" w:hAnsi="Cambria"/>
                <w:sz w:val="16"/>
                <w:szCs w:val="16"/>
                <w:lang w:val="es-ES"/>
              </w:rPr>
              <w:t>.</w:t>
            </w:r>
          </w:p>
          <w:p w14:paraId="1AB10398" w14:textId="77777777" w:rsidR="00204009" w:rsidRPr="004768D0" w:rsidRDefault="00F3067C" w:rsidP="00204009">
            <w:pPr>
              <w:spacing w:before="120" w:after="120"/>
              <w:jc w:val="both"/>
              <w:rPr>
                <w:rFonts w:ascii="Cambria" w:hAnsi="Cambria"/>
                <w:sz w:val="16"/>
                <w:szCs w:val="16"/>
                <w:lang w:val="es-ES"/>
              </w:rPr>
            </w:pPr>
            <w:r w:rsidRPr="004768D0">
              <w:rPr>
                <w:rFonts w:ascii="Cambria" w:hAnsi="Cambria"/>
                <w:sz w:val="16"/>
                <w:szCs w:val="16"/>
                <w:lang w:val="es-ES"/>
              </w:rPr>
              <w:t xml:space="preserve">Los investigadores policiales </w:t>
            </w:r>
            <w:r w:rsidR="000D0997" w:rsidRPr="004768D0">
              <w:rPr>
                <w:rFonts w:ascii="Cambria" w:hAnsi="Cambria"/>
                <w:sz w:val="16"/>
                <w:szCs w:val="16"/>
                <w:lang w:val="es-ES"/>
              </w:rPr>
              <w:t>tampoco</w:t>
            </w:r>
            <w:r w:rsidR="00204009" w:rsidRPr="004768D0">
              <w:rPr>
                <w:rFonts w:ascii="Cambria" w:hAnsi="Cambria"/>
                <w:sz w:val="16"/>
                <w:szCs w:val="16"/>
                <w:lang w:val="es-ES"/>
              </w:rPr>
              <w:t xml:space="preserve"> </w:t>
            </w:r>
            <w:r w:rsidRPr="004768D0">
              <w:rPr>
                <w:rFonts w:ascii="Cambria" w:hAnsi="Cambria"/>
                <w:sz w:val="16"/>
                <w:szCs w:val="16"/>
                <w:lang w:val="es-ES"/>
              </w:rPr>
              <w:t>efectuaron o</w:t>
            </w:r>
            <w:r w:rsidR="00204009" w:rsidRPr="004768D0">
              <w:rPr>
                <w:rFonts w:ascii="Cambria" w:hAnsi="Cambria"/>
                <w:sz w:val="16"/>
                <w:szCs w:val="16"/>
                <w:lang w:val="es-ES"/>
              </w:rPr>
              <w:t xml:space="preserve">tras </w:t>
            </w:r>
            <w:r w:rsidRPr="004768D0">
              <w:rPr>
                <w:rFonts w:ascii="Cambria" w:hAnsi="Cambria"/>
                <w:sz w:val="16"/>
                <w:szCs w:val="16"/>
                <w:lang w:val="es-ES"/>
              </w:rPr>
              <w:t>diligencias</w:t>
            </w:r>
            <w:r w:rsidR="00204009" w:rsidRPr="004768D0">
              <w:rPr>
                <w:rFonts w:ascii="Cambria" w:hAnsi="Cambria"/>
                <w:sz w:val="16"/>
                <w:szCs w:val="16"/>
                <w:lang w:val="es-ES"/>
              </w:rPr>
              <w:t xml:space="preserve"> </w:t>
            </w:r>
            <w:r w:rsidRPr="004768D0">
              <w:rPr>
                <w:rFonts w:ascii="Cambria" w:hAnsi="Cambria"/>
                <w:sz w:val="16"/>
                <w:szCs w:val="16"/>
                <w:lang w:val="es-ES"/>
              </w:rPr>
              <w:t>habituales</w:t>
            </w:r>
            <w:r w:rsidR="00204009" w:rsidRPr="004768D0">
              <w:rPr>
                <w:rFonts w:ascii="Cambria" w:hAnsi="Cambria"/>
                <w:sz w:val="16"/>
                <w:szCs w:val="16"/>
                <w:lang w:val="es-ES"/>
              </w:rPr>
              <w:t>, como in</w:t>
            </w:r>
            <w:r w:rsidR="00CE212A">
              <w:rPr>
                <w:rFonts w:ascii="Cambria" w:hAnsi="Cambria"/>
                <w:sz w:val="16"/>
                <w:szCs w:val="16"/>
                <w:lang w:val="es-ES"/>
              </w:rPr>
              <w:t>dagar acerca d</w:t>
            </w:r>
            <w:r w:rsidRPr="004768D0">
              <w:rPr>
                <w:rFonts w:ascii="Cambria" w:hAnsi="Cambria"/>
                <w:sz w:val="16"/>
                <w:szCs w:val="16"/>
                <w:lang w:val="es-ES"/>
              </w:rPr>
              <w:t xml:space="preserve">el color y el posible </w:t>
            </w:r>
            <w:r w:rsidR="00204009" w:rsidRPr="004768D0">
              <w:rPr>
                <w:rFonts w:ascii="Cambria" w:hAnsi="Cambria"/>
                <w:sz w:val="16"/>
                <w:szCs w:val="16"/>
                <w:lang w:val="es-ES"/>
              </w:rPr>
              <w:t>modelo d</w:t>
            </w:r>
            <w:r w:rsidRPr="004768D0">
              <w:rPr>
                <w:rFonts w:ascii="Cambria" w:hAnsi="Cambria"/>
                <w:sz w:val="16"/>
                <w:szCs w:val="16"/>
                <w:lang w:val="es-ES"/>
              </w:rPr>
              <w:t>e l</w:t>
            </w:r>
            <w:r w:rsidR="00204009" w:rsidRPr="004768D0">
              <w:rPr>
                <w:rFonts w:ascii="Cambria" w:hAnsi="Cambria"/>
                <w:sz w:val="16"/>
                <w:szCs w:val="16"/>
                <w:lang w:val="es-ES"/>
              </w:rPr>
              <w:t>a moto (</w:t>
            </w:r>
            <w:r w:rsidRPr="004768D0">
              <w:rPr>
                <w:rFonts w:ascii="Cambria" w:hAnsi="Cambria"/>
                <w:sz w:val="16"/>
                <w:szCs w:val="16"/>
                <w:lang w:val="es-ES"/>
              </w:rPr>
              <w:t xml:space="preserve">era necesario investigar las sospechas de involucramiento de </w:t>
            </w:r>
            <w:r w:rsidR="00E04ED3" w:rsidRPr="004768D0">
              <w:rPr>
                <w:rFonts w:ascii="Cambria" w:hAnsi="Cambria"/>
                <w:sz w:val="16"/>
                <w:szCs w:val="16"/>
                <w:lang w:val="es-ES"/>
              </w:rPr>
              <w:t>policías militares</w:t>
            </w:r>
            <w:r w:rsidRPr="004768D0">
              <w:rPr>
                <w:rFonts w:ascii="Cambria" w:hAnsi="Cambria"/>
                <w:sz w:val="16"/>
                <w:szCs w:val="16"/>
                <w:lang w:val="es-ES"/>
              </w:rPr>
              <w:t xml:space="preserve">, y esa podría haber sido una de las </w:t>
            </w:r>
            <w:r w:rsidR="00204009" w:rsidRPr="004768D0">
              <w:rPr>
                <w:rFonts w:ascii="Cambria" w:hAnsi="Cambria"/>
                <w:sz w:val="16"/>
                <w:szCs w:val="16"/>
                <w:lang w:val="es-ES"/>
              </w:rPr>
              <w:t xml:space="preserve">formas, </w:t>
            </w:r>
            <w:r w:rsidRPr="004768D0">
              <w:rPr>
                <w:rFonts w:ascii="Cambria" w:hAnsi="Cambria"/>
                <w:sz w:val="16"/>
                <w:szCs w:val="16"/>
                <w:lang w:val="es-ES"/>
              </w:rPr>
              <w:t>es decir, averiguar si alguno de los policías tenía</w:t>
            </w:r>
            <w:r w:rsidR="00CE212A">
              <w:rPr>
                <w:rFonts w:ascii="Cambria" w:hAnsi="Cambria"/>
                <w:sz w:val="16"/>
                <w:szCs w:val="16"/>
                <w:lang w:val="es-ES"/>
              </w:rPr>
              <w:t xml:space="preserve"> una</w:t>
            </w:r>
            <w:r w:rsidRPr="004768D0">
              <w:rPr>
                <w:rFonts w:ascii="Cambria" w:hAnsi="Cambria"/>
                <w:sz w:val="16"/>
                <w:szCs w:val="16"/>
                <w:lang w:val="es-ES"/>
              </w:rPr>
              <w:t xml:space="preserve"> </w:t>
            </w:r>
            <w:r w:rsidR="00204009" w:rsidRPr="004768D0">
              <w:rPr>
                <w:rFonts w:ascii="Cambria" w:hAnsi="Cambria"/>
                <w:sz w:val="16"/>
                <w:szCs w:val="16"/>
                <w:lang w:val="es-ES"/>
              </w:rPr>
              <w:t>moto co</w:t>
            </w:r>
            <w:r w:rsidRPr="004768D0">
              <w:rPr>
                <w:rFonts w:ascii="Cambria" w:hAnsi="Cambria"/>
                <w:sz w:val="16"/>
                <w:szCs w:val="16"/>
                <w:lang w:val="es-ES"/>
              </w:rPr>
              <w:t xml:space="preserve">n </w:t>
            </w:r>
            <w:r w:rsidR="00CE212A">
              <w:rPr>
                <w:rFonts w:ascii="Cambria" w:hAnsi="Cambria"/>
                <w:sz w:val="16"/>
                <w:szCs w:val="16"/>
                <w:lang w:val="es-ES"/>
              </w:rPr>
              <w:t>l</w:t>
            </w:r>
            <w:r w:rsidRPr="004768D0">
              <w:rPr>
                <w:rFonts w:ascii="Cambria" w:hAnsi="Cambria"/>
                <w:sz w:val="16"/>
                <w:szCs w:val="16"/>
                <w:lang w:val="es-ES"/>
              </w:rPr>
              <w:t>a misma descripción, entre otras in</w:t>
            </w:r>
            <w:r w:rsidR="00CE212A">
              <w:rPr>
                <w:rFonts w:ascii="Cambria" w:hAnsi="Cambria"/>
                <w:sz w:val="16"/>
                <w:szCs w:val="16"/>
                <w:lang w:val="es-ES"/>
              </w:rPr>
              <w:t>dagaciones</w:t>
            </w:r>
            <w:r w:rsidRPr="004768D0">
              <w:rPr>
                <w:rFonts w:ascii="Cambria" w:hAnsi="Cambria"/>
                <w:sz w:val="16"/>
                <w:szCs w:val="16"/>
                <w:lang w:val="es-ES"/>
              </w:rPr>
              <w:t xml:space="preserve"> que no se hicieron).</w:t>
            </w:r>
          </w:p>
          <w:p w14:paraId="13E3AE18" w14:textId="77777777" w:rsidR="00257978" w:rsidRPr="004768D0" w:rsidRDefault="00F3067C" w:rsidP="00F3067C">
            <w:pPr>
              <w:spacing w:before="120" w:after="120"/>
              <w:jc w:val="both"/>
              <w:rPr>
                <w:rFonts w:ascii="Cambria" w:hAnsi="Cambria"/>
                <w:sz w:val="16"/>
                <w:szCs w:val="16"/>
                <w:lang w:val="es-ES"/>
              </w:rPr>
            </w:pPr>
            <w:r w:rsidRPr="004768D0">
              <w:rPr>
                <w:rFonts w:ascii="Cambria" w:hAnsi="Cambria"/>
                <w:sz w:val="16"/>
                <w:szCs w:val="16"/>
                <w:lang w:val="es-ES"/>
              </w:rPr>
              <w:t>La</w:t>
            </w:r>
            <w:r w:rsidR="00204009" w:rsidRPr="004768D0">
              <w:rPr>
                <w:rFonts w:ascii="Cambria" w:hAnsi="Cambria"/>
                <w:sz w:val="16"/>
                <w:szCs w:val="16"/>
                <w:lang w:val="es-ES"/>
              </w:rPr>
              <w:t xml:space="preserve"> </w:t>
            </w:r>
            <w:r w:rsidR="00C03E33" w:rsidRPr="004768D0">
              <w:rPr>
                <w:rFonts w:ascii="Cambria" w:hAnsi="Cambria"/>
                <w:sz w:val="16"/>
                <w:szCs w:val="16"/>
                <w:lang w:val="es-ES"/>
              </w:rPr>
              <w:t>investigación</w:t>
            </w:r>
            <w:r w:rsidR="00204009" w:rsidRPr="004768D0">
              <w:rPr>
                <w:rFonts w:ascii="Cambria" w:hAnsi="Cambria"/>
                <w:sz w:val="16"/>
                <w:szCs w:val="16"/>
                <w:lang w:val="es-ES"/>
              </w:rPr>
              <w:t xml:space="preserve"> policial f</w:t>
            </w:r>
            <w:r w:rsidRPr="004768D0">
              <w:rPr>
                <w:rFonts w:ascii="Cambria" w:hAnsi="Cambria"/>
                <w:sz w:val="16"/>
                <w:szCs w:val="16"/>
                <w:lang w:val="es-ES"/>
              </w:rPr>
              <w:t xml:space="preserve">ue archivada el </w:t>
            </w:r>
            <w:r w:rsidR="00204009" w:rsidRPr="004768D0">
              <w:rPr>
                <w:rFonts w:ascii="Cambria" w:hAnsi="Cambria"/>
                <w:sz w:val="16"/>
                <w:szCs w:val="16"/>
                <w:lang w:val="es-ES"/>
              </w:rPr>
              <w:t xml:space="preserve">4 de </w:t>
            </w:r>
            <w:r w:rsidR="007F4608" w:rsidRPr="004768D0">
              <w:rPr>
                <w:rFonts w:ascii="Cambria" w:hAnsi="Cambria"/>
                <w:sz w:val="16"/>
                <w:szCs w:val="16"/>
                <w:lang w:val="es-ES"/>
              </w:rPr>
              <w:t>mayo</w:t>
            </w:r>
            <w:r w:rsidR="00204009" w:rsidRPr="004768D0">
              <w:rPr>
                <w:rFonts w:ascii="Cambria" w:hAnsi="Cambria"/>
                <w:sz w:val="16"/>
                <w:szCs w:val="16"/>
                <w:lang w:val="es-ES"/>
              </w:rPr>
              <w:t xml:space="preserve"> de 2007 </w:t>
            </w:r>
            <w:r w:rsidRPr="004768D0">
              <w:rPr>
                <w:rFonts w:ascii="Cambria" w:hAnsi="Cambria"/>
                <w:sz w:val="16"/>
                <w:szCs w:val="16"/>
                <w:lang w:val="es-ES"/>
              </w:rPr>
              <w:t>y el delito no fue resuelto</w:t>
            </w:r>
            <w:r w:rsidR="00204009" w:rsidRPr="004768D0">
              <w:rPr>
                <w:rFonts w:ascii="Cambria" w:hAnsi="Cambria"/>
                <w:sz w:val="16"/>
                <w:szCs w:val="16"/>
                <w:lang w:val="es-ES"/>
              </w:rPr>
              <w:t xml:space="preserve">. </w:t>
            </w:r>
          </w:p>
        </w:tc>
      </w:tr>
      <w:tr w:rsidR="00C25420" w:rsidRPr="008D6F96" w14:paraId="5322E0ED" w14:textId="77777777" w:rsidTr="003C5EF0">
        <w:tc>
          <w:tcPr>
            <w:tcW w:w="9350" w:type="dxa"/>
            <w:shd w:val="clear" w:color="auto" w:fill="000000" w:themeFill="text1"/>
          </w:tcPr>
          <w:p w14:paraId="661F2031" w14:textId="77777777" w:rsidR="00C25420" w:rsidRPr="004768D0" w:rsidRDefault="00372008" w:rsidP="003720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es-ES"/>
              </w:rPr>
            </w:pPr>
            <w:proofErr w:type="spellStart"/>
            <w:r w:rsidRPr="004768D0">
              <w:rPr>
                <w:rFonts w:asciiTheme="majorHAnsi" w:hAnsiTheme="majorHAnsi"/>
                <w:b/>
                <w:bCs/>
                <w:color w:val="FFFFFF" w:themeColor="background1"/>
                <w:sz w:val="16"/>
                <w:szCs w:val="16"/>
                <w:lang w:val="es-ES"/>
              </w:rPr>
              <w:lastRenderedPageBreak/>
              <w:t>Muete</w:t>
            </w:r>
            <w:proofErr w:type="spellEnd"/>
            <w:r w:rsidRPr="004768D0">
              <w:rPr>
                <w:rFonts w:asciiTheme="majorHAnsi" w:hAnsiTheme="majorHAnsi"/>
                <w:b/>
                <w:bCs/>
                <w:color w:val="FFFFFF" w:themeColor="background1"/>
                <w:sz w:val="16"/>
                <w:szCs w:val="16"/>
                <w:lang w:val="es-ES"/>
              </w:rPr>
              <w:t xml:space="preserve"> de</w:t>
            </w:r>
            <w:r w:rsidR="00204009" w:rsidRPr="004768D0">
              <w:rPr>
                <w:rFonts w:asciiTheme="majorHAnsi" w:hAnsiTheme="majorHAnsi"/>
                <w:b/>
                <w:bCs/>
                <w:color w:val="FFFFFF" w:themeColor="background1"/>
                <w:sz w:val="16"/>
                <w:szCs w:val="16"/>
                <w:lang w:val="es-ES"/>
              </w:rPr>
              <w:t xml:space="preserve"> Ana Paula Gonzaga dos Santos </w:t>
            </w:r>
            <w:r w:rsidR="00F3067C" w:rsidRPr="004768D0">
              <w:rPr>
                <w:rFonts w:asciiTheme="majorHAnsi" w:hAnsiTheme="majorHAnsi"/>
                <w:b/>
                <w:bCs/>
                <w:color w:val="FFFFFF" w:themeColor="background1"/>
                <w:sz w:val="16"/>
                <w:szCs w:val="16"/>
                <w:lang w:val="es-ES"/>
              </w:rPr>
              <w:t>y</w:t>
            </w:r>
            <w:r w:rsidR="00204009" w:rsidRPr="004768D0">
              <w:rPr>
                <w:rFonts w:asciiTheme="majorHAnsi" w:hAnsiTheme="majorHAnsi"/>
                <w:b/>
                <w:bCs/>
                <w:color w:val="FFFFFF" w:themeColor="background1"/>
                <w:sz w:val="16"/>
                <w:szCs w:val="16"/>
                <w:lang w:val="es-ES"/>
              </w:rPr>
              <w:t xml:space="preserve"> Eddie Joey Oliveira</w:t>
            </w:r>
            <w:r w:rsidRPr="004768D0">
              <w:rPr>
                <w:rFonts w:asciiTheme="majorHAnsi" w:hAnsiTheme="majorHAnsi"/>
                <w:b/>
                <w:bCs/>
                <w:color w:val="FFFFFF" w:themeColor="background1"/>
                <w:sz w:val="16"/>
                <w:szCs w:val="16"/>
                <w:lang w:val="es-ES"/>
              </w:rPr>
              <w:t>, acaecida el</w:t>
            </w:r>
            <w:r w:rsidR="00204009" w:rsidRPr="004768D0">
              <w:rPr>
                <w:rFonts w:asciiTheme="majorHAnsi" w:hAnsiTheme="majorHAnsi"/>
                <w:b/>
                <w:bCs/>
                <w:color w:val="FFFFFF" w:themeColor="background1"/>
                <w:sz w:val="16"/>
                <w:szCs w:val="16"/>
                <w:lang w:val="es-ES"/>
              </w:rPr>
              <w:t xml:space="preserve"> 15 de </w:t>
            </w:r>
            <w:r w:rsidR="007F4608" w:rsidRPr="004768D0">
              <w:rPr>
                <w:rFonts w:asciiTheme="majorHAnsi" w:hAnsiTheme="majorHAnsi"/>
                <w:b/>
                <w:bCs/>
                <w:color w:val="FFFFFF" w:themeColor="background1"/>
                <w:sz w:val="16"/>
                <w:szCs w:val="16"/>
                <w:lang w:val="es-ES"/>
              </w:rPr>
              <w:t>mayo</w:t>
            </w:r>
            <w:r w:rsidR="00204009" w:rsidRPr="004768D0">
              <w:rPr>
                <w:rFonts w:asciiTheme="majorHAnsi" w:hAnsiTheme="majorHAnsi"/>
                <w:b/>
                <w:bCs/>
                <w:color w:val="FFFFFF" w:themeColor="background1"/>
                <w:sz w:val="16"/>
                <w:szCs w:val="16"/>
                <w:lang w:val="es-ES"/>
              </w:rPr>
              <w:t xml:space="preserve"> de 2006</w:t>
            </w:r>
          </w:p>
        </w:tc>
      </w:tr>
      <w:tr w:rsidR="00C25420" w:rsidRPr="008D6F96" w14:paraId="4E699C56" w14:textId="77777777" w:rsidTr="00257978">
        <w:tc>
          <w:tcPr>
            <w:tcW w:w="9350" w:type="dxa"/>
          </w:tcPr>
          <w:p w14:paraId="7C1BB7DD" w14:textId="77777777" w:rsidR="00C25420" w:rsidRPr="004768D0" w:rsidRDefault="006B5A25" w:rsidP="00602EC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Ana Paula </w:t>
            </w:r>
            <w:r w:rsidR="00F3067C"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Eddie, que </w:t>
            </w:r>
            <w:r w:rsidR="00F3067C" w:rsidRPr="004768D0">
              <w:rPr>
                <w:rFonts w:asciiTheme="majorHAnsi" w:hAnsiTheme="majorHAnsi"/>
                <w:color w:val="000000" w:themeColor="text1"/>
                <w:sz w:val="16"/>
                <w:szCs w:val="16"/>
                <w:lang w:val="es-ES"/>
              </w:rPr>
              <w:t>vivían</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en</w:t>
            </w:r>
            <w:r w:rsidRPr="004768D0">
              <w:rPr>
                <w:rFonts w:asciiTheme="majorHAnsi" w:hAnsiTheme="majorHAnsi"/>
                <w:color w:val="000000" w:themeColor="text1"/>
                <w:sz w:val="16"/>
                <w:szCs w:val="16"/>
                <w:lang w:val="es-ES"/>
              </w:rPr>
              <w:t xml:space="preserve"> uni</w:t>
            </w:r>
            <w:r w:rsidR="00F3067C" w:rsidRPr="004768D0">
              <w:rPr>
                <w:rFonts w:asciiTheme="majorHAnsi" w:hAnsiTheme="majorHAnsi"/>
                <w:color w:val="000000" w:themeColor="text1"/>
                <w:sz w:val="16"/>
                <w:szCs w:val="16"/>
                <w:lang w:val="es-ES"/>
              </w:rPr>
              <w:t>ón estable, estaban</w:t>
            </w:r>
            <w:r w:rsidRPr="004768D0">
              <w:rPr>
                <w:rFonts w:asciiTheme="majorHAnsi" w:hAnsiTheme="majorHAnsi"/>
                <w:color w:val="000000" w:themeColor="text1"/>
                <w:sz w:val="16"/>
                <w:szCs w:val="16"/>
                <w:lang w:val="es-ES"/>
              </w:rPr>
              <w:t xml:space="preserve"> conversando </w:t>
            </w:r>
            <w:r w:rsidR="00F3067C" w:rsidRPr="004768D0">
              <w:rPr>
                <w:rFonts w:asciiTheme="majorHAnsi" w:hAnsiTheme="majorHAnsi"/>
                <w:color w:val="000000" w:themeColor="text1"/>
                <w:sz w:val="16"/>
                <w:szCs w:val="16"/>
                <w:lang w:val="es-ES"/>
              </w:rPr>
              <w:t xml:space="preserve">a las </w:t>
            </w:r>
            <w:r w:rsidRPr="004768D0">
              <w:rPr>
                <w:rFonts w:asciiTheme="majorHAnsi" w:hAnsiTheme="majorHAnsi"/>
                <w:color w:val="000000" w:themeColor="text1"/>
                <w:sz w:val="16"/>
                <w:szCs w:val="16"/>
                <w:lang w:val="es-ES"/>
              </w:rPr>
              <w:t>23</w:t>
            </w:r>
            <w:r w:rsidR="00F3067C" w:rsidRPr="004768D0">
              <w:rPr>
                <w:rFonts w:asciiTheme="majorHAnsi" w:hAnsiTheme="majorHAnsi"/>
                <w:color w:val="000000" w:themeColor="text1"/>
                <w:sz w:val="16"/>
                <w:szCs w:val="16"/>
                <w:lang w:val="es-ES"/>
              </w:rPr>
              <w:t xml:space="preserve">:00 horas, aproximadamente, en la </w:t>
            </w:r>
            <w:r w:rsidRPr="004768D0">
              <w:rPr>
                <w:rFonts w:asciiTheme="majorHAnsi" w:hAnsiTheme="majorHAnsi"/>
                <w:color w:val="000000" w:themeColor="text1"/>
                <w:sz w:val="16"/>
                <w:szCs w:val="16"/>
                <w:lang w:val="es-ES"/>
              </w:rPr>
              <w:t>esquina d</w:t>
            </w:r>
            <w:r w:rsidR="00F3067C" w:rsidRPr="004768D0">
              <w:rPr>
                <w:rFonts w:asciiTheme="majorHAnsi" w:hAnsiTheme="majorHAnsi"/>
                <w:color w:val="000000" w:themeColor="text1"/>
                <w:sz w:val="16"/>
                <w:szCs w:val="16"/>
                <w:lang w:val="es-ES"/>
              </w:rPr>
              <w:t>e l</w:t>
            </w:r>
            <w:r w:rsidRPr="004768D0">
              <w:rPr>
                <w:rFonts w:asciiTheme="majorHAnsi" w:hAnsiTheme="majorHAnsi"/>
                <w:color w:val="000000" w:themeColor="text1"/>
                <w:sz w:val="16"/>
                <w:szCs w:val="16"/>
                <w:lang w:val="es-ES"/>
              </w:rPr>
              <w:t xml:space="preserve">as </w:t>
            </w:r>
            <w:r w:rsidR="00F3067C" w:rsidRPr="004768D0">
              <w:rPr>
                <w:rFonts w:asciiTheme="majorHAnsi" w:hAnsiTheme="majorHAnsi"/>
                <w:color w:val="000000" w:themeColor="text1"/>
                <w:sz w:val="16"/>
                <w:szCs w:val="16"/>
                <w:lang w:val="es-ES"/>
              </w:rPr>
              <w:t xml:space="preserve">calles </w:t>
            </w:r>
            <w:r w:rsidRPr="004768D0">
              <w:rPr>
                <w:rFonts w:asciiTheme="majorHAnsi" w:hAnsiTheme="majorHAnsi"/>
                <w:color w:val="000000" w:themeColor="text1"/>
                <w:sz w:val="16"/>
                <w:szCs w:val="16"/>
                <w:lang w:val="es-ES"/>
              </w:rPr>
              <w:t xml:space="preserve">Campos </w:t>
            </w:r>
            <w:proofErr w:type="spellStart"/>
            <w:r w:rsidRPr="004768D0">
              <w:rPr>
                <w:rFonts w:asciiTheme="majorHAnsi" w:hAnsiTheme="majorHAnsi"/>
                <w:color w:val="000000" w:themeColor="text1"/>
                <w:sz w:val="16"/>
                <w:szCs w:val="16"/>
                <w:lang w:val="es-ES"/>
              </w:rPr>
              <w:t>Salles</w:t>
            </w:r>
            <w:proofErr w:type="spellEnd"/>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w:t>
            </w:r>
            <w:proofErr w:type="spellStart"/>
            <w:r w:rsidRPr="004768D0">
              <w:rPr>
                <w:rFonts w:asciiTheme="majorHAnsi" w:hAnsiTheme="majorHAnsi"/>
                <w:color w:val="000000" w:themeColor="text1"/>
                <w:sz w:val="16"/>
                <w:szCs w:val="16"/>
                <w:lang w:val="es-ES"/>
              </w:rPr>
              <w:t>Braz</w:t>
            </w:r>
            <w:proofErr w:type="spellEnd"/>
            <w:r w:rsidRPr="004768D0">
              <w:rPr>
                <w:rFonts w:asciiTheme="majorHAnsi" w:hAnsiTheme="majorHAnsi"/>
                <w:color w:val="000000" w:themeColor="text1"/>
                <w:sz w:val="16"/>
                <w:szCs w:val="16"/>
                <w:lang w:val="es-ES"/>
              </w:rPr>
              <w:t xml:space="preserve"> Cubas, </w:t>
            </w:r>
            <w:r w:rsidR="00F3067C" w:rsidRPr="004768D0">
              <w:rPr>
                <w:rFonts w:asciiTheme="majorHAnsi" w:hAnsiTheme="majorHAnsi"/>
                <w:color w:val="000000" w:themeColor="text1"/>
                <w:sz w:val="16"/>
                <w:szCs w:val="16"/>
                <w:lang w:val="es-ES"/>
              </w:rPr>
              <w:t xml:space="preserve">en </w:t>
            </w:r>
            <w:r w:rsidRPr="004768D0">
              <w:rPr>
                <w:rFonts w:asciiTheme="majorHAnsi" w:hAnsiTheme="majorHAnsi"/>
                <w:color w:val="000000" w:themeColor="text1"/>
                <w:sz w:val="16"/>
                <w:szCs w:val="16"/>
                <w:lang w:val="es-ES"/>
              </w:rPr>
              <w:t xml:space="preserve">Vilas </w:t>
            </w:r>
            <w:proofErr w:type="spellStart"/>
            <w:r w:rsidRPr="004768D0">
              <w:rPr>
                <w:rFonts w:asciiTheme="majorHAnsi" w:hAnsiTheme="majorHAnsi"/>
                <w:color w:val="000000" w:themeColor="text1"/>
                <w:sz w:val="16"/>
                <w:szCs w:val="16"/>
                <w:lang w:val="es-ES"/>
              </w:rPr>
              <w:t>Mathias</w:t>
            </w:r>
            <w:proofErr w:type="spellEnd"/>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 xml:space="preserve">cerca del </w:t>
            </w:r>
            <w:r w:rsidRPr="004768D0">
              <w:rPr>
                <w:rFonts w:asciiTheme="majorHAnsi" w:hAnsiTheme="majorHAnsi"/>
                <w:color w:val="000000" w:themeColor="text1"/>
                <w:sz w:val="16"/>
                <w:szCs w:val="16"/>
                <w:lang w:val="es-ES"/>
              </w:rPr>
              <w:t xml:space="preserve">centro de Santos, </w:t>
            </w:r>
            <w:r w:rsidR="00F3067C" w:rsidRPr="004768D0">
              <w:rPr>
                <w:rFonts w:asciiTheme="majorHAnsi" w:hAnsiTheme="majorHAnsi"/>
                <w:color w:val="000000" w:themeColor="text1"/>
                <w:sz w:val="16"/>
                <w:szCs w:val="16"/>
                <w:lang w:val="es-ES"/>
              </w:rPr>
              <w:t>cuando</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llegó un automóvil o</w:t>
            </w:r>
            <w:r w:rsidRPr="004768D0">
              <w:rPr>
                <w:rFonts w:asciiTheme="majorHAnsi" w:hAnsiTheme="majorHAnsi"/>
                <w:color w:val="000000" w:themeColor="text1"/>
                <w:sz w:val="16"/>
                <w:szCs w:val="16"/>
                <w:lang w:val="es-ES"/>
              </w:rPr>
              <w:t>scuro (verde</w:t>
            </w:r>
            <w:r w:rsidR="00F3067C" w:rsidRPr="004768D0">
              <w:rPr>
                <w:rFonts w:asciiTheme="majorHAnsi" w:hAnsiTheme="majorHAnsi"/>
                <w:color w:val="000000" w:themeColor="text1"/>
                <w:sz w:val="16"/>
                <w:szCs w:val="16"/>
                <w:lang w:val="es-ES"/>
              </w:rPr>
              <w:t xml:space="preserve"> o</w:t>
            </w:r>
            <w:r w:rsidRPr="004768D0">
              <w:rPr>
                <w:rFonts w:asciiTheme="majorHAnsi" w:hAnsiTheme="majorHAnsi"/>
                <w:color w:val="000000" w:themeColor="text1"/>
                <w:sz w:val="16"/>
                <w:szCs w:val="16"/>
                <w:lang w:val="es-ES"/>
              </w:rPr>
              <w:t xml:space="preserve">scuro o </w:t>
            </w:r>
            <w:r w:rsidR="006062C8" w:rsidRPr="004768D0">
              <w:rPr>
                <w:rFonts w:asciiTheme="majorHAnsi" w:hAnsiTheme="majorHAnsi"/>
                <w:color w:val="000000" w:themeColor="text1"/>
                <w:sz w:val="16"/>
                <w:szCs w:val="16"/>
                <w:lang w:val="es-ES"/>
              </w:rPr>
              <w:t>negro</w:t>
            </w:r>
            <w:r w:rsidRPr="004768D0">
              <w:rPr>
                <w:rFonts w:asciiTheme="majorHAnsi" w:hAnsiTheme="majorHAnsi"/>
                <w:color w:val="000000" w:themeColor="text1"/>
                <w:sz w:val="16"/>
                <w:szCs w:val="16"/>
                <w:lang w:val="es-ES"/>
              </w:rPr>
              <w:t>) co</w:t>
            </w:r>
            <w:r w:rsidR="00F3067C"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cuatro</w:t>
            </w:r>
            <w:r w:rsidRPr="004768D0">
              <w:rPr>
                <w:rFonts w:asciiTheme="majorHAnsi" w:hAnsiTheme="majorHAnsi"/>
                <w:color w:val="000000" w:themeColor="text1"/>
                <w:sz w:val="16"/>
                <w:szCs w:val="16"/>
                <w:lang w:val="es-ES"/>
              </w:rPr>
              <w:t xml:space="preserve"> </w:t>
            </w:r>
            <w:r w:rsidR="000C0AC4" w:rsidRPr="004768D0">
              <w:rPr>
                <w:rFonts w:asciiTheme="majorHAnsi" w:hAnsiTheme="majorHAnsi"/>
                <w:color w:val="000000" w:themeColor="text1"/>
                <w:sz w:val="16"/>
                <w:szCs w:val="16"/>
                <w:lang w:val="es-ES"/>
              </w:rPr>
              <w:t>personas</w:t>
            </w:r>
            <w:r w:rsidRPr="004768D0">
              <w:rPr>
                <w:rFonts w:asciiTheme="majorHAnsi" w:hAnsiTheme="majorHAnsi"/>
                <w:color w:val="000000" w:themeColor="text1"/>
                <w:sz w:val="16"/>
                <w:szCs w:val="16"/>
                <w:lang w:val="es-ES"/>
              </w:rPr>
              <w:t xml:space="preserve">, que </w:t>
            </w:r>
            <w:r w:rsidR="00F3067C" w:rsidRPr="004768D0">
              <w:rPr>
                <w:rFonts w:asciiTheme="majorHAnsi" w:hAnsiTheme="majorHAnsi"/>
                <w:color w:val="000000" w:themeColor="text1"/>
                <w:sz w:val="16"/>
                <w:szCs w:val="16"/>
                <w:lang w:val="es-ES"/>
              </w:rPr>
              <w:t xml:space="preserve">comenzaron a dispararles. </w:t>
            </w:r>
            <w:r w:rsidRPr="004768D0">
              <w:rPr>
                <w:rFonts w:asciiTheme="majorHAnsi" w:hAnsiTheme="majorHAnsi"/>
                <w:color w:val="000000" w:themeColor="text1"/>
                <w:sz w:val="16"/>
                <w:szCs w:val="16"/>
                <w:lang w:val="es-ES"/>
              </w:rPr>
              <w:t xml:space="preserve">Ana Paula, que </w:t>
            </w:r>
            <w:r w:rsidR="00F3067C" w:rsidRPr="004768D0">
              <w:rPr>
                <w:rFonts w:asciiTheme="majorHAnsi" w:hAnsiTheme="majorHAnsi"/>
                <w:color w:val="000000" w:themeColor="text1"/>
                <w:sz w:val="16"/>
                <w:szCs w:val="16"/>
                <w:lang w:val="es-ES"/>
              </w:rPr>
              <w:t>estaba</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 xml:space="preserve">embarazada de casi nueve </w:t>
            </w:r>
            <w:r w:rsidRPr="004768D0">
              <w:rPr>
                <w:rFonts w:asciiTheme="majorHAnsi" w:hAnsiTheme="majorHAnsi"/>
                <w:color w:val="000000" w:themeColor="text1"/>
                <w:sz w:val="16"/>
                <w:szCs w:val="16"/>
                <w:lang w:val="es-ES"/>
              </w:rPr>
              <w:t>meses, rec</w:t>
            </w:r>
            <w:r w:rsidR="00F3067C" w:rsidRPr="004768D0">
              <w:rPr>
                <w:rFonts w:asciiTheme="majorHAnsi" w:hAnsiTheme="majorHAnsi"/>
                <w:color w:val="000000" w:themeColor="text1"/>
                <w:sz w:val="16"/>
                <w:szCs w:val="16"/>
                <w:lang w:val="es-ES"/>
              </w:rPr>
              <w:t>i</w:t>
            </w:r>
            <w:r w:rsidRPr="004768D0">
              <w:rPr>
                <w:rFonts w:asciiTheme="majorHAnsi" w:hAnsiTheme="majorHAnsi"/>
                <w:color w:val="000000" w:themeColor="text1"/>
                <w:sz w:val="16"/>
                <w:szCs w:val="16"/>
                <w:lang w:val="es-ES"/>
              </w:rPr>
              <w:t>b</w:t>
            </w:r>
            <w:r w:rsidR="00F3067C" w:rsidRPr="004768D0">
              <w:rPr>
                <w:rFonts w:asciiTheme="majorHAnsi" w:hAnsiTheme="majorHAnsi"/>
                <w:color w:val="000000" w:themeColor="text1"/>
                <w:sz w:val="16"/>
                <w:szCs w:val="16"/>
                <w:lang w:val="es-ES"/>
              </w:rPr>
              <w:t>ió</w:t>
            </w:r>
            <w:r w:rsidRPr="004768D0">
              <w:rPr>
                <w:rFonts w:asciiTheme="majorHAnsi" w:hAnsiTheme="majorHAnsi"/>
                <w:color w:val="000000" w:themeColor="text1"/>
                <w:sz w:val="16"/>
                <w:szCs w:val="16"/>
                <w:lang w:val="es-ES"/>
              </w:rPr>
              <w:t xml:space="preserve"> </w:t>
            </w:r>
            <w:r w:rsidR="001539AC">
              <w:rPr>
                <w:rFonts w:asciiTheme="majorHAnsi" w:hAnsiTheme="majorHAnsi"/>
                <w:color w:val="000000" w:themeColor="text1"/>
                <w:sz w:val="16"/>
                <w:szCs w:val="16"/>
                <w:lang w:val="es-ES"/>
              </w:rPr>
              <w:t>cinco t</w:t>
            </w:r>
            <w:r w:rsidRPr="004768D0">
              <w:rPr>
                <w:rFonts w:asciiTheme="majorHAnsi" w:hAnsiTheme="majorHAnsi"/>
                <w:color w:val="000000" w:themeColor="text1"/>
                <w:sz w:val="16"/>
                <w:szCs w:val="16"/>
                <w:lang w:val="es-ES"/>
              </w:rPr>
              <w:t xml:space="preserve">iros: </w:t>
            </w:r>
            <w:r w:rsidR="001539AC">
              <w:rPr>
                <w:rFonts w:asciiTheme="majorHAnsi" w:hAnsiTheme="majorHAnsi"/>
                <w:color w:val="000000" w:themeColor="text1"/>
                <w:sz w:val="16"/>
                <w:szCs w:val="16"/>
                <w:lang w:val="es-ES"/>
              </w:rPr>
              <w:t>uno</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F3067C" w:rsidRPr="004768D0">
              <w:rPr>
                <w:rFonts w:asciiTheme="majorHAnsi" w:hAnsiTheme="majorHAnsi"/>
                <w:color w:val="000000" w:themeColor="text1"/>
                <w:sz w:val="16"/>
                <w:szCs w:val="16"/>
                <w:lang w:val="es-ES"/>
              </w:rPr>
              <w:t xml:space="preserve"> l</w:t>
            </w:r>
            <w:r w:rsidRPr="004768D0">
              <w:rPr>
                <w:rFonts w:asciiTheme="majorHAnsi" w:hAnsiTheme="majorHAnsi"/>
                <w:color w:val="000000" w:themeColor="text1"/>
                <w:sz w:val="16"/>
                <w:szCs w:val="16"/>
                <w:lang w:val="es-ES"/>
              </w:rPr>
              <w:t xml:space="preserve">a </w:t>
            </w:r>
            <w:r w:rsidR="00F3067C" w:rsidRPr="004768D0">
              <w:rPr>
                <w:rFonts w:asciiTheme="majorHAnsi" w:hAnsiTheme="majorHAnsi"/>
                <w:color w:val="000000" w:themeColor="text1"/>
                <w:sz w:val="16"/>
                <w:szCs w:val="16"/>
                <w:lang w:val="es-ES"/>
              </w:rPr>
              <w:t xml:space="preserve">sien izquierda; </w:t>
            </w:r>
            <w:r w:rsidR="001539AC">
              <w:rPr>
                <w:rFonts w:asciiTheme="majorHAnsi" w:hAnsiTheme="majorHAnsi"/>
                <w:color w:val="000000" w:themeColor="text1"/>
                <w:sz w:val="16"/>
                <w:szCs w:val="16"/>
                <w:lang w:val="es-ES"/>
              </w:rPr>
              <w:t>uno</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 xml:space="preserve">en el abdomen, justo debajo del ombligo; </w:t>
            </w:r>
            <w:r w:rsidR="001539AC">
              <w:rPr>
                <w:rFonts w:asciiTheme="majorHAnsi" w:hAnsiTheme="majorHAnsi"/>
                <w:color w:val="000000" w:themeColor="text1"/>
                <w:sz w:val="16"/>
                <w:szCs w:val="16"/>
                <w:lang w:val="es-ES"/>
              </w:rPr>
              <w:t>uno</w:t>
            </w:r>
            <w:r w:rsidRPr="004768D0">
              <w:rPr>
                <w:rFonts w:asciiTheme="majorHAnsi" w:hAnsiTheme="majorHAnsi"/>
                <w:color w:val="000000" w:themeColor="text1"/>
                <w:sz w:val="16"/>
                <w:szCs w:val="16"/>
                <w:lang w:val="es-ES"/>
              </w:rPr>
              <w:t xml:space="preserve"> </w:t>
            </w:r>
            <w:r w:rsidR="00E04ED3" w:rsidRPr="004768D0">
              <w:rPr>
                <w:rFonts w:asciiTheme="majorHAnsi" w:hAnsiTheme="majorHAnsi"/>
                <w:color w:val="000000" w:themeColor="text1"/>
                <w:sz w:val="16"/>
                <w:szCs w:val="16"/>
                <w:lang w:val="es-ES"/>
              </w:rPr>
              <w:t>en el muslo</w:t>
            </w:r>
            <w:r w:rsidRPr="004768D0">
              <w:rPr>
                <w:rFonts w:asciiTheme="majorHAnsi" w:hAnsiTheme="majorHAnsi"/>
                <w:color w:val="000000" w:themeColor="text1"/>
                <w:sz w:val="16"/>
                <w:szCs w:val="16"/>
                <w:lang w:val="es-ES"/>
              </w:rPr>
              <w:t xml:space="preserve">, por </w:t>
            </w:r>
            <w:r w:rsidR="00F3067C" w:rsidRPr="004768D0">
              <w:rPr>
                <w:rFonts w:asciiTheme="majorHAnsi" w:hAnsiTheme="majorHAnsi"/>
                <w:color w:val="000000" w:themeColor="text1"/>
                <w:sz w:val="16"/>
                <w:szCs w:val="16"/>
                <w:lang w:val="es-ES"/>
              </w:rPr>
              <w:t>de</w:t>
            </w:r>
            <w:r w:rsidRPr="004768D0">
              <w:rPr>
                <w:rFonts w:asciiTheme="majorHAnsi" w:hAnsiTheme="majorHAnsi"/>
                <w:color w:val="000000" w:themeColor="text1"/>
                <w:sz w:val="16"/>
                <w:szCs w:val="16"/>
                <w:lang w:val="es-ES"/>
              </w:rPr>
              <w:t>trás</w:t>
            </w:r>
            <w:r w:rsidR="001539AC">
              <w:rPr>
                <w:rFonts w:asciiTheme="majorHAnsi" w:hAnsiTheme="majorHAnsi"/>
                <w:color w:val="000000" w:themeColor="text1"/>
                <w:sz w:val="16"/>
                <w:szCs w:val="16"/>
                <w:lang w:val="es-ES"/>
              </w:rPr>
              <w:t>, y</w:t>
            </w:r>
            <w:r w:rsidRPr="004768D0">
              <w:rPr>
                <w:rFonts w:asciiTheme="majorHAnsi" w:hAnsiTheme="majorHAnsi"/>
                <w:color w:val="000000" w:themeColor="text1"/>
                <w:sz w:val="16"/>
                <w:szCs w:val="16"/>
                <w:lang w:val="es-ES"/>
              </w:rPr>
              <w:t xml:space="preserve"> </w:t>
            </w:r>
            <w:r w:rsidR="001539AC">
              <w:rPr>
                <w:rFonts w:asciiTheme="majorHAnsi" w:hAnsiTheme="majorHAnsi"/>
                <w:color w:val="000000" w:themeColor="text1"/>
                <w:sz w:val="16"/>
                <w:szCs w:val="16"/>
                <w:lang w:val="es-ES"/>
              </w:rPr>
              <w:t>uno</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F3067C" w:rsidRPr="004768D0">
              <w:rPr>
                <w:rFonts w:asciiTheme="majorHAnsi" w:hAnsiTheme="majorHAnsi"/>
                <w:color w:val="000000" w:themeColor="text1"/>
                <w:sz w:val="16"/>
                <w:szCs w:val="16"/>
                <w:lang w:val="es-ES"/>
              </w:rPr>
              <w:t xml:space="preserve"> el brazo</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izquierdo</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por detrás</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 xml:space="preserve">En el examen del cuerpo del </w:t>
            </w:r>
            <w:r w:rsidRPr="004768D0">
              <w:rPr>
                <w:rFonts w:asciiTheme="majorHAnsi" w:hAnsiTheme="majorHAnsi"/>
                <w:color w:val="000000" w:themeColor="text1"/>
                <w:sz w:val="16"/>
                <w:szCs w:val="16"/>
                <w:lang w:val="es-ES"/>
              </w:rPr>
              <w:t xml:space="preserve">delito </w:t>
            </w:r>
            <w:r w:rsidR="00F3067C" w:rsidRPr="004768D0">
              <w:rPr>
                <w:rFonts w:asciiTheme="majorHAnsi" w:hAnsiTheme="majorHAnsi"/>
                <w:color w:val="000000" w:themeColor="text1"/>
                <w:sz w:val="16"/>
                <w:szCs w:val="16"/>
                <w:lang w:val="es-ES"/>
              </w:rPr>
              <w:t xml:space="preserve">se comprobó la muerte del </w:t>
            </w:r>
            <w:r w:rsidRPr="004768D0">
              <w:rPr>
                <w:rFonts w:asciiTheme="majorHAnsi" w:hAnsiTheme="majorHAnsi"/>
                <w:color w:val="000000" w:themeColor="text1"/>
                <w:sz w:val="16"/>
                <w:szCs w:val="16"/>
                <w:lang w:val="es-ES"/>
              </w:rPr>
              <w:t xml:space="preserve">feto, </w:t>
            </w:r>
            <w:r w:rsidR="00F3067C" w:rsidRPr="004768D0">
              <w:rPr>
                <w:rFonts w:asciiTheme="majorHAnsi" w:hAnsiTheme="majorHAnsi"/>
                <w:color w:val="000000" w:themeColor="text1"/>
                <w:sz w:val="16"/>
                <w:szCs w:val="16"/>
                <w:lang w:val="es-ES"/>
              </w:rPr>
              <w:t xml:space="preserve">de </w:t>
            </w:r>
            <w:r w:rsidRPr="004768D0">
              <w:rPr>
                <w:rFonts w:asciiTheme="majorHAnsi" w:hAnsiTheme="majorHAnsi"/>
                <w:color w:val="000000" w:themeColor="text1"/>
                <w:sz w:val="16"/>
                <w:szCs w:val="16"/>
                <w:lang w:val="es-ES"/>
              </w:rPr>
              <w:t xml:space="preserve">48 cm, por </w:t>
            </w:r>
            <w:r w:rsidR="004744F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inviabilidad materna</w:t>
            </w:r>
            <w:r w:rsidR="004744F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El</w:t>
            </w:r>
            <w:r w:rsidRPr="004768D0">
              <w:rPr>
                <w:rFonts w:asciiTheme="majorHAnsi" w:hAnsiTheme="majorHAnsi"/>
                <w:color w:val="000000" w:themeColor="text1"/>
                <w:sz w:val="16"/>
                <w:szCs w:val="16"/>
                <w:lang w:val="es-ES"/>
              </w:rPr>
              <w:t xml:space="preserve"> feto t</w:t>
            </w:r>
            <w:r w:rsidR="00F3067C" w:rsidRPr="004768D0">
              <w:rPr>
                <w:rFonts w:asciiTheme="majorHAnsi" w:hAnsiTheme="majorHAnsi"/>
                <w:color w:val="000000" w:themeColor="text1"/>
                <w:sz w:val="16"/>
                <w:szCs w:val="16"/>
                <w:lang w:val="es-ES"/>
              </w:rPr>
              <w:t xml:space="preserve">enía lesiones en la mano y la rodilla izquierdas. </w:t>
            </w:r>
            <w:r w:rsidRPr="004768D0">
              <w:rPr>
                <w:rFonts w:asciiTheme="majorHAnsi" w:hAnsiTheme="majorHAnsi"/>
                <w:color w:val="000000" w:themeColor="text1"/>
                <w:sz w:val="16"/>
                <w:szCs w:val="16"/>
                <w:lang w:val="es-ES"/>
              </w:rPr>
              <w:t>Eddie rec</w:t>
            </w:r>
            <w:r w:rsidR="00F3067C" w:rsidRPr="004768D0">
              <w:rPr>
                <w:rFonts w:asciiTheme="majorHAnsi" w:hAnsiTheme="majorHAnsi"/>
                <w:color w:val="000000" w:themeColor="text1"/>
                <w:sz w:val="16"/>
                <w:szCs w:val="16"/>
                <w:lang w:val="es-ES"/>
              </w:rPr>
              <w:t>ibió</w:t>
            </w:r>
            <w:r w:rsidRPr="004768D0">
              <w:rPr>
                <w:rFonts w:asciiTheme="majorHAnsi" w:hAnsiTheme="majorHAnsi"/>
                <w:color w:val="000000" w:themeColor="text1"/>
                <w:sz w:val="16"/>
                <w:szCs w:val="16"/>
                <w:lang w:val="es-ES"/>
              </w:rPr>
              <w:t xml:space="preserve"> </w:t>
            </w:r>
            <w:r w:rsidR="00602ECE">
              <w:rPr>
                <w:rFonts w:asciiTheme="majorHAnsi" w:hAnsiTheme="majorHAnsi"/>
                <w:color w:val="000000" w:themeColor="text1"/>
                <w:sz w:val="16"/>
                <w:szCs w:val="16"/>
                <w:lang w:val="es-ES"/>
              </w:rPr>
              <w:t>ocho</w:t>
            </w:r>
            <w:r w:rsidRPr="004768D0">
              <w:rPr>
                <w:rFonts w:asciiTheme="majorHAnsi" w:hAnsiTheme="majorHAnsi"/>
                <w:color w:val="000000" w:themeColor="text1"/>
                <w:sz w:val="16"/>
                <w:szCs w:val="16"/>
                <w:lang w:val="es-ES"/>
              </w:rPr>
              <w:t xml:space="preserve"> tiros: </w:t>
            </w:r>
            <w:r w:rsidR="00602ECE">
              <w:rPr>
                <w:rFonts w:asciiTheme="majorHAnsi" w:hAnsiTheme="majorHAnsi"/>
                <w:color w:val="000000" w:themeColor="text1"/>
                <w:sz w:val="16"/>
                <w:szCs w:val="16"/>
                <w:lang w:val="es-ES"/>
              </w:rPr>
              <w:t>dos</w:t>
            </w:r>
            <w:r w:rsidRPr="004768D0">
              <w:rPr>
                <w:rFonts w:asciiTheme="majorHAnsi" w:hAnsiTheme="majorHAnsi"/>
                <w:color w:val="000000" w:themeColor="text1"/>
                <w:sz w:val="16"/>
                <w:szCs w:val="16"/>
                <w:lang w:val="es-ES"/>
              </w:rPr>
              <w:t xml:space="preserve"> </w:t>
            </w:r>
            <w:r w:rsidR="00E04ED3" w:rsidRPr="004768D0">
              <w:rPr>
                <w:rFonts w:asciiTheme="majorHAnsi" w:hAnsiTheme="majorHAnsi"/>
                <w:color w:val="000000" w:themeColor="text1"/>
                <w:sz w:val="16"/>
                <w:szCs w:val="16"/>
                <w:lang w:val="es-ES"/>
              </w:rPr>
              <w:t>en la espalda</w:t>
            </w:r>
            <w:r w:rsidRPr="004768D0">
              <w:rPr>
                <w:rFonts w:asciiTheme="majorHAnsi" w:hAnsiTheme="majorHAnsi"/>
                <w:color w:val="000000" w:themeColor="text1"/>
                <w:sz w:val="16"/>
                <w:szCs w:val="16"/>
                <w:lang w:val="es-ES"/>
              </w:rPr>
              <w:t xml:space="preserve">, </w:t>
            </w:r>
            <w:r w:rsidR="00602ECE">
              <w:rPr>
                <w:rFonts w:asciiTheme="majorHAnsi" w:hAnsiTheme="majorHAnsi"/>
                <w:color w:val="000000" w:themeColor="text1"/>
                <w:sz w:val="16"/>
                <w:szCs w:val="16"/>
                <w:lang w:val="es-ES"/>
              </w:rPr>
              <w:t>dos</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en las manos</w:t>
            </w:r>
            <w:r w:rsidRPr="004768D0">
              <w:rPr>
                <w:rFonts w:asciiTheme="majorHAnsi" w:hAnsiTheme="majorHAnsi"/>
                <w:color w:val="000000" w:themeColor="text1"/>
                <w:sz w:val="16"/>
                <w:szCs w:val="16"/>
                <w:lang w:val="es-ES"/>
              </w:rPr>
              <w:t xml:space="preserve">, </w:t>
            </w:r>
            <w:r w:rsidR="00602ECE">
              <w:rPr>
                <w:rFonts w:asciiTheme="majorHAnsi" w:hAnsiTheme="majorHAnsi"/>
                <w:color w:val="000000" w:themeColor="text1"/>
                <w:sz w:val="16"/>
                <w:szCs w:val="16"/>
                <w:lang w:val="es-ES"/>
              </w:rPr>
              <w:t>tres</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F3067C" w:rsidRPr="004768D0">
              <w:rPr>
                <w:rFonts w:asciiTheme="majorHAnsi" w:hAnsiTheme="majorHAnsi"/>
                <w:color w:val="000000" w:themeColor="text1"/>
                <w:sz w:val="16"/>
                <w:szCs w:val="16"/>
                <w:lang w:val="es-ES"/>
              </w:rPr>
              <w:t xml:space="preserve"> el pecho y </w:t>
            </w:r>
            <w:r w:rsidR="00602ECE">
              <w:rPr>
                <w:rFonts w:asciiTheme="majorHAnsi" w:hAnsiTheme="majorHAnsi"/>
                <w:color w:val="000000" w:themeColor="text1"/>
                <w:sz w:val="16"/>
                <w:szCs w:val="16"/>
                <w:lang w:val="es-ES"/>
              </w:rPr>
              <w:t>uno</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F3067C" w:rsidRPr="004768D0">
              <w:rPr>
                <w:rFonts w:asciiTheme="majorHAnsi" w:hAnsiTheme="majorHAnsi"/>
                <w:color w:val="000000" w:themeColor="text1"/>
                <w:sz w:val="16"/>
                <w:szCs w:val="16"/>
                <w:lang w:val="es-ES"/>
              </w:rPr>
              <w:t xml:space="preserve"> l</w:t>
            </w:r>
            <w:r w:rsidRPr="004768D0">
              <w:rPr>
                <w:rFonts w:asciiTheme="majorHAnsi" w:hAnsiTheme="majorHAnsi"/>
                <w:color w:val="000000" w:themeColor="text1"/>
                <w:sz w:val="16"/>
                <w:szCs w:val="16"/>
                <w:lang w:val="es-ES"/>
              </w:rPr>
              <w:t xml:space="preserve">a </w:t>
            </w:r>
            <w:r w:rsidR="00E04ED3" w:rsidRPr="004768D0">
              <w:rPr>
                <w:rFonts w:asciiTheme="majorHAnsi" w:hAnsiTheme="majorHAnsi"/>
                <w:color w:val="000000" w:themeColor="text1"/>
                <w:sz w:val="16"/>
                <w:szCs w:val="16"/>
                <w:lang w:val="es-ES"/>
              </w:rPr>
              <w:t>cabeza</w:t>
            </w:r>
            <w:r w:rsidRPr="004768D0">
              <w:rPr>
                <w:rFonts w:asciiTheme="majorHAnsi" w:hAnsiTheme="majorHAnsi"/>
                <w:color w:val="000000" w:themeColor="text1"/>
                <w:sz w:val="16"/>
                <w:szCs w:val="16"/>
                <w:lang w:val="es-ES"/>
              </w:rPr>
              <w:t xml:space="preserve">, </w:t>
            </w:r>
            <w:r w:rsidR="00F3067C" w:rsidRPr="004768D0">
              <w:rPr>
                <w:rFonts w:asciiTheme="majorHAnsi" w:hAnsiTheme="majorHAnsi"/>
                <w:color w:val="000000" w:themeColor="text1"/>
                <w:sz w:val="16"/>
                <w:szCs w:val="16"/>
                <w:lang w:val="es-ES"/>
              </w:rPr>
              <w:t>por detrás</w:t>
            </w:r>
            <w:r w:rsidRPr="004768D0">
              <w:rPr>
                <w:rFonts w:asciiTheme="majorHAnsi" w:hAnsiTheme="majorHAnsi"/>
                <w:color w:val="000000" w:themeColor="text1"/>
                <w:sz w:val="16"/>
                <w:szCs w:val="16"/>
                <w:lang w:val="es-ES"/>
              </w:rPr>
              <w:t>.</w:t>
            </w:r>
          </w:p>
        </w:tc>
      </w:tr>
      <w:tr w:rsidR="00C25420" w:rsidRPr="008D6F96" w14:paraId="30C8F0BC" w14:textId="77777777" w:rsidTr="003C5EF0">
        <w:tc>
          <w:tcPr>
            <w:tcW w:w="9350" w:type="dxa"/>
            <w:shd w:val="clear" w:color="auto" w:fill="000000" w:themeFill="text1"/>
          </w:tcPr>
          <w:p w14:paraId="449F5D3E" w14:textId="77777777" w:rsidR="00C25420" w:rsidRPr="004768D0" w:rsidRDefault="00372008" w:rsidP="003720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es-ES"/>
              </w:rPr>
            </w:pPr>
            <w:r w:rsidRPr="004768D0">
              <w:rPr>
                <w:rFonts w:asciiTheme="majorHAnsi" w:hAnsiTheme="majorHAnsi"/>
                <w:b/>
                <w:bCs/>
                <w:color w:val="FFFFFF" w:themeColor="background1"/>
                <w:sz w:val="16"/>
                <w:szCs w:val="16"/>
                <w:lang w:val="es-ES"/>
              </w:rPr>
              <w:t>Aspectos relacionados con la investigación de la muerte de</w:t>
            </w:r>
            <w:r w:rsidR="00204009" w:rsidRPr="004768D0">
              <w:rPr>
                <w:rFonts w:asciiTheme="majorHAnsi" w:hAnsiTheme="majorHAnsi"/>
                <w:b/>
                <w:bCs/>
                <w:color w:val="FFFFFF" w:themeColor="background1"/>
                <w:sz w:val="16"/>
                <w:szCs w:val="16"/>
                <w:lang w:val="es-ES"/>
              </w:rPr>
              <w:t xml:space="preserve"> Ana Paula Gonzaga dos Santos </w:t>
            </w:r>
            <w:r w:rsidRPr="004768D0">
              <w:rPr>
                <w:rFonts w:asciiTheme="majorHAnsi" w:hAnsiTheme="majorHAnsi"/>
                <w:b/>
                <w:bCs/>
                <w:color w:val="FFFFFF" w:themeColor="background1"/>
                <w:sz w:val="16"/>
                <w:szCs w:val="16"/>
                <w:lang w:val="es-ES"/>
              </w:rPr>
              <w:t>y</w:t>
            </w:r>
            <w:r w:rsidR="00204009" w:rsidRPr="004768D0">
              <w:rPr>
                <w:rFonts w:asciiTheme="majorHAnsi" w:hAnsiTheme="majorHAnsi"/>
                <w:b/>
                <w:bCs/>
                <w:color w:val="FFFFFF" w:themeColor="background1"/>
                <w:sz w:val="16"/>
                <w:szCs w:val="16"/>
                <w:lang w:val="es-ES"/>
              </w:rPr>
              <w:t xml:space="preserve"> Eddie Joey Oliveira</w:t>
            </w:r>
          </w:p>
        </w:tc>
      </w:tr>
      <w:tr w:rsidR="00C25420" w:rsidRPr="008D6F96" w14:paraId="08445E3B" w14:textId="77777777" w:rsidTr="00C25420">
        <w:tc>
          <w:tcPr>
            <w:tcW w:w="9350" w:type="dxa"/>
          </w:tcPr>
          <w:p w14:paraId="27C834A4" w14:textId="77777777" w:rsidR="002A4763" w:rsidRPr="004768D0" w:rsidRDefault="00D22BCB" w:rsidP="002A476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Las </w:t>
            </w:r>
            <w:r w:rsidR="00E04ED3" w:rsidRPr="004768D0">
              <w:rPr>
                <w:rFonts w:asciiTheme="majorHAnsi" w:hAnsiTheme="majorHAnsi"/>
                <w:color w:val="000000" w:themeColor="text1"/>
                <w:sz w:val="16"/>
                <w:szCs w:val="16"/>
                <w:lang w:val="es-ES"/>
              </w:rPr>
              <w:t>in</w:t>
            </w:r>
            <w:r w:rsidRPr="004768D0">
              <w:rPr>
                <w:rFonts w:asciiTheme="majorHAnsi" w:hAnsiTheme="majorHAnsi"/>
                <w:color w:val="000000" w:themeColor="text1"/>
                <w:sz w:val="16"/>
                <w:szCs w:val="16"/>
                <w:lang w:val="es-ES"/>
              </w:rPr>
              <w:t xml:space="preserve">dagaciones del delito constan en el expediente de la </w:t>
            </w:r>
            <w:r w:rsidR="00C03E33" w:rsidRPr="004768D0">
              <w:rPr>
                <w:rFonts w:asciiTheme="majorHAnsi" w:hAnsiTheme="majorHAnsi"/>
                <w:color w:val="000000" w:themeColor="text1"/>
                <w:sz w:val="16"/>
                <w:szCs w:val="16"/>
                <w:lang w:val="es-ES"/>
              </w:rPr>
              <w:t>investigación</w:t>
            </w:r>
            <w:r w:rsidR="002A4763" w:rsidRPr="004768D0">
              <w:rPr>
                <w:rFonts w:asciiTheme="majorHAnsi" w:hAnsiTheme="majorHAnsi"/>
                <w:color w:val="000000" w:themeColor="text1"/>
                <w:sz w:val="16"/>
                <w:szCs w:val="16"/>
                <w:lang w:val="es-ES"/>
              </w:rPr>
              <w:t xml:space="preserve"> policial </w:t>
            </w:r>
            <w:r w:rsidRPr="004768D0">
              <w:rPr>
                <w:rFonts w:asciiTheme="majorHAnsi" w:hAnsiTheme="majorHAnsi"/>
                <w:color w:val="000000" w:themeColor="text1"/>
                <w:sz w:val="16"/>
                <w:szCs w:val="16"/>
                <w:lang w:val="es-ES"/>
              </w:rPr>
              <w:t>N.</w:t>
            </w:r>
            <w:r w:rsidR="002A4763" w:rsidRPr="004768D0">
              <w:rPr>
                <w:rFonts w:asciiTheme="majorHAnsi" w:hAnsiTheme="majorHAnsi"/>
                <w:color w:val="000000" w:themeColor="text1"/>
                <w:sz w:val="16"/>
                <w:szCs w:val="16"/>
                <w:lang w:val="es-ES"/>
              </w:rPr>
              <w:t>° 120/06 d</w:t>
            </w:r>
            <w:r w:rsidRPr="004768D0">
              <w:rPr>
                <w:rFonts w:asciiTheme="majorHAnsi" w:hAnsiTheme="majorHAnsi"/>
                <w:color w:val="000000" w:themeColor="text1"/>
                <w:sz w:val="16"/>
                <w:szCs w:val="16"/>
                <w:lang w:val="es-ES"/>
              </w:rPr>
              <w:t xml:space="preserve">el Cuarto </w:t>
            </w:r>
            <w:r w:rsidR="002A4763" w:rsidRPr="004768D0">
              <w:rPr>
                <w:rFonts w:asciiTheme="majorHAnsi" w:hAnsiTheme="majorHAnsi"/>
                <w:color w:val="000000" w:themeColor="text1"/>
                <w:sz w:val="16"/>
                <w:szCs w:val="16"/>
                <w:lang w:val="es-ES"/>
              </w:rPr>
              <w:t xml:space="preserve">Distrito Policial de Santos </w:t>
            </w:r>
            <w:r w:rsidRPr="004768D0">
              <w:rPr>
                <w:rFonts w:asciiTheme="majorHAnsi" w:hAnsiTheme="majorHAnsi"/>
                <w:color w:val="000000" w:themeColor="text1"/>
                <w:sz w:val="16"/>
                <w:szCs w:val="16"/>
                <w:lang w:val="es-ES"/>
              </w:rPr>
              <w:t xml:space="preserve">y en autos </w:t>
            </w:r>
            <w:r w:rsidR="002A4763" w:rsidRPr="004768D0">
              <w:rPr>
                <w:rFonts w:asciiTheme="majorHAnsi" w:hAnsiTheme="majorHAnsi"/>
                <w:color w:val="000000" w:themeColor="text1"/>
                <w:sz w:val="16"/>
                <w:szCs w:val="16"/>
                <w:lang w:val="es-ES"/>
              </w:rPr>
              <w:t xml:space="preserve">como </w:t>
            </w:r>
            <w:r w:rsidR="00C03E33" w:rsidRPr="004768D0">
              <w:rPr>
                <w:rFonts w:asciiTheme="majorHAnsi" w:hAnsiTheme="majorHAnsi"/>
                <w:color w:val="000000" w:themeColor="text1"/>
                <w:sz w:val="16"/>
                <w:szCs w:val="16"/>
                <w:lang w:val="es-ES"/>
              </w:rPr>
              <w:t>investigación</w:t>
            </w:r>
            <w:r w:rsidR="002A4763" w:rsidRPr="004768D0">
              <w:rPr>
                <w:rFonts w:asciiTheme="majorHAnsi" w:hAnsiTheme="majorHAnsi"/>
                <w:color w:val="000000" w:themeColor="text1"/>
                <w:sz w:val="16"/>
                <w:szCs w:val="16"/>
                <w:lang w:val="es-ES"/>
              </w:rPr>
              <w:t xml:space="preserve"> policial </w:t>
            </w:r>
            <w:r w:rsidRPr="004768D0">
              <w:rPr>
                <w:rFonts w:asciiTheme="majorHAnsi" w:hAnsiTheme="majorHAnsi"/>
                <w:color w:val="000000" w:themeColor="text1"/>
                <w:sz w:val="16"/>
                <w:szCs w:val="16"/>
                <w:lang w:val="es-ES"/>
              </w:rPr>
              <w:t>N.</w:t>
            </w:r>
            <w:r w:rsidR="002A4763" w:rsidRPr="004768D0">
              <w:rPr>
                <w:rFonts w:asciiTheme="majorHAnsi" w:hAnsiTheme="majorHAnsi"/>
                <w:color w:val="000000" w:themeColor="text1"/>
                <w:sz w:val="16"/>
                <w:szCs w:val="16"/>
                <w:lang w:val="es-ES"/>
              </w:rPr>
              <w:t xml:space="preserve">° 178/06 </w:t>
            </w:r>
            <w:r w:rsidRPr="004768D0">
              <w:rPr>
                <w:rFonts w:asciiTheme="majorHAnsi" w:hAnsiTheme="majorHAnsi"/>
                <w:color w:val="000000" w:themeColor="text1"/>
                <w:sz w:val="16"/>
                <w:szCs w:val="16"/>
                <w:lang w:val="es-ES"/>
              </w:rPr>
              <w:t xml:space="preserve">del Primer Juzgado Penal y del Jurado </w:t>
            </w:r>
            <w:r w:rsidR="002A4763" w:rsidRPr="004768D0">
              <w:rPr>
                <w:rFonts w:asciiTheme="majorHAnsi" w:hAnsiTheme="majorHAnsi"/>
                <w:color w:val="000000" w:themeColor="text1"/>
                <w:sz w:val="16"/>
                <w:szCs w:val="16"/>
                <w:lang w:val="es-ES"/>
              </w:rPr>
              <w:t>de Santos.</w:t>
            </w:r>
          </w:p>
          <w:p w14:paraId="469830F9" w14:textId="77777777" w:rsidR="002A4763" w:rsidRPr="004768D0" w:rsidRDefault="0084419A" w:rsidP="002A476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La</w:t>
            </w:r>
            <w:r w:rsidR="002A4763" w:rsidRPr="004768D0">
              <w:rPr>
                <w:rFonts w:asciiTheme="majorHAnsi" w:hAnsiTheme="majorHAnsi"/>
                <w:color w:val="000000" w:themeColor="text1"/>
                <w:sz w:val="16"/>
                <w:szCs w:val="16"/>
                <w:lang w:val="es-ES"/>
              </w:rPr>
              <w:t xml:space="preserve"> </w:t>
            </w:r>
            <w:r w:rsidR="007F4608" w:rsidRPr="004768D0">
              <w:rPr>
                <w:rFonts w:asciiTheme="majorHAnsi" w:hAnsiTheme="majorHAnsi"/>
                <w:color w:val="000000" w:themeColor="text1"/>
                <w:sz w:val="16"/>
                <w:szCs w:val="16"/>
                <w:lang w:val="es-ES"/>
              </w:rPr>
              <w:t>madre de</w:t>
            </w:r>
            <w:r w:rsidR="002A4763" w:rsidRPr="004768D0">
              <w:rPr>
                <w:rFonts w:asciiTheme="majorHAnsi" w:hAnsiTheme="majorHAnsi"/>
                <w:color w:val="000000" w:themeColor="text1"/>
                <w:sz w:val="16"/>
                <w:szCs w:val="16"/>
                <w:lang w:val="es-ES"/>
              </w:rPr>
              <w:t xml:space="preserve"> Ana Paula, Vera Lucia Gonzaga dos Santos, </w:t>
            </w:r>
            <w:r w:rsidRPr="004768D0">
              <w:rPr>
                <w:rFonts w:asciiTheme="majorHAnsi" w:hAnsiTheme="majorHAnsi"/>
                <w:color w:val="000000" w:themeColor="text1"/>
                <w:sz w:val="16"/>
                <w:szCs w:val="16"/>
                <w:lang w:val="es-ES"/>
              </w:rPr>
              <w:t xml:space="preserve">acudió a la </w:t>
            </w:r>
            <w:r w:rsidR="00E04ED3" w:rsidRPr="004768D0">
              <w:rPr>
                <w:rFonts w:asciiTheme="majorHAnsi" w:hAnsiTheme="majorHAnsi"/>
                <w:color w:val="000000" w:themeColor="text1"/>
                <w:sz w:val="16"/>
                <w:szCs w:val="16"/>
                <w:lang w:val="es-ES"/>
              </w:rPr>
              <w:t>escena del delito</w:t>
            </w:r>
            <w:r w:rsidR="002A4763"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algunas</w:t>
            </w:r>
            <w:r w:rsidR="002A4763" w:rsidRPr="004768D0">
              <w:rPr>
                <w:rFonts w:asciiTheme="majorHAnsi" w:hAnsiTheme="majorHAnsi"/>
                <w:color w:val="000000" w:themeColor="text1"/>
                <w:sz w:val="16"/>
                <w:szCs w:val="16"/>
                <w:lang w:val="es-ES"/>
              </w:rPr>
              <w:t xml:space="preserve"> horas </w:t>
            </w:r>
            <w:r w:rsidRPr="004768D0">
              <w:rPr>
                <w:rFonts w:asciiTheme="majorHAnsi" w:hAnsiTheme="majorHAnsi"/>
                <w:color w:val="000000" w:themeColor="text1"/>
                <w:sz w:val="16"/>
                <w:szCs w:val="16"/>
                <w:lang w:val="es-ES"/>
              </w:rPr>
              <w:t xml:space="preserve">después y recogió </w:t>
            </w:r>
            <w:r w:rsidR="002A4763" w:rsidRPr="004768D0">
              <w:rPr>
                <w:rFonts w:asciiTheme="majorHAnsi" w:hAnsiTheme="majorHAnsi"/>
                <w:color w:val="000000" w:themeColor="text1"/>
                <w:sz w:val="16"/>
                <w:szCs w:val="16"/>
                <w:lang w:val="es-ES"/>
              </w:rPr>
              <w:t xml:space="preserve">fragmentos de </w:t>
            </w:r>
            <w:r w:rsidR="00B034C6" w:rsidRPr="004768D0">
              <w:rPr>
                <w:rFonts w:asciiTheme="majorHAnsi" w:hAnsiTheme="majorHAnsi"/>
                <w:color w:val="000000" w:themeColor="text1"/>
                <w:sz w:val="16"/>
                <w:szCs w:val="16"/>
                <w:lang w:val="es-ES"/>
              </w:rPr>
              <w:t>proyectiles</w:t>
            </w:r>
            <w:r w:rsidR="002A4763"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En un informe </w:t>
            </w:r>
            <w:r w:rsidR="002A4763" w:rsidRPr="004768D0">
              <w:rPr>
                <w:rFonts w:asciiTheme="majorHAnsi" w:hAnsiTheme="majorHAnsi"/>
                <w:color w:val="000000" w:themeColor="text1"/>
                <w:sz w:val="16"/>
                <w:szCs w:val="16"/>
                <w:lang w:val="es-ES"/>
              </w:rPr>
              <w:t xml:space="preserve">pericial posterior </w:t>
            </w:r>
            <w:r w:rsidRPr="004768D0">
              <w:rPr>
                <w:rFonts w:asciiTheme="majorHAnsi" w:hAnsiTheme="majorHAnsi"/>
                <w:color w:val="000000" w:themeColor="text1"/>
                <w:sz w:val="16"/>
                <w:szCs w:val="16"/>
                <w:lang w:val="es-ES"/>
              </w:rPr>
              <w:t>se señaló que esos fragmentos no eran s</w:t>
            </w:r>
            <w:r w:rsidR="002A4763" w:rsidRPr="004768D0">
              <w:rPr>
                <w:rFonts w:asciiTheme="majorHAnsi" w:hAnsiTheme="majorHAnsi"/>
                <w:color w:val="000000" w:themeColor="text1"/>
                <w:sz w:val="16"/>
                <w:szCs w:val="16"/>
                <w:lang w:val="es-ES"/>
              </w:rPr>
              <w:t xml:space="preserve">uficientes para </w:t>
            </w:r>
            <w:r w:rsidRPr="004768D0">
              <w:rPr>
                <w:rFonts w:asciiTheme="majorHAnsi" w:hAnsiTheme="majorHAnsi"/>
                <w:color w:val="000000" w:themeColor="text1"/>
                <w:sz w:val="16"/>
                <w:szCs w:val="16"/>
                <w:lang w:val="es-ES"/>
              </w:rPr>
              <w:t xml:space="preserve">determinar el </w:t>
            </w:r>
            <w:r w:rsidR="002A4763" w:rsidRPr="004768D0">
              <w:rPr>
                <w:rFonts w:asciiTheme="majorHAnsi" w:hAnsiTheme="majorHAnsi"/>
                <w:color w:val="000000" w:themeColor="text1"/>
                <w:sz w:val="16"/>
                <w:szCs w:val="16"/>
                <w:lang w:val="es-ES"/>
              </w:rPr>
              <w:t>calibre d</w:t>
            </w:r>
            <w:r w:rsidRPr="004768D0">
              <w:rPr>
                <w:rFonts w:asciiTheme="majorHAnsi" w:hAnsiTheme="majorHAnsi"/>
                <w:color w:val="000000" w:themeColor="text1"/>
                <w:sz w:val="16"/>
                <w:szCs w:val="16"/>
                <w:lang w:val="es-ES"/>
              </w:rPr>
              <w:t>e l</w:t>
            </w:r>
            <w:r w:rsidR="002A4763" w:rsidRPr="004768D0">
              <w:rPr>
                <w:rFonts w:asciiTheme="majorHAnsi" w:hAnsiTheme="majorHAnsi"/>
                <w:color w:val="000000" w:themeColor="text1"/>
                <w:sz w:val="16"/>
                <w:szCs w:val="16"/>
                <w:lang w:val="es-ES"/>
              </w:rPr>
              <w:t xml:space="preserve">as armas utilizadas. </w:t>
            </w:r>
            <w:r w:rsidRPr="004768D0">
              <w:rPr>
                <w:rFonts w:asciiTheme="majorHAnsi" w:hAnsiTheme="majorHAnsi"/>
                <w:color w:val="000000" w:themeColor="text1"/>
                <w:sz w:val="16"/>
                <w:szCs w:val="16"/>
                <w:lang w:val="es-ES"/>
              </w:rPr>
              <w:t xml:space="preserve">En esa </w:t>
            </w:r>
            <w:r w:rsidR="002A4763" w:rsidRPr="004768D0">
              <w:rPr>
                <w:rFonts w:asciiTheme="majorHAnsi" w:hAnsiTheme="majorHAnsi"/>
                <w:color w:val="000000" w:themeColor="text1"/>
                <w:sz w:val="16"/>
                <w:szCs w:val="16"/>
                <w:lang w:val="es-ES"/>
              </w:rPr>
              <w:t xml:space="preserve">oportunidad, Vera </w:t>
            </w:r>
            <w:r w:rsidRPr="004768D0">
              <w:rPr>
                <w:rFonts w:asciiTheme="majorHAnsi" w:hAnsiTheme="majorHAnsi"/>
                <w:color w:val="000000" w:themeColor="text1"/>
                <w:sz w:val="16"/>
                <w:szCs w:val="16"/>
                <w:lang w:val="es-ES"/>
              </w:rPr>
              <w:t>conversó</w:t>
            </w:r>
            <w:r w:rsidR="002A4763"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con</w:t>
            </w:r>
            <w:r w:rsidR="002A4763"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el guardia de una gasolinera de las proximidades, el señor </w:t>
            </w:r>
            <w:r w:rsidR="002A4763" w:rsidRPr="004768D0">
              <w:rPr>
                <w:rFonts w:asciiTheme="majorHAnsi" w:hAnsiTheme="majorHAnsi"/>
                <w:color w:val="000000" w:themeColor="text1"/>
                <w:sz w:val="16"/>
                <w:szCs w:val="16"/>
                <w:lang w:val="es-ES"/>
              </w:rPr>
              <w:t xml:space="preserve">João </w:t>
            </w:r>
            <w:proofErr w:type="spellStart"/>
            <w:r w:rsidR="002A4763" w:rsidRPr="004768D0">
              <w:rPr>
                <w:rFonts w:asciiTheme="majorHAnsi" w:hAnsiTheme="majorHAnsi"/>
                <w:color w:val="000000" w:themeColor="text1"/>
                <w:sz w:val="16"/>
                <w:szCs w:val="16"/>
                <w:lang w:val="es-ES"/>
              </w:rPr>
              <w:t>Góes</w:t>
            </w:r>
            <w:proofErr w:type="spellEnd"/>
            <w:r w:rsidR="002A4763" w:rsidRPr="004768D0">
              <w:rPr>
                <w:rFonts w:asciiTheme="majorHAnsi" w:hAnsiTheme="majorHAnsi"/>
                <w:color w:val="000000" w:themeColor="text1"/>
                <w:sz w:val="16"/>
                <w:szCs w:val="16"/>
                <w:lang w:val="es-ES"/>
              </w:rPr>
              <w:t>, qu</w:t>
            </w:r>
            <w:r w:rsidRPr="004768D0">
              <w:rPr>
                <w:rFonts w:asciiTheme="majorHAnsi" w:hAnsiTheme="majorHAnsi"/>
                <w:color w:val="000000" w:themeColor="text1"/>
                <w:sz w:val="16"/>
                <w:szCs w:val="16"/>
                <w:lang w:val="es-ES"/>
              </w:rPr>
              <w:t xml:space="preserve">ien afirmó que había </w:t>
            </w:r>
            <w:r w:rsidR="002A4763" w:rsidRPr="004768D0">
              <w:rPr>
                <w:rFonts w:asciiTheme="majorHAnsi" w:hAnsiTheme="majorHAnsi"/>
                <w:color w:val="000000" w:themeColor="text1"/>
                <w:sz w:val="16"/>
                <w:szCs w:val="16"/>
                <w:lang w:val="es-ES"/>
              </w:rPr>
              <w:t xml:space="preserve">presenciado </w:t>
            </w:r>
            <w:r w:rsidRPr="004768D0">
              <w:rPr>
                <w:rFonts w:asciiTheme="majorHAnsi" w:hAnsiTheme="majorHAnsi"/>
                <w:color w:val="000000" w:themeColor="text1"/>
                <w:sz w:val="16"/>
                <w:szCs w:val="16"/>
                <w:lang w:val="es-ES"/>
              </w:rPr>
              <w:t xml:space="preserve">el delito. El guardia fue asesinado horas más tarde en la misma calle </w:t>
            </w:r>
            <w:proofErr w:type="spellStart"/>
            <w:r w:rsidR="002A4763" w:rsidRPr="004768D0">
              <w:rPr>
                <w:rFonts w:asciiTheme="majorHAnsi" w:hAnsiTheme="majorHAnsi"/>
                <w:color w:val="000000" w:themeColor="text1"/>
                <w:sz w:val="16"/>
                <w:szCs w:val="16"/>
                <w:lang w:val="es-ES"/>
              </w:rPr>
              <w:t>Braz</w:t>
            </w:r>
            <w:proofErr w:type="spellEnd"/>
            <w:r w:rsidR="002A4763" w:rsidRPr="004768D0">
              <w:rPr>
                <w:rFonts w:asciiTheme="majorHAnsi" w:hAnsiTheme="majorHAnsi"/>
                <w:color w:val="000000" w:themeColor="text1"/>
                <w:sz w:val="16"/>
                <w:szCs w:val="16"/>
                <w:lang w:val="es-ES"/>
              </w:rPr>
              <w:t xml:space="preserve"> Cubas, </w:t>
            </w:r>
            <w:r w:rsidRPr="004768D0">
              <w:rPr>
                <w:rFonts w:asciiTheme="majorHAnsi" w:hAnsiTheme="majorHAnsi"/>
                <w:color w:val="000000" w:themeColor="text1"/>
                <w:sz w:val="16"/>
                <w:szCs w:val="16"/>
                <w:lang w:val="es-ES"/>
              </w:rPr>
              <w:t>dos cuadras más a</w:t>
            </w:r>
            <w:r w:rsidR="00175527">
              <w:rPr>
                <w:rFonts w:asciiTheme="majorHAnsi" w:hAnsiTheme="majorHAnsi"/>
                <w:color w:val="000000" w:themeColor="text1"/>
                <w:sz w:val="16"/>
                <w:szCs w:val="16"/>
                <w:lang w:val="es-ES"/>
              </w:rPr>
              <w:t>delante</w:t>
            </w:r>
            <w:r w:rsidRPr="004768D0">
              <w:rPr>
                <w:rFonts w:asciiTheme="majorHAnsi" w:hAnsiTheme="majorHAnsi"/>
                <w:color w:val="000000" w:themeColor="text1"/>
                <w:sz w:val="16"/>
                <w:szCs w:val="16"/>
                <w:lang w:val="es-ES"/>
              </w:rPr>
              <w:t xml:space="preserve">, </w:t>
            </w:r>
            <w:r w:rsidR="002A4763" w:rsidRPr="004768D0">
              <w:rPr>
                <w:rFonts w:asciiTheme="majorHAnsi" w:hAnsiTheme="majorHAnsi"/>
                <w:color w:val="000000" w:themeColor="text1"/>
                <w:sz w:val="16"/>
                <w:szCs w:val="16"/>
                <w:lang w:val="es-ES"/>
              </w:rPr>
              <w:t>seg</w:t>
            </w:r>
            <w:r w:rsidRPr="004768D0">
              <w:rPr>
                <w:rFonts w:asciiTheme="majorHAnsi" w:hAnsiTheme="majorHAnsi"/>
                <w:color w:val="000000" w:themeColor="text1"/>
                <w:sz w:val="16"/>
                <w:szCs w:val="16"/>
                <w:lang w:val="es-ES"/>
              </w:rPr>
              <w:t>ún se informa, por una persona que estaba en una</w:t>
            </w:r>
            <w:r w:rsidR="002A4763" w:rsidRPr="004768D0">
              <w:rPr>
                <w:rFonts w:asciiTheme="majorHAnsi" w:hAnsiTheme="majorHAnsi"/>
                <w:color w:val="000000" w:themeColor="text1"/>
                <w:sz w:val="16"/>
                <w:szCs w:val="16"/>
                <w:lang w:val="es-ES"/>
              </w:rPr>
              <w:t xml:space="preserve"> moto </w:t>
            </w:r>
            <w:proofErr w:type="spellStart"/>
            <w:r w:rsidR="002A4763" w:rsidRPr="004768D0">
              <w:rPr>
                <w:rFonts w:asciiTheme="majorHAnsi" w:hAnsiTheme="majorHAnsi"/>
                <w:color w:val="000000" w:themeColor="text1"/>
                <w:sz w:val="16"/>
                <w:szCs w:val="16"/>
                <w:lang w:val="es-ES"/>
              </w:rPr>
              <w:t>Biz</w:t>
            </w:r>
            <w:proofErr w:type="spellEnd"/>
            <w:r w:rsidR="002A4763" w:rsidRPr="004768D0">
              <w:rPr>
                <w:rFonts w:asciiTheme="majorHAnsi" w:hAnsiTheme="majorHAnsi"/>
                <w:color w:val="000000" w:themeColor="text1"/>
                <w:sz w:val="16"/>
                <w:szCs w:val="16"/>
                <w:lang w:val="es-ES"/>
              </w:rPr>
              <w:t xml:space="preserve"> </w:t>
            </w:r>
            <w:r w:rsidR="006062C8" w:rsidRPr="004768D0">
              <w:rPr>
                <w:rFonts w:asciiTheme="majorHAnsi" w:hAnsiTheme="majorHAnsi"/>
                <w:color w:val="000000" w:themeColor="text1"/>
                <w:sz w:val="16"/>
                <w:szCs w:val="16"/>
                <w:lang w:val="es-ES"/>
              </w:rPr>
              <w:t>negra</w:t>
            </w:r>
            <w:r w:rsidR="002A4763" w:rsidRPr="004768D0">
              <w:rPr>
                <w:rFonts w:asciiTheme="majorHAnsi" w:hAnsiTheme="majorHAnsi"/>
                <w:color w:val="000000" w:themeColor="text1"/>
                <w:sz w:val="16"/>
                <w:szCs w:val="16"/>
                <w:lang w:val="es-ES"/>
              </w:rPr>
              <w:t xml:space="preserve">. </w:t>
            </w:r>
            <w:r w:rsidR="00175527">
              <w:rPr>
                <w:rFonts w:asciiTheme="majorHAnsi" w:hAnsiTheme="majorHAnsi"/>
                <w:color w:val="000000" w:themeColor="text1"/>
                <w:sz w:val="16"/>
                <w:szCs w:val="16"/>
                <w:lang w:val="es-ES"/>
              </w:rPr>
              <w:t>Sobre e</w:t>
            </w:r>
            <w:r w:rsidRPr="004768D0">
              <w:rPr>
                <w:rFonts w:asciiTheme="majorHAnsi" w:hAnsiTheme="majorHAnsi"/>
                <w:color w:val="000000" w:themeColor="text1"/>
                <w:sz w:val="16"/>
                <w:szCs w:val="16"/>
                <w:lang w:val="es-ES"/>
              </w:rPr>
              <w:t>l</w:t>
            </w:r>
            <w:r w:rsidR="002A4763"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homicidio</w:t>
            </w:r>
            <w:r w:rsidR="002A4763"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del señor</w:t>
            </w:r>
            <w:r w:rsidR="009A608A">
              <w:rPr>
                <w:rFonts w:asciiTheme="majorHAnsi" w:hAnsiTheme="majorHAnsi"/>
                <w:color w:val="000000" w:themeColor="text1"/>
                <w:sz w:val="16"/>
                <w:szCs w:val="16"/>
                <w:lang w:val="es-ES"/>
              </w:rPr>
              <w:t xml:space="preserve"> </w:t>
            </w:r>
            <w:r w:rsidR="002A4763" w:rsidRPr="004768D0">
              <w:rPr>
                <w:rFonts w:asciiTheme="majorHAnsi" w:hAnsiTheme="majorHAnsi"/>
                <w:color w:val="000000" w:themeColor="text1"/>
                <w:sz w:val="16"/>
                <w:szCs w:val="16"/>
                <w:lang w:val="es-ES"/>
              </w:rPr>
              <w:t xml:space="preserve">João </w:t>
            </w:r>
            <w:proofErr w:type="spellStart"/>
            <w:r w:rsidR="002A4763" w:rsidRPr="004768D0">
              <w:rPr>
                <w:rFonts w:asciiTheme="majorHAnsi" w:hAnsiTheme="majorHAnsi"/>
                <w:color w:val="000000" w:themeColor="text1"/>
                <w:sz w:val="16"/>
                <w:szCs w:val="16"/>
                <w:lang w:val="es-ES"/>
              </w:rPr>
              <w:t>Góes</w:t>
            </w:r>
            <w:proofErr w:type="spellEnd"/>
            <w:r w:rsidR="00175527">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se levantó el parte policial N.</w:t>
            </w:r>
            <w:r w:rsidR="002A4763" w:rsidRPr="004768D0">
              <w:rPr>
                <w:rFonts w:asciiTheme="majorHAnsi" w:hAnsiTheme="majorHAnsi"/>
                <w:color w:val="000000" w:themeColor="text1"/>
                <w:sz w:val="16"/>
                <w:szCs w:val="16"/>
                <w:lang w:val="es-ES"/>
              </w:rPr>
              <w:t>° 2241/06 d</w:t>
            </w:r>
            <w:r w:rsidRPr="004768D0">
              <w:rPr>
                <w:rFonts w:asciiTheme="majorHAnsi" w:hAnsiTheme="majorHAnsi"/>
                <w:color w:val="000000" w:themeColor="text1"/>
                <w:sz w:val="16"/>
                <w:szCs w:val="16"/>
                <w:lang w:val="es-ES"/>
              </w:rPr>
              <w:t xml:space="preserve">el Tercer </w:t>
            </w:r>
            <w:r w:rsidR="002A4763" w:rsidRPr="004768D0">
              <w:rPr>
                <w:rFonts w:asciiTheme="majorHAnsi" w:hAnsiTheme="majorHAnsi"/>
                <w:color w:val="000000" w:themeColor="text1"/>
                <w:sz w:val="16"/>
                <w:szCs w:val="16"/>
                <w:lang w:val="es-ES"/>
              </w:rPr>
              <w:t xml:space="preserve">Distrito Policial de Santos. No </w:t>
            </w:r>
            <w:r w:rsidRPr="004768D0">
              <w:rPr>
                <w:rFonts w:asciiTheme="majorHAnsi" w:hAnsiTheme="majorHAnsi"/>
                <w:color w:val="000000" w:themeColor="text1"/>
                <w:sz w:val="16"/>
                <w:szCs w:val="16"/>
                <w:lang w:val="es-ES"/>
              </w:rPr>
              <w:t>obstante, no se investigó la posible o probable relación entre su muerte y los a</w:t>
            </w:r>
            <w:r w:rsidR="002A4763" w:rsidRPr="004768D0">
              <w:rPr>
                <w:rFonts w:asciiTheme="majorHAnsi" w:hAnsiTheme="majorHAnsi"/>
                <w:color w:val="000000" w:themeColor="text1"/>
                <w:sz w:val="16"/>
                <w:szCs w:val="16"/>
                <w:lang w:val="es-ES"/>
              </w:rPr>
              <w:t>s</w:t>
            </w:r>
            <w:r w:rsidRPr="004768D0">
              <w:rPr>
                <w:rFonts w:asciiTheme="majorHAnsi" w:hAnsiTheme="majorHAnsi"/>
                <w:color w:val="000000" w:themeColor="text1"/>
                <w:sz w:val="16"/>
                <w:szCs w:val="16"/>
                <w:lang w:val="es-ES"/>
              </w:rPr>
              <w:t>e</w:t>
            </w:r>
            <w:r w:rsidR="002A4763" w:rsidRPr="004768D0">
              <w:rPr>
                <w:rFonts w:asciiTheme="majorHAnsi" w:hAnsiTheme="majorHAnsi"/>
                <w:color w:val="000000" w:themeColor="text1"/>
                <w:sz w:val="16"/>
                <w:szCs w:val="16"/>
                <w:lang w:val="es-ES"/>
              </w:rPr>
              <w:t xml:space="preserve">sinatos de Ana Paula </w:t>
            </w:r>
            <w:r w:rsidRPr="004768D0">
              <w:rPr>
                <w:rFonts w:asciiTheme="majorHAnsi" w:hAnsiTheme="majorHAnsi"/>
                <w:color w:val="000000" w:themeColor="text1"/>
                <w:sz w:val="16"/>
                <w:szCs w:val="16"/>
                <w:lang w:val="es-ES"/>
              </w:rPr>
              <w:t>y</w:t>
            </w:r>
            <w:r w:rsidR="002A4763" w:rsidRPr="004768D0">
              <w:rPr>
                <w:rFonts w:asciiTheme="majorHAnsi" w:hAnsiTheme="majorHAnsi"/>
                <w:color w:val="000000" w:themeColor="text1"/>
                <w:sz w:val="16"/>
                <w:szCs w:val="16"/>
                <w:lang w:val="es-ES"/>
              </w:rPr>
              <w:t xml:space="preserve"> Eddie.</w:t>
            </w:r>
            <w:r w:rsidR="00527F9C"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Vera, al declarar ante la </w:t>
            </w:r>
            <w:r w:rsidR="000C0AC4" w:rsidRPr="004768D0">
              <w:rPr>
                <w:rFonts w:asciiTheme="majorHAnsi" w:hAnsiTheme="majorHAnsi"/>
                <w:color w:val="000000" w:themeColor="text1"/>
                <w:sz w:val="16"/>
                <w:szCs w:val="16"/>
                <w:lang w:val="es-ES"/>
              </w:rPr>
              <w:t>Comisión</w:t>
            </w:r>
            <w:r w:rsidR="002A4763" w:rsidRPr="004768D0">
              <w:rPr>
                <w:rFonts w:asciiTheme="majorHAnsi" w:hAnsiTheme="majorHAnsi"/>
                <w:color w:val="000000" w:themeColor="text1"/>
                <w:sz w:val="16"/>
                <w:szCs w:val="16"/>
                <w:lang w:val="es-ES"/>
              </w:rPr>
              <w:t xml:space="preserve"> </w:t>
            </w:r>
            <w:r w:rsidR="00C65DE2" w:rsidRPr="004768D0">
              <w:rPr>
                <w:rFonts w:asciiTheme="majorHAnsi" w:hAnsiTheme="majorHAnsi"/>
                <w:color w:val="000000" w:themeColor="text1"/>
                <w:sz w:val="16"/>
                <w:szCs w:val="16"/>
                <w:lang w:val="es-ES"/>
              </w:rPr>
              <w:t>Justicia</w:t>
            </w:r>
            <w:r w:rsidR="002A4763"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y</w:t>
            </w:r>
            <w:r w:rsidR="002A4763" w:rsidRPr="004768D0">
              <w:rPr>
                <w:rFonts w:asciiTheme="majorHAnsi" w:hAnsiTheme="majorHAnsi"/>
                <w:color w:val="000000" w:themeColor="text1"/>
                <w:sz w:val="16"/>
                <w:szCs w:val="16"/>
                <w:lang w:val="es-ES"/>
              </w:rPr>
              <w:t xml:space="preserve"> Paz de São Paulo, </w:t>
            </w:r>
            <w:r w:rsidRPr="004768D0">
              <w:rPr>
                <w:rFonts w:asciiTheme="majorHAnsi" w:hAnsiTheme="majorHAnsi"/>
                <w:color w:val="000000" w:themeColor="text1"/>
                <w:sz w:val="16"/>
                <w:szCs w:val="16"/>
                <w:lang w:val="es-ES"/>
              </w:rPr>
              <w:t>relató que</w:t>
            </w:r>
            <w:r w:rsidR="00161A86" w:rsidRPr="004768D0">
              <w:rPr>
                <w:rFonts w:asciiTheme="majorHAnsi" w:hAnsiTheme="majorHAnsi"/>
                <w:color w:val="000000" w:themeColor="text1"/>
                <w:sz w:val="16"/>
                <w:szCs w:val="16"/>
                <w:lang w:val="es-ES"/>
              </w:rPr>
              <w:t xml:space="preserve"> no les habían robado nada a su hija y a su yerno, que ninguno de los dos estaba involucrado en actos ilícitos y que la</w:t>
            </w:r>
            <w:r w:rsidR="002A4763" w:rsidRPr="004768D0">
              <w:rPr>
                <w:rFonts w:asciiTheme="majorHAnsi" w:hAnsiTheme="majorHAnsi"/>
                <w:color w:val="000000" w:themeColor="text1"/>
                <w:sz w:val="16"/>
                <w:szCs w:val="16"/>
                <w:lang w:val="es-ES"/>
              </w:rPr>
              <w:t xml:space="preserve"> ces</w:t>
            </w:r>
            <w:r w:rsidR="00161A86" w:rsidRPr="004768D0">
              <w:rPr>
                <w:rFonts w:asciiTheme="majorHAnsi" w:hAnsiTheme="majorHAnsi"/>
                <w:color w:val="000000" w:themeColor="text1"/>
                <w:sz w:val="16"/>
                <w:szCs w:val="16"/>
                <w:lang w:val="es-ES"/>
              </w:rPr>
              <w:t>área de su hija, que estaba embarazada d</w:t>
            </w:r>
            <w:r w:rsidR="002A4763" w:rsidRPr="004768D0">
              <w:rPr>
                <w:rFonts w:asciiTheme="majorHAnsi" w:hAnsiTheme="majorHAnsi"/>
                <w:color w:val="000000" w:themeColor="text1"/>
                <w:sz w:val="16"/>
                <w:szCs w:val="16"/>
                <w:lang w:val="es-ES"/>
              </w:rPr>
              <w:t xml:space="preserve">e </w:t>
            </w:r>
            <w:r w:rsidR="00161A86" w:rsidRPr="004768D0">
              <w:rPr>
                <w:rFonts w:asciiTheme="majorHAnsi" w:hAnsiTheme="majorHAnsi"/>
                <w:color w:val="000000" w:themeColor="text1"/>
                <w:sz w:val="16"/>
                <w:szCs w:val="16"/>
                <w:lang w:val="es-ES"/>
              </w:rPr>
              <w:t>nueve</w:t>
            </w:r>
            <w:r w:rsidR="002A4763" w:rsidRPr="004768D0">
              <w:rPr>
                <w:rFonts w:asciiTheme="majorHAnsi" w:hAnsiTheme="majorHAnsi"/>
                <w:color w:val="000000" w:themeColor="text1"/>
                <w:sz w:val="16"/>
                <w:szCs w:val="16"/>
                <w:lang w:val="es-ES"/>
              </w:rPr>
              <w:t xml:space="preserve"> meses, esta</w:t>
            </w:r>
            <w:r w:rsidR="00161A86" w:rsidRPr="004768D0">
              <w:rPr>
                <w:rFonts w:asciiTheme="majorHAnsi" w:hAnsiTheme="majorHAnsi"/>
                <w:color w:val="000000" w:themeColor="text1"/>
                <w:sz w:val="16"/>
                <w:szCs w:val="16"/>
                <w:lang w:val="es-ES"/>
              </w:rPr>
              <w:t xml:space="preserve">ba programada para el </w:t>
            </w:r>
            <w:r w:rsidR="002A4763" w:rsidRPr="004768D0">
              <w:rPr>
                <w:rFonts w:asciiTheme="majorHAnsi" w:hAnsiTheme="majorHAnsi"/>
                <w:color w:val="000000" w:themeColor="text1"/>
                <w:sz w:val="16"/>
                <w:szCs w:val="16"/>
                <w:lang w:val="es-ES"/>
              </w:rPr>
              <w:t xml:space="preserve">18 de </w:t>
            </w:r>
            <w:r w:rsidR="007F4608" w:rsidRPr="004768D0">
              <w:rPr>
                <w:rFonts w:asciiTheme="majorHAnsi" w:hAnsiTheme="majorHAnsi"/>
                <w:color w:val="000000" w:themeColor="text1"/>
                <w:sz w:val="16"/>
                <w:szCs w:val="16"/>
                <w:lang w:val="es-ES"/>
              </w:rPr>
              <w:t>mayo</w:t>
            </w:r>
            <w:r w:rsidR="002A4763" w:rsidRPr="004768D0">
              <w:rPr>
                <w:rFonts w:asciiTheme="majorHAnsi" w:hAnsiTheme="majorHAnsi"/>
                <w:color w:val="000000" w:themeColor="text1"/>
                <w:sz w:val="16"/>
                <w:szCs w:val="16"/>
                <w:lang w:val="es-ES"/>
              </w:rPr>
              <w:t xml:space="preserve">. </w:t>
            </w:r>
            <w:r w:rsidR="00161A86" w:rsidRPr="004768D0">
              <w:rPr>
                <w:rFonts w:asciiTheme="majorHAnsi" w:hAnsiTheme="majorHAnsi"/>
                <w:color w:val="000000" w:themeColor="text1"/>
                <w:sz w:val="16"/>
                <w:szCs w:val="16"/>
                <w:lang w:val="es-ES"/>
              </w:rPr>
              <w:t xml:space="preserve">Relató que, cuando </w:t>
            </w:r>
            <w:r w:rsidR="002A4763" w:rsidRPr="004768D0">
              <w:rPr>
                <w:rFonts w:asciiTheme="majorHAnsi" w:hAnsiTheme="majorHAnsi"/>
                <w:color w:val="000000" w:themeColor="text1"/>
                <w:sz w:val="16"/>
                <w:szCs w:val="16"/>
                <w:lang w:val="es-ES"/>
              </w:rPr>
              <w:t xml:space="preserve">Ana Paula </w:t>
            </w:r>
            <w:r w:rsidR="00161A86" w:rsidRPr="004768D0">
              <w:rPr>
                <w:rFonts w:asciiTheme="majorHAnsi" w:hAnsiTheme="majorHAnsi"/>
                <w:color w:val="000000" w:themeColor="text1"/>
                <w:sz w:val="16"/>
                <w:szCs w:val="16"/>
                <w:lang w:val="es-ES"/>
              </w:rPr>
              <w:t>y</w:t>
            </w:r>
            <w:r w:rsidR="002A4763" w:rsidRPr="004768D0">
              <w:rPr>
                <w:rFonts w:asciiTheme="majorHAnsi" w:hAnsiTheme="majorHAnsi"/>
                <w:color w:val="000000" w:themeColor="text1"/>
                <w:sz w:val="16"/>
                <w:szCs w:val="16"/>
                <w:lang w:val="es-ES"/>
              </w:rPr>
              <w:t xml:space="preserve"> Eddie </w:t>
            </w:r>
            <w:r w:rsidR="00161A86" w:rsidRPr="004768D0">
              <w:rPr>
                <w:rFonts w:asciiTheme="majorHAnsi" w:hAnsiTheme="majorHAnsi"/>
                <w:color w:val="000000" w:themeColor="text1"/>
                <w:sz w:val="16"/>
                <w:szCs w:val="16"/>
                <w:lang w:val="es-ES"/>
              </w:rPr>
              <w:t xml:space="preserve">fueron asesinados, estaban en compañía de dos </w:t>
            </w:r>
            <w:r w:rsidR="002A4763" w:rsidRPr="004768D0">
              <w:rPr>
                <w:rFonts w:asciiTheme="majorHAnsi" w:hAnsiTheme="majorHAnsi"/>
                <w:color w:val="000000" w:themeColor="text1"/>
                <w:sz w:val="16"/>
                <w:szCs w:val="16"/>
                <w:lang w:val="es-ES"/>
              </w:rPr>
              <w:t xml:space="preserve">amigos, Rodrigo </w:t>
            </w:r>
            <w:r w:rsidR="00161A86" w:rsidRPr="004768D0">
              <w:rPr>
                <w:rFonts w:asciiTheme="majorHAnsi" w:hAnsiTheme="majorHAnsi"/>
                <w:color w:val="000000" w:themeColor="text1"/>
                <w:sz w:val="16"/>
                <w:szCs w:val="16"/>
                <w:lang w:val="es-ES"/>
              </w:rPr>
              <w:t>y</w:t>
            </w:r>
            <w:r w:rsidR="002A4763" w:rsidRPr="004768D0">
              <w:rPr>
                <w:rFonts w:asciiTheme="majorHAnsi" w:hAnsiTheme="majorHAnsi"/>
                <w:color w:val="000000" w:themeColor="text1"/>
                <w:sz w:val="16"/>
                <w:szCs w:val="16"/>
                <w:lang w:val="es-ES"/>
              </w:rPr>
              <w:t xml:space="preserve"> </w:t>
            </w:r>
            <w:r w:rsidR="004744F0" w:rsidRPr="004768D0">
              <w:rPr>
                <w:rFonts w:asciiTheme="majorHAnsi" w:hAnsiTheme="majorHAnsi"/>
                <w:color w:val="000000" w:themeColor="text1"/>
                <w:sz w:val="16"/>
                <w:szCs w:val="16"/>
                <w:lang w:val="es-ES"/>
              </w:rPr>
              <w:t>“</w:t>
            </w:r>
            <w:r w:rsidR="002A4763" w:rsidRPr="004768D0">
              <w:rPr>
                <w:rFonts w:asciiTheme="majorHAnsi" w:hAnsiTheme="majorHAnsi"/>
                <w:color w:val="000000" w:themeColor="text1"/>
                <w:sz w:val="16"/>
                <w:szCs w:val="16"/>
                <w:lang w:val="es-ES"/>
              </w:rPr>
              <w:t>Cara Suja</w:t>
            </w:r>
            <w:r w:rsidR="004744F0" w:rsidRPr="004768D0">
              <w:rPr>
                <w:rFonts w:asciiTheme="majorHAnsi" w:hAnsiTheme="majorHAnsi"/>
                <w:color w:val="000000" w:themeColor="text1"/>
                <w:sz w:val="16"/>
                <w:szCs w:val="16"/>
                <w:lang w:val="es-ES"/>
              </w:rPr>
              <w:t>”</w:t>
            </w:r>
            <w:r w:rsidR="002A4763" w:rsidRPr="004768D0">
              <w:rPr>
                <w:rFonts w:asciiTheme="majorHAnsi" w:hAnsiTheme="majorHAnsi"/>
                <w:color w:val="000000" w:themeColor="text1"/>
                <w:sz w:val="16"/>
                <w:szCs w:val="16"/>
                <w:lang w:val="es-ES"/>
              </w:rPr>
              <w:t xml:space="preserve"> (ap</w:t>
            </w:r>
            <w:r w:rsidR="00161A86" w:rsidRPr="004768D0">
              <w:rPr>
                <w:rFonts w:asciiTheme="majorHAnsi" w:hAnsiTheme="majorHAnsi"/>
                <w:color w:val="000000" w:themeColor="text1"/>
                <w:sz w:val="16"/>
                <w:szCs w:val="16"/>
                <w:lang w:val="es-ES"/>
              </w:rPr>
              <w:t>odo</w:t>
            </w:r>
            <w:r w:rsidR="002A4763" w:rsidRPr="004768D0">
              <w:rPr>
                <w:rFonts w:asciiTheme="majorHAnsi" w:hAnsiTheme="majorHAnsi"/>
                <w:color w:val="000000" w:themeColor="text1"/>
                <w:sz w:val="16"/>
                <w:szCs w:val="16"/>
                <w:lang w:val="es-ES"/>
              </w:rPr>
              <w:t>)</w:t>
            </w:r>
            <w:r w:rsidR="00161A86" w:rsidRPr="004768D0">
              <w:rPr>
                <w:rFonts w:asciiTheme="majorHAnsi" w:hAnsiTheme="majorHAnsi"/>
                <w:color w:val="000000" w:themeColor="text1"/>
                <w:sz w:val="16"/>
                <w:szCs w:val="16"/>
                <w:lang w:val="es-ES"/>
              </w:rPr>
              <w:t xml:space="preserve">. Cuatro </w:t>
            </w:r>
            <w:r w:rsidR="000C0AC4" w:rsidRPr="004768D0">
              <w:rPr>
                <w:rFonts w:asciiTheme="majorHAnsi" w:hAnsiTheme="majorHAnsi"/>
                <w:color w:val="000000" w:themeColor="text1"/>
                <w:sz w:val="16"/>
                <w:szCs w:val="16"/>
                <w:lang w:val="es-ES"/>
              </w:rPr>
              <w:t>personas</w:t>
            </w:r>
            <w:r w:rsidR="002A4763" w:rsidRPr="004768D0">
              <w:rPr>
                <w:rFonts w:asciiTheme="majorHAnsi" w:hAnsiTheme="majorHAnsi"/>
                <w:color w:val="000000" w:themeColor="text1"/>
                <w:sz w:val="16"/>
                <w:szCs w:val="16"/>
                <w:lang w:val="es-ES"/>
              </w:rPr>
              <w:t xml:space="preserve"> encapu</w:t>
            </w:r>
            <w:r w:rsidR="00161A86" w:rsidRPr="004768D0">
              <w:rPr>
                <w:rFonts w:asciiTheme="majorHAnsi" w:hAnsiTheme="majorHAnsi"/>
                <w:color w:val="000000" w:themeColor="text1"/>
                <w:sz w:val="16"/>
                <w:szCs w:val="16"/>
                <w:lang w:val="es-ES"/>
              </w:rPr>
              <w:t>chadas que estaban en un automóvil</w:t>
            </w:r>
            <w:r w:rsidR="002A4763" w:rsidRPr="004768D0">
              <w:rPr>
                <w:rFonts w:asciiTheme="majorHAnsi" w:hAnsiTheme="majorHAnsi"/>
                <w:color w:val="000000" w:themeColor="text1"/>
                <w:sz w:val="16"/>
                <w:szCs w:val="16"/>
                <w:lang w:val="es-ES"/>
              </w:rPr>
              <w:t xml:space="preserve"> </w:t>
            </w:r>
            <w:r w:rsidR="00161A86" w:rsidRPr="004768D0">
              <w:rPr>
                <w:rFonts w:asciiTheme="majorHAnsi" w:hAnsiTheme="majorHAnsi"/>
                <w:color w:val="000000" w:themeColor="text1"/>
                <w:sz w:val="16"/>
                <w:szCs w:val="16"/>
                <w:lang w:val="es-ES"/>
              </w:rPr>
              <w:t>o</w:t>
            </w:r>
            <w:r w:rsidR="002A4763" w:rsidRPr="004768D0">
              <w:rPr>
                <w:rFonts w:asciiTheme="majorHAnsi" w:hAnsiTheme="majorHAnsi"/>
                <w:color w:val="000000" w:themeColor="text1"/>
                <w:sz w:val="16"/>
                <w:szCs w:val="16"/>
                <w:lang w:val="es-ES"/>
              </w:rPr>
              <w:t>scuro</w:t>
            </w:r>
            <w:r w:rsidR="00161A86" w:rsidRPr="004768D0">
              <w:rPr>
                <w:rFonts w:asciiTheme="majorHAnsi" w:hAnsiTheme="majorHAnsi"/>
                <w:color w:val="000000" w:themeColor="text1"/>
                <w:sz w:val="16"/>
                <w:szCs w:val="16"/>
                <w:lang w:val="es-ES"/>
              </w:rPr>
              <w:t xml:space="preserve"> los siguieron y los abordaron</w:t>
            </w:r>
            <w:r w:rsidR="002A4763" w:rsidRPr="004768D0">
              <w:rPr>
                <w:rFonts w:asciiTheme="majorHAnsi" w:hAnsiTheme="majorHAnsi"/>
                <w:color w:val="000000" w:themeColor="text1"/>
                <w:sz w:val="16"/>
                <w:szCs w:val="16"/>
                <w:lang w:val="es-ES"/>
              </w:rPr>
              <w:t xml:space="preserve">. </w:t>
            </w:r>
            <w:r w:rsidR="000C0AC4" w:rsidRPr="004768D0">
              <w:rPr>
                <w:rFonts w:asciiTheme="majorHAnsi" w:hAnsiTheme="majorHAnsi"/>
                <w:color w:val="000000" w:themeColor="text1"/>
                <w:sz w:val="16"/>
                <w:szCs w:val="16"/>
                <w:lang w:val="es-ES"/>
              </w:rPr>
              <w:t>Sus</w:t>
            </w:r>
            <w:r w:rsidR="002A4763" w:rsidRPr="004768D0">
              <w:rPr>
                <w:rFonts w:asciiTheme="majorHAnsi" w:hAnsiTheme="majorHAnsi"/>
                <w:color w:val="000000" w:themeColor="text1"/>
                <w:sz w:val="16"/>
                <w:szCs w:val="16"/>
                <w:lang w:val="es-ES"/>
              </w:rPr>
              <w:t xml:space="preserve"> dos amigos </w:t>
            </w:r>
            <w:r w:rsidR="00161A86" w:rsidRPr="004768D0">
              <w:rPr>
                <w:rFonts w:asciiTheme="majorHAnsi" w:hAnsiTheme="majorHAnsi"/>
                <w:color w:val="000000" w:themeColor="text1"/>
                <w:sz w:val="16"/>
                <w:szCs w:val="16"/>
                <w:lang w:val="es-ES"/>
              </w:rPr>
              <w:t xml:space="preserve">lograron huir. El conductor bajó del automóvil disparando y alcanzó a </w:t>
            </w:r>
            <w:r w:rsidR="002A4763" w:rsidRPr="004768D0">
              <w:rPr>
                <w:rFonts w:asciiTheme="majorHAnsi" w:hAnsiTheme="majorHAnsi"/>
                <w:color w:val="000000" w:themeColor="text1"/>
                <w:sz w:val="16"/>
                <w:szCs w:val="16"/>
                <w:lang w:val="es-ES"/>
              </w:rPr>
              <w:t>Eddie</w:t>
            </w:r>
            <w:r w:rsidR="00161A86" w:rsidRPr="004768D0">
              <w:rPr>
                <w:rFonts w:asciiTheme="majorHAnsi" w:hAnsiTheme="majorHAnsi"/>
                <w:color w:val="000000" w:themeColor="text1"/>
                <w:sz w:val="16"/>
                <w:szCs w:val="16"/>
                <w:lang w:val="es-ES"/>
              </w:rPr>
              <w:t xml:space="preserve"> en la pierna</w:t>
            </w:r>
            <w:r w:rsidR="002A4763" w:rsidRPr="004768D0">
              <w:rPr>
                <w:rFonts w:asciiTheme="majorHAnsi" w:hAnsiTheme="majorHAnsi"/>
                <w:color w:val="000000" w:themeColor="text1"/>
                <w:sz w:val="16"/>
                <w:szCs w:val="16"/>
                <w:lang w:val="es-ES"/>
              </w:rPr>
              <w:t>, qu</w:t>
            </w:r>
            <w:r w:rsidR="00161A86" w:rsidRPr="004768D0">
              <w:rPr>
                <w:rFonts w:asciiTheme="majorHAnsi" w:hAnsiTheme="majorHAnsi"/>
                <w:color w:val="000000" w:themeColor="text1"/>
                <w:sz w:val="16"/>
                <w:szCs w:val="16"/>
                <w:lang w:val="es-ES"/>
              </w:rPr>
              <w:t xml:space="preserve">ien suplicó que no atentaran contra su compañera grávida. </w:t>
            </w:r>
            <w:r w:rsidR="002A4763" w:rsidRPr="004768D0">
              <w:rPr>
                <w:rFonts w:asciiTheme="majorHAnsi" w:hAnsiTheme="majorHAnsi"/>
                <w:color w:val="000000" w:themeColor="text1"/>
                <w:sz w:val="16"/>
                <w:szCs w:val="16"/>
                <w:lang w:val="es-ES"/>
              </w:rPr>
              <w:t xml:space="preserve">Eddie </w:t>
            </w:r>
            <w:r w:rsidR="00161A86" w:rsidRPr="004768D0">
              <w:rPr>
                <w:rFonts w:asciiTheme="majorHAnsi" w:hAnsiTheme="majorHAnsi"/>
                <w:color w:val="000000" w:themeColor="text1"/>
                <w:sz w:val="16"/>
                <w:szCs w:val="16"/>
                <w:lang w:val="es-ES"/>
              </w:rPr>
              <w:t>habría reconocido al conductor a pesar de la capucha</w:t>
            </w:r>
            <w:r w:rsidR="002A4763" w:rsidRPr="004768D0">
              <w:rPr>
                <w:rFonts w:asciiTheme="majorHAnsi" w:hAnsiTheme="majorHAnsi"/>
                <w:color w:val="000000" w:themeColor="text1"/>
                <w:sz w:val="16"/>
                <w:szCs w:val="16"/>
                <w:lang w:val="es-ES"/>
              </w:rPr>
              <w:t xml:space="preserve">. Ana Paula </w:t>
            </w:r>
            <w:r w:rsidR="00161A86" w:rsidRPr="004768D0">
              <w:rPr>
                <w:rFonts w:asciiTheme="majorHAnsi" w:hAnsiTheme="majorHAnsi"/>
                <w:color w:val="000000" w:themeColor="text1"/>
                <w:sz w:val="16"/>
                <w:szCs w:val="16"/>
                <w:lang w:val="es-ES"/>
              </w:rPr>
              <w:t>logró sacarle la capucha a otro de los hombres, que la</w:t>
            </w:r>
            <w:r w:rsidR="002A4763" w:rsidRPr="004768D0">
              <w:rPr>
                <w:rFonts w:asciiTheme="majorHAnsi" w:hAnsiTheme="majorHAnsi"/>
                <w:color w:val="000000" w:themeColor="text1"/>
                <w:sz w:val="16"/>
                <w:szCs w:val="16"/>
                <w:lang w:val="es-ES"/>
              </w:rPr>
              <w:t xml:space="preserve"> </w:t>
            </w:r>
            <w:r w:rsidR="00161A86" w:rsidRPr="004768D0">
              <w:rPr>
                <w:rFonts w:asciiTheme="majorHAnsi" w:hAnsiTheme="majorHAnsi"/>
                <w:color w:val="000000" w:themeColor="text1"/>
                <w:sz w:val="16"/>
                <w:szCs w:val="16"/>
                <w:lang w:val="es-ES"/>
              </w:rPr>
              <w:t>agredía</w:t>
            </w:r>
            <w:r w:rsidR="002A4763" w:rsidRPr="004768D0">
              <w:rPr>
                <w:rFonts w:asciiTheme="majorHAnsi" w:hAnsiTheme="majorHAnsi"/>
                <w:color w:val="000000" w:themeColor="text1"/>
                <w:sz w:val="16"/>
                <w:szCs w:val="16"/>
                <w:lang w:val="es-ES"/>
              </w:rPr>
              <w:t xml:space="preserve">. Ana Paula </w:t>
            </w:r>
            <w:r w:rsidR="00161A86" w:rsidRPr="004768D0">
              <w:rPr>
                <w:rFonts w:asciiTheme="majorHAnsi" w:hAnsiTheme="majorHAnsi"/>
                <w:color w:val="000000" w:themeColor="text1"/>
                <w:sz w:val="16"/>
                <w:szCs w:val="16"/>
                <w:lang w:val="es-ES"/>
              </w:rPr>
              <w:t>y</w:t>
            </w:r>
            <w:r w:rsidR="002A4763" w:rsidRPr="004768D0">
              <w:rPr>
                <w:rFonts w:asciiTheme="majorHAnsi" w:hAnsiTheme="majorHAnsi"/>
                <w:color w:val="000000" w:themeColor="text1"/>
                <w:sz w:val="16"/>
                <w:szCs w:val="16"/>
                <w:lang w:val="es-ES"/>
              </w:rPr>
              <w:t xml:space="preserve"> Eddie </w:t>
            </w:r>
            <w:r w:rsidR="00161A86" w:rsidRPr="004768D0">
              <w:rPr>
                <w:rFonts w:asciiTheme="majorHAnsi" w:hAnsiTheme="majorHAnsi"/>
                <w:color w:val="000000" w:themeColor="text1"/>
                <w:sz w:val="16"/>
                <w:szCs w:val="16"/>
                <w:lang w:val="es-ES"/>
              </w:rPr>
              <w:t xml:space="preserve">habrían </w:t>
            </w:r>
            <w:r w:rsidR="002A4763" w:rsidRPr="004768D0">
              <w:rPr>
                <w:rFonts w:asciiTheme="majorHAnsi" w:hAnsiTheme="majorHAnsi"/>
                <w:color w:val="000000" w:themeColor="text1"/>
                <w:sz w:val="16"/>
                <w:szCs w:val="16"/>
                <w:lang w:val="es-ES"/>
              </w:rPr>
              <w:t xml:space="preserve">gritado </w:t>
            </w:r>
            <w:r w:rsidR="00161A86" w:rsidRPr="004768D0">
              <w:rPr>
                <w:rFonts w:asciiTheme="majorHAnsi" w:hAnsiTheme="majorHAnsi"/>
                <w:color w:val="000000" w:themeColor="text1"/>
                <w:sz w:val="16"/>
                <w:szCs w:val="16"/>
                <w:lang w:val="es-ES"/>
              </w:rPr>
              <w:t xml:space="preserve">el nombre de las </w:t>
            </w:r>
            <w:r w:rsidR="000C0AC4" w:rsidRPr="004768D0">
              <w:rPr>
                <w:rFonts w:asciiTheme="majorHAnsi" w:hAnsiTheme="majorHAnsi"/>
                <w:color w:val="000000" w:themeColor="text1"/>
                <w:sz w:val="16"/>
                <w:szCs w:val="16"/>
                <w:lang w:val="es-ES"/>
              </w:rPr>
              <w:t>personas</w:t>
            </w:r>
            <w:r w:rsidR="002A4763" w:rsidRPr="004768D0">
              <w:rPr>
                <w:rFonts w:asciiTheme="majorHAnsi" w:hAnsiTheme="majorHAnsi"/>
                <w:color w:val="000000" w:themeColor="text1"/>
                <w:sz w:val="16"/>
                <w:szCs w:val="16"/>
                <w:lang w:val="es-ES"/>
              </w:rPr>
              <w:t xml:space="preserve"> que </w:t>
            </w:r>
            <w:r w:rsidR="00161A86" w:rsidRPr="004768D0">
              <w:rPr>
                <w:rFonts w:asciiTheme="majorHAnsi" w:hAnsiTheme="majorHAnsi"/>
                <w:color w:val="000000" w:themeColor="text1"/>
                <w:sz w:val="16"/>
                <w:szCs w:val="16"/>
                <w:lang w:val="es-ES"/>
              </w:rPr>
              <w:t xml:space="preserve">habían logrado </w:t>
            </w:r>
            <w:r w:rsidR="002A4763" w:rsidRPr="004768D0">
              <w:rPr>
                <w:rFonts w:asciiTheme="majorHAnsi" w:hAnsiTheme="majorHAnsi"/>
                <w:color w:val="000000" w:themeColor="text1"/>
                <w:sz w:val="16"/>
                <w:szCs w:val="16"/>
                <w:lang w:val="es-ES"/>
              </w:rPr>
              <w:t>identificar</w:t>
            </w:r>
            <w:r w:rsidR="00161A86" w:rsidRPr="004768D0">
              <w:rPr>
                <w:rFonts w:asciiTheme="majorHAnsi" w:hAnsiTheme="majorHAnsi"/>
                <w:color w:val="000000" w:themeColor="text1"/>
                <w:sz w:val="16"/>
                <w:szCs w:val="16"/>
                <w:lang w:val="es-ES"/>
              </w:rPr>
              <w:t>:</w:t>
            </w:r>
            <w:r w:rsidR="002A4763" w:rsidRPr="004768D0">
              <w:rPr>
                <w:rFonts w:asciiTheme="majorHAnsi" w:hAnsiTheme="majorHAnsi"/>
                <w:color w:val="000000" w:themeColor="text1"/>
                <w:sz w:val="16"/>
                <w:szCs w:val="16"/>
                <w:lang w:val="es-ES"/>
              </w:rPr>
              <w:t xml:space="preserve"> </w:t>
            </w:r>
            <w:r w:rsidR="00E04ED3" w:rsidRPr="004768D0">
              <w:rPr>
                <w:rFonts w:asciiTheme="majorHAnsi" w:hAnsiTheme="majorHAnsi"/>
                <w:color w:val="000000" w:themeColor="text1"/>
                <w:sz w:val="16"/>
                <w:szCs w:val="16"/>
                <w:lang w:val="es-ES"/>
              </w:rPr>
              <w:t>policías militares</w:t>
            </w:r>
            <w:r w:rsidR="002A4763" w:rsidRPr="004768D0">
              <w:rPr>
                <w:rFonts w:asciiTheme="majorHAnsi" w:hAnsiTheme="majorHAnsi"/>
                <w:color w:val="000000" w:themeColor="text1"/>
                <w:sz w:val="16"/>
                <w:szCs w:val="16"/>
                <w:lang w:val="es-ES"/>
              </w:rPr>
              <w:t xml:space="preserve"> con</w:t>
            </w:r>
            <w:r w:rsidR="00161A86" w:rsidRPr="004768D0">
              <w:rPr>
                <w:rFonts w:asciiTheme="majorHAnsi" w:hAnsiTheme="majorHAnsi"/>
                <w:color w:val="000000" w:themeColor="text1"/>
                <w:sz w:val="16"/>
                <w:szCs w:val="16"/>
                <w:lang w:val="es-ES"/>
              </w:rPr>
              <w:t xml:space="preserve">ocidos por los apodos </w:t>
            </w:r>
            <w:r w:rsidR="004744F0" w:rsidRPr="004768D0">
              <w:rPr>
                <w:rFonts w:asciiTheme="majorHAnsi" w:hAnsiTheme="majorHAnsi"/>
                <w:color w:val="000000" w:themeColor="text1"/>
                <w:sz w:val="16"/>
                <w:szCs w:val="16"/>
                <w:lang w:val="es-ES"/>
              </w:rPr>
              <w:t>“</w:t>
            </w:r>
            <w:proofErr w:type="spellStart"/>
            <w:r w:rsidR="002A4763" w:rsidRPr="004768D0">
              <w:rPr>
                <w:rFonts w:asciiTheme="majorHAnsi" w:hAnsiTheme="majorHAnsi"/>
                <w:color w:val="000000" w:themeColor="text1"/>
                <w:sz w:val="16"/>
                <w:szCs w:val="16"/>
                <w:lang w:val="es-ES"/>
              </w:rPr>
              <w:t>Nêgo</w:t>
            </w:r>
            <w:proofErr w:type="spellEnd"/>
            <w:r w:rsidR="002A4763" w:rsidRPr="004768D0">
              <w:rPr>
                <w:rFonts w:asciiTheme="majorHAnsi" w:hAnsiTheme="majorHAnsi"/>
                <w:color w:val="000000" w:themeColor="text1"/>
                <w:sz w:val="16"/>
                <w:szCs w:val="16"/>
                <w:lang w:val="es-ES"/>
              </w:rPr>
              <w:t xml:space="preserve"> </w:t>
            </w:r>
            <w:proofErr w:type="spellStart"/>
            <w:r w:rsidR="002A4763" w:rsidRPr="004768D0">
              <w:rPr>
                <w:rFonts w:asciiTheme="majorHAnsi" w:hAnsiTheme="majorHAnsi"/>
                <w:color w:val="000000" w:themeColor="text1"/>
                <w:sz w:val="16"/>
                <w:szCs w:val="16"/>
                <w:lang w:val="es-ES"/>
              </w:rPr>
              <w:t>Crushi</w:t>
            </w:r>
            <w:proofErr w:type="spellEnd"/>
            <w:r w:rsidR="004744F0" w:rsidRPr="004768D0">
              <w:rPr>
                <w:rFonts w:asciiTheme="majorHAnsi" w:hAnsiTheme="majorHAnsi"/>
                <w:color w:val="000000" w:themeColor="text1"/>
                <w:sz w:val="16"/>
                <w:szCs w:val="16"/>
                <w:lang w:val="es-ES"/>
              </w:rPr>
              <w:t>”</w:t>
            </w:r>
            <w:r w:rsidR="002A4763" w:rsidRPr="004768D0">
              <w:rPr>
                <w:rFonts w:asciiTheme="majorHAnsi" w:hAnsiTheme="majorHAnsi"/>
                <w:color w:val="000000" w:themeColor="text1"/>
                <w:sz w:val="16"/>
                <w:szCs w:val="16"/>
                <w:lang w:val="es-ES"/>
              </w:rPr>
              <w:t xml:space="preserve">, </w:t>
            </w:r>
            <w:r w:rsidR="004744F0" w:rsidRPr="004768D0">
              <w:rPr>
                <w:rFonts w:asciiTheme="majorHAnsi" w:hAnsiTheme="majorHAnsi"/>
                <w:color w:val="000000" w:themeColor="text1"/>
                <w:sz w:val="16"/>
                <w:szCs w:val="16"/>
                <w:lang w:val="es-ES"/>
              </w:rPr>
              <w:t>“</w:t>
            </w:r>
            <w:proofErr w:type="spellStart"/>
            <w:r w:rsidR="002A4763" w:rsidRPr="004768D0">
              <w:rPr>
                <w:rFonts w:asciiTheme="majorHAnsi" w:hAnsiTheme="majorHAnsi"/>
                <w:color w:val="000000" w:themeColor="text1"/>
                <w:sz w:val="16"/>
                <w:szCs w:val="16"/>
                <w:lang w:val="es-ES"/>
              </w:rPr>
              <w:t>Camarão</w:t>
            </w:r>
            <w:proofErr w:type="spellEnd"/>
            <w:r w:rsidR="004744F0" w:rsidRPr="004768D0">
              <w:rPr>
                <w:rFonts w:asciiTheme="majorHAnsi" w:hAnsiTheme="majorHAnsi"/>
                <w:color w:val="000000" w:themeColor="text1"/>
                <w:sz w:val="16"/>
                <w:szCs w:val="16"/>
                <w:lang w:val="es-ES"/>
              </w:rPr>
              <w:t>”</w:t>
            </w:r>
            <w:r w:rsidR="002A4763" w:rsidRPr="004768D0">
              <w:rPr>
                <w:rFonts w:asciiTheme="majorHAnsi" w:hAnsiTheme="majorHAnsi"/>
                <w:color w:val="000000" w:themeColor="text1"/>
                <w:sz w:val="16"/>
                <w:szCs w:val="16"/>
                <w:lang w:val="es-ES"/>
              </w:rPr>
              <w:t xml:space="preserve"> o </w:t>
            </w:r>
            <w:r w:rsidR="004744F0" w:rsidRPr="004768D0">
              <w:rPr>
                <w:rFonts w:asciiTheme="majorHAnsi" w:hAnsiTheme="majorHAnsi"/>
                <w:color w:val="000000" w:themeColor="text1"/>
                <w:sz w:val="16"/>
                <w:szCs w:val="16"/>
                <w:lang w:val="es-ES"/>
              </w:rPr>
              <w:t>“</w:t>
            </w:r>
            <w:proofErr w:type="spellStart"/>
            <w:r w:rsidR="002A4763" w:rsidRPr="004768D0">
              <w:rPr>
                <w:rFonts w:asciiTheme="majorHAnsi" w:hAnsiTheme="majorHAnsi"/>
                <w:color w:val="000000" w:themeColor="text1"/>
                <w:sz w:val="16"/>
                <w:szCs w:val="16"/>
                <w:lang w:val="es-ES"/>
              </w:rPr>
              <w:t>Botejara</w:t>
            </w:r>
            <w:proofErr w:type="spellEnd"/>
            <w:r w:rsidR="004744F0" w:rsidRPr="004768D0">
              <w:rPr>
                <w:rFonts w:asciiTheme="majorHAnsi" w:hAnsiTheme="majorHAnsi"/>
                <w:color w:val="000000" w:themeColor="text1"/>
                <w:sz w:val="16"/>
                <w:szCs w:val="16"/>
                <w:lang w:val="es-ES"/>
              </w:rPr>
              <w:t>”</w:t>
            </w:r>
            <w:r w:rsidR="00161A86" w:rsidRPr="004768D0">
              <w:rPr>
                <w:rFonts w:asciiTheme="majorHAnsi" w:hAnsiTheme="majorHAnsi"/>
                <w:color w:val="000000" w:themeColor="text1"/>
                <w:sz w:val="16"/>
                <w:szCs w:val="16"/>
                <w:lang w:val="es-ES"/>
              </w:rPr>
              <w:t xml:space="preserve"> y </w:t>
            </w:r>
            <w:r w:rsidR="004744F0" w:rsidRPr="004768D0">
              <w:rPr>
                <w:rFonts w:asciiTheme="majorHAnsi" w:hAnsiTheme="majorHAnsi"/>
                <w:color w:val="000000" w:themeColor="text1"/>
                <w:sz w:val="16"/>
                <w:szCs w:val="16"/>
                <w:lang w:val="es-ES"/>
              </w:rPr>
              <w:t>“</w:t>
            </w:r>
            <w:r w:rsidR="002A4763" w:rsidRPr="004768D0">
              <w:rPr>
                <w:rFonts w:asciiTheme="majorHAnsi" w:hAnsiTheme="majorHAnsi"/>
                <w:color w:val="000000" w:themeColor="text1"/>
                <w:sz w:val="16"/>
                <w:szCs w:val="16"/>
                <w:lang w:val="es-ES"/>
              </w:rPr>
              <w:t>Cara-de-</w:t>
            </w:r>
            <w:proofErr w:type="spellStart"/>
            <w:r w:rsidR="002A4763" w:rsidRPr="004768D0">
              <w:rPr>
                <w:rFonts w:asciiTheme="majorHAnsi" w:hAnsiTheme="majorHAnsi"/>
                <w:color w:val="000000" w:themeColor="text1"/>
                <w:sz w:val="16"/>
                <w:szCs w:val="16"/>
                <w:lang w:val="es-ES"/>
              </w:rPr>
              <w:t>Cavalo</w:t>
            </w:r>
            <w:proofErr w:type="spellEnd"/>
            <w:r w:rsidR="004744F0" w:rsidRPr="004768D0">
              <w:rPr>
                <w:rFonts w:asciiTheme="majorHAnsi" w:hAnsiTheme="majorHAnsi"/>
                <w:color w:val="000000" w:themeColor="text1"/>
                <w:sz w:val="16"/>
                <w:szCs w:val="16"/>
                <w:lang w:val="es-ES"/>
              </w:rPr>
              <w:t>”</w:t>
            </w:r>
            <w:r w:rsidR="002A4763" w:rsidRPr="004768D0">
              <w:rPr>
                <w:rFonts w:asciiTheme="majorHAnsi" w:hAnsiTheme="majorHAnsi"/>
                <w:color w:val="000000" w:themeColor="text1"/>
                <w:sz w:val="16"/>
                <w:szCs w:val="16"/>
                <w:lang w:val="es-ES"/>
              </w:rPr>
              <w:t xml:space="preserve">. </w:t>
            </w:r>
            <w:r w:rsidR="00161A86" w:rsidRPr="004768D0">
              <w:rPr>
                <w:rFonts w:asciiTheme="majorHAnsi" w:hAnsiTheme="majorHAnsi"/>
                <w:color w:val="000000" w:themeColor="text1"/>
                <w:sz w:val="16"/>
                <w:szCs w:val="16"/>
                <w:lang w:val="es-ES"/>
              </w:rPr>
              <w:t xml:space="preserve">Entonces, uno de los </w:t>
            </w:r>
            <w:r w:rsidR="002A4763" w:rsidRPr="004768D0">
              <w:rPr>
                <w:rFonts w:asciiTheme="majorHAnsi" w:hAnsiTheme="majorHAnsi"/>
                <w:color w:val="000000" w:themeColor="text1"/>
                <w:sz w:val="16"/>
                <w:szCs w:val="16"/>
                <w:lang w:val="es-ES"/>
              </w:rPr>
              <w:t>agresores</w:t>
            </w:r>
            <w:r w:rsidR="00161A86" w:rsidRPr="004768D0">
              <w:rPr>
                <w:rFonts w:asciiTheme="majorHAnsi" w:hAnsiTheme="majorHAnsi"/>
                <w:color w:val="000000" w:themeColor="text1"/>
                <w:sz w:val="16"/>
                <w:szCs w:val="16"/>
                <w:lang w:val="es-ES"/>
              </w:rPr>
              <w:t xml:space="preserve"> le habría disparado a</w:t>
            </w:r>
            <w:r w:rsidR="002A4763" w:rsidRPr="004768D0">
              <w:rPr>
                <w:rFonts w:asciiTheme="majorHAnsi" w:hAnsiTheme="majorHAnsi"/>
                <w:color w:val="000000" w:themeColor="text1"/>
                <w:sz w:val="16"/>
                <w:szCs w:val="16"/>
                <w:lang w:val="es-ES"/>
              </w:rPr>
              <w:t xml:space="preserve"> Ana Paula</w:t>
            </w:r>
            <w:r w:rsidR="00161A86" w:rsidRPr="004768D0">
              <w:rPr>
                <w:rFonts w:asciiTheme="majorHAnsi" w:hAnsiTheme="majorHAnsi"/>
                <w:color w:val="000000" w:themeColor="text1"/>
                <w:sz w:val="16"/>
                <w:szCs w:val="16"/>
                <w:lang w:val="es-ES"/>
              </w:rPr>
              <w:t xml:space="preserve"> en la cabeza</w:t>
            </w:r>
            <w:r w:rsidR="002A4763"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Después</w:t>
            </w:r>
            <w:r w:rsidR="002A4763" w:rsidRPr="004768D0">
              <w:rPr>
                <w:rFonts w:asciiTheme="majorHAnsi" w:hAnsiTheme="majorHAnsi"/>
                <w:color w:val="000000" w:themeColor="text1"/>
                <w:sz w:val="16"/>
                <w:szCs w:val="16"/>
                <w:lang w:val="es-ES"/>
              </w:rPr>
              <w:t>, ambos f</w:t>
            </w:r>
            <w:r w:rsidR="00161A86" w:rsidRPr="004768D0">
              <w:rPr>
                <w:rFonts w:asciiTheme="majorHAnsi" w:hAnsiTheme="majorHAnsi"/>
                <w:color w:val="000000" w:themeColor="text1"/>
                <w:sz w:val="16"/>
                <w:szCs w:val="16"/>
                <w:lang w:val="es-ES"/>
              </w:rPr>
              <w:t>ueron a</w:t>
            </w:r>
            <w:r w:rsidR="002A4763" w:rsidRPr="004768D0">
              <w:rPr>
                <w:rFonts w:asciiTheme="majorHAnsi" w:hAnsiTheme="majorHAnsi"/>
                <w:color w:val="000000" w:themeColor="text1"/>
                <w:sz w:val="16"/>
                <w:szCs w:val="16"/>
                <w:lang w:val="es-ES"/>
              </w:rPr>
              <w:t>metral</w:t>
            </w:r>
            <w:r w:rsidR="00161A86" w:rsidRPr="004768D0">
              <w:rPr>
                <w:rFonts w:asciiTheme="majorHAnsi" w:hAnsiTheme="majorHAnsi"/>
                <w:color w:val="000000" w:themeColor="text1"/>
                <w:sz w:val="16"/>
                <w:szCs w:val="16"/>
                <w:lang w:val="es-ES"/>
              </w:rPr>
              <w:t>l</w:t>
            </w:r>
            <w:r w:rsidR="002A4763" w:rsidRPr="004768D0">
              <w:rPr>
                <w:rFonts w:asciiTheme="majorHAnsi" w:hAnsiTheme="majorHAnsi"/>
                <w:color w:val="000000" w:themeColor="text1"/>
                <w:sz w:val="16"/>
                <w:szCs w:val="16"/>
                <w:lang w:val="es-ES"/>
              </w:rPr>
              <w:t xml:space="preserve">ados. </w:t>
            </w:r>
            <w:r w:rsidR="00161A86" w:rsidRPr="004768D0">
              <w:rPr>
                <w:rFonts w:asciiTheme="majorHAnsi" w:hAnsiTheme="majorHAnsi"/>
                <w:color w:val="000000" w:themeColor="text1"/>
                <w:sz w:val="16"/>
                <w:szCs w:val="16"/>
                <w:lang w:val="es-ES"/>
              </w:rPr>
              <w:t>Lo</w:t>
            </w:r>
            <w:r w:rsidR="002A4763" w:rsidRPr="004768D0">
              <w:rPr>
                <w:rFonts w:asciiTheme="majorHAnsi" w:hAnsiTheme="majorHAnsi"/>
                <w:color w:val="000000" w:themeColor="text1"/>
                <w:sz w:val="16"/>
                <w:szCs w:val="16"/>
                <w:lang w:val="es-ES"/>
              </w:rPr>
              <w:t xml:space="preserve">s agresores </w:t>
            </w:r>
            <w:r w:rsidR="00161A86" w:rsidRPr="004768D0">
              <w:rPr>
                <w:rFonts w:asciiTheme="majorHAnsi" w:hAnsiTheme="majorHAnsi"/>
                <w:color w:val="000000" w:themeColor="text1"/>
                <w:sz w:val="16"/>
                <w:szCs w:val="16"/>
                <w:lang w:val="es-ES"/>
              </w:rPr>
              <w:t xml:space="preserve">se dieron a la fuga. De inmediato llegaron alrededor de ocho vehículos de la </w:t>
            </w:r>
            <w:r w:rsidR="00372008" w:rsidRPr="004768D0">
              <w:rPr>
                <w:rFonts w:asciiTheme="majorHAnsi" w:hAnsiTheme="majorHAnsi"/>
                <w:color w:val="000000" w:themeColor="text1"/>
                <w:sz w:val="16"/>
                <w:szCs w:val="16"/>
                <w:lang w:val="es-ES"/>
              </w:rPr>
              <w:t>Policía</w:t>
            </w:r>
            <w:r w:rsidR="002A4763" w:rsidRPr="004768D0">
              <w:rPr>
                <w:rFonts w:asciiTheme="majorHAnsi" w:hAnsiTheme="majorHAnsi"/>
                <w:color w:val="000000" w:themeColor="text1"/>
                <w:sz w:val="16"/>
                <w:szCs w:val="16"/>
                <w:lang w:val="es-ES"/>
              </w:rPr>
              <w:t xml:space="preserve"> Militar</w:t>
            </w:r>
            <w:r w:rsidR="00161A86" w:rsidRPr="004768D0">
              <w:rPr>
                <w:rFonts w:asciiTheme="majorHAnsi" w:hAnsiTheme="majorHAnsi"/>
                <w:color w:val="000000" w:themeColor="text1"/>
                <w:sz w:val="16"/>
                <w:szCs w:val="16"/>
                <w:lang w:val="es-ES"/>
              </w:rPr>
              <w:t>. Los agentes dijeron que las</w:t>
            </w:r>
            <w:r w:rsidR="009A608A">
              <w:rPr>
                <w:rFonts w:asciiTheme="majorHAnsi" w:hAnsiTheme="majorHAnsi"/>
                <w:color w:val="000000" w:themeColor="text1"/>
                <w:sz w:val="16"/>
                <w:szCs w:val="16"/>
                <w:lang w:val="es-ES"/>
              </w:rPr>
              <w:t xml:space="preserve"> </w:t>
            </w:r>
            <w:r w:rsidR="00000CF9" w:rsidRPr="004768D0">
              <w:rPr>
                <w:rFonts w:asciiTheme="majorHAnsi" w:hAnsiTheme="majorHAnsi"/>
                <w:color w:val="000000" w:themeColor="text1"/>
                <w:sz w:val="16"/>
                <w:szCs w:val="16"/>
                <w:lang w:val="es-ES"/>
              </w:rPr>
              <w:t>víctimas</w:t>
            </w:r>
            <w:r w:rsidR="002A4763" w:rsidRPr="004768D0">
              <w:rPr>
                <w:rFonts w:asciiTheme="majorHAnsi" w:hAnsiTheme="majorHAnsi"/>
                <w:color w:val="000000" w:themeColor="text1"/>
                <w:sz w:val="16"/>
                <w:szCs w:val="16"/>
                <w:lang w:val="es-ES"/>
              </w:rPr>
              <w:t xml:space="preserve"> </w:t>
            </w:r>
            <w:r w:rsidR="00161A86" w:rsidRPr="004768D0">
              <w:rPr>
                <w:rFonts w:asciiTheme="majorHAnsi" w:hAnsiTheme="majorHAnsi"/>
                <w:color w:val="000000" w:themeColor="text1"/>
                <w:sz w:val="16"/>
                <w:szCs w:val="16"/>
                <w:lang w:val="es-ES"/>
              </w:rPr>
              <w:t xml:space="preserve">todavía estaban </w:t>
            </w:r>
            <w:r w:rsidR="002A4763" w:rsidRPr="004768D0">
              <w:rPr>
                <w:rFonts w:asciiTheme="majorHAnsi" w:hAnsiTheme="majorHAnsi"/>
                <w:color w:val="000000" w:themeColor="text1"/>
                <w:sz w:val="16"/>
                <w:szCs w:val="16"/>
                <w:lang w:val="es-ES"/>
              </w:rPr>
              <w:t xml:space="preserve">vivas </w:t>
            </w:r>
            <w:r w:rsidR="00161A86" w:rsidRPr="004768D0">
              <w:rPr>
                <w:rFonts w:asciiTheme="majorHAnsi" w:hAnsiTheme="majorHAnsi"/>
                <w:color w:val="000000" w:themeColor="text1"/>
                <w:sz w:val="16"/>
                <w:szCs w:val="16"/>
                <w:lang w:val="es-ES"/>
              </w:rPr>
              <w:t xml:space="preserve">y que habían ido a socorrerlas, pero </w:t>
            </w:r>
            <w:r w:rsidR="002A4763" w:rsidRPr="004768D0">
              <w:rPr>
                <w:rFonts w:asciiTheme="majorHAnsi" w:hAnsiTheme="majorHAnsi"/>
                <w:color w:val="000000" w:themeColor="text1"/>
                <w:sz w:val="16"/>
                <w:szCs w:val="16"/>
                <w:lang w:val="es-ES"/>
              </w:rPr>
              <w:t>las</w:t>
            </w:r>
            <w:r w:rsidR="00161A86" w:rsidRPr="004768D0">
              <w:rPr>
                <w:rFonts w:asciiTheme="majorHAnsi" w:hAnsiTheme="majorHAnsi"/>
                <w:color w:val="000000" w:themeColor="text1"/>
                <w:sz w:val="16"/>
                <w:szCs w:val="16"/>
                <w:lang w:val="es-ES"/>
              </w:rPr>
              <w:t xml:space="preserve"> </w:t>
            </w:r>
            <w:r w:rsidR="000C0AC4" w:rsidRPr="004768D0">
              <w:rPr>
                <w:rFonts w:asciiTheme="majorHAnsi" w:hAnsiTheme="majorHAnsi"/>
                <w:color w:val="000000" w:themeColor="text1"/>
                <w:sz w:val="16"/>
                <w:szCs w:val="16"/>
                <w:lang w:val="es-ES"/>
              </w:rPr>
              <w:t>personas</w:t>
            </w:r>
            <w:r w:rsidR="002A4763" w:rsidRPr="004768D0">
              <w:rPr>
                <w:rFonts w:asciiTheme="majorHAnsi" w:hAnsiTheme="majorHAnsi"/>
                <w:color w:val="000000" w:themeColor="text1"/>
                <w:sz w:val="16"/>
                <w:szCs w:val="16"/>
                <w:lang w:val="es-ES"/>
              </w:rPr>
              <w:t xml:space="preserve"> que </w:t>
            </w:r>
            <w:r w:rsidR="00161A86" w:rsidRPr="004768D0">
              <w:rPr>
                <w:rFonts w:asciiTheme="majorHAnsi" w:hAnsiTheme="majorHAnsi"/>
                <w:color w:val="000000" w:themeColor="text1"/>
                <w:sz w:val="16"/>
                <w:szCs w:val="16"/>
                <w:lang w:val="es-ES"/>
              </w:rPr>
              <w:t>estaban</w:t>
            </w:r>
            <w:r w:rsidR="002A4763" w:rsidRPr="004768D0">
              <w:rPr>
                <w:rFonts w:asciiTheme="majorHAnsi" w:hAnsiTheme="majorHAnsi"/>
                <w:color w:val="000000" w:themeColor="text1"/>
                <w:sz w:val="16"/>
                <w:szCs w:val="16"/>
                <w:lang w:val="es-ES"/>
              </w:rPr>
              <w:t xml:space="preserve"> </w:t>
            </w:r>
            <w:r w:rsidR="00161A86" w:rsidRPr="004768D0">
              <w:rPr>
                <w:rFonts w:asciiTheme="majorHAnsi" w:hAnsiTheme="majorHAnsi"/>
                <w:color w:val="000000" w:themeColor="text1"/>
                <w:sz w:val="16"/>
                <w:szCs w:val="16"/>
                <w:lang w:val="es-ES"/>
              </w:rPr>
              <w:t>e</w:t>
            </w:r>
            <w:r w:rsidR="002A4763" w:rsidRPr="004768D0">
              <w:rPr>
                <w:rFonts w:asciiTheme="majorHAnsi" w:hAnsiTheme="majorHAnsi"/>
                <w:color w:val="000000" w:themeColor="text1"/>
                <w:sz w:val="16"/>
                <w:szCs w:val="16"/>
                <w:lang w:val="es-ES"/>
              </w:rPr>
              <w:t>n</w:t>
            </w:r>
            <w:r w:rsidR="00161A86" w:rsidRPr="004768D0">
              <w:rPr>
                <w:rFonts w:asciiTheme="majorHAnsi" w:hAnsiTheme="majorHAnsi"/>
                <w:color w:val="000000" w:themeColor="text1"/>
                <w:sz w:val="16"/>
                <w:szCs w:val="16"/>
                <w:lang w:val="es-ES"/>
              </w:rPr>
              <w:t xml:space="preserve"> el lugar, que prefirieron no identificarse, le habrían </w:t>
            </w:r>
            <w:r w:rsidR="00161A86" w:rsidRPr="004768D0">
              <w:rPr>
                <w:rFonts w:asciiTheme="majorHAnsi" w:hAnsiTheme="majorHAnsi"/>
                <w:color w:val="000000" w:themeColor="text1"/>
                <w:sz w:val="16"/>
                <w:szCs w:val="16"/>
                <w:lang w:val="es-ES"/>
              </w:rPr>
              <w:lastRenderedPageBreak/>
              <w:t xml:space="preserve">dicho a </w:t>
            </w:r>
            <w:r w:rsidR="002A4763" w:rsidRPr="004768D0">
              <w:rPr>
                <w:rFonts w:asciiTheme="majorHAnsi" w:hAnsiTheme="majorHAnsi"/>
                <w:color w:val="000000" w:themeColor="text1"/>
                <w:sz w:val="16"/>
                <w:szCs w:val="16"/>
                <w:lang w:val="es-ES"/>
              </w:rPr>
              <w:t xml:space="preserve">Vera que </w:t>
            </w:r>
            <w:r w:rsidR="00161A86" w:rsidRPr="004768D0">
              <w:rPr>
                <w:rFonts w:asciiTheme="majorHAnsi" w:hAnsiTheme="majorHAnsi"/>
                <w:color w:val="000000" w:themeColor="text1"/>
                <w:sz w:val="16"/>
                <w:szCs w:val="16"/>
                <w:lang w:val="es-ES"/>
              </w:rPr>
              <w:t>eso no era cierto</w:t>
            </w:r>
            <w:r w:rsidR="002A4763" w:rsidRPr="004768D0">
              <w:rPr>
                <w:rFonts w:asciiTheme="majorHAnsi" w:hAnsiTheme="majorHAnsi"/>
                <w:color w:val="000000" w:themeColor="text1"/>
                <w:sz w:val="16"/>
                <w:szCs w:val="16"/>
                <w:lang w:val="es-ES"/>
              </w:rPr>
              <w:t>. Vera relat</w:t>
            </w:r>
            <w:r w:rsidR="00B2685F" w:rsidRPr="004768D0">
              <w:rPr>
                <w:rFonts w:asciiTheme="majorHAnsi" w:hAnsiTheme="majorHAnsi"/>
                <w:color w:val="000000" w:themeColor="text1"/>
                <w:sz w:val="16"/>
                <w:szCs w:val="16"/>
                <w:lang w:val="es-ES"/>
              </w:rPr>
              <w:t xml:space="preserve">ó asimismo que fueron cuatro </w:t>
            </w:r>
            <w:r w:rsidR="00E04ED3" w:rsidRPr="004768D0">
              <w:rPr>
                <w:rFonts w:asciiTheme="majorHAnsi" w:hAnsiTheme="majorHAnsi"/>
                <w:color w:val="000000" w:themeColor="text1"/>
                <w:sz w:val="16"/>
                <w:szCs w:val="16"/>
                <w:lang w:val="es-ES"/>
              </w:rPr>
              <w:t>policías militares</w:t>
            </w:r>
            <w:r w:rsidR="002A4763" w:rsidRPr="004768D0">
              <w:rPr>
                <w:rFonts w:asciiTheme="majorHAnsi" w:hAnsiTheme="majorHAnsi"/>
                <w:color w:val="000000" w:themeColor="text1"/>
                <w:sz w:val="16"/>
                <w:szCs w:val="16"/>
                <w:lang w:val="es-ES"/>
              </w:rPr>
              <w:t xml:space="preserve"> </w:t>
            </w:r>
            <w:r w:rsidR="00B2685F" w:rsidRPr="004768D0">
              <w:rPr>
                <w:rFonts w:asciiTheme="majorHAnsi" w:hAnsiTheme="majorHAnsi"/>
                <w:color w:val="000000" w:themeColor="text1"/>
                <w:sz w:val="16"/>
                <w:szCs w:val="16"/>
                <w:lang w:val="es-ES"/>
              </w:rPr>
              <w:t xml:space="preserve">al </w:t>
            </w:r>
            <w:r w:rsidR="000E19DC" w:rsidRPr="004768D0">
              <w:rPr>
                <w:rFonts w:asciiTheme="majorHAnsi" w:hAnsiTheme="majorHAnsi"/>
                <w:color w:val="000000" w:themeColor="text1"/>
                <w:sz w:val="16"/>
                <w:szCs w:val="16"/>
                <w:lang w:val="es-ES"/>
              </w:rPr>
              <w:t>velatorio</w:t>
            </w:r>
            <w:r w:rsidR="002A4763" w:rsidRPr="004768D0">
              <w:rPr>
                <w:rFonts w:asciiTheme="majorHAnsi" w:hAnsiTheme="majorHAnsi"/>
                <w:color w:val="000000" w:themeColor="text1"/>
                <w:sz w:val="16"/>
                <w:szCs w:val="16"/>
                <w:lang w:val="es-ES"/>
              </w:rPr>
              <w:t xml:space="preserve"> de su</w:t>
            </w:r>
            <w:r w:rsidR="00B2685F" w:rsidRPr="004768D0">
              <w:rPr>
                <w:rFonts w:asciiTheme="majorHAnsi" w:hAnsiTheme="majorHAnsi"/>
                <w:color w:val="000000" w:themeColor="text1"/>
                <w:sz w:val="16"/>
                <w:szCs w:val="16"/>
                <w:lang w:val="es-ES"/>
              </w:rPr>
              <w:t xml:space="preserve"> hija y su yerno y anotaron el nombre de las p</w:t>
            </w:r>
            <w:r w:rsidR="000C0AC4" w:rsidRPr="004768D0">
              <w:rPr>
                <w:rFonts w:asciiTheme="majorHAnsi" w:hAnsiTheme="majorHAnsi"/>
                <w:color w:val="000000" w:themeColor="text1"/>
                <w:sz w:val="16"/>
                <w:szCs w:val="16"/>
                <w:lang w:val="es-ES"/>
              </w:rPr>
              <w:t>ersonas</w:t>
            </w:r>
            <w:r w:rsidR="002A4763" w:rsidRPr="004768D0">
              <w:rPr>
                <w:rFonts w:asciiTheme="majorHAnsi" w:hAnsiTheme="majorHAnsi"/>
                <w:color w:val="000000" w:themeColor="text1"/>
                <w:sz w:val="16"/>
                <w:szCs w:val="16"/>
                <w:lang w:val="es-ES"/>
              </w:rPr>
              <w:t xml:space="preserve"> presentes, </w:t>
            </w:r>
            <w:r w:rsidR="00B2685F" w:rsidRPr="004768D0">
              <w:rPr>
                <w:rFonts w:asciiTheme="majorHAnsi" w:hAnsiTheme="majorHAnsi"/>
                <w:color w:val="000000" w:themeColor="text1"/>
                <w:sz w:val="16"/>
                <w:szCs w:val="16"/>
                <w:lang w:val="es-ES"/>
              </w:rPr>
              <w:t>entre ellas dos jóvenes que fueron ametrallados cuando llegaron a su ca</w:t>
            </w:r>
            <w:r w:rsidR="002A4763" w:rsidRPr="004768D0">
              <w:rPr>
                <w:rFonts w:asciiTheme="majorHAnsi" w:hAnsiTheme="majorHAnsi"/>
                <w:color w:val="000000" w:themeColor="text1"/>
                <w:sz w:val="16"/>
                <w:szCs w:val="16"/>
                <w:lang w:val="es-ES"/>
              </w:rPr>
              <w:t xml:space="preserve">sa. </w:t>
            </w:r>
            <w:r w:rsidR="00B2685F" w:rsidRPr="004768D0">
              <w:rPr>
                <w:rFonts w:asciiTheme="majorHAnsi" w:hAnsiTheme="majorHAnsi"/>
                <w:color w:val="000000" w:themeColor="text1"/>
                <w:sz w:val="16"/>
                <w:szCs w:val="16"/>
                <w:lang w:val="es-ES"/>
              </w:rPr>
              <w:t>También se hicieron presentes agentes de policía en la misa del séptimo día</w:t>
            </w:r>
            <w:r w:rsidR="002A4763" w:rsidRPr="004768D0">
              <w:rPr>
                <w:rFonts w:asciiTheme="majorHAnsi" w:hAnsiTheme="majorHAnsi"/>
                <w:color w:val="000000" w:themeColor="text1"/>
                <w:sz w:val="16"/>
                <w:szCs w:val="16"/>
                <w:lang w:val="es-ES"/>
              </w:rPr>
              <w:t xml:space="preserve">. </w:t>
            </w:r>
          </w:p>
          <w:p w14:paraId="579B9F8A" w14:textId="19484E1B" w:rsidR="00C25420" w:rsidRPr="004768D0" w:rsidRDefault="00B2685F" w:rsidP="00B2685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El 22 de noviembre de 2006, s</w:t>
            </w:r>
            <w:r w:rsidR="002A4763" w:rsidRPr="004768D0">
              <w:rPr>
                <w:rFonts w:asciiTheme="majorHAnsi" w:hAnsiTheme="majorHAnsi"/>
                <w:color w:val="000000" w:themeColor="text1"/>
                <w:sz w:val="16"/>
                <w:szCs w:val="16"/>
                <w:lang w:val="es-ES"/>
              </w:rPr>
              <w:t xml:space="preserve">eis meses </w:t>
            </w:r>
            <w:r w:rsidR="0084419A" w:rsidRPr="004768D0">
              <w:rPr>
                <w:rFonts w:asciiTheme="majorHAnsi" w:hAnsiTheme="majorHAnsi"/>
                <w:color w:val="000000" w:themeColor="text1"/>
                <w:sz w:val="16"/>
                <w:szCs w:val="16"/>
                <w:lang w:val="es-ES"/>
              </w:rPr>
              <w:t>después</w:t>
            </w:r>
            <w:r w:rsidR="002A4763" w:rsidRPr="004768D0">
              <w:rPr>
                <w:rFonts w:asciiTheme="majorHAnsi" w:hAnsiTheme="majorHAnsi"/>
                <w:color w:val="000000" w:themeColor="text1"/>
                <w:sz w:val="16"/>
                <w:szCs w:val="16"/>
                <w:lang w:val="es-ES"/>
              </w:rPr>
              <w:t xml:space="preserve"> d</w:t>
            </w:r>
            <w:r w:rsidRPr="004768D0">
              <w:rPr>
                <w:rFonts w:asciiTheme="majorHAnsi" w:hAnsiTheme="majorHAnsi"/>
                <w:color w:val="000000" w:themeColor="text1"/>
                <w:sz w:val="16"/>
                <w:szCs w:val="16"/>
                <w:lang w:val="es-ES"/>
              </w:rPr>
              <w:t xml:space="preserve">e la muerte </w:t>
            </w:r>
            <w:r w:rsidR="00372008" w:rsidRPr="004768D0">
              <w:rPr>
                <w:rFonts w:asciiTheme="majorHAnsi" w:hAnsiTheme="majorHAnsi"/>
                <w:color w:val="000000" w:themeColor="text1"/>
                <w:sz w:val="16"/>
                <w:szCs w:val="16"/>
                <w:lang w:val="es-ES"/>
              </w:rPr>
              <w:t>de</w:t>
            </w:r>
            <w:r w:rsidR="002A4763" w:rsidRPr="004768D0">
              <w:rPr>
                <w:rFonts w:asciiTheme="majorHAnsi" w:hAnsiTheme="majorHAnsi"/>
                <w:color w:val="000000" w:themeColor="text1"/>
                <w:sz w:val="16"/>
                <w:szCs w:val="16"/>
                <w:lang w:val="es-ES"/>
              </w:rPr>
              <w:t xml:space="preserve"> Eddie </w:t>
            </w:r>
            <w:r w:rsidRPr="004768D0">
              <w:rPr>
                <w:rFonts w:asciiTheme="majorHAnsi" w:hAnsiTheme="majorHAnsi"/>
                <w:color w:val="000000" w:themeColor="text1"/>
                <w:sz w:val="16"/>
                <w:szCs w:val="16"/>
                <w:lang w:val="es-ES"/>
              </w:rPr>
              <w:t>y</w:t>
            </w:r>
            <w:r w:rsidR="002A4763" w:rsidRPr="004768D0">
              <w:rPr>
                <w:rFonts w:asciiTheme="majorHAnsi" w:hAnsiTheme="majorHAnsi"/>
                <w:color w:val="000000" w:themeColor="text1"/>
                <w:sz w:val="16"/>
                <w:szCs w:val="16"/>
                <w:lang w:val="es-ES"/>
              </w:rPr>
              <w:t xml:space="preserve"> Ana Paula, </w:t>
            </w:r>
            <w:r w:rsidRPr="004768D0">
              <w:rPr>
                <w:rFonts w:asciiTheme="majorHAnsi" w:hAnsiTheme="majorHAnsi"/>
                <w:color w:val="000000" w:themeColor="text1"/>
                <w:sz w:val="16"/>
                <w:szCs w:val="16"/>
                <w:lang w:val="es-ES"/>
              </w:rPr>
              <w:t>la</w:t>
            </w:r>
            <w:r w:rsidR="002A4763" w:rsidRPr="004768D0">
              <w:rPr>
                <w:rFonts w:asciiTheme="majorHAnsi" w:hAnsiTheme="majorHAnsi"/>
                <w:color w:val="000000" w:themeColor="text1"/>
                <w:sz w:val="16"/>
                <w:szCs w:val="16"/>
                <w:lang w:val="es-ES"/>
              </w:rPr>
              <w:t xml:space="preserve"> </w:t>
            </w:r>
            <w:r w:rsidR="00C03E33" w:rsidRPr="004768D0">
              <w:rPr>
                <w:rFonts w:asciiTheme="majorHAnsi" w:hAnsiTheme="majorHAnsi"/>
                <w:color w:val="000000" w:themeColor="text1"/>
                <w:sz w:val="16"/>
                <w:szCs w:val="16"/>
                <w:lang w:val="es-ES"/>
              </w:rPr>
              <w:t>investigación</w:t>
            </w:r>
            <w:r w:rsidR="002A4763" w:rsidRPr="004768D0">
              <w:rPr>
                <w:rFonts w:asciiTheme="majorHAnsi" w:hAnsiTheme="majorHAnsi"/>
                <w:color w:val="000000" w:themeColor="text1"/>
                <w:sz w:val="16"/>
                <w:szCs w:val="16"/>
                <w:lang w:val="es-ES"/>
              </w:rPr>
              <w:t xml:space="preserve"> policial f</w:t>
            </w:r>
            <w:r w:rsidRPr="004768D0">
              <w:rPr>
                <w:rFonts w:asciiTheme="majorHAnsi" w:hAnsiTheme="majorHAnsi"/>
                <w:color w:val="000000" w:themeColor="text1"/>
                <w:sz w:val="16"/>
                <w:szCs w:val="16"/>
                <w:lang w:val="es-ES"/>
              </w:rPr>
              <w:t xml:space="preserve">ue archivada y el delito quedó sin </w:t>
            </w:r>
            <w:r w:rsidR="00512C56">
              <w:rPr>
                <w:rFonts w:asciiTheme="majorHAnsi" w:hAnsiTheme="majorHAnsi"/>
                <w:color w:val="000000" w:themeColor="text1"/>
                <w:sz w:val="16"/>
                <w:szCs w:val="16"/>
                <w:lang w:val="es-ES"/>
              </w:rPr>
              <w:t>solución</w:t>
            </w:r>
            <w:r w:rsidR="002A4763" w:rsidRPr="004768D0">
              <w:rPr>
                <w:rFonts w:asciiTheme="majorHAnsi" w:hAnsiTheme="majorHAnsi"/>
                <w:color w:val="000000" w:themeColor="text1"/>
                <w:sz w:val="16"/>
                <w:szCs w:val="16"/>
                <w:lang w:val="es-ES"/>
              </w:rPr>
              <w:t>.</w:t>
            </w:r>
          </w:p>
        </w:tc>
      </w:tr>
      <w:tr w:rsidR="003C5EF0" w:rsidRPr="008D6F96" w14:paraId="40448D47" w14:textId="77777777" w:rsidTr="003C5EF0">
        <w:tc>
          <w:tcPr>
            <w:tcW w:w="9350" w:type="dxa"/>
            <w:shd w:val="clear" w:color="auto" w:fill="000000" w:themeFill="text1"/>
          </w:tcPr>
          <w:p w14:paraId="41DFC2E4" w14:textId="77777777" w:rsidR="003C5EF0" w:rsidRPr="004768D0" w:rsidRDefault="00372008" w:rsidP="003720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es-ES"/>
              </w:rPr>
            </w:pPr>
            <w:r w:rsidRPr="004768D0">
              <w:rPr>
                <w:rFonts w:asciiTheme="majorHAnsi" w:hAnsiTheme="majorHAnsi"/>
                <w:b/>
                <w:bCs/>
                <w:color w:val="FFFFFF" w:themeColor="background1"/>
                <w:sz w:val="16"/>
                <w:szCs w:val="16"/>
                <w:lang w:val="es-ES"/>
              </w:rPr>
              <w:lastRenderedPageBreak/>
              <w:t>Muerte de</w:t>
            </w:r>
            <w:r w:rsidR="003C5EF0" w:rsidRPr="004768D0">
              <w:rPr>
                <w:rFonts w:asciiTheme="majorHAnsi" w:hAnsiTheme="majorHAnsi"/>
                <w:b/>
                <w:bCs/>
                <w:color w:val="FFFFFF" w:themeColor="background1"/>
                <w:sz w:val="16"/>
                <w:szCs w:val="16"/>
                <w:lang w:val="es-ES"/>
              </w:rPr>
              <w:t xml:space="preserve"> Ricardo Porto </w:t>
            </w:r>
            <w:proofErr w:type="spellStart"/>
            <w:r w:rsidR="003C5EF0" w:rsidRPr="004768D0">
              <w:rPr>
                <w:rFonts w:asciiTheme="majorHAnsi" w:hAnsiTheme="majorHAnsi"/>
                <w:b/>
                <w:bCs/>
                <w:color w:val="FFFFFF" w:themeColor="background1"/>
                <w:sz w:val="16"/>
                <w:szCs w:val="16"/>
                <w:lang w:val="es-ES"/>
              </w:rPr>
              <w:t>Noronha</w:t>
            </w:r>
            <w:proofErr w:type="spellEnd"/>
            <w:r w:rsidR="003C5EF0" w:rsidRPr="004768D0">
              <w:rPr>
                <w:rFonts w:asciiTheme="majorHAnsi" w:hAnsiTheme="majorHAnsi"/>
                <w:b/>
                <w:bCs/>
                <w:color w:val="FFFFFF" w:themeColor="background1"/>
                <w:sz w:val="16"/>
                <w:szCs w:val="16"/>
                <w:lang w:val="es-ES"/>
              </w:rPr>
              <w:t xml:space="preserve"> </w:t>
            </w:r>
            <w:r w:rsidRPr="004768D0">
              <w:rPr>
                <w:rFonts w:asciiTheme="majorHAnsi" w:hAnsiTheme="majorHAnsi"/>
                <w:b/>
                <w:bCs/>
                <w:color w:val="FFFFFF" w:themeColor="background1"/>
                <w:sz w:val="16"/>
                <w:szCs w:val="16"/>
                <w:lang w:val="es-ES"/>
              </w:rPr>
              <w:t>y</w:t>
            </w:r>
            <w:r w:rsidR="003C5EF0" w:rsidRPr="004768D0">
              <w:rPr>
                <w:rFonts w:asciiTheme="majorHAnsi" w:hAnsiTheme="majorHAnsi"/>
                <w:b/>
                <w:bCs/>
                <w:color w:val="FFFFFF" w:themeColor="background1"/>
                <w:sz w:val="16"/>
                <w:szCs w:val="16"/>
                <w:lang w:val="es-ES"/>
              </w:rPr>
              <w:t xml:space="preserve"> </w:t>
            </w:r>
            <w:proofErr w:type="spellStart"/>
            <w:r w:rsidR="003C5EF0" w:rsidRPr="004768D0">
              <w:rPr>
                <w:rFonts w:asciiTheme="majorHAnsi" w:hAnsiTheme="majorHAnsi"/>
                <w:b/>
                <w:bCs/>
                <w:color w:val="FFFFFF" w:themeColor="background1"/>
                <w:sz w:val="16"/>
                <w:szCs w:val="16"/>
                <w:lang w:val="es-ES"/>
              </w:rPr>
              <w:t>Mateus</w:t>
            </w:r>
            <w:proofErr w:type="spellEnd"/>
            <w:r w:rsidR="003C5EF0" w:rsidRPr="004768D0">
              <w:rPr>
                <w:rFonts w:asciiTheme="majorHAnsi" w:hAnsiTheme="majorHAnsi"/>
                <w:b/>
                <w:bCs/>
                <w:color w:val="FFFFFF" w:themeColor="background1"/>
                <w:sz w:val="16"/>
                <w:szCs w:val="16"/>
                <w:lang w:val="es-ES"/>
              </w:rPr>
              <w:t xml:space="preserve"> Andrade de Freitas</w:t>
            </w:r>
            <w:r w:rsidRPr="004768D0">
              <w:rPr>
                <w:rFonts w:asciiTheme="majorHAnsi" w:hAnsiTheme="majorHAnsi"/>
                <w:b/>
                <w:bCs/>
                <w:color w:val="FFFFFF" w:themeColor="background1"/>
                <w:sz w:val="16"/>
                <w:szCs w:val="16"/>
                <w:lang w:val="es-ES"/>
              </w:rPr>
              <w:t xml:space="preserve">, acaecida el </w:t>
            </w:r>
            <w:r w:rsidR="003C5EF0" w:rsidRPr="004768D0">
              <w:rPr>
                <w:rFonts w:asciiTheme="majorHAnsi" w:hAnsiTheme="majorHAnsi"/>
                <w:b/>
                <w:bCs/>
                <w:color w:val="FFFFFF" w:themeColor="background1"/>
                <w:sz w:val="16"/>
                <w:szCs w:val="16"/>
                <w:lang w:val="es-ES"/>
              </w:rPr>
              <w:t xml:space="preserve">17 de </w:t>
            </w:r>
            <w:r w:rsidR="007F4608" w:rsidRPr="004768D0">
              <w:rPr>
                <w:rFonts w:asciiTheme="majorHAnsi" w:hAnsiTheme="majorHAnsi"/>
                <w:b/>
                <w:bCs/>
                <w:color w:val="FFFFFF" w:themeColor="background1"/>
                <w:sz w:val="16"/>
                <w:szCs w:val="16"/>
                <w:lang w:val="es-ES"/>
              </w:rPr>
              <w:t>mayo</w:t>
            </w:r>
            <w:r w:rsidR="003C5EF0" w:rsidRPr="004768D0">
              <w:rPr>
                <w:rFonts w:asciiTheme="majorHAnsi" w:hAnsiTheme="majorHAnsi"/>
                <w:b/>
                <w:bCs/>
                <w:color w:val="FFFFFF" w:themeColor="background1"/>
                <w:sz w:val="16"/>
                <w:szCs w:val="16"/>
                <w:lang w:val="es-ES"/>
              </w:rPr>
              <w:t xml:space="preserve"> de 2006</w:t>
            </w:r>
          </w:p>
        </w:tc>
      </w:tr>
      <w:tr w:rsidR="00204009" w:rsidRPr="008D6F96" w14:paraId="3557E8D1" w14:textId="77777777" w:rsidTr="00C25420">
        <w:tc>
          <w:tcPr>
            <w:tcW w:w="9350" w:type="dxa"/>
          </w:tcPr>
          <w:p w14:paraId="20ECBE94" w14:textId="05E9197C" w:rsidR="00204009" w:rsidRPr="004768D0" w:rsidRDefault="002A4763" w:rsidP="009B1E7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Ricardo (</w:t>
            </w:r>
            <w:r w:rsidR="00B2685F" w:rsidRPr="004768D0">
              <w:rPr>
                <w:rFonts w:asciiTheme="majorHAnsi" w:hAnsiTheme="majorHAnsi"/>
                <w:color w:val="000000" w:themeColor="text1"/>
                <w:sz w:val="16"/>
                <w:szCs w:val="16"/>
                <w:lang w:val="es-ES"/>
              </w:rPr>
              <w:t>que en ese entonces tenía</w:t>
            </w:r>
            <w:r w:rsidRPr="004768D0">
              <w:rPr>
                <w:rFonts w:asciiTheme="majorHAnsi" w:hAnsiTheme="majorHAnsi"/>
                <w:color w:val="000000" w:themeColor="text1"/>
                <w:sz w:val="16"/>
                <w:szCs w:val="16"/>
                <w:lang w:val="es-ES"/>
              </w:rPr>
              <w:t xml:space="preserve"> 16 </w:t>
            </w:r>
            <w:r w:rsidR="000C0AC4" w:rsidRPr="004768D0">
              <w:rPr>
                <w:rFonts w:asciiTheme="majorHAnsi" w:hAnsiTheme="majorHAnsi"/>
                <w:color w:val="000000" w:themeColor="text1"/>
                <w:sz w:val="16"/>
                <w:szCs w:val="16"/>
                <w:lang w:val="es-ES"/>
              </w:rPr>
              <w:t>años</w:t>
            </w:r>
            <w:r w:rsidRPr="004768D0">
              <w:rPr>
                <w:rFonts w:asciiTheme="majorHAnsi" w:hAnsiTheme="majorHAnsi"/>
                <w:color w:val="000000" w:themeColor="text1"/>
                <w:sz w:val="16"/>
                <w:szCs w:val="16"/>
                <w:lang w:val="es-ES"/>
              </w:rPr>
              <w:t xml:space="preserve">) </w:t>
            </w:r>
            <w:r w:rsidR="00B2685F"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Mateus (22 </w:t>
            </w:r>
            <w:r w:rsidR="000C0AC4" w:rsidRPr="004768D0">
              <w:rPr>
                <w:rFonts w:asciiTheme="majorHAnsi" w:hAnsiTheme="majorHAnsi"/>
                <w:color w:val="000000" w:themeColor="text1"/>
                <w:sz w:val="16"/>
                <w:szCs w:val="16"/>
                <w:lang w:val="es-ES"/>
              </w:rPr>
              <w:t>años</w:t>
            </w:r>
            <w:r w:rsidRPr="004768D0">
              <w:rPr>
                <w:rFonts w:asciiTheme="majorHAnsi" w:hAnsiTheme="majorHAnsi"/>
                <w:color w:val="000000" w:themeColor="text1"/>
                <w:sz w:val="16"/>
                <w:szCs w:val="16"/>
                <w:lang w:val="es-ES"/>
              </w:rPr>
              <w:t>) era</w:t>
            </w:r>
            <w:r w:rsidR="00B2685F" w:rsidRPr="004768D0">
              <w:rPr>
                <w:rFonts w:asciiTheme="majorHAnsi" w:hAnsiTheme="majorHAnsi"/>
                <w:color w:val="000000" w:themeColor="text1"/>
                <w:sz w:val="16"/>
                <w:szCs w:val="16"/>
                <w:lang w:val="es-ES"/>
              </w:rPr>
              <w:t xml:space="preserve">n compañeros de escuela y había regresado a casa porque se habían suspendido las clases a raíz de los </w:t>
            </w:r>
            <w:r w:rsidRPr="004768D0">
              <w:rPr>
                <w:rFonts w:asciiTheme="majorHAnsi" w:hAnsiTheme="majorHAnsi"/>
                <w:color w:val="000000" w:themeColor="text1"/>
                <w:sz w:val="16"/>
                <w:szCs w:val="16"/>
                <w:lang w:val="es-ES"/>
              </w:rPr>
              <w:t xml:space="preserve">ataques </w:t>
            </w:r>
            <w:r w:rsidR="00B2685F" w:rsidRPr="004768D0">
              <w:rPr>
                <w:rFonts w:asciiTheme="majorHAnsi" w:hAnsiTheme="majorHAnsi"/>
                <w:color w:val="000000" w:themeColor="text1"/>
                <w:sz w:val="16"/>
                <w:szCs w:val="16"/>
                <w:lang w:val="es-ES"/>
              </w:rPr>
              <w:t xml:space="preserve">de la organización delictiva Primer </w:t>
            </w:r>
            <w:r w:rsidRPr="004768D0">
              <w:rPr>
                <w:rFonts w:asciiTheme="majorHAnsi" w:hAnsiTheme="majorHAnsi"/>
                <w:color w:val="000000" w:themeColor="text1"/>
                <w:sz w:val="16"/>
                <w:szCs w:val="16"/>
                <w:lang w:val="es-ES"/>
              </w:rPr>
              <w:t>Comando d</w:t>
            </w:r>
            <w:r w:rsidR="00175527">
              <w:rPr>
                <w:rFonts w:asciiTheme="majorHAnsi" w:hAnsiTheme="majorHAnsi"/>
                <w:color w:val="000000" w:themeColor="text1"/>
                <w:sz w:val="16"/>
                <w:szCs w:val="16"/>
                <w:lang w:val="es-ES"/>
              </w:rPr>
              <w:t>e l</w:t>
            </w:r>
            <w:r w:rsidRPr="004768D0">
              <w:rPr>
                <w:rFonts w:asciiTheme="majorHAnsi" w:hAnsiTheme="majorHAnsi"/>
                <w:color w:val="000000" w:themeColor="text1"/>
                <w:sz w:val="16"/>
                <w:szCs w:val="16"/>
                <w:lang w:val="es-ES"/>
              </w:rPr>
              <w:t xml:space="preserve">a Capital (PCC). </w:t>
            </w:r>
            <w:r w:rsidR="009F2506" w:rsidRPr="004768D0">
              <w:rPr>
                <w:rFonts w:asciiTheme="majorHAnsi" w:hAnsiTheme="majorHAnsi"/>
                <w:color w:val="000000" w:themeColor="text1"/>
                <w:sz w:val="16"/>
                <w:szCs w:val="16"/>
                <w:lang w:val="es-ES"/>
              </w:rPr>
              <w:t xml:space="preserve">Después de dejar las </w:t>
            </w:r>
            <w:r w:rsidRPr="004768D0">
              <w:rPr>
                <w:rFonts w:asciiTheme="majorHAnsi" w:hAnsiTheme="majorHAnsi"/>
                <w:color w:val="000000" w:themeColor="text1"/>
                <w:sz w:val="16"/>
                <w:szCs w:val="16"/>
                <w:lang w:val="es-ES"/>
              </w:rPr>
              <w:t xml:space="preserve">mochilas </w:t>
            </w:r>
            <w:r w:rsidR="009F2506"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9F2506" w:rsidRPr="004768D0">
              <w:rPr>
                <w:rFonts w:asciiTheme="majorHAnsi" w:hAnsiTheme="majorHAnsi"/>
                <w:color w:val="000000" w:themeColor="text1"/>
                <w:sz w:val="16"/>
                <w:szCs w:val="16"/>
                <w:lang w:val="es-ES"/>
              </w:rPr>
              <w:t xml:space="preserve"> l</w:t>
            </w:r>
            <w:r w:rsidRPr="004768D0">
              <w:rPr>
                <w:rFonts w:asciiTheme="majorHAnsi" w:hAnsiTheme="majorHAnsi"/>
                <w:color w:val="000000" w:themeColor="text1"/>
                <w:sz w:val="16"/>
                <w:szCs w:val="16"/>
                <w:lang w:val="es-ES"/>
              </w:rPr>
              <w:t>a casa de Mateus, f</w:t>
            </w:r>
            <w:r w:rsidR="009F2506" w:rsidRPr="004768D0">
              <w:rPr>
                <w:rFonts w:asciiTheme="majorHAnsi" w:hAnsiTheme="majorHAnsi"/>
                <w:color w:val="000000" w:themeColor="text1"/>
                <w:sz w:val="16"/>
                <w:szCs w:val="16"/>
                <w:lang w:val="es-ES"/>
              </w:rPr>
              <w:t xml:space="preserve">ueron a la </w:t>
            </w:r>
            <w:r w:rsidR="004744F0" w:rsidRPr="004768D0">
              <w:rPr>
                <w:rFonts w:asciiTheme="majorHAnsi" w:hAnsiTheme="majorHAnsi"/>
                <w:color w:val="000000" w:themeColor="text1"/>
                <w:sz w:val="16"/>
                <w:szCs w:val="16"/>
                <w:lang w:val="es-ES"/>
              </w:rPr>
              <w:t>“</w:t>
            </w:r>
            <w:r w:rsidR="00E770E8" w:rsidRPr="004768D0">
              <w:rPr>
                <w:rFonts w:asciiTheme="majorHAnsi" w:hAnsiTheme="majorHAnsi"/>
                <w:color w:val="000000" w:themeColor="text1"/>
                <w:sz w:val="16"/>
                <w:szCs w:val="16"/>
                <w:lang w:val="es-ES"/>
              </w:rPr>
              <w:t>Pizzería</w:t>
            </w:r>
            <w:r w:rsidRPr="004768D0">
              <w:rPr>
                <w:rFonts w:asciiTheme="majorHAnsi" w:hAnsiTheme="majorHAnsi"/>
                <w:color w:val="000000" w:themeColor="text1"/>
                <w:sz w:val="16"/>
                <w:szCs w:val="16"/>
                <w:lang w:val="es-ES"/>
              </w:rPr>
              <w:t xml:space="preserve"> do </w:t>
            </w:r>
            <w:proofErr w:type="spellStart"/>
            <w:r w:rsidRPr="004768D0">
              <w:rPr>
                <w:rFonts w:asciiTheme="majorHAnsi" w:hAnsiTheme="majorHAnsi"/>
                <w:color w:val="000000" w:themeColor="text1"/>
                <w:sz w:val="16"/>
                <w:szCs w:val="16"/>
                <w:lang w:val="es-ES"/>
              </w:rPr>
              <w:t>Pedrinho</w:t>
            </w:r>
            <w:proofErr w:type="spellEnd"/>
            <w:r w:rsidR="004744F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 xml:space="preserve">, </w:t>
            </w:r>
            <w:r w:rsidR="009F2506" w:rsidRPr="004768D0">
              <w:rPr>
                <w:rFonts w:asciiTheme="majorHAnsi" w:hAnsiTheme="majorHAnsi"/>
                <w:color w:val="000000" w:themeColor="text1"/>
                <w:sz w:val="16"/>
                <w:szCs w:val="16"/>
                <w:lang w:val="es-ES"/>
              </w:rPr>
              <w:t xml:space="preserve">situada en la calle </w:t>
            </w:r>
            <w:proofErr w:type="spellStart"/>
            <w:r w:rsidRPr="004768D0">
              <w:rPr>
                <w:rFonts w:asciiTheme="majorHAnsi" w:hAnsiTheme="majorHAnsi"/>
                <w:color w:val="000000" w:themeColor="text1"/>
                <w:sz w:val="16"/>
                <w:szCs w:val="16"/>
                <w:lang w:val="es-ES"/>
              </w:rPr>
              <w:t>Cananéia</w:t>
            </w:r>
            <w:proofErr w:type="spellEnd"/>
            <w:r w:rsidRPr="004768D0">
              <w:rPr>
                <w:rFonts w:asciiTheme="majorHAnsi" w:hAnsiTheme="majorHAnsi"/>
                <w:color w:val="000000" w:themeColor="text1"/>
                <w:sz w:val="16"/>
                <w:szCs w:val="16"/>
                <w:lang w:val="es-ES"/>
              </w:rPr>
              <w:t xml:space="preserve">, </w:t>
            </w:r>
            <w:proofErr w:type="spellStart"/>
            <w:r w:rsidRPr="004768D0">
              <w:rPr>
                <w:rFonts w:asciiTheme="majorHAnsi" w:hAnsiTheme="majorHAnsi"/>
                <w:color w:val="000000" w:themeColor="text1"/>
                <w:sz w:val="16"/>
                <w:szCs w:val="16"/>
                <w:lang w:val="es-ES"/>
              </w:rPr>
              <w:t>Caminho</w:t>
            </w:r>
            <w:proofErr w:type="spellEnd"/>
            <w:r w:rsidRPr="004768D0">
              <w:rPr>
                <w:rFonts w:asciiTheme="majorHAnsi" w:hAnsiTheme="majorHAnsi"/>
                <w:color w:val="000000" w:themeColor="text1"/>
                <w:sz w:val="16"/>
                <w:szCs w:val="16"/>
                <w:lang w:val="es-ES"/>
              </w:rPr>
              <w:t xml:space="preserve"> de São </w:t>
            </w:r>
            <w:proofErr w:type="spellStart"/>
            <w:r w:rsidRPr="004768D0">
              <w:rPr>
                <w:rFonts w:asciiTheme="majorHAnsi" w:hAnsiTheme="majorHAnsi"/>
                <w:color w:val="000000" w:themeColor="text1"/>
                <w:sz w:val="16"/>
                <w:szCs w:val="16"/>
                <w:lang w:val="es-ES"/>
              </w:rPr>
              <w:t>Sebastião</w:t>
            </w:r>
            <w:proofErr w:type="spellEnd"/>
            <w:r w:rsidRPr="004768D0">
              <w:rPr>
                <w:rFonts w:asciiTheme="majorHAnsi" w:hAnsiTheme="majorHAnsi"/>
                <w:color w:val="000000" w:themeColor="text1"/>
                <w:sz w:val="16"/>
                <w:szCs w:val="16"/>
                <w:lang w:val="es-ES"/>
              </w:rPr>
              <w:t xml:space="preserve">, </w:t>
            </w:r>
            <w:r w:rsidR="009F2506"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9F2506" w:rsidRPr="004768D0">
              <w:rPr>
                <w:rFonts w:asciiTheme="majorHAnsi" w:hAnsiTheme="majorHAnsi"/>
                <w:color w:val="000000" w:themeColor="text1"/>
                <w:sz w:val="16"/>
                <w:szCs w:val="16"/>
                <w:lang w:val="es-ES"/>
              </w:rPr>
              <w:t xml:space="preserve"> el</w:t>
            </w:r>
            <w:r w:rsidRPr="004768D0">
              <w:rPr>
                <w:rFonts w:asciiTheme="majorHAnsi" w:hAnsiTheme="majorHAnsi"/>
                <w:color w:val="000000" w:themeColor="text1"/>
                <w:sz w:val="16"/>
                <w:szCs w:val="16"/>
                <w:lang w:val="es-ES"/>
              </w:rPr>
              <w:t xml:space="preserve"> centro d</w:t>
            </w:r>
            <w:r w:rsidR="009F2506" w:rsidRPr="004768D0">
              <w:rPr>
                <w:rFonts w:asciiTheme="majorHAnsi" w:hAnsiTheme="majorHAnsi"/>
                <w:color w:val="000000" w:themeColor="text1"/>
                <w:sz w:val="16"/>
                <w:szCs w:val="16"/>
                <w:lang w:val="es-ES"/>
              </w:rPr>
              <w:t xml:space="preserve">el barrio </w:t>
            </w:r>
            <w:r w:rsidRPr="004768D0">
              <w:rPr>
                <w:rFonts w:asciiTheme="majorHAnsi" w:hAnsiTheme="majorHAnsi"/>
                <w:color w:val="000000" w:themeColor="text1"/>
                <w:sz w:val="16"/>
                <w:szCs w:val="16"/>
                <w:lang w:val="es-ES"/>
              </w:rPr>
              <w:t>Chico de Paula, e</w:t>
            </w:r>
            <w:r w:rsidR="009F2506"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lang w:val="es-ES"/>
              </w:rPr>
              <w:t xml:space="preserve"> Santos, p</w:t>
            </w:r>
            <w:r w:rsidR="009F2506" w:rsidRPr="004768D0">
              <w:rPr>
                <w:rFonts w:asciiTheme="majorHAnsi" w:hAnsiTheme="majorHAnsi"/>
                <w:color w:val="000000" w:themeColor="text1"/>
                <w:sz w:val="16"/>
                <w:szCs w:val="16"/>
                <w:lang w:val="es-ES"/>
              </w:rPr>
              <w:t xml:space="preserve">unto de encuentro de los </w:t>
            </w:r>
            <w:r w:rsidRPr="004768D0">
              <w:rPr>
                <w:rFonts w:asciiTheme="majorHAnsi" w:hAnsiTheme="majorHAnsi"/>
                <w:color w:val="000000" w:themeColor="text1"/>
                <w:sz w:val="16"/>
                <w:szCs w:val="16"/>
                <w:lang w:val="es-ES"/>
              </w:rPr>
              <w:t xml:space="preserve">amigos. </w:t>
            </w:r>
            <w:r w:rsidR="009F2506" w:rsidRPr="004768D0">
              <w:rPr>
                <w:rFonts w:asciiTheme="majorHAnsi" w:hAnsiTheme="majorHAnsi"/>
                <w:color w:val="000000" w:themeColor="text1"/>
                <w:sz w:val="16"/>
                <w:szCs w:val="16"/>
                <w:lang w:val="es-ES"/>
              </w:rPr>
              <w:t>Poco</w:t>
            </w:r>
            <w:r w:rsidRPr="004768D0">
              <w:rPr>
                <w:rFonts w:asciiTheme="majorHAnsi" w:hAnsiTheme="majorHAnsi"/>
                <w:color w:val="000000" w:themeColor="text1"/>
                <w:sz w:val="16"/>
                <w:szCs w:val="16"/>
                <w:lang w:val="es-ES"/>
              </w:rPr>
              <w:t xml:space="preserve"> </w:t>
            </w:r>
            <w:r w:rsidR="0084419A" w:rsidRPr="004768D0">
              <w:rPr>
                <w:rFonts w:asciiTheme="majorHAnsi" w:hAnsiTheme="majorHAnsi"/>
                <w:color w:val="000000" w:themeColor="text1"/>
                <w:sz w:val="16"/>
                <w:szCs w:val="16"/>
                <w:lang w:val="es-ES"/>
              </w:rPr>
              <w:t>después</w:t>
            </w:r>
            <w:r w:rsidR="009F2506" w:rsidRPr="004768D0">
              <w:rPr>
                <w:rFonts w:asciiTheme="majorHAnsi" w:hAnsiTheme="majorHAnsi"/>
                <w:color w:val="000000" w:themeColor="text1"/>
                <w:sz w:val="16"/>
                <w:szCs w:val="16"/>
                <w:lang w:val="es-ES"/>
              </w:rPr>
              <w:t xml:space="preserve"> aparecieron dos </w:t>
            </w:r>
            <w:r w:rsidRPr="004768D0">
              <w:rPr>
                <w:rFonts w:asciiTheme="majorHAnsi" w:hAnsiTheme="majorHAnsi"/>
                <w:color w:val="000000" w:themeColor="text1"/>
                <w:sz w:val="16"/>
                <w:szCs w:val="16"/>
                <w:lang w:val="es-ES"/>
              </w:rPr>
              <w:t>motos, co</w:t>
            </w:r>
            <w:r w:rsidR="009F2506" w:rsidRPr="004768D0">
              <w:rPr>
                <w:rFonts w:asciiTheme="majorHAnsi" w:hAnsiTheme="majorHAnsi"/>
                <w:color w:val="000000" w:themeColor="text1"/>
                <w:sz w:val="16"/>
                <w:szCs w:val="16"/>
                <w:lang w:val="es-ES"/>
              </w:rPr>
              <w:t>n dos</w:t>
            </w:r>
            <w:r w:rsidRPr="004768D0">
              <w:rPr>
                <w:rFonts w:asciiTheme="majorHAnsi" w:hAnsiTheme="majorHAnsi"/>
                <w:color w:val="000000" w:themeColor="text1"/>
                <w:sz w:val="16"/>
                <w:szCs w:val="16"/>
                <w:lang w:val="es-ES"/>
              </w:rPr>
              <w:t xml:space="preserve"> ocupantes </w:t>
            </w:r>
            <w:r w:rsidR="00A70AAA" w:rsidRPr="004768D0">
              <w:rPr>
                <w:rFonts w:asciiTheme="majorHAnsi" w:hAnsiTheme="majorHAnsi"/>
                <w:color w:val="000000" w:themeColor="text1"/>
                <w:sz w:val="16"/>
                <w:szCs w:val="16"/>
                <w:lang w:val="es-ES"/>
              </w:rPr>
              <w:t>encapuchados</w:t>
            </w:r>
            <w:r w:rsidRPr="004768D0">
              <w:rPr>
                <w:rFonts w:asciiTheme="majorHAnsi" w:hAnsiTheme="majorHAnsi"/>
                <w:color w:val="000000" w:themeColor="text1"/>
                <w:sz w:val="16"/>
                <w:szCs w:val="16"/>
                <w:lang w:val="es-ES"/>
              </w:rPr>
              <w:t xml:space="preserve"> e</w:t>
            </w:r>
            <w:r w:rsidR="009F2506"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lang w:val="es-ES"/>
              </w:rPr>
              <w:t xml:space="preserve"> cada </w:t>
            </w:r>
            <w:r w:rsidR="009F2506" w:rsidRPr="004768D0">
              <w:rPr>
                <w:rFonts w:asciiTheme="majorHAnsi" w:hAnsiTheme="majorHAnsi"/>
                <w:color w:val="000000" w:themeColor="text1"/>
                <w:sz w:val="16"/>
                <w:szCs w:val="16"/>
                <w:lang w:val="es-ES"/>
              </w:rPr>
              <w:t>una</w:t>
            </w:r>
            <w:r w:rsidRPr="004768D0">
              <w:rPr>
                <w:rFonts w:asciiTheme="majorHAnsi" w:hAnsiTheme="majorHAnsi"/>
                <w:color w:val="000000" w:themeColor="text1"/>
                <w:sz w:val="16"/>
                <w:szCs w:val="16"/>
                <w:lang w:val="es-ES"/>
              </w:rPr>
              <w:t xml:space="preserve">, que </w:t>
            </w:r>
            <w:r w:rsidR="009F2506" w:rsidRPr="004768D0">
              <w:rPr>
                <w:rFonts w:asciiTheme="majorHAnsi" w:hAnsiTheme="majorHAnsi"/>
                <w:color w:val="000000" w:themeColor="text1"/>
                <w:sz w:val="16"/>
                <w:szCs w:val="16"/>
                <w:lang w:val="es-ES"/>
              </w:rPr>
              <w:t>dispararon contra l</w:t>
            </w:r>
            <w:r w:rsidR="009B1E73">
              <w:rPr>
                <w:rFonts w:asciiTheme="majorHAnsi" w:hAnsiTheme="majorHAnsi"/>
                <w:color w:val="000000" w:themeColor="text1"/>
                <w:sz w:val="16"/>
                <w:szCs w:val="16"/>
                <w:lang w:val="es-ES"/>
              </w:rPr>
              <w:t xml:space="preserve">os </w:t>
            </w:r>
            <w:r w:rsidRPr="004768D0">
              <w:rPr>
                <w:rFonts w:asciiTheme="majorHAnsi" w:hAnsiTheme="majorHAnsi"/>
                <w:color w:val="000000" w:themeColor="text1"/>
                <w:sz w:val="16"/>
                <w:szCs w:val="16"/>
                <w:lang w:val="es-ES"/>
              </w:rPr>
              <w:t>presentes. Algu</w:t>
            </w:r>
            <w:r w:rsidR="009F2506" w:rsidRPr="004768D0">
              <w:rPr>
                <w:rFonts w:asciiTheme="majorHAnsi" w:hAnsiTheme="majorHAnsi"/>
                <w:color w:val="000000" w:themeColor="text1"/>
                <w:sz w:val="16"/>
                <w:szCs w:val="16"/>
                <w:lang w:val="es-ES"/>
              </w:rPr>
              <w:t xml:space="preserve">nas </w:t>
            </w:r>
            <w:r w:rsidR="009B1E73">
              <w:rPr>
                <w:rFonts w:asciiTheme="majorHAnsi" w:hAnsiTheme="majorHAnsi"/>
                <w:color w:val="000000" w:themeColor="text1"/>
                <w:sz w:val="16"/>
                <w:szCs w:val="16"/>
                <w:lang w:val="es-ES"/>
              </w:rPr>
              <w:t xml:space="preserve">personas </w:t>
            </w:r>
            <w:r w:rsidR="009F2506" w:rsidRPr="004768D0">
              <w:rPr>
                <w:rFonts w:asciiTheme="majorHAnsi" w:hAnsiTheme="majorHAnsi"/>
                <w:color w:val="000000" w:themeColor="text1"/>
                <w:sz w:val="16"/>
                <w:szCs w:val="16"/>
                <w:lang w:val="es-ES"/>
              </w:rPr>
              <w:t xml:space="preserve">se echaron al suelo, otras huyeron, entre ellas </w:t>
            </w:r>
            <w:r w:rsidRPr="004768D0">
              <w:rPr>
                <w:rFonts w:asciiTheme="majorHAnsi" w:hAnsiTheme="majorHAnsi"/>
                <w:color w:val="000000" w:themeColor="text1"/>
                <w:sz w:val="16"/>
                <w:szCs w:val="16"/>
                <w:lang w:val="es-ES"/>
              </w:rPr>
              <w:t>Mateus, qu</w:t>
            </w:r>
            <w:r w:rsidR="009F2506" w:rsidRPr="004768D0">
              <w:rPr>
                <w:rFonts w:asciiTheme="majorHAnsi" w:hAnsiTheme="majorHAnsi"/>
                <w:color w:val="000000" w:themeColor="text1"/>
                <w:sz w:val="16"/>
                <w:szCs w:val="16"/>
                <w:lang w:val="es-ES"/>
              </w:rPr>
              <w:t>ien, no obstante</w:t>
            </w:r>
            <w:r w:rsidR="00512C56">
              <w:rPr>
                <w:rFonts w:asciiTheme="majorHAnsi" w:hAnsiTheme="majorHAnsi"/>
                <w:color w:val="000000" w:themeColor="text1"/>
                <w:sz w:val="16"/>
                <w:szCs w:val="16"/>
                <w:lang w:val="es-ES"/>
              </w:rPr>
              <w:t>,</w:t>
            </w:r>
            <w:r w:rsidR="009F2506" w:rsidRPr="004768D0">
              <w:rPr>
                <w:rFonts w:asciiTheme="majorHAnsi" w:hAnsiTheme="majorHAnsi"/>
                <w:color w:val="000000" w:themeColor="text1"/>
                <w:sz w:val="16"/>
                <w:szCs w:val="16"/>
                <w:lang w:val="es-ES"/>
              </w:rPr>
              <w:t xml:space="preserve"> fue alcanzado por disparos unos </w:t>
            </w:r>
            <w:r w:rsidRPr="004768D0">
              <w:rPr>
                <w:rFonts w:asciiTheme="majorHAnsi" w:hAnsiTheme="majorHAnsi"/>
                <w:color w:val="000000" w:themeColor="text1"/>
                <w:sz w:val="16"/>
                <w:szCs w:val="16"/>
                <w:lang w:val="es-ES"/>
              </w:rPr>
              <w:t xml:space="preserve">200 metros </w:t>
            </w:r>
            <w:r w:rsidR="009F2506" w:rsidRPr="004768D0">
              <w:rPr>
                <w:rFonts w:asciiTheme="majorHAnsi" w:hAnsiTheme="majorHAnsi"/>
                <w:color w:val="000000" w:themeColor="text1"/>
                <w:sz w:val="16"/>
                <w:szCs w:val="16"/>
                <w:lang w:val="es-ES"/>
              </w:rPr>
              <w:t>más adelante</w:t>
            </w:r>
            <w:r w:rsidRPr="004768D0">
              <w:rPr>
                <w:rFonts w:asciiTheme="majorHAnsi" w:hAnsiTheme="majorHAnsi"/>
                <w:color w:val="000000" w:themeColor="text1"/>
                <w:sz w:val="16"/>
                <w:szCs w:val="16"/>
                <w:lang w:val="es-ES"/>
              </w:rPr>
              <w:t>.</w:t>
            </w:r>
          </w:p>
        </w:tc>
      </w:tr>
      <w:tr w:rsidR="00204009" w:rsidRPr="008D6F96" w14:paraId="669A9241" w14:textId="77777777" w:rsidTr="003C5EF0">
        <w:tc>
          <w:tcPr>
            <w:tcW w:w="9350" w:type="dxa"/>
            <w:shd w:val="clear" w:color="auto" w:fill="000000" w:themeFill="text1"/>
          </w:tcPr>
          <w:p w14:paraId="088B647C" w14:textId="77777777" w:rsidR="00204009" w:rsidRPr="004768D0" w:rsidRDefault="00372008" w:rsidP="0037200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FFFFFF" w:themeColor="background1"/>
                <w:sz w:val="16"/>
                <w:szCs w:val="16"/>
                <w:lang w:val="es-ES"/>
              </w:rPr>
            </w:pPr>
            <w:r w:rsidRPr="004768D0">
              <w:rPr>
                <w:rFonts w:asciiTheme="majorHAnsi" w:hAnsiTheme="majorHAnsi"/>
                <w:b/>
                <w:bCs/>
                <w:color w:val="FFFFFF" w:themeColor="background1"/>
                <w:sz w:val="16"/>
                <w:szCs w:val="16"/>
                <w:lang w:val="es-ES"/>
              </w:rPr>
              <w:t>Aspectos relacionados con la investigación de la muerte de</w:t>
            </w:r>
            <w:r w:rsidR="003C5EF0" w:rsidRPr="004768D0">
              <w:rPr>
                <w:rFonts w:asciiTheme="majorHAnsi" w:hAnsiTheme="majorHAnsi"/>
                <w:b/>
                <w:bCs/>
                <w:color w:val="FFFFFF" w:themeColor="background1"/>
                <w:sz w:val="16"/>
                <w:szCs w:val="16"/>
                <w:lang w:val="es-ES"/>
              </w:rPr>
              <w:t xml:space="preserve"> Ricardo Porto </w:t>
            </w:r>
            <w:proofErr w:type="spellStart"/>
            <w:r w:rsidR="003C5EF0" w:rsidRPr="004768D0">
              <w:rPr>
                <w:rFonts w:asciiTheme="majorHAnsi" w:hAnsiTheme="majorHAnsi"/>
                <w:b/>
                <w:bCs/>
                <w:color w:val="FFFFFF" w:themeColor="background1"/>
                <w:sz w:val="16"/>
                <w:szCs w:val="16"/>
                <w:lang w:val="es-ES"/>
              </w:rPr>
              <w:t>Noronha</w:t>
            </w:r>
            <w:proofErr w:type="spellEnd"/>
            <w:r w:rsidR="003C5EF0" w:rsidRPr="004768D0">
              <w:rPr>
                <w:rFonts w:asciiTheme="majorHAnsi" w:hAnsiTheme="majorHAnsi"/>
                <w:b/>
                <w:bCs/>
                <w:color w:val="FFFFFF" w:themeColor="background1"/>
                <w:sz w:val="16"/>
                <w:szCs w:val="16"/>
                <w:lang w:val="es-ES"/>
              </w:rPr>
              <w:t xml:space="preserve"> </w:t>
            </w:r>
            <w:r w:rsidRPr="004768D0">
              <w:rPr>
                <w:rFonts w:asciiTheme="majorHAnsi" w:hAnsiTheme="majorHAnsi"/>
                <w:b/>
                <w:bCs/>
                <w:color w:val="FFFFFF" w:themeColor="background1"/>
                <w:sz w:val="16"/>
                <w:szCs w:val="16"/>
                <w:lang w:val="es-ES"/>
              </w:rPr>
              <w:t>y</w:t>
            </w:r>
            <w:r w:rsidR="003C5EF0" w:rsidRPr="004768D0">
              <w:rPr>
                <w:rFonts w:asciiTheme="majorHAnsi" w:hAnsiTheme="majorHAnsi"/>
                <w:b/>
                <w:bCs/>
                <w:color w:val="FFFFFF" w:themeColor="background1"/>
                <w:sz w:val="16"/>
                <w:szCs w:val="16"/>
                <w:lang w:val="es-ES"/>
              </w:rPr>
              <w:t xml:space="preserve"> </w:t>
            </w:r>
            <w:proofErr w:type="spellStart"/>
            <w:r w:rsidR="003C5EF0" w:rsidRPr="004768D0">
              <w:rPr>
                <w:rFonts w:asciiTheme="majorHAnsi" w:hAnsiTheme="majorHAnsi"/>
                <w:b/>
                <w:bCs/>
                <w:color w:val="FFFFFF" w:themeColor="background1"/>
                <w:sz w:val="16"/>
                <w:szCs w:val="16"/>
                <w:lang w:val="es-ES"/>
              </w:rPr>
              <w:t>Mateus</w:t>
            </w:r>
            <w:proofErr w:type="spellEnd"/>
            <w:r w:rsidR="003C5EF0" w:rsidRPr="004768D0">
              <w:rPr>
                <w:rFonts w:asciiTheme="majorHAnsi" w:hAnsiTheme="majorHAnsi"/>
                <w:b/>
                <w:bCs/>
                <w:color w:val="FFFFFF" w:themeColor="background1"/>
                <w:sz w:val="16"/>
                <w:szCs w:val="16"/>
                <w:lang w:val="es-ES"/>
              </w:rPr>
              <w:t xml:space="preserve"> Andrade de Freitas</w:t>
            </w:r>
          </w:p>
        </w:tc>
      </w:tr>
      <w:tr w:rsidR="00204009" w:rsidRPr="008D6F96" w14:paraId="6C1FB998" w14:textId="77777777" w:rsidTr="00C25420">
        <w:tc>
          <w:tcPr>
            <w:tcW w:w="9350" w:type="dxa"/>
          </w:tcPr>
          <w:p w14:paraId="52E9C411" w14:textId="77777777" w:rsidR="00527F9C" w:rsidRPr="004768D0"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Ricardo </w:t>
            </w:r>
            <w:r w:rsidR="009F2506"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w:t>
            </w:r>
            <w:proofErr w:type="spellStart"/>
            <w:r w:rsidRPr="004768D0">
              <w:rPr>
                <w:rFonts w:asciiTheme="majorHAnsi" w:hAnsiTheme="majorHAnsi"/>
                <w:color w:val="000000" w:themeColor="text1"/>
                <w:sz w:val="16"/>
                <w:szCs w:val="16"/>
                <w:lang w:val="es-ES"/>
              </w:rPr>
              <w:t>Mateus</w:t>
            </w:r>
            <w:proofErr w:type="spellEnd"/>
            <w:r w:rsidRPr="004768D0">
              <w:rPr>
                <w:rFonts w:asciiTheme="majorHAnsi" w:hAnsiTheme="majorHAnsi"/>
                <w:color w:val="000000" w:themeColor="text1"/>
                <w:sz w:val="16"/>
                <w:szCs w:val="16"/>
                <w:lang w:val="es-ES"/>
              </w:rPr>
              <w:t xml:space="preserve"> f</w:t>
            </w:r>
            <w:r w:rsidR="009F2506" w:rsidRPr="004768D0">
              <w:rPr>
                <w:rFonts w:asciiTheme="majorHAnsi" w:hAnsiTheme="majorHAnsi"/>
                <w:color w:val="000000" w:themeColor="text1"/>
                <w:sz w:val="16"/>
                <w:szCs w:val="16"/>
                <w:lang w:val="es-ES"/>
              </w:rPr>
              <w:t xml:space="preserve">ueron </w:t>
            </w:r>
            <w:r w:rsidRPr="004768D0">
              <w:rPr>
                <w:rFonts w:asciiTheme="majorHAnsi" w:hAnsiTheme="majorHAnsi"/>
                <w:color w:val="000000" w:themeColor="text1"/>
                <w:sz w:val="16"/>
                <w:szCs w:val="16"/>
                <w:lang w:val="es-ES"/>
              </w:rPr>
              <w:t>socorridos e</w:t>
            </w:r>
            <w:r w:rsidR="009F2506" w:rsidRPr="004768D0">
              <w:rPr>
                <w:rFonts w:asciiTheme="majorHAnsi" w:hAnsiTheme="majorHAnsi"/>
                <w:color w:val="000000" w:themeColor="text1"/>
                <w:sz w:val="16"/>
                <w:szCs w:val="16"/>
                <w:lang w:val="es-ES"/>
              </w:rPr>
              <w:t xml:space="preserve">n lugares </w:t>
            </w:r>
            <w:r w:rsidRPr="004768D0">
              <w:rPr>
                <w:rFonts w:asciiTheme="majorHAnsi" w:hAnsiTheme="majorHAnsi"/>
                <w:color w:val="000000" w:themeColor="text1"/>
                <w:sz w:val="16"/>
                <w:szCs w:val="16"/>
                <w:lang w:val="es-ES"/>
              </w:rPr>
              <w:t xml:space="preserve">diferentes, </w:t>
            </w:r>
            <w:r w:rsidR="009F2506" w:rsidRPr="004768D0">
              <w:rPr>
                <w:rFonts w:asciiTheme="majorHAnsi" w:hAnsiTheme="majorHAnsi"/>
                <w:color w:val="000000" w:themeColor="text1"/>
                <w:sz w:val="16"/>
                <w:szCs w:val="16"/>
                <w:lang w:val="es-ES"/>
              </w:rPr>
              <w:t>lo cual generó la apertura de dos i</w:t>
            </w:r>
            <w:r w:rsidR="00372008" w:rsidRPr="004768D0">
              <w:rPr>
                <w:rFonts w:asciiTheme="majorHAnsi" w:hAnsiTheme="majorHAnsi"/>
                <w:color w:val="000000" w:themeColor="text1"/>
                <w:sz w:val="16"/>
                <w:szCs w:val="16"/>
                <w:lang w:val="es-ES"/>
              </w:rPr>
              <w:t>nvestigaciones policiales</w:t>
            </w:r>
            <w:r w:rsidR="009F2506" w:rsidRPr="004768D0">
              <w:rPr>
                <w:rFonts w:asciiTheme="majorHAnsi" w:hAnsiTheme="majorHAnsi"/>
                <w:color w:val="000000" w:themeColor="text1"/>
                <w:sz w:val="16"/>
                <w:szCs w:val="16"/>
                <w:lang w:val="es-ES"/>
              </w:rPr>
              <w:t xml:space="preserve">, números </w:t>
            </w:r>
            <w:r w:rsidRPr="004768D0">
              <w:rPr>
                <w:rFonts w:asciiTheme="majorHAnsi" w:hAnsiTheme="majorHAnsi"/>
                <w:color w:val="000000" w:themeColor="text1"/>
                <w:sz w:val="16"/>
                <w:szCs w:val="16"/>
                <w:lang w:val="es-ES"/>
              </w:rPr>
              <w:t xml:space="preserve">123 </w:t>
            </w:r>
            <w:r w:rsidR="009F2506"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124/06, d</w:t>
            </w:r>
            <w:r w:rsidR="009F2506" w:rsidRPr="004768D0">
              <w:rPr>
                <w:rFonts w:asciiTheme="majorHAnsi" w:hAnsiTheme="majorHAnsi"/>
                <w:color w:val="000000" w:themeColor="text1"/>
                <w:sz w:val="16"/>
                <w:szCs w:val="16"/>
                <w:lang w:val="es-ES"/>
              </w:rPr>
              <w:t xml:space="preserve">el Quinto </w:t>
            </w:r>
            <w:r w:rsidRPr="004768D0">
              <w:rPr>
                <w:rFonts w:asciiTheme="majorHAnsi" w:hAnsiTheme="majorHAnsi"/>
                <w:color w:val="000000" w:themeColor="text1"/>
                <w:sz w:val="16"/>
                <w:szCs w:val="16"/>
                <w:lang w:val="es-ES"/>
              </w:rPr>
              <w:t xml:space="preserve">Distrito Policial de Santos, </w:t>
            </w:r>
            <w:r w:rsidR="009F2506" w:rsidRPr="004768D0">
              <w:rPr>
                <w:rFonts w:asciiTheme="majorHAnsi" w:hAnsiTheme="majorHAnsi"/>
                <w:color w:val="000000" w:themeColor="text1"/>
                <w:sz w:val="16"/>
                <w:szCs w:val="16"/>
                <w:lang w:val="es-ES"/>
              </w:rPr>
              <w:t xml:space="preserve">las cuales constan en autos como investigaciones números </w:t>
            </w:r>
            <w:r w:rsidRPr="004768D0">
              <w:rPr>
                <w:rFonts w:asciiTheme="majorHAnsi" w:hAnsiTheme="majorHAnsi"/>
                <w:color w:val="000000" w:themeColor="text1"/>
                <w:sz w:val="16"/>
                <w:szCs w:val="16"/>
                <w:lang w:val="es-ES"/>
              </w:rPr>
              <w:t xml:space="preserve">185 </w:t>
            </w:r>
            <w:r w:rsidR="009F2506"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196/06 </w:t>
            </w:r>
            <w:r w:rsidR="00175527">
              <w:rPr>
                <w:rFonts w:asciiTheme="majorHAnsi" w:hAnsiTheme="majorHAnsi"/>
                <w:color w:val="000000" w:themeColor="text1"/>
                <w:sz w:val="16"/>
                <w:szCs w:val="16"/>
                <w:lang w:val="es-ES"/>
              </w:rPr>
              <w:t>d</w:t>
            </w:r>
            <w:r w:rsidR="009F2506" w:rsidRPr="004768D0">
              <w:rPr>
                <w:rFonts w:asciiTheme="majorHAnsi" w:hAnsiTheme="majorHAnsi"/>
                <w:color w:val="000000" w:themeColor="text1"/>
                <w:sz w:val="16"/>
                <w:szCs w:val="16"/>
                <w:lang w:val="es-ES"/>
              </w:rPr>
              <w:t xml:space="preserve">el Primer Juzgado Penal y del Jurado </w:t>
            </w:r>
            <w:r w:rsidRPr="004768D0">
              <w:rPr>
                <w:rFonts w:asciiTheme="majorHAnsi" w:hAnsiTheme="majorHAnsi"/>
                <w:color w:val="000000" w:themeColor="text1"/>
                <w:sz w:val="16"/>
                <w:szCs w:val="16"/>
                <w:lang w:val="es-ES"/>
              </w:rPr>
              <w:t xml:space="preserve">de Santos. Cerca de </w:t>
            </w:r>
            <w:r w:rsidR="009F2506" w:rsidRPr="004768D0">
              <w:rPr>
                <w:rFonts w:asciiTheme="majorHAnsi" w:hAnsiTheme="majorHAnsi"/>
                <w:color w:val="000000" w:themeColor="text1"/>
                <w:sz w:val="16"/>
                <w:szCs w:val="16"/>
                <w:lang w:val="es-ES"/>
              </w:rPr>
              <w:t xml:space="preserve">un año después de los </w:t>
            </w:r>
            <w:r w:rsidR="000C0AC4" w:rsidRPr="004768D0">
              <w:rPr>
                <w:rFonts w:asciiTheme="majorHAnsi" w:hAnsiTheme="majorHAnsi"/>
                <w:color w:val="000000" w:themeColor="text1"/>
                <w:sz w:val="16"/>
                <w:szCs w:val="16"/>
                <w:lang w:val="es-ES"/>
              </w:rPr>
              <w:t>hechos</w:t>
            </w:r>
            <w:r w:rsidRPr="004768D0">
              <w:rPr>
                <w:rFonts w:asciiTheme="majorHAnsi" w:hAnsiTheme="majorHAnsi"/>
                <w:color w:val="000000" w:themeColor="text1"/>
                <w:sz w:val="16"/>
                <w:szCs w:val="16"/>
                <w:lang w:val="es-ES"/>
              </w:rPr>
              <w:t xml:space="preserve">, </w:t>
            </w:r>
            <w:r w:rsidR="009F2506" w:rsidRPr="004768D0">
              <w:rPr>
                <w:rFonts w:asciiTheme="majorHAnsi" w:hAnsiTheme="majorHAnsi"/>
                <w:color w:val="000000" w:themeColor="text1"/>
                <w:sz w:val="16"/>
                <w:szCs w:val="16"/>
                <w:lang w:val="es-ES"/>
              </w:rPr>
              <w:t>l</w:t>
            </w:r>
            <w:r w:rsidR="00DD5BA4" w:rsidRPr="004768D0">
              <w:rPr>
                <w:rFonts w:asciiTheme="majorHAnsi" w:hAnsiTheme="majorHAnsi"/>
                <w:color w:val="000000" w:themeColor="text1"/>
                <w:sz w:val="16"/>
                <w:szCs w:val="16"/>
                <w:lang w:val="es-ES"/>
              </w:rPr>
              <w:t>os autos de l</w:t>
            </w:r>
            <w:r w:rsidR="009F2506" w:rsidRPr="004768D0">
              <w:rPr>
                <w:rFonts w:asciiTheme="majorHAnsi" w:hAnsiTheme="majorHAnsi"/>
                <w:color w:val="000000" w:themeColor="text1"/>
                <w:sz w:val="16"/>
                <w:szCs w:val="16"/>
                <w:lang w:val="es-ES"/>
              </w:rPr>
              <w:t xml:space="preserve">as investigaciones </w:t>
            </w:r>
            <w:r w:rsidR="00DD5BA4" w:rsidRPr="004768D0">
              <w:rPr>
                <w:rFonts w:asciiTheme="majorHAnsi" w:hAnsiTheme="majorHAnsi"/>
                <w:color w:val="000000" w:themeColor="text1"/>
                <w:sz w:val="16"/>
                <w:szCs w:val="16"/>
                <w:lang w:val="es-ES"/>
              </w:rPr>
              <w:t>fueron acumulados en virtud de su interconexión</w:t>
            </w:r>
            <w:r w:rsidRPr="004768D0">
              <w:rPr>
                <w:rFonts w:asciiTheme="majorHAnsi" w:hAnsiTheme="majorHAnsi"/>
                <w:color w:val="000000" w:themeColor="text1"/>
                <w:sz w:val="16"/>
                <w:szCs w:val="16"/>
                <w:lang w:val="es-ES"/>
              </w:rPr>
              <w:t>.</w:t>
            </w:r>
          </w:p>
          <w:p w14:paraId="6D13B510" w14:textId="77777777" w:rsidR="00527F9C" w:rsidRPr="004768D0" w:rsidRDefault="00DD5BA4"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Una vecina del lugar declaró que los </w:t>
            </w:r>
            <w:r w:rsidR="00527F9C" w:rsidRPr="004768D0">
              <w:rPr>
                <w:rFonts w:asciiTheme="majorHAnsi" w:hAnsiTheme="majorHAnsi"/>
                <w:color w:val="000000" w:themeColor="text1"/>
                <w:sz w:val="16"/>
                <w:szCs w:val="16"/>
                <w:lang w:val="es-ES"/>
              </w:rPr>
              <w:t xml:space="preserve">tiradores </w:t>
            </w:r>
            <w:r w:rsidR="00175527">
              <w:rPr>
                <w:rFonts w:asciiTheme="majorHAnsi" w:hAnsiTheme="majorHAnsi"/>
                <w:color w:val="000000" w:themeColor="text1"/>
                <w:sz w:val="16"/>
                <w:szCs w:val="16"/>
                <w:lang w:val="es-ES"/>
              </w:rPr>
              <w:t xml:space="preserve">iban en </w:t>
            </w:r>
            <w:r w:rsidRPr="004768D0">
              <w:rPr>
                <w:rFonts w:asciiTheme="majorHAnsi" w:hAnsiTheme="majorHAnsi"/>
                <w:color w:val="000000" w:themeColor="text1"/>
                <w:sz w:val="16"/>
                <w:szCs w:val="16"/>
                <w:lang w:val="es-ES"/>
              </w:rPr>
              <w:t>una</w:t>
            </w:r>
            <w:r w:rsidR="00527F9C" w:rsidRPr="004768D0">
              <w:rPr>
                <w:rFonts w:asciiTheme="majorHAnsi" w:hAnsiTheme="majorHAnsi"/>
                <w:color w:val="000000" w:themeColor="text1"/>
                <w:sz w:val="16"/>
                <w:szCs w:val="16"/>
                <w:lang w:val="es-ES"/>
              </w:rPr>
              <w:t xml:space="preserve"> moto Honda 150 verde</w:t>
            </w:r>
            <w:r w:rsidRPr="004768D0">
              <w:rPr>
                <w:rFonts w:asciiTheme="majorHAnsi" w:hAnsiTheme="majorHAnsi"/>
                <w:color w:val="000000" w:themeColor="text1"/>
                <w:sz w:val="16"/>
                <w:szCs w:val="16"/>
                <w:lang w:val="es-ES"/>
              </w:rPr>
              <w:t xml:space="preserve">. Según otros </w:t>
            </w:r>
            <w:r w:rsidR="003346C1" w:rsidRPr="004768D0">
              <w:rPr>
                <w:rFonts w:asciiTheme="majorHAnsi" w:hAnsiTheme="majorHAnsi"/>
                <w:color w:val="000000" w:themeColor="text1"/>
                <w:sz w:val="16"/>
                <w:szCs w:val="16"/>
                <w:lang w:val="es-ES"/>
              </w:rPr>
              <w:t>testigos</w:t>
            </w:r>
            <w:r w:rsidR="00527F9C" w:rsidRPr="004768D0">
              <w:rPr>
                <w:rFonts w:asciiTheme="majorHAnsi" w:hAnsiTheme="majorHAnsi"/>
                <w:color w:val="000000" w:themeColor="text1"/>
                <w:sz w:val="16"/>
                <w:szCs w:val="16"/>
                <w:lang w:val="es-ES"/>
              </w:rPr>
              <w:t xml:space="preserve"> que no quis</w:t>
            </w:r>
            <w:r w:rsidRPr="004768D0">
              <w:rPr>
                <w:rFonts w:asciiTheme="majorHAnsi" w:hAnsiTheme="majorHAnsi"/>
                <w:color w:val="000000" w:themeColor="text1"/>
                <w:sz w:val="16"/>
                <w:szCs w:val="16"/>
                <w:lang w:val="es-ES"/>
              </w:rPr>
              <w:t>ieron que los identificaran</w:t>
            </w:r>
            <w:r w:rsidR="00527F9C" w:rsidRPr="004768D0">
              <w:rPr>
                <w:rFonts w:asciiTheme="majorHAnsi" w:hAnsiTheme="majorHAnsi"/>
                <w:color w:val="000000" w:themeColor="text1"/>
                <w:sz w:val="16"/>
                <w:szCs w:val="16"/>
                <w:lang w:val="es-ES"/>
              </w:rPr>
              <w:t>, tamb</w:t>
            </w:r>
            <w:r w:rsidRPr="004768D0">
              <w:rPr>
                <w:rFonts w:asciiTheme="majorHAnsi" w:hAnsiTheme="majorHAnsi"/>
                <w:color w:val="000000" w:themeColor="text1"/>
                <w:sz w:val="16"/>
                <w:szCs w:val="16"/>
                <w:lang w:val="es-ES"/>
              </w:rPr>
              <w:t xml:space="preserve">ién había un </w:t>
            </w:r>
            <w:r w:rsidR="006062C8" w:rsidRPr="004768D0">
              <w:rPr>
                <w:rFonts w:asciiTheme="majorHAnsi" w:hAnsiTheme="majorHAnsi"/>
                <w:color w:val="000000" w:themeColor="text1"/>
                <w:sz w:val="16"/>
                <w:szCs w:val="16"/>
                <w:lang w:val="es-ES"/>
              </w:rPr>
              <w:t>vehículo</w:t>
            </w:r>
            <w:r w:rsidR="00527F9C" w:rsidRPr="004768D0">
              <w:rPr>
                <w:rFonts w:asciiTheme="majorHAnsi" w:hAnsiTheme="majorHAnsi"/>
                <w:color w:val="000000" w:themeColor="text1"/>
                <w:sz w:val="16"/>
                <w:szCs w:val="16"/>
                <w:lang w:val="es-ES"/>
              </w:rPr>
              <w:t xml:space="preserve"> Fiat Marea </w:t>
            </w:r>
            <w:r w:rsidR="006062C8" w:rsidRPr="004768D0">
              <w:rPr>
                <w:rFonts w:asciiTheme="majorHAnsi" w:hAnsiTheme="majorHAnsi"/>
                <w:color w:val="000000" w:themeColor="text1"/>
                <w:sz w:val="16"/>
                <w:szCs w:val="16"/>
                <w:lang w:val="es-ES"/>
              </w:rPr>
              <w:t>negro</w:t>
            </w:r>
            <w:r w:rsidR="00527F9C"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en el lugar</w:t>
            </w:r>
            <w:r w:rsidR="00527F9C" w:rsidRPr="004768D0">
              <w:rPr>
                <w:rFonts w:asciiTheme="majorHAnsi" w:hAnsiTheme="majorHAnsi"/>
                <w:color w:val="000000" w:themeColor="text1"/>
                <w:sz w:val="16"/>
                <w:szCs w:val="16"/>
                <w:lang w:val="es-ES"/>
              </w:rPr>
              <w:t>.</w:t>
            </w:r>
          </w:p>
          <w:p w14:paraId="28160E71" w14:textId="77777777" w:rsidR="00527F9C" w:rsidRPr="004768D0" w:rsidRDefault="00DD5BA4"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El agente de p</w:t>
            </w:r>
            <w:r w:rsidR="00527F9C" w:rsidRPr="004768D0">
              <w:rPr>
                <w:rFonts w:asciiTheme="majorHAnsi" w:hAnsiTheme="majorHAnsi"/>
                <w:color w:val="000000" w:themeColor="text1"/>
                <w:sz w:val="16"/>
                <w:szCs w:val="16"/>
                <w:lang w:val="es-ES"/>
              </w:rPr>
              <w:t>olic</w:t>
            </w:r>
            <w:r w:rsidRPr="004768D0">
              <w:rPr>
                <w:rFonts w:asciiTheme="majorHAnsi" w:hAnsiTheme="majorHAnsi"/>
                <w:color w:val="000000" w:themeColor="text1"/>
                <w:sz w:val="16"/>
                <w:szCs w:val="16"/>
                <w:lang w:val="es-ES"/>
              </w:rPr>
              <w:t xml:space="preserve">ía </w:t>
            </w:r>
            <w:r w:rsidR="00527F9C" w:rsidRPr="004768D0">
              <w:rPr>
                <w:rFonts w:asciiTheme="majorHAnsi" w:hAnsiTheme="majorHAnsi"/>
                <w:color w:val="000000" w:themeColor="text1"/>
                <w:sz w:val="16"/>
                <w:szCs w:val="16"/>
                <w:lang w:val="es-ES"/>
              </w:rPr>
              <w:t xml:space="preserve">que </w:t>
            </w:r>
            <w:r w:rsidR="00175527">
              <w:rPr>
                <w:rFonts w:asciiTheme="majorHAnsi" w:hAnsiTheme="majorHAnsi"/>
                <w:color w:val="000000" w:themeColor="text1"/>
                <w:sz w:val="16"/>
                <w:szCs w:val="16"/>
                <w:lang w:val="es-ES"/>
              </w:rPr>
              <w:t>levantó el parte d</w:t>
            </w:r>
            <w:r w:rsidRPr="004768D0">
              <w:rPr>
                <w:rFonts w:asciiTheme="majorHAnsi" w:hAnsiTheme="majorHAnsi"/>
                <w:color w:val="000000" w:themeColor="text1"/>
                <w:sz w:val="16"/>
                <w:szCs w:val="16"/>
                <w:lang w:val="es-ES"/>
              </w:rPr>
              <w:t xml:space="preserve">el incidente, </w:t>
            </w:r>
            <w:proofErr w:type="spellStart"/>
            <w:r w:rsidR="00527F9C" w:rsidRPr="004768D0">
              <w:rPr>
                <w:rFonts w:asciiTheme="majorHAnsi" w:hAnsiTheme="majorHAnsi"/>
                <w:color w:val="000000" w:themeColor="text1"/>
                <w:sz w:val="16"/>
                <w:szCs w:val="16"/>
                <w:lang w:val="es-ES"/>
              </w:rPr>
              <w:t>Aragão</w:t>
            </w:r>
            <w:proofErr w:type="spellEnd"/>
            <w:r w:rsidR="00527F9C"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que ya fuera mencionado en relación con las ejecuciones antes </w:t>
            </w:r>
            <w:r w:rsidR="00527F9C" w:rsidRPr="004768D0">
              <w:rPr>
                <w:rFonts w:asciiTheme="majorHAnsi" w:hAnsiTheme="majorHAnsi"/>
                <w:color w:val="000000" w:themeColor="text1"/>
                <w:sz w:val="16"/>
                <w:szCs w:val="16"/>
                <w:lang w:val="es-ES"/>
              </w:rPr>
              <w:t xml:space="preserve">relatadas, </w:t>
            </w:r>
            <w:r w:rsidRPr="004768D0">
              <w:rPr>
                <w:rFonts w:asciiTheme="majorHAnsi" w:hAnsiTheme="majorHAnsi"/>
                <w:color w:val="000000" w:themeColor="text1"/>
                <w:sz w:val="16"/>
                <w:szCs w:val="16"/>
                <w:lang w:val="es-ES"/>
              </w:rPr>
              <w:t>informó</w:t>
            </w:r>
            <w:r w:rsidR="00527F9C"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solo que había recibido una llamada del</w:t>
            </w:r>
            <w:r w:rsidR="00527F9C" w:rsidRPr="004768D0">
              <w:rPr>
                <w:rFonts w:asciiTheme="majorHAnsi" w:hAnsiTheme="majorHAnsi"/>
                <w:color w:val="000000" w:themeColor="text1"/>
                <w:sz w:val="16"/>
                <w:szCs w:val="16"/>
                <w:lang w:val="es-ES"/>
              </w:rPr>
              <w:t xml:space="preserve"> COPOM para </w:t>
            </w:r>
            <w:r w:rsidRPr="004768D0">
              <w:rPr>
                <w:rFonts w:asciiTheme="majorHAnsi" w:hAnsiTheme="majorHAnsi"/>
                <w:color w:val="000000" w:themeColor="text1"/>
                <w:sz w:val="16"/>
                <w:szCs w:val="16"/>
                <w:lang w:val="es-ES"/>
              </w:rPr>
              <w:t xml:space="preserve">que fuera a </w:t>
            </w:r>
            <w:r w:rsidR="00527F9C" w:rsidRPr="004768D0">
              <w:rPr>
                <w:rFonts w:asciiTheme="majorHAnsi" w:hAnsiTheme="majorHAnsi"/>
                <w:color w:val="000000" w:themeColor="text1"/>
                <w:sz w:val="16"/>
                <w:szCs w:val="16"/>
                <w:lang w:val="es-ES"/>
              </w:rPr>
              <w:t xml:space="preserve">socorrer </w:t>
            </w:r>
            <w:r w:rsidRPr="004768D0">
              <w:rPr>
                <w:rFonts w:asciiTheme="majorHAnsi" w:hAnsiTheme="majorHAnsi"/>
                <w:color w:val="000000" w:themeColor="text1"/>
                <w:sz w:val="16"/>
                <w:szCs w:val="16"/>
                <w:lang w:val="es-ES"/>
              </w:rPr>
              <w:t>a l</w:t>
            </w:r>
            <w:r w:rsidR="00527F9C" w:rsidRPr="004768D0">
              <w:rPr>
                <w:rFonts w:asciiTheme="majorHAnsi" w:hAnsiTheme="majorHAnsi"/>
                <w:color w:val="000000" w:themeColor="text1"/>
                <w:sz w:val="16"/>
                <w:szCs w:val="16"/>
                <w:lang w:val="es-ES"/>
              </w:rPr>
              <w:t xml:space="preserve">as </w:t>
            </w:r>
            <w:r w:rsidR="00000CF9" w:rsidRPr="004768D0">
              <w:rPr>
                <w:rFonts w:asciiTheme="majorHAnsi" w:hAnsiTheme="majorHAnsi"/>
                <w:color w:val="000000" w:themeColor="text1"/>
                <w:sz w:val="16"/>
                <w:szCs w:val="16"/>
                <w:lang w:val="es-ES"/>
              </w:rPr>
              <w:t>víctimas</w:t>
            </w:r>
            <w:r w:rsidRPr="004768D0">
              <w:rPr>
                <w:rFonts w:asciiTheme="majorHAnsi" w:hAnsiTheme="majorHAnsi"/>
                <w:color w:val="000000" w:themeColor="text1"/>
                <w:sz w:val="16"/>
                <w:szCs w:val="16"/>
                <w:lang w:val="es-ES"/>
              </w:rPr>
              <w:t xml:space="preserve"> y que no había visto ningún </w:t>
            </w:r>
            <w:r w:rsidR="004744F0" w:rsidRPr="004768D0">
              <w:rPr>
                <w:rFonts w:asciiTheme="majorHAnsi" w:hAnsiTheme="majorHAnsi"/>
                <w:color w:val="000000" w:themeColor="text1"/>
                <w:sz w:val="16"/>
                <w:szCs w:val="16"/>
                <w:lang w:val="es-ES"/>
              </w:rPr>
              <w:t>testigo</w:t>
            </w:r>
            <w:r w:rsidR="00527F9C"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en el lugar ni había oído el número de </w:t>
            </w:r>
            <w:r w:rsidR="00527F9C" w:rsidRPr="004768D0">
              <w:rPr>
                <w:rFonts w:asciiTheme="majorHAnsi" w:hAnsiTheme="majorHAnsi"/>
                <w:color w:val="000000" w:themeColor="text1"/>
                <w:sz w:val="16"/>
                <w:szCs w:val="16"/>
                <w:lang w:val="es-ES"/>
              </w:rPr>
              <w:t>disparos.</w:t>
            </w:r>
          </w:p>
          <w:p w14:paraId="7134C09E" w14:textId="77777777" w:rsidR="00527F9C" w:rsidRPr="004768D0" w:rsidRDefault="00DD5BA4"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La</w:t>
            </w:r>
            <w:r w:rsidR="00527F9C" w:rsidRPr="004768D0">
              <w:rPr>
                <w:rFonts w:asciiTheme="majorHAnsi" w:hAnsiTheme="majorHAnsi"/>
                <w:color w:val="000000" w:themeColor="text1"/>
                <w:sz w:val="16"/>
                <w:szCs w:val="16"/>
                <w:lang w:val="es-ES"/>
              </w:rPr>
              <w:t xml:space="preserve"> </w:t>
            </w:r>
            <w:r w:rsidR="00C03E33" w:rsidRPr="004768D0">
              <w:rPr>
                <w:rFonts w:asciiTheme="majorHAnsi" w:hAnsiTheme="majorHAnsi"/>
                <w:color w:val="000000" w:themeColor="text1"/>
                <w:sz w:val="16"/>
                <w:szCs w:val="16"/>
                <w:lang w:val="es-ES"/>
              </w:rPr>
              <w:t>investigación</w:t>
            </w:r>
            <w:r w:rsidR="00527F9C" w:rsidRPr="004768D0">
              <w:rPr>
                <w:rFonts w:asciiTheme="majorHAnsi" w:hAnsiTheme="majorHAnsi"/>
                <w:color w:val="000000" w:themeColor="text1"/>
                <w:sz w:val="16"/>
                <w:szCs w:val="16"/>
                <w:lang w:val="es-ES"/>
              </w:rPr>
              <w:t xml:space="preserve"> policial f</w:t>
            </w:r>
            <w:r w:rsidR="009847EF" w:rsidRPr="004768D0">
              <w:rPr>
                <w:rFonts w:asciiTheme="majorHAnsi" w:hAnsiTheme="majorHAnsi"/>
                <w:color w:val="000000" w:themeColor="text1"/>
                <w:sz w:val="16"/>
                <w:szCs w:val="16"/>
                <w:lang w:val="es-ES"/>
              </w:rPr>
              <w:t xml:space="preserve">ue archivada </w:t>
            </w:r>
            <w:r w:rsidR="00527F9C" w:rsidRPr="004768D0">
              <w:rPr>
                <w:rFonts w:asciiTheme="majorHAnsi" w:hAnsiTheme="majorHAnsi"/>
                <w:color w:val="000000" w:themeColor="text1"/>
                <w:sz w:val="16"/>
                <w:szCs w:val="16"/>
                <w:lang w:val="es-ES"/>
              </w:rPr>
              <w:t xml:space="preserve">originalmente </w:t>
            </w:r>
            <w:r w:rsidR="009847EF" w:rsidRPr="004768D0">
              <w:rPr>
                <w:rFonts w:asciiTheme="majorHAnsi" w:hAnsiTheme="majorHAnsi"/>
                <w:color w:val="000000" w:themeColor="text1"/>
                <w:sz w:val="16"/>
                <w:szCs w:val="16"/>
                <w:lang w:val="es-ES"/>
              </w:rPr>
              <w:t xml:space="preserve">el </w:t>
            </w:r>
            <w:r w:rsidR="00527F9C" w:rsidRPr="004768D0">
              <w:rPr>
                <w:rFonts w:asciiTheme="majorHAnsi" w:hAnsiTheme="majorHAnsi"/>
                <w:color w:val="000000" w:themeColor="text1"/>
                <w:sz w:val="16"/>
                <w:szCs w:val="16"/>
                <w:lang w:val="es-ES"/>
              </w:rPr>
              <w:t xml:space="preserve">8 de </w:t>
            </w:r>
            <w:r w:rsidR="007F4608" w:rsidRPr="004768D0">
              <w:rPr>
                <w:rFonts w:asciiTheme="majorHAnsi" w:hAnsiTheme="majorHAnsi"/>
                <w:color w:val="000000" w:themeColor="text1"/>
                <w:sz w:val="16"/>
                <w:szCs w:val="16"/>
                <w:lang w:val="es-ES"/>
              </w:rPr>
              <w:t>mayo</w:t>
            </w:r>
            <w:r w:rsidR="00527F9C" w:rsidRPr="004768D0">
              <w:rPr>
                <w:rFonts w:asciiTheme="majorHAnsi" w:hAnsiTheme="majorHAnsi"/>
                <w:color w:val="000000" w:themeColor="text1"/>
                <w:sz w:val="16"/>
                <w:szCs w:val="16"/>
                <w:lang w:val="es-ES"/>
              </w:rPr>
              <w:t xml:space="preserve"> de 2007</w:t>
            </w:r>
            <w:r w:rsidR="00191DB5" w:rsidRPr="004768D0">
              <w:rPr>
                <w:rFonts w:asciiTheme="majorHAnsi" w:hAnsiTheme="majorHAnsi"/>
                <w:color w:val="000000" w:themeColor="text1"/>
                <w:sz w:val="16"/>
                <w:szCs w:val="16"/>
                <w:lang w:val="es-ES"/>
              </w:rPr>
              <w:t xml:space="preserve"> por entenderse </w:t>
            </w:r>
            <w:r w:rsidR="00527F9C" w:rsidRPr="004768D0">
              <w:rPr>
                <w:rFonts w:asciiTheme="majorHAnsi" w:hAnsiTheme="majorHAnsi"/>
                <w:color w:val="000000" w:themeColor="text1"/>
                <w:sz w:val="16"/>
                <w:szCs w:val="16"/>
                <w:lang w:val="es-ES"/>
              </w:rPr>
              <w:t xml:space="preserve">que Mateus </w:t>
            </w:r>
            <w:r w:rsidR="004744F0" w:rsidRPr="004768D0">
              <w:rPr>
                <w:rFonts w:asciiTheme="majorHAnsi" w:hAnsiTheme="majorHAnsi"/>
                <w:color w:val="000000" w:themeColor="text1"/>
                <w:sz w:val="16"/>
                <w:szCs w:val="16"/>
                <w:lang w:val="es-ES"/>
              </w:rPr>
              <w:t>“</w:t>
            </w:r>
            <w:r w:rsidR="00191DB5" w:rsidRPr="004768D0">
              <w:rPr>
                <w:rFonts w:asciiTheme="majorHAnsi" w:hAnsiTheme="majorHAnsi"/>
                <w:color w:val="000000" w:themeColor="text1"/>
                <w:sz w:val="16"/>
                <w:szCs w:val="16"/>
                <w:lang w:val="es-ES"/>
              </w:rPr>
              <w:t xml:space="preserve">estaría involucrado en </w:t>
            </w:r>
            <w:r w:rsidRPr="004768D0">
              <w:rPr>
                <w:rFonts w:asciiTheme="majorHAnsi" w:hAnsiTheme="majorHAnsi"/>
                <w:color w:val="000000" w:themeColor="text1"/>
                <w:sz w:val="16"/>
                <w:szCs w:val="16"/>
                <w:lang w:val="es-ES"/>
              </w:rPr>
              <w:t>estupefacientes</w:t>
            </w:r>
            <w:r w:rsidR="004744F0" w:rsidRPr="004768D0">
              <w:rPr>
                <w:rFonts w:asciiTheme="majorHAnsi" w:hAnsiTheme="majorHAnsi"/>
                <w:color w:val="000000" w:themeColor="text1"/>
                <w:sz w:val="16"/>
                <w:szCs w:val="16"/>
                <w:lang w:val="es-ES"/>
              </w:rPr>
              <w:t>”</w:t>
            </w:r>
            <w:r w:rsidR="00191DB5" w:rsidRPr="004768D0">
              <w:rPr>
                <w:rFonts w:asciiTheme="majorHAnsi" w:hAnsiTheme="majorHAnsi"/>
                <w:color w:val="000000" w:themeColor="text1"/>
                <w:sz w:val="16"/>
                <w:szCs w:val="16"/>
                <w:lang w:val="es-ES"/>
              </w:rPr>
              <w:t xml:space="preserve"> y l</w:t>
            </w:r>
            <w:r w:rsidR="00527F9C" w:rsidRPr="004768D0">
              <w:rPr>
                <w:rFonts w:asciiTheme="majorHAnsi" w:hAnsiTheme="majorHAnsi"/>
                <w:color w:val="000000" w:themeColor="text1"/>
                <w:sz w:val="16"/>
                <w:szCs w:val="16"/>
                <w:lang w:val="es-ES"/>
              </w:rPr>
              <w:t xml:space="preserve">as </w:t>
            </w:r>
            <w:r w:rsidR="00191DB5" w:rsidRPr="004768D0">
              <w:rPr>
                <w:rFonts w:asciiTheme="majorHAnsi" w:hAnsiTheme="majorHAnsi"/>
                <w:color w:val="000000" w:themeColor="text1"/>
                <w:sz w:val="16"/>
                <w:szCs w:val="16"/>
                <w:lang w:val="es-ES"/>
              </w:rPr>
              <w:t>circunstancias</w:t>
            </w:r>
            <w:r w:rsidR="00527F9C" w:rsidRPr="004768D0">
              <w:rPr>
                <w:rFonts w:asciiTheme="majorHAnsi" w:hAnsiTheme="majorHAnsi"/>
                <w:color w:val="000000" w:themeColor="text1"/>
                <w:sz w:val="16"/>
                <w:szCs w:val="16"/>
                <w:lang w:val="es-ES"/>
              </w:rPr>
              <w:t xml:space="preserve"> </w:t>
            </w:r>
            <w:r w:rsidR="00191DB5" w:rsidRPr="004768D0">
              <w:rPr>
                <w:rFonts w:asciiTheme="majorHAnsi" w:hAnsiTheme="majorHAnsi"/>
                <w:color w:val="000000" w:themeColor="text1"/>
                <w:sz w:val="16"/>
                <w:szCs w:val="16"/>
                <w:lang w:val="es-ES"/>
              </w:rPr>
              <w:t>indicaban</w:t>
            </w:r>
            <w:r w:rsidR="00527F9C" w:rsidRPr="004768D0">
              <w:rPr>
                <w:rFonts w:asciiTheme="majorHAnsi" w:hAnsiTheme="majorHAnsi"/>
                <w:color w:val="000000" w:themeColor="text1"/>
                <w:sz w:val="16"/>
                <w:szCs w:val="16"/>
                <w:lang w:val="es-ES"/>
              </w:rPr>
              <w:t xml:space="preserve"> </w:t>
            </w:r>
            <w:r w:rsidR="004744F0" w:rsidRPr="004768D0">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a</w:t>
            </w:r>
            <w:r w:rsidR="00191DB5" w:rsidRPr="004768D0">
              <w:rPr>
                <w:rFonts w:asciiTheme="majorHAnsi" w:hAnsiTheme="majorHAnsi"/>
                <w:color w:val="000000" w:themeColor="text1"/>
                <w:sz w:val="16"/>
                <w:szCs w:val="16"/>
                <w:lang w:val="es-ES"/>
              </w:rPr>
              <w:t>juste de cuentas</w:t>
            </w:r>
            <w:r w:rsidR="004744F0" w:rsidRPr="004768D0">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 xml:space="preserve"> o </w:t>
            </w:r>
            <w:r w:rsidR="004744F0" w:rsidRPr="004768D0">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quema de ar</w:t>
            </w:r>
            <w:r w:rsidR="00191DB5" w:rsidRPr="004768D0">
              <w:rPr>
                <w:rFonts w:asciiTheme="majorHAnsi" w:hAnsiTheme="majorHAnsi"/>
                <w:color w:val="000000" w:themeColor="text1"/>
                <w:sz w:val="16"/>
                <w:szCs w:val="16"/>
                <w:lang w:val="es-ES"/>
              </w:rPr>
              <w:t>ch</w:t>
            </w:r>
            <w:r w:rsidR="00527F9C" w:rsidRPr="004768D0">
              <w:rPr>
                <w:rFonts w:asciiTheme="majorHAnsi" w:hAnsiTheme="majorHAnsi"/>
                <w:color w:val="000000" w:themeColor="text1"/>
                <w:sz w:val="16"/>
                <w:szCs w:val="16"/>
                <w:lang w:val="es-ES"/>
              </w:rPr>
              <w:t>ivo</w:t>
            </w:r>
            <w:r w:rsidR="004744F0" w:rsidRPr="004768D0">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 situa</w:t>
            </w:r>
            <w:r w:rsidR="00191DB5" w:rsidRPr="004768D0">
              <w:rPr>
                <w:rFonts w:asciiTheme="majorHAnsi" w:hAnsiTheme="majorHAnsi"/>
                <w:color w:val="000000" w:themeColor="text1"/>
                <w:sz w:val="16"/>
                <w:szCs w:val="16"/>
                <w:lang w:val="es-ES"/>
              </w:rPr>
              <w:t xml:space="preserve">ciones en las cuales el esclarecimiento del </w:t>
            </w:r>
            <w:r w:rsidR="00527F9C" w:rsidRPr="004768D0">
              <w:rPr>
                <w:rFonts w:asciiTheme="majorHAnsi" w:hAnsiTheme="majorHAnsi"/>
                <w:color w:val="000000" w:themeColor="text1"/>
                <w:sz w:val="16"/>
                <w:szCs w:val="16"/>
                <w:lang w:val="es-ES"/>
              </w:rPr>
              <w:t xml:space="preserve">caso </w:t>
            </w:r>
            <w:r w:rsidR="00191DB5" w:rsidRPr="004768D0">
              <w:rPr>
                <w:rFonts w:asciiTheme="majorHAnsi" w:hAnsiTheme="majorHAnsi"/>
                <w:color w:val="000000" w:themeColor="text1"/>
                <w:sz w:val="16"/>
                <w:szCs w:val="16"/>
                <w:lang w:val="es-ES"/>
              </w:rPr>
              <w:t xml:space="preserve">resulta </w:t>
            </w:r>
            <w:r w:rsidR="004744F0" w:rsidRPr="004768D0">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mu</w:t>
            </w:r>
            <w:r w:rsidR="00191DB5" w:rsidRPr="004768D0">
              <w:rPr>
                <w:rFonts w:asciiTheme="majorHAnsi" w:hAnsiTheme="majorHAnsi"/>
                <w:color w:val="000000" w:themeColor="text1"/>
                <w:sz w:val="16"/>
                <w:szCs w:val="16"/>
                <w:lang w:val="es-ES"/>
              </w:rPr>
              <w:t>y</w:t>
            </w:r>
            <w:r w:rsidR="00527F9C" w:rsidRPr="004768D0">
              <w:rPr>
                <w:rFonts w:asciiTheme="majorHAnsi" w:hAnsiTheme="majorHAnsi"/>
                <w:color w:val="000000" w:themeColor="text1"/>
                <w:sz w:val="16"/>
                <w:szCs w:val="16"/>
                <w:lang w:val="es-ES"/>
              </w:rPr>
              <w:t xml:space="preserve"> difícil</w:t>
            </w:r>
            <w:r w:rsidR="004744F0" w:rsidRPr="004768D0">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 Tal fundamento indign</w:t>
            </w:r>
            <w:r w:rsidR="00191DB5" w:rsidRPr="004768D0">
              <w:rPr>
                <w:rFonts w:asciiTheme="majorHAnsi" w:hAnsiTheme="majorHAnsi"/>
                <w:color w:val="000000" w:themeColor="text1"/>
                <w:sz w:val="16"/>
                <w:szCs w:val="16"/>
                <w:lang w:val="es-ES"/>
              </w:rPr>
              <w:t xml:space="preserve">ó al padre de </w:t>
            </w:r>
            <w:r w:rsidR="00527F9C" w:rsidRPr="004768D0">
              <w:rPr>
                <w:rFonts w:asciiTheme="majorHAnsi" w:hAnsiTheme="majorHAnsi"/>
                <w:color w:val="000000" w:themeColor="text1"/>
                <w:sz w:val="16"/>
                <w:szCs w:val="16"/>
                <w:lang w:val="es-ES"/>
              </w:rPr>
              <w:t xml:space="preserve">Mateus, </w:t>
            </w:r>
            <w:r w:rsidR="00191DB5" w:rsidRPr="004768D0">
              <w:rPr>
                <w:rFonts w:asciiTheme="majorHAnsi" w:hAnsiTheme="majorHAnsi"/>
                <w:color w:val="000000" w:themeColor="text1"/>
                <w:sz w:val="16"/>
                <w:szCs w:val="16"/>
                <w:lang w:val="es-ES"/>
              </w:rPr>
              <w:t xml:space="preserve">el señor </w:t>
            </w:r>
            <w:r w:rsidR="00527F9C" w:rsidRPr="004768D0">
              <w:rPr>
                <w:rFonts w:asciiTheme="majorHAnsi" w:hAnsiTheme="majorHAnsi"/>
                <w:color w:val="000000" w:themeColor="text1"/>
                <w:sz w:val="16"/>
                <w:szCs w:val="16"/>
                <w:lang w:val="es-ES"/>
              </w:rPr>
              <w:t xml:space="preserve">João </w:t>
            </w:r>
            <w:proofErr w:type="spellStart"/>
            <w:r w:rsidR="00527F9C" w:rsidRPr="004768D0">
              <w:rPr>
                <w:rFonts w:asciiTheme="majorHAnsi" w:hAnsiTheme="majorHAnsi"/>
                <w:color w:val="000000" w:themeColor="text1"/>
                <w:sz w:val="16"/>
                <w:szCs w:val="16"/>
                <w:lang w:val="es-ES"/>
              </w:rPr>
              <w:t>Inocêncio</w:t>
            </w:r>
            <w:proofErr w:type="spellEnd"/>
            <w:r w:rsidR="00527F9C" w:rsidRPr="004768D0">
              <w:rPr>
                <w:rFonts w:asciiTheme="majorHAnsi" w:hAnsiTheme="majorHAnsi"/>
                <w:color w:val="000000" w:themeColor="text1"/>
                <w:sz w:val="16"/>
                <w:szCs w:val="16"/>
                <w:lang w:val="es-ES"/>
              </w:rPr>
              <w:t xml:space="preserve"> </w:t>
            </w:r>
            <w:proofErr w:type="spellStart"/>
            <w:r w:rsidR="00527F9C" w:rsidRPr="004768D0">
              <w:rPr>
                <w:rFonts w:asciiTheme="majorHAnsi" w:hAnsiTheme="majorHAnsi"/>
                <w:color w:val="000000" w:themeColor="text1"/>
                <w:sz w:val="16"/>
                <w:szCs w:val="16"/>
                <w:lang w:val="es-ES"/>
              </w:rPr>
              <w:t>Correia</w:t>
            </w:r>
            <w:proofErr w:type="spellEnd"/>
            <w:r w:rsidR="00527F9C" w:rsidRPr="004768D0">
              <w:rPr>
                <w:rFonts w:asciiTheme="majorHAnsi" w:hAnsiTheme="majorHAnsi"/>
                <w:color w:val="000000" w:themeColor="text1"/>
                <w:sz w:val="16"/>
                <w:szCs w:val="16"/>
                <w:lang w:val="es-ES"/>
              </w:rPr>
              <w:t xml:space="preserve"> de Freitas. A pedido de</w:t>
            </w:r>
            <w:r w:rsidR="00191DB5" w:rsidRPr="004768D0">
              <w:rPr>
                <w:rFonts w:asciiTheme="majorHAnsi" w:hAnsiTheme="majorHAnsi"/>
                <w:color w:val="000000" w:themeColor="text1"/>
                <w:sz w:val="16"/>
                <w:szCs w:val="16"/>
                <w:lang w:val="es-ES"/>
              </w:rPr>
              <w:t xml:space="preserve"> é</w:t>
            </w:r>
            <w:r w:rsidR="00527F9C" w:rsidRPr="004768D0">
              <w:rPr>
                <w:rFonts w:asciiTheme="majorHAnsi" w:hAnsiTheme="majorHAnsi"/>
                <w:color w:val="000000" w:themeColor="text1"/>
                <w:sz w:val="16"/>
                <w:szCs w:val="16"/>
                <w:lang w:val="es-ES"/>
              </w:rPr>
              <w:t xml:space="preserve">l, </w:t>
            </w:r>
            <w:r w:rsidR="00191DB5" w:rsidRPr="004768D0">
              <w:rPr>
                <w:rFonts w:asciiTheme="majorHAnsi" w:hAnsiTheme="majorHAnsi"/>
                <w:color w:val="000000" w:themeColor="text1"/>
                <w:sz w:val="16"/>
                <w:szCs w:val="16"/>
                <w:lang w:val="es-ES"/>
              </w:rPr>
              <w:t xml:space="preserve">se reabrió la </w:t>
            </w:r>
            <w:r w:rsidR="00C03E33" w:rsidRPr="004768D0">
              <w:rPr>
                <w:rFonts w:asciiTheme="majorHAnsi" w:hAnsiTheme="majorHAnsi"/>
                <w:color w:val="000000" w:themeColor="text1"/>
                <w:sz w:val="16"/>
                <w:szCs w:val="16"/>
                <w:lang w:val="es-ES"/>
              </w:rPr>
              <w:t>investigación</w:t>
            </w:r>
            <w:r w:rsidR="00527F9C" w:rsidRPr="004768D0">
              <w:rPr>
                <w:rFonts w:asciiTheme="majorHAnsi" w:hAnsiTheme="majorHAnsi"/>
                <w:color w:val="000000" w:themeColor="text1"/>
                <w:sz w:val="16"/>
                <w:szCs w:val="16"/>
                <w:lang w:val="es-ES"/>
              </w:rPr>
              <w:t xml:space="preserve"> </w:t>
            </w:r>
            <w:r w:rsidR="00191DB5" w:rsidRPr="004768D0">
              <w:rPr>
                <w:rFonts w:asciiTheme="majorHAnsi" w:hAnsiTheme="majorHAnsi"/>
                <w:color w:val="000000" w:themeColor="text1"/>
                <w:sz w:val="16"/>
                <w:szCs w:val="16"/>
                <w:lang w:val="es-ES"/>
              </w:rPr>
              <w:t>el 2</w:t>
            </w:r>
            <w:r w:rsidR="00527F9C" w:rsidRPr="004768D0">
              <w:rPr>
                <w:rFonts w:asciiTheme="majorHAnsi" w:hAnsiTheme="majorHAnsi"/>
                <w:color w:val="000000" w:themeColor="text1"/>
                <w:sz w:val="16"/>
                <w:szCs w:val="16"/>
                <w:lang w:val="es-ES"/>
              </w:rPr>
              <w:t xml:space="preserve">8 de </w:t>
            </w:r>
            <w:r w:rsidR="00346878" w:rsidRPr="004768D0">
              <w:rPr>
                <w:rFonts w:asciiTheme="majorHAnsi" w:hAnsiTheme="majorHAnsi"/>
                <w:color w:val="000000" w:themeColor="text1"/>
                <w:sz w:val="16"/>
                <w:szCs w:val="16"/>
                <w:lang w:val="es-ES"/>
              </w:rPr>
              <w:t>junio</w:t>
            </w:r>
            <w:r w:rsidR="00527F9C" w:rsidRPr="004768D0">
              <w:rPr>
                <w:rFonts w:asciiTheme="majorHAnsi" w:hAnsiTheme="majorHAnsi"/>
                <w:color w:val="000000" w:themeColor="text1"/>
                <w:sz w:val="16"/>
                <w:szCs w:val="16"/>
                <w:lang w:val="es-ES"/>
              </w:rPr>
              <w:t xml:space="preserve"> de 2007. </w:t>
            </w:r>
            <w:r w:rsidR="00175527">
              <w:rPr>
                <w:rFonts w:asciiTheme="majorHAnsi" w:hAnsiTheme="majorHAnsi"/>
                <w:color w:val="000000" w:themeColor="text1"/>
                <w:sz w:val="16"/>
                <w:szCs w:val="16"/>
                <w:lang w:val="es-ES"/>
              </w:rPr>
              <w:t xml:space="preserve">En </w:t>
            </w:r>
            <w:r w:rsidR="007F4608" w:rsidRPr="004768D0">
              <w:rPr>
                <w:rFonts w:asciiTheme="majorHAnsi" w:hAnsiTheme="majorHAnsi"/>
                <w:color w:val="000000" w:themeColor="text1"/>
                <w:sz w:val="16"/>
                <w:szCs w:val="16"/>
                <w:lang w:val="es-ES"/>
              </w:rPr>
              <w:t>mayo</w:t>
            </w:r>
            <w:r w:rsidR="00527F9C" w:rsidRPr="004768D0">
              <w:rPr>
                <w:rFonts w:asciiTheme="majorHAnsi" w:hAnsiTheme="majorHAnsi"/>
                <w:color w:val="000000" w:themeColor="text1"/>
                <w:sz w:val="16"/>
                <w:szCs w:val="16"/>
                <w:lang w:val="es-ES"/>
              </w:rPr>
              <w:t xml:space="preserve"> de 2008, </w:t>
            </w:r>
            <w:r w:rsidR="00191DB5" w:rsidRPr="004768D0">
              <w:rPr>
                <w:rFonts w:asciiTheme="majorHAnsi" w:hAnsiTheme="majorHAnsi"/>
                <w:color w:val="000000" w:themeColor="text1"/>
                <w:sz w:val="16"/>
                <w:szCs w:val="16"/>
                <w:lang w:val="es-ES"/>
              </w:rPr>
              <w:t xml:space="preserve">el señor </w:t>
            </w:r>
            <w:r w:rsidR="00527F9C" w:rsidRPr="004768D0">
              <w:rPr>
                <w:rFonts w:asciiTheme="majorHAnsi" w:hAnsiTheme="majorHAnsi"/>
                <w:color w:val="000000" w:themeColor="text1"/>
                <w:sz w:val="16"/>
                <w:szCs w:val="16"/>
                <w:lang w:val="es-ES"/>
              </w:rPr>
              <w:t xml:space="preserve">João </w:t>
            </w:r>
            <w:r w:rsidR="00175527">
              <w:rPr>
                <w:rFonts w:asciiTheme="majorHAnsi" w:hAnsiTheme="majorHAnsi"/>
                <w:color w:val="000000" w:themeColor="text1"/>
                <w:sz w:val="16"/>
                <w:szCs w:val="16"/>
                <w:lang w:val="es-ES"/>
              </w:rPr>
              <w:t xml:space="preserve">declaró </w:t>
            </w:r>
            <w:r w:rsidR="00191DB5" w:rsidRPr="004768D0">
              <w:rPr>
                <w:rFonts w:asciiTheme="majorHAnsi" w:hAnsiTheme="majorHAnsi"/>
                <w:color w:val="000000" w:themeColor="text1"/>
                <w:sz w:val="16"/>
                <w:szCs w:val="16"/>
                <w:lang w:val="es-ES"/>
              </w:rPr>
              <w:t xml:space="preserve">que su hijo cursaba el tercer año de la enseñanza media, ayudaba </w:t>
            </w:r>
            <w:r w:rsidR="00BF1A9B" w:rsidRPr="004768D0">
              <w:rPr>
                <w:rFonts w:asciiTheme="majorHAnsi" w:hAnsiTheme="majorHAnsi"/>
                <w:color w:val="000000" w:themeColor="text1"/>
                <w:sz w:val="16"/>
                <w:szCs w:val="16"/>
                <w:lang w:val="es-ES"/>
              </w:rPr>
              <w:t xml:space="preserve">en una finca y no estaba involucrado en </w:t>
            </w:r>
            <w:r w:rsidR="00527F9C" w:rsidRPr="004768D0">
              <w:rPr>
                <w:rFonts w:asciiTheme="majorHAnsi" w:hAnsiTheme="majorHAnsi"/>
                <w:color w:val="000000" w:themeColor="text1"/>
                <w:sz w:val="16"/>
                <w:szCs w:val="16"/>
                <w:lang w:val="es-ES"/>
              </w:rPr>
              <w:t xml:space="preserve">drogas. </w:t>
            </w:r>
            <w:r w:rsidR="00BF1A9B" w:rsidRPr="004768D0">
              <w:rPr>
                <w:rFonts w:asciiTheme="majorHAnsi" w:hAnsiTheme="majorHAnsi"/>
                <w:color w:val="000000" w:themeColor="text1"/>
                <w:sz w:val="16"/>
                <w:szCs w:val="16"/>
                <w:lang w:val="es-ES"/>
              </w:rPr>
              <w:t>El Ministerio Público, por entender que no había más diligencias que pudieran efectuarse, solicitó el nuevo archivamiento y reconoció que</w:t>
            </w:r>
            <w:r w:rsidR="00175527">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 xml:space="preserve"> </w:t>
            </w:r>
            <w:r w:rsidR="004744F0" w:rsidRPr="004768D0">
              <w:rPr>
                <w:rFonts w:asciiTheme="majorHAnsi" w:hAnsiTheme="majorHAnsi"/>
                <w:color w:val="000000" w:themeColor="text1"/>
                <w:sz w:val="16"/>
                <w:szCs w:val="16"/>
                <w:lang w:val="es-ES"/>
              </w:rPr>
              <w:t>“</w:t>
            </w:r>
            <w:r w:rsidR="00175527" w:rsidRPr="001002C6">
              <w:rPr>
                <w:rFonts w:asciiTheme="majorHAnsi" w:hAnsiTheme="majorHAnsi"/>
                <w:color w:val="000000" w:themeColor="text1"/>
                <w:sz w:val="16"/>
                <w:szCs w:val="16"/>
                <w:lang w:val="es-ES"/>
              </w:rPr>
              <w:t>[l]</w:t>
            </w:r>
            <w:proofErr w:type="spellStart"/>
            <w:r w:rsidR="00BF1A9B" w:rsidRPr="004768D0">
              <w:rPr>
                <w:rFonts w:asciiTheme="majorHAnsi" w:hAnsiTheme="majorHAnsi"/>
                <w:color w:val="000000" w:themeColor="text1"/>
                <w:sz w:val="16"/>
                <w:szCs w:val="16"/>
                <w:lang w:val="es-ES"/>
              </w:rPr>
              <w:t>amentablemente</w:t>
            </w:r>
            <w:proofErr w:type="spellEnd"/>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 xml:space="preserve">ese día y en esa </w:t>
            </w:r>
            <w:r w:rsidR="00527F9C" w:rsidRPr="004768D0">
              <w:rPr>
                <w:rFonts w:asciiTheme="majorHAnsi" w:hAnsiTheme="majorHAnsi"/>
                <w:color w:val="000000" w:themeColor="text1"/>
                <w:sz w:val="16"/>
                <w:szCs w:val="16"/>
                <w:lang w:val="es-ES"/>
              </w:rPr>
              <w:t>época se esta</w:t>
            </w:r>
            <w:r w:rsidR="00BF1A9B" w:rsidRPr="004768D0">
              <w:rPr>
                <w:rFonts w:asciiTheme="majorHAnsi" w:hAnsiTheme="majorHAnsi"/>
                <w:color w:val="000000" w:themeColor="text1"/>
                <w:sz w:val="16"/>
                <w:szCs w:val="16"/>
                <w:lang w:val="es-ES"/>
              </w:rPr>
              <w:t>ba viviendo una situación en la cual</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 xml:space="preserve">la </w:t>
            </w:r>
            <w:r w:rsidR="005C2C65">
              <w:rPr>
                <w:rFonts w:asciiTheme="majorHAnsi" w:hAnsiTheme="majorHAnsi"/>
                <w:color w:val="000000" w:themeColor="text1"/>
                <w:sz w:val="16"/>
                <w:szCs w:val="16"/>
                <w:lang w:val="es-ES"/>
              </w:rPr>
              <w:t>‘</w:t>
            </w:r>
            <w:r w:rsidR="00BF1A9B" w:rsidRPr="004768D0">
              <w:rPr>
                <w:rFonts w:asciiTheme="majorHAnsi" w:hAnsiTheme="majorHAnsi"/>
                <w:color w:val="000000" w:themeColor="text1"/>
                <w:sz w:val="16"/>
                <w:szCs w:val="16"/>
                <w:lang w:val="es-ES"/>
              </w:rPr>
              <w:t xml:space="preserve">delincuencia </w:t>
            </w:r>
            <w:r w:rsidR="00527F9C" w:rsidRPr="004768D0">
              <w:rPr>
                <w:rFonts w:asciiTheme="majorHAnsi" w:hAnsiTheme="majorHAnsi"/>
                <w:color w:val="000000" w:themeColor="text1"/>
                <w:sz w:val="16"/>
                <w:szCs w:val="16"/>
                <w:lang w:val="es-ES"/>
              </w:rPr>
              <w:t>organizad</w:t>
            </w:r>
            <w:r w:rsidR="00BF1A9B" w:rsidRPr="004768D0">
              <w:rPr>
                <w:rFonts w:asciiTheme="majorHAnsi" w:hAnsiTheme="majorHAnsi"/>
                <w:color w:val="000000" w:themeColor="text1"/>
                <w:sz w:val="16"/>
                <w:szCs w:val="16"/>
                <w:lang w:val="es-ES"/>
              </w:rPr>
              <w:t>a</w:t>
            </w:r>
            <w:r w:rsidR="005C2C65">
              <w:rPr>
                <w:rFonts w:asciiTheme="majorHAnsi" w:hAnsiTheme="majorHAnsi"/>
                <w:color w:val="000000" w:themeColor="text1"/>
                <w:sz w:val="16"/>
                <w:szCs w:val="16"/>
                <w:lang w:val="es-ES"/>
              </w:rPr>
              <w:t>’</w:t>
            </w:r>
            <w:r w:rsidR="00175527">
              <w:rPr>
                <w:rFonts w:asciiTheme="majorHAnsi" w:hAnsiTheme="majorHAnsi"/>
                <w:color w:val="000000" w:themeColor="text1"/>
                <w:sz w:val="16"/>
                <w:szCs w:val="16"/>
                <w:lang w:val="es-ES"/>
              </w:rPr>
              <w:t xml:space="preserve"> ponía en peligro </w:t>
            </w:r>
            <w:r w:rsidR="00BF1A9B" w:rsidRPr="004768D0">
              <w:rPr>
                <w:rFonts w:asciiTheme="majorHAnsi" w:hAnsiTheme="majorHAnsi"/>
                <w:color w:val="000000" w:themeColor="text1"/>
                <w:sz w:val="16"/>
                <w:szCs w:val="16"/>
                <w:lang w:val="es-ES"/>
              </w:rPr>
              <w:t>a la propia sociedad establecida</w:t>
            </w:r>
            <w:r w:rsidR="00175527">
              <w:rPr>
                <w:rFonts w:asciiTheme="majorHAnsi" w:hAnsiTheme="majorHAnsi"/>
                <w:color w:val="000000" w:themeColor="text1"/>
                <w:sz w:val="16"/>
                <w:szCs w:val="16"/>
                <w:lang w:val="es-ES"/>
              </w:rPr>
              <w:t xml:space="preserve"> y</w:t>
            </w:r>
            <w:r w:rsidR="00BF1A9B" w:rsidRPr="004768D0">
              <w:rPr>
                <w:rFonts w:asciiTheme="majorHAnsi" w:hAnsiTheme="majorHAnsi"/>
                <w:color w:val="000000" w:themeColor="text1"/>
                <w:sz w:val="16"/>
                <w:szCs w:val="16"/>
                <w:lang w:val="es-ES"/>
              </w:rPr>
              <w:t xml:space="preserve"> pasó a agredirla </w:t>
            </w:r>
            <w:r w:rsidR="00527F9C" w:rsidRPr="004768D0">
              <w:rPr>
                <w:rFonts w:asciiTheme="majorHAnsi" w:hAnsiTheme="majorHAnsi"/>
                <w:color w:val="000000" w:themeColor="text1"/>
                <w:sz w:val="16"/>
                <w:szCs w:val="16"/>
                <w:lang w:val="es-ES"/>
              </w:rPr>
              <w:t xml:space="preserve">violentamente, </w:t>
            </w:r>
            <w:r w:rsidR="005C2C65">
              <w:rPr>
                <w:rFonts w:asciiTheme="majorHAnsi" w:hAnsiTheme="majorHAnsi"/>
                <w:color w:val="000000" w:themeColor="text1"/>
                <w:sz w:val="16"/>
                <w:szCs w:val="16"/>
                <w:lang w:val="es-ES"/>
              </w:rPr>
              <w:t>dejando un saldo de varios muertos</w:t>
            </w:r>
            <w:r w:rsidR="00372008"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y herid</w:t>
            </w:r>
            <w:r w:rsidR="005C2C65">
              <w:rPr>
                <w:rFonts w:asciiTheme="majorHAnsi" w:hAnsiTheme="majorHAnsi"/>
                <w:color w:val="000000" w:themeColor="text1"/>
                <w:sz w:val="16"/>
                <w:szCs w:val="16"/>
                <w:lang w:val="es-ES"/>
              </w:rPr>
              <w:t xml:space="preserve">os entre </w:t>
            </w:r>
            <w:r w:rsidR="00527F9C" w:rsidRPr="004768D0">
              <w:rPr>
                <w:rFonts w:asciiTheme="majorHAnsi" w:hAnsiTheme="majorHAnsi"/>
                <w:color w:val="000000" w:themeColor="text1"/>
                <w:sz w:val="16"/>
                <w:szCs w:val="16"/>
                <w:lang w:val="es-ES"/>
              </w:rPr>
              <w:t xml:space="preserve">agentes públicos, </w:t>
            </w:r>
            <w:r w:rsidR="005C2C65">
              <w:rPr>
                <w:rFonts w:asciiTheme="majorHAnsi" w:hAnsiTheme="majorHAnsi"/>
                <w:color w:val="000000" w:themeColor="text1"/>
                <w:sz w:val="16"/>
                <w:szCs w:val="16"/>
                <w:lang w:val="es-ES"/>
              </w:rPr>
              <w:t>guardiacárceles</w:t>
            </w:r>
            <w:r w:rsidR="00BF1A9B" w:rsidRPr="004768D0">
              <w:rPr>
                <w:rFonts w:asciiTheme="majorHAnsi" w:hAnsiTheme="majorHAnsi"/>
                <w:color w:val="000000" w:themeColor="text1"/>
                <w:sz w:val="16"/>
                <w:szCs w:val="16"/>
                <w:lang w:val="es-ES"/>
              </w:rPr>
              <w:t xml:space="preserve"> e incluso </w:t>
            </w:r>
            <w:r w:rsidR="005C2C65">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civi</w:t>
            </w:r>
            <w:r w:rsidR="00BF1A9B" w:rsidRPr="004768D0">
              <w:rPr>
                <w:rFonts w:asciiTheme="majorHAnsi" w:hAnsiTheme="majorHAnsi"/>
                <w:color w:val="000000" w:themeColor="text1"/>
                <w:sz w:val="16"/>
                <w:szCs w:val="16"/>
                <w:lang w:val="es-ES"/>
              </w:rPr>
              <w:t>le</w:t>
            </w:r>
            <w:r w:rsidR="00527F9C" w:rsidRPr="004768D0">
              <w:rPr>
                <w:rFonts w:asciiTheme="majorHAnsi" w:hAnsiTheme="majorHAnsi"/>
                <w:color w:val="000000" w:themeColor="text1"/>
                <w:sz w:val="16"/>
                <w:szCs w:val="16"/>
                <w:lang w:val="es-ES"/>
              </w:rPr>
              <w:t>s</w:t>
            </w:r>
            <w:r w:rsidR="005C2C65">
              <w:rPr>
                <w:rFonts w:asciiTheme="majorHAnsi" w:hAnsiTheme="majorHAnsi"/>
                <w:color w:val="000000" w:themeColor="text1"/>
                <w:sz w:val="16"/>
                <w:szCs w:val="16"/>
                <w:lang w:val="es-ES"/>
              </w:rPr>
              <w:t>’, así como</w:t>
            </w:r>
            <w:r w:rsidR="00BF1A9B" w:rsidRPr="004768D0">
              <w:rPr>
                <w:rFonts w:asciiTheme="majorHAnsi" w:hAnsiTheme="majorHAnsi"/>
                <w:color w:val="000000" w:themeColor="text1"/>
                <w:sz w:val="16"/>
                <w:szCs w:val="16"/>
                <w:lang w:val="es-ES"/>
              </w:rPr>
              <w:t xml:space="preserve"> daños en edificios, </w:t>
            </w:r>
            <w:r w:rsidR="006062C8" w:rsidRPr="004768D0">
              <w:rPr>
                <w:rFonts w:asciiTheme="majorHAnsi" w:hAnsiTheme="majorHAnsi"/>
                <w:color w:val="000000" w:themeColor="text1"/>
                <w:sz w:val="16"/>
                <w:szCs w:val="16"/>
                <w:lang w:val="es-ES"/>
              </w:rPr>
              <w:t>vehículo</w:t>
            </w:r>
            <w:r w:rsidR="00527F9C" w:rsidRPr="004768D0">
              <w:rPr>
                <w:rFonts w:asciiTheme="majorHAnsi" w:hAnsiTheme="majorHAnsi"/>
                <w:color w:val="000000" w:themeColor="text1"/>
                <w:sz w:val="16"/>
                <w:szCs w:val="16"/>
                <w:lang w:val="es-ES"/>
              </w:rPr>
              <w:t xml:space="preserve">s públicos </w:t>
            </w:r>
            <w:r w:rsidR="00BF1A9B" w:rsidRPr="004768D0">
              <w:rPr>
                <w:rFonts w:asciiTheme="majorHAnsi" w:hAnsiTheme="majorHAnsi"/>
                <w:color w:val="000000" w:themeColor="text1"/>
                <w:sz w:val="16"/>
                <w:szCs w:val="16"/>
                <w:lang w:val="es-ES"/>
              </w:rPr>
              <w:t>y autobuses</w:t>
            </w:r>
            <w:r w:rsidR="00527F9C" w:rsidRPr="004768D0">
              <w:rPr>
                <w:rFonts w:asciiTheme="majorHAnsi" w:hAnsiTheme="majorHAnsi"/>
                <w:color w:val="000000" w:themeColor="text1"/>
                <w:sz w:val="16"/>
                <w:szCs w:val="16"/>
                <w:lang w:val="es-ES"/>
              </w:rPr>
              <w:t xml:space="preserve"> destinados a</w:t>
            </w:r>
            <w:r w:rsidR="00BF1A9B" w:rsidRPr="004768D0">
              <w:rPr>
                <w:rFonts w:asciiTheme="majorHAnsi" w:hAnsiTheme="majorHAnsi"/>
                <w:color w:val="000000" w:themeColor="text1"/>
                <w:sz w:val="16"/>
                <w:szCs w:val="16"/>
                <w:lang w:val="es-ES"/>
              </w:rPr>
              <w:t>l</w:t>
            </w:r>
            <w:r w:rsidR="00527F9C" w:rsidRPr="004768D0">
              <w:rPr>
                <w:rFonts w:asciiTheme="majorHAnsi" w:hAnsiTheme="majorHAnsi"/>
                <w:color w:val="000000" w:themeColor="text1"/>
                <w:sz w:val="16"/>
                <w:szCs w:val="16"/>
                <w:lang w:val="es-ES"/>
              </w:rPr>
              <w:t xml:space="preserve"> transporte cole</w:t>
            </w:r>
            <w:r w:rsidR="00BF1A9B" w:rsidRPr="004768D0">
              <w:rPr>
                <w:rFonts w:asciiTheme="majorHAnsi" w:hAnsiTheme="majorHAnsi"/>
                <w:color w:val="000000" w:themeColor="text1"/>
                <w:sz w:val="16"/>
                <w:szCs w:val="16"/>
                <w:lang w:val="es-ES"/>
              </w:rPr>
              <w:t>c</w:t>
            </w:r>
            <w:r w:rsidR="00527F9C" w:rsidRPr="004768D0">
              <w:rPr>
                <w:rFonts w:asciiTheme="majorHAnsi" w:hAnsiTheme="majorHAnsi"/>
                <w:color w:val="000000" w:themeColor="text1"/>
                <w:sz w:val="16"/>
                <w:szCs w:val="16"/>
                <w:lang w:val="es-ES"/>
              </w:rPr>
              <w:t>tivo. E</w:t>
            </w:r>
            <w:r w:rsidR="00BF1A9B" w:rsidRPr="004768D0">
              <w:rPr>
                <w:rFonts w:asciiTheme="majorHAnsi" w:hAnsiTheme="majorHAnsi"/>
                <w:color w:val="000000" w:themeColor="text1"/>
                <w:sz w:val="16"/>
                <w:szCs w:val="16"/>
                <w:lang w:val="es-ES"/>
              </w:rPr>
              <w:t>n</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represalia</w:t>
            </w:r>
            <w:r w:rsidR="00527F9C" w:rsidRPr="004768D0">
              <w:rPr>
                <w:rFonts w:asciiTheme="majorHAnsi" w:hAnsiTheme="majorHAnsi"/>
                <w:color w:val="000000" w:themeColor="text1"/>
                <w:sz w:val="16"/>
                <w:szCs w:val="16"/>
                <w:lang w:val="es-ES"/>
              </w:rPr>
              <w:t xml:space="preserve">, no </w:t>
            </w:r>
            <w:r w:rsidR="00BF1A9B" w:rsidRPr="004768D0">
              <w:rPr>
                <w:rFonts w:asciiTheme="majorHAnsi" w:hAnsiTheme="majorHAnsi"/>
                <w:color w:val="000000" w:themeColor="text1"/>
                <w:sz w:val="16"/>
                <w:szCs w:val="16"/>
                <w:lang w:val="es-ES"/>
              </w:rPr>
              <w:t>solo la p</w:t>
            </w:r>
            <w:r w:rsidR="00372008" w:rsidRPr="004768D0">
              <w:rPr>
                <w:rFonts w:asciiTheme="majorHAnsi" w:hAnsiTheme="majorHAnsi"/>
                <w:color w:val="000000" w:themeColor="text1"/>
                <w:sz w:val="16"/>
                <w:szCs w:val="16"/>
                <w:lang w:val="es-ES"/>
              </w:rPr>
              <w:t>olicía</w:t>
            </w:r>
            <w:r w:rsidR="00527F9C" w:rsidRPr="004768D0">
              <w:rPr>
                <w:rFonts w:asciiTheme="majorHAnsi" w:hAnsiTheme="majorHAnsi"/>
                <w:color w:val="000000" w:themeColor="text1"/>
                <w:sz w:val="16"/>
                <w:szCs w:val="16"/>
                <w:lang w:val="es-ES"/>
              </w:rPr>
              <w:t xml:space="preserve"> regularmente </w:t>
            </w:r>
            <w:r w:rsidR="00BF1A9B" w:rsidRPr="004768D0">
              <w:rPr>
                <w:rFonts w:asciiTheme="majorHAnsi" w:hAnsiTheme="majorHAnsi"/>
                <w:color w:val="000000" w:themeColor="text1"/>
                <w:sz w:val="16"/>
                <w:szCs w:val="16"/>
                <w:lang w:val="es-ES"/>
              </w:rPr>
              <w:t>constituida</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 xml:space="preserve">sino también </w:t>
            </w:r>
            <w:r w:rsidR="00527F9C" w:rsidRPr="004768D0">
              <w:rPr>
                <w:rFonts w:asciiTheme="majorHAnsi" w:hAnsiTheme="majorHAnsi"/>
                <w:color w:val="000000" w:themeColor="text1"/>
                <w:sz w:val="16"/>
                <w:szCs w:val="16"/>
                <w:lang w:val="es-ES"/>
              </w:rPr>
              <w:t xml:space="preserve">otros grupos </w:t>
            </w:r>
            <w:r w:rsidR="005C2C65">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parapolicia</w:t>
            </w:r>
            <w:r w:rsidR="00BF1A9B" w:rsidRPr="004768D0">
              <w:rPr>
                <w:rFonts w:asciiTheme="majorHAnsi" w:hAnsiTheme="majorHAnsi"/>
                <w:color w:val="000000" w:themeColor="text1"/>
                <w:sz w:val="16"/>
                <w:szCs w:val="16"/>
                <w:lang w:val="es-ES"/>
              </w:rPr>
              <w:t>le</w:t>
            </w:r>
            <w:r w:rsidR="00527F9C" w:rsidRPr="004768D0">
              <w:rPr>
                <w:rFonts w:asciiTheme="majorHAnsi" w:hAnsiTheme="majorHAnsi"/>
                <w:color w:val="000000" w:themeColor="text1"/>
                <w:sz w:val="16"/>
                <w:szCs w:val="16"/>
                <w:lang w:val="es-ES"/>
              </w:rPr>
              <w:t>s</w:t>
            </w:r>
            <w:r w:rsidR="005C2C65">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 xml:space="preserve"> que </w:t>
            </w:r>
            <w:r w:rsidR="00BF1A9B" w:rsidRPr="004768D0">
              <w:rPr>
                <w:rFonts w:asciiTheme="majorHAnsi" w:hAnsiTheme="majorHAnsi"/>
                <w:color w:val="000000" w:themeColor="text1"/>
                <w:sz w:val="16"/>
                <w:szCs w:val="16"/>
                <w:lang w:val="es-ES"/>
              </w:rPr>
              <w:t>se c</w:t>
            </w:r>
            <w:r w:rsidR="00527F9C" w:rsidRPr="004768D0">
              <w:rPr>
                <w:rFonts w:asciiTheme="majorHAnsi" w:hAnsiTheme="majorHAnsi"/>
                <w:color w:val="000000" w:themeColor="text1"/>
                <w:sz w:val="16"/>
                <w:szCs w:val="16"/>
                <w:lang w:val="es-ES"/>
              </w:rPr>
              <w:t>onsidera</w:t>
            </w:r>
            <w:r w:rsidR="00BF1A9B" w:rsidRPr="004768D0">
              <w:rPr>
                <w:rFonts w:asciiTheme="majorHAnsi" w:hAnsiTheme="majorHAnsi"/>
                <w:color w:val="000000" w:themeColor="text1"/>
                <w:sz w:val="16"/>
                <w:szCs w:val="16"/>
                <w:lang w:val="es-ES"/>
              </w:rPr>
              <w:t>ban</w:t>
            </w:r>
            <w:r w:rsidR="00527F9C" w:rsidRPr="004768D0">
              <w:rPr>
                <w:rFonts w:asciiTheme="majorHAnsi" w:hAnsiTheme="majorHAnsi"/>
                <w:color w:val="000000" w:themeColor="text1"/>
                <w:sz w:val="16"/>
                <w:szCs w:val="16"/>
                <w:lang w:val="es-ES"/>
              </w:rPr>
              <w:t xml:space="preserve"> como </w:t>
            </w:r>
            <w:r w:rsidR="005C2C65">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 xml:space="preserve">grupos de </w:t>
            </w:r>
            <w:r w:rsidR="00BF1A9B" w:rsidRPr="004768D0">
              <w:rPr>
                <w:rFonts w:asciiTheme="majorHAnsi" w:hAnsiTheme="majorHAnsi"/>
                <w:color w:val="000000" w:themeColor="text1"/>
                <w:sz w:val="16"/>
                <w:szCs w:val="16"/>
                <w:lang w:val="es-ES"/>
              </w:rPr>
              <w:t>exterminio</w:t>
            </w:r>
            <w:r w:rsidR="005C2C65">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 xml:space="preserve">comenzaron a </w:t>
            </w:r>
            <w:r w:rsidR="00527F9C" w:rsidRPr="004768D0">
              <w:rPr>
                <w:rFonts w:asciiTheme="majorHAnsi" w:hAnsiTheme="majorHAnsi"/>
                <w:color w:val="000000" w:themeColor="text1"/>
                <w:sz w:val="16"/>
                <w:szCs w:val="16"/>
                <w:lang w:val="es-ES"/>
              </w:rPr>
              <w:t xml:space="preserve">agredir </w:t>
            </w:r>
            <w:r w:rsidR="00BF1A9B" w:rsidRPr="004768D0">
              <w:rPr>
                <w:rFonts w:asciiTheme="majorHAnsi" w:hAnsiTheme="majorHAnsi"/>
                <w:color w:val="000000" w:themeColor="text1"/>
                <w:sz w:val="16"/>
                <w:szCs w:val="16"/>
                <w:lang w:val="es-ES"/>
              </w:rPr>
              <w:t xml:space="preserve">a </w:t>
            </w:r>
            <w:r w:rsidR="000C0AC4" w:rsidRPr="004768D0">
              <w:rPr>
                <w:rFonts w:asciiTheme="majorHAnsi" w:hAnsiTheme="majorHAnsi"/>
                <w:color w:val="000000" w:themeColor="text1"/>
                <w:sz w:val="16"/>
                <w:szCs w:val="16"/>
                <w:lang w:val="es-ES"/>
              </w:rPr>
              <w:t>personas</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 xml:space="preserve">con actitud sospechosa </w:t>
            </w:r>
            <w:r w:rsidR="00527F9C" w:rsidRPr="004768D0">
              <w:rPr>
                <w:rFonts w:asciiTheme="majorHAnsi" w:hAnsiTheme="majorHAnsi"/>
                <w:color w:val="000000" w:themeColor="text1"/>
                <w:sz w:val="16"/>
                <w:szCs w:val="16"/>
                <w:lang w:val="es-ES"/>
              </w:rPr>
              <w:t xml:space="preserve">e, infelizmente, </w:t>
            </w:r>
            <w:r w:rsidR="00BF1A9B" w:rsidRPr="004768D0">
              <w:rPr>
                <w:rFonts w:asciiTheme="majorHAnsi" w:hAnsiTheme="majorHAnsi"/>
                <w:color w:val="000000" w:themeColor="text1"/>
                <w:sz w:val="16"/>
                <w:szCs w:val="16"/>
                <w:lang w:val="es-ES"/>
              </w:rPr>
              <w:t xml:space="preserve">a </w:t>
            </w:r>
            <w:r w:rsidR="00527F9C" w:rsidRPr="004768D0">
              <w:rPr>
                <w:rFonts w:asciiTheme="majorHAnsi" w:hAnsiTheme="majorHAnsi"/>
                <w:color w:val="000000" w:themeColor="text1"/>
                <w:sz w:val="16"/>
                <w:szCs w:val="16"/>
                <w:lang w:val="es-ES"/>
              </w:rPr>
              <w:t>mu</w:t>
            </w:r>
            <w:r w:rsidR="00BF1A9B" w:rsidRPr="004768D0">
              <w:rPr>
                <w:rFonts w:asciiTheme="majorHAnsi" w:hAnsiTheme="majorHAnsi"/>
                <w:color w:val="000000" w:themeColor="text1"/>
                <w:sz w:val="16"/>
                <w:szCs w:val="16"/>
                <w:lang w:val="es-ES"/>
              </w:rPr>
              <w:t>cha</w:t>
            </w:r>
            <w:r w:rsidR="00527F9C" w:rsidRPr="004768D0">
              <w:rPr>
                <w:rFonts w:asciiTheme="majorHAnsi" w:hAnsiTheme="majorHAnsi"/>
                <w:color w:val="000000" w:themeColor="text1"/>
                <w:sz w:val="16"/>
                <w:szCs w:val="16"/>
                <w:lang w:val="es-ES"/>
              </w:rPr>
              <w:t>s otras que nada t</w:t>
            </w:r>
            <w:r w:rsidR="00BF1A9B" w:rsidRPr="004768D0">
              <w:rPr>
                <w:rFonts w:asciiTheme="majorHAnsi" w:hAnsiTheme="majorHAnsi"/>
                <w:color w:val="000000" w:themeColor="text1"/>
                <w:sz w:val="16"/>
                <w:szCs w:val="16"/>
                <w:lang w:val="es-ES"/>
              </w:rPr>
              <w:t>enían que</w:t>
            </w:r>
            <w:r w:rsidR="00527F9C" w:rsidRPr="004768D0">
              <w:rPr>
                <w:rFonts w:asciiTheme="majorHAnsi" w:hAnsiTheme="majorHAnsi"/>
                <w:color w:val="000000" w:themeColor="text1"/>
                <w:sz w:val="16"/>
                <w:szCs w:val="16"/>
                <w:lang w:val="es-ES"/>
              </w:rPr>
              <w:t xml:space="preserve"> ver co</w:t>
            </w:r>
            <w:r w:rsidR="00BF1A9B" w:rsidRPr="004768D0">
              <w:rPr>
                <w:rFonts w:asciiTheme="majorHAnsi" w:hAnsiTheme="majorHAnsi"/>
                <w:color w:val="000000" w:themeColor="text1"/>
                <w:sz w:val="16"/>
                <w:szCs w:val="16"/>
                <w:lang w:val="es-ES"/>
              </w:rPr>
              <w:t>n</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 xml:space="preserve">esa situación de </w:t>
            </w:r>
            <w:r w:rsidR="00527F9C" w:rsidRPr="004768D0">
              <w:rPr>
                <w:rFonts w:asciiTheme="majorHAnsi" w:hAnsiTheme="majorHAnsi"/>
                <w:color w:val="000000" w:themeColor="text1"/>
                <w:sz w:val="16"/>
                <w:szCs w:val="16"/>
                <w:lang w:val="es-ES"/>
              </w:rPr>
              <w:t>barb</w:t>
            </w:r>
            <w:r w:rsidR="00BF1A9B" w:rsidRPr="004768D0">
              <w:rPr>
                <w:rFonts w:asciiTheme="majorHAnsi" w:hAnsiTheme="majorHAnsi"/>
                <w:color w:val="000000" w:themeColor="text1"/>
                <w:sz w:val="16"/>
                <w:szCs w:val="16"/>
                <w:lang w:val="es-ES"/>
              </w:rPr>
              <w:t>a</w:t>
            </w:r>
            <w:r w:rsidR="00527F9C" w:rsidRPr="004768D0">
              <w:rPr>
                <w:rFonts w:asciiTheme="majorHAnsi" w:hAnsiTheme="majorHAnsi"/>
                <w:color w:val="000000" w:themeColor="text1"/>
                <w:sz w:val="16"/>
                <w:szCs w:val="16"/>
                <w:lang w:val="es-ES"/>
              </w:rPr>
              <w:t>rie e insegur</w:t>
            </w:r>
            <w:r w:rsidR="00BF1A9B" w:rsidRPr="004768D0">
              <w:rPr>
                <w:rFonts w:asciiTheme="majorHAnsi" w:hAnsiTheme="majorHAnsi"/>
                <w:color w:val="000000" w:themeColor="text1"/>
                <w:sz w:val="16"/>
                <w:szCs w:val="16"/>
                <w:lang w:val="es-ES"/>
              </w:rPr>
              <w:t xml:space="preserve">idad </w:t>
            </w:r>
            <w:r w:rsidR="00527F9C" w:rsidRPr="004768D0">
              <w:rPr>
                <w:rFonts w:asciiTheme="majorHAnsi" w:hAnsiTheme="majorHAnsi"/>
                <w:color w:val="000000" w:themeColor="text1"/>
                <w:sz w:val="16"/>
                <w:szCs w:val="16"/>
                <w:lang w:val="es-ES"/>
              </w:rPr>
              <w:t xml:space="preserve">que se </w:t>
            </w:r>
            <w:r w:rsidR="00BF1A9B" w:rsidRPr="004768D0">
              <w:rPr>
                <w:rFonts w:asciiTheme="majorHAnsi" w:hAnsiTheme="majorHAnsi"/>
                <w:color w:val="000000" w:themeColor="text1"/>
                <w:sz w:val="16"/>
                <w:szCs w:val="16"/>
                <w:lang w:val="es-ES"/>
              </w:rPr>
              <w:t>vivía</w:t>
            </w:r>
            <w:r w:rsidR="00527F9C" w:rsidRPr="004768D0">
              <w:rPr>
                <w:rFonts w:asciiTheme="majorHAnsi" w:hAnsiTheme="majorHAnsi"/>
                <w:color w:val="000000" w:themeColor="text1"/>
                <w:sz w:val="16"/>
                <w:szCs w:val="16"/>
                <w:lang w:val="es-ES"/>
              </w:rPr>
              <w:t xml:space="preserve">. [...] </w:t>
            </w:r>
            <w:r w:rsidR="00BF1A9B" w:rsidRPr="004768D0">
              <w:rPr>
                <w:rFonts w:asciiTheme="majorHAnsi" w:hAnsiTheme="majorHAnsi"/>
                <w:color w:val="000000" w:themeColor="text1"/>
                <w:sz w:val="16"/>
                <w:szCs w:val="16"/>
                <w:lang w:val="es-ES"/>
              </w:rPr>
              <w:t>En ese contexto, resulta</w:t>
            </w:r>
            <w:r w:rsidR="00527F9C" w:rsidRPr="004768D0">
              <w:rPr>
                <w:rFonts w:asciiTheme="majorHAnsi" w:hAnsiTheme="majorHAnsi"/>
                <w:color w:val="000000" w:themeColor="text1"/>
                <w:sz w:val="16"/>
                <w:szCs w:val="16"/>
                <w:lang w:val="es-ES"/>
              </w:rPr>
              <w:t xml:space="preserve"> inequívoco a</w:t>
            </w:r>
            <w:r w:rsidR="00BF1A9B" w:rsidRPr="004768D0">
              <w:rPr>
                <w:rFonts w:asciiTheme="majorHAnsi" w:hAnsiTheme="majorHAnsi"/>
                <w:color w:val="000000" w:themeColor="text1"/>
                <w:sz w:val="16"/>
                <w:szCs w:val="16"/>
                <w:lang w:val="es-ES"/>
              </w:rPr>
              <w:t>h</w:t>
            </w:r>
            <w:r w:rsidR="00527F9C" w:rsidRPr="004768D0">
              <w:rPr>
                <w:rFonts w:asciiTheme="majorHAnsi" w:hAnsiTheme="majorHAnsi"/>
                <w:color w:val="000000" w:themeColor="text1"/>
                <w:sz w:val="16"/>
                <w:szCs w:val="16"/>
                <w:lang w:val="es-ES"/>
              </w:rPr>
              <w:t>ora, para m</w:t>
            </w:r>
            <w:r w:rsidR="00BF1A9B" w:rsidRPr="004768D0">
              <w:rPr>
                <w:rFonts w:asciiTheme="majorHAnsi" w:hAnsiTheme="majorHAnsi"/>
                <w:color w:val="000000" w:themeColor="text1"/>
                <w:sz w:val="16"/>
                <w:szCs w:val="16"/>
                <w:lang w:val="es-ES"/>
              </w:rPr>
              <w:t xml:space="preserve">í, que esos dos jóvenes fueron agredidos </w:t>
            </w:r>
            <w:r w:rsidR="00527F9C" w:rsidRPr="004768D0">
              <w:rPr>
                <w:rFonts w:asciiTheme="majorHAnsi" w:hAnsiTheme="majorHAnsi"/>
                <w:color w:val="000000" w:themeColor="text1"/>
                <w:sz w:val="16"/>
                <w:szCs w:val="16"/>
                <w:lang w:val="es-ES"/>
              </w:rPr>
              <w:t>por e</w:t>
            </w:r>
            <w:r w:rsidR="00BF1A9B" w:rsidRPr="004768D0">
              <w:rPr>
                <w:rFonts w:asciiTheme="majorHAnsi" w:hAnsiTheme="majorHAnsi"/>
                <w:color w:val="000000" w:themeColor="text1"/>
                <w:sz w:val="16"/>
                <w:szCs w:val="16"/>
                <w:lang w:val="es-ES"/>
              </w:rPr>
              <w:t>rror [...]</w:t>
            </w:r>
            <w:r w:rsidR="004744F0" w:rsidRPr="004768D0">
              <w:rPr>
                <w:rFonts w:asciiTheme="majorHAnsi" w:hAnsiTheme="majorHAnsi"/>
                <w:color w:val="000000" w:themeColor="text1"/>
                <w:sz w:val="16"/>
                <w:szCs w:val="16"/>
                <w:lang w:val="es-ES"/>
              </w:rPr>
              <w:t>”</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La</w:t>
            </w:r>
            <w:r w:rsidR="00527F9C" w:rsidRPr="004768D0">
              <w:rPr>
                <w:rFonts w:asciiTheme="majorHAnsi" w:hAnsiTheme="majorHAnsi"/>
                <w:color w:val="000000" w:themeColor="text1"/>
                <w:sz w:val="16"/>
                <w:szCs w:val="16"/>
                <w:lang w:val="es-ES"/>
              </w:rPr>
              <w:t xml:space="preserve"> </w:t>
            </w:r>
            <w:r w:rsidR="00C03E33" w:rsidRPr="004768D0">
              <w:rPr>
                <w:rFonts w:asciiTheme="majorHAnsi" w:hAnsiTheme="majorHAnsi"/>
                <w:color w:val="000000" w:themeColor="text1"/>
                <w:sz w:val="16"/>
                <w:szCs w:val="16"/>
                <w:lang w:val="es-ES"/>
              </w:rPr>
              <w:t>investigación</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 xml:space="preserve">fue archivada </w:t>
            </w:r>
            <w:r w:rsidR="00527F9C" w:rsidRPr="004768D0">
              <w:rPr>
                <w:rFonts w:asciiTheme="majorHAnsi" w:hAnsiTheme="majorHAnsi"/>
                <w:color w:val="000000" w:themeColor="text1"/>
                <w:sz w:val="16"/>
                <w:szCs w:val="16"/>
                <w:lang w:val="es-ES"/>
              </w:rPr>
              <w:t xml:space="preserve">definitivamente </w:t>
            </w:r>
            <w:r w:rsidR="00BF1A9B" w:rsidRPr="004768D0">
              <w:rPr>
                <w:rFonts w:asciiTheme="majorHAnsi" w:hAnsiTheme="majorHAnsi"/>
                <w:color w:val="000000" w:themeColor="text1"/>
                <w:sz w:val="16"/>
                <w:szCs w:val="16"/>
                <w:lang w:val="es-ES"/>
              </w:rPr>
              <w:t xml:space="preserve">el </w:t>
            </w:r>
            <w:r w:rsidR="00527F9C" w:rsidRPr="004768D0">
              <w:rPr>
                <w:rFonts w:asciiTheme="majorHAnsi" w:hAnsiTheme="majorHAnsi"/>
                <w:color w:val="000000" w:themeColor="text1"/>
                <w:sz w:val="16"/>
                <w:szCs w:val="16"/>
                <w:lang w:val="es-ES"/>
              </w:rPr>
              <w:t xml:space="preserve">15 de </w:t>
            </w:r>
            <w:r w:rsidR="007F4608" w:rsidRPr="004768D0">
              <w:rPr>
                <w:rFonts w:asciiTheme="majorHAnsi" w:hAnsiTheme="majorHAnsi"/>
                <w:color w:val="000000" w:themeColor="text1"/>
                <w:sz w:val="16"/>
                <w:szCs w:val="16"/>
                <w:lang w:val="es-ES"/>
              </w:rPr>
              <w:t>mayo</w:t>
            </w:r>
            <w:r w:rsidR="00527F9C" w:rsidRPr="004768D0">
              <w:rPr>
                <w:rFonts w:asciiTheme="majorHAnsi" w:hAnsiTheme="majorHAnsi"/>
                <w:color w:val="000000" w:themeColor="text1"/>
                <w:sz w:val="16"/>
                <w:szCs w:val="16"/>
                <w:lang w:val="es-ES"/>
              </w:rPr>
              <w:t xml:space="preserve"> de 2008.</w:t>
            </w:r>
          </w:p>
          <w:p w14:paraId="0FCE56C0" w14:textId="77777777" w:rsidR="00527F9C" w:rsidRPr="004768D0" w:rsidRDefault="00A07DD9"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La parte peticionaria</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mencionó</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varios</w:t>
            </w:r>
            <w:r w:rsidR="00527F9C" w:rsidRPr="004768D0">
              <w:rPr>
                <w:rFonts w:asciiTheme="majorHAnsi" w:hAnsiTheme="majorHAnsi"/>
                <w:color w:val="000000" w:themeColor="text1"/>
                <w:sz w:val="16"/>
                <w:szCs w:val="16"/>
                <w:lang w:val="es-ES"/>
              </w:rPr>
              <w:t xml:space="preserve"> elementos que </w:t>
            </w:r>
            <w:r w:rsidR="00BF1A9B" w:rsidRPr="004768D0">
              <w:rPr>
                <w:rFonts w:asciiTheme="majorHAnsi" w:hAnsiTheme="majorHAnsi"/>
                <w:color w:val="000000" w:themeColor="text1"/>
                <w:sz w:val="16"/>
                <w:szCs w:val="16"/>
                <w:lang w:val="es-ES"/>
              </w:rPr>
              <w:t>justificaban</w:t>
            </w:r>
            <w:r w:rsidR="00527F9C" w:rsidRPr="004768D0">
              <w:rPr>
                <w:rFonts w:asciiTheme="majorHAnsi" w:hAnsiTheme="majorHAnsi"/>
                <w:color w:val="000000" w:themeColor="text1"/>
                <w:sz w:val="16"/>
                <w:szCs w:val="16"/>
                <w:lang w:val="es-ES"/>
              </w:rPr>
              <w:t xml:space="preserve"> </w:t>
            </w:r>
            <w:r w:rsidR="00BF1A9B" w:rsidRPr="004768D0">
              <w:rPr>
                <w:rFonts w:asciiTheme="majorHAnsi" w:hAnsiTheme="majorHAnsi"/>
                <w:color w:val="000000" w:themeColor="text1"/>
                <w:sz w:val="16"/>
                <w:szCs w:val="16"/>
                <w:lang w:val="es-ES"/>
              </w:rPr>
              <w:t>diligencias</w:t>
            </w:r>
            <w:r w:rsidR="00527F9C" w:rsidRPr="004768D0">
              <w:rPr>
                <w:rFonts w:asciiTheme="majorHAnsi" w:hAnsiTheme="majorHAnsi"/>
                <w:color w:val="000000" w:themeColor="text1"/>
                <w:sz w:val="16"/>
                <w:szCs w:val="16"/>
                <w:lang w:val="es-ES"/>
              </w:rPr>
              <w:t xml:space="preserve"> investigativas </w:t>
            </w:r>
            <w:r w:rsidR="00BF1A9B" w:rsidRPr="004768D0">
              <w:rPr>
                <w:rFonts w:asciiTheme="majorHAnsi" w:hAnsiTheme="majorHAnsi"/>
                <w:color w:val="000000" w:themeColor="text1"/>
                <w:sz w:val="16"/>
                <w:szCs w:val="16"/>
                <w:lang w:val="es-ES"/>
              </w:rPr>
              <w:t>que nunca se realizaron. Al respecto:</w:t>
            </w:r>
            <w:r w:rsidR="00527F9C" w:rsidRPr="004768D0">
              <w:rPr>
                <w:rFonts w:asciiTheme="majorHAnsi" w:hAnsiTheme="majorHAnsi"/>
                <w:color w:val="000000" w:themeColor="text1"/>
                <w:sz w:val="16"/>
                <w:szCs w:val="16"/>
                <w:lang w:val="es-ES"/>
              </w:rPr>
              <w:t xml:space="preserve"> </w:t>
            </w:r>
          </w:p>
          <w:p w14:paraId="79E2C635" w14:textId="77777777" w:rsidR="00527F9C" w:rsidRPr="004768D0"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 Maria da Pureza de </w:t>
            </w:r>
            <w:proofErr w:type="spellStart"/>
            <w:r w:rsidRPr="004768D0">
              <w:rPr>
                <w:rFonts w:asciiTheme="majorHAnsi" w:hAnsiTheme="majorHAnsi"/>
                <w:color w:val="000000" w:themeColor="text1"/>
                <w:sz w:val="16"/>
                <w:szCs w:val="16"/>
                <w:lang w:val="es-ES"/>
              </w:rPr>
              <w:t>Araújo</w:t>
            </w:r>
            <w:proofErr w:type="spellEnd"/>
            <w:r w:rsidRPr="004768D0">
              <w:rPr>
                <w:rFonts w:asciiTheme="majorHAnsi" w:hAnsiTheme="majorHAnsi"/>
                <w:color w:val="000000" w:themeColor="text1"/>
                <w:sz w:val="16"/>
                <w:szCs w:val="16"/>
                <w:lang w:val="es-ES"/>
              </w:rPr>
              <w:t xml:space="preserve"> </w:t>
            </w:r>
            <w:proofErr w:type="spellStart"/>
            <w:r w:rsidRPr="004768D0">
              <w:rPr>
                <w:rFonts w:asciiTheme="majorHAnsi" w:hAnsiTheme="majorHAnsi"/>
                <w:color w:val="000000" w:themeColor="text1"/>
                <w:sz w:val="16"/>
                <w:szCs w:val="16"/>
                <w:lang w:val="es-ES"/>
              </w:rPr>
              <w:t>Noronha</w:t>
            </w:r>
            <w:proofErr w:type="spellEnd"/>
            <w:r w:rsidRPr="004768D0">
              <w:rPr>
                <w:rFonts w:asciiTheme="majorHAnsi" w:hAnsiTheme="majorHAnsi"/>
                <w:color w:val="000000" w:themeColor="text1"/>
                <w:sz w:val="16"/>
                <w:szCs w:val="16"/>
                <w:lang w:val="es-ES"/>
              </w:rPr>
              <w:t xml:space="preserve">, </w:t>
            </w:r>
            <w:r w:rsidR="007F4608" w:rsidRPr="004768D0">
              <w:rPr>
                <w:rFonts w:asciiTheme="majorHAnsi" w:hAnsiTheme="majorHAnsi"/>
                <w:color w:val="000000" w:themeColor="text1"/>
                <w:sz w:val="16"/>
                <w:szCs w:val="16"/>
                <w:lang w:val="es-ES"/>
              </w:rPr>
              <w:t>abuela de</w:t>
            </w:r>
            <w:r w:rsidRPr="004768D0">
              <w:rPr>
                <w:rFonts w:asciiTheme="majorHAnsi" w:hAnsiTheme="majorHAnsi"/>
                <w:color w:val="000000" w:themeColor="text1"/>
                <w:sz w:val="16"/>
                <w:szCs w:val="16"/>
                <w:lang w:val="es-ES"/>
              </w:rPr>
              <w:t xml:space="preserve"> Ricardo, di</w:t>
            </w:r>
            <w:r w:rsidR="006A4EAF" w:rsidRPr="004768D0">
              <w:rPr>
                <w:rFonts w:asciiTheme="majorHAnsi" w:hAnsiTheme="majorHAnsi"/>
                <w:color w:val="000000" w:themeColor="text1"/>
                <w:sz w:val="16"/>
                <w:szCs w:val="16"/>
                <w:lang w:val="es-ES"/>
              </w:rPr>
              <w:t xml:space="preserve">jo que varios vecinos vieron a agentes de policía que se estaban cambiando de ropa en una </w:t>
            </w:r>
            <w:r w:rsidR="0011535F" w:rsidRPr="004768D0">
              <w:rPr>
                <w:rFonts w:asciiTheme="majorHAnsi" w:hAnsiTheme="majorHAnsi"/>
                <w:color w:val="000000" w:themeColor="text1"/>
                <w:sz w:val="16"/>
                <w:szCs w:val="16"/>
                <w:lang w:val="es-ES"/>
              </w:rPr>
              <w:t>gasolinera</w:t>
            </w: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cercana al lugar</w:t>
            </w: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no se tomó declaración a esos testigos en las investigaciones).</w:t>
            </w:r>
          </w:p>
          <w:p w14:paraId="0BDAE3E1" w14:textId="77777777" w:rsidR="00527F9C" w:rsidRPr="004768D0"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El dueño de la</w:t>
            </w:r>
            <w:r w:rsidRPr="004768D0">
              <w:rPr>
                <w:rFonts w:asciiTheme="majorHAnsi" w:hAnsiTheme="majorHAnsi"/>
                <w:color w:val="000000" w:themeColor="text1"/>
                <w:sz w:val="16"/>
                <w:szCs w:val="16"/>
                <w:lang w:val="es-ES"/>
              </w:rPr>
              <w:t xml:space="preserve"> </w:t>
            </w:r>
            <w:r w:rsidR="00E770E8" w:rsidRPr="004768D0">
              <w:rPr>
                <w:rFonts w:asciiTheme="majorHAnsi" w:hAnsiTheme="majorHAnsi"/>
                <w:color w:val="000000" w:themeColor="text1"/>
                <w:sz w:val="16"/>
                <w:szCs w:val="16"/>
                <w:lang w:val="es-ES"/>
              </w:rPr>
              <w:t>pizzería</w:t>
            </w: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relató</w:t>
            </w:r>
            <w:r w:rsidRPr="004768D0">
              <w:rPr>
                <w:rFonts w:asciiTheme="majorHAnsi" w:hAnsiTheme="majorHAnsi"/>
                <w:color w:val="000000" w:themeColor="text1"/>
                <w:sz w:val="16"/>
                <w:szCs w:val="16"/>
                <w:lang w:val="es-ES"/>
              </w:rPr>
              <w:t xml:space="preserve"> que </w:t>
            </w:r>
            <w:r w:rsidR="006A4EAF" w:rsidRPr="004768D0">
              <w:rPr>
                <w:rFonts w:asciiTheme="majorHAnsi" w:hAnsiTheme="majorHAnsi"/>
                <w:color w:val="000000" w:themeColor="text1"/>
                <w:sz w:val="16"/>
                <w:szCs w:val="16"/>
                <w:lang w:val="es-ES"/>
              </w:rPr>
              <w:t xml:space="preserve">habría </w:t>
            </w:r>
            <w:r w:rsidRPr="004768D0">
              <w:rPr>
                <w:rFonts w:asciiTheme="majorHAnsi" w:hAnsiTheme="majorHAnsi"/>
                <w:color w:val="000000" w:themeColor="text1"/>
                <w:sz w:val="16"/>
                <w:szCs w:val="16"/>
                <w:lang w:val="es-ES"/>
              </w:rPr>
              <w:t>ido a</w:t>
            </w:r>
            <w:r w:rsidR="006A4EAF"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 xml:space="preserve"> Distrito Policial </w:t>
            </w:r>
            <w:r w:rsidR="006A4EAF" w:rsidRPr="004768D0">
              <w:rPr>
                <w:rFonts w:asciiTheme="majorHAnsi" w:hAnsiTheme="majorHAnsi"/>
                <w:color w:val="000000" w:themeColor="text1"/>
                <w:sz w:val="16"/>
                <w:szCs w:val="16"/>
                <w:lang w:val="es-ES"/>
              </w:rPr>
              <w:t xml:space="preserve">para aportar información, pero que no firmó ninguna declaración. Informó que, </w:t>
            </w:r>
            <w:r w:rsidR="00B9588A" w:rsidRPr="004768D0">
              <w:rPr>
                <w:rFonts w:asciiTheme="majorHAnsi" w:hAnsiTheme="majorHAnsi"/>
                <w:color w:val="000000" w:themeColor="text1"/>
                <w:sz w:val="16"/>
                <w:szCs w:val="16"/>
                <w:lang w:val="es-ES"/>
              </w:rPr>
              <w:t>días</w:t>
            </w:r>
            <w:r w:rsidRPr="004768D0">
              <w:rPr>
                <w:rFonts w:asciiTheme="majorHAnsi" w:hAnsiTheme="majorHAnsi"/>
                <w:color w:val="000000" w:themeColor="text1"/>
                <w:sz w:val="16"/>
                <w:szCs w:val="16"/>
                <w:lang w:val="es-ES"/>
              </w:rPr>
              <w:t xml:space="preserve"> </w:t>
            </w:r>
            <w:r w:rsidR="0084419A" w:rsidRPr="004768D0">
              <w:rPr>
                <w:rFonts w:asciiTheme="majorHAnsi" w:hAnsiTheme="majorHAnsi"/>
                <w:color w:val="000000" w:themeColor="text1"/>
                <w:sz w:val="16"/>
                <w:szCs w:val="16"/>
                <w:lang w:val="es-ES"/>
              </w:rPr>
              <w:t>después</w:t>
            </w:r>
            <w:r w:rsidRPr="004768D0">
              <w:rPr>
                <w:rFonts w:asciiTheme="majorHAnsi" w:hAnsiTheme="majorHAnsi"/>
                <w:color w:val="000000" w:themeColor="text1"/>
                <w:sz w:val="16"/>
                <w:szCs w:val="16"/>
                <w:lang w:val="es-ES"/>
              </w:rPr>
              <w:t>, algu</w:t>
            </w:r>
            <w:r w:rsidR="006A4EAF" w:rsidRPr="004768D0">
              <w:rPr>
                <w:rFonts w:asciiTheme="majorHAnsi" w:hAnsiTheme="majorHAnsi"/>
                <w:color w:val="000000" w:themeColor="text1"/>
                <w:sz w:val="16"/>
                <w:szCs w:val="16"/>
                <w:lang w:val="es-ES"/>
              </w:rPr>
              <w:t>ien llamó por teléfono a la</w:t>
            </w:r>
            <w:r w:rsidRPr="004768D0">
              <w:rPr>
                <w:rFonts w:asciiTheme="majorHAnsi" w:hAnsiTheme="majorHAnsi"/>
                <w:color w:val="000000" w:themeColor="text1"/>
                <w:sz w:val="16"/>
                <w:szCs w:val="16"/>
                <w:lang w:val="es-ES"/>
              </w:rPr>
              <w:t xml:space="preserve"> </w:t>
            </w:r>
            <w:r w:rsidR="00E770E8" w:rsidRPr="004768D0">
              <w:rPr>
                <w:rFonts w:asciiTheme="majorHAnsi" w:hAnsiTheme="majorHAnsi"/>
                <w:color w:val="000000" w:themeColor="text1"/>
                <w:sz w:val="16"/>
                <w:szCs w:val="16"/>
                <w:lang w:val="es-ES"/>
              </w:rPr>
              <w:t>pizzería</w:t>
            </w: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para pedir disculpas porque habían m</w:t>
            </w:r>
            <w:r w:rsidRPr="004768D0">
              <w:rPr>
                <w:rFonts w:asciiTheme="majorHAnsi" w:hAnsiTheme="majorHAnsi"/>
                <w:color w:val="000000" w:themeColor="text1"/>
                <w:sz w:val="16"/>
                <w:szCs w:val="16"/>
                <w:lang w:val="es-ES"/>
              </w:rPr>
              <w:t xml:space="preserve">atado </w:t>
            </w:r>
            <w:r w:rsidR="006A4EAF" w:rsidRPr="004768D0">
              <w:rPr>
                <w:rFonts w:asciiTheme="majorHAnsi" w:hAnsiTheme="majorHAnsi"/>
                <w:color w:val="000000" w:themeColor="text1"/>
                <w:sz w:val="16"/>
                <w:szCs w:val="16"/>
                <w:lang w:val="es-ES"/>
              </w:rPr>
              <w:t xml:space="preserve">a </w:t>
            </w:r>
            <w:r w:rsidRPr="004768D0">
              <w:rPr>
                <w:rFonts w:asciiTheme="majorHAnsi" w:hAnsiTheme="majorHAnsi"/>
                <w:color w:val="000000" w:themeColor="text1"/>
                <w:sz w:val="16"/>
                <w:szCs w:val="16"/>
                <w:lang w:val="es-ES"/>
              </w:rPr>
              <w:t xml:space="preserve">inocentes. </w:t>
            </w:r>
          </w:p>
          <w:p w14:paraId="6764F5B1" w14:textId="77777777" w:rsidR="00527F9C" w:rsidRPr="004768D0"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 xml:space="preserve">El </w:t>
            </w:r>
            <w:r w:rsidR="007F4608" w:rsidRPr="004768D0">
              <w:rPr>
                <w:rFonts w:asciiTheme="majorHAnsi" w:hAnsiTheme="majorHAnsi"/>
                <w:color w:val="000000" w:themeColor="text1"/>
                <w:sz w:val="16"/>
                <w:szCs w:val="16"/>
                <w:lang w:val="es-ES"/>
              </w:rPr>
              <w:t>padre de</w:t>
            </w:r>
            <w:r w:rsidRPr="004768D0">
              <w:rPr>
                <w:rFonts w:asciiTheme="majorHAnsi" w:hAnsiTheme="majorHAnsi"/>
                <w:color w:val="000000" w:themeColor="text1"/>
                <w:sz w:val="16"/>
                <w:szCs w:val="16"/>
                <w:lang w:val="es-ES"/>
              </w:rPr>
              <w:t xml:space="preserve"> Mateus di</w:t>
            </w:r>
            <w:r w:rsidR="006A4EAF" w:rsidRPr="004768D0">
              <w:rPr>
                <w:rFonts w:asciiTheme="majorHAnsi" w:hAnsiTheme="majorHAnsi"/>
                <w:color w:val="000000" w:themeColor="text1"/>
                <w:sz w:val="16"/>
                <w:szCs w:val="16"/>
                <w:lang w:val="es-ES"/>
              </w:rPr>
              <w:t xml:space="preserve">jo que los </w:t>
            </w:r>
            <w:r w:rsidR="00E04ED3" w:rsidRPr="004768D0">
              <w:rPr>
                <w:rFonts w:asciiTheme="majorHAnsi" w:hAnsiTheme="majorHAnsi"/>
                <w:color w:val="000000" w:themeColor="text1"/>
                <w:sz w:val="16"/>
                <w:szCs w:val="16"/>
                <w:lang w:val="es-ES"/>
              </w:rPr>
              <w:t>policías militares</w:t>
            </w: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 xml:space="preserve">solo </w:t>
            </w:r>
            <w:r w:rsidRPr="004768D0">
              <w:rPr>
                <w:rFonts w:asciiTheme="majorHAnsi" w:hAnsiTheme="majorHAnsi"/>
                <w:color w:val="000000" w:themeColor="text1"/>
                <w:sz w:val="16"/>
                <w:szCs w:val="16"/>
                <w:lang w:val="es-ES"/>
              </w:rPr>
              <w:t>s</w:t>
            </w:r>
            <w:r w:rsidR="006A4EAF" w:rsidRPr="004768D0">
              <w:rPr>
                <w:rFonts w:asciiTheme="majorHAnsi" w:hAnsiTheme="majorHAnsi"/>
                <w:color w:val="000000" w:themeColor="text1"/>
                <w:sz w:val="16"/>
                <w:szCs w:val="16"/>
                <w:lang w:val="es-ES"/>
              </w:rPr>
              <w:t>e presentaron en el h</w:t>
            </w:r>
            <w:r w:rsidRPr="004768D0">
              <w:rPr>
                <w:rFonts w:asciiTheme="majorHAnsi" w:hAnsiTheme="majorHAnsi"/>
                <w:color w:val="000000" w:themeColor="text1"/>
                <w:sz w:val="16"/>
                <w:szCs w:val="16"/>
                <w:lang w:val="es-ES"/>
              </w:rPr>
              <w:t>ospital (</w:t>
            </w:r>
            <w:r w:rsidR="006A4EAF" w:rsidRPr="004768D0">
              <w:rPr>
                <w:rFonts w:asciiTheme="majorHAnsi" w:hAnsiTheme="majorHAnsi"/>
                <w:color w:val="000000" w:themeColor="text1"/>
                <w:sz w:val="16"/>
                <w:szCs w:val="16"/>
                <w:lang w:val="es-ES"/>
              </w:rPr>
              <w:t>la</w:t>
            </w:r>
            <w:r w:rsidRPr="004768D0">
              <w:rPr>
                <w:rFonts w:asciiTheme="majorHAnsi" w:hAnsiTheme="majorHAnsi"/>
                <w:color w:val="000000" w:themeColor="text1"/>
                <w:sz w:val="16"/>
                <w:szCs w:val="16"/>
                <w:lang w:val="es-ES"/>
              </w:rPr>
              <w:t xml:space="preserve"> </w:t>
            </w:r>
            <w:r w:rsidR="009847EF" w:rsidRPr="004768D0">
              <w:rPr>
                <w:rFonts w:asciiTheme="majorHAnsi" w:hAnsiTheme="majorHAnsi"/>
                <w:color w:val="000000" w:themeColor="text1"/>
                <w:sz w:val="16"/>
                <w:szCs w:val="16"/>
                <w:lang w:val="es-ES"/>
              </w:rPr>
              <w:t>sala de urgencias</w:t>
            </w:r>
            <w:r w:rsidRPr="004768D0">
              <w:rPr>
                <w:rFonts w:asciiTheme="majorHAnsi" w:hAnsiTheme="majorHAnsi"/>
                <w:color w:val="000000" w:themeColor="text1"/>
                <w:sz w:val="16"/>
                <w:szCs w:val="16"/>
                <w:lang w:val="es-ES"/>
              </w:rPr>
              <w:t xml:space="preserve"> d</w:t>
            </w:r>
            <w:r w:rsidR="006A4EAF" w:rsidRPr="004768D0">
              <w:rPr>
                <w:rFonts w:asciiTheme="majorHAnsi" w:hAnsiTheme="majorHAnsi"/>
                <w:color w:val="000000" w:themeColor="text1"/>
                <w:sz w:val="16"/>
                <w:szCs w:val="16"/>
                <w:lang w:val="es-ES"/>
              </w:rPr>
              <w:t>e</w:t>
            </w:r>
            <w:r w:rsidR="00213A51" w:rsidRPr="004768D0">
              <w:rPr>
                <w:rFonts w:asciiTheme="majorHAnsi" w:hAnsiTheme="majorHAnsi"/>
                <w:color w:val="000000" w:themeColor="text1"/>
                <w:sz w:val="16"/>
                <w:szCs w:val="16"/>
                <w:lang w:val="es-ES"/>
              </w:rPr>
              <w:t xml:space="preserve">l hospital </w:t>
            </w:r>
            <w:r w:rsidRPr="004768D0">
              <w:rPr>
                <w:rFonts w:asciiTheme="majorHAnsi" w:hAnsiTheme="majorHAnsi"/>
                <w:color w:val="000000" w:themeColor="text1"/>
                <w:sz w:val="16"/>
                <w:szCs w:val="16"/>
                <w:lang w:val="es-ES"/>
              </w:rPr>
              <w:t xml:space="preserve">Santa Casa de Santos), </w:t>
            </w:r>
            <w:r w:rsidR="006A4EAF" w:rsidRPr="004768D0">
              <w:rPr>
                <w:rFonts w:asciiTheme="majorHAnsi" w:hAnsiTheme="majorHAnsi"/>
                <w:color w:val="000000" w:themeColor="text1"/>
                <w:sz w:val="16"/>
                <w:szCs w:val="16"/>
                <w:lang w:val="es-ES"/>
              </w:rPr>
              <w:t xml:space="preserve">y allí le hicieron preguntas de rutina. En esa </w:t>
            </w:r>
            <w:r w:rsidRPr="004768D0">
              <w:rPr>
                <w:rFonts w:asciiTheme="majorHAnsi" w:hAnsiTheme="majorHAnsi"/>
                <w:color w:val="000000" w:themeColor="text1"/>
                <w:sz w:val="16"/>
                <w:szCs w:val="16"/>
                <w:lang w:val="es-ES"/>
              </w:rPr>
              <w:t>oportunidad</w:t>
            </w:r>
            <w:r w:rsidR="006A4EAF" w:rsidRPr="004768D0">
              <w:rPr>
                <w:rFonts w:asciiTheme="majorHAnsi" w:hAnsiTheme="majorHAnsi"/>
                <w:color w:val="000000" w:themeColor="text1"/>
                <w:sz w:val="16"/>
                <w:szCs w:val="16"/>
                <w:lang w:val="es-ES"/>
              </w:rPr>
              <w:t xml:space="preserve"> vio a una </w:t>
            </w:r>
            <w:r w:rsidRPr="004768D0">
              <w:rPr>
                <w:rFonts w:asciiTheme="majorHAnsi" w:hAnsiTheme="majorHAnsi"/>
                <w:color w:val="000000" w:themeColor="text1"/>
                <w:sz w:val="16"/>
                <w:szCs w:val="16"/>
                <w:lang w:val="es-ES"/>
              </w:rPr>
              <w:t xml:space="preserve">enfermera </w:t>
            </w:r>
            <w:r w:rsidR="006A4EAF" w:rsidRPr="004768D0">
              <w:rPr>
                <w:rFonts w:asciiTheme="majorHAnsi" w:hAnsiTheme="majorHAnsi"/>
                <w:color w:val="000000" w:themeColor="text1"/>
                <w:sz w:val="16"/>
                <w:szCs w:val="16"/>
                <w:lang w:val="es-ES"/>
              </w:rPr>
              <w:t xml:space="preserve">indignada con los policías, a quienes les dijo que </w:t>
            </w:r>
            <w:r w:rsidR="004744F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parar</w:t>
            </w:r>
            <w:r w:rsidR="006A4EAF" w:rsidRPr="004768D0">
              <w:rPr>
                <w:rFonts w:asciiTheme="majorHAnsi" w:hAnsiTheme="majorHAnsi"/>
                <w:color w:val="000000" w:themeColor="text1"/>
                <w:sz w:val="16"/>
                <w:szCs w:val="16"/>
                <w:lang w:val="es-ES"/>
              </w:rPr>
              <w:t>an</w:t>
            </w:r>
            <w:r w:rsidRPr="004768D0">
              <w:rPr>
                <w:rFonts w:asciiTheme="majorHAnsi" w:hAnsiTheme="majorHAnsi"/>
                <w:color w:val="000000" w:themeColor="text1"/>
                <w:sz w:val="16"/>
                <w:szCs w:val="16"/>
                <w:lang w:val="es-ES"/>
              </w:rPr>
              <w:t xml:space="preserve"> de matar </w:t>
            </w:r>
            <w:r w:rsidR="006A4EAF" w:rsidRPr="004768D0">
              <w:rPr>
                <w:rFonts w:asciiTheme="majorHAnsi" w:hAnsiTheme="majorHAnsi"/>
                <w:color w:val="000000" w:themeColor="text1"/>
                <w:sz w:val="16"/>
                <w:szCs w:val="16"/>
                <w:lang w:val="es-ES"/>
              </w:rPr>
              <w:t>niños</w:t>
            </w:r>
            <w:r w:rsidR="004744F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w:t>
            </w:r>
          </w:p>
          <w:p w14:paraId="27328808" w14:textId="77777777" w:rsidR="00527F9C" w:rsidRPr="004768D0"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Esa</w:t>
            </w: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enfermera</w:t>
            </w:r>
            <w:r w:rsidRPr="004768D0">
              <w:rPr>
                <w:rFonts w:asciiTheme="majorHAnsi" w:hAnsiTheme="majorHAnsi"/>
                <w:color w:val="000000" w:themeColor="text1"/>
                <w:sz w:val="16"/>
                <w:szCs w:val="16"/>
                <w:lang w:val="es-ES"/>
              </w:rPr>
              <w:t xml:space="preserve">, que </w:t>
            </w:r>
            <w:r w:rsidR="006A4EAF" w:rsidRPr="004768D0">
              <w:rPr>
                <w:rFonts w:asciiTheme="majorHAnsi" w:hAnsiTheme="majorHAnsi"/>
                <w:color w:val="000000" w:themeColor="text1"/>
                <w:sz w:val="16"/>
                <w:szCs w:val="16"/>
                <w:lang w:val="es-ES"/>
              </w:rPr>
              <w:t>probablemente</w:t>
            </w: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podría reconocer a los agentes de policía, tampoco fue llamada a prestar declaración en las investigaciones</w:t>
            </w:r>
            <w:r w:rsidRPr="004768D0">
              <w:rPr>
                <w:rFonts w:asciiTheme="majorHAnsi" w:hAnsiTheme="majorHAnsi"/>
                <w:color w:val="000000" w:themeColor="text1"/>
                <w:sz w:val="16"/>
                <w:szCs w:val="16"/>
                <w:lang w:val="es-ES"/>
              </w:rPr>
              <w:t xml:space="preserve">. </w:t>
            </w:r>
          </w:p>
          <w:p w14:paraId="589950A1" w14:textId="77777777" w:rsidR="00527F9C" w:rsidRPr="004768D0"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Los padres de los jóvenes fueron llamados a comparecer al</w:t>
            </w:r>
            <w:r w:rsidRPr="004768D0">
              <w:rPr>
                <w:rFonts w:asciiTheme="majorHAnsi" w:hAnsiTheme="majorHAnsi"/>
                <w:color w:val="000000" w:themeColor="text1"/>
                <w:sz w:val="16"/>
                <w:szCs w:val="16"/>
                <w:lang w:val="es-ES"/>
              </w:rPr>
              <w:t xml:space="preserve"> Distrito Policial para </w:t>
            </w:r>
            <w:r w:rsidR="006A4EAF" w:rsidRPr="004768D0">
              <w:rPr>
                <w:rFonts w:asciiTheme="majorHAnsi" w:hAnsiTheme="majorHAnsi"/>
                <w:color w:val="000000" w:themeColor="text1"/>
                <w:sz w:val="16"/>
                <w:szCs w:val="16"/>
                <w:lang w:val="es-ES"/>
              </w:rPr>
              <w:t xml:space="preserve">prestar declaración recién dos </w:t>
            </w:r>
            <w:r w:rsidRPr="004768D0">
              <w:rPr>
                <w:rFonts w:asciiTheme="majorHAnsi" w:hAnsiTheme="majorHAnsi"/>
                <w:color w:val="000000" w:themeColor="text1"/>
                <w:sz w:val="16"/>
                <w:szCs w:val="16"/>
                <w:lang w:val="es-ES"/>
              </w:rPr>
              <w:t xml:space="preserve">meses </w:t>
            </w:r>
            <w:r w:rsidR="0084419A" w:rsidRPr="004768D0">
              <w:rPr>
                <w:rFonts w:asciiTheme="majorHAnsi" w:hAnsiTheme="majorHAnsi"/>
                <w:color w:val="000000" w:themeColor="text1"/>
                <w:sz w:val="16"/>
                <w:szCs w:val="16"/>
                <w:lang w:val="es-ES"/>
              </w:rPr>
              <w:t>después</w:t>
            </w:r>
            <w:r w:rsidRPr="004768D0">
              <w:rPr>
                <w:rFonts w:asciiTheme="majorHAnsi" w:hAnsiTheme="majorHAnsi"/>
                <w:color w:val="000000" w:themeColor="text1"/>
                <w:sz w:val="16"/>
                <w:szCs w:val="16"/>
                <w:lang w:val="es-ES"/>
              </w:rPr>
              <w:t xml:space="preserve"> d</w:t>
            </w:r>
            <w:r w:rsidR="006A4EAF" w:rsidRPr="004768D0">
              <w:rPr>
                <w:rFonts w:asciiTheme="majorHAnsi" w:hAnsiTheme="majorHAnsi"/>
                <w:color w:val="000000" w:themeColor="text1"/>
                <w:sz w:val="16"/>
                <w:szCs w:val="16"/>
                <w:lang w:val="es-ES"/>
              </w:rPr>
              <w:t>e l</w:t>
            </w:r>
            <w:r w:rsidRPr="004768D0">
              <w:rPr>
                <w:rFonts w:asciiTheme="majorHAnsi" w:hAnsiTheme="majorHAnsi"/>
                <w:color w:val="000000" w:themeColor="text1"/>
                <w:sz w:val="16"/>
                <w:szCs w:val="16"/>
                <w:lang w:val="es-ES"/>
              </w:rPr>
              <w:t xml:space="preserve">os </w:t>
            </w:r>
            <w:r w:rsidR="000C0AC4" w:rsidRPr="004768D0">
              <w:rPr>
                <w:rFonts w:asciiTheme="majorHAnsi" w:hAnsiTheme="majorHAnsi"/>
                <w:color w:val="000000" w:themeColor="text1"/>
                <w:sz w:val="16"/>
                <w:szCs w:val="16"/>
                <w:lang w:val="es-ES"/>
              </w:rPr>
              <w:t>hechos</w:t>
            </w:r>
            <w:r w:rsidRPr="004768D0">
              <w:rPr>
                <w:rFonts w:asciiTheme="majorHAnsi" w:hAnsiTheme="majorHAnsi"/>
                <w:color w:val="000000" w:themeColor="text1"/>
                <w:sz w:val="16"/>
                <w:szCs w:val="16"/>
                <w:lang w:val="es-ES"/>
              </w:rPr>
              <w:t xml:space="preserve">, </w:t>
            </w:r>
            <w:r w:rsidR="006A4EAF" w:rsidRPr="004768D0">
              <w:rPr>
                <w:rFonts w:asciiTheme="majorHAnsi" w:hAnsiTheme="majorHAnsi"/>
                <w:color w:val="000000" w:themeColor="text1"/>
                <w:sz w:val="16"/>
                <w:szCs w:val="16"/>
                <w:lang w:val="es-ES"/>
              </w:rPr>
              <w:t xml:space="preserve">después que fueron a </w:t>
            </w:r>
            <w:r w:rsidRPr="004768D0">
              <w:rPr>
                <w:rFonts w:asciiTheme="majorHAnsi" w:hAnsiTheme="majorHAnsi"/>
                <w:color w:val="000000" w:themeColor="text1"/>
                <w:sz w:val="16"/>
                <w:szCs w:val="16"/>
                <w:lang w:val="es-ES"/>
              </w:rPr>
              <w:t xml:space="preserve">reclamar </w:t>
            </w:r>
            <w:r w:rsidR="006A4EAF" w:rsidRPr="004768D0">
              <w:rPr>
                <w:rFonts w:asciiTheme="majorHAnsi" w:hAnsiTheme="majorHAnsi"/>
                <w:color w:val="000000" w:themeColor="text1"/>
                <w:sz w:val="16"/>
                <w:szCs w:val="16"/>
                <w:lang w:val="es-ES"/>
              </w:rPr>
              <w:t xml:space="preserve">por la </w:t>
            </w:r>
            <w:r w:rsidRPr="004768D0">
              <w:rPr>
                <w:rFonts w:asciiTheme="majorHAnsi" w:hAnsiTheme="majorHAnsi"/>
                <w:color w:val="000000" w:themeColor="text1"/>
                <w:sz w:val="16"/>
                <w:szCs w:val="16"/>
                <w:lang w:val="es-ES"/>
              </w:rPr>
              <w:t>demora.</w:t>
            </w:r>
          </w:p>
          <w:p w14:paraId="0CB71366" w14:textId="77777777" w:rsidR="00527F9C" w:rsidRPr="004768D0"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 </w:t>
            </w:r>
            <w:r w:rsidR="00D217C5" w:rsidRPr="004768D0">
              <w:rPr>
                <w:rFonts w:asciiTheme="majorHAnsi" w:hAnsiTheme="majorHAnsi"/>
                <w:color w:val="000000" w:themeColor="text1"/>
                <w:sz w:val="16"/>
                <w:szCs w:val="16"/>
                <w:lang w:val="es-ES"/>
              </w:rPr>
              <w:t xml:space="preserve">El policía que recibió la denuncia es el mismo agente </w:t>
            </w:r>
            <w:proofErr w:type="spellStart"/>
            <w:r w:rsidRPr="004768D0">
              <w:rPr>
                <w:rFonts w:asciiTheme="majorHAnsi" w:hAnsiTheme="majorHAnsi"/>
                <w:color w:val="000000" w:themeColor="text1"/>
                <w:sz w:val="16"/>
                <w:szCs w:val="16"/>
                <w:lang w:val="es-ES"/>
              </w:rPr>
              <w:t>Aragão</w:t>
            </w:r>
            <w:proofErr w:type="spellEnd"/>
            <w:r w:rsidRPr="004768D0">
              <w:rPr>
                <w:rFonts w:asciiTheme="majorHAnsi" w:hAnsiTheme="majorHAnsi"/>
                <w:color w:val="000000" w:themeColor="text1"/>
                <w:sz w:val="16"/>
                <w:szCs w:val="16"/>
                <w:lang w:val="es-ES"/>
              </w:rPr>
              <w:t xml:space="preserve"> </w:t>
            </w:r>
            <w:r w:rsidR="009E1174" w:rsidRPr="004768D0">
              <w:rPr>
                <w:rFonts w:asciiTheme="majorHAnsi" w:hAnsiTheme="majorHAnsi"/>
                <w:color w:val="000000" w:themeColor="text1"/>
                <w:sz w:val="16"/>
                <w:szCs w:val="16"/>
                <w:lang w:val="es-ES"/>
              </w:rPr>
              <w:t xml:space="preserve">que estuvo involucrado en otros </w:t>
            </w:r>
            <w:r w:rsidRPr="004768D0">
              <w:rPr>
                <w:rFonts w:asciiTheme="majorHAnsi" w:hAnsiTheme="majorHAnsi"/>
                <w:color w:val="000000" w:themeColor="text1"/>
                <w:sz w:val="16"/>
                <w:szCs w:val="16"/>
                <w:lang w:val="es-ES"/>
              </w:rPr>
              <w:t>casos que terminar</w:t>
            </w:r>
            <w:r w:rsidR="009E1174" w:rsidRPr="004768D0">
              <w:rPr>
                <w:rFonts w:asciiTheme="majorHAnsi" w:hAnsiTheme="majorHAnsi"/>
                <w:color w:val="000000" w:themeColor="text1"/>
                <w:sz w:val="16"/>
                <w:szCs w:val="16"/>
                <w:lang w:val="es-ES"/>
              </w:rPr>
              <w:t>on archivados. El</w:t>
            </w:r>
            <w:r w:rsidRPr="004768D0">
              <w:rPr>
                <w:rFonts w:asciiTheme="majorHAnsi" w:hAnsiTheme="majorHAnsi"/>
                <w:color w:val="000000" w:themeColor="text1"/>
                <w:sz w:val="16"/>
                <w:szCs w:val="16"/>
                <w:lang w:val="es-ES"/>
              </w:rPr>
              <w:t xml:space="preserve"> </w:t>
            </w:r>
            <w:r w:rsidR="006062C8" w:rsidRPr="004768D0">
              <w:rPr>
                <w:rFonts w:asciiTheme="majorHAnsi" w:hAnsiTheme="majorHAnsi"/>
                <w:color w:val="000000" w:themeColor="text1"/>
                <w:sz w:val="16"/>
                <w:szCs w:val="16"/>
                <w:lang w:val="es-ES"/>
              </w:rPr>
              <w:t>vehículo</w:t>
            </w:r>
            <w:r w:rsidRPr="004768D0">
              <w:rPr>
                <w:rFonts w:asciiTheme="majorHAnsi" w:hAnsiTheme="majorHAnsi"/>
                <w:color w:val="000000" w:themeColor="text1"/>
                <w:sz w:val="16"/>
                <w:szCs w:val="16"/>
                <w:lang w:val="es-ES"/>
              </w:rPr>
              <w:t xml:space="preserve"> Fiat Marea </w:t>
            </w:r>
            <w:r w:rsidR="006062C8" w:rsidRPr="004768D0">
              <w:rPr>
                <w:rFonts w:asciiTheme="majorHAnsi" w:hAnsiTheme="majorHAnsi"/>
                <w:color w:val="000000" w:themeColor="text1"/>
                <w:sz w:val="16"/>
                <w:szCs w:val="16"/>
                <w:lang w:val="es-ES"/>
              </w:rPr>
              <w:t>negro</w:t>
            </w:r>
            <w:r w:rsidRPr="004768D0">
              <w:rPr>
                <w:rFonts w:asciiTheme="majorHAnsi" w:hAnsiTheme="majorHAnsi"/>
                <w:color w:val="000000" w:themeColor="text1"/>
                <w:sz w:val="16"/>
                <w:szCs w:val="16"/>
                <w:lang w:val="es-ES"/>
              </w:rPr>
              <w:t xml:space="preserve">, </w:t>
            </w:r>
            <w:r w:rsidR="009E1174" w:rsidRPr="004768D0">
              <w:rPr>
                <w:rFonts w:asciiTheme="majorHAnsi" w:hAnsiTheme="majorHAnsi"/>
                <w:color w:val="000000" w:themeColor="text1"/>
                <w:sz w:val="16"/>
                <w:szCs w:val="16"/>
                <w:lang w:val="es-ES"/>
              </w:rPr>
              <w:t xml:space="preserve">observado en el primer </w:t>
            </w:r>
            <w:r w:rsidRPr="004768D0">
              <w:rPr>
                <w:rFonts w:asciiTheme="majorHAnsi" w:hAnsiTheme="majorHAnsi"/>
                <w:color w:val="000000" w:themeColor="text1"/>
                <w:sz w:val="16"/>
                <w:szCs w:val="16"/>
                <w:lang w:val="es-ES"/>
              </w:rPr>
              <w:t xml:space="preserve">caso, </w:t>
            </w:r>
            <w:r w:rsidR="009E1174" w:rsidRPr="004768D0">
              <w:rPr>
                <w:rFonts w:asciiTheme="majorHAnsi" w:hAnsiTheme="majorHAnsi"/>
                <w:color w:val="000000" w:themeColor="text1"/>
                <w:sz w:val="16"/>
                <w:szCs w:val="16"/>
                <w:lang w:val="es-ES"/>
              </w:rPr>
              <w:t xml:space="preserve">fue </w:t>
            </w:r>
            <w:r w:rsidRPr="004768D0">
              <w:rPr>
                <w:rFonts w:asciiTheme="majorHAnsi" w:hAnsiTheme="majorHAnsi"/>
                <w:color w:val="000000" w:themeColor="text1"/>
                <w:sz w:val="16"/>
                <w:szCs w:val="16"/>
                <w:lang w:val="es-ES"/>
              </w:rPr>
              <w:t xml:space="preserve">mencionado </w:t>
            </w:r>
            <w:r w:rsidR="009E1174" w:rsidRPr="004768D0">
              <w:rPr>
                <w:rFonts w:asciiTheme="majorHAnsi" w:hAnsiTheme="majorHAnsi"/>
                <w:color w:val="000000" w:themeColor="text1"/>
                <w:sz w:val="16"/>
                <w:szCs w:val="16"/>
                <w:lang w:val="es-ES"/>
              </w:rPr>
              <w:t xml:space="preserve">nuevamente </w:t>
            </w:r>
            <w:r w:rsidRPr="004768D0">
              <w:rPr>
                <w:rFonts w:asciiTheme="majorHAnsi" w:hAnsiTheme="majorHAnsi"/>
                <w:color w:val="000000" w:themeColor="text1"/>
                <w:sz w:val="16"/>
                <w:szCs w:val="16"/>
                <w:lang w:val="es-ES"/>
              </w:rPr>
              <w:t xml:space="preserve">por </w:t>
            </w:r>
            <w:r w:rsidR="003346C1" w:rsidRPr="004768D0">
              <w:rPr>
                <w:rFonts w:asciiTheme="majorHAnsi" w:hAnsiTheme="majorHAnsi"/>
                <w:color w:val="000000" w:themeColor="text1"/>
                <w:sz w:val="16"/>
                <w:szCs w:val="16"/>
                <w:lang w:val="es-ES"/>
              </w:rPr>
              <w:t>testigos</w:t>
            </w:r>
            <w:r w:rsidRPr="004768D0">
              <w:rPr>
                <w:rFonts w:asciiTheme="majorHAnsi" w:hAnsiTheme="majorHAnsi"/>
                <w:color w:val="000000" w:themeColor="text1"/>
                <w:sz w:val="16"/>
                <w:szCs w:val="16"/>
                <w:lang w:val="es-ES"/>
              </w:rPr>
              <w:t xml:space="preserve">. </w:t>
            </w:r>
          </w:p>
          <w:p w14:paraId="666FDA89" w14:textId="77777777" w:rsidR="00204009" w:rsidRPr="004768D0" w:rsidRDefault="00527F9C" w:rsidP="009E117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 </w:t>
            </w:r>
            <w:r w:rsidR="009E1174" w:rsidRPr="004768D0">
              <w:rPr>
                <w:rFonts w:asciiTheme="majorHAnsi" w:hAnsiTheme="majorHAnsi"/>
                <w:color w:val="000000" w:themeColor="text1"/>
                <w:sz w:val="16"/>
                <w:szCs w:val="16"/>
                <w:lang w:val="es-ES"/>
              </w:rPr>
              <w:t>Varias</w:t>
            </w:r>
            <w:r w:rsidRPr="004768D0">
              <w:rPr>
                <w:rFonts w:asciiTheme="majorHAnsi" w:hAnsiTheme="majorHAnsi"/>
                <w:color w:val="000000" w:themeColor="text1"/>
                <w:sz w:val="16"/>
                <w:szCs w:val="16"/>
                <w:lang w:val="es-ES"/>
              </w:rPr>
              <w:t xml:space="preserve"> d</w:t>
            </w:r>
            <w:r w:rsidR="009E1174" w:rsidRPr="004768D0">
              <w:rPr>
                <w:rFonts w:asciiTheme="majorHAnsi" w:hAnsiTheme="majorHAnsi"/>
                <w:color w:val="000000" w:themeColor="text1"/>
                <w:sz w:val="16"/>
                <w:szCs w:val="16"/>
                <w:lang w:val="es-ES"/>
              </w:rPr>
              <w:t xml:space="preserve">e las numerosas </w:t>
            </w:r>
            <w:r w:rsidR="000C0AC4" w:rsidRPr="004768D0">
              <w:rPr>
                <w:rFonts w:asciiTheme="majorHAnsi" w:hAnsiTheme="majorHAnsi"/>
                <w:color w:val="000000" w:themeColor="text1"/>
                <w:sz w:val="16"/>
                <w:szCs w:val="16"/>
                <w:lang w:val="es-ES"/>
              </w:rPr>
              <w:t>personas</w:t>
            </w:r>
            <w:r w:rsidRPr="004768D0">
              <w:rPr>
                <w:rFonts w:asciiTheme="majorHAnsi" w:hAnsiTheme="majorHAnsi"/>
                <w:color w:val="000000" w:themeColor="text1"/>
                <w:sz w:val="16"/>
                <w:szCs w:val="16"/>
                <w:lang w:val="es-ES"/>
              </w:rPr>
              <w:t xml:space="preserve"> que esta</w:t>
            </w:r>
            <w:r w:rsidR="009E1174" w:rsidRPr="004768D0">
              <w:rPr>
                <w:rFonts w:asciiTheme="majorHAnsi" w:hAnsiTheme="majorHAnsi"/>
                <w:color w:val="000000" w:themeColor="text1"/>
                <w:sz w:val="16"/>
                <w:szCs w:val="16"/>
                <w:lang w:val="es-ES"/>
              </w:rPr>
              <w:t xml:space="preserve">ban </w:t>
            </w:r>
            <w:r w:rsidRPr="004768D0">
              <w:rPr>
                <w:rFonts w:asciiTheme="majorHAnsi" w:hAnsiTheme="majorHAnsi"/>
                <w:color w:val="000000" w:themeColor="text1"/>
                <w:sz w:val="16"/>
                <w:szCs w:val="16"/>
                <w:lang w:val="es-ES"/>
              </w:rPr>
              <w:t xml:space="preserve">presentes </w:t>
            </w:r>
            <w:r w:rsidR="009E1174"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9E1174" w:rsidRPr="004768D0">
              <w:rPr>
                <w:rFonts w:asciiTheme="majorHAnsi" w:hAnsiTheme="majorHAnsi"/>
                <w:color w:val="000000" w:themeColor="text1"/>
                <w:sz w:val="16"/>
                <w:szCs w:val="16"/>
                <w:lang w:val="es-ES"/>
              </w:rPr>
              <w:t xml:space="preserve"> el lugar no fueron llamadas a pres</w:t>
            </w:r>
            <w:r w:rsidR="005C2C65">
              <w:rPr>
                <w:rFonts w:asciiTheme="majorHAnsi" w:hAnsiTheme="majorHAnsi"/>
                <w:color w:val="000000" w:themeColor="text1"/>
                <w:sz w:val="16"/>
                <w:szCs w:val="16"/>
                <w:lang w:val="es-ES"/>
              </w:rPr>
              <w:t>t</w:t>
            </w:r>
            <w:r w:rsidR="009E1174" w:rsidRPr="004768D0">
              <w:rPr>
                <w:rFonts w:asciiTheme="majorHAnsi" w:hAnsiTheme="majorHAnsi"/>
                <w:color w:val="000000" w:themeColor="text1"/>
                <w:sz w:val="16"/>
                <w:szCs w:val="16"/>
                <w:lang w:val="es-ES"/>
              </w:rPr>
              <w:t>ar declaración</w:t>
            </w:r>
            <w:r w:rsidR="005C2C65">
              <w:rPr>
                <w:rFonts w:asciiTheme="majorHAnsi" w:hAnsiTheme="majorHAnsi"/>
                <w:color w:val="000000" w:themeColor="text1"/>
                <w:sz w:val="16"/>
                <w:szCs w:val="16"/>
                <w:lang w:val="es-ES"/>
              </w:rPr>
              <w:t>,</w:t>
            </w:r>
            <w:r w:rsidR="009E1174" w:rsidRPr="004768D0">
              <w:rPr>
                <w:rFonts w:asciiTheme="majorHAnsi" w:hAnsiTheme="majorHAnsi"/>
                <w:color w:val="000000" w:themeColor="text1"/>
                <w:sz w:val="16"/>
                <w:szCs w:val="16"/>
                <w:lang w:val="es-ES"/>
              </w:rPr>
              <w:t xml:space="preserve"> y ni siquiera constan en el expediente de la </w:t>
            </w:r>
            <w:r w:rsidR="00C03E33" w:rsidRPr="004768D0">
              <w:rPr>
                <w:rFonts w:asciiTheme="majorHAnsi" w:hAnsiTheme="majorHAnsi"/>
                <w:color w:val="000000" w:themeColor="text1"/>
                <w:sz w:val="16"/>
                <w:szCs w:val="16"/>
                <w:lang w:val="es-ES"/>
              </w:rPr>
              <w:t>investigación</w:t>
            </w:r>
            <w:r w:rsidRPr="004768D0">
              <w:rPr>
                <w:rFonts w:asciiTheme="majorHAnsi" w:hAnsiTheme="majorHAnsi"/>
                <w:color w:val="000000" w:themeColor="text1"/>
                <w:sz w:val="16"/>
                <w:szCs w:val="16"/>
                <w:lang w:val="es-ES"/>
              </w:rPr>
              <w:t xml:space="preserve"> </w:t>
            </w:r>
            <w:r w:rsidR="009E1174"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as declara</w:t>
            </w:r>
            <w:r w:rsidR="009E1174" w:rsidRPr="004768D0">
              <w:rPr>
                <w:rFonts w:asciiTheme="majorHAnsi" w:hAnsiTheme="majorHAnsi"/>
                <w:color w:val="000000" w:themeColor="text1"/>
                <w:sz w:val="16"/>
                <w:szCs w:val="16"/>
                <w:lang w:val="es-ES"/>
              </w:rPr>
              <w:t>cion</w:t>
            </w:r>
            <w:r w:rsidRPr="004768D0">
              <w:rPr>
                <w:rFonts w:asciiTheme="majorHAnsi" w:hAnsiTheme="majorHAnsi"/>
                <w:color w:val="000000" w:themeColor="text1"/>
                <w:sz w:val="16"/>
                <w:szCs w:val="16"/>
                <w:lang w:val="es-ES"/>
              </w:rPr>
              <w:t>es prestadas p</w:t>
            </w:r>
            <w:r w:rsidR="009E1174" w:rsidRPr="004768D0">
              <w:rPr>
                <w:rFonts w:asciiTheme="majorHAnsi" w:hAnsiTheme="majorHAnsi"/>
                <w:color w:val="000000" w:themeColor="text1"/>
                <w:sz w:val="16"/>
                <w:szCs w:val="16"/>
                <w:lang w:val="es-ES"/>
              </w:rPr>
              <w:t xml:space="preserve">or el dueño de la </w:t>
            </w:r>
            <w:r w:rsidR="00E770E8" w:rsidRPr="004768D0">
              <w:rPr>
                <w:rFonts w:asciiTheme="majorHAnsi" w:hAnsiTheme="majorHAnsi"/>
                <w:color w:val="000000" w:themeColor="text1"/>
                <w:sz w:val="16"/>
                <w:szCs w:val="16"/>
                <w:lang w:val="es-ES"/>
              </w:rPr>
              <w:t>pizzería</w:t>
            </w:r>
            <w:r w:rsidRPr="004768D0">
              <w:rPr>
                <w:rFonts w:asciiTheme="majorHAnsi" w:hAnsiTheme="majorHAnsi"/>
                <w:color w:val="000000" w:themeColor="text1"/>
                <w:sz w:val="16"/>
                <w:szCs w:val="16"/>
                <w:lang w:val="es-ES"/>
              </w:rPr>
              <w:t xml:space="preserve"> </w:t>
            </w:r>
            <w:r w:rsidR="009E1174" w:rsidRPr="004768D0">
              <w:rPr>
                <w:rFonts w:asciiTheme="majorHAnsi" w:hAnsiTheme="majorHAnsi"/>
                <w:color w:val="000000" w:themeColor="text1"/>
                <w:sz w:val="16"/>
                <w:szCs w:val="16"/>
                <w:lang w:val="es-ES"/>
              </w:rPr>
              <w:t xml:space="preserve">en el </w:t>
            </w:r>
            <w:r w:rsidRPr="004768D0">
              <w:rPr>
                <w:rFonts w:asciiTheme="majorHAnsi" w:hAnsiTheme="majorHAnsi"/>
                <w:color w:val="000000" w:themeColor="text1"/>
                <w:sz w:val="16"/>
                <w:szCs w:val="16"/>
                <w:lang w:val="es-ES"/>
              </w:rPr>
              <w:t>Distrito Policial.</w:t>
            </w:r>
          </w:p>
        </w:tc>
      </w:tr>
      <w:tr w:rsidR="003C5EF0" w:rsidRPr="008D6F96" w14:paraId="1D715500" w14:textId="77777777" w:rsidTr="003C5EF0">
        <w:tc>
          <w:tcPr>
            <w:tcW w:w="9350" w:type="dxa"/>
            <w:shd w:val="clear" w:color="auto" w:fill="000000" w:themeFill="text1"/>
          </w:tcPr>
          <w:p w14:paraId="181FF7C7" w14:textId="77777777" w:rsidR="003C5EF0" w:rsidRPr="004768D0" w:rsidRDefault="00372008" w:rsidP="009E117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es-ES"/>
              </w:rPr>
            </w:pPr>
            <w:r w:rsidRPr="004768D0">
              <w:rPr>
                <w:rFonts w:asciiTheme="majorHAnsi" w:hAnsiTheme="majorHAnsi"/>
                <w:b/>
                <w:bCs/>
                <w:color w:val="FFFFFF" w:themeColor="background1"/>
                <w:sz w:val="16"/>
                <w:szCs w:val="16"/>
                <w:lang w:val="es-ES"/>
              </w:rPr>
              <w:lastRenderedPageBreak/>
              <w:t>Muerte de</w:t>
            </w:r>
            <w:r w:rsidR="003C5EF0" w:rsidRPr="004768D0">
              <w:rPr>
                <w:rFonts w:asciiTheme="majorHAnsi" w:hAnsiTheme="majorHAnsi"/>
                <w:b/>
                <w:bCs/>
                <w:color w:val="FFFFFF" w:themeColor="background1"/>
                <w:sz w:val="16"/>
                <w:szCs w:val="16"/>
                <w:lang w:val="es-ES"/>
              </w:rPr>
              <w:t xml:space="preserve"> </w:t>
            </w:r>
            <w:proofErr w:type="spellStart"/>
            <w:r w:rsidR="003C5EF0" w:rsidRPr="004768D0">
              <w:rPr>
                <w:rFonts w:asciiTheme="majorHAnsi" w:hAnsiTheme="majorHAnsi"/>
                <w:b/>
                <w:bCs/>
                <w:color w:val="FFFFFF" w:themeColor="background1"/>
                <w:sz w:val="16"/>
                <w:szCs w:val="16"/>
                <w:lang w:val="es-ES"/>
              </w:rPr>
              <w:t>Rogério</w:t>
            </w:r>
            <w:proofErr w:type="spellEnd"/>
            <w:r w:rsidR="003C5EF0" w:rsidRPr="004768D0">
              <w:rPr>
                <w:rFonts w:asciiTheme="majorHAnsi" w:hAnsiTheme="majorHAnsi"/>
                <w:b/>
                <w:bCs/>
                <w:color w:val="FFFFFF" w:themeColor="background1"/>
                <w:sz w:val="16"/>
                <w:szCs w:val="16"/>
                <w:lang w:val="es-ES"/>
              </w:rPr>
              <w:t xml:space="preserve"> </w:t>
            </w:r>
            <w:proofErr w:type="spellStart"/>
            <w:r w:rsidR="003C5EF0" w:rsidRPr="004768D0">
              <w:rPr>
                <w:rFonts w:asciiTheme="majorHAnsi" w:hAnsiTheme="majorHAnsi"/>
                <w:b/>
                <w:bCs/>
                <w:color w:val="FFFFFF" w:themeColor="background1"/>
                <w:sz w:val="16"/>
                <w:szCs w:val="16"/>
                <w:lang w:val="es-ES"/>
              </w:rPr>
              <w:t>Monteiro</w:t>
            </w:r>
            <w:proofErr w:type="spellEnd"/>
            <w:r w:rsidR="003C5EF0" w:rsidRPr="004768D0">
              <w:rPr>
                <w:rFonts w:asciiTheme="majorHAnsi" w:hAnsiTheme="majorHAnsi"/>
                <w:b/>
                <w:bCs/>
                <w:color w:val="FFFFFF" w:themeColor="background1"/>
                <w:sz w:val="16"/>
                <w:szCs w:val="16"/>
                <w:lang w:val="es-ES"/>
              </w:rPr>
              <w:t xml:space="preserve"> Ferreira</w:t>
            </w:r>
            <w:r w:rsidRPr="004768D0">
              <w:rPr>
                <w:rFonts w:asciiTheme="majorHAnsi" w:hAnsiTheme="majorHAnsi"/>
                <w:b/>
                <w:bCs/>
                <w:color w:val="FFFFFF" w:themeColor="background1"/>
                <w:sz w:val="16"/>
                <w:szCs w:val="16"/>
                <w:lang w:val="es-ES"/>
              </w:rPr>
              <w:t xml:space="preserve">, acaecida el </w:t>
            </w:r>
            <w:r w:rsidR="003C5EF0" w:rsidRPr="004768D0">
              <w:rPr>
                <w:rFonts w:asciiTheme="majorHAnsi" w:hAnsiTheme="majorHAnsi"/>
                <w:b/>
                <w:bCs/>
                <w:color w:val="FFFFFF" w:themeColor="background1"/>
                <w:sz w:val="16"/>
                <w:szCs w:val="16"/>
                <w:lang w:val="es-ES"/>
              </w:rPr>
              <w:t xml:space="preserve">17 de </w:t>
            </w:r>
            <w:r w:rsidR="007F4608" w:rsidRPr="004768D0">
              <w:rPr>
                <w:rFonts w:asciiTheme="majorHAnsi" w:hAnsiTheme="majorHAnsi"/>
                <w:b/>
                <w:bCs/>
                <w:color w:val="FFFFFF" w:themeColor="background1"/>
                <w:sz w:val="16"/>
                <w:szCs w:val="16"/>
                <w:lang w:val="es-ES"/>
              </w:rPr>
              <w:t>marzo</w:t>
            </w:r>
            <w:r w:rsidR="003C5EF0" w:rsidRPr="004768D0">
              <w:rPr>
                <w:rFonts w:asciiTheme="majorHAnsi" w:hAnsiTheme="majorHAnsi"/>
                <w:b/>
                <w:bCs/>
                <w:color w:val="FFFFFF" w:themeColor="background1"/>
                <w:sz w:val="16"/>
                <w:szCs w:val="16"/>
                <w:lang w:val="es-ES"/>
              </w:rPr>
              <w:t xml:space="preserve"> de 2007</w:t>
            </w:r>
          </w:p>
        </w:tc>
      </w:tr>
      <w:tr w:rsidR="003C5EF0" w:rsidRPr="008D6F96" w14:paraId="0AD08708" w14:textId="77777777" w:rsidTr="00C25420">
        <w:tc>
          <w:tcPr>
            <w:tcW w:w="9350" w:type="dxa"/>
          </w:tcPr>
          <w:p w14:paraId="1FD6B453" w14:textId="77777777" w:rsidR="003C5EF0" w:rsidRPr="004768D0" w:rsidRDefault="00F34727" w:rsidP="00A022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proofErr w:type="spellStart"/>
            <w:r w:rsidRPr="004768D0">
              <w:rPr>
                <w:rFonts w:asciiTheme="majorHAnsi" w:hAnsiTheme="majorHAnsi"/>
                <w:color w:val="000000" w:themeColor="text1"/>
                <w:sz w:val="16"/>
                <w:szCs w:val="16"/>
                <w:lang w:val="es-ES"/>
              </w:rPr>
              <w:t>Rogério</w:t>
            </w:r>
            <w:proofErr w:type="spellEnd"/>
            <w:r w:rsidRPr="004768D0">
              <w:rPr>
                <w:rFonts w:asciiTheme="majorHAnsi" w:hAnsiTheme="majorHAnsi"/>
                <w:color w:val="000000" w:themeColor="text1"/>
                <w:sz w:val="16"/>
                <w:szCs w:val="16"/>
                <w:lang w:val="es-ES"/>
              </w:rPr>
              <w:t xml:space="preserve"> </w:t>
            </w:r>
            <w:proofErr w:type="spellStart"/>
            <w:r w:rsidRPr="004768D0">
              <w:rPr>
                <w:rFonts w:asciiTheme="majorHAnsi" w:hAnsiTheme="majorHAnsi"/>
                <w:color w:val="000000" w:themeColor="text1"/>
                <w:sz w:val="16"/>
                <w:szCs w:val="16"/>
                <w:lang w:val="es-ES"/>
              </w:rPr>
              <w:t>Monteiro</w:t>
            </w:r>
            <w:proofErr w:type="spellEnd"/>
            <w:r w:rsidRPr="004768D0">
              <w:rPr>
                <w:rFonts w:asciiTheme="majorHAnsi" w:hAnsiTheme="majorHAnsi"/>
                <w:color w:val="000000" w:themeColor="text1"/>
                <w:sz w:val="16"/>
                <w:szCs w:val="16"/>
                <w:lang w:val="es-ES"/>
              </w:rPr>
              <w:t xml:space="preserve"> Ferreira f</w:t>
            </w:r>
            <w:r w:rsidR="00F154A0" w:rsidRPr="004768D0">
              <w:rPr>
                <w:rFonts w:asciiTheme="majorHAnsi" w:hAnsiTheme="majorHAnsi"/>
                <w:color w:val="000000" w:themeColor="text1"/>
                <w:sz w:val="16"/>
                <w:szCs w:val="16"/>
                <w:lang w:val="es-ES"/>
              </w:rPr>
              <w:t xml:space="preserve">ue muerto </w:t>
            </w:r>
            <w:r w:rsidRPr="004768D0">
              <w:rPr>
                <w:rFonts w:asciiTheme="majorHAnsi" w:hAnsiTheme="majorHAnsi"/>
                <w:color w:val="000000" w:themeColor="text1"/>
                <w:sz w:val="16"/>
                <w:szCs w:val="16"/>
                <w:lang w:val="es-ES"/>
              </w:rPr>
              <w:t xml:space="preserve">a tiros </w:t>
            </w:r>
            <w:r w:rsidR="00F154A0" w:rsidRPr="004768D0">
              <w:rPr>
                <w:rFonts w:asciiTheme="majorHAnsi" w:hAnsiTheme="majorHAnsi"/>
                <w:color w:val="000000" w:themeColor="text1"/>
                <w:sz w:val="16"/>
                <w:szCs w:val="16"/>
                <w:lang w:val="es-ES"/>
              </w:rPr>
              <w:t xml:space="preserve">el </w:t>
            </w:r>
            <w:r w:rsidRPr="004768D0">
              <w:rPr>
                <w:rFonts w:asciiTheme="majorHAnsi" w:hAnsiTheme="majorHAnsi"/>
                <w:color w:val="000000" w:themeColor="text1"/>
                <w:sz w:val="16"/>
                <w:szCs w:val="16"/>
                <w:lang w:val="es-ES"/>
              </w:rPr>
              <w:t xml:space="preserve">17 de </w:t>
            </w:r>
            <w:r w:rsidR="007F4608" w:rsidRPr="004768D0">
              <w:rPr>
                <w:rFonts w:asciiTheme="majorHAnsi" w:hAnsiTheme="majorHAnsi"/>
                <w:color w:val="000000" w:themeColor="text1"/>
                <w:sz w:val="16"/>
                <w:szCs w:val="16"/>
                <w:lang w:val="es-ES"/>
              </w:rPr>
              <w:t>marzo</w:t>
            </w:r>
            <w:r w:rsidRPr="004768D0">
              <w:rPr>
                <w:rFonts w:asciiTheme="majorHAnsi" w:hAnsiTheme="majorHAnsi"/>
                <w:color w:val="000000" w:themeColor="text1"/>
                <w:sz w:val="16"/>
                <w:szCs w:val="16"/>
                <w:lang w:val="es-ES"/>
              </w:rPr>
              <w:t xml:space="preserve"> de 2007. Seg</w:t>
            </w:r>
            <w:r w:rsidR="00F154A0" w:rsidRPr="004768D0">
              <w:rPr>
                <w:rFonts w:asciiTheme="majorHAnsi" w:hAnsiTheme="majorHAnsi"/>
                <w:color w:val="000000" w:themeColor="text1"/>
                <w:sz w:val="16"/>
                <w:szCs w:val="16"/>
                <w:lang w:val="es-ES"/>
              </w:rPr>
              <w:t>ún el parte policial</w:t>
            </w:r>
            <w:r w:rsidRPr="004768D0">
              <w:rPr>
                <w:rFonts w:asciiTheme="majorHAnsi" w:hAnsiTheme="majorHAnsi"/>
                <w:color w:val="000000" w:themeColor="text1"/>
                <w:sz w:val="16"/>
                <w:szCs w:val="16"/>
                <w:lang w:val="es-ES"/>
              </w:rPr>
              <w:t xml:space="preserve">, </w:t>
            </w:r>
            <w:r w:rsidR="00F154A0" w:rsidRPr="004768D0">
              <w:rPr>
                <w:rFonts w:asciiTheme="majorHAnsi" w:hAnsiTheme="majorHAnsi"/>
                <w:color w:val="000000" w:themeColor="text1"/>
                <w:sz w:val="16"/>
                <w:szCs w:val="16"/>
                <w:lang w:val="es-ES"/>
              </w:rPr>
              <w:t xml:space="preserve">el hecho habría ocurrido a las </w:t>
            </w:r>
            <w:r w:rsidRPr="004768D0">
              <w:rPr>
                <w:rFonts w:asciiTheme="majorHAnsi" w:hAnsiTheme="majorHAnsi"/>
                <w:color w:val="000000" w:themeColor="text1"/>
                <w:sz w:val="16"/>
                <w:szCs w:val="16"/>
                <w:lang w:val="es-ES"/>
              </w:rPr>
              <w:t>2</w:t>
            </w:r>
            <w:r w:rsidR="00F154A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 xml:space="preserve">15 </w:t>
            </w:r>
            <w:r w:rsidR="00F154A0" w:rsidRPr="004768D0">
              <w:rPr>
                <w:rFonts w:asciiTheme="majorHAnsi" w:hAnsiTheme="majorHAnsi"/>
                <w:color w:val="000000" w:themeColor="text1"/>
                <w:sz w:val="16"/>
                <w:szCs w:val="16"/>
                <w:lang w:val="es-ES"/>
              </w:rPr>
              <w:t xml:space="preserve">horas de la </w:t>
            </w:r>
            <w:r w:rsidRPr="004768D0">
              <w:rPr>
                <w:rFonts w:asciiTheme="majorHAnsi" w:hAnsiTheme="majorHAnsi"/>
                <w:color w:val="000000" w:themeColor="text1"/>
                <w:sz w:val="16"/>
                <w:szCs w:val="16"/>
                <w:lang w:val="es-ES"/>
              </w:rPr>
              <w:t xml:space="preserve">madrugada, </w:t>
            </w:r>
            <w:r w:rsidR="00F154A0" w:rsidRPr="004768D0">
              <w:rPr>
                <w:rFonts w:asciiTheme="majorHAnsi" w:hAnsiTheme="majorHAnsi"/>
                <w:color w:val="000000" w:themeColor="text1"/>
                <w:sz w:val="16"/>
                <w:szCs w:val="16"/>
                <w:lang w:val="es-ES"/>
              </w:rPr>
              <w:t xml:space="preserve">aproximadamente, en el </w:t>
            </w:r>
            <w:r w:rsidR="004744F0" w:rsidRPr="004768D0">
              <w:rPr>
                <w:rFonts w:asciiTheme="majorHAnsi" w:hAnsiTheme="majorHAnsi"/>
                <w:color w:val="000000" w:themeColor="text1"/>
                <w:sz w:val="16"/>
                <w:szCs w:val="16"/>
                <w:lang w:val="es-ES"/>
              </w:rPr>
              <w:t>“</w:t>
            </w:r>
            <w:proofErr w:type="spellStart"/>
            <w:r w:rsidRPr="004768D0">
              <w:rPr>
                <w:rFonts w:asciiTheme="majorHAnsi" w:hAnsiTheme="majorHAnsi"/>
                <w:color w:val="000000" w:themeColor="text1"/>
                <w:sz w:val="16"/>
                <w:szCs w:val="16"/>
                <w:lang w:val="es-ES"/>
              </w:rPr>
              <w:t>Diva</w:t>
            </w:r>
            <w:r w:rsidR="005C2C65">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s</w:t>
            </w:r>
            <w:proofErr w:type="spellEnd"/>
            <w:r w:rsidRPr="004768D0">
              <w:rPr>
                <w:rFonts w:asciiTheme="majorHAnsi" w:hAnsiTheme="majorHAnsi"/>
                <w:color w:val="000000" w:themeColor="text1"/>
                <w:sz w:val="16"/>
                <w:szCs w:val="16"/>
                <w:lang w:val="es-ES"/>
              </w:rPr>
              <w:t xml:space="preserve"> Bar</w:t>
            </w:r>
            <w:r w:rsidR="004744F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 xml:space="preserve">, </w:t>
            </w:r>
            <w:r w:rsidR="00F154A0" w:rsidRPr="004768D0">
              <w:rPr>
                <w:rFonts w:asciiTheme="majorHAnsi" w:hAnsiTheme="majorHAnsi"/>
                <w:color w:val="000000" w:themeColor="text1"/>
                <w:sz w:val="16"/>
                <w:szCs w:val="16"/>
                <w:lang w:val="es-ES"/>
              </w:rPr>
              <w:t xml:space="preserve">situado en la </w:t>
            </w:r>
            <w:r w:rsidRPr="004768D0">
              <w:rPr>
                <w:rFonts w:asciiTheme="majorHAnsi" w:hAnsiTheme="majorHAnsi"/>
                <w:color w:val="000000" w:themeColor="text1"/>
                <w:sz w:val="16"/>
                <w:szCs w:val="16"/>
                <w:lang w:val="es-ES"/>
              </w:rPr>
              <w:t xml:space="preserve">avenida Jovino de Mello 735, Santos. </w:t>
            </w:r>
            <w:r w:rsidR="00F154A0" w:rsidRPr="004768D0">
              <w:rPr>
                <w:rFonts w:asciiTheme="majorHAnsi" w:hAnsiTheme="majorHAnsi"/>
                <w:color w:val="000000" w:themeColor="text1"/>
                <w:sz w:val="16"/>
                <w:szCs w:val="16"/>
                <w:lang w:val="es-ES"/>
              </w:rPr>
              <w:t xml:space="preserve">Había varias </w:t>
            </w:r>
            <w:r w:rsidR="000C0AC4" w:rsidRPr="004768D0">
              <w:rPr>
                <w:rFonts w:asciiTheme="majorHAnsi" w:hAnsiTheme="majorHAnsi"/>
                <w:color w:val="000000" w:themeColor="text1"/>
                <w:sz w:val="16"/>
                <w:szCs w:val="16"/>
                <w:lang w:val="es-ES"/>
              </w:rPr>
              <w:t>personas</w:t>
            </w:r>
            <w:r w:rsidRPr="004768D0">
              <w:rPr>
                <w:rFonts w:asciiTheme="majorHAnsi" w:hAnsiTheme="majorHAnsi"/>
                <w:color w:val="000000" w:themeColor="text1"/>
                <w:sz w:val="16"/>
                <w:szCs w:val="16"/>
                <w:lang w:val="es-ES"/>
              </w:rPr>
              <w:t xml:space="preserve"> </w:t>
            </w:r>
            <w:r w:rsidR="00F154A0"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F154A0" w:rsidRPr="004768D0">
              <w:rPr>
                <w:rFonts w:asciiTheme="majorHAnsi" w:hAnsiTheme="majorHAnsi"/>
                <w:color w:val="000000" w:themeColor="text1"/>
                <w:sz w:val="16"/>
                <w:szCs w:val="16"/>
                <w:lang w:val="es-ES"/>
              </w:rPr>
              <w:t xml:space="preserve"> el</w:t>
            </w:r>
            <w:r w:rsidRPr="004768D0">
              <w:rPr>
                <w:rFonts w:asciiTheme="majorHAnsi" w:hAnsiTheme="majorHAnsi"/>
                <w:color w:val="000000" w:themeColor="text1"/>
                <w:sz w:val="16"/>
                <w:szCs w:val="16"/>
                <w:lang w:val="es-ES"/>
              </w:rPr>
              <w:t xml:space="preserve"> bar</w:t>
            </w:r>
            <w:r w:rsidR="00F154A0" w:rsidRPr="004768D0">
              <w:rPr>
                <w:rFonts w:asciiTheme="majorHAnsi" w:hAnsiTheme="majorHAnsi"/>
                <w:color w:val="000000" w:themeColor="text1"/>
                <w:sz w:val="16"/>
                <w:szCs w:val="16"/>
                <w:lang w:val="es-ES"/>
              </w:rPr>
              <w:t xml:space="preserve"> cuando llegó una </w:t>
            </w:r>
            <w:r w:rsidRPr="004768D0">
              <w:rPr>
                <w:rFonts w:asciiTheme="majorHAnsi" w:hAnsiTheme="majorHAnsi"/>
                <w:color w:val="000000" w:themeColor="text1"/>
                <w:sz w:val="16"/>
                <w:szCs w:val="16"/>
                <w:lang w:val="es-ES"/>
              </w:rPr>
              <w:t>moto co</w:t>
            </w:r>
            <w:r w:rsidR="00F154A0" w:rsidRPr="004768D0">
              <w:rPr>
                <w:rFonts w:asciiTheme="majorHAnsi" w:hAnsiTheme="majorHAnsi"/>
                <w:color w:val="000000" w:themeColor="text1"/>
                <w:sz w:val="16"/>
                <w:szCs w:val="16"/>
                <w:lang w:val="es-ES"/>
              </w:rPr>
              <w:t>n dos hombres con casco que dispararon hacia</w:t>
            </w:r>
            <w:r w:rsidRPr="004768D0">
              <w:rPr>
                <w:rFonts w:asciiTheme="majorHAnsi" w:hAnsiTheme="majorHAnsi"/>
                <w:color w:val="000000" w:themeColor="text1"/>
                <w:sz w:val="16"/>
                <w:szCs w:val="16"/>
                <w:lang w:val="es-ES"/>
              </w:rPr>
              <w:t xml:space="preserve"> dentro d</w:t>
            </w:r>
            <w:r w:rsidR="00F154A0" w:rsidRPr="004768D0">
              <w:rPr>
                <w:rFonts w:asciiTheme="majorHAnsi" w:hAnsiTheme="majorHAnsi"/>
                <w:color w:val="000000" w:themeColor="text1"/>
                <w:sz w:val="16"/>
                <w:szCs w:val="16"/>
                <w:lang w:val="es-ES"/>
              </w:rPr>
              <w:t>el</w:t>
            </w:r>
            <w:r w:rsidRPr="004768D0">
              <w:rPr>
                <w:rFonts w:asciiTheme="majorHAnsi" w:hAnsiTheme="majorHAnsi"/>
                <w:color w:val="000000" w:themeColor="text1"/>
                <w:sz w:val="16"/>
                <w:szCs w:val="16"/>
                <w:lang w:val="es-ES"/>
              </w:rPr>
              <w:t xml:space="preserve"> bar. Rogério f</w:t>
            </w:r>
            <w:r w:rsidR="00F154A0" w:rsidRPr="004768D0">
              <w:rPr>
                <w:rFonts w:asciiTheme="majorHAnsi" w:hAnsiTheme="majorHAnsi"/>
                <w:color w:val="000000" w:themeColor="text1"/>
                <w:sz w:val="16"/>
                <w:szCs w:val="16"/>
                <w:lang w:val="es-ES"/>
              </w:rPr>
              <w:t xml:space="preserve">ue alcanzado por dos </w:t>
            </w:r>
            <w:r w:rsidRPr="004768D0">
              <w:rPr>
                <w:rFonts w:asciiTheme="majorHAnsi" w:hAnsiTheme="majorHAnsi"/>
                <w:color w:val="000000" w:themeColor="text1"/>
                <w:sz w:val="16"/>
                <w:szCs w:val="16"/>
                <w:lang w:val="es-ES"/>
              </w:rPr>
              <w:t xml:space="preserve">tiros </w:t>
            </w:r>
            <w:r w:rsidR="00F154A0" w:rsidRPr="004768D0">
              <w:rPr>
                <w:rFonts w:asciiTheme="majorHAnsi" w:hAnsiTheme="majorHAnsi"/>
                <w:color w:val="000000" w:themeColor="text1"/>
                <w:sz w:val="16"/>
                <w:szCs w:val="16"/>
                <w:lang w:val="es-ES"/>
              </w:rPr>
              <w:t>cuando salía del baño</w:t>
            </w:r>
            <w:r w:rsidRPr="004768D0">
              <w:rPr>
                <w:rFonts w:asciiTheme="majorHAnsi" w:hAnsiTheme="majorHAnsi"/>
                <w:color w:val="000000" w:themeColor="text1"/>
                <w:sz w:val="16"/>
                <w:szCs w:val="16"/>
                <w:lang w:val="es-ES"/>
              </w:rPr>
              <w:t xml:space="preserve">. </w:t>
            </w:r>
            <w:r w:rsidR="0084419A" w:rsidRPr="004768D0">
              <w:rPr>
                <w:rFonts w:asciiTheme="majorHAnsi" w:hAnsiTheme="majorHAnsi"/>
                <w:color w:val="000000" w:themeColor="text1"/>
                <w:sz w:val="16"/>
                <w:szCs w:val="16"/>
                <w:lang w:val="es-ES"/>
              </w:rPr>
              <w:t>Después</w:t>
            </w:r>
            <w:r w:rsidRPr="004768D0">
              <w:rPr>
                <w:rFonts w:asciiTheme="majorHAnsi" w:hAnsiTheme="majorHAnsi"/>
                <w:color w:val="000000" w:themeColor="text1"/>
                <w:sz w:val="16"/>
                <w:szCs w:val="16"/>
                <w:lang w:val="es-ES"/>
              </w:rPr>
              <w:t xml:space="preserve">, </w:t>
            </w:r>
            <w:r w:rsidR="00F154A0" w:rsidRPr="004768D0">
              <w:rPr>
                <w:rFonts w:asciiTheme="majorHAnsi" w:hAnsiTheme="majorHAnsi"/>
                <w:color w:val="000000" w:themeColor="text1"/>
                <w:sz w:val="16"/>
                <w:szCs w:val="16"/>
                <w:lang w:val="es-ES"/>
              </w:rPr>
              <w:t xml:space="preserve">el </w:t>
            </w:r>
            <w:r w:rsidRPr="004768D0">
              <w:rPr>
                <w:rFonts w:asciiTheme="majorHAnsi" w:hAnsiTheme="majorHAnsi"/>
                <w:color w:val="000000" w:themeColor="text1"/>
                <w:sz w:val="16"/>
                <w:szCs w:val="16"/>
                <w:lang w:val="es-ES"/>
              </w:rPr>
              <w:t xml:space="preserve">tirador se </w:t>
            </w:r>
            <w:r w:rsidR="00F154A0" w:rsidRPr="004768D0">
              <w:rPr>
                <w:rFonts w:asciiTheme="majorHAnsi" w:hAnsiTheme="majorHAnsi"/>
                <w:color w:val="000000" w:themeColor="text1"/>
                <w:sz w:val="16"/>
                <w:szCs w:val="16"/>
                <w:lang w:val="es-ES"/>
              </w:rPr>
              <w:t xml:space="preserve">acercó y efectuó más </w:t>
            </w:r>
            <w:r w:rsidRPr="004768D0">
              <w:rPr>
                <w:rFonts w:asciiTheme="majorHAnsi" w:hAnsiTheme="majorHAnsi"/>
                <w:color w:val="000000" w:themeColor="text1"/>
                <w:sz w:val="16"/>
                <w:szCs w:val="16"/>
                <w:lang w:val="es-ES"/>
              </w:rPr>
              <w:t>disparos. Rogério</w:t>
            </w:r>
            <w:r w:rsidR="00F154A0" w:rsidRPr="004768D0">
              <w:rPr>
                <w:rFonts w:asciiTheme="majorHAnsi" w:hAnsiTheme="majorHAnsi"/>
                <w:color w:val="000000" w:themeColor="text1"/>
                <w:sz w:val="16"/>
                <w:szCs w:val="16"/>
                <w:lang w:val="es-ES"/>
              </w:rPr>
              <w:t xml:space="preserve"> fue alcanzado por cuatro tiros en total</w:t>
            </w:r>
            <w:r w:rsidRPr="004768D0">
              <w:rPr>
                <w:rFonts w:asciiTheme="majorHAnsi" w:hAnsiTheme="majorHAnsi"/>
                <w:color w:val="000000" w:themeColor="text1"/>
                <w:sz w:val="16"/>
                <w:szCs w:val="16"/>
                <w:lang w:val="es-ES"/>
              </w:rPr>
              <w:t xml:space="preserve">, todos </w:t>
            </w:r>
            <w:r w:rsidR="007F7312">
              <w:rPr>
                <w:rFonts w:asciiTheme="majorHAnsi" w:hAnsiTheme="majorHAnsi"/>
                <w:color w:val="000000" w:themeColor="text1"/>
                <w:sz w:val="16"/>
                <w:szCs w:val="16"/>
                <w:lang w:val="es-ES"/>
              </w:rPr>
              <w:t xml:space="preserve">por </w:t>
            </w:r>
            <w:r w:rsidRPr="004768D0">
              <w:rPr>
                <w:rFonts w:asciiTheme="majorHAnsi" w:hAnsiTheme="majorHAnsi"/>
                <w:color w:val="000000" w:themeColor="text1"/>
                <w:sz w:val="16"/>
                <w:szCs w:val="16"/>
                <w:lang w:val="es-ES"/>
              </w:rPr>
              <w:t xml:space="preserve">detrás, </w:t>
            </w:r>
            <w:r w:rsidR="00F154A0" w:rsidRPr="004768D0">
              <w:rPr>
                <w:rFonts w:asciiTheme="majorHAnsi" w:hAnsiTheme="majorHAnsi"/>
                <w:color w:val="000000" w:themeColor="text1"/>
                <w:sz w:val="16"/>
                <w:szCs w:val="16"/>
                <w:lang w:val="es-ES"/>
              </w:rPr>
              <w:t xml:space="preserve">uno de ellos en la </w:t>
            </w:r>
            <w:r w:rsidR="00E04ED3" w:rsidRPr="004768D0">
              <w:rPr>
                <w:rFonts w:asciiTheme="majorHAnsi" w:hAnsiTheme="majorHAnsi"/>
                <w:color w:val="000000" w:themeColor="text1"/>
                <w:sz w:val="16"/>
                <w:szCs w:val="16"/>
                <w:lang w:val="es-ES"/>
              </w:rPr>
              <w:t>cabeza</w:t>
            </w:r>
            <w:r w:rsidRPr="004768D0">
              <w:rPr>
                <w:rFonts w:asciiTheme="majorHAnsi" w:hAnsiTheme="majorHAnsi"/>
                <w:color w:val="000000" w:themeColor="text1"/>
                <w:sz w:val="16"/>
                <w:szCs w:val="16"/>
                <w:lang w:val="es-ES"/>
              </w:rPr>
              <w:t>. Seg</w:t>
            </w:r>
            <w:r w:rsidR="00F154A0" w:rsidRPr="004768D0">
              <w:rPr>
                <w:rFonts w:asciiTheme="majorHAnsi" w:hAnsiTheme="majorHAnsi"/>
                <w:color w:val="000000" w:themeColor="text1"/>
                <w:sz w:val="16"/>
                <w:szCs w:val="16"/>
                <w:lang w:val="es-ES"/>
              </w:rPr>
              <w:t xml:space="preserve">ún la </w:t>
            </w:r>
            <w:r w:rsidRPr="004768D0">
              <w:rPr>
                <w:rFonts w:asciiTheme="majorHAnsi" w:hAnsiTheme="majorHAnsi"/>
                <w:color w:val="000000" w:themeColor="text1"/>
                <w:sz w:val="16"/>
                <w:szCs w:val="16"/>
                <w:lang w:val="es-ES"/>
              </w:rPr>
              <w:t>de</w:t>
            </w:r>
            <w:r w:rsidR="00213A51" w:rsidRPr="004768D0">
              <w:rPr>
                <w:rFonts w:asciiTheme="majorHAnsi" w:hAnsiTheme="majorHAnsi"/>
                <w:color w:val="000000" w:themeColor="text1"/>
                <w:sz w:val="16"/>
                <w:szCs w:val="16"/>
                <w:lang w:val="es-ES"/>
              </w:rPr>
              <w:t xml:space="preserve">claración </w:t>
            </w:r>
            <w:r w:rsidRPr="004768D0">
              <w:rPr>
                <w:rFonts w:asciiTheme="majorHAnsi" w:hAnsiTheme="majorHAnsi"/>
                <w:color w:val="000000" w:themeColor="text1"/>
                <w:sz w:val="16"/>
                <w:szCs w:val="16"/>
                <w:lang w:val="es-ES"/>
              </w:rPr>
              <w:t>prestad</w:t>
            </w:r>
            <w:r w:rsidR="00213A51" w:rsidRPr="004768D0">
              <w:rPr>
                <w:rFonts w:asciiTheme="majorHAnsi" w:hAnsiTheme="majorHAnsi"/>
                <w:color w:val="000000" w:themeColor="text1"/>
                <w:sz w:val="16"/>
                <w:szCs w:val="16"/>
                <w:lang w:val="es-ES"/>
              </w:rPr>
              <w:t xml:space="preserve">a a la </w:t>
            </w:r>
            <w:r w:rsidR="00323A46" w:rsidRPr="004768D0">
              <w:rPr>
                <w:rFonts w:asciiTheme="majorHAnsi" w:hAnsiTheme="majorHAnsi"/>
                <w:color w:val="000000" w:themeColor="text1"/>
                <w:sz w:val="16"/>
                <w:szCs w:val="16"/>
                <w:lang w:val="es-ES"/>
              </w:rPr>
              <w:t>Comisión</w:t>
            </w:r>
            <w:r w:rsidRPr="004768D0">
              <w:rPr>
                <w:rFonts w:asciiTheme="majorHAnsi" w:hAnsiTheme="majorHAnsi"/>
                <w:color w:val="000000" w:themeColor="text1"/>
                <w:sz w:val="16"/>
                <w:szCs w:val="16"/>
                <w:lang w:val="es-ES"/>
              </w:rPr>
              <w:t xml:space="preserve"> de </w:t>
            </w:r>
            <w:r w:rsidR="00C65DE2" w:rsidRPr="004768D0">
              <w:rPr>
                <w:rFonts w:asciiTheme="majorHAnsi" w:hAnsiTheme="majorHAnsi"/>
                <w:color w:val="000000" w:themeColor="text1"/>
                <w:sz w:val="16"/>
                <w:szCs w:val="16"/>
                <w:lang w:val="es-ES"/>
              </w:rPr>
              <w:t>Justicia</w:t>
            </w:r>
            <w:r w:rsidRPr="004768D0">
              <w:rPr>
                <w:rFonts w:asciiTheme="majorHAnsi" w:hAnsiTheme="majorHAnsi"/>
                <w:color w:val="000000" w:themeColor="text1"/>
                <w:sz w:val="16"/>
                <w:szCs w:val="16"/>
                <w:lang w:val="es-ES"/>
              </w:rPr>
              <w:t xml:space="preserve"> </w:t>
            </w:r>
            <w:r w:rsidR="00213A51"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Paz d</w:t>
            </w:r>
            <w:r w:rsidR="00213A51" w:rsidRPr="004768D0">
              <w:rPr>
                <w:rFonts w:asciiTheme="majorHAnsi" w:hAnsiTheme="majorHAnsi"/>
                <w:color w:val="000000" w:themeColor="text1"/>
                <w:sz w:val="16"/>
                <w:szCs w:val="16"/>
                <w:lang w:val="es-ES"/>
              </w:rPr>
              <w:t>e la</w:t>
            </w:r>
            <w:r w:rsidRPr="004768D0">
              <w:rPr>
                <w:rFonts w:asciiTheme="majorHAnsi" w:hAnsiTheme="majorHAnsi"/>
                <w:color w:val="000000" w:themeColor="text1"/>
                <w:sz w:val="16"/>
                <w:szCs w:val="16"/>
                <w:lang w:val="es-ES"/>
              </w:rPr>
              <w:t xml:space="preserve"> Arquidi</w:t>
            </w:r>
            <w:r w:rsidR="00213A51" w:rsidRPr="004768D0">
              <w:rPr>
                <w:rFonts w:asciiTheme="majorHAnsi" w:hAnsiTheme="majorHAnsi"/>
                <w:color w:val="000000" w:themeColor="text1"/>
                <w:sz w:val="16"/>
                <w:szCs w:val="16"/>
                <w:lang w:val="es-ES"/>
              </w:rPr>
              <w:t xml:space="preserve">ócesis </w:t>
            </w:r>
            <w:r w:rsidRPr="004768D0">
              <w:rPr>
                <w:rFonts w:asciiTheme="majorHAnsi" w:hAnsiTheme="majorHAnsi"/>
                <w:color w:val="000000" w:themeColor="text1"/>
                <w:sz w:val="16"/>
                <w:szCs w:val="16"/>
                <w:lang w:val="es-ES"/>
              </w:rPr>
              <w:t>de São Paulo e</w:t>
            </w:r>
            <w:r w:rsidR="00213A51"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 xml:space="preserve"> 23 de </w:t>
            </w:r>
            <w:r w:rsidR="007F4608" w:rsidRPr="004768D0">
              <w:rPr>
                <w:rFonts w:asciiTheme="majorHAnsi" w:hAnsiTheme="majorHAnsi"/>
                <w:color w:val="000000" w:themeColor="text1"/>
                <w:sz w:val="16"/>
                <w:szCs w:val="16"/>
                <w:lang w:val="es-ES"/>
              </w:rPr>
              <w:t>enero</w:t>
            </w:r>
            <w:r w:rsidRPr="004768D0">
              <w:rPr>
                <w:rFonts w:asciiTheme="majorHAnsi" w:hAnsiTheme="majorHAnsi"/>
                <w:color w:val="000000" w:themeColor="text1"/>
                <w:sz w:val="16"/>
                <w:szCs w:val="16"/>
                <w:lang w:val="es-ES"/>
              </w:rPr>
              <w:t xml:space="preserve"> de 2008</w:t>
            </w:r>
            <w:r w:rsidR="00A0220F">
              <w:rPr>
                <w:rFonts w:asciiTheme="majorHAnsi" w:hAnsiTheme="majorHAnsi"/>
                <w:color w:val="000000" w:themeColor="text1"/>
                <w:sz w:val="16"/>
                <w:szCs w:val="16"/>
                <w:lang w:val="es-ES"/>
              </w:rPr>
              <w:t xml:space="preserve"> por</w:t>
            </w:r>
            <w:r w:rsidRPr="004768D0">
              <w:rPr>
                <w:rFonts w:asciiTheme="majorHAnsi" w:hAnsiTheme="majorHAnsi"/>
                <w:color w:val="000000" w:themeColor="text1"/>
                <w:sz w:val="16"/>
                <w:szCs w:val="16"/>
                <w:lang w:val="es-ES"/>
              </w:rPr>
              <w:t xml:space="preserve"> </w:t>
            </w:r>
            <w:r w:rsidR="00213A51"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 xml:space="preserve">a </w:t>
            </w:r>
            <w:r w:rsidR="00213A51" w:rsidRPr="004768D0">
              <w:rPr>
                <w:rFonts w:asciiTheme="majorHAnsi" w:hAnsiTheme="majorHAnsi"/>
                <w:color w:val="000000" w:themeColor="text1"/>
                <w:sz w:val="16"/>
                <w:szCs w:val="16"/>
                <w:lang w:val="es-ES"/>
              </w:rPr>
              <w:t xml:space="preserve">madre </w:t>
            </w:r>
            <w:r w:rsidRPr="004768D0">
              <w:rPr>
                <w:rFonts w:asciiTheme="majorHAnsi" w:hAnsiTheme="majorHAnsi"/>
                <w:color w:val="000000" w:themeColor="text1"/>
                <w:sz w:val="16"/>
                <w:szCs w:val="16"/>
                <w:lang w:val="es-ES"/>
              </w:rPr>
              <w:t>d</w:t>
            </w:r>
            <w:r w:rsidR="00213A51" w:rsidRPr="004768D0">
              <w:rPr>
                <w:rFonts w:asciiTheme="majorHAnsi" w:hAnsiTheme="majorHAnsi"/>
                <w:color w:val="000000" w:themeColor="text1"/>
                <w:sz w:val="16"/>
                <w:szCs w:val="16"/>
                <w:lang w:val="es-ES"/>
              </w:rPr>
              <w:t>e l</w:t>
            </w:r>
            <w:r w:rsidRPr="004768D0">
              <w:rPr>
                <w:rFonts w:asciiTheme="majorHAnsi" w:hAnsiTheme="majorHAnsi"/>
                <w:color w:val="000000" w:themeColor="text1"/>
                <w:sz w:val="16"/>
                <w:szCs w:val="16"/>
                <w:lang w:val="es-ES"/>
              </w:rPr>
              <w:t xml:space="preserve">a </w:t>
            </w:r>
            <w:r w:rsidR="000D0997" w:rsidRPr="004768D0">
              <w:rPr>
                <w:rFonts w:asciiTheme="majorHAnsi" w:hAnsiTheme="majorHAnsi"/>
                <w:color w:val="000000" w:themeColor="text1"/>
                <w:sz w:val="16"/>
                <w:szCs w:val="16"/>
                <w:lang w:val="es-ES"/>
              </w:rPr>
              <w:t>víctima</w:t>
            </w:r>
            <w:r w:rsidRPr="004768D0">
              <w:rPr>
                <w:rFonts w:asciiTheme="majorHAnsi" w:hAnsiTheme="majorHAnsi"/>
                <w:color w:val="000000" w:themeColor="text1"/>
                <w:sz w:val="16"/>
                <w:szCs w:val="16"/>
                <w:lang w:val="es-ES"/>
              </w:rPr>
              <w:t xml:space="preserve">, Rita de </w:t>
            </w:r>
            <w:proofErr w:type="spellStart"/>
            <w:r w:rsidRPr="004768D0">
              <w:rPr>
                <w:rFonts w:asciiTheme="majorHAnsi" w:hAnsiTheme="majorHAnsi"/>
                <w:color w:val="000000" w:themeColor="text1"/>
                <w:sz w:val="16"/>
                <w:szCs w:val="16"/>
                <w:lang w:val="es-ES"/>
              </w:rPr>
              <w:t>Cássia</w:t>
            </w:r>
            <w:proofErr w:type="spellEnd"/>
            <w:r w:rsidRPr="004768D0">
              <w:rPr>
                <w:rFonts w:asciiTheme="majorHAnsi" w:hAnsiTheme="majorHAnsi"/>
                <w:color w:val="000000" w:themeColor="text1"/>
                <w:sz w:val="16"/>
                <w:szCs w:val="16"/>
                <w:lang w:val="es-ES"/>
              </w:rPr>
              <w:t xml:space="preserve"> </w:t>
            </w:r>
            <w:proofErr w:type="spellStart"/>
            <w:r w:rsidRPr="004768D0">
              <w:rPr>
                <w:rFonts w:asciiTheme="majorHAnsi" w:hAnsiTheme="majorHAnsi"/>
                <w:color w:val="000000" w:themeColor="text1"/>
                <w:sz w:val="16"/>
                <w:szCs w:val="16"/>
                <w:lang w:val="es-ES"/>
              </w:rPr>
              <w:t>Monteiro</w:t>
            </w:r>
            <w:proofErr w:type="spellEnd"/>
            <w:r w:rsidRPr="004768D0">
              <w:rPr>
                <w:rFonts w:asciiTheme="majorHAnsi" w:hAnsiTheme="majorHAnsi"/>
                <w:color w:val="000000" w:themeColor="text1"/>
                <w:sz w:val="16"/>
                <w:szCs w:val="16"/>
                <w:lang w:val="es-ES"/>
              </w:rPr>
              <w:t xml:space="preserve">, </w:t>
            </w:r>
            <w:r w:rsidR="00213A51" w:rsidRPr="004768D0">
              <w:rPr>
                <w:rFonts w:asciiTheme="majorHAnsi" w:hAnsiTheme="majorHAnsi"/>
                <w:color w:val="000000" w:themeColor="text1"/>
                <w:sz w:val="16"/>
                <w:szCs w:val="16"/>
                <w:lang w:val="es-ES"/>
              </w:rPr>
              <w:t>lo llevaron a la s</w:t>
            </w:r>
            <w:r w:rsidR="009847EF" w:rsidRPr="004768D0">
              <w:rPr>
                <w:rFonts w:asciiTheme="majorHAnsi" w:hAnsiTheme="majorHAnsi"/>
                <w:color w:val="000000" w:themeColor="text1"/>
                <w:sz w:val="16"/>
                <w:szCs w:val="16"/>
                <w:lang w:val="es-ES"/>
              </w:rPr>
              <w:t>ala de urgencias</w:t>
            </w:r>
            <w:r w:rsidRPr="004768D0">
              <w:rPr>
                <w:rFonts w:asciiTheme="majorHAnsi" w:hAnsiTheme="majorHAnsi"/>
                <w:color w:val="000000" w:themeColor="text1"/>
                <w:sz w:val="16"/>
                <w:szCs w:val="16"/>
                <w:lang w:val="es-ES"/>
              </w:rPr>
              <w:t xml:space="preserve"> d</w:t>
            </w:r>
            <w:r w:rsidR="00213A51" w:rsidRPr="004768D0">
              <w:rPr>
                <w:rFonts w:asciiTheme="majorHAnsi" w:hAnsiTheme="majorHAnsi"/>
                <w:color w:val="000000" w:themeColor="text1"/>
                <w:sz w:val="16"/>
                <w:szCs w:val="16"/>
                <w:lang w:val="es-ES"/>
              </w:rPr>
              <w:t>e l</w:t>
            </w:r>
            <w:r w:rsidRPr="004768D0">
              <w:rPr>
                <w:rFonts w:asciiTheme="majorHAnsi" w:hAnsiTheme="majorHAnsi"/>
                <w:color w:val="000000" w:themeColor="text1"/>
                <w:sz w:val="16"/>
                <w:szCs w:val="16"/>
                <w:lang w:val="es-ES"/>
              </w:rPr>
              <w:t xml:space="preserve">a Zona Noroeste </w:t>
            </w:r>
            <w:r w:rsidR="00213A51"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posteriormente </w:t>
            </w:r>
            <w:r w:rsidR="00213A51" w:rsidRPr="004768D0">
              <w:rPr>
                <w:rFonts w:asciiTheme="majorHAnsi" w:hAnsiTheme="majorHAnsi"/>
                <w:color w:val="000000" w:themeColor="text1"/>
                <w:sz w:val="16"/>
                <w:szCs w:val="16"/>
                <w:lang w:val="es-ES"/>
              </w:rPr>
              <w:t xml:space="preserve">al hospital </w:t>
            </w:r>
            <w:r w:rsidRPr="004768D0">
              <w:rPr>
                <w:rFonts w:asciiTheme="majorHAnsi" w:hAnsiTheme="majorHAnsi"/>
                <w:color w:val="000000" w:themeColor="text1"/>
                <w:sz w:val="16"/>
                <w:szCs w:val="16"/>
                <w:lang w:val="es-ES"/>
              </w:rPr>
              <w:t xml:space="preserve">Santa Casa, </w:t>
            </w:r>
            <w:r w:rsidR="00213A51" w:rsidRPr="004768D0">
              <w:rPr>
                <w:rFonts w:asciiTheme="majorHAnsi" w:hAnsiTheme="majorHAnsi"/>
                <w:color w:val="000000" w:themeColor="text1"/>
                <w:sz w:val="16"/>
                <w:szCs w:val="16"/>
                <w:lang w:val="es-ES"/>
              </w:rPr>
              <w:t>d</w:t>
            </w:r>
            <w:r w:rsidRPr="004768D0">
              <w:rPr>
                <w:rFonts w:asciiTheme="majorHAnsi" w:hAnsiTheme="majorHAnsi"/>
                <w:color w:val="000000" w:themeColor="text1"/>
                <w:sz w:val="16"/>
                <w:szCs w:val="16"/>
                <w:lang w:val="es-ES"/>
              </w:rPr>
              <w:t xml:space="preserve">onde </w:t>
            </w:r>
            <w:r w:rsidR="00213A51" w:rsidRPr="004768D0">
              <w:rPr>
                <w:rFonts w:asciiTheme="majorHAnsi" w:hAnsiTheme="majorHAnsi"/>
                <w:color w:val="000000" w:themeColor="text1"/>
                <w:sz w:val="16"/>
                <w:szCs w:val="16"/>
                <w:lang w:val="es-ES"/>
              </w:rPr>
              <w:t>falleció</w:t>
            </w:r>
            <w:r w:rsidRPr="004768D0">
              <w:rPr>
                <w:rFonts w:asciiTheme="majorHAnsi" w:hAnsiTheme="majorHAnsi"/>
                <w:color w:val="000000" w:themeColor="text1"/>
                <w:sz w:val="16"/>
                <w:szCs w:val="16"/>
                <w:lang w:val="es-ES"/>
              </w:rPr>
              <w:t>.</w:t>
            </w:r>
          </w:p>
        </w:tc>
      </w:tr>
      <w:tr w:rsidR="003C5EF0" w:rsidRPr="008D6F96" w14:paraId="2B9C9829" w14:textId="77777777" w:rsidTr="003C5EF0">
        <w:tc>
          <w:tcPr>
            <w:tcW w:w="9350" w:type="dxa"/>
            <w:shd w:val="clear" w:color="auto" w:fill="000000" w:themeFill="text1"/>
          </w:tcPr>
          <w:p w14:paraId="7CD8FE31" w14:textId="77777777" w:rsidR="003C5EF0" w:rsidRPr="004768D0" w:rsidRDefault="00372008"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es-ES"/>
              </w:rPr>
            </w:pPr>
            <w:r w:rsidRPr="004768D0">
              <w:rPr>
                <w:rFonts w:asciiTheme="majorHAnsi" w:hAnsiTheme="majorHAnsi"/>
                <w:b/>
                <w:bCs/>
                <w:color w:val="FFFFFF" w:themeColor="background1"/>
                <w:sz w:val="16"/>
                <w:szCs w:val="16"/>
                <w:lang w:val="es-ES"/>
              </w:rPr>
              <w:t>Aspectos relacionados con la investigación de la muerte de</w:t>
            </w:r>
            <w:r w:rsidR="003C5EF0" w:rsidRPr="004768D0">
              <w:rPr>
                <w:rFonts w:asciiTheme="majorHAnsi" w:hAnsiTheme="majorHAnsi"/>
                <w:b/>
                <w:bCs/>
                <w:color w:val="FFFFFF" w:themeColor="background1"/>
                <w:sz w:val="16"/>
                <w:szCs w:val="16"/>
                <w:lang w:val="es-ES"/>
              </w:rPr>
              <w:t xml:space="preserve"> Rogério Monteiro Ferreira</w:t>
            </w:r>
          </w:p>
        </w:tc>
      </w:tr>
      <w:tr w:rsidR="003C5EF0" w:rsidRPr="008D6F96" w14:paraId="6179D1FE" w14:textId="77777777" w:rsidTr="00C25420">
        <w:tc>
          <w:tcPr>
            <w:tcW w:w="9350" w:type="dxa"/>
          </w:tcPr>
          <w:p w14:paraId="31862833" w14:textId="77777777" w:rsidR="001E7F07" w:rsidRPr="004768D0" w:rsidRDefault="00213A51"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Las indagaciones </w:t>
            </w:r>
            <w:r w:rsidR="001E7F07" w:rsidRPr="004768D0">
              <w:rPr>
                <w:rFonts w:asciiTheme="majorHAnsi" w:hAnsiTheme="majorHAnsi"/>
                <w:color w:val="000000" w:themeColor="text1"/>
                <w:sz w:val="16"/>
                <w:szCs w:val="16"/>
                <w:lang w:val="es-ES"/>
              </w:rPr>
              <w:t xml:space="preserve">sobre </w:t>
            </w:r>
            <w:r w:rsidRPr="004768D0">
              <w:rPr>
                <w:rFonts w:asciiTheme="majorHAnsi" w:hAnsiTheme="majorHAnsi"/>
                <w:color w:val="000000" w:themeColor="text1"/>
                <w:sz w:val="16"/>
                <w:szCs w:val="16"/>
                <w:lang w:val="es-ES"/>
              </w:rPr>
              <w:t xml:space="preserve">el delito constan en el expediente de la </w:t>
            </w:r>
            <w:r w:rsidR="00C03E33" w:rsidRPr="004768D0">
              <w:rPr>
                <w:rFonts w:asciiTheme="majorHAnsi" w:hAnsiTheme="majorHAnsi"/>
                <w:color w:val="000000" w:themeColor="text1"/>
                <w:sz w:val="16"/>
                <w:szCs w:val="16"/>
                <w:lang w:val="es-ES"/>
              </w:rPr>
              <w:t>investigación</w:t>
            </w:r>
            <w:r w:rsidR="001E7F07" w:rsidRPr="004768D0">
              <w:rPr>
                <w:rFonts w:asciiTheme="majorHAnsi" w:hAnsiTheme="majorHAnsi"/>
                <w:color w:val="000000" w:themeColor="text1"/>
                <w:sz w:val="16"/>
                <w:szCs w:val="16"/>
                <w:lang w:val="es-ES"/>
              </w:rPr>
              <w:t xml:space="preserve"> policial </w:t>
            </w:r>
            <w:proofErr w:type="spellStart"/>
            <w:r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vertAlign w:val="superscript"/>
                <w:lang w:val="es-ES"/>
              </w:rPr>
              <w:t>o</w:t>
            </w:r>
            <w:proofErr w:type="spellEnd"/>
            <w:r w:rsidR="001E7F07" w:rsidRPr="004768D0">
              <w:rPr>
                <w:rFonts w:asciiTheme="majorHAnsi" w:hAnsiTheme="majorHAnsi"/>
                <w:color w:val="000000" w:themeColor="text1"/>
                <w:sz w:val="16"/>
                <w:szCs w:val="16"/>
                <w:lang w:val="es-ES"/>
              </w:rPr>
              <w:t xml:space="preserve"> 119/07 </w:t>
            </w:r>
            <w:r w:rsidRPr="004768D0">
              <w:rPr>
                <w:rFonts w:asciiTheme="majorHAnsi" w:hAnsiTheme="majorHAnsi"/>
                <w:color w:val="000000" w:themeColor="text1"/>
                <w:sz w:val="16"/>
                <w:szCs w:val="16"/>
                <w:lang w:val="es-ES"/>
              </w:rPr>
              <w:t xml:space="preserve">del Quinto </w:t>
            </w:r>
            <w:r w:rsidR="001E7F07" w:rsidRPr="004768D0">
              <w:rPr>
                <w:rFonts w:asciiTheme="majorHAnsi" w:hAnsiTheme="majorHAnsi"/>
                <w:color w:val="000000" w:themeColor="text1"/>
                <w:sz w:val="16"/>
                <w:szCs w:val="16"/>
                <w:lang w:val="es-ES"/>
              </w:rPr>
              <w:t xml:space="preserve">Distrito Policial de Santos </w:t>
            </w:r>
            <w:r w:rsidRPr="004768D0">
              <w:rPr>
                <w:rFonts w:asciiTheme="majorHAnsi" w:hAnsiTheme="majorHAnsi"/>
                <w:color w:val="000000" w:themeColor="text1"/>
                <w:sz w:val="16"/>
                <w:szCs w:val="16"/>
                <w:lang w:val="es-ES"/>
              </w:rPr>
              <w:t xml:space="preserve">y en autos </w:t>
            </w:r>
            <w:r w:rsidR="001E7F07" w:rsidRPr="004768D0">
              <w:rPr>
                <w:rFonts w:asciiTheme="majorHAnsi" w:hAnsiTheme="majorHAnsi"/>
                <w:color w:val="000000" w:themeColor="text1"/>
                <w:sz w:val="16"/>
                <w:szCs w:val="16"/>
                <w:lang w:val="es-ES"/>
              </w:rPr>
              <w:t xml:space="preserve">como </w:t>
            </w:r>
            <w:r w:rsidR="00C03E33" w:rsidRPr="004768D0">
              <w:rPr>
                <w:rFonts w:asciiTheme="majorHAnsi" w:hAnsiTheme="majorHAnsi"/>
                <w:color w:val="000000" w:themeColor="text1"/>
                <w:sz w:val="16"/>
                <w:szCs w:val="16"/>
                <w:lang w:val="es-ES"/>
              </w:rPr>
              <w:t>investigación</w:t>
            </w:r>
            <w:r w:rsidR="001E7F07" w:rsidRPr="004768D0">
              <w:rPr>
                <w:rFonts w:asciiTheme="majorHAnsi" w:hAnsiTheme="majorHAnsi"/>
                <w:color w:val="000000" w:themeColor="text1"/>
                <w:sz w:val="16"/>
                <w:szCs w:val="16"/>
                <w:lang w:val="es-ES"/>
              </w:rPr>
              <w:t xml:space="preserve"> policial </w:t>
            </w:r>
            <w:proofErr w:type="spellStart"/>
            <w:r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vertAlign w:val="superscript"/>
                <w:lang w:val="es-ES"/>
              </w:rPr>
              <w:t>o</w:t>
            </w:r>
            <w:proofErr w:type="spellEnd"/>
            <w:r w:rsidR="001E7F07" w:rsidRPr="004768D0">
              <w:rPr>
                <w:rFonts w:asciiTheme="majorHAnsi" w:hAnsiTheme="majorHAnsi"/>
                <w:color w:val="000000" w:themeColor="text1"/>
                <w:sz w:val="16"/>
                <w:szCs w:val="16"/>
                <w:lang w:val="es-ES"/>
              </w:rPr>
              <w:t xml:space="preserve"> 116/07 d</w:t>
            </w:r>
            <w:r w:rsidRPr="004768D0">
              <w:rPr>
                <w:rFonts w:asciiTheme="majorHAnsi" w:hAnsiTheme="majorHAnsi"/>
                <w:color w:val="000000" w:themeColor="text1"/>
                <w:sz w:val="16"/>
                <w:szCs w:val="16"/>
                <w:lang w:val="es-ES"/>
              </w:rPr>
              <w:t xml:space="preserve">el Primer Juzgado Penal y del Jurado </w:t>
            </w:r>
            <w:r w:rsidR="001E7F07" w:rsidRPr="004768D0">
              <w:rPr>
                <w:rFonts w:asciiTheme="majorHAnsi" w:hAnsiTheme="majorHAnsi"/>
                <w:color w:val="000000" w:themeColor="text1"/>
                <w:sz w:val="16"/>
                <w:szCs w:val="16"/>
                <w:lang w:val="es-ES"/>
              </w:rPr>
              <w:t>de Santos.</w:t>
            </w:r>
          </w:p>
          <w:p w14:paraId="02C0F510" w14:textId="77777777" w:rsidR="001E7F07" w:rsidRPr="004768D0" w:rsidRDefault="00ED1CD4"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Se tomó declaración al propietario</w:t>
            </w:r>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y a una empleada del </w:t>
            </w:r>
            <w:r w:rsidR="001E7F07" w:rsidRPr="004768D0">
              <w:rPr>
                <w:rFonts w:asciiTheme="majorHAnsi" w:hAnsiTheme="majorHAnsi"/>
                <w:color w:val="000000" w:themeColor="text1"/>
                <w:sz w:val="16"/>
                <w:szCs w:val="16"/>
                <w:lang w:val="es-ES"/>
              </w:rPr>
              <w:t xml:space="preserve">bar, </w:t>
            </w:r>
            <w:r w:rsidRPr="004768D0">
              <w:rPr>
                <w:rFonts w:asciiTheme="majorHAnsi" w:hAnsiTheme="majorHAnsi"/>
                <w:color w:val="000000" w:themeColor="text1"/>
                <w:sz w:val="16"/>
                <w:szCs w:val="16"/>
                <w:lang w:val="es-ES"/>
              </w:rPr>
              <w:t>quienes afirmaron que los agresores</w:t>
            </w:r>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tenían puestas capuchas</w:t>
            </w:r>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y cascos. La empleada señaló que el </w:t>
            </w:r>
            <w:r w:rsidR="001E7F07" w:rsidRPr="004768D0">
              <w:rPr>
                <w:rFonts w:asciiTheme="majorHAnsi" w:hAnsiTheme="majorHAnsi"/>
                <w:color w:val="000000" w:themeColor="text1"/>
                <w:sz w:val="16"/>
                <w:szCs w:val="16"/>
                <w:lang w:val="es-ES"/>
              </w:rPr>
              <w:t xml:space="preserve">tirador era alto </w:t>
            </w:r>
            <w:r w:rsidRPr="004768D0">
              <w:rPr>
                <w:rFonts w:asciiTheme="majorHAnsi" w:hAnsiTheme="majorHAnsi"/>
                <w:color w:val="000000" w:themeColor="text1"/>
                <w:sz w:val="16"/>
                <w:szCs w:val="16"/>
                <w:lang w:val="es-ES"/>
              </w:rPr>
              <w:t xml:space="preserve">y moreno, ya que le vio la mano en el </w:t>
            </w:r>
            <w:r w:rsidR="001E7F07" w:rsidRPr="004768D0">
              <w:rPr>
                <w:rFonts w:asciiTheme="majorHAnsi" w:hAnsiTheme="majorHAnsi"/>
                <w:color w:val="000000" w:themeColor="text1"/>
                <w:sz w:val="16"/>
                <w:szCs w:val="16"/>
                <w:lang w:val="es-ES"/>
              </w:rPr>
              <w:t>momento d</w:t>
            </w:r>
            <w:r w:rsidRPr="004768D0">
              <w:rPr>
                <w:rFonts w:asciiTheme="majorHAnsi" w:hAnsiTheme="majorHAnsi"/>
                <w:color w:val="000000" w:themeColor="text1"/>
                <w:sz w:val="16"/>
                <w:szCs w:val="16"/>
                <w:lang w:val="es-ES"/>
              </w:rPr>
              <w:t>e l</w:t>
            </w:r>
            <w:r w:rsidR="001E7F07" w:rsidRPr="004768D0">
              <w:rPr>
                <w:rFonts w:asciiTheme="majorHAnsi" w:hAnsiTheme="majorHAnsi"/>
                <w:color w:val="000000" w:themeColor="text1"/>
                <w:sz w:val="16"/>
                <w:szCs w:val="16"/>
                <w:lang w:val="es-ES"/>
              </w:rPr>
              <w:t xml:space="preserve">os disparos. Ambos </w:t>
            </w:r>
            <w:r w:rsidRPr="004768D0">
              <w:rPr>
                <w:rFonts w:asciiTheme="majorHAnsi" w:hAnsiTheme="majorHAnsi"/>
                <w:color w:val="000000" w:themeColor="text1"/>
                <w:sz w:val="16"/>
                <w:szCs w:val="16"/>
                <w:lang w:val="es-ES"/>
              </w:rPr>
              <w:t>agregaron que, anteriormente, se habían producido otros</w:t>
            </w:r>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dos intentos </w:t>
            </w:r>
            <w:r w:rsidR="001E7F07" w:rsidRPr="004768D0">
              <w:rPr>
                <w:rFonts w:asciiTheme="majorHAnsi" w:hAnsiTheme="majorHAnsi"/>
                <w:color w:val="000000" w:themeColor="text1"/>
                <w:sz w:val="16"/>
                <w:szCs w:val="16"/>
                <w:lang w:val="es-ES"/>
              </w:rPr>
              <w:t xml:space="preserve">de </w:t>
            </w:r>
            <w:r w:rsidR="00F154A0" w:rsidRPr="004768D0">
              <w:rPr>
                <w:rFonts w:asciiTheme="majorHAnsi" w:hAnsiTheme="majorHAnsi"/>
                <w:color w:val="000000" w:themeColor="text1"/>
                <w:sz w:val="16"/>
                <w:szCs w:val="16"/>
                <w:lang w:val="es-ES"/>
              </w:rPr>
              <w:t>homicidio</w:t>
            </w:r>
            <w:r w:rsidR="001E7F07" w:rsidRPr="004768D0">
              <w:rPr>
                <w:rFonts w:asciiTheme="majorHAnsi" w:hAnsiTheme="majorHAnsi"/>
                <w:color w:val="000000" w:themeColor="text1"/>
                <w:sz w:val="16"/>
                <w:szCs w:val="16"/>
                <w:lang w:val="es-ES"/>
              </w:rPr>
              <w:t xml:space="preserve"> frente </w:t>
            </w:r>
            <w:r w:rsidRPr="004768D0">
              <w:rPr>
                <w:rFonts w:asciiTheme="majorHAnsi" w:hAnsiTheme="majorHAnsi"/>
                <w:color w:val="000000" w:themeColor="text1"/>
                <w:sz w:val="16"/>
                <w:szCs w:val="16"/>
                <w:lang w:val="es-ES"/>
              </w:rPr>
              <w:t>al estabelecimiento</w:t>
            </w:r>
            <w:r w:rsidR="001E7F07" w:rsidRPr="004768D0">
              <w:rPr>
                <w:rFonts w:asciiTheme="majorHAnsi" w:hAnsiTheme="majorHAnsi"/>
                <w:color w:val="000000" w:themeColor="text1"/>
                <w:sz w:val="16"/>
                <w:szCs w:val="16"/>
                <w:lang w:val="es-ES"/>
              </w:rPr>
              <w:t>.</w:t>
            </w:r>
          </w:p>
          <w:p w14:paraId="3F8613B2" w14:textId="77777777" w:rsidR="001E7F07" w:rsidRPr="004768D0"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N</w:t>
            </w:r>
            <w:r w:rsidR="00ED1CD4" w:rsidRPr="004768D0">
              <w:rPr>
                <w:rFonts w:asciiTheme="majorHAnsi" w:hAnsiTheme="majorHAnsi"/>
                <w:color w:val="000000" w:themeColor="text1"/>
                <w:sz w:val="16"/>
                <w:szCs w:val="16"/>
                <w:lang w:val="es-ES"/>
              </w:rPr>
              <w:t xml:space="preserve">o se tomó declaración por lo menos a otros </w:t>
            </w:r>
            <w:r w:rsidRPr="004768D0">
              <w:rPr>
                <w:rFonts w:asciiTheme="majorHAnsi" w:hAnsiTheme="majorHAnsi"/>
                <w:color w:val="000000" w:themeColor="text1"/>
                <w:sz w:val="16"/>
                <w:szCs w:val="16"/>
                <w:lang w:val="es-ES"/>
              </w:rPr>
              <w:t xml:space="preserve">cinco </w:t>
            </w:r>
            <w:r w:rsidR="003346C1" w:rsidRPr="004768D0">
              <w:rPr>
                <w:rFonts w:asciiTheme="majorHAnsi" w:hAnsiTheme="majorHAnsi"/>
                <w:color w:val="000000" w:themeColor="text1"/>
                <w:sz w:val="16"/>
                <w:szCs w:val="16"/>
                <w:lang w:val="es-ES"/>
              </w:rPr>
              <w:t>testigos</w:t>
            </w:r>
            <w:r w:rsidRPr="004768D0">
              <w:rPr>
                <w:rFonts w:asciiTheme="majorHAnsi" w:hAnsiTheme="majorHAnsi"/>
                <w:color w:val="000000" w:themeColor="text1"/>
                <w:sz w:val="16"/>
                <w:szCs w:val="16"/>
                <w:lang w:val="es-ES"/>
              </w:rPr>
              <w:t xml:space="preserve"> presencia</w:t>
            </w:r>
            <w:r w:rsidR="00ED1CD4" w:rsidRPr="004768D0">
              <w:rPr>
                <w:rFonts w:asciiTheme="majorHAnsi" w:hAnsiTheme="majorHAnsi"/>
                <w:color w:val="000000" w:themeColor="text1"/>
                <w:sz w:val="16"/>
                <w:szCs w:val="16"/>
                <w:lang w:val="es-ES"/>
              </w:rPr>
              <w:t>le</w:t>
            </w:r>
            <w:r w:rsidRPr="004768D0">
              <w:rPr>
                <w:rFonts w:asciiTheme="majorHAnsi" w:hAnsiTheme="majorHAnsi"/>
                <w:color w:val="000000" w:themeColor="text1"/>
                <w:sz w:val="16"/>
                <w:szCs w:val="16"/>
                <w:lang w:val="es-ES"/>
              </w:rPr>
              <w:t xml:space="preserve">s: </w:t>
            </w:r>
            <w:r w:rsidR="00ED1CD4"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 xml:space="preserve">os </w:t>
            </w:r>
            <w:r w:rsidR="00ED1CD4" w:rsidRPr="004768D0">
              <w:rPr>
                <w:rFonts w:asciiTheme="majorHAnsi" w:hAnsiTheme="majorHAnsi"/>
                <w:color w:val="000000" w:themeColor="text1"/>
                <w:sz w:val="16"/>
                <w:szCs w:val="16"/>
                <w:lang w:val="es-ES"/>
              </w:rPr>
              <w:t>cuatro</w:t>
            </w:r>
            <w:r w:rsidRPr="004768D0">
              <w:rPr>
                <w:rFonts w:asciiTheme="majorHAnsi" w:hAnsiTheme="majorHAnsi"/>
                <w:color w:val="000000" w:themeColor="text1"/>
                <w:sz w:val="16"/>
                <w:szCs w:val="16"/>
                <w:lang w:val="es-ES"/>
              </w:rPr>
              <w:t xml:space="preserve"> amigos que </w:t>
            </w:r>
            <w:r w:rsidR="00ED1CD4" w:rsidRPr="004768D0">
              <w:rPr>
                <w:rFonts w:asciiTheme="majorHAnsi" w:hAnsiTheme="majorHAnsi"/>
                <w:color w:val="000000" w:themeColor="text1"/>
                <w:sz w:val="16"/>
                <w:szCs w:val="16"/>
                <w:lang w:val="es-ES"/>
              </w:rPr>
              <w:t>estaban</w:t>
            </w:r>
            <w:r w:rsidRPr="004768D0">
              <w:rPr>
                <w:rFonts w:asciiTheme="majorHAnsi" w:hAnsiTheme="majorHAnsi"/>
                <w:color w:val="000000" w:themeColor="text1"/>
                <w:sz w:val="16"/>
                <w:szCs w:val="16"/>
                <w:lang w:val="es-ES"/>
              </w:rPr>
              <w:t xml:space="preserve"> </w:t>
            </w:r>
            <w:r w:rsidR="00ED1CD4" w:rsidRPr="004768D0">
              <w:rPr>
                <w:rFonts w:asciiTheme="majorHAnsi" w:hAnsiTheme="majorHAnsi"/>
                <w:color w:val="000000" w:themeColor="text1"/>
                <w:sz w:val="16"/>
                <w:szCs w:val="16"/>
                <w:lang w:val="es-ES"/>
              </w:rPr>
              <w:t>con</w:t>
            </w:r>
            <w:r w:rsidRPr="004768D0">
              <w:rPr>
                <w:rFonts w:asciiTheme="majorHAnsi" w:hAnsiTheme="majorHAnsi"/>
                <w:color w:val="000000" w:themeColor="text1"/>
                <w:sz w:val="16"/>
                <w:szCs w:val="16"/>
                <w:lang w:val="es-ES"/>
              </w:rPr>
              <w:t xml:space="preserve"> Rogério </w:t>
            </w:r>
            <w:r w:rsidR="00ED1CD4"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ED1CD4" w:rsidRPr="004768D0">
              <w:rPr>
                <w:rFonts w:asciiTheme="majorHAnsi" w:hAnsiTheme="majorHAnsi"/>
                <w:color w:val="000000" w:themeColor="text1"/>
                <w:sz w:val="16"/>
                <w:szCs w:val="16"/>
                <w:lang w:val="es-ES"/>
              </w:rPr>
              <w:t xml:space="preserve"> el</w:t>
            </w:r>
            <w:r w:rsidRPr="004768D0">
              <w:rPr>
                <w:rFonts w:asciiTheme="majorHAnsi" w:hAnsiTheme="majorHAnsi"/>
                <w:color w:val="000000" w:themeColor="text1"/>
                <w:sz w:val="16"/>
                <w:szCs w:val="16"/>
                <w:lang w:val="es-ES"/>
              </w:rPr>
              <w:t xml:space="preserve"> momento d</w:t>
            </w:r>
            <w:r w:rsidR="00ED1CD4" w:rsidRPr="004768D0">
              <w:rPr>
                <w:rFonts w:asciiTheme="majorHAnsi" w:hAnsiTheme="majorHAnsi"/>
                <w:color w:val="000000" w:themeColor="text1"/>
                <w:sz w:val="16"/>
                <w:szCs w:val="16"/>
                <w:lang w:val="es-ES"/>
              </w:rPr>
              <w:t xml:space="preserve">e los hechos y </w:t>
            </w:r>
            <w:r w:rsidRPr="004768D0">
              <w:rPr>
                <w:rFonts w:asciiTheme="majorHAnsi" w:hAnsiTheme="majorHAnsi"/>
                <w:color w:val="000000" w:themeColor="text1"/>
                <w:sz w:val="16"/>
                <w:szCs w:val="16"/>
                <w:lang w:val="es-ES"/>
              </w:rPr>
              <w:t xml:space="preserve">Maria </w:t>
            </w:r>
            <w:proofErr w:type="spellStart"/>
            <w:r w:rsidRPr="004768D0">
              <w:rPr>
                <w:rFonts w:asciiTheme="majorHAnsi" w:hAnsiTheme="majorHAnsi"/>
                <w:color w:val="000000" w:themeColor="text1"/>
                <w:sz w:val="16"/>
                <w:szCs w:val="16"/>
                <w:lang w:val="es-ES"/>
              </w:rPr>
              <w:t>Ilza</w:t>
            </w:r>
            <w:proofErr w:type="spellEnd"/>
            <w:r w:rsidRPr="004768D0">
              <w:rPr>
                <w:rFonts w:asciiTheme="majorHAnsi" w:hAnsiTheme="majorHAnsi"/>
                <w:color w:val="000000" w:themeColor="text1"/>
                <w:sz w:val="16"/>
                <w:szCs w:val="16"/>
                <w:lang w:val="es-ES"/>
              </w:rPr>
              <w:t>, cu</w:t>
            </w:r>
            <w:r w:rsidR="00ED1CD4" w:rsidRPr="004768D0">
              <w:rPr>
                <w:rFonts w:asciiTheme="majorHAnsi" w:hAnsiTheme="majorHAnsi"/>
                <w:color w:val="000000" w:themeColor="text1"/>
                <w:sz w:val="16"/>
                <w:szCs w:val="16"/>
                <w:lang w:val="es-ES"/>
              </w:rPr>
              <w:t>ñ</w:t>
            </w:r>
            <w:r w:rsidRPr="004768D0">
              <w:rPr>
                <w:rFonts w:asciiTheme="majorHAnsi" w:hAnsiTheme="majorHAnsi"/>
                <w:color w:val="000000" w:themeColor="text1"/>
                <w:sz w:val="16"/>
                <w:szCs w:val="16"/>
                <w:lang w:val="es-ES"/>
              </w:rPr>
              <w:t>ada de Rita</w:t>
            </w:r>
            <w:r w:rsidR="00ED1CD4" w:rsidRPr="004768D0">
              <w:rPr>
                <w:rFonts w:asciiTheme="majorHAnsi" w:hAnsiTheme="majorHAnsi"/>
                <w:color w:val="000000" w:themeColor="text1"/>
                <w:sz w:val="16"/>
                <w:szCs w:val="16"/>
                <w:lang w:val="es-ES"/>
              </w:rPr>
              <w:t xml:space="preserve"> (la</w:t>
            </w:r>
            <w:r w:rsidRPr="004768D0">
              <w:rPr>
                <w:rFonts w:asciiTheme="majorHAnsi" w:hAnsiTheme="majorHAnsi"/>
                <w:color w:val="000000" w:themeColor="text1"/>
                <w:sz w:val="16"/>
                <w:szCs w:val="16"/>
                <w:lang w:val="es-ES"/>
              </w:rPr>
              <w:t xml:space="preserve"> </w:t>
            </w:r>
            <w:r w:rsidR="007F4608" w:rsidRPr="004768D0">
              <w:rPr>
                <w:rFonts w:asciiTheme="majorHAnsi" w:hAnsiTheme="majorHAnsi"/>
                <w:color w:val="000000" w:themeColor="text1"/>
                <w:sz w:val="16"/>
                <w:szCs w:val="16"/>
                <w:lang w:val="es-ES"/>
              </w:rPr>
              <w:t>madre de</w:t>
            </w:r>
            <w:r w:rsidRPr="004768D0">
              <w:rPr>
                <w:rFonts w:asciiTheme="majorHAnsi" w:hAnsiTheme="majorHAnsi"/>
                <w:color w:val="000000" w:themeColor="text1"/>
                <w:sz w:val="16"/>
                <w:szCs w:val="16"/>
                <w:lang w:val="es-ES"/>
              </w:rPr>
              <w:t xml:space="preserve"> Rogério</w:t>
            </w:r>
            <w:r w:rsidR="00ED1CD4"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 qu</w:t>
            </w:r>
            <w:r w:rsidR="00ED1CD4" w:rsidRPr="004768D0">
              <w:rPr>
                <w:rFonts w:asciiTheme="majorHAnsi" w:hAnsiTheme="majorHAnsi"/>
                <w:color w:val="000000" w:themeColor="text1"/>
                <w:sz w:val="16"/>
                <w:szCs w:val="16"/>
                <w:lang w:val="es-ES"/>
              </w:rPr>
              <w:t>i</w:t>
            </w:r>
            <w:r w:rsidRPr="004768D0">
              <w:rPr>
                <w:rFonts w:asciiTheme="majorHAnsi" w:hAnsiTheme="majorHAnsi"/>
                <w:color w:val="000000" w:themeColor="text1"/>
                <w:sz w:val="16"/>
                <w:szCs w:val="16"/>
                <w:lang w:val="es-ES"/>
              </w:rPr>
              <w:t>e</w:t>
            </w:r>
            <w:r w:rsidR="00ED1CD4"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lang w:val="es-ES"/>
              </w:rPr>
              <w:t>, seg</w:t>
            </w:r>
            <w:r w:rsidR="00ED1CD4" w:rsidRPr="004768D0">
              <w:rPr>
                <w:rFonts w:asciiTheme="majorHAnsi" w:hAnsiTheme="majorHAnsi"/>
                <w:color w:val="000000" w:themeColor="text1"/>
                <w:sz w:val="16"/>
                <w:szCs w:val="16"/>
                <w:lang w:val="es-ES"/>
              </w:rPr>
              <w:t xml:space="preserve">ún relató </w:t>
            </w:r>
            <w:r w:rsidRPr="004768D0">
              <w:rPr>
                <w:rFonts w:asciiTheme="majorHAnsi" w:hAnsiTheme="majorHAnsi"/>
                <w:color w:val="000000" w:themeColor="text1"/>
                <w:sz w:val="16"/>
                <w:szCs w:val="16"/>
                <w:lang w:val="es-ES"/>
              </w:rPr>
              <w:t xml:space="preserve">Rita </w:t>
            </w:r>
            <w:r w:rsidR="00ED1CD4" w:rsidRPr="004768D0">
              <w:rPr>
                <w:rFonts w:asciiTheme="majorHAnsi" w:hAnsiTheme="majorHAnsi"/>
                <w:color w:val="000000" w:themeColor="text1"/>
                <w:sz w:val="16"/>
                <w:szCs w:val="16"/>
                <w:lang w:val="es-ES"/>
              </w:rPr>
              <w:t xml:space="preserve">a la </w:t>
            </w:r>
            <w:r w:rsidR="00323A46" w:rsidRPr="004768D0">
              <w:rPr>
                <w:rFonts w:asciiTheme="majorHAnsi" w:hAnsiTheme="majorHAnsi"/>
                <w:color w:val="000000" w:themeColor="text1"/>
                <w:sz w:val="16"/>
                <w:szCs w:val="16"/>
                <w:lang w:val="es-ES"/>
              </w:rPr>
              <w:t>Comisión</w:t>
            </w:r>
            <w:r w:rsidRPr="004768D0">
              <w:rPr>
                <w:rFonts w:asciiTheme="majorHAnsi" w:hAnsiTheme="majorHAnsi"/>
                <w:color w:val="000000" w:themeColor="text1"/>
                <w:sz w:val="16"/>
                <w:szCs w:val="16"/>
                <w:lang w:val="es-ES"/>
              </w:rPr>
              <w:t xml:space="preserve"> de </w:t>
            </w:r>
            <w:r w:rsidR="00C65DE2" w:rsidRPr="004768D0">
              <w:rPr>
                <w:rFonts w:asciiTheme="majorHAnsi" w:hAnsiTheme="majorHAnsi"/>
                <w:color w:val="000000" w:themeColor="text1"/>
                <w:sz w:val="16"/>
                <w:szCs w:val="16"/>
                <w:lang w:val="es-ES"/>
              </w:rPr>
              <w:t>Justicia</w:t>
            </w:r>
            <w:r w:rsidRPr="004768D0">
              <w:rPr>
                <w:rFonts w:asciiTheme="majorHAnsi" w:hAnsiTheme="majorHAnsi"/>
                <w:color w:val="000000" w:themeColor="text1"/>
                <w:sz w:val="16"/>
                <w:szCs w:val="16"/>
                <w:lang w:val="es-ES"/>
              </w:rPr>
              <w:t xml:space="preserve"> </w:t>
            </w:r>
            <w:r w:rsidR="00ED1CD4"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Paz, </w:t>
            </w:r>
            <w:r w:rsidR="00ED1CD4" w:rsidRPr="004768D0">
              <w:rPr>
                <w:rFonts w:asciiTheme="majorHAnsi" w:hAnsiTheme="majorHAnsi"/>
                <w:color w:val="000000" w:themeColor="text1"/>
                <w:sz w:val="16"/>
                <w:szCs w:val="16"/>
                <w:lang w:val="es-ES"/>
              </w:rPr>
              <w:t>pasaba</w:t>
            </w:r>
            <w:r w:rsidRPr="004768D0">
              <w:rPr>
                <w:rFonts w:asciiTheme="majorHAnsi" w:hAnsiTheme="majorHAnsi"/>
                <w:color w:val="000000" w:themeColor="text1"/>
                <w:sz w:val="16"/>
                <w:szCs w:val="16"/>
                <w:lang w:val="es-ES"/>
              </w:rPr>
              <w:t xml:space="preserve"> </w:t>
            </w:r>
            <w:r w:rsidR="00ED1CD4" w:rsidRPr="004768D0">
              <w:rPr>
                <w:rFonts w:asciiTheme="majorHAnsi" w:hAnsiTheme="majorHAnsi"/>
                <w:color w:val="000000" w:themeColor="text1"/>
                <w:sz w:val="16"/>
                <w:szCs w:val="16"/>
                <w:lang w:val="es-ES"/>
              </w:rPr>
              <w:t xml:space="preserve">por el lugar en el </w:t>
            </w:r>
            <w:r w:rsidRPr="004768D0">
              <w:rPr>
                <w:rFonts w:asciiTheme="majorHAnsi" w:hAnsiTheme="majorHAnsi"/>
                <w:color w:val="000000" w:themeColor="text1"/>
                <w:sz w:val="16"/>
                <w:szCs w:val="16"/>
                <w:lang w:val="es-ES"/>
              </w:rPr>
              <w:t>momento d</w:t>
            </w:r>
            <w:r w:rsidR="00ED1CD4" w:rsidRPr="004768D0">
              <w:rPr>
                <w:rFonts w:asciiTheme="majorHAnsi" w:hAnsiTheme="majorHAnsi"/>
                <w:color w:val="000000" w:themeColor="text1"/>
                <w:sz w:val="16"/>
                <w:szCs w:val="16"/>
                <w:lang w:val="es-ES"/>
              </w:rPr>
              <w:t>e l</w:t>
            </w:r>
            <w:r w:rsidRPr="004768D0">
              <w:rPr>
                <w:rFonts w:asciiTheme="majorHAnsi" w:hAnsiTheme="majorHAnsi"/>
                <w:color w:val="000000" w:themeColor="text1"/>
                <w:sz w:val="16"/>
                <w:szCs w:val="16"/>
                <w:lang w:val="es-ES"/>
              </w:rPr>
              <w:t xml:space="preserve">os </w:t>
            </w:r>
            <w:r w:rsidR="000C0AC4" w:rsidRPr="004768D0">
              <w:rPr>
                <w:rFonts w:asciiTheme="majorHAnsi" w:hAnsiTheme="majorHAnsi"/>
                <w:color w:val="000000" w:themeColor="text1"/>
                <w:sz w:val="16"/>
                <w:szCs w:val="16"/>
                <w:lang w:val="es-ES"/>
              </w:rPr>
              <w:t>hechos</w:t>
            </w:r>
            <w:r w:rsidR="00835C72">
              <w:rPr>
                <w:rFonts w:asciiTheme="majorHAnsi" w:hAnsiTheme="majorHAnsi"/>
                <w:color w:val="000000" w:themeColor="text1"/>
                <w:sz w:val="16"/>
                <w:szCs w:val="16"/>
                <w:lang w:val="es-ES"/>
              </w:rPr>
              <w:t xml:space="preserve">. Maria </w:t>
            </w:r>
            <w:proofErr w:type="spellStart"/>
            <w:r w:rsidR="00835C72">
              <w:rPr>
                <w:rFonts w:asciiTheme="majorHAnsi" w:hAnsiTheme="majorHAnsi"/>
                <w:color w:val="000000" w:themeColor="text1"/>
                <w:sz w:val="16"/>
                <w:szCs w:val="16"/>
                <w:lang w:val="es-ES"/>
              </w:rPr>
              <w:t>Ilza</w:t>
            </w:r>
            <w:proofErr w:type="spellEnd"/>
            <w:r w:rsidR="00ED1CD4" w:rsidRPr="004768D0">
              <w:rPr>
                <w:rFonts w:asciiTheme="majorHAnsi" w:hAnsiTheme="majorHAnsi"/>
                <w:color w:val="000000" w:themeColor="text1"/>
                <w:sz w:val="16"/>
                <w:szCs w:val="16"/>
                <w:lang w:val="es-ES"/>
              </w:rPr>
              <w:t xml:space="preserve"> se escondió detrás de una cabina telefónica, vio a l</w:t>
            </w:r>
            <w:r w:rsidRPr="004768D0">
              <w:rPr>
                <w:rFonts w:asciiTheme="majorHAnsi" w:hAnsiTheme="majorHAnsi"/>
                <w:color w:val="000000" w:themeColor="text1"/>
                <w:sz w:val="16"/>
                <w:szCs w:val="16"/>
                <w:lang w:val="es-ES"/>
              </w:rPr>
              <w:t xml:space="preserve">os pistoleros </w:t>
            </w:r>
            <w:r w:rsidR="00ED1CD4" w:rsidRPr="004768D0">
              <w:rPr>
                <w:rFonts w:asciiTheme="majorHAnsi" w:hAnsiTheme="majorHAnsi"/>
                <w:color w:val="000000" w:themeColor="text1"/>
                <w:sz w:val="16"/>
                <w:szCs w:val="16"/>
                <w:lang w:val="es-ES"/>
              </w:rPr>
              <w:t xml:space="preserve">salir del </w:t>
            </w:r>
            <w:r w:rsidRPr="004768D0">
              <w:rPr>
                <w:rFonts w:asciiTheme="majorHAnsi" w:hAnsiTheme="majorHAnsi"/>
                <w:color w:val="000000" w:themeColor="text1"/>
                <w:sz w:val="16"/>
                <w:szCs w:val="16"/>
                <w:lang w:val="es-ES"/>
              </w:rPr>
              <w:t xml:space="preserve">bar </w:t>
            </w:r>
            <w:r w:rsidR="00ED1CD4" w:rsidRPr="004768D0">
              <w:rPr>
                <w:rFonts w:asciiTheme="majorHAnsi" w:hAnsiTheme="majorHAnsi"/>
                <w:color w:val="000000" w:themeColor="text1"/>
                <w:sz w:val="16"/>
                <w:szCs w:val="16"/>
                <w:lang w:val="es-ES"/>
              </w:rPr>
              <w:t xml:space="preserve">y notó, cuando uno de ellos se quitó la capucha, que tenía </w:t>
            </w:r>
            <w:r w:rsidR="004744F0" w:rsidRPr="004768D0">
              <w:rPr>
                <w:rFonts w:asciiTheme="majorHAnsi" w:hAnsiTheme="majorHAnsi"/>
                <w:color w:val="000000" w:themeColor="text1"/>
                <w:sz w:val="16"/>
                <w:szCs w:val="16"/>
                <w:lang w:val="es-ES"/>
              </w:rPr>
              <w:t>“</w:t>
            </w:r>
            <w:r w:rsidRPr="004768D0">
              <w:rPr>
                <w:rFonts w:asciiTheme="majorHAnsi" w:hAnsiTheme="majorHAnsi"/>
                <w:color w:val="000000" w:themeColor="text1"/>
                <w:sz w:val="16"/>
                <w:szCs w:val="16"/>
                <w:lang w:val="es-ES"/>
              </w:rPr>
              <w:t xml:space="preserve">marcas de </w:t>
            </w:r>
            <w:r w:rsidR="00ED1CD4" w:rsidRPr="004768D0">
              <w:rPr>
                <w:rFonts w:asciiTheme="majorHAnsi" w:hAnsiTheme="majorHAnsi"/>
                <w:color w:val="000000" w:themeColor="text1"/>
                <w:sz w:val="16"/>
                <w:szCs w:val="16"/>
                <w:lang w:val="es-ES"/>
              </w:rPr>
              <w:t>viruela</w:t>
            </w:r>
            <w:r w:rsidR="004744F0" w:rsidRPr="004768D0">
              <w:rPr>
                <w:rFonts w:asciiTheme="majorHAnsi" w:hAnsiTheme="majorHAnsi"/>
                <w:color w:val="000000" w:themeColor="text1"/>
                <w:sz w:val="16"/>
                <w:szCs w:val="16"/>
                <w:lang w:val="es-ES"/>
              </w:rPr>
              <w:t>”</w:t>
            </w:r>
            <w:r w:rsidR="00ED1CD4" w:rsidRPr="004768D0">
              <w:rPr>
                <w:rFonts w:asciiTheme="majorHAnsi" w:hAnsiTheme="majorHAnsi"/>
                <w:color w:val="000000" w:themeColor="text1"/>
                <w:sz w:val="16"/>
                <w:szCs w:val="16"/>
                <w:lang w:val="es-ES"/>
              </w:rPr>
              <w:t xml:space="preserve"> en el rostro</w:t>
            </w:r>
            <w:r w:rsidRPr="004768D0">
              <w:rPr>
                <w:rFonts w:asciiTheme="majorHAnsi" w:hAnsiTheme="majorHAnsi"/>
                <w:color w:val="000000" w:themeColor="text1"/>
                <w:sz w:val="16"/>
                <w:szCs w:val="16"/>
                <w:lang w:val="es-ES"/>
              </w:rPr>
              <w:t xml:space="preserve">. </w:t>
            </w:r>
            <w:r w:rsidR="00CF044D" w:rsidRPr="004768D0">
              <w:rPr>
                <w:rFonts w:asciiTheme="majorHAnsi" w:hAnsiTheme="majorHAnsi"/>
                <w:color w:val="000000" w:themeColor="text1"/>
                <w:sz w:val="16"/>
                <w:szCs w:val="16"/>
                <w:lang w:val="es-ES"/>
              </w:rPr>
              <w:t>La señora</w:t>
            </w:r>
            <w:r w:rsidRPr="004768D0">
              <w:rPr>
                <w:rFonts w:asciiTheme="majorHAnsi" w:hAnsiTheme="majorHAnsi"/>
                <w:color w:val="000000" w:themeColor="text1"/>
                <w:sz w:val="16"/>
                <w:szCs w:val="16"/>
                <w:lang w:val="es-ES"/>
              </w:rPr>
              <w:t xml:space="preserve"> Rita </w:t>
            </w:r>
            <w:r w:rsidR="00ED1CD4" w:rsidRPr="004768D0">
              <w:rPr>
                <w:rFonts w:asciiTheme="majorHAnsi" w:hAnsiTheme="majorHAnsi"/>
                <w:color w:val="000000" w:themeColor="text1"/>
                <w:sz w:val="16"/>
                <w:szCs w:val="16"/>
                <w:lang w:val="es-ES"/>
              </w:rPr>
              <w:t>también</w:t>
            </w:r>
            <w:r w:rsidRPr="004768D0">
              <w:rPr>
                <w:rFonts w:asciiTheme="majorHAnsi" w:hAnsiTheme="majorHAnsi"/>
                <w:color w:val="000000" w:themeColor="text1"/>
                <w:sz w:val="16"/>
                <w:szCs w:val="16"/>
                <w:lang w:val="es-ES"/>
              </w:rPr>
              <w:t xml:space="preserve"> </w:t>
            </w:r>
            <w:r w:rsidR="00ED1CD4" w:rsidRPr="004768D0">
              <w:rPr>
                <w:rFonts w:asciiTheme="majorHAnsi" w:hAnsiTheme="majorHAnsi"/>
                <w:color w:val="000000" w:themeColor="text1"/>
                <w:sz w:val="16"/>
                <w:szCs w:val="16"/>
                <w:lang w:val="es-ES"/>
              </w:rPr>
              <w:t xml:space="preserve">señaló que </w:t>
            </w:r>
            <w:r w:rsidRPr="004768D0">
              <w:rPr>
                <w:rFonts w:asciiTheme="majorHAnsi" w:hAnsiTheme="majorHAnsi"/>
                <w:color w:val="000000" w:themeColor="text1"/>
                <w:sz w:val="16"/>
                <w:szCs w:val="16"/>
                <w:lang w:val="es-ES"/>
              </w:rPr>
              <w:t xml:space="preserve">otra </w:t>
            </w:r>
            <w:r w:rsidR="00ED1CD4" w:rsidRPr="004768D0">
              <w:rPr>
                <w:rFonts w:asciiTheme="majorHAnsi" w:hAnsiTheme="majorHAnsi"/>
                <w:color w:val="000000" w:themeColor="text1"/>
                <w:sz w:val="16"/>
                <w:szCs w:val="16"/>
                <w:lang w:val="es-ES"/>
              </w:rPr>
              <w:t>persona</w:t>
            </w:r>
            <w:r w:rsidRPr="004768D0">
              <w:rPr>
                <w:rFonts w:asciiTheme="majorHAnsi" w:hAnsiTheme="majorHAnsi"/>
                <w:color w:val="000000" w:themeColor="text1"/>
                <w:sz w:val="16"/>
                <w:szCs w:val="16"/>
                <w:lang w:val="es-ES"/>
              </w:rPr>
              <w:t xml:space="preserve"> </w:t>
            </w:r>
            <w:r w:rsidR="00ED1CD4" w:rsidRPr="004768D0">
              <w:rPr>
                <w:rFonts w:asciiTheme="majorHAnsi" w:hAnsiTheme="majorHAnsi"/>
                <w:color w:val="000000" w:themeColor="text1"/>
                <w:sz w:val="16"/>
                <w:szCs w:val="16"/>
                <w:lang w:val="es-ES"/>
              </w:rPr>
              <w:t xml:space="preserve">habría resultado herida en el </w:t>
            </w:r>
            <w:r w:rsidRPr="004768D0">
              <w:rPr>
                <w:rFonts w:asciiTheme="majorHAnsi" w:hAnsiTheme="majorHAnsi"/>
                <w:color w:val="000000" w:themeColor="text1"/>
                <w:sz w:val="16"/>
                <w:szCs w:val="16"/>
                <w:lang w:val="es-ES"/>
              </w:rPr>
              <w:t>momento d</w:t>
            </w:r>
            <w:r w:rsidR="00ED1CD4" w:rsidRPr="004768D0">
              <w:rPr>
                <w:rFonts w:asciiTheme="majorHAnsi" w:hAnsiTheme="majorHAnsi"/>
                <w:color w:val="000000" w:themeColor="text1"/>
                <w:sz w:val="16"/>
                <w:szCs w:val="16"/>
                <w:lang w:val="es-ES"/>
              </w:rPr>
              <w:t>e l</w:t>
            </w:r>
            <w:r w:rsidRPr="004768D0">
              <w:rPr>
                <w:rFonts w:asciiTheme="majorHAnsi" w:hAnsiTheme="majorHAnsi"/>
                <w:color w:val="000000" w:themeColor="text1"/>
                <w:sz w:val="16"/>
                <w:szCs w:val="16"/>
                <w:lang w:val="es-ES"/>
              </w:rPr>
              <w:t xml:space="preserve">os </w:t>
            </w:r>
            <w:r w:rsidR="000C0AC4" w:rsidRPr="004768D0">
              <w:rPr>
                <w:rFonts w:asciiTheme="majorHAnsi" w:hAnsiTheme="majorHAnsi"/>
                <w:color w:val="000000" w:themeColor="text1"/>
                <w:sz w:val="16"/>
                <w:szCs w:val="16"/>
                <w:lang w:val="es-ES"/>
              </w:rPr>
              <w:t>hechos</w:t>
            </w:r>
            <w:r w:rsidRPr="004768D0">
              <w:rPr>
                <w:rFonts w:asciiTheme="majorHAnsi" w:hAnsiTheme="majorHAnsi"/>
                <w:color w:val="000000" w:themeColor="text1"/>
                <w:sz w:val="16"/>
                <w:szCs w:val="16"/>
                <w:lang w:val="es-ES"/>
              </w:rPr>
              <w:t xml:space="preserve"> </w:t>
            </w:r>
            <w:r w:rsidR="00ED1CD4" w:rsidRPr="004768D0">
              <w:rPr>
                <w:rFonts w:asciiTheme="majorHAnsi" w:hAnsiTheme="majorHAnsi"/>
                <w:color w:val="000000" w:themeColor="text1"/>
                <w:sz w:val="16"/>
                <w:szCs w:val="16"/>
                <w:lang w:val="es-ES"/>
              </w:rPr>
              <w:t>y habría</w:t>
            </w:r>
            <w:r w:rsidRPr="004768D0">
              <w:rPr>
                <w:rFonts w:asciiTheme="majorHAnsi" w:hAnsiTheme="majorHAnsi"/>
                <w:color w:val="000000" w:themeColor="text1"/>
                <w:sz w:val="16"/>
                <w:szCs w:val="16"/>
                <w:lang w:val="es-ES"/>
              </w:rPr>
              <w:t xml:space="preserve"> sobrevivido</w:t>
            </w:r>
            <w:r w:rsidR="00113C3D" w:rsidRPr="004768D0">
              <w:rPr>
                <w:rFonts w:asciiTheme="majorHAnsi" w:hAnsiTheme="majorHAnsi"/>
                <w:color w:val="000000" w:themeColor="text1"/>
                <w:sz w:val="16"/>
                <w:szCs w:val="16"/>
                <w:lang w:val="es-ES"/>
              </w:rPr>
              <w:t xml:space="preserve">. En el </w:t>
            </w:r>
            <w:r w:rsidR="001F69B8" w:rsidRPr="004768D0">
              <w:rPr>
                <w:rFonts w:asciiTheme="majorHAnsi" w:hAnsiTheme="majorHAnsi"/>
                <w:color w:val="000000" w:themeColor="text1"/>
                <w:sz w:val="16"/>
                <w:szCs w:val="16"/>
                <w:lang w:val="es-ES"/>
              </w:rPr>
              <w:t>informe</w:t>
            </w:r>
            <w:r w:rsidRPr="004768D0">
              <w:rPr>
                <w:rFonts w:asciiTheme="majorHAnsi" w:hAnsiTheme="majorHAnsi"/>
                <w:color w:val="000000" w:themeColor="text1"/>
                <w:sz w:val="16"/>
                <w:szCs w:val="16"/>
                <w:lang w:val="es-ES"/>
              </w:rPr>
              <w:t xml:space="preserve"> d</w:t>
            </w:r>
            <w:r w:rsidR="00113C3D" w:rsidRPr="004768D0">
              <w:rPr>
                <w:rFonts w:asciiTheme="majorHAnsi" w:hAnsiTheme="majorHAnsi"/>
                <w:color w:val="000000" w:themeColor="text1"/>
                <w:sz w:val="16"/>
                <w:szCs w:val="16"/>
                <w:lang w:val="es-ES"/>
              </w:rPr>
              <w:t xml:space="preserve">el jefe de policía a cargo de la </w:t>
            </w:r>
            <w:r w:rsidR="00C03E33" w:rsidRPr="004768D0">
              <w:rPr>
                <w:rFonts w:asciiTheme="majorHAnsi" w:hAnsiTheme="majorHAnsi"/>
                <w:color w:val="000000" w:themeColor="text1"/>
                <w:sz w:val="16"/>
                <w:szCs w:val="16"/>
                <w:lang w:val="es-ES"/>
              </w:rPr>
              <w:t>investigación</w:t>
            </w:r>
            <w:r w:rsidRPr="004768D0">
              <w:rPr>
                <w:rFonts w:asciiTheme="majorHAnsi" w:hAnsiTheme="majorHAnsi"/>
                <w:color w:val="000000" w:themeColor="text1"/>
                <w:sz w:val="16"/>
                <w:szCs w:val="16"/>
                <w:lang w:val="es-ES"/>
              </w:rPr>
              <w:t xml:space="preserve">, de </w:t>
            </w:r>
            <w:r w:rsidR="007F4608" w:rsidRPr="004768D0">
              <w:rPr>
                <w:rFonts w:asciiTheme="majorHAnsi" w:hAnsiTheme="majorHAnsi"/>
                <w:color w:val="000000" w:themeColor="text1"/>
                <w:sz w:val="16"/>
                <w:szCs w:val="16"/>
                <w:lang w:val="es-ES"/>
              </w:rPr>
              <w:t>julio</w:t>
            </w:r>
            <w:r w:rsidRPr="004768D0">
              <w:rPr>
                <w:rFonts w:asciiTheme="majorHAnsi" w:hAnsiTheme="majorHAnsi"/>
                <w:color w:val="000000" w:themeColor="text1"/>
                <w:sz w:val="16"/>
                <w:szCs w:val="16"/>
                <w:lang w:val="es-ES"/>
              </w:rPr>
              <w:t xml:space="preserve"> de 2007, </w:t>
            </w:r>
            <w:r w:rsidR="000D0997" w:rsidRPr="004768D0">
              <w:rPr>
                <w:rFonts w:asciiTheme="majorHAnsi" w:hAnsiTheme="majorHAnsi"/>
                <w:color w:val="000000" w:themeColor="text1"/>
                <w:sz w:val="16"/>
                <w:szCs w:val="16"/>
                <w:lang w:val="es-ES"/>
              </w:rPr>
              <w:t>tampoco</w:t>
            </w:r>
            <w:r w:rsidRPr="004768D0">
              <w:rPr>
                <w:rFonts w:asciiTheme="majorHAnsi" w:hAnsiTheme="majorHAnsi"/>
                <w:color w:val="000000" w:themeColor="text1"/>
                <w:sz w:val="16"/>
                <w:szCs w:val="16"/>
                <w:lang w:val="es-ES"/>
              </w:rPr>
              <w:t xml:space="preserve"> </w:t>
            </w:r>
            <w:r w:rsidR="00113C3D" w:rsidRPr="004768D0">
              <w:rPr>
                <w:rFonts w:asciiTheme="majorHAnsi" w:hAnsiTheme="majorHAnsi"/>
                <w:color w:val="000000" w:themeColor="text1"/>
                <w:sz w:val="16"/>
                <w:szCs w:val="16"/>
                <w:lang w:val="es-ES"/>
              </w:rPr>
              <w:t xml:space="preserve">se </w:t>
            </w:r>
            <w:r w:rsidRPr="004768D0">
              <w:rPr>
                <w:rFonts w:asciiTheme="majorHAnsi" w:hAnsiTheme="majorHAnsi"/>
                <w:color w:val="000000" w:themeColor="text1"/>
                <w:sz w:val="16"/>
                <w:szCs w:val="16"/>
                <w:lang w:val="es-ES"/>
              </w:rPr>
              <w:t>menciona es</w:t>
            </w:r>
            <w:r w:rsidR="00113C3D" w:rsidRPr="004768D0">
              <w:rPr>
                <w:rFonts w:asciiTheme="majorHAnsi" w:hAnsiTheme="majorHAnsi"/>
                <w:color w:val="000000" w:themeColor="text1"/>
                <w:sz w:val="16"/>
                <w:szCs w:val="16"/>
                <w:lang w:val="es-ES"/>
              </w:rPr>
              <w:t>e dato</w:t>
            </w:r>
            <w:r w:rsidRPr="004768D0">
              <w:rPr>
                <w:rFonts w:asciiTheme="majorHAnsi" w:hAnsiTheme="majorHAnsi"/>
                <w:color w:val="000000" w:themeColor="text1"/>
                <w:sz w:val="16"/>
                <w:szCs w:val="16"/>
                <w:lang w:val="es-ES"/>
              </w:rPr>
              <w:t>.</w:t>
            </w:r>
          </w:p>
          <w:p w14:paraId="15AE65F1" w14:textId="77777777" w:rsidR="001E7F07" w:rsidRPr="004768D0" w:rsidRDefault="00113C3D"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El </w:t>
            </w:r>
            <w:r w:rsidR="001E7F07" w:rsidRPr="004768D0">
              <w:rPr>
                <w:rFonts w:asciiTheme="majorHAnsi" w:hAnsiTheme="majorHAnsi"/>
                <w:color w:val="000000" w:themeColor="text1"/>
                <w:sz w:val="16"/>
                <w:szCs w:val="16"/>
                <w:lang w:val="es-ES"/>
              </w:rPr>
              <w:t xml:space="preserve">17 de </w:t>
            </w:r>
            <w:r w:rsidR="007F4608" w:rsidRPr="004768D0">
              <w:rPr>
                <w:rFonts w:asciiTheme="majorHAnsi" w:hAnsiTheme="majorHAnsi"/>
                <w:color w:val="000000" w:themeColor="text1"/>
                <w:sz w:val="16"/>
                <w:szCs w:val="16"/>
                <w:lang w:val="es-ES"/>
              </w:rPr>
              <w:t>marzo</w:t>
            </w:r>
            <w:r w:rsidR="001E7F07" w:rsidRPr="004768D0">
              <w:rPr>
                <w:rFonts w:asciiTheme="majorHAnsi" w:hAnsiTheme="majorHAnsi"/>
                <w:color w:val="000000" w:themeColor="text1"/>
                <w:sz w:val="16"/>
                <w:szCs w:val="16"/>
                <w:lang w:val="es-ES"/>
              </w:rPr>
              <w:t xml:space="preserve"> de 2007, </w:t>
            </w:r>
            <w:r w:rsidRPr="004768D0">
              <w:rPr>
                <w:rFonts w:asciiTheme="majorHAnsi" w:hAnsiTheme="majorHAnsi"/>
                <w:color w:val="000000" w:themeColor="text1"/>
                <w:sz w:val="16"/>
                <w:szCs w:val="16"/>
                <w:lang w:val="es-ES"/>
              </w:rPr>
              <w:t xml:space="preserve">fecha de la </w:t>
            </w:r>
            <w:r w:rsidR="00372008" w:rsidRPr="004768D0">
              <w:rPr>
                <w:rFonts w:asciiTheme="majorHAnsi" w:hAnsiTheme="majorHAnsi"/>
                <w:color w:val="000000" w:themeColor="text1"/>
                <w:sz w:val="16"/>
                <w:szCs w:val="16"/>
                <w:lang w:val="es-ES"/>
              </w:rPr>
              <w:t>muerte de</w:t>
            </w:r>
            <w:r w:rsidR="001E7F07" w:rsidRPr="004768D0">
              <w:rPr>
                <w:rFonts w:asciiTheme="majorHAnsi" w:hAnsiTheme="majorHAnsi"/>
                <w:color w:val="000000" w:themeColor="text1"/>
                <w:sz w:val="16"/>
                <w:szCs w:val="16"/>
                <w:lang w:val="es-ES"/>
              </w:rPr>
              <w:t xml:space="preserve"> Rogério, u</w:t>
            </w:r>
            <w:r w:rsidRPr="004768D0">
              <w:rPr>
                <w:rFonts w:asciiTheme="majorHAnsi" w:hAnsiTheme="majorHAnsi"/>
                <w:color w:val="000000" w:themeColor="text1"/>
                <w:sz w:val="16"/>
                <w:szCs w:val="16"/>
                <w:lang w:val="es-ES"/>
              </w:rPr>
              <w:t>n</w:t>
            </w:r>
            <w:r w:rsidR="001E7F07" w:rsidRPr="004768D0">
              <w:rPr>
                <w:rFonts w:asciiTheme="majorHAnsi" w:hAnsiTheme="majorHAnsi"/>
                <w:color w:val="000000" w:themeColor="text1"/>
                <w:sz w:val="16"/>
                <w:szCs w:val="16"/>
                <w:lang w:val="es-ES"/>
              </w:rPr>
              <w:t>a hora antes</w:t>
            </w:r>
            <w:r w:rsidRPr="004768D0">
              <w:rPr>
                <w:rFonts w:asciiTheme="majorHAnsi" w:hAnsiTheme="majorHAnsi"/>
                <w:color w:val="000000" w:themeColor="text1"/>
                <w:sz w:val="16"/>
                <w:szCs w:val="16"/>
                <w:lang w:val="es-ES"/>
              </w:rPr>
              <w:t xml:space="preserve">, el señor </w:t>
            </w:r>
            <w:proofErr w:type="spellStart"/>
            <w:r w:rsidR="001E7F07" w:rsidRPr="004768D0">
              <w:rPr>
                <w:rFonts w:asciiTheme="majorHAnsi" w:hAnsiTheme="majorHAnsi"/>
                <w:color w:val="000000" w:themeColor="text1"/>
                <w:sz w:val="16"/>
                <w:szCs w:val="16"/>
                <w:lang w:val="es-ES"/>
              </w:rPr>
              <w:t>Ademário</w:t>
            </w:r>
            <w:proofErr w:type="spellEnd"/>
            <w:r w:rsidR="001E7F07" w:rsidRPr="004768D0">
              <w:rPr>
                <w:rFonts w:asciiTheme="majorHAnsi" w:hAnsiTheme="majorHAnsi"/>
                <w:color w:val="000000" w:themeColor="text1"/>
                <w:sz w:val="16"/>
                <w:szCs w:val="16"/>
                <w:lang w:val="es-ES"/>
              </w:rPr>
              <w:t xml:space="preserve"> Santana Júnior f</w:t>
            </w:r>
            <w:r w:rsidRPr="004768D0">
              <w:rPr>
                <w:rFonts w:asciiTheme="majorHAnsi" w:hAnsiTheme="majorHAnsi"/>
                <w:color w:val="000000" w:themeColor="text1"/>
                <w:sz w:val="16"/>
                <w:szCs w:val="16"/>
                <w:lang w:val="es-ES"/>
              </w:rPr>
              <w:t>ue</w:t>
            </w:r>
            <w:r w:rsidR="001E7F07" w:rsidRPr="004768D0">
              <w:rPr>
                <w:rFonts w:asciiTheme="majorHAnsi" w:hAnsiTheme="majorHAnsi"/>
                <w:color w:val="000000" w:themeColor="text1"/>
                <w:sz w:val="16"/>
                <w:szCs w:val="16"/>
                <w:lang w:val="es-ES"/>
              </w:rPr>
              <w:t xml:space="preserve"> baleado </w:t>
            </w:r>
            <w:r w:rsidRPr="004768D0">
              <w:rPr>
                <w:rFonts w:asciiTheme="majorHAnsi" w:hAnsiTheme="majorHAnsi"/>
                <w:color w:val="000000" w:themeColor="text1"/>
                <w:sz w:val="16"/>
                <w:szCs w:val="16"/>
                <w:lang w:val="es-ES"/>
              </w:rPr>
              <w:t>cerca del</w:t>
            </w:r>
            <w:r w:rsidR="001E7F07" w:rsidRPr="004768D0">
              <w:rPr>
                <w:rFonts w:asciiTheme="majorHAnsi" w:hAnsiTheme="majorHAnsi"/>
                <w:color w:val="000000" w:themeColor="text1"/>
                <w:sz w:val="16"/>
                <w:szCs w:val="16"/>
                <w:lang w:val="es-ES"/>
              </w:rPr>
              <w:t xml:space="preserve"> </w:t>
            </w:r>
            <w:r w:rsidR="004744F0" w:rsidRPr="004768D0">
              <w:rPr>
                <w:rFonts w:asciiTheme="majorHAnsi" w:hAnsiTheme="majorHAnsi"/>
                <w:color w:val="000000" w:themeColor="text1"/>
                <w:sz w:val="16"/>
                <w:szCs w:val="16"/>
                <w:lang w:val="es-ES"/>
              </w:rPr>
              <w:t>“</w:t>
            </w:r>
            <w:proofErr w:type="spellStart"/>
            <w:r w:rsidR="001E7F07" w:rsidRPr="004768D0">
              <w:rPr>
                <w:rFonts w:asciiTheme="majorHAnsi" w:hAnsiTheme="majorHAnsi"/>
                <w:color w:val="000000" w:themeColor="text1"/>
                <w:sz w:val="16"/>
                <w:szCs w:val="16"/>
                <w:lang w:val="es-ES"/>
              </w:rPr>
              <w:t>Diva</w:t>
            </w:r>
            <w:r w:rsidR="005C2C65">
              <w:rPr>
                <w:rFonts w:asciiTheme="majorHAnsi" w:hAnsiTheme="majorHAnsi"/>
                <w:color w:val="000000" w:themeColor="text1"/>
                <w:sz w:val="16"/>
                <w:szCs w:val="16"/>
                <w:lang w:val="es-ES"/>
              </w:rPr>
              <w:t>’</w:t>
            </w:r>
            <w:r w:rsidR="001E7F07" w:rsidRPr="004768D0">
              <w:rPr>
                <w:rFonts w:asciiTheme="majorHAnsi" w:hAnsiTheme="majorHAnsi"/>
                <w:color w:val="000000" w:themeColor="text1"/>
                <w:sz w:val="16"/>
                <w:szCs w:val="16"/>
                <w:lang w:val="es-ES"/>
              </w:rPr>
              <w:t>s</w:t>
            </w:r>
            <w:proofErr w:type="spellEnd"/>
            <w:r w:rsidR="001E7F07" w:rsidRPr="004768D0">
              <w:rPr>
                <w:rFonts w:asciiTheme="majorHAnsi" w:hAnsiTheme="majorHAnsi"/>
                <w:color w:val="000000" w:themeColor="text1"/>
                <w:sz w:val="16"/>
                <w:szCs w:val="16"/>
                <w:lang w:val="es-ES"/>
              </w:rPr>
              <w:t xml:space="preserve"> Bar</w:t>
            </w:r>
            <w:r w:rsidR="004744F0" w:rsidRPr="004768D0">
              <w:rPr>
                <w:rFonts w:asciiTheme="majorHAnsi" w:hAnsiTheme="majorHAnsi"/>
                <w:color w:val="000000" w:themeColor="text1"/>
                <w:sz w:val="16"/>
                <w:szCs w:val="16"/>
                <w:lang w:val="es-ES"/>
              </w:rPr>
              <w:t>”</w:t>
            </w:r>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también</w:t>
            </w:r>
            <w:r w:rsidR="001E7F07" w:rsidRPr="004768D0">
              <w:rPr>
                <w:rFonts w:asciiTheme="majorHAnsi" w:hAnsiTheme="majorHAnsi"/>
                <w:color w:val="000000" w:themeColor="text1"/>
                <w:sz w:val="16"/>
                <w:szCs w:val="16"/>
                <w:lang w:val="es-ES"/>
              </w:rPr>
              <w:t xml:space="preserve"> por moto</w:t>
            </w:r>
            <w:r w:rsidRPr="004768D0">
              <w:rPr>
                <w:rFonts w:asciiTheme="majorHAnsi" w:hAnsiTheme="majorHAnsi"/>
                <w:color w:val="000000" w:themeColor="text1"/>
                <w:sz w:val="16"/>
                <w:szCs w:val="16"/>
                <w:lang w:val="es-ES"/>
              </w:rPr>
              <w:t>ciclistas</w:t>
            </w:r>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El fiscal que tuvo a su cargo los dos </w:t>
            </w:r>
            <w:r w:rsidR="001E7F07" w:rsidRPr="004768D0">
              <w:rPr>
                <w:rFonts w:asciiTheme="majorHAnsi" w:hAnsiTheme="majorHAnsi"/>
                <w:color w:val="000000" w:themeColor="text1"/>
                <w:sz w:val="16"/>
                <w:szCs w:val="16"/>
                <w:lang w:val="es-ES"/>
              </w:rPr>
              <w:t xml:space="preserve">atentados </w:t>
            </w:r>
            <w:r w:rsidRPr="00835C72">
              <w:rPr>
                <w:rFonts w:asciiTheme="majorHAnsi" w:hAnsiTheme="majorHAnsi"/>
                <w:color w:val="000000" w:themeColor="text1"/>
                <w:sz w:val="16"/>
                <w:szCs w:val="16"/>
                <w:lang w:val="es-ES"/>
              </w:rPr>
              <w:t>—</w:t>
            </w:r>
            <w:r w:rsidR="001E7F07" w:rsidRPr="004768D0">
              <w:rPr>
                <w:rFonts w:asciiTheme="majorHAnsi" w:hAnsiTheme="majorHAnsi"/>
                <w:color w:val="000000" w:themeColor="text1"/>
                <w:sz w:val="16"/>
                <w:szCs w:val="16"/>
                <w:lang w:val="es-ES"/>
              </w:rPr>
              <w:t xml:space="preserve">contra </w:t>
            </w:r>
            <w:proofErr w:type="spellStart"/>
            <w:r w:rsidR="001E7F07" w:rsidRPr="004768D0">
              <w:rPr>
                <w:rFonts w:asciiTheme="majorHAnsi" w:hAnsiTheme="majorHAnsi"/>
                <w:color w:val="000000" w:themeColor="text1"/>
                <w:sz w:val="16"/>
                <w:szCs w:val="16"/>
                <w:lang w:val="es-ES"/>
              </w:rPr>
              <w:t>Rogério</w:t>
            </w:r>
            <w:proofErr w:type="spellEnd"/>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y</w:t>
            </w:r>
            <w:r w:rsidR="001E7F07" w:rsidRPr="004768D0">
              <w:rPr>
                <w:rFonts w:asciiTheme="majorHAnsi" w:hAnsiTheme="majorHAnsi"/>
                <w:color w:val="000000" w:themeColor="text1"/>
                <w:sz w:val="16"/>
                <w:szCs w:val="16"/>
                <w:lang w:val="es-ES"/>
              </w:rPr>
              <w:t xml:space="preserve"> contra </w:t>
            </w:r>
            <w:proofErr w:type="spellStart"/>
            <w:r w:rsidR="001E7F07" w:rsidRPr="004768D0">
              <w:rPr>
                <w:rFonts w:asciiTheme="majorHAnsi" w:hAnsiTheme="majorHAnsi"/>
                <w:color w:val="000000" w:themeColor="text1"/>
                <w:sz w:val="16"/>
                <w:szCs w:val="16"/>
                <w:lang w:val="es-ES"/>
              </w:rPr>
              <w:t>Ademário</w:t>
            </w:r>
            <w:proofErr w:type="spellEnd"/>
            <w:r w:rsidRPr="00835C72">
              <w:rPr>
                <w:rFonts w:asciiTheme="majorHAnsi" w:hAnsiTheme="majorHAnsi"/>
                <w:color w:val="000000" w:themeColor="text1"/>
                <w:sz w:val="16"/>
                <w:szCs w:val="16"/>
                <w:lang w:val="es-ES"/>
              </w:rPr>
              <w:t>—</w:t>
            </w:r>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consideró</w:t>
            </w:r>
            <w:r w:rsidR="001E7F07" w:rsidRPr="004768D0">
              <w:rPr>
                <w:rFonts w:asciiTheme="majorHAnsi" w:hAnsiTheme="majorHAnsi"/>
                <w:color w:val="000000" w:themeColor="text1"/>
                <w:sz w:val="16"/>
                <w:szCs w:val="16"/>
                <w:lang w:val="es-ES"/>
              </w:rPr>
              <w:t xml:space="preserve"> que ambos t</w:t>
            </w:r>
            <w:r w:rsidRPr="004768D0">
              <w:rPr>
                <w:rFonts w:asciiTheme="majorHAnsi" w:hAnsiTheme="majorHAnsi"/>
                <w:color w:val="000000" w:themeColor="text1"/>
                <w:sz w:val="16"/>
                <w:szCs w:val="16"/>
                <w:lang w:val="es-ES"/>
              </w:rPr>
              <w:t xml:space="preserve">uvieron o siguieron “el mismo </w:t>
            </w:r>
            <w:r w:rsidR="001E7F07" w:rsidRPr="004768D0">
              <w:rPr>
                <w:rFonts w:asciiTheme="majorHAnsi" w:hAnsiTheme="majorHAnsi"/>
                <w:color w:val="000000" w:themeColor="text1"/>
                <w:sz w:val="16"/>
                <w:szCs w:val="16"/>
                <w:lang w:val="es-ES"/>
              </w:rPr>
              <w:t>modus operandi</w:t>
            </w:r>
            <w:r w:rsidR="004744F0" w:rsidRPr="004768D0">
              <w:rPr>
                <w:rFonts w:asciiTheme="majorHAnsi" w:hAnsiTheme="majorHAnsi"/>
                <w:color w:val="000000" w:themeColor="text1"/>
                <w:sz w:val="16"/>
                <w:szCs w:val="16"/>
                <w:lang w:val="es-ES"/>
              </w:rPr>
              <w:t>”</w:t>
            </w:r>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El </w:t>
            </w:r>
            <w:r w:rsidR="001E7F07" w:rsidRPr="004768D0">
              <w:rPr>
                <w:rFonts w:asciiTheme="majorHAnsi" w:hAnsiTheme="majorHAnsi"/>
                <w:color w:val="000000" w:themeColor="text1"/>
                <w:sz w:val="16"/>
                <w:szCs w:val="16"/>
                <w:lang w:val="es-ES"/>
              </w:rPr>
              <w:t xml:space="preserve">caso de </w:t>
            </w:r>
            <w:proofErr w:type="spellStart"/>
            <w:r w:rsidR="001E7F07" w:rsidRPr="004768D0">
              <w:rPr>
                <w:rFonts w:asciiTheme="majorHAnsi" w:hAnsiTheme="majorHAnsi"/>
                <w:color w:val="000000" w:themeColor="text1"/>
                <w:sz w:val="16"/>
                <w:szCs w:val="16"/>
                <w:lang w:val="es-ES"/>
              </w:rPr>
              <w:t>Ademário</w:t>
            </w:r>
            <w:proofErr w:type="spellEnd"/>
            <w:r w:rsidR="001E7F07" w:rsidRPr="004768D0">
              <w:rPr>
                <w:rFonts w:asciiTheme="majorHAnsi" w:hAnsiTheme="majorHAnsi"/>
                <w:color w:val="000000" w:themeColor="text1"/>
                <w:sz w:val="16"/>
                <w:szCs w:val="16"/>
                <w:lang w:val="es-ES"/>
              </w:rPr>
              <w:t xml:space="preserve"> f</w:t>
            </w:r>
            <w:r w:rsidRPr="004768D0">
              <w:rPr>
                <w:rFonts w:asciiTheme="majorHAnsi" w:hAnsiTheme="majorHAnsi"/>
                <w:color w:val="000000" w:themeColor="text1"/>
                <w:sz w:val="16"/>
                <w:szCs w:val="16"/>
                <w:lang w:val="es-ES"/>
              </w:rPr>
              <w:t xml:space="preserve">ue objeto de la </w:t>
            </w:r>
            <w:r w:rsidR="00C03E33" w:rsidRPr="004768D0">
              <w:rPr>
                <w:rFonts w:asciiTheme="majorHAnsi" w:hAnsiTheme="majorHAnsi"/>
                <w:color w:val="000000" w:themeColor="text1"/>
                <w:sz w:val="16"/>
                <w:szCs w:val="16"/>
                <w:lang w:val="es-ES"/>
              </w:rPr>
              <w:t>investigación</w:t>
            </w:r>
            <w:r w:rsidR="001E7F07" w:rsidRPr="004768D0">
              <w:rPr>
                <w:rFonts w:asciiTheme="majorHAnsi" w:hAnsiTheme="majorHAnsi"/>
                <w:color w:val="000000" w:themeColor="text1"/>
                <w:sz w:val="16"/>
                <w:szCs w:val="16"/>
                <w:lang w:val="es-ES"/>
              </w:rPr>
              <w:t xml:space="preserve"> policial </w:t>
            </w:r>
            <w:proofErr w:type="spellStart"/>
            <w:r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vertAlign w:val="superscript"/>
                <w:lang w:val="es-ES"/>
              </w:rPr>
              <w:t>o</w:t>
            </w:r>
            <w:proofErr w:type="spellEnd"/>
            <w:r w:rsidR="001E7F07" w:rsidRPr="004768D0">
              <w:rPr>
                <w:rFonts w:asciiTheme="majorHAnsi" w:hAnsiTheme="majorHAnsi"/>
                <w:color w:val="000000" w:themeColor="text1"/>
                <w:sz w:val="16"/>
                <w:szCs w:val="16"/>
                <w:lang w:val="es-ES"/>
              </w:rPr>
              <w:t xml:space="preserve"> 120/07, </w:t>
            </w:r>
            <w:r w:rsidRPr="004768D0">
              <w:rPr>
                <w:rFonts w:asciiTheme="majorHAnsi" w:hAnsiTheme="majorHAnsi"/>
                <w:color w:val="000000" w:themeColor="text1"/>
                <w:sz w:val="16"/>
                <w:szCs w:val="16"/>
                <w:lang w:val="es-ES"/>
              </w:rPr>
              <w:t xml:space="preserve">en cuyo expediente consta la declaración de </w:t>
            </w:r>
            <w:proofErr w:type="spellStart"/>
            <w:r w:rsidR="001E7F07" w:rsidRPr="004768D0">
              <w:rPr>
                <w:rFonts w:asciiTheme="majorHAnsi" w:hAnsiTheme="majorHAnsi"/>
                <w:color w:val="000000" w:themeColor="text1"/>
                <w:sz w:val="16"/>
                <w:szCs w:val="16"/>
                <w:lang w:val="es-ES"/>
              </w:rPr>
              <w:t>Ademário</w:t>
            </w:r>
            <w:proofErr w:type="spellEnd"/>
            <w:r w:rsidR="001E7F07" w:rsidRPr="004768D0">
              <w:rPr>
                <w:rFonts w:asciiTheme="majorHAnsi" w:hAnsiTheme="majorHAnsi"/>
                <w:color w:val="000000" w:themeColor="text1"/>
                <w:sz w:val="16"/>
                <w:szCs w:val="16"/>
                <w:lang w:val="es-ES"/>
              </w:rPr>
              <w:t>, que no p</w:t>
            </w:r>
            <w:r w:rsidRPr="004768D0">
              <w:rPr>
                <w:rFonts w:asciiTheme="majorHAnsi" w:hAnsiTheme="majorHAnsi"/>
                <w:color w:val="000000" w:themeColor="text1"/>
                <w:sz w:val="16"/>
                <w:szCs w:val="16"/>
                <w:lang w:val="es-ES"/>
              </w:rPr>
              <w:t>udo</w:t>
            </w:r>
            <w:r w:rsidR="001E7F07" w:rsidRPr="004768D0">
              <w:rPr>
                <w:rFonts w:asciiTheme="majorHAnsi" w:hAnsiTheme="majorHAnsi"/>
                <w:color w:val="000000" w:themeColor="text1"/>
                <w:sz w:val="16"/>
                <w:szCs w:val="16"/>
                <w:lang w:val="es-ES"/>
              </w:rPr>
              <w:t xml:space="preserve"> identificar </w:t>
            </w:r>
            <w:r w:rsidRPr="004768D0">
              <w:rPr>
                <w:rFonts w:asciiTheme="majorHAnsi" w:hAnsiTheme="majorHAnsi"/>
                <w:color w:val="000000" w:themeColor="text1"/>
                <w:sz w:val="16"/>
                <w:szCs w:val="16"/>
                <w:lang w:val="es-ES"/>
              </w:rPr>
              <w:t>a l</w:t>
            </w:r>
            <w:r w:rsidR="001E7F07" w:rsidRPr="004768D0">
              <w:rPr>
                <w:rFonts w:asciiTheme="majorHAnsi" w:hAnsiTheme="majorHAnsi"/>
                <w:color w:val="000000" w:themeColor="text1"/>
                <w:sz w:val="16"/>
                <w:szCs w:val="16"/>
                <w:lang w:val="es-ES"/>
              </w:rPr>
              <w:t>os autores</w:t>
            </w:r>
            <w:r w:rsidRPr="004768D0">
              <w:rPr>
                <w:rFonts w:asciiTheme="majorHAnsi" w:hAnsiTheme="majorHAnsi"/>
                <w:color w:val="000000" w:themeColor="text1"/>
                <w:sz w:val="16"/>
                <w:szCs w:val="16"/>
                <w:lang w:val="es-ES"/>
              </w:rPr>
              <w:t xml:space="preserve"> porque llevaban casco. A pesar de las similitudes entre diversos </w:t>
            </w:r>
            <w:r w:rsidR="001E7F07" w:rsidRPr="004768D0">
              <w:rPr>
                <w:rFonts w:asciiTheme="majorHAnsi" w:hAnsiTheme="majorHAnsi"/>
                <w:color w:val="000000" w:themeColor="text1"/>
                <w:sz w:val="16"/>
                <w:szCs w:val="16"/>
                <w:lang w:val="es-ES"/>
              </w:rPr>
              <w:t>atentados armados e</w:t>
            </w:r>
            <w:r w:rsidRPr="004768D0">
              <w:rPr>
                <w:rFonts w:asciiTheme="majorHAnsi" w:hAnsiTheme="majorHAnsi"/>
                <w:color w:val="000000" w:themeColor="text1"/>
                <w:sz w:val="16"/>
                <w:szCs w:val="16"/>
                <w:lang w:val="es-ES"/>
              </w:rPr>
              <w:t>n</w:t>
            </w:r>
            <w:r w:rsidR="001E7F07" w:rsidRPr="004768D0">
              <w:rPr>
                <w:rFonts w:asciiTheme="majorHAnsi" w:hAnsiTheme="majorHAnsi"/>
                <w:color w:val="000000" w:themeColor="text1"/>
                <w:sz w:val="16"/>
                <w:szCs w:val="16"/>
                <w:lang w:val="es-ES"/>
              </w:rPr>
              <w:t xml:space="preserve"> Santos, inclui</w:t>
            </w:r>
            <w:r w:rsidRPr="004768D0">
              <w:rPr>
                <w:rFonts w:asciiTheme="majorHAnsi" w:hAnsiTheme="majorHAnsi"/>
                <w:color w:val="000000" w:themeColor="text1"/>
                <w:sz w:val="16"/>
                <w:szCs w:val="16"/>
                <w:lang w:val="es-ES"/>
              </w:rPr>
              <w:t>dos l</w:t>
            </w:r>
            <w:r w:rsidR="001E7F07" w:rsidRPr="004768D0">
              <w:rPr>
                <w:rFonts w:asciiTheme="majorHAnsi" w:hAnsiTheme="majorHAnsi"/>
                <w:color w:val="000000" w:themeColor="text1"/>
                <w:sz w:val="16"/>
                <w:szCs w:val="16"/>
                <w:lang w:val="es-ES"/>
              </w:rPr>
              <w:t xml:space="preserve">os </w:t>
            </w:r>
            <w:r w:rsidRPr="004768D0">
              <w:rPr>
                <w:rFonts w:asciiTheme="majorHAnsi" w:hAnsiTheme="majorHAnsi"/>
                <w:color w:val="000000" w:themeColor="text1"/>
                <w:sz w:val="16"/>
                <w:szCs w:val="16"/>
                <w:lang w:val="es-ES"/>
              </w:rPr>
              <w:t xml:space="preserve">antedichos </w:t>
            </w:r>
            <w:r w:rsidR="001E7F07" w:rsidRPr="004768D0">
              <w:rPr>
                <w:rFonts w:asciiTheme="majorHAnsi" w:hAnsiTheme="majorHAnsi"/>
                <w:color w:val="000000" w:themeColor="text1"/>
                <w:sz w:val="16"/>
                <w:szCs w:val="16"/>
                <w:lang w:val="es-ES"/>
              </w:rPr>
              <w:t xml:space="preserve">contra </w:t>
            </w:r>
            <w:proofErr w:type="spellStart"/>
            <w:r w:rsidR="001E7F07" w:rsidRPr="004768D0">
              <w:rPr>
                <w:rFonts w:asciiTheme="majorHAnsi" w:hAnsiTheme="majorHAnsi"/>
                <w:color w:val="000000" w:themeColor="text1"/>
                <w:sz w:val="16"/>
                <w:szCs w:val="16"/>
                <w:lang w:val="es-ES"/>
              </w:rPr>
              <w:t>Ademário</w:t>
            </w:r>
            <w:proofErr w:type="spellEnd"/>
            <w:r w:rsidR="001E7F07" w:rsidRPr="004768D0">
              <w:rPr>
                <w:rFonts w:asciiTheme="majorHAnsi" w:hAnsiTheme="majorHAnsi"/>
                <w:color w:val="000000" w:themeColor="text1"/>
                <w:sz w:val="16"/>
                <w:szCs w:val="16"/>
                <w:lang w:val="es-ES"/>
              </w:rPr>
              <w:t xml:space="preserve"> </w:t>
            </w:r>
            <w:r w:rsidRPr="004768D0">
              <w:rPr>
                <w:rFonts w:asciiTheme="majorHAnsi" w:hAnsiTheme="majorHAnsi"/>
                <w:color w:val="000000" w:themeColor="text1"/>
                <w:sz w:val="16"/>
                <w:szCs w:val="16"/>
                <w:lang w:val="es-ES"/>
              </w:rPr>
              <w:t xml:space="preserve">y </w:t>
            </w:r>
            <w:proofErr w:type="spellStart"/>
            <w:r w:rsidR="001E7F07" w:rsidRPr="004768D0">
              <w:rPr>
                <w:rFonts w:asciiTheme="majorHAnsi" w:hAnsiTheme="majorHAnsi"/>
                <w:color w:val="000000" w:themeColor="text1"/>
                <w:sz w:val="16"/>
                <w:szCs w:val="16"/>
                <w:lang w:val="es-ES"/>
              </w:rPr>
              <w:t>Rogério</w:t>
            </w:r>
            <w:proofErr w:type="spellEnd"/>
            <w:r w:rsidR="001E7F07" w:rsidRPr="004768D0">
              <w:rPr>
                <w:rFonts w:asciiTheme="majorHAnsi" w:hAnsiTheme="majorHAnsi"/>
                <w:color w:val="000000" w:themeColor="text1"/>
                <w:sz w:val="16"/>
                <w:szCs w:val="16"/>
                <w:lang w:val="es-ES"/>
              </w:rPr>
              <w:t xml:space="preserve">, no </w:t>
            </w:r>
            <w:r w:rsidRPr="004768D0">
              <w:rPr>
                <w:rFonts w:asciiTheme="majorHAnsi" w:hAnsiTheme="majorHAnsi"/>
                <w:color w:val="000000" w:themeColor="text1"/>
                <w:sz w:val="16"/>
                <w:szCs w:val="16"/>
                <w:lang w:val="es-ES"/>
              </w:rPr>
              <w:t>hubo una investigación del delito de formación de pandilla</w:t>
            </w:r>
            <w:r w:rsidR="001E7F07" w:rsidRPr="004768D0">
              <w:rPr>
                <w:rFonts w:asciiTheme="majorHAnsi" w:hAnsiTheme="majorHAnsi"/>
                <w:color w:val="000000" w:themeColor="text1"/>
                <w:sz w:val="16"/>
                <w:szCs w:val="16"/>
                <w:lang w:val="es-ES"/>
              </w:rPr>
              <w:t>.</w:t>
            </w:r>
          </w:p>
          <w:p w14:paraId="5E898399" w14:textId="17554868" w:rsidR="001E7F07" w:rsidRPr="004768D0"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E</w:t>
            </w:r>
            <w:r w:rsidR="00113C3D"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 xml:space="preserve"> 5 de </w:t>
            </w:r>
            <w:r w:rsidR="007F4608" w:rsidRPr="004768D0">
              <w:rPr>
                <w:rFonts w:asciiTheme="majorHAnsi" w:hAnsiTheme="majorHAnsi"/>
                <w:color w:val="000000" w:themeColor="text1"/>
                <w:sz w:val="16"/>
                <w:szCs w:val="16"/>
                <w:lang w:val="es-ES"/>
              </w:rPr>
              <w:t>mayo</w:t>
            </w:r>
            <w:r w:rsidRPr="004768D0">
              <w:rPr>
                <w:rFonts w:asciiTheme="majorHAnsi" w:hAnsiTheme="majorHAnsi"/>
                <w:color w:val="000000" w:themeColor="text1"/>
                <w:sz w:val="16"/>
                <w:szCs w:val="16"/>
                <w:lang w:val="es-ES"/>
              </w:rPr>
              <w:t xml:space="preserve"> de 2007, </w:t>
            </w:r>
            <w:r w:rsidR="00113C3D" w:rsidRPr="004768D0">
              <w:rPr>
                <w:rFonts w:asciiTheme="majorHAnsi" w:hAnsiTheme="majorHAnsi"/>
                <w:color w:val="000000" w:themeColor="text1"/>
                <w:sz w:val="16"/>
                <w:szCs w:val="16"/>
                <w:lang w:val="es-ES"/>
              </w:rPr>
              <w:t xml:space="preserve">varios hombres </w:t>
            </w:r>
            <w:r w:rsidR="00A70AAA" w:rsidRPr="004768D0">
              <w:rPr>
                <w:rFonts w:asciiTheme="majorHAnsi" w:hAnsiTheme="majorHAnsi"/>
                <w:color w:val="000000" w:themeColor="text1"/>
                <w:sz w:val="16"/>
                <w:szCs w:val="16"/>
                <w:lang w:val="es-ES"/>
              </w:rPr>
              <w:t>encapuchados</w:t>
            </w:r>
            <w:r w:rsidRPr="004768D0">
              <w:rPr>
                <w:rFonts w:asciiTheme="majorHAnsi" w:hAnsiTheme="majorHAnsi"/>
                <w:color w:val="000000" w:themeColor="text1"/>
                <w:sz w:val="16"/>
                <w:szCs w:val="16"/>
                <w:lang w:val="es-ES"/>
              </w:rPr>
              <w:t xml:space="preserve"> matar</w:t>
            </w:r>
            <w:r w:rsidR="00113C3D" w:rsidRPr="004768D0">
              <w:rPr>
                <w:rFonts w:asciiTheme="majorHAnsi" w:hAnsiTheme="majorHAnsi"/>
                <w:color w:val="000000" w:themeColor="text1"/>
                <w:sz w:val="16"/>
                <w:szCs w:val="16"/>
                <w:lang w:val="es-ES"/>
              </w:rPr>
              <w:t xml:space="preserve">on a más </w:t>
            </w:r>
            <w:r w:rsidR="000C0AC4" w:rsidRPr="004768D0">
              <w:rPr>
                <w:rFonts w:asciiTheme="majorHAnsi" w:hAnsiTheme="majorHAnsi"/>
                <w:color w:val="000000" w:themeColor="text1"/>
                <w:sz w:val="16"/>
                <w:szCs w:val="16"/>
                <w:lang w:val="es-ES"/>
              </w:rPr>
              <w:t>personas</w:t>
            </w:r>
            <w:r w:rsidRPr="004768D0">
              <w:rPr>
                <w:rFonts w:asciiTheme="majorHAnsi" w:hAnsiTheme="majorHAnsi"/>
                <w:color w:val="000000" w:themeColor="text1"/>
                <w:sz w:val="16"/>
                <w:szCs w:val="16"/>
                <w:lang w:val="es-ES"/>
              </w:rPr>
              <w:t xml:space="preserve"> </w:t>
            </w:r>
            <w:r w:rsidR="00113C3D"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113C3D" w:rsidRPr="004768D0">
              <w:rPr>
                <w:rFonts w:asciiTheme="majorHAnsi" w:hAnsiTheme="majorHAnsi"/>
                <w:color w:val="000000" w:themeColor="text1"/>
                <w:sz w:val="16"/>
                <w:szCs w:val="16"/>
                <w:lang w:val="es-ES"/>
              </w:rPr>
              <w:t xml:space="preserve"> l</w:t>
            </w:r>
            <w:r w:rsidRPr="004768D0">
              <w:rPr>
                <w:rFonts w:asciiTheme="majorHAnsi" w:hAnsiTheme="majorHAnsi"/>
                <w:color w:val="000000" w:themeColor="text1"/>
                <w:sz w:val="16"/>
                <w:szCs w:val="16"/>
                <w:lang w:val="es-ES"/>
              </w:rPr>
              <w:t xml:space="preserve">a </w:t>
            </w:r>
            <w:proofErr w:type="spellStart"/>
            <w:r w:rsidRPr="004768D0">
              <w:rPr>
                <w:rFonts w:asciiTheme="majorHAnsi" w:hAnsiTheme="majorHAnsi"/>
                <w:color w:val="000000" w:themeColor="text1"/>
                <w:sz w:val="16"/>
                <w:szCs w:val="16"/>
                <w:lang w:val="es-ES"/>
              </w:rPr>
              <w:t>Baixada</w:t>
            </w:r>
            <w:proofErr w:type="spellEnd"/>
            <w:r w:rsidRPr="004768D0">
              <w:rPr>
                <w:rFonts w:asciiTheme="majorHAnsi" w:hAnsiTheme="majorHAnsi"/>
                <w:color w:val="000000" w:themeColor="text1"/>
                <w:sz w:val="16"/>
                <w:szCs w:val="16"/>
                <w:lang w:val="es-ES"/>
              </w:rPr>
              <w:t xml:space="preserve"> </w:t>
            </w:r>
            <w:proofErr w:type="spellStart"/>
            <w:r w:rsidRPr="004768D0">
              <w:rPr>
                <w:rFonts w:asciiTheme="majorHAnsi" w:hAnsiTheme="majorHAnsi"/>
                <w:color w:val="000000" w:themeColor="text1"/>
                <w:sz w:val="16"/>
                <w:szCs w:val="16"/>
                <w:lang w:val="es-ES"/>
              </w:rPr>
              <w:t>Santista</w:t>
            </w:r>
            <w:proofErr w:type="spellEnd"/>
            <w:r w:rsidRPr="004768D0">
              <w:rPr>
                <w:rFonts w:asciiTheme="majorHAnsi" w:hAnsiTheme="majorHAnsi"/>
                <w:color w:val="000000" w:themeColor="text1"/>
                <w:sz w:val="16"/>
                <w:szCs w:val="16"/>
                <w:lang w:val="es-ES"/>
              </w:rPr>
              <w:t xml:space="preserve">. </w:t>
            </w:r>
            <w:r w:rsidR="00113C3D" w:rsidRPr="004768D0">
              <w:rPr>
                <w:rFonts w:asciiTheme="majorHAnsi" w:hAnsiTheme="majorHAnsi"/>
                <w:color w:val="000000" w:themeColor="text1"/>
                <w:sz w:val="16"/>
                <w:szCs w:val="16"/>
                <w:lang w:val="es-ES"/>
              </w:rPr>
              <w:t xml:space="preserve">Otra vez invadieron un bar, dispararon </w:t>
            </w:r>
            <w:r w:rsidRPr="004768D0">
              <w:rPr>
                <w:rFonts w:asciiTheme="majorHAnsi" w:hAnsiTheme="majorHAnsi"/>
                <w:color w:val="000000" w:themeColor="text1"/>
                <w:sz w:val="16"/>
                <w:szCs w:val="16"/>
                <w:lang w:val="es-ES"/>
              </w:rPr>
              <w:t xml:space="preserve">contra </w:t>
            </w:r>
            <w:r w:rsidR="00113C3D" w:rsidRPr="004768D0">
              <w:rPr>
                <w:rFonts w:asciiTheme="majorHAnsi" w:hAnsiTheme="majorHAnsi"/>
                <w:color w:val="000000" w:themeColor="text1"/>
                <w:sz w:val="16"/>
                <w:szCs w:val="16"/>
                <w:lang w:val="es-ES"/>
              </w:rPr>
              <w:t>l</w:t>
            </w:r>
            <w:r w:rsidRPr="004768D0">
              <w:rPr>
                <w:rFonts w:asciiTheme="majorHAnsi" w:hAnsiTheme="majorHAnsi"/>
                <w:color w:val="000000" w:themeColor="text1"/>
                <w:sz w:val="16"/>
                <w:szCs w:val="16"/>
                <w:lang w:val="es-ES"/>
              </w:rPr>
              <w:t>os presentes</w:t>
            </w:r>
            <w:r w:rsidR="00113C3D" w:rsidRPr="004768D0">
              <w:rPr>
                <w:rFonts w:asciiTheme="majorHAnsi" w:hAnsiTheme="majorHAnsi"/>
                <w:color w:val="000000" w:themeColor="text1"/>
                <w:sz w:val="16"/>
                <w:szCs w:val="16"/>
                <w:lang w:val="es-ES"/>
              </w:rPr>
              <w:t xml:space="preserve"> y</w:t>
            </w:r>
            <w:r w:rsidRPr="004768D0">
              <w:rPr>
                <w:rFonts w:asciiTheme="majorHAnsi" w:hAnsiTheme="majorHAnsi"/>
                <w:color w:val="000000" w:themeColor="text1"/>
                <w:sz w:val="16"/>
                <w:szCs w:val="16"/>
                <w:lang w:val="es-ES"/>
              </w:rPr>
              <w:t xml:space="preserve"> mata</w:t>
            </w:r>
            <w:r w:rsidR="00113C3D" w:rsidRPr="004768D0">
              <w:rPr>
                <w:rFonts w:asciiTheme="majorHAnsi" w:hAnsiTheme="majorHAnsi"/>
                <w:color w:val="000000" w:themeColor="text1"/>
                <w:sz w:val="16"/>
                <w:szCs w:val="16"/>
                <w:lang w:val="es-ES"/>
              </w:rPr>
              <w:t xml:space="preserve">ron a tres </w:t>
            </w:r>
            <w:r w:rsidR="000C0AC4" w:rsidRPr="004768D0">
              <w:rPr>
                <w:rFonts w:asciiTheme="majorHAnsi" w:hAnsiTheme="majorHAnsi"/>
                <w:color w:val="000000" w:themeColor="text1"/>
                <w:sz w:val="16"/>
                <w:szCs w:val="16"/>
                <w:lang w:val="es-ES"/>
              </w:rPr>
              <w:t>personas</w:t>
            </w:r>
            <w:r w:rsidRPr="004768D0">
              <w:rPr>
                <w:rFonts w:asciiTheme="majorHAnsi" w:hAnsiTheme="majorHAnsi"/>
                <w:color w:val="000000" w:themeColor="text1"/>
                <w:sz w:val="16"/>
                <w:szCs w:val="16"/>
                <w:lang w:val="es-ES"/>
              </w:rPr>
              <w:t>. U</w:t>
            </w:r>
            <w:r w:rsidR="00113C3D" w:rsidRPr="004768D0">
              <w:rPr>
                <w:rFonts w:asciiTheme="majorHAnsi" w:hAnsiTheme="majorHAnsi"/>
                <w:color w:val="000000" w:themeColor="text1"/>
                <w:sz w:val="16"/>
                <w:szCs w:val="16"/>
                <w:lang w:val="es-ES"/>
              </w:rPr>
              <w:t>n</w:t>
            </w:r>
            <w:r w:rsidRPr="004768D0">
              <w:rPr>
                <w:rFonts w:asciiTheme="majorHAnsi" w:hAnsiTheme="majorHAnsi"/>
                <w:color w:val="000000" w:themeColor="text1"/>
                <w:sz w:val="16"/>
                <w:szCs w:val="16"/>
                <w:lang w:val="es-ES"/>
              </w:rPr>
              <w:t xml:space="preserve"> </w:t>
            </w:r>
            <w:r w:rsidR="007F4608" w:rsidRPr="004768D0">
              <w:rPr>
                <w:rFonts w:asciiTheme="majorHAnsi" w:hAnsiTheme="majorHAnsi"/>
                <w:color w:val="000000" w:themeColor="text1"/>
                <w:sz w:val="16"/>
                <w:szCs w:val="16"/>
                <w:lang w:val="es-ES"/>
              </w:rPr>
              <w:t>hermano de</w:t>
            </w:r>
            <w:r w:rsidRPr="004768D0">
              <w:rPr>
                <w:rFonts w:asciiTheme="majorHAnsi" w:hAnsiTheme="majorHAnsi"/>
                <w:color w:val="000000" w:themeColor="text1"/>
                <w:sz w:val="16"/>
                <w:szCs w:val="16"/>
                <w:lang w:val="es-ES"/>
              </w:rPr>
              <w:t xml:space="preserve"> Rogério, </w:t>
            </w:r>
            <w:r w:rsidR="00113C3D" w:rsidRPr="004768D0">
              <w:rPr>
                <w:rFonts w:asciiTheme="majorHAnsi" w:hAnsiTheme="majorHAnsi"/>
                <w:color w:val="000000" w:themeColor="text1"/>
                <w:sz w:val="16"/>
                <w:szCs w:val="16"/>
                <w:lang w:val="es-ES"/>
              </w:rPr>
              <w:t xml:space="preserve">que no fue </w:t>
            </w:r>
            <w:r w:rsidRPr="004768D0">
              <w:rPr>
                <w:rFonts w:asciiTheme="majorHAnsi" w:hAnsiTheme="majorHAnsi"/>
                <w:color w:val="000000" w:themeColor="text1"/>
                <w:sz w:val="16"/>
                <w:szCs w:val="16"/>
                <w:lang w:val="es-ES"/>
              </w:rPr>
              <w:t>identificado por raz</w:t>
            </w:r>
            <w:r w:rsidR="00113C3D" w:rsidRPr="004768D0">
              <w:rPr>
                <w:rFonts w:asciiTheme="majorHAnsi" w:hAnsiTheme="majorHAnsi"/>
                <w:color w:val="000000" w:themeColor="text1"/>
                <w:sz w:val="16"/>
                <w:szCs w:val="16"/>
                <w:lang w:val="es-ES"/>
              </w:rPr>
              <w:t>on</w:t>
            </w:r>
            <w:r w:rsidRPr="004768D0">
              <w:rPr>
                <w:rFonts w:asciiTheme="majorHAnsi" w:hAnsiTheme="majorHAnsi"/>
                <w:color w:val="000000" w:themeColor="text1"/>
                <w:sz w:val="16"/>
                <w:szCs w:val="16"/>
                <w:lang w:val="es-ES"/>
              </w:rPr>
              <w:t xml:space="preserve">es de </w:t>
            </w:r>
            <w:r w:rsidR="00F41459" w:rsidRPr="004768D0">
              <w:rPr>
                <w:rFonts w:asciiTheme="majorHAnsi" w:hAnsiTheme="majorHAnsi"/>
                <w:color w:val="000000" w:themeColor="text1"/>
                <w:sz w:val="16"/>
                <w:szCs w:val="16"/>
                <w:lang w:val="es-ES"/>
              </w:rPr>
              <w:t>seguridad</w:t>
            </w:r>
            <w:r w:rsidRPr="004768D0">
              <w:rPr>
                <w:rFonts w:asciiTheme="majorHAnsi" w:hAnsiTheme="majorHAnsi"/>
                <w:color w:val="000000" w:themeColor="text1"/>
                <w:sz w:val="16"/>
                <w:szCs w:val="16"/>
                <w:lang w:val="es-ES"/>
              </w:rPr>
              <w:t xml:space="preserve">, </w:t>
            </w:r>
            <w:r w:rsidR="00113C3D" w:rsidRPr="004768D0">
              <w:rPr>
                <w:rFonts w:asciiTheme="majorHAnsi" w:hAnsiTheme="majorHAnsi"/>
                <w:color w:val="000000" w:themeColor="text1"/>
                <w:sz w:val="16"/>
                <w:szCs w:val="16"/>
                <w:lang w:val="es-ES"/>
              </w:rPr>
              <w:t xml:space="preserve">fue una de las </w:t>
            </w:r>
            <w:r w:rsidR="00000CF9" w:rsidRPr="004768D0">
              <w:rPr>
                <w:rFonts w:asciiTheme="majorHAnsi" w:hAnsiTheme="majorHAnsi"/>
                <w:color w:val="000000" w:themeColor="text1"/>
                <w:sz w:val="16"/>
                <w:szCs w:val="16"/>
                <w:lang w:val="es-ES"/>
              </w:rPr>
              <w:t>víctimas</w:t>
            </w:r>
            <w:r w:rsidRPr="004768D0">
              <w:rPr>
                <w:rFonts w:asciiTheme="majorHAnsi" w:hAnsiTheme="majorHAnsi"/>
                <w:color w:val="000000" w:themeColor="text1"/>
                <w:sz w:val="16"/>
                <w:szCs w:val="16"/>
                <w:lang w:val="es-ES"/>
              </w:rPr>
              <w:t xml:space="preserve"> de</w:t>
            </w:r>
            <w:r w:rsidR="00113C3D" w:rsidRPr="004768D0">
              <w:rPr>
                <w:rFonts w:asciiTheme="majorHAnsi" w:hAnsiTheme="majorHAnsi"/>
                <w:color w:val="000000" w:themeColor="text1"/>
                <w:sz w:val="16"/>
                <w:szCs w:val="16"/>
                <w:lang w:val="es-ES"/>
              </w:rPr>
              <w:t xml:space="preserve"> e</w:t>
            </w:r>
            <w:r w:rsidRPr="004768D0">
              <w:rPr>
                <w:rFonts w:asciiTheme="majorHAnsi" w:hAnsiTheme="majorHAnsi"/>
                <w:color w:val="000000" w:themeColor="text1"/>
                <w:sz w:val="16"/>
                <w:szCs w:val="16"/>
                <w:lang w:val="es-ES"/>
              </w:rPr>
              <w:t>se n</w:t>
            </w:r>
            <w:r w:rsidR="00113C3D" w:rsidRPr="004768D0">
              <w:rPr>
                <w:rFonts w:asciiTheme="majorHAnsi" w:hAnsiTheme="majorHAnsi"/>
                <w:color w:val="000000" w:themeColor="text1"/>
                <w:sz w:val="16"/>
                <w:szCs w:val="16"/>
                <w:lang w:val="es-ES"/>
              </w:rPr>
              <w:t xml:space="preserve">uevo </w:t>
            </w:r>
            <w:r w:rsidRPr="004768D0">
              <w:rPr>
                <w:rFonts w:asciiTheme="majorHAnsi" w:hAnsiTheme="majorHAnsi"/>
                <w:color w:val="000000" w:themeColor="text1"/>
                <w:sz w:val="16"/>
                <w:szCs w:val="16"/>
                <w:lang w:val="es-ES"/>
              </w:rPr>
              <w:t xml:space="preserve">atentado </w:t>
            </w:r>
            <w:r w:rsidR="00113C3D" w:rsidRPr="004768D0">
              <w:rPr>
                <w:rFonts w:asciiTheme="majorHAnsi" w:hAnsiTheme="majorHAnsi"/>
                <w:color w:val="000000" w:themeColor="text1"/>
                <w:sz w:val="16"/>
                <w:szCs w:val="16"/>
                <w:lang w:val="es-ES"/>
              </w:rPr>
              <w:t>y sobrevivió. Los fa</w:t>
            </w:r>
            <w:r w:rsidRPr="004768D0">
              <w:rPr>
                <w:rFonts w:asciiTheme="majorHAnsi" w:hAnsiTheme="majorHAnsi"/>
                <w:color w:val="000000" w:themeColor="text1"/>
                <w:sz w:val="16"/>
                <w:szCs w:val="16"/>
                <w:lang w:val="es-ES"/>
              </w:rPr>
              <w:t>miliares d</w:t>
            </w:r>
            <w:r w:rsidR="00113C3D" w:rsidRPr="004768D0">
              <w:rPr>
                <w:rFonts w:asciiTheme="majorHAnsi" w:hAnsiTheme="majorHAnsi"/>
                <w:color w:val="000000" w:themeColor="text1"/>
                <w:sz w:val="16"/>
                <w:szCs w:val="16"/>
                <w:lang w:val="es-ES"/>
              </w:rPr>
              <w:t>e l</w:t>
            </w:r>
            <w:r w:rsidRPr="004768D0">
              <w:rPr>
                <w:rFonts w:asciiTheme="majorHAnsi" w:hAnsiTheme="majorHAnsi"/>
                <w:color w:val="000000" w:themeColor="text1"/>
                <w:sz w:val="16"/>
                <w:szCs w:val="16"/>
                <w:lang w:val="es-ES"/>
              </w:rPr>
              <w:t xml:space="preserve">as </w:t>
            </w:r>
            <w:r w:rsidR="00000CF9" w:rsidRPr="004768D0">
              <w:rPr>
                <w:rFonts w:asciiTheme="majorHAnsi" w:hAnsiTheme="majorHAnsi"/>
                <w:color w:val="000000" w:themeColor="text1"/>
                <w:sz w:val="16"/>
                <w:szCs w:val="16"/>
                <w:lang w:val="es-ES"/>
              </w:rPr>
              <w:t>víctimas</w:t>
            </w:r>
            <w:r w:rsidRPr="004768D0">
              <w:rPr>
                <w:rFonts w:asciiTheme="majorHAnsi" w:hAnsiTheme="majorHAnsi"/>
                <w:color w:val="000000" w:themeColor="text1"/>
                <w:sz w:val="16"/>
                <w:szCs w:val="16"/>
                <w:lang w:val="es-ES"/>
              </w:rPr>
              <w:t xml:space="preserve"> que </w:t>
            </w:r>
            <w:r w:rsidR="00113C3D" w:rsidRPr="004768D0">
              <w:rPr>
                <w:rFonts w:asciiTheme="majorHAnsi" w:hAnsiTheme="majorHAnsi"/>
                <w:color w:val="000000" w:themeColor="text1"/>
                <w:sz w:val="16"/>
                <w:szCs w:val="16"/>
                <w:lang w:val="es-ES"/>
              </w:rPr>
              <w:t>estaban</w:t>
            </w:r>
            <w:r w:rsidRPr="004768D0">
              <w:rPr>
                <w:rFonts w:asciiTheme="majorHAnsi" w:hAnsiTheme="majorHAnsi"/>
                <w:color w:val="000000" w:themeColor="text1"/>
                <w:sz w:val="16"/>
                <w:szCs w:val="16"/>
                <w:lang w:val="es-ES"/>
              </w:rPr>
              <w:t xml:space="preserve"> </w:t>
            </w:r>
            <w:r w:rsidR="00113C3D" w:rsidRPr="004768D0">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n</w:t>
            </w:r>
            <w:r w:rsidR="00113C3D" w:rsidRPr="004768D0">
              <w:rPr>
                <w:rFonts w:asciiTheme="majorHAnsi" w:hAnsiTheme="majorHAnsi"/>
                <w:color w:val="000000" w:themeColor="text1"/>
                <w:sz w:val="16"/>
                <w:szCs w:val="16"/>
                <w:lang w:val="es-ES"/>
              </w:rPr>
              <w:t xml:space="preserve"> el lugar antes de los disparos relataron q</w:t>
            </w:r>
            <w:r w:rsidRPr="004768D0">
              <w:rPr>
                <w:rFonts w:asciiTheme="majorHAnsi" w:hAnsiTheme="majorHAnsi"/>
                <w:color w:val="000000" w:themeColor="text1"/>
                <w:sz w:val="16"/>
                <w:szCs w:val="16"/>
                <w:lang w:val="es-ES"/>
              </w:rPr>
              <w:t xml:space="preserve">ue, </w:t>
            </w:r>
            <w:r w:rsidR="00113C3D" w:rsidRPr="004768D0">
              <w:rPr>
                <w:rFonts w:asciiTheme="majorHAnsi" w:hAnsiTheme="majorHAnsi"/>
                <w:color w:val="000000" w:themeColor="text1"/>
                <w:sz w:val="16"/>
                <w:szCs w:val="16"/>
                <w:lang w:val="es-ES"/>
              </w:rPr>
              <w:t xml:space="preserve">igual que en otros </w:t>
            </w:r>
            <w:r w:rsidRPr="004768D0">
              <w:rPr>
                <w:rFonts w:asciiTheme="majorHAnsi" w:hAnsiTheme="majorHAnsi"/>
                <w:color w:val="000000" w:themeColor="text1"/>
                <w:sz w:val="16"/>
                <w:szCs w:val="16"/>
                <w:lang w:val="es-ES"/>
              </w:rPr>
              <w:t xml:space="preserve">ataques </w:t>
            </w:r>
            <w:r w:rsidR="00113C3D" w:rsidRPr="004768D0">
              <w:rPr>
                <w:rFonts w:asciiTheme="majorHAnsi" w:hAnsiTheme="majorHAnsi"/>
                <w:color w:val="000000" w:themeColor="text1"/>
                <w:sz w:val="16"/>
                <w:szCs w:val="16"/>
                <w:lang w:val="es-ES"/>
              </w:rPr>
              <w:t xml:space="preserve">perpetrados en la zona, había agentes de policía que estaban patrullando cerca del lugar y usando la radio poco antes del delito. El </w:t>
            </w:r>
            <w:r w:rsidRPr="004768D0">
              <w:rPr>
                <w:rFonts w:asciiTheme="majorHAnsi" w:hAnsiTheme="majorHAnsi"/>
                <w:color w:val="000000" w:themeColor="text1"/>
                <w:sz w:val="16"/>
                <w:szCs w:val="16"/>
                <w:lang w:val="es-ES"/>
              </w:rPr>
              <w:t>bar que f</w:t>
            </w:r>
            <w:r w:rsidR="00113C3D" w:rsidRPr="004768D0">
              <w:rPr>
                <w:rFonts w:asciiTheme="majorHAnsi" w:hAnsiTheme="majorHAnsi"/>
                <w:color w:val="000000" w:themeColor="text1"/>
                <w:sz w:val="16"/>
                <w:szCs w:val="16"/>
                <w:lang w:val="es-ES"/>
              </w:rPr>
              <w:t>ue atacado en ese incidente está en la misma calle en la cual fueron asesinados M</w:t>
            </w:r>
            <w:r w:rsidRPr="004768D0">
              <w:rPr>
                <w:rFonts w:asciiTheme="majorHAnsi" w:hAnsiTheme="majorHAnsi"/>
                <w:color w:val="000000" w:themeColor="text1"/>
                <w:sz w:val="16"/>
                <w:szCs w:val="16"/>
                <w:lang w:val="es-ES"/>
              </w:rPr>
              <w:t xml:space="preserve">arcos </w:t>
            </w:r>
            <w:proofErr w:type="spellStart"/>
            <w:r w:rsidRPr="004768D0">
              <w:rPr>
                <w:rFonts w:asciiTheme="majorHAnsi" w:hAnsiTheme="majorHAnsi"/>
                <w:color w:val="000000" w:themeColor="text1"/>
                <w:sz w:val="16"/>
                <w:szCs w:val="16"/>
                <w:lang w:val="es-ES"/>
              </w:rPr>
              <w:t>R</w:t>
            </w:r>
            <w:r w:rsidR="000211CE">
              <w:rPr>
                <w:rFonts w:asciiTheme="majorHAnsi" w:hAnsiTheme="majorHAnsi"/>
                <w:color w:val="000000" w:themeColor="text1"/>
                <w:sz w:val="16"/>
                <w:szCs w:val="16"/>
                <w:lang w:val="es-ES"/>
              </w:rPr>
              <w:t>e</w:t>
            </w:r>
            <w:r w:rsidRPr="004768D0">
              <w:rPr>
                <w:rFonts w:asciiTheme="majorHAnsi" w:hAnsiTheme="majorHAnsi"/>
                <w:color w:val="000000" w:themeColor="text1"/>
                <w:sz w:val="16"/>
                <w:szCs w:val="16"/>
                <w:lang w:val="es-ES"/>
              </w:rPr>
              <w:t>bello</w:t>
            </w:r>
            <w:proofErr w:type="spellEnd"/>
            <w:r w:rsidRPr="004768D0">
              <w:rPr>
                <w:rFonts w:asciiTheme="majorHAnsi" w:hAnsiTheme="majorHAnsi"/>
                <w:color w:val="000000" w:themeColor="text1"/>
                <w:sz w:val="16"/>
                <w:szCs w:val="16"/>
                <w:lang w:val="es-ES"/>
              </w:rPr>
              <w:t xml:space="preserve"> Filho </w:t>
            </w:r>
            <w:r w:rsidR="00113C3D" w:rsidRPr="004768D0">
              <w:rPr>
                <w:rFonts w:asciiTheme="majorHAnsi" w:hAnsiTheme="majorHAnsi"/>
                <w:color w:val="000000" w:themeColor="text1"/>
                <w:sz w:val="16"/>
                <w:szCs w:val="16"/>
                <w:lang w:val="es-ES"/>
              </w:rPr>
              <w:t>y</w:t>
            </w:r>
            <w:r w:rsidRPr="004768D0">
              <w:rPr>
                <w:rFonts w:asciiTheme="majorHAnsi" w:hAnsiTheme="majorHAnsi"/>
                <w:color w:val="000000" w:themeColor="text1"/>
                <w:sz w:val="16"/>
                <w:szCs w:val="16"/>
                <w:lang w:val="es-ES"/>
              </w:rPr>
              <w:t xml:space="preserve"> Thiago Roberto Soares.</w:t>
            </w:r>
          </w:p>
          <w:p w14:paraId="5C8A757F" w14:textId="77777777" w:rsidR="001E7F07" w:rsidRPr="004768D0" w:rsidRDefault="00CF044D"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La señora</w:t>
            </w:r>
            <w:r w:rsidR="001E7F07" w:rsidRPr="004768D0">
              <w:rPr>
                <w:rFonts w:asciiTheme="majorHAnsi" w:hAnsiTheme="majorHAnsi"/>
                <w:color w:val="000000" w:themeColor="text1"/>
                <w:sz w:val="16"/>
                <w:szCs w:val="16"/>
                <w:lang w:val="es-ES"/>
              </w:rPr>
              <w:t xml:space="preserve"> Rita </w:t>
            </w:r>
            <w:r w:rsidR="00ED3EC5" w:rsidRPr="004768D0">
              <w:rPr>
                <w:rFonts w:asciiTheme="majorHAnsi" w:hAnsiTheme="majorHAnsi"/>
                <w:color w:val="000000" w:themeColor="text1"/>
                <w:sz w:val="16"/>
                <w:szCs w:val="16"/>
                <w:lang w:val="es-ES"/>
              </w:rPr>
              <w:t xml:space="preserve">también declaró a la </w:t>
            </w:r>
            <w:r w:rsidR="00323A46" w:rsidRPr="004768D0">
              <w:rPr>
                <w:rFonts w:asciiTheme="majorHAnsi" w:hAnsiTheme="majorHAnsi"/>
                <w:color w:val="000000" w:themeColor="text1"/>
                <w:sz w:val="16"/>
                <w:szCs w:val="16"/>
                <w:lang w:val="es-ES"/>
              </w:rPr>
              <w:t>Comisión</w:t>
            </w:r>
            <w:r w:rsidR="001E7F07" w:rsidRPr="004768D0">
              <w:rPr>
                <w:rFonts w:asciiTheme="majorHAnsi" w:hAnsiTheme="majorHAnsi"/>
                <w:color w:val="000000" w:themeColor="text1"/>
                <w:sz w:val="16"/>
                <w:szCs w:val="16"/>
                <w:lang w:val="es-ES"/>
              </w:rPr>
              <w:t xml:space="preserve"> de </w:t>
            </w:r>
            <w:r w:rsidR="00C65DE2" w:rsidRPr="004768D0">
              <w:rPr>
                <w:rFonts w:asciiTheme="majorHAnsi" w:hAnsiTheme="majorHAnsi"/>
                <w:color w:val="000000" w:themeColor="text1"/>
                <w:sz w:val="16"/>
                <w:szCs w:val="16"/>
                <w:lang w:val="es-ES"/>
              </w:rPr>
              <w:t>Justicia</w:t>
            </w:r>
            <w:r w:rsidR="001E7F07" w:rsidRPr="004768D0">
              <w:rPr>
                <w:rFonts w:asciiTheme="majorHAnsi" w:hAnsiTheme="majorHAnsi"/>
                <w:color w:val="000000" w:themeColor="text1"/>
                <w:sz w:val="16"/>
                <w:szCs w:val="16"/>
                <w:lang w:val="es-ES"/>
              </w:rPr>
              <w:t xml:space="preserve"> </w:t>
            </w:r>
            <w:r w:rsidR="00ED3EC5" w:rsidRPr="004768D0">
              <w:rPr>
                <w:rFonts w:asciiTheme="majorHAnsi" w:hAnsiTheme="majorHAnsi"/>
                <w:color w:val="000000" w:themeColor="text1"/>
                <w:sz w:val="16"/>
                <w:szCs w:val="16"/>
                <w:lang w:val="es-ES"/>
              </w:rPr>
              <w:t>y</w:t>
            </w:r>
            <w:r w:rsidR="001E7F07" w:rsidRPr="004768D0">
              <w:rPr>
                <w:rFonts w:asciiTheme="majorHAnsi" w:hAnsiTheme="majorHAnsi"/>
                <w:color w:val="000000" w:themeColor="text1"/>
                <w:sz w:val="16"/>
                <w:szCs w:val="16"/>
                <w:lang w:val="es-ES"/>
              </w:rPr>
              <w:t xml:space="preserve"> Paz, e</w:t>
            </w:r>
            <w:r w:rsidR="00ED3EC5" w:rsidRPr="004768D0">
              <w:rPr>
                <w:rFonts w:asciiTheme="majorHAnsi" w:hAnsiTheme="majorHAnsi"/>
                <w:color w:val="000000" w:themeColor="text1"/>
                <w:sz w:val="16"/>
                <w:szCs w:val="16"/>
                <w:lang w:val="es-ES"/>
              </w:rPr>
              <w:t>l</w:t>
            </w:r>
            <w:r w:rsidR="001E7F07" w:rsidRPr="004768D0">
              <w:rPr>
                <w:rFonts w:asciiTheme="majorHAnsi" w:hAnsiTheme="majorHAnsi"/>
                <w:color w:val="000000" w:themeColor="text1"/>
                <w:sz w:val="16"/>
                <w:szCs w:val="16"/>
                <w:lang w:val="es-ES"/>
              </w:rPr>
              <w:t xml:space="preserve"> 23 de </w:t>
            </w:r>
            <w:r w:rsidR="007F4608" w:rsidRPr="004768D0">
              <w:rPr>
                <w:rFonts w:asciiTheme="majorHAnsi" w:hAnsiTheme="majorHAnsi"/>
                <w:color w:val="000000" w:themeColor="text1"/>
                <w:sz w:val="16"/>
                <w:szCs w:val="16"/>
                <w:lang w:val="es-ES"/>
              </w:rPr>
              <w:t>enero</w:t>
            </w:r>
            <w:r w:rsidR="001E7F07" w:rsidRPr="004768D0">
              <w:rPr>
                <w:rFonts w:asciiTheme="majorHAnsi" w:hAnsiTheme="majorHAnsi"/>
                <w:color w:val="000000" w:themeColor="text1"/>
                <w:sz w:val="16"/>
                <w:szCs w:val="16"/>
                <w:lang w:val="es-ES"/>
              </w:rPr>
              <w:t xml:space="preserve"> de 2008, que </w:t>
            </w:r>
            <w:r w:rsidR="00ED3EC5" w:rsidRPr="004768D0">
              <w:rPr>
                <w:rFonts w:asciiTheme="majorHAnsi" w:hAnsiTheme="majorHAnsi"/>
                <w:color w:val="000000" w:themeColor="text1"/>
                <w:sz w:val="16"/>
                <w:szCs w:val="16"/>
                <w:lang w:val="es-ES"/>
              </w:rPr>
              <w:t>e</w:t>
            </w:r>
            <w:r w:rsidR="001E7F07" w:rsidRPr="004768D0">
              <w:rPr>
                <w:rFonts w:asciiTheme="majorHAnsi" w:hAnsiTheme="majorHAnsi"/>
                <w:color w:val="000000" w:themeColor="text1"/>
                <w:sz w:val="16"/>
                <w:szCs w:val="16"/>
                <w:lang w:val="es-ES"/>
              </w:rPr>
              <w:t>se m</w:t>
            </w:r>
            <w:r w:rsidR="00ED3EC5" w:rsidRPr="004768D0">
              <w:rPr>
                <w:rFonts w:asciiTheme="majorHAnsi" w:hAnsiTheme="majorHAnsi"/>
                <w:color w:val="000000" w:themeColor="text1"/>
                <w:sz w:val="16"/>
                <w:szCs w:val="16"/>
                <w:lang w:val="es-ES"/>
              </w:rPr>
              <w:t>i</w:t>
            </w:r>
            <w:r w:rsidR="001E7F07" w:rsidRPr="004768D0">
              <w:rPr>
                <w:rFonts w:asciiTheme="majorHAnsi" w:hAnsiTheme="majorHAnsi"/>
                <w:color w:val="000000" w:themeColor="text1"/>
                <w:sz w:val="16"/>
                <w:szCs w:val="16"/>
                <w:lang w:val="es-ES"/>
              </w:rPr>
              <w:t xml:space="preserve">smo </w:t>
            </w:r>
            <w:r w:rsidR="007F4608" w:rsidRPr="004768D0">
              <w:rPr>
                <w:rFonts w:asciiTheme="majorHAnsi" w:hAnsiTheme="majorHAnsi"/>
                <w:color w:val="000000" w:themeColor="text1"/>
                <w:sz w:val="16"/>
                <w:szCs w:val="16"/>
                <w:lang w:val="es-ES"/>
              </w:rPr>
              <w:t>hermano de</w:t>
            </w:r>
            <w:r w:rsidR="001E7F07" w:rsidRPr="004768D0">
              <w:rPr>
                <w:rFonts w:asciiTheme="majorHAnsi" w:hAnsiTheme="majorHAnsi"/>
                <w:color w:val="000000" w:themeColor="text1"/>
                <w:sz w:val="16"/>
                <w:szCs w:val="16"/>
                <w:lang w:val="es-ES"/>
              </w:rPr>
              <w:t xml:space="preserve"> Rogério </w:t>
            </w:r>
            <w:r w:rsidR="00ED3EC5" w:rsidRPr="004768D0">
              <w:rPr>
                <w:rFonts w:asciiTheme="majorHAnsi" w:hAnsiTheme="majorHAnsi"/>
                <w:color w:val="000000" w:themeColor="text1"/>
                <w:sz w:val="16"/>
                <w:szCs w:val="16"/>
                <w:lang w:val="es-ES"/>
              </w:rPr>
              <w:t>había sido</w:t>
            </w:r>
            <w:r w:rsidR="001E7F07" w:rsidRPr="004768D0">
              <w:rPr>
                <w:rFonts w:asciiTheme="majorHAnsi" w:hAnsiTheme="majorHAnsi"/>
                <w:color w:val="000000" w:themeColor="text1"/>
                <w:sz w:val="16"/>
                <w:szCs w:val="16"/>
                <w:lang w:val="es-ES"/>
              </w:rPr>
              <w:t xml:space="preserve"> abordado e</w:t>
            </w:r>
            <w:r w:rsidR="00ED3EC5" w:rsidRPr="004768D0">
              <w:rPr>
                <w:rFonts w:asciiTheme="majorHAnsi" w:hAnsiTheme="majorHAnsi"/>
                <w:color w:val="000000" w:themeColor="text1"/>
                <w:sz w:val="16"/>
                <w:szCs w:val="16"/>
                <w:lang w:val="es-ES"/>
              </w:rPr>
              <w:t>l</w:t>
            </w:r>
            <w:r w:rsidR="001E7F07" w:rsidRPr="004768D0">
              <w:rPr>
                <w:rFonts w:asciiTheme="majorHAnsi" w:hAnsiTheme="majorHAnsi"/>
                <w:color w:val="000000" w:themeColor="text1"/>
                <w:sz w:val="16"/>
                <w:szCs w:val="16"/>
                <w:lang w:val="es-ES"/>
              </w:rPr>
              <w:t xml:space="preserve"> 25 de </w:t>
            </w:r>
            <w:r w:rsidR="007F4608" w:rsidRPr="004768D0">
              <w:rPr>
                <w:rFonts w:asciiTheme="majorHAnsi" w:hAnsiTheme="majorHAnsi"/>
                <w:color w:val="000000" w:themeColor="text1"/>
                <w:sz w:val="16"/>
                <w:szCs w:val="16"/>
                <w:lang w:val="es-ES"/>
              </w:rPr>
              <w:t>septiembre</w:t>
            </w:r>
            <w:r w:rsidR="001E7F07" w:rsidRPr="004768D0">
              <w:rPr>
                <w:rFonts w:asciiTheme="majorHAnsi" w:hAnsiTheme="majorHAnsi"/>
                <w:color w:val="000000" w:themeColor="text1"/>
                <w:sz w:val="16"/>
                <w:szCs w:val="16"/>
                <w:lang w:val="es-ES"/>
              </w:rPr>
              <w:t xml:space="preserve"> de 2007 por u</w:t>
            </w:r>
            <w:r w:rsidR="00ED3EC5" w:rsidRPr="004768D0">
              <w:rPr>
                <w:rFonts w:asciiTheme="majorHAnsi" w:hAnsiTheme="majorHAnsi"/>
                <w:color w:val="000000" w:themeColor="text1"/>
                <w:sz w:val="16"/>
                <w:szCs w:val="16"/>
                <w:lang w:val="es-ES"/>
              </w:rPr>
              <w:t xml:space="preserve">n vehículo de la </w:t>
            </w:r>
            <w:r w:rsidR="00372008" w:rsidRPr="004768D0">
              <w:rPr>
                <w:rFonts w:asciiTheme="majorHAnsi" w:hAnsiTheme="majorHAnsi"/>
                <w:color w:val="000000" w:themeColor="text1"/>
                <w:sz w:val="16"/>
                <w:szCs w:val="16"/>
                <w:lang w:val="es-ES"/>
              </w:rPr>
              <w:t>Policía</w:t>
            </w:r>
            <w:r w:rsidR="001E7F07" w:rsidRPr="004768D0">
              <w:rPr>
                <w:rFonts w:asciiTheme="majorHAnsi" w:hAnsiTheme="majorHAnsi"/>
                <w:color w:val="000000" w:themeColor="text1"/>
                <w:sz w:val="16"/>
                <w:szCs w:val="16"/>
                <w:lang w:val="es-ES"/>
              </w:rPr>
              <w:t xml:space="preserve"> Militar, </w:t>
            </w:r>
            <w:r w:rsidR="00ED3EC5" w:rsidRPr="004768D0">
              <w:rPr>
                <w:rFonts w:asciiTheme="majorHAnsi" w:hAnsiTheme="majorHAnsi"/>
                <w:color w:val="000000" w:themeColor="text1"/>
                <w:sz w:val="16"/>
                <w:szCs w:val="16"/>
                <w:lang w:val="es-ES"/>
              </w:rPr>
              <w:t xml:space="preserve">a las </w:t>
            </w:r>
            <w:r w:rsidR="001E7F07" w:rsidRPr="004768D0">
              <w:rPr>
                <w:rFonts w:asciiTheme="majorHAnsi" w:hAnsiTheme="majorHAnsi"/>
                <w:color w:val="000000" w:themeColor="text1"/>
                <w:sz w:val="16"/>
                <w:szCs w:val="16"/>
                <w:lang w:val="es-ES"/>
              </w:rPr>
              <w:t>22</w:t>
            </w:r>
            <w:r w:rsidR="00ED3EC5" w:rsidRPr="004768D0">
              <w:rPr>
                <w:rFonts w:asciiTheme="majorHAnsi" w:hAnsiTheme="majorHAnsi"/>
                <w:color w:val="000000" w:themeColor="text1"/>
                <w:sz w:val="16"/>
                <w:szCs w:val="16"/>
                <w:lang w:val="es-ES"/>
              </w:rPr>
              <w:t>:00</w:t>
            </w:r>
            <w:r w:rsidR="001E7F07" w:rsidRPr="004768D0">
              <w:rPr>
                <w:rFonts w:asciiTheme="majorHAnsi" w:hAnsiTheme="majorHAnsi"/>
                <w:color w:val="000000" w:themeColor="text1"/>
                <w:sz w:val="16"/>
                <w:szCs w:val="16"/>
                <w:lang w:val="es-ES"/>
              </w:rPr>
              <w:t xml:space="preserve"> horas, </w:t>
            </w:r>
            <w:r w:rsidR="00ED3EC5" w:rsidRPr="004768D0">
              <w:rPr>
                <w:rFonts w:asciiTheme="majorHAnsi" w:hAnsiTheme="majorHAnsi"/>
                <w:color w:val="000000" w:themeColor="text1"/>
                <w:sz w:val="16"/>
                <w:szCs w:val="16"/>
                <w:lang w:val="es-ES"/>
              </w:rPr>
              <w:t xml:space="preserve">aproximadamente, </w:t>
            </w:r>
            <w:r w:rsidR="00602ABD" w:rsidRPr="004768D0">
              <w:rPr>
                <w:rFonts w:asciiTheme="majorHAnsi" w:hAnsiTheme="majorHAnsi"/>
                <w:color w:val="000000" w:themeColor="text1"/>
                <w:sz w:val="16"/>
                <w:szCs w:val="16"/>
                <w:lang w:val="es-ES"/>
              </w:rPr>
              <w:t>cuando</w:t>
            </w:r>
            <w:r w:rsidR="001E7F07" w:rsidRPr="004768D0">
              <w:rPr>
                <w:rFonts w:asciiTheme="majorHAnsi" w:hAnsiTheme="majorHAnsi"/>
                <w:color w:val="000000" w:themeColor="text1"/>
                <w:sz w:val="16"/>
                <w:szCs w:val="16"/>
                <w:lang w:val="es-ES"/>
              </w:rPr>
              <w:t xml:space="preserve"> i</w:t>
            </w:r>
            <w:r w:rsidR="00602ABD" w:rsidRPr="004768D0">
              <w:rPr>
                <w:rFonts w:asciiTheme="majorHAnsi" w:hAnsiTheme="majorHAnsi"/>
                <w:color w:val="000000" w:themeColor="text1"/>
                <w:sz w:val="16"/>
                <w:szCs w:val="16"/>
                <w:lang w:val="es-ES"/>
              </w:rPr>
              <w:t xml:space="preserve">ba a la panadería a comprar leche para su hijo. Lo colocaron en el vehículo policial, donde lo retuvieron hasta las </w:t>
            </w:r>
            <w:r w:rsidR="001E7F07" w:rsidRPr="004768D0">
              <w:rPr>
                <w:rFonts w:asciiTheme="majorHAnsi" w:hAnsiTheme="majorHAnsi"/>
                <w:color w:val="000000" w:themeColor="text1"/>
                <w:sz w:val="16"/>
                <w:szCs w:val="16"/>
                <w:lang w:val="es-ES"/>
              </w:rPr>
              <w:t>2</w:t>
            </w:r>
            <w:r w:rsidR="00602ABD" w:rsidRPr="004768D0">
              <w:rPr>
                <w:rFonts w:asciiTheme="majorHAnsi" w:hAnsiTheme="majorHAnsi"/>
                <w:color w:val="000000" w:themeColor="text1"/>
                <w:sz w:val="16"/>
                <w:szCs w:val="16"/>
                <w:lang w:val="es-ES"/>
              </w:rPr>
              <w:t xml:space="preserve">:00 horas de la </w:t>
            </w:r>
            <w:r w:rsidR="001E7F07" w:rsidRPr="004768D0">
              <w:rPr>
                <w:rFonts w:asciiTheme="majorHAnsi" w:hAnsiTheme="majorHAnsi"/>
                <w:color w:val="000000" w:themeColor="text1"/>
                <w:sz w:val="16"/>
                <w:szCs w:val="16"/>
                <w:lang w:val="es-ES"/>
              </w:rPr>
              <w:t xml:space="preserve">madrugada, </w:t>
            </w:r>
            <w:r w:rsidR="00602ABD" w:rsidRPr="004768D0">
              <w:rPr>
                <w:rFonts w:asciiTheme="majorHAnsi" w:hAnsiTheme="majorHAnsi"/>
                <w:color w:val="000000" w:themeColor="text1"/>
                <w:sz w:val="16"/>
                <w:szCs w:val="16"/>
                <w:lang w:val="es-ES"/>
              </w:rPr>
              <w:t xml:space="preserve">y después lo llevaron a </w:t>
            </w:r>
            <w:r w:rsidR="001E7F07" w:rsidRPr="004768D0">
              <w:rPr>
                <w:rFonts w:asciiTheme="majorHAnsi" w:hAnsiTheme="majorHAnsi"/>
                <w:color w:val="000000" w:themeColor="text1"/>
                <w:sz w:val="16"/>
                <w:szCs w:val="16"/>
                <w:lang w:val="es-ES"/>
              </w:rPr>
              <w:t>Morro Nova Cintra</w:t>
            </w:r>
            <w:r w:rsidR="00602ABD" w:rsidRPr="004768D0">
              <w:rPr>
                <w:rFonts w:asciiTheme="majorHAnsi" w:hAnsiTheme="majorHAnsi"/>
                <w:color w:val="000000" w:themeColor="text1"/>
                <w:sz w:val="16"/>
                <w:szCs w:val="16"/>
                <w:lang w:val="es-ES"/>
              </w:rPr>
              <w:t xml:space="preserve">, donde fue golpeado por seis </w:t>
            </w:r>
            <w:r w:rsidR="00E04ED3" w:rsidRPr="004768D0">
              <w:rPr>
                <w:rFonts w:asciiTheme="majorHAnsi" w:hAnsiTheme="majorHAnsi"/>
                <w:color w:val="000000" w:themeColor="text1"/>
                <w:sz w:val="16"/>
                <w:szCs w:val="16"/>
                <w:lang w:val="es-ES"/>
              </w:rPr>
              <w:t>policías militares</w:t>
            </w:r>
            <w:r w:rsidR="001E7F07" w:rsidRPr="004768D0">
              <w:rPr>
                <w:rFonts w:asciiTheme="majorHAnsi" w:hAnsiTheme="majorHAnsi"/>
                <w:color w:val="000000" w:themeColor="text1"/>
                <w:sz w:val="16"/>
                <w:szCs w:val="16"/>
                <w:lang w:val="es-ES"/>
              </w:rPr>
              <w:t>, u</w:t>
            </w:r>
            <w:r w:rsidR="00602ABD" w:rsidRPr="004768D0">
              <w:rPr>
                <w:rFonts w:asciiTheme="majorHAnsi" w:hAnsiTheme="majorHAnsi"/>
                <w:color w:val="000000" w:themeColor="text1"/>
                <w:sz w:val="16"/>
                <w:szCs w:val="16"/>
                <w:lang w:val="es-ES"/>
              </w:rPr>
              <w:t>no de los cuales dijo que iba a matarlo</w:t>
            </w:r>
            <w:r w:rsidR="009B1E73">
              <w:rPr>
                <w:rFonts w:asciiTheme="majorHAnsi" w:hAnsiTheme="majorHAnsi"/>
                <w:color w:val="000000" w:themeColor="text1"/>
                <w:sz w:val="16"/>
                <w:szCs w:val="16"/>
                <w:lang w:val="es-ES"/>
              </w:rPr>
              <w:t>,</w:t>
            </w:r>
            <w:r w:rsidR="00602ABD" w:rsidRPr="004768D0">
              <w:rPr>
                <w:rFonts w:asciiTheme="majorHAnsi" w:hAnsiTheme="majorHAnsi"/>
                <w:color w:val="000000" w:themeColor="text1"/>
                <w:sz w:val="16"/>
                <w:szCs w:val="16"/>
                <w:lang w:val="es-ES"/>
              </w:rPr>
              <w:t xml:space="preserve"> como lo había hecho con su hermano. </w:t>
            </w:r>
            <w:r w:rsidR="001E7F07" w:rsidRPr="004768D0">
              <w:rPr>
                <w:rFonts w:asciiTheme="majorHAnsi" w:hAnsiTheme="majorHAnsi"/>
                <w:color w:val="000000" w:themeColor="text1"/>
                <w:sz w:val="16"/>
                <w:szCs w:val="16"/>
                <w:lang w:val="es-ES"/>
              </w:rPr>
              <w:t xml:space="preserve">Por </w:t>
            </w:r>
            <w:r w:rsidR="00602ABD" w:rsidRPr="004768D0">
              <w:rPr>
                <w:rFonts w:asciiTheme="majorHAnsi" w:hAnsiTheme="majorHAnsi"/>
                <w:color w:val="000000" w:themeColor="text1"/>
                <w:sz w:val="16"/>
                <w:szCs w:val="16"/>
                <w:lang w:val="es-ES"/>
              </w:rPr>
              <w:t xml:space="preserve">último, lo llevaron al Primer </w:t>
            </w:r>
            <w:r w:rsidR="001E7F07" w:rsidRPr="004768D0">
              <w:rPr>
                <w:rFonts w:asciiTheme="majorHAnsi" w:hAnsiTheme="majorHAnsi"/>
                <w:color w:val="000000" w:themeColor="text1"/>
                <w:sz w:val="16"/>
                <w:szCs w:val="16"/>
                <w:lang w:val="es-ES"/>
              </w:rPr>
              <w:t>Distrito Policial</w:t>
            </w:r>
            <w:r w:rsidR="00602ABD" w:rsidRPr="004768D0">
              <w:rPr>
                <w:rFonts w:asciiTheme="majorHAnsi" w:hAnsiTheme="majorHAnsi"/>
                <w:color w:val="000000" w:themeColor="text1"/>
                <w:sz w:val="16"/>
                <w:szCs w:val="16"/>
                <w:lang w:val="es-ES"/>
              </w:rPr>
              <w:t xml:space="preserve"> y lo acusaron falsamente de portar un ladrillo de </w:t>
            </w:r>
            <w:r w:rsidR="001F69B8" w:rsidRPr="004768D0">
              <w:rPr>
                <w:rFonts w:asciiTheme="majorHAnsi" w:hAnsiTheme="majorHAnsi"/>
                <w:color w:val="000000" w:themeColor="text1"/>
                <w:sz w:val="16"/>
                <w:szCs w:val="16"/>
                <w:lang w:val="es-ES"/>
              </w:rPr>
              <w:t>marihuana</w:t>
            </w:r>
            <w:r w:rsidR="001E7F07" w:rsidRPr="004768D0">
              <w:rPr>
                <w:rFonts w:asciiTheme="majorHAnsi" w:hAnsiTheme="majorHAnsi"/>
                <w:color w:val="000000" w:themeColor="text1"/>
                <w:sz w:val="16"/>
                <w:szCs w:val="16"/>
                <w:lang w:val="es-ES"/>
              </w:rPr>
              <w:t xml:space="preserve">. </w:t>
            </w:r>
            <w:r w:rsidR="00FC4885" w:rsidRPr="004768D0">
              <w:rPr>
                <w:rFonts w:asciiTheme="majorHAnsi" w:hAnsiTheme="majorHAnsi"/>
                <w:color w:val="000000" w:themeColor="text1"/>
                <w:sz w:val="16"/>
                <w:szCs w:val="16"/>
                <w:lang w:val="es-ES"/>
              </w:rPr>
              <w:t>A raíz de la imputación, fue</w:t>
            </w:r>
            <w:r w:rsidR="001E7F07" w:rsidRPr="004768D0">
              <w:rPr>
                <w:rFonts w:asciiTheme="majorHAnsi" w:hAnsiTheme="majorHAnsi"/>
                <w:color w:val="000000" w:themeColor="text1"/>
                <w:sz w:val="16"/>
                <w:szCs w:val="16"/>
                <w:lang w:val="es-ES"/>
              </w:rPr>
              <w:t xml:space="preserve"> condenado </w:t>
            </w:r>
            <w:r w:rsidR="00FC4885" w:rsidRPr="004768D0">
              <w:rPr>
                <w:rFonts w:asciiTheme="majorHAnsi" w:hAnsiTheme="majorHAnsi"/>
                <w:color w:val="000000" w:themeColor="text1"/>
                <w:sz w:val="16"/>
                <w:szCs w:val="16"/>
                <w:lang w:val="es-ES"/>
              </w:rPr>
              <w:t xml:space="preserve">en el proceso delictivo </w:t>
            </w:r>
            <w:proofErr w:type="spellStart"/>
            <w:r w:rsidR="00FC4885" w:rsidRPr="004768D0">
              <w:rPr>
                <w:rFonts w:asciiTheme="majorHAnsi" w:hAnsiTheme="majorHAnsi"/>
                <w:color w:val="000000" w:themeColor="text1"/>
                <w:sz w:val="16"/>
                <w:szCs w:val="16"/>
                <w:lang w:val="es-ES"/>
              </w:rPr>
              <w:t>N.</w:t>
            </w:r>
            <w:r w:rsidR="00FC4885" w:rsidRPr="004768D0">
              <w:rPr>
                <w:rFonts w:asciiTheme="majorHAnsi" w:hAnsiTheme="majorHAnsi"/>
                <w:color w:val="000000" w:themeColor="text1"/>
                <w:sz w:val="16"/>
                <w:szCs w:val="16"/>
                <w:vertAlign w:val="superscript"/>
                <w:lang w:val="es-ES"/>
              </w:rPr>
              <w:t>o</w:t>
            </w:r>
            <w:proofErr w:type="spellEnd"/>
            <w:r w:rsidR="001E7F07" w:rsidRPr="004768D0">
              <w:rPr>
                <w:rFonts w:asciiTheme="majorHAnsi" w:hAnsiTheme="majorHAnsi"/>
                <w:color w:val="000000" w:themeColor="text1"/>
                <w:sz w:val="16"/>
                <w:szCs w:val="16"/>
                <w:lang w:val="es-ES"/>
              </w:rPr>
              <w:t xml:space="preserve"> 834/07</w:t>
            </w:r>
            <w:r w:rsidR="00FC4885" w:rsidRPr="004768D0">
              <w:rPr>
                <w:rFonts w:asciiTheme="majorHAnsi" w:hAnsiTheme="majorHAnsi"/>
                <w:color w:val="000000" w:themeColor="text1"/>
                <w:sz w:val="16"/>
                <w:szCs w:val="16"/>
                <w:lang w:val="es-ES"/>
              </w:rPr>
              <w:t xml:space="preserve"> del Segundo Juzgado Penal </w:t>
            </w:r>
            <w:r w:rsidR="001E7F07" w:rsidRPr="004768D0">
              <w:rPr>
                <w:rFonts w:asciiTheme="majorHAnsi" w:hAnsiTheme="majorHAnsi"/>
                <w:color w:val="000000" w:themeColor="text1"/>
                <w:sz w:val="16"/>
                <w:szCs w:val="16"/>
                <w:lang w:val="es-ES"/>
              </w:rPr>
              <w:t xml:space="preserve">de Santos </w:t>
            </w:r>
            <w:r w:rsidR="00FC4885" w:rsidRPr="004768D0">
              <w:rPr>
                <w:rFonts w:asciiTheme="majorHAnsi" w:hAnsiTheme="majorHAnsi"/>
                <w:color w:val="000000" w:themeColor="text1"/>
                <w:sz w:val="16"/>
                <w:szCs w:val="16"/>
                <w:lang w:val="es-ES"/>
              </w:rPr>
              <w:t>y</w:t>
            </w:r>
            <w:r w:rsidR="001E7F07" w:rsidRPr="004768D0">
              <w:rPr>
                <w:rFonts w:asciiTheme="majorHAnsi" w:hAnsiTheme="majorHAnsi"/>
                <w:color w:val="000000" w:themeColor="text1"/>
                <w:sz w:val="16"/>
                <w:szCs w:val="16"/>
                <w:lang w:val="es-ES"/>
              </w:rPr>
              <w:t xml:space="preserve"> cump</w:t>
            </w:r>
            <w:r w:rsidR="00FC4885" w:rsidRPr="004768D0">
              <w:rPr>
                <w:rFonts w:asciiTheme="majorHAnsi" w:hAnsiTheme="majorHAnsi"/>
                <w:color w:val="000000" w:themeColor="text1"/>
                <w:sz w:val="16"/>
                <w:szCs w:val="16"/>
                <w:lang w:val="es-ES"/>
              </w:rPr>
              <w:t>l</w:t>
            </w:r>
            <w:r w:rsidR="001E7F07" w:rsidRPr="004768D0">
              <w:rPr>
                <w:rFonts w:asciiTheme="majorHAnsi" w:hAnsiTheme="majorHAnsi"/>
                <w:color w:val="000000" w:themeColor="text1"/>
                <w:sz w:val="16"/>
                <w:szCs w:val="16"/>
                <w:lang w:val="es-ES"/>
              </w:rPr>
              <w:t xml:space="preserve">e </w:t>
            </w:r>
            <w:r w:rsidR="00FC4885" w:rsidRPr="004768D0">
              <w:rPr>
                <w:rFonts w:asciiTheme="majorHAnsi" w:hAnsiTheme="majorHAnsi"/>
                <w:color w:val="000000" w:themeColor="text1"/>
                <w:sz w:val="16"/>
                <w:szCs w:val="16"/>
                <w:lang w:val="es-ES"/>
              </w:rPr>
              <w:t xml:space="preserve">la </w:t>
            </w:r>
            <w:r w:rsidR="001E7F07" w:rsidRPr="004768D0">
              <w:rPr>
                <w:rFonts w:asciiTheme="majorHAnsi" w:hAnsiTheme="majorHAnsi"/>
                <w:color w:val="000000" w:themeColor="text1"/>
                <w:sz w:val="16"/>
                <w:szCs w:val="16"/>
                <w:lang w:val="es-ES"/>
              </w:rPr>
              <w:t xml:space="preserve">pena </w:t>
            </w:r>
            <w:r w:rsidR="00FC4885" w:rsidRPr="004768D0">
              <w:rPr>
                <w:rFonts w:asciiTheme="majorHAnsi" w:hAnsiTheme="majorHAnsi"/>
                <w:color w:val="000000" w:themeColor="text1"/>
                <w:sz w:val="16"/>
                <w:szCs w:val="16"/>
                <w:lang w:val="es-ES"/>
              </w:rPr>
              <w:t>e</w:t>
            </w:r>
            <w:r w:rsidR="001E7F07" w:rsidRPr="004768D0">
              <w:rPr>
                <w:rFonts w:asciiTheme="majorHAnsi" w:hAnsiTheme="majorHAnsi"/>
                <w:color w:val="000000" w:themeColor="text1"/>
                <w:sz w:val="16"/>
                <w:szCs w:val="16"/>
                <w:lang w:val="es-ES"/>
              </w:rPr>
              <w:t>n</w:t>
            </w:r>
            <w:r w:rsidR="00FC4885" w:rsidRPr="004768D0">
              <w:rPr>
                <w:rFonts w:asciiTheme="majorHAnsi" w:hAnsiTheme="majorHAnsi"/>
                <w:color w:val="000000" w:themeColor="text1"/>
                <w:sz w:val="16"/>
                <w:szCs w:val="16"/>
                <w:lang w:val="es-ES"/>
              </w:rPr>
              <w:t xml:space="preserve"> </w:t>
            </w:r>
            <w:r w:rsidR="001E7F07" w:rsidRPr="004768D0">
              <w:rPr>
                <w:rFonts w:asciiTheme="majorHAnsi" w:hAnsiTheme="majorHAnsi"/>
                <w:color w:val="000000" w:themeColor="text1"/>
                <w:sz w:val="16"/>
                <w:szCs w:val="16"/>
                <w:lang w:val="es-ES"/>
              </w:rPr>
              <w:t>u</w:t>
            </w:r>
            <w:r w:rsidR="00FC4885" w:rsidRPr="004768D0">
              <w:rPr>
                <w:rFonts w:asciiTheme="majorHAnsi" w:hAnsiTheme="majorHAnsi"/>
                <w:color w:val="000000" w:themeColor="text1"/>
                <w:sz w:val="16"/>
                <w:szCs w:val="16"/>
                <w:lang w:val="es-ES"/>
              </w:rPr>
              <w:t>n</w:t>
            </w:r>
            <w:r w:rsidR="001E7F07" w:rsidRPr="004768D0">
              <w:rPr>
                <w:rFonts w:asciiTheme="majorHAnsi" w:hAnsiTheme="majorHAnsi"/>
                <w:color w:val="000000" w:themeColor="text1"/>
                <w:sz w:val="16"/>
                <w:szCs w:val="16"/>
                <w:lang w:val="es-ES"/>
              </w:rPr>
              <w:t xml:space="preserve">a </w:t>
            </w:r>
            <w:r w:rsidR="00C5080F" w:rsidRPr="004768D0">
              <w:rPr>
                <w:rFonts w:asciiTheme="majorHAnsi" w:hAnsiTheme="majorHAnsi"/>
                <w:color w:val="000000" w:themeColor="text1"/>
                <w:sz w:val="16"/>
                <w:szCs w:val="16"/>
                <w:lang w:val="es-ES"/>
              </w:rPr>
              <w:t xml:space="preserve">cárcel </w:t>
            </w:r>
            <w:r w:rsidR="001E7F07" w:rsidRPr="004768D0">
              <w:rPr>
                <w:rFonts w:asciiTheme="majorHAnsi" w:hAnsiTheme="majorHAnsi"/>
                <w:color w:val="000000" w:themeColor="text1"/>
                <w:sz w:val="16"/>
                <w:szCs w:val="16"/>
                <w:lang w:val="es-ES"/>
              </w:rPr>
              <w:t>d</w:t>
            </w:r>
            <w:r w:rsidR="00FC4885" w:rsidRPr="004768D0">
              <w:rPr>
                <w:rFonts w:asciiTheme="majorHAnsi" w:hAnsiTheme="majorHAnsi"/>
                <w:color w:val="000000" w:themeColor="text1"/>
                <w:sz w:val="16"/>
                <w:szCs w:val="16"/>
                <w:lang w:val="es-ES"/>
              </w:rPr>
              <w:t>el</w:t>
            </w:r>
            <w:r w:rsidR="001E7F07" w:rsidRPr="004768D0">
              <w:rPr>
                <w:rFonts w:asciiTheme="majorHAnsi" w:hAnsiTheme="majorHAnsi"/>
                <w:color w:val="000000" w:themeColor="text1"/>
                <w:sz w:val="16"/>
                <w:szCs w:val="16"/>
                <w:lang w:val="es-ES"/>
              </w:rPr>
              <w:t xml:space="preserve"> interior de São Paulo. </w:t>
            </w:r>
            <w:r w:rsidR="00C5080F" w:rsidRPr="004768D0">
              <w:rPr>
                <w:rFonts w:asciiTheme="majorHAnsi" w:hAnsiTheme="majorHAnsi"/>
                <w:color w:val="000000" w:themeColor="text1"/>
                <w:sz w:val="16"/>
                <w:szCs w:val="16"/>
                <w:lang w:val="es-ES"/>
              </w:rPr>
              <w:t xml:space="preserve">Durante el </w:t>
            </w:r>
            <w:r w:rsidR="001E7F07" w:rsidRPr="004768D0">
              <w:rPr>
                <w:rFonts w:asciiTheme="majorHAnsi" w:hAnsiTheme="majorHAnsi"/>
                <w:color w:val="000000" w:themeColor="text1"/>
                <w:sz w:val="16"/>
                <w:szCs w:val="16"/>
                <w:lang w:val="es-ES"/>
              </w:rPr>
              <w:t>interroga</w:t>
            </w:r>
            <w:r w:rsidR="00C5080F" w:rsidRPr="004768D0">
              <w:rPr>
                <w:rFonts w:asciiTheme="majorHAnsi" w:hAnsiTheme="majorHAnsi"/>
                <w:color w:val="000000" w:themeColor="text1"/>
                <w:sz w:val="16"/>
                <w:szCs w:val="16"/>
                <w:lang w:val="es-ES"/>
              </w:rPr>
              <w:t xml:space="preserve">torio </w:t>
            </w:r>
            <w:r w:rsidR="001E7F07" w:rsidRPr="004768D0">
              <w:rPr>
                <w:rFonts w:asciiTheme="majorHAnsi" w:hAnsiTheme="majorHAnsi"/>
                <w:color w:val="000000" w:themeColor="text1"/>
                <w:sz w:val="16"/>
                <w:szCs w:val="16"/>
                <w:lang w:val="es-ES"/>
              </w:rPr>
              <w:t>judicial</w:t>
            </w:r>
            <w:r w:rsidR="00C5080F" w:rsidRPr="004768D0">
              <w:rPr>
                <w:rFonts w:asciiTheme="majorHAnsi" w:hAnsiTheme="majorHAnsi"/>
                <w:color w:val="000000" w:themeColor="text1"/>
                <w:sz w:val="16"/>
                <w:szCs w:val="16"/>
                <w:lang w:val="es-ES"/>
              </w:rPr>
              <w:t xml:space="preserve"> en el marco del proceso penal en el cual fue </w:t>
            </w:r>
            <w:r w:rsidR="001E7F07" w:rsidRPr="004768D0">
              <w:rPr>
                <w:rFonts w:asciiTheme="majorHAnsi" w:hAnsiTheme="majorHAnsi"/>
                <w:color w:val="000000" w:themeColor="text1"/>
                <w:sz w:val="16"/>
                <w:szCs w:val="16"/>
                <w:lang w:val="es-ES"/>
              </w:rPr>
              <w:t xml:space="preserve">condenado por tráfico de drogas, </w:t>
            </w:r>
            <w:r w:rsidR="00C5080F" w:rsidRPr="004768D0">
              <w:rPr>
                <w:rFonts w:asciiTheme="majorHAnsi" w:hAnsiTheme="majorHAnsi"/>
                <w:color w:val="000000" w:themeColor="text1"/>
                <w:sz w:val="16"/>
                <w:szCs w:val="16"/>
                <w:lang w:val="es-ES"/>
              </w:rPr>
              <w:t>el hermano de la</w:t>
            </w:r>
            <w:r w:rsidR="001E7F07" w:rsidRPr="004768D0">
              <w:rPr>
                <w:rFonts w:asciiTheme="majorHAnsi" w:hAnsiTheme="majorHAnsi"/>
                <w:color w:val="000000" w:themeColor="text1"/>
                <w:sz w:val="16"/>
                <w:szCs w:val="16"/>
                <w:lang w:val="es-ES"/>
              </w:rPr>
              <w:t xml:space="preserve"> </w:t>
            </w:r>
            <w:r w:rsidR="000D0997" w:rsidRPr="004768D0">
              <w:rPr>
                <w:rFonts w:asciiTheme="majorHAnsi" w:hAnsiTheme="majorHAnsi"/>
                <w:color w:val="000000" w:themeColor="text1"/>
                <w:sz w:val="16"/>
                <w:szCs w:val="16"/>
                <w:lang w:val="es-ES"/>
              </w:rPr>
              <w:t>víctima</w:t>
            </w:r>
            <w:r w:rsidR="001E7F07" w:rsidRPr="004768D0">
              <w:rPr>
                <w:rFonts w:asciiTheme="majorHAnsi" w:hAnsiTheme="majorHAnsi"/>
                <w:color w:val="000000" w:themeColor="text1"/>
                <w:sz w:val="16"/>
                <w:szCs w:val="16"/>
                <w:lang w:val="es-ES"/>
              </w:rPr>
              <w:t xml:space="preserve"> </w:t>
            </w:r>
            <w:r w:rsidR="00C5080F" w:rsidRPr="004768D0">
              <w:rPr>
                <w:rFonts w:asciiTheme="majorHAnsi" w:hAnsiTheme="majorHAnsi"/>
                <w:color w:val="000000" w:themeColor="text1"/>
                <w:sz w:val="16"/>
                <w:szCs w:val="16"/>
                <w:lang w:val="es-ES"/>
              </w:rPr>
              <w:t>confirmó</w:t>
            </w:r>
            <w:r w:rsidR="001E7F07" w:rsidRPr="004768D0">
              <w:rPr>
                <w:rFonts w:asciiTheme="majorHAnsi" w:hAnsiTheme="majorHAnsi"/>
                <w:color w:val="000000" w:themeColor="text1"/>
                <w:sz w:val="16"/>
                <w:szCs w:val="16"/>
                <w:lang w:val="es-ES"/>
              </w:rPr>
              <w:t xml:space="preserve"> que u</w:t>
            </w:r>
            <w:r w:rsidR="00C5080F" w:rsidRPr="004768D0">
              <w:rPr>
                <w:rFonts w:asciiTheme="majorHAnsi" w:hAnsiTheme="majorHAnsi"/>
                <w:color w:val="000000" w:themeColor="text1"/>
                <w:sz w:val="16"/>
                <w:szCs w:val="16"/>
                <w:lang w:val="es-ES"/>
              </w:rPr>
              <w:t>no</w:t>
            </w:r>
            <w:r w:rsidR="001E7F07" w:rsidRPr="004768D0">
              <w:rPr>
                <w:rFonts w:asciiTheme="majorHAnsi" w:hAnsiTheme="majorHAnsi"/>
                <w:color w:val="000000" w:themeColor="text1"/>
                <w:sz w:val="16"/>
                <w:szCs w:val="16"/>
                <w:lang w:val="es-ES"/>
              </w:rPr>
              <w:t xml:space="preserve"> d</w:t>
            </w:r>
            <w:r w:rsidR="00C5080F" w:rsidRPr="004768D0">
              <w:rPr>
                <w:rFonts w:asciiTheme="majorHAnsi" w:hAnsiTheme="majorHAnsi"/>
                <w:color w:val="000000" w:themeColor="text1"/>
                <w:sz w:val="16"/>
                <w:szCs w:val="16"/>
                <w:lang w:val="es-ES"/>
              </w:rPr>
              <w:t>e l</w:t>
            </w:r>
            <w:r w:rsidR="001E7F07" w:rsidRPr="004768D0">
              <w:rPr>
                <w:rFonts w:asciiTheme="majorHAnsi" w:hAnsiTheme="majorHAnsi"/>
                <w:color w:val="000000" w:themeColor="text1"/>
                <w:sz w:val="16"/>
                <w:szCs w:val="16"/>
                <w:lang w:val="es-ES"/>
              </w:rPr>
              <w:t>os polic</w:t>
            </w:r>
            <w:r w:rsidR="00C5080F" w:rsidRPr="004768D0">
              <w:rPr>
                <w:rFonts w:asciiTheme="majorHAnsi" w:hAnsiTheme="majorHAnsi"/>
                <w:color w:val="000000" w:themeColor="text1"/>
                <w:sz w:val="16"/>
                <w:szCs w:val="16"/>
                <w:lang w:val="es-ES"/>
              </w:rPr>
              <w:t>ías que lo arrestaron lo amenaz</w:t>
            </w:r>
            <w:r w:rsidR="009B1E73">
              <w:rPr>
                <w:rFonts w:asciiTheme="majorHAnsi" w:hAnsiTheme="majorHAnsi"/>
                <w:color w:val="000000" w:themeColor="text1"/>
                <w:sz w:val="16"/>
                <w:szCs w:val="16"/>
                <w:lang w:val="es-ES"/>
              </w:rPr>
              <w:t>ó</w:t>
            </w:r>
            <w:r w:rsidR="00C5080F" w:rsidRPr="004768D0">
              <w:rPr>
                <w:rFonts w:asciiTheme="majorHAnsi" w:hAnsiTheme="majorHAnsi"/>
                <w:color w:val="000000" w:themeColor="text1"/>
                <w:sz w:val="16"/>
                <w:szCs w:val="16"/>
                <w:lang w:val="es-ES"/>
              </w:rPr>
              <w:t xml:space="preserve"> con matarlo igual que a su hermano. En una conversación con su madre</w:t>
            </w:r>
            <w:r w:rsidR="001E7F07" w:rsidRPr="004768D0">
              <w:rPr>
                <w:rFonts w:asciiTheme="majorHAnsi" w:hAnsiTheme="majorHAnsi"/>
                <w:color w:val="000000" w:themeColor="text1"/>
                <w:sz w:val="16"/>
                <w:szCs w:val="16"/>
                <w:lang w:val="es-ES"/>
              </w:rPr>
              <w:t xml:space="preserve"> durante </w:t>
            </w:r>
            <w:r w:rsidR="00C5080F" w:rsidRPr="004768D0">
              <w:rPr>
                <w:rFonts w:asciiTheme="majorHAnsi" w:hAnsiTheme="majorHAnsi"/>
                <w:color w:val="000000" w:themeColor="text1"/>
                <w:sz w:val="16"/>
                <w:szCs w:val="16"/>
                <w:lang w:val="es-ES"/>
              </w:rPr>
              <w:t xml:space="preserve">una </w:t>
            </w:r>
            <w:r w:rsidR="001E7F07" w:rsidRPr="004768D0">
              <w:rPr>
                <w:rFonts w:asciiTheme="majorHAnsi" w:hAnsiTheme="majorHAnsi"/>
                <w:color w:val="000000" w:themeColor="text1"/>
                <w:sz w:val="16"/>
                <w:szCs w:val="16"/>
                <w:lang w:val="es-ES"/>
              </w:rPr>
              <w:t xml:space="preserve">visita </w:t>
            </w:r>
            <w:r w:rsidR="00C5080F" w:rsidRPr="004768D0">
              <w:rPr>
                <w:rFonts w:asciiTheme="majorHAnsi" w:hAnsiTheme="majorHAnsi"/>
                <w:color w:val="000000" w:themeColor="text1"/>
                <w:sz w:val="16"/>
                <w:szCs w:val="16"/>
                <w:lang w:val="es-ES"/>
              </w:rPr>
              <w:t xml:space="preserve">a la cárcel, el hermano de la </w:t>
            </w:r>
            <w:r w:rsidR="000D0997" w:rsidRPr="004768D0">
              <w:rPr>
                <w:rFonts w:asciiTheme="majorHAnsi" w:hAnsiTheme="majorHAnsi"/>
                <w:color w:val="000000" w:themeColor="text1"/>
                <w:sz w:val="16"/>
                <w:szCs w:val="16"/>
                <w:lang w:val="es-ES"/>
              </w:rPr>
              <w:t>víctima</w:t>
            </w:r>
            <w:r w:rsidR="001E7F07" w:rsidRPr="004768D0">
              <w:rPr>
                <w:rFonts w:asciiTheme="majorHAnsi" w:hAnsiTheme="majorHAnsi"/>
                <w:color w:val="000000" w:themeColor="text1"/>
                <w:sz w:val="16"/>
                <w:szCs w:val="16"/>
                <w:lang w:val="es-ES"/>
              </w:rPr>
              <w:t xml:space="preserve"> </w:t>
            </w:r>
            <w:r w:rsidR="00C5080F" w:rsidRPr="004768D0">
              <w:rPr>
                <w:rFonts w:asciiTheme="majorHAnsi" w:hAnsiTheme="majorHAnsi"/>
                <w:color w:val="000000" w:themeColor="text1"/>
                <w:sz w:val="16"/>
                <w:szCs w:val="16"/>
                <w:lang w:val="es-ES"/>
              </w:rPr>
              <w:t>dijo que sabía el nombre del agente de policía que había hecho esa aseveración y que podía reconocerlo</w:t>
            </w:r>
            <w:r w:rsidR="001E7F07" w:rsidRPr="004768D0">
              <w:rPr>
                <w:rFonts w:asciiTheme="majorHAnsi" w:hAnsiTheme="majorHAnsi"/>
                <w:color w:val="000000" w:themeColor="text1"/>
                <w:sz w:val="16"/>
                <w:szCs w:val="16"/>
                <w:lang w:val="es-ES"/>
              </w:rPr>
              <w:t xml:space="preserve">, </w:t>
            </w:r>
            <w:r w:rsidR="00C5080F" w:rsidRPr="004768D0">
              <w:rPr>
                <w:rFonts w:asciiTheme="majorHAnsi" w:hAnsiTheme="majorHAnsi"/>
                <w:color w:val="000000" w:themeColor="text1"/>
                <w:sz w:val="16"/>
                <w:szCs w:val="16"/>
                <w:lang w:val="es-ES"/>
              </w:rPr>
              <w:t>pero que lo haría solo en secreto porque temía por s</w:t>
            </w:r>
            <w:r w:rsidR="001E7F07" w:rsidRPr="004768D0">
              <w:rPr>
                <w:rFonts w:asciiTheme="majorHAnsi" w:hAnsiTheme="majorHAnsi"/>
                <w:color w:val="000000" w:themeColor="text1"/>
                <w:sz w:val="16"/>
                <w:szCs w:val="16"/>
                <w:lang w:val="es-ES"/>
              </w:rPr>
              <w:t xml:space="preserve">u integridad física. Rita </w:t>
            </w:r>
            <w:r w:rsidR="00C5080F" w:rsidRPr="004768D0">
              <w:rPr>
                <w:rFonts w:asciiTheme="majorHAnsi" w:hAnsiTheme="majorHAnsi"/>
                <w:color w:val="000000" w:themeColor="text1"/>
                <w:sz w:val="16"/>
                <w:szCs w:val="16"/>
                <w:lang w:val="es-ES"/>
              </w:rPr>
              <w:t xml:space="preserve">contó también que, el día siguiente al </w:t>
            </w:r>
            <w:r w:rsidR="001E7F07" w:rsidRPr="004768D0">
              <w:rPr>
                <w:rFonts w:asciiTheme="majorHAnsi" w:hAnsiTheme="majorHAnsi"/>
                <w:color w:val="000000" w:themeColor="text1"/>
                <w:sz w:val="16"/>
                <w:szCs w:val="16"/>
                <w:lang w:val="es-ES"/>
              </w:rPr>
              <w:t>primer ataque oc</w:t>
            </w:r>
            <w:r w:rsidR="00C5080F" w:rsidRPr="004768D0">
              <w:rPr>
                <w:rFonts w:asciiTheme="majorHAnsi" w:hAnsiTheme="majorHAnsi"/>
                <w:color w:val="000000" w:themeColor="text1"/>
                <w:sz w:val="16"/>
                <w:szCs w:val="16"/>
                <w:lang w:val="es-ES"/>
              </w:rPr>
              <w:t>u</w:t>
            </w:r>
            <w:r w:rsidR="001E7F07" w:rsidRPr="004768D0">
              <w:rPr>
                <w:rFonts w:asciiTheme="majorHAnsi" w:hAnsiTheme="majorHAnsi"/>
                <w:color w:val="000000" w:themeColor="text1"/>
                <w:sz w:val="16"/>
                <w:szCs w:val="16"/>
                <w:lang w:val="es-ES"/>
              </w:rPr>
              <w:t xml:space="preserve">rrido </w:t>
            </w:r>
            <w:r w:rsidR="00C5080F" w:rsidRPr="004768D0">
              <w:rPr>
                <w:rFonts w:asciiTheme="majorHAnsi" w:hAnsiTheme="majorHAnsi"/>
                <w:color w:val="000000" w:themeColor="text1"/>
                <w:sz w:val="16"/>
                <w:szCs w:val="16"/>
                <w:lang w:val="es-ES"/>
              </w:rPr>
              <w:t xml:space="preserve">en la </w:t>
            </w:r>
            <w:r w:rsidR="00E770E8" w:rsidRPr="004768D0">
              <w:rPr>
                <w:rFonts w:asciiTheme="majorHAnsi" w:hAnsiTheme="majorHAnsi"/>
                <w:color w:val="000000" w:themeColor="text1"/>
                <w:sz w:val="16"/>
                <w:szCs w:val="16"/>
                <w:lang w:val="es-ES"/>
              </w:rPr>
              <w:t>pizzería</w:t>
            </w:r>
            <w:r w:rsidR="00A70AAA" w:rsidRPr="004768D0">
              <w:rPr>
                <w:rFonts w:asciiTheme="majorHAnsi" w:hAnsiTheme="majorHAnsi"/>
                <w:color w:val="000000" w:themeColor="text1"/>
                <w:sz w:val="16"/>
                <w:szCs w:val="16"/>
                <w:lang w:val="es-ES"/>
              </w:rPr>
              <w:t xml:space="preserve"> y sala de juegos</w:t>
            </w:r>
            <w:r w:rsidR="00C5080F" w:rsidRPr="004768D0">
              <w:rPr>
                <w:rFonts w:asciiTheme="majorHAnsi" w:hAnsiTheme="majorHAnsi"/>
                <w:color w:val="000000" w:themeColor="text1"/>
                <w:sz w:val="16"/>
                <w:szCs w:val="16"/>
                <w:lang w:val="es-ES"/>
              </w:rPr>
              <w:t xml:space="preserve">, que cobró la vida de </w:t>
            </w:r>
            <w:r w:rsidR="001E7F07" w:rsidRPr="004768D0">
              <w:rPr>
                <w:rFonts w:asciiTheme="majorHAnsi" w:hAnsiTheme="majorHAnsi"/>
                <w:color w:val="000000" w:themeColor="text1"/>
                <w:sz w:val="16"/>
                <w:szCs w:val="16"/>
                <w:lang w:val="es-ES"/>
              </w:rPr>
              <w:t xml:space="preserve">Thiago </w:t>
            </w:r>
            <w:r w:rsidR="00C5080F" w:rsidRPr="004768D0">
              <w:rPr>
                <w:rFonts w:asciiTheme="majorHAnsi" w:hAnsiTheme="majorHAnsi"/>
                <w:color w:val="000000" w:themeColor="text1"/>
                <w:sz w:val="16"/>
                <w:szCs w:val="16"/>
                <w:lang w:val="es-ES"/>
              </w:rPr>
              <w:t>y</w:t>
            </w:r>
            <w:r w:rsidR="001E7F07" w:rsidRPr="004768D0">
              <w:rPr>
                <w:rFonts w:asciiTheme="majorHAnsi" w:hAnsiTheme="majorHAnsi"/>
                <w:color w:val="000000" w:themeColor="text1"/>
                <w:sz w:val="16"/>
                <w:szCs w:val="16"/>
                <w:lang w:val="es-ES"/>
              </w:rPr>
              <w:t xml:space="preserve"> Marcos, ese </w:t>
            </w:r>
            <w:r w:rsidR="007F4608" w:rsidRPr="004768D0">
              <w:rPr>
                <w:rFonts w:asciiTheme="majorHAnsi" w:hAnsiTheme="majorHAnsi"/>
                <w:color w:val="000000" w:themeColor="text1"/>
                <w:sz w:val="16"/>
                <w:szCs w:val="16"/>
                <w:lang w:val="es-ES"/>
              </w:rPr>
              <w:t>hermano de</w:t>
            </w:r>
            <w:r w:rsidR="001E7F07" w:rsidRPr="004768D0">
              <w:rPr>
                <w:rFonts w:asciiTheme="majorHAnsi" w:hAnsiTheme="majorHAnsi"/>
                <w:color w:val="000000" w:themeColor="text1"/>
                <w:sz w:val="16"/>
                <w:szCs w:val="16"/>
                <w:lang w:val="es-ES"/>
              </w:rPr>
              <w:t xml:space="preserve"> Rogério esta</w:t>
            </w:r>
            <w:r w:rsidR="00C5080F" w:rsidRPr="004768D0">
              <w:rPr>
                <w:rFonts w:asciiTheme="majorHAnsi" w:hAnsiTheme="majorHAnsi"/>
                <w:color w:val="000000" w:themeColor="text1"/>
                <w:sz w:val="16"/>
                <w:szCs w:val="16"/>
                <w:lang w:val="es-ES"/>
              </w:rPr>
              <w:t xml:space="preserve">ba en la calle con unos </w:t>
            </w:r>
            <w:r w:rsidR="001E7F07" w:rsidRPr="004768D0">
              <w:rPr>
                <w:rFonts w:asciiTheme="majorHAnsi" w:hAnsiTheme="majorHAnsi"/>
                <w:color w:val="000000" w:themeColor="text1"/>
                <w:sz w:val="16"/>
                <w:szCs w:val="16"/>
                <w:lang w:val="es-ES"/>
              </w:rPr>
              <w:t>amigos</w:t>
            </w:r>
            <w:r w:rsidR="00C5080F" w:rsidRPr="004768D0">
              <w:rPr>
                <w:rFonts w:asciiTheme="majorHAnsi" w:hAnsiTheme="majorHAnsi"/>
                <w:color w:val="000000" w:themeColor="text1"/>
                <w:sz w:val="16"/>
                <w:szCs w:val="16"/>
                <w:lang w:val="es-ES"/>
              </w:rPr>
              <w:t xml:space="preserve"> c</w:t>
            </w:r>
            <w:r w:rsidR="001E7F07" w:rsidRPr="004768D0">
              <w:rPr>
                <w:rFonts w:asciiTheme="majorHAnsi" w:hAnsiTheme="majorHAnsi"/>
                <w:color w:val="000000" w:themeColor="text1"/>
                <w:sz w:val="16"/>
                <w:szCs w:val="16"/>
                <w:lang w:val="es-ES"/>
              </w:rPr>
              <w:t>uando pas</w:t>
            </w:r>
            <w:r w:rsidR="00C5080F" w:rsidRPr="004768D0">
              <w:rPr>
                <w:rFonts w:asciiTheme="majorHAnsi" w:hAnsiTheme="majorHAnsi"/>
                <w:color w:val="000000" w:themeColor="text1"/>
                <w:sz w:val="16"/>
                <w:szCs w:val="16"/>
                <w:lang w:val="es-ES"/>
              </w:rPr>
              <w:t xml:space="preserve">ó un vehículo de la </w:t>
            </w:r>
            <w:r w:rsidR="00372008" w:rsidRPr="004768D0">
              <w:rPr>
                <w:rFonts w:asciiTheme="majorHAnsi" w:hAnsiTheme="majorHAnsi"/>
                <w:color w:val="000000" w:themeColor="text1"/>
                <w:sz w:val="16"/>
                <w:szCs w:val="16"/>
                <w:lang w:val="es-ES"/>
              </w:rPr>
              <w:t>Policía</w:t>
            </w:r>
            <w:r w:rsidR="001E7F07" w:rsidRPr="004768D0">
              <w:rPr>
                <w:rFonts w:asciiTheme="majorHAnsi" w:hAnsiTheme="majorHAnsi"/>
                <w:color w:val="000000" w:themeColor="text1"/>
                <w:sz w:val="16"/>
                <w:szCs w:val="16"/>
                <w:lang w:val="es-ES"/>
              </w:rPr>
              <w:t xml:space="preserve"> Militar </w:t>
            </w:r>
            <w:r w:rsidR="00C5080F" w:rsidRPr="004768D0">
              <w:rPr>
                <w:rFonts w:asciiTheme="majorHAnsi" w:hAnsiTheme="majorHAnsi"/>
                <w:color w:val="000000" w:themeColor="text1"/>
                <w:sz w:val="16"/>
                <w:szCs w:val="16"/>
                <w:lang w:val="es-ES"/>
              </w:rPr>
              <w:t>y</w:t>
            </w:r>
            <w:r w:rsidR="001E7F07" w:rsidRPr="004768D0">
              <w:rPr>
                <w:rFonts w:asciiTheme="majorHAnsi" w:hAnsiTheme="majorHAnsi"/>
                <w:color w:val="000000" w:themeColor="text1"/>
                <w:sz w:val="16"/>
                <w:szCs w:val="16"/>
                <w:lang w:val="es-ES"/>
              </w:rPr>
              <w:t xml:space="preserve"> </w:t>
            </w:r>
            <w:r w:rsidR="004744F0" w:rsidRPr="004768D0">
              <w:rPr>
                <w:rFonts w:asciiTheme="majorHAnsi" w:hAnsiTheme="majorHAnsi"/>
                <w:color w:val="000000" w:themeColor="text1"/>
                <w:sz w:val="16"/>
                <w:szCs w:val="16"/>
                <w:lang w:val="es-ES"/>
              </w:rPr>
              <w:t>“</w:t>
            </w:r>
            <w:proofErr w:type="spellStart"/>
            <w:r w:rsidR="001E7F07" w:rsidRPr="004768D0">
              <w:rPr>
                <w:rFonts w:asciiTheme="majorHAnsi" w:hAnsiTheme="majorHAnsi"/>
                <w:color w:val="000000" w:themeColor="text1"/>
                <w:sz w:val="16"/>
                <w:szCs w:val="16"/>
                <w:lang w:val="es-ES"/>
              </w:rPr>
              <w:t>Bubu</w:t>
            </w:r>
            <w:proofErr w:type="spellEnd"/>
            <w:r w:rsidR="004744F0" w:rsidRPr="004768D0">
              <w:rPr>
                <w:rFonts w:asciiTheme="majorHAnsi" w:hAnsiTheme="majorHAnsi"/>
                <w:color w:val="000000" w:themeColor="text1"/>
                <w:sz w:val="16"/>
                <w:szCs w:val="16"/>
                <w:lang w:val="es-ES"/>
              </w:rPr>
              <w:t>”</w:t>
            </w:r>
            <w:r w:rsidR="001E7F07" w:rsidRPr="004768D0">
              <w:rPr>
                <w:rFonts w:asciiTheme="majorHAnsi" w:hAnsiTheme="majorHAnsi"/>
                <w:color w:val="000000" w:themeColor="text1"/>
                <w:sz w:val="16"/>
                <w:szCs w:val="16"/>
                <w:lang w:val="es-ES"/>
              </w:rPr>
              <w:t xml:space="preserve"> </w:t>
            </w:r>
            <w:r w:rsidR="00C5080F" w:rsidRPr="004768D0">
              <w:rPr>
                <w:rFonts w:asciiTheme="majorHAnsi" w:hAnsiTheme="majorHAnsi"/>
                <w:color w:val="000000" w:themeColor="text1"/>
                <w:sz w:val="16"/>
                <w:szCs w:val="16"/>
                <w:lang w:val="es-ES"/>
              </w:rPr>
              <w:t xml:space="preserve">les avisó que tuvieran </w:t>
            </w:r>
            <w:r w:rsidR="004744F0" w:rsidRPr="004768D0">
              <w:rPr>
                <w:rFonts w:asciiTheme="majorHAnsi" w:hAnsiTheme="majorHAnsi"/>
                <w:color w:val="000000" w:themeColor="text1"/>
                <w:sz w:val="16"/>
                <w:szCs w:val="16"/>
                <w:lang w:val="es-ES"/>
              </w:rPr>
              <w:t>“</w:t>
            </w:r>
            <w:r w:rsidR="001E7F07" w:rsidRPr="004768D0">
              <w:rPr>
                <w:rFonts w:asciiTheme="majorHAnsi" w:hAnsiTheme="majorHAnsi"/>
                <w:color w:val="000000" w:themeColor="text1"/>
                <w:sz w:val="16"/>
                <w:szCs w:val="16"/>
                <w:lang w:val="es-ES"/>
              </w:rPr>
              <w:t>cuidado co</w:t>
            </w:r>
            <w:r w:rsidR="00C5080F" w:rsidRPr="004768D0">
              <w:rPr>
                <w:rFonts w:asciiTheme="majorHAnsi" w:hAnsiTheme="majorHAnsi"/>
                <w:color w:val="000000" w:themeColor="text1"/>
                <w:sz w:val="16"/>
                <w:szCs w:val="16"/>
                <w:lang w:val="es-ES"/>
              </w:rPr>
              <w:t>n l</w:t>
            </w:r>
            <w:r w:rsidR="001E7F07" w:rsidRPr="004768D0">
              <w:rPr>
                <w:rFonts w:asciiTheme="majorHAnsi" w:hAnsiTheme="majorHAnsi"/>
                <w:color w:val="000000" w:themeColor="text1"/>
                <w:sz w:val="16"/>
                <w:szCs w:val="16"/>
                <w:lang w:val="es-ES"/>
              </w:rPr>
              <w:t>os ninjas, p</w:t>
            </w:r>
            <w:r w:rsidR="00C5080F" w:rsidRPr="004768D0">
              <w:rPr>
                <w:rFonts w:asciiTheme="majorHAnsi" w:hAnsiTheme="majorHAnsi"/>
                <w:color w:val="000000" w:themeColor="text1"/>
                <w:sz w:val="16"/>
                <w:szCs w:val="16"/>
                <w:lang w:val="es-ES"/>
              </w:rPr>
              <w:t>ues ellos morirían como los tres de la noche</w:t>
            </w:r>
            <w:r w:rsidR="001E7F07" w:rsidRPr="004768D0">
              <w:rPr>
                <w:rFonts w:asciiTheme="majorHAnsi" w:hAnsiTheme="majorHAnsi"/>
                <w:color w:val="000000" w:themeColor="text1"/>
                <w:sz w:val="16"/>
                <w:szCs w:val="16"/>
                <w:lang w:val="es-ES"/>
              </w:rPr>
              <w:t xml:space="preserve"> anterior</w:t>
            </w:r>
            <w:r w:rsidR="004744F0" w:rsidRPr="004768D0">
              <w:rPr>
                <w:rFonts w:asciiTheme="majorHAnsi" w:hAnsiTheme="majorHAnsi"/>
                <w:color w:val="000000" w:themeColor="text1"/>
                <w:sz w:val="16"/>
                <w:szCs w:val="16"/>
                <w:lang w:val="es-ES"/>
              </w:rPr>
              <w:t>”</w:t>
            </w:r>
            <w:r w:rsidR="001E7F07" w:rsidRPr="004768D0">
              <w:rPr>
                <w:rFonts w:asciiTheme="majorHAnsi" w:hAnsiTheme="majorHAnsi"/>
                <w:color w:val="000000" w:themeColor="text1"/>
                <w:sz w:val="16"/>
                <w:szCs w:val="16"/>
                <w:lang w:val="es-ES"/>
              </w:rPr>
              <w:t>.</w:t>
            </w:r>
          </w:p>
          <w:p w14:paraId="46CA7F13" w14:textId="77777777" w:rsidR="003C5EF0" w:rsidRPr="004768D0" w:rsidRDefault="00C5080F" w:rsidP="00C5080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es-ES"/>
              </w:rPr>
            </w:pPr>
            <w:r w:rsidRPr="004768D0">
              <w:rPr>
                <w:rFonts w:asciiTheme="majorHAnsi" w:hAnsiTheme="majorHAnsi"/>
                <w:color w:val="000000" w:themeColor="text1"/>
                <w:sz w:val="16"/>
                <w:szCs w:val="16"/>
                <w:lang w:val="es-ES"/>
              </w:rPr>
              <w:t xml:space="preserve">La </w:t>
            </w:r>
            <w:r w:rsidR="00C03E33" w:rsidRPr="004768D0">
              <w:rPr>
                <w:rFonts w:asciiTheme="majorHAnsi" w:hAnsiTheme="majorHAnsi"/>
                <w:color w:val="000000" w:themeColor="text1"/>
                <w:sz w:val="16"/>
                <w:szCs w:val="16"/>
                <w:lang w:val="es-ES"/>
              </w:rPr>
              <w:t>investigación</w:t>
            </w:r>
            <w:r w:rsidR="001E7F07" w:rsidRPr="004768D0">
              <w:rPr>
                <w:rFonts w:asciiTheme="majorHAnsi" w:hAnsiTheme="majorHAnsi"/>
                <w:color w:val="000000" w:themeColor="text1"/>
                <w:sz w:val="16"/>
                <w:szCs w:val="16"/>
                <w:lang w:val="es-ES"/>
              </w:rPr>
              <w:t xml:space="preserve"> policial d</w:t>
            </w:r>
            <w:r w:rsidRPr="004768D0">
              <w:rPr>
                <w:rFonts w:asciiTheme="majorHAnsi" w:hAnsiTheme="majorHAnsi"/>
                <w:color w:val="000000" w:themeColor="text1"/>
                <w:sz w:val="16"/>
                <w:szCs w:val="16"/>
                <w:lang w:val="es-ES"/>
              </w:rPr>
              <w:t xml:space="preserve">e la muerte de </w:t>
            </w:r>
            <w:r w:rsidR="001E7F07" w:rsidRPr="004768D0">
              <w:rPr>
                <w:rFonts w:asciiTheme="majorHAnsi" w:hAnsiTheme="majorHAnsi"/>
                <w:color w:val="000000" w:themeColor="text1"/>
                <w:sz w:val="16"/>
                <w:szCs w:val="16"/>
                <w:lang w:val="es-ES"/>
              </w:rPr>
              <w:t>Rogério f</w:t>
            </w:r>
            <w:r w:rsidRPr="004768D0">
              <w:rPr>
                <w:rFonts w:asciiTheme="majorHAnsi" w:hAnsiTheme="majorHAnsi"/>
                <w:color w:val="000000" w:themeColor="text1"/>
                <w:sz w:val="16"/>
                <w:szCs w:val="16"/>
                <w:lang w:val="es-ES"/>
              </w:rPr>
              <w:t xml:space="preserve">ue archivada el </w:t>
            </w:r>
            <w:r w:rsidR="001E7F07" w:rsidRPr="004768D0">
              <w:rPr>
                <w:rFonts w:asciiTheme="majorHAnsi" w:hAnsiTheme="majorHAnsi"/>
                <w:color w:val="000000" w:themeColor="text1"/>
                <w:sz w:val="16"/>
                <w:szCs w:val="16"/>
                <w:lang w:val="es-ES"/>
              </w:rPr>
              <w:t xml:space="preserve">18 de </w:t>
            </w:r>
            <w:r w:rsidR="007F4608" w:rsidRPr="004768D0">
              <w:rPr>
                <w:rFonts w:asciiTheme="majorHAnsi" w:hAnsiTheme="majorHAnsi"/>
                <w:color w:val="000000" w:themeColor="text1"/>
                <w:sz w:val="16"/>
                <w:szCs w:val="16"/>
                <w:lang w:val="es-ES"/>
              </w:rPr>
              <w:t>marzo</w:t>
            </w:r>
            <w:r w:rsidR="001E7F07" w:rsidRPr="004768D0">
              <w:rPr>
                <w:rFonts w:asciiTheme="majorHAnsi" w:hAnsiTheme="majorHAnsi"/>
                <w:color w:val="000000" w:themeColor="text1"/>
                <w:sz w:val="16"/>
                <w:szCs w:val="16"/>
                <w:lang w:val="es-ES"/>
              </w:rPr>
              <w:t xml:space="preserve"> de 2008 </w:t>
            </w:r>
            <w:r w:rsidRPr="004768D0">
              <w:rPr>
                <w:rFonts w:asciiTheme="majorHAnsi" w:hAnsiTheme="majorHAnsi"/>
                <w:color w:val="000000" w:themeColor="text1"/>
                <w:sz w:val="16"/>
                <w:szCs w:val="16"/>
                <w:lang w:val="es-ES"/>
              </w:rPr>
              <w:t>y el delito quedó sin resolver</w:t>
            </w:r>
            <w:r w:rsidR="001E7F07" w:rsidRPr="004768D0">
              <w:rPr>
                <w:rFonts w:asciiTheme="majorHAnsi" w:hAnsiTheme="majorHAnsi"/>
                <w:color w:val="000000" w:themeColor="text1"/>
                <w:sz w:val="16"/>
                <w:szCs w:val="16"/>
                <w:lang w:val="es-ES"/>
              </w:rPr>
              <w:t>.</w:t>
            </w:r>
          </w:p>
        </w:tc>
      </w:tr>
    </w:tbl>
    <w:p w14:paraId="1979F22A" w14:textId="77777777" w:rsidR="00F17F2E" w:rsidRPr="004768D0" w:rsidRDefault="00F17F2E" w:rsidP="00DD145E">
      <w:pPr>
        <w:jc w:val="both"/>
        <w:rPr>
          <w:rFonts w:asciiTheme="majorHAnsi" w:hAnsiTheme="majorHAnsi"/>
          <w:bCs/>
          <w:color w:val="000000" w:themeColor="text1"/>
          <w:sz w:val="20"/>
          <w:szCs w:val="20"/>
          <w:lang w:val="es-ES"/>
        </w:rPr>
      </w:pPr>
    </w:p>
    <w:p w14:paraId="764BF684" w14:textId="77777777" w:rsidR="001E7F07" w:rsidRPr="004768D0" w:rsidRDefault="003C58C5"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Por su</w:t>
      </w:r>
      <w:r w:rsidR="00DD145E" w:rsidRPr="004768D0">
        <w:rPr>
          <w:rFonts w:asciiTheme="majorHAnsi" w:hAnsiTheme="majorHAnsi"/>
          <w:bCs/>
          <w:color w:val="000000" w:themeColor="text1"/>
          <w:sz w:val="20"/>
          <w:szCs w:val="20"/>
          <w:lang w:val="es-ES"/>
        </w:rPr>
        <w:t xml:space="preserve"> parte, </w:t>
      </w:r>
      <w:r w:rsidRPr="004768D0">
        <w:rPr>
          <w:rFonts w:asciiTheme="majorHAnsi" w:hAnsiTheme="majorHAnsi"/>
          <w:bCs/>
          <w:color w:val="000000" w:themeColor="text1"/>
          <w:sz w:val="20"/>
          <w:szCs w:val="20"/>
          <w:lang w:val="es-ES"/>
        </w:rPr>
        <w:t>el Estado</w:t>
      </w:r>
      <w:r w:rsidR="00DD145E" w:rsidRPr="004768D0">
        <w:rPr>
          <w:rFonts w:asciiTheme="majorHAnsi" w:hAnsiTheme="majorHAnsi"/>
          <w:bCs/>
          <w:color w:val="000000" w:themeColor="text1"/>
          <w:sz w:val="20"/>
          <w:szCs w:val="20"/>
          <w:lang w:val="es-ES"/>
        </w:rPr>
        <w:t xml:space="preserve"> a</w:t>
      </w:r>
      <w:r w:rsidR="00462731" w:rsidRPr="004768D0">
        <w:rPr>
          <w:rFonts w:asciiTheme="majorHAnsi" w:hAnsiTheme="majorHAnsi"/>
          <w:bCs/>
          <w:color w:val="000000" w:themeColor="text1"/>
          <w:sz w:val="20"/>
          <w:szCs w:val="20"/>
          <w:lang w:val="es-ES"/>
        </w:rPr>
        <w:t xml:space="preserve">firmó </w:t>
      </w:r>
      <w:r w:rsidR="00DD145E" w:rsidRPr="004768D0">
        <w:rPr>
          <w:rFonts w:asciiTheme="majorHAnsi" w:hAnsiTheme="majorHAnsi"/>
          <w:bCs/>
          <w:color w:val="000000" w:themeColor="text1"/>
          <w:sz w:val="20"/>
          <w:szCs w:val="20"/>
          <w:lang w:val="es-ES"/>
        </w:rPr>
        <w:t>que</w:t>
      </w:r>
      <w:r w:rsidR="00235691" w:rsidRPr="004768D0">
        <w:rPr>
          <w:rFonts w:asciiTheme="majorHAnsi" w:hAnsiTheme="majorHAnsi"/>
          <w:bCs/>
          <w:color w:val="000000" w:themeColor="text1"/>
          <w:sz w:val="20"/>
          <w:szCs w:val="20"/>
          <w:lang w:val="es-ES"/>
        </w:rPr>
        <w:t xml:space="preserve"> </w:t>
      </w:r>
      <w:r w:rsidR="00462731" w:rsidRPr="004768D0">
        <w:rPr>
          <w:rFonts w:asciiTheme="majorHAnsi" w:hAnsiTheme="majorHAnsi"/>
          <w:bCs/>
          <w:color w:val="000000" w:themeColor="text1"/>
          <w:sz w:val="20"/>
          <w:szCs w:val="20"/>
          <w:lang w:val="es-ES"/>
        </w:rPr>
        <w:t>el</w:t>
      </w:r>
      <w:r w:rsidR="00235691" w:rsidRPr="004768D0">
        <w:rPr>
          <w:rFonts w:asciiTheme="majorHAnsi" w:hAnsiTheme="majorHAnsi"/>
          <w:bCs/>
          <w:color w:val="000000" w:themeColor="text1"/>
          <w:sz w:val="20"/>
          <w:szCs w:val="20"/>
          <w:lang w:val="es-ES"/>
        </w:rPr>
        <w:t xml:space="preserve"> estado de São Paulo </w:t>
      </w:r>
      <w:r w:rsidR="00462731" w:rsidRPr="004768D0">
        <w:rPr>
          <w:rFonts w:asciiTheme="majorHAnsi" w:hAnsiTheme="majorHAnsi"/>
          <w:bCs/>
          <w:color w:val="000000" w:themeColor="text1"/>
          <w:sz w:val="20"/>
          <w:szCs w:val="20"/>
          <w:lang w:val="es-ES"/>
        </w:rPr>
        <w:t xml:space="preserve">atravesó una </w:t>
      </w:r>
      <w:r w:rsidR="004744F0" w:rsidRPr="004768D0">
        <w:rPr>
          <w:rFonts w:asciiTheme="majorHAnsi" w:hAnsiTheme="majorHAnsi"/>
          <w:bCs/>
          <w:color w:val="000000" w:themeColor="text1"/>
          <w:sz w:val="20"/>
          <w:szCs w:val="20"/>
          <w:lang w:val="es-ES"/>
        </w:rPr>
        <w:t>“</w:t>
      </w:r>
      <w:r w:rsidR="00235691" w:rsidRPr="004768D0">
        <w:rPr>
          <w:rFonts w:asciiTheme="majorHAnsi" w:hAnsiTheme="majorHAnsi"/>
          <w:bCs/>
          <w:color w:val="000000" w:themeColor="text1"/>
          <w:sz w:val="20"/>
          <w:szCs w:val="20"/>
          <w:lang w:val="es-ES"/>
        </w:rPr>
        <w:t>cris</w:t>
      </w:r>
      <w:r w:rsidR="00462731" w:rsidRPr="004768D0">
        <w:rPr>
          <w:rFonts w:asciiTheme="majorHAnsi" w:hAnsiTheme="majorHAnsi"/>
          <w:bCs/>
          <w:color w:val="000000" w:themeColor="text1"/>
          <w:sz w:val="20"/>
          <w:szCs w:val="20"/>
          <w:lang w:val="es-ES"/>
        </w:rPr>
        <w:t xml:space="preserve">is </w:t>
      </w:r>
      <w:r w:rsidR="00235691" w:rsidRPr="004768D0">
        <w:rPr>
          <w:rFonts w:asciiTheme="majorHAnsi" w:hAnsiTheme="majorHAnsi"/>
          <w:bCs/>
          <w:color w:val="000000" w:themeColor="text1"/>
          <w:sz w:val="20"/>
          <w:szCs w:val="20"/>
          <w:lang w:val="es-ES"/>
        </w:rPr>
        <w:t xml:space="preserve">de </w:t>
      </w:r>
      <w:r w:rsidR="00F41459" w:rsidRPr="004768D0">
        <w:rPr>
          <w:rFonts w:asciiTheme="majorHAnsi" w:hAnsiTheme="majorHAnsi"/>
          <w:bCs/>
          <w:color w:val="000000" w:themeColor="text1"/>
          <w:sz w:val="20"/>
          <w:szCs w:val="20"/>
          <w:lang w:val="es-ES"/>
        </w:rPr>
        <w:t>seguridad</w:t>
      </w:r>
      <w:r w:rsidR="00235691" w:rsidRPr="004768D0">
        <w:rPr>
          <w:rFonts w:asciiTheme="majorHAnsi" w:hAnsiTheme="majorHAnsi"/>
          <w:bCs/>
          <w:color w:val="000000" w:themeColor="text1"/>
          <w:sz w:val="20"/>
          <w:szCs w:val="20"/>
          <w:lang w:val="es-ES"/>
        </w:rPr>
        <w:t xml:space="preserve"> pública</w:t>
      </w:r>
      <w:r w:rsidR="004744F0" w:rsidRPr="004768D0">
        <w:rPr>
          <w:rFonts w:asciiTheme="majorHAnsi" w:hAnsiTheme="majorHAnsi"/>
          <w:bCs/>
          <w:color w:val="000000" w:themeColor="text1"/>
          <w:sz w:val="20"/>
          <w:szCs w:val="20"/>
          <w:lang w:val="es-ES"/>
        </w:rPr>
        <w:t>”</w:t>
      </w:r>
      <w:r w:rsidR="00235691" w:rsidRPr="004768D0">
        <w:rPr>
          <w:rFonts w:asciiTheme="majorHAnsi" w:hAnsiTheme="majorHAnsi"/>
          <w:bCs/>
          <w:color w:val="000000" w:themeColor="text1"/>
          <w:sz w:val="20"/>
          <w:szCs w:val="20"/>
          <w:lang w:val="es-ES"/>
        </w:rPr>
        <w:t xml:space="preserve"> e</w:t>
      </w:r>
      <w:r w:rsidR="00462731" w:rsidRPr="004768D0">
        <w:rPr>
          <w:rFonts w:asciiTheme="majorHAnsi" w:hAnsiTheme="majorHAnsi"/>
          <w:bCs/>
          <w:color w:val="000000" w:themeColor="text1"/>
          <w:sz w:val="20"/>
          <w:szCs w:val="20"/>
          <w:lang w:val="es-ES"/>
        </w:rPr>
        <w:t>n</w:t>
      </w:r>
      <w:r w:rsidR="00235691" w:rsidRPr="004768D0">
        <w:rPr>
          <w:rFonts w:asciiTheme="majorHAnsi" w:hAnsiTheme="majorHAnsi"/>
          <w:bCs/>
          <w:color w:val="000000" w:themeColor="text1"/>
          <w:sz w:val="20"/>
          <w:szCs w:val="20"/>
          <w:lang w:val="es-ES"/>
        </w:rPr>
        <w:t xml:space="preserve"> 2006, marcada por </w:t>
      </w:r>
      <w:r w:rsidR="004744F0" w:rsidRPr="004768D0">
        <w:rPr>
          <w:rFonts w:asciiTheme="majorHAnsi" w:hAnsiTheme="majorHAnsi"/>
          <w:bCs/>
          <w:color w:val="000000" w:themeColor="text1"/>
          <w:sz w:val="20"/>
          <w:szCs w:val="20"/>
          <w:lang w:val="es-ES"/>
        </w:rPr>
        <w:t>“</w:t>
      </w:r>
      <w:r w:rsidR="00235691" w:rsidRPr="004768D0">
        <w:rPr>
          <w:rFonts w:asciiTheme="majorHAnsi" w:hAnsiTheme="majorHAnsi"/>
          <w:bCs/>
          <w:color w:val="000000" w:themeColor="text1"/>
          <w:sz w:val="20"/>
          <w:szCs w:val="20"/>
          <w:lang w:val="es-ES"/>
        </w:rPr>
        <w:t>rebeli</w:t>
      </w:r>
      <w:r w:rsidR="00462731" w:rsidRPr="004768D0">
        <w:rPr>
          <w:rFonts w:asciiTheme="majorHAnsi" w:hAnsiTheme="majorHAnsi"/>
          <w:bCs/>
          <w:color w:val="000000" w:themeColor="text1"/>
          <w:sz w:val="20"/>
          <w:szCs w:val="20"/>
          <w:lang w:val="es-ES"/>
        </w:rPr>
        <w:t xml:space="preserve">ones y </w:t>
      </w:r>
      <w:r w:rsidR="00F154A0" w:rsidRPr="004768D0">
        <w:rPr>
          <w:rFonts w:asciiTheme="majorHAnsi" w:hAnsiTheme="majorHAnsi"/>
          <w:bCs/>
          <w:color w:val="000000" w:themeColor="text1"/>
          <w:sz w:val="20"/>
          <w:szCs w:val="20"/>
          <w:lang w:val="es-ES"/>
        </w:rPr>
        <w:t>amenazas</w:t>
      </w:r>
      <w:r w:rsidR="00235691" w:rsidRPr="004768D0">
        <w:rPr>
          <w:rFonts w:asciiTheme="majorHAnsi" w:hAnsiTheme="majorHAnsi"/>
          <w:bCs/>
          <w:color w:val="000000" w:themeColor="text1"/>
          <w:sz w:val="20"/>
          <w:szCs w:val="20"/>
          <w:lang w:val="es-ES"/>
        </w:rPr>
        <w:t xml:space="preserve"> de ataques generalizados a </w:t>
      </w:r>
      <w:r w:rsidR="00F154A0" w:rsidRPr="004768D0">
        <w:rPr>
          <w:rFonts w:asciiTheme="majorHAnsi" w:hAnsiTheme="majorHAnsi"/>
          <w:bCs/>
          <w:color w:val="000000" w:themeColor="text1"/>
          <w:sz w:val="20"/>
          <w:szCs w:val="20"/>
          <w:lang w:val="es-ES"/>
        </w:rPr>
        <w:t>instituciones</w:t>
      </w:r>
      <w:r w:rsidR="00235691" w:rsidRPr="004768D0">
        <w:rPr>
          <w:rFonts w:asciiTheme="majorHAnsi" w:hAnsiTheme="majorHAnsi"/>
          <w:bCs/>
          <w:color w:val="000000" w:themeColor="text1"/>
          <w:sz w:val="20"/>
          <w:szCs w:val="20"/>
          <w:lang w:val="es-ES"/>
        </w:rPr>
        <w:t xml:space="preserve">, </w:t>
      </w:r>
      <w:r w:rsidR="00462731" w:rsidRPr="004768D0">
        <w:rPr>
          <w:rFonts w:asciiTheme="majorHAnsi" w:hAnsiTheme="majorHAnsi"/>
          <w:bCs/>
          <w:color w:val="000000" w:themeColor="text1"/>
          <w:sz w:val="20"/>
          <w:szCs w:val="20"/>
          <w:lang w:val="es-ES"/>
        </w:rPr>
        <w:t xml:space="preserve">edificios y </w:t>
      </w:r>
      <w:r w:rsidR="00F154A0" w:rsidRPr="004768D0">
        <w:rPr>
          <w:rFonts w:asciiTheme="majorHAnsi" w:hAnsiTheme="majorHAnsi"/>
          <w:bCs/>
          <w:color w:val="000000" w:themeColor="text1"/>
          <w:sz w:val="20"/>
          <w:szCs w:val="20"/>
          <w:lang w:val="es-ES"/>
        </w:rPr>
        <w:t>servicios</w:t>
      </w:r>
      <w:r w:rsidR="00235691" w:rsidRPr="004768D0">
        <w:rPr>
          <w:rFonts w:asciiTheme="majorHAnsi" w:hAnsiTheme="majorHAnsi"/>
          <w:bCs/>
          <w:color w:val="000000" w:themeColor="text1"/>
          <w:sz w:val="20"/>
          <w:szCs w:val="20"/>
          <w:lang w:val="es-ES"/>
        </w:rPr>
        <w:t xml:space="preserve"> públicos</w:t>
      </w:r>
      <w:r w:rsidR="004744F0" w:rsidRPr="004768D0">
        <w:rPr>
          <w:rFonts w:asciiTheme="majorHAnsi" w:hAnsiTheme="majorHAnsi"/>
          <w:bCs/>
          <w:color w:val="000000" w:themeColor="text1"/>
          <w:sz w:val="20"/>
          <w:szCs w:val="20"/>
          <w:lang w:val="es-ES"/>
        </w:rPr>
        <w:t>”</w:t>
      </w:r>
      <w:r w:rsidR="00235691" w:rsidRPr="004768D0">
        <w:rPr>
          <w:rFonts w:asciiTheme="majorHAnsi" w:hAnsiTheme="majorHAnsi"/>
          <w:bCs/>
          <w:color w:val="000000" w:themeColor="text1"/>
          <w:sz w:val="20"/>
          <w:szCs w:val="20"/>
          <w:lang w:val="es-ES"/>
        </w:rPr>
        <w:t xml:space="preserve"> </w:t>
      </w:r>
      <w:r w:rsidR="00462731" w:rsidRPr="004768D0">
        <w:rPr>
          <w:rFonts w:asciiTheme="majorHAnsi" w:hAnsiTheme="majorHAnsi"/>
          <w:bCs/>
          <w:color w:val="000000" w:themeColor="text1"/>
          <w:sz w:val="20"/>
          <w:szCs w:val="20"/>
          <w:lang w:val="es-ES"/>
        </w:rPr>
        <w:t xml:space="preserve">efectuadas por integrantes de la organización delictiva </w:t>
      </w:r>
      <w:r w:rsidR="00235691" w:rsidRPr="004768D0">
        <w:rPr>
          <w:rFonts w:asciiTheme="majorHAnsi" w:hAnsiTheme="majorHAnsi"/>
          <w:bCs/>
          <w:color w:val="000000" w:themeColor="text1"/>
          <w:sz w:val="20"/>
          <w:szCs w:val="20"/>
          <w:lang w:val="es-ES"/>
        </w:rPr>
        <w:t>PCC</w:t>
      </w:r>
      <w:r w:rsidR="002C507C" w:rsidRPr="004768D0">
        <w:rPr>
          <w:rFonts w:asciiTheme="majorHAnsi" w:hAnsiTheme="majorHAnsi"/>
          <w:bCs/>
          <w:color w:val="000000" w:themeColor="text1"/>
          <w:sz w:val="20"/>
          <w:szCs w:val="20"/>
          <w:lang w:val="es-ES"/>
        </w:rPr>
        <w:t xml:space="preserve"> </w:t>
      </w:r>
      <w:r w:rsidR="00462731" w:rsidRPr="004768D0">
        <w:rPr>
          <w:rFonts w:asciiTheme="majorHAnsi" w:hAnsiTheme="majorHAnsi"/>
          <w:bCs/>
          <w:color w:val="000000" w:themeColor="text1"/>
          <w:sz w:val="20"/>
          <w:szCs w:val="20"/>
          <w:lang w:val="es-ES"/>
        </w:rPr>
        <w:t>y</w:t>
      </w:r>
      <w:r w:rsidR="002C507C" w:rsidRPr="004768D0">
        <w:rPr>
          <w:rFonts w:asciiTheme="majorHAnsi" w:hAnsiTheme="majorHAnsi"/>
          <w:bCs/>
          <w:color w:val="000000" w:themeColor="text1"/>
          <w:sz w:val="20"/>
          <w:szCs w:val="20"/>
          <w:lang w:val="es-ES"/>
        </w:rPr>
        <w:t xml:space="preserve"> que esa cris</w:t>
      </w:r>
      <w:r w:rsidR="00462731" w:rsidRPr="004768D0">
        <w:rPr>
          <w:rFonts w:asciiTheme="majorHAnsi" w:hAnsiTheme="majorHAnsi"/>
          <w:bCs/>
          <w:color w:val="000000" w:themeColor="text1"/>
          <w:sz w:val="20"/>
          <w:szCs w:val="20"/>
          <w:lang w:val="es-ES"/>
        </w:rPr>
        <w:t>is</w:t>
      </w:r>
      <w:r w:rsidR="002C507C" w:rsidRPr="004768D0">
        <w:rPr>
          <w:rFonts w:asciiTheme="majorHAnsi" w:hAnsiTheme="majorHAnsi"/>
          <w:bCs/>
          <w:color w:val="000000" w:themeColor="text1"/>
          <w:sz w:val="20"/>
          <w:szCs w:val="20"/>
          <w:lang w:val="es-ES"/>
        </w:rPr>
        <w:t xml:space="preserve"> </w:t>
      </w:r>
      <w:r w:rsidR="004744F0" w:rsidRPr="004768D0">
        <w:rPr>
          <w:rFonts w:asciiTheme="majorHAnsi" w:hAnsiTheme="majorHAnsi"/>
          <w:bCs/>
          <w:color w:val="000000" w:themeColor="text1"/>
          <w:sz w:val="20"/>
          <w:szCs w:val="20"/>
          <w:lang w:val="es-ES"/>
        </w:rPr>
        <w:t>“</w:t>
      </w:r>
      <w:r w:rsidR="002C507C" w:rsidRPr="004768D0">
        <w:rPr>
          <w:rFonts w:asciiTheme="majorHAnsi" w:hAnsiTheme="majorHAnsi"/>
          <w:bCs/>
          <w:color w:val="000000" w:themeColor="text1"/>
          <w:sz w:val="20"/>
          <w:szCs w:val="20"/>
          <w:lang w:val="es-ES"/>
        </w:rPr>
        <w:t>condu</w:t>
      </w:r>
      <w:r w:rsidR="00462731" w:rsidRPr="004768D0">
        <w:rPr>
          <w:rFonts w:asciiTheme="majorHAnsi" w:hAnsiTheme="majorHAnsi"/>
          <w:bCs/>
          <w:color w:val="000000" w:themeColor="text1"/>
          <w:sz w:val="20"/>
          <w:szCs w:val="20"/>
          <w:lang w:val="es-ES"/>
        </w:rPr>
        <w:t xml:space="preserve">jo a una actuación más efectiva y </w:t>
      </w:r>
      <w:r w:rsidR="002C507C" w:rsidRPr="004768D0">
        <w:rPr>
          <w:rFonts w:asciiTheme="majorHAnsi" w:hAnsiTheme="majorHAnsi"/>
          <w:bCs/>
          <w:color w:val="000000" w:themeColor="text1"/>
          <w:sz w:val="20"/>
          <w:szCs w:val="20"/>
          <w:lang w:val="es-ES"/>
        </w:rPr>
        <w:t xml:space="preserve">contundente de </w:t>
      </w:r>
      <w:r w:rsidR="00462731" w:rsidRPr="004768D0">
        <w:rPr>
          <w:rFonts w:asciiTheme="majorHAnsi" w:hAnsiTheme="majorHAnsi"/>
          <w:bCs/>
          <w:color w:val="000000" w:themeColor="text1"/>
          <w:sz w:val="20"/>
          <w:szCs w:val="20"/>
          <w:lang w:val="es-ES"/>
        </w:rPr>
        <w:t>órganos policiales</w:t>
      </w:r>
      <w:r w:rsidR="002C507C" w:rsidRPr="004768D0">
        <w:rPr>
          <w:rFonts w:asciiTheme="majorHAnsi" w:hAnsiTheme="majorHAnsi"/>
          <w:bCs/>
          <w:color w:val="000000" w:themeColor="text1"/>
          <w:sz w:val="20"/>
          <w:szCs w:val="20"/>
          <w:lang w:val="es-ES"/>
        </w:rPr>
        <w:t xml:space="preserve"> </w:t>
      </w:r>
      <w:r w:rsidR="009A5FDB">
        <w:rPr>
          <w:rFonts w:asciiTheme="majorHAnsi" w:hAnsiTheme="majorHAnsi"/>
          <w:bCs/>
          <w:color w:val="000000" w:themeColor="text1"/>
          <w:sz w:val="20"/>
          <w:szCs w:val="20"/>
          <w:lang w:val="es-ES"/>
        </w:rPr>
        <w:t xml:space="preserve">a </w:t>
      </w:r>
      <w:r w:rsidR="00462731" w:rsidRPr="004768D0">
        <w:rPr>
          <w:rFonts w:asciiTheme="majorHAnsi" w:hAnsiTheme="majorHAnsi"/>
          <w:bCs/>
          <w:color w:val="000000" w:themeColor="text1"/>
          <w:sz w:val="20"/>
          <w:szCs w:val="20"/>
          <w:lang w:val="es-ES"/>
        </w:rPr>
        <w:t xml:space="preserve">fin de restablecer la </w:t>
      </w:r>
      <w:r w:rsidR="00F41459" w:rsidRPr="004768D0">
        <w:rPr>
          <w:rFonts w:asciiTheme="majorHAnsi" w:hAnsiTheme="majorHAnsi"/>
          <w:bCs/>
          <w:color w:val="000000" w:themeColor="text1"/>
          <w:sz w:val="20"/>
          <w:szCs w:val="20"/>
          <w:lang w:val="es-ES"/>
        </w:rPr>
        <w:t>seguridad</w:t>
      </w:r>
      <w:r w:rsidR="002C507C" w:rsidRPr="004768D0">
        <w:rPr>
          <w:rFonts w:asciiTheme="majorHAnsi" w:hAnsiTheme="majorHAnsi"/>
          <w:bCs/>
          <w:color w:val="000000" w:themeColor="text1"/>
          <w:sz w:val="20"/>
          <w:szCs w:val="20"/>
          <w:lang w:val="es-ES"/>
        </w:rPr>
        <w:t xml:space="preserve"> </w:t>
      </w:r>
      <w:r w:rsidR="00462731" w:rsidRPr="004768D0">
        <w:rPr>
          <w:rFonts w:asciiTheme="majorHAnsi" w:hAnsiTheme="majorHAnsi"/>
          <w:bCs/>
          <w:color w:val="000000" w:themeColor="text1"/>
          <w:sz w:val="20"/>
          <w:szCs w:val="20"/>
          <w:lang w:val="es-ES"/>
        </w:rPr>
        <w:t>y el orden</w:t>
      </w:r>
      <w:r w:rsidR="002C507C" w:rsidRPr="004768D0">
        <w:rPr>
          <w:rFonts w:asciiTheme="majorHAnsi" w:hAnsiTheme="majorHAnsi"/>
          <w:bCs/>
          <w:color w:val="000000" w:themeColor="text1"/>
          <w:sz w:val="20"/>
          <w:szCs w:val="20"/>
          <w:lang w:val="es-ES"/>
        </w:rPr>
        <w:t xml:space="preserve"> públic</w:t>
      </w:r>
      <w:r w:rsidR="00462731" w:rsidRPr="004768D0">
        <w:rPr>
          <w:rFonts w:asciiTheme="majorHAnsi" w:hAnsiTheme="majorHAnsi"/>
          <w:bCs/>
          <w:color w:val="000000" w:themeColor="text1"/>
          <w:sz w:val="20"/>
          <w:szCs w:val="20"/>
          <w:lang w:val="es-ES"/>
        </w:rPr>
        <w:t>o</w:t>
      </w:r>
      <w:r w:rsidR="004744F0" w:rsidRPr="004768D0">
        <w:rPr>
          <w:rFonts w:asciiTheme="majorHAnsi" w:hAnsiTheme="majorHAnsi"/>
          <w:bCs/>
          <w:color w:val="000000" w:themeColor="text1"/>
          <w:sz w:val="20"/>
          <w:szCs w:val="20"/>
          <w:lang w:val="es-ES"/>
        </w:rPr>
        <w:t>”</w:t>
      </w:r>
      <w:r w:rsidR="002C507C" w:rsidRPr="004768D0">
        <w:rPr>
          <w:rFonts w:asciiTheme="majorHAnsi" w:hAnsiTheme="majorHAnsi"/>
          <w:bCs/>
          <w:color w:val="000000" w:themeColor="text1"/>
          <w:sz w:val="20"/>
          <w:szCs w:val="20"/>
          <w:lang w:val="es-ES"/>
        </w:rPr>
        <w:t>, co</w:t>
      </w:r>
      <w:r w:rsidR="00462731" w:rsidRPr="004768D0">
        <w:rPr>
          <w:rFonts w:asciiTheme="majorHAnsi" w:hAnsiTheme="majorHAnsi"/>
          <w:bCs/>
          <w:color w:val="000000" w:themeColor="text1"/>
          <w:sz w:val="20"/>
          <w:szCs w:val="20"/>
          <w:lang w:val="es-ES"/>
        </w:rPr>
        <w:t xml:space="preserve">n la adopción </w:t>
      </w:r>
      <w:r w:rsidR="002C507C" w:rsidRPr="004768D0">
        <w:rPr>
          <w:rFonts w:asciiTheme="majorHAnsi" w:hAnsiTheme="majorHAnsi"/>
          <w:bCs/>
          <w:color w:val="000000" w:themeColor="text1"/>
          <w:sz w:val="20"/>
          <w:szCs w:val="20"/>
          <w:lang w:val="es-ES"/>
        </w:rPr>
        <w:t xml:space="preserve">de </w:t>
      </w:r>
      <w:r w:rsidR="004744F0" w:rsidRPr="004768D0">
        <w:rPr>
          <w:rFonts w:asciiTheme="majorHAnsi" w:hAnsiTheme="majorHAnsi"/>
          <w:bCs/>
          <w:color w:val="000000" w:themeColor="text1"/>
          <w:sz w:val="20"/>
          <w:szCs w:val="20"/>
          <w:lang w:val="es-ES"/>
        </w:rPr>
        <w:t>“</w:t>
      </w:r>
      <w:r w:rsidR="002C507C" w:rsidRPr="004768D0">
        <w:rPr>
          <w:rFonts w:asciiTheme="majorHAnsi" w:hAnsiTheme="majorHAnsi"/>
          <w:bCs/>
          <w:color w:val="000000" w:themeColor="text1"/>
          <w:sz w:val="20"/>
          <w:szCs w:val="20"/>
          <w:lang w:val="es-ES"/>
        </w:rPr>
        <w:t>medidas de resta</w:t>
      </w:r>
      <w:r w:rsidR="00462731" w:rsidRPr="004768D0">
        <w:rPr>
          <w:rFonts w:asciiTheme="majorHAnsi" w:hAnsiTheme="majorHAnsi"/>
          <w:bCs/>
          <w:color w:val="000000" w:themeColor="text1"/>
          <w:sz w:val="20"/>
          <w:szCs w:val="20"/>
          <w:lang w:val="es-ES"/>
        </w:rPr>
        <w:t xml:space="preserve">blecimiento de la </w:t>
      </w:r>
      <w:r w:rsidR="00F41459" w:rsidRPr="004768D0">
        <w:rPr>
          <w:rFonts w:asciiTheme="majorHAnsi" w:hAnsiTheme="majorHAnsi"/>
          <w:bCs/>
          <w:color w:val="000000" w:themeColor="text1"/>
          <w:sz w:val="20"/>
          <w:szCs w:val="20"/>
          <w:lang w:val="es-ES"/>
        </w:rPr>
        <w:t>seguridad</w:t>
      </w:r>
      <w:r w:rsidR="002C507C" w:rsidRPr="004768D0">
        <w:rPr>
          <w:rFonts w:asciiTheme="majorHAnsi" w:hAnsiTheme="majorHAnsi"/>
          <w:bCs/>
          <w:color w:val="000000" w:themeColor="text1"/>
          <w:sz w:val="20"/>
          <w:szCs w:val="20"/>
          <w:lang w:val="es-ES"/>
        </w:rPr>
        <w:t xml:space="preserve"> </w:t>
      </w:r>
      <w:r w:rsidR="009A5FDB">
        <w:rPr>
          <w:rFonts w:asciiTheme="majorHAnsi" w:hAnsiTheme="majorHAnsi"/>
          <w:bCs/>
          <w:color w:val="000000" w:themeColor="text1"/>
          <w:sz w:val="20"/>
          <w:szCs w:val="20"/>
          <w:lang w:val="es-ES"/>
        </w:rPr>
        <w:t xml:space="preserve">y </w:t>
      </w:r>
      <w:r w:rsidR="00462731" w:rsidRPr="004768D0">
        <w:rPr>
          <w:rFonts w:asciiTheme="majorHAnsi" w:hAnsiTheme="majorHAnsi"/>
          <w:bCs/>
          <w:color w:val="000000" w:themeColor="text1"/>
          <w:sz w:val="20"/>
          <w:szCs w:val="20"/>
          <w:lang w:val="es-ES"/>
        </w:rPr>
        <w:t xml:space="preserve">el orden </w:t>
      </w:r>
      <w:r w:rsidR="002C507C" w:rsidRPr="004768D0">
        <w:rPr>
          <w:rFonts w:asciiTheme="majorHAnsi" w:hAnsiTheme="majorHAnsi"/>
          <w:bCs/>
          <w:color w:val="000000" w:themeColor="text1"/>
          <w:sz w:val="20"/>
          <w:szCs w:val="20"/>
          <w:lang w:val="es-ES"/>
        </w:rPr>
        <w:t>públic</w:t>
      </w:r>
      <w:r w:rsidR="00462731" w:rsidRPr="004768D0">
        <w:rPr>
          <w:rFonts w:asciiTheme="majorHAnsi" w:hAnsiTheme="majorHAnsi"/>
          <w:bCs/>
          <w:color w:val="000000" w:themeColor="text1"/>
          <w:sz w:val="20"/>
          <w:szCs w:val="20"/>
          <w:lang w:val="es-ES"/>
        </w:rPr>
        <w:t>o</w:t>
      </w:r>
      <w:r w:rsidR="009A5FDB">
        <w:rPr>
          <w:rFonts w:asciiTheme="majorHAnsi" w:hAnsiTheme="majorHAnsi"/>
          <w:bCs/>
          <w:color w:val="000000" w:themeColor="text1"/>
          <w:sz w:val="20"/>
          <w:szCs w:val="20"/>
          <w:lang w:val="es-ES"/>
        </w:rPr>
        <w:t xml:space="preserve">s </w:t>
      </w:r>
      <w:r w:rsidR="00462731" w:rsidRPr="004768D0">
        <w:rPr>
          <w:rFonts w:asciiTheme="majorHAnsi" w:hAnsiTheme="majorHAnsi"/>
          <w:bCs/>
          <w:color w:val="000000" w:themeColor="text1"/>
          <w:sz w:val="20"/>
          <w:szCs w:val="20"/>
          <w:lang w:val="es-ES"/>
        </w:rPr>
        <w:t xml:space="preserve">y la incolumidad de las </w:t>
      </w:r>
      <w:r w:rsidR="000C0AC4" w:rsidRPr="004768D0">
        <w:rPr>
          <w:rFonts w:asciiTheme="majorHAnsi" w:hAnsiTheme="majorHAnsi"/>
          <w:bCs/>
          <w:color w:val="000000" w:themeColor="text1"/>
          <w:sz w:val="20"/>
          <w:szCs w:val="20"/>
          <w:lang w:val="es-ES"/>
        </w:rPr>
        <w:t>personas</w:t>
      </w:r>
      <w:r w:rsidR="002C507C" w:rsidRPr="004768D0">
        <w:rPr>
          <w:rFonts w:asciiTheme="majorHAnsi" w:hAnsiTheme="majorHAnsi"/>
          <w:bCs/>
          <w:color w:val="000000" w:themeColor="text1"/>
          <w:sz w:val="20"/>
          <w:szCs w:val="20"/>
          <w:lang w:val="es-ES"/>
        </w:rPr>
        <w:t xml:space="preserve"> </w:t>
      </w:r>
      <w:r w:rsidR="00462731" w:rsidRPr="004768D0">
        <w:rPr>
          <w:rFonts w:asciiTheme="majorHAnsi" w:hAnsiTheme="majorHAnsi"/>
          <w:bCs/>
          <w:color w:val="000000" w:themeColor="text1"/>
          <w:sz w:val="20"/>
          <w:szCs w:val="20"/>
          <w:lang w:val="es-ES"/>
        </w:rPr>
        <w:t>y el patrimonio</w:t>
      </w:r>
      <w:r w:rsidR="004744F0" w:rsidRPr="004768D0">
        <w:rPr>
          <w:rFonts w:asciiTheme="majorHAnsi" w:hAnsiTheme="majorHAnsi"/>
          <w:bCs/>
          <w:color w:val="000000" w:themeColor="text1"/>
          <w:sz w:val="20"/>
          <w:szCs w:val="20"/>
          <w:lang w:val="es-ES"/>
        </w:rPr>
        <w:t>”</w:t>
      </w:r>
      <w:r w:rsidR="002C507C" w:rsidRPr="004768D0">
        <w:rPr>
          <w:rFonts w:asciiTheme="majorHAnsi" w:hAnsiTheme="majorHAnsi"/>
          <w:bCs/>
          <w:color w:val="000000" w:themeColor="text1"/>
          <w:sz w:val="20"/>
          <w:szCs w:val="20"/>
          <w:lang w:val="es-ES"/>
        </w:rPr>
        <w:t xml:space="preserve">. </w:t>
      </w:r>
      <w:r w:rsidR="00A07DD9" w:rsidRPr="004768D0">
        <w:rPr>
          <w:rFonts w:asciiTheme="majorHAnsi" w:hAnsiTheme="majorHAnsi"/>
          <w:bCs/>
          <w:color w:val="000000" w:themeColor="text1"/>
          <w:sz w:val="20"/>
          <w:szCs w:val="20"/>
          <w:lang w:val="es-ES"/>
        </w:rPr>
        <w:t>El Estado brasileño</w:t>
      </w:r>
      <w:r w:rsidR="002C507C" w:rsidRPr="004768D0">
        <w:rPr>
          <w:rFonts w:asciiTheme="majorHAnsi" w:hAnsiTheme="majorHAnsi"/>
          <w:bCs/>
          <w:color w:val="000000" w:themeColor="text1"/>
          <w:sz w:val="20"/>
          <w:szCs w:val="20"/>
          <w:lang w:val="es-ES"/>
        </w:rPr>
        <w:t xml:space="preserve"> </w:t>
      </w:r>
      <w:r w:rsidR="00462731" w:rsidRPr="004768D0">
        <w:rPr>
          <w:rFonts w:asciiTheme="majorHAnsi" w:hAnsiTheme="majorHAnsi"/>
          <w:bCs/>
          <w:color w:val="000000" w:themeColor="text1"/>
          <w:sz w:val="20"/>
          <w:szCs w:val="20"/>
          <w:lang w:val="es-ES"/>
        </w:rPr>
        <w:t>destacó</w:t>
      </w:r>
      <w:r w:rsidR="002C507C" w:rsidRPr="004768D0">
        <w:rPr>
          <w:rFonts w:asciiTheme="majorHAnsi" w:hAnsiTheme="majorHAnsi"/>
          <w:bCs/>
          <w:color w:val="000000" w:themeColor="text1"/>
          <w:sz w:val="20"/>
          <w:szCs w:val="20"/>
          <w:lang w:val="es-ES"/>
        </w:rPr>
        <w:t xml:space="preserve"> que</w:t>
      </w:r>
      <w:bookmarkStart w:id="4" w:name="_Hlk72922700"/>
      <w:r w:rsidR="0027100F" w:rsidRPr="004768D0">
        <w:rPr>
          <w:rFonts w:asciiTheme="majorHAnsi" w:hAnsiTheme="majorHAnsi"/>
          <w:bCs/>
          <w:color w:val="000000" w:themeColor="text1"/>
          <w:sz w:val="20"/>
          <w:szCs w:val="20"/>
          <w:lang w:val="es-ES"/>
        </w:rPr>
        <w:t xml:space="preserve"> </w:t>
      </w:r>
      <w:r w:rsidR="00462731" w:rsidRPr="004768D0">
        <w:rPr>
          <w:rFonts w:asciiTheme="majorHAnsi" w:hAnsiTheme="majorHAnsi"/>
          <w:bCs/>
          <w:color w:val="000000" w:themeColor="text1"/>
          <w:sz w:val="20"/>
          <w:szCs w:val="20"/>
          <w:lang w:val="es-ES"/>
        </w:rPr>
        <w:t>el</w:t>
      </w:r>
      <w:r w:rsidR="002C507C"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t>uso d</w:t>
      </w:r>
      <w:r w:rsidR="00462731" w:rsidRPr="004768D0">
        <w:rPr>
          <w:rFonts w:asciiTheme="majorHAnsi" w:hAnsiTheme="majorHAnsi"/>
          <w:bCs/>
          <w:color w:val="000000" w:themeColor="text1"/>
          <w:sz w:val="20"/>
          <w:szCs w:val="20"/>
          <w:lang w:val="es-ES"/>
        </w:rPr>
        <w:t>e l</w:t>
      </w:r>
      <w:r w:rsidR="001E7F07" w:rsidRPr="004768D0">
        <w:rPr>
          <w:rFonts w:asciiTheme="majorHAnsi" w:hAnsiTheme="majorHAnsi"/>
          <w:bCs/>
          <w:color w:val="000000" w:themeColor="text1"/>
          <w:sz w:val="20"/>
          <w:szCs w:val="20"/>
          <w:lang w:val="es-ES"/>
        </w:rPr>
        <w:t xml:space="preserve">a </w:t>
      </w:r>
      <w:r w:rsidR="00462731" w:rsidRPr="004768D0">
        <w:rPr>
          <w:rFonts w:asciiTheme="majorHAnsi" w:hAnsiTheme="majorHAnsi"/>
          <w:bCs/>
          <w:color w:val="000000" w:themeColor="text1"/>
          <w:sz w:val="20"/>
          <w:szCs w:val="20"/>
          <w:lang w:val="es-ES"/>
        </w:rPr>
        <w:t>fuerza</w:t>
      </w:r>
      <w:r w:rsidR="002C507C"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t xml:space="preserve">pública </w:t>
      </w:r>
      <w:r w:rsidR="00462731" w:rsidRPr="004768D0">
        <w:rPr>
          <w:rFonts w:asciiTheme="majorHAnsi" w:hAnsiTheme="majorHAnsi"/>
          <w:bCs/>
          <w:color w:val="000000" w:themeColor="text1"/>
          <w:sz w:val="20"/>
          <w:szCs w:val="20"/>
          <w:lang w:val="es-ES"/>
        </w:rPr>
        <w:t>y el</w:t>
      </w:r>
      <w:r w:rsidR="001E7F07"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lastRenderedPageBreak/>
        <w:t>uso racional d</w:t>
      </w:r>
      <w:r w:rsidR="00462731" w:rsidRPr="004768D0">
        <w:rPr>
          <w:rFonts w:asciiTheme="majorHAnsi" w:hAnsiTheme="majorHAnsi"/>
          <w:bCs/>
          <w:color w:val="000000" w:themeColor="text1"/>
          <w:sz w:val="20"/>
          <w:szCs w:val="20"/>
          <w:lang w:val="es-ES"/>
        </w:rPr>
        <w:t>e l</w:t>
      </w:r>
      <w:r w:rsidR="001E7F07" w:rsidRPr="004768D0">
        <w:rPr>
          <w:rFonts w:asciiTheme="majorHAnsi" w:hAnsiTheme="majorHAnsi"/>
          <w:bCs/>
          <w:color w:val="000000" w:themeColor="text1"/>
          <w:sz w:val="20"/>
          <w:szCs w:val="20"/>
          <w:lang w:val="es-ES"/>
        </w:rPr>
        <w:t xml:space="preserve">a </w:t>
      </w:r>
      <w:r w:rsidR="00462731" w:rsidRPr="004768D0">
        <w:rPr>
          <w:rFonts w:asciiTheme="majorHAnsi" w:hAnsiTheme="majorHAnsi"/>
          <w:bCs/>
          <w:color w:val="000000" w:themeColor="text1"/>
          <w:sz w:val="20"/>
          <w:szCs w:val="20"/>
          <w:lang w:val="es-ES"/>
        </w:rPr>
        <w:t>fuerza</w:t>
      </w:r>
      <w:r w:rsidR="001E7F07" w:rsidRPr="004768D0">
        <w:rPr>
          <w:rFonts w:asciiTheme="majorHAnsi" w:hAnsiTheme="majorHAnsi"/>
          <w:bCs/>
          <w:color w:val="000000" w:themeColor="text1"/>
          <w:sz w:val="20"/>
          <w:szCs w:val="20"/>
          <w:lang w:val="es-ES"/>
        </w:rPr>
        <w:t xml:space="preserve"> no </w:t>
      </w:r>
      <w:r w:rsidR="00462731" w:rsidRPr="004768D0">
        <w:rPr>
          <w:rFonts w:asciiTheme="majorHAnsi" w:hAnsiTheme="majorHAnsi"/>
          <w:bCs/>
          <w:color w:val="000000" w:themeColor="text1"/>
          <w:sz w:val="20"/>
          <w:szCs w:val="20"/>
          <w:lang w:val="es-ES"/>
        </w:rPr>
        <w:t>infringen la Convención</w:t>
      </w:r>
      <w:r w:rsidR="001E7F07" w:rsidRPr="004768D0">
        <w:rPr>
          <w:rFonts w:asciiTheme="majorHAnsi" w:hAnsiTheme="majorHAnsi"/>
          <w:bCs/>
          <w:color w:val="000000" w:themeColor="text1"/>
          <w:sz w:val="20"/>
          <w:szCs w:val="20"/>
          <w:lang w:val="es-ES"/>
        </w:rPr>
        <w:t xml:space="preserve"> de </w:t>
      </w:r>
      <w:r w:rsidR="00462731" w:rsidRPr="004768D0">
        <w:rPr>
          <w:rFonts w:asciiTheme="majorHAnsi" w:hAnsiTheme="majorHAnsi"/>
          <w:bCs/>
          <w:color w:val="000000" w:themeColor="text1"/>
          <w:sz w:val="20"/>
          <w:szCs w:val="20"/>
          <w:lang w:val="es-ES"/>
        </w:rPr>
        <w:t>por sí, siempre</w:t>
      </w:r>
      <w:r w:rsidR="001E7F07" w:rsidRPr="004768D0">
        <w:rPr>
          <w:rFonts w:asciiTheme="majorHAnsi" w:hAnsiTheme="majorHAnsi"/>
          <w:bCs/>
          <w:color w:val="000000" w:themeColor="text1"/>
          <w:sz w:val="20"/>
          <w:szCs w:val="20"/>
          <w:lang w:val="es-ES"/>
        </w:rPr>
        <w:t xml:space="preserve"> que </w:t>
      </w:r>
      <w:r w:rsidR="00462731" w:rsidRPr="004768D0">
        <w:rPr>
          <w:rFonts w:asciiTheme="majorHAnsi" w:hAnsiTheme="majorHAnsi"/>
          <w:bCs/>
          <w:color w:val="000000" w:themeColor="text1"/>
          <w:sz w:val="20"/>
          <w:szCs w:val="20"/>
          <w:lang w:val="es-ES"/>
        </w:rPr>
        <w:t>l</w:t>
      </w:r>
      <w:r w:rsidR="001E7F07" w:rsidRPr="004768D0">
        <w:rPr>
          <w:rFonts w:asciiTheme="majorHAnsi" w:hAnsiTheme="majorHAnsi"/>
          <w:bCs/>
          <w:color w:val="000000" w:themeColor="text1"/>
          <w:sz w:val="20"/>
          <w:szCs w:val="20"/>
          <w:lang w:val="es-ES"/>
        </w:rPr>
        <w:t>os</w:t>
      </w:r>
      <w:r w:rsidR="002C507C"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t xml:space="preserve">agentes </w:t>
      </w:r>
      <w:r w:rsidR="00462731" w:rsidRPr="004768D0">
        <w:rPr>
          <w:rFonts w:asciiTheme="majorHAnsi" w:hAnsiTheme="majorHAnsi"/>
          <w:bCs/>
          <w:color w:val="000000" w:themeColor="text1"/>
          <w:sz w:val="20"/>
          <w:szCs w:val="20"/>
          <w:lang w:val="es-ES"/>
        </w:rPr>
        <w:t>estatales</w:t>
      </w:r>
      <w:r w:rsidR="001E7F07" w:rsidRPr="004768D0">
        <w:rPr>
          <w:rFonts w:asciiTheme="majorHAnsi" w:hAnsiTheme="majorHAnsi"/>
          <w:bCs/>
          <w:color w:val="000000" w:themeColor="text1"/>
          <w:sz w:val="20"/>
          <w:szCs w:val="20"/>
          <w:lang w:val="es-ES"/>
        </w:rPr>
        <w:t xml:space="preserve"> no a</w:t>
      </w:r>
      <w:r w:rsidR="00462731" w:rsidRPr="004768D0">
        <w:rPr>
          <w:rFonts w:asciiTheme="majorHAnsi" w:hAnsiTheme="majorHAnsi"/>
          <w:bCs/>
          <w:color w:val="000000" w:themeColor="text1"/>
          <w:sz w:val="20"/>
          <w:szCs w:val="20"/>
          <w:lang w:val="es-ES"/>
        </w:rPr>
        <w:t>ctúen de manera arbitraria</w:t>
      </w:r>
      <w:r w:rsidR="00860DC6" w:rsidRPr="004768D0">
        <w:rPr>
          <w:rStyle w:val="FootnoteReference"/>
          <w:rFonts w:asciiTheme="majorHAnsi" w:hAnsiTheme="majorHAnsi"/>
          <w:bCs/>
          <w:color w:val="000000" w:themeColor="text1"/>
          <w:sz w:val="20"/>
          <w:szCs w:val="20"/>
          <w:lang w:val="es-ES"/>
        </w:rPr>
        <w:footnoteReference w:id="5"/>
      </w:r>
      <w:r w:rsidR="00462731" w:rsidRPr="004768D0">
        <w:rPr>
          <w:rFonts w:asciiTheme="majorHAnsi" w:hAnsiTheme="majorHAnsi"/>
          <w:bCs/>
          <w:color w:val="000000" w:themeColor="text1"/>
          <w:sz w:val="20"/>
          <w:szCs w:val="20"/>
          <w:lang w:val="es-ES"/>
        </w:rPr>
        <w:t>.</w:t>
      </w:r>
    </w:p>
    <w:p w14:paraId="5B3D2E2C" w14:textId="77777777" w:rsidR="0027100F" w:rsidRPr="004768D0" w:rsidRDefault="0027100F" w:rsidP="0027100F">
      <w:pPr>
        <w:pStyle w:val="ListParagraph"/>
        <w:jc w:val="both"/>
        <w:rPr>
          <w:rFonts w:asciiTheme="majorHAnsi" w:hAnsiTheme="majorHAnsi"/>
          <w:bCs/>
          <w:color w:val="000000" w:themeColor="text1"/>
          <w:sz w:val="20"/>
          <w:szCs w:val="20"/>
          <w:lang w:val="es-ES"/>
        </w:rPr>
      </w:pPr>
    </w:p>
    <w:p w14:paraId="55213084" w14:textId="77777777" w:rsidR="001E7F07" w:rsidRPr="004768D0" w:rsidRDefault="00462731"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El Estado</w:t>
      </w:r>
      <w:r w:rsidR="0027100F" w:rsidRPr="004768D0">
        <w:rPr>
          <w:rFonts w:asciiTheme="majorHAnsi" w:hAnsiTheme="majorHAnsi"/>
          <w:bCs/>
          <w:color w:val="000000" w:themeColor="text1"/>
          <w:sz w:val="20"/>
          <w:szCs w:val="20"/>
          <w:lang w:val="es-ES"/>
        </w:rPr>
        <w:t xml:space="preserve"> argumenta que </w:t>
      </w:r>
      <w:r w:rsidRPr="004768D0">
        <w:rPr>
          <w:rFonts w:asciiTheme="majorHAnsi" w:hAnsiTheme="majorHAnsi"/>
          <w:bCs/>
          <w:color w:val="000000" w:themeColor="text1"/>
          <w:sz w:val="20"/>
          <w:szCs w:val="20"/>
          <w:lang w:val="es-ES"/>
        </w:rPr>
        <w:t>l</w:t>
      </w:r>
      <w:r w:rsidR="0027100F" w:rsidRPr="004768D0">
        <w:rPr>
          <w:rFonts w:asciiTheme="majorHAnsi" w:hAnsiTheme="majorHAnsi"/>
          <w:bCs/>
          <w:color w:val="000000" w:themeColor="text1"/>
          <w:sz w:val="20"/>
          <w:szCs w:val="20"/>
          <w:lang w:val="es-ES"/>
        </w:rPr>
        <w:t xml:space="preserve">os </w:t>
      </w:r>
      <w:r w:rsidRPr="004768D0">
        <w:rPr>
          <w:rFonts w:asciiTheme="majorHAnsi" w:hAnsiTheme="majorHAnsi"/>
          <w:bCs/>
          <w:color w:val="000000" w:themeColor="text1"/>
          <w:sz w:val="20"/>
          <w:szCs w:val="20"/>
          <w:lang w:val="es-ES"/>
        </w:rPr>
        <w:t>peticionarios</w:t>
      </w:r>
      <w:r w:rsidR="0027100F" w:rsidRPr="004768D0">
        <w:rPr>
          <w:rFonts w:asciiTheme="majorHAnsi" w:hAnsiTheme="majorHAnsi"/>
          <w:bCs/>
          <w:color w:val="000000" w:themeColor="text1"/>
          <w:sz w:val="20"/>
          <w:szCs w:val="20"/>
          <w:lang w:val="es-ES"/>
        </w:rPr>
        <w:t xml:space="preserve"> no </w:t>
      </w:r>
      <w:r w:rsidRPr="004768D0">
        <w:rPr>
          <w:rFonts w:asciiTheme="majorHAnsi" w:hAnsiTheme="majorHAnsi"/>
          <w:bCs/>
          <w:color w:val="000000" w:themeColor="text1"/>
          <w:sz w:val="20"/>
          <w:szCs w:val="20"/>
          <w:lang w:val="es-ES"/>
        </w:rPr>
        <w:t>presentaron</w:t>
      </w:r>
      <w:r w:rsidR="0027100F" w:rsidRPr="004768D0">
        <w:rPr>
          <w:rFonts w:asciiTheme="majorHAnsi" w:hAnsiTheme="majorHAnsi"/>
          <w:bCs/>
          <w:color w:val="000000" w:themeColor="text1"/>
          <w:sz w:val="20"/>
          <w:szCs w:val="20"/>
          <w:lang w:val="es-ES"/>
        </w:rPr>
        <w:t xml:space="preserve"> elementos suficientes para que </w:t>
      </w:r>
      <w:r w:rsidRPr="004768D0">
        <w:rPr>
          <w:rFonts w:asciiTheme="majorHAnsi" w:hAnsiTheme="majorHAnsi"/>
          <w:bCs/>
          <w:color w:val="000000" w:themeColor="text1"/>
          <w:sz w:val="20"/>
          <w:szCs w:val="20"/>
          <w:lang w:val="es-ES"/>
        </w:rPr>
        <w:t>l</w:t>
      </w:r>
      <w:r w:rsidR="0027100F" w:rsidRPr="004768D0">
        <w:rPr>
          <w:rFonts w:asciiTheme="majorHAnsi" w:hAnsiTheme="majorHAnsi"/>
          <w:bCs/>
          <w:color w:val="000000" w:themeColor="text1"/>
          <w:sz w:val="20"/>
          <w:szCs w:val="20"/>
          <w:lang w:val="es-ES"/>
        </w:rPr>
        <w:t xml:space="preserve">as </w:t>
      </w:r>
      <w:r w:rsidRPr="004768D0">
        <w:rPr>
          <w:rFonts w:asciiTheme="majorHAnsi" w:hAnsiTheme="majorHAnsi"/>
          <w:bCs/>
          <w:color w:val="000000" w:themeColor="text1"/>
          <w:sz w:val="20"/>
          <w:szCs w:val="20"/>
          <w:lang w:val="es-ES"/>
        </w:rPr>
        <w:t>muertes</w:t>
      </w:r>
      <w:r w:rsidR="0027100F" w:rsidRPr="004768D0">
        <w:rPr>
          <w:rFonts w:asciiTheme="majorHAnsi" w:hAnsiTheme="majorHAnsi"/>
          <w:bCs/>
          <w:color w:val="000000" w:themeColor="text1"/>
          <w:sz w:val="20"/>
          <w:szCs w:val="20"/>
          <w:lang w:val="es-ES"/>
        </w:rPr>
        <w:t xml:space="preserve"> p</w:t>
      </w:r>
      <w:r w:rsidRPr="004768D0">
        <w:rPr>
          <w:rFonts w:asciiTheme="majorHAnsi" w:hAnsiTheme="majorHAnsi"/>
          <w:bCs/>
          <w:color w:val="000000" w:themeColor="text1"/>
          <w:sz w:val="20"/>
          <w:szCs w:val="20"/>
          <w:lang w:val="es-ES"/>
        </w:rPr>
        <w:t>uedan atribuirse a</w:t>
      </w:r>
      <w:r w:rsidR="003C58C5" w:rsidRPr="004768D0">
        <w:rPr>
          <w:rFonts w:asciiTheme="majorHAnsi" w:hAnsiTheme="majorHAnsi"/>
          <w:bCs/>
          <w:color w:val="000000" w:themeColor="text1"/>
          <w:sz w:val="20"/>
          <w:szCs w:val="20"/>
          <w:lang w:val="es-ES"/>
        </w:rPr>
        <w:t>l Estado</w:t>
      </w:r>
      <w:r w:rsidRPr="004768D0">
        <w:rPr>
          <w:rFonts w:asciiTheme="majorHAnsi" w:hAnsiTheme="majorHAnsi"/>
          <w:bCs/>
          <w:color w:val="000000" w:themeColor="text1"/>
          <w:sz w:val="20"/>
          <w:szCs w:val="20"/>
          <w:lang w:val="es-ES"/>
        </w:rPr>
        <w:t xml:space="preserve"> y</w:t>
      </w:r>
      <w:r w:rsidR="0027100F" w:rsidRPr="004768D0">
        <w:rPr>
          <w:rFonts w:asciiTheme="majorHAnsi" w:hAnsiTheme="majorHAnsi"/>
          <w:bCs/>
          <w:color w:val="000000" w:themeColor="text1"/>
          <w:sz w:val="20"/>
          <w:szCs w:val="20"/>
          <w:lang w:val="es-ES"/>
        </w:rPr>
        <w:t xml:space="preserve"> que </w:t>
      </w:r>
      <w:r w:rsidRPr="004768D0">
        <w:rPr>
          <w:rFonts w:asciiTheme="majorHAnsi" w:hAnsiTheme="majorHAnsi"/>
          <w:bCs/>
          <w:color w:val="000000" w:themeColor="text1"/>
          <w:sz w:val="20"/>
          <w:szCs w:val="20"/>
          <w:lang w:val="es-ES"/>
        </w:rPr>
        <w:t>l</w:t>
      </w:r>
      <w:r w:rsidR="0027100F" w:rsidRPr="004768D0">
        <w:rPr>
          <w:rFonts w:asciiTheme="majorHAnsi" w:hAnsiTheme="majorHAnsi"/>
          <w:bCs/>
          <w:color w:val="000000" w:themeColor="text1"/>
          <w:sz w:val="20"/>
          <w:szCs w:val="20"/>
          <w:lang w:val="es-ES"/>
        </w:rPr>
        <w:t xml:space="preserve">os </w:t>
      </w:r>
      <w:r w:rsidRPr="004768D0">
        <w:rPr>
          <w:rFonts w:asciiTheme="majorHAnsi" w:hAnsiTheme="majorHAnsi"/>
          <w:bCs/>
          <w:color w:val="000000" w:themeColor="text1"/>
          <w:sz w:val="20"/>
          <w:szCs w:val="20"/>
          <w:lang w:val="es-ES"/>
        </w:rPr>
        <w:t xml:space="preserve">delitos </w:t>
      </w:r>
      <w:r w:rsidR="0027100F" w:rsidRPr="004768D0">
        <w:rPr>
          <w:rFonts w:asciiTheme="majorHAnsi" w:hAnsiTheme="majorHAnsi"/>
          <w:bCs/>
          <w:color w:val="000000" w:themeColor="text1"/>
          <w:sz w:val="20"/>
          <w:szCs w:val="20"/>
          <w:lang w:val="es-ES"/>
        </w:rPr>
        <w:t xml:space="preserve">relatados </w:t>
      </w:r>
      <w:r w:rsidR="000C0AC4" w:rsidRPr="004768D0">
        <w:rPr>
          <w:rFonts w:asciiTheme="majorHAnsi" w:hAnsiTheme="majorHAnsi"/>
          <w:bCs/>
          <w:color w:val="000000" w:themeColor="text1"/>
          <w:sz w:val="20"/>
          <w:szCs w:val="20"/>
          <w:lang w:val="es-ES"/>
        </w:rPr>
        <w:t>por la parte</w:t>
      </w:r>
      <w:r w:rsidR="00A07DD9" w:rsidRPr="004768D0">
        <w:rPr>
          <w:rFonts w:asciiTheme="majorHAnsi" w:hAnsiTheme="majorHAnsi"/>
          <w:bCs/>
          <w:color w:val="000000" w:themeColor="text1"/>
          <w:sz w:val="20"/>
          <w:szCs w:val="20"/>
          <w:lang w:val="es-ES"/>
        </w:rPr>
        <w:t xml:space="preserve"> peticionaria</w:t>
      </w:r>
      <w:r w:rsidR="0027100F" w:rsidRPr="004768D0">
        <w:rPr>
          <w:rFonts w:asciiTheme="majorHAnsi" w:hAnsiTheme="majorHAnsi"/>
          <w:bCs/>
          <w:color w:val="000000" w:themeColor="text1"/>
          <w:sz w:val="20"/>
          <w:szCs w:val="20"/>
          <w:lang w:val="es-ES"/>
        </w:rPr>
        <w:t xml:space="preserve"> f</w:t>
      </w:r>
      <w:r w:rsidRPr="004768D0">
        <w:rPr>
          <w:rFonts w:asciiTheme="majorHAnsi" w:hAnsiTheme="majorHAnsi"/>
          <w:bCs/>
          <w:color w:val="000000" w:themeColor="text1"/>
          <w:sz w:val="20"/>
          <w:szCs w:val="20"/>
          <w:lang w:val="es-ES"/>
        </w:rPr>
        <w:t>ueron objeto de una investigación por los órganos</w:t>
      </w:r>
      <w:r w:rsidR="0027100F" w:rsidRPr="004768D0">
        <w:rPr>
          <w:rFonts w:asciiTheme="majorHAnsi" w:hAnsiTheme="majorHAnsi"/>
          <w:bCs/>
          <w:color w:val="000000" w:themeColor="text1"/>
          <w:sz w:val="20"/>
          <w:szCs w:val="20"/>
          <w:lang w:val="es-ES"/>
        </w:rPr>
        <w:t xml:space="preserve"> públicos </w:t>
      </w:r>
      <w:r w:rsidRPr="004768D0">
        <w:rPr>
          <w:rFonts w:asciiTheme="majorHAnsi" w:hAnsiTheme="majorHAnsi"/>
          <w:bCs/>
          <w:color w:val="000000" w:themeColor="text1"/>
          <w:sz w:val="20"/>
          <w:szCs w:val="20"/>
          <w:lang w:val="es-ES"/>
        </w:rPr>
        <w:t>correspondientes</w:t>
      </w:r>
      <w:r w:rsidR="0027100F"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l</w:t>
      </w:r>
      <w:r w:rsidR="0027100F" w:rsidRPr="004768D0">
        <w:rPr>
          <w:rFonts w:asciiTheme="majorHAnsi" w:hAnsiTheme="majorHAnsi"/>
          <w:bCs/>
          <w:color w:val="000000" w:themeColor="text1"/>
          <w:sz w:val="20"/>
          <w:szCs w:val="20"/>
          <w:lang w:val="es-ES"/>
        </w:rPr>
        <w:t xml:space="preserve">a </w:t>
      </w:r>
      <w:r w:rsidR="00372008" w:rsidRPr="004768D0">
        <w:rPr>
          <w:rFonts w:asciiTheme="majorHAnsi" w:hAnsiTheme="majorHAnsi"/>
          <w:bCs/>
          <w:color w:val="000000" w:themeColor="text1"/>
          <w:sz w:val="20"/>
          <w:szCs w:val="20"/>
          <w:lang w:val="es-ES"/>
        </w:rPr>
        <w:t>Policía</w:t>
      </w:r>
      <w:r w:rsidR="0027100F" w:rsidRPr="004768D0">
        <w:rPr>
          <w:rFonts w:asciiTheme="majorHAnsi" w:hAnsiTheme="majorHAnsi"/>
          <w:bCs/>
          <w:color w:val="000000" w:themeColor="text1"/>
          <w:sz w:val="20"/>
          <w:szCs w:val="20"/>
          <w:lang w:val="es-ES"/>
        </w:rPr>
        <w:t xml:space="preserve"> Civil, </w:t>
      </w:r>
      <w:r w:rsidRPr="004768D0">
        <w:rPr>
          <w:rFonts w:asciiTheme="majorHAnsi" w:hAnsiTheme="majorHAnsi"/>
          <w:bCs/>
          <w:color w:val="000000" w:themeColor="text1"/>
          <w:sz w:val="20"/>
          <w:szCs w:val="20"/>
          <w:lang w:val="es-ES"/>
        </w:rPr>
        <w:t>el</w:t>
      </w:r>
      <w:r w:rsidR="0027100F" w:rsidRPr="004768D0">
        <w:rPr>
          <w:rFonts w:asciiTheme="majorHAnsi" w:hAnsiTheme="majorHAnsi"/>
          <w:bCs/>
          <w:color w:val="000000" w:themeColor="text1"/>
          <w:sz w:val="20"/>
          <w:szCs w:val="20"/>
          <w:lang w:val="es-ES"/>
        </w:rPr>
        <w:t xml:space="preserve"> </w:t>
      </w:r>
      <w:r w:rsidR="00F154A0" w:rsidRPr="004768D0">
        <w:rPr>
          <w:rFonts w:asciiTheme="majorHAnsi" w:hAnsiTheme="majorHAnsi"/>
          <w:bCs/>
          <w:color w:val="000000" w:themeColor="text1"/>
          <w:sz w:val="20"/>
          <w:szCs w:val="20"/>
          <w:lang w:val="es-ES"/>
        </w:rPr>
        <w:t>Ministerio</w:t>
      </w:r>
      <w:r w:rsidR="0027100F" w:rsidRPr="004768D0">
        <w:rPr>
          <w:rFonts w:asciiTheme="majorHAnsi" w:hAnsiTheme="majorHAnsi"/>
          <w:bCs/>
          <w:color w:val="000000" w:themeColor="text1"/>
          <w:sz w:val="20"/>
          <w:szCs w:val="20"/>
          <w:lang w:val="es-ES"/>
        </w:rPr>
        <w:t xml:space="preserve"> Público </w:t>
      </w:r>
      <w:r w:rsidRPr="004768D0">
        <w:rPr>
          <w:rFonts w:asciiTheme="majorHAnsi" w:hAnsiTheme="majorHAnsi"/>
          <w:bCs/>
          <w:color w:val="000000" w:themeColor="text1"/>
          <w:sz w:val="20"/>
          <w:szCs w:val="20"/>
          <w:lang w:val="es-ES"/>
        </w:rPr>
        <w:t>y el</w:t>
      </w:r>
      <w:r w:rsidR="0027100F" w:rsidRPr="004768D0">
        <w:rPr>
          <w:rFonts w:asciiTheme="majorHAnsi" w:hAnsiTheme="majorHAnsi"/>
          <w:bCs/>
          <w:color w:val="000000" w:themeColor="text1"/>
          <w:sz w:val="20"/>
          <w:szCs w:val="20"/>
          <w:lang w:val="es-ES"/>
        </w:rPr>
        <w:t xml:space="preserve"> Poder Judici</w:t>
      </w:r>
      <w:r w:rsidRPr="004768D0">
        <w:rPr>
          <w:rFonts w:asciiTheme="majorHAnsi" w:hAnsiTheme="majorHAnsi"/>
          <w:bCs/>
          <w:color w:val="000000" w:themeColor="text1"/>
          <w:sz w:val="20"/>
          <w:szCs w:val="20"/>
          <w:lang w:val="es-ES"/>
        </w:rPr>
        <w:t xml:space="preserve">al. Al respecto, señala que se adoptaron </w:t>
      </w:r>
      <w:bookmarkStart w:id="5" w:name="_Hlk72928425"/>
      <w:r w:rsidR="0027100F" w:rsidRPr="004768D0">
        <w:rPr>
          <w:rFonts w:asciiTheme="majorHAnsi" w:eastAsia="Arial Unicode MS" w:hAnsiTheme="majorHAnsi" w:cs="Times New Roman"/>
          <w:bCs/>
          <w:color w:val="000000" w:themeColor="text1"/>
          <w:sz w:val="20"/>
          <w:szCs w:val="20"/>
          <w:lang w:val="es-ES" w:eastAsia="en-US"/>
        </w:rPr>
        <w:t>medidas</w:t>
      </w:r>
      <w:r w:rsidR="001E7F07"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para</w:t>
      </w:r>
      <w:r w:rsidR="001E7F07" w:rsidRPr="004768D0">
        <w:rPr>
          <w:rFonts w:asciiTheme="majorHAnsi" w:hAnsiTheme="majorHAnsi"/>
          <w:bCs/>
          <w:color w:val="000000" w:themeColor="text1"/>
          <w:sz w:val="20"/>
          <w:szCs w:val="20"/>
          <w:lang w:val="es-ES"/>
        </w:rPr>
        <w:t xml:space="preserve"> </w:t>
      </w:r>
      <w:r w:rsidR="004744F0" w:rsidRPr="004768D0">
        <w:rPr>
          <w:rFonts w:asciiTheme="majorHAnsi" w:hAnsiTheme="majorHAnsi"/>
          <w:bCs/>
          <w:color w:val="000000" w:themeColor="text1"/>
          <w:sz w:val="20"/>
          <w:szCs w:val="20"/>
          <w:lang w:val="es-ES"/>
        </w:rPr>
        <w:t>“</w:t>
      </w:r>
      <w:r w:rsidRPr="004768D0">
        <w:rPr>
          <w:rFonts w:asciiTheme="majorHAnsi" w:hAnsiTheme="majorHAnsi"/>
          <w:bCs/>
          <w:color w:val="000000" w:themeColor="text1"/>
          <w:sz w:val="20"/>
          <w:szCs w:val="20"/>
          <w:lang w:val="es-ES"/>
        </w:rPr>
        <w:t xml:space="preserve">investigar las </w:t>
      </w:r>
      <w:r w:rsidR="001E7F07" w:rsidRPr="004768D0">
        <w:rPr>
          <w:rFonts w:asciiTheme="majorHAnsi" w:hAnsiTheme="majorHAnsi"/>
          <w:bCs/>
          <w:color w:val="000000" w:themeColor="text1"/>
          <w:sz w:val="20"/>
          <w:szCs w:val="20"/>
          <w:lang w:val="es-ES"/>
        </w:rPr>
        <w:t xml:space="preserve">causas </w:t>
      </w:r>
      <w:r w:rsidRPr="004768D0">
        <w:rPr>
          <w:rFonts w:asciiTheme="majorHAnsi" w:hAnsiTheme="majorHAnsi"/>
          <w:bCs/>
          <w:color w:val="000000" w:themeColor="text1"/>
          <w:sz w:val="20"/>
          <w:szCs w:val="20"/>
          <w:lang w:val="es-ES"/>
        </w:rPr>
        <w:t>y las</w:t>
      </w:r>
      <w:r w:rsidR="001E7F07" w:rsidRPr="004768D0">
        <w:rPr>
          <w:rFonts w:asciiTheme="majorHAnsi" w:hAnsiTheme="majorHAnsi"/>
          <w:bCs/>
          <w:color w:val="000000" w:themeColor="text1"/>
          <w:sz w:val="20"/>
          <w:szCs w:val="20"/>
          <w:lang w:val="es-ES"/>
        </w:rPr>
        <w:t xml:space="preserve"> responsabilidades rela</w:t>
      </w:r>
      <w:r w:rsidRPr="004768D0">
        <w:rPr>
          <w:rFonts w:asciiTheme="majorHAnsi" w:hAnsiTheme="majorHAnsi"/>
          <w:bCs/>
          <w:color w:val="000000" w:themeColor="text1"/>
          <w:sz w:val="20"/>
          <w:szCs w:val="20"/>
          <w:lang w:val="es-ES"/>
        </w:rPr>
        <w:t>cionadas con las ejecuciones</w:t>
      </w:r>
      <w:r w:rsidR="004744F0" w:rsidRPr="004768D0">
        <w:rPr>
          <w:rFonts w:asciiTheme="majorHAnsi" w:hAnsiTheme="majorHAnsi"/>
          <w:bCs/>
          <w:color w:val="000000" w:themeColor="text1"/>
          <w:sz w:val="20"/>
          <w:szCs w:val="20"/>
          <w:lang w:val="es-ES"/>
        </w:rPr>
        <w:t>”</w:t>
      </w:r>
      <w:r w:rsidRPr="004768D0">
        <w:rPr>
          <w:rFonts w:asciiTheme="majorHAnsi" w:hAnsiTheme="majorHAnsi"/>
          <w:bCs/>
          <w:color w:val="000000" w:themeColor="text1"/>
          <w:sz w:val="20"/>
          <w:szCs w:val="20"/>
          <w:lang w:val="es-ES"/>
        </w:rPr>
        <w:t xml:space="preserve">, entre ellas </w:t>
      </w:r>
      <w:r w:rsidR="0027100F" w:rsidRPr="004768D0">
        <w:rPr>
          <w:rFonts w:asciiTheme="majorHAnsi" w:hAnsiTheme="majorHAnsi"/>
          <w:bCs/>
          <w:color w:val="000000" w:themeColor="text1"/>
          <w:sz w:val="20"/>
          <w:szCs w:val="20"/>
          <w:lang w:val="es-ES"/>
        </w:rPr>
        <w:t xml:space="preserve">i) </w:t>
      </w:r>
      <w:r w:rsidRPr="004768D0">
        <w:rPr>
          <w:rFonts w:asciiTheme="majorHAnsi" w:hAnsiTheme="majorHAnsi"/>
          <w:bCs/>
          <w:color w:val="000000" w:themeColor="text1"/>
          <w:sz w:val="20"/>
          <w:szCs w:val="20"/>
          <w:lang w:val="es-ES"/>
        </w:rPr>
        <w:t xml:space="preserve">el inicio </w:t>
      </w:r>
      <w:r w:rsidR="0027100F" w:rsidRPr="004768D0">
        <w:rPr>
          <w:rFonts w:asciiTheme="majorHAnsi" w:hAnsiTheme="majorHAnsi"/>
          <w:bCs/>
          <w:color w:val="000000" w:themeColor="text1"/>
          <w:sz w:val="20"/>
          <w:szCs w:val="20"/>
          <w:lang w:val="es-ES"/>
        </w:rPr>
        <w:t xml:space="preserve">de </w:t>
      </w:r>
      <w:r w:rsidR="00372008" w:rsidRPr="004768D0">
        <w:rPr>
          <w:rFonts w:asciiTheme="majorHAnsi" w:hAnsiTheme="majorHAnsi"/>
          <w:bCs/>
          <w:color w:val="000000" w:themeColor="text1"/>
          <w:sz w:val="20"/>
          <w:szCs w:val="20"/>
          <w:lang w:val="es-ES"/>
        </w:rPr>
        <w:t>investigaciones policiales</w:t>
      </w:r>
      <w:r w:rsidR="0027100F" w:rsidRPr="004768D0">
        <w:rPr>
          <w:rFonts w:asciiTheme="majorHAnsi" w:hAnsiTheme="majorHAnsi"/>
          <w:bCs/>
          <w:color w:val="000000" w:themeColor="text1"/>
          <w:sz w:val="20"/>
          <w:szCs w:val="20"/>
          <w:lang w:val="es-ES"/>
        </w:rPr>
        <w:t xml:space="preserve"> (</w:t>
      </w:r>
      <w:proofErr w:type="spellStart"/>
      <w:r w:rsidRPr="004768D0">
        <w:rPr>
          <w:rFonts w:asciiTheme="majorHAnsi" w:hAnsiTheme="majorHAnsi"/>
          <w:bCs/>
          <w:color w:val="000000" w:themeColor="text1"/>
          <w:sz w:val="20"/>
          <w:szCs w:val="20"/>
          <w:lang w:val="es-ES"/>
        </w:rPr>
        <w:t>N.</w:t>
      </w:r>
      <w:r w:rsidRPr="004768D0">
        <w:rPr>
          <w:rFonts w:asciiTheme="majorHAnsi" w:hAnsiTheme="majorHAnsi"/>
          <w:bCs/>
          <w:color w:val="000000" w:themeColor="text1"/>
          <w:sz w:val="20"/>
          <w:szCs w:val="20"/>
          <w:vertAlign w:val="superscript"/>
          <w:lang w:val="es-ES"/>
        </w:rPr>
        <w:t>o</w:t>
      </w:r>
      <w:proofErr w:type="spellEnd"/>
      <w:r w:rsidR="001E7F07" w:rsidRPr="004768D0">
        <w:rPr>
          <w:rFonts w:asciiTheme="majorHAnsi" w:hAnsiTheme="majorHAnsi"/>
          <w:bCs/>
          <w:color w:val="000000" w:themeColor="text1"/>
          <w:sz w:val="20"/>
          <w:szCs w:val="20"/>
          <w:lang w:val="es-ES"/>
        </w:rPr>
        <w:t xml:space="preserve"> 166/06</w:t>
      </w:r>
      <w:r w:rsidRPr="004768D0">
        <w:rPr>
          <w:rFonts w:asciiTheme="majorHAnsi" w:hAnsiTheme="majorHAnsi"/>
          <w:bCs/>
          <w:color w:val="000000" w:themeColor="text1"/>
          <w:sz w:val="20"/>
          <w:szCs w:val="20"/>
          <w:lang w:val="es-ES"/>
        </w:rPr>
        <w:t xml:space="preserve"> del Primer Juzgado Penal y del Jurado</w:t>
      </w:r>
      <w:r w:rsidR="001E7F07" w:rsidRPr="004768D0">
        <w:rPr>
          <w:rFonts w:asciiTheme="majorHAnsi" w:hAnsiTheme="majorHAnsi"/>
          <w:bCs/>
          <w:color w:val="000000" w:themeColor="text1"/>
          <w:sz w:val="20"/>
          <w:szCs w:val="20"/>
          <w:lang w:val="es-ES"/>
        </w:rPr>
        <w:t xml:space="preserve"> de Santos</w:t>
      </w:r>
      <w:r w:rsidR="003805B5">
        <w:rPr>
          <w:rFonts w:asciiTheme="majorHAnsi" w:hAnsiTheme="majorHAnsi"/>
          <w:bCs/>
          <w:color w:val="000000" w:themeColor="text1"/>
          <w:sz w:val="20"/>
          <w:szCs w:val="20"/>
          <w:lang w:val="es-ES"/>
        </w:rPr>
        <w:t>,</w:t>
      </w:r>
      <w:r w:rsidR="001E7F07" w:rsidRPr="004768D0">
        <w:rPr>
          <w:rFonts w:asciiTheme="majorHAnsi" w:hAnsiTheme="majorHAnsi"/>
          <w:bCs/>
          <w:color w:val="000000" w:themeColor="text1"/>
          <w:sz w:val="20"/>
          <w:szCs w:val="20"/>
          <w:lang w:val="es-ES"/>
        </w:rPr>
        <w:t xml:space="preserve"> </w:t>
      </w:r>
      <w:proofErr w:type="spellStart"/>
      <w:r w:rsidRPr="004768D0">
        <w:rPr>
          <w:rFonts w:asciiTheme="majorHAnsi" w:hAnsiTheme="majorHAnsi"/>
          <w:bCs/>
          <w:color w:val="000000" w:themeColor="text1"/>
          <w:sz w:val="20"/>
          <w:szCs w:val="20"/>
          <w:lang w:val="es-ES"/>
        </w:rPr>
        <w:t>N.</w:t>
      </w:r>
      <w:r w:rsidRPr="004768D0">
        <w:rPr>
          <w:rFonts w:asciiTheme="majorHAnsi" w:hAnsiTheme="majorHAnsi"/>
          <w:bCs/>
          <w:color w:val="000000" w:themeColor="text1"/>
          <w:sz w:val="20"/>
          <w:szCs w:val="20"/>
          <w:vertAlign w:val="superscript"/>
          <w:lang w:val="es-ES"/>
        </w:rPr>
        <w:t>o</w:t>
      </w:r>
      <w:proofErr w:type="spellEnd"/>
      <w:r w:rsidR="001E7F07" w:rsidRPr="004768D0">
        <w:rPr>
          <w:rFonts w:asciiTheme="majorHAnsi" w:hAnsiTheme="majorHAnsi"/>
          <w:bCs/>
          <w:color w:val="000000" w:themeColor="text1"/>
          <w:sz w:val="20"/>
          <w:szCs w:val="20"/>
          <w:lang w:val="es-ES"/>
        </w:rPr>
        <w:t xml:space="preserve"> 178/06 d</w:t>
      </w:r>
      <w:r w:rsidRPr="004768D0">
        <w:rPr>
          <w:rFonts w:asciiTheme="majorHAnsi" w:hAnsiTheme="majorHAnsi"/>
          <w:bCs/>
          <w:color w:val="000000" w:themeColor="text1"/>
          <w:sz w:val="20"/>
          <w:szCs w:val="20"/>
          <w:lang w:val="es-ES"/>
        </w:rPr>
        <w:t>el</w:t>
      </w:r>
      <w:r w:rsidR="001E7F07"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Primer Juzgado Penal y del Jurado</w:t>
      </w:r>
      <w:r w:rsidR="001E7F07" w:rsidRPr="004768D0">
        <w:rPr>
          <w:rFonts w:asciiTheme="majorHAnsi" w:hAnsiTheme="majorHAnsi"/>
          <w:bCs/>
          <w:color w:val="000000" w:themeColor="text1"/>
          <w:sz w:val="20"/>
          <w:szCs w:val="20"/>
          <w:lang w:val="es-ES"/>
        </w:rPr>
        <w:t xml:space="preserve"> de Santos</w:t>
      </w:r>
      <w:r w:rsidR="003805B5">
        <w:rPr>
          <w:rFonts w:asciiTheme="majorHAnsi" w:hAnsiTheme="majorHAnsi"/>
          <w:bCs/>
          <w:color w:val="000000" w:themeColor="text1"/>
          <w:sz w:val="20"/>
          <w:szCs w:val="20"/>
          <w:lang w:val="es-ES"/>
        </w:rPr>
        <w:t>,</w:t>
      </w:r>
      <w:r w:rsidR="002C507C" w:rsidRPr="004768D0">
        <w:rPr>
          <w:rFonts w:asciiTheme="majorHAnsi" w:hAnsiTheme="majorHAnsi"/>
          <w:bCs/>
          <w:color w:val="000000" w:themeColor="text1"/>
          <w:sz w:val="20"/>
          <w:szCs w:val="20"/>
          <w:lang w:val="es-ES"/>
        </w:rPr>
        <w:t xml:space="preserve"> </w:t>
      </w:r>
      <w:proofErr w:type="spellStart"/>
      <w:r w:rsidRPr="004768D0">
        <w:rPr>
          <w:rFonts w:asciiTheme="majorHAnsi" w:hAnsiTheme="majorHAnsi"/>
          <w:bCs/>
          <w:color w:val="000000" w:themeColor="text1"/>
          <w:sz w:val="20"/>
          <w:szCs w:val="20"/>
          <w:lang w:val="es-ES"/>
        </w:rPr>
        <w:t>N.</w:t>
      </w:r>
      <w:r w:rsidRPr="004768D0">
        <w:rPr>
          <w:rFonts w:asciiTheme="majorHAnsi" w:hAnsiTheme="majorHAnsi"/>
          <w:bCs/>
          <w:color w:val="000000" w:themeColor="text1"/>
          <w:sz w:val="20"/>
          <w:szCs w:val="20"/>
          <w:vertAlign w:val="superscript"/>
          <w:lang w:val="es-ES"/>
        </w:rPr>
        <w:t>o</w:t>
      </w:r>
      <w:proofErr w:type="spellEnd"/>
      <w:r w:rsidR="001E7F07" w:rsidRPr="004768D0">
        <w:rPr>
          <w:rFonts w:asciiTheme="majorHAnsi" w:hAnsiTheme="majorHAnsi"/>
          <w:bCs/>
          <w:color w:val="000000" w:themeColor="text1"/>
          <w:sz w:val="20"/>
          <w:szCs w:val="20"/>
          <w:lang w:val="es-ES"/>
        </w:rPr>
        <w:t xml:space="preserve"> 184/06</w:t>
      </w:r>
      <w:r w:rsidRPr="004768D0">
        <w:rPr>
          <w:rFonts w:asciiTheme="majorHAnsi" w:hAnsiTheme="majorHAnsi"/>
          <w:bCs/>
          <w:color w:val="000000" w:themeColor="text1"/>
          <w:sz w:val="20"/>
          <w:szCs w:val="20"/>
          <w:lang w:val="es-ES"/>
        </w:rPr>
        <w:t xml:space="preserve"> del Primer Juzgado Penal y del Jurado</w:t>
      </w:r>
      <w:r w:rsidR="001E7F07" w:rsidRPr="004768D0">
        <w:rPr>
          <w:rFonts w:asciiTheme="majorHAnsi" w:hAnsiTheme="majorHAnsi"/>
          <w:bCs/>
          <w:color w:val="000000" w:themeColor="text1"/>
          <w:sz w:val="20"/>
          <w:szCs w:val="20"/>
          <w:lang w:val="es-ES"/>
        </w:rPr>
        <w:t xml:space="preserve"> de Santos</w:t>
      </w:r>
      <w:r w:rsidR="003805B5">
        <w:rPr>
          <w:rFonts w:asciiTheme="majorHAnsi" w:hAnsiTheme="majorHAnsi"/>
          <w:bCs/>
          <w:color w:val="000000" w:themeColor="text1"/>
          <w:sz w:val="20"/>
          <w:szCs w:val="20"/>
          <w:lang w:val="es-ES"/>
        </w:rPr>
        <w:t>,</w:t>
      </w:r>
      <w:r w:rsidR="001E7F07"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 xml:space="preserve">números </w:t>
      </w:r>
      <w:r w:rsidR="001E7F07" w:rsidRPr="004768D0">
        <w:rPr>
          <w:rFonts w:asciiTheme="majorHAnsi" w:hAnsiTheme="majorHAnsi"/>
          <w:bCs/>
          <w:color w:val="000000" w:themeColor="text1"/>
          <w:sz w:val="20"/>
          <w:szCs w:val="20"/>
          <w:lang w:val="es-ES"/>
        </w:rPr>
        <w:t xml:space="preserve">185 </w:t>
      </w:r>
      <w:r w:rsidR="001123B4" w:rsidRPr="004768D0">
        <w:rPr>
          <w:rFonts w:asciiTheme="majorHAnsi" w:hAnsiTheme="majorHAnsi"/>
          <w:bCs/>
          <w:color w:val="000000" w:themeColor="text1"/>
          <w:sz w:val="20"/>
          <w:szCs w:val="20"/>
          <w:lang w:val="es-ES"/>
        </w:rPr>
        <w:t>y</w:t>
      </w:r>
      <w:r w:rsidR="001E7F07" w:rsidRPr="004768D0">
        <w:rPr>
          <w:rFonts w:asciiTheme="majorHAnsi" w:hAnsiTheme="majorHAnsi"/>
          <w:bCs/>
          <w:color w:val="000000" w:themeColor="text1"/>
          <w:sz w:val="20"/>
          <w:szCs w:val="20"/>
          <w:lang w:val="es-ES"/>
        </w:rPr>
        <w:t xml:space="preserve"> 196/06 </w:t>
      </w:r>
      <w:r w:rsidR="001123B4" w:rsidRPr="004768D0">
        <w:rPr>
          <w:rFonts w:asciiTheme="majorHAnsi" w:hAnsiTheme="majorHAnsi"/>
          <w:bCs/>
          <w:color w:val="000000" w:themeColor="text1"/>
          <w:sz w:val="20"/>
          <w:szCs w:val="20"/>
          <w:lang w:val="es-ES"/>
        </w:rPr>
        <w:t>del</w:t>
      </w:r>
      <w:r w:rsidR="001E7F07"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Primer Juzgado Penal y del Jurado</w:t>
      </w:r>
      <w:r w:rsidR="001E7F07" w:rsidRPr="004768D0">
        <w:rPr>
          <w:rFonts w:asciiTheme="majorHAnsi" w:hAnsiTheme="majorHAnsi"/>
          <w:bCs/>
          <w:color w:val="000000" w:themeColor="text1"/>
          <w:sz w:val="20"/>
          <w:szCs w:val="20"/>
          <w:lang w:val="es-ES"/>
        </w:rPr>
        <w:t xml:space="preserve"> de Santos</w:t>
      </w:r>
      <w:r w:rsidR="003805B5">
        <w:rPr>
          <w:rFonts w:asciiTheme="majorHAnsi" w:hAnsiTheme="majorHAnsi"/>
          <w:bCs/>
          <w:color w:val="000000" w:themeColor="text1"/>
          <w:sz w:val="20"/>
          <w:szCs w:val="20"/>
          <w:lang w:val="es-ES"/>
        </w:rPr>
        <w:t>,</w:t>
      </w:r>
      <w:r w:rsidR="001E7F07" w:rsidRPr="004768D0">
        <w:rPr>
          <w:rFonts w:asciiTheme="majorHAnsi" w:hAnsiTheme="majorHAnsi"/>
          <w:bCs/>
          <w:color w:val="000000" w:themeColor="text1"/>
          <w:sz w:val="20"/>
          <w:szCs w:val="20"/>
          <w:lang w:val="es-ES"/>
        </w:rPr>
        <w:t xml:space="preserve"> </w:t>
      </w:r>
      <w:proofErr w:type="spellStart"/>
      <w:r w:rsidR="001123B4" w:rsidRPr="004768D0">
        <w:rPr>
          <w:rFonts w:asciiTheme="majorHAnsi" w:hAnsiTheme="majorHAnsi"/>
          <w:bCs/>
          <w:color w:val="000000" w:themeColor="text1"/>
          <w:sz w:val="20"/>
          <w:szCs w:val="20"/>
          <w:lang w:val="es-ES"/>
        </w:rPr>
        <w:t>N.</w:t>
      </w:r>
      <w:r w:rsidR="001123B4" w:rsidRPr="004768D0">
        <w:rPr>
          <w:rFonts w:asciiTheme="majorHAnsi" w:hAnsiTheme="majorHAnsi"/>
          <w:bCs/>
          <w:color w:val="000000" w:themeColor="text1"/>
          <w:sz w:val="20"/>
          <w:szCs w:val="20"/>
          <w:vertAlign w:val="superscript"/>
          <w:lang w:val="es-ES"/>
        </w:rPr>
        <w:t>o</w:t>
      </w:r>
      <w:proofErr w:type="spellEnd"/>
      <w:r w:rsidR="001E7F07" w:rsidRPr="004768D0">
        <w:rPr>
          <w:rFonts w:asciiTheme="majorHAnsi" w:hAnsiTheme="majorHAnsi"/>
          <w:bCs/>
          <w:color w:val="000000" w:themeColor="text1"/>
          <w:sz w:val="20"/>
          <w:szCs w:val="20"/>
          <w:lang w:val="es-ES"/>
        </w:rPr>
        <w:t xml:space="preserve"> 116/07</w:t>
      </w:r>
      <w:r w:rsidR="001123B4" w:rsidRPr="004768D0">
        <w:rPr>
          <w:rFonts w:asciiTheme="majorHAnsi" w:hAnsiTheme="majorHAnsi"/>
          <w:bCs/>
          <w:color w:val="000000" w:themeColor="text1"/>
          <w:sz w:val="20"/>
          <w:szCs w:val="20"/>
          <w:lang w:val="es-ES"/>
        </w:rPr>
        <w:t xml:space="preserve"> del </w:t>
      </w:r>
      <w:r w:rsidRPr="004768D0">
        <w:rPr>
          <w:rFonts w:asciiTheme="majorHAnsi" w:hAnsiTheme="majorHAnsi"/>
          <w:bCs/>
          <w:color w:val="000000" w:themeColor="text1"/>
          <w:sz w:val="20"/>
          <w:szCs w:val="20"/>
          <w:lang w:val="es-ES"/>
        </w:rPr>
        <w:t>Primer Juzgado Penal y del Jurado</w:t>
      </w:r>
      <w:r w:rsidR="001E7F07" w:rsidRPr="004768D0">
        <w:rPr>
          <w:rFonts w:asciiTheme="majorHAnsi" w:hAnsiTheme="majorHAnsi"/>
          <w:bCs/>
          <w:color w:val="000000" w:themeColor="text1"/>
          <w:sz w:val="20"/>
          <w:szCs w:val="20"/>
          <w:lang w:val="es-ES"/>
        </w:rPr>
        <w:t xml:space="preserve"> de Santos</w:t>
      </w:r>
      <w:r w:rsidR="003805B5">
        <w:rPr>
          <w:rFonts w:asciiTheme="majorHAnsi" w:hAnsiTheme="majorHAnsi"/>
          <w:bCs/>
          <w:color w:val="000000" w:themeColor="text1"/>
          <w:sz w:val="20"/>
          <w:szCs w:val="20"/>
          <w:lang w:val="es-ES"/>
        </w:rPr>
        <w:t xml:space="preserve"> y</w:t>
      </w:r>
      <w:r w:rsidR="001E7F07" w:rsidRPr="004768D0">
        <w:rPr>
          <w:rFonts w:asciiTheme="majorHAnsi" w:hAnsiTheme="majorHAnsi"/>
          <w:bCs/>
          <w:color w:val="000000" w:themeColor="text1"/>
          <w:sz w:val="20"/>
          <w:szCs w:val="20"/>
          <w:lang w:val="es-ES"/>
        </w:rPr>
        <w:t xml:space="preserve"> </w:t>
      </w:r>
      <w:proofErr w:type="spellStart"/>
      <w:r w:rsidR="001123B4" w:rsidRPr="004768D0">
        <w:rPr>
          <w:rFonts w:asciiTheme="majorHAnsi" w:hAnsiTheme="majorHAnsi"/>
          <w:bCs/>
          <w:color w:val="000000" w:themeColor="text1"/>
          <w:sz w:val="20"/>
          <w:szCs w:val="20"/>
          <w:lang w:val="es-ES"/>
        </w:rPr>
        <w:t>N.</w:t>
      </w:r>
      <w:r w:rsidR="001123B4" w:rsidRPr="004768D0">
        <w:rPr>
          <w:rFonts w:asciiTheme="majorHAnsi" w:hAnsiTheme="majorHAnsi"/>
          <w:bCs/>
          <w:color w:val="000000" w:themeColor="text1"/>
          <w:sz w:val="20"/>
          <w:szCs w:val="20"/>
          <w:vertAlign w:val="superscript"/>
          <w:lang w:val="es-ES"/>
        </w:rPr>
        <w:t>o</w:t>
      </w:r>
      <w:proofErr w:type="spellEnd"/>
      <w:r w:rsidR="001123B4"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t>120/07 d</w:t>
      </w:r>
      <w:r w:rsidR="001123B4" w:rsidRPr="004768D0">
        <w:rPr>
          <w:rFonts w:asciiTheme="majorHAnsi" w:hAnsiTheme="majorHAnsi"/>
          <w:bCs/>
          <w:color w:val="000000" w:themeColor="text1"/>
          <w:sz w:val="20"/>
          <w:szCs w:val="20"/>
          <w:lang w:val="es-ES"/>
        </w:rPr>
        <w:t>el</w:t>
      </w:r>
      <w:r w:rsidR="001E7F07" w:rsidRPr="004768D0">
        <w:rPr>
          <w:rFonts w:asciiTheme="majorHAnsi" w:hAnsiTheme="majorHAnsi"/>
          <w:bCs/>
          <w:color w:val="000000" w:themeColor="text1"/>
          <w:sz w:val="20"/>
          <w:szCs w:val="20"/>
          <w:lang w:val="es-ES"/>
        </w:rPr>
        <w:t xml:space="preserve"> Distrito Policial de</w:t>
      </w:r>
      <w:r w:rsidR="002C507C"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t>Santos</w:t>
      </w:r>
      <w:r w:rsidR="0027100F" w:rsidRPr="004768D0">
        <w:rPr>
          <w:rFonts w:asciiTheme="majorHAnsi" w:hAnsiTheme="majorHAnsi"/>
          <w:bCs/>
          <w:color w:val="000000" w:themeColor="text1"/>
          <w:sz w:val="20"/>
          <w:szCs w:val="20"/>
          <w:lang w:val="es-ES"/>
        </w:rPr>
        <w:t xml:space="preserve">); ii) </w:t>
      </w:r>
      <w:r w:rsidR="001123B4" w:rsidRPr="004768D0">
        <w:rPr>
          <w:rFonts w:asciiTheme="majorHAnsi" w:hAnsiTheme="majorHAnsi"/>
          <w:bCs/>
          <w:color w:val="000000" w:themeColor="text1"/>
          <w:sz w:val="20"/>
          <w:szCs w:val="20"/>
          <w:lang w:val="es-ES"/>
        </w:rPr>
        <w:t xml:space="preserve">el inicio en </w:t>
      </w:r>
      <w:r w:rsidR="0027100F" w:rsidRPr="004768D0">
        <w:rPr>
          <w:rFonts w:asciiTheme="majorHAnsi" w:hAnsiTheme="majorHAnsi"/>
          <w:bCs/>
          <w:color w:val="000000" w:themeColor="text1"/>
          <w:sz w:val="20"/>
          <w:szCs w:val="20"/>
          <w:lang w:val="es-ES"/>
        </w:rPr>
        <w:t xml:space="preserve">2009 de 857 </w:t>
      </w:r>
      <w:r w:rsidR="001123B4" w:rsidRPr="004768D0">
        <w:rPr>
          <w:rFonts w:asciiTheme="majorHAnsi" w:hAnsiTheme="majorHAnsi"/>
          <w:bCs/>
          <w:color w:val="000000" w:themeColor="text1"/>
          <w:sz w:val="20"/>
          <w:szCs w:val="20"/>
          <w:lang w:val="es-ES"/>
        </w:rPr>
        <w:t>procedimientos</w:t>
      </w:r>
      <w:r w:rsidR="0027100F" w:rsidRPr="004768D0">
        <w:rPr>
          <w:rFonts w:asciiTheme="majorHAnsi" w:hAnsiTheme="majorHAnsi"/>
          <w:bCs/>
          <w:color w:val="000000" w:themeColor="text1"/>
          <w:sz w:val="20"/>
          <w:szCs w:val="20"/>
          <w:lang w:val="es-ES"/>
        </w:rPr>
        <w:t xml:space="preserve"> administrativos </w:t>
      </w:r>
      <w:r w:rsidR="001123B4" w:rsidRPr="004768D0">
        <w:rPr>
          <w:rFonts w:asciiTheme="majorHAnsi" w:hAnsiTheme="majorHAnsi"/>
          <w:bCs/>
          <w:color w:val="000000" w:themeColor="text1"/>
          <w:sz w:val="20"/>
          <w:szCs w:val="20"/>
          <w:lang w:val="es-ES"/>
        </w:rPr>
        <w:t xml:space="preserve">relativos a jefes de la </w:t>
      </w:r>
      <w:r w:rsidR="00372008" w:rsidRPr="004768D0">
        <w:rPr>
          <w:rFonts w:asciiTheme="majorHAnsi" w:hAnsiTheme="majorHAnsi"/>
          <w:bCs/>
          <w:color w:val="000000" w:themeColor="text1"/>
          <w:sz w:val="20"/>
          <w:szCs w:val="20"/>
          <w:lang w:val="es-ES"/>
        </w:rPr>
        <w:t>Policía</w:t>
      </w:r>
      <w:r w:rsidR="001E7F07" w:rsidRPr="004768D0">
        <w:rPr>
          <w:rFonts w:asciiTheme="majorHAnsi" w:hAnsiTheme="majorHAnsi"/>
          <w:bCs/>
          <w:color w:val="000000" w:themeColor="text1"/>
          <w:sz w:val="20"/>
          <w:szCs w:val="20"/>
          <w:lang w:val="es-ES"/>
        </w:rPr>
        <w:t xml:space="preserve"> Civil </w:t>
      </w:r>
      <w:r w:rsidR="007F4608" w:rsidRPr="004768D0">
        <w:rPr>
          <w:rFonts w:asciiTheme="majorHAnsi" w:hAnsiTheme="majorHAnsi"/>
          <w:bCs/>
          <w:color w:val="000000" w:themeColor="text1"/>
          <w:sz w:val="20"/>
          <w:szCs w:val="20"/>
          <w:lang w:val="es-ES"/>
        </w:rPr>
        <w:t xml:space="preserve">del </w:t>
      </w:r>
      <w:r w:rsidR="0000579C">
        <w:rPr>
          <w:rFonts w:asciiTheme="majorHAnsi" w:hAnsiTheme="majorHAnsi"/>
          <w:bCs/>
          <w:color w:val="000000" w:themeColor="text1"/>
          <w:sz w:val="20"/>
          <w:szCs w:val="20"/>
          <w:lang w:val="es-ES"/>
        </w:rPr>
        <w:t>estado de São Paulo</w:t>
      </w:r>
      <w:r w:rsidR="001123B4" w:rsidRPr="004768D0">
        <w:rPr>
          <w:rFonts w:asciiTheme="majorHAnsi" w:hAnsiTheme="majorHAnsi"/>
          <w:bCs/>
          <w:color w:val="000000" w:themeColor="text1"/>
          <w:sz w:val="20"/>
          <w:szCs w:val="20"/>
          <w:lang w:val="es-ES"/>
        </w:rPr>
        <w:t xml:space="preserve"> e</w:t>
      </w:r>
      <w:r w:rsidR="001E7F07" w:rsidRPr="004768D0">
        <w:rPr>
          <w:rFonts w:asciiTheme="majorHAnsi" w:hAnsiTheme="majorHAnsi"/>
          <w:bCs/>
          <w:color w:val="000000" w:themeColor="text1"/>
          <w:sz w:val="20"/>
          <w:szCs w:val="20"/>
          <w:lang w:val="es-ES"/>
        </w:rPr>
        <w:t>n</w:t>
      </w:r>
      <w:r w:rsidR="001123B4" w:rsidRPr="004768D0">
        <w:rPr>
          <w:rFonts w:asciiTheme="majorHAnsi" w:hAnsiTheme="majorHAnsi"/>
          <w:bCs/>
          <w:color w:val="000000" w:themeColor="text1"/>
          <w:sz w:val="20"/>
          <w:szCs w:val="20"/>
          <w:lang w:val="es-ES"/>
        </w:rPr>
        <w:t xml:space="preserve"> l</w:t>
      </w:r>
      <w:r w:rsidR="001E7F07" w:rsidRPr="004768D0">
        <w:rPr>
          <w:rFonts w:asciiTheme="majorHAnsi" w:hAnsiTheme="majorHAnsi"/>
          <w:bCs/>
          <w:color w:val="000000" w:themeColor="text1"/>
          <w:sz w:val="20"/>
          <w:szCs w:val="20"/>
          <w:lang w:val="es-ES"/>
        </w:rPr>
        <w:t xml:space="preserve">a respectiva </w:t>
      </w:r>
      <w:r w:rsidR="001123B4" w:rsidRPr="004768D0">
        <w:rPr>
          <w:rFonts w:asciiTheme="majorHAnsi" w:hAnsiTheme="majorHAnsi"/>
          <w:bCs/>
          <w:color w:val="000000" w:themeColor="text1"/>
          <w:sz w:val="20"/>
          <w:szCs w:val="20"/>
          <w:lang w:val="es-ES"/>
        </w:rPr>
        <w:t xml:space="preserve">Oficina de Asuntos Internos de la </w:t>
      </w:r>
      <w:r w:rsidR="00372008" w:rsidRPr="004768D0">
        <w:rPr>
          <w:rFonts w:asciiTheme="majorHAnsi" w:hAnsiTheme="majorHAnsi"/>
          <w:bCs/>
          <w:color w:val="000000" w:themeColor="text1"/>
          <w:sz w:val="20"/>
          <w:szCs w:val="20"/>
          <w:lang w:val="es-ES"/>
        </w:rPr>
        <w:t>Policía</w:t>
      </w:r>
      <w:r w:rsidR="001E7F07" w:rsidRPr="004768D0">
        <w:rPr>
          <w:rFonts w:asciiTheme="majorHAnsi" w:hAnsiTheme="majorHAnsi"/>
          <w:bCs/>
          <w:color w:val="000000" w:themeColor="text1"/>
          <w:sz w:val="20"/>
          <w:szCs w:val="20"/>
          <w:lang w:val="es-ES"/>
        </w:rPr>
        <w:t xml:space="preserve"> Civil</w:t>
      </w:r>
      <w:r w:rsidR="00860DC6" w:rsidRPr="004768D0">
        <w:rPr>
          <w:rStyle w:val="FootnoteReference"/>
          <w:rFonts w:asciiTheme="majorHAnsi" w:hAnsiTheme="majorHAnsi"/>
          <w:bCs/>
          <w:color w:val="000000" w:themeColor="text1"/>
          <w:sz w:val="20"/>
          <w:szCs w:val="20"/>
          <w:lang w:val="es-ES"/>
        </w:rPr>
        <w:footnoteReference w:id="6"/>
      </w:r>
      <w:r w:rsidR="001123B4" w:rsidRPr="004768D0">
        <w:rPr>
          <w:rFonts w:asciiTheme="majorHAnsi" w:hAnsiTheme="majorHAnsi"/>
          <w:bCs/>
          <w:color w:val="000000" w:themeColor="text1"/>
          <w:sz w:val="20"/>
          <w:szCs w:val="20"/>
          <w:lang w:val="es-ES"/>
        </w:rPr>
        <w:t>.</w:t>
      </w:r>
    </w:p>
    <w:p w14:paraId="754F0C52" w14:textId="77777777" w:rsidR="0027100F" w:rsidRPr="004768D0" w:rsidRDefault="0027100F" w:rsidP="0027100F">
      <w:pPr>
        <w:pStyle w:val="ListParagraph"/>
        <w:rPr>
          <w:rFonts w:asciiTheme="majorHAnsi" w:hAnsiTheme="majorHAnsi"/>
          <w:bCs/>
          <w:color w:val="000000" w:themeColor="text1"/>
          <w:sz w:val="20"/>
          <w:szCs w:val="20"/>
          <w:lang w:val="es-ES"/>
        </w:rPr>
      </w:pPr>
    </w:p>
    <w:p w14:paraId="749893DB" w14:textId="77777777" w:rsidR="0027100F" w:rsidRPr="004768D0" w:rsidRDefault="00462731"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El Estado</w:t>
      </w:r>
      <w:r w:rsidR="0027100F"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informó</w:t>
      </w:r>
      <w:r w:rsidR="0027100F" w:rsidRPr="004768D0">
        <w:rPr>
          <w:rFonts w:asciiTheme="majorHAnsi" w:hAnsiTheme="majorHAnsi"/>
          <w:bCs/>
          <w:color w:val="000000" w:themeColor="text1"/>
          <w:sz w:val="20"/>
          <w:szCs w:val="20"/>
          <w:lang w:val="es-ES"/>
        </w:rPr>
        <w:t xml:space="preserve"> que </w:t>
      </w:r>
      <w:r w:rsidR="001123B4" w:rsidRPr="004768D0">
        <w:rPr>
          <w:rFonts w:asciiTheme="majorHAnsi" w:hAnsiTheme="majorHAnsi"/>
          <w:bCs/>
          <w:color w:val="000000" w:themeColor="text1"/>
          <w:sz w:val="20"/>
          <w:szCs w:val="20"/>
          <w:lang w:val="es-ES"/>
        </w:rPr>
        <w:t>cuatro</w:t>
      </w:r>
      <w:r w:rsidR="0027100F" w:rsidRPr="004768D0">
        <w:rPr>
          <w:rFonts w:asciiTheme="majorHAnsi" w:hAnsiTheme="majorHAnsi"/>
          <w:bCs/>
          <w:color w:val="000000" w:themeColor="text1"/>
          <w:sz w:val="20"/>
          <w:szCs w:val="20"/>
          <w:lang w:val="es-ES"/>
        </w:rPr>
        <w:t xml:space="preserve"> </w:t>
      </w:r>
      <w:r w:rsidR="00372008" w:rsidRPr="004768D0">
        <w:rPr>
          <w:rFonts w:asciiTheme="majorHAnsi" w:hAnsiTheme="majorHAnsi"/>
          <w:bCs/>
          <w:color w:val="000000" w:themeColor="text1"/>
          <w:sz w:val="20"/>
          <w:szCs w:val="20"/>
          <w:lang w:val="es-ES"/>
        </w:rPr>
        <w:t>investigaciones policiales</w:t>
      </w:r>
      <w:r w:rsidR="0027100F" w:rsidRPr="004768D0">
        <w:rPr>
          <w:rFonts w:asciiTheme="majorHAnsi" w:hAnsiTheme="majorHAnsi"/>
          <w:bCs/>
          <w:color w:val="000000" w:themeColor="text1"/>
          <w:sz w:val="20"/>
          <w:szCs w:val="20"/>
          <w:lang w:val="es-ES"/>
        </w:rPr>
        <w:t xml:space="preserve"> no </w:t>
      </w:r>
      <w:r w:rsidR="001123B4" w:rsidRPr="004768D0">
        <w:rPr>
          <w:rFonts w:asciiTheme="majorHAnsi" w:hAnsiTheme="majorHAnsi"/>
          <w:bCs/>
          <w:color w:val="000000" w:themeColor="text1"/>
          <w:sz w:val="20"/>
          <w:szCs w:val="20"/>
          <w:lang w:val="es-ES"/>
        </w:rPr>
        <w:t xml:space="preserve">siguieron adelante </w:t>
      </w:r>
      <w:r w:rsidR="0027100F" w:rsidRPr="004768D0">
        <w:rPr>
          <w:rFonts w:asciiTheme="majorHAnsi" w:hAnsiTheme="majorHAnsi"/>
          <w:bCs/>
          <w:color w:val="000000" w:themeColor="text1"/>
          <w:sz w:val="20"/>
          <w:szCs w:val="20"/>
          <w:lang w:val="es-ES"/>
        </w:rPr>
        <w:t>por</w:t>
      </w:r>
      <w:r w:rsidR="001123B4" w:rsidRPr="004768D0">
        <w:rPr>
          <w:rFonts w:asciiTheme="majorHAnsi" w:hAnsiTheme="majorHAnsi"/>
          <w:bCs/>
          <w:color w:val="000000" w:themeColor="text1"/>
          <w:sz w:val="20"/>
          <w:szCs w:val="20"/>
          <w:lang w:val="es-ES"/>
        </w:rPr>
        <w:t xml:space="preserve">que la denuncia era infundada y fueron archivadas </w:t>
      </w:r>
      <w:r w:rsidR="0027100F" w:rsidRPr="004768D0">
        <w:rPr>
          <w:rFonts w:asciiTheme="majorHAnsi" w:hAnsiTheme="majorHAnsi"/>
          <w:bCs/>
          <w:color w:val="000000" w:themeColor="text1"/>
          <w:sz w:val="20"/>
          <w:szCs w:val="20"/>
          <w:lang w:val="es-ES"/>
        </w:rPr>
        <w:t>(</w:t>
      </w:r>
      <w:r w:rsidR="00372008" w:rsidRPr="004768D0">
        <w:rPr>
          <w:rFonts w:asciiTheme="majorHAnsi" w:hAnsiTheme="majorHAnsi"/>
          <w:bCs/>
          <w:color w:val="000000" w:themeColor="text1"/>
          <w:sz w:val="20"/>
          <w:szCs w:val="20"/>
          <w:lang w:val="es-ES"/>
        </w:rPr>
        <w:t>procesos</w:t>
      </w:r>
      <w:r w:rsidR="0027100F" w:rsidRPr="004768D0">
        <w:rPr>
          <w:rFonts w:asciiTheme="majorHAnsi" w:hAnsiTheme="majorHAnsi"/>
          <w:bCs/>
          <w:color w:val="000000" w:themeColor="text1"/>
          <w:sz w:val="20"/>
          <w:szCs w:val="20"/>
          <w:lang w:val="es-ES"/>
        </w:rPr>
        <w:t xml:space="preserve"> 0022615-40.2006.8.26.0562</w:t>
      </w:r>
      <w:r w:rsidR="001123B4" w:rsidRPr="004768D0">
        <w:rPr>
          <w:rFonts w:asciiTheme="majorHAnsi" w:hAnsiTheme="majorHAnsi"/>
          <w:bCs/>
          <w:color w:val="000000" w:themeColor="text1"/>
          <w:sz w:val="20"/>
          <w:szCs w:val="20"/>
          <w:lang w:val="es-ES"/>
        </w:rPr>
        <w:t>,</w:t>
      </w:r>
      <w:r w:rsidR="0027100F" w:rsidRPr="004768D0">
        <w:rPr>
          <w:rFonts w:asciiTheme="majorHAnsi" w:hAnsiTheme="majorHAnsi"/>
          <w:bCs/>
          <w:color w:val="000000" w:themeColor="text1"/>
          <w:sz w:val="20"/>
          <w:szCs w:val="20"/>
          <w:lang w:val="es-ES"/>
        </w:rPr>
        <w:t xml:space="preserve"> 0024977-15.2006.8.26.0562</w:t>
      </w:r>
      <w:r w:rsidR="001123B4" w:rsidRPr="004768D0">
        <w:rPr>
          <w:rFonts w:asciiTheme="majorHAnsi" w:hAnsiTheme="majorHAnsi"/>
          <w:bCs/>
          <w:color w:val="000000" w:themeColor="text1"/>
          <w:sz w:val="20"/>
          <w:szCs w:val="20"/>
          <w:lang w:val="es-ES"/>
        </w:rPr>
        <w:t>,</w:t>
      </w:r>
      <w:r w:rsidR="0027100F" w:rsidRPr="004768D0">
        <w:rPr>
          <w:rFonts w:asciiTheme="majorHAnsi" w:hAnsiTheme="majorHAnsi"/>
          <w:bCs/>
          <w:color w:val="000000" w:themeColor="text1"/>
          <w:sz w:val="20"/>
          <w:szCs w:val="20"/>
          <w:lang w:val="es-ES"/>
        </w:rPr>
        <w:t xml:space="preserve"> 0025499-42.2006.8.26.0562 </w:t>
      </w:r>
      <w:r w:rsidR="001123B4" w:rsidRPr="004768D0">
        <w:rPr>
          <w:rFonts w:asciiTheme="majorHAnsi" w:hAnsiTheme="majorHAnsi"/>
          <w:bCs/>
          <w:color w:val="000000" w:themeColor="text1"/>
          <w:sz w:val="20"/>
          <w:szCs w:val="20"/>
          <w:lang w:val="es-ES"/>
        </w:rPr>
        <w:t>y</w:t>
      </w:r>
      <w:r w:rsidR="0027100F" w:rsidRPr="004768D0">
        <w:rPr>
          <w:rFonts w:asciiTheme="majorHAnsi" w:hAnsiTheme="majorHAnsi"/>
          <w:bCs/>
          <w:color w:val="000000" w:themeColor="text1"/>
          <w:sz w:val="20"/>
          <w:szCs w:val="20"/>
          <w:lang w:val="es-ES"/>
        </w:rPr>
        <w:t xml:space="preserve"> 016958-83.2007.8.26.0562)</w:t>
      </w:r>
      <w:r w:rsidR="001123B4" w:rsidRPr="004768D0">
        <w:rPr>
          <w:rFonts w:asciiTheme="majorHAnsi" w:hAnsiTheme="majorHAnsi"/>
          <w:bCs/>
          <w:color w:val="000000" w:themeColor="text1"/>
          <w:sz w:val="20"/>
          <w:szCs w:val="20"/>
          <w:lang w:val="es-ES"/>
        </w:rPr>
        <w:t xml:space="preserve"> y</w:t>
      </w:r>
      <w:r w:rsidR="0027100F" w:rsidRPr="004768D0">
        <w:rPr>
          <w:rFonts w:asciiTheme="majorHAnsi" w:hAnsiTheme="majorHAnsi"/>
          <w:bCs/>
          <w:color w:val="000000" w:themeColor="text1"/>
          <w:sz w:val="20"/>
          <w:szCs w:val="20"/>
          <w:lang w:val="es-ES"/>
        </w:rPr>
        <w:t xml:space="preserve"> que otr</w:t>
      </w:r>
      <w:r w:rsidR="001123B4" w:rsidRPr="004768D0">
        <w:rPr>
          <w:rFonts w:asciiTheme="majorHAnsi" w:hAnsiTheme="majorHAnsi"/>
          <w:bCs/>
          <w:color w:val="000000" w:themeColor="text1"/>
          <w:sz w:val="20"/>
          <w:szCs w:val="20"/>
          <w:lang w:val="es-ES"/>
        </w:rPr>
        <w:t>a</w:t>
      </w:r>
      <w:r w:rsidR="0027100F" w:rsidRPr="004768D0">
        <w:rPr>
          <w:rFonts w:asciiTheme="majorHAnsi" w:hAnsiTheme="majorHAnsi"/>
          <w:bCs/>
          <w:color w:val="000000" w:themeColor="text1"/>
          <w:sz w:val="20"/>
          <w:szCs w:val="20"/>
          <w:lang w:val="es-ES"/>
        </w:rPr>
        <w:t xml:space="preserve">s </w:t>
      </w:r>
      <w:r w:rsidR="001123B4" w:rsidRPr="004768D0">
        <w:rPr>
          <w:rFonts w:asciiTheme="majorHAnsi" w:hAnsiTheme="majorHAnsi"/>
          <w:bCs/>
          <w:color w:val="000000" w:themeColor="text1"/>
          <w:sz w:val="20"/>
          <w:szCs w:val="20"/>
          <w:lang w:val="es-ES"/>
        </w:rPr>
        <w:t>tres, acumuladas con la i</w:t>
      </w:r>
      <w:r w:rsidR="00C03E33" w:rsidRPr="004768D0">
        <w:rPr>
          <w:rFonts w:asciiTheme="majorHAnsi" w:hAnsiTheme="majorHAnsi"/>
          <w:bCs/>
          <w:color w:val="000000" w:themeColor="text1"/>
          <w:sz w:val="20"/>
          <w:szCs w:val="20"/>
          <w:lang w:val="es-ES"/>
        </w:rPr>
        <w:t>nvestigación</w:t>
      </w:r>
      <w:r w:rsidR="0027100F"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p</w:t>
      </w:r>
      <w:r w:rsidR="0027100F" w:rsidRPr="004768D0">
        <w:rPr>
          <w:rFonts w:asciiTheme="majorHAnsi" w:hAnsiTheme="majorHAnsi"/>
          <w:bCs/>
          <w:color w:val="000000" w:themeColor="text1"/>
          <w:sz w:val="20"/>
          <w:szCs w:val="20"/>
          <w:lang w:val="es-ES"/>
        </w:rPr>
        <w:t xml:space="preserve">olicial </w:t>
      </w:r>
      <w:proofErr w:type="spellStart"/>
      <w:r w:rsidR="001123B4" w:rsidRPr="004768D0">
        <w:rPr>
          <w:rFonts w:asciiTheme="majorHAnsi" w:hAnsiTheme="majorHAnsi"/>
          <w:bCs/>
          <w:color w:val="000000" w:themeColor="text1"/>
          <w:sz w:val="20"/>
          <w:szCs w:val="20"/>
          <w:lang w:val="es-ES"/>
        </w:rPr>
        <w:t>N.</w:t>
      </w:r>
      <w:r w:rsidR="001123B4" w:rsidRPr="004768D0">
        <w:rPr>
          <w:rFonts w:asciiTheme="majorHAnsi" w:hAnsiTheme="majorHAnsi"/>
          <w:bCs/>
          <w:color w:val="000000" w:themeColor="text1"/>
          <w:sz w:val="20"/>
          <w:szCs w:val="20"/>
          <w:vertAlign w:val="superscript"/>
          <w:lang w:val="es-ES"/>
        </w:rPr>
        <w:t>o</w:t>
      </w:r>
      <w:proofErr w:type="spellEnd"/>
      <w:r w:rsidR="0027100F" w:rsidRPr="004768D0">
        <w:rPr>
          <w:rFonts w:asciiTheme="majorHAnsi" w:hAnsiTheme="majorHAnsi"/>
          <w:bCs/>
          <w:color w:val="000000" w:themeColor="text1"/>
          <w:sz w:val="20"/>
          <w:szCs w:val="20"/>
          <w:lang w:val="es-ES"/>
        </w:rPr>
        <w:t xml:space="preserve"> 146/2012 (</w:t>
      </w:r>
      <w:r w:rsidR="00372008" w:rsidRPr="004768D0">
        <w:rPr>
          <w:rFonts w:asciiTheme="majorHAnsi" w:hAnsiTheme="majorHAnsi"/>
          <w:bCs/>
          <w:color w:val="000000" w:themeColor="text1"/>
          <w:sz w:val="20"/>
          <w:szCs w:val="20"/>
          <w:lang w:val="es-ES"/>
        </w:rPr>
        <w:t>procesos</w:t>
      </w:r>
      <w:r w:rsidR="0027100F" w:rsidRPr="004768D0">
        <w:rPr>
          <w:rFonts w:asciiTheme="majorHAnsi" w:hAnsiTheme="majorHAnsi"/>
          <w:bCs/>
          <w:color w:val="000000" w:themeColor="text1"/>
          <w:sz w:val="20"/>
          <w:szCs w:val="20"/>
          <w:lang w:val="es-ES"/>
        </w:rPr>
        <w:t xml:space="preserve"> 0025498-57.2006.8.26.0562</w:t>
      </w:r>
      <w:r w:rsidR="001123B4" w:rsidRPr="004768D0">
        <w:rPr>
          <w:rFonts w:asciiTheme="majorHAnsi" w:hAnsiTheme="majorHAnsi"/>
          <w:bCs/>
          <w:color w:val="000000" w:themeColor="text1"/>
          <w:sz w:val="20"/>
          <w:szCs w:val="20"/>
          <w:lang w:val="es-ES"/>
        </w:rPr>
        <w:t>,</w:t>
      </w:r>
      <w:r w:rsidR="0027100F" w:rsidRPr="004768D0">
        <w:rPr>
          <w:rFonts w:asciiTheme="majorHAnsi" w:hAnsiTheme="majorHAnsi"/>
          <w:bCs/>
          <w:color w:val="000000" w:themeColor="text1"/>
          <w:sz w:val="20"/>
          <w:szCs w:val="20"/>
          <w:lang w:val="es-ES"/>
        </w:rPr>
        <w:t xml:space="preserve"> 0026944-95.2006.8.26.0562 </w:t>
      </w:r>
      <w:r w:rsidR="001123B4" w:rsidRPr="004768D0">
        <w:rPr>
          <w:rFonts w:asciiTheme="majorHAnsi" w:hAnsiTheme="majorHAnsi"/>
          <w:bCs/>
          <w:color w:val="000000" w:themeColor="text1"/>
          <w:sz w:val="20"/>
          <w:szCs w:val="20"/>
          <w:lang w:val="es-ES"/>
        </w:rPr>
        <w:t>y</w:t>
      </w:r>
      <w:r w:rsidR="0027100F" w:rsidRPr="004768D0">
        <w:rPr>
          <w:rFonts w:asciiTheme="majorHAnsi" w:hAnsiTheme="majorHAnsi"/>
          <w:bCs/>
          <w:color w:val="000000" w:themeColor="text1"/>
          <w:sz w:val="20"/>
          <w:szCs w:val="20"/>
          <w:lang w:val="es-ES"/>
        </w:rPr>
        <w:t xml:space="preserve"> 0026941-43.2006.8.26.0562), </w:t>
      </w:r>
      <w:r w:rsidR="001123B4" w:rsidRPr="004768D0">
        <w:rPr>
          <w:rFonts w:asciiTheme="majorHAnsi" w:hAnsiTheme="majorHAnsi"/>
          <w:bCs/>
          <w:color w:val="000000" w:themeColor="text1"/>
          <w:sz w:val="20"/>
          <w:szCs w:val="20"/>
          <w:lang w:val="es-ES"/>
        </w:rPr>
        <w:t>estaban</w:t>
      </w:r>
      <w:r w:rsidR="0027100F"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en</w:t>
      </w:r>
      <w:r w:rsidR="0027100F" w:rsidRPr="004768D0">
        <w:rPr>
          <w:rFonts w:asciiTheme="majorHAnsi" w:hAnsiTheme="majorHAnsi"/>
          <w:bCs/>
          <w:color w:val="000000" w:themeColor="text1"/>
          <w:sz w:val="20"/>
          <w:szCs w:val="20"/>
          <w:lang w:val="es-ES"/>
        </w:rPr>
        <w:t xml:space="preserve"> curso</w:t>
      </w:r>
      <w:r w:rsidR="001123B4" w:rsidRPr="004768D0">
        <w:rPr>
          <w:rFonts w:asciiTheme="majorHAnsi" w:hAnsiTheme="majorHAnsi"/>
          <w:bCs/>
          <w:color w:val="000000" w:themeColor="text1"/>
          <w:sz w:val="20"/>
          <w:szCs w:val="20"/>
          <w:lang w:val="es-ES"/>
        </w:rPr>
        <w:t xml:space="preserve"> y seguía pendiente el informe </w:t>
      </w:r>
      <w:r w:rsidR="0027100F" w:rsidRPr="004768D0">
        <w:rPr>
          <w:rFonts w:asciiTheme="majorHAnsi" w:hAnsiTheme="majorHAnsi"/>
          <w:bCs/>
          <w:color w:val="000000" w:themeColor="text1"/>
          <w:sz w:val="20"/>
          <w:szCs w:val="20"/>
          <w:lang w:val="es-ES"/>
        </w:rPr>
        <w:t xml:space="preserve">pericial de </w:t>
      </w:r>
      <w:r w:rsidR="001123B4" w:rsidRPr="004768D0">
        <w:rPr>
          <w:rFonts w:asciiTheme="majorHAnsi" w:hAnsiTheme="majorHAnsi"/>
          <w:bCs/>
          <w:color w:val="000000" w:themeColor="text1"/>
          <w:sz w:val="20"/>
          <w:szCs w:val="20"/>
          <w:lang w:val="es-ES"/>
        </w:rPr>
        <w:t>las pruebas de</w:t>
      </w:r>
      <w:r w:rsidR="0027100F" w:rsidRPr="004768D0">
        <w:rPr>
          <w:rFonts w:asciiTheme="majorHAnsi" w:hAnsiTheme="majorHAnsi"/>
          <w:bCs/>
          <w:color w:val="000000" w:themeColor="text1"/>
          <w:sz w:val="20"/>
          <w:szCs w:val="20"/>
          <w:lang w:val="es-ES"/>
        </w:rPr>
        <w:t xml:space="preserve"> balístic</w:t>
      </w:r>
      <w:r w:rsidR="001123B4" w:rsidRPr="004768D0">
        <w:rPr>
          <w:rFonts w:asciiTheme="majorHAnsi" w:hAnsiTheme="majorHAnsi"/>
          <w:bCs/>
          <w:color w:val="000000" w:themeColor="text1"/>
          <w:sz w:val="20"/>
          <w:szCs w:val="20"/>
          <w:lang w:val="es-ES"/>
        </w:rPr>
        <w:t>a</w:t>
      </w:r>
      <w:r w:rsidR="00860DC6" w:rsidRPr="004768D0">
        <w:rPr>
          <w:rStyle w:val="FootnoteReference"/>
          <w:rFonts w:asciiTheme="majorHAnsi" w:hAnsiTheme="majorHAnsi"/>
          <w:bCs/>
          <w:color w:val="000000" w:themeColor="text1"/>
          <w:sz w:val="20"/>
          <w:szCs w:val="20"/>
          <w:lang w:val="es-ES"/>
        </w:rPr>
        <w:footnoteReference w:id="7"/>
      </w:r>
      <w:r w:rsidR="001123B4" w:rsidRPr="004768D0">
        <w:rPr>
          <w:rFonts w:asciiTheme="majorHAnsi" w:hAnsiTheme="majorHAnsi"/>
          <w:bCs/>
          <w:color w:val="000000" w:themeColor="text1"/>
          <w:sz w:val="20"/>
          <w:szCs w:val="20"/>
          <w:lang w:val="es-ES"/>
        </w:rPr>
        <w:t>.</w:t>
      </w:r>
    </w:p>
    <w:p w14:paraId="1C6D3252" w14:textId="77777777" w:rsidR="00860DC6" w:rsidRPr="004768D0" w:rsidRDefault="00860DC6" w:rsidP="00860DC6">
      <w:pPr>
        <w:jc w:val="both"/>
        <w:rPr>
          <w:rFonts w:asciiTheme="majorHAnsi" w:hAnsiTheme="majorHAnsi"/>
          <w:bCs/>
          <w:color w:val="000000" w:themeColor="text1"/>
          <w:sz w:val="20"/>
          <w:szCs w:val="20"/>
          <w:lang w:val="es-ES"/>
        </w:rPr>
      </w:pPr>
    </w:p>
    <w:p w14:paraId="24302DB6" w14:textId="77777777" w:rsidR="00E757F9" w:rsidRPr="004768D0" w:rsidRDefault="00462731"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El Estado</w:t>
      </w:r>
      <w:r w:rsidR="00E757F9"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 xml:space="preserve">agregó </w:t>
      </w:r>
      <w:r w:rsidR="00E757F9" w:rsidRPr="004768D0">
        <w:rPr>
          <w:rFonts w:asciiTheme="majorHAnsi" w:hAnsiTheme="majorHAnsi"/>
          <w:bCs/>
          <w:color w:val="000000" w:themeColor="text1"/>
          <w:sz w:val="20"/>
          <w:szCs w:val="20"/>
          <w:lang w:val="es-ES"/>
        </w:rPr>
        <w:t>que</w:t>
      </w:r>
      <w:r w:rsidR="001123B4" w:rsidRPr="004768D0">
        <w:rPr>
          <w:rFonts w:asciiTheme="majorHAnsi" w:hAnsiTheme="majorHAnsi"/>
          <w:bCs/>
          <w:color w:val="000000" w:themeColor="text1"/>
          <w:sz w:val="20"/>
          <w:szCs w:val="20"/>
          <w:lang w:val="es-ES"/>
        </w:rPr>
        <w:t>, en</w:t>
      </w:r>
      <w:r w:rsidR="00E757F9"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os seis casos de </w:t>
      </w:r>
      <w:r w:rsidR="00F154A0" w:rsidRPr="004768D0">
        <w:rPr>
          <w:rFonts w:asciiTheme="majorHAnsi" w:hAnsiTheme="majorHAnsi"/>
          <w:bCs/>
          <w:color w:val="000000" w:themeColor="text1"/>
          <w:sz w:val="20"/>
          <w:szCs w:val="20"/>
          <w:lang w:val="es-ES"/>
        </w:rPr>
        <w:t>homicidio</w:t>
      </w:r>
      <w:r w:rsidR="00E757F9" w:rsidRPr="004768D0">
        <w:rPr>
          <w:rFonts w:asciiTheme="majorHAnsi" w:hAnsiTheme="majorHAnsi"/>
          <w:bCs/>
          <w:color w:val="000000" w:themeColor="text1"/>
          <w:sz w:val="20"/>
          <w:szCs w:val="20"/>
          <w:lang w:val="es-ES"/>
        </w:rPr>
        <w:t xml:space="preserve">s </w:t>
      </w:r>
      <w:r w:rsidR="001123B4" w:rsidRPr="004768D0">
        <w:rPr>
          <w:rFonts w:asciiTheme="majorHAnsi" w:hAnsiTheme="majorHAnsi"/>
          <w:bCs/>
          <w:color w:val="000000" w:themeColor="text1"/>
          <w:sz w:val="20"/>
          <w:szCs w:val="20"/>
          <w:lang w:val="es-ES"/>
        </w:rPr>
        <w:t xml:space="preserve">que constituyen el tema de la </w:t>
      </w:r>
      <w:r w:rsidR="00E757F9" w:rsidRPr="004768D0">
        <w:rPr>
          <w:rFonts w:asciiTheme="majorHAnsi" w:hAnsiTheme="majorHAnsi"/>
          <w:bCs/>
          <w:color w:val="000000" w:themeColor="text1"/>
          <w:sz w:val="20"/>
          <w:szCs w:val="20"/>
          <w:lang w:val="es-ES"/>
        </w:rPr>
        <w:t xml:space="preserve">presente </w:t>
      </w:r>
      <w:r w:rsidR="00F154A0" w:rsidRPr="004768D0">
        <w:rPr>
          <w:rFonts w:asciiTheme="majorHAnsi" w:hAnsiTheme="majorHAnsi"/>
          <w:bCs/>
          <w:color w:val="000000" w:themeColor="text1"/>
          <w:sz w:val="20"/>
          <w:szCs w:val="20"/>
          <w:lang w:val="es-ES"/>
        </w:rPr>
        <w:t>denuncia</w:t>
      </w:r>
      <w:r w:rsidR="001123B4" w:rsidRPr="004768D0">
        <w:rPr>
          <w:rFonts w:asciiTheme="majorHAnsi" w:hAnsiTheme="majorHAnsi"/>
          <w:bCs/>
          <w:color w:val="000000" w:themeColor="text1"/>
          <w:sz w:val="20"/>
          <w:szCs w:val="20"/>
          <w:lang w:val="es-ES"/>
        </w:rPr>
        <w:t xml:space="preserve">, se abrieron </w:t>
      </w:r>
      <w:r w:rsidR="00372008" w:rsidRPr="004768D0">
        <w:rPr>
          <w:rFonts w:asciiTheme="majorHAnsi" w:hAnsiTheme="majorHAnsi"/>
          <w:bCs/>
          <w:color w:val="000000" w:themeColor="text1"/>
          <w:sz w:val="20"/>
          <w:szCs w:val="20"/>
          <w:lang w:val="es-ES"/>
        </w:rPr>
        <w:t>investigaciones policiales</w:t>
      </w:r>
      <w:r w:rsidR="00E757F9"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y</w:t>
      </w:r>
      <w:r w:rsidR="00E757F9"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 xml:space="preserve">como informó el </w:t>
      </w:r>
      <w:r w:rsidR="00F154A0" w:rsidRPr="004768D0">
        <w:rPr>
          <w:rFonts w:asciiTheme="majorHAnsi" w:hAnsiTheme="majorHAnsi"/>
          <w:bCs/>
          <w:color w:val="000000" w:themeColor="text1"/>
          <w:sz w:val="20"/>
          <w:szCs w:val="20"/>
          <w:lang w:val="es-ES"/>
        </w:rPr>
        <w:t>Ministerio</w:t>
      </w:r>
      <w:r w:rsidR="00E757F9" w:rsidRPr="004768D0">
        <w:rPr>
          <w:rFonts w:asciiTheme="majorHAnsi" w:hAnsiTheme="majorHAnsi"/>
          <w:bCs/>
          <w:color w:val="000000" w:themeColor="text1"/>
          <w:sz w:val="20"/>
          <w:szCs w:val="20"/>
          <w:lang w:val="es-ES"/>
        </w:rPr>
        <w:t xml:space="preserve"> Público, </w:t>
      </w:r>
      <w:r w:rsidR="004744F0" w:rsidRPr="004768D0">
        <w:rPr>
          <w:rFonts w:asciiTheme="majorHAnsi" w:hAnsiTheme="majorHAnsi"/>
          <w:bCs/>
          <w:color w:val="000000" w:themeColor="text1"/>
          <w:sz w:val="20"/>
          <w:szCs w:val="20"/>
          <w:lang w:val="es-ES"/>
        </w:rPr>
        <w:t>“</w:t>
      </w:r>
      <w:r w:rsidR="00E757F9" w:rsidRPr="004768D0">
        <w:rPr>
          <w:rFonts w:asciiTheme="majorHAnsi" w:hAnsiTheme="majorHAnsi"/>
          <w:bCs/>
          <w:color w:val="000000" w:themeColor="text1"/>
          <w:sz w:val="20"/>
          <w:szCs w:val="20"/>
          <w:lang w:val="es-ES"/>
        </w:rPr>
        <w:t>[a]</w:t>
      </w:r>
      <w:r w:rsidR="001123B4" w:rsidRPr="004768D0">
        <w:rPr>
          <w:rFonts w:asciiTheme="majorHAnsi" w:hAnsiTheme="majorHAnsi"/>
          <w:bCs/>
          <w:color w:val="000000" w:themeColor="text1"/>
          <w:sz w:val="20"/>
          <w:szCs w:val="20"/>
          <w:lang w:val="es-ES"/>
        </w:rPr>
        <w:t>l</w:t>
      </w:r>
      <w:r w:rsidR="001E7F07" w:rsidRPr="004768D0">
        <w:rPr>
          <w:rFonts w:asciiTheme="majorHAnsi" w:hAnsiTheme="majorHAnsi"/>
          <w:bCs/>
          <w:color w:val="000000" w:themeColor="text1"/>
          <w:sz w:val="20"/>
          <w:szCs w:val="20"/>
          <w:lang w:val="es-ES"/>
        </w:rPr>
        <w:t xml:space="preserve"> final d</w:t>
      </w:r>
      <w:r w:rsidR="001123B4" w:rsidRPr="004768D0">
        <w:rPr>
          <w:rFonts w:asciiTheme="majorHAnsi" w:hAnsiTheme="majorHAnsi"/>
          <w:bCs/>
          <w:color w:val="000000" w:themeColor="text1"/>
          <w:sz w:val="20"/>
          <w:szCs w:val="20"/>
          <w:lang w:val="es-ES"/>
        </w:rPr>
        <w:t>e l</w:t>
      </w:r>
      <w:r w:rsidR="001E7F07" w:rsidRPr="004768D0">
        <w:rPr>
          <w:rFonts w:asciiTheme="majorHAnsi" w:hAnsiTheme="majorHAnsi"/>
          <w:bCs/>
          <w:color w:val="000000" w:themeColor="text1"/>
          <w:sz w:val="20"/>
          <w:szCs w:val="20"/>
          <w:lang w:val="es-ES"/>
        </w:rPr>
        <w:t>as</w:t>
      </w:r>
      <w:r w:rsidR="007E5D1F" w:rsidRPr="004768D0">
        <w:rPr>
          <w:rFonts w:asciiTheme="majorHAnsi" w:hAnsiTheme="majorHAnsi"/>
          <w:bCs/>
          <w:color w:val="000000" w:themeColor="text1"/>
          <w:sz w:val="20"/>
          <w:szCs w:val="20"/>
          <w:lang w:val="es-ES"/>
        </w:rPr>
        <w:t xml:space="preserve"> </w:t>
      </w:r>
      <w:r w:rsidR="00E04ED3" w:rsidRPr="004768D0">
        <w:rPr>
          <w:rFonts w:asciiTheme="majorHAnsi" w:hAnsiTheme="majorHAnsi"/>
          <w:bCs/>
          <w:color w:val="000000" w:themeColor="text1"/>
          <w:sz w:val="20"/>
          <w:szCs w:val="20"/>
          <w:lang w:val="es-ES"/>
        </w:rPr>
        <w:t>investigaciones</w:t>
      </w:r>
      <w:r w:rsidR="001E7F07" w:rsidRPr="004768D0">
        <w:rPr>
          <w:rFonts w:asciiTheme="majorHAnsi" w:hAnsiTheme="majorHAnsi"/>
          <w:bCs/>
          <w:color w:val="000000" w:themeColor="text1"/>
          <w:sz w:val="20"/>
          <w:szCs w:val="20"/>
          <w:lang w:val="es-ES"/>
        </w:rPr>
        <w:t xml:space="preserve"> promovidas p</w:t>
      </w:r>
      <w:r w:rsidR="001123B4" w:rsidRPr="004768D0">
        <w:rPr>
          <w:rFonts w:asciiTheme="majorHAnsi" w:hAnsiTheme="majorHAnsi"/>
          <w:bCs/>
          <w:color w:val="000000" w:themeColor="text1"/>
          <w:sz w:val="20"/>
          <w:szCs w:val="20"/>
          <w:lang w:val="es-ES"/>
        </w:rPr>
        <w:t xml:space="preserve">or </w:t>
      </w:r>
      <w:r w:rsidR="001E7F07" w:rsidRPr="004768D0">
        <w:rPr>
          <w:rFonts w:asciiTheme="majorHAnsi" w:hAnsiTheme="majorHAnsi"/>
          <w:bCs/>
          <w:color w:val="000000" w:themeColor="text1"/>
          <w:sz w:val="20"/>
          <w:szCs w:val="20"/>
          <w:lang w:val="es-ES"/>
        </w:rPr>
        <w:t xml:space="preserve">la </w:t>
      </w:r>
      <w:r w:rsidR="00372008" w:rsidRPr="004768D0">
        <w:rPr>
          <w:rFonts w:asciiTheme="majorHAnsi" w:hAnsiTheme="majorHAnsi"/>
          <w:bCs/>
          <w:color w:val="000000" w:themeColor="text1"/>
          <w:sz w:val="20"/>
          <w:szCs w:val="20"/>
          <w:lang w:val="es-ES"/>
        </w:rPr>
        <w:t>Policía</w:t>
      </w:r>
      <w:r w:rsidR="007E5D1F"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t>Judici</w:t>
      </w:r>
      <w:r w:rsidR="001123B4" w:rsidRPr="004768D0">
        <w:rPr>
          <w:rFonts w:asciiTheme="majorHAnsi" w:hAnsiTheme="majorHAnsi"/>
          <w:bCs/>
          <w:color w:val="000000" w:themeColor="text1"/>
          <w:sz w:val="20"/>
          <w:szCs w:val="20"/>
          <w:lang w:val="es-ES"/>
        </w:rPr>
        <w:t>al</w:t>
      </w:r>
      <w:r w:rsidR="001E7F07"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 xml:space="preserve">aunque se </w:t>
      </w:r>
      <w:r w:rsidR="001E7F07" w:rsidRPr="004768D0">
        <w:rPr>
          <w:rFonts w:asciiTheme="majorHAnsi" w:hAnsiTheme="majorHAnsi"/>
          <w:bCs/>
          <w:color w:val="000000" w:themeColor="text1"/>
          <w:sz w:val="20"/>
          <w:szCs w:val="20"/>
          <w:lang w:val="es-ES"/>
        </w:rPr>
        <w:t>demo</w:t>
      </w:r>
      <w:r w:rsidR="001123B4" w:rsidRPr="004768D0">
        <w:rPr>
          <w:rFonts w:asciiTheme="majorHAnsi" w:hAnsiTheme="majorHAnsi"/>
          <w:bCs/>
          <w:color w:val="000000" w:themeColor="text1"/>
          <w:sz w:val="20"/>
          <w:szCs w:val="20"/>
          <w:lang w:val="es-ES"/>
        </w:rPr>
        <w:t xml:space="preserve">stró la </w:t>
      </w:r>
      <w:r w:rsidR="001E7F07" w:rsidRPr="004768D0">
        <w:rPr>
          <w:rFonts w:asciiTheme="majorHAnsi" w:hAnsiTheme="majorHAnsi"/>
          <w:bCs/>
          <w:color w:val="000000" w:themeColor="text1"/>
          <w:sz w:val="20"/>
          <w:szCs w:val="20"/>
          <w:lang w:val="es-ES"/>
        </w:rPr>
        <w:t>materialidad</w:t>
      </w:r>
      <w:r w:rsidR="001123B4" w:rsidRPr="004768D0">
        <w:rPr>
          <w:rFonts w:asciiTheme="majorHAnsi" w:hAnsiTheme="majorHAnsi"/>
          <w:bCs/>
          <w:color w:val="000000" w:themeColor="text1"/>
          <w:sz w:val="20"/>
          <w:szCs w:val="20"/>
          <w:lang w:val="es-ES"/>
        </w:rPr>
        <w:t xml:space="preserve"> de l</w:t>
      </w:r>
      <w:r w:rsidR="001E7F07" w:rsidRPr="004768D0">
        <w:rPr>
          <w:rFonts w:asciiTheme="majorHAnsi" w:hAnsiTheme="majorHAnsi"/>
          <w:bCs/>
          <w:color w:val="000000" w:themeColor="text1"/>
          <w:sz w:val="20"/>
          <w:szCs w:val="20"/>
          <w:lang w:val="es-ES"/>
        </w:rPr>
        <w:t xml:space="preserve">os delitos, </w:t>
      </w:r>
      <w:r w:rsidR="001123B4" w:rsidRPr="004768D0">
        <w:rPr>
          <w:rFonts w:asciiTheme="majorHAnsi" w:hAnsiTheme="majorHAnsi"/>
          <w:bCs/>
          <w:color w:val="000000" w:themeColor="text1"/>
          <w:sz w:val="20"/>
          <w:szCs w:val="20"/>
          <w:lang w:val="es-ES"/>
        </w:rPr>
        <w:t>no ocurrió lo mismo con respecto a la autoría</w:t>
      </w:r>
      <w:r w:rsidR="001E7F07" w:rsidRPr="004768D0">
        <w:rPr>
          <w:rFonts w:asciiTheme="majorHAnsi" w:hAnsiTheme="majorHAnsi"/>
          <w:bCs/>
          <w:color w:val="000000" w:themeColor="text1"/>
          <w:sz w:val="20"/>
          <w:szCs w:val="20"/>
          <w:lang w:val="es-ES"/>
        </w:rPr>
        <w:t xml:space="preserve">, </w:t>
      </w:r>
      <w:r w:rsidR="001123B4" w:rsidRPr="004768D0">
        <w:rPr>
          <w:rFonts w:asciiTheme="majorHAnsi" w:hAnsiTheme="majorHAnsi"/>
          <w:bCs/>
          <w:color w:val="000000" w:themeColor="text1"/>
          <w:sz w:val="20"/>
          <w:szCs w:val="20"/>
          <w:lang w:val="es-ES"/>
        </w:rPr>
        <w:t>lo cual llevó al archivamiento de los procedimientos</w:t>
      </w:r>
      <w:r w:rsidR="001E7F07" w:rsidRPr="004768D0">
        <w:rPr>
          <w:rFonts w:asciiTheme="majorHAnsi" w:hAnsiTheme="majorHAnsi"/>
          <w:bCs/>
          <w:color w:val="000000" w:themeColor="text1"/>
          <w:sz w:val="20"/>
          <w:szCs w:val="20"/>
          <w:lang w:val="es-ES"/>
        </w:rPr>
        <w:t xml:space="preserve"> investigat</w:t>
      </w:r>
      <w:r w:rsidR="001123B4" w:rsidRPr="004768D0">
        <w:rPr>
          <w:rFonts w:asciiTheme="majorHAnsi" w:hAnsiTheme="majorHAnsi"/>
          <w:bCs/>
          <w:color w:val="000000" w:themeColor="text1"/>
          <w:sz w:val="20"/>
          <w:szCs w:val="20"/>
          <w:lang w:val="es-ES"/>
        </w:rPr>
        <w:t>ivos</w:t>
      </w:r>
      <w:r w:rsidR="004744F0" w:rsidRPr="004768D0">
        <w:rPr>
          <w:rFonts w:asciiTheme="majorHAnsi" w:hAnsiTheme="majorHAnsi"/>
          <w:bCs/>
          <w:color w:val="000000" w:themeColor="text1"/>
          <w:sz w:val="20"/>
          <w:szCs w:val="20"/>
          <w:lang w:val="es-ES"/>
        </w:rPr>
        <w:t>”</w:t>
      </w:r>
      <w:r w:rsidR="00E757F9" w:rsidRPr="004768D0">
        <w:rPr>
          <w:rFonts w:asciiTheme="majorHAnsi" w:hAnsiTheme="majorHAnsi"/>
          <w:bCs/>
          <w:color w:val="000000" w:themeColor="text1"/>
          <w:sz w:val="20"/>
          <w:szCs w:val="20"/>
          <w:lang w:val="es-ES"/>
        </w:rPr>
        <w:t xml:space="preserve">. Posteriormente, </w:t>
      </w:r>
      <w:r w:rsidR="001123B4" w:rsidRPr="004768D0">
        <w:rPr>
          <w:rFonts w:asciiTheme="majorHAnsi" w:hAnsiTheme="majorHAnsi"/>
          <w:bCs/>
          <w:color w:val="000000" w:themeColor="text1"/>
          <w:sz w:val="20"/>
          <w:szCs w:val="20"/>
          <w:lang w:val="es-ES"/>
        </w:rPr>
        <w:t>en</w:t>
      </w:r>
      <w:r w:rsidR="00E757F9" w:rsidRPr="004768D0">
        <w:rPr>
          <w:rFonts w:asciiTheme="majorHAnsi" w:hAnsiTheme="majorHAnsi"/>
          <w:bCs/>
          <w:color w:val="000000" w:themeColor="text1"/>
          <w:sz w:val="20"/>
          <w:szCs w:val="20"/>
          <w:lang w:val="es-ES"/>
        </w:rPr>
        <w:t xml:space="preserve"> </w:t>
      </w:r>
      <w:r w:rsidR="00174FDD" w:rsidRPr="004768D0">
        <w:rPr>
          <w:rFonts w:asciiTheme="majorHAnsi" w:hAnsiTheme="majorHAnsi"/>
          <w:bCs/>
          <w:color w:val="000000" w:themeColor="text1"/>
          <w:sz w:val="20"/>
          <w:szCs w:val="20"/>
          <w:lang w:val="es-ES"/>
        </w:rPr>
        <w:t>diciembre</w:t>
      </w:r>
      <w:r w:rsidR="00E757F9" w:rsidRPr="004768D0">
        <w:rPr>
          <w:rFonts w:asciiTheme="majorHAnsi" w:hAnsiTheme="majorHAnsi"/>
          <w:bCs/>
          <w:color w:val="000000" w:themeColor="text1"/>
          <w:sz w:val="20"/>
          <w:szCs w:val="20"/>
          <w:lang w:val="es-ES"/>
        </w:rPr>
        <w:t xml:space="preserve"> de 2010, </w:t>
      </w:r>
      <w:r w:rsidR="00174FDD" w:rsidRPr="004768D0">
        <w:rPr>
          <w:rFonts w:asciiTheme="majorHAnsi" w:hAnsiTheme="majorHAnsi"/>
          <w:bCs/>
          <w:color w:val="000000" w:themeColor="text1"/>
          <w:sz w:val="20"/>
          <w:szCs w:val="20"/>
          <w:lang w:val="es-ES"/>
        </w:rPr>
        <w:t xml:space="preserve">el </w:t>
      </w:r>
      <w:r w:rsidR="00E757F9" w:rsidRPr="004768D0">
        <w:rPr>
          <w:rFonts w:asciiTheme="majorHAnsi" w:hAnsiTheme="majorHAnsi"/>
          <w:bCs/>
          <w:color w:val="000000" w:themeColor="text1"/>
          <w:sz w:val="20"/>
          <w:szCs w:val="20"/>
          <w:lang w:val="es-ES"/>
        </w:rPr>
        <w:t>Grupo de A</w:t>
      </w:r>
      <w:r w:rsidR="00174FDD" w:rsidRPr="004768D0">
        <w:rPr>
          <w:rFonts w:asciiTheme="majorHAnsi" w:hAnsiTheme="majorHAnsi"/>
          <w:bCs/>
          <w:color w:val="000000" w:themeColor="text1"/>
          <w:sz w:val="20"/>
          <w:szCs w:val="20"/>
          <w:lang w:val="es-ES"/>
        </w:rPr>
        <w:t>c</w:t>
      </w:r>
      <w:r w:rsidR="00E757F9" w:rsidRPr="004768D0">
        <w:rPr>
          <w:rFonts w:asciiTheme="majorHAnsi" w:hAnsiTheme="majorHAnsi"/>
          <w:bCs/>
          <w:color w:val="000000" w:themeColor="text1"/>
          <w:sz w:val="20"/>
          <w:szCs w:val="20"/>
          <w:lang w:val="es-ES"/>
        </w:rPr>
        <w:t>tua</w:t>
      </w:r>
      <w:r w:rsidR="00174FDD" w:rsidRPr="004768D0">
        <w:rPr>
          <w:rFonts w:asciiTheme="majorHAnsi" w:hAnsiTheme="majorHAnsi"/>
          <w:bCs/>
          <w:color w:val="000000" w:themeColor="text1"/>
          <w:sz w:val="20"/>
          <w:szCs w:val="20"/>
          <w:lang w:val="es-ES"/>
        </w:rPr>
        <w:t>ción</w:t>
      </w:r>
      <w:r w:rsidR="00E757F9" w:rsidRPr="004768D0">
        <w:rPr>
          <w:rFonts w:asciiTheme="majorHAnsi" w:hAnsiTheme="majorHAnsi"/>
          <w:bCs/>
          <w:color w:val="000000" w:themeColor="text1"/>
          <w:sz w:val="20"/>
          <w:szCs w:val="20"/>
          <w:lang w:val="es-ES"/>
        </w:rPr>
        <w:t xml:space="preserve"> Especial </w:t>
      </w:r>
      <w:r w:rsidR="00174FDD" w:rsidRPr="004768D0">
        <w:rPr>
          <w:rFonts w:asciiTheme="majorHAnsi" w:hAnsiTheme="majorHAnsi"/>
          <w:bCs/>
          <w:color w:val="000000" w:themeColor="text1"/>
          <w:sz w:val="20"/>
          <w:szCs w:val="20"/>
          <w:lang w:val="es-ES"/>
        </w:rPr>
        <w:t>y</w:t>
      </w:r>
      <w:r w:rsidR="00E757F9" w:rsidRPr="004768D0">
        <w:rPr>
          <w:rFonts w:asciiTheme="majorHAnsi" w:hAnsiTheme="majorHAnsi"/>
          <w:bCs/>
          <w:color w:val="000000" w:themeColor="text1"/>
          <w:sz w:val="20"/>
          <w:szCs w:val="20"/>
          <w:lang w:val="es-ES"/>
        </w:rPr>
        <w:t xml:space="preserve"> </w:t>
      </w:r>
      <w:r w:rsidR="00174FDD" w:rsidRPr="004768D0">
        <w:rPr>
          <w:rFonts w:asciiTheme="majorHAnsi" w:hAnsiTheme="majorHAnsi"/>
          <w:bCs/>
          <w:color w:val="000000" w:themeColor="text1"/>
          <w:sz w:val="20"/>
          <w:szCs w:val="20"/>
          <w:lang w:val="es-ES"/>
        </w:rPr>
        <w:t>Combate a la Delincuencia</w:t>
      </w:r>
      <w:r w:rsidR="00E757F9" w:rsidRPr="004768D0">
        <w:rPr>
          <w:rFonts w:asciiTheme="majorHAnsi" w:hAnsiTheme="majorHAnsi"/>
          <w:bCs/>
          <w:color w:val="000000" w:themeColor="text1"/>
          <w:sz w:val="20"/>
          <w:szCs w:val="20"/>
          <w:lang w:val="es-ES"/>
        </w:rPr>
        <w:t xml:space="preserve"> Organizad</w:t>
      </w:r>
      <w:r w:rsidR="00174FDD" w:rsidRPr="004768D0">
        <w:rPr>
          <w:rFonts w:asciiTheme="majorHAnsi" w:hAnsiTheme="majorHAnsi"/>
          <w:bCs/>
          <w:color w:val="000000" w:themeColor="text1"/>
          <w:sz w:val="20"/>
          <w:szCs w:val="20"/>
          <w:lang w:val="es-ES"/>
        </w:rPr>
        <w:t>a</w:t>
      </w:r>
      <w:r w:rsidR="00E757F9" w:rsidRPr="004768D0">
        <w:rPr>
          <w:rFonts w:asciiTheme="majorHAnsi" w:hAnsiTheme="majorHAnsi"/>
          <w:bCs/>
          <w:color w:val="000000" w:themeColor="text1"/>
          <w:sz w:val="20"/>
          <w:szCs w:val="20"/>
          <w:lang w:val="es-ES"/>
        </w:rPr>
        <w:t xml:space="preserve"> (GAECO), núcleo de Santos, </w:t>
      </w:r>
      <w:r w:rsidR="00174FDD" w:rsidRPr="004768D0">
        <w:rPr>
          <w:rFonts w:asciiTheme="majorHAnsi" w:hAnsiTheme="majorHAnsi"/>
          <w:bCs/>
          <w:color w:val="000000" w:themeColor="text1"/>
          <w:sz w:val="20"/>
          <w:szCs w:val="20"/>
          <w:lang w:val="es-ES"/>
        </w:rPr>
        <w:t>entabló el procedimiento</w:t>
      </w:r>
      <w:r w:rsidR="001E7F07" w:rsidRPr="004768D0">
        <w:rPr>
          <w:rFonts w:asciiTheme="majorHAnsi" w:hAnsiTheme="majorHAnsi"/>
          <w:bCs/>
          <w:color w:val="000000" w:themeColor="text1"/>
          <w:sz w:val="20"/>
          <w:szCs w:val="20"/>
          <w:lang w:val="es-ES"/>
        </w:rPr>
        <w:t xml:space="preserve"> </w:t>
      </w:r>
      <w:r w:rsidR="00174FDD" w:rsidRPr="004768D0">
        <w:rPr>
          <w:rFonts w:asciiTheme="majorHAnsi" w:hAnsiTheme="majorHAnsi"/>
          <w:bCs/>
          <w:color w:val="000000" w:themeColor="text1"/>
          <w:sz w:val="20"/>
          <w:szCs w:val="20"/>
          <w:lang w:val="es-ES"/>
        </w:rPr>
        <w:t>i</w:t>
      </w:r>
      <w:r w:rsidR="001E7F07" w:rsidRPr="004768D0">
        <w:rPr>
          <w:rFonts w:asciiTheme="majorHAnsi" w:hAnsiTheme="majorHAnsi"/>
          <w:bCs/>
          <w:color w:val="000000" w:themeColor="text1"/>
          <w:sz w:val="20"/>
          <w:szCs w:val="20"/>
          <w:lang w:val="es-ES"/>
        </w:rPr>
        <w:t>nvestig</w:t>
      </w:r>
      <w:r w:rsidR="00174FDD" w:rsidRPr="004768D0">
        <w:rPr>
          <w:rFonts w:asciiTheme="majorHAnsi" w:hAnsiTheme="majorHAnsi"/>
          <w:bCs/>
          <w:color w:val="000000" w:themeColor="text1"/>
          <w:sz w:val="20"/>
          <w:szCs w:val="20"/>
          <w:lang w:val="es-ES"/>
        </w:rPr>
        <w:t xml:space="preserve">ativo penal </w:t>
      </w:r>
      <w:proofErr w:type="spellStart"/>
      <w:r w:rsidR="00174FDD" w:rsidRPr="004768D0">
        <w:rPr>
          <w:rFonts w:asciiTheme="majorHAnsi" w:hAnsiTheme="majorHAnsi"/>
          <w:bCs/>
          <w:color w:val="000000" w:themeColor="text1"/>
          <w:sz w:val="20"/>
          <w:szCs w:val="20"/>
          <w:lang w:val="es-ES"/>
        </w:rPr>
        <w:t>N.</w:t>
      </w:r>
      <w:r w:rsidR="00174FDD" w:rsidRPr="004768D0">
        <w:rPr>
          <w:rFonts w:asciiTheme="majorHAnsi" w:hAnsiTheme="majorHAnsi"/>
          <w:bCs/>
          <w:color w:val="000000" w:themeColor="text1"/>
          <w:sz w:val="20"/>
          <w:szCs w:val="20"/>
          <w:vertAlign w:val="superscript"/>
          <w:lang w:val="es-ES"/>
        </w:rPr>
        <w:t>o</w:t>
      </w:r>
      <w:proofErr w:type="spellEnd"/>
      <w:r w:rsidR="00174FDD"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t>71/2010</w:t>
      </w:r>
      <w:r w:rsidR="00E757F9" w:rsidRPr="004768D0">
        <w:rPr>
          <w:rFonts w:asciiTheme="majorHAnsi" w:hAnsiTheme="majorHAnsi"/>
          <w:bCs/>
          <w:color w:val="000000" w:themeColor="text1"/>
          <w:sz w:val="20"/>
          <w:szCs w:val="20"/>
          <w:lang w:val="es-ES"/>
        </w:rPr>
        <w:t xml:space="preserve"> para </w:t>
      </w:r>
      <w:r w:rsidR="00712D2E" w:rsidRPr="004768D0">
        <w:rPr>
          <w:rFonts w:asciiTheme="majorHAnsi" w:hAnsiTheme="majorHAnsi"/>
          <w:bCs/>
          <w:color w:val="000000" w:themeColor="text1"/>
          <w:sz w:val="20"/>
          <w:szCs w:val="20"/>
          <w:lang w:val="es-ES"/>
        </w:rPr>
        <w:t>estudiar la</w:t>
      </w:r>
      <w:r w:rsidR="00E757F9" w:rsidRPr="004768D0">
        <w:rPr>
          <w:rFonts w:asciiTheme="majorHAnsi" w:hAnsiTheme="majorHAnsi"/>
          <w:bCs/>
          <w:color w:val="000000" w:themeColor="text1"/>
          <w:sz w:val="20"/>
          <w:szCs w:val="20"/>
          <w:lang w:val="es-ES"/>
        </w:rPr>
        <w:t xml:space="preserve"> </w:t>
      </w:r>
      <w:r w:rsidR="00712D2E" w:rsidRPr="004768D0">
        <w:rPr>
          <w:rFonts w:asciiTheme="majorHAnsi" w:hAnsiTheme="majorHAnsi"/>
          <w:bCs/>
          <w:color w:val="000000" w:themeColor="text1"/>
          <w:sz w:val="20"/>
          <w:szCs w:val="20"/>
          <w:lang w:val="es-ES"/>
        </w:rPr>
        <w:t>posibilidad</w:t>
      </w:r>
      <w:r w:rsidR="00E757F9" w:rsidRPr="004768D0">
        <w:rPr>
          <w:rFonts w:asciiTheme="majorHAnsi" w:hAnsiTheme="majorHAnsi"/>
          <w:bCs/>
          <w:color w:val="000000" w:themeColor="text1"/>
          <w:sz w:val="20"/>
          <w:szCs w:val="20"/>
          <w:lang w:val="es-ES"/>
        </w:rPr>
        <w:t xml:space="preserve"> de reab</w:t>
      </w:r>
      <w:r w:rsidR="00712D2E" w:rsidRPr="004768D0">
        <w:rPr>
          <w:rFonts w:asciiTheme="majorHAnsi" w:hAnsiTheme="majorHAnsi"/>
          <w:bCs/>
          <w:color w:val="000000" w:themeColor="text1"/>
          <w:sz w:val="20"/>
          <w:szCs w:val="20"/>
          <w:lang w:val="es-ES"/>
        </w:rPr>
        <w:t xml:space="preserve">rir las </w:t>
      </w:r>
      <w:r w:rsidR="00E04ED3" w:rsidRPr="004768D0">
        <w:rPr>
          <w:rFonts w:asciiTheme="majorHAnsi" w:hAnsiTheme="majorHAnsi"/>
          <w:bCs/>
          <w:color w:val="000000" w:themeColor="text1"/>
          <w:sz w:val="20"/>
          <w:szCs w:val="20"/>
          <w:lang w:val="es-ES"/>
        </w:rPr>
        <w:t>investigaciones</w:t>
      </w:r>
      <w:r w:rsidR="00E757F9" w:rsidRPr="004768D0">
        <w:rPr>
          <w:rFonts w:asciiTheme="majorHAnsi" w:hAnsiTheme="majorHAnsi"/>
          <w:bCs/>
          <w:color w:val="000000" w:themeColor="text1"/>
          <w:sz w:val="20"/>
          <w:szCs w:val="20"/>
          <w:lang w:val="es-ES"/>
        </w:rPr>
        <w:t xml:space="preserve"> relacionadas </w:t>
      </w:r>
      <w:r w:rsidR="00712D2E" w:rsidRPr="004768D0">
        <w:rPr>
          <w:rFonts w:asciiTheme="majorHAnsi" w:hAnsiTheme="majorHAnsi"/>
          <w:bCs/>
          <w:color w:val="000000" w:themeColor="text1"/>
          <w:sz w:val="20"/>
          <w:szCs w:val="20"/>
          <w:lang w:val="es-ES"/>
        </w:rPr>
        <w:t>con l</w:t>
      </w:r>
      <w:r w:rsidR="00E757F9" w:rsidRPr="004768D0">
        <w:rPr>
          <w:rFonts w:asciiTheme="majorHAnsi" w:hAnsiTheme="majorHAnsi"/>
          <w:bCs/>
          <w:color w:val="000000" w:themeColor="text1"/>
          <w:sz w:val="20"/>
          <w:szCs w:val="20"/>
          <w:lang w:val="es-ES"/>
        </w:rPr>
        <w:t xml:space="preserve">os </w:t>
      </w:r>
      <w:r w:rsidR="00F154A0" w:rsidRPr="004768D0">
        <w:rPr>
          <w:rFonts w:asciiTheme="majorHAnsi" w:hAnsiTheme="majorHAnsi"/>
          <w:bCs/>
          <w:color w:val="000000" w:themeColor="text1"/>
          <w:sz w:val="20"/>
          <w:szCs w:val="20"/>
          <w:lang w:val="es-ES"/>
        </w:rPr>
        <w:t>homicidio</w:t>
      </w:r>
      <w:r w:rsidR="00E757F9" w:rsidRPr="004768D0">
        <w:rPr>
          <w:rFonts w:asciiTheme="majorHAnsi" w:hAnsiTheme="majorHAnsi"/>
          <w:bCs/>
          <w:color w:val="000000" w:themeColor="text1"/>
          <w:sz w:val="20"/>
          <w:szCs w:val="20"/>
          <w:lang w:val="es-ES"/>
        </w:rPr>
        <w:t xml:space="preserve">s </w:t>
      </w:r>
      <w:r w:rsidR="00712D2E" w:rsidRPr="004768D0">
        <w:rPr>
          <w:rFonts w:asciiTheme="majorHAnsi" w:hAnsiTheme="majorHAnsi"/>
          <w:bCs/>
          <w:color w:val="000000" w:themeColor="text1"/>
          <w:sz w:val="20"/>
          <w:szCs w:val="20"/>
          <w:lang w:val="es-ES"/>
        </w:rPr>
        <w:t>aquí</w:t>
      </w:r>
      <w:r w:rsidR="00E757F9" w:rsidRPr="004768D0">
        <w:rPr>
          <w:rFonts w:asciiTheme="majorHAnsi" w:hAnsiTheme="majorHAnsi"/>
          <w:bCs/>
          <w:color w:val="000000" w:themeColor="text1"/>
          <w:sz w:val="20"/>
          <w:szCs w:val="20"/>
          <w:lang w:val="es-ES"/>
        </w:rPr>
        <w:t xml:space="preserve"> denunciados. </w:t>
      </w:r>
      <w:r w:rsidRPr="004768D0">
        <w:rPr>
          <w:rFonts w:asciiTheme="majorHAnsi" w:hAnsiTheme="majorHAnsi"/>
          <w:bCs/>
          <w:color w:val="000000" w:themeColor="text1"/>
          <w:sz w:val="20"/>
          <w:szCs w:val="20"/>
          <w:lang w:val="es-ES"/>
        </w:rPr>
        <w:t>El Estado</w:t>
      </w:r>
      <w:r w:rsidR="00E757F9" w:rsidRPr="004768D0">
        <w:rPr>
          <w:rFonts w:asciiTheme="majorHAnsi" w:hAnsiTheme="majorHAnsi"/>
          <w:bCs/>
          <w:color w:val="000000" w:themeColor="text1"/>
          <w:sz w:val="20"/>
          <w:szCs w:val="20"/>
          <w:lang w:val="es-ES"/>
        </w:rPr>
        <w:t xml:space="preserve"> </w:t>
      </w:r>
      <w:r w:rsidR="00712D2E" w:rsidRPr="004768D0">
        <w:rPr>
          <w:rFonts w:asciiTheme="majorHAnsi" w:hAnsiTheme="majorHAnsi"/>
          <w:bCs/>
          <w:color w:val="000000" w:themeColor="text1"/>
          <w:sz w:val="20"/>
          <w:szCs w:val="20"/>
          <w:lang w:val="es-ES"/>
        </w:rPr>
        <w:t>informó</w:t>
      </w:r>
      <w:r w:rsidR="00E757F9" w:rsidRPr="004768D0">
        <w:rPr>
          <w:rFonts w:asciiTheme="majorHAnsi" w:hAnsiTheme="majorHAnsi"/>
          <w:bCs/>
          <w:color w:val="000000" w:themeColor="text1"/>
          <w:sz w:val="20"/>
          <w:szCs w:val="20"/>
          <w:lang w:val="es-ES"/>
        </w:rPr>
        <w:t xml:space="preserve"> que </w:t>
      </w:r>
      <w:r w:rsidR="00712D2E"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a </w:t>
      </w:r>
      <w:r w:rsidR="00712D2E" w:rsidRPr="004768D0">
        <w:rPr>
          <w:rFonts w:asciiTheme="majorHAnsi" w:hAnsiTheme="majorHAnsi"/>
          <w:bCs/>
          <w:color w:val="000000" w:themeColor="text1"/>
          <w:sz w:val="20"/>
          <w:szCs w:val="20"/>
          <w:lang w:val="es-ES"/>
        </w:rPr>
        <w:t>investigación</w:t>
      </w:r>
      <w:r w:rsidR="00E757F9" w:rsidRPr="004768D0">
        <w:rPr>
          <w:rFonts w:asciiTheme="majorHAnsi" w:hAnsiTheme="majorHAnsi"/>
          <w:bCs/>
          <w:color w:val="000000" w:themeColor="text1"/>
          <w:sz w:val="20"/>
          <w:szCs w:val="20"/>
          <w:lang w:val="es-ES"/>
        </w:rPr>
        <w:t xml:space="preserve"> </w:t>
      </w:r>
      <w:r w:rsidR="00712D2E" w:rsidRPr="004768D0">
        <w:rPr>
          <w:rFonts w:asciiTheme="majorHAnsi" w:hAnsiTheme="majorHAnsi"/>
          <w:bCs/>
          <w:color w:val="000000" w:themeColor="text1"/>
          <w:sz w:val="20"/>
          <w:szCs w:val="20"/>
          <w:lang w:val="es-ES"/>
        </w:rPr>
        <w:t xml:space="preserve">seguía en </w:t>
      </w:r>
      <w:r w:rsidR="00E757F9" w:rsidRPr="004768D0">
        <w:rPr>
          <w:rFonts w:asciiTheme="majorHAnsi" w:hAnsiTheme="majorHAnsi"/>
          <w:bCs/>
          <w:color w:val="000000" w:themeColor="text1"/>
          <w:sz w:val="20"/>
          <w:szCs w:val="20"/>
          <w:lang w:val="es-ES"/>
        </w:rPr>
        <w:t>curso</w:t>
      </w:r>
      <w:r w:rsidR="003805B5">
        <w:rPr>
          <w:rFonts w:asciiTheme="majorHAnsi" w:hAnsiTheme="majorHAnsi"/>
          <w:bCs/>
          <w:color w:val="000000" w:themeColor="text1"/>
          <w:sz w:val="20"/>
          <w:szCs w:val="20"/>
          <w:lang w:val="es-ES"/>
        </w:rPr>
        <w:t xml:space="preserve"> y se</w:t>
      </w:r>
      <w:r w:rsidR="00E757F9" w:rsidRPr="004768D0">
        <w:rPr>
          <w:rFonts w:asciiTheme="majorHAnsi" w:hAnsiTheme="majorHAnsi"/>
          <w:bCs/>
          <w:color w:val="000000" w:themeColor="text1"/>
          <w:sz w:val="20"/>
          <w:szCs w:val="20"/>
          <w:lang w:val="es-ES"/>
        </w:rPr>
        <w:t xml:space="preserve"> </w:t>
      </w:r>
      <w:r w:rsidR="003805B5">
        <w:rPr>
          <w:rFonts w:asciiTheme="majorHAnsi" w:hAnsiTheme="majorHAnsi"/>
          <w:bCs/>
          <w:color w:val="000000" w:themeColor="text1"/>
          <w:sz w:val="20"/>
          <w:szCs w:val="20"/>
          <w:lang w:val="es-ES"/>
        </w:rPr>
        <w:t xml:space="preserve">aguardaba </w:t>
      </w:r>
      <w:r w:rsidR="00712D2E"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a realiza</w:t>
      </w:r>
      <w:r w:rsidR="00712D2E" w:rsidRPr="004768D0">
        <w:rPr>
          <w:rFonts w:asciiTheme="majorHAnsi" w:hAnsiTheme="majorHAnsi"/>
          <w:bCs/>
          <w:color w:val="000000" w:themeColor="text1"/>
          <w:sz w:val="20"/>
          <w:szCs w:val="20"/>
          <w:lang w:val="es-ES"/>
        </w:rPr>
        <w:t xml:space="preserve">ción de </w:t>
      </w:r>
      <w:r w:rsidR="003805B5">
        <w:rPr>
          <w:rFonts w:asciiTheme="majorHAnsi" w:hAnsiTheme="majorHAnsi"/>
          <w:bCs/>
          <w:color w:val="000000" w:themeColor="text1"/>
          <w:sz w:val="20"/>
          <w:szCs w:val="20"/>
          <w:lang w:val="es-ES"/>
        </w:rPr>
        <w:t>exámenes</w:t>
      </w:r>
      <w:r w:rsidR="00712D2E" w:rsidRPr="004768D0">
        <w:rPr>
          <w:rFonts w:asciiTheme="majorHAnsi" w:hAnsiTheme="majorHAnsi"/>
          <w:bCs/>
          <w:color w:val="000000" w:themeColor="text1"/>
          <w:sz w:val="20"/>
          <w:szCs w:val="20"/>
          <w:lang w:val="es-ES"/>
        </w:rPr>
        <w:t xml:space="preserve"> periciales </w:t>
      </w:r>
      <w:r w:rsidR="00E757F9" w:rsidRPr="004768D0">
        <w:rPr>
          <w:rFonts w:asciiTheme="majorHAnsi" w:hAnsiTheme="majorHAnsi"/>
          <w:bCs/>
          <w:color w:val="000000" w:themeColor="text1"/>
          <w:sz w:val="20"/>
          <w:szCs w:val="20"/>
          <w:lang w:val="es-ES"/>
        </w:rPr>
        <w:t>(</w:t>
      </w:r>
      <w:r w:rsidR="00712D2E" w:rsidRPr="004768D0">
        <w:rPr>
          <w:rFonts w:asciiTheme="majorHAnsi" w:hAnsiTheme="majorHAnsi"/>
          <w:bCs/>
          <w:color w:val="000000" w:themeColor="text1"/>
          <w:sz w:val="20"/>
          <w:szCs w:val="20"/>
          <w:lang w:val="es-ES"/>
        </w:rPr>
        <w:t xml:space="preserve">pruebas de </w:t>
      </w:r>
      <w:r w:rsidR="00E757F9" w:rsidRPr="004768D0">
        <w:rPr>
          <w:rFonts w:asciiTheme="majorHAnsi" w:hAnsiTheme="majorHAnsi"/>
          <w:bCs/>
          <w:color w:val="000000" w:themeColor="text1"/>
          <w:sz w:val="20"/>
          <w:szCs w:val="20"/>
          <w:lang w:val="es-ES"/>
        </w:rPr>
        <w:t>balístic</w:t>
      </w:r>
      <w:r w:rsidR="00712D2E" w:rsidRPr="004768D0">
        <w:rPr>
          <w:rFonts w:asciiTheme="majorHAnsi" w:hAnsiTheme="majorHAnsi"/>
          <w:bCs/>
          <w:color w:val="000000" w:themeColor="text1"/>
          <w:sz w:val="20"/>
          <w:szCs w:val="20"/>
          <w:lang w:val="es-ES"/>
        </w:rPr>
        <w:t>a</w:t>
      </w:r>
      <w:r w:rsidR="00E757F9" w:rsidRPr="004768D0">
        <w:rPr>
          <w:rFonts w:asciiTheme="majorHAnsi" w:hAnsiTheme="majorHAnsi"/>
          <w:bCs/>
          <w:color w:val="000000" w:themeColor="text1"/>
          <w:sz w:val="20"/>
          <w:szCs w:val="20"/>
          <w:lang w:val="es-ES"/>
        </w:rPr>
        <w:t xml:space="preserve">) </w:t>
      </w:r>
      <w:r w:rsidR="00712D2E" w:rsidRPr="004768D0">
        <w:rPr>
          <w:rFonts w:asciiTheme="majorHAnsi" w:hAnsiTheme="majorHAnsi"/>
          <w:bCs/>
          <w:color w:val="000000" w:themeColor="text1"/>
          <w:sz w:val="20"/>
          <w:szCs w:val="20"/>
          <w:lang w:val="es-ES"/>
        </w:rPr>
        <w:t xml:space="preserve">de </w:t>
      </w:r>
      <w:r w:rsidR="00E757F9" w:rsidRPr="004768D0">
        <w:rPr>
          <w:rFonts w:asciiTheme="majorHAnsi" w:hAnsiTheme="majorHAnsi"/>
          <w:bCs/>
          <w:color w:val="000000" w:themeColor="text1"/>
          <w:sz w:val="20"/>
          <w:szCs w:val="20"/>
          <w:lang w:val="es-ES"/>
        </w:rPr>
        <w:t>armas de f</w:t>
      </w:r>
      <w:r w:rsidR="00712D2E" w:rsidRPr="004768D0">
        <w:rPr>
          <w:rFonts w:asciiTheme="majorHAnsi" w:hAnsiTheme="majorHAnsi"/>
          <w:bCs/>
          <w:color w:val="000000" w:themeColor="text1"/>
          <w:sz w:val="20"/>
          <w:szCs w:val="20"/>
          <w:lang w:val="es-ES"/>
        </w:rPr>
        <w:t>uego incautadas durante la ejecución de órdenes de allanamiento</w:t>
      </w:r>
      <w:r w:rsidR="004744F0" w:rsidRPr="004768D0">
        <w:rPr>
          <w:rFonts w:asciiTheme="majorHAnsi" w:hAnsiTheme="majorHAnsi"/>
          <w:bCs/>
          <w:color w:val="000000" w:themeColor="text1"/>
          <w:sz w:val="20"/>
          <w:szCs w:val="20"/>
          <w:lang w:val="es-ES"/>
        </w:rPr>
        <w:t>”</w:t>
      </w:r>
      <w:r w:rsidR="00860DC6" w:rsidRPr="004768D0">
        <w:rPr>
          <w:rStyle w:val="FootnoteReference"/>
          <w:rFonts w:asciiTheme="majorHAnsi" w:hAnsiTheme="majorHAnsi"/>
          <w:bCs/>
          <w:color w:val="000000" w:themeColor="text1"/>
          <w:sz w:val="20"/>
          <w:szCs w:val="20"/>
          <w:lang w:val="es-ES"/>
        </w:rPr>
        <w:footnoteReference w:id="8"/>
      </w:r>
      <w:r w:rsidR="00712D2E" w:rsidRPr="004768D0">
        <w:rPr>
          <w:rFonts w:asciiTheme="majorHAnsi" w:hAnsiTheme="majorHAnsi"/>
          <w:bCs/>
          <w:color w:val="000000" w:themeColor="text1"/>
          <w:sz w:val="20"/>
          <w:szCs w:val="20"/>
          <w:lang w:val="es-ES"/>
        </w:rPr>
        <w:t>.</w:t>
      </w:r>
    </w:p>
    <w:p w14:paraId="67566240" w14:textId="77777777" w:rsidR="00860DC6" w:rsidRPr="004768D0" w:rsidRDefault="00860DC6" w:rsidP="00860DC6">
      <w:pPr>
        <w:pStyle w:val="ListParagraph"/>
        <w:rPr>
          <w:rFonts w:asciiTheme="majorHAnsi" w:hAnsiTheme="majorHAnsi"/>
          <w:bCs/>
          <w:color w:val="000000" w:themeColor="text1"/>
          <w:sz w:val="20"/>
          <w:szCs w:val="20"/>
          <w:lang w:val="es-ES"/>
        </w:rPr>
      </w:pPr>
    </w:p>
    <w:p w14:paraId="780427DC" w14:textId="77777777" w:rsidR="00860DC6" w:rsidRPr="004768D0" w:rsidRDefault="00712D2E"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 xml:space="preserve">Según el Estado, el </w:t>
      </w:r>
      <w:r w:rsidR="00860DC6" w:rsidRPr="004768D0">
        <w:rPr>
          <w:rFonts w:asciiTheme="majorHAnsi" w:hAnsiTheme="majorHAnsi"/>
          <w:bCs/>
          <w:color w:val="000000" w:themeColor="text1"/>
          <w:sz w:val="20"/>
          <w:szCs w:val="20"/>
          <w:lang w:val="es-ES"/>
        </w:rPr>
        <w:t>citado núcleo de Santos d</w:t>
      </w:r>
      <w:r w:rsidRPr="004768D0">
        <w:rPr>
          <w:rFonts w:asciiTheme="majorHAnsi" w:hAnsiTheme="majorHAnsi"/>
          <w:bCs/>
          <w:color w:val="000000" w:themeColor="text1"/>
          <w:sz w:val="20"/>
          <w:szCs w:val="20"/>
          <w:lang w:val="es-ES"/>
        </w:rPr>
        <w:t>el</w:t>
      </w:r>
      <w:r w:rsidR="00860DC6" w:rsidRPr="004768D0">
        <w:rPr>
          <w:rFonts w:asciiTheme="majorHAnsi" w:hAnsiTheme="majorHAnsi"/>
          <w:bCs/>
          <w:color w:val="000000" w:themeColor="text1"/>
          <w:sz w:val="20"/>
          <w:szCs w:val="20"/>
          <w:lang w:val="es-ES"/>
        </w:rPr>
        <w:t xml:space="preserve"> GAECO</w:t>
      </w:r>
      <w:r w:rsidRPr="004768D0">
        <w:rPr>
          <w:rFonts w:asciiTheme="majorHAnsi" w:hAnsiTheme="majorHAnsi"/>
          <w:bCs/>
          <w:color w:val="000000" w:themeColor="text1"/>
          <w:sz w:val="20"/>
          <w:szCs w:val="20"/>
          <w:lang w:val="es-ES"/>
        </w:rPr>
        <w:t xml:space="preserve"> inició el procedimiento</w:t>
      </w:r>
      <w:r w:rsidR="00860DC6"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investigativo</w:t>
      </w:r>
      <w:r w:rsidR="00860DC6" w:rsidRPr="004768D0">
        <w:rPr>
          <w:rFonts w:asciiTheme="majorHAnsi" w:hAnsiTheme="majorHAnsi"/>
          <w:bCs/>
          <w:color w:val="000000" w:themeColor="text1"/>
          <w:sz w:val="20"/>
          <w:szCs w:val="20"/>
          <w:lang w:val="es-ES"/>
        </w:rPr>
        <w:t xml:space="preserve"> </w:t>
      </w:r>
      <w:r w:rsidR="003805B5">
        <w:rPr>
          <w:rFonts w:asciiTheme="majorHAnsi" w:hAnsiTheme="majorHAnsi"/>
          <w:bCs/>
          <w:color w:val="000000" w:themeColor="text1"/>
          <w:sz w:val="20"/>
          <w:szCs w:val="20"/>
          <w:lang w:val="es-ES"/>
        </w:rPr>
        <w:t xml:space="preserve">penal </w:t>
      </w:r>
      <w:proofErr w:type="spellStart"/>
      <w:r w:rsidRPr="004768D0">
        <w:rPr>
          <w:rFonts w:asciiTheme="majorHAnsi" w:hAnsiTheme="majorHAnsi"/>
          <w:bCs/>
          <w:color w:val="000000" w:themeColor="text1"/>
          <w:sz w:val="20"/>
          <w:szCs w:val="20"/>
          <w:lang w:val="es-ES"/>
        </w:rPr>
        <w:t>N.</w:t>
      </w:r>
      <w:r w:rsidRPr="004768D0">
        <w:rPr>
          <w:rFonts w:asciiTheme="majorHAnsi" w:hAnsiTheme="majorHAnsi"/>
          <w:bCs/>
          <w:color w:val="000000" w:themeColor="text1"/>
          <w:sz w:val="20"/>
          <w:szCs w:val="20"/>
          <w:vertAlign w:val="superscript"/>
          <w:lang w:val="es-ES"/>
        </w:rPr>
        <w:t>o</w:t>
      </w:r>
      <w:proofErr w:type="spellEnd"/>
      <w:r w:rsidRPr="004768D0">
        <w:rPr>
          <w:rFonts w:asciiTheme="majorHAnsi" w:hAnsiTheme="majorHAnsi"/>
          <w:bCs/>
          <w:color w:val="000000" w:themeColor="text1"/>
          <w:sz w:val="20"/>
          <w:szCs w:val="20"/>
          <w:lang w:val="es-ES"/>
        </w:rPr>
        <w:t xml:space="preserve"> </w:t>
      </w:r>
      <w:r w:rsidR="00860DC6" w:rsidRPr="004768D0">
        <w:rPr>
          <w:rFonts w:asciiTheme="majorHAnsi" w:hAnsiTheme="majorHAnsi"/>
          <w:bCs/>
          <w:color w:val="000000" w:themeColor="text1"/>
          <w:sz w:val="20"/>
          <w:szCs w:val="20"/>
          <w:lang w:val="es-ES"/>
        </w:rPr>
        <w:t xml:space="preserve">94.0563.0000071/201-8 para </w:t>
      </w:r>
      <w:r w:rsidRPr="004768D0">
        <w:rPr>
          <w:rFonts w:asciiTheme="majorHAnsi" w:hAnsiTheme="majorHAnsi"/>
          <w:bCs/>
          <w:color w:val="000000" w:themeColor="text1"/>
          <w:sz w:val="20"/>
          <w:szCs w:val="20"/>
          <w:lang w:val="es-ES"/>
        </w:rPr>
        <w:t xml:space="preserve">estudiar la </w:t>
      </w:r>
      <w:r w:rsidR="00860DC6" w:rsidRPr="004768D0">
        <w:rPr>
          <w:rFonts w:asciiTheme="majorHAnsi" w:hAnsiTheme="majorHAnsi"/>
          <w:bCs/>
          <w:color w:val="000000" w:themeColor="text1"/>
          <w:sz w:val="20"/>
          <w:szCs w:val="20"/>
          <w:lang w:val="es-ES"/>
        </w:rPr>
        <w:t>posibilidad de reab</w:t>
      </w:r>
      <w:r w:rsidRPr="004768D0">
        <w:rPr>
          <w:rFonts w:asciiTheme="majorHAnsi" w:hAnsiTheme="majorHAnsi"/>
          <w:bCs/>
          <w:color w:val="000000" w:themeColor="text1"/>
          <w:sz w:val="20"/>
          <w:szCs w:val="20"/>
          <w:lang w:val="es-ES"/>
        </w:rPr>
        <w:t xml:space="preserve">rir las </w:t>
      </w:r>
      <w:r w:rsidR="00E04ED3" w:rsidRPr="004768D0">
        <w:rPr>
          <w:rFonts w:asciiTheme="majorHAnsi" w:hAnsiTheme="majorHAnsi"/>
          <w:bCs/>
          <w:color w:val="000000" w:themeColor="text1"/>
          <w:sz w:val="20"/>
          <w:szCs w:val="20"/>
          <w:lang w:val="es-ES"/>
        </w:rPr>
        <w:t>investigaciones</w:t>
      </w:r>
      <w:r w:rsidR="00860DC6" w:rsidRPr="004768D0">
        <w:rPr>
          <w:rFonts w:asciiTheme="majorHAnsi" w:hAnsiTheme="majorHAnsi"/>
          <w:bCs/>
          <w:color w:val="000000" w:themeColor="text1"/>
          <w:sz w:val="20"/>
          <w:szCs w:val="20"/>
          <w:lang w:val="es-ES"/>
        </w:rPr>
        <w:t xml:space="preserve"> relacionadas </w:t>
      </w:r>
      <w:r w:rsidRPr="004768D0">
        <w:rPr>
          <w:rFonts w:asciiTheme="majorHAnsi" w:hAnsiTheme="majorHAnsi"/>
          <w:bCs/>
          <w:color w:val="000000" w:themeColor="text1"/>
          <w:sz w:val="20"/>
          <w:szCs w:val="20"/>
          <w:lang w:val="es-ES"/>
        </w:rPr>
        <w:t xml:space="preserve">con los </w:t>
      </w:r>
      <w:r w:rsidR="00F154A0" w:rsidRPr="004768D0">
        <w:rPr>
          <w:rFonts w:asciiTheme="majorHAnsi" w:hAnsiTheme="majorHAnsi"/>
          <w:bCs/>
          <w:color w:val="000000" w:themeColor="text1"/>
          <w:sz w:val="20"/>
          <w:szCs w:val="20"/>
          <w:lang w:val="es-ES"/>
        </w:rPr>
        <w:t>homicidio</w:t>
      </w:r>
      <w:r w:rsidR="00860DC6" w:rsidRPr="004768D0">
        <w:rPr>
          <w:rFonts w:asciiTheme="majorHAnsi" w:hAnsiTheme="majorHAnsi"/>
          <w:bCs/>
          <w:color w:val="000000" w:themeColor="text1"/>
          <w:sz w:val="20"/>
          <w:szCs w:val="20"/>
          <w:lang w:val="es-ES"/>
        </w:rPr>
        <w:t>s dolosos cometidos e</w:t>
      </w:r>
      <w:r w:rsidRPr="004768D0">
        <w:rPr>
          <w:rFonts w:asciiTheme="majorHAnsi" w:hAnsiTheme="majorHAnsi"/>
          <w:bCs/>
          <w:color w:val="000000" w:themeColor="text1"/>
          <w:sz w:val="20"/>
          <w:szCs w:val="20"/>
          <w:lang w:val="es-ES"/>
        </w:rPr>
        <w:t>n</w:t>
      </w:r>
      <w:r w:rsidR="00860DC6" w:rsidRPr="004768D0">
        <w:rPr>
          <w:rFonts w:asciiTheme="majorHAnsi" w:hAnsiTheme="majorHAnsi"/>
          <w:bCs/>
          <w:color w:val="000000" w:themeColor="text1"/>
          <w:sz w:val="20"/>
          <w:szCs w:val="20"/>
          <w:lang w:val="es-ES"/>
        </w:rPr>
        <w:t xml:space="preserve"> </w:t>
      </w:r>
      <w:r w:rsidR="007F4608" w:rsidRPr="004768D0">
        <w:rPr>
          <w:rFonts w:asciiTheme="majorHAnsi" w:hAnsiTheme="majorHAnsi"/>
          <w:bCs/>
          <w:color w:val="000000" w:themeColor="text1"/>
          <w:sz w:val="20"/>
          <w:szCs w:val="20"/>
          <w:lang w:val="es-ES"/>
        </w:rPr>
        <w:t>mayo</w:t>
      </w:r>
      <w:r w:rsidR="00860DC6" w:rsidRPr="004768D0">
        <w:rPr>
          <w:rFonts w:asciiTheme="majorHAnsi" w:hAnsiTheme="majorHAnsi"/>
          <w:bCs/>
          <w:color w:val="000000" w:themeColor="text1"/>
          <w:sz w:val="20"/>
          <w:szCs w:val="20"/>
          <w:lang w:val="es-ES"/>
        </w:rPr>
        <w:t xml:space="preserve"> de 2006. </w:t>
      </w:r>
      <w:r w:rsidRPr="004768D0">
        <w:rPr>
          <w:rFonts w:asciiTheme="majorHAnsi" w:hAnsiTheme="majorHAnsi"/>
          <w:bCs/>
          <w:color w:val="000000" w:themeColor="text1"/>
          <w:sz w:val="20"/>
          <w:szCs w:val="20"/>
          <w:lang w:val="es-ES"/>
        </w:rPr>
        <w:t>Los fiscales habrían realizado d</w:t>
      </w:r>
      <w:r w:rsidR="00860DC6" w:rsidRPr="004768D0">
        <w:rPr>
          <w:rFonts w:asciiTheme="majorHAnsi" w:hAnsiTheme="majorHAnsi"/>
          <w:bCs/>
          <w:color w:val="000000" w:themeColor="text1"/>
          <w:sz w:val="20"/>
          <w:szCs w:val="20"/>
          <w:lang w:val="es-ES"/>
        </w:rPr>
        <w:t xml:space="preserve">iversas </w:t>
      </w:r>
      <w:r w:rsidRPr="004768D0">
        <w:rPr>
          <w:rFonts w:asciiTheme="majorHAnsi" w:hAnsiTheme="majorHAnsi"/>
          <w:bCs/>
          <w:color w:val="000000" w:themeColor="text1"/>
          <w:sz w:val="20"/>
          <w:szCs w:val="20"/>
          <w:lang w:val="es-ES"/>
        </w:rPr>
        <w:t xml:space="preserve">diligencias que culminaron </w:t>
      </w:r>
      <w:r w:rsidR="004744F0" w:rsidRPr="004768D0">
        <w:rPr>
          <w:rFonts w:asciiTheme="majorHAnsi" w:hAnsiTheme="majorHAnsi"/>
          <w:bCs/>
          <w:color w:val="000000" w:themeColor="text1"/>
          <w:sz w:val="20"/>
          <w:szCs w:val="20"/>
          <w:lang w:val="es-ES"/>
        </w:rPr>
        <w:t>“</w:t>
      </w:r>
      <w:r w:rsidRPr="004768D0">
        <w:rPr>
          <w:rFonts w:asciiTheme="majorHAnsi" w:hAnsiTheme="majorHAnsi"/>
          <w:bCs/>
          <w:color w:val="000000" w:themeColor="text1"/>
          <w:sz w:val="20"/>
          <w:szCs w:val="20"/>
          <w:lang w:val="es-ES"/>
        </w:rPr>
        <w:t>en la prisión preventiva de 18 agentes de policía y</w:t>
      </w:r>
      <w:r w:rsidR="00860DC6" w:rsidRPr="004768D0">
        <w:rPr>
          <w:rFonts w:asciiTheme="majorHAnsi" w:hAnsiTheme="majorHAnsi"/>
          <w:bCs/>
          <w:color w:val="000000" w:themeColor="text1"/>
          <w:sz w:val="20"/>
          <w:szCs w:val="20"/>
          <w:lang w:val="es-ES"/>
        </w:rPr>
        <w:t xml:space="preserve">, posteriormente, </w:t>
      </w:r>
      <w:r w:rsidRPr="004768D0">
        <w:rPr>
          <w:rFonts w:asciiTheme="majorHAnsi" w:hAnsiTheme="majorHAnsi"/>
          <w:bCs/>
          <w:color w:val="000000" w:themeColor="text1"/>
          <w:sz w:val="20"/>
          <w:szCs w:val="20"/>
          <w:lang w:val="es-ES"/>
        </w:rPr>
        <w:t>e</w:t>
      </w:r>
      <w:r w:rsidR="00860DC6" w:rsidRPr="004768D0">
        <w:rPr>
          <w:rFonts w:asciiTheme="majorHAnsi" w:hAnsiTheme="majorHAnsi"/>
          <w:bCs/>
          <w:color w:val="000000" w:themeColor="text1"/>
          <w:sz w:val="20"/>
          <w:szCs w:val="20"/>
          <w:lang w:val="es-ES"/>
        </w:rPr>
        <w:t>n</w:t>
      </w:r>
      <w:r w:rsidRPr="004768D0">
        <w:rPr>
          <w:rFonts w:asciiTheme="majorHAnsi" w:hAnsiTheme="majorHAnsi"/>
          <w:bCs/>
          <w:color w:val="000000" w:themeColor="text1"/>
          <w:sz w:val="20"/>
          <w:szCs w:val="20"/>
          <w:lang w:val="es-ES"/>
        </w:rPr>
        <w:t xml:space="preserve"> la interposición de </w:t>
      </w:r>
      <w:r w:rsidR="00F154A0" w:rsidRPr="004768D0">
        <w:rPr>
          <w:rFonts w:asciiTheme="majorHAnsi" w:hAnsiTheme="majorHAnsi"/>
          <w:bCs/>
          <w:color w:val="000000" w:themeColor="text1"/>
          <w:sz w:val="20"/>
          <w:szCs w:val="20"/>
          <w:lang w:val="es-ES"/>
        </w:rPr>
        <w:t>denuncia</w:t>
      </w:r>
      <w:r w:rsidRPr="004768D0">
        <w:rPr>
          <w:rFonts w:asciiTheme="majorHAnsi" w:hAnsiTheme="majorHAnsi"/>
          <w:bCs/>
          <w:color w:val="000000" w:themeColor="text1"/>
          <w:sz w:val="20"/>
          <w:szCs w:val="20"/>
          <w:lang w:val="es-ES"/>
        </w:rPr>
        <w:t>s</w:t>
      </w:r>
      <w:r w:rsidR="00860DC6" w:rsidRPr="004768D0">
        <w:rPr>
          <w:rFonts w:asciiTheme="majorHAnsi" w:hAnsiTheme="majorHAnsi"/>
          <w:bCs/>
          <w:color w:val="000000" w:themeColor="text1"/>
          <w:sz w:val="20"/>
          <w:szCs w:val="20"/>
          <w:lang w:val="es-ES"/>
        </w:rPr>
        <w:t xml:space="preserve"> contra </w:t>
      </w:r>
      <w:r w:rsidRPr="004768D0">
        <w:rPr>
          <w:rFonts w:asciiTheme="majorHAnsi" w:hAnsiTheme="majorHAnsi"/>
          <w:bCs/>
          <w:color w:val="000000" w:themeColor="text1"/>
          <w:sz w:val="20"/>
          <w:szCs w:val="20"/>
          <w:lang w:val="es-ES"/>
        </w:rPr>
        <w:t>varias</w:t>
      </w:r>
      <w:r w:rsidR="00860DC6" w:rsidRPr="004768D0">
        <w:rPr>
          <w:rFonts w:asciiTheme="majorHAnsi" w:hAnsiTheme="majorHAnsi"/>
          <w:bCs/>
          <w:color w:val="000000" w:themeColor="text1"/>
          <w:sz w:val="20"/>
          <w:szCs w:val="20"/>
          <w:lang w:val="es-ES"/>
        </w:rPr>
        <w:t xml:space="preserve"> </w:t>
      </w:r>
      <w:r w:rsidR="000C0AC4" w:rsidRPr="004768D0">
        <w:rPr>
          <w:rFonts w:asciiTheme="majorHAnsi" w:hAnsiTheme="majorHAnsi"/>
          <w:bCs/>
          <w:color w:val="000000" w:themeColor="text1"/>
          <w:sz w:val="20"/>
          <w:szCs w:val="20"/>
          <w:lang w:val="es-ES"/>
        </w:rPr>
        <w:t>personas</w:t>
      </w:r>
      <w:r w:rsidR="00860DC6"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 xml:space="preserve">entre ellas </w:t>
      </w:r>
      <w:r w:rsidR="00E04ED3" w:rsidRPr="004768D0">
        <w:rPr>
          <w:rFonts w:asciiTheme="majorHAnsi" w:hAnsiTheme="majorHAnsi"/>
          <w:bCs/>
          <w:color w:val="000000" w:themeColor="text1"/>
          <w:sz w:val="20"/>
          <w:szCs w:val="20"/>
          <w:lang w:val="es-ES"/>
        </w:rPr>
        <w:t>policías militares</w:t>
      </w:r>
      <w:r w:rsidR="004744F0" w:rsidRPr="004768D0">
        <w:rPr>
          <w:rFonts w:asciiTheme="majorHAnsi" w:hAnsiTheme="majorHAnsi"/>
          <w:bCs/>
          <w:color w:val="000000" w:themeColor="text1"/>
          <w:sz w:val="20"/>
          <w:szCs w:val="20"/>
          <w:lang w:val="es-ES"/>
        </w:rPr>
        <w:t>”</w:t>
      </w:r>
      <w:r w:rsidRPr="004768D0">
        <w:rPr>
          <w:rFonts w:asciiTheme="majorHAnsi" w:hAnsiTheme="majorHAnsi"/>
          <w:bCs/>
          <w:color w:val="000000" w:themeColor="text1"/>
          <w:sz w:val="20"/>
          <w:szCs w:val="20"/>
          <w:lang w:val="es-ES"/>
        </w:rPr>
        <w:t>.</w:t>
      </w:r>
      <w:r w:rsidR="00860DC6" w:rsidRPr="004768D0">
        <w:rPr>
          <w:rFonts w:asciiTheme="majorHAnsi" w:hAnsiTheme="majorHAnsi"/>
          <w:bCs/>
          <w:color w:val="000000" w:themeColor="text1"/>
          <w:sz w:val="20"/>
          <w:szCs w:val="20"/>
          <w:lang w:val="es-ES"/>
        </w:rPr>
        <w:t xml:space="preserve"> </w:t>
      </w:r>
      <w:r w:rsidR="009A17FD" w:rsidRPr="004768D0">
        <w:rPr>
          <w:rFonts w:asciiTheme="majorHAnsi" w:hAnsiTheme="majorHAnsi"/>
          <w:bCs/>
          <w:color w:val="000000" w:themeColor="text1"/>
          <w:sz w:val="20"/>
          <w:szCs w:val="20"/>
          <w:lang w:val="es-ES"/>
        </w:rPr>
        <w:t>En la ciudad de</w:t>
      </w:r>
      <w:r w:rsidR="00860DC6" w:rsidRPr="004768D0">
        <w:rPr>
          <w:rFonts w:asciiTheme="majorHAnsi" w:hAnsiTheme="majorHAnsi"/>
          <w:bCs/>
          <w:color w:val="000000" w:themeColor="text1"/>
          <w:sz w:val="20"/>
          <w:szCs w:val="20"/>
          <w:lang w:val="es-ES"/>
        </w:rPr>
        <w:t xml:space="preserve"> São Paulo </w:t>
      </w:r>
      <w:r w:rsidRPr="004768D0">
        <w:rPr>
          <w:rFonts w:asciiTheme="majorHAnsi" w:hAnsiTheme="majorHAnsi"/>
          <w:bCs/>
          <w:color w:val="000000" w:themeColor="text1"/>
          <w:sz w:val="20"/>
          <w:szCs w:val="20"/>
          <w:lang w:val="es-ES"/>
        </w:rPr>
        <w:t>también</w:t>
      </w:r>
      <w:r w:rsidR="00860DC6" w:rsidRPr="004768D0">
        <w:rPr>
          <w:rFonts w:asciiTheme="majorHAnsi" w:hAnsiTheme="majorHAnsi"/>
          <w:bCs/>
          <w:color w:val="000000" w:themeColor="text1"/>
          <w:sz w:val="20"/>
          <w:szCs w:val="20"/>
          <w:lang w:val="es-ES"/>
        </w:rPr>
        <w:t xml:space="preserve"> </w:t>
      </w:r>
      <w:r w:rsidR="004744F0" w:rsidRPr="004768D0">
        <w:rPr>
          <w:rFonts w:asciiTheme="majorHAnsi" w:hAnsiTheme="majorHAnsi"/>
          <w:bCs/>
          <w:color w:val="000000" w:themeColor="text1"/>
          <w:sz w:val="20"/>
          <w:szCs w:val="20"/>
          <w:lang w:val="es-ES"/>
        </w:rPr>
        <w:t>“</w:t>
      </w:r>
      <w:r w:rsidRPr="004768D0">
        <w:rPr>
          <w:rFonts w:asciiTheme="majorHAnsi" w:hAnsiTheme="majorHAnsi"/>
          <w:bCs/>
          <w:color w:val="000000" w:themeColor="text1"/>
          <w:sz w:val="20"/>
          <w:szCs w:val="20"/>
          <w:lang w:val="es-ES"/>
        </w:rPr>
        <w:t xml:space="preserve">se iniciaron, </w:t>
      </w:r>
      <w:r w:rsidR="00860DC6" w:rsidRPr="004768D0">
        <w:rPr>
          <w:rFonts w:asciiTheme="majorHAnsi" w:hAnsiTheme="majorHAnsi"/>
          <w:bCs/>
          <w:color w:val="000000" w:themeColor="text1"/>
          <w:sz w:val="20"/>
          <w:szCs w:val="20"/>
          <w:lang w:val="es-ES"/>
        </w:rPr>
        <w:t xml:space="preserve">a partir de 2006, diversos </w:t>
      </w:r>
      <w:r w:rsidR="001343FF" w:rsidRPr="004768D0">
        <w:rPr>
          <w:rFonts w:asciiTheme="majorHAnsi" w:hAnsiTheme="majorHAnsi"/>
          <w:bCs/>
          <w:color w:val="000000" w:themeColor="text1"/>
          <w:sz w:val="20"/>
          <w:szCs w:val="20"/>
          <w:lang w:val="es-ES"/>
        </w:rPr>
        <w:t>procedimientos</w:t>
      </w:r>
      <w:r w:rsidR="00860DC6" w:rsidRPr="004768D0">
        <w:rPr>
          <w:rFonts w:asciiTheme="majorHAnsi" w:hAnsiTheme="majorHAnsi"/>
          <w:bCs/>
          <w:color w:val="000000" w:themeColor="text1"/>
          <w:sz w:val="20"/>
          <w:szCs w:val="20"/>
          <w:lang w:val="es-ES"/>
        </w:rPr>
        <w:t xml:space="preserve"> </w:t>
      </w:r>
      <w:r w:rsidR="001343FF" w:rsidRPr="004768D0">
        <w:rPr>
          <w:rFonts w:asciiTheme="majorHAnsi" w:hAnsiTheme="majorHAnsi"/>
          <w:bCs/>
          <w:color w:val="000000" w:themeColor="text1"/>
          <w:sz w:val="20"/>
          <w:szCs w:val="20"/>
          <w:lang w:val="es-ES"/>
        </w:rPr>
        <w:t>investigativos</w:t>
      </w:r>
      <w:r w:rsidR="00860DC6" w:rsidRPr="004768D0">
        <w:rPr>
          <w:rFonts w:asciiTheme="majorHAnsi" w:hAnsiTheme="majorHAnsi"/>
          <w:bCs/>
          <w:color w:val="000000" w:themeColor="text1"/>
          <w:sz w:val="20"/>
          <w:szCs w:val="20"/>
          <w:lang w:val="es-ES"/>
        </w:rPr>
        <w:t xml:space="preserve"> </w:t>
      </w:r>
      <w:r w:rsidR="001343FF" w:rsidRPr="004768D0">
        <w:rPr>
          <w:rFonts w:asciiTheme="majorHAnsi" w:hAnsiTheme="majorHAnsi"/>
          <w:bCs/>
          <w:color w:val="000000" w:themeColor="text1"/>
          <w:sz w:val="20"/>
          <w:szCs w:val="20"/>
          <w:lang w:val="es-ES"/>
        </w:rPr>
        <w:t xml:space="preserve">relacionados con </w:t>
      </w:r>
      <w:r w:rsidR="00860DC6" w:rsidRPr="004768D0">
        <w:rPr>
          <w:rFonts w:asciiTheme="majorHAnsi" w:hAnsiTheme="majorHAnsi"/>
          <w:bCs/>
          <w:color w:val="000000" w:themeColor="text1"/>
          <w:sz w:val="20"/>
          <w:szCs w:val="20"/>
          <w:lang w:val="es-ES"/>
        </w:rPr>
        <w:t xml:space="preserve">grupos de </w:t>
      </w:r>
      <w:r w:rsidR="001343FF" w:rsidRPr="004768D0">
        <w:rPr>
          <w:rFonts w:asciiTheme="majorHAnsi" w:hAnsiTheme="majorHAnsi"/>
          <w:bCs/>
          <w:color w:val="000000" w:themeColor="text1"/>
          <w:sz w:val="20"/>
          <w:szCs w:val="20"/>
          <w:lang w:val="es-ES"/>
        </w:rPr>
        <w:t>exterminio</w:t>
      </w:r>
      <w:r w:rsidR="00860DC6" w:rsidRPr="004768D0">
        <w:rPr>
          <w:rFonts w:asciiTheme="majorHAnsi" w:hAnsiTheme="majorHAnsi"/>
          <w:bCs/>
          <w:color w:val="000000" w:themeColor="text1"/>
          <w:sz w:val="20"/>
          <w:szCs w:val="20"/>
          <w:lang w:val="es-ES"/>
        </w:rPr>
        <w:t xml:space="preserve">, </w:t>
      </w:r>
      <w:r w:rsidR="001343FF" w:rsidRPr="004768D0">
        <w:rPr>
          <w:rFonts w:asciiTheme="majorHAnsi" w:hAnsiTheme="majorHAnsi"/>
          <w:bCs/>
          <w:color w:val="000000" w:themeColor="text1"/>
          <w:sz w:val="20"/>
          <w:szCs w:val="20"/>
          <w:lang w:val="es-ES"/>
        </w:rPr>
        <w:t>varios</w:t>
      </w:r>
      <w:r w:rsidR="00860DC6" w:rsidRPr="004768D0">
        <w:rPr>
          <w:rFonts w:asciiTheme="majorHAnsi" w:hAnsiTheme="majorHAnsi"/>
          <w:bCs/>
          <w:color w:val="000000" w:themeColor="text1"/>
          <w:sz w:val="20"/>
          <w:szCs w:val="20"/>
          <w:lang w:val="es-ES"/>
        </w:rPr>
        <w:t xml:space="preserve"> de</w:t>
      </w:r>
      <w:r w:rsidR="001343FF" w:rsidRPr="004768D0">
        <w:rPr>
          <w:rFonts w:asciiTheme="majorHAnsi" w:hAnsiTheme="majorHAnsi"/>
          <w:bCs/>
          <w:color w:val="000000" w:themeColor="text1"/>
          <w:sz w:val="20"/>
          <w:szCs w:val="20"/>
          <w:lang w:val="es-ES"/>
        </w:rPr>
        <w:t xml:space="preserve"> los cuales se referían a la participación </w:t>
      </w:r>
      <w:r w:rsidR="00860DC6" w:rsidRPr="004768D0">
        <w:rPr>
          <w:rFonts w:asciiTheme="majorHAnsi" w:hAnsiTheme="majorHAnsi"/>
          <w:bCs/>
          <w:color w:val="000000" w:themeColor="text1"/>
          <w:sz w:val="20"/>
          <w:szCs w:val="20"/>
          <w:lang w:val="es-ES"/>
        </w:rPr>
        <w:t xml:space="preserve">de </w:t>
      </w:r>
      <w:r w:rsidR="00E04ED3" w:rsidRPr="004768D0">
        <w:rPr>
          <w:rFonts w:asciiTheme="majorHAnsi" w:hAnsiTheme="majorHAnsi"/>
          <w:bCs/>
          <w:color w:val="000000" w:themeColor="text1"/>
          <w:sz w:val="20"/>
          <w:szCs w:val="20"/>
          <w:lang w:val="es-ES"/>
        </w:rPr>
        <w:t>policías militares</w:t>
      </w:r>
      <w:r w:rsidR="004744F0" w:rsidRPr="004768D0">
        <w:rPr>
          <w:rFonts w:asciiTheme="majorHAnsi" w:hAnsiTheme="majorHAnsi"/>
          <w:bCs/>
          <w:color w:val="000000" w:themeColor="text1"/>
          <w:sz w:val="20"/>
          <w:szCs w:val="20"/>
          <w:lang w:val="es-ES"/>
        </w:rPr>
        <w:t>”</w:t>
      </w:r>
      <w:r w:rsidR="00860DC6" w:rsidRPr="004768D0">
        <w:rPr>
          <w:rStyle w:val="FootnoteReference"/>
          <w:rFonts w:asciiTheme="majorHAnsi" w:hAnsiTheme="majorHAnsi"/>
          <w:bCs/>
          <w:color w:val="000000" w:themeColor="text1"/>
          <w:sz w:val="20"/>
          <w:szCs w:val="20"/>
          <w:lang w:val="es-ES"/>
        </w:rPr>
        <w:footnoteReference w:id="9"/>
      </w:r>
      <w:r w:rsidR="001343FF" w:rsidRPr="004768D0">
        <w:rPr>
          <w:rFonts w:asciiTheme="majorHAnsi" w:hAnsiTheme="majorHAnsi"/>
          <w:bCs/>
          <w:color w:val="000000" w:themeColor="text1"/>
          <w:sz w:val="20"/>
          <w:szCs w:val="20"/>
          <w:lang w:val="es-ES"/>
        </w:rPr>
        <w:t>.</w:t>
      </w:r>
    </w:p>
    <w:p w14:paraId="527A115E" w14:textId="77777777" w:rsidR="00860DC6" w:rsidRPr="004768D0" w:rsidRDefault="00860DC6" w:rsidP="00E757F9">
      <w:pPr>
        <w:jc w:val="both"/>
        <w:rPr>
          <w:rFonts w:asciiTheme="majorHAnsi" w:hAnsiTheme="majorHAnsi"/>
          <w:bCs/>
          <w:color w:val="000000" w:themeColor="text1"/>
          <w:sz w:val="20"/>
          <w:szCs w:val="20"/>
          <w:lang w:val="es-ES"/>
        </w:rPr>
      </w:pPr>
    </w:p>
    <w:p w14:paraId="2FF91319" w14:textId="77777777" w:rsidR="00E757F9" w:rsidRPr="004768D0" w:rsidRDefault="001343FF"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E</w:t>
      </w:r>
      <w:r w:rsidR="003C58C5" w:rsidRPr="004768D0">
        <w:rPr>
          <w:rFonts w:asciiTheme="majorHAnsi" w:hAnsiTheme="majorHAnsi"/>
          <w:bCs/>
          <w:color w:val="000000" w:themeColor="text1"/>
          <w:sz w:val="20"/>
          <w:szCs w:val="20"/>
          <w:lang w:val="es-ES"/>
        </w:rPr>
        <w:t>l Estado</w:t>
      </w:r>
      <w:r w:rsidRPr="004768D0">
        <w:rPr>
          <w:rFonts w:asciiTheme="majorHAnsi" w:hAnsiTheme="majorHAnsi"/>
          <w:bCs/>
          <w:color w:val="000000" w:themeColor="text1"/>
          <w:sz w:val="20"/>
          <w:szCs w:val="20"/>
          <w:lang w:val="es-ES"/>
        </w:rPr>
        <w:t xml:space="preserve"> agregó que el</w:t>
      </w:r>
      <w:r w:rsidR="00E757F9" w:rsidRPr="004768D0">
        <w:rPr>
          <w:rFonts w:asciiTheme="majorHAnsi" w:hAnsiTheme="majorHAnsi"/>
          <w:bCs/>
          <w:color w:val="000000" w:themeColor="text1"/>
          <w:sz w:val="20"/>
          <w:szCs w:val="20"/>
          <w:lang w:val="es-ES"/>
        </w:rPr>
        <w:t xml:space="preserve"> Centro de Apo</w:t>
      </w:r>
      <w:r w:rsidRPr="004768D0">
        <w:rPr>
          <w:rFonts w:asciiTheme="majorHAnsi" w:hAnsiTheme="majorHAnsi"/>
          <w:bCs/>
          <w:color w:val="000000" w:themeColor="text1"/>
          <w:sz w:val="20"/>
          <w:szCs w:val="20"/>
          <w:lang w:val="es-ES"/>
        </w:rPr>
        <w:t>y</w:t>
      </w:r>
      <w:r w:rsidR="00E757F9" w:rsidRPr="004768D0">
        <w:rPr>
          <w:rFonts w:asciiTheme="majorHAnsi" w:hAnsiTheme="majorHAnsi"/>
          <w:bCs/>
          <w:color w:val="000000" w:themeColor="text1"/>
          <w:sz w:val="20"/>
          <w:szCs w:val="20"/>
          <w:lang w:val="es-ES"/>
        </w:rPr>
        <w:t xml:space="preserve">o Operacional </w:t>
      </w:r>
      <w:r w:rsidRPr="004768D0">
        <w:rPr>
          <w:rFonts w:asciiTheme="majorHAnsi" w:hAnsiTheme="majorHAnsi"/>
          <w:bCs/>
          <w:color w:val="000000" w:themeColor="text1"/>
          <w:sz w:val="20"/>
          <w:szCs w:val="20"/>
          <w:lang w:val="es-ES"/>
        </w:rPr>
        <w:t>Penal</w:t>
      </w:r>
      <w:r w:rsidR="00E757F9" w:rsidRPr="004768D0">
        <w:rPr>
          <w:rFonts w:asciiTheme="majorHAnsi" w:hAnsiTheme="majorHAnsi"/>
          <w:bCs/>
          <w:color w:val="000000" w:themeColor="text1"/>
          <w:sz w:val="20"/>
          <w:szCs w:val="20"/>
          <w:lang w:val="es-ES"/>
        </w:rPr>
        <w:t xml:space="preserve"> (CAO </w:t>
      </w:r>
      <w:r w:rsidRPr="004768D0">
        <w:rPr>
          <w:rFonts w:asciiTheme="majorHAnsi" w:hAnsiTheme="majorHAnsi"/>
          <w:bCs/>
          <w:color w:val="000000" w:themeColor="text1"/>
          <w:sz w:val="20"/>
          <w:szCs w:val="20"/>
          <w:lang w:val="es-ES"/>
        </w:rPr>
        <w:t>Penal</w:t>
      </w:r>
      <w:r w:rsidR="00E757F9" w:rsidRPr="004768D0">
        <w:rPr>
          <w:rFonts w:asciiTheme="majorHAnsi" w:hAnsiTheme="majorHAnsi"/>
          <w:bCs/>
          <w:color w:val="000000" w:themeColor="text1"/>
          <w:sz w:val="20"/>
          <w:szCs w:val="20"/>
          <w:lang w:val="es-ES"/>
        </w:rPr>
        <w:t>) d</w:t>
      </w:r>
      <w:r w:rsidRPr="004768D0">
        <w:rPr>
          <w:rFonts w:asciiTheme="majorHAnsi" w:hAnsiTheme="majorHAnsi"/>
          <w:bCs/>
          <w:color w:val="000000" w:themeColor="text1"/>
          <w:sz w:val="20"/>
          <w:szCs w:val="20"/>
          <w:lang w:val="es-ES"/>
        </w:rPr>
        <w:t>e la Procuraduría</w:t>
      </w:r>
      <w:r w:rsidR="00E757F9"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General</w:t>
      </w:r>
      <w:r w:rsidR="00E757F9" w:rsidRPr="004768D0">
        <w:rPr>
          <w:rFonts w:asciiTheme="majorHAnsi" w:hAnsiTheme="majorHAnsi"/>
          <w:bCs/>
          <w:color w:val="000000" w:themeColor="text1"/>
          <w:sz w:val="20"/>
          <w:szCs w:val="20"/>
          <w:lang w:val="es-ES"/>
        </w:rPr>
        <w:t xml:space="preserve"> de </w:t>
      </w:r>
      <w:r w:rsidR="00C65DE2" w:rsidRPr="004768D0">
        <w:rPr>
          <w:rFonts w:asciiTheme="majorHAnsi" w:hAnsiTheme="majorHAnsi"/>
          <w:bCs/>
          <w:color w:val="000000" w:themeColor="text1"/>
          <w:sz w:val="20"/>
          <w:szCs w:val="20"/>
          <w:lang w:val="es-ES"/>
        </w:rPr>
        <w:t>Justicia</w:t>
      </w:r>
      <w:r w:rsidR="00E757F9"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 xml:space="preserve">entabló </w:t>
      </w:r>
      <w:r w:rsidR="004744F0" w:rsidRPr="004768D0">
        <w:rPr>
          <w:rFonts w:asciiTheme="majorHAnsi" w:hAnsiTheme="majorHAnsi"/>
          <w:bCs/>
          <w:color w:val="000000" w:themeColor="text1"/>
          <w:sz w:val="20"/>
          <w:szCs w:val="20"/>
          <w:lang w:val="es-ES"/>
        </w:rPr>
        <w:t>“</w:t>
      </w:r>
      <w:r w:rsidR="00E757F9" w:rsidRPr="004768D0">
        <w:rPr>
          <w:rFonts w:asciiTheme="majorHAnsi" w:hAnsiTheme="majorHAnsi"/>
          <w:bCs/>
          <w:color w:val="000000" w:themeColor="text1"/>
          <w:sz w:val="20"/>
          <w:szCs w:val="20"/>
          <w:lang w:val="es-ES"/>
        </w:rPr>
        <w:t xml:space="preserve">diversos </w:t>
      </w:r>
      <w:r w:rsidR="00712D2E" w:rsidRPr="004768D0">
        <w:rPr>
          <w:rFonts w:asciiTheme="majorHAnsi" w:hAnsiTheme="majorHAnsi"/>
          <w:bCs/>
          <w:color w:val="000000" w:themeColor="text1"/>
          <w:sz w:val="20"/>
          <w:szCs w:val="20"/>
          <w:lang w:val="es-ES"/>
        </w:rPr>
        <w:t>procedimientos</w:t>
      </w:r>
      <w:r w:rsidR="00E757F9" w:rsidRPr="004768D0">
        <w:rPr>
          <w:rFonts w:asciiTheme="majorHAnsi" w:hAnsiTheme="majorHAnsi"/>
          <w:bCs/>
          <w:color w:val="000000" w:themeColor="text1"/>
          <w:sz w:val="20"/>
          <w:szCs w:val="20"/>
          <w:lang w:val="es-ES"/>
        </w:rPr>
        <w:t xml:space="preserve"> administrativos</w:t>
      </w:r>
      <w:r w:rsidR="004744F0" w:rsidRPr="004768D0">
        <w:rPr>
          <w:rFonts w:asciiTheme="majorHAnsi" w:hAnsiTheme="majorHAnsi"/>
          <w:bCs/>
          <w:color w:val="000000" w:themeColor="text1"/>
          <w:sz w:val="20"/>
          <w:szCs w:val="20"/>
          <w:lang w:val="es-ES"/>
        </w:rPr>
        <w:t>”</w:t>
      </w:r>
      <w:r w:rsidR="00E757F9" w:rsidRPr="004768D0">
        <w:rPr>
          <w:rFonts w:asciiTheme="majorHAnsi" w:hAnsiTheme="majorHAnsi"/>
          <w:bCs/>
          <w:color w:val="000000" w:themeColor="text1"/>
          <w:sz w:val="20"/>
          <w:szCs w:val="20"/>
          <w:lang w:val="es-ES"/>
        </w:rPr>
        <w:t>, entre el</w:t>
      </w:r>
      <w:r w:rsidRPr="004768D0">
        <w:rPr>
          <w:rFonts w:asciiTheme="majorHAnsi" w:hAnsiTheme="majorHAnsi"/>
          <w:bCs/>
          <w:color w:val="000000" w:themeColor="text1"/>
          <w:sz w:val="20"/>
          <w:szCs w:val="20"/>
          <w:lang w:val="es-ES"/>
        </w:rPr>
        <w:t>los</w:t>
      </w:r>
      <w:r w:rsidR="00E757F9" w:rsidRPr="004768D0">
        <w:rPr>
          <w:rFonts w:asciiTheme="majorHAnsi" w:hAnsiTheme="majorHAnsi"/>
          <w:bCs/>
          <w:color w:val="000000" w:themeColor="text1"/>
          <w:sz w:val="20"/>
          <w:szCs w:val="20"/>
          <w:lang w:val="es-ES"/>
        </w:rPr>
        <w:t xml:space="preserve"> i) </w:t>
      </w:r>
      <w:r w:rsidRPr="004768D0">
        <w:rPr>
          <w:rFonts w:asciiTheme="majorHAnsi" w:hAnsiTheme="majorHAnsi"/>
          <w:bCs/>
          <w:color w:val="000000" w:themeColor="text1"/>
          <w:sz w:val="20"/>
          <w:szCs w:val="20"/>
          <w:lang w:val="es-ES"/>
        </w:rPr>
        <w:t>el</w:t>
      </w:r>
      <w:r w:rsidR="00E757F9"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proceso p</w:t>
      </w:r>
      <w:r w:rsidR="00E757F9" w:rsidRPr="004768D0">
        <w:rPr>
          <w:rFonts w:asciiTheme="majorHAnsi" w:hAnsiTheme="majorHAnsi"/>
          <w:bCs/>
          <w:color w:val="000000" w:themeColor="text1"/>
          <w:sz w:val="20"/>
          <w:szCs w:val="20"/>
          <w:lang w:val="es-ES"/>
        </w:rPr>
        <w:t>rotocol</w:t>
      </w:r>
      <w:r w:rsidRPr="004768D0">
        <w:rPr>
          <w:rFonts w:asciiTheme="majorHAnsi" w:hAnsiTheme="majorHAnsi"/>
          <w:bCs/>
          <w:color w:val="000000" w:themeColor="text1"/>
          <w:sz w:val="20"/>
          <w:szCs w:val="20"/>
          <w:lang w:val="es-ES"/>
        </w:rPr>
        <w:t>izad</w:t>
      </w:r>
      <w:r w:rsidR="00E757F9" w:rsidRPr="004768D0">
        <w:rPr>
          <w:rFonts w:asciiTheme="majorHAnsi" w:hAnsiTheme="majorHAnsi"/>
          <w:bCs/>
          <w:color w:val="000000" w:themeColor="text1"/>
          <w:sz w:val="20"/>
          <w:szCs w:val="20"/>
          <w:lang w:val="es-ES"/>
        </w:rPr>
        <w:t xml:space="preserve">o </w:t>
      </w:r>
      <w:proofErr w:type="spellStart"/>
      <w:r w:rsidRPr="004768D0">
        <w:rPr>
          <w:rFonts w:asciiTheme="majorHAnsi" w:hAnsiTheme="majorHAnsi"/>
          <w:bCs/>
          <w:color w:val="000000" w:themeColor="text1"/>
          <w:sz w:val="20"/>
          <w:szCs w:val="20"/>
          <w:lang w:val="es-ES"/>
        </w:rPr>
        <w:t>N.</w:t>
      </w:r>
      <w:r w:rsidRPr="004768D0">
        <w:rPr>
          <w:rFonts w:asciiTheme="majorHAnsi" w:hAnsiTheme="majorHAnsi"/>
          <w:bCs/>
          <w:color w:val="000000" w:themeColor="text1"/>
          <w:sz w:val="20"/>
          <w:szCs w:val="20"/>
          <w:vertAlign w:val="superscript"/>
          <w:lang w:val="es-ES"/>
        </w:rPr>
        <w:t>o</w:t>
      </w:r>
      <w:proofErr w:type="spellEnd"/>
      <w:r w:rsidR="00E757F9" w:rsidRPr="004768D0">
        <w:rPr>
          <w:rFonts w:asciiTheme="majorHAnsi" w:hAnsiTheme="majorHAnsi"/>
          <w:bCs/>
          <w:color w:val="000000" w:themeColor="text1"/>
          <w:sz w:val="20"/>
          <w:szCs w:val="20"/>
          <w:lang w:val="es-ES"/>
        </w:rPr>
        <w:t xml:space="preserve"> 25/2010 para </w:t>
      </w:r>
      <w:r w:rsidRPr="004768D0">
        <w:rPr>
          <w:rFonts w:asciiTheme="majorHAnsi" w:hAnsiTheme="majorHAnsi"/>
          <w:bCs/>
          <w:color w:val="000000" w:themeColor="text1"/>
          <w:sz w:val="20"/>
          <w:szCs w:val="20"/>
          <w:lang w:val="es-ES"/>
        </w:rPr>
        <w:t>el</w:t>
      </w:r>
      <w:r w:rsidR="00E757F9" w:rsidRPr="004768D0">
        <w:rPr>
          <w:rFonts w:asciiTheme="majorHAnsi" w:hAnsiTheme="majorHAnsi"/>
          <w:bCs/>
          <w:color w:val="000000" w:themeColor="text1"/>
          <w:sz w:val="20"/>
          <w:szCs w:val="20"/>
          <w:lang w:val="es-ES"/>
        </w:rPr>
        <w:t xml:space="preserve"> </w:t>
      </w:r>
      <w:r w:rsidR="004744F0" w:rsidRPr="004768D0">
        <w:rPr>
          <w:rFonts w:asciiTheme="majorHAnsi" w:hAnsiTheme="majorHAnsi"/>
          <w:bCs/>
          <w:color w:val="000000" w:themeColor="text1"/>
          <w:sz w:val="20"/>
          <w:szCs w:val="20"/>
          <w:lang w:val="es-ES"/>
        </w:rPr>
        <w:t>“</w:t>
      </w:r>
      <w:r w:rsidRPr="004768D0">
        <w:rPr>
          <w:rFonts w:asciiTheme="majorHAnsi" w:hAnsiTheme="majorHAnsi"/>
          <w:bCs/>
          <w:color w:val="000000" w:themeColor="text1"/>
          <w:sz w:val="20"/>
          <w:szCs w:val="20"/>
          <w:lang w:val="es-ES"/>
        </w:rPr>
        <w:t xml:space="preserve">seguimiento por el Ministerio Público de São Paulo de los </w:t>
      </w:r>
      <w:r w:rsidR="00E757F9" w:rsidRPr="004768D0">
        <w:rPr>
          <w:rFonts w:asciiTheme="majorHAnsi" w:hAnsiTheme="majorHAnsi"/>
          <w:bCs/>
          <w:color w:val="000000" w:themeColor="text1"/>
          <w:sz w:val="20"/>
          <w:szCs w:val="20"/>
          <w:lang w:val="es-ES"/>
        </w:rPr>
        <w:t xml:space="preserve">diversos delitos cometidos </w:t>
      </w:r>
      <w:r w:rsidRPr="004768D0">
        <w:rPr>
          <w:rFonts w:asciiTheme="majorHAnsi" w:hAnsiTheme="majorHAnsi"/>
          <w:bCs/>
          <w:color w:val="000000" w:themeColor="text1"/>
          <w:sz w:val="20"/>
          <w:szCs w:val="20"/>
          <w:lang w:val="es-ES"/>
        </w:rPr>
        <w:t>e</w:t>
      </w:r>
      <w:r w:rsidR="00E757F9" w:rsidRPr="004768D0">
        <w:rPr>
          <w:rFonts w:asciiTheme="majorHAnsi" w:hAnsiTheme="majorHAnsi"/>
          <w:bCs/>
          <w:color w:val="000000" w:themeColor="text1"/>
          <w:sz w:val="20"/>
          <w:szCs w:val="20"/>
          <w:lang w:val="es-ES"/>
        </w:rPr>
        <w:t>n</w:t>
      </w:r>
      <w:r w:rsidRPr="004768D0">
        <w:rPr>
          <w:rFonts w:asciiTheme="majorHAnsi" w:hAnsiTheme="majorHAnsi"/>
          <w:bCs/>
          <w:color w:val="000000" w:themeColor="text1"/>
          <w:sz w:val="20"/>
          <w:szCs w:val="20"/>
          <w:lang w:val="es-ES"/>
        </w:rPr>
        <w:t xml:space="preserve"> el</w:t>
      </w:r>
      <w:r w:rsidR="00E757F9" w:rsidRPr="004768D0">
        <w:rPr>
          <w:rFonts w:asciiTheme="majorHAnsi" w:hAnsiTheme="majorHAnsi"/>
          <w:bCs/>
          <w:color w:val="000000" w:themeColor="text1"/>
          <w:sz w:val="20"/>
          <w:szCs w:val="20"/>
          <w:lang w:val="es-ES"/>
        </w:rPr>
        <w:t xml:space="preserve"> período de</w:t>
      </w:r>
      <w:r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 12 a</w:t>
      </w:r>
      <w:r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 21 de </w:t>
      </w:r>
      <w:r w:rsidR="007F4608" w:rsidRPr="004768D0">
        <w:rPr>
          <w:rFonts w:asciiTheme="majorHAnsi" w:hAnsiTheme="majorHAnsi"/>
          <w:bCs/>
          <w:color w:val="000000" w:themeColor="text1"/>
          <w:sz w:val="20"/>
          <w:szCs w:val="20"/>
          <w:lang w:val="es-ES"/>
        </w:rPr>
        <w:t>marzo</w:t>
      </w:r>
      <w:r w:rsidR="00E757F9" w:rsidRPr="004768D0">
        <w:rPr>
          <w:rFonts w:asciiTheme="majorHAnsi" w:hAnsiTheme="majorHAnsi"/>
          <w:bCs/>
          <w:color w:val="000000" w:themeColor="text1"/>
          <w:sz w:val="20"/>
          <w:szCs w:val="20"/>
          <w:lang w:val="es-ES"/>
        </w:rPr>
        <w:t xml:space="preserve"> de 2006</w:t>
      </w:r>
      <w:r w:rsidR="004744F0" w:rsidRPr="004768D0">
        <w:rPr>
          <w:rFonts w:asciiTheme="majorHAnsi" w:hAnsiTheme="majorHAnsi"/>
          <w:bCs/>
          <w:color w:val="000000" w:themeColor="text1"/>
          <w:sz w:val="20"/>
          <w:szCs w:val="20"/>
          <w:lang w:val="es-ES"/>
        </w:rPr>
        <w:t>”</w:t>
      </w:r>
      <w:r w:rsidR="00E757F9" w:rsidRPr="004768D0">
        <w:rPr>
          <w:rFonts w:asciiTheme="majorHAnsi" w:hAnsiTheme="majorHAnsi"/>
          <w:bCs/>
          <w:color w:val="000000" w:themeColor="text1"/>
          <w:sz w:val="20"/>
          <w:szCs w:val="20"/>
          <w:lang w:val="es-ES"/>
        </w:rPr>
        <w:t>, e</w:t>
      </w:r>
      <w:r w:rsidRPr="004768D0">
        <w:rPr>
          <w:rFonts w:asciiTheme="majorHAnsi" w:hAnsiTheme="majorHAnsi"/>
          <w:bCs/>
          <w:color w:val="000000" w:themeColor="text1"/>
          <w:sz w:val="20"/>
          <w:szCs w:val="20"/>
          <w:lang w:val="es-ES"/>
        </w:rPr>
        <w:t xml:space="preserve">n atención a una comunicación de Amnistía </w:t>
      </w:r>
      <w:r w:rsidR="00E757F9" w:rsidRPr="004768D0">
        <w:rPr>
          <w:rFonts w:asciiTheme="majorHAnsi" w:hAnsiTheme="majorHAnsi"/>
          <w:bCs/>
          <w:color w:val="000000" w:themeColor="text1"/>
          <w:sz w:val="20"/>
          <w:szCs w:val="20"/>
          <w:lang w:val="es-ES"/>
        </w:rPr>
        <w:t xml:space="preserve">Internacional; ii) </w:t>
      </w:r>
      <w:r w:rsidRPr="004768D0">
        <w:rPr>
          <w:rFonts w:asciiTheme="majorHAnsi" w:hAnsiTheme="majorHAnsi"/>
          <w:bCs/>
          <w:color w:val="000000" w:themeColor="text1"/>
          <w:sz w:val="20"/>
          <w:szCs w:val="20"/>
          <w:lang w:val="es-ES"/>
        </w:rPr>
        <w:t>el</w:t>
      </w:r>
      <w:r w:rsidR="001E7F07"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 xml:space="preserve">proceso protocolizado </w:t>
      </w:r>
      <w:proofErr w:type="spellStart"/>
      <w:r w:rsidRPr="004768D0">
        <w:rPr>
          <w:rFonts w:asciiTheme="majorHAnsi" w:hAnsiTheme="majorHAnsi"/>
          <w:bCs/>
          <w:color w:val="000000" w:themeColor="text1"/>
          <w:sz w:val="20"/>
          <w:szCs w:val="20"/>
          <w:lang w:val="es-ES"/>
        </w:rPr>
        <w:t>N.</w:t>
      </w:r>
      <w:r w:rsidRPr="004768D0">
        <w:rPr>
          <w:rFonts w:asciiTheme="majorHAnsi" w:hAnsiTheme="majorHAnsi"/>
          <w:bCs/>
          <w:color w:val="000000" w:themeColor="text1"/>
          <w:sz w:val="20"/>
          <w:szCs w:val="20"/>
          <w:vertAlign w:val="superscript"/>
          <w:lang w:val="es-ES"/>
        </w:rPr>
        <w:t>o</w:t>
      </w:r>
      <w:proofErr w:type="spellEnd"/>
      <w:r w:rsidR="001E7F07" w:rsidRPr="004768D0">
        <w:rPr>
          <w:rFonts w:asciiTheme="majorHAnsi" w:hAnsiTheme="majorHAnsi"/>
          <w:bCs/>
          <w:color w:val="000000" w:themeColor="text1"/>
          <w:sz w:val="20"/>
          <w:szCs w:val="20"/>
          <w:lang w:val="es-ES"/>
        </w:rPr>
        <w:t xml:space="preserve"> 05/2009</w:t>
      </w:r>
      <w:r w:rsidR="00E757F9" w:rsidRPr="004768D0">
        <w:rPr>
          <w:rFonts w:asciiTheme="majorHAnsi" w:hAnsiTheme="majorHAnsi"/>
          <w:bCs/>
          <w:color w:val="000000" w:themeColor="text1"/>
          <w:sz w:val="20"/>
          <w:szCs w:val="20"/>
          <w:lang w:val="es-ES"/>
        </w:rPr>
        <w:t>,</w:t>
      </w:r>
      <w:r w:rsidR="001E7F07" w:rsidRPr="004768D0">
        <w:rPr>
          <w:rFonts w:asciiTheme="majorHAnsi" w:hAnsiTheme="majorHAnsi"/>
          <w:bCs/>
          <w:color w:val="000000" w:themeColor="text1"/>
          <w:sz w:val="20"/>
          <w:szCs w:val="20"/>
          <w:lang w:val="es-ES"/>
        </w:rPr>
        <w:t xml:space="preserve"> in</w:t>
      </w:r>
      <w:r w:rsidRPr="004768D0">
        <w:rPr>
          <w:rFonts w:asciiTheme="majorHAnsi" w:hAnsiTheme="majorHAnsi"/>
          <w:bCs/>
          <w:color w:val="000000" w:themeColor="text1"/>
          <w:sz w:val="20"/>
          <w:szCs w:val="20"/>
          <w:lang w:val="es-ES"/>
        </w:rPr>
        <w:t xml:space="preserve">iciado en atención a un </w:t>
      </w:r>
      <w:r w:rsidR="001E7F07" w:rsidRPr="004768D0">
        <w:rPr>
          <w:rFonts w:asciiTheme="majorHAnsi" w:hAnsiTheme="majorHAnsi"/>
          <w:bCs/>
          <w:color w:val="000000" w:themeColor="text1"/>
          <w:sz w:val="20"/>
          <w:szCs w:val="20"/>
          <w:lang w:val="es-ES"/>
        </w:rPr>
        <w:t>pedido</w:t>
      </w:r>
      <w:r w:rsidR="00C96AFF"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t>formulado p</w:t>
      </w:r>
      <w:r w:rsidRPr="004768D0">
        <w:rPr>
          <w:rFonts w:asciiTheme="majorHAnsi" w:hAnsiTheme="majorHAnsi"/>
          <w:bCs/>
          <w:color w:val="000000" w:themeColor="text1"/>
          <w:sz w:val="20"/>
          <w:szCs w:val="20"/>
          <w:lang w:val="es-ES"/>
        </w:rPr>
        <w:t xml:space="preserve">or </w:t>
      </w:r>
      <w:r w:rsidR="001E7F07" w:rsidRPr="004768D0">
        <w:rPr>
          <w:rFonts w:asciiTheme="majorHAnsi" w:hAnsiTheme="majorHAnsi"/>
          <w:bCs/>
          <w:color w:val="000000" w:themeColor="text1"/>
          <w:sz w:val="20"/>
          <w:szCs w:val="20"/>
          <w:lang w:val="es-ES"/>
        </w:rPr>
        <w:t>la Clínica Internacional de D</w:t>
      </w:r>
      <w:r w:rsidRPr="004768D0">
        <w:rPr>
          <w:rFonts w:asciiTheme="majorHAnsi" w:hAnsiTheme="majorHAnsi"/>
          <w:bCs/>
          <w:color w:val="000000" w:themeColor="text1"/>
          <w:sz w:val="20"/>
          <w:szCs w:val="20"/>
          <w:lang w:val="es-ES"/>
        </w:rPr>
        <w:t>erechos</w:t>
      </w:r>
      <w:r w:rsidR="001E7F07" w:rsidRPr="004768D0">
        <w:rPr>
          <w:rFonts w:asciiTheme="majorHAnsi" w:hAnsiTheme="majorHAnsi"/>
          <w:bCs/>
          <w:color w:val="000000" w:themeColor="text1"/>
          <w:sz w:val="20"/>
          <w:szCs w:val="20"/>
          <w:lang w:val="es-ES"/>
        </w:rPr>
        <w:t xml:space="preserve"> Humanos d</w:t>
      </w:r>
      <w:r w:rsidRPr="004768D0">
        <w:rPr>
          <w:rFonts w:asciiTheme="majorHAnsi" w:hAnsiTheme="majorHAnsi"/>
          <w:bCs/>
          <w:color w:val="000000" w:themeColor="text1"/>
          <w:sz w:val="20"/>
          <w:szCs w:val="20"/>
          <w:lang w:val="es-ES"/>
        </w:rPr>
        <w:t xml:space="preserve">e la </w:t>
      </w:r>
      <w:r w:rsidR="001E7F07" w:rsidRPr="004768D0">
        <w:rPr>
          <w:rFonts w:asciiTheme="majorHAnsi" w:hAnsiTheme="majorHAnsi"/>
          <w:bCs/>
          <w:color w:val="000000" w:themeColor="text1"/>
          <w:sz w:val="20"/>
          <w:szCs w:val="20"/>
          <w:lang w:val="es-ES"/>
        </w:rPr>
        <w:t>Facul</w:t>
      </w:r>
      <w:r w:rsidRPr="004768D0">
        <w:rPr>
          <w:rFonts w:asciiTheme="majorHAnsi" w:hAnsiTheme="majorHAnsi"/>
          <w:bCs/>
          <w:color w:val="000000" w:themeColor="text1"/>
          <w:sz w:val="20"/>
          <w:szCs w:val="20"/>
          <w:lang w:val="es-ES"/>
        </w:rPr>
        <w:t>t</w:t>
      </w:r>
      <w:r w:rsidR="001E7F07" w:rsidRPr="004768D0">
        <w:rPr>
          <w:rFonts w:asciiTheme="majorHAnsi" w:hAnsiTheme="majorHAnsi"/>
          <w:bCs/>
          <w:color w:val="000000" w:themeColor="text1"/>
          <w:sz w:val="20"/>
          <w:szCs w:val="20"/>
          <w:lang w:val="es-ES"/>
        </w:rPr>
        <w:t xml:space="preserve">ad de </w:t>
      </w:r>
      <w:r w:rsidRPr="004768D0">
        <w:rPr>
          <w:rFonts w:asciiTheme="majorHAnsi" w:hAnsiTheme="majorHAnsi"/>
          <w:bCs/>
          <w:color w:val="000000" w:themeColor="text1"/>
          <w:sz w:val="20"/>
          <w:szCs w:val="20"/>
          <w:lang w:val="es-ES"/>
        </w:rPr>
        <w:t>Derecho</w:t>
      </w:r>
      <w:r w:rsidR="001E7F07" w:rsidRPr="004768D0">
        <w:rPr>
          <w:rFonts w:asciiTheme="majorHAnsi" w:hAnsiTheme="majorHAnsi"/>
          <w:bCs/>
          <w:color w:val="000000" w:themeColor="text1"/>
          <w:sz w:val="20"/>
          <w:szCs w:val="20"/>
          <w:lang w:val="es-ES"/>
        </w:rPr>
        <w:t xml:space="preserve"> d</w:t>
      </w:r>
      <w:r w:rsidRPr="004768D0">
        <w:rPr>
          <w:rFonts w:asciiTheme="majorHAnsi" w:hAnsiTheme="majorHAnsi"/>
          <w:bCs/>
          <w:color w:val="000000" w:themeColor="text1"/>
          <w:sz w:val="20"/>
          <w:szCs w:val="20"/>
          <w:lang w:val="es-ES"/>
        </w:rPr>
        <w:t>e l</w:t>
      </w:r>
      <w:r w:rsidR="001E7F07" w:rsidRPr="004768D0">
        <w:rPr>
          <w:rFonts w:asciiTheme="majorHAnsi" w:hAnsiTheme="majorHAnsi"/>
          <w:bCs/>
          <w:color w:val="000000" w:themeColor="text1"/>
          <w:sz w:val="20"/>
          <w:szCs w:val="20"/>
          <w:lang w:val="es-ES"/>
        </w:rPr>
        <w:t>a</w:t>
      </w:r>
      <w:r w:rsidR="00C96AFF" w:rsidRPr="004768D0">
        <w:rPr>
          <w:rFonts w:asciiTheme="majorHAnsi" w:hAnsiTheme="majorHAnsi"/>
          <w:bCs/>
          <w:color w:val="000000" w:themeColor="text1"/>
          <w:sz w:val="20"/>
          <w:szCs w:val="20"/>
          <w:lang w:val="es-ES"/>
        </w:rPr>
        <w:t xml:space="preserve"> </w:t>
      </w:r>
      <w:r w:rsidR="001E7F07" w:rsidRPr="004768D0">
        <w:rPr>
          <w:rFonts w:asciiTheme="majorHAnsi" w:hAnsiTheme="majorHAnsi"/>
          <w:bCs/>
          <w:color w:val="000000" w:themeColor="text1"/>
          <w:sz w:val="20"/>
          <w:szCs w:val="20"/>
          <w:lang w:val="es-ES"/>
        </w:rPr>
        <w:t xml:space="preserve">Universidad de Harvard </w:t>
      </w:r>
      <w:r w:rsidRPr="004768D0">
        <w:rPr>
          <w:rFonts w:asciiTheme="majorHAnsi" w:hAnsiTheme="majorHAnsi"/>
          <w:bCs/>
          <w:color w:val="000000" w:themeColor="text1"/>
          <w:sz w:val="20"/>
          <w:szCs w:val="20"/>
          <w:lang w:val="es-ES"/>
        </w:rPr>
        <w:t xml:space="preserve">y por </w:t>
      </w:r>
      <w:r w:rsidR="00C65DE2" w:rsidRPr="004768D0">
        <w:rPr>
          <w:rFonts w:asciiTheme="majorHAnsi" w:hAnsiTheme="majorHAnsi"/>
          <w:bCs/>
          <w:color w:val="000000" w:themeColor="text1"/>
          <w:sz w:val="20"/>
          <w:szCs w:val="20"/>
          <w:lang w:val="es-ES"/>
        </w:rPr>
        <w:t>Justicia</w:t>
      </w:r>
      <w:r w:rsidR="001E7F07" w:rsidRPr="004768D0">
        <w:rPr>
          <w:rFonts w:asciiTheme="majorHAnsi" w:hAnsiTheme="majorHAnsi"/>
          <w:bCs/>
          <w:color w:val="000000" w:themeColor="text1"/>
          <w:sz w:val="20"/>
          <w:szCs w:val="20"/>
          <w:lang w:val="es-ES"/>
        </w:rPr>
        <w:t xml:space="preserve"> Global, </w:t>
      </w:r>
      <w:r w:rsidR="00E757F9" w:rsidRPr="004768D0">
        <w:rPr>
          <w:rFonts w:asciiTheme="majorHAnsi" w:hAnsiTheme="majorHAnsi"/>
          <w:bCs/>
          <w:color w:val="000000" w:themeColor="text1"/>
          <w:sz w:val="20"/>
          <w:szCs w:val="20"/>
          <w:lang w:val="es-ES"/>
        </w:rPr>
        <w:t>por me</w:t>
      </w:r>
      <w:r w:rsidRPr="004768D0">
        <w:rPr>
          <w:rFonts w:asciiTheme="majorHAnsi" w:hAnsiTheme="majorHAnsi"/>
          <w:bCs/>
          <w:color w:val="000000" w:themeColor="text1"/>
          <w:sz w:val="20"/>
          <w:szCs w:val="20"/>
          <w:lang w:val="es-ES"/>
        </w:rPr>
        <w:t>di</w:t>
      </w:r>
      <w:r w:rsidR="00E757F9" w:rsidRPr="004768D0">
        <w:rPr>
          <w:rFonts w:asciiTheme="majorHAnsi" w:hAnsiTheme="majorHAnsi"/>
          <w:bCs/>
          <w:color w:val="000000" w:themeColor="text1"/>
          <w:sz w:val="20"/>
          <w:szCs w:val="20"/>
          <w:lang w:val="es-ES"/>
        </w:rPr>
        <w:t>o d</w:t>
      </w:r>
      <w:r w:rsidRPr="004768D0">
        <w:rPr>
          <w:rFonts w:asciiTheme="majorHAnsi" w:hAnsiTheme="majorHAnsi"/>
          <w:bCs/>
          <w:color w:val="000000" w:themeColor="text1"/>
          <w:sz w:val="20"/>
          <w:szCs w:val="20"/>
          <w:lang w:val="es-ES"/>
        </w:rPr>
        <w:t>el c</w:t>
      </w:r>
      <w:r w:rsidR="00E757F9" w:rsidRPr="004768D0">
        <w:rPr>
          <w:rFonts w:asciiTheme="majorHAnsi" w:hAnsiTheme="majorHAnsi"/>
          <w:bCs/>
          <w:color w:val="000000" w:themeColor="text1"/>
          <w:sz w:val="20"/>
          <w:szCs w:val="20"/>
          <w:lang w:val="es-ES"/>
        </w:rPr>
        <w:t xml:space="preserve">ual </w:t>
      </w:r>
      <w:r w:rsidRPr="004768D0">
        <w:rPr>
          <w:rFonts w:asciiTheme="majorHAnsi" w:hAnsiTheme="majorHAnsi"/>
          <w:bCs/>
          <w:color w:val="000000" w:themeColor="text1"/>
          <w:sz w:val="20"/>
          <w:szCs w:val="20"/>
          <w:lang w:val="es-ES"/>
        </w:rPr>
        <w:t>el</w:t>
      </w:r>
      <w:r w:rsidR="00E757F9" w:rsidRPr="004768D0">
        <w:rPr>
          <w:rFonts w:asciiTheme="majorHAnsi" w:hAnsiTheme="majorHAnsi"/>
          <w:bCs/>
          <w:color w:val="000000" w:themeColor="text1"/>
          <w:sz w:val="20"/>
          <w:szCs w:val="20"/>
          <w:lang w:val="es-ES"/>
        </w:rPr>
        <w:t xml:space="preserve"> CAO </w:t>
      </w:r>
      <w:r w:rsidRPr="004768D0">
        <w:rPr>
          <w:rFonts w:asciiTheme="majorHAnsi" w:hAnsiTheme="majorHAnsi"/>
          <w:bCs/>
          <w:color w:val="000000" w:themeColor="text1"/>
          <w:sz w:val="20"/>
          <w:szCs w:val="20"/>
          <w:lang w:val="es-ES"/>
        </w:rPr>
        <w:t>Penal solicitó</w:t>
      </w:r>
      <w:r w:rsidR="00E757F9" w:rsidRPr="004768D0">
        <w:rPr>
          <w:rFonts w:asciiTheme="majorHAnsi" w:hAnsiTheme="majorHAnsi"/>
          <w:bCs/>
          <w:color w:val="000000" w:themeColor="text1"/>
          <w:sz w:val="20"/>
          <w:szCs w:val="20"/>
          <w:lang w:val="es-ES"/>
        </w:rPr>
        <w:t xml:space="preserve"> a tod</w:t>
      </w:r>
      <w:r w:rsidRPr="004768D0">
        <w:rPr>
          <w:rFonts w:asciiTheme="majorHAnsi" w:hAnsiTheme="majorHAnsi"/>
          <w:bCs/>
          <w:color w:val="000000" w:themeColor="text1"/>
          <w:sz w:val="20"/>
          <w:szCs w:val="20"/>
          <w:lang w:val="es-ES"/>
        </w:rPr>
        <w:t xml:space="preserve">as las fiscalías correspondientes copias de las declaraciones </w:t>
      </w:r>
      <w:r w:rsidRPr="004768D0">
        <w:rPr>
          <w:rFonts w:asciiTheme="majorHAnsi" w:hAnsiTheme="majorHAnsi"/>
          <w:bCs/>
          <w:color w:val="000000" w:themeColor="text1"/>
          <w:sz w:val="20"/>
          <w:szCs w:val="20"/>
          <w:lang w:val="es-ES"/>
        </w:rPr>
        <w:lastRenderedPageBreak/>
        <w:t xml:space="preserve">efectuadas en las </w:t>
      </w:r>
      <w:r w:rsidR="00372008" w:rsidRPr="004768D0">
        <w:rPr>
          <w:rFonts w:asciiTheme="majorHAnsi" w:hAnsiTheme="majorHAnsi"/>
          <w:bCs/>
          <w:color w:val="000000" w:themeColor="text1"/>
          <w:sz w:val="20"/>
          <w:szCs w:val="20"/>
          <w:lang w:val="es-ES"/>
        </w:rPr>
        <w:t>investigaciones policiales</w:t>
      </w:r>
      <w:r w:rsidR="00E757F9" w:rsidRPr="004768D0">
        <w:rPr>
          <w:rFonts w:asciiTheme="majorHAnsi" w:hAnsiTheme="majorHAnsi"/>
          <w:bCs/>
          <w:color w:val="000000" w:themeColor="text1"/>
          <w:sz w:val="20"/>
          <w:szCs w:val="20"/>
          <w:lang w:val="es-ES"/>
        </w:rPr>
        <w:t xml:space="preserve"> o</w:t>
      </w:r>
      <w:r w:rsidRPr="004768D0">
        <w:rPr>
          <w:rFonts w:asciiTheme="majorHAnsi" w:hAnsiTheme="majorHAnsi"/>
          <w:bCs/>
          <w:color w:val="000000" w:themeColor="text1"/>
          <w:sz w:val="20"/>
          <w:szCs w:val="20"/>
          <w:lang w:val="es-ES"/>
        </w:rPr>
        <w:t xml:space="preserve"> las acciones penales </w:t>
      </w:r>
      <w:r w:rsidR="00E757F9" w:rsidRPr="004768D0">
        <w:rPr>
          <w:rFonts w:asciiTheme="majorHAnsi" w:hAnsiTheme="majorHAnsi"/>
          <w:bCs/>
          <w:color w:val="000000" w:themeColor="text1"/>
          <w:sz w:val="20"/>
          <w:szCs w:val="20"/>
          <w:lang w:val="es-ES"/>
        </w:rPr>
        <w:t>atinentes a</w:t>
      </w:r>
      <w:r w:rsidRPr="004768D0">
        <w:rPr>
          <w:rFonts w:asciiTheme="majorHAnsi" w:hAnsiTheme="majorHAnsi"/>
          <w:bCs/>
          <w:color w:val="000000" w:themeColor="text1"/>
          <w:sz w:val="20"/>
          <w:szCs w:val="20"/>
          <w:lang w:val="es-ES"/>
        </w:rPr>
        <w:t xml:space="preserve"> l</w:t>
      </w:r>
      <w:r w:rsidR="00E757F9" w:rsidRPr="004768D0">
        <w:rPr>
          <w:rFonts w:asciiTheme="majorHAnsi" w:hAnsiTheme="majorHAnsi"/>
          <w:bCs/>
          <w:color w:val="000000" w:themeColor="text1"/>
          <w:sz w:val="20"/>
          <w:szCs w:val="20"/>
          <w:lang w:val="es-ES"/>
        </w:rPr>
        <w:t xml:space="preserve">os </w:t>
      </w:r>
      <w:r w:rsidRPr="004768D0">
        <w:rPr>
          <w:rFonts w:asciiTheme="majorHAnsi" w:hAnsiTheme="majorHAnsi"/>
          <w:bCs/>
          <w:color w:val="000000" w:themeColor="text1"/>
          <w:sz w:val="20"/>
          <w:szCs w:val="20"/>
          <w:lang w:val="es-ES"/>
        </w:rPr>
        <w:t xml:space="preserve">delitos </w:t>
      </w:r>
      <w:r w:rsidR="00E757F9" w:rsidRPr="004768D0">
        <w:rPr>
          <w:rFonts w:asciiTheme="majorHAnsi" w:hAnsiTheme="majorHAnsi"/>
          <w:bCs/>
          <w:color w:val="000000" w:themeColor="text1"/>
          <w:sz w:val="20"/>
          <w:szCs w:val="20"/>
          <w:lang w:val="es-ES"/>
        </w:rPr>
        <w:t xml:space="preserve">cometidos </w:t>
      </w:r>
      <w:r w:rsidRPr="004768D0">
        <w:rPr>
          <w:rFonts w:asciiTheme="majorHAnsi" w:hAnsiTheme="majorHAnsi"/>
          <w:bCs/>
          <w:color w:val="000000" w:themeColor="text1"/>
          <w:sz w:val="20"/>
          <w:szCs w:val="20"/>
          <w:lang w:val="es-ES"/>
        </w:rPr>
        <w:t>e</w:t>
      </w:r>
      <w:r w:rsidR="00E757F9" w:rsidRPr="004768D0">
        <w:rPr>
          <w:rFonts w:asciiTheme="majorHAnsi" w:hAnsiTheme="majorHAnsi"/>
          <w:bCs/>
          <w:color w:val="000000" w:themeColor="text1"/>
          <w:sz w:val="20"/>
          <w:szCs w:val="20"/>
          <w:lang w:val="es-ES"/>
        </w:rPr>
        <w:t>n</w:t>
      </w:r>
      <w:r w:rsidRPr="004768D0">
        <w:rPr>
          <w:rFonts w:asciiTheme="majorHAnsi" w:hAnsiTheme="majorHAnsi"/>
          <w:bCs/>
          <w:color w:val="000000" w:themeColor="text1"/>
          <w:sz w:val="20"/>
          <w:szCs w:val="20"/>
          <w:lang w:val="es-ES"/>
        </w:rPr>
        <w:t xml:space="preserve"> el</w:t>
      </w:r>
      <w:r w:rsidR="00E757F9" w:rsidRPr="004768D0">
        <w:rPr>
          <w:rFonts w:asciiTheme="majorHAnsi" w:hAnsiTheme="majorHAnsi"/>
          <w:bCs/>
          <w:color w:val="000000" w:themeColor="text1"/>
          <w:sz w:val="20"/>
          <w:szCs w:val="20"/>
          <w:lang w:val="es-ES"/>
        </w:rPr>
        <w:t xml:space="preserve"> intervalo comprendido entre </w:t>
      </w:r>
      <w:r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os </w:t>
      </w:r>
      <w:r w:rsidR="00B9588A" w:rsidRPr="004768D0">
        <w:rPr>
          <w:rFonts w:asciiTheme="majorHAnsi" w:hAnsiTheme="majorHAnsi"/>
          <w:bCs/>
          <w:color w:val="000000" w:themeColor="text1"/>
          <w:sz w:val="20"/>
          <w:szCs w:val="20"/>
          <w:lang w:val="es-ES"/>
        </w:rPr>
        <w:t>días</w:t>
      </w:r>
      <w:r w:rsidR="00E757F9" w:rsidRPr="004768D0">
        <w:rPr>
          <w:rFonts w:asciiTheme="majorHAnsi" w:hAnsiTheme="majorHAnsi"/>
          <w:bCs/>
          <w:color w:val="000000" w:themeColor="text1"/>
          <w:sz w:val="20"/>
          <w:szCs w:val="20"/>
          <w:lang w:val="es-ES"/>
        </w:rPr>
        <w:t xml:space="preserve"> 12 </w:t>
      </w:r>
      <w:r w:rsidRPr="004768D0">
        <w:rPr>
          <w:rFonts w:asciiTheme="majorHAnsi" w:hAnsiTheme="majorHAnsi"/>
          <w:bCs/>
          <w:color w:val="000000" w:themeColor="text1"/>
          <w:sz w:val="20"/>
          <w:szCs w:val="20"/>
          <w:lang w:val="es-ES"/>
        </w:rPr>
        <w:t>y</w:t>
      </w:r>
      <w:r w:rsidR="00E757F9" w:rsidRPr="004768D0">
        <w:rPr>
          <w:rFonts w:asciiTheme="majorHAnsi" w:hAnsiTheme="majorHAnsi"/>
          <w:bCs/>
          <w:color w:val="000000" w:themeColor="text1"/>
          <w:sz w:val="20"/>
          <w:szCs w:val="20"/>
          <w:lang w:val="es-ES"/>
        </w:rPr>
        <w:t xml:space="preserve"> 21 de </w:t>
      </w:r>
      <w:r w:rsidR="007F4608" w:rsidRPr="004768D0">
        <w:rPr>
          <w:rFonts w:asciiTheme="majorHAnsi" w:hAnsiTheme="majorHAnsi"/>
          <w:bCs/>
          <w:color w:val="000000" w:themeColor="text1"/>
          <w:sz w:val="20"/>
          <w:szCs w:val="20"/>
          <w:lang w:val="es-ES"/>
        </w:rPr>
        <w:t>marzo</w:t>
      </w:r>
      <w:r w:rsidR="00E757F9" w:rsidRPr="004768D0">
        <w:rPr>
          <w:rFonts w:asciiTheme="majorHAnsi" w:hAnsiTheme="majorHAnsi"/>
          <w:bCs/>
          <w:color w:val="000000" w:themeColor="text1"/>
          <w:sz w:val="20"/>
          <w:szCs w:val="20"/>
          <w:lang w:val="es-ES"/>
        </w:rPr>
        <w:t xml:space="preserve"> de 2006</w:t>
      </w:r>
      <w:r w:rsidR="00860DC6" w:rsidRPr="004768D0">
        <w:rPr>
          <w:rStyle w:val="FootnoteReference"/>
          <w:rFonts w:asciiTheme="majorHAnsi" w:hAnsiTheme="majorHAnsi"/>
          <w:bCs/>
          <w:color w:val="000000" w:themeColor="text1"/>
          <w:sz w:val="20"/>
          <w:szCs w:val="20"/>
          <w:lang w:val="es-ES"/>
        </w:rPr>
        <w:footnoteReference w:id="10"/>
      </w:r>
      <w:r w:rsidRPr="004768D0">
        <w:rPr>
          <w:rFonts w:asciiTheme="majorHAnsi" w:hAnsiTheme="majorHAnsi"/>
          <w:bCs/>
          <w:color w:val="000000" w:themeColor="text1"/>
          <w:sz w:val="20"/>
          <w:szCs w:val="20"/>
          <w:lang w:val="es-ES"/>
        </w:rPr>
        <w:t>.</w:t>
      </w:r>
      <w:r w:rsidR="00E757F9" w:rsidRPr="004768D0">
        <w:rPr>
          <w:rFonts w:asciiTheme="majorHAnsi" w:hAnsiTheme="majorHAnsi"/>
          <w:bCs/>
          <w:color w:val="000000" w:themeColor="text1"/>
          <w:sz w:val="20"/>
          <w:szCs w:val="20"/>
          <w:lang w:val="es-ES"/>
        </w:rPr>
        <w:t xml:space="preserve"> </w:t>
      </w:r>
    </w:p>
    <w:p w14:paraId="015E78A8" w14:textId="77777777" w:rsidR="00E757F9" w:rsidRPr="004768D0" w:rsidRDefault="00E757F9" w:rsidP="00E757F9">
      <w:pPr>
        <w:pStyle w:val="ListParagraph"/>
        <w:rPr>
          <w:rFonts w:asciiTheme="majorHAnsi" w:hAnsiTheme="majorHAnsi"/>
          <w:bCs/>
          <w:color w:val="000000" w:themeColor="text1"/>
          <w:sz w:val="20"/>
          <w:szCs w:val="20"/>
          <w:lang w:val="es-ES"/>
        </w:rPr>
      </w:pPr>
    </w:p>
    <w:p w14:paraId="20477EF4" w14:textId="77777777" w:rsidR="00E757F9" w:rsidRPr="004768D0" w:rsidRDefault="00462731"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El Estado</w:t>
      </w:r>
      <w:r w:rsidR="00E757F9" w:rsidRPr="004768D0">
        <w:rPr>
          <w:rFonts w:asciiTheme="majorHAnsi" w:hAnsiTheme="majorHAnsi"/>
          <w:bCs/>
          <w:color w:val="000000" w:themeColor="text1"/>
          <w:sz w:val="20"/>
          <w:szCs w:val="20"/>
          <w:lang w:val="es-ES"/>
        </w:rPr>
        <w:t xml:space="preserve"> </w:t>
      </w:r>
      <w:r w:rsidR="001343FF" w:rsidRPr="004768D0">
        <w:rPr>
          <w:rFonts w:asciiTheme="majorHAnsi" w:hAnsiTheme="majorHAnsi"/>
          <w:bCs/>
          <w:color w:val="000000" w:themeColor="text1"/>
          <w:sz w:val="20"/>
          <w:szCs w:val="20"/>
          <w:lang w:val="es-ES"/>
        </w:rPr>
        <w:t>informó</w:t>
      </w:r>
      <w:r w:rsidR="00E757F9" w:rsidRPr="004768D0">
        <w:rPr>
          <w:rFonts w:asciiTheme="majorHAnsi" w:hAnsiTheme="majorHAnsi"/>
          <w:bCs/>
          <w:color w:val="000000" w:themeColor="text1"/>
          <w:sz w:val="20"/>
          <w:szCs w:val="20"/>
          <w:lang w:val="es-ES"/>
        </w:rPr>
        <w:t xml:space="preserve">, </w:t>
      </w:r>
      <w:r w:rsidR="001343FF" w:rsidRPr="004768D0">
        <w:rPr>
          <w:rFonts w:asciiTheme="majorHAnsi" w:hAnsiTheme="majorHAnsi"/>
          <w:bCs/>
          <w:color w:val="000000" w:themeColor="text1"/>
          <w:sz w:val="20"/>
          <w:szCs w:val="20"/>
          <w:lang w:val="es-ES"/>
        </w:rPr>
        <w:t>además</w:t>
      </w:r>
      <w:r w:rsidR="00E757F9" w:rsidRPr="004768D0">
        <w:rPr>
          <w:rFonts w:asciiTheme="majorHAnsi" w:hAnsiTheme="majorHAnsi"/>
          <w:bCs/>
          <w:color w:val="000000" w:themeColor="text1"/>
          <w:sz w:val="20"/>
          <w:szCs w:val="20"/>
          <w:lang w:val="es-ES"/>
        </w:rPr>
        <w:t xml:space="preserve">, que </w:t>
      </w:r>
      <w:r w:rsidR="001343FF"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a </w:t>
      </w:r>
      <w:r w:rsidR="001343FF" w:rsidRPr="004768D0">
        <w:rPr>
          <w:rFonts w:asciiTheme="majorHAnsi" w:hAnsiTheme="majorHAnsi"/>
          <w:bCs/>
          <w:color w:val="000000" w:themeColor="text1"/>
          <w:sz w:val="20"/>
          <w:szCs w:val="20"/>
          <w:lang w:val="es-ES"/>
        </w:rPr>
        <w:t>Procuraduría General</w:t>
      </w:r>
      <w:r w:rsidR="00E757F9" w:rsidRPr="004768D0">
        <w:rPr>
          <w:rFonts w:asciiTheme="majorHAnsi" w:hAnsiTheme="majorHAnsi"/>
          <w:bCs/>
          <w:color w:val="000000" w:themeColor="text1"/>
          <w:sz w:val="20"/>
          <w:szCs w:val="20"/>
          <w:lang w:val="es-ES"/>
        </w:rPr>
        <w:t xml:space="preserve"> de </w:t>
      </w:r>
      <w:r w:rsidR="00C65DE2" w:rsidRPr="004768D0">
        <w:rPr>
          <w:rFonts w:asciiTheme="majorHAnsi" w:hAnsiTheme="majorHAnsi"/>
          <w:bCs/>
          <w:color w:val="000000" w:themeColor="text1"/>
          <w:sz w:val="20"/>
          <w:szCs w:val="20"/>
          <w:lang w:val="es-ES"/>
        </w:rPr>
        <w:t>Justicia</w:t>
      </w:r>
      <w:r w:rsidR="00E757F9" w:rsidRPr="004768D0">
        <w:rPr>
          <w:rFonts w:asciiTheme="majorHAnsi" w:hAnsiTheme="majorHAnsi"/>
          <w:bCs/>
          <w:color w:val="000000" w:themeColor="text1"/>
          <w:sz w:val="20"/>
          <w:szCs w:val="20"/>
          <w:lang w:val="es-ES"/>
        </w:rPr>
        <w:t xml:space="preserve"> </w:t>
      </w:r>
      <w:r w:rsidR="007F4608" w:rsidRPr="004768D0">
        <w:rPr>
          <w:rFonts w:asciiTheme="majorHAnsi" w:hAnsiTheme="majorHAnsi"/>
          <w:bCs/>
          <w:color w:val="000000" w:themeColor="text1"/>
          <w:sz w:val="20"/>
          <w:szCs w:val="20"/>
          <w:lang w:val="es-ES"/>
        </w:rPr>
        <w:t xml:space="preserve">del </w:t>
      </w:r>
      <w:r w:rsidR="0000579C">
        <w:rPr>
          <w:rFonts w:asciiTheme="majorHAnsi" w:hAnsiTheme="majorHAnsi"/>
          <w:bCs/>
          <w:color w:val="000000" w:themeColor="text1"/>
          <w:sz w:val="20"/>
          <w:szCs w:val="20"/>
          <w:lang w:val="es-ES"/>
        </w:rPr>
        <w:t>estado de São Paulo</w:t>
      </w:r>
      <w:r w:rsidR="00E757F9" w:rsidRPr="004768D0">
        <w:rPr>
          <w:rFonts w:asciiTheme="majorHAnsi" w:hAnsiTheme="majorHAnsi"/>
          <w:bCs/>
          <w:color w:val="000000" w:themeColor="text1"/>
          <w:sz w:val="20"/>
          <w:szCs w:val="20"/>
          <w:lang w:val="es-ES"/>
        </w:rPr>
        <w:t xml:space="preserve"> </w:t>
      </w:r>
      <w:r w:rsidR="00246A29" w:rsidRPr="004768D0">
        <w:rPr>
          <w:rFonts w:asciiTheme="majorHAnsi" w:hAnsiTheme="majorHAnsi"/>
          <w:bCs/>
          <w:color w:val="000000" w:themeColor="text1"/>
          <w:sz w:val="20"/>
          <w:szCs w:val="20"/>
          <w:lang w:val="es-ES"/>
        </w:rPr>
        <w:t>respondió a oficios cursados por la Cámara</w:t>
      </w:r>
      <w:r w:rsidR="00E757F9" w:rsidRPr="004768D0">
        <w:rPr>
          <w:rFonts w:asciiTheme="majorHAnsi" w:hAnsiTheme="majorHAnsi"/>
          <w:bCs/>
          <w:color w:val="000000" w:themeColor="text1"/>
          <w:sz w:val="20"/>
          <w:szCs w:val="20"/>
          <w:lang w:val="es-ES"/>
        </w:rPr>
        <w:t xml:space="preserve"> Municipal de São Paulo </w:t>
      </w:r>
      <w:r w:rsidR="00246A29" w:rsidRPr="004768D0">
        <w:rPr>
          <w:rFonts w:asciiTheme="majorHAnsi" w:hAnsiTheme="majorHAnsi"/>
          <w:bCs/>
          <w:color w:val="000000" w:themeColor="text1"/>
          <w:sz w:val="20"/>
          <w:szCs w:val="20"/>
          <w:lang w:val="es-ES"/>
        </w:rPr>
        <w:t xml:space="preserve">y el Consejo </w:t>
      </w:r>
      <w:r w:rsidR="00E757F9" w:rsidRPr="004768D0">
        <w:rPr>
          <w:rFonts w:asciiTheme="majorHAnsi" w:hAnsiTheme="majorHAnsi"/>
          <w:bCs/>
          <w:color w:val="000000" w:themeColor="text1"/>
          <w:sz w:val="20"/>
          <w:szCs w:val="20"/>
          <w:lang w:val="es-ES"/>
        </w:rPr>
        <w:t>Esta</w:t>
      </w:r>
      <w:r w:rsidR="00246A29" w:rsidRPr="004768D0">
        <w:rPr>
          <w:rFonts w:asciiTheme="majorHAnsi" w:hAnsiTheme="majorHAnsi"/>
          <w:bCs/>
          <w:color w:val="000000" w:themeColor="text1"/>
          <w:sz w:val="20"/>
          <w:szCs w:val="20"/>
          <w:lang w:val="es-ES"/>
        </w:rPr>
        <w:t>ta</w:t>
      </w:r>
      <w:r w:rsidR="00E757F9" w:rsidRPr="004768D0">
        <w:rPr>
          <w:rFonts w:asciiTheme="majorHAnsi" w:hAnsiTheme="majorHAnsi"/>
          <w:bCs/>
          <w:color w:val="000000" w:themeColor="text1"/>
          <w:sz w:val="20"/>
          <w:szCs w:val="20"/>
          <w:lang w:val="es-ES"/>
        </w:rPr>
        <w:t>l de Defe</w:t>
      </w:r>
      <w:r w:rsidR="00246A29" w:rsidRPr="004768D0">
        <w:rPr>
          <w:rFonts w:asciiTheme="majorHAnsi" w:hAnsiTheme="majorHAnsi"/>
          <w:bCs/>
          <w:color w:val="000000" w:themeColor="text1"/>
          <w:sz w:val="20"/>
          <w:szCs w:val="20"/>
          <w:lang w:val="es-ES"/>
        </w:rPr>
        <w:t>n</w:t>
      </w:r>
      <w:r w:rsidR="00E757F9" w:rsidRPr="004768D0">
        <w:rPr>
          <w:rFonts w:asciiTheme="majorHAnsi" w:hAnsiTheme="majorHAnsi"/>
          <w:bCs/>
          <w:color w:val="000000" w:themeColor="text1"/>
          <w:sz w:val="20"/>
          <w:szCs w:val="20"/>
          <w:lang w:val="es-ES"/>
        </w:rPr>
        <w:t>sa d</w:t>
      </w:r>
      <w:r w:rsidR="00246A29" w:rsidRPr="004768D0">
        <w:rPr>
          <w:rFonts w:asciiTheme="majorHAnsi" w:hAnsiTheme="majorHAnsi"/>
          <w:bCs/>
          <w:color w:val="000000" w:themeColor="text1"/>
          <w:sz w:val="20"/>
          <w:szCs w:val="20"/>
          <w:lang w:val="es-ES"/>
        </w:rPr>
        <w:t>e l</w:t>
      </w:r>
      <w:r w:rsidR="00E757F9" w:rsidRPr="004768D0">
        <w:rPr>
          <w:rFonts w:asciiTheme="majorHAnsi" w:hAnsiTheme="majorHAnsi"/>
          <w:bCs/>
          <w:color w:val="000000" w:themeColor="text1"/>
          <w:sz w:val="20"/>
          <w:szCs w:val="20"/>
          <w:lang w:val="es-ES"/>
        </w:rPr>
        <w:t xml:space="preserve">os </w:t>
      </w:r>
      <w:r w:rsidR="00246A29" w:rsidRPr="004768D0">
        <w:rPr>
          <w:rFonts w:asciiTheme="majorHAnsi" w:hAnsiTheme="majorHAnsi"/>
          <w:bCs/>
          <w:color w:val="000000" w:themeColor="text1"/>
          <w:sz w:val="20"/>
          <w:szCs w:val="20"/>
          <w:lang w:val="es-ES"/>
        </w:rPr>
        <w:t>Derechos</w:t>
      </w:r>
      <w:r w:rsidR="00E757F9" w:rsidRPr="004768D0">
        <w:rPr>
          <w:rFonts w:asciiTheme="majorHAnsi" w:hAnsiTheme="majorHAnsi"/>
          <w:bCs/>
          <w:color w:val="000000" w:themeColor="text1"/>
          <w:sz w:val="20"/>
          <w:szCs w:val="20"/>
          <w:lang w:val="es-ES"/>
        </w:rPr>
        <w:t xml:space="preserve"> d</w:t>
      </w:r>
      <w:r w:rsidR="00246A29" w:rsidRPr="004768D0">
        <w:rPr>
          <w:rFonts w:asciiTheme="majorHAnsi" w:hAnsiTheme="majorHAnsi"/>
          <w:bCs/>
          <w:color w:val="000000" w:themeColor="text1"/>
          <w:sz w:val="20"/>
          <w:szCs w:val="20"/>
          <w:lang w:val="es-ES"/>
        </w:rPr>
        <w:t>e la Persona</w:t>
      </w:r>
      <w:r w:rsidR="00E757F9" w:rsidRPr="004768D0">
        <w:rPr>
          <w:rFonts w:asciiTheme="majorHAnsi" w:hAnsiTheme="majorHAnsi"/>
          <w:bCs/>
          <w:color w:val="000000" w:themeColor="text1"/>
          <w:sz w:val="20"/>
          <w:szCs w:val="20"/>
          <w:lang w:val="es-ES"/>
        </w:rPr>
        <w:t xml:space="preserve"> Humana sobre </w:t>
      </w:r>
      <w:r w:rsidR="00246A29" w:rsidRPr="004768D0">
        <w:rPr>
          <w:rFonts w:asciiTheme="majorHAnsi" w:hAnsiTheme="majorHAnsi"/>
          <w:bCs/>
          <w:color w:val="000000" w:themeColor="text1"/>
          <w:sz w:val="20"/>
          <w:szCs w:val="20"/>
          <w:lang w:val="es-ES"/>
        </w:rPr>
        <w:t>el</w:t>
      </w:r>
      <w:r w:rsidR="00E757F9" w:rsidRPr="004768D0">
        <w:rPr>
          <w:rFonts w:asciiTheme="majorHAnsi" w:hAnsiTheme="majorHAnsi"/>
          <w:bCs/>
          <w:color w:val="000000" w:themeColor="text1"/>
          <w:sz w:val="20"/>
          <w:szCs w:val="20"/>
          <w:lang w:val="es-ES"/>
        </w:rPr>
        <w:t xml:space="preserve"> </w:t>
      </w:r>
      <w:r w:rsidR="00246A29" w:rsidRPr="004768D0">
        <w:rPr>
          <w:rFonts w:asciiTheme="majorHAnsi" w:hAnsiTheme="majorHAnsi"/>
          <w:bCs/>
          <w:color w:val="000000" w:themeColor="text1"/>
          <w:sz w:val="20"/>
          <w:szCs w:val="20"/>
          <w:lang w:val="es-ES"/>
        </w:rPr>
        <w:t>mismo</w:t>
      </w:r>
      <w:r w:rsidR="00E757F9" w:rsidRPr="004768D0">
        <w:rPr>
          <w:rFonts w:asciiTheme="majorHAnsi" w:hAnsiTheme="majorHAnsi"/>
          <w:bCs/>
          <w:color w:val="000000" w:themeColor="text1"/>
          <w:sz w:val="20"/>
          <w:szCs w:val="20"/>
          <w:lang w:val="es-ES"/>
        </w:rPr>
        <w:t xml:space="preserve"> tema</w:t>
      </w:r>
      <w:r w:rsidR="00246A29" w:rsidRPr="004768D0">
        <w:rPr>
          <w:rFonts w:asciiTheme="majorHAnsi" w:hAnsiTheme="majorHAnsi"/>
          <w:bCs/>
          <w:color w:val="000000" w:themeColor="text1"/>
          <w:sz w:val="20"/>
          <w:szCs w:val="20"/>
          <w:lang w:val="es-ES"/>
        </w:rPr>
        <w:t xml:space="preserve"> y</w:t>
      </w:r>
      <w:r w:rsidR="00E757F9" w:rsidRPr="004768D0">
        <w:rPr>
          <w:rFonts w:asciiTheme="majorHAnsi" w:hAnsiTheme="majorHAnsi"/>
          <w:bCs/>
          <w:color w:val="000000" w:themeColor="text1"/>
          <w:sz w:val="20"/>
          <w:szCs w:val="20"/>
          <w:lang w:val="es-ES"/>
        </w:rPr>
        <w:t xml:space="preserve"> que </w:t>
      </w:r>
      <w:r w:rsidR="00246A29"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a </w:t>
      </w:r>
      <w:r w:rsidR="00246A29" w:rsidRPr="004768D0">
        <w:rPr>
          <w:rFonts w:asciiTheme="majorHAnsi" w:hAnsiTheme="majorHAnsi"/>
          <w:bCs/>
          <w:color w:val="000000" w:themeColor="text1"/>
          <w:sz w:val="20"/>
          <w:szCs w:val="20"/>
          <w:lang w:val="es-ES"/>
        </w:rPr>
        <w:t xml:space="preserve">propia </w:t>
      </w:r>
      <w:r w:rsidR="001343FF" w:rsidRPr="004768D0">
        <w:rPr>
          <w:rFonts w:asciiTheme="majorHAnsi" w:hAnsiTheme="majorHAnsi"/>
          <w:bCs/>
          <w:color w:val="000000" w:themeColor="text1"/>
          <w:sz w:val="20"/>
          <w:szCs w:val="20"/>
          <w:lang w:val="es-ES"/>
        </w:rPr>
        <w:t>Procuraduría General</w:t>
      </w:r>
      <w:r w:rsidR="00E757F9" w:rsidRPr="004768D0">
        <w:rPr>
          <w:rFonts w:asciiTheme="majorHAnsi" w:hAnsiTheme="majorHAnsi"/>
          <w:bCs/>
          <w:color w:val="000000" w:themeColor="text1"/>
          <w:sz w:val="20"/>
          <w:szCs w:val="20"/>
          <w:lang w:val="es-ES"/>
        </w:rPr>
        <w:t xml:space="preserve"> </w:t>
      </w:r>
      <w:r w:rsidR="00FE5F5D" w:rsidRPr="004768D0">
        <w:rPr>
          <w:rFonts w:asciiTheme="majorHAnsi" w:hAnsiTheme="majorHAnsi"/>
          <w:bCs/>
          <w:color w:val="000000" w:themeColor="text1"/>
          <w:sz w:val="20"/>
          <w:szCs w:val="20"/>
          <w:lang w:val="es-ES"/>
        </w:rPr>
        <w:t xml:space="preserve">emitió el </w:t>
      </w:r>
      <w:r w:rsidR="00E757F9" w:rsidRPr="004768D0">
        <w:rPr>
          <w:rFonts w:asciiTheme="majorHAnsi" w:hAnsiTheme="majorHAnsi"/>
          <w:bCs/>
          <w:color w:val="000000" w:themeColor="text1"/>
          <w:sz w:val="20"/>
          <w:szCs w:val="20"/>
          <w:lang w:val="es-ES"/>
        </w:rPr>
        <w:t>A</w:t>
      </w:r>
      <w:r w:rsidR="00FE5F5D" w:rsidRPr="004768D0">
        <w:rPr>
          <w:rFonts w:asciiTheme="majorHAnsi" w:hAnsiTheme="majorHAnsi"/>
          <w:bCs/>
          <w:color w:val="000000" w:themeColor="text1"/>
          <w:sz w:val="20"/>
          <w:szCs w:val="20"/>
          <w:lang w:val="es-ES"/>
        </w:rPr>
        <w:t>c</w:t>
      </w:r>
      <w:r w:rsidR="00E757F9" w:rsidRPr="004768D0">
        <w:rPr>
          <w:rFonts w:asciiTheme="majorHAnsi" w:hAnsiTheme="majorHAnsi"/>
          <w:bCs/>
          <w:color w:val="000000" w:themeColor="text1"/>
          <w:sz w:val="20"/>
          <w:szCs w:val="20"/>
          <w:lang w:val="es-ES"/>
        </w:rPr>
        <w:t xml:space="preserve">to Normativo </w:t>
      </w:r>
      <w:proofErr w:type="spellStart"/>
      <w:r w:rsidR="00FE5F5D" w:rsidRPr="004768D0">
        <w:rPr>
          <w:rFonts w:asciiTheme="majorHAnsi" w:hAnsiTheme="majorHAnsi"/>
          <w:bCs/>
          <w:color w:val="000000" w:themeColor="text1"/>
          <w:sz w:val="20"/>
          <w:szCs w:val="20"/>
          <w:lang w:val="es-ES"/>
        </w:rPr>
        <w:t>N.</w:t>
      </w:r>
      <w:r w:rsidR="00FE5F5D" w:rsidRPr="004768D0">
        <w:rPr>
          <w:rFonts w:asciiTheme="majorHAnsi" w:hAnsiTheme="majorHAnsi"/>
          <w:bCs/>
          <w:color w:val="000000" w:themeColor="text1"/>
          <w:sz w:val="20"/>
          <w:szCs w:val="20"/>
          <w:vertAlign w:val="superscript"/>
          <w:lang w:val="es-ES"/>
        </w:rPr>
        <w:t>o</w:t>
      </w:r>
      <w:proofErr w:type="spellEnd"/>
      <w:r w:rsidR="00E757F9" w:rsidRPr="004768D0">
        <w:rPr>
          <w:rFonts w:asciiTheme="majorHAnsi" w:hAnsiTheme="majorHAnsi"/>
          <w:bCs/>
          <w:color w:val="000000" w:themeColor="text1"/>
          <w:sz w:val="20"/>
          <w:szCs w:val="20"/>
          <w:lang w:val="es-ES"/>
        </w:rPr>
        <w:t xml:space="preserve"> 955/2016, </w:t>
      </w:r>
      <w:r w:rsidR="00FE5F5D" w:rsidRPr="004768D0">
        <w:rPr>
          <w:rFonts w:asciiTheme="majorHAnsi" w:hAnsiTheme="majorHAnsi"/>
          <w:bCs/>
          <w:color w:val="000000" w:themeColor="text1"/>
          <w:sz w:val="20"/>
          <w:szCs w:val="20"/>
          <w:lang w:val="es-ES"/>
        </w:rPr>
        <w:t xml:space="preserve">mediante el cual se sancionó al </w:t>
      </w:r>
      <w:r w:rsidR="00F154A0" w:rsidRPr="004768D0">
        <w:rPr>
          <w:rFonts w:asciiTheme="majorHAnsi" w:hAnsiTheme="majorHAnsi"/>
          <w:bCs/>
          <w:color w:val="000000" w:themeColor="text1"/>
          <w:sz w:val="20"/>
          <w:szCs w:val="20"/>
          <w:lang w:val="es-ES"/>
        </w:rPr>
        <w:t>Ministerio</w:t>
      </w:r>
      <w:r w:rsidR="00E757F9" w:rsidRPr="004768D0">
        <w:rPr>
          <w:rFonts w:asciiTheme="majorHAnsi" w:hAnsiTheme="majorHAnsi"/>
          <w:bCs/>
          <w:color w:val="000000" w:themeColor="text1"/>
          <w:sz w:val="20"/>
          <w:szCs w:val="20"/>
          <w:lang w:val="es-ES"/>
        </w:rPr>
        <w:t xml:space="preserve"> Público de São Paulo </w:t>
      </w:r>
      <w:r w:rsidR="00FE5F5D" w:rsidRPr="004768D0">
        <w:rPr>
          <w:rFonts w:asciiTheme="majorHAnsi" w:hAnsiTheme="majorHAnsi"/>
          <w:bCs/>
          <w:color w:val="000000" w:themeColor="text1"/>
          <w:sz w:val="20"/>
          <w:szCs w:val="20"/>
          <w:lang w:val="es-ES"/>
        </w:rPr>
        <w:t xml:space="preserve">por su actuación en lo que concierne a las </w:t>
      </w:r>
      <w:r w:rsidR="00372008" w:rsidRPr="004768D0">
        <w:rPr>
          <w:rFonts w:asciiTheme="majorHAnsi" w:hAnsiTheme="majorHAnsi"/>
          <w:bCs/>
          <w:color w:val="000000" w:themeColor="text1"/>
          <w:sz w:val="20"/>
          <w:szCs w:val="20"/>
          <w:lang w:val="es-ES"/>
        </w:rPr>
        <w:t>muerte</w:t>
      </w:r>
      <w:r w:rsidR="00FE5F5D" w:rsidRPr="004768D0">
        <w:rPr>
          <w:rFonts w:asciiTheme="majorHAnsi" w:hAnsiTheme="majorHAnsi"/>
          <w:bCs/>
          <w:color w:val="000000" w:themeColor="text1"/>
          <w:sz w:val="20"/>
          <w:szCs w:val="20"/>
          <w:lang w:val="es-ES"/>
        </w:rPr>
        <w:t>s</w:t>
      </w:r>
      <w:r w:rsidR="00372008" w:rsidRPr="004768D0">
        <w:rPr>
          <w:rFonts w:asciiTheme="majorHAnsi" w:hAnsiTheme="majorHAnsi"/>
          <w:bCs/>
          <w:color w:val="000000" w:themeColor="text1"/>
          <w:sz w:val="20"/>
          <w:szCs w:val="20"/>
          <w:lang w:val="es-ES"/>
        </w:rPr>
        <w:t xml:space="preserve"> </w:t>
      </w:r>
      <w:r w:rsidR="00FE5F5D" w:rsidRPr="004768D0">
        <w:rPr>
          <w:rFonts w:asciiTheme="majorHAnsi" w:hAnsiTheme="majorHAnsi"/>
          <w:bCs/>
          <w:color w:val="000000" w:themeColor="text1"/>
          <w:sz w:val="20"/>
          <w:szCs w:val="20"/>
          <w:lang w:val="es-ES"/>
        </w:rPr>
        <w:t xml:space="preserve">resultantes de </w:t>
      </w:r>
      <w:r w:rsidR="00E757F9" w:rsidRPr="004768D0">
        <w:rPr>
          <w:rFonts w:asciiTheme="majorHAnsi" w:hAnsiTheme="majorHAnsi"/>
          <w:bCs/>
          <w:color w:val="000000" w:themeColor="text1"/>
          <w:sz w:val="20"/>
          <w:szCs w:val="20"/>
          <w:lang w:val="es-ES"/>
        </w:rPr>
        <w:t>interven</w:t>
      </w:r>
      <w:r w:rsidR="00FE5F5D" w:rsidRPr="004768D0">
        <w:rPr>
          <w:rFonts w:asciiTheme="majorHAnsi" w:hAnsiTheme="majorHAnsi"/>
          <w:bCs/>
          <w:color w:val="000000" w:themeColor="text1"/>
          <w:sz w:val="20"/>
          <w:szCs w:val="20"/>
          <w:lang w:val="es-ES"/>
        </w:rPr>
        <w:t xml:space="preserve">ción </w:t>
      </w:r>
      <w:r w:rsidR="00E757F9" w:rsidRPr="004768D0">
        <w:rPr>
          <w:rFonts w:asciiTheme="majorHAnsi" w:hAnsiTheme="majorHAnsi"/>
          <w:bCs/>
          <w:color w:val="000000" w:themeColor="text1"/>
          <w:sz w:val="20"/>
          <w:szCs w:val="20"/>
          <w:lang w:val="es-ES"/>
        </w:rPr>
        <w:t>policial</w:t>
      </w:r>
      <w:r w:rsidR="00FE5F5D" w:rsidRPr="004768D0">
        <w:rPr>
          <w:rFonts w:asciiTheme="majorHAnsi" w:hAnsiTheme="majorHAnsi"/>
          <w:bCs/>
          <w:color w:val="000000" w:themeColor="text1"/>
          <w:sz w:val="20"/>
          <w:szCs w:val="20"/>
          <w:lang w:val="es-ES"/>
        </w:rPr>
        <w:t xml:space="preserve"> y por el flujo y la </w:t>
      </w:r>
      <w:r w:rsidR="00E757F9" w:rsidRPr="004768D0">
        <w:rPr>
          <w:rFonts w:asciiTheme="majorHAnsi" w:hAnsiTheme="majorHAnsi"/>
          <w:bCs/>
          <w:color w:val="000000" w:themeColor="text1"/>
          <w:sz w:val="20"/>
          <w:szCs w:val="20"/>
          <w:lang w:val="es-ES"/>
        </w:rPr>
        <w:t>centraliza</w:t>
      </w:r>
      <w:r w:rsidR="00FE5F5D" w:rsidRPr="004768D0">
        <w:rPr>
          <w:rFonts w:asciiTheme="majorHAnsi" w:hAnsiTheme="majorHAnsi"/>
          <w:bCs/>
          <w:color w:val="000000" w:themeColor="text1"/>
          <w:sz w:val="20"/>
          <w:szCs w:val="20"/>
          <w:lang w:val="es-ES"/>
        </w:rPr>
        <w:t>ción de la información al respecto</w:t>
      </w:r>
      <w:r w:rsidR="00E757F9" w:rsidRPr="004768D0">
        <w:rPr>
          <w:rFonts w:asciiTheme="majorHAnsi" w:hAnsiTheme="majorHAnsi"/>
          <w:bCs/>
          <w:color w:val="000000" w:themeColor="text1"/>
          <w:sz w:val="20"/>
          <w:szCs w:val="20"/>
          <w:lang w:val="es-ES"/>
        </w:rPr>
        <w:t xml:space="preserve">. </w:t>
      </w:r>
      <w:r w:rsidR="00FE5F5D" w:rsidRPr="004768D0">
        <w:rPr>
          <w:rFonts w:asciiTheme="majorHAnsi" w:hAnsiTheme="majorHAnsi"/>
          <w:bCs/>
          <w:color w:val="000000" w:themeColor="text1"/>
          <w:sz w:val="20"/>
          <w:szCs w:val="20"/>
          <w:lang w:val="es-ES"/>
        </w:rPr>
        <w:t xml:space="preserve">Según el Estado, se creó asimismo el </w:t>
      </w:r>
      <w:r w:rsidR="00E757F9" w:rsidRPr="004768D0">
        <w:rPr>
          <w:rFonts w:asciiTheme="majorHAnsi" w:hAnsiTheme="majorHAnsi"/>
          <w:bCs/>
          <w:color w:val="000000" w:themeColor="text1"/>
          <w:sz w:val="20"/>
          <w:szCs w:val="20"/>
          <w:lang w:val="es-ES"/>
        </w:rPr>
        <w:t>Grupo de A</w:t>
      </w:r>
      <w:r w:rsidR="00FE5F5D" w:rsidRPr="004768D0">
        <w:rPr>
          <w:rFonts w:asciiTheme="majorHAnsi" w:hAnsiTheme="majorHAnsi"/>
          <w:bCs/>
          <w:color w:val="000000" w:themeColor="text1"/>
          <w:sz w:val="20"/>
          <w:szCs w:val="20"/>
          <w:lang w:val="es-ES"/>
        </w:rPr>
        <w:t>c</w:t>
      </w:r>
      <w:r w:rsidR="00E757F9" w:rsidRPr="004768D0">
        <w:rPr>
          <w:rFonts w:asciiTheme="majorHAnsi" w:hAnsiTheme="majorHAnsi"/>
          <w:bCs/>
          <w:color w:val="000000" w:themeColor="text1"/>
          <w:sz w:val="20"/>
          <w:szCs w:val="20"/>
          <w:lang w:val="es-ES"/>
        </w:rPr>
        <w:t>tua</w:t>
      </w:r>
      <w:r w:rsidR="00FE5F5D" w:rsidRPr="004768D0">
        <w:rPr>
          <w:rFonts w:asciiTheme="majorHAnsi" w:hAnsiTheme="majorHAnsi"/>
          <w:bCs/>
          <w:color w:val="000000" w:themeColor="text1"/>
          <w:sz w:val="20"/>
          <w:szCs w:val="20"/>
          <w:lang w:val="es-ES"/>
        </w:rPr>
        <w:t>ción</w:t>
      </w:r>
      <w:r w:rsidR="00E757F9" w:rsidRPr="004768D0">
        <w:rPr>
          <w:rFonts w:asciiTheme="majorHAnsi" w:hAnsiTheme="majorHAnsi"/>
          <w:bCs/>
          <w:color w:val="000000" w:themeColor="text1"/>
          <w:sz w:val="20"/>
          <w:szCs w:val="20"/>
          <w:lang w:val="es-ES"/>
        </w:rPr>
        <w:t xml:space="preserve"> Especial de Control Externo d</w:t>
      </w:r>
      <w:r w:rsidR="00FE5F5D" w:rsidRPr="004768D0">
        <w:rPr>
          <w:rFonts w:asciiTheme="majorHAnsi" w:hAnsiTheme="majorHAnsi"/>
          <w:bCs/>
          <w:color w:val="000000" w:themeColor="text1"/>
          <w:sz w:val="20"/>
          <w:szCs w:val="20"/>
          <w:lang w:val="es-ES"/>
        </w:rPr>
        <w:t>e l</w:t>
      </w:r>
      <w:r w:rsidR="00E757F9" w:rsidRPr="004768D0">
        <w:rPr>
          <w:rFonts w:asciiTheme="majorHAnsi" w:hAnsiTheme="majorHAnsi"/>
          <w:bCs/>
          <w:color w:val="000000" w:themeColor="text1"/>
          <w:sz w:val="20"/>
          <w:szCs w:val="20"/>
          <w:lang w:val="es-ES"/>
        </w:rPr>
        <w:t>a A</w:t>
      </w:r>
      <w:r w:rsidR="00FE5F5D" w:rsidRPr="004768D0">
        <w:rPr>
          <w:rFonts w:asciiTheme="majorHAnsi" w:hAnsiTheme="majorHAnsi"/>
          <w:bCs/>
          <w:color w:val="000000" w:themeColor="text1"/>
          <w:sz w:val="20"/>
          <w:szCs w:val="20"/>
          <w:lang w:val="es-ES"/>
        </w:rPr>
        <w:t>c</w:t>
      </w:r>
      <w:r w:rsidR="00E757F9" w:rsidRPr="004768D0">
        <w:rPr>
          <w:rFonts w:asciiTheme="majorHAnsi" w:hAnsiTheme="majorHAnsi"/>
          <w:bCs/>
          <w:color w:val="000000" w:themeColor="text1"/>
          <w:sz w:val="20"/>
          <w:szCs w:val="20"/>
          <w:lang w:val="es-ES"/>
        </w:rPr>
        <w:t>tividad Policial (GECEP) por me</w:t>
      </w:r>
      <w:r w:rsidR="00FE5F5D" w:rsidRPr="004768D0">
        <w:rPr>
          <w:rFonts w:asciiTheme="majorHAnsi" w:hAnsiTheme="majorHAnsi"/>
          <w:bCs/>
          <w:color w:val="000000" w:themeColor="text1"/>
          <w:sz w:val="20"/>
          <w:szCs w:val="20"/>
          <w:lang w:val="es-ES"/>
        </w:rPr>
        <w:t>d</w:t>
      </w:r>
      <w:r w:rsidR="00E757F9" w:rsidRPr="004768D0">
        <w:rPr>
          <w:rFonts w:asciiTheme="majorHAnsi" w:hAnsiTheme="majorHAnsi"/>
          <w:bCs/>
          <w:color w:val="000000" w:themeColor="text1"/>
          <w:sz w:val="20"/>
          <w:szCs w:val="20"/>
          <w:lang w:val="es-ES"/>
        </w:rPr>
        <w:t>io d</w:t>
      </w:r>
      <w:r w:rsidR="00FE5F5D" w:rsidRPr="004768D0">
        <w:rPr>
          <w:rFonts w:asciiTheme="majorHAnsi" w:hAnsiTheme="majorHAnsi"/>
          <w:bCs/>
          <w:color w:val="000000" w:themeColor="text1"/>
          <w:sz w:val="20"/>
          <w:szCs w:val="20"/>
          <w:lang w:val="es-ES"/>
        </w:rPr>
        <w:t>el</w:t>
      </w:r>
      <w:r w:rsidR="00E757F9" w:rsidRPr="004768D0">
        <w:rPr>
          <w:rFonts w:asciiTheme="majorHAnsi" w:hAnsiTheme="majorHAnsi"/>
          <w:bCs/>
          <w:color w:val="000000" w:themeColor="text1"/>
          <w:sz w:val="20"/>
          <w:szCs w:val="20"/>
          <w:lang w:val="es-ES"/>
        </w:rPr>
        <w:t xml:space="preserve"> A</w:t>
      </w:r>
      <w:r w:rsidR="00FE5F5D" w:rsidRPr="004768D0">
        <w:rPr>
          <w:rFonts w:asciiTheme="majorHAnsi" w:hAnsiTheme="majorHAnsi"/>
          <w:bCs/>
          <w:color w:val="000000" w:themeColor="text1"/>
          <w:sz w:val="20"/>
          <w:szCs w:val="20"/>
          <w:lang w:val="es-ES"/>
        </w:rPr>
        <w:t>c</w:t>
      </w:r>
      <w:r w:rsidR="00E757F9" w:rsidRPr="004768D0">
        <w:rPr>
          <w:rFonts w:asciiTheme="majorHAnsi" w:hAnsiTheme="majorHAnsi"/>
          <w:bCs/>
          <w:color w:val="000000" w:themeColor="text1"/>
          <w:sz w:val="20"/>
          <w:szCs w:val="20"/>
          <w:lang w:val="es-ES"/>
        </w:rPr>
        <w:t xml:space="preserve">to Normativo </w:t>
      </w:r>
      <w:proofErr w:type="spellStart"/>
      <w:r w:rsidR="00FE5F5D" w:rsidRPr="004768D0">
        <w:rPr>
          <w:rFonts w:asciiTheme="majorHAnsi" w:hAnsiTheme="majorHAnsi"/>
          <w:bCs/>
          <w:color w:val="000000" w:themeColor="text1"/>
          <w:sz w:val="20"/>
          <w:szCs w:val="20"/>
          <w:lang w:val="es-ES"/>
        </w:rPr>
        <w:t>N.</w:t>
      </w:r>
      <w:r w:rsidR="00FE5F5D" w:rsidRPr="004768D0">
        <w:rPr>
          <w:rFonts w:asciiTheme="majorHAnsi" w:hAnsiTheme="majorHAnsi"/>
          <w:bCs/>
          <w:color w:val="000000" w:themeColor="text1"/>
          <w:sz w:val="20"/>
          <w:szCs w:val="20"/>
          <w:vertAlign w:val="superscript"/>
          <w:lang w:val="es-ES"/>
        </w:rPr>
        <w:t>o</w:t>
      </w:r>
      <w:proofErr w:type="spellEnd"/>
      <w:r w:rsidR="00E757F9" w:rsidRPr="004768D0">
        <w:rPr>
          <w:rFonts w:asciiTheme="majorHAnsi" w:hAnsiTheme="majorHAnsi"/>
          <w:bCs/>
          <w:color w:val="000000" w:themeColor="text1"/>
          <w:sz w:val="20"/>
          <w:szCs w:val="20"/>
          <w:lang w:val="es-ES"/>
        </w:rPr>
        <w:t xml:space="preserve"> 650 de</w:t>
      </w:r>
      <w:r w:rsidR="00FE5F5D"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 18 de </w:t>
      </w:r>
      <w:r w:rsidR="00346878" w:rsidRPr="004768D0">
        <w:rPr>
          <w:rFonts w:asciiTheme="majorHAnsi" w:hAnsiTheme="majorHAnsi"/>
          <w:bCs/>
          <w:color w:val="000000" w:themeColor="text1"/>
          <w:sz w:val="20"/>
          <w:szCs w:val="20"/>
          <w:lang w:val="es-ES"/>
        </w:rPr>
        <w:t>junio</w:t>
      </w:r>
      <w:r w:rsidR="00E757F9" w:rsidRPr="004768D0">
        <w:rPr>
          <w:rFonts w:asciiTheme="majorHAnsi" w:hAnsiTheme="majorHAnsi"/>
          <w:bCs/>
          <w:color w:val="000000" w:themeColor="text1"/>
          <w:sz w:val="20"/>
          <w:szCs w:val="20"/>
          <w:lang w:val="es-ES"/>
        </w:rPr>
        <w:t xml:space="preserve"> de 2010, </w:t>
      </w:r>
      <w:r w:rsidR="00FE5F5D" w:rsidRPr="004768D0">
        <w:rPr>
          <w:rFonts w:asciiTheme="majorHAnsi" w:hAnsiTheme="majorHAnsi"/>
          <w:bCs/>
          <w:color w:val="000000" w:themeColor="text1"/>
          <w:sz w:val="20"/>
          <w:szCs w:val="20"/>
          <w:lang w:val="es-ES"/>
        </w:rPr>
        <w:t xml:space="preserve">con el fin de </w:t>
      </w:r>
      <w:r w:rsidR="00E757F9" w:rsidRPr="004768D0">
        <w:rPr>
          <w:rFonts w:asciiTheme="majorHAnsi" w:hAnsiTheme="majorHAnsi"/>
          <w:bCs/>
          <w:color w:val="000000" w:themeColor="text1"/>
          <w:sz w:val="20"/>
          <w:szCs w:val="20"/>
          <w:lang w:val="es-ES"/>
        </w:rPr>
        <w:t xml:space="preserve">promover </w:t>
      </w:r>
      <w:r w:rsidR="00FE5F5D" w:rsidRPr="004768D0">
        <w:rPr>
          <w:rFonts w:asciiTheme="majorHAnsi" w:hAnsiTheme="majorHAnsi"/>
          <w:bCs/>
          <w:color w:val="000000" w:themeColor="text1"/>
          <w:sz w:val="20"/>
          <w:szCs w:val="20"/>
          <w:lang w:val="es-ES"/>
        </w:rPr>
        <w:t xml:space="preserve">la atención al </w:t>
      </w:r>
      <w:r w:rsidR="00E757F9" w:rsidRPr="004768D0">
        <w:rPr>
          <w:rFonts w:asciiTheme="majorHAnsi" w:hAnsiTheme="majorHAnsi"/>
          <w:bCs/>
          <w:color w:val="000000" w:themeColor="text1"/>
          <w:sz w:val="20"/>
          <w:szCs w:val="20"/>
          <w:lang w:val="es-ES"/>
        </w:rPr>
        <w:t xml:space="preserve">público </w:t>
      </w:r>
      <w:r w:rsidR="00FE5F5D" w:rsidRPr="004768D0">
        <w:rPr>
          <w:rFonts w:asciiTheme="majorHAnsi" w:hAnsiTheme="majorHAnsi"/>
          <w:bCs/>
          <w:color w:val="000000" w:themeColor="text1"/>
          <w:sz w:val="20"/>
          <w:szCs w:val="20"/>
          <w:lang w:val="es-ES"/>
        </w:rPr>
        <w:t>y la recepción de quejas o pedidos de p</w:t>
      </w:r>
      <w:r w:rsidR="00246A29" w:rsidRPr="004768D0">
        <w:rPr>
          <w:rFonts w:asciiTheme="majorHAnsi" w:hAnsiTheme="majorHAnsi"/>
          <w:bCs/>
          <w:color w:val="000000" w:themeColor="text1"/>
          <w:sz w:val="20"/>
          <w:szCs w:val="20"/>
          <w:lang w:val="es-ES"/>
        </w:rPr>
        <w:t>ersona</w:t>
      </w:r>
      <w:r w:rsidR="00FE5F5D" w:rsidRPr="004768D0">
        <w:rPr>
          <w:rFonts w:asciiTheme="majorHAnsi" w:hAnsiTheme="majorHAnsi"/>
          <w:bCs/>
          <w:color w:val="000000" w:themeColor="text1"/>
          <w:sz w:val="20"/>
          <w:szCs w:val="20"/>
          <w:lang w:val="es-ES"/>
        </w:rPr>
        <w:t>s</w:t>
      </w:r>
      <w:r w:rsidR="00E757F9" w:rsidRPr="004768D0">
        <w:rPr>
          <w:rFonts w:asciiTheme="majorHAnsi" w:hAnsiTheme="majorHAnsi"/>
          <w:bCs/>
          <w:color w:val="000000" w:themeColor="text1"/>
          <w:sz w:val="20"/>
          <w:szCs w:val="20"/>
          <w:lang w:val="es-ES"/>
        </w:rPr>
        <w:t xml:space="preserve"> o entidade</w:t>
      </w:r>
      <w:r w:rsidR="00FE5F5D" w:rsidRPr="004768D0">
        <w:rPr>
          <w:rFonts w:asciiTheme="majorHAnsi" w:hAnsiTheme="majorHAnsi"/>
          <w:bCs/>
          <w:color w:val="000000" w:themeColor="text1"/>
          <w:sz w:val="20"/>
          <w:szCs w:val="20"/>
          <w:lang w:val="es-ES"/>
        </w:rPr>
        <w:t>s</w:t>
      </w:r>
      <w:r w:rsidR="00E757F9" w:rsidRPr="004768D0">
        <w:rPr>
          <w:rFonts w:asciiTheme="majorHAnsi" w:hAnsiTheme="majorHAnsi"/>
          <w:bCs/>
          <w:color w:val="000000" w:themeColor="text1"/>
          <w:sz w:val="20"/>
          <w:szCs w:val="20"/>
          <w:lang w:val="es-ES"/>
        </w:rPr>
        <w:t xml:space="preserve"> relacionad</w:t>
      </w:r>
      <w:r w:rsidR="00FE5F5D" w:rsidRPr="004768D0">
        <w:rPr>
          <w:rFonts w:asciiTheme="majorHAnsi" w:hAnsiTheme="majorHAnsi"/>
          <w:bCs/>
          <w:color w:val="000000" w:themeColor="text1"/>
          <w:sz w:val="20"/>
          <w:szCs w:val="20"/>
          <w:lang w:val="es-ES"/>
        </w:rPr>
        <w:t xml:space="preserve">os con </w:t>
      </w:r>
      <w:r w:rsidR="00E757F9" w:rsidRPr="004768D0">
        <w:rPr>
          <w:rFonts w:asciiTheme="majorHAnsi" w:hAnsiTheme="majorHAnsi"/>
          <w:bCs/>
          <w:color w:val="000000" w:themeColor="text1"/>
          <w:sz w:val="20"/>
          <w:szCs w:val="20"/>
          <w:lang w:val="es-ES"/>
        </w:rPr>
        <w:t>irregularidades o infra</w:t>
      </w:r>
      <w:r w:rsidR="00FE5F5D" w:rsidRPr="004768D0">
        <w:rPr>
          <w:rFonts w:asciiTheme="majorHAnsi" w:hAnsiTheme="majorHAnsi"/>
          <w:bCs/>
          <w:color w:val="000000" w:themeColor="text1"/>
          <w:sz w:val="20"/>
          <w:szCs w:val="20"/>
          <w:lang w:val="es-ES"/>
        </w:rPr>
        <w:t xml:space="preserve">cciones penales cometidas </w:t>
      </w:r>
      <w:r w:rsidR="00E757F9" w:rsidRPr="004768D0">
        <w:rPr>
          <w:rFonts w:asciiTheme="majorHAnsi" w:hAnsiTheme="majorHAnsi"/>
          <w:bCs/>
          <w:color w:val="000000" w:themeColor="text1"/>
          <w:sz w:val="20"/>
          <w:szCs w:val="20"/>
          <w:lang w:val="es-ES"/>
        </w:rPr>
        <w:t xml:space="preserve">por </w:t>
      </w:r>
      <w:r w:rsidRPr="004768D0">
        <w:rPr>
          <w:rFonts w:asciiTheme="majorHAnsi" w:hAnsiTheme="majorHAnsi"/>
          <w:bCs/>
          <w:color w:val="000000" w:themeColor="text1"/>
          <w:sz w:val="20"/>
          <w:szCs w:val="20"/>
          <w:lang w:val="es-ES"/>
        </w:rPr>
        <w:t>órganos policiales</w:t>
      </w:r>
      <w:r w:rsidR="00E757F9" w:rsidRPr="004768D0">
        <w:rPr>
          <w:rFonts w:asciiTheme="majorHAnsi" w:hAnsiTheme="majorHAnsi"/>
          <w:bCs/>
          <w:color w:val="000000" w:themeColor="text1"/>
          <w:sz w:val="20"/>
          <w:szCs w:val="20"/>
          <w:lang w:val="es-ES"/>
        </w:rPr>
        <w:t xml:space="preserve"> </w:t>
      </w:r>
      <w:r w:rsidR="00FE5F5D" w:rsidRPr="004768D0">
        <w:rPr>
          <w:rFonts w:asciiTheme="majorHAnsi" w:hAnsiTheme="majorHAnsi"/>
          <w:bCs/>
          <w:color w:val="000000" w:themeColor="text1"/>
          <w:sz w:val="20"/>
          <w:szCs w:val="20"/>
          <w:lang w:val="es-ES"/>
        </w:rPr>
        <w:t>e</w:t>
      </w:r>
      <w:r w:rsidR="00E757F9" w:rsidRPr="004768D0">
        <w:rPr>
          <w:rFonts w:asciiTheme="majorHAnsi" w:hAnsiTheme="majorHAnsi"/>
          <w:bCs/>
          <w:color w:val="000000" w:themeColor="text1"/>
          <w:sz w:val="20"/>
          <w:szCs w:val="20"/>
          <w:lang w:val="es-ES"/>
        </w:rPr>
        <w:t>n</w:t>
      </w:r>
      <w:r w:rsidR="00FE5F5D" w:rsidRPr="004768D0">
        <w:rPr>
          <w:rFonts w:asciiTheme="majorHAnsi" w:hAnsiTheme="majorHAnsi"/>
          <w:bCs/>
          <w:color w:val="000000" w:themeColor="text1"/>
          <w:sz w:val="20"/>
          <w:szCs w:val="20"/>
          <w:lang w:val="es-ES"/>
        </w:rPr>
        <w:t xml:space="preserve"> el desempeño </w:t>
      </w:r>
      <w:r w:rsidR="00E757F9" w:rsidRPr="004768D0">
        <w:rPr>
          <w:rFonts w:asciiTheme="majorHAnsi" w:hAnsiTheme="majorHAnsi"/>
          <w:bCs/>
          <w:color w:val="000000" w:themeColor="text1"/>
          <w:sz w:val="20"/>
          <w:szCs w:val="20"/>
          <w:lang w:val="es-ES"/>
        </w:rPr>
        <w:t xml:space="preserve">de </w:t>
      </w:r>
      <w:r w:rsidR="00FE5F5D" w:rsidRPr="004768D0">
        <w:rPr>
          <w:rFonts w:asciiTheme="majorHAnsi" w:hAnsiTheme="majorHAnsi"/>
          <w:bCs/>
          <w:color w:val="000000" w:themeColor="text1"/>
          <w:sz w:val="20"/>
          <w:szCs w:val="20"/>
          <w:lang w:val="es-ES"/>
        </w:rPr>
        <w:t>sus</w:t>
      </w:r>
      <w:r w:rsidR="00E757F9" w:rsidRPr="004768D0">
        <w:rPr>
          <w:rFonts w:asciiTheme="majorHAnsi" w:hAnsiTheme="majorHAnsi"/>
          <w:bCs/>
          <w:color w:val="000000" w:themeColor="text1"/>
          <w:sz w:val="20"/>
          <w:szCs w:val="20"/>
          <w:lang w:val="es-ES"/>
        </w:rPr>
        <w:t xml:space="preserve"> fun</w:t>
      </w:r>
      <w:r w:rsidR="00FE5F5D" w:rsidRPr="004768D0">
        <w:rPr>
          <w:rFonts w:asciiTheme="majorHAnsi" w:hAnsiTheme="majorHAnsi"/>
          <w:bCs/>
          <w:color w:val="000000" w:themeColor="text1"/>
          <w:sz w:val="20"/>
          <w:szCs w:val="20"/>
          <w:lang w:val="es-ES"/>
        </w:rPr>
        <w:t>cion</w:t>
      </w:r>
      <w:r w:rsidR="00E757F9" w:rsidRPr="004768D0">
        <w:rPr>
          <w:rFonts w:asciiTheme="majorHAnsi" w:hAnsiTheme="majorHAnsi"/>
          <w:bCs/>
          <w:color w:val="000000" w:themeColor="text1"/>
          <w:sz w:val="20"/>
          <w:szCs w:val="20"/>
          <w:lang w:val="es-ES"/>
        </w:rPr>
        <w:t xml:space="preserve">es. </w:t>
      </w:r>
      <w:r w:rsidR="00FE5F5D" w:rsidRPr="004768D0">
        <w:rPr>
          <w:rFonts w:asciiTheme="majorHAnsi" w:hAnsiTheme="majorHAnsi"/>
          <w:bCs/>
          <w:color w:val="000000" w:themeColor="text1"/>
          <w:sz w:val="20"/>
          <w:szCs w:val="20"/>
          <w:lang w:val="es-ES"/>
        </w:rPr>
        <w:t xml:space="preserve">El </w:t>
      </w:r>
      <w:r w:rsidR="00E757F9" w:rsidRPr="004768D0">
        <w:rPr>
          <w:rFonts w:asciiTheme="majorHAnsi" w:hAnsiTheme="majorHAnsi"/>
          <w:bCs/>
          <w:color w:val="000000" w:themeColor="text1"/>
          <w:sz w:val="20"/>
          <w:szCs w:val="20"/>
          <w:lang w:val="es-ES"/>
        </w:rPr>
        <w:t xml:space="preserve">GECEP </w:t>
      </w:r>
      <w:r w:rsidR="004744F0" w:rsidRPr="004768D0">
        <w:rPr>
          <w:rFonts w:asciiTheme="majorHAnsi" w:hAnsiTheme="majorHAnsi"/>
          <w:bCs/>
          <w:color w:val="000000" w:themeColor="text1"/>
          <w:sz w:val="20"/>
          <w:szCs w:val="20"/>
          <w:lang w:val="es-ES"/>
        </w:rPr>
        <w:t>“</w:t>
      </w:r>
      <w:r w:rsidR="00E757F9" w:rsidRPr="004768D0">
        <w:rPr>
          <w:rFonts w:asciiTheme="majorHAnsi" w:hAnsiTheme="majorHAnsi"/>
          <w:bCs/>
          <w:color w:val="000000" w:themeColor="text1"/>
          <w:sz w:val="20"/>
          <w:szCs w:val="20"/>
          <w:lang w:val="es-ES"/>
        </w:rPr>
        <w:t>in</w:t>
      </w:r>
      <w:r w:rsidR="002B3EC6">
        <w:rPr>
          <w:rFonts w:asciiTheme="majorHAnsi" w:hAnsiTheme="majorHAnsi"/>
          <w:bCs/>
          <w:color w:val="000000" w:themeColor="text1"/>
          <w:sz w:val="20"/>
          <w:szCs w:val="20"/>
          <w:lang w:val="es-ES"/>
        </w:rPr>
        <w:t>ició</w:t>
      </w:r>
      <w:r w:rsidR="00FE5F5D" w:rsidRPr="004768D0">
        <w:rPr>
          <w:rFonts w:asciiTheme="majorHAnsi" w:hAnsiTheme="majorHAnsi"/>
          <w:bCs/>
          <w:color w:val="000000" w:themeColor="text1"/>
          <w:sz w:val="20"/>
          <w:szCs w:val="20"/>
          <w:lang w:val="es-ES"/>
        </w:rPr>
        <w:t xml:space="preserve"> y llevó a cabo un </w:t>
      </w:r>
      <w:r w:rsidR="00712D2E" w:rsidRPr="004768D0">
        <w:rPr>
          <w:rFonts w:asciiTheme="majorHAnsi" w:hAnsiTheme="majorHAnsi"/>
          <w:bCs/>
          <w:color w:val="000000" w:themeColor="text1"/>
          <w:sz w:val="20"/>
          <w:szCs w:val="20"/>
          <w:lang w:val="es-ES"/>
        </w:rPr>
        <w:t>procedimiento</w:t>
      </w:r>
      <w:r w:rsidR="00E757F9" w:rsidRPr="004768D0">
        <w:rPr>
          <w:rFonts w:asciiTheme="majorHAnsi" w:hAnsiTheme="majorHAnsi"/>
          <w:bCs/>
          <w:color w:val="000000" w:themeColor="text1"/>
          <w:sz w:val="20"/>
          <w:szCs w:val="20"/>
          <w:lang w:val="es-ES"/>
        </w:rPr>
        <w:t xml:space="preserve"> administrativo </w:t>
      </w:r>
      <w:r w:rsidR="00FE5F5D" w:rsidRPr="004768D0">
        <w:rPr>
          <w:rFonts w:asciiTheme="majorHAnsi" w:hAnsiTheme="majorHAnsi"/>
          <w:bCs/>
          <w:color w:val="000000" w:themeColor="text1"/>
          <w:sz w:val="20"/>
          <w:szCs w:val="20"/>
          <w:lang w:val="es-ES"/>
        </w:rPr>
        <w:t>preparatorio</w:t>
      </w:r>
      <w:r w:rsidR="00E757F9" w:rsidRPr="004768D0">
        <w:rPr>
          <w:rFonts w:asciiTheme="majorHAnsi" w:hAnsiTheme="majorHAnsi"/>
          <w:bCs/>
          <w:color w:val="000000" w:themeColor="text1"/>
          <w:sz w:val="20"/>
          <w:szCs w:val="20"/>
          <w:lang w:val="es-ES"/>
        </w:rPr>
        <w:t xml:space="preserve"> </w:t>
      </w:r>
      <w:r w:rsidR="00FE5F5D" w:rsidRPr="004768D0">
        <w:rPr>
          <w:rFonts w:asciiTheme="majorHAnsi" w:hAnsiTheme="majorHAnsi"/>
          <w:bCs/>
          <w:color w:val="000000" w:themeColor="text1"/>
          <w:sz w:val="20"/>
          <w:szCs w:val="20"/>
          <w:lang w:val="es-ES"/>
        </w:rPr>
        <w:t>con</w:t>
      </w:r>
      <w:r w:rsidR="00E757F9" w:rsidRPr="004768D0">
        <w:rPr>
          <w:rFonts w:asciiTheme="majorHAnsi" w:hAnsiTheme="majorHAnsi"/>
          <w:bCs/>
          <w:color w:val="000000" w:themeColor="text1"/>
          <w:sz w:val="20"/>
          <w:szCs w:val="20"/>
          <w:lang w:val="es-ES"/>
        </w:rPr>
        <w:t xml:space="preserve"> </w:t>
      </w:r>
      <w:r w:rsidR="00FE5F5D"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a finalidad de </w:t>
      </w:r>
      <w:r w:rsidR="00FE5F5D" w:rsidRPr="004768D0">
        <w:rPr>
          <w:rFonts w:asciiTheme="majorHAnsi" w:hAnsiTheme="majorHAnsi"/>
          <w:bCs/>
          <w:color w:val="000000" w:themeColor="text1"/>
          <w:sz w:val="20"/>
          <w:szCs w:val="20"/>
          <w:lang w:val="es-ES"/>
        </w:rPr>
        <w:t xml:space="preserve">investigar </w:t>
      </w:r>
      <w:r w:rsidR="002B3EC6">
        <w:rPr>
          <w:rFonts w:asciiTheme="majorHAnsi" w:hAnsiTheme="majorHAnsi"/>
          <w:bCs/>
          <w:color w:val="000000" w:themeColor="text1"/>
          <w:sz w:val="20"/>
          <w:szCs w:val="20"/>
          <w:lang w:val="es-ES"/>
        </w:rPr>
        <w:t>posibles</w:t>
      </w:r>
      <w:r w:rsidR="00E757F9" w:rsidRPr="004768D0">
        <w:rPr>
          <w:rFonts w:asciiTheme="majorHAnsi" w:hAnsiTheme="majorHAnsi"/>
          <w:bCs/>
          <w:color w:val="000000" w:themeColor="text1"/>
          <w:sz w:val="20"/>
          <w:szCs w:val="20"/>
          <w:lang w:val="es-ES"/>
        </w:rPr>
        <w:t xml:space="preserve"> abusos de poder cometidos por </w:t>
      </w:r>
      <w:r w:rsidR="00FE5F5D" w:rsidRPr="004768D0">
        <w:rPr>
          <w:rFonts w:asciiTheme="majorHAnsi" w:hAnsiTheme="majorHAnsi"/>
          <w:bCs/>
          <w:color w:val="000000" w:themeColor="text1"/>
          <w:sz w:val="20"/>
          <w:szCs w:val="20"/>
          <w:lang w:val="es-ES"/>
        </w:rPr>
        <w:t>agentes de la policía civil o militar</w:t>
      </w:r>
      <w:r w:rsidR="00E757F9" w:rsidRPr="004768D0">
        <w:rPr>
          <w:rFonts w:asciiTheme="majorHAnsi" w:hAnsiTheme="majorHAnsi"/>
          <w:bCs/>
          <w:color w:val="000000" w:themeColor="text1"/>
          <w:sz w:val="20"/>
          <w:szCs w:val="20"/>
          <w:lang w:val="es-ES"/>
        </w:rPr>
        <w:t xml:space="preserve"> entre </w:t>
      </w:r>
      <w:r w:rsidR="00FE5F5D" w:rsidRPr="004768D0">
        <w:rPr>
          <w:rFonts w:asciiTheme="majorHAnsi" w:hAnsiTheme="majorHAnsi"/>
          <w:bCs/>
          <w:color w:val="000000" w:themeColor="text1"/>
          <w:sz w:val="20"/>
          <w:szCs w:val="20"/>
          <w:lang w:val="es-ES"/>
        </w:rPr>
        <w:t>l</w:t>
      </w:r>
      <w:r w:rsidR="00E757F9" w:rsidRPr="004768D0">
        <w:rPr>
          <w:rFonts w:asciiTheme="majorHAnsi" w:hAnsiTheme="majorHAnsi"/>
          <w:bCs/>
          <w:color w:val="000000" w:themeColor="text1"/>
          <w:sz w:val="20"/>
          <w:szCs w:val="20"/>
          <w:lang w:val="es-ES"/>
        </w:rPr>
        <w:t xml:space="preserve">os </w:t>
      </w:r>
      <w:r w:rsidR="00B9588A" w:rsidRPr="004768D0">
        <w:rPr>
          <w:rFonts w:asciiTheme="majorHAnsi" w:hAnsiTheme="majorHAnsi"/>
          <w:bCs/>
          <w:color w:val="000000" w:themeColor="text1"/>
          <w:sz w:val="20"/>
          <w:szCs w:val="20"/>
          <w:lang w:val="es-ES"/>
        </w:rPr>
        <w:t>días</w:t>
      </w:r>
      <w:r w:rsidR="00E757F9" w:rsidRPr="004768D0">
        <w:rPr>
          <w:rFonts w:asciiTheme="majorHAnsi" w:hAnsiTheme="majorHAnsi"/>
          <w:bCs/>
          <w:color w:val="000000" w:themeColor="text1"/>
          <w:sz w:val="20"/>
          <w:szCs w:val="20"/>
          <w:lang w:val="es-ES"/>
        </w:rPr>
        <w:t xml:space="preserve"> 13 </w:t>
      </w:r>
      <w:r w:rsidR="00FE5F5D" w:rsidRPr="004768D0">
        <w:rPr>
          <w:rFonts w:asciiTheme="majorHAnsi" w:hAnsiTheme="majorHAnsi"/>
          <w:bCs/>
          <w:color w:val="000000" w:themeColor="text1"/>
          <w:sz w:val="20"/>
          <w:szCs w:val="20"/>
          <w:lang w:val="es-ES"/>
        </w:rPr>
        <w:t>y</w:t>
      </w:r>
      <w:r w:rsidR="00E757F9" w:rsidRPr="004768D0">
        <w:rPr>
          <w:rFonts w:asciiTheme="majorHAnsi" w:hAnsiTheme="majorHAnsi"/>
          <w:bCs/>
          <w:color w:val="000000" w:themeColor="text1"/>
          <w:sz w:val="20"/>
          <w:szCs w:val="20"/>
          <w:lang w:val="es-ES"/>
        </w:rPr>
        <w:t xml:space="preserve"> 18 de </w:t>
      </w:r>
      <w:r w:rsidR="007F4608" w:rsidRPr="004768D0">
        <w:rPr>
          <w:rFonts w:asciiTheme="majorHAnsi" w:hAnsiTheme="majorHAnsi"/>
          <w:bCs/>
          <w:color w:val="000000" w:themeColor="text1"/>
          <w:sz w:val="20"/>
          <w:szCs w:val="20"/>
          <w:lang w:val="es-ES"/>
        </w:rPr>
        <w:t>mayo</w:t>
      </w:r>
      <w:r w:rsidR="00E757F9" w:rsidRPr="004768D0">
        <w:rPr>
          <w:rFonts w:asciiTheme="majorHAnsi" w:hAnsiTheme="majorHAnsi"/>
          <w:bCs/>
          <w:color w:val="000000" w:themeColor="text1"/>
          <w:sz w:val="20"/>
          <w:szCs w:val="20"/>
          <w:lang w:val="es-ES"/>
        </w:rPr>
        <w:t xml:space="preserve"> de 2006</w:t>
      </w:r>
      <w:r w:rsidR="00FE5F5D" w:rsidRPr="004768D0">
        <w:rPr>
          <w:rFonts w:asciiTheme="majorHAnsi" w:hAnsiTheme="majorHAnsi"/>
          <w:bCs/>
          <w:color w:val="000000" w:themeColor="text1"/>
          <w:sz w:val="20"/>
          <w:szCs w:val="20"/>
          <w:lang w:val="es-ES"/>
        </w:rPr>
        <w:t xml:space="preserve"> durante la represión de la violencia</w:t>
      </w:r>
      <w:r w:rsidR="00E757F9" w:rsidRPr="004768D0">
        <w:rPr>
          <w:rFonts w:asciiTheme="majorHAnsi" w:hAnsiTheme="majorHAnsi"/>
          <w:bCs/>
          <w:color w:val="000000" w:themeColor="text1"/>
          <w:sz w:val="20"/>
          <w:szCs w:val="20"/>
          <w:lang w:val="es-ES"/>
        </w:rPr>
        <w:t xml:space="preserve"> </w:t>
      </w:r>
      <w:r w:rsidR="00FE5F5D" w:rsidRPr="004768D0">
        <w:rPr>
          <w:rFonts w:asciiTheme="majorHAnsi" w:hAnsiTheme="majorHAnsi"/>
          <w:bCs/>
          <w:color w:val="000000" w:themeColor="text1"/>
          <w:sz w:val="20"/>
          <w:szCs w:val="20"/>
          <w:lang w:val="es-ES"/>
        </w:rPr>
        <w:t>desencadenada</w:t>
      </w:r>
      <w:r w:rsidR="00E757F9" w:rsidRPr="004768D0">
        <w:rPr>
          <w:rFonts w:asciiTheme="majorHAnsi" w:hAnsiTheme="majorHAnsi"/>
          <w:bCs/>
          <w:color w:val="000000" w:themeColor="text1"/>
          <w:sz w:val="20"/>
          <w:szCs w:val="20"/>
          <w:lang w:val="es-ES"/>
        </w:rPr>
        <w:t xml:space="preserve"> por </w:t>
      </w:r>
      <w:r w:rsidR="00FE5F5D" w:rsidRPr="004768D0">
        <w:rPr>
          <w:rFonts w:asciiTheme="majorHAnsi" w:hAnsiTheme="majorHAnsi"/>
          <w:bCs/>
          <w:color w:val="000000" w:themeColor="text1"/>
          <w:sz w:val="20"/>
          <w:szCs w:val="20"/>
          <w:lang w:val="es-ES"/>
        </w:rPr>
        <w:t xml:space="preserve">delincuentes del </w:t>
      </w:r>
      <w:r w:rsidR="00E757F9" w:rsidRPr="004768D0">
        <w:rPr>
          <w:rFonts w:asciiTheme="majorHAnsi" w:hAnsiTheme="majorHAnsi"/>
          <w:bCs/>
          <w:color w:val="000000" w:themeColor="text1"/>
          <w:sz w:val="20"/>
          <w:szCs w:val="20"/>
          <w:lang w:val="es-ES"/>
        </w:rPr>
        <w:t>PCC</w:t>
      </w:r>
      <w:r w:rsidR="004744F0" w:rsidRPr="004768D0">
        <w:rPr>
          <w:rFonts w:asciiTheme="majorHAnsi" w:hAnsiTheme="majorHAnsi"/>
          <w:bCs/>
          <w:color w:val="000000" w:themeColor="text1"/>
          <w:sz w:val="20"/>
          <w:szCs w:val="20"/>
          <w:lang w:val="es-ES"/>
        </w:rPr>
        <w:t>”</w:t>
      </w:r>
      <w:r w:rsidR="00E757F9" w:rsidRPr="004768D0">
        <w:rPr>
          <w:rFonts w:asciiTheme="majorHAnsi" w:hAnsiTheme="majorHAnsi"/>
          <w:bCs/>
          <w:color w:val="000000" w:themeColor="text1"/>
          <w:sz w:val="20"/>
          <w:szCs w:val="20"/>
          <w:lang w:val="es-ES"/>
        </w:rPr>
        <w:t xml:space="preserve">. Ese </w:t>
      </w:r>
      <w:r w:rsidR="00712D2E" w:rsidRPr="004768D0">
        <w:rPr>
          <w:rFonts w:asciiTheme="majorHAnsi" w:hAnsiTheme="majorHAnsi"/>
          <w:bCs/>
          <w:color w:val="000000" w:themeColor="text1"/>
          <w:sz w:val="20"/>
          <w:szCs w:val="20"/>
          <w:lang w:val="es-ES"/>
        </w:rPr>
        <w:t>procedimiento</w:t>
      </w:r>
      <w:r w:rsidR="00E757F9" w:rsidRPr="004768D0">
        <w:rPr>
          <w:rFonts w:asciiTheme="majorHAnsi" w:hAnsiTheme="majorHAnsi"/>
          <w:bCs/>
          <w:color w:val="000000" w:themeColor="text1"/>
          <w:sz w:val="20"/>
          <w:szCs w:val="20"/>
          <w:lang w:val="es-ES"/>
        </w:rPr>
        <w:t xml:space="preserve"> </w:t>
      </w:r>
      <w:r w:rsidR="00FE5F5D" w:rsidRPr="004768D0">
        <w:rPr>
          <w:rFonts w:asciiTheme="majorHAnsi" w:hAnsiTheme="majorHAnsi"/>
          <w:bCs/>
          <w:color w:val="000000" w:themeColor="text1"/>
          <w:sz w:val="20"/>
          <w:szCs w:val="20"/>
          <w:lang w:val="es-ES"/>
        </w:rPr>
        <w:t>fue archivado con homologación del</w:t>
      </w:r>
      <w:r w:rsidR="00E757F9" w:rsidRPr="004768D0">
        <w:rPr>
          <w:rFonts w:asciiTheme="majorHAnsi" w:hAnsiTheme="majorHAnsi"/>
          <w:bCs/>
          <w:color w:val="000000" w:themeColor="text1"/>
          <w:sz w:val="20"/>
          <w:szCs w:val="20"/>
          <w:lang w:val="es-ES"/>
        </w:rPr>
        <w:t xml:space="preserve"> Poder </w:t>
      </w:r>
      <w:r w:rsidR="00246A29" w:rsidRPr="004768D0">
        <w:rPr>
          <w:rFonts w:asciiTheme="majorHAnsi" w:hAnsiTheme="majorHAnsi"/>
          <w:bCs/>
          <w:color w:val="000000" w:themeColor="text1"/>
          <w:sz w:val="20"/>
          <w:szCs w:val="20"/>
          <w:lang w:val="es-ES"/>
        </w:rPr>
        <w:t>Judicial</w:t>
      </w:r>
      <w:r w:rsidR="00860DC6" w:rsidRPr="004768D0">
        <w:rPr>
          <w:rStyle w:val="FootnoteReference"/>
          <w:rFonts w:asciiTheme="majorHAnsi" w:hAnsiTheme="majorHAnsi"/>
          <w:bCs/>
          <w:color w:val="000000" w:themeColor="text1"/>
          <w:sz w:val="20"/>
          <w:szCs w:val="20"/>
          <w:lang w:val="es-ES"/>
        </w:rPr>
        <w:footnoteReference w:id="11"/>
      </w:r>
      <w:r w:rsidR="00FE5F5D" w:rsidRPr="004768D0">
        <w:rPr>
          <w:rFonts w:asciiTheme="majorHAnsi" w:hAnsiTheme="majorHAnsi"/>
          <w:bCs/>
          <w:color w:val="000000" w:themeColor="text1"/>
          <w:sz w:val="20"/>
          <w:szCs w:val="20"/>
          <w:lang w:val="es-ES"/>
        </w:rPr>
        <w:t>.</w:t>
      </w:r>
    </w:p>
    <w:p w14:paraId="71DE19C6" w14:textId="77777777" w:rsidR="00E757F9" w:rsidRPr="004768D0" w:rsidRDefault="00E757F9" w:rsidP="00E757F9">
      <w:pPr>
        <w:pStyle w:val="ListParagraph"/>
        <w:jc w:val="both"/>
        <w:rPr>
          <w:rFonts w:asciiTheme="majorHAnsi" w:hAnsiTheme="majorHAnsi"/>
          <w:bCs/>
          <w:color w:val="000000" w:themeColor="text1"/>
          <w:sz w:val="20"/>
          <w:szCs w:val="20"/>
          <w:lang w:val="es-ES"/>
        </w:rPr>
      </w:pPr>
    </w:p>
    <w:p w14:paraId="708FC30A" w14:textId="77777777" w:rsidR="00E757F9" w:rsidRPr="004768D0" w:rsidRDefault="00FE5F5D"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 xml:space="preserve">También en lo que se refiere al </w:t>
      </w:r>
      <w:r w:rsidR="00F154A0" w:rsidRPr="004768D0">
        <w:rPr>
          <w:rFonts w:asciiTheme="majorHAnsi" w:hAnsiTheme="majorHAnsi"/>
          <w:bCs/>
          <w:color w:val="000000" w:themeColor="text1"/>
          <w:sz w:val="20"/>
          <w:szCs w:val="20"/>
          <w:lang w:val="es-ES"/>
        </w:rPr>
        <w:t>Ministerio</w:t>
      </w:r>
      <w:r w:rsidR="00E757F9" w:rsidRPr="004768D0">
        <w:rPr>
          <w:rFonts w:asciiTheme="majorHAnsi" w:hAnsiTheme="majorHAnsi"/>
          <w:bCs/>
          <w:color w:val="000000" w:themeColor="text1"/>
          <w:sz w:val="20"/>
          <w:szCs w:val="20"/>
          <w:lang w:val="es-ES"/>
        </w:rPr>
        <w:t xml:space="preserve"> Público, </w:t>
      </w:r>
      <w:r w:rsidR="003C58C5" w:rsidRPr="004768D0">
        <w:rPr>
          <w:rFonts w:asciiTheme="majorHAnsi" w:hAnsiTheme="majorHAnsi"/>
          <w:bCs/>
          <w:color w:val="000000" w:themeColor="text1"/>
          <w:sz w:val="20"/>
          <w:szCs w:val="20"/>
          <w:lang w:val="es-ES"/>
        </w:rPr>
        <w:t>el Estado</w:t>
      </w:r>
      <w:r w:rsidR="00E757F9"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alegó</w:t>
      </w:r>
      <w:r w:rsidR="00E757F9" w:rsidRPr="004768D0">
        <w:rPr>
          <w:rFonts w:asciiTheme="majorHAnsi" w:hAnsiTheme="majorHAnsi"/>
          <w:bCs/>
          <w:color w:val="000000" w:themeColor="text1"/>
          <w:sz w:val="20"/>
          <w:szCs w:val="20"/>
          <w:lang w:val="es-ES"/>
        </w:rPr>
        <w:t xml:space="preserve"> que </w:t>
      </w:r>
      <w:r w:rsidR="00A34E74" w:rsidRPr="004768D0">
        <w:rPr>
          <w:rFonts w:asciiTheme="majorHAnsi" w:hAnsiTheme="majorHAnsi"/>
          <w:bCs/>
          <w:color w:val="000000" w:themeColor="text1"/>
          <w:sz w:val="20"/>
          <w:szCs w:val="20"/>
          <w:lang w:val="es-ES"/>
        </w:rPr>
        <w:t xml:space="preserve">el Ministerio y el </w:t>
      </w:r>
      <w:r w:rsidR="00246A29" w:rsidRPr="004768D0">
        <w:rPr>
          <w:rFonts w:asciiTheme="majorHAnsi" w:hAnsiTheme="majorHAnsi"/>
          <w:bCs/>
          <w:color w:val="000000" w:themeColor="text1"/>
          <w:sz w:val="20"/>
          <w:szCs w:val="20"/>
          <w:lang w:val="es-ES"/>
        </w:rPr>
        <w:t>Consejo</w:t>
      </w:r>
      <w:r w:rsidR="00E757F9" w:rsidRPr="004768D0">
        <w:rPr>
          <w:rFonts w:asciiTheme="majorHAnsi" w:hAnsiTheme="majorHAnsi"/>
          <w:bCs/>
          <w:color w:val="000000" w:themeColor="text1"/>
          <w:sz w:val="20"/>
          <w:szCs w:val="20"/>
          <w:lang w:val="es-ES"/>
        </w:rPr>
        <w:t xml:space="preserve"> </w:t>
      </w:r>
      <w:r w:rsidR="00915936" w:rsidRPr="004768D0">
        <w:rPr>
          <w:rFonts w:asciiTheme="majorHAnsi" w:hAnsiTheme="majorHAnsi"/>
          <w:bCs/>
          <w:color w:val="000000" w:themeColor="text1"/>
          <w:sz w:val="20"/>
          <w:szCs w:val="20"/>
          <w:lang w:val="es-ES"/>
        </w:rPr>
        <w:t>Estatal</w:t>
      </w:r>
      <w:r w:rsidR="00E757F9" w:rsidRPr="004768D0">
        <w:rPr>
          <w:rFonts w:asciiTheme="majorHAnsi" w:hAnsiTheme="majorHAnsi"/>
          <w:bCs/>
          <w:color w:val="000000" w:themeColor="text1"/>
          <w:sz w:val="20"/>
          <w:szCs w:val="20"/>
          <w:lang w:val="es-ES"/>
        </w:rPr>
        <w:t xml:space="preserve"> de </w:t>
      </w:r>
      <w:r w:rsidR="00A34E74" w:rsidRPr="004768D0">
        <w:rPr>
          <w:rFonts w:asciiTheme="majorHAnsi" w:hAnsiTheme="majorHAnsi"/>
          <w:bCs/>
          <w:color w:val="000000" w:themeColor="text1"/>
          <w:sz w:val="20"/>
          <w:szCs w:val="20"/>
          <w:lang w:val="es-ES"/>
        </w:rPr>
        <w:t>Defensa</w:t>
      </w:r>
      <w:r w:rsidR="00E757F9" w:rsidRPr="004768D0">
        <w:rPr>
          <w:rFonts w:asciiTheme="majorHAnsi" w:hAnsiTheme="majorHAnsi"/>
          <w:bCs/>
          <w:color w:val="000000" w:themeColor="text1"/>
          <w:sz w:val="20"/>
          <w:szCs w:val="20"/>
          <w:lang w:val="es-ES"/>
        </w:rPr>
        <w:t xml:space="preserve"> d</w:t>
      </w:r>
      <w:r w:rsidR="00A34E74" w:rsidRPr="004768D0">
        <w:rPr>
          <w:rFonts w:asciiTheme="majorHAnsi" w:hAnsiTheme="majorHAnsi"/>
          <w:bCs/>
          <w:color w:val="000000" w:themeColor="text1"/>
          <w:sz w:val="20"/>
          <w:szCs w:val="20"/>
          <w:lang w:val="es-ES"/>
        </w:rPr>
        <w:t>e l</w:t>
      </w:r>
      <w:r w:rsidR="00E757F9" w:rsidRPr="004768D0">
        <w:rPr>
          <w:rFonts w:asciiTheme="majorHAnsi" w:hAnsiTheme="majorHAnsi"/>
          <w:bCs/>
          <w:color w:val="000000" w:themeColor="text1"/>
          <w:sz w:val="20"/>
          <w:szCs w:val="20"/>
          <w:lang w:val="es-ES"/>
        </w:rPr>
        <w:t xml:space="preserve">os </w:t>
      </w:r>
      <w:r w:rsidR="00246A29" w:rsidRPr="004768D0">
        <w:rPr>
          <w:rFonts w:asciiTheme="majorHAnsi" w:hAnsiTheme="majorHAnsi"/>
          <w:bCs/>
          <w:color w:val="000000" w:themeColor="text1"/>
          <w:sz w:val="20"/>
          <w:szCs w:val="20"/>
          <w:lang w:val="es-ES"/>
        </w:rPr>
        <w:t>Derechos</w:t>
      </w:r>
      <w:r w:rsidR="00E757F9" w:rsidRPr="004768D0">
        <w:rPr>
          <w:rFonts w:asciiTheme="majorHAnsi" w:hAnsiTheme="majorHAnsi"/>
          <w:bCs/>
          <w:color w:val="000000" w:themeColor="text1"/>
          <w:sz w:val="20"/>
          <w:szCs w:val="20"/>
          <w:lang w:val="es-ES"/>
        </w:rPr>
        <w:t xml:space="preserve"> d</w:t>
      </w:r>
      <w:r w:rsidR="00A34E74" w:rsidRPr="004768D0">
        <w:rPr>
          <w:rFonts w:asciiTheme="majorHAnsi" w:hAnsiTheme="majorHAnsi"/>
          <w:bCs/>
          <w:color w:val="000000" w:themeColor="text1"/>
          <w:sz w:val="20"/>
          <w:szCs w:val="20"/>
          <w:lang w:val="es-ES"/>
        </w:rPr>
        <w:t>e l</w:t>
      </w:r>
      <w:r w:rsidR="00E757F9" w:rsidRPr="004768D0">
        <w:rPr>
          <w:rFonts w:asciiTheme="majorHAnsi" w:hAnsiTheme="majorHAnsi"/>
          <w:bCs/>
          <w:color w:val="000000" w:themeColor="text1"/>
          <w:sz w:val="20"/>
          <w:szCs w:val="20"/>
          <w:lang w:val="es-ES"/>
        </w:rPr>
        <w:t xml:space="preserve">a </w:t>
      </w:r>
      <w:r w:rsidR="00246A29" w:rsidRPr="004768D0">
        <w:rPr>
          <w:rFonts w:asciiTheme="majorHAnsi" w:hAnsiTheme="majorHAnsi"/>
          <w:bCs/>
          <w:color w:val="000000" w:themeColor="text1"/>
          <w:sz w:val="20"/>
          <w:szCs w:val="20"/>
          <w:lang w:val="es-ES"/>
        </w:rPr>
        <w:t>Persona</w:t>
      </w:r>
      <w:r w:rsidR="00E757F9" w:rsidRPr="004768D0">
        <w:rPr>
          <w:rFonts w:asciiTheme="majorHAnsi" w:hAnsiTheme="majorHAnsi"/>
          <w:bCs/>
          <w:color w:val="000000" w:themeColor="text1"/>
          <w:sz w:val="20"/>
          <w:szCs w:val="20"/>
          <w:lang w:val="es-ES"/>
        </w:rPr>
        <w:t xml:space="preserve"> Humana </w:t>
      </w:r>
      <w:r w:rsidR="00860DC6" w:rsidRPr="004768D0">
        <w:rPr>
          <w:rFonts w:asciiTheme="majorHAnsi" w:hAnsiTheme="majorHAnsi"/>
          <w:bCs/>
          <w:color w:val="000000" w:themeColor="text1"/>
          <w:sz w:val="20"/>
          <w:szCs w:val="20"/>
          <w:lang w:val="es-ES"/>
        </w:rPr>
        <w:t>(</w:t>
      </w:r>
      <w:r w:rsidR="00E757F9" w:rsidRPr="004768D0">
        <w:rPr>
          <w:rFonts w:asciiTheme="majorHAnsi" w:hAnsiTheme="majorHAnsi"/>
          <w:bCs/>
          <w:color w:val="000000" w:themeColor="text1"/>
          <w:sz w:val="20"/>
          <w:szCs w:val="20"/>
          <w:lang w:val="es-ES"/>
        </w:rPr>
        <w:t>CONDEPE</w:t>
      </w:r>
      <w:r w:rsidR="00860DC6"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 xml:space="preserve">suscribieron un acta de cooperación con el fin de crear </w:t>
      </w:r>
      <w:r w:rsidR="004744F0" w:rsidRPr="004768D0">
        <w:rPr>
          <w:rFonts w:asciiTheme="majorHAnsi" w:hAnsiTheme="majorHAnsi"/>
          <w:bCs/>
          <w:color w:val="000000" w:themeColor="text1"/>
          <w:sz w:val="20"/>
          <w:szCs w:val="20"/>
          <w:lang w:val="es-ES"/>
        </w:rPr>
        <w:t>“</w:t>
      </w:r>
      <w:r w:rsidR="00A34E74" w:rsidRPr="004768D0">
        <w:rPr>
          <w:rFonts w:asciiTheme="majorHAnsi" w:hAnsiTheme="majorHAnsi"/>
          <w:bCs/>
          <w:color w:val="000000" w:themeColor="text1"/>
          <w:sz w:val="20"/>
          <w:szCs w:val="20"/>
          <w:lang w:val="es-ES"/>
        </w:rPr>
        <w:t>una</w:t>
      </w:r>
      <w:r w:rsidR="00860DC6"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vía</w:t>
      </w:r>
      <w:r w:rsidR="00860DC6"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efectiva</w:t>
      </w:r>
      <w:r w:rsidR="00860DC6"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y</w:t>
      </w:r>
      <w:r w:rsidR="00860DC6" w:rsidRPr="004768D0">
        <w:rPr>
          <w:rFonts w:asciiTheme="majorHAnsi" w:hAnsiTheme="majorHAnsi"/>
          <w:bCs/>
          <w:color w:val="000000" w:themeColor="text1"/>
          <w:sz w:val="20"/>
          <w:szCs w:val="20"/>
          <w:lang w:val="es-ES"/>
        </w:rPr>
        <w:t xml:space="preserve"> rápida para </w:t>
      </w:r>
      <w:r w:rsidR="00A34E74" w:rsidRPr="004768D0">
        <w:rPr>
          <w:rFonts w:asciiTheme="majorHAnsi" w:hAnsiTheme="majorHAnsi"/>
          <w:bCs/>
          <w:color w:val="000000" w:themeColor="text1"/>
          <w:sz w:val="20"/>
          <w:szCs w:val="20"/>
          <w:lang w:val="es-ES"/>
        </w:rPr>
        <w:t xml:space="preserve">la comunicación </w:t>
      </w:r>
      <w:r w:rsidR="00860DC6" w:rsidRPr="004768D0">
        <w:rPr>
          <w:rFonts w:asciiTheme="majorHAnsi" w:hAnsiTheme="majorHAnsi"/>
          <w:bCs/>
          <w:color w:val="000000" w:themeColor="text1"/>
          <w:sz w:val="20"/>
          <w:szCs w:val="20"/>
          <w:lang w:val="es-ES"/>
        </w:rPr>
        <w:t xml:space="preserve">de </w:t>
      </w:r>
      <w:r w:rsidR="00F154A0" w:rsidRPr="004768D0">
        <w:rPr>
          <w:rFonts w:asciiTheme="majorHAnsi" w:hAnsiTheme="majorHAnsi"/>
          <w:bCs/>
          <w:color w:val="000000" w:themeColor="text1"/>
          <w:sz w:val="20"/>
          <w:szCs w:val="20"/>
          <w:lang w:val="es-ES"/>
        </w:rPr>
        <w:t>homicidio</w:t>
      </w:r>
      <w:r w:rsidR="00860DC6" w:rsidRPr="004768D0">
        <w:rPr>
          <w:rFonts w:asciiTheme="majorHAnsi" w:hAnsiTheme="majorHAnsi"/>
          <w:bCs/>
          <w:color w:val="000000" w:themeColor="text1"/>
          <w:sz w:val="20"/>
          <w:szCs w:val="20"/>
          <w:lang w:val="es-ES"/>
        </w:rPr>
        <w:t xml:space="preserve">s </w:t>
      </w:r>
      <w:r w:rsidR="00A34E74" w:rsidRPr="004768D0">
        <w:rPr>
          <w:rFonts w:asciiTheme="majorHAnsi" w:hAnsiTheme="majorHAnsi"/>
          <w:bCs/>
          <w:color w:val="000000" w:themeColor="text1"/>
          <w:sz w:val="20"/>
          <w:szCs w:val="20"/>
          <w:lang w:val="es-ES"/>
        </w:rPr>
        <w:t xml:space="preserve">en relación con los cuales se sospeche la actuación </w:t>
      </w:r>
      <w:r w:rsidR="00860DC6" w:rsidRPr="004768D0">
        <w:rPr>
          <w:rFonts w:asciiTheme="majorHAnsi" w:hAnsiTheme="majorHAnsi"/>
          <w:bCs/>
          <w:color w:val="000000" w:themeColor="text1"/>
          <w:sz w:val="20"/>
          <w:szCs w:val="20"/>
          <w:lang w:val="es-ES"/>
        </w:rPr>
        <w:t xml:space="preserve">de grupos de </w:t>
      </w:r>
      <w:r w:rsidR="00A34E74" w:rsidRPr="004768D0">
        <w:rPr>
          <w:rFonts w:asciiTheme="majorHAnsi" w:hAnsiTheme="majorHAnsi"/>
          <w:bCs/>
          <w:color w:val="000000" w:themeColor="text1"/>
          <w:sz w:val="20"/>
          <w:szCs w:val="20"/>
          <w:lang w:val="es-ES"/>
        </w:rPr>
        <w:t>exterminio</w:t>
      </w:r>
      <w:r w:rsidR="00860DC6" w:rsidRPr="004768D0">
        <w:rPr>
          <w:rFonts w:asciiTheme="majorHAnsi" w:hAnsiTheme="majorHAnsi"/>
          <w:bCs/>
          <w:color w:val="000000" w:themeColor="text1"/>
          <w:sz w:val="20"/>
          <w:szCs w:val="20"/>
          <w:lang w:val="es-ES"/>
        </w:rPr>
        <w:t xml:space="preserve"> o</w:t>
      </w:r>
      <w:r w:rsidR="00A34E74" w:rsidRPr="004768D0">
        <w:rPr>
          <w:rFonts w:asciiTheme="majorHAnsi" w:hAnsiTheme="majorHAnsi"/>
          <w:bCs/>
          <w:color w:val="000000" w:themeColor="text1"/>
          <w:sz w:val="20"/>
          <w:szCs w:val="20"/>
          <w:lang w:val="es-ES"/>
        </w:rPr>
        <w:t xml:space="preserve"> la acción </w:t>
      </w:r>
      <w:r w:rsidR="00860DC6" w:rsidRPr="004768D0">
        <w:rPr>
          <w:rFonts w:asciiTheme="majorHAnsi" w:hAnsiTheme="majorHAnsi"/>
          <w:bCs/>
          <w:color w:val="000000" w:themeColor="text1"/>
          <w:sz w:val="20"/>
          <w:szCs w:val="20"/>
          <w:lang w:val="es-ES"/>
        </w:rPr>
        <w:t xml:space="preserve">de agentes </w:t>
      </w:r>
      <w:r w:rsidR="002B3EC6">
        <w:rPr>
          <w:rFonts w:asciiTheme="majorHAnsi" w:hAnsiTheme="majorHAnsi"/>
          <w:bCs/>
          <w:color w:val="000000" w:themeColor="text1"/>
          <w:sz w:val="20"/>
          <w:szCs w:val="20"/>
          <w:lang w:val="es-ES"/>
        </w:rPr>
        <w:t>estatales</w:t>
      </w:r>
      <w:r w:rsidR="004744F0" w:rsidRPr="004768D0">
        <w:rPr>
          <w:rFonts w:asciiTheme="majorHAnsi" w:hAnsiTheme="majorHAnsi"/>
          <w:bCs/>
          <w:color w:val="000000" w:themeColor="text1"/>
          <w:sz w:val="20"/>
          <w:szCs w:val="20"/>
          <w:lang w:val="es-ES"/>
        </w:rPr>
        <w:t>”</w:t>
      </w:r>
      <w:r w:rsidR="00860DC6" w:rsidRPr="004768D0">
        <w:rPr>
          <w:rStyle w:val="FootnoteReference"/>
          <w:rFonts w:asciiTheme="majorHAnsi" w:hAnsiTheme="majorHAnsi"/>
          <w:bCs/>
          <w:color w:val="000000" w:themeColor="text1"/>
          <w:sz w:val="20"/>
          <w:szCs w:val="20"/>
          <w:lang w:val="es-ES"/>
        </w:rPr>
        <w:footnoteReference w:id="12"/>
      </w:r>
      <w:r w:rsidR="00A34E74" w:rsidRPr="004768D0">
        <w:rPr>
          <w:rFonts w:asciiTheme="majorHAnsi" w:hAnsiTheme="majorHAnsi"/>
          <w:bCs/>
          <w:color w:val="000000" w:themeColor="text1"/>
          <w:sz w:val="20"/>
          <w:szCs w:val="20"/>
          <w:lang w:val="es-ES"/>
        </w:rPr>
        <w:t>.</w:t>
      </w:r>
    </w:p>
    <w:p w14:paraId="563A53D6" w14:textId="77777777" w:rsidR="00860DC6" w:rsidRPr="004768D0" w:rsidRDefault="00860DC6" w:rsidP="00860DC6">
      <w:pPr>
        <w:pStyle w:val="ListParagraph"/>
        <w:rPr>
          <w:rFonts w:asciiTheme="majorHAnsi" w:hAnsiTheme="majorHAnsi"/>
          <w:bCs/>
          <w:color w:val="000000" w:themeColor="text1"/>
          <w:sz w:val="20"/>
          <w:szCs w:val="20"/>
          <w:lang w:val="es-ES"/>
        </w:rPr>
      </w:pPr>
    </w:p>
    <w:p w14:paraId="16AF26AA" w14:textId="77777777" w:rsidR="00235691" w:rsidRPr="004768D0" w:rsidRDefault="00462731"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El Estado</w:t>
      </w:r>
      <w:r w:rsidR="00860DC6" w:rsidRPr="004768D0">
        <w:rPr>
          <w:rFonts w:asciiTheme="majorHAnsi" w:hAnsiTheme="majorHAnsi"/>
          <w:bCs/>
          <w:color w:val="000000" w:themeColor="text1"/>
          <w:sz w:val="20"/>
          <w:szCs w:val="20"/>
          <w:lang w:val="es-ES"/>
        </w:rPr>
        <w:t xml:space="preserve"> menciona </w:t>
      </w:r>
      <w:r w:rsidR="00A34E74" w:rsidRPr="004768D0">
        <w:rPr>
          <w:rFonts w:asciiTheme="majorHAnsi" w:hAnsiTheme="majorHAnsi"/>
          <w:bCs/>
          <w:color w:val="000000" w:themeColor="text1"/>
          <w:sz w:val="20"/>
          <w:szCs w:val="20"/>
          <w:lang w:val="es-ES"/>
        </w:rPr>
        <w:t>asimismo l</w:t>
      </w:r>
      <w:r w:rsidR="00860DC6" w:rsidRPr="004768D0">
        <w:rPr>
          <w:rFonts w:asciiTheme="majorHAnsi" w:hAnsiTheme="majorHAnsi"/>
          <w:bCs/>
          <w:color w:val="000000" w:themeColor="text1"/>
          <w:sz w:val="20"/>
          <w:szCs w:val="20"/>
          <w:lang w:val="es-ES"/>
        </w:rPr>
        <w:t xml:space="preserve">a </w:t>
      </w:r>
      <w:r w:rsidR="00A34E74" w:rsidRPr="004768D0">
        <w:rPr>
          <w:rFonts w:asciiTheme="majorHAnsi" w:hAnsiTheme="majorHAnsi"/>
          <w:bCs/>
          <w:color w:val="000000" w:themeColor="text1"/>
          <w:sz w:val="20"/>
          <w:szCs w:val="20"/>
          <w:lang w:val="es-ES"/>
        </w:rPr>
        <w:t>realización</w:t>
      </w:r>
      <w:r w:rsidR="00860DC6" w:rsidRPr="004768D0">
        <w:rPr>
          <w:rFonts w:asciiTheme="majorHAnsi" w:hAnsiTheme="majorHAnsi"/>
          <w:bCs/>
          <w:color w:val="000000" w:themeColor="text1"/>
          <w:sz w:val="20"/>
          <w:szCs w:val="20"/>
          <w:lang w:val="es-ES"/>
        </w:rPr>
        <w:t xml:space="preserve"> de </w:t>
      </w:r>
      <w:r w:rsidR="00A34E74" w:rsidRPr="004768D0">
        <w:rPr>
          <w:rFonts w:asciiTheme="majorHAnsi" w:hAnsiTheme="majorHAnsi"/>
          <w:bCs/>
          <w:color w:val="000000" w:themeColor="text1"/>
          <w:sz w:val="20"/>
          <w:szCs w:val="20"/>
          <w:lang w:val="es-ES"/>
        </w:rPr>
        <w:t>una</w:t>
      </w:r>
      <w:r w:rsidR="00860DC6"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audiencia</w:t>
      </w:r>
      <w:r w:rsidR="00860DC6" w:rsidRPr="004768D0">
        <w:rPr>
          <w:rFonts w:asciiTheme="majorHAnsi" w:hAnsiTheme="majorHAnsi"/>
          <w:bCs/>
          <w:color w:val="000000" w:themeColor="text1"/>
          <w:sz w:val="20"/>
          <w:szCs w:val="20"/>
          <w:lang w:val="es-ES"/>
        </w:rPr>
        <w:t xml:space="preserve"> pública </w:t>
      </w:r>
      <w:r w:rsidR="00A34E74" w:rsidRPr="004768D0">
        <w:rPr>
          <w:rFonts w:asciiTheme="majorHAnsi" w:hAnsiTheme="majorHAnsi"/>
          <w:bCs/>
          <w:color w:val="000000" w:themeColor="text1"/>
          <w:sz w:val="20"/>
          <w:szCs w:val="20"/>
          <w:lang w:val="es-ES"/>
        </w:rPr>
        <w:t>del</w:t>
      </w:r>
      <w:r w:rsidR="00860DC6" w:rsidRPr="004768D0">
        <w:rPr>
          <w:rFonts w:asciiTheme="majorHAnsi" w:hAnsiTheme="majorHAnsi"/>
          <w:bCs/>
          <w:color w:val="000000" w:themeColor="text1"/>
          <w:sz w:val="20"/>
          <w:szCs w:val="20"/>
          <w:lang w:val="es-ES"/>
        </w:rPr>
        <w:t xml:space="preserve"> </w:t>
      </w:r>
      <w:r w:rsidR="00F154A0" w:rsidRPr="004768D0">
        <w:rPr>
          <w:rFonts w:asciiTheme="majorHAnsi" w:hAnsiTheme="majorHAnsi"/>
          <w:bCs/>
          <w:color w:val="000000" w:themeColor="text1"/>
          <w:sz w:val="20"/>
          <w:szCs w:val="20"/>
          <w:lang w:val="es-ES"/>
        </w:rPr>
        <w:t>Ministerio</w:t>
      </w:r>
      <w:r w:rsidR="00860DC6" w:rsidRPr="004768D0">
        <w:rPr>
          <w:rFonts w:asciiTheme="majorHAnsi" w:hAnsiTheme="majorHAnsi"/>
          <w:bCs/>
          <w:color w:val="000000" w:themeColor="text1"/>
          <w:sz w:val="20"/>
          <w:szCs w:val="20"/>
          <w:lang w:val="es-ES"/>
        </w:rPr>
        <w:t xml:space="preserve"> Público de São Paulo, junto co</w:t>
      </w:r>
      <w:r w:rsidR="00A34E74" w:rsidRPr="004768D0">
        <w:rPr>
          <w:rFonts w:asciiTheme="majorHAnsi" w:hAnsiTheme="majorHAnsi"/>
          <w:bCs/>
          <w:color w:val="000000" w:themeColor="text1"/>
          <w:sz w:val="20"/>
          <w:szCs w:val="20"/>
          <w:lang w:val="es-ES"/>
        </w:rPr>
        <w:t xml:space="preserve">n el </w:t>
      </w:r>
      <w:r w:rsidR="00246A29" w:rsidRPr="004768D0">
        <w:rPr>
          <w:rFonts w:asciiTheme="majorHAnsi" w:hAnsiTheme="majorHAnsi"/>
          <w:bCs/>
          <w:color w:val="000000" w:themeColor="text1"/>
          <w:sz w:val="20"/>
          <w:szCs w:val="20"/>
          <w:lang w:val="es-ES"/>
        </w:rPr>
        <w:t>Consejo</w:t>
      </w:r>
      <w:r w:rsidR="00860DC6" w:rsidRPr="004768D0">
        <w:rPr>
          <w:rFonts w:asciiTheme="majorHAnsi" w:hAnsiTheme="majorHAnsi"/>
          <w:bCs/>
          <w:color w:val="000000" w:themeColor="text1"/>
          <w:sz w:val="20"/>
          <w:szCs w:val="20"/>
          <w:lang w:val="es-ES"/>
        </w:rPr>
        <w:t xml:space="preserve"> Nacional d</w:t>
      </w:r>
      <w:r w:rsidR="00A34E74" w:rsidRPr="004768D0">
        <w:rPr>
          <w:rFonts w:asciiTheme="majorHAnsi" w:hAnsiTheme="majorHAnsi"/>
          <w:bCs/>
          <w:color w:val="000000" w:themeColor="text1"/>
          <w:sz w:val="20"/>
          <w:szCs w:val="20"/>
          <w:lang w:val="es-ES"/>
        </w:rPr>
        <w:t>el</w:t>
      </w:r>
      <w:r w:rsidR="00860DC6" w:rsidRPr="004768D0">
        <w:rPr>
          <w:rFonts w:asciiTheme="majorHAnsi" w:hAnsiTheme="majorHAnsi"/>
          <w:bCs/>
          <w:color w:val="000000" w:themeColor="text1"/>
          <w:sz w:val="20"/>
          <w:szCs w:val="20"/>
          <w:lang w:val="es-ES"/>
        </w:rPr>
        <w:t xml:space="preserve"> </w:t>
      </w:r>
      <w:r w:rsidR="00F154A0" w:rsidRPr="004768D0">
        <w:rPr>
          <w:rFonts w:asciiTheme="majorHAnsi" w:hAnsiTheme="majorHAnsi"/>
          <w:bCs/>
          <w:color w:val="000000" w:themeColor="text1"/>
          <w:sz w:val="20"/>
          <w:szCs w:val="20"/>
          <w:lang w:val="es-ES"/>
        </w:rPr>
        <w:t>Ministerio</w:t>
      </w:r>
      <w:r w:rsidR="00860DC6" w:rsidRPr="004768D0">
        <w:rPr>
          <w:rFonts w:asciiTheme="majorHAnsi" w:hAnsiTheme="majorHAnsi"/>
          <w:bCs/>
          <w:color w:val="000000" w:themeColor="text1"/>
          <w:sz w:val="20"/>
          <w:szCs w:val="20"/>
          <w:lang w:val="es-ES"/>
        </w:rPr>
        <w:t xml:space="preserve"> Público, </w:t>
      </w:r>
      <w:r w:rsidR="00A34E74" w:rsidRPr="004768D0">
        <w:rPr>
          <w:rFonts w:asciiTheme="majorHAnsi" w:hAnsiTheme="majorHAnsi"/>
          <w:bCs/>
          <w:color w:val="000000" w:themeColor="text1"/>
          <w:sz w:val="20"/>
          <w:szCs w:val="20"/>
          <w:lang w:val="es-ES"/>
        </w:rPr>
        <w:t>con</w:t>
      </w:r>
      <w:r w:rsidR="00860DC6"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l</w:t>
      </w:r>
      <w:r w:rsidR="00860DC6" w:rsidRPr="004768D0">
        <w:rPr>
          <w:rFonts w:asciiTheme="majorHAnsi" w:hAnsiTheme="majorHAnsi"/>
          <w:bCs/>
          <w:color w:val="000000" w:themeColor="text1"/>
          <w:sz w:val="20"/>
          <w:szCs w:val="20"/>
          <w:lang w:val="es-ES"/>
        </w:rPr>
        <w:t xml:space="preserve">a </w:t>
      </w:r>
      <w:r w:rsidR="00A34E74" w:rsidRPr="004768D0">
        <w:rPr>
          <w:rFonts w:asciiTheme="majorHAnsi" w:hAnsiTheme="majorHAnsi"/>
          <w:bCs/>
          <w:color w:val="000000" w:themeColor="text1"/>
          <w:sz w:val="20"/>
          <w:szCs w:val="20"/>
          <w:lang w:val="es-ES"/>
        </w:rPr>
        <w:t>presencia</w:t>
      </w:r>
      <w:r w:rsidR="00860DC6" w:rsidRPr="004768D0">
        <w:rPr>
          <w:rFonts w:asciiTheme="majorHAnsi" w:hAnsiTheme="majorHAnsi"/>
          <w:bCs/>
          <w:color w:val="000000" w:themeColor="text1"/>
          <w:sz w:val="20"/>
          <w:szCs w:val="20"/>
          <w:lang w:val="es-ES"/>
        </w:rPr>
        <w:t xml:space="preserve"> de representantes d</w:t>
      </w:r>
      <w:r w:rsidR="00A34E74" w:rsidRPr="004768D0">
        <w:rPr>
          <w:rFonts w:asciiTheme="majorHAnsi" w:hAnsiTheme="majorHAnsi"/>
          <w:bCs/>
          <w:color w:val="000000" w:themeColor="text1"/>
          <w:sz w:val="20"/>
          <w:szCs w:val="20"/>
          <w:lang w:val="es-ES"/>
        </w:rPr>
        <w:t>e l</w:t>
      </w:r>
      <w:r w:rsidR="00860DC6" w:rsidRPr="004768D0">
        <w:rPr>
          <w:rFonts w:asciiTheme="majorHAnsi" w:hAnsiTheme="majorHAnsi"/>
          <w:bCs/>
          <w:color w:val="000000" w:themeColor="text1"/>
          <w:sz w:val="20"/>
          <w:szCs w:val="20"/>
          <w:lang w:val="es-ES"/>
        </w:rPr>
        <w:t xml:space="preserve">a </w:t>
      </w:r>
      <w:r w:rsidR="00A34E74" w:rsidRPr="004768D0">
        <w:rPr>
          <w:rFonts w:asciiTheme="majorHAnsi" w:hAnsiTheme="majorHAnsi"/>
          <w:bCs/>
          <w:color w:val="000000" w:themeColor="text1"/>
          <w:sz w:val="20"/>
          <w:szCs w:val="20"/>
          <w:lang w:val="es-ES"/>
        </w:rPr>
        <w:t>sociedad</w:t>
      </w:r>
      <w:r w:rsidR="00860DC6" w:rsidRPr="004768D0">
        <w:rPr>
          <w:rFonts w:asciiTheme="majorHAnsi" w:hAnsiTheme="majorHAnsi"/>
          <w:bCs/>
          <w:color w:val="000000" w:themeColor="text1"/>
          <w:sz w:val="20"/>
          <w:szCs w:val="20"/>
          <w:lang w:val="es-ES"/>
        </w:rPr>
        <w:t xml:space="preserve"> civil. </w:t>
      </w:r>
      <w:r w:rsidR="00A34E74" w:rsidRPr="004768D0">
        <w:rPr>
          <w:rFonts w:asciiTheme="majorHAnsi" w:hAnsiTheme="majorHAnsi"/>
          <w:bCs/>
          <w:color w:val="000000" w:themeColor="text1"/>
          <w:sz w:val="20"/>
          <w:szCs w:val="20"/>
          <w:lang w:val="es-ES"/>
        </w:rPr>
        <w:t xml:space="preserve">El objetivo principal de la audiencia, celebrada el </w:t>
      </w:r>
      <w:r w:rsidR="00235691" w:rsidRPr="004768D0">
        <w:rPr>
          <w:rFonts w:asciiTheme="majorHAnsi" w:hAnsiTheme="majorHAnsi"/>
          <w:bCs/>
          <w:color w:val="000000" w:themeColor="text1"/>
          <w:sz w:val="20"/>
          <w:szCs w:val="20"/>
          <w:lang w:val="es-ES"/>
        </w:rPr>
        <w:t>7 de abril de 2015</w:t>
      </w:r>
      <w:r w:rsidR="00A34E74" w:rsidRPr="004768D0">
        <w:rPr>
          <w:rFonts w:asciiTheme="majorHAnsi" w:hAnsiTheme="majorHAnsi"/>
          <w:bCs/>
          <w:color w:val="000000" w:themeColor="text1"/>
          <w:sz w:val="20"/>
          <w:szCs w:val="20"/>
          <w:lang w:val="es-ES"/>
        </w:rPr>
        <w:t>,</w:t>
      </w:r>
      <w:r w:rsidR="00860DC6" w:rsidRPr="004768D0">
        <w:rPr>
          <w:rFonts w:asciiTheme="majorHAnsi" w:hAnsiTheme="majorHAnsi"/>
          <w:bCs/>
          <w:color w:val="000000" w:themeColor="text1"/>
          <w:sz w:val="20"/>
          <w:szCs w:val="20"/>
          <w:lang w:val="es-ES"/>
        </w:rPr>
        <w:t xml:space="preserve"> e</w:t>
      </w:r>
      <w:r w:rsidR="00A34E74" w:rsidRPr="004768D0">
        <w:rPr>
          <w:rFonts w:asciiTheme="majorHAnsi" w:hAnsiTheme="majorHAnsi"/>
          <w:bCs/>
          <w:color w:val="000000" w:themeColor="text1"/>
          <w:sz w:val="20"/>
          <w:szCs w:val="20"/>
          <w:lang w:val="es-ES"/>
        </w:rPr>
        <w:t xml:space="preserve">ra </w:t>
      </w:r>
      <w:r w:rsidR="004744F0" w:rsidRPr="004768D0">
        <w:rPr>
          <w:rFonts w:asciiTheme="majorHAnsi" w:hAnsiTheme="majorHAnsi"/>
          <w:bCs/>
          <w:color w:val="000000" w:themeColor="text1"/>
          <w:sz w:val="20"/>
          <w:szCs w:val="20"/>
          <w:lang w:val="es-ES"/>
        </w:rPr>
        <w:t>“</w:t>
      </w:r>
      <w:r w:rsidR="00A34E74" w:rsidRPr="004768D0">
        <w:rPr>
          <w:rFonts w:asciiTheme="majorHAnsi" w:hAnsiTheme="majorHAnsi"/>
          <w:bCs/>
          <w:color w:val="000000" w:themeColor="text1"/>
          <w:sz w:val="20"/>
          <w:szCs w:val="20"/>
          <w:lang w:val="es-ES"/>
        </w:rPr>
        <w:t>e</w:t>
      </w:r>
      <w:r w:rsidR="00235691" w:rsidRPr="004768D0">
        <w:rPr>
          <w:rFonts w:asciiTheme="majorHAnsi" w:hAnsiTheme="majorHAnsi"/>
          <w:bCs/>
          <w:color w:val="000000" w:themeColor="text1"/>
          <w:sz w:val="20"/>
          <w:szCs w:val="20"/>
          <w:lang w:val="es-ES"/>
        </w:rPr>
        <w:t>val</w:t>
      </w:r>
      <w:r w:rsidR="00A34E74" w:rsidRPr="004768D0">
        <w:rPr>
          <w:rFonts w:asciiTheme="majorHAnsi" w:hAnsiTheme="majorHAnsi"/>
          <w:bCs/>
          <w:color w:val="000000" w:themeColor="text1"/>
          <w:sz w:val="20"/>
          <w:szCs w:val="20"/>
          <w:lang w:val="es-ES"/>
        </w:rPr>
        <w:t>u</w:t>
      </w:r>
      <w:r w:rsidR="00235691" w:rsidRPr="004768D0">
        <w:rPr>
          <w:rFonts w:asciiTheme="majorHAnsi" w:hAnsiTheme="majorHAnsi"/>
          <w:bCs/>
          <w:color w:val="000000" w:themeColor="text1"/>
          <w:sz w:val="20"/>
          <w:szCs w:val="20"/>
          <w:lang w:val="es-ES"/>
        </w:rPr>
        <w:t xml:space="preserve">ar </w:t>
      </w:r>
      <w:r w:rsidR="00A34E74" w:rsidRPr="004768D0">
        <w:rPr>
          <w:rFonts w:asciiTheme="majorHAnsi" w:hAnsiTheme="majorHAnsi"/>
          <w:bCs/>
          <w:color w:val="000000" w:themeColor="text1"/>
          <w:sz w:val="20"/>
          <w:szCs w:val="20"/>
          <w:lang w:val="es-ES"/>
        </w:rPr>
        <w:t>l</w:t>
      </w:r>
      <w:r w:rsidR="00235691" w:rsidRPr="004768D0">
        <w:rPr>
          <w:rFonts w:asciiTheme="majorHAnsi" w:hAnsiTheme="majorHAnsi"/>
          <w:bCs/>
          <w:color w:val="000000" w:themeColor="text1"/>
          <w:sz w:val="20"/>
          <w:szCs w:val="20"/>
          <w:lang w:val="es-ES"/>
        </w:rPr>
        <w:t xml:space="preserve">os </w:t>
      </w:r>
      <w:r w:rsidR="000C0AC4" w:rsidRPr="004768D0">
        <w:rPr>
          <w:rFonts w:asciiTheme="majorHAnsi" w:hAnsiTheme="majorHAnsi"/>
          <w:bCs/>
          <w:color w:val="000000" w:themeColor="text1"/>
          <w:sz w:val="20"/>
          <w:szCs w:val="20"/>
          <w:lang w:val="es-ES"/>
        </w:rPr>
        <w:t>hechos</w:t>
      </w:r>
      <w:r w:rsidR="00235691"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notificados por la en</w:t>
      </w:r>
      <w:r w:rsidR="00235691" w:rsidRPr="004768D0">
        <w:rPr>
          <w:rFonts w:asciiTheme="majorHAnsi" w:hAnsiTheme="majorHAnsi"/>
          <w:bCs/>
          <w:color w:val="000000" w:themeColor="text1"/>
          <w:sz w:val="20"/>
          <w:szCs w:val="20"/>
          <w:lang w:val="es-ES"/>
        </w:rPr>
        <w:t xml:space="preserve">tidad </w:t>
      </w:r>
      <w:r w:rsidR="00A34E74" w:rsidRPr="004768D0">
        <w:rPr>
          <w:rFonts w:asciiTheme="majorHAnsi" w:hAnsiTheme="majorHAnsi"/>
          <w:bCs/>
          <w:color w:val="000000" w:themeColor="text1"/>
          <w:sz w:val="20"/>
          <w:szCs w:val="20"/>
          <w:lang w:val="es-ES"/>
        </w:rPr>
        <w:t>Movimiento</w:t>
      </w:r>
      <w:r w:rsidR="00235691" w:rsidRPr="004768D0">
        <w:rPr>
          <w:rFonts w:asciiTheme="majorHAnsi" w:hAnsiTheme="majorHAnsi"/>
          <w:bCs/>
          <w:color w:val="000000" w:themeColor="text1"/>
          <w:sz w:val="20"/>
          <w:szCs w:val="20"/>
          <w:lang w:val="es-ES"/>
        </w:rPr>
        <w:t xml:space="preserve"> M</w:t>
      </w:r>
      <w:r w:rsidR="00A34E74" w:rsidRPr="004768D0">
        <w:rPr>
          <w:rFonts w:asciiTheme="majorHAnsi" w:hAnsiTheme="majorHAnsi"/>
          <w:bCs/>
          <w:color w:val="000000" w:themeColor="text1"/>
          <w:sz w:val="20"/>
          <w:szCs w:val="20"/>
          <w:lang w:val="es-ES"/>
        </w:rPr>
        <w:t>adr</w:t>
      </w:r>
      <w:r w:rsidR="00235691" w:rsidRPr="004768D0">
        <w:rPr>
          <w:rFonts w:asciiTheme="majorHAnsi" w:hAnsiTheme="majorHAnsi"/>
          <w:bCs/>
          <w:color w:val="000000" w:themeColor="text1"/>
          <w:sz w:val="20"/>
          <w:szCs w:val="20"/>
          <w:lang w:val="es-ES"/>
        </w:rPr>
        <w:t xml:space="preserve">es de </w:t>
      </w:r>
      <w:r w:rsidR="007F4608" w:rsidRPr="004768D0">
        <w:rPr>
          <w:rFonts w:asciiTheme="majorHAnsi" w:hAnsiTheme="majorHAnsi"/>
          <w:bCs/>
          <w:color w:val="000000" w:themeColor="text1"/>
          <w:sz w:val="20"/>
          <w:szCs w:val="20"/>
          <w:lang w:val="es-ES"/>
        </w:rPr>
        <w:t>Mayo</w:t>
      </w:r>
      <w:r w:rsidR="00235691"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y examinar las providencias</w:t>
      </w:r>
      <w:r w:rsidR="00235691"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 xml:space="preserve">que sean procedentes a fin de dar cumplimiento al </w:t>
      </w:r>
      <w:r w:rsidR="00235691" w:rsidRPr="004768D0">
        <w:rPr>
          <w:rFonts w:asciiTheme="majorHAnsi" w:hAnsiTheme="majorHAnsi"/>
          <w:bCs/>
          <w:color w:val="000000" w:themeColor="text1"/>
          <w:sz w:val="20"/>
          <w:szCs w:val="20"/>
          <w:lang w:val="es-ES"/>
        </w:rPr>
        <w:t>Protocolo de Inten</w:t>
      </w:r>
      <w:r w:rsidR="00A34E74" w:rsidRPr="004768D0">
        <w:rPr>
          <w:rFonts w:asciiTheme="majorHAnsi" w:hAnsiTheme="majorHAnsi"/>
          <w:bCs/>
          <w:color w:val="000000" w:themeColor="text1"/>
          <w:sz w:val="20"/>
          <w:szCs w:val="20"/>
          <w:lang w:val="es-ES"/>
        </w:rPr>
        <w:t xml:space="preserve">ciones </w:t>
      </w:r>
      <w:r w:rsidR="00235691" w:rsidRPr="004768D0">
        <w:rPr>
          <w:rFonts w:asciiTheme="majorHAnsi" w:hAnsiTheme="majorHAnsi"/>
          <w:bCs/>
          <w:color w:val="000000" w:themeColor="text1"/>
          <w:sz w:val="20"/>
          <w:szCs w:val="20"/>
          <w:lang w:val="es-ES"/>
        </w:rPr>
        <w:t>para Redu</w:t>
      </w:r>
      <w:r w:rsidR="00A34E74" w:rsidRPr="004768D0">
        <w:rPr>
          <w:rFonts w:asciiTheme="majorHAnsi" w:hAnsiTheme="majorHAnsi"/>
          <w:bCs/>
          <w:color w:val="000000" w:themeColor="text1"/>
          <w:sz w:val="20"/>
          <w:szCs w:val="20"/>
          <w:lang w:val="es-ES"/>
        </w:rPr>
        <w:t>cir l</w:t>
      </w:r>
      <w:r w:rsidR="00235691" w:rsidRPr="004768D0">
        <w:rPr>
          <w:rFonts w:asciiTheme="majorHAnsi" w:hAnsiTheme="majorHAnsi"/>
          <w:bCs/>
          <w:color w:val="000000" w:themeColor="text1"/>
          <w:sz w:val="20"/>
          <w:szCs w:val="20"/>
          <w:lang w:val="es-ES"/>
        </w:rPr>
        <w:t>as Barreras de A</w:t>
      </w:r>
      <w:r w:rsidR="00A34E74" w:rsidRPr="004768D0">
        <w:rPr>
          <w:rFonts w:asciiTheme="majorHAnsi" w:hAnsiTheme="majorHAnsi"/>
          <w:bCs/>
          <w:color w:val="000000" w:themeColor="text1"/>
          <w:sz w:val="20"/>
          <w:szCs w:val="20"/>
          <w:lang w:val="es-ES"/>
        </w:rPr>
        <w:t>c</w:t>
      </w:r>
      <w:r w:rsidR="00235691" w:rsidRPr="004768D0">
        <w:rPr>
          <w:rFonts w:asciiTheme="majorHAnsi" w:hAnsiTheme="majorHAnsi"/>
          <w:bCs/>
          <w:color w:val="000000" w:themeColor="text1"/>
          <w:sz w:val="20"/>
          <w:szCs w:val="20"/>
          <w:lang w:val="es-ES"/>
        </w:rPr>
        <w:t>ceso</w:t>
      </w:r>
      <w:r w:rsidR="00C96AFF"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 xml:space="preserve">a la </w:t>
      </w:r>
      <w:r w:rsidR="00C65DE2" w:rsidRPr="004768D0">
        <w:rPr>
          <w:rFonts w:asciiTheme="majorHAnsi" w:hAnsiTheme="majorHAnsi"/>
          <w:bCs/>
          <w:color w:val="000000" w:themeColor="text1"/>
          <w:sz w:val="20"/>
          <w:szCs w:val="20"/>
          <w:lang w:val="es-ES"/>
        </w:rPr>
        <w:t>Justicia</w:t>
      </w:r>
      <w:r w:rsidR="00235691"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para</w:t>
      </w:r>
      <w:r w:rsidR="00235691"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 xml:space="preserve">la </w:t>
      </w:r>
      <w:r w:rsidR="00235691" w:rsidRPr="004768D0">
        <w:rPr>
          <w:rFonts w:asciiTheme="majorHAnsi" w:hAnsiTheme="majorHAnsi"/>
          <w:bCs/>
          <w:color w:val="000000" w:themeColor="text1"/>
          <w:sz w:val="20"/>
          <w:szCs w:val="20"/>
          <w:lang w:val="es-ES"/>
        </w:rPr>
        <w:t>Juventud Negra e</w:t>
      </w:r>
      <w:r w:rsidR="00A34E74" w:rsidRPr="004768D0">
        <w:rPr>
          <w:rFonts w:asciiTheme="majorHAnsi" w:hAnsiTheme="majorHAnsi"/>
          <w:bCs/>
          <w:color w:val="000000" w:themeColor="text1"/>
          <w:sz w:val="20"/>
          <w:szCs w:val="20"/>
          <w:lang w:val="es-ES"/>
        </w:rPr>
        <w:t>n</w:t>
      </w:r>
      <w:r w:rsidR="00235691"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Situación</w:t>
      </w:r>
      <w:r w:rsidR="00235691" w:rsidRPr="004768D0">
        <w:rPr>
          <w:rFonts w:asciiTheme="majorHAnsi" w:hAnsiTheme="majorHAnsi"/>
          <w:bCs/>
          <w:color w:val="000000" w:themeColor="text1"/>
          <w:sz w:val="20"/>
          <w:szCs w:val="20"/>
          <w:lang w:val="es-ES"/>
        </w:rPr>
        <w:t xml:space="preserve"> de </w:t>
      </w:r>
      <w:r w:rsidR="00A34E74" w:rsidRPr="004768D0">
        <w:rPr>
          <w:rFonts w:asciiTheme="majorHAnsi" w:hAnsiTheme="majorHAnsi"/>
          <w:bCs/>
          <w:color w:val="000000" w:themeColor="text1"/>
          <w:sz w:val="20"/>
          <w:szCs w:val="20"/>
          <w:lang w:val="es-ES"/>
        </w:rPr>
        <w:t>Violencia</w:t>
      </w:r>
      <w:r w:rsidR="00235691"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 xml:space="preserve">que fue firmado </w:t>
      </w:r>
      <w:r w:rsidR="00235691" w:rsidRPr="004768D0">
        <w:rPr>
          <w:rFonts w:asciiTheme="majorHAnsi" w:hAnsiTheme="majorHAnsi"/>
          <w:bCs/>
          <w:color w:val="000000" w:themeColor="text1"/>
          <w:sz w:val="20"/>
          <w:szCs w:val="20"/>
          <w:lang w:val="es-ES"/>
        </w:rPr>
        <w:t xml:space="preserve">por </w:t>
      </w:r>
      <w:r w:rsidR="00A34E74" w:rsidRPr="004768D0">
        <w:rPr>
          <w:rFonts w:asciiTheme="majorHAnsi" w:hAnsiTheme="majorHAnsi"/>
          <w:bCs/>
          <w:color w:val="000000" w:themeColor="text1"/>
          <w:sz w:val="20"/>
          <w:szCs w:val="20"/>
          <w:lang w:val="es-ES"/>
        </w:rPr>
        <w:t xml:space="preserve">el </w:t>
      </w:r>
      <w:r w:rsidR="00246A29" w:rsidRPr="004768D0">
        <w:rPr>
          <w:rFonts w:asciiTheme="majorHAnsi" w:hAnsiTheme="majorHAnsi"/>
          <w:bCs/>
          <w:color w:val="000000" w:themeColor="text1"/>
          <w:sz w:val="20"/>
          <w:szCs w:val="20"/>
          <w:lang w:val="es-ES"/>
        </w:rPr>
        <w:t>Consejo</w:t>
      </w:r>
      <w:r w:rsidR="00235691" w:rsidRPr="004768D0">
        <w:rPr>
          <w:rFonts w:asciiTheme="majorHAnsi" w:hAnsiTheme="majorHAnsi"/>
          <w:bCs/>
          <w:color w:val="000000" w:themeColor="text1"/>
          <w:sz w:val="20"/>
          <w:szCs w:val="20"/>
          <w:lang w:val="es-ES"/>
        </w:rPr>
        <w:t xml:space="preserve"> Nacional d</w:t>
      </w:r>
      <w:r w:rsidR="00A34E74" w:rsidRPr="004768D0">
        <w:rPr>
          <w:rFonts w:asciiTheme="majorHAnsi" w:hAnsiTheme="majorHAnsi"/>
          <w:bCs/>
          <w:color w:val="000000" w:themeColor="text1"/>
          <w:sz w:val="20"/>
          <w:szCs w:val="20"/>
          <w:lang w:val="es-ES"/>
        </w:rPr>
        <w:t>el</w:t>
      </w:r>
      <w:r w:rsidR="00235691" w:rsidRPr="004768D0">
        <w:rPr>
          <w:rFonts w:asciiTheme="majorHAnsi" w:hAnsiTheme="majorHAnsi"/>
          <w:bCs/>
          <w:color w:val="000000" w:themeColor="text1"/>
          <w:sz w:val="20"/>
          <w:szCs w:val="20"/>
          <w:lang w:val="es-ES"/>
        </w:rPr>
        <w:t xml:space="preserve"> </w:t>
      </w:r>
      <w:r w:rsidR="00F154A0" w:rsidRPr="004768D0">
        <w:rPr>
          <w:rFonts w:asciiTheme="majorHAnsi" w:hAnsiTheme="majorHAnsi"/>
          <w:bCs/>
          <w:color w:val="000000" w:themeColor="text1"/>
          <w:sz w:val="20"/>
          <w:szCs w:val="20"/>
          <w:lang w:val="es-ES"/>
        </w:rPr>
        <w:t>Ministerio</w:t>
      </w:r>
      <w:r w:rsidR="00235691" w:rsidRPr="004768D0">
        <w:rPr>
          <w:rFonts w:asciiTheme="majorHAnsi" w:hAnsiTheme="majorHAnsi"/>
          <w:bCs/>
          <w:color w:val="000000" w:themeColor="text1"/>
          <w:sz w:val="20"/>
          <w:szCs w:val="20"/>
          <w:lang w:val="es-ES"/>
        </w:rPr>
        <w:t xml:space="preserve"> Público (CNMP), </w:t>
      </w:r>
      <w:r w:rsidR="00A34E74" w:rsidRPr="004768D0">
        <w:rPr>
          <w:rFonts w:asciiTheme="majorHAnsi" w:hAnsiTheme="majorHAnsi"/>
          <w:bCs/>
          <w:color w:val="000000" w:themeColor="text1"/>
          <w:sz w:val="20"/>
          <w:szCs w:val="20"/>
          <w:lang w:val="es-ES"/>
        </w:rPr>
        <w:t xml:space="preserve">el </w:t>
      </w:r>
      <w:r w:rsidR="00246A29" w:rsidRPr="004768D0">
        <w:rPr>
          <w:rFonts w:asciiTheme="majorHAnsi" w:hAnsiTheme="majorHAnsi"/>
          <w:bCs/>
          <w:color w:val="000000" w:themeColor="text1"/>
          <w:sz w:val="20"/>
          <w:szCs w:val="20"/>
          <w:lang w:val="es-ES"/>
        </w:rPr>
        <w:t>Consejo</w:t>
      </w:r>
      <w:r w:rsidR="00235691" w:rsidRPr="004768D0">
        <w:rPr>
          <w:rFonts w:asciiTheme="majorHAnsi" w:hAnsiTheme="majorHAnsi"/>
          <w:bCs/>
          <w:color w:val="000000" w:themeColor="text1"/>
          <w:sz w:val="20"/>
          <w:szCs w:val="20"/>
          <w:lang w:val="es-ES"/>
        </w:rPr>
        <w:t xml:space="preserve"> Nacional de </w:t>
      </w:r>
      <w:r w:rsidR="00C65DE2" w:rsidRPr="004768D0">
        <w:rPr>
          <w:rFonts w:asciiTheme="majorHAnsi" w:hAnsiTheme="majorHAnsi"/>
          <w:bCs/>
          <w:color w:val="000000" w:themeColor="text1"/>
          <w:sz w:val="20"/>
          <w:szCs w:val="20"/>
          <w:lang w:val="es-ES"/>
        </w:rPr>
        <w:t>Justicia</w:t>
      </w:r>
      <w:r w:rsidR="00235691" w:rsidRPr="004768D0">
        <w:rPr>
          <w:rFonts w:asciiTheme="majorHAnsi" w:hAnsiTheme="majorHAnsi"/>
          <w:bCs/>
          <w:color w:val="000000" w:themeColor="text1"/>
          <w:sz w:val="20"/>
          <w:szCs w:val="20"/>
          <w:lang w:val="es-ES"/>
        </w:rPr>
        <w:t xml:space="preserve"> (CNJ),</w:t>
      </w:r>
      <w:r w:rsidR="00C96AFF"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 xml:space="preserve">la </w:t>
      </w:r>
      <w:r w:rsidR="00235691" w:rsidRPr="004768D0">
        <w:rPr>
          <w:rFonts w:asciiTheme="majorHAnsi" w:hAnsiTheme="majorHAnsi"/>
          <w:bCs/>
          <w:color w:val="000000" w:themeColor="text1"/>
          <w:sz w:val="20"/>
          <w:szCs w:val="20"/>
          <w:lang w:val="es-ES"/>
        </w:rPr>
        <w:t>Secretar</w:t>
      </w:r>
      <w:r w:rsidR="00A34E74" w:rsidRPr="004768D0">
        <w:rPr>
          <w:rFonts w:asciiTheme="majorHAnsi" w:hAnsiTheme="majorHAnsi"/>
          <w:bCs/>
          <w:color w:val="000000" w:themeColor="text1"/>
          <w:sz w:val="20"/>
          <w:szCs w:val="20"/>
          <w:lang w:val="es-ES"/>
        </w:rPr>
        <w:t xml:space="preserve">ía </w:t>
      </w:r>
      <w:r w:rsidR="00235691" w:rsidRPr="004768D0">
        <w:rPr>
          <w:rFonts w:asciiTheme="majorHAnsi" w:hAnsiTheme="majorHAnsi"/>
          <w:bCs/>
          <w:color w:val="000000" w:themeColor="text1"/>
          <w:sz w:val="20"/>
          <w:szCs w:val="20"/>
          <w:lang w:val="es-ES"/>
        </w:rPr>
        <w:t xml:space="preserve">de </w:t>
      </w:r>
      <w:r w:rsidR="00A34E74" w:rsidRPr="004768D0">
        <w:rPr>
          <w:rFonts w:asciiTheme="majorHAnsi" w:hAnsiTheme="majorHAnsi"/>
          <w:bCs/>
          <w:color w:val="000000" w:themeColor="text1"/>
          <w:sz w:val="20"/>
          <w:szCs w:val="20"/>
          <w:lang w:val="es-ES"/>
        </w:rPr>
        <w:t>Promoción</w:t>
      </w:r>
      <w:r w:rsidR="00235691" w:rsidRPr="004768D0">
        <w:rPr>
          <w:rFonts w:asciiTheme="majorHAnsi" w:hAnsiTheme="majorHAnsi"/>
          <w:bCs/>
          <w:color w:val="000000" w:themeColor="text1"/>
          <w:sz w:val="20"/>
          <w:szCs w:val="20"/>
          <w:lang w:val="es-ES"/>
        </w:rPr>
        <w:t xml:space="preserve"> d</w:t>
      </w:r>
      <w:r w:rsidR="00A34E74" w:rsidRPr="004768D0">
        <w:rPr>
          <w:rFonts w:asciiTheme="majorHAnsi" w:hAnsiTheme="majorHAnsi"/>
          <w:bCs/>
          <w:color w:val="000000" w:themeColor="text1"/>
          <w:sz w:val="20"/>
          <w:szCs w:val="20"/>
          <w:lang w:val="es-ES"/>
        </w:rPr>
        <w:t>e la Igualdad</w:t>
      </w:r>
      <w:r w:rsidR="00235691" w:rsidRPr="004768D0">
        <w:rPr>
          <w:rFonts w:asciiTheme="majorHAnsi" w:hAnsiTheme="majorHAnsi"/>
          <w:bCs/>
          <w:color w:val="000000" w:themeColor="text1"/>
          <w:sz w:val="20"/>
          <w:szCs w:val="20"/>
          <w:lang w:val="es-ES"/>
        </w:rPr>
        <w:t xml:space="preserve"> Racial </w:t>
      </w:r>
      <w:r w:rsidR="00A34E74" w:rsidRPr="004768D0">
        <w:rPr>
          <w:rFonts w:asciiTheme="majorHAnsi" w:hAnsiTheme="majorHAnsi"/>
          <w:bCs/>
          <w:color w:val="000000" w:themeColor="text1"/>
          <w:sz w:val="20"/>
          <w:szCs w:val="20"/>
          <w:lang w:val="es-ES"/>
        </w:rPr>
        <w:t>y</w:t>
      </w:r>
      <w:r w:rsidR="00235691" w:rsidRPr="004768D0">
        <w:rPr>
          <w:rFonts w:asciiTheme="majorHAnsi" w:hAnsiTheme="majorHAnsi"/>
          <w:bCs/>
          <w:color w:val="000000" w:themeColor="text1"/>
          <w:sz w:val="20"/>
          <w:szCs w:val="20"/>
          <w:lang w:val="es-ES"/>
        </w:rPr>
        <w:t xml:space="preserve"> Secretar</w:t>
      </w:r>
      <w:r w:rsidR="00A34E74" w:rsidRPr="004768D0">
        <w:rPr>
          <w:rFonts w:asciiTheme="majorHAnsi" w:hAnsiTheme="majorHAnsi"/>
          <w:bCs/>
          <w:color w:val="000000" w:themeColor="text1"/>
          <w:sz w:val="20"/>
          <w:szCs w:val="20"/>
          <w:lang w:val="es-ES"/>
        </w:rPr>
        <w:t>í</w:t>
      </w:r>
      <w:r w:rsidR="00235691" w:rsidRPr="004768D0">
        <w:rPr>
          <w:rFonts w:asciiTheme="majorHAnsi" w:hAnsiTheme="majorHAnsi"/>
          <w:bCs/>
          <w:color w:val="000000" w:themeColor="text1"/>
          <w:sz w:val="20"/>
          <w:szCs w:val="20"/>
          <w:lang w:val="es-ES"/>
        </w:rPr>
        <w:t>a Nacional d</w:t>
      </w:r>
      <w:r w:rsidR="00A34E74" w:rsidRPr="004768D0">
        <w:rPr>
          <w:rFonts w:asciiTheme="majorHAnsi" w:hAnsiTheme="majorHAnsi"/>
          <w:bCs/>
          <w:color w:val="000000" w:themeColor="text1"/>
          <w:sz w:val="20"/>
          <w:szCs w:val="20"/>
          <w:lang w:val="es-ES"/>
        </w:rPr>
        <w:t>e l</w:t>
      </w:r>
      <w:r w:rsidR="00235691" w:rsidRPr="004768D0">
        <w:rPr>
          <w:rFonts w:asciiTheme="majorHAnsi" w:hAnsiTheme="majorHAnsi"/>
          <w:bCs/>
          <w:color w:val="000000" w:themeColor="text1"/>
          <w:sz w:val="20"/>
          <w:szCs w:val="20"/>
          <w:lang w:val="es-ES"/>
        </w:rPr>
        <w:t>a Juventud d</w:t>
      </w:r>
      <w:r w:rsidR="00A34E74" w:rsidRPr="004768D0">
        <w:rPr>
          <w:rFonts w:asciiTheme="majorHAnsi" w:hAnsiTheme="majorHAnsi"/>
          <w:bCs/>
          <w:color w:val="000000" w:themeColor="text1"/>
          <w:sz w:val="20"/>
          <w:szCs w:val="20"/>
          <w:lang w:val="es-ES"/>
        </w:rPr>
        <w:t>e l</w:t>
      </w:r>
      <w:r w:rsidR="00235691" w:rsidRPr="004768D0">
        <w:rPr>
          <w:rFonts w:asciiTheme="majorHAnsi" w:hAnsiTheme="majorHAnsi"/>
          <w:bCs/>
          <w:color w:val="000000" w:themeColor="text1"/>
          <w:sz w:val="20"/>
          <w:szCs w:val="20"/>
          <w:lang w:val="es-ES"/>
        </w:rPr>
        <w:t>a</w:t>
      </w:r>
      <w:r w:rsidR="00C96AFF"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Presidencia</w:t>
      </w:r>
      <w:r w:rsidR="00235691" w:rsidRPr="004768D0">
        <w:rPr>
          <w:rFonts w:asciiTheme="majorHAnsi" w:hAnsiTheme="majorHAnsi"/>
          <w:bCs/>
          <w:color w:val="000000" w:themeColor="text1"/>
          <w:sz w:val="20"/>
          <w:szCs w:val="20"/>
          <w:lang w:val="es-ES"/>
        </w:rPr>
        <w:t xml:space="preserve"> d</w:t>
      </w:r>
      <w:r w:rsidR="00A34E74" w:rsidRPr="004768D0">
        <w:rPr>
          <w:rFonts w:asciiTheme="majorHAnsi" w:hAnsiTheme="majorHAnsi"/>
          <w:bCs/>
          <w:color w:val="000000" w:themeColor="text1"/>
          <w:sz w:val="20"/>
          <w:szCs w:val="20"/>
          <w:lang w:val="es-ES"/>
        </w:rPr>
        <w:t>e l</w:t>
      </w:r>
      <w:r w:rsidR="00235691" w:rsidRPr="004768D0">
        <w:rPr>
          <w:rFonts w:asciiTheme="majorHAnsi" w:hAnsiTheme="majorHAnsi"/>
          <w:bCs/>
          <w:color w:val="000000" w:themeColor="text1"/>
          <w:sz w:val="20"/>
          <w:szCs w:val="20"/>
          <w:lang w:val="es-ES"/>
        </w:rPr>
        <w:t xml:space="preserve">a República, </w:t>
      </w:r>
      <w:r w:rsidR="00A34E74" w:rsidRPr="004768D0">
        <w:rPr>
          <w:rFonts w:asciiTheme="majorHAnsi" w:hAnsiTheme="majorHAnsi"/>
          <w:bCs/>
          <w:color w:val="000000" w:themeColor="text1"/>
          <w:sz w:val="20"/>
          <w:szCs w:val="20"/>
          <w:lang w:val="es-ES"/>
        </w:rPr>
        <w:t xml:space="preserve">el </w:t>
      </w:r>
      <w:r w:rsidR="00246A29" w:rsidRPr="004768D0">
        <w:rPr>
          <w:rFonts w:asciiTheme="majorHAnsi" w:hAnsiTheme="majorHAnsi"/>
          <w:bCs/>
          <w:color w:val="000000" w:themeColor="text1"/>
          <w:sz w:val="20"/>
          <w:szCs w:val="20"/>
          <w:lang w:val="es-ES"/>
        </w:rPr>
        <w:t>Consejo</w:t>
      </w:r>
      <w:r w:rsidR="00235691" w:rsidRPr="004768D0">
        <w:rPr>
          <w:rFonts w:asciiTheme="majorHAnsi" w:hAnsiTheme="majorHAnsi"/>
          <w:bCs/>
          <w:color w:val="000000" w:themeColor="text1"/>
          <w:sz w:val="20"/>
          <w:szCs w:val="20"/>
          <w:lang w:val="es-ES"/>
        </w:rPr>
        <w:t xml:space="preserve"> Federal d</w:t>
      </w:r>
      <w:r w:rsidR="00A34E74" w:rsidRPr="004768D0">
        <w:rPr>
          <w:rFonts w:asciiTheme="majorHAnsi" w:hAnsiTheme="majorHAnsi"/>
          <w:bCs/>
          <w:color w:val="000000" w:themeColor="text1"/>
          <w:sz w:val="20"/>
          <w:szCs w:val="20"/>
          <w:lang w:val="es-ES"/>
        </w:rPr>
        <w:t xml:space="preserve">el Colegio de </w:t>
      </w:r>
      <w:r w:rsidR="00235691" w:rsidRPr="004768D0">
        <w:rPr>
          <w:rFonts w:asciiTheme="majorHAnsi" w:hAnsiTheme="majorHAnsi"/>
          <w:bCs/>
          <w:color w:val="000000" w:themeColor="text1"/>
          <w:sz w:val="20"/>
          <w:szCs w:val="20"/>
          <w:lang w:val="es-ES"/>
        </w:rPr>
        <w:t>A</w:t>
      </w:r>
      <w:r w:rsidR="00A34E74" w:rsidRPr="004768D0">
        <w:rPr>
          <w:rFonts w:asciiTheme="majorHAnsi" w:hAnsiTheme="majorHAnsi"/>
          <w:bCs/>
          <w:color w:val="000000" w:themeColor="text1"/>
          <w:sz w:val="20"/>
          <w:szCs w:val="20"/>
          <w:lang w:val="es-ES"/>
        </w:rPr>
        <w:t>b</w:t>
      </w:r>
      <w:r w:rsidR="00235691" w:rsidRPr="004768D0">
        <w:rPr>
          <w:rFonts w:asciiTheme="majorHAnsi" w:hAnsiTheme="majorHAnsi"/>
          <w:bCs/>
          <w:color w:val="000000" w:themeColor="text1"/>
          <w:sz w:val="20"/>
          <w:szCs w:val="20"/>
          <w:lang w:val="es-ES"/>
        </w:rPr>
        <w:t>ogados d</w:t>
      </w:r>
      <w:r w:rsidR="00A34E74" w:rsidRPr="004768D0">
        <w:rPr>
          <w:rFonts w:asciiTheme="majorHAnsi" w:hAnsiTheme="majorHAnsi"/>
          <w:bCs/>
          <w:color w:val="000000" w:themeColor="text1"/>
          <w:sz w:val="20"/>
          <w:szCs w:val="20"/>
          <w:lang w:val="es-ES"/>
        </w:rPr>
        <w:t>e</w:t>
      </w:r>
      <w:r w:rsidR="00235691" w:rsidRPr="004768D0">
        <w:rPr>
          <w:rFonts w:asciiTheme="majorHAnsi" w:hAnsiTheme="majorHAnsi"/>
          <w:bCs/>
          <w:color w:val="000000" w:themeColor="text1"/>
          <w:sz w:val="20"/>
          <w:szCs w:val="20"/>
          <w:lang w:val="es-ES"/>
        </w:rPr>
        <w:t xml:space="preserve"> Brasil </w:t>
      </w:r>
      <w:r w:rsidR="00A34E74" w:rsidRPr="004768D0">
        <w:rPr>
          <w:rFonts w:asciiTheme="majorHAnsi" w:hAnsiTheme="majorHAnsi"/>
          <w:bCs/>
          <w:color w:val="000000" w:themeColor="text1"/>
          <w:sz w:val="20"/>
          <w:szCs w:val="20"/>
          <w:lang w:val="es-ES"/>
        </w:rPr>
        <w:t xml:space="preserve">y el </w:t>
      </w:r>
      <w:r w:rsidR="00246A29" w:rsidRPr="004768D0">
        <w:rPr>
          <w:rFonts w:asciiTheme="majorHAnsi" w:hAnsiTheme="majorHAnsi"/>
          <w:bCs/>
          <w:color w:val="000000" w:themeColor="text1"/>
          <w:sz w:val="20"/>
          <w:szCs w:val="20"/>
          <w:lang w:val="es-ES"/>
        </w:rPr>
        <w:t>Consejo</w:t>
      </w:r>
      <w:r w:rsidR="00235691" w:rsidRPr="004768D0">
        <w:rPr>
          <w:rFonts w:asciiTheme="majorHAnsi" w:hAnsiTheme="majorHAnsi"/>
          <w:bCs/>
          <w:color w:val="000000" w:themeColor="text1"/>
          <w:sz w:val="20"/>
          <w:szCs w:val="20"/>
          <w:lang w:val="es-ES"/>
        </w:rPr>
        <w:t xml:space="preserve"> Nacional de Defensores Públicos Ge</w:t>
      </w:r>
      <w:r w:rsidR="00A34E74" w:rsidRPr="004768D0">
        <w:rPr>
          <w:rFonts w:asciiTheme="majorHAnsi" w:hAnsiTheme="majorHAnsi"/>
          <w:bCs/>
          <w:color w:val="000000" w:themeColor="text1"/>
          <w:sz w:val="20"/>
          <w:szCs w:val="20"/>
          <w:lang w:val="es-ES"/>
        </w:rPr>
        <w:t>ne</w:t>
      </w:r>
      <w:r w:rsidR="00235691" w:rsidRPr="004768D0">
        <w:rPr>
          <w:rFonts w:asciiTheme="majorHAnsi" w:hAnsiTheme="majorHAnsi"/>
          <w:bCs/>
          <w:color w:val="000000" w:themeColor="text1"/>
          <w:sz w:val="20"/>
          <w:szCs w:val="20"/>
          <w:lang w:val="es-ES"/>
        </w:rPr>
        <w:t>ra</w:t>
      </w:r>
      <w:r w:rsidR="00A34E74" w:rsidRPr="004768D0">
        <w:rPr>
          <w:rFonts w:asciiTheme="majorHAnsi" w:hAnsiTheme="majorHAnsi"/>
          <w:bCs/>
          <w:color w:val="000000" w:themeColor="text1"/>
          <w:sz w:val="20"/>
          <w:szCs w:val="20"/>
          <w:lang w:val="es-ES"/>
        </w:rPr>
        <w:t>le</w:t>
      </w:r>
      <w:r w:rsidR="00235691" w:rsidRPr="004768D0">
        <w:rPr>
          <w:rFonts w:asciiTheme="majorHAnsi" w:hAnsiTheme="majorHAnsi"/>
          <w:bCs/>
          <w:color w:val="000000" w:themeColor="text1"/>
          <w:sz w:val="20"/>
          <w:szCs w:val="20"/>
          <w:lang w:val="es-ES"/>
        </w:rPr>
        <w:t>s</w:t>
      </w:r>
      <w:r w:rsidR="004744F0" w:rsidRPr="004768D0">
        <w:rPr>
          <w:rFonts w:asciiTheme="majorHAnsi" w:hAnsiTheme="majorHAnsi"/>
          <w:bCs/>
          <w:color w:val="000000" w:themeColor="text1"/>
          <w:sz w:val="20"/>
          <w:szCs w:val="20"/>
          <w:lang w:val="es-ES"/>
        </w:rPr>
        <w:t>”</w:t>
      </w:r>
      <w:r w:rsidR="00860DC6" w:rsidRPr="004768D0">
        <w:rPr>
          <w:rStyle w:val="FootnoteReference"/>
          <w:rFonts w:asciiTheme="majorHAnsi" w:hAnsiTheme="majorHAnsi"/>
          <w:bCs/>
          <w:color w:val="000000" w:themeColor="text1"/>
          <w:sz w:val="20"/>
          <w:szCs w:val="20"/>
          <w:lang w:val="es-ES"/>
        </w:rPr>
        <w:footnoteReference w:id="13"/>
      </w:r>
      <w:r w:rsidR="00A34E74" w:rsidRPr="004768D0">
        <w:rPr>
          <w:rFonts w:asciiTheme="majorHAnsi" w:hAnsiTheme="majorHAnsi"/>
          <w:bCs/>
          <w:color w:val="000000" w:themeColor="text1"/>
          <w:sz w:val="20"/>
          <w:szCs w:val="20"/>
          <w:lang w:val="es-ES"/>
        </w:rPr>
        <w:t>.</w:t>
      </w:r>
    </w:p>
    <w:p w14:paraId="586B0D24" w14:textId="77777777" w:rsidR="00860DC6" w:rsidRPr="004768D0" w:rsidRDefault="00860DC6" w:rsidP="00860DC6">
      <w:pPr>
        <w:pStyle w:val="ListParagraph"/>
        <w:rPr>
          <w:rFonts w:asciiTheme="majorHAnsi" w:hAnsiTheme="majorHAnsi"/>
          <w:bCs/>
          <w:color w:val="000000" w:themeColor="text1"/>
          <w:sz w:val="20"/>
          <w:szCs w:val="20"/>
          <w:lang w:val="es-ES"/>
        </w:rPr>
      </w:pPr>
    </w:p>
    <w:p w14:paraId="1DE3FF90" w14:textId="77777777" w:rsidR="00235691" w:rsidRPr="004768D0" w:rsidRDefault="00462731"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El Estado</w:t>
      </w:r>
      <w:r w:rsidR="00860DC6"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afirmó</w:t>
      </w:r>
      <w:r w:rsidR="00860DC6" w:rsidRPr="004768D0">
        <w:rPr>
          <w:rFonts w:asciiTheme="majorHAnsi" w:hAnsiTheme="majorHAnsi"/>
          <w:bCs/>
          <w:color w:val="000000" w:themeColor="text1"/>
          <w:sz w:val="20"/>
          <w:szCs w:val="20"/>
          <w:lang w:val="es-ES"/>
        </w:rPr>
        <w:t xml:space="preserve"> </w:t>
      </w:r>
      <w:r w:rsidR="00A34E74" w:rsidRPr="004768D0">
        <w:rPr>
          <w:rFonts w:asciiTheme="majorHAnsi" w:hAnsiTheme="majorHAnsi"/>
          <w:bCs/>
          <w:color w:val="000000" w:themeColor="text1"/>
          <w:sz w:val="20"/>
          <w:szCs w:val="20"/>
          <w:lang w:val="es-ES"/>
        </w:rPr>
        <w:t xml:space="preserve">que la </w:t>
      </w:r>
      <w:r w:rsidR="003D19EA" w:rsidRPr="004768D0">
        <w:rPr>
          <w:rFonts w:asciiTheme="majorHAnsi" w:hAnsiTheme="majorHAnsi"/>
          <w:bCs/>
          <w:color w:val="000000" w:themeColor="text1"/>
          <w:sz w:val="20"/>
          <w:szCs w:val="20"/>
          <w:lang w:val="es-ES"/>
        </w:rPr>
        <w:t xml:space="preserve">Procuraduría </w:t>
      </w:r>
      <w:r w:rsidR="00235691" w:rsidRPr="004768D0">
        <w:rPr>
          <w:rFonts w:asciiTheme="majorHAnsi" w:hAnsiTheme="majorHAnsi"/>
          <w:bCs/>
          <w:color w:val="000000" w:themeColor="text1"/>
          <w:sz w:val="20"/>
          <w:szCs w:val="20"/>
          <w:lang w:val="es-ES"/>
        </w:rPr>
        <w:t xml:space="preserve">de </w:t>
      </w:r>
      <w:r w:rsidR="00C65DE2" w:rsidRPr="004768D0">
        <w:rPr>
          <w:rFonts w:asciiTheme="majorHAnsi" w:hAnsiTheme="majorHAnsi"/>
          <w:bCs/>
          <w:color w:val="000000" w:themeColor="text1"/>
          <w:sz w:val="20"/>
          <w:szCs w:val="20"/>
          <w:lang w:val="es-ES"/>
        </w:rPr>
        <w:t>Justicia</w:t>
      </w:r>
      <w:r w:rsidR="00235691" w:rsidRPr="004768D0">
        <w:rPr>
          <w:rFonts w:asciiTheme="majorHAnsi" w:hAnsiTheme="majorHAnsi"/>
          <w:bCs/>
          <w:color w:val="000000" w:themeColor="text1"/>
          <w:sz w:val="20"/>
          <w:szCs w:val="20"/>
          <w:lang w:val="es-ES"/>
        </w:rPr>
        <w:t xml:space="preserve"> de </w:t>
      </w:r>
      <w:r w:rsidR="00246A29" w:rsidRPr="004768D0">
        <w:rPr>
          <w:rFonts w:asciiTheme="majorHAnsi" w:hAnsiTheme="majorHAnsi"/>
          <w:bCs/>
          <w:color w:val="000000" w:themeColor="text1"/>
          <w:sz w:val="20"/>
          <w:szCs w:val="20"/>
          <w:lang w:val="es-ES"/>
        </w:rPr>
        <w:t>Derechos</w:t>
      </w:r>
      <w:r w:rsidR="00235691" w:rsidRPr="004768D0">
        <w:rPr>
          <w:rFonts w:asciiTheme="majorHAnsi" w:hAnsiTheme="majorHAnsi"/>
          <w:bCs/>
          <w:color w:val="000000" w:themeColor="text1"/>
          <w:sz w:val="20"/>
          <w:szCs w:val="20"/>
          <w:lang w:val="es-ES"/>
        </w:rPr>
        <w:t xml:space="preserve"> Humanos </w:t>
      </w:r>
      <w:r w:rsidR="00860DC6" w:rsidRPr="004768D0">
        <w:rPr>
          <w:rFonts w:asciiTheme="majorHAnsi" w:hAnsiTheme="majorHAnsi"/>
          <w:bCs/>
          <w:color w:val="000000" w:themeColor="text1"/>
          <w:sz w:val="20"/>
          <w:szCs w:val="20"/>
          <w:lang w:val="es-ES"/>
        </w:rPr>
        <w:t>de São Paulo</w:t>
      </w:r>
      <w:r w:rsidR="002356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 xml:space="preserve">había iniciado dos investigaciones civiles con el </w:t>
      </w:r>
      <w:r w:rsidR="002B3EC6">
        <w:rPr>
          <w:rFonts w:asciiTheme="majorHAnsi" w:hAnsiTheme="majorHAnsi"/>
          <w:bCs/>
          <w:color w:val="000000" w:themeColor="text1"/>
          <w:sz w:val="20"/>
          <w:szCs w:val="20"/>
          <w:lang w:val="es-ES"/>
        </w:rPr>
        <w:t xml:space="preserve">propósito </w:t>
      </w:r>
      <w:r w:rsidR="003D19EA" w:rsidRPr="004768D0">
        <w:rPr>
          <w:rFonts w:asciiTheme="majorHAnsi" w:hAnsiTheme="majorHAnsi"/>
          <w:bCs/>
          <w:color w:val="000000" w:themeColor="text1"/>
          <w:sz w:val="20"/>
          <w:szCs w:val="20"/>
          <w:lang w:val="es-ES"/>
        </w:rPr>
        <w:t xml:space="preserve">de recabar información </w:t>
      </w:r>
      <w:r w:rsidR="00235691" w:rsidRPr="004768D0">
        <w:rPr>
          <w:rFonts w:asciiTheme="majorHAnsi" w:hAnsiTheme="majorHAnsi"/>
          <w:bCs/>
          <w:color w:val="000000" w:themeColor="text1"/>
          <w:sz w:val="20"/>
          <w:szCs w:val="20"/>
          <w:lang w:val="es-ES"/>
        </w:rPr>
        <w:t>acerca d</w:t>
      </w:r>
      <w:r w:rsidR="003D19EA" w:rsidRPr="004768D0">
        <w:rPr>
          <w:rFonts w:asciiTheme="majorHAnsi" w:hAnsiTheme="majorHAnsi"/>
          <w:bCs/>
          <w:color w:val="000000" w:themeColor="text1"/>
          <w:sz w:val="20"/>
          <w:szCs w:val="20"/>
          <w:lang w:val="es-ES"/>
        </w:rPr>
        <w:t>e l</w:t>
      </w:r>
      <w:r w:rsidR="00235691" w:rsidRPr="004768D0">
        <w:rPr>
          <w:rFonts w:asciiTheme="majorHAnsi" w:hAnsiTheme="majorHAnsi"/>
          <w:bCs/>
          <w:color w:val="000000" w:themeColor="text1"/>
          <w:sz w:val="20"/>
          <w:szCs w:val="20"/>
          <w:lang w:val="es-ES"/>
        </w:rPr>
        <w:t xml:space="preserve">as </w:t>
      </w:r>
      <w:r w:rsidRPr="004768D0">
        <w:rPr>
          <w:rFonts w:asciiTheme="majorHAnsi" w:hAnsiTheme="majorHAnsi"/>
          <w:bCs/>
          <w:color w:val="000000" w:themeColor="text1"/>
          <w:sz w:val="20"/>
          <w:szCs w:val="20"/>
          <w:lang w:val="es-ES"/>
        </w:rPr>
        <w:t>muertes</w:t>
      </w:r>
      <w:r w:rsidR="00C96AFF"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 xml:space="preserve">acaecidas en </w:t>
      </w:r>
      <w:r w:rsidR="007F4608" w:rsidRPr="004768D0">
        <w:rPr>
          <w:rFonts w:asciiTheme="majorHAnsi" w:hAnsiTheme="majorHAnsi"/>
          <w:bCs/>
          <w:color w:val="000000" w:themeColor="text1"/>
          <w:sz w:val="20"/>
          <w:szCs w:val="20"/>
          <w:lang w:val="es-ES"/>
        </w:rPr>
        <w:t>mayo</w:t>
      </w:r>
      <w:r w:rsidR="00235691" w:rsidRPr="004768D0">
        <w:rPr>
          <w:rFonts w:asciiTheme="majorHAnsi" w:hAnsiTheme="majorHAnsi"/>
          <w:bCs/>
          <w:color w:val="000000" w:themeColor="text1"/>
          <w:sz w:val="20"/>
          <w:szCs w:val="20"/>
          <w:lang w:val="es-ES"/>
        </w:rPr>
        <w:t xml:space="preserve"> de 2006, </w:t>
      </w:r>
      <w:r w:rsidR="003D19EA" w:rsidRPr="004768D0">
        <w:rPr>
          <w:rFonts w:asciiTheme="majorHAnsi" w:hAnsiTheme="majorHAnsi"/>
          <w:bCs/>
          <w:color w:val="000000" w:themeColor="text1"/>
          <w:sz w:val="20"/>
          <w:szCs w:val="20"/>
          <w:lang w:val="es-ES"/>
        </w:rPr>
        <w:t>las cuales seguían un trámite</w:t>
      </w:r>
      <w:r w:rsidR="00235691" w:rsidRPr="004768D0">
        <w:rPr>
          <w:rFonts w:asciiTheme="majorHAnsi" w:hAnsiTheme="majorHAnsi"/>
          <w:bCs/>
          <w:color w:val="000000" w:themeColor="text1"/>
          <w:sz w:val="20"/>
          <w:szCs w:val="20"/>
          <w:lang w:val="es-ES"/>
        </w:rPr>
        <w:t xml:space="preserve"> regular:</w:t>
      </w:r>
      <w:r w:rsidR="00BD62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la investigación c</w:t>
      </w:r>
      <w:r w:rsidR="00235691" w:rsidRPr="004768D0">
        <w:rPr>
          <w:rFonts w:asciiTheme="majorHAnsi" w:hAnsiTheme="majorHAnsi"/>
          <w:bCs/>
          <w:color w:val="000000" w:themeColor="text1"/>
          <w:sz w:val="20"/>
          <w:szCs w:val="20"/>
          <w:lang w:val="es-ES"/>
        </w:rPr>
        <w:t xml:space="preserve">ivil </w:t>
      </w:r>
      <w:proofErr w:type="spellStart"/>
      <w:r w:rsidR="00A34E74" w:rsidRPr="004768D0">
        <w:rPr>
          <w:rFonts w:asciiTheme="majorHAnsi" w:hAnsiTheme="majorHAnsi"/>
          <w:bCs/>
          <w:color w:val="000000" w:themeColor="text1"/>
          <w:sz w:val="20"/>
          <w:szCs w:val="20"/>
          <w:lang w:val="es-ES"/>
        </w:rPr>
        <w:t>N.</w:t>
      </w:r>
      <w:r w:rsidR="00A34E74" w:rsidRPr="004768D0">
        <w:rPr>
          <w:rFonts w:asciiTheme="majorHAnsi" w:hAnsiTheme="majorHAnsi"/>
          <w:bCs/>
          <w:color w:val="000000" w:themeColor="text1"/>
          <w:sz w:val="20"/>
          <w:szCs w:val="20"/>
          <w:vertAlign w:val="superscript"/>
          <w:lang w:val="es-ES"/>
        </w:rPr>
        <w:t>o</w:t>
      </w:r>
      <w:proofErr w:type="spellEnd"/>
      <w:r w:rsidR="00235691" w:rsidRPr="004768D0">
        <w:rPr>
          <w:rFonts w:asciiTheme="majorHAnsi" w:hAnsiTheme="majorHAnsi"/>
          <w:bCs/>
          <w:color w:val="000000" w:themeColor="text1"/>
          <w:sz w:val="20"/>
          <w:szCs w:val="20"/>
          <w:lang w:val="es-ES"/>
        </w:rPr>
        <w:t xml:space="preserve"> 14.0725.0000382/2015-4, </w:t>
      </w:r>
      <w:r w:rsidR="003D19EA" w:rsidRPr="004768D0">
        <w:rPr>
          <w:rFonts w:asciiTheme="majorHAnsi" w:hAnsiTheme="majorHAnsi"/>
          <w:bCs/>
          <w:color w:val="000000" w:themeColor="text1"/>
          <w:sz w:val="20"/>
          <w:szCs w:val="20"/>
          <w:lang w:val="es-ES"/>
        </w:rPr>
        <w:t>con</w:t>
      </w:r>
      <w:r w:rsidR="002356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 xml:space="preserve">el fin de investigar las </w:t>
      </w:r>
      <w:r w:rsidR="00235691" w:rsidRPr="004768D0">
        <w:rPr>
          <w:rFonts w:asciiTheme="majorHAnsi" w:hAnsiTheme="majorHAnsi"/>
          <w:bCs/>
          <w:color w:val="000000" w:themeColor="text1"/>
          <w:sz w:val="20"/>
          <w:szCs w:val="20"/>
          <w:lang w:val="es-ES"/>
        </w:rPr>
        <w:t xml:space="preserve">causas </w:t>
      </w:r>
      <w:r w:rsidR="003D19EA" w:rsidRPr="004768D0">
        <w:rPr>
          <w:rFonts w:asciiTheme="majorHAnsi" w:hAnsiTheme="majorHAnsi"/>
          <w:bCs/>
          <w:color w:val="000000" w:themeColor="text1"/>
          <w:sz w:val="20"/>
          <w:szCs w:val="20"/>
          <w:lang w:val="es-ES"/>
        </w:rPr>
        <w:t>y</w:t>
      </w:r>
      <w:r w:rsidR="00235691" w:rsidRPr="004768D0">
        <w:rPr>
          <w:rFonts w:asciiTheme="majorHAnsi" w:hAnsiTheme="majorHAnsi"/>
          <w:bCs/>
          <w:color w:val="000000" w:themeColor="text1"/>
          <w:sz w:val="20"/>
          <w:szCs w:val="20"/>
          <w:lang w:val="es-ES"/>
        </w:rPr>
        <w:t xml:space="preserve"> buscar solu</w:t>
      </w:r>
      <w:r w:rsidR="003D19EA" w:rsidRPr="004768D0">
        <w:rPr>
          <w:rFonts w:asciiTheme="majorHAnsi" w:hAnsiTheme="majorHAnsi"/>
          <w:bCs/>
          <w:color w:val="000000" w:themeColor="text1"/>
          <w:sz w:val="20"/>
          <w:szCs w:val="20"/>
          <w:lang w:val="es-ES"/>
        </w:rPr>
        <w:t xml:space="preserve">ciones, por medio </w:t>
      </w:r>
      <w:r w:rsidR="00235691" w:rsidRPr="004768D0">
        <w:rPr>
          <w:rFonts w:asciiTheme="majorHAnsi" w:hAnsiTheme="majorHAnsi"/>
          <w:bCs/>
          <w:color w:val="000000" w:themeColor="text1"/>
          <w:sz w:val="20"/>
          <w:szCs w:val="20"/>
          <w:lang w:val="es-ES"/>
        </w:rPr>
        <w:t xml:space="preserve">de políticas públicas, para </w:t>
      </w:r>
      <w:r w:rsidR="003D19EA" w:rsidRPr="004768D0">
        <w:rPr>
          <w:rFonts w:asciiTheme="majorHAnsi" w:hAnsiTheme="majorHAnsi"/>
          <w:bCs/>
          <w:color w:val="000000" w:themeColor="text1"/>
          <w:sz w:val="20"/>
          <w:szCs w:val="20"/>
          <w:lang w:val="es-ES"/>
        </w:rPr>
        <w:t>l</w:t>
      </w:r>
      <w:r w:rsidR="00235691" w:rsidRPr="004768D0">
        <w:rPr>
          <w:rFonts w:asciiTheme="majorHAnsi" w:hAnsiTheme="majorHAnsi"/>
          <w:bCs/>
          <w:color w:val="000000" w:themeColor="text1"/>
          <w:sz w:val="20"/>
          <w:szCs w:val="20"/>
          <w:lang w:val="es-ES"/>
        </w:rPr>
        <w:t>os elevados índices de</w:t>
      </w:r>
      <w:r w:rsidR="00C96AFF" w:rsidRPr="004768D0">
        <w:rPr>
          <w:rFonts w:asciiTheme="majorHAnsi" w:hAnsiTheme="majorHAnsi"/>
          <w:bCs/>
          <w:color w:val="000000" w:themeColor="text1"/>
          <w:sz w:val="20"/>
          <w:szCs w:val="20"/>
          <w:lang w:val="es-ES"/>
        </w:rPr>
        <w:t xml:space="preserve"> </w:t>
      </w:r>
      <w:r w:rsidR="00235691" w:rsidRPr="004768D0">
        <w:rPr>
          <w:rFonts w:asciiTheme="majorHAnsi" w:hAnsiTheme="majorHAnsi"/>
          <w:bCs/>
          <w:color w:val="000000" w:themeColor="text1"/>
          <w:sz w:val="20"/>
          <w:szCs w:val="20"/>
          <w:lang w:val="es-ES"/>
        </w:rPr>
        <w:t xml:space="preserve">letalidad policial </w:t>
      </w:r>
      <w:r w:rsidR="003D19EA" w:rsidRPr="004768D0">
        <w:rPr>
          <w:rFonts w:asciiTheme="majorHAnsi" w:hAnsiTheme="majorHAnsi"/>
          <w:bCs/>
          <w:color w:val="000000" w:themeColor="text1"/>
          <w:sz w:val="20"/>
          <w:szCs w:val="20"/>
          <w:lang w:val="es-ES"/>
        </w:rPr>
        <w:t>e</w:t>
      </w:r>
      <w:r w:rsidR="00235691" w:rsidRPr="004768D0">
        <w:rPr>
          <w:rFonts w:asciiTheme="majorHAnsi" w:hAnsiTheme="majorHAnsi"/>
          <w:bCs/>
          <w:color w:val="000000" w:themeColor="text1"/>
          <w:sz w:val="20"/>
          <w:szCs w:val="20"/>
          <w:lang w:val="es-ES"/>
        </w:rPr>
        <w:t>n</w:t>
      </w:r>
      <w:r w:rsidR="003D19EA" w:rsidRPr="004768D0">
        <w:rPr>
          <w:rFonts w:asciiTheme="majorHAnsi" w:hAnsiTheme="majorHAnsi"/>
          <w:bCs/>
          <w:color w:val="000000" w:themeColor="text1"/>
          <w:sz w:val="20"/>
          <w:szCs w:val="20"/>
          <w:lang w:val="es-ES"/>
        </w:rPr>
        <w:t xml:space="preserve"> </w:t>
      </w:r>
      <w:r w:rsidR="003C58C5" w:rsidRPr="004768D0">
        <w:rPr>
          <w:rFonts w:asciiTheme="majorHAnsi" w:hAnsiTheme="majorHAnsi"/>
          <w:bCs/>
          <w:color w:val="000000" w:themeColor="text1"/>
          <w:sz w:val="20"/>
          <w:szCs w:val="20"/>
          <w:lang w:val="es-ES"/>
        </w:rPr>
        <w:t xml:space="preserve">el </w:t>
      </w:r>
      <w:r w:rsidR="002B3EC6">
        <w:rPr>
          <w:rFonts w:asciiTheme="majorHAnsi" w:hAnsiTheme="majorHAnsi"/>
          <w:bCs/>
          <w:color w:val="000000" w:themeColor="text1"/>
          <w:sz w:val="20"/>
          <w:szCs w:val="20"/>
          <w:lang w:val="es-ES"/>
        </w:rPr>
        <w:t>e</w:t>
      </w:r>
      <w:r w:rsidR="003C58C5" w:rsidRPr="004768D0">
        <w:rPr>
          <w:rFonts w:asciiTheme="majorHAnsi" w:hAnsiTheme="majorHAnsi"/>
          <w:bCs/>
          <w:color w:val="000000" w:themeColor="text1"/>
          <w:sz w:val="20"/>
          <w:szCs w:val="20"/>
          <w:lang w:val="es-ES"/>
        </w:rPr>
        <w:t>stado</w:t>
      </w:r>
      <w:r w:rsidR="00235691" w:rsidRPr="004768D0">
        <w:rPr>
          <w:rFonts w:asciiTheme="majorHAnsi" w:hAnsiTheme="majorHAnsi"/>
          <w:bCs/>
          <w:color w:val="000000" w:themeColor="text1"/>
          <w:sz w:val="20"/>
          <w:szCs w:val="20"/>
          <w:lang w:val="es-ES"/>
        </w:rPr>
        <w:t xml:space="preserve"> de São Paulo</w:t>
      </w:r>
      <w:r w:rsidR="003D19EA" w:rsidRPr="004768D0">
        <w:rPr>
          <w:rFonts w:asciiTheme="majorHAnsi" w:hAnsiTheme="majorHAnsi"/>
          <w:bCs/>
          <w:color w:val="000000" w:themeColor="text1"/>
          <w:sz w:val="20"/>
          <w:szCs w:val="20"/>
          <w:lang w:val="es-ES"/>
        </w:rPr>
        <w:t xml:space="preserve"> resultantes de la actuación de la policía civil y militar, y la i</w:t>
      </w:r>
      <w:r w:rsidR="00C03E33" w:rsidRPr="004768D0">
        <w:rPr>
          <w:rFonts w:asciiTheme="majorHAnsi" w:hAnsiTheme="majorHAnsi"/>
          <w:bCs/>
          <w:color w:val="000000" w:themeColor="text1"/>
          <w:sz w:val="20"/>
          <w:szCs w:val="20"/>
          <w:lang w:val="es-ES"/>
        </w:rPr>
        <w:t>nvestigación</w:t>
      </w:r>
      <w:r w:rsidR="002356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c</w:t>
      </w:r>
      <w:r w:rsidR="00235691" w:rsidRPr="004768D0">
        <w:rPr>
          <w:rFonts w:asciiTheme="majorHAnsi" w:hAnsiTheme="majorHAnsi"/>
          <w:bCs/>
          <w:color w:val="000000" w:themeColor="text1"/>
          <w:sz w:val="20"/>
          <w:szCs w:val="20"/>
          <w:lang w:val="es-ES"/>
        </w:rPr>
        <w:t xml:space="preserve">ivil </w:t>
      </w:r>
      <w:proofErr w:type="spellStart"/>
      <w:r w:rsidR="003D19EA" w:rsidRPr="004768D0">
        <w:rPr>
          <w:rFonts w:asciiTheme="majorHAnsi" w:hAnsiTheme="majorHAnsi"/>
          <w:bCs/>
          <w:color w:val="000000" w:themeColor="text1"/>
          <w:sz w:val="20"/>
          <w:szCs w:val="20"/>
          <w:lang w:val="es-ES"/>
        </w:rPr>
        <w:t>N.</w:t>
      </w:r>
      <w:r w:rsidR="003D19EA" w:rsidRPr="004768D0">
        <w:rPr>
          <w:rFonts w:asciiTheme="majorHAnsi" w:hAnsiTheme="majorHAnsi"/>
          <w:bCs/>
          <w:color w:val="000000" w:themeColor="text1"/>
          <w:sz w:val="20"/>
          <w:szCs w:val="20"/>
          <w:vertAlign w:val="superscript"/>
          <w:lang w:val="es-ES"/>
        </w:rPr>
        <w:t>o</w:t>
      </w:r>
      <w:proofErr w:type="spellEnd"/>
      <w:r w:rsidR="00235691" w:rsidRPr="004768D0">
        <w:rPr>
          <w:rFonts w:asciiTheme="majorHAnsi" w:hAnsiTheme="majorHAnsi"/>
          <w:bCs/>
          <w:color w:val="000000" w:themeColor="text1"/>
          <w:sz w:val="20"/>
          <w:szCs w:val="20"/>
          <w:lang w:val="es-ES"/>
        </w:rPr>
        <w:t xml:space="preserve"> 14.0725.0001580/2014-1, co</w:t>
      </w:r>
      <w:r w:rsidR="003D19EA" w:rsidRPr="004768D0">
        <w:rPr>
          <w:rFonts w:asciiTheme="majorHAnsi" w:hAnsiTheme="majorHAnsi"/>
          <w:bCs/>
          <w:color w:val="000000" w:themeColor="text1"/>
          <w:sz w:val="20"/>
          <w:szCs w:val="20"/>
          <w:lang w:val="es-ES"/>
        </w:rPr>
        <w:t xml:space="preserve">n el </w:t>
      </w:r>
      <w:r w:rsidR="002B3EC6">
        <w:rPr>
          <w:rFonts w:asciiTheme="majorHAnsi" w:hAnsiTheme="majorHAnsi"/>
          <w:bCs/>
          <w:color w:val="000000" w:themeColor="text1"/>
          <w:sz w:val="20"/>
          <w:szCs w:val="20"/>
          <w:lang w:val="es-ES"/>
        </w:rPr>
        <w:t>objetivo</w:t>
      </w:r>
      <w:r w:rsidR="00235691" w:rsidRPr="004768D0">
        <w:rPr>
          <w:rFonts w:asciiTheme="majorHAnsi" w:hAnsiTheme="majorHAnsi"/>
          <w:bCs/>
          <w:color w:val="000000" w:themeColor="text1"/>
          <w:sz w:val="20"/>
          <w:szCs w:val="20"/>
          <w:lang w:val="es-ES"/>
        </w:rPr>
        <w:t xml:space="preserve"> de </w:t>
      </w:r>
      <w:r w:rsidR="003D19EA" w:rsidRPr="004768D0">
        <w:rPr>
          <w:rFonts w:asciiTheme="majorHAnsi" w:hAnsiTheme="majorHAnsi"/>
          <w:bCs/>
          <w:color w:val="000000" w:themeColor="text1"/>
          <w:sz w:val="20"/>
          <w:szCs w:val="20"/>
          <w:lang w:val="es-ES"/>
        </w:rPr>
        <w:t xml:space="preserve">facilitar la adopción </w:t>
      </w:r>
      <w:r w:rsidR="00235691" w:rsidRPr="004768D0">
        <w:rPr>
          <w:rFonts w:asciiTheme="majorHAnsi" w:hAnsiTheme="majorHAnsi"/>
          <w:bCs/>
          <w:color w:val="000000" w:themeColor="text1"/>
          <w:sz w:val="20"/>
          <w:szCs w:val="20"/>
          <w:lang w:val="es-ES"/>
        </w:rPr>
        <w:t xml:space="preserve">de </w:t>
      </w:r>
      <w:r w:rsidR="003D19EA" w:rsidRPr="004768D0">
        <w:rPr>
          <w:rFonts w:asciiTheme="majorHAnsi" w:hAnsiTheme="majorHAnsi"/>
          <w:bCs/>
          <w:color w:val="000000" w:themeColor="text1"/>
          <w:sz w:val="20"/>
          <w:szCs w:val="20"/>
          <w:lang w:val="es-ES"/>
        </w:rPr>
        <w:t>providencias</w:t>
      </w:r>
      <w:r w:rsidR="002356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en el ámbito</w:t>
      </w:r>
      <w:r w:rsidR="00235691" w:rsidRPr="004768D0">
        <w:rPr>
          <w:rFonts w:asciiTheme="majorHAnsi" w:hAnsiTheme="majorHAnsi"/>
          <w:bCs/>
          <w:color w:val="000000" w:themeColor="text1"/>
          <w:sz w:val="20"/>
          <w:szCs w:val="20"/>
          <w:lang w:val="es-ES"/>
        </w:rPr>
        <w:t xml:space="preserve"> d</w:t>
      </w:r>
      <w:r w:rsidR="003D19EA" w:rsidRPr="004768D0">
        <w:rPr>
          <w:rFonts w:asciiTheme="majorHAnsi" w:hAnsiTheme="majorHAnsi"/>
          <w:bCs/>
          <w:color w:val="000000" w:themeColor="text1"/>
          <w:sz w:val="20"/>
          <w:szCs w:val="20"/>
          <w:lang w:val="es-ES"/>
        </w:rPr>
        <w:t>e l</w:t>
      </w:r>
      <w:r w:rsidR="00235691" w:rsidRPr="004768D0">
        <w:rPr>
          <w:rFonts w:asciiTheme="majorHAnsi" w:hAnsiTheme="majorHAnsi"/>
          <w:bCs/>
          <w:color w:val="000000" w:themeColor="text1"/>
          <w:sz w:val="20"/>
          <w:szCs w:val="20"/>
          <w:lang w:val="es-ES"/>
        </w:rPr>
        <w:t xml:space="preserve">os </w:t>
      </w:r>
      <w:r w:rsidR="00246A29" w:rsidRPr="004768D0">
        <w:rPr>
          <w:rFonts w:asciiTheme="majorHAnsi" w:hAnsiTheme="majorHAnsi"/>
          <w:bCs/>
          <w:color w:val="000000" w:themeColor="text1"/>
          <w:sz w:val="20"/>
          <w:szCs w:val="20"/>
          <w:lang w:val="es-ES"/>
        </w:rPr>
        <w:t>derechos</w:t>
      </w:r>
      <w:r w:rsidR="00235691" w:rsidRPr="004768D0">
        <w:rPr>
          <w:rFonts w:asciiTheme="majorHAnsi" w:hAnsiTheme="majorHAnsi"/>
          <w:bCs/>
          <w:color w:val="000000" w:themeColor="text1"/>
          <w:sz w:val="20"/>
          <w:szCs w:val="20"/>
          <w:lang w:val="es-ES"/>
        </w:rPr>
        <w:t xml:space="preserve"> humanos (tutela de </w:t>
      </w:r>
      <w:r w:rsidR="00246A29" w:rsidRPr="004768D0">
        <w:rPr>
          <w:rFonts w:asciiTheme="majorHAnsi" w:hAnsiTheme="majorHAnsi"/>
          <w:bCs/>
          <w:color w:val="000000" w:themeColor="text1"/>
          <w:sz w:val="20"/>
          <w:szCs w:val="20"/>
          <w:lang w:val="es-ES"/>
        </w:rPr>
        <w:t>derechos</w:t>
      </w:r>
      <w:r w:rsidR="00C96AFF" w:rsidRPr="004768D0">
        <w:rPr>
          <w:rFonts w:asciiTheme="majorHAnsi" w:hAnsiTheme="majorHAnsi"/>
          <w:bCs/>
          <w:color w:val="000000" w:themeColor="text1"/>
          <w:sz w:val="20"/>
          <w:szCs w:val="20"/>
          <w:lang w:val="es-ES"/>
        </w:rPr>
        <w:t xml:space="preserve"> </w:t>
      </w:r>
      <w:proofErr w:type="spellStart"/>
      <w:r w:rsidR="00235691" w:rsidRPr="004768D0">
        <w:rPr>
          <w:rFonts w:asciiTheme="majorHAnsi" w:hAnsiTheme="majorHAnsi"/>
          <w:bCs/>
          <w:color w:val="000000" w:themeColor="text1"/>
          <w:sz w:val="20"/>
          <w:szCs w:val="20"/>
          <w:lang w:val="es-ES"/>
        </w:rPr>
        <w:t>transindividua</w:t>
      </w:r>
      <w:r w:rsidR="003D19EA" w:rsidRPr="004768D0">
        <w:rPr>
          <w:rFonts w:asciiTheme="majorHAnsi" w:hAnsiTheme="majorHAnsi"/>
          <w:bCs/>
          <w:color w:val="000000" w:themeColor="text1"/>
          <w:sz w:val="20"/>
          <w:szCs w:val="20"/>
          <w:lang w:val="es-ES"/>
        </w:rPr>
        <w:t>le</w:t>
      </w:r>
      <w:r w:rsidR="00235691" w:rsidRPr="004768D0">
        <w:rPr>
          <w:rFonts w:asciiTheme="majorHAnsi" w:hAnsiTheme="majorHAnsi"/>
          <w:bCs/>
          <w:color w:val="000000" w:themeColor="text1"/>
          <w:sz w:val="20"/>
          <w:szCs w:val="20"/>
          <w:lang w:val="es-ES"/>
        </w:rPr>
        <w:t>s</w:t>
      </w:r>
      <w:proofErr w:type="spellEnd"/>
      <w:r w:rsidR="002356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 xml:space="preserve">debido a la </w:t>
      </w:r>
      <w:r w:rsidR="004744F0" w:rsidRPr="004768D0">
        <w:rPr>
          <w:rFonts w:asciiTheme="majorHAnsi" w:hAnsiTheme="majorHAnsi"/>
          <w:bCs/>
          <w:color w:val="000000" w:themeColor="text1"/>
          <w:sz w:val="20"/>
          <w:szCs w:val="20"/>
          <w:lang w:val="es-ES"/>
        </w:rPr>
        <w:t>“</w:t>
      </w:r>
      <w:r w:rsidR="00235691" w:rsidRPr="004768D0">
        <w:rPr>
          <w:rFonts w:asciiTheme="majorHAnsi" w:hAnsiTheme="majorHAnsi"/>
          <w:bCs/>
          <w:color w:val="000000" w:themeColor="text1"/>
          <w:sz w:val="20"/>
          <w:szCs w:val="20"/>
          <w:lang w:val="es-ES"/>
        </w:rPr>
        <w:t>o</w:t>
      </w:r>
      <w:r w:rsidR="003D19EA" w:rsidRPr="004768D0">
        <w:rPr>
          <w:rFonts w:asciiTheme="majorHAnsi" w:hAnsiTheme="majorHAnsi"/>
          <w:bCs/>
          <w:color w:val="000000" w:themeColor="text1"/>
          <w:sz w:val="20"/>
          <w:szCs w:val="20"/>
          <w:lang w:val="es-ES"/>
        </w:rPr>
        <w:t>l</w:t>
      </w:r>
      <w:r w:rsidR="00235691" w:rsidRPr="004768D0">
        <w:rPr>
          <w:rFonts w:asciiTheme="majorHAnsi" w:hAnsiTheme="majorHAnsi"/>
          <w:bCs/>
          <w:color w:val="000000" w:themeColor="text1"/>
          <w:sz w:val="20"/>
          <w:szCs w:val="20"/>
          <w:lang w:val="es-ES"/>
        </w:rPr>
        <w:t xml:space="preserve">a de </w:t>
      </w:r>
      <w:r w:rsidR="003D19EA" w:rsidRPr="004768D0">
        <w:rPr>
          <w:rFonts w:asciiTheme="majorHAnsi" w:hAnsiTheme="majorHAnsi"/>
          <w:bCs/>
          <w:color w:val="000000" w:themeColor="text1"/>
          <w:sz w:val="20"/>
          <w:szCs w:val="20"/>
          <w:lang w:val="es-ES"/>
        </w:rPr>
        <w:t>violencia</w:t>
      </w:r>
      <w:r w:rsidR="00235691" w:rsidRPr="004768D0">
        <w:rPr>
          <w:rFonts w:asciiTheme="majorHAnsi" w:hAnsiTheme="majorHAnsi"/>
          <w:bCs/>
          <w:color w:val="000000" w:themeColor="text1"/>
          <w:sz w:val="20"/>
          <w:szCs w:val="20"/>
          <w:lang w:val="es-ES"/>
        </w:rPr>
        <w:t xml:space="preserve"> que </w:t>
      </w:r>
      <w:r w:rsidR="003D19EA" w:rsidRPr="004768D0">
        <w:rPr>
          <w:rFonts w:asciiTheme="majorHAnsi" w:hAnsiTheme="majorHAnsi"/>
          <w:bCs/>
          <w:color w:val="000000" w:themeColor="text1"/>
          <w:sz w:val="20"/>
          <w:szCs w:val="20"/>
          <w:lang w:val="es-ES"/>
        </w:rPr>
        <w:t>culminó</w:t>
      </w:r>
      <w:r w:rsidR="002356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en</w:t>
      </w:r>
      <w:r w:rsidR="00C96AFF" w:rsidRPr="004768D0">
        <w:rPr>
          <w:rFonts w:asciiTheme="majorHAnsi" w:hAnsiTheme="majorHAnsi"/>
          <w:bCs/>
          <w:color w:val="000000" w:themeColor="text1"/>
          <w:sz w:val="20"/>
          <w:szCs w:val="20"/>
          <w:lang w:val="es-ES"/>
        </w:rPr>
        <w:t xml:space="preserve"> </w:t>
      </w:r>
      <w:r w:rsidR="00235691" w:rsidRPr="004768D0">
        <w:rPr>
          <w:rFonts w:asciiTheme="majorHAnsi" w:hAnsiTheme="majorHAnsi"/>
          <w:bCs/>
          <w:color w:val="000000" w:themeColor="text1"/>
          <w:sz w:val="20"/>
          <w:szCs w:val="20"/>
          <w:lang w:val="es-ES"/>
        </w:rPr>
        <w:t xml:space="preserve">centenas de </w:t>
      </w:r>
      <w:r w:rsidRPr="004768D0">
        <w:rPr>
          <w:rFonts w:asciiTheme="majorHAnsi" w:hAnsiTheme="majorHAnsi"/>
          <w:bCs/>
          <w:color w:val="000000" w:themeColor="text1"/>
          <w:sz w:val="20"/>
          <w:szCs w:val="20"/>
          <w:lang w:val="es-ES"/>
        </w:rPr>
        <w:t>muertes</w:t>
      </w:r>
      <w:r w:rsidR="004744F0" w:rsidRPr="004768D0">
        <w:rPr>
          <w:rFonts w:asciiTheme="majorHAnsi" w:hAnsiTheme="majorHAnsi"/>
          <w:bCs/>
          <w:color w:val="000000" w:themeColor="text1"/>
          <w:sz w:val="20"/>
          <w:szCs w:val="20"/>
          <w:lang w:val="es-ES"/>
        </w:rPr>
        <w:t>”</w:t>
      </w:r>
      <w:r w:rsidR="003D19EA" w:rsidRPr="004768D0">
        <w:rPr>
          <w:rFonts w:asciiTheme="majorHAnsi" w:hAnsiTheme="majorHAnsi"/>
          <w:bCs/>
          <w:color w:val="000000" w:themeColor="text1"/>
          <w:sz w:val="20"/>
          <w:szCs w:val="20"/>
          <w:lang w:val="es-ES"/>
        </w:rPr>
        <w:t>.</w:t>
      </w:r>
      <w:r w:rsidR="00BD62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 xml:space="preserve">Agregó </w:t>
      </w:r>
      <w:r w:rsidR="00BD6291" w:rsidRPr="004768D0">
        <w:rPr>
          <w:rFonts w:asciiTheme="majorHAnsi" w:hAnsiTheme="majorHAnsi"/>
          <w:bCs/>
          <w:color w:val="000000" w:themeColor="text1"/>
          <w:sz w:val="20"/>
          <w:szCs w:val="20"/>
          <w:lang w:val="es-ES"/>
        </w:rPr>
        <w:t xml:space="preserve">que </w:t>
      </w:r>
      <w:r w:rsidR="003D19EA" w:rsidRPr="004768D0">
        <w:rPr>
          <w:rFonts w:asciiTheme="majorHAnsi" w:hAnsiTheme="majorHAnsi"/>
          <w:bCs/>
          <w:color w:val="000000" w:themeColor="text1"/>
          <w:sz w:val="20"/>
          <w:szCs w:val="20"/>
          <w:lang w:val="es-ES"/>
        </w:rPr>
        <w:t xml:space="preserve">se habían entablado otras acciones penales para </w:t>
      </w:r>
      <w:r w:rsidR="002B3EC6">
        <w:rPr>
          <w:rFonts w:asciiTheme="majorHAnsi" w:hAnsiTheme="majorHAnsi"/>
          <w:bCs/>
          <w:color w:val="000000" w:themeColor="text1"/>
          <w:sz w:val="20"/>
          <w:szCs w:val="20"/>
          <w:lang w:val="es-ES"/>
        </w:rPr>
        <w:t>esclarecer</w:t>
      </w:r>
      <w:r w:rsidR="003D19EA" w:rsidRPr="004768D0">
        <w:rPr>
          <w:rFonts w:asciiTheme="majorHAnsi" w:hAnsiTheme="majorHAnsi"/>
          <w:bCs/>
          <w:color w:val="000000" w:themeColor="text1"/>
          <w:sz w:val="20"/>
          <w:szCs w:val="20"/>
          <w:lang w:val="es-ES"/>
        </w:rPr>
        <w:t xml:space="preserve"> e investigar </w:t>
      </w:r>
      <w:r w:rsidR="004744F0" w:rsidRPr="004768D0">
        <w:rPr>
          <w:rFonts w:asciiTheme="majorHAnsi" w:hAnsiTheme="majorHAnsi"/>
          <w:bCs/>
          <w:color w:val="000000" w:themeColor="text1"/>
          <w:sz w:val="20"/>
          <w:szCs w:val="20"/>
          <w:lang w:val="es-ES"/>
        </w:rPr>
        <w:t>“</w:t>
      </w:r>
      <w:r w:rsidR="003D19EA" w:rsidRPr="004768D0">
        <w:rPr>
          <w:rFonts w:asciiTheme="majorHAnsi" w:hAnsiTheme="majorHAnsi"/>
          <w:bCs/>
          <w:color w:val="000000" w:themeColor="text1"/>
          <w:sz w:val="20"/>
          <w:szCs w:val="20"/>
          <w:lang w:val="es-ES"/>
        </w:rPr>
        <w:t>l</w:t>
      </w:r>
      <w:r w:rsidR="00BD6291" w:rsidRPr="004768D0">
        <w:rPr>
          <w:rFonts w:asciiTheme="majorHAnsi" w:hAnsiTheme="majorHAnsi"/>
          <w:bCs/>
          <w:color w:val="000000" w:themeColor="text1"/>
          <w:sz w:val="20"/>
          <w:szCs w:val="20"/>
          <w:lang w:val="es-ES"/>
        </w:rPr>
        <w:t xml:space="preserve">as </w:t>
      </w:r>
      <w:r w:rsidR="003D19EA" w:rsidRPr="004768D0">
        <w:rPr>
          <w:rFonts w:asciiTheme="majorHAnsi" w:hAnsiTheme="majorHAnsi"/>
          <w:bCs/>
          <w:color w:val="000000" w:themeColor="text1"/>
          <w:sz w:val="20"/>
          <w:szCs w:val="20"/>
          <w:lang w:val="es-ES"/>
        </w:rPr>
        <w:t>circunstancias</w:t>
      </w:r>
      <w:r w:rsidR="00BD6291" w:rsidRPr="004768D0">
        <w:rPr>
          <w:rFonts w:asciiTheme="majorHAnsi" w:hAnsiTheme="majorHAnsi"/>
          <w:bCs/>
          <w:color w:val="000000" w:themeColor="text1"/>
          <w:sz w:val="20"/>
          <w:szCs w:val="20"/>
          <w:lang w:val="es-ES"/>
        </w:rPr>
        <w:t xml:space="preserve"> en</w:t>
      </w:r>
      <w:r w:rsidR="003D19EA" w:rsidRPr="004768D0">
        <w:rPr>
          <w:rFonts w:asciiTheme="majorHAnsi" w:hAnsiTheme="majorHAnsi"/>
          <w:bCs/>
          <w:color w:val="000000" w:themeColor="text1"/>
          <w:sz w:val="20"/>
          <w:szCs w:val="20"/>
          <w:lang w:val="es-ES"/>
        </w:rPr>
        <w:t xml:space="preserve"> torno a las ejecuciones de los llamados </w:t>
      </w:r>
      <w:r w:rsidR="005C2C65">
        <w:rPr>
          <w:rFonts w:asciiTheme="majorHAnsi" w:hAnsiTheme="majorHAnsi"/>
          <w:bCs/>
          <w:color w:val="000000" w:themeColor="text1"/>
          <w:sz w:val="20"/>
          <w:szCs w:val="20"/>
          <w:lang w:val="es-ES"/>
        </w:rPr>
        <w:t>‘</w:t>
      </w:r>
      <w:r w:rsidR="00BD6291" w:rsidRPr="004768D0">
        <w:rPr>
          <w:rFonts w:asciiTheme="majorHAnsi" w:hAnsiTheme="majorHAnsi"/>
          <w:bCs/>
          <w:color w:val="000000" w:themeColor="text1"/>
          <w:sz w:val="20"/>
          <w:szCs w:val="20"/>
          <w:lang w:val="es-ES"/>
        </w:rPr>
        <w:t>cr</w:t>
      </w:r>
      <w:r w:rsidR="003D19EA" w:rsidRPr="004768D0">
        <w:rPr>
          <w:rFonts w:asciiTheme="majorHAnsi" w:hAnsiTheme="majorHAnsi"/>
          <w:bCs/>
          <w:color w:val="000000" w:themeColor="text1"/>
          <w:sz w:val="20"/>
          <w:szCs w:val="20"/>
          <w:lang w:val="es-ES"/>
        </w:rPr>
        <w:t>í</w:t>
      </w:r>
      <w:r w:rsidR="00246A29" w:rsidRPr="004768D0">
        <w:rPr>
          <w:rFonts w:asciiTheme="majorHAnsi" w:hAnsiTheme="majorHAnsi"/>
          <w:bCs/>
          <w:color w:val="000000" w:themeColor="text1"/>
          <w:sz w:val="20"/>
          <w:szCs w:val="20"/>
          <w:lang w:val="es-ES"/>
        </w:rPr>
        <w:t xml:space="preserve">menes </w:t>
      </w:r>
      <w:r w:rsidR="00BD6291" w:rsidRPr="004768D0">
        <w:rPr>
          <w:rFonts w:asciiTheme="majorHAnsi" w:hAnsiTheme="majorHAnsi"/>
          <w:bCs/>
          <w:color w:val="000000" w:themeColor="text1"/>
          <w:sz w:val="20"/>
          <w:szCs w:val="20"/>
          <w:lang w:val="es-ES"/>
        </w:rPr>
        <w:t xml:space="preserve">de </w:t>
      </w:r>
      <w:r w:rsidR="007F4608" w:rsidRPr="004768D0">
        <w:rPr>
          <w:rFonts w:asciiTheme="majorHAnsi" w:hAnsiTheme="majorHAnsi"/>
          <w:bCs/>
          <w:color w:val="000000" w:themeColor="text1"/>
          <w:sz w:val="20"/>
          <w:szCs w:val="20"/>
          <w:lang w:val="es-ES"/>
        </w:rPr>
        <w:t>mayo</w:t>
      </w:r>
      <w:r w:rsidR="00BD6291" w:rsidRPr="004768D0">
        <w:rPr>
          <w:rFonts w:asciiTheme="majorHAnsi" w:hAnsiTheme="majorHAnsi"/>
          <w:bCs/>
          <w:color w:val="000000" w:themeColor="text1"/>
          <w:sz w:val="20"/>
          <w:szCs w:val="20"/>
          <w:lang w:val="es-ES"/>
        </w:rPr>
        <w:t xml:space="preserve"> de 2006</w:t>
      </w:r>
      <w:r w:rsidR="005C2C65">
        <w:rPr>
          <w:rFonts w:asciiTheme="majorHAnsi" w:hAnsiTheme="majorHAnsi"/>
          <w:bCs/>
          <w:color w:val="000000" w:themeColor="text1"/>
          <w:sz w:val="20"/>
          <w:szCs w:val="20"/>
          <w:lang w:val="es-ES"/>
        </w:rPr>
        <w:t>’</w:t>
      </w:r>
      <w:r w:rsidR="004744F0" w:rsidRPr="004768D0">
        <w:rPr>
          <w:rFonts w:asciiTheme="majorHAnsi" w:hAnsiTheme="majorHAnsi"/>
          <w:bCs/>
          <w:color w:val="000000" w:themeColor="text1"/>
          <w:sz w:val="20"/>
          <w:szCs w:val="20"/>
          <w:lang w:val="es-ES"/>
        </w:rPr>
        <w:t>”</w:t>
      </w:r>
      <w:r w:rsidR="00BD6291" w:rsidRPr="004768D0">
        <w:rPr>
          <w:rStyle w:val="FootnoteReference"/>
          <w:rFonts w:asciiTheme="majorHAnsi" w:hAnsiTheme="majorHAnsi"/>
          <w:bCs/>
          <w:color w:val="000000" w:themeColor="text1"/>
          <w:sz w:val="20"/>
          <w:szCs w:val="20"/>
          <w:lang w:val="es-ES"/>
        </w:rPr>
        <w:footnoteReference w:id="14"/>
      </w:r>
      <w:r w:rsidR="00246A29" w:rsidRPr="004768D0">
        <w:rPr>
          <w:rFonts w:asciiTheme="majorHAnsi" w:hAnsiTheme="majorHAnsi"/>
          <w:bCs/>
          <w:color w:val="000000" w:themeColor="text1"/>
          <w:sz w:val="20"/>
          <w:szCs w:val="20"/>
          <w:lang w:val="es-ES"/>
        </w:rPr>
        <w:t>.</w:t>
      </w:r>
    </w:p>
    <w:p w14:paraId="4ECFF6DA" w14:textId="77777777" w:rsidR="00BD6291" w:rsidRPr="004768D0" w:rsidRDefault="00BD6291" w:rsidP="00BD6291">
      <w:pPr>
        <w:pStyle w:val="ListParagraph"/>
        <w:rPr>
          <w:rFonts w:asciiTheme="majorHAnsi" w:hAnsiTheme="majorHAnsi"/>
          <w:bCs/>
          <w:color w:val="000000" w:themeColor="text1"/>
          <w:sz w:val="20"/>
          <w:szCs w:val="20"/>
          <w:lang w:val="es-ES"/>
        </w:rPr>
      </w:pPr>
    </w:p>
    <w:p w14:paraId="1B3DE43C" w14:textId="77777777" w:rsidR="00235691" w:rsidRPr="004768D0" w:rsidRDefault="00462731"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El Estado</w:t>
      </w:r>
      <w:r w:rsidR="00BD6291" w:rsidRPr="004768D0">
        <w:rPr>
          <w:rFonts w:asciiTheme="majorHAnsi" w:hAnsiTheme="majorHAnsi"/>
          <w:bCs/>
          <w:color w:val="000000" w:themeColor="text1"/>
          <w:sz w:val="20"/>
          <w:szCs w:val="20"/>
          <w:lang w:val="es-ES"/>
        </w:rPr>
        <w:t xml:space="preserve"> argumenta que </w:t>
      </w:r>
      <w:r w:rsidR="003D19EA" w:rsidRPr="004768D0">
        <w:rPr>
          <w:rFonts w:asciiTheme="majorHAnsi" w:hAnsiTheme="majorHAnsi"/>
          <w:bCs/>
          <w:color w:val="000000" w:themeColor="text1"/>
          <w:sz w:val="20"/>
          <w:szCs w:val="20"/>
          <w:lang w:val="es-ES"/>
        </w:rPr>
        <w:t>el</w:t>
      </w:r>
      <w:r w:rsidR="00BD6291" w:rsidRPr="004768D0">
        <w:rPr>
          <w:rFonts w:asciiTheme="majorHAnsi" w:hAnsiTheme="majorHAnsi"/>
          <w:bCs/>
          <w:color w:val="000000" w:themeColor="text1"/>
          <w:sz w:val="20"/>
          <w:szCs w:val="20"/>
          <w:lang w:val="es-ES"/>
        </w:rPr>
        <w:t xml:space="preserve"> contexto de ataques </w:t>
      </w:r>
      <w:r w:rsidR="003D19EA" w:rsidRPr="004768D0">
        <w:rPr>
          <w:rFonts w:asciiTheme="majorHAnsi" w:hAnsiTheme="majorHAnsi"/>
          <w:bCs/>
          <w:color w:val="000000" w:themeColor="text1"/>
          <w:sz w:val="20"/>
          <w:szCs w:val="20"/>
          <w:lang w:val="es-ES"/>
        </w:rPr>
        <w:t>y</w:t>
      </w:r>
      <w:r w:rsidR="00BD6291" w:rsidRPr="004768D0">
        <w:rPr>
          <w:rFonts w:asciiTheme="majorHAnsi" w:hAnsiTheme="majorHAnsi"/>
          <w:bCs/>
          <w:color w:val="000000" w:themeColor="text1"/>
          <w:sz w:val="20"/>
          <w:szCs w:val="20"/>
          <w:lang w:val="es-ES"/>
        </w:rPr>
        <w:t xml:space="preserve"> </w:t>
      </w:r>
      <w:r w:rsidR="00F154A0" w:rsidRPr="004768D0">
        <w:rPr>
          <w:rFonts w:asciiTheme="majorHAnsi" w:hAnsiTheme="majorHAnsi"/>
          <w:bCs/>
          <w:color w:val="000000" w:themeColor="text1"/>
          <w:sz w:val="20"/>
          <w:szCs w:val="20"/>
          <w:lang w:val="es-ES"/>
        </w:rPr>
        <w:t>amenazas</w:t>
      </w:r>
      <w:r w:rsidR="00BD6291" w:rsidRPr="004768D0">
        <w:rPr>
          <w:rFonts w:asciiTheme="majorHAnsi" w:hAnsiTheme="majorHAnsi"/>
          <w:bCs/>
          <w:color w:val="000000" w:themeColor="text1"/>
          <w:sz w:val="20"/>
          <w:szCs w:val="20"/>
          <w:lang w:val="es-ES"/>
        </w:rPr>
        <w:t xml:space="preserve"> de ataques d</w:t>
      </w:r>
      <w:r w:rsidR="003D19EA" w:rsidRPr="004768D0">
        <w:rPr>
          <w:rFonts w:asciiTheme="majorHAnsi" w:hAnsiTheme="majorHAnsi"/>
          <w:bCs/>
          <w:color w:val="000000" w:themeColor="text1"/>
          <w:sz w:val="20"/>
          <w:szCs w:val="20"/>
          <w:lang w:val="es-ES"/>
        </w:rPr>
        <w:t>el</w:t>
      </w:r>
      <w:r w:rsidR="00BD6291" w:rsidRPr="004768D0">
        <w:rPr>
          <w:rFonts w:asciiTheme="majorHAnsi" w:hAnsiTheme="majorHAnsi"/>
          <w:bCs/>
          <w:color w:val="000000" w:themeColor="text1"/>
          <w:sz w:val="20"/>
          <w:szCs w:val="20"/>
          <w:lang w:val="es-ES"/>
        </w:rPr>
        <w:t xml:space="preserve"> PCC e</w:t>
      </w:r>
      <w:r w:rsidR="003D19EA" w:rsidRPr="004768D0">
        <w:rPr>
          <w:rFonts w:asciiTheme="majorHAnsi" w:hAnsiTheme="majorHAnsi"/>
          <w:bCs/>
          <w:color w:val="000000" w:themeColor="text1"/>
          <w:sz w:val="20"/>
          <w:szCs w:val="20"/>
          <w:lang w:val="es-ES"/>
        </w:rPr>
        <w:t>n</w:t>
      </w:r>
      <w:r w:rsidR="00BD6291" w:rsidRPr="004768D0">
        <w:rPr>
          <w:rFonts w:asciiTheme="majorHAnsi" w:hAnsiTheme="majorHAnsi"/>
          <w:bCs/>
          <w:color w:val="000000" w:themeColor="text1"/>
          <w:sz w:val="20"/>
          <w:szCs w:val="20"/>
          <w:lang w:val="es-ES"/>
        </w:rPr>
        <w:t xml:space="preserve"> </w:t>
      </w:r>
      <w:r w:rsidR="007F4608" w:rsidRPr="004768D0">
        <w:rPr>
          <w:rFonts w:asciiTheme="majorHAnsi" w:hAnsiTheme="majorHAnsi"/>
          <w:bCs/>
          <w:color w:val="000000" w:themeColor="text1"/>
          <w:sz w:val="20"/>
          <w:szCs w:val="20"/>
          <w:lang w:val="es-ES"/>
        </w:rPr>
        <w:t>mayo</w:t>
      </w:r>
      <w:r w:rsidR="00BD6291" w:rsidRPr="004768D0">
        <w:rPr>
          <w:rFonts w:asciiTheme="majorHAnsi" w:hAnsiTheme="majorHAnsi"/>
          <w:bCs/>
          <w:color w:val="000000" w:themeColor="text1"/>
          <w:sz w:val="20"/>
          <w:szCs w:val="20"/>
          <w:lang w:val="es-ES"/>
        </w:rPr>
        <w:t xml:space="preserve"> de 2006 </w:t>
      </w:r>
      <w:r w:rsidR="003D19EA" w:rsidRPr="004768D0">
        <w:rPr>
          <w:rFonts w:asciiTheme="majorHAnsi" w:hAnsiTheme="majorHAnsi"/>
          <w:bCs/>
          <w:color w:val="000000" w:themeColor="text1"/>
          <w:sz w:val="20"/>
          <w:szCs w:val="20"/>
          <w:lang w:val="es-ES"/>
        </w:rPr>
        <w:t>dificultó</w:t>
      </w:r>
      <w:r w:rsidR="00BD62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l</w:t>
      </w:r>
      <w:r w:rsidR="00BD6291" w:rsidRPr="004768D0">
        <w:rPr>
          <w:rFonts w:asciiTheme="majorHAnsi" w:hAnsiTheme="majorHAnsi"/>
          <w:bCs/>
          <w:color w:val="000000" w:themeColor="text1"/>
          <w:sz w:val="20"/>
          <w:szCs w:val="20"/>
          <w:lang w:val="es-ES"/>
        </w:rPr>
        <w:t xml:space="preserve">a </w:t>
      </w:r>
      <w:r w:rsidR="003D19EA" w:rsidRPr="004768D0">
        <w:rPr>
          <w:rFonts w:asciiTheme="majorHAnsi" w:hAnsiTheme="majorHAnsi"/>
          <w:bCs/>
          <w:color w:val="000000" w:themeColor="text1"/>
          <w:sz w:val="20"/>
          <w:szCs w:val="20"/>
          <w:lang w:val="es-ES"/>
        </w:rPr>
        <w:t xml:space="preserve">obtención de pruebas, </w:t>
      </w:r>
      <w:r w:rsidR="00BD6291" w:rsidRPr="004768D0">
        <w:rPr>
          <w:rFonts w:asciiTheme="majorHAnsi" w:hAnsiTheme="majorHAnsi"/>
          <w:bCs/>
          <w:color w:val="000000" w:themeColor="text1"/>
          <w:sz w:val="20"/>
          <w:szCs w:val="20"/>
          <w:lang w:val="es-ES"/>
        </w:rPr>
        <w:t xml:space="preserve">principalmente </w:t>
      </w:r>
      <w:r w:rsidR="00246A29" w:rsidRPr="004768D0">
        <w:rPr>
          <w:rFonts w:asciiTheme="majorHAnsi" w:hAnsiTheme="majorHAnsi"/>
          <w:bCs/>
          <w:color w:val="000000" w:themeColor="text1"/>
          <w:sz w:val="20"/>
          <w:szCs w:val="20"/>
          <w:lang w:val="es-ES"/>
        </w:rPr>
        <w:t>las declaraciones de testigos</w:t>
      </w:r>
      <w:r w:rsidR="00BD62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 xml:space="preserve">lo cual condujo al archivamiento de algunas </w:t>
      </w:r>
      <w:r w:rsidR="00372008" w:rsidRPr="004768D0">
        <w:rPr>
          <w:rFonts w:asciiTheme="majorHAnsi" w:hAnsiTheme="majorHAnsi"/>
          <w:bCs/>
          <w:color w:val="000000" w:themeColor="text1"/>
          <w:sz w:val="20"/>
          <w:szCs w:val="20"/>
          <w:lang w:val="es-ES"/>
        </w:rPr>
        <w:t>investigaciones policiales</w:t>
      </w:r>
      <w:r w:rsidR="00BD62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 xml:space="preserve">No obstante, ese archivamiento </w:t>
      </w:r>
      <w:bookmarkEnd w:id="5"/>
      <w:r w:rsidR="004744F0" w:rsidRPr="004768D0">
        <w:rPr>
          <w:rFonts w:asciiTheme="majorHAnsi" w:eastAsia="Arial Unicode MS" w:hAnsiTheme="majorHAnsi" w:cs="Times New Roman"/>
          <w:bCs/>
          <w:color w:val="000000" w:themeColor="text1"/>
          <w:sz w:val="20"/>
          <w:szCs w:val="20"/>
          <w:lang w:val="es-ES" w:eastAsia="en-US"/>
        </w:rPr>
        <w:t>“</w:t>
      </w:r>
      <w:r w:rsidR="003D19EA" w:rsidRPr="004768D0">
        <w:rPr>
          <w:rFonts w:asciiTheme="majorHAnsi" w:eastAsia="Arial Unicode MS" w:hAnsiTheme="majorHAnsi" w:cs="Times New Roman"/>
          <w:bCs/>
          <w:color w:val="000000" w:themeColor="text1"/>
          <w:sz w:val="20"/>
          <w:szCs w:val="20"/>
          <w:lang w:val="es-ES" w:eastAsia="en-US"/>
        </w:rPr>
        <w:t xml:space="preserve">es de </w:t>
      </w:r>
      <w:r w:rsidR="003D19EA" w:rsidRPr="004768D0">
        <w:rPr>
          <w:rFonts w:asciiTheme="majorHAnsi" w:hAnsiTheme="majorHAnsi"/>
          <w:bCs/>
          <w:color w:val="000000" w:themeColor="text1"/>
          <w:sz w:val="20"/>
          <w:szCs w:val="20"/>
          <w:lang w:val="es-ES"/>
        </w:rPr>
        <w:t>carácter</w:t>
      </w:r>
      <w:r w:rsidR="00235691" w:rsidRPr="004768D0">
        <w:rPr>
          <w:rFonts w:asciiTheme="majorHAnsi" w:hAnsiTheme="majorHAnsi"/>
          <w:bCs/>
          <w:color w:val="000000" w:themeColor="text1"/>
          <w:sz w:val="20"/>
          <w:szCs w:val="20"/>
          <w:lang w:val="es-ES"/>
        </w:rPr>
        <w:t xml:space="preserve"> provis</w:t>
      </w:r>
      <w:r w:rsidR="003D19EA" w:rsidRPr="004768D0">
        <w:rPr>
          <w:rFonts w:asciiTheme="majorHAnsi" w:hAnsiTheme="majorHAnsi"/>
          <w:bCs/>
          <w:color w:val="000000" w:themeColor="text1"/>
          <w:sz w:val="20"/>
          <w:szCs w:val="20"/>
          <w:lang w:val="es-ES"/>
        </w:rPr>
        <w:t>ional</w:t>
      </w:r>
      <w:r w:rsidR="00235691" w:rsidRPr="004768D0">
        <w:rPr>
          <w:rFonts w:asciiTheme="majorHAnsi" w:hAnsiTheme="majorHAnsi"/>
          <w:bCs/>
          <w:color w:val="000000" w:themeColor="text1"/>
          <w:sz w:val="20"/>
          <w:szCs w:val="20"/>
          <w:lang w:val="es-ES"/>
        </w:rPr>
        <w:t xml:space="preserve"> (no</w:t>
      </w:r>
      <w:r w:rsidR="003D19EA" w:rsidRPr="004768D0">
        <w:rPr>
          <w:rFonts w:asciiTheme="majorHAnsi" w:hAnsiTheme="majorHAnsi"/>
          <w:bCs/>
          <w:color w:val="000000" w:themeColor="text1"/>
          <w:sz w:val="20"/>
          <w:szCs w:val="20"/>
          <w:lang w:val="es-ES"/>
        </w:rPr>
        <w:t xml:space="preserve"> </w:t>
      </w:r>
      <w:r w:rsidR="00235691" w:rsidRPr="004768D0">
        <w:rPr>
          <w:rFonts w:asciiTheme="majorHAnsi" w:hAnsiTheme="majorHAnsi"/>
          <w:bCs/>
          <w:color w:val="000000" w:themeColor="text1"/>
          <w:sz w:val="20"/>
          <w:szCs w:val="20"/>
          <w:lang w:val="es-ES"/>
        </w:rPr>
        <w:t>definitivo)</w:t>
      </w:r>
      <w:r w:rsidR="003D19EA" w:rsidRPr="004768D0">
        <w:rPr>
          <w:rFonts w:asciiTheme="majorHAnsi" w:hAnsiTheme="majorHAnsi"/>
          <w:bCs/>
          <w:color w:val="000000" w:themeColor="text1"/>
          <w:sz w:val="20"/>
          <w:szCs w:val="20"/>
          <w:lang w:val="es-ES"/>
        </w:rPr>
        <w:t xml:space="preserve"> y</w:t>
      </w:r>
      <w:r w:rsidR="00BD6291" w:rsidRPr="004768D0">
        <w:rPr>
          <w:rFonts w:asciiTheme="majorHAnsi" w:hAnsiTheme="majorHAnsi"/>
          <w:bCs/>
          <w:color w:val="000000" w:themeColor="text1"/>
          <w:sz w:val="20"/>
          <w:szCs w:val="20"/>
          <w:lang w:val="es-ES"/>
        </w:rPr>
        <w:t xml:space="preserve"> </w:t>
      </w:r>
      <w:r w:rsidR="00235691" w:rsidRPr="004768D0">
        <w:rPr>
          <w:rFonts w:asciiTheme="majorHAnsi" w:hAnsiTheme="majorHAnsi"/>
          <w:bCs/>
          <w:color w:val="000000" w:themeColor="text1"/>
          <w:sz w:val="20"/>
          <w:szCs w:val="20"/>
          <w:lang w:val="es-ES"/>
        </w:rPr>
        <w:t>no imp</w:t>
      </w:r>
      <w:r w:rsidR="003D19EA" w:rsidRPr="004768D0">
        <w:rPr>
          <w:rFonts w:asciiTheme="majorHAnsi" w:hAnsiTheme="majorHAnsi"/>
          <w:bCs/>
          <w:color w:val="000000" w:themeColor="text1"/>
          <w:sz w:val="20"/>
          <w:szCs w:val="20"/>
          <w:lang w:val="es-ES"/>
        </w:rPr>
        <w:t>ide la reapertura en caso de que se presenten pruebas nuevas</w:t>
      </w:r>
      <w:r w:rsidR="004744F0" w:rsidRPr="004768D0">
        <w:rPr>
          <w:rFonts w:asciiTheme="majorHAnsi" w:hAnsiTheme="majorHAnsi"/>
          <w:bCs/>
          <w:color w:val="000000" w:themeColor="text1"/>
          <w:sz w:val="20"/>
          <w:szCs w:val="20"/>
          <w:lang w:val="es-ES"/>
        </w:rPr>
        <w:t>”</w:t>
      </w:r>
      <w:r w:rsidR="003D19EA" w:rsidRPr="004768D0">
        <w:rPr>
          <w:rFonts w:asciiTheme="majorHAnsi" w:hAnsiTheme="majorHAnsi"/>
          <w:bCs/>
          <w:color w:val="000000" w:themeColor="text1"/>
          <w:sz w:val="20"/>
          <w:szCs w:val="20"/>
          <w:lang w:val="es-ES"/>
        </w:rPr>
        <w:t xml:space="preserve">. En ese </w:t>
      </w:r>
      <w:r w:rsidR="003D19EA" w:rsidRPr="004768D0">
        <w:rPr>
          <w:rFonts w:asciiTheme="majorHAnsi" w:hAnsiTheme="majorHAnsi"/>
          <w:bCs/>
          <w:color w:val="000000" w:themeColor="text1"/>
          <w:sz w:val="20"/>
          <w:szCs w:val="20"/>
          <w:lang w:val="es-ES"/>
        </w:rPr>
        <w:lastRenderedPageBreak/>
        <w:t>sentido, se inició el p</w:t>
      </w:r>
      <w:r w:rsidR="00712D2E" w:rsidRPr="004768D0">
        <w:rPr>
          <w:rFonts w:asciiTheme="majorHAnsi" w:hAnsiTheme="majorHAnsi"/>
          <w:bCs/>
          <w:color w:val="000000" w:themeColor="text1"/>
          <w:sz w:val="20"/>
          <w:szCs w:val="20"/>
          <w:lang w:val="es-ES"/>
        </w:rPr>
        <w:t>rocedimiento</w:t>
      </w:r>
      <w:r w:rsidR="00BD6291" w:rsidRPr="004768D0">
        <w:rPr>
          <w:rFonts w:asciiTheme="majorHAnsi" w:hAnsiTheme="majorHAnsi"/>
          <w:bCs/>
          <w:color w:val="000000" w:themeColor="text1"/>
          <w:sz w:val="20"/>
          <w:szCs w:val="20"/>
          <w:lang w:val="es-ES"/>
        </w:rPr>
        <w:t xml:space="preserve"> </w:t>
      </w:r>
      <w:r w:rsidR="003D19EA" w:rsidRPr="004768D0">
        <w:rPr>
          <w:rFonts w:asciiTheme="majorHAnsi" w:hAnsiTheme="majorHAnsi"/>
          <w:bCs/>
          <w:color w:val="000000" w:themeColor="text1"/>
          <w:sz w:val="20"/>
          <w:szCs w:val="20"/>
          <w:lang w:val="es-ES"/>
        </w:rPr>
        <w:t>i</w:t>
      </w:r>
      <w:r w:rsidR="00BD6291" w:rsidRPr="004768D0">
        <w:rPr>
          <w:rFonts w:asciiTheme="majorHAnsi" w:hAnsiTheme="majorHAnsi"/>
          <w:bCs/>
          <w:color w:val="000000" w:themeColor="text1"/>
          <w:sz w:val="20"/>
          <w:szCs w:val="20"/>
          <w:lang w:val="es-ES"/>
        </w:rPr>
        <w:t xml:space="preserve">nvestigativo </w:t>
      </w:r>
      <w:r w:rsidR="003D19EA" w:rsidRPr="004768D0">
        <w:rPr>
          <w:rFonts w:asciiTheme="majorHAnsi" w:hAnsiTheme="majorHAnsi"/>
          <w:bCs/>
          <w:color w:val="000000" w:themeColor="text1"/>
          <w:sz w:val="20"/>
          <w:szCs w:val="20"/>
          <w:lang w:val="es-ES"/>
        </w:rPr>
        <w:t xml:space="preserve">penal </w:t>
      </w:r>
      <w:proofErr w:type="spellStart"/>
      <w:r w:rsidR="003D19EA" w:rsidRPr="004768D0">
        <w:rPr>
          <w:rFonts w:asciiTheme="majorHAnsi" w:hAnsiTheme="majorHAnsi"/>
          <w:bCs/>
          <w:color w:val="000000" w:themeColor="text1"/>
          <w:sz w:val="20"/>
          <w:szCs w:val="20"/>
          <w:lang w:val="es-ES"/>
        </w:rPr>
        <w:t>N.</w:t>
      </w:r>
      <w:r w:rsidR="003D19EA" w:rsidRPr="004768D0">
        <w:rPr>
          <w:rFonts w:asciiTheme="majorHAnsi" w:hAnsiTheme="majorHAnsi"/>
          <w:bCs/>
          <w:color w:val="000000" w:themeColor="text1"/>
          <w:sz w:val="20"/>
          <w:szCs w:val="20"/>
          <w:vertAlign w:val="superscript"/>
          <w:lang w:val="es-ES"/>
        </w:rPr>
        <w:t>o</w:t>
      </w:r>
      <w:proofErr w:type="spellEnd"/>
      <w:r w:rsidR="00BD6291" w:rsidRPr="004768D0">
        <w:rPr>
          <w:rFonts w:asciiTheme="majorHAnsi" w:hAnsiTheme="majorHAnsi"/>
          <w:bCs/>
          <w:color w:val="000000" w:themeColor="text1"/>
          <w:sz w:val="20"/>
          <w:szCs w:val="20"/>
          <w:lang w:val="es-ES"/>
        </w:rPr>
        <w:t xml:space="preserve"> 94.0563.0000071/2010-8 co</w:t>
      </w:r>
      <w:r w:rsidR="003D19EA" w:rsidRPr="004768D0">
        <w:rPr>
          <w:rFonts w:asciiTheme="majorHAnsi" w:hAnsiTheme="majorHAnsi"/>
          <w:bCs/>
          <w:color w:val="000000" w:themeColor="text1"/>
          <w:sz w:val="20"/>
          <w:szCs w:val="20"/>
          <w:lang w:val="es-ES"/>
        </w:rPr>
        <w:t xml:space="preserve">n el </w:t>
      </w:r>
      <w:r w:rsidR="00BD6291" w:rsidRPr="004768D0">
        <w:rPr>
          <w:rFonts w:asciiTheme="majorHAnsi" w:hAnsiTheme="majorHAnsi"/>
          <w:bCs/>
          <w:color w:val="000000" w:themeColor="text1"/>
          <w:sz w:val="20"/>
          <w:szCs w:val="20"/>
          <w:lang w:val="es-ES"/>
        </w:rPr>
        <w:t>fin de reab</w:t>
      </w:r>
      <w:r w:rsidR="003D19EA" w:rsidRPr="004768D0">
        <w:rPr>
          <w:rFonts w:asciiTheme="majorHAnsi" w:hAnsiTheme="majorHAnsi"/>
          <w:bCs/>
          <w:color w:val="000000" w:themeColor="text1"/>
          <w:sz w:val="20"/>
          <w:szCs w:val="20"/>
          <w:lang w:val="es-ES"/>
        </w:rPr>
        <w:t>rir las inv</w:t>
      </w:r>
      <w:r w:rsidR="00E04ED3" w:rsidRPr="004768D0">
        <w:rPr>
          <w:rFonts w:asciiTheme="majorHAnsi" w:hAnsiTheme="majorHAnsi"/>
          <w:bCs/>
          <w:color w:val="000000" w:themeColor="text1"/>
          <w:sz w:val="20"/>
          <w:szCs w:val="20"/>
          <w:lang w:val="es-ES"/>
        </w:rPr>
        <w:t>estigaciones</w:t>
      </w:r>
      <w:r w:rsidR="00BD6291" w:rsidRPr="004768D0">
        <w:rPr>
          <w:rFonts w:asciiTheme="majorHAnsi" w:hAnsiTheme="majorHAnsi"/>
          <w:bCs/>
          <w:color w:val="000000" w:themeColor="text1"/>
          <w:sz w:val="20"/>
          <w:szCs w:val="20"/>
          <w:lang w:val="es-ES"/>
        </w:rPr>
        <w:t xml:space="preserve">, </w:t>
      </w:r>
      <w:r w:rsidR="004744F0" w:rsidRPr="004768D0">
        <w:rPr>
          <w:rFonts w:asciiTheme="majorHAnsi" w:hAnsiTheme="majorHAnsi"/>
          <w:bCs/>
          <w:color w:val="000000" w:themeColor="text1"/>
          <w:sz w:val="20"/>
          <w:szCs w:val="20"/>
          <w:lang w:val="es-ES"/>
        </w:rPr>
        <w:t>“</w:t>
      </w:r>
      <w:r w:rsidR="001D4B88" w:rsidRPr="004768D0">
        <w:rPr>
          <w:rFonts w:asciiTheme="majorHAnsi" w:hAnsiTheme="majorHAnsi"/>
          <w:bCs/>
          <w:color w:val="000000" w:themeColor="text1"/>
          <w:sz w:val="20"/>
          <w:szCs w:val="20"/>
          <w:lang w:val="es-ES"/>
        </w:rPr>
        <w:t>con</w:t>
      </w:r>
      <w:r w:rsidR="00BD6291" w:rsidRPr="004768D0">
        <w:rPr>
          <w:rFonts w:asciiTheme="majorHAnsi" w:hAnsiTheme="majorHAnsi"/>
          <w:bCs/>
          <w:color w:val="000000" w:themeColor="text1"/>
          <w:sz w:val="20"/>
          <w:szCs w:val="20"/>
          <w:lang w:val="es-ES"/>
        </w:rPr>
        <w:t xml:space="preserve"> </w:t>
      </w:r>
      <w:r w:rsidR="001D4B88" w:rsidRPr="004768D0">
        <w:rPr>
          <w:rFonts w:asciiTheme="majorHAnsi" w:hAnsiTheme="majorHAnsi"/>
          <w:bCs/>
          <w:color w:val="000000" w:themeColor="text1"/>
          <w:sz w:val="20"/>
          <w:szCs w:val="20"/>
          <w:lang w:val="es-ES"/>
        </w:rPr>
        <w:t>l</w:t>
      </w:r>
      <w:r w:rsidR="00BD6291" w:rsidRPr="004768D0">
        <w:rPr>
          <w:rFonts w:asciiTheme="majorHAnsi" w:hAnsiTheme="majorHAnsi"/>
          <w:bCs/>
          <w:color w:val="000000" w:themeColor="text1"/>
          <w:sz w:val="20"/>
          <w:szCs w:val="20"/>
          <w:lang w:val="es-ES"/>
        </w:rPr>
        <w:t xml:space="preserve">a </w:t>
      </w:r>
      <w:r w:rsidR="001D4B88" w:rsidRPr="004768D0">
        <w:rPr>
          <w:rFonts w:asciiTheme="majorHAnsi" w:hAnsiTheme="majorHAnsi"/>
          <w:bCs/>
          <w:color w:val="000000" w:themeColor="text1"/>
          <w:sz w:val="20"/>
          <w:szCs w:val="20"/>
          <w:lang w:val="es-ES"/>
        </w:rPr>
        <w:t>complementación</w:t>
      </w:r>
      <w:r w:rsidR="00BD6291" w:rsidRPr="004768D0">
        <w:rPr>
          <w:rFonts w:asciiTheme="majorHAnsi" w:hAnsiTheme="majorHAnsi"/>
          <w:bCs/>
          <w:color w:val="000000" w:themeColor="text1"/>
          <w:sz w:val="20"/>
          <w:szCs w:val="20"/>
          <w:lang w:val="es-ES"/>
        </w:rPr>
        <w:t xml:space="preserve"> d</w:t>
      </w:r>
      <w:r w:rsidR="001D4B88" w:rsidRPr="004768D0">
        <w:rPr>
          <w:rFonts w:asciiTheme="majorHAnsi" w:hAnsiTheme="majorHAnsi"/>
          <w:bCs/>
          <w:color w:val="000000" w:themeColor="text1"/>
          <w:sz w:val="20"/>
          <w:szCs w:val="20"/>
          <w:lang w:val="es-ES"/>
        </w:rPr>
        <w:t>e l</w:t>
      </w:r>
      <w:r w:rsidR="00BD6291" w:rsidRPr="004768D0">
        <w:rPr>
          <w:rFonts w:asciiTheme="majorHAnsi" w:hAnsiTheme="majorHAnsi"/>
          <w:bCs/>
          <w:color w:val="000000" w:themeColor="text1"/>
          <w:sz w:val="20"/>
          <w:szCs w:val="20"/>
          <w:lang w:val="es-ES"/>
        </w:rPr>
        <w:t xml:space="preserve">as </w:t>
      </w:r>
      <w:r w:rsidR="001D4B88" w:rsidRPr="004768D0">
        <w:rPr>
          <w:rFonts w:asciiTheme="majorHAnsi" w:hAnsiTheme="majorHAnsi"/>
          <w:bCs/>
          <w:color w:val="000000" w:themeColor="text1"/>
          <w:sz w:val="20"/>
          <w:szCs w:val="20"/>
          <w:lang w:val="es-ES"/>
        </w:rPr>
        <w:t>diligencias</w:t>
      </w:r>
      <w:r w:rsidR="00BD6291" w:rsidRPr="004768D0">
        <w:rPr>
          <w:rFonts w:asciiTheme="majorHAnsi" w:hAnsiTheme="majorHAnsi"/>
          <w:bCs/>
          <w:color w:val="000000" w:themeColor="text1"/>
          <w:sz w:val="20"/>
          <w:szCs w:val="20"/>
          <w:lang w:val="es-ES"/>
        </w:rPr>
        <w:t xml:space="preserve"> investigat</w:t>
      </w:r>
      <w:r w:rsidR="001D4B88" w:rsidRPr="004768D0">
        <w:rPr>
          <w:rFonts w:asciiTheme="majorHAnsi" w:hAnsiTheme="majorHAnsi"/>
          <w:bCs/>
          <w:color w:val="000000" w:themeColor="text1"/>
          <w:sz w:val="20"/>
          <w:szCs w:val="20"/>
          <w:lang w:val="es-ES"/>
        </w:rPr>
        <w:t>ivas realizadas hasta ese momento</w:t>
      </w:r>
      <w:r w:rsidR="004744F0" w:rsidRPr="004768D0">
        <w:rPr>
          <w:rFonts w:asciiTheme="majorHAnsi" w:hAnsiTheme="majorHAnsi"/>
          <w:bCs/>
          <w:color w:val="000000" w:themeColor="text1"/>
          <w:sz w:val="20"/>
          <w:szCs w:val="20"/>
          <w:lang w:val="es-ES"/>
        </w:rPr>
        <w:t>”</w:t>
      </w:r>
      <w:r w:rsidR="00BD6291" w:rsidRPr="004768D0">
        <w:rPr>
          <w:rStyle w:val="FootnoteReference"/>
          <w:rFonts w:asciiTheme="majorHAnsi" w:hAnsiTheme="majorHAnsi"/>
          <w:bCs/>
          <w:color w:val="000000" w:themeColor="text1"/>
          <w:sz w:val="20"/>
          <w:szCs w:val="20"/>
          <w:lang w:val="es-ES"/>
        </w:rPr>
        <w:footnoteReference w:id="15"/>
      </w:r>
      <w:r w:rsidR="001D4B88" w:rsidRPr="004768D0">
        <w:rPr>
          <w:rFonts w:asciiTheme="majorHAnsi" w:hAnsiTheme="majorHAnsi"/>
          <w:bCs/>
          <w:color w:val="000000" w:themeColor="text1"/>
          <w:sz w:val="20"/>
          <w:szCs w:val="20"/>
          <w:lang w:val="es-ES"/>
        </w:rPr>
        <w:t>.</w:t>
      </w:r>
      <w:r w:rsidR="00BD6291" w:rsidRPr="004768D0">
        <w:rPr>
          <w:rFonts w:asciiTheme="majorHAnsi" w:hAnsiTheme="majorHAnsi"/>
          <w:bCs/>
          <w:color w:val="000000" w:themeColor="text1"/>
          <w:sz w:val="20"/>
          <w:szCs w:val="20"/>
          <w:lang w:val="es-ES"/>
        </w:rPr>
        <w:t xml:space="preserve"> </w:t>
      </w:r>
    </w:p>
    <w:p w14:paraId="30699FE0" w14:textId="77777777" w:rsidR="00654B53" w:rsidRPr="004768D0" w:rsidRDefault="00654B53" w:rsidP="00654B53">
      <w:pPr>
        <w:pStyle w:val="ListParagraph"/>
        <w:rPr>
          <w:rFonts w:asciiTheme="majorHAnsi" w:hAnsiTheme="majorHAnsi"/>
          <w:bCs/>
          <w:color w:val="000000" w:themeColor="text1"/>
          <w:sz w:val="20"/>
          <w:szCs w:val="20"/>
          <w:lang w:val="es-ES"/>
        </w:rPr>
      </w:pPr>
    </w:p>
    <w:p w14:paraId="5F271230" w14:textId="77777777" w:rsidR="00654B53" w:rsidRPr="004768D0" w:rsidRDefault="00462731" w:rsidP="007F4608">
      <w:pPr>
        <w:pStyle w:val="ListParagraph"/>
        <w:numPr>
          <w:ilvl w:val="0"/>
          <w:numId w:val="103"/>
        </w:numPr>
        <w:jc w:val="both"/>
        <w:rPr>
          <w:rFonts w:asciiTheme="majorHAnsi" w:hAnsiTheme="majorHAnsi"/>
          <w:bCs/>
          <w:color w:val="000000" w:themeColor="text1"/>
          <w:sz w:val="20"/>
          <w:szCs w:val="20"/>
          <w:lang w:val="es-ES"/>
        </w:rPr>
      </w:pPr>
      <w:r w:rsidRPr="004768D0">
        <w:rPr>
          <w:rFonts w:asciiTheme="majorHAnsi" w:hAnsiTheme="majorHAnsi"/>
          <w:bCs/>
          <w:color w:val="000000" w:themeColor="text1"/>
          <w:sz w:val="20"/>
          <w:szCs w:val="20"/>
          <w:lang w:val="es-ES"/>
        </w:rPr>
        <w:t>El Estado</w:t>
      </w:r>
      <w:r w:rsidR="00654B53" w:rsidRPr="004768D0">
        <w:rPr>
          <w:rFonts w:asciiTheme="majorHAnsi" w:hAnsiTheme="majorHAnsi"/>
          <w:bCs/>
          <w:color w:val="000000" w:themeColor="text1"/>
          <w:sz w:val="20"/>
          <w:szCs w:val="20"/>
          <w:lang w:val="es-ES"/>
        </w:rPr>
        <w:t xml:space="preserve"> </w:t>
      </w:r>
      <w:r w:rsidR="001D4B88" w:rsidRPr="004768D0">
        <w:rPr>
          <w:rFonts w:asciiTheme="majorHAnsi" w:hAnsiTheme="majorHAnsi"/>
          <w:bCs/>
          <w:color w:val="000000" w:themeColor="text1"/>
          <w:sz w:val="20"/>
          <w:szCs w:val="20"/>
          <w:lang w:val="es-ES"/>
        </w:rPr>
        <w:t>m</w:t>
      </w:r>
      <w:r w:rsidR="00654B53" w:rsidRPr="004768D0">
        <w:rPr>
          <w:rFonts w:asciiTheme="majorHAnsi" w:hAnsiTheme="majorHAnsi"/>
          <w:bCs/>
          <w:color w:val="000000" w:themeColor="text1"/>
          <w:sz w:val="20"/>
          <w:szCs w:val="20"/>
          <w:lang w:val="es-ES"/>
        </w:rPr>
        <w:t xml:space="preserve">enciona </w:t>
      </w:r>
      <w:r w:rsidR="001D4B88" w:rsidRPr="004768D0">
        <w:rPr>
          <w:rFonts w:asciiTheme="majorHAnsi" w:hAnsiTheme="majorHAnsi"/>
          <w:bCs/>
          <w:color w:val="000000" w:themeColor="text1"/>
          <w:sz w:val="20"/>
          <w:szCs w:val="20"/>
          <w:lang w:val="es-ES"/>
        </w:rPr>
        <w:t>también las solicit</w:t>
      </w:r>
      <w:r w:rsidR="002B3EC6">
        <w:rPr>
          <w:rFonts w:asciiTheme="majorHAnsi" w:hAnsiTheme="majorHAnsi"/>
          <w:bCs/>
          <w:color w:val="000000" w:themeColor="text1"/>
          <w:sz w:val="20"/>
          <w:szCs w:val="20"/>
          <w:lang w:val="es-ES"/>
        </w:rPr>
        <w:t>ud</w:t>
      </w:r>
      <w:r w:rsidR="001D4B88" w:rsidRPr="004768D0">
        <w:rPr>
          <w:rFonts w:asciiTheme="majorHAnsi" w:hAnsiTheme="majorHAnsi"/>
          <w:bCs/>
          <w:color w:val="000000" w:themeColor="text1"/>
          <w:sz w:val="20"/>
          <w:szCs w:val="20"/>
          <w:lang w:val="es-ES"/>
        </w:rPr>
        <w:t xml:space="preserve">es efectuadas </w:t>
      </w:r>
      <w:r w:rsidR="000C0AC4" w:rsidRPr="004768D0">
        <w:rPr>
          <w:rFonts w:asciiTheme="majorHAnsi" w:hAnsiTheme="majorHAnsi"/>
          <w:bCs/>
          <w:color w:val="000000" w:themeColor="text1"/>
          <w:sz w:val="20"/>
          <w:szCs w:val="20"/>
          <w:lang w:val="es-ES"/>
        </w:rPr>
        <w:t>por la parte</w:t>
      </w:r>
      <w:r w:rsidR="00A07DD9" w:rsidRPr="004768D0">
        <w:rPr>
          <w:rFonts w:asciiTheme="majorHAnsi" w:hAnsiTheme="majorHAnsi"/>
          <w:bCs/>
          <w:color w:val="000000" w:themeColor="text1"/>
          <w:sz w:val="20"/>
          <w:szCs w:val="20"/>
          <w:lang w:val="es-ES"/>
        </w:rPr>
        <w:t xml:space="preserve"> peticionaria</w:t>
      </w:r>
      <w:r w:rsidR="00654B53" w:rsidRPr="004768D0">
        <w:rPr>
          <w:rFonts w:asciiTheme="majorHAnsi" w:hAnsiTheme="majorHAnsi"/>
          <w:bCs/>
          <w:color w:val="000000" w:themeColor="text1"/>
          <w:sz w:val="20"/>
          <w:szCs w:val="20"/>
          <w:lang w:val="es-ES"/>
        </w:rPr>
        <w:t xml:space="preserve"> para que </w:t>
      </w:r>
      <w:r w:rsidR="003C58C5" w:rsidRPr="004768D0">
        <w:rPr>
          <w:rFonts w:asciiTheme="majorHAnsi" w:hAnsiTheme="majorHAnsi"/>
          <w:bCs/>
          <w:color w:val="000000" w:themeColor="text1"/>
          <w:sz w:val="20"/>
          <w:szCs w:val="20"/>
          <w:lang w:val="es-ES"/>
        </w:rPr>
        <w:t>el Estado</w:t>
      </w:r>
      <w:r w:rsidR="00654B53" w:rsidRPr="004768D0">
        <w:rPr>
          <w:rFonts w:asciiTheme="majorHAnsi" w:hAnsiTheme="majorHAnsi"/>
          <w:bCs/>
          <w:color w:val="000000" w:themeColor="text1"/>
          <w:sz w:val="20"/>
          <w:szCs w:val="20"/>
          <w:lang w:val="es-ES"/>
        </w:rPr>
        <w:t xml:space="preserve"> </w:t>
      </w:r>
      <w:r w:rsidR="001D4B88" w:rsidRPr="004768D0">
        <w:rPr>
          <w:rFonts w:asciiTheme="majorHAnsi" w:hAnsiTheme="majorHAnsi"/>
          <w:bCs/>
          <w:color w:val="000000" w:themeColor="text1"/>
          <w:sz w:val="20"/>
          <w:szCs w:val="20"/>
          <w:lang w:val="es-ES"/>
        </w:rPr>
        <w:t>repar</w:t>
      </w:r>
      <w:r w:rsidR="002B3EC6">
        <w:rPr>
          <w:rFonts w:asciiTheme="majorHAnsi" w:hAnsiTheme="majorHAnsi"/>
          <w:bCs/>
          <w:color w:val="000000" w:themeColor="text1"/>
          <w:sz w:val="20"/>
          <w:szCs w:val="20"/>
          <w:lang w:val="es-ES"/>
        </w:rPr>
        <w:t>e</w:t>
      </w:r>
      <w:r w:rsidR="001D4B88" w:rsidRPr="004768D0">
        <w:rPr>
          <w:rFonts w:asciiTheme="majorHAnsi" w:hAnsiTheme="majorHAnsi"/>
          <w:bCs/>
          <w:color w:val="000000" w:themeColor="text1"/>
          <w:sz w:val="20"/>
          <w:szCs w:val="20"/>
          <w:lang w:val="es-ES"/>
        </w:rPr>
        <w:t xml:space="preserve"> los daños y </w:t>
      </w:r>
      <w:r w:rsidR="00654B53" w:rsidRPr="004768D0">
        <w:rPr>
          <w:rFonts w:asciiTheme="majorHAnsi" w:hAnsiTheme="majorHAnsi"/>
          <w:bCs/>
          <w:color w:val="000000" w:themeColor="text1"/>
          <w:sz w:val="20"/>
          <w:szCs w:val="20"/>
          <w:lang w:val="es-ES"/>
        </w:rPr>
        <w:t xml:space="preserve">afirma que </w:t>
      </w:r>
      <w:r w:rsidR="004744F0" w:rsidRPr="004768D0">
        <w:rPr>
          <w:rFonts w:asciiTheme="majorHAnsi" w:hAnsiTheme="majorHAnsi"/>
          <w:bCs/>
          <w:color w:val="000000" w:themeColor="text1"/>
          <w:sz w:val="20"/>
          <w:szCs w:val="20"/>
          <w:lang w:val="es-ES"/>
        </w:rPr>
        <w:t>“</w:t>
      </w:r>
      <w:r w:rsidR="001D4B88" w:rsidRPr="004768D0">
        <w:rPr>
          <w:rFonts w:asciiTheme="majorHAnsi" w:hAnsiTheme="majorHAnsi"/>
          <w:bCs/>
          <w:color w:val="000000" w:themeColor="text1"/>
          <w:sz w:val="20"/>
          <w:szCs w:val="20"/>
          <w:lang w:val="es-ES"/>
        </w:rPr>
        <w:t xml:space="preserve">ha tratado de aplicar </w:t>
      </w:r>
      <w:r w:rsidR="00654B53" w:rsidRPr="004768D0">
        <w:rPr>
          <w:sz w:val="20"/>
          <w:szCs w:val="20"/>
          <w:lang w:val="es-ES"/>
        </w:rPr>
        <w:t xml:space="preserve">internamente </w:t>
      </w:r>
      <w:r w:rsidR="001D4B88" w:rsidRPr="004768D0">
        <w:rPr>
          <w:sz w:val="20"/>
          <w:szCs w:val="20"/>
          <w:lang w:val="es-ES"/>
        </w:rPr>
        <w:t>l</w:t>
      </w:r>
      <w:r w:rsidR="00654B53" w:rsidRPr="004768D0">
        <w:rPr>
          <w:sz w:val="20"/>
          <w:szCs w:val="20"/>
          <w:lang w:val="es-ES"/>
        </w:rPr>
        <w:t xml:space="preserve">as </w:t>
      </w:r>
      <w:r w:rsidR="001D4B88" w:rsidRPr="004768D0">
        <w:rPr>
          <w:sz w:val="20"/>
          <w:szCs w:val="20"/>
          <w:lang w:val="es-ES"/>
        </w:rPr>
        <w:t>medidas señaladas por el peticionario</w:t>
      </w:r>
      <w:r w:rsidR="00654B53" w:rsidRPr="004768D0">
        <w:rPr>
          <w:sz w:val="20"/>
          <w:szCs w:val="20"/>
          <w:lang w:val="es-ES"/>
        </w:rPr>
        <w:t xml:space="preserve"> </w:t>
      </w:r>
      <w:r w:rsidR="001D4B88" w:rsidRPr="004768D0">
        <w:rPr>
          <w:sz w:val="20"/>
          <w:szCs w:val="20"/>
          <w:lang w:val="es-ES"/>
        </w:rPr>
        <w:t xml:space="preserve">a </w:t>
      </w:r>
      <w:r w:rsidR="00654B53" w:rsidRPr="004768D0">
        <w:rPr>
          <w:sz w:val="20"/>
          <w:szCs w:val="20"/>
          <w:lang w:val="es-ES"/>
        </w:rPr>
        <w:t>favor d</w:t>
      </w:r>
      <w:r w:rsidR="001D4B88" w:rsidRPr="004768D0">
        <w:rPr>
          <w:sz w:val="20"/>
          <w:szCs w:val="20"/>
          <w:lang w:val="es-ES"/>
        </w:rPr>
        <w:t>e l</w:t>
      </w:r>
      <w:r w:rsidR="00654B53" w:rsidRPr="004768D0">
        <w:rPr>
          <w:sz w:val="20"/>
          <w:szCs w:val="20"/>
          <w:lang w:val="es-ES"/>
        </w:rPr>
        <w:t xml:space="preserve">as </w:t>
      </w:r>
      <w:r w:rsidR="00000CF9" w:rsidRPr="004768D0">
        <w:rPr>
          <w:sz w:val="20"/>
          <w:szCs w:val="20"/>
          <w:lang w:val="es-ES"/>
        </w:rPr>
        <w:t>víctimas</w:t>
      </w:r>
      <w:r w:rsidR="00654B53" w:rsidRPr="004768D0">
        <w:rPr>
          <w:sz w:val="20"/>
          <w:szCs w:val="20"/>
          <w:lang w:val="es-ES"/>
        </w:rPr>
        <w:t xml:space="preserve"> </w:t>
      </w:r>
      <w:r w:rsidR="001D4B88" w:rsidRPr="004768D0">
        <w:rPr>
          <w:sz w:val="20"/>
          <w:szCs w:val="20"/>
          <w:lang w:val="es-ES"/>
        </w:rPr>
        <w:t>y</w:t>
      </w:r>
      <w:r w:rsidR="00654B53" w:rsidRPr="004768D0">
        <w:rPr>
          <w:sz w:val="20"/>
          <w:szCs w:val="20"/>
          <w:lang w:val="es-ES"/>
        </w:rPr>
        <w:t xml:space="preserve"> de </w:t>
      </w:r>
      <w:r w:rsidR="000C0AC4" w:rsidRPr="004768D0">
        <w:rPr>
          <w:sz w:val="20"/>
          <w:szCs w:val="20"/>
          <w:lang w:val="es-ES"/>
        </w:rPr>
        <w:t>sus</w:t>
      </w:r>
      <w:r w:rsidR="00654B53" w:rsidRPr="004768D0">
        <w:rPr>
          <w:sz w:val="20"/>
          <w:szCs w:val="20"/>
          <w:lang w:val="es-ES"/>
        </w:rPr>
        <w:t xml:space="preserve"> familiares</w:t>
      </w:r>
      <w:r w:rsidR="004744F0" w:rsidRPr="004768D0">
        <w:rPr>
          <w:sz w:val="20"/>
          <w:szCs w:val="20"/>
          <w:lang w:val="es-ES"/>
        </w:rPr>
        <w:t>”</w:t>
      </w:r>
      <w:r w:rsidR="00654B53" w:rsidRPr="004768D0">
        <w:rPr>
          <w:rStyle w:val="FootnoteReference"/>
          <w:rFonts w:asciiTheme="majorHAnsi" w:hAnsiTheme="majorHAnsi"/>
          <w:bCs/>
          <w:color w:val="000000" w:themeColor="text1"/>
          <w:sz w:val="20"/>
          <w:szCs w:val="20"/>
          <w:lang w:val="es-ES"/>
        </w:rPr>
        <w:footnoteReference w:id="16"/>
      </w:r>
      <w:r w:rsidR="001D4B88" w:rsidRPr="004768D0">
        <w:rPr>
          <w:sz w:val="20"/>
          <w:szCs w:val="20"/>
          <w:lang w:val="es-ES"/>
        </w:rPr>
        <w:t>.</w:t>
      </w:r>
      <w:r w:rsidR="00654B53" w:rsidRPr="004768D0">
        <w:rPr>
          <w:sz w:val="20"/>
          <w:szCs w:val="20"/>
          <w:lang w:val="es-ES"/>
        </w:rPr>
        <w:t xml:space="preserve"> </w:t>
      </w:r>
      <w:r w:rsidR="001D4B88" w:rsidRPr="004768D0">
        <w:rPr>
          <w:sz w:val="20"/>
          <w:szCs w:val="20"/>
          <w:lang w:val="es-ES"/>
        </w:rPr>
        <w:t>En el cuadro siguiente consta la información pr</w:t>
      </w:r>
      <w:r w:rsidR="00654B53" w:rsidRPr="004768D0">
        <w:rPr>
          <w:sz w:val="20"/>
          <w:szCs w:val="20"/>
          <w:lang w:val="es-ES"/>
        </w:rPr>
        <w:t>esentada p</w:t>
      </w:r>
      <w:r w:rsidR="001D4B88" w:rsidRPr="004768D0">
        <w:rPr>
          <w:sz w:val="20"/>
          <w:szCs w:val="20"/>
          <w:lang w:val="es-ES"/>
        </w:rPr>
        <w:t xml:space="preserve">or </w:t>
      </w:r>
      <w:r w:rsidR="003C58C5" w:rsidRPr="004768D0">
        <w:rPr>
          <w:sz w:val="20"/>
          <w:szCs w:val="20"/>
          <w:lang w:val="es-ES"/>
        </w:rPr>
        <w:t>el Estado</w:t>
      </w:r>
      <w:r w:rsidR="00654B53" w:rsidRPr="004768D0">
        <w:rPr>
          <w:sz w:val="20"/>
          <w:szCs w:val="20"/>
          <w:lang w:val="es-ES"/>
        </w:rPr>
        <w:t xml:space="preserve"> de </w:t>
      </w:r>
      <w:r w:rsidR="001D4B88" w:rsidRPr="004768D0">
        <w:rPr>
          <w:sz w:val="20"/>
          <w:szCs w:val="20"/>
          <w:lang w:val="es-ES"/>
        </w:rPr>
        <w:t>acuerdo con las solicitudes en cuestión</w:t>
      </w:r>
      <w:r w:rsidR="00654B53" w:rsidRPr="004768D0">
        <w:rPr>
          <w:sz w:val="20"/>
          <w:szCs w:val="20"/>
          <w:lang w:val="es-ES"/>
        </w:rPr>
        <w:t>:</w:t>
      </w:r>
    </w:p>
    <w:p w14:paraId="78F1B604" w14:textId="77777777" w:rsidR="00654B53" w:rsidRPr="004768D0" w:rsidRDefault="00654B53" w:rsidP="00654B53">
      <w:pPr>
        <w:pStyle w:val="ListParagraph"/>
        <w:rPr>
          <w:rFonts w:asciiTheme="majorHAnsi" w:hAnsiTheme="majorHAnsi"/>
          <w:bCs/>
          <w:color w:val="000000" w:themeColor="text1"/>
          <w:sz w:val="20"/>
          <w:szCs w:val="20"/>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654B53" w:rsidRPr="004768D0" w14:paraId="6E51668A" w14:textId="77777777" w:rsidTr="0080214D">
        <w:tc>
          <w:tcPr>
            <w:tcW w:w="2263" w:type="dxa"/>
            <w:tcBorders>
              <w:bottom w:val="single" w:sz="12" w:space="0" w:color="auto"/>
            </w:tcBorders>
          </w:tcPr>
          <w:p w14:paraId="6BE0BDF2" w14:textId="77777777" w:rsidR="00654B53" w:rsidRPr="004768D0" w:rsidRDefault="001D4B88" w:rsidP="001D4B8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hAnsiTheme="majorHAnsi"/>
                <w:b/>
                <w:color w:val="000000" w:themeColor="text1"/>
                <w:sz w:val="20"/>
                <w:szCs w:val="20"/>
                <w:lang w:val="es-ES"/>
              </w:rPr>
            </w:pPr>
            <w:r w:rsidRPr="004768D0">
              <w:rPr>
                <w:rFonts w:asciiTheme="majorHAnsi" w:hAnsiTheme="majorHAnsi"/>
                <w:b/>
                <w:color w:val="000000" w:themeColor="text1"/>
                <w:sz w:val="20"/>
                <w:szCs w:val="20"/>
                <w:lang w:val="es-ES"/>
              </w:rPr>
              <w:t>SOLICITUDES</w:t>
            </w:r>
          </w:p>
        </w:tc>
        <w:tc>
          <w:tcPr>
            <w:tcW w:w="7087" w:type="dxa"/>
            <w:tcBorders>
              <w:bottom w:val="single" w:sz="12" w:space="0" w:color="auto"/>
            </w:tcBorders>
          </w:tcPr>
          <w:p w14:paraId="27E3EEEB" w14:textId="77777777" w:rsidR="00654B53" w:rsidRPr="004768D0" w:rsidRDefault="001D4B88" w:rsidP="001D4B8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hAnsiTheme="majorHAnsi"/>
                <w:b/>
                <w:color w:val="000000" w:themeColor="text1"/>
                <w:sz w:val="20"/>
                <w:szCs w:val="20"/>
                <w:lang w:val="es-ES"/>
              </w:rPr>
            </w:pPr>
            <w:r w:rsidRPr="004768D0">
              <w:rPr>
                <w:rFonts w:asciiTheme="majorHAnsi" w:hAnsiTheme="majorHAnsi"/>
                <w:b/>
                <w:color w:val="000000" w:themeColor="text1"/>
                <w:sz w:val="20"/>
                <w:szCs w:val="20"/>
                <w:lang w:val="es-ES"/>
              </w:rPr>
              <w:t xml:space="preserve">RESPUESTA DEL </w:t>
            </w:r>
            <w:r w:rsidR="000F34D0" w:rsidRPr="004768D0">
              <w:rPr>
                <w:rFonts w:asciiTheme="majorHAnsi" w:hAnsiTheme="majorHAnsi"/>
                <w:b/>
                <w:color w:val="000000" w:themeColor="text1"/>
                <w:sz w:val="20"/>
                <w:szCs w:val="20"/>
                <w:lang w:val="es-ES"/>
              </w:rPr>
              <w:t>ESTADO</w:t>
            </w:r>
          </w:p>
        </w:tc>
      </w:tr>
      <w:tr w:rsidR="00654B53" w:rsidRPr="008D6F96" w14:paraId="0BC11AC8" w14:textId="77777777" w:rsidTr="0080214D">
        <w:tc>
          <w:tcPr>
            <w:tcW w:w="2263" w:type="dxa"/>
            <w:tcBorders>
              <w:top w:val="single" w:sz="12" w:space="0" w:color="auto"/>
            </w:tcBorders>
            <w:shd w:val="clear" w:color="auto" w:fill="D9D9D9" w:themeFill="background1" w:themeFillShade="D9"/>
          </w:tcPr>
          <w:p w14:paraId="43D7ACAD" w14:textId="77777777" w:rsidR="000F34D0" w:rsidRPr="004768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es-ES"/>
              </w:rPr>
            </w:pPr>
          </w:p>
          <w:p w14:paraId="44083C18" w14:textId="77777777" w:rsidR="000F34D0" w:rsidRPr="004768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es-ES"/>
              </w:rPr>
            </w:pPr>
          </w:p>
          <w:p w14:paraId="0AF636FE" w14:textId="77777777" w:rsidR="00654B53" w:rsidRPr="004768D0" w:rsidRDefault="00654B53" w:rsidP="00882F6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color w:val="000000" w:themeColor="text1"/>
                <w:sz w:val="18"/>
                <w:szCs w:val="18"/>
                <w:lang w:val="es-ES"/>
              </w:rPr>
            </w:pPr>
            <w:r w:rsidRPr="004768D0">
              <w:rPr>
                <w:rFonts w:asciiTheme="majorHAnsi" w:hAnsiTheme="majorHAnsi"/>
                <w:b/>
                <w:color w:val="000000" w:themeColor="text1"/>
                <w:sz w:val="18"/>
                <w:szCs w:val="18"/>
                <w:lang w:val="es-ES"/>
              </w:rPr>
              <w:t xml:space="preserve">Para </w:t>
            </w:r>
            <w:r w:rsidR="00882F67" w:rsidRPr="004768D0">
              <w:rPr>
                <w:rFonts w:asciiTheme="majorHAnsi" w:hAnsiTheme="majorHAnsi"/>
                <w:b/>
                <w:color w:val="000000" w:themeColor="text1"/>
                <w:sz w:val="18"/>
                <w:szCs w:val="18"/>
                <w:lang w:val="es-ES"/>
              </w:rPr>
              <w:t xml:space="preserve">que se cumpla la obligación </w:t>
            </w:r>
            <w:r w:rsidRPr="004768D0">
              <w:rPr>
                <w:rFonts w:asciiTheme="majorHAnsi" w:hAnsiTheme="majorHAnsi"/>
                <w:b/>
                <w:color w:val="000000" w:themeColor="text1"/>
                <w:sz w:val="18"/>
                <w:szCs w:val="18"/>
                <w:lang w:val="es-ES"/>
              </w:rPr>
              <w:t xml:space="preserve">de investigar </w:t>
            </w:r>
            <w:r w:rsidR="00882F67" w:rsidRPr="004768D0">
              <w:rPr>
                <w:rFonts w:asciiTheme="majorHAnsi" w:hAnsiTheme="majorHAnsi"/>
                <w:b/>
                <w:color w:val="000000" w:themeColor="text1"/>
                <w:sz w:val="18"/>
                <w:szCs w:val="18"/>
                <w:lang w:val="es-ES"/>
              </w:rPr>
              <w:t>y sancionar, es necesario</w:t>
            </w:r>
            <w:r w:rsidRPr="004768D0">
              <w:rPr>
                <w:rFonts w:asciiTheme="majorHAnsi" w:hAnsiTheme="majorHAnsi"/>
                <w:b/>
                <w:color w:val="000000" w:themeColor="text1"/>
                <w:sz w:val="18"/>
                <w:szCs w:val="18"/>
                <w:lang w:val="es-ES"/>
              </w:rPr>
              <w:t xml:space="preserve"> </w:t>
            </w:r>
            <w:r w:rsidR="00882F67" w:rsidRPr="004768D0">
              <w:rPr>
                <w:rFonts w:asciiTheme="majorHAnsi" w:hAnsiTheme="majorHAnsi"/>
                <w:b/>
                <w:color w:val="000000" w:themeColor="text1"/>
                <w:sz w:val="18"/>
                <w:szCs w:val="18"/>
                <w:lang w:val="es-ES"/>
              </w:rPr>
              <w:t xml:space="preserve">trasladar la competencia en materia de </w:t>
            </w:r>
            <w:r w:rsidR="00E04ED3" w:rsidRPr="004768D0">
              <w:rPr>
                <w:rFonts w:asciiTheme="majorHAnsi" w:hAnsiTheme="majorHAnsi"/>
                <w:b/>
                <w:color w:val="000000" w:themeColor="text1"/>
                <w:sz w:val="18"/>
                <w:szCs w:val="18"/>
                <w:lang w:val="es-ES"/>
              </w:rPr>
              <w:t>investigaciones</w:t>
            </w:r>
            <w:r w:rsidRPr="004768D0">
              <w:rPr>
                <w:rFonts w:asciiTheme="majorHAnsi" w:hAnsiTheme="majorHAnsi"/>
                <w:b/>
                <w:color w:val="000000" w:themeColor="text1"/>
                <w:sz w:val="18"/>
                <w:szCs w:val="18"/>
                <w:lang w:val="es-ES"/>
              </w:rPr>
              <w:t xml:space="preserve"> d</w:t>
            </w:r>
            <w:r w:rsidR="00882F67" w:rsidRPr="004768D0">
              <w:rPr>
                <w:rFonts w:asciiTheme="majorHAnsi" w:hAnsiTheme="majorHAnsi"/>
                <w:b/>
                <w:color w:val="000000" w:themeColor="text1"/>
                <w:sz w:val="18"/>
                <w:szCs w:val="18"/>
                <w:lang w:val="es-ES"/>
              </w:rPr>
              <w:t>el ámbito de la justicia del estado al ámbito de la justicia f</w:t>
            </w:r>
            <w:r w:rsidRPr="004768D0">
              <w:rPr>
                <w:rFonts w:asciiTheme="majorHAnsi" w:hAnsiTheme="majorHAnsi"/>
                <w:b/>
                <w:color w:val="000000" w:themeColor="text1"/>
                <w:sz w:val="18"/>
                <w:szCs w:val="18"/>
                <w:lang w:val="es-ES"/>
              </w:rPr>
              <w:t>ederal, co</w:t>
            </w:r>
            <w:r w:rsidR="00882F67" w:rsidRPr="004768D0">
              <w:rPr>
                <w:rFonts w:asciiTheme="majorHAnsi" w:hAnsiTheme="majorHAnsi"/>
                <w:b/>
                <w:color w:val="000000" w:themeColor="text1"/>
                <w:sz w:val="18"/>
                <w:szCs w:val="18"/>
                <w:lang w:val="es-ES"/>
              </w:rPr>
              <w:t>n l</w:t>
            </w:r>
            <w:r w:rsidRPr="004768D0">
              <w:rPr>
                <w:rFonts w:asciiTheme="majorHAnsi" w:hAnsiTheme="majorHAnsi"/>
                <w:b/>
                <w:color w:val="000000" w:themeColor="text1"/>
                <w:sz w:val="18"/>
                <w:szCs w:val="18"/>
                <w:lang w:val="es-ES"/>
              </w:rPr>
              <w:t>a determina</w:t>
            </w:r>
            <w:r w:rsidR="00882F67" w:rsidRPr="004768D0">
              <w:rPr>
                <w:rFonts w:asciiTheme="majorHAnsi" w:hAnsiTheme="majorHAnsi"/>
                <w:b/>
                <w:color w:val="000000" w:themeColor="text1"/>
                <w:sz w:val="18"/>
                <w:szCs w:val="18"/>
                <w:lang w:val="es-ES"/>
              </w:rPr>
              <w:t>ción</w:t>
            </w:r>
            <w:r w:rsidRPr="004768D0">
              <w:rPr>
                <w:rFonts w:asciiTheme="majorHAnsi" w:hAnsiTheme="majorHAnsi"/>
                <w:b/>
                <w:color w:val="000000" w:themeColor="text1"/>
                <w:sz w:val="18"/>
                <w:szCs w:val="18"/>
                <w:lang w:val="es-ES"/>
              </w:rPr>
              <w:t xml:space="preserve"> </w:t>
            </w:r>
            <w:r w:rsidR="00882F67" w:rsidRPr="004768D0">
              <w:rPr>
                <w:rFonts w:asciiTheme="majorHAnsi" w:hAnsiTheme="majorHAnsi"/>
                <w:b/>
                <w:color w:val="000000" w:themeColor="text1"/>
                <w:sz w:val="18"/>
                <w:szCs w:val="18"/>
                <w:lang w:val="es-ES"/>
              </w:rPr>
              <w:t>expresa</w:t>
            </w:r>
            <w:r w:rsidRPr="004768D0">
              <w:rPr>
                <w:rFonts w:asciiTheme="majorHAnsi" w:hAnsiTheme="majorHAnsi"/>
                <w:b/>
                <w:color w:val="000000" w:themeColor="text1"/>
                <w:sz w:val="18"/>
                <w:szCs w:val="18"/>
                <w:lang w:val="es-ES"/>
              </w:rPr>
              <w:t xml:space="preserve"> de </w:t>
            </w:r>
            <w:r w:rsidR="00882F67" w:rsidRPr="004768D0">
              <w:rPr>
                <w:rFonts w:asciiTheme="majorHAnsi" w:hAnsiTheme="majorHAnsi"/>
                <w:b/>
                <w:color w:val="000000" w:themeColor="text1"/>
                <w:sz w:val="18"/>
                <w:szCs w:val="18"/>
                <w:lang w:val="es-ES"/>
              </w:rPr>
              <w:t xml:space="preserve">que se hagan las pruebas periciales que no se hayan realizado y que se tome declaración nuevamente o por primera vez a las </w:t>
            </w:r>
            <w:r w:rsidR="00000CF9" w:rsidRPr="004768D0">
              <w:rPr>
                <w:rFonts w:asciiTheme="majorHAnsi" w:hAnsiTheme="majorHAnsi"/>
                <w:b/>
                <w:color w:val="000000" w:themeColor="text1"/>
                <w:sz w:val="18"/>
                <w:szCs w:val="18"/>
                <w:lang w:val="es-ES"/>
              </w:rPr>
              <w:t>víctimas</w:t>
            </w:r>
            <w:r w:rsidRPr="004768D0">
              <w:rPr>
                <w:rFonts w:asciiTheme="majorHAnsi" w:hAnsiTheme="majorHAnsi"/>
                <w:b/>
                <w:color w:val="000000" w:themeColor="text1"/>
                <w:sz w:val="18"/>
                <w:szCs w:val="18"/>
                <w:lang w:val="es-ES"/>
              </w:rPr>
              <w:t xml:space="preserve"> </w:t>
            </w:r>
            <w:r w:rsidR="00882F67" w:rsidRPr="004768D0">
              <w:rPr>
                <w:rFonts w:asciiTheme="majorHAnsi" w:hAnsiTheme="majorHAnsi"/>
                <w:b/>
                <w:color w:val="000000" w:themeColor="text1"/>
                <w:sz w:val="18"/>
                <w:szCs w:val="18"/>
                <w:lang w:val="es-ES"/>
              </w:rPr>
              <w:t>y los</w:t>
            </w:r>
            <w:r w:rsidRPr="004768D0">
              <w:rPr>
                <w:rFonts w:asciiTheme="majorHAnsi" w:hAnsiTheme="majorHAnsi"/>
                <w:b/>
                <w:color w:val="000000" w:themeColor="text1"/>
                <w:sz w:val="18"/>
                <w:szCs w:val="18"/>
                <w:lang w:val="es-ES"/>
              </w:rPr>
              <w:t xml:space="preserve"> </w:t>
            </w:r>
            <w:r w:rsidR="003346C1" w:rsidRPr="004768D0">
              <w:rPr>
                <w:rFonts w:asciiTheme="majorHAnsi" w:hAnsiTheme="majorHAnsi"/>
                <w:b/>
                <w:color w:val="000000" w:themeColor="text1"/>
                <w:sz w:val="18"/>
                <w:szCs w:val="18"/>
                <w:lang w:val="es-ES"/>
              </w:rPr>
              <w:t>testigos</w:t>
            </w:r>
            <w:r w:rsidRPr="004768D0">
              <w:rPr>
                <w:rFonts w:asciiTheme="majorHAnsi" w:hAnsiTheme="majorHAnsi"/>
                <w:b/>
                <w:color w:val="000000" w:themeColor="text1"/>
                <w:sz w:val="18"/>
                <w:szCs w:val="18"/>
                <w:lang w:val="es-ES"/>
              </w:rPr>
              <w:t xml:space="preserve"> mencionad</w:t>
            </w:r>
            <w:r w:rsidR="00882F67" w:rsidRPr="004768D0">
              <w:rPr>
                <w:rFonts w:asciiTheme="majorHAnsi" w:hAnsiTheme="majorHAnsi"/>
                <w:b/>
                <w:color w:val="000000" w:themeColor="text1"/>
                <w:sz w:val="18"/>
                <w:szCs w:val="18"/>
                <w:lang w:val="es-ES"/>
              </w:rPr>
              <w:t>o</w:t>
            </w:r>
            <w:r w:rsidRPr="004768D0">
              <w:rPr>
                <w:rFonts w:asciiTheme="majorHAnsi" w:hAnsiTheme="majorHAnsi"/>
                <w:b/>
                <w:color w:val="000000" w:themeColor="text1"/>
                <w:sz w:val="18"/>
                <w:szCs w:val="18"/>
                <w:lang w:val="es-ES"/>
              </w:rPr>
              <w:t>s, co</w:t>
            </w:r>
            <w:r w:rsidR="00882F67" w:rsidRPr="004768D0">
              <w:rPr>
                <w:rFonts w:asciiTheme="majorHAnsi" w:hAnsiTheme="majorHAnsi"/>
                <w:b/>
                <w:color w:val="000000" w:themeColor="text1"/>
                <w:sz w:val="18"/>
                <w:szCs w:val="18"/>
                <w:lang w:val="es-ES"/>
              </w:rPr>
              <w:t>n</w:t>
            </w:r>
            <w:r w:rsidRPr="004768D0">
              <w:rPr>
                <w:rFonts w:asciiTheme="majorHAnsi" w:hAnsiTheme="majorHAnsi"/>
                <w:b/>
                <w:color w:val="000000" w:themeColor="text1"/>
                <w:sz w:val="18"/>
                <w:szCs w:val="18"/>
                <w:lang w:val="es-ES"/>
              </w:rPr>
              <w:t xml:space="preserve"> garant</w:t>
            </w:r>
            <w:r w:rsidR="00882F67" w:rsidRPr="004768D0">
              <w:rPr>
                <w:rFonts w:asciiTheme="majorHAnsi" w:hAnsiTheme="majorHAnsi"/>
                <w:b/>
                <w:color w:val="000000" w:themeColor="text1"/>
                <w:sz w:val="18"/>
                <w:szCs w:val="18"/>
                <w:lang w:val="es-ES"/>
              </w:rPr>
              <w:t>í</w:t>
            </w:r>
            <w:r w:rsidRPr="004768D0">
              <w:rPr>
                <w:rFonts w:asciiTheme="majorHAnsi" w:hAnsiTheme="majorHAnsi"/>
                <w:b/>
                <w:color w:val="000000" w:themeColor="text1"/>
                <w:sz w:val="18"/>
                <w:szCs w:val="18"/>
                <w:lang w:val="es-ES"/>
              </w:rPr>
              <w:t xml:space="preserve">a de </w:t>
            </w:r>
            <w:r w:rsidR="0052395A" w:rsidRPr="004768D0">
              <w:rPr>
                <w:rFonts w:asciiTheme="majorHAnsi" w:hAnsiTheme="majorHAnsi"/>
                <w:b/>
                <w:color w:val="000000" w:themeColor="text1"/>
                <w:sz w:val="18"/>
                <w:szCs w:val="18"/>
                <w:lang w:val="es-ES"/>
              </w:rPr>
              <w:t>protección</w:t>
            </w:r>
            <w:r w:rsidRPr="004768D0">
              <w:rPr>
                <w:rFonts w:asciiTheme="majorHAnsi" w:hAnsiTheme="majorHAnsi"/>
                <w:b/>
                <w:color w:val="000000" w:themeColor="text1"/>
                <w:sz w:val="18"/>
                <w:szCs w:val="18"/>
                <w:lang w:val="es-ES"/>
              </w:rPr>
              <w:t xml:space="preserve"> </w:t>
            </w:r>
            <w:r w:rsidR="00882F67" w:rsidRPr="004768D0">
              <w:rPr>
                <w:rFonts w:asciiTheme="majorHAnsi" w:hAnsiTheme="majorHAnsi"/>
                <w:b/>
                <w:color w:val="000000" w:themeColor="text1"/>
                <w:sz w:val="18"/>
                <w:szCs w:val="18"/>
                <w:lang w:val="es-ES"/>
              </w:rPr>
              <w:t>para quienes la necesiten</w:t>
            </w:r>
            <w:r w:rsidRPr="004768D0">
              <w:rPr>
                <w:rFonts w:asciiTheme="majorHAnsi" w:hAnsiTheme="majorHAnsi"/>
                <w:b/>
                <w:color w:val="000000" w:themeColor="text1"/>
                <w:sz w:val="18"/>
                <w:szCs w:val="18"/>
                <w:lang w:val="es-ES"/>
              </w:rPr>
              <w:t>.</w:t>
            </w:r>
          </w:p>
        </w:tc>
        <w:tc>
          <w:tcPr>
            <w:tcW w:w="7087" w:type="dxa"/>
            <w:tcBorders>
              <w:top w:val="single" w:sz="12" w:space="0" w:color="auto"/>
            </w:tcBorders>
            <w:shd w:val="clear" w:color="auto" w:fill="D9D9D9" w:themeFill="background1" w:themeFillShade="D9"/>
          </w:tcPr>
          <w:p w14:paraId="22A872AF" w14:textId="77777777" w:rsidR="000F34D0" w:rsidRPr="004768D0" w:rsidRDefault="000F34D0" w:rsidP="0080214D">
            <w:pPr>
              <w:spacing w:before="60" w:after="60"/>
              <w:ind w:left="184"/>
              <w:jc w:val="both"/>
              <w:rPr>
                <w:rFonts w:ascii="Cambria" w:hAnsi="Cambria"/>
                <w:sz w:val="18"/>
                <w:szCs w:val="18"/>
                <w:lang w:val="es-ES"/>
              </w:rPr>
            </w:pPr>
          </w:p>
          <w:p w14:paraId="33447732" w14:textId="77777777" w:rsidR="00654B53" w:rsidRPr="004768D0" w:rsidRDefault="00654B53" w:rsidP="0080214D">
            <w:pPr>
              <w:spacing w:before="60" w:after="60"/>
              <w:ind w:left="184"/>
              <w:jc w:val="both"/>
              <w:rPr>
                <w:rFonts w:ascii="Cambria" w:hAnsi="Cambria"/>
                <w:sz w:val="18"/>
                <w:szCs w:val="18"/>
                <w:lang w:val="es-ES"/>
              </w:rPr>
            </w:pPr>
            <w:r w:rsidRPr="004768D0">
              <w:rPr>
                <w:rFonts w:ascii="Cambria" w:hAnsi="Cambria"/>
                <w:sz w:val="18"/>
                <w:szCs w:val="18"/>
                <w:lang w:val="es-ES"/>
              </w:rPr>
              <w:t>E</w:t>
            </w:r>
            <w:r w:rsidR="00882F67" w:rsidRPr="004768D0">
              <w:rPr>
                <w:rFonts w:ascii="Cambria" w:hAnsi="Cambria"/>
                <w:sz w:val="18"/>
                <w:szCs w:val="18"/>
                <w:lang w:val="es-ES"/>
              </w:rPr>
              <w:t>l</w:t>
            </w:r>
            <w:r w:rsidRPr="004768D0">
              <w:rPr>
                <w:rFonts w:ascii="Cambria" w:hAnsi="Cambria"/>
                <w:sz w:val="18"/>
                <w:szCs w:val="18"/>
                <w:lang w:val="es-ES"/>
              </w:rPr>
              <w:t xml:space="preserve"> 18 de </w:t>
            </w:r>
            <w:r w:rsidR="007F4608" w:rsidRPr="004768D0">
              <w:rPr>
                <w:rFonts w:ascii="Cambria" w:hAnsi="Cambria"/>
                <w:sz w:val="18"/>
                <w:szCs w:val="18"/>
                <w:lang w:val="es-ES"/>
              </w:rPr>
              <w:t>mayo</w:t>
            </w:r>
            <w:r w:rsidRPr="004768D0">
              <w:rPr>
                <w:rFonts w:ascii="Cambria" w:hAnsi="Cambria"/>
                <w:sz w:val="18"/>
                <w:szCs w:val="18"/>
                <w:lang w:val="es-ES"/>
              </w:rPr>
              <w:t xml:space="preserve"> de 2010</w:t>
            </w:r>
            <w:r w:rsidR="00882F67" w:rsidRPr="004768D0">
              <w:rPr>
                <w:rFonts w:ascii="Cambria" w:hAnsi="Cambria"/>
                <w:sz w:val="18"/>
                <w:szCs w:val="18"/>
                <w:lang w:val="es-ES"/>
              </w:rPr>
              <w:t xml:space="preserve"> se inició el </w:t>
            </w:r>
            <w:r w:rsidR="000A5DA2" w:rsidRPr="004768D0">
              <w:rPr>
                <w:rFonts w:ascii="Cambria" w:hAnsi="Cambria"/>
                <w:sz w:val="18"/>
                <w:szCs w:val="18"/>
                <w:lang w:val="es-ES"/>
              </w:rPr>
              <w:t>procedimiento preparatorio</w:t>
            </w:r>
            <w:r w:rsidRPr="004768D0">
              <w:rPr>
                <w:rFonts w:ascii="Cambria" w:hAnsi="Cambria"/>
                <w:sz w:val="18"/>
                <w:szCs w:val="18"/>
                <w:lang w:val="es-ES"/>
              </w:rPr>
              <w:t xml:space="preserve"> de </w:t>
            </w:r>
            <w:r w:rsidR="000A5DA2" w:rsidRPr="004768D0">
              <w:rPr>
                <w:rFonts w:ascii="Cambria" w:hAnsi="Cambria"/>
                <w:sz w:val="18"/>
                <w:szCs w:val="18"/>
                <w:lang w:val="es-ES"/>
              </w:rPr>
              <w:t>incidente de traslado de competencia</w:t>
            </w:r>
            <w:r w:rsidRPr="004768D0">
              <w:rPr>
                <w:rFonts w:ascii="Cambria" w:hAnsi="Cambria"/>
                <w:sz w:val="18"/>
                <w:szCs w:val="18"/>
                <w:lang w:val="es-ES"/>
              </w:rPr>
              <w:t xml:space="preserve"> (PPIDC-PGR) </w:t>
            </w:r>
            <w:proofErr w:type="spellStart"/>
            <w:r w:rsidR="009615E2" w:rsidRPr="004768D0">
              <w:rPr>
                <w:rFonts w:asciiTheme="majorHAnsi" w:hAnsiTheme="majorHAnsi"/>
                <w:bCs/>
                <w:color w:val="000000" w:themeColor="text1"/>
                <w:sz w:val="18"/>
                <w:szCs w:val="18"/>
                <w:lang w:val="es-ES"/>
              </w:rPr>
              <w:t>N.</w:t>
            </w:r>
            <w:r w:rsidR="009615E2" w:rsidRPr="004768D0">
              <w:rPr>
                <w:rFonts w:asciiTheme="majorHAnsi" w:hAnsiTheme="majorHAnsi"/>
                <w:bCs/>
                <w:color w:val="000000" w:themeColor="text1"/>
                <w:sz w:val="18"/>
                <w:szCs w:val="18"/>
                <w:vertAlign w:val="superscript"/>
                <w:lang w:val="es-ES"/>
              </w:rPr>
              <w:t>o</w:t>
            </w:r>
            <w:proofErr w:type="spellEnd"/>
            <w:r w:rsidRPr="004768D0">
              <w:rPr>
                <w:rFonts w:ascii="Cambria" w:hAnsi="Cambria"/>
                <w:sz w:val="18"/>
                <w:szCs w:val="18"/>
                <w:lang w:val="es-ES"/>
              </w:rPr>
              <w:t xml:space="preserve"> 1.00.000.005535/2010-00, </w:t>
            </w:r>
            <w:r w:rsidR="00882F67" w:rsidRPr="004768D0">
              <w:rPr>
                <w:rFonts w:ascii="Cambria" w:hAnsi="Cambria"/>
                <w:sz w:val="18"/>
                <w:szCs w:val="18"/>
                <w:lang w:val="es-ES"/>
              </w:rPr>
              <w:t xml:space="preserve">el cual, en </w:t>
            </w:r>
            <w:r w:rsidR="007F4608" w:rsidRPr="004768D0">
              <w:rPr>
                <w:rFonts w:ascii="Cambria" w:hAnsi="Cambria"/>
                <w:sz w:val="18"/>
                <w:szCs w:val="18"/>
                <w:lang w:val="es-ES"/>
              </w:rPr>
              <w:t>julio</w:t>
            </w:r>
            <w:r w:rsidRPr="004768D0">
              <w:rPr>
                <w:rFonts w:ascii="Cambria" w:hAnsi="Cambria"/>
                <w:sz w:val="18"/>
                <w:szCs w:val="18"/>
                <w:lang w:val="es-ES"/>
              </w:rPr>
              <w:t xml:space="preserve"> de 2019, e</w:t>
            </w:r>
            <w:r w:rsidR="00882F67" w:rsidRPr="004768D0">
              <w:rPr>
                <w:rFonts w:ascii="Cambria" w:hAnsi="Cambria"/>
                <w:sz w:val="18"/>
                <w:szCs w:val="18"/>
                <w:lang w:val="es-ES"/>
              </w:rPr>
              <w:t>staba en trámite</w:t>
            </w:r>
            <w:r w:rsidRPr="004768D0">
              <w:rPr>
                <w:rFonts w:ascii="Cambria" w:hAnsi="Cambria"/>
                <w:sz w:val="18"/>
                <w:szCs w:val="18"/>
                <w:lang w:val="es-ES"/>
              </w:rPr>
              <w:t>.</w:t>
            </w:r>
          </w:p>
          <w:p w14:paraId="649D87E9" w14:textId="77777777" w:rsidR="00654B53" w:rsidRPr="004768D0" w:rsidRDefault="00882F67" w:rsidP="0080214D">
            <w:pPr>
              <w:spacing w:before="60" w:after="60"/>
              <w:ind w:left="184"/>
              <w:jc w:val="both"/>
              <w:rPr>
                <w:rFonts w:ascii="Cambria" w:hAnsi="Cambria"/>
                <w:sz w:val="18"/>
                <w:szCs w:val="18"/>
                <w:lang w:val="es-ES"/>
              </w:rPr>
            </w:pPr>
            <w:r w:rsidRPr="004768D0">
              <w:rPr>
                <w:rFonts w:ascii="Cambria" w:hAnsi="Cambria"/>
                <w:sz w:val="18"/>
                <w:szCs w:val="18"/>
                <w:lang w:val="es-ES"/>
              </w:rPr>
              <w:t xml:space="preserve">A fin de determinar si se cumplen los </w:t>
            </w:r>
            <w:r w:rsidR="00654B53" w:rsidRPr="004768D0">
              <w:rPr>
                <w:rFonts w:ascii="Cambria" w:hAnsi="Cambria"/>
                <w:sz w:val="18"/>
                <w:szCs w:val="18"/>
                <w:lang w:val="es-ES"/>
              </w:rPr>
              <w:t xml:space="preserve">requisitos para </w:t>
            </w:r>
            <w:r w:rsidRPr="004768D0">
              <w:rPr>
                <w:rFonts w:ascii="Cambria" w:hAnsi="Cambria"/>
                <w:sz w:val="18"/>
                <w:szCs w:val="18"/>
                <w:lang w:val="es-ES"/>
              </w:rPr>
              <w:t>una</w:t>
            </w:r>
            <w:r w:rsidR="00654B53" w:rsidRPr="004768D0">
              <w:rPr>
                <w:rFonts w:ascii="Cambria" w:hAnsi="Cambria"/>
                <w:sz w:val="18"/>
                <w:szCs w:val="18"/>
                <w:lang w:val="es-ES"/>
              </w:rPr>
              <w:t xml:space="preserve"> eventual prop</w:t>
            </w:r>
            <w:r w:rsidRPr="004768D0">
              <w:rPr>
                <w:rFonts w:ascii="Cambria" w:hAnsi="Cambria"/>
                <w:sz w:val="18"/>
                <w:szCs w:val="18"/>
                <w:lang w:val="es-ES"/>
              </w:rPr>
              <w:t xml:space="preserve">uesta </w:t>
            </w:r>
            <w:r w:rsidR="00654B53" w:rsidRPr="004768D0">
              <w:rPr>
                <w:rFonts w:ascii="Cambria" w:hAnsi="Cambria"/>
                <w:sz w:val="18"/>
                <w:szCs w:val="18"/>
                <w:lang w:val="es-ES"/>
              </w:rPr>
              <w:t xml:space="preserve">de </w:t>
            </w:r>
            <w:r w:rsidRPr="004768D0">
              <w:rPr>
                <w:rFonts w:ascii="Cambria" w:hAnsi="Cambria"/>
                <w:sz w:val="18"/>
                <w:szCs w:val="18"/>
                <w:lang w:val="es-ES"/>
              </w:rPr>
              <w:t>incidente de traslado de competencia</w:t>
            </w:r>
            <w:r w:rsidR="00654B53" w:rsidRPr="004768D0">
              <w:rPr>
                <w:rFonts w:ascii="Cambria" w:hAnsi="Cambria"/>
                <w:sz w:val="18"/>
                <w:szCs w:val="18"/>
                <w:lang w:val="es-ES"/>
              </w:rPr>
              <w:t xml:space="preserve">, </w:t>
            </w:r>
            <w:r w:rsidRPr="004768D0">
              <w:rPr>
                <w:rFonts w:ascii="Cambria" w:hAnsi="Cambria"/>
                <w:sz w:val="18"/>
                <w:szCs w:val="18"/>
                <w:lang w:val="es-ES"/>
              </w:rPr>
              <w:t xml:space="preserve">se solicitó al GAECO información pertinente sobre el estado de las </w:t>
            </w:r>
            <w:r w:rsidR="00E04ED3" w:rsidRPr="004768D0">
              <w:rPr>
                <w:rFonts w:ascii="Cambria" w:hAnsi="Cambria"/>
                <w:sz w:val="18"/>
                <w:szCs w:val="18"/>
                <w:lang w:val="es-ES"/>
              </w:rPr>
              <w:t>investigaciones</w:t>
            </w:r>
            <w:r w:rsidRPr="004768D0">
              <w:rPr>
                <w:rFonts w:ascii="Cambria" w:hAnsi="Cambria"/>
                <w:sz w:val="18"/>
                <w:szCs w:val="18"/>
                <w:lang w:val="es-ES"/>
              </w:rPr>
              <w:t xml:space="preserve">. El </w:t>
            </w:r>
            <w:r w:rsidR="00654B53" w:rsidRPr="004768D0">
              <w:rPr>
                <w:rFonts w:ascii="Cambria" w:hAnsi="Cambria"/>
                <w:sz w:val="18"/>
                <w:szCs w:val="18"/>
                <w:lang w:val="es-ES"/>
              </w:rPr>
              <w:t>GAECO</w:t>
            </w:r>
            <w:r w:rsidRPr="004768D0">
              <w:rPr>
                <w:rFonts w:ascii="Cambria" w:hAnsi="Cambria"/>
                <w:sz w:val="18"/>
                <w:szCs w:val="18"/>
                <w:lang w:val="es-ES"/>
              </w:rPr>
              <w:t xml:space="preserve"> inició el </w:t>
            </w:r>
            <w:r w:rsidR="000A5DA2" w:rsidRPr="004768D0">
              <w:rPr>
                <w:rFonts w:ascii="Cambria" w:hAnsi="Cambria"/>
                <w:sz w:val="18"/>
                <w:szCs w:val="18"/>
                <w:lang w:val="es-ES"/>
              </w:rPr>
              <w:t>procedimiento investigativo penal</w:t>
            </w:r>
            <w:r w:rsidR="00654B53" w:rsidRPr="004768D0">
              <w:rPr>
                <w:rFonts w:ascii="Cambria" w:hAnsi="Cambria"/>
                <w:sz w:val="18"/>
                <w:szCs w:val="18"/>
                <w:lang w:val="es-ES"/>
              </w:rPr>
              <w:t xml:space="preserve"> </w:t>
            </w:r>
            <w:proofErr w:type="spellStart"/>
            <w:r w:rsidR="009615E2" w:rsidRPr="004768D0">
              <w:rPr>
                <w:rFonts w:asciiTheme="majorHAnsi" w:hAnsiTheme="majorHAnsi"/>
                <w:bCs/>
                <w:color w:val="000000" w:themeColor="text1"/>
                <w:sz w:val="18"/>
                <w:szCs w:val="18"/>
                <w:lang w:val="es-ES"/>
              </w:rPr>
              <w:t>N.</w:t>
            </w:r>
            <w:r w:rsidR="009615E2" w:rsidRPr="004768D0">
              <w:rPr>
                <w:rFonts w:asciiTheme="majorHAnsi" w:hAnsiTheme="majorHAnsi"/>
                <w:bCs/>
                <w:color w:val="000000" w:themeColor="text1"/>
                <w:sz w:val="18"/>
                <w:szCs w:val="18"/>
                <w:vertAlign w:val="superscript"/>
                <w:lang w:val="es-ES"/>
              </w:rPr>
              <w:t>o</w:t>
            </w:r>
            <w:proofErr w:type="spellEnd"/>
            <w:r w:rsidR="00654B53" w:rsidRPr="004768D0">
              <w:rPr>
                <w:rFonts w:ascii="Cambria" w:hAnsi="Cambria"/>
                <w:sz w:val="18"/>
                <w:szCs w:val="18"/>
                <w:lang w:val="es-ES"/>
              </w:rPr>
              <w:t xml:space="preserve"> 94.0563.0000071/2010-8. E</w:t>
            </w:r>
            <w:r w:rsidRPr="004768D0">
              <w:rPr>
                <w:rFonts w:ascii="Cambria" w:hAnsi="Cambria"/>
                <w:sz w:val="18"/>
                <w:szCs w:val="18"/>
                <w:lang w:val="es-ES"/>
              </w:rPr>
              <w:t>n</w:t>
            </w:r>
            <w:r w:rsidR="00654B53" w:rsidRPr="004768D0">
              <w:rPr>
                <w:rFonts w:ascii="Cambria" w:hAnsi="Cambria"/>
                <w:sz w:val="18"/>
                <w:szCs w:val="18"/>
                <w:lang w:val="es-ES"/>
              </w:rPr>
              <w:t xml:space="preserve"> </w:t>
            </w:r>
            <w:r w:rsidR="007F4608" w:rsidRPr="004768D0">
              <w:rPr>
                <w:rFonts w:ascii="Cambria" w:hAnsi="Cambria"/>
                <w:sz w:val="18"/>
                <w:szCs w:val="18"/>
                <w:lang w:val="es-ES"/>
              </w:rPr>
              <w:t>julio</w:t>
            </w:r>
            <w:r w:rsidR="00654B53" w:rsidRPr="004768D0">
              <w:rPr>
                <w:rFonts w:ascii="Cambria" w:hAnsi="Cambria"/>
                <w:sz w:val="18"/>
                <w:szCs w:val="18"/>
                <w:lang w:val="es-ES"/>
              </w:rPr>
              <w:t xml:space="preserve"> de 2019, </w:t>
            </w:r>
            <w:r w:rsidRPr="004768D0">
              <w:rPr>
                <w:rFonts w:ascii="Cambria" w:hAnsi="Cambria"/>
                <w:sz w:val="18"/>
                <w:szCs w:val="18"/>
                <w:lang w:val="es-ES"/>
              </w:rPr>
              <w:t>ese</w:t>
            </w:r>
            <w:r w:rsidR="00654B53" w:rsidRPr="004768D0">
              <w:rPr>
                <w:rFonts w:ascii="Cambria" w:hAnsi="Cambria"/>
                <w:sz w:val="18"/>
                <w:szCs w:val="18"/>
                <w:lang w:val="es-ES"/>
              </w:rPr>
              <w:t xml:space="preserve"> </w:t>
            </w:r>
            <w:r w:rsidR="00712D2E" w:rsidRPr="004768D0">
              <w:rPr>
                <w:rFonts w:ascii="Cambria" w:hAnsi="Cambria"/>
                <w:sz w:val="18"/>
                <w:szCs w:val="18"/>
                <w:lang w:val="es-ES"/>
              </w:rPr>
              <w:t>procedimiento</w:t>
            </w:r>
            <w:r w:rsidR="00654B53" w:rsidRPr="004768D0">
              <w:rPr>
                <w:rFonts w:ascii="Cambria" w:hAnsi="Cambria"/>
                <w:sz w:val="18"/>
                <w:szCs w:val="18"/>
                <w:lang w:val="es-ES"/>
              </w:rPr>
              <w:t xml:space="preserve"> e</w:t>
            </w:r>
            <w:r w:rsidRPr="004768D0">
              <w:rPr>
                <w:rFonts w:ascii="Cambria" w:hAnsi="Cambria"/>
                <w:sz w:val="18"/>
                <w:szCs w:val="18"/>
                <w:lang w:val="es-ES"/>
              </w:rPr>
              <w:t>staba en trámite</w:t>
            </w:r>
            <w:r w:rsidR="00654B53" w:rsidRPr="004768D0">
              <w:rPr>
                <w:rFonts w:ascii="Cambria" w:hAnsi="Cambria"/>
                <w:sz w:val="18"/>
                <w:szCs w:val="18"/>
                <w:lang w:val="es-ES"/>
              </w:rPr>
              <w:t>.</w:t>
            </w:r>
          </w:p>
          <w:p w14:paraId="0A73F22E" w14:textId="77777777" w:rsidR="00654B53" w:rsidRPr="004768D0" w:rsidRDefault="00654B53" w:rsidP="0080214D">
            <w:pPr>
              <w:spacing w:before="60" w:after="60"/>
              <w:ind w:left="184"/>
              <w:jc w:val="both"/>
              <w:rPr>
                <w:rFonts w:ascii="Cambria" w:hAnsi="Cambria"/>
                <w:sz w:val="18"/>
                <w:szCs w:val="18"/>
                <w:lang w:val="es-ES"/>
              </w:rPr>
            </w:pPr>
            <w:r w:rsidRPr="004768D0">
              <w:rPr>
                <w:rFonts w:ascii="Cambria" w:hAnsi="Cambria"/>
                <w:sz w:val="18"/>
                <w:szCs w:val="18"/>
                <w:lang w:val="es-ES"/>
              </w:rPr>
              <w:t>E</w:t>
            </w:r>
            <w:r w:rsidR="00882F67" w:rsidRPr="004768D0">
              <w:rPr>
                <w:rFonts w:ascii="Cambria" w:hAnsi="Cambria"/>
                <w:sz w:val="18"/>
                <w:szCs w:val="18"/>
                <w:lang w:val="es-ES"/>
              </w:rPr>
              <w:t>l</w:t>
            </w:r>
            <w:r w:rsidRPr="004768D0">
              <w:rPr>
                <w:rFonts w:ascii="Cambria" w:hAnsi="Cambria"/>
                <w:sz w:val="18"/>
                <w:szCs w:val="18"/>
                <w:lang w:val="es-ES"/>
              </w:rPr>
              <w:t xml:space="preserve"> 9 de </w:t>
            </w:r>
            <w:r w:rsidR="007F4608" w:rsidRPr="004768D0">
              <w:rPr>
                <w:rFonts w:ascii="Cambria" w:hAnsi="Cambria"/>
                <w:sz w:val="18"/>
                <w:szCs w:val="18"/>
                <w:lang w:val="es-ES"/>
              </w:rPr>
              <w:t>mayo</w:t>
            </w:r>
            <w:r w:rsidRPr="004768D0">
              <w:rPr>
                <w:rFonts w:ascii="Cambria" w:hAnsi="Cambria"/>
                <w:sz w:val="18"/>
                <w:szCs w:val="18"/>
                <w:lang w:val="es-ES"/>
              </w:rPr>
              <w:t xml:space="preserve"> de 2016, </w:t>
            </w:r>
            <w:r w:rsidR="00882F67" w:rsidRPr="004768D0">
              <w:rPr>
                <w:rFonts w:ascii="Cambria" w:hAnsi="Cambria"/>
                <w:sz w:val="18"/>
                <w:szCs w:val="18"/>
                <w:lang w:val="es-ES"/>
              </w:rPr>
              <w:t>l</w:t>
            </w:r>
            <w:r w:rsidRPr="004768D0">
              <w:rPr>
                <w:rFonts w:ascii="Cambria" w:hAnsi="Cambria"/>
                <w:sz w:val="18"/>
                <w:szCs w:val="18"/>
                <w:lang w:val="es-ES"/>
              </w:rPr>
              <w:t xml:space="preserve">a </w:t>
            </w:r>
            <w:r w:rsidR="001343FF" w:rsidRPr="004768D0">
              <w:rPr>
                <w:rFonts w:ascii="Cambria" w:hAnsi="Cambria"/>
                <w:sz w:val="18"/>
                <w:szCs w:val="18"/>
                <w:lang w:val="es-ES"/>
              </w:rPr>
              <w:t>Procuraduría General</w:t>
            </w:r>
            <w:r w:rsidRPr="004768D0">
              <w:rPr>
                <w:rFonts w:ascii="Cambria" w:hAnsi="Cambria"/>
                <w:sz w:val="18"/>
                <w:szCs w:val="18"/>
                <w:lang w:val="es-ES"/>
              </w:rPr>
              <w:t xml:space="preserve"> d</w:t>
            </w:r>
            <w:r w:rsidR="00882F67" w:rsidRPr="004768D0">
              <w:rPr>
                <w:rFonts w:ascii="Cambria" w:hAnsi="Cambria"/>
                <w:sz w:val="18"/>
                <w:szCs w:val="18"/>
                <w:lang w:val="es-ES"/>
              </w:rPr>
              <w:t>e l</w:t>
            </w:r>
            <w:r w:rsidRPr="004768D0">
              <w:rPr>
                <w:rFonts w:ascii="Cambria" w:hAnsi="Cambria"/>
                <w:sz w:val="18"/>
                <w:szCs w:val="18"/>
                <w:lang w:val="es-ES"/>
              </w:rPr>
              <w:t xml:space="preserve">a República </w:t>
            </w:r>
            <w:r w:rsidR="00FC7E3E" w:rsidRPr="004768D0">
              <w:rPr>
                <w:rFonts w:ascii="Cambria" w:hAnsi="Cambria"/>
                <w:sz w:val="18"/>
                <w:szCs w:val="18"/>
                <w:lang w:val="es-ES"/>
              </w:rPr>
              <w:t xml:space="preserve">solicitó al </w:t>
            </w:r>
            <w:r w:rsidRPr="004768D0">
              <w:rPr>
                <w:rFonts w:ascii="Cambria" w:hAnsi="Cambria"/>
                <w:sz w:val="18"/>
                <w:szCs w:val="18"/>
                <w:lang w:val="es-ES"/>
              </w:rPr>
              <w:t xml:space="preserve">Tribunal </w:t>
            </w:r>
            <w:r w:rsidR="00FC7E3E" w:rsidRPr="004768D0">
              <w:rPr>
                <w:rFonts w:ascii="Cambria" w:hAnsi="Cambria"/>
                <w:sz w:val="18"/>
                <w:szCs w:val="18"/>
                <w:lang w:val="es-ES"/>
              </w:rPr>
              <w:t xml:space="preserve">Superior </w:t>
            </w:r>
            <w:r w:rsidRPr="004768D0">
              <w:rPr>
                <w:rFonts w:ascii="Cambria" w:hAnsi="Cambria"/>
                <w:sz w:val="18"/>
                <w:szCs w:val="18"/>
                <w:lang w:val="es-ES"/>
              </w:rPr>
              <w:t xml:space="preserve">de </w:t>
            </w:r>
            <w:r w:rsidR="00C65DE2" w:rsidRPr="004768D0">
              <w:rPr>
                <w:rFonts w:ascii="Cambria" w:hAnsi="Cambria"/>
                <w:sz w:val="18"/>
                <w:szCs w:val="18"/>
                <w:lang w:val="es-ES"/>
              </w:rPr>
              <w:t>Justicia</w:t>
            </w:r>
            <w:r w:rsidRPr="004768D0">
              <w:rPr>
                <w:rFonts w:ascii="Cambria" w:hAnsi="Cambria"/>
                <w:sz w:val="18"/>
                <w:szCs w:val="18"/>
                <w:lang w:val="es-ES"/>
              </w:rPr>
              <w:t xml:space="preserve"> </w:t>
            </w:r>
            <w:r w:rsidR="00FC7E3E" w:rsidRPr="004768D0">
              <w:rPr>
                <w:rFonts w:ascii="Cambria" w:hAnsi="Cambria"/>
                <w:sz w:val="18"/>
                <w:szCs w:val="18"/>
                <w:lang w:val="es-ES"/>
              </w:rPr>
              <w:t>el</w:t>
            </w:r>
            <w:r w:rsidRPr="004768D0">
              <w:rPr>
                <w:rFonts w:ascii="Cambria" w:hAnsi="Cambria"/>
                <w:sz w:val="18"/>
                <w:szCs w:val="18"/>
                <w:lang w:val="es-ES"/>
              </w:rPr>
              <w:t xml:space="preserve"> </w:t>
            </w:r>
            <w:r w:rsidR="000A5DA2" w:rsidRPr="004768D0">
              <w:rPr>
                <w:rFonts w:ascii="Cambria" w:hAnsi="Cambria"/>
                <w:sz w:val="18"/>
                <w:szCs w:val="18"/>
                <w:lang w:val="es-ES"/>
              </w:rPr>
              <w:t>incidente de traslado de competencia</w:t>
            </w:r>
            <w:r w:rsidRPr="004768D0">
              <w:rPr>
                <w:rFonts w:ascii="Cambria" w:hAnsi="Cambria"/>
                <w:sz w:val="18"/>
                <w:szCs w:val="18"/>
                <w:lang w:val="es-ES"/>
              </w:rPr>
              <w:t xml:space="preserve"> </w:t>
            </w:r>
            <w:proofErr w:type="spellStart"/>
            <w:r w:rsidR="000A5DA2" w:rsidRPr="004768D0">
              <w:rPr>
                <w:rFonts w:asciiTheme="majorHAnsi" w:hAnsiTheme="majorHAnsi"/>
                <w:bCs/>
                <w:color w:val="000000" w:themeColor="text1"/>
                <w:sz w:val="18"/>
                <w:szCs w:val="18"/>
                <w:lang w:val="es-ES"/>
              </w:rPr>
              <w:t>N.</w:t>
            </w:r>
            <w:r w:rsidR="000A5DA2" w:rsidRPr="004768D0">
              <w:rPr>
                <w:rFonts w:asciiTheme="majorHAnsi" w:hAnsiTheme="majorHAnsi"/>
                <w:bCs/>
                <w:color w:val="000000" w:themeColor="text1"/>
                <w:sz w:val="18"/>
                <w:szCs w:val="18"/>
                <w:vertAlign w:val="superscript"/>
                <w:lang w:val="es-ES"/>
              </w:rPr>
              <w:t>o</w:t>
            </w:r>
            <w:proofErr w:type="spellEnd"/>
            <w:r w:rsidRPr="004768D0">
              <w:rPr>
                <w:rFonts w:ascii="Cambria" w:hAnsi="Cambria"/>
                <w:sz w:val="18"/>
                <w:szCs w:val="18"/>
                <w:lang w:val="es-ES"/>
              </w:rPr>
              <w:t xml:space="preserve"> 98625/2016 – ASJTC/SAJ/PGR, relativo a</w:t>
            </w:r>
            <w:r w:rsidR="00FC7E3E" w:rsidRPr="004768D0">
              <w:rPr>
                <w:rFonts w:ascii="Cambria" w:hAnsi="Cambria"/>
                <w:sz w:val="18"/>
                <w:szCs w:val="18"/>
                <w:lang w:val="es-ES"/>
              </w:rPr>
              <w:t xml:space="preserve"> l</w:t>
            </w:r>
            <w:r w:rsidRPr="004768D0">
              <w:rPr>
                <w:rFonts w:ascii="Cambria" w:hAnsi="Cambria"/>
                <w:sz w:val="18"/>
                <w:szCs w:val="18"/>
                <w:lang w:val="es-ES"/>
              </w:rPr>
              <w:t xml:space="preserve">os </w:t>
            </w:r>
            <w:r w:rsidR="000C0AC4" w:rsidRPr="004768D0">
              <w:rPr>
                <w:rFonts w:ascii="Cambria" w:hAnsi="Cambria"/>
                <w:sz w:val="18"/>
                <w:szCs w:val="18"/>
                <w:lang w:val="es-ES"/>
              </w:rPr>
              <w:t>hechos</w:t>
            </w:r>
            <w:r w:rsidRPr="004768D0">
              <w:rPr>
                <w:rFonts w:ascii="Cambria" w:hAnsi="Cambria"/>
                <w:sz w:val="18"/>
                <w:szCs w:val="18"/>
                <w:lang w:val="es-ES"/>
              </w:rPr>
              <w:t xml:space="preserve"> </w:t>
            </w:r>
            <w:r w:rsidR="00FC7E3E" w:rsidRPr="004768D0">
              <w:rPr>
                <w:rFonts w:ascii="Cambria" w:hAnsi="Cambria"/>
                <w:sz w:val="18"/>
                <w:szCs w:val="18"/>
                <w:lang w:val="es-ES"/>
              </w:rPr>
              <w:t>ocurridos</w:t>
            </w:r>
            <w:r w:rsidRPr="004768D0">
              <w:rPr>
                <w:rFonts w:ascii="Cambria" w:hAnsi="Cambria"/>
                <w:sz w:val="18"/>
                <w:szCs w:val="18"/>
                <w:lang w:val="es-ES"/>
              </w:rPr>
              <w:t xml:space="preserve"> </w:t>
            </w:r>
            <w:r w:rsidR="00FC7E3E" w:rsidRPr="004768D0">
              <w:rPr>
                <w:rFonts w:ascii="Cambria" w:hAnsi="Cambria"/>
                <w:sz w:val="18"/>
                <w:szCs w:val="18"/>
                <w:lang w:val="es-ES"/>
              </w:rPr>
              <w:t>e</w:t>
            </w:r>
            <w:r w:rsidRPr="004768D0">
              <w:rPr>
                <w:rFonts w:ascii="Cambria" w:hAnsi="Cambria"/>
                <w:sz w:val="18"/>
                <w:szCs w:val="18"/>
                <w:lang w:val="es-ES"/>
              </w:rPr>
              <w:t>n</w:t>
            </w:r>
            <w:r w:rsidR="00FC7E3E" w:rsidRPr="004768D0">
              <w:rPr>
                <w:rFonts w:ascii="Cambria" w:hAnsi="Cambria"/>
                <w:sz w:val="18"/>
                <w:szCs w:val="18"/>
                <w:lang w:val="es-ES"/>
              </w:rPr>
              <w:t xml:space="preserve"> </w:t>
            </w:r>
            <w:r w:rsidRPr="004768D0">
              <w:rPr>
                <w:rFonts w:ascii="Cambria" w:hAnsi="Cambria"/>
                <w:sz w:val="18"/>
                <w:szCs w:val="18"/>
                <w:lang w:val="es-ES"/>
              </w:rPr>
              <w:t xml:space="preserve">Parque Bristol, </w:t>
            </w:r>
            <w:r w:rsidR="00FC7E3E" w:rsidRPr="004768D0">
              <w:rPr>
                <w:rFonts w:ascii="Cambria" w:hAnsi="Cambria"/>
                <w:sz w:val="18"/>
                <w:szCs w:val="18"/>
                <w:lang w:val="es-ES"/>
              </w:rPr>
              <w:t>barrio</w:t>
            </w:r>
            <w:r w:rsidRPr="004768D0">
              <w:rPr>
                <w:rFonts w:ascii="Cambria" w:hAnsi="Cambria"/>
                <w:sz w:val="18"/>
                <w:szCs w:val="18"/>
                <w:lang w:val="es-ES"/>
              </w:rPr>
              <w:t xml:space="preserve"> d</w:t>
            </w:r>
            <w:r w:rsidR="00FC7E3E" w:rsidRPr="004768D0">
              <w:rPr>
                <w:rFonts w:ascii="Cambria" w:hAnsi="Cambria"/>
                <w:sz w:val="18"/>
                <w:szCs w:val="18"/>
                <w:lang w:val="es-ES"/>
              </w:rPr>
              <w:t>e l</w:t>
            </w:r>
            <w:r w:rsidRPr="004768D0">
              <w:rPr>
                <w:rFonts w:ascii="Cambria" w:hAnsi="Cambria"/>
                <w:sz w:val="18"/>
                <w:szCs w:val="18"/>
                <w:lang w:val="es-ES"/>
              </w:rPr>
              <w:t xml:space="preserve">a capital </w:t>
            </w:r>
            <w:r w:rsidR="007F4608" w:rsidRPr="004768D0">
              <w:rPr>
                <w:rFonts w:ascii="Cambria" w:hAnsi="Cambria"/>
                <w:sz w:val="18"/>
                <w:szCs w:val="18"/>
                <w:lang w:val="es-ES"/>
              </w:rPr>
              <w:t xml:space="preserve">del </w:t>
            </w:r>
            <w:r w:rsidR="0000579C">
              <w:rPr>
                <w:rFonts w:ascii="Cambria" w:hAnsi="Cambria"/>
                <w:sz w:val="18"/>
                <w:szCs w:val="18"/>
                <w:lang w:val="es-ES"/>
              </w:rPr>
              <w:t>e</w:t>
            </w:r>
            <w:r w:rsidR="007F4608" w:rsidRPr="004768D0">
              <w:rPr>
                <w:rFonts w:ascii="Cambria" w:hAnsi="Cambria"/>
                <w:sz w:val="18"/>
                <w:szCs w:val="18"/>
                <w:lang w:val="es-ES"/>
              </w:rPr>
              <w:t>stado de</w:t>
            </w:r>
            <w:r w:rsidRPr="004768D0">
              <w:rPr>
                <w:rFonts w:ascii="Cambria" w:hAnsi="Cambria"/>
                <w:sz w:val="18"/>
                <w:szCs w:val="18"/>
                <w:lang w:val="es-ES"/>
              </w:rPr>
              <w:t xml:space="preserve"> São Paulo, e</w:t>
            </w:r>
            <w:r w:rsidR="00FC7E3E" w:rsidRPr="004768D0">
              <w:rPr>
                <w:rFonts w:ascii="Cambria" w:hAnsi="Cambria"/>
                <w:sz w:val="18"/>
                <w:szCs w:val="18"/>
                <w:lang w:val="es-ES"/>
              </w:rPr>
              <w:t>l</w:t>
            </w:r>
            <w:r w:rsidRPr="004768D0">
              <w:rPr>
                <w:rFonts w:ascii="Cambria" w:hAnsi="Cambria"/>
                <w:sz w:val="18"/>
                <w:szCs w:val="18"/>
                <w:lang w:val="es-ES"/>
              </w:rPr>
              <w:t xml:space="preserve"> 14 de </w:t>
            </w:r>
            <w:r w:rsidR="007F4608" w:rsidRPr="004768D0">
              <w:rPr>
                <w:rFonts w:ascii="Cambria" w:hAnsi="Cambria"/>
                <w:sz w:val="18"/>
                <w:szCs w:val="18"/>
                <w:lang w:val="es-ES"/>
              </w:rPr>
              <w:t>mayo</w:t>
            </w:r>
            <w:r w:rsidRPr="004768D0">
              <w:rPr>
                <w:rFonts w:ascii="Cambria" w:hAnsi="Cambria"/>
                <w:sz w:val="18"/>
                <w:szCs w:val="18"/>
                <w:lang w:val="es-ES"/>
              </w:rPr>
              <w:t xml:space="preserve"> </w:t>
            </w:r>
            <w:r w:rsidR="00FC7E3E" w:rsidRPr="004768D0">
              <w:rPr>
                <w:rFonts w:ascii="Cambria" w:hAnsi="Cambria"/>
                <w:sz w:val="18"/>
                <w:szCs w:val="18"/>
                <w:lang w:val="es-ES"/>
              </w:rPr>
              <w:t xml:space="preserve">y el </w:t>
            </w:r>
            <w:r w:rsidRPr="004768D0">
              <w:rPr>
                <w:rFonts w:ascii="Cambria" w:hAnsi="Cambria"/>
                <w:sz w:val="18"/>
                <w:szCs w:val="18"/>
                <w:lang w:val="es-ES"/>
              </w:rPr>
              <w:t xml:space="preserve">4 de </w:t>
            </w:r>
            <w:r w:rsidR="00174FDD" w:rsidRPr="004768D0">
              <w:rPr>
                <w:rFonts w:ascii="Cambria" w:hAnsi="Cambria"/>
                <w:sz w:val="18"/>
                <w:szCs w:val="18"/>
                <w:lang w:val="es-ES"/>
              </w:rPr>
              <w:t>diciembre</w:t>
            </w:r>
            <w:r w:rsidRPr="004768D0">
              <w:rPr>
                <w:rFonts w:ascii="Cambria" w:hAnsi="Cambria"/>
                <w:sz w:val="18"/>
                <w:szCs w:val="18"/>
                <w:lang w:val="es-ES"/>
              </w:rPr>
              <w:t xml:space="preserve"> de 2006, </w:t>
            </w:r>
            <w:r w:rsidR="00FC7E3E" w:rsidRPr="004768D0">
              <w:rPr>
                <w:rFonts w:ascii="Cambria" w:hAnsi="Cambria"/>
                <w:sz w:val="18"/>
                <w:szCs w:val="18"/>
                <w:lang w:val="es-ES"/>
              </w:rPr>
              <w:t>también</w:t>
            </w:r>
            <w:r w:rsidRPr="004768D0">
              <w:rPr>
                <w:rFonts w:ascii="Cambria" w:hAnsi="Cambria"/>
                <w:sz w:val="18"/>
                <w:szCs w:val="18"/>
                <w:lang w:val="es-ES"/>
              </w:rPr>
              <w:t xml:space="preserve"> </w:t>
            </w:r>
            <w:r w:rsidR="00FC7E3E" w:rsidRPr="004768D0">
              <w:rPr>
                <w:rFonts w:ascii="Cambria" w:hAnsi="Cambria"/>
                <w:sz w:val="18"/>
                <w:szCs w:val="18"/>
                <w:lang w:val="es-ES"/>
              </w:rPr>
              <w:t xml:space="preserve">en el </w:t>
            </w:r>
            <w:r w:rsidRPr="004768D0">
              <w:rPr>
                <w:rFonts w:ascii="Cambria" w:hAnsi="Cambria"/>
                <w:sz w:val="18"/>
                <w:szCs w:val="18"/>
                <w:lang w:val="es-ES"/>
              </w:rPr>
              <w:t xml:space="preserve">contexto </w:t>
            </w:r>
            <w:r w:rsidR="00FC7E3E" w:rsidRPr="004768D0">
              <w:rPr>
                <w:rFonts w:ascii="Cambria" w:hAnsi="Cambria"/>
                <w:sz w:val="18"/>
                <w:szCs w:val="18"/>
                <w:lang w:val="es-ES"/>
              </w:rPr>
              <w:t>de los</w:t>
            </w:r>
            <w:r w:rsidRPr="004768D0">
              <w:rPr>
                <w:rFonts w:ascii="Cambria" w:hAnsi="Cambria"/>
                <w:sz w:val="18"/>
                <w:szCs w:val="18"/>
                <w:lang w:val="es-ES"/>
              </w:rPr>
              <w:t xml:space="preserve"> </w:t>
            </w:r>
            <w:r w:rsidR="004744F0" w:rsidRPr="004768D0">
              <w:rPr>
                <w:rFonts w:ascii="Cambria" w:hAnsi="Cambria"/>
                <w:sz w:val="18"/>
                <w:szCs w:val="18"/>
                <w:lang w:val="es-ES"/>
              </w:rPr>
              <w:t>“</w:t>
            </w:r>
            <w:r w:rsidRPr="004768D0">
              <w:rPr>
                <w:rFonts w:ascii="Cambria" w:hAnsi="Cambria"/>
                <w:sz w:val="18"/>
                <w:szCs w:val="18"/>
                <w:lang w:val="es-ES"/>
              </w:rPr>
              <w:t>Cr</w:t>
            </w:r>
            <w:r w:rsidR="00FC7E3E" w:rsidRPr="004768D0">
              <w:rPr>
                <w:rFonts w:ascii="Cambria" w:hAnsi="Cambria"/>
                <w:sz w:val="18"/>
                <w:szCs w:val="18"/>
                <w:lang w:val="es-ES"/>
              </w:rPr>
              <w:t xml:space="preserve">ímenes </w:t>
            </w:r>
            <w:r w:rsidRPr="004768D0">
              <w:rPr>
                <w:rFonts w:ascii="Cambria" w:hAnsi="Cambria"/>
                <w:sz w:val="18"/>
                <w:szCs w:val="18"/>
                <w:lang w:val="es-ES"/>
              </w:rPr>
              <w:t xml:space="preserve">de </w:t>
            </w:r>
            <w:r w:rsidR="007F4608" w:rsidRPr="004768D0">
              <w:rPr>
                <w:rFonts w:ascii="Cambria" w:hAnsi="Cambria"/>
                <w:sz w:val="18"/>
                <w:szCs w:val="18"/>
                <w:lang w:val="es-ES"/>
              </w:rPr>
              <w:t>Mayo</w:t>
            </w:r>
            <w:r w:rsidR="004744F0" w:rsidRPr="004768D0">
              <w:rPr>
                <w:rFonts w:ascii="Cambria" w:hAnsi="Cambria"/>
                <w:sz w:val="18"/>
                <w:szCs w:val="18"/>
                <w:lang w:val="es-ES"/>
              </w:rPr>
              <w:t>”</w:t>
            </w:r>
            <w:r w:rsidRPr="004768D0">
              <w:rPr>
                <w:rFonts w:ascii="Cambria" w:hAnsi="Cambria"/>
                <w:sz w:val="18"/>
                <w:szCs w:val="18"/>
                <w:lang w:val="es-ES"/>
              </w:rPr>
              <w:t xml:space="preserve">. </w:t>
            </w:r>
          </w:p>
          <w:p w14:paraId="1D1E7DD8" w14:textId="77777777" w:rsidR="00654B53" w:rsidRPr="004768D0" w:rsidRDefault="00654B53" w:rsidP="0080214D">
            <w:pPr>
              <w:spacing w:before="60" w:after="60"/>
              <w:ind w:left="184"/>
              <w:jc w:val="both"/>
              <w:rPr>
                <w:rFonts w:ascii="Cambria" w:hAnsi="Cambria"/>
                <w:sz w:val="18"/>
                <w:szCs w:val="18"/>
                <w:lang w:val="es-ES"/>
              </w:rPr>
            </w:pPr>
            <w:r w:rsidRPr="004768D0">
              <w:rPr>
                <w:rFonts w:ascii="Cambria" w:hAnsi="Cambria"/>
                <w:sz w:val="18"/>
                <w:szCs w:val="18"/>
                <w:lang w:val="es-ES"/>
              </w:rPr>
              <w:t>A</w:t>
            </w:r>
            <w:r w:rsidR="00FC7E3E" w:rsidRPr="004768D0">
              <w:rPr>
                <w:rFonts w:ascii="Cambria" w:hAnsi="Cambria"/>
                <w:sz w:val="18"/>
                <w:szCs w:val="18"/>
                <w:lang w:val="es-ES"/>
              </w:rPr>
              <w:t xml:space="preserve">demás, en diciembre de 2010, el </w:t>
            </w:r>
            <w:r w:rsidRPr="004768D0">
              <w:rPr>
                <w:rFonts w:ascii="Cambria" w:hAnsi="Cambria"/>
                <w:sz w:val="18"/>
                <w:szCs w:val="18"/>
                <w:lang w:val="es-ES"/>
              </w:rPr>
              <w:t xml:space="preserve">GAECO </w:t>
            </w:r>
            <w:r w:rsidR="00FC7E3E" w:rsidRPr="004768D0">
              <w:rPr>
                <w:rFonts w:ascii="Cambria" w:hAnsi="Cambria"/>
                <w:sz w:val="18"/>
                <w:szCs w:val="18"/>
                <w:lang w:val="es-ES"/>
              </w:rPr>
              <w:t xml:space="preserve">inició el </w:t>
            </w:r>
            <w:r w:rsidR="00712D2E" w:rsidRPr="004768D0">
              <w:rPr>
                <w:rFonts w:ascii="Cambria" w:hAnsi="Cambria"/>
                <w:sz w:val="18"/>
                <w:szCs w:val="18"/>
                <w:lang w:val="es-ES"/>
              </w:rPr>
              <w:t>procedimiento</w:t>
            </w:r>
            <w:r w:rsidRPr="004768D0">
              <w:rPr>
                <w:rFonts w:ascii="Cambria" w:hAnsi="Cambria"/>
                <w:sz w:val="18"/>
                <w:szCs w:val="18"/>
                <w:lang w:val="es-ES"/>
              </w:rPr>
              <w:t xml:space="preserve"> </w:t>
            </w:r>
            <w:r w:rsidR="00712D2E" w:rsidRPr="004768D0">
              <w:rPr>
                <w:rFonts w:ascii="Cambria" w:hAnsi="Cambria"/>
                <w:sz w:val="18"/>
                <w:szCs w:val="18"/>
                <w:lang w:val="es-ES"/>
              </w:rPr>
              <w:t>investigativo</w:t>
            </w:r>
            <w:r w:rsidRPr="004768D0">
              <w:rPr>
                <w:rFonts w:ascii="Cambria" w:hAnsi="Cambria"/>
                <w:sz w:val="18"/>
                <w:szCs w:val="18"/>
                <w:lang w:val="es-ES"/>
              </w:rPr>
              <w:t xml:space="preserve"> </w:t>
            </w:r>
            <w:r w:rsidR="000A5DA2" w:rsidRPr="004768D0">
              <w:rPr>
                <w:rFonts w:ascii="Cambria" w:hAnsi="Cambria"/>
                <w:sz w:val="18"/>
                <w:szCs w:val="18"/>
                <w:lang w:val="es-ES"/>
              </w:rPr>
              <w:t xml:space="preserve">penal </w:t>
            </w:r>
            <w:proofErr w:type="spellStart"/>
            <w:r w:rsidR="009615E2" w:rsidRPr="004768D0">
              <w:rPr>
                <w:rFonts w:asciiTheme="majorHAnsi" w:hAnsiTheme="majorHAnsi"/>
                <w:bCs/>
                <w:color w:val="000000" w:themeColor="text1"/>
                <w:sz w:val="18"/>
                <w:szCs w:val="18"/>
                <w:lang w:val="es-ES"/>
              </w:rPr>
              <w:t>N.</w:t>
            </w:r>
            <w:r w:rsidR="009615E2" w:rsidRPr="004768D0">
              <w:rPr>
                <w:rFonts w:asciiTheme="majorHAnsi" w:hAnsiTheme="majorHAnsi"/>
                <w:bCs/>
                <w:color w:val="000000" w:themeColor="text1"/>
                <w:sz w:val="18"/>
                <w:szCs w:val="18"/>
                <w:vertAlign w:val="superscript"/>
                <w:lang w:val="es-ES"/>
              </w:rPr>
              <w:t>o</w:t>
            </w:r>
            <w:proofErr w:type="spellEnd"/>
            <w:r w:rsidRPr="004768D0">
              <w:rPr>
                <w:rFonts w:ascii="Cambria" w:hAnsi="Cambria"/>
                <w:sz w:val="18"/>
                <w:szCs w:val="18"/>
                <w:lang w:val="es-ES"/>
              </w:rPr>
              <w:t xml:space="preserve"> 71/2010, co</w:t>
            </w:r>
            <w:r w:rsidR="00FC7E3E" w:rsidRPr="004768D0">
              <w:rPr>
                <w:rFonts w:ascii="Cambria" w:hAnsi="Cambria"/>
                <w:sz w:val="18"/>
                <w:szCs w:val="18"/>
                <w:lang w:val="es-ES"/>
              </w:rPr>
              <w:t>n el fin de determinar la responsabilidad</w:t>
            </w:r>
            <w:r w:rsidRPr="004768D0">
              <w:rPr>
                <w:rFonts w:ascii="Cambria" w:hAnsi="Cambria"/>
                <w:sz w:val="18"/>
                <w:szCs w:val="18"/>
                <w:lang w:val="es-ES"/>
              </w:rPr>
              <w:t xml:space="preserve"> </w:t>
            </w:r>
            <w:r w:rsidR="00FC7E3E" w:rsidRPr="004768D0">
              <w:rPr>
                <w:rFonts w:ascii="Cambria" w:hAnsi="Cambria"/>
                <w:sz w:val="18"/>
                <w:szCs w:val="18"/>
                <w:lang w:val="es-ES"/>
              </w:rPr>
              <w:t xml:space="preserve">por la reapertura de las </w:t>
            </w:r>
            <w:r w:rsidR="00E04ED3" w:rsidRPr="004768D0">
              <w:rPr>
                <w:rFonts w:ascii="Cambria" w:hAnsi="Cambria"/>
                <w:sz w:val="18"/>
                <w:szCs w:val="18"/>
                <w:lang w:val="es-ES"/>
              </w:rPr>
              <w:t>investigaciones</w:t>
            </w:r>
            <w:r w:rsidRPr="004768D0">
              <w:rPr>
                <w:rFonts w:ascii="Cambria" w:hAnsi="Cambria"/>
                <w:sz w:val="18"/>
                <w:szCs w:val="18"/>
                <w:lang w:val="es-ES"/>
              </w:rPr>
              <w:t xml:space="preserve"> relacionadas </w:t>
            </w:r>
            <w:r w:rsidR="00FC7E3E" w:rsidRPr="004768D0">
              <w:rPr>
                <w:rFonts w:ascii="Cambria" w:hAnsi="Cambria"/>
                <w:sz w:val="18"/>
                <w:szCs w:val="18"/>
                <w:lang w:val="es-ES"/>
              </w:rPr>
              <w:t>con l</w:t>
            </w:r>
            <w:r w:rsidRPr="004768D0">
              <w:rPr>
                <w:rFonts w:ascii="Cambria" w:hAnsi="Cambria"/>
                <w:sz w:val="18"/>
                <w:szCs w:val="18"/>
                <w:lang w:val="es-ES"/>
              </w:rPr>
              <w:t xml:space="preserve">os </w:t>
            </w:r>
            <w:r w:rsidR="00F154A0" w:rsidRPr="004768D0">
              <w:rPr>
                <w:rFonts w:ascii="Cambria" w:hAnsi="Cambria"/>
                <w:sz w:val="18"/>
                <w:szCs w:val="18"/>
                <w:lang w:val="es-ES"/>
              </w:rPr>
              <w:t>homicidio</w:t>
            </w:r>
            <w:r w:rsidRPr="004768D0">
              <w:rPr>
                <w:rFonts w:ascii="Cambria" w:hAnsi="Cambria"/>
                <w:sz w:val="18"/>
                <w:szCs w:val="18"/>
                <w:lang w:val="es-ES"/>
              </w:rPr>
              <w:t xml:space="preserve">s dolosos </w:t>
            </w:r>
            <w:r w:rsidR="00FC7E3E" w:rsidRPr="004768D0">
              <w:rPr>
                <w:rFonts w:ascii="Cambria" w:hAnsi="Cambria"/>
                <w:sz w:val="18"/>
                <w:szCs w:val="18"/>
                <w:lang w:val="es-ES"/>
              </w:rPr>
              <w:t xml:space="preserve">cometidos en </w:t>
            </w:r>
            <w:r w:rsidR="007F4608" w:rsidRPr="004768D0">
              <w:rPr>
                <w:rFonts w:ascii="Cambria" w:hAnsi="Cambria"/>
                <w:sz w:val="18"/>
                <w:szCs w:val="18"/>
                <w:lang w:val="es-ES"/>
              </w:rPr>
              <w:t>mayo</w:t>
            </w:r>
            <w:r w:rsidRPr="004768D0">
              <w:rPr>
                <w:rFonts w:ascii="Cambria" w:hAnsi="Cambria"/>
                <w:sz w:val="18"/>
                <w:szCs w:val="18"/>
                <w:lang w:val="es-ES"/>
              </w:rPr>
              <w:t xml:space="preserve"> de 2006, inclu</w:t>
            </w:r>
            <w:r w:rsidR="00FC7E3E" w:rsidRPr="004768D0">
              <w:rPr>
                <w:rFonts w:ascii="Cambria" w:hAnsi="Cambria"/>
                <w:sz w:val="18"/>
                <w:szCs w:val="18"/>
                <w:lang w:val="es-ES"/>
              </w:rPr>
              <w:t>idos lo</w:t>
            </w:r>
            <w:r w:rsidRPr="004768D0">
              <w:rPr>
                <w:rFonts w:ascii="Cambria" w:hAnsi="Cambria"/>
                <w:sz w:val="18"/>
                <w:szCs w:val="18"/>
                <w:lang w:val="es-ES"/>
              </w:rPr>
              <w:t xml:space="preserve">s </w:t>
            </w:r>
            <w:r w:rsidR="000C0AC4" w:rsidRPr="004768D0">
              <w:rPr>
                <w:rFonts w:ascii="Cambria" w:hAnsi="Cambria"/>
                <w:sz w:val="18"/>
                <w:szCs w:val="18"/>
                <w:lang w:val="es-ES"/>
              </w:rPr>
              <w:t>hechos</w:t>
            </w:r>
            <w:r w:rsidRPr="004768D0">
              <w:rPr>
                <w:rFonts w:ascii="Cambria" w:hAnsi="Cambria"/>
                <w:sz w:val="18"/>
                <w:szCs w:val="18"/>
                <w:lang w:val="es-ES"/>
              </w:rPr>
              <w:t xml:space="preserve"> </w:t>
            </w:r>
            <w:r w:rsidR="00FC7E3E" w:rsidRPr="004768D0">
              <w:rPr>
                <w:rFonts w:ascii="Cambria" w:hAnsi="Cambria"/>
                <w:sz w:val="18"/>
                <w:szCs w:val="18"/>
                <w:lang w:val="es-ES"/>
              </w:rPr>
              <w:t>relativos a l</w:t>
            </w:r>
            <w:r w:rsidRPr="004768D0">
              <w:rPr>
                <w:rFonts w:ascii="Cambria" w:hAnsi="Cambria"/>
                <w:sz w:val="18"/>
                <w:szCs w:val="18"/>
                <w:lang w:val="es-ES"/>
              </w:rPr>
              <w:t xml:space="preserve">as </w:t>
            </w:r>
            <w:r w:rsidR="00000CF9" w:rsidRPr="004768D0">
              <w:rPr>
                <w:rFonts w:ascii="Cambria" w:hAnsi="Cambria"/>
                <w:sz w:val="18"/>
                <w:szCs w:val="18"/>
                <w:lang w:val="es-ES"/>
              </w:rPr>
              <w:t>víctimas</w:t>
            </w:r>
            <w:r w:rsidRPr="004768D0">
              <w:rPr>
                <w:rFonts w:ascii="Cambria" w:hAnsi="Cambria"/>
                <w:sz w:val="18"/>
                <w:szCs w:val="18"/>
                <w:lang w:val="es-ES"/>
              </w:rPr>
              <w:t xml:space="preserve"> mencionadas </w:t>
            </w:r>
            <w:r w:rsidR="00FC7E3E" w:rsidRPr="004768D0">
              <w:rPr>
                <w:rFonts w:ascii="Cambria" w:hAnsi="Cambria"/>
                <w:sz w:val="18"/>
                <w:szCs w:val="18"/>
                <w:lang w:val="es-ES"/>
              </w:rPr>
              <w:t>en la</w:t>
            </w:r>
            <w:r w:rsidRPr="004768D0">
              <w:rPr>
                <w:rFonts w:ascii="Cambria" w:hAnsi="Cambria"/>
                <w:sz w:val="18"/>
                <w:szCs w:val="18"/>
                <w:lang w:val="es-ES"/>
              </w:rPr>
              <w:t xml:space="preserve"> </w:t>
            </w:r>
            <w:r w:rsidR="00F154A0" w:rsidRPr="004768D0">
              <w:rPr>
                <w:rFonts w:ascii="Cambria" w:hAnsi="Cambria"/>
                <w:sz w:val="18"/>
                <w:szCs w:val="18"/>
                <w:lang w:val="es-ES"/>
              </w:rPr>
              <w:t>denuncia</w:t>
            </w:r>
            <w:r w:rsidRPr="004768D0">
              <w:rPr>
                <w:rFonts w:ascii="Cambria" w:hAnsi="Cambria"/>
                <w:sz w:val="18"/>
                <w:szCs w:val="18"/>
                <w:lang w:val="es-ES"/>
              </w:rPr>
              <w:t xml:space="preserve"> </w:t>
            </w:r>
            <w:r w:rsidR="0000579C">
              <w:rPr>
                <w:rFonts w:ascii="Cambria" w:hAnsi="Cambria"/>
                <w:sz w:val="18"/>
                <w:szCs w:val="18"/>
                <w:lang w:val="es-ES"/>
              </w:rPr>
              <w:t xml:space="preserve">presentada </w:t>
            </w:r>
            <w:r w:rsidRPr="004768D0">
              <w:rPr>
                <w:rFonts w:ascii="Cambria" w:hAnsi="Cambria"/>
                <w:sz w:val="18"/>
                <w:szCs w:val="18"/>
                <w:lang w:val="es-ES"/>
              </w:rPr>
              <w:t xml:space="preserve">a </w:t>
            </w:r>
            <w:r w:rsidR="00FC7E3E" w:rsidRPr="004768D0">
              <w:rPr>
                <w:rFonts w:ascii="Cambria" w:hAnsi="Cambria"/>
                <w:sz w:val="18"/>
                <w:szCs w:val="18"/>
                <w:lang w:val="es-ES"/>
              </w:rPr>
              <w:t>l</w:t>
            </w:r>
            <w:r w:rsidRPr="004768D0">
              <w:rPr>
                <w:rFonts w:ascii="Cambria" w:hAnsi="Cambria"/>
                <w:sz w:val="18"/>
                <w:szCs w:val="18"/>
                <w:lang w:val="es-ES"/>
              </w:rPr>
              <w:t xml:space="preserve">a CIDH. </w:t>
            </w:r>
          </w:p>
          <w:p w14:paraId="35CE849C" w14:textId="77777777" w:rsidR="00654B53" w:rsidRPr="004768D0" w:rsidRDefault="00654B53" w:rsidP="0080214D">
            <w:pPr>
              <w:spacing w:before="60" w:after="60"/>
              <w:ind w:left="184"/>
              <w:jc w:val="both"/>
              <w:rPr>
                <w:rFonts w:ascii="Cambria" w:hAnsi="Cambria"/>
                <w:sz w:val="18"/>
                <w:szCs w:val="18"/>
                <w:lang w:val="es-ES"/>
              </w:rPr>
            </w:pPr>
            <w:r w:rsidRPr="004768D0">
              <w:rPr>
                <w:rFonts w:ascii="Cambria" w:hAnsi="Cambria"/>
                <w:sz w:val="18"/>
                <w:szCs w:val="18"/>
                <w:lang w:val="es-ES"/>
              </w:rPr>
              <w:t>E</w:t>
            </w:r>
            <w:r w:rsidR="00FC7E3E" w:rsidRPr="004768D0">
              <w:rPr>
                <w:rFonts w:ascii="Cambria" w:hAnsi="Cambria"/>
                <w:sz w:val="18"/>
                <w:szCs w:val="18"/>
                <w:lang w:val="es-ES"/>
              </w:rPr>
              <w:t>n</w:t>
            </w:r>
            <w:r w:rsidRPr="004768D0">
              <w:rPr>
                <w:rFonts w:ascii="Cambria" w:hAnsi="Cambria"/>
                <w:sz w:val="18"/>
                <w:szCs w:val="18"/>
                <w:lang w:val="es-ES"/>
              </w:rPr>
              <w:t xml:space="preserve"> 2017</w:t>
            </w:r>
            <w:r w:rsidR="00FC7E3E" w:rsidRPr="004768D0">
              <w:rPr>
                <w:rFonts w:ascii="Cambria" w:hAnsi="Cambria"/>
                <w:sz w:val="18"/>
                <w:szCs w:val="18"/>
                <w:lang w:val="es-ES"/>
              </w:rPr>
              <w:t xml:space="preserve"> se creó un </w:t>
            </w:r>
            <w:r w:rsidRPr="004768D0">
              <w:rPr>
                <w:rFonts w:ascii="Cambria" w:hAnsi="Cambria"/>
                <w:sz w:val="18"/>
                <w:szCs w:val="18"/>
                <w:lang w:val="es-ES"/>
              </w:rPr>
              <w:t>grupo de traba</w:t>
            </w:r>
            <w:r w:rsidR="00FC7E3E" w:rsidRPr="004768D0">
              <w:rPr>
                <w:rFonts w:ascii="Cambria" w:hAnsi="Cambria"/>
                <w:sz w:val="18"/>
                <w:szCs w:val="18"/>
                <w:lang w:val="es-ES"/>
              </w:rPr>
              <w:t>j</w:t>
            </w:r>
            <w:r w:rsidRPr="004768D0">
              <w:rPr>
                <w:rFonts w:ascii="Cambria" w:hAnsi="Cambria"/>
                <w:sz w:val="18"/>
                <w:szCs w:val="18"/>
                <w:lang w:val="es-ES"/>
              </w:rPr>
              <w:t>o multidisciplinar</w:t>
            </w:r>
            <w:r w:rsidR="00FC7E3E" w:rsidRPr="004768D0">
              <w:rPr>
                <w:rFonts w:ascii="Cambria" w:hAnsi="Cambria"/>
                <w:sz w:val="18"/>
                <w:szCs w:val="18"/>
                <w:lang w:val="es-ES"/>
              </w:rPr>
              <w:t xml:space="preserve">io </w:t>
            </w:r>
            <w:r w:rsidRPr="004768D0">
              <w:rPr>
                <w:rFonts w:ascii="Cambria" w:hAnsi="Cambria"/>
                <w:sz w:val="18"/>
                <w:szCs w:val="18"/>
                <w:lang w:val="es-ES"/>
              </w:rPr>
              <w:t>integrado por representantes d</w:t>
            </w:r>
            <w:r w:rsidR="00FC7E3E" w:rsidRPr="004768D0">
              <w:rPr>
                <w:rFonts w:ascii="Cambria" w:hAnsi="Cambria"/>
                <w:sz w:val="18"/>
                <w:szCs w:val="18"/>
                <w:lang w:val="es-ES"/>
              </w:rPr>
              <w:t>e l</w:t>
            </w:r>
            <w:r w:rsidRPr="004768D0">
              <w:rPr>
                <w:rFonts w:ascii="Cambria" w:hAnsi="Cambria"/>
                <w:sz w:val="18"/>
                <w:szCs w:val="18"/>
                <w:lang w:val="es-ES"/>
              </w:rPr>
              <w:t>a sociedad civil</w:t>
            </w:r>
            <w:r w:rsidR="00FC7E3E" w:rsidRPr="004768D0">
              <w:rPr>
                <w:rFonts w:ascii="Cambria" w:hAnsi="Cambria"/>
                <w:sz w:val="18"/>
                <w:szCs w:val="18"/>
                <w:lang w:val="es-ES"/>
              </w:rPr>
              <w:t xml:space="preserve"> y la </w:t>
            </w:r>
            <w:r w:rsidR="007F4608" w:rsidRPr="004768D0">
              <w:rPr>
                <w:rFonts w:ascii="Cambria" w:hAnsi="Cambria"/>
                <w:sz w:val="18"/>
                <w:szCs w:val="18"/>
                <w:lang w:val="es-ES"/>
              </w:rPr>
              <w:t>Defensoría</w:t>
            </w:r>
            <w:r w:rsidRPr="004768D0">
              <w:rPr>
                <w:rFonts w:ascii="Cambria" w:hAnsi="Cambria"/>
                <w:sz w:val="18"/>
                <w:szCs w:val="18"/>
                <w:lang w:val="es-ES"/>
              </w:rPr>
              <w:t xml:space="preserve"> Pública</w:t>
            </w:r>
            <w:r w:rsidR="00FC7E3E" w:rsidRPr="004768D0">
              <w:rPr>
                <w:rFonts w:ascii="Cambria" w:hAnsi="Cambria"/>
                <w:sz w:val="18"/>
                <w:szCs w:val="18"/>
                <w:lang w:val="es-ES"/>
              </w:rPr>
              <w:t xml:space="preserve"> de la</w:t>
            </w:r>
            <w:r w:rsidRPr="004768D0">
              <w:rPr>
                <w:rFonts w:ascii="Cambria" w:hAnsi="Cambria"/>
                <w:sz w:val="18"/>
                <w:szCs w:val="18"/>
                <w:lang w:val="es-ES"/>
              </w:rPr>
              <w:t xml:space="preserve"> Secretar</w:t>
            </w:r>
            <w:r w:rsidR="00FC7E3E" w:rsidRPr="004768D0">
              <w:rPr>
                <w:rFonts w:ascii="Cambria" w:hAnsi="Cambria"/>
                <w:sz w:val="18"/>
                <w:szCs w:val="18"/>
                <w:lang w:val="es-ES"/>
              </w:rPr>
              <w:t>í</w:t>
            </w:r>
            <w:r w:rsidRPr="004768D0">
              <w:rPr>
                <w:rFonts w:ascii="Cambria" w:hAnsi="Cambria"/>
                <w:sz w:val="18"/>
                <w:szCs w:val="18"/>
                <w:lang w:val="es-ES"/>
              </w:rPr>
              <w:t xml:space="preserve">a de </w:t>
            </w:r>
            <w:r w:rsidR="00F41459" w:rsidRPr="004768D0">
              <w:rPr>
                <w:rFonts w:ascii="Cambria" w:hAnsi="Cambria"/>
                <w:sz w:val="18"/>
                <w:szCs w:val="18"/>
                <w:lang w:val="es-ES"/>
              </w:rPr>
              <w:t>Seguridad</w:t>
            </w:r>
            <w:r w:rsidRPr="004768D0">
              <w:rPr>
                <w:rFonts w:ascii="Cambria" w:hAnsi="Cambria"/>
                <w:sz w:val="18"/>
                <w:szCs w:val="18"/>
                <w:lang w:val="es-ES"/>
              </w:rPr>
              <w:t xml:space="preserve"> Pública. </w:t>
            </w:r>
            <w:r w:rsidR="00FC7E3E" w:rsidRPr="004768D0">
              <w:rPr>
                <w:rFonts w:ascii="Cambria" w:hAnsi="Cambria"/>
                <w:sz w:val="18"/>
                <w:szCs w:val="18"/>
                <w:lang w:val="es-ES"/>
              </w:rPr>
              <w:t xml:space="preserve">En la primera reunión de trabajo se propuso la creación de una </w:t>
            </w:r>
            <w:r w:rsidRPr="004768D0">
              <w:rPr>
                <w:rFonts w:ascii="Cambria" w:hAnsi="Cambria"/>
                <w:sz w:val="18"/>
                <w:szCs w:val="18"/>
                <w:lang w:val="es-ES"/>
              </w:rPr>
              <w:t>red</w:t>
            </w:r>
            <w:r w:rsidR="00FC7E3E" w:rsidRPr="004768D0">
              <w:rPr>
                <w:rFonts w:ascii="Cambria" w:hAnsi="Cambria"/>
                <w:sz w:val="18"/>
                <w:szCs w:val="18"/>
                <w:lang w:val="es-ES"/>
              </w:rPr>
              <w:t xml:space="preserve"> para </w:t>
            </w:r>
            <w:r w:rsidRPr="004768D0">
              <w:rPr>
                <w:rFonts w:ascii="Cambria" w:hAnsi="Cambria"/>
                <w:sz w:val="18"/>
                <w:szCs w:val="18"/>
                <w:lang w:val="es-ES"/>
              </w:rPr>
              <w:t xml:space="preserve">facilitar </w:t>
            </w:r>
            <w:r w:rsidR="00FC7E3E" w:rsidRPr="004768D0">
              <w:rPr>
                <w:rFonts w:ascii="Cambria" w:hAnsi="Cambria"/>
                <w:sz w:val="18"/>
                <w:szCs w:val="18"/>
                <w:lang w:val="es-ES"/>
              </w:rPr>
              <w:t>el flujo rápido y transparente de información</w:t>
            </w:r>
            <w:r w:rsidR="009A608A">
              <w:rPr>
                <w:rFonts w:ascii="Cambria" w:hAnsi="Cambria"/>
                <w:sz w:val="18"/>
                <w:szCs w:val="18"/>
                <w:lang w:val="es-ES"/>
              </w:rPr>
              <w:t xml:space="preserve"> </w:t>
            </w:r>
            <w:r w:rsidR="00FC7E3E" w:rsidRPr="004768D0">
              <w:rPr>
                <w:rFonts w:ascii="Cambria" w:hAnsi="Cambria"/>
                <w:sz w:val="18"/>
                <w:szCs w:val="18"/>
                <w:lang w:val="es-ES"/>
              </w:rPr>
              <w:t xml:space="preserve">en </w:t>
            </w:r>
            <w:r w:rsidRPr="004768D0">
              <w:rPr>
                <w:rFonts w:ascii="Cambria" w:hAnsi="Cambria"/>
                <w:sz w:val="18"/>
                <w:szCs w:val="18"/>
                <w:lang w:val="es-ES"/>
              </w:rPr>
              <w:t xml:space="preserve">casos de delitos </w:t>
            </w:r>
            <w:r w:rsidR="0000579C">
              <w:rPr>
                <w:rFonts w:ascii="Cambria" w:hAnsi="Cambria"/>
                <w:sz w:val="18"/>
                <w:szCs w:val="18"/>
                <w:lang w:val="es-ES"/>
              </w:rPr>
              <w:t xml:space="preserve">vinculados a </w:t>
            </w:r>
            <w:r w:rsidR="00FC7E3E" w:rsidRPr="004768D0">
              <w:rPr>
                <w:rFonts w:ascii="Cambria" w:hAnsi="Cambria"/>
                <w:sz w:val="18"/>
                <w:szCs w:val="18"/>
                <w:lang w:val="es-ES"/>
              </w:rPr>
              <w:t xml:space="preserve">la intervención </w:t>
            </w:r>
            <w:r w:rsidRPr="004768D0">
              <w:rPr>
                <w:rFonts w:ascii="Cambria" w:hAnsi="Cambria"/>
                <w:sz w:val="18"/>
                <w:szCs w:val="18"/>
                <w:lang w:val="es-ES"/>
              </w:rPr>
              <w:t>policial.</w:t>
            </w:r>
            <w:r w:rsidR="009A608A">
              <w:rPr>
                <w:rFonts w:ascii="Cambria" w:hAnsi="Cambria"/>
                <w:sz w:val="18"/>
                <w:szCs w:val="18"/>
                <w:lang w:val="es-ES"/>
              </w:rPr>
              <w:t xml:space="preserve"> </w:t>
            </w:r>
            <w:r w:rsidRPr="004768D0">
              <w:rPr>
                <w:rFonts w:ascii="Cambria" w:hAnsi="Cambria"/>
                <w:sz w:val="18"/>
                <w:szCs w:val="18"/>
                <w:lang w:val="es-ES"/>
              </w:rPr>
              <w:t>Desde ent</w:t>
            </w:r>
            <w:r w:rsidR="00FC7E3E" w:rsidRPr="004768D0">
              <w:rPr>
                <w:rFonts w:ascii="Cambria" w:hAnsi="Cambria"/>
                <w:sz w:val="18"/>
                <w:szCs w:val="18"/>
                <w:lang w:val="es-ES"/>
              </w:rPr>
              <w:t xml:space="preserve">onces, el </w:t>
            </w:r>
            <w:r w:rsidRPr="004768D0">
              <w:rPr>
                <w:rFonts w:ascii="Cambria" w:hAnsi="Cambria"/>
                <w:sz w:val="18"/>
                <w:szCs w:val="18"/>
                <w:lang w:val="es-ES"/>
              </w:rPr>
              <w:t>grupo de traba</w:t>
            </w:r>
            <w:r w:rsidR="00FC7E3E" w:rsidRPr="004768D0">
              <w:rPr>
                <w:rFonts w:ascii="Cambria" w:hAnsi="Cambria"/>
                <w:sz w:val="18"/>
                <w:szCs w:val="18"/>
                <w:lang w:val="es-ES"/>
              </w:rPr>
              <w:t xml:space="preserve">jo ha </w:t>
            </w:r>
            <w:r w:rsidRPr="004768D0">
              <w:rPr>
                <w:rFonts w:ascii="Cambria" w:hAnsi="Cambria"/>
                <w:sz w:val="18"/>
                <w:szCs w:val="18"/>
                <w:lang w:val="es-ES"/>
              </w:rPr>
              <w:t>realizado reuni</w:t>
            </w:r>
            <w:r w:rsidR="00FC7E3E" w:rsidRPr="004768D0">
              <w:rPr>
                <w:rFonts w:ascii="Cambria" w:hAnsi="Cambria"/>
                <w:sz w:val="18"/>
                <w:szCs w:val="18"/>
                <w:lang w:val="es-ES"/>
              </w:rPr>
              <w:t>on</w:t>
            </w:r>
            <w:r w:rsidRPr="004768D0">
              <w:rPr>
                <w:rFonts w:ascii="Cambria" w:hAnsi="Cambria"/>
                <w:sz w:val="18"/>
                <w:szCs w:val="18"/>
                <w:lang w:val="es-ES"/>
              </w:rPr>
              <w:t xml:space="preserve">es periódicas para </w:t>
            </w:r>
            <w:r w:rsidR="00FC7E3E" w:rsidRPr="004768D0">
              <w:rPr>
                <w:rFonts w:ascii="Cambria" w:hAnsi="Cambria"/>
                <w:sz w:val="18"/>
                <w:szCs w:val="18"/>
                <w:lang w:val="es-ES"/>
              </w:rPr>
              <w:t xml:space="preserve">examinar nuevas </w:t>
            </w:r>
            <w:r w:rsidRPr="004768D0">
              <w:rPr>
                <w:rFonts w:ascii="Cambria" w:hAnsi="Cambria"/>
                <w:sz w:val="18"/>
                <w:szCs w:val="18"/>
                <w:lang w:val="es-ES"/>
              </w:rPr>
              <w:t>formas de traba</w:t>
            </w:r>
            <w:r w:rsidR="00FC7E3E" w:rsidRPr="004768D0">
              <w:rPr>
                <w:rFonts w:ascii="Cambria" w:hAnsi="Cambria"/>
                <w:sz w:val="18"/>
                <w:szCs w:val="18"/>
                <w:lang w:val="es-ES"/>
              </w:rPr>
              <w:t xml:space="preserve">jo y modelos de actuación para las </w:t>
            </w:r>
            <w:r w:rsidR="00F154A0" w:rsidRPr="004768D0">
              <w:rPr>
                <w:rFonts w:ascii="Cambria" w:hAnsi="Cambria"/>
                <w:sz w:val="18"/>
                <w:szCs w:val="18"/>
                <w:lang w:val="es-ES"/>
              </w:rPr>
              <w:t>instituciones</w:t>
            </w:r>
            <w:r w:rsidRPr="004768D0">
              <w:rPr>
                <w:rFonts w:ascii="Cambria" w:hAnsi="Cambria"/>
                <w:sz w:val="18"/>
                <w:szCs w:val="18"/>
                <w:lang w:val="es-ES"/>
              </w:rPr>
              <w:t xml:space="preserve"> públicas </w:t>
            </w:r>
            <w:r w:rsidR="00FC7E3E" w:rsidRPr="004768D0">
              <w:rPr>
                <w:rFonts w:ascii="Cambria" w:hAnsi="Cambria"/>
                <w:sz w:val="18"/>
                <w:szCs w:val="18"/>
                <w:lang w:val="es-ES"/>
              </w:rPr>
              <w:t xml:space="preserve">con el fin de </w:t>
            </w:r>
            <w:r w:rsidRPr="004768D0">
              <w:rPr>
                <w:rFonts w:ascii="Cambria" w:hAnsi="Cambria"/>
                <w:sz w:val="18"/>
                <w:szCs w:val="18"/>
                <w:lang w:val="es-ES"/>
              </w:rPr>
              <w:t>combat</w:t>
            </w:r>
            <w:r w:rsidR="00FC7E3E" w:rsidRPr="004768D0">
              <w:rPr>
                <w:rFonts w:ascii="Cambria" w:hAnsi="Cambria"/>
                <w:sz w:val="18"/>
                <w:szCs w:val="18"/>
                <w:lang w:val="es-ES"/>
              </w:rPr>
              <w:t>i</w:t>
            </w:r>
            <w:r w:rsidRPr="004768D0">
              <w:rPr>
                <w:rFonts w:ascii="Cambria" w:hAnsi="Cambria"/>
                <w:sz w:val="18"/>
                <w:szCs w:val="18"/>
                <w:lang w:val="es-ES"/>
              </w:rPr>
              <w:t xml:space="preserve">r </w:t>
            </w:r>
            <w:r w:rsidR="00FC7E3E" w:rsidRPr="004768D0">
              <w:rPr>
                <w:rFonts w:ascii="Cambria" w:hAnsi="Cambria"/>
                <w:sz w:val="18"/>
                <w:szCs w:val="18"/>
                <w:lang w:val="es-ES"/>
              </w:rPr>
              <w:t>l</w:t>
            </w:r>
            <w:r w:rsidRPr="004768D0">
              <w:rPr>
                <w:rFonts w:ascii="Cambria" w:hAnsi="Cambria"/>
                <w:sz w:val="18"/>
                <w:szCs w:val="18"/>
                <w:lang w:val="es-ES"/>
              </w:rPr>
              <w:t xml:space="preserve">a </w:t>
            </w:r>
            <w:r w:rsidR="00FC7E3E" w:rsidRPr="004768D0">
              <w:rPr>
                <w:rFonts w:ascii="Cambria" w:hAnsi="Cambria"/>
                <w:sz w:val="18"/>
                <w:szCs w:val="18"/>
                <w:lang w:val="es-ES"/>
              </w:rPr>
              <w:t>violencia</w:t>
            </w:r>
            <w:r w:rsidRPr="004768D0">
              <w:rPr>
                <w:rFonts w:ascii="Cambria" w:hAnsi="Cambria"/>
                <w:sz w:val="18"/>
                <w:szCs w:val="18"/>
                <w:lang w:val="es-ES"/>
              </w:rPr>
              <w:t xml:space="preserve"> </w:t>
            </w:r>
            <w:r w:rsidR="00FC7E3E" w:rsidRPr="004768D0">
              <w:rPr>
                <w:rFonts w:ascii="Cambria" w:hAnsi="Cambria"/>
                <w:sz w:val="18"/>
                <w:szCs w:val="18"/>
                <w:lang w:val="es-ES"/>
              </w:rPr>
              <w:t>practicada</w:t>
            </w:r>
            <w:r w:rsidRPr="004768D0">
              <w:rPr>
                <w:rFonts w:ascii="Cambria" w:hAnsi="Cambria"/>
                <w:sz w:val="18"/>
                <w:szCs w:val="18"/>
                <w:lang w:val="es-ES"/>
              </w:rPr>
              <w:t xml:space="preserve"> por agentes </w:t>
            </w:r>
            <w:r w:rsidR="0000579C">
              <w:rPr>
                <w:rFonts w:ascii="Cambria" w:hAnsi="Cambria"/>
                <w:sz w:val="18"/>
                <w:szCs w:val="18"/>
                <w:lang w:val="es-ES"/>
              </w:rPr>
              <w:t>estatales</w:t>
            </w:r>
            <w:r w:rsidRPr="004768D0">
              <w:rPr>
                <w:rFonts w:ascii="Cambria" w:hAnsi="Cambria"/>
                <w:sz w:val="18"/>
                <w:szCs w:val="18"/>
                <w:lang w:val="es-ES"/>
              </w:rPr>
              <w:t xml:space="preserve">. </w:t>
            </w:r>
          </w:p>
          <w:p w14:paraId="4EC236E7" w14:textId="77777777" w:rsidR="00654B53" w:rsidRPr="004768D0"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p>
        </w:tc>
      </w:tr>
      <w:tr w:rsidR="00654B53" w:rsidRPr="008D6F96" w14:paraId="50EB79D3" w14:textId="77777777" w:rsidTr="0080214D">
        <w:tc>
          <w:tcPr>
            <w:tcW w:w="2263" w:type="dxa"/>
          </w:tcPr>
          <w:p w14:paraId="0A2D1C7D" w14:textId="77777777" w:rsidR="000F34D0" w:rsidRPr="004768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es-ES"/>
              </w:rPr>
            </w:pPr>
          </w:p>
          <w:p w14:paraId="7FAA92DD" w14:textId="77777777" w:rsidR="000F34D0" w:rsidRPr="004768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es-ES"/>
              </w:rPr>
            </w:pPr>
          </w:p>
          <w:p w14:paraId="4DD135F9" w14:textId="77777777" w:rsidR="000F34D0" w:rsidRPr="004768D0" w:rsidRDefault="00654B53" w:rsidP="0000579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es-ES"/>
              </w:rPr>
            </w:pPr>
            <w:r w:rsidRPr="004768D0">
              <w:rPr>
                <w:rFonts w:asciiTheme="majorHAnsi" w:hAnsiTheme="majorHAnsi"/>
                <w:b/>
                <w:color w:val="000000" w:themeColor="text1"/>
                <w:sz w:val="18"/>
                <w:szCs w:val="18"/>
                <w:lang w:val="es-ES"/>
              </w:rPr>
              <w:t>Repara</w:t>
            </w:r>
            <w:r w:rsidR="00BF564F" w:rsidRPr="004768D0">
              <w:rPr>
                <w:rFonts w:asciiTheme="majorHAnsi" w:hAnsiTheme="majorHAnsi"/>
                <w:b/>
                <w:color w:val="000000" w:themeColor="text1"/>
                <w:sz w:val="18"/>
                <w:szCs w:val="18"/>
                <w:lang w:val="es-ES"/>
              </w:rPr>
              <w:t xml:space="preserve">ción de los daños </w:t>
            </w:r>
            <w:r w:rsidRPr="004768D0">
              <w:rPr>
                <w:rFonts w:asciiTheme="majorHAnsi" w:hAnsiTheme="majorHAnsi"/>
                <w:b/>
                <w:color w:val="000000" w:themeColor="text1"/>
                <w:sz w:val="18"/>
                <w:szCs w:val="18"/>
                <w:lang w:val="es-ES"/>
              </w:rPr>
              <w:t>materia</w:t>
            </w:r>
            <w:r w:rsidR="00BF564F" w:rsidRPr="004768D0">
              <w:rPr>
                <w:rFonts w:asciiTheme="majorHAnsi" w:hAnsiTheme="majorHAnsi"/>
                <w:b/>
                <w:color w:val="000000" w:themeColor="text1"/>
                <w:sz w:val="18"/>
                <w:szCs w:val="18"/>
                <w:lang w:val="es-ES"/>
              </w:rPr>
              <w:t xml:space="preserve">les y morales por medio del pago de indemnización a las </w:t>
            </w:r>
            <w:r w:rsidR="00000CF9" w:rsidRPr="004768D0">
              <w:rPr>
                <w:rFonts w:asciiTheme="majorHAnsi" w:hAnsiTheme="majorHAnsi"/>
                <w:b/>
                <w:color w:val="000000" w:themeColor="text1"/>
                <w:sz w:val="18"/>
                <w:szCs w:val="18"/>
                <w:lang w:val="es-ES"/>
              </w:rPr>
              <w:t>víctimas</w:t>
            </w:r>
            <w:r w:rsidRPr="004768D0">
              <w:rPr>
                <w:rFonts w:asciiTheme="majorHAnsi" w:hAnsiTheme="majorHAnsi"/>
                <w:b/>
                <w:color w:val="000000" w:themeColor="text1"/>
                <w:sz w:val="18"/>
                <w:szCs w:val="18"/>
                <w:lang w:val="es-ES"/>
              </w:rPr>
              <w:t xml:space="preserve"> </w:t>
            </w:r>
            <w:r w:rsidR="00BF564F" w:rsidRPr="004768D0">
              <w:rPr>
                <w:rFonts w:asciiTheme="majorHAnsi" w:hAnsiTheme="majorHAnsi"/>
                <w:b/>
                <w:color w:val="000000" w:themeColor="text1"/>
                <w:sz w:val="18"/>
                <w:szCs w:val="18"/>
                <w:lang w:val="es-ES"/>
              </w:rPr>
              <w:t>y</w:t>
            </w:r>
            <w:r w:rsidRPr="004768D0">
              <w:rPr>
                <w:rFonts w:asciiTheme="majorHAnsi" w:hAnsiTheme="majorHAnsi"/>
                <w:b/>
                <w:color w:val="000000" w:themeColor="text1"/>
                <w:sz w:val="18"/>
                <w:szCs w:val="18"/>
                <w:lang w:val="es-ES"/>
              </w:rPr>
              <w:t xml:space="preserve"> </w:t>
            </w:r>
            <w:r w:rsidR="000C0AC4" w:rsidRPr="004768D0">
              <w:rPr>
                <w:rFonts w:asciiTheme="majorHAnsi" w:hAnsiTheme="majorHAnsi"/>
                <w:b/>
                <w:color w:val="000000" w:themeColor="text1"/>
                <w:sz w:val="18"/>
                <w:szCs w:val="18"/>
                <w:lang w:val="es-ES"/>
              </w:rPr>
              <w:t>sus</w:t>
            </w:r>
            <w:r w:rsidRPr="004768D0">
              <w:rPr>
                <w:rFonts w:asciiTheme="majorHAnsi" w:hAnsiTheme="majorHAnsi"/>
                <w:b/>
                <w:color w:val="000000" w:themeColor="text1"/>
                <w:sz w:val="18"/>
                <w:szCs w:val="18"/>
                <w:lang w:val="es-ES"/>
              </w:rPr>
              <w:t xml:space="preserve"> familiares</w:t>
            </w:r>
            <w:r w:rsidR="0000579C">
              <w:rPr>
                <w:rFonts w:asciiTheme="majorHAnsi" w:hAnsiTheme="majorHAnsi"/>
                <w:b/>
                <w:color w:val="000000" w:themeColor="text1"/>
                <w:sz w:val="18"/>
                <w:szCs w:val="18"/>
                <w:lang w:val="es-ES"/>
              </w:rPr>
              <w:t xml:space="preserve">, </w:t>
            </w:r>
            <w:r w:rsidRPr="004768D0">
              <w:rPr>
                <w:rFonts w:asciiTheme="majorHAnsi" w:hAnsiTheme="majorHAnsi"/>
                <w:b/>
                <w:color w:val="000000" w:themeColor="text1"/>
                <w:sz w:val="18"/>
                <w:szCs w:val="18"/>
                <w:lang w:val="es-ES"/>
              </w:rPr>
              <w:t>recon</w:t>
            </w:r>
            <w:r w:rsidR="00BF564F" w:rsidRPr="004768D0">
              <w:rPr>
                <w:rFonts w:asciiTheme="majorHAnsi" w:hAnsiTheme="majorHAnsi"/>
                <w:b/>
                <w:color w:val="000000" w:themeColor="text1"/>
                <w:sz w:val="18"/>
                <w:szCs w:val="18"/>
                <w:lang w:val="es-ES"/>
              </w:rPr>
              <w:t>ocimiento</w:t>
            </w:r>
            <w:r w:rsidRPr="004768D0">
              <w:rPr>
                <w:rFonts w:asciiTheme="majorHAnsi" w:hAnsiTheme="majorHAnsi"/>
                <w:b/>
                <w:color w:val="000000" w:themeColor="text1"/>
                <w:sz w:val="18"/>
                <w:szCs w:val="18"/>
                <w:lang w:val="es-ES"/>
              </w:rPr>
              <w:t xml:space="preserve"> público </w:t>
            </w:r>
            <w:r w:rsidR="00BF564F" w:rsidRPr="004768D0">
              <w:rPr>
                <w:rFonts w:asciiTheme="majorHAnsi" w:hAnsiTheme="majorHAnsi"/>
                <w:b/>
                <w:color w:val="000000" w:themeColor="text1"/>
                <w:sz w:val="18"/>
                <w:szCs w:val="18"/>
                <w:lang w:val="es-ES"/>
              </w:rPr>
              <w:t xml:space="preserve">de las violaciones cometidas </w:t>
            </w:r>
            <w:r w:rsidRPr="004768D0">
              <w:rPr>
                <w:rFonts w:asciiTheme="majorHAnsi" w:hAnsiTheme="majorHAnsi"/>
                <w:b/>
                <w:color w:val="000000" w:themeColor="text1"/>
                <w:sz w:val="18"/>
                <w:szCs w:val="18"/>
                <w:lang w:val="es-ES"/>
              </w:rPr>
              <w:t xml:space="preserve">por </w:t>
            </w:r>
            <w:r w:rsidR="003C58C5" w:rsidRPr="004768D0">
              <w:rPr>
                <w:rFonts w:asciiTheme="majorHAnsi" w:hAnsiTheme="majorHAnsi"/>
                <w:b/>
                <w:color w:val="000000" w:themeColor="text1"/>
                <w:sz w:val="18"/>
                <w:szCs w:val="18"/>
                <w:lang w:val="es-ES"/>
              </w:rPr>
              <w:t>el Estado</w:t>
            </w:r>
            <w:r w:rsidR="0000579C">
              <w:rPr>
                <w:rFonts w:asciiTheme="majorHAnsi" w:hAnsiTheme="majorHAnsi"/>
                <w:b/>
                <w:color w:val="000000" w:themeColor="text1"/>
                <w:sz w:val="18"/>
                <w:szCs w:val="18"/>
                <w:lang w:val="es-ES"/>
              </w:rPr>
              <w:t xml:space="preserve"> y m</w:t>
            </w:r>
            <w:r w:rsidR="000F34D0" w:rsidRPr="004768D0">
              <w:rPr>
                <w:rFonts w:asciiTheme="majorHAnsi" w:hAnsiTheme="majorHAnsi"/>
                <w:b/>
                <w:color w:val="000000" w:themeColor="text1"/>
                <w:sz w:val="18"/>
                <w:szCs w:val="18"/>
                <w:lang w:val="es-ES"/>
              </w:rPr>
              <w:t xml:space="preserve">edidas de </w:t>
            </w:r>
            <w:r w:rsidR="00BF564F" w:rsidRPr="004768D0">
              <w:rPr>
                <w:rFonts w:asciiTheme="majorHAnsi" w:hAnsiTheme="majorHAnsi"/>
                <w:b/>
                <w:color w:val="000000" w:themeColor="text1"/>
                <w:sz w:val="18"/>
                <w:szCs w:val="18"/>
                <w:lang w:val="es-ES"/>
              </w:rPr>
              <w:t>rehabilitación</w:t>
            </w:r>
            <w:r w:rsidR="000F34D0" w:rsidRPr="004768D0">
              <w:rPr>
                <w:rFonts w:asciiTheme="majorHAnsi" w:hAnsiTheme="majorHAnsi"/>
                <w:b/>
                <w:color w:val="000000" w:themeColor="text1"/>
                <w:sz w:val="18"/>
                <w:szCs w:val="18"/>
                <w:lang w:val="es-ES"/>
              </w:rPr>
              <w:t xml:space="preserve"> (</w:t>
            </w:r>
            <w:r w:rsidR="000F34D0" w:rsidRPr="004768D0">
              <w:rPr>
                <w:rFonts w:ascii="Cambria" w:hAnsi="Cambria"/>
                <w:b/>
                <w:sz w:val="18"/>
                <w:szCs w:val="18"/>
                <w:lang w:val="es-ES"/>
              </w:rPr>
              <w:t>disponibili</w:t>
            </w:r>
            <w:r w:rsidR="00BF564F" w:rsidRPr="004768D0">
              <w:rPr>
                <w:rFonts w:ascii="Cambria" w:hAnsi="Cambria"/>
                <w:b/>
                <w:sz w:val="18"/>
                <w:szCs w:val="18"/>
                <w:lang w:val="es-ES"/>
              </w:rPr>
              <w:t xml:space="preserve">dad o pago </w:t>
            </w:r>
            <w:r w:rsidR="000F34D0" w:rsidRPr="004768D0">
              <w:rPr>
                <w:rFonts w:ascii="Cambria" w:hAnsi="Cambria"/>
                <w:b/>
                <w:sz w:val="18"/>
                <w:szCs w:val="18"/>
                <w:lang w:val="es-ES"/>
              </w:rPr>
              <w:t>de a</w:t>
            </w:r>
            <w:r w:rsidR="00BF564F" w:rsidRPr="004768D0">
              <w:rPr>
                <w:rFonts w:ascii="Cambria" w:hAnsi="Cambria"/>
                <w:b/>
                <w:sz w:val="18"/>
                <w:szCs w:val="18"/>
                <w:lang w:val="es-ES"/>
              </w:rPr>
              <w:t xml:space="preserve">tención </w:t>
            </w:r>
            <w:r w:rsidR="000F34D0" w:rsidRPr="004768D0">
              <w:rPr>
                <w:rFonts w:ascii="Cambria" w:hAnsi="Cambria"/>
                <w:b/>
                <w:sz w:val="18"/>
                <w:szCs w:val="18"/>
                <w:lang w:val="es-ES"/>
              </w:rPr>
              <w:t xml:space="preserve">psicológica </w:t>
            </w:r>
            <w:r w:rsidR="00BF564F" w:rsidRPr="004768D0">
              <w:rPr>
                <w:rFonts w:ascii="Cambria" w:hAnsi="Cambria"/>
                <w:b/>
                <w:sz w:val="18"/>
                <w:szCs w:val="18"/>
                <w:lang w:val="es-ES"/>
              </w:rPr>
              <w:t>y</w:t>
            </w:r>
            <w:r w:rsidR="000F34D0" w:rsidRPr="004768D0">
              <w:rPr>
                <w:rFonts w:ascii="Cambria" w:hAnsi="Cambria"/>
                <w:b/>
                <w:sz w:val="18"/>
                <w:szCs w:val="18"/>
                <w:lang w:val="es-ES"/>
              </w:rPr>
              <w:t xml:space="preserve"> médica </w:t>
            </w:r>
            <w:r w:rsidR="00BF564F" w:rsidRPr="004768D0">
              <w:rPr>
                <w:rFonts w:ascii="Cambria" w:hAnsi="Cambria"/>
                <w:b/>
                <w:sz w:val="18"/>
                <w:szCs w:val="18"/>
                <w:lang w:val="es-ES"/>
              </w:rPr>
              <w:t>a las</w:t>
            </w:r>
            <w:r w:rsidR="000F34D0" w:rsidRPr="004768D0">
              <w:rPr>
                <w:rFonts w:ascii="Cambria" w:hAnsi="Cambria"/>
                <w:b/>
                <w:sz w:val="18"/>
                <w:szCs w:val="18"/>
                <w:lang w:val="es-ES"/>
              </w:rPr>
              <w:t xml:space="preserve"> </w:t>
            </w:r>
            <w:r w:rsidR="00000CF9" w:rsidRPr="004768D0">
              <w:rPr>
                <w:rFonts w:ascii="Cambria" w:hAnsi="Cambria"/>
                <w:b/>
                <w:sz w:val="18"/>
                <w:szCs w:val="18"/>
                <w:lang w:val="es-ES"/>
              </w:rPr>
              <w:t>víctimas</w:t>
            </w:r>
            <w:r w:rsidR="000F34D0" w:rsidRPr="004768D0">
              <w:rPr>
                <w:rFonts w:ascii="Cambria" w:hAnsi="Cambria"/>
                <w:b/>
                <w:sz w:val="18"/>
                <w:szCs w:val="18"/>
                <w:lang w:val="es-ES"/>
              </w:rPr>
              <w:t xml:space="preserve"> que </w:t>
            </w:r>
            <w:r w:rsidR="00BF564F" w:rsidRPr="004768D0">
              <w:rPr>
                <w:rFonts w:ascii="Cambria" w:hAnsi="Cambria"/>
                <w:b/>
                <w:sz w:val="18"/>
                <w:szCs w:val="18"/>
                <w:lang w:val="es-ES"/>
              </w:rPr>
              <w:t>lo deseen</w:t>
            </w:r>
            <w:r w:rsidR="000F34D0" w:rsidRPr="004768D0">
              <w:rPr>
                <w:rFonts w:asciiTheme="majorHAnsi" w:hAnsiTheme="majorHAnsi"/>
                <w:b/>
                <w:color w:val="000000" w:themeColor="text1"/>
                <w:sz w:val="18"/>
                <w:szCs w:val="18"/>
                <w:lang w:val="es-ES"/>
              </w:rPr>
              <w:t>).</w:t>
            </w:r>
          </w:p>
        </w:tc>
        <w:tc>
          <w:tcPr>
            <w:tcW w:w="7087" w:type="dxa"/>
          </w:tcPr>
          <w:p w14:paraId="6E107DE0" w14:textId="77777777" w:rsidR="00654B53" w:rsidRPr="004768D0"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Para </w:t>
            </w:r>
            <w:r w:rsidR="00BF564F" w:rsidRPr="004768D0">
              <w:rPr>
                <w:rFonts w:asciiTheme="majorHAnsi" w:hAnsiTheme="majorHAnsi"/>
                <w:bCs/>
                <w:color w:val="000000" w:themeColor="text1"/>
                <w:sz w:val="18"/>
                <w:szCs w:val="18"/>
                <w:lang w:val="es-ES"/>
              </w:rPr>
              <w:t>determinar l</w:t>
            </w:r>
            <w:r w:rsidRPr="004768D0">
              <w:rPr>
                <w:rFonts w:asciiTheme="majorHAnsi" w:hAnsiTheme="majorHAnsi"/>
                <w:bCs/>
                <w:color w:val="000000" w:themeColor="text1"/>
                <w:sz w:val="18"/>
                <w:szCs w:val="18"/>
                <w:lang w:val="es-ES"/>
              </w:rPr>
              <w:t xml:space="preserve">a </w:t>
            </w:r>
            <w:r w:rsidR="00882F67" w:rsidRPr="004768D0">
              <w:rPr>
                <w:rFonts w:asciiTheme="majorHAnsi" w:hAnsiTheme="majorHAnsi"/>
                <w:bCs/>
                <w:color w:val="000000" w:themeColor="text1"/>
                <w:sz w:val="18"/>
                <w:szCs w:val="18"/>
                <w:lang w:val="es-ES"/>
              </w:rPr>
              <w:t>responsabilidad</w:t>
            </w:r>
            <w:r w:rsidRPr="004768D0">
              <w:rPr>
                <w:rFonts w:asciiTheme="majorHAnsi" w:hAnsiTheme="majorHAnsi"/>
                <w:bCs/>
                <w:color w:val="000000" w:themeColor="text1"/>
                <w:sz w:val="18"/>
                <w:szCs w:val="18"/>
                <w:lang w:val="es-ES"/>
              </w:rPr>
              <w:t xml:space="preserve"> </w:t>
            </w:r>
            <w:r w:rsidR="007F4608" w:rsidRPr="004768D0">
              <w:rPr>
                <w:rFonts w:asciiTheme="majorHAnsi" w:hAnsiTheme="majorHAnsi"/>
                <w:bCs/>
                <w:color w:val="000000" w:themeColor="text1"/>
                <w:sz w:val="18"/>
                <w:szCs w:val="18"/>
                <w:lang w:val="es-ES"/>
              </w:rPr>
              <w:t xml:space="preserve">del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w:t>
            </w:r>
            <w:r w:rsidR="00BF564F"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n</w:t>
            </w:r>
            <w:r w:rsidR="00BF564F" w:rsidRPr="004768D0">
              <w:rPr>
                <w:rFonts w:asciiTheme="majorHAnsi" w:hAnsiTheme="majorHAnsi"/>
                <w:bCs/>
                <w:color w:val="000000" w:themeColor="text1"/>
                <w:sz w:val="18"/>
                <w:szCs w:val="18"/>
                <w:lang w:val="es-ES"/>
              </w:rPr>
              <w:t xml:space="preserve"> </w:t>
            </w:r>
            <w:r w:rsidR="0000579C">
              <w:rPr>
                <w:rFonts w:asciiTheme="majorHAnsi" w:hAnsiTheme="majorHAnsi"/>
                <w:bCs/>
                <w:color w:val="000000" w:themeColor="text1"/>
                <w:sz w:val="18"/>
                <w:szCs w:val="18"/>
                <w:lang w:val="es-ES"/>
              </w:rPr>
              <w:t>los incidentes</w:t>
            </w:r>
            <w:r w:rsidRPr="004768D0">
              <w:rPr>
                <w:rFonts w:asciiTheme="majorHAnsi" w:hAnsiTheme="majorHAnsi"/>
                <w:bCs/>
                <w:color w:val="000000" w:themeColor="text1"/>
                <w:sz w:val="18"/>
                <w:szCs w:val="18"/>
                <w:lang w:val="es-ES"/>
              </w:rPr>
              <w:t xml:space="preserve"> </w:t>
            </w:r>
            <w:r w:rsidR="00BF564F" w:rsidRPr="004768D0">
              <w:rPr>
                <w:rFonts w:asciiTheme="majorHAnsi" w:hAnsiTheme="majorHAnsi"/>
                <w:bCs/>
                <w:color w:val="000000" w:themeColor="text1"/>
                <w:sz w:val="18"/>
                <w:szCs w:val="18"/>
                <w:lang w:val="es-ES"/>
              </w:rPr>
              <w:t>conocido</w:t>
            </w:r>
            <w:r w:rsidR="0000579C">
              <w:rPr>
                <w:rFonts w:asciiTheme="majorHAnsi" w:hAnsiTheme="majorHAnsi"/>
                <w:bCs/>
                <w:color w:val="000000" w:themeColor="text1"/>
                <w:sz w:val="18"/>
                <w:szCs w:val="18"/>
                <w:lang w:val="es-ES"/>
              </w:rPr>
              <w:t>s</w:t>
            </w:r>
            <w:r w:rsidR="00BF564F" w:rsidRPr="004768D0">
              <w:rPr>
                <w:rFonts w:asciiTheme="majorHAnsi" w:hAnsiTheme="majorHAnsi"/>
                <w:bCs/>
                <w:color w:val="000000" w:themeColor="text1"/>
                <w:sz w:val="18"/>
                <w:szCs w:val="18"/>
                <w:lang w:val="es-ES"/>
              </w:rPr>
              <w:t xml:space="preserve"> </w:t>
            </w:r>
            <w:r w:rsidR="00E04ED3" w:rsidRPr="004768D0">
              <w:rPr>
                <w:rFonts w:asciiTheme="majorHAnsi" w:hAnsiTheme="majorHAnsi"/>
                <w:bCs/>
                <w:color w:val="000000" w:themeColor="text1"/>
                <w:sz w:val="18"/>
                <w:szCs w:val="18"/>
                <w:lang w:val="es-ES"/>
              </w:rPr>
              <w:t>como</w:t>
            </w:r>
            <w:r w:rsidRPr="004768D0">
              <w:rPr>
                <w:rFonts w:asciiTheme="majorHAnsi" w:hAnsiTheme="majorHAnsi"/>
                <w:bCs/>
                <w:color w:val="000000" w:themeColor="text1"/>
                <w:sz w:val="18"/>
                <w:szCs w:val="18"/>
                <w:lang w:val="es-ES"/>
              </w:rPr>
              <w:t xml:space="preserve"> </w:t>
            </w:r>
            <w:r w:rsidR="00BF564F"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os </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Cr</w:t>
            </w:r>
            <w:r w:rsidR="00BF564F" w:rsidRPr="004768D0">
              <w:rPr>
                <w:rFonts w:asciiTheme="majorHAnsi" w:hAnsiTheme="majorHAnsi"/>
                <w:bCs/>
                <w:color w:val="000000" w:themeColor="text1"/>
                <w:sz w:val="18"/>
                <w:szCs w:val="18"/>
                <w:lang w:val="es-ES"/>
              </w:rPr>
              <w:t xml:space="preserve">ímenes </w:t>
            </w:r>
            <w:r w:rsidRPr="004768D0">
              <w:rPr>
                <w:rFonts w:asciiTheme="majorHAnsi" w:hAnsiTheme="majorHAnsi"/>
                <w:bCs/>
                <w:color w:val="000000" w:themeColor="text1"/>
                <w:sz w:val="18"/>
                <w:szCs w:val="18"/>
                <w:lang w:val="es-ES"/>
              </w:rPr>
              <w:t xml:space="preserve">de </w:t>
            </w:r>
            <w:r w:rsidR="007F4608" w:rsidRPr="004768D0">
              <w:rPr>
                <w:rFonts w:asciiTheme="majorHAnsi" w:hAnsiTheme="majorHAnsi"/>
                <w:bCs/>
                <w:color w:val="000000" w:themeColor="text1"/>
                <w:sz w:val="18"/>
                <w:szCs w:val="18"/>
                <w:lang w:val="es-ES"/>
              </w:rPr>
              <w:t>Mayo</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que </w:t>
            </w:r>
            <w:r w:rsidR="0000579C">
              <w:rPr>
                <w:rFonts w:asciiTheme="majorHAnsi" w:hAnsiTheme="majorHAnsi"/>
                <w:bCs/>
                <w:color w:val="000000" w:themeColor="text1"/>
                <w:sz w:val="18"/>
                <w:szCs w:val="18"/>
                <w:lang w:val="es-ES"/>
              </w:rPr>
              <w:t xml:space="preserve">se produjeron en </w:t>
            </w:r>
            <w:r w:rsidR="00BF564F" w:rsidRPr="004768D0">
              <w:rPr>
                <w:rFonts w:asciiTheme="majorHAnsi" w:hAnsiTheme="majorHAnsi"/>
                <w:bCs/>
                <w:color w:val="000000" w:themeColor="text1"/>
                <w:sz w:val="18"/>
                <w:szCs w:val="18"/>
                <w:lang w:val="es-ES"/>
              </w:rPr>
              <w:t>la zona metropolitana de</w:t>
            </w:r>
            <w:r w:rsidRPr="004768D0">
              <w:rPr>
                <w:rFonts w:asciiTheme="majorHAnsi" w:hAnsiTheme="majorHAnsi"/>
                <w:bCs/>
                <w:color w:val="000000" w:themeColor="text1"/>
                <w:sz w:val="18"/>
                <w:szCs w:val="18"/>
                <w:lang w:val="es-ES"/>
              </w:rPr>
              <w:t xml:space="preserve"> São Paulo, </w:t>
            </w:r>
            <w:r w:rsidR="0000579C">
              <w:rPr>
                <w:rFonts w:asciiTheme="majorHAnsi" w:hAnsiTheme="majorHAnsi"/>
                <w:bCs/>
                <w:color w:val="000000" w:themeColor="text1"/>
                <w:sz w:val="18"/>
                <w:szCs w:val="18"/>
                <w:lang w:val="es-ES"/>
              </w:rPr>
              <w:t>la zona metropolitana de Santos (</w:t>
            </w:r>
            <w:proofErr w:type="spellStart"/>
            <w:r w:rsidRPr="0000579C">
              <w:rPr>
                <w:rFonts w:asciiTheme="majorHAnsi" w:hAnsiTheme="majorHAnsi"/>
                <w:bCs/>
                <w:i/>
                <w:color w:val="000000" w:themeColor="text1"/>
                <w:sz w:val="18"/>
                <w:szCs w:val="18"/>
                <w:lang w:val="es-ES"/>
              </w:rPr>
              <w:t>Baixada</w:t>
            </w:r>
            <w:proofErr w:type="spellEnd"/>
            <w:r w:rsidRPr="0000579C">
              <w:rPr>
                <w:rFonts w:asciiTheme="majorHAnsi" w:hAnsiTheme="majorHAnsi"/>
                <w:bCs/>
                <w:i/>
                <w:color w:val="000000" w:themeColor="text1"/>
                <w:sz w:val="18"/>
                <w:szCs w:val="18"/>
                <w:lang w:val="es-ES"/>
              </w:rPr>
              <w:t xml:space="preserve"> </w:t>
            </w:r>
            <w:proofErr w:type="spellStart"/>
            <w:r w:rsidRPr="0000579C">
              <w:rPr>
                <w:rFonts w:asciiTheme="majorHAnsi" w:hAnsiTheme="majorHAnsi"/>
                <w:bCs/>
                <w:i/>
                <w:color w:val="000000" w:themeColor="text1"/>
                <w:sz w:val="18"/>
                <w:szCs w:val="18"/>
                <w:lang w:val="es-ES"/>
              </w:rPr>
              <w:t>Santista</w:t>
            </w:r>
            <w:proofErr w:type="spellEnd"/>
            <w:r w:rsidR="0000579C">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r w:rsidR="00BF564F" w:rsidRPr="004768D0">
              <w:rPr>
                <w:rFonts w:asciiTheme="majorHAnsi" w:hAnsiTheme="majorHAnsi"/>
                <w:bCs/>
                <w:color w:val="000000" w:themeColor="text1"/>
                <w:sz w:val="18"/>
                <w:szCs w:val="18"/>
                <w:lang w:val="es-ES"/>
              </w:rPr>
              <w:t xml:space="preserve">y </w:t>
            </w:r>
            <w:r w:rsidRPr="004768D0">
              <w:rPr>
                <w:rFonts w:asciiTheme="majorHAnsi" w:hAnsiTheme="majorHAnsi"/>
                <w:bCs/>
                <w:color w:val="000000" w:themeColor="text1"/>
                <w:sz w:val="18"/>
                <w:szCs w:val="18"/>
                <w:lang w:val="es-ES"/>
              </w:rPr>
              <w:t>grandes centros urbanos d</w:t>
            </w:r>
            <w:r w:rsidR="00BF564F"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interior paulista, e</w:t>
            </w:r>
            <w:r w:rsidR="00BF564F"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 14 de </w:t>
            </w:r>
            <w:r w:rsidR="00174FDD" w:rsidRPr="004768D0">
              <w:rPr>
                <w:rFonts w:asciiTheme="majorHAnsi" w:hAnsiTheme="majorHAnsi"/>
                <w:bCs/>
                <w:color w:val="000000" w:themeColor="text1"/>
                <w:sz w:val="18"/>
                <w:szCs w:val="18"/>
                <w:lang w:val="es-ES"/>
              </w:rPr>
              <w:t>diciembre</w:t>
            </w:r>
            <w:r w:rsidRPr="004768D0">
              <w:rPr>
                <w:rFonts w:asciiTheme="majorHAnsi" w:hAnsiTheme="majorHAnsi"/>
                <w:bCs/>
                <w:color w:val="000000" w:themeColor="text1"/>
                <w:sz w:val="18"/>
                <w:szCs w:val="18"/>
                <w:lang w:val="es-ES"/>
              </w:rPr>
              <w:t xml:space="preserve"> de 2018, </w:t>
            </w:r>
            <w:r w:rsidR="00BF564F"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a Pro</w:t>
            </w:r>
            <w:r w:rsidR="00915936" w:rsidRPr="004768D0">
              <w:rPr>
                <w:rFonts w:asciiTheme="majorHAnsi" w:hAnsiTheme="majorHAnsi"/>
                <w:bCs/>
                <w:color w:val="000000" w:themeColor="text1"/>
                <w:sz w:val="18"/>
                <w:szCs w:val="18"/>
                <w:lang w:val="es-ES"/>
              </w:rPr>
              <w:t xml:space="preserve">curaduría </w:t>
            </w:r>
            <w:r w:rsidRPr="004768D0">
              <w:rPr>
                <w:rFonts w:asciiTheme="majorHAnsi" w:hAnsiTheme="majorHAnsi"/>
                <w:bCs/>
                <w:color w:val="000000" w:themeColor="text1"/>
                <w:sz w:val="18"/>
                <w:szCs w:val="18"/>
                <w:lang w:val="es-ES"/>
              </w:rPr>
              <w:t xml:space="preserve">de </w:t>
            </w:r>
            <w:r w:rsidR="00C65DE2" w:rsidRPr="004768D0">
              <w:rPr>
                <w:rFonts w:asciiTheme="majorHAnsi" w:hAnsiTheme="majorHAnsi"/>
                <w:bCs/>
                <w:color w:val="000000" w:themeColor="text1"/>
                <w:sz w:val="18"/>
                <w:szCs w:val="18"/>
                <w:lang w:val="es-ES"/>
              </w:rPr>
              <w:t>Justicia</w:t>
            </w:r>
            <w:r w:rsidRPr="004768D0">
              <w:rPr>
                <w:rFonts w:asciiTheme="majorHAnsi" w:hAnsiTheme="majorHAnsi"/>
                <w:bCs/>
                <w:color w:val="000000" w:themeColor="text1"/>
                <w:sz w:val="18"/>
                <w:szCs w:val="18"/>
                <w:lang w:val="es-ES"/>
              </w:rPr>
              <w:t xml:space="preserve"> de </w:t>
            </w:r>
            <w:r w:rsidR="00246A29" w:rsidRPr="004768D0">
              <w:rPr>
                <w:rFonts w:asciiTheme="majorHAnsi" w:hAnsiTheme="majorHAnsi"/>
                <w:bCs/>
                <w:color w:val="000000" w:themeColor="text1"/>
                <w:sz w:val="18"/>
                <w:szCs w:val="18"/>
                <w:lang w:val="es-ES"/>
              </w:rPr>
              <w:t>Derechos</w:t>
            </w:r>
            <w:r w:rsidRPr="004768D0">
              <w:rPr>
                <w:rFonts w:asciiTheme="majorHAnsi" w:hAnsiTheme="majorHAnsi"/>
                <w:bCs/>
                <w:color w:val="000000" w:themeColor="text1"/>
                <w:sz w:val="18"/>
                <w:szCs w:val="18"/>
                <w:lang w:val="es-ES"/>
              </w:rPr>
              <w:t xml:space="preserve"> Humanos d</w:t>
            </w:r>
            <w:r w:rsidR="00915936"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w:t>
            </w:r>
            <w:r w:rsidR="00F154A0" w:rsidRPr="004768D0">
              <w:rPr>
                <w:rFonts w:asciiTheme="majorHAnsi" w:hAnsiTheme="majorHAnsi"/>
                <w:bCs/>
                <w:color w:val="000000" w:themeColor="text1"/>
                <w:sz w:val="18"/>
                <w:szCs w:val="18"/>
                <w:lang w:val="es-ES"/>
              </w:rPr>
              <w:t>Ministerio</w:t>
            </w:r>
            <w:r w:rsidRPr="004768D0">
              <w:rPr>
                <w:rFonts w:asciiTheme="majorHAnsi" w:hAnsiTheme="majorHAnsi"/>
                <w:bCs/>
                <w:color w:val="000000" w:themeColor="text1"/>
                <w:sz w:val="18"/>
                <w:szCs w:val="18"/>
                <w:lang w:val="es-ES"/>
              </w:rPr>
              <w:t xml:space="preserve"> Público </w:t>
            </w:r>
            <w:r w:rsidR="0000579C" w:rsidRPr="0000579C">
              <w:rPr>
                <w:rFonts w:asciiTheme="majorHAnsi" w:hAnsiTheme="majorHAnsi"/>
                <w:bCs/>
                <w:color w:val="000000" w:themeColor="text1"/>
                <w:sz w:val="18"/>
                <w:szCs w:val="18"/>
                <w:lang w:val="es-ES"/>
              </w:rPr>
              <w:t>de</w:t>
            </w:r>
            <w:r w:rsidR="0000579C">
              <w:rPr>
                <w:rFonts w:asciiTheme="majorHAnsi" w:hAnsiTheme="majorHAnsi"/>
                <w:bCs/>
                <w:color w:val="000000" w:themeColor="text1"/>
                <w:sz w:val="18"/>
                <w:szCs w:val="18"/>
                <w:lang w:val="es-ES"/>
              </w:rPr>
              <w:t>l estado de</w:t>
            </w:r>
            <w:r w:rsidR="0000579C" w:rsidRPr="0000579C">
              <w:rPr>
                <w:rFonts w:asciiTheme="majorHAnsi" w:hAnsiTheme="majorHAnsi"/>
                <w:bCs/>
                <w:color w:val="000000" w:themeColor="text1"/>
                <w:sz w:val="18"/>
                <w:szCs w:val="18"/>
                <w:lang w:val="es-ES"/>
              </w:rPr>
              <w:t xml:space="preserve"> São Paulo</w:t>
            </w:r>
            <w:r w:rsidR="0000579C">
              <w:rPr>
                <w:rFonts w:asciiTheme="majorHAnsi" w:hAnsiTheme="majorHAnsi"/>
                <w:bCs/>
                <w:color w:val="000000" w:themeColor="text1"/>
                <w:sz w:val="18"/>
                <w:szCs w:val="18"/>
                <w:lang w:val="es-ES"/>
              </w:rPr>
              <w:t xml:space="preserve"> </w:t>
            </w:r>
            <w:r w:rsidR="00915936" w:rsidRPr="004768D0">
              <w:rPr>
                <w:rFonts w:asciiTheme="majorHAnsi" w:hAnsiTheme="majorHAnsi"/>
                <w:bCs/>
                <w:color w:val="000000" w:themeColor="text1"/>
                <w:sz w:val="18"/>
                <w:szCs w:val="18"/>
                <w:lang w:val="es-ES"/>
              </w:rPr>
              <w:t xml:space="preserve">entabló la acción </w:t>
            </w:r>
            <w:r w:rsidRPr="004768D0">
              <w:rPr>
                <w:rFonts w:asciiTheme="majorHAnsi" w:hAnsiTheme="majorHAnsi"/>
                <w:bCs/>
                <w:color w:val="000000" w:themeColor="text1"/>
                <w:sz w:val="18"/>
                <w:szCs w:val="18"/>
                <w:lang w:val="es-ES"/>
              </w:rPr>
              <w:t xml:space="preserve">civil pública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Pr="004768D0">
              <w:rPr>
                <w:rFonts w:asciiTheme="majorHAnsi" w:hAnsiTheme="majorHAnsi"/>
                <w:bCs/>
                <w:color w:val="000000" w:themeColor="text1"/>
                <w:sz w:val="18"/>
                <w:szCs w:val="18"/>
                <w:lang w:val="es-ES"/>
              </w:rPr>
              <w:t xml:space="preserve"> 1062551-10.2018.8.26.0053</w:t>
            </w:r>
            <w:r w:rsidR="00915936" w:rsidRPr="004768D0">
              <w:rPr>
                <w:rFonts w:asciiTheme="majorHAnsi" w:hAnsiTheme="majorHAnsi"/>
                <w:bCs/>
                <w:color w:val="000000" w:themeColor="text1"/>
                <w:sz w:val="18"/>
                <w:szCs w:val="18"/>
                <w:lang w:val="es-ES"/>
              </w:rPr>
              <w:t xml:space="preserve"> contra la Hacienda </w:t>
            </w:r>
            <w:r w:rsidRPr="004768D0">
              <w:rPr>
                <w:rFonts w:asciiTheme="majorHAnsi" w:hAnsiTheme="majorHAnsi"/>
                <w:bCs/>
                <w:color w:val="000000" w:themeColor="text1"/>
                <w:sz w:val="18"/>
                <w:szCs w:val="18"/>
                <w:lang w:val="es-ES"/>
              </w:rPr>
              <w:t xml:space="preserve">Pública </w:t>
            </w:r>
            <w:r w:rsidR="007F4608" w:rsidRPr="004768D0">
              <w:rPr>
                <w:rFonts w:asciiTheme="majorHAnsi" w:hAnsiTheme="majorHAnsi"/>
                <w:bCs/>
                <w:color w:val="000000" w:themeColor="text1"/>
                <w:sz w:val="18"/>
                <w:szCs w:val="18"/>
                <w:lang w:val="es-ES"/>
              </w:rPr>
              <w:t>de</w:t>
            </w:r>
            <w:r w:rsidR="0000579C">
              <w:rPr>
                <w:rFonts w:asciiTheme="majorHAnsi" w:hAnsiTheme="majorHAnsi"/>
                <w:bCs/>
                <w:color w:val="000000" w:themeColor="text1"/>
                <w:sz w:val="18"/>
                <w:szCs w:val="18"/>
                <w:lang w:val="es-ES"/>
              </w:rPr>
              <w:t xml:space="preserve"> dicho</w:t>
            </w:r>
            <w:r w:rsidR="007F4608" w:rsidRPr="004768D0">
              <w:rPr>
                <w:rFonts w:asciiTheme="majorHAnsi" w:hAnsiTheme="majorHAnsi"/>
                <w:bCs/>
                <w:color w:val="000000" w:themeColor="text1"/>
                <w:sz w:val="18"/>
                <w:szCs w:val="18"/>
                <w:lang w:val="es-ES"/>
              </w:rPr>
              <w:t xml:space="preserve"> </w:t>
            </w:r>
            <w:r w:rsidR="0000579C">
              <w:rPr>
                <w:rFonts w:asciiTheme="majorHAnsi" w:hAnsiTheme="majorHAnsi"/>
                <w:bCs/>
                <w:color w:val="000000" w:themeColor="text1"/>
                <w:sz w:val="18"/>
                <w:szCs w:val="18"/>
                <w:lang w:val="es-ES"/>
              </w:rPr>
              <w:t>estado</w:t>
            </w:r>
            <w:r w:rsidRPr="004768D0">
              <w:rPr>
                <w:rFonts w:asciiTheme="majorHAnsi" w:hAnsiTheme="majorHAnsi"/>
                <w:bCs/>
                <w:color w:val="000000" w:themeColor="text1"/>
                <w:sz w:val="18"/>
                <w:szCs w:val="18"/>
                <w:lang w:val="es-ES"/>
              </w:rPr>
              <w:t xml:space="preserve"> para </w:t>
            </w:r>
            <w:r w:rsidR="00915936" w:rsidRPr="004768D0">
              <w:rPr>
                <w:rFonts w:asciiTheme="majorHAnsi" w:hAnsiTheme="majorHAnsi"/>
                <w:bCs/>
                <w:color w:val="000000" w:themeColor="text1"/>
                <w:sz w:val="18"/>
                <w:szCs w:val="18"/>
                <w:lang w:val="es-ES"/>
              </w:rPr>
              <w:t>pedir</w:t>
            </w:r>
            <w:r w:rsidRPr="004768D0">
              <w:rPr>
                <w:rFonts w:asciiTheme="majorHAnsi" w:hAnsiTheme="majorHAnsi"/>
                <w:bCs/>
                <w:color w:val="000000" w:themeColor="text1"/>
                <w:sz w:val="18"/>
                <w:szCs w:val="18"/>
                <w:lang w:val="es-ES"/>
              </w:rPr>
              <w:t xml:space="preserve">: </w:t>
            </w:r>
          </w:p>
          <w:p w14:paraId="09B9F436" w14:textId="77777777" w:rsidR="00654B53" w:rsidRPr="004768D0"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i) </w:t>
            </w:r>
            <w:r w:rsidR="00915936" w:rsidRPr="004768D0">
              <w:rPr>
                <w:rFonts w:asciiTheme="majorHAnsi" w:hAnsiTheme="majorHAnsi"/>
                <w:bCs/>
                <w:color w:val="000000" w:themeColor="text1"/>
                <w:sz w:val="18"/>
                <w:szCs w:val="18"/>
                <w:lang w:val="es-ES"/>
              </w:rPr>
              <w:t xml:space="preserve">que se </w:t>
            </w:r>
            <w:r w:rsidRPr="004768D0">
              <w:rPr>
                <w:rFonts w:asciiTheme="majorHAnsi" w:hAnsiTheme="majorHAnsi"/>
                <w:bCs/>
                <w:color w:val="000000" w:themeColor="text1"/>
                <w:sz w:val="18"/>
                <w:szCs w:val="18"/>
                <w:lang w:val="es-ES"/>
              </w:rPr>
              <w:t>condena</w:t>
            </w:r>
            <w:r w:rsidR="00915936" w:rsidRPr="004768D0">
              <w:rPr>
                <w:rFonts w:asciiTheme="majorHAnsi" w:hAnsiTheme="majorHAnsi"/>
                <w:bCs/>
                <w:color w:val="000000" w:themeColor="text1"/>
                <w:sz w:val="18"/>
                <w:szCs w:val="18"/>
                <w:lang w:val="es-ES"/>
              </w:rPr>
              <w:t>ra a</w:t>
            </w:r>
            <w:r w:rsidR="007F4608" w:rsidRPr="004768D0">
              <w:rPr>
                <w:rFonts w:asciiTheme="majorHAnsi" w:hAnsiTheme="majorHAnsi"/>
                <w:bCs/>
                <w:color w:val="000000" w:themeColor="text1"/>
                <w:sz w:val="18"/>
                <w:szCs w:val="18"/>
                <w:lang w:val="es-ES"/>
              </w:rPr>
              <w:t xml:space="preserve">l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a paga</w:t>
            </w:r>
            <w:r w:rsidR="00915936" w:rsidRPr="004768D0">
              <w:rPr>
                <w:rFonts w:asciiTheme="majorHAnsi" w:hAnsiTheme="majorHAnsi"/>
                <w:bCs/>
                <w:color w:val="000000" w:themeColor="text1"/>
                <w:sz w:val="18"/>
                <w:szCs w:val="18"/>
                <w:lang w:val="es-ES"/>
              </w:rPr>
              <w:t xml:space="preserve">r indemnización por daños materiales </w:t>
            </w:r>
            <w:r w:rsidRPr="004768D0">
              <w:rPr>
                <w:rFonts w:asciiTheme="majorHAnsi" w:hAnsiTheme="majorHAnsi"/>
                <w:bCs/>
                <w:color w:val="000000" w:themeColor="text1"/>
                <w:sz w:val="18"/>
                <w:szCs w:val="18"/>
                <w:lang w:val="es-ES"/>
              </w:rPr>
              <w:t>causados a</w:t>
            </w:r>
            <w:r w:rsidR="00915936" w:rsidRPr="004768D0">
              <w:rPr>
                <w:rFonts w:asciiTheme="majorHAnsi" w:hAnsiTheme="majorHAnsi"/>
                <w:bCs/>
                <w:color w:val="000000" w:themeColor="text1"/>
                <w:sz w:val="18"/>
                <w:szCs w:val="18"/>
                <w:lang w:val="es-ES"/>
              </w:rPr>
              <w:t xml:space="preserve"> lo</w:t>
            </w:r>
            <w:r w:rsidRPr="004768D0">
              <w:rPr>
                <w:rFonts w:asciiTheme="majorHAnsi" w:hAnsiTheme="majorHAnsi"/>
                <w:bCs/>
                <w:color w:val="000000" w:themeColor="text1"/>
                <w:sz w:val="18"/>
                <w:szCs w:val="18"/>
                <w:lang w:val="es-ES"/>
              </w:rPr>
              <w:t>s familiares d</w:t>
            </w:r>
            <w:r w:rsidR="00915936" w:rsidRPr="004768D0">
              <w:rPr>
                <w:rFonts w:asciiTheme="majorHAnsi" w:hAnsiTheme="majorHAnsi"/>
                <w:bCs/>
                <w:color w:val="000000" w:themeColor="text1"/>
                <w:sz w:val="18"/>
                <w:szCs w:val="18"/>
                <w:lang w:val="es-ES"/>
              </w:rPr>
              <w:t>e las</w:t>
            </w:r>
            <w:r w:rsidRPr="004768D0">
              <w:rPr>
                <w:rFonts w:asciiTheme="majorHAnsi" w:hAnsiTheme="majorHAnsi"/>
                <w:bCs/>
                <w:color w:val="000000" w:themeColor="text1"/>
                <w:sz w:val="18"/>
                <w:szCs w:val="18"/>
                <w:lang w:val="es-ES"/>
              </w:rPr>
              <w:t xml:space="preserve"> </w:t>
            </w:r>
            <w:r w:rsidR="00000CF9" w:rsidRPr="004768D0">
              <w:rPr>
                <w:rFonts w:asciiTheme="majorHAnsi" w:hAnsiTheme="majorHAnsi"/>
                <w:bCs/>
                <w:color w:val="000000" w:themeColor="text1"/>
                <w:sz w:val="18"/>
                <w:szCs w:val="18"/>
                <w:lang w:val="es-ES"/>
              </w:rPr>
              <w:t>víctimas</w:t>
            </w:r>
            <w:r w:rsidR="00915936" w:rsidRPr="004768D0">
              <w:rPr>
                <w:rFonts w:asciiTheme="majorHAnsi" w:hAnsiTheme="majorHAnsi"/>
                <w:bCs/>
                <w:color w:val="000000" w:themeColor="text1"/>
                <w:sz w:val="18"/>
                <w:szCs w:val="18"/>
                <w:lang w:val="es-ES"/>
              </w:rPr>
              <w:t xml:space="preserve"> —como gastos de funerales; tratamiento </w:t>
            </w:r>
            <w:r w:rsidRPr="004768D0">
              <w:rPr>
                <w:rFonts w:asciiTheme="majorHAnsi" w:hAnsiTheme="majorHAnsi"/>
                <w:bCs/>
                <w:color w:val="000000" w:themeColor="text1"/>
                <w:sz w:val="18"/>
                <w:szCs w:val="18"/>
                <w:lang w:val="es-ES"/>
              </w:rPr>
              <w:t>médico, hospitalar</w:t>
            </w:r>
            <w:r w:rsidR="00915936" w:rsidRPr="004768D0">
              <w:rPr>
                <w:rFonts w:asciiTheme="majorHAnsi" w:hAnsiTheme="majorHAnsi"/>
                <w:bCs/>
                <w:color w:val="000000" w:themeColor="text1"/>
                <w:sz w:val="18"/>
                <w:szCs w:val="18"/>
                <w:lang w:val="es-ES"/>
              </w:rPr>
              <w:t xml:space="preserve">io y </w:t>
            </w:r>
            <w:r w:rsidRPr="004768D0">
              <w:rPr>
                <w:rFonts w:asciiTheme="majorHAnsi" w:hAnsiTheme="majorHAnsi"/>
                <w:bCs/>
                <w:color w:val="000000" w:themeColor="text1"/>
                <w:sz w:val="18"/>
                <w:szCs w:val="18"/>
                <w:lang w:val="es-ES"/>
              </w:rPr>
              <w:t>psicológico</w:t>
            </w:r>
            <w:r w:rsidR="00915936"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medicamentos </w:t>
            </w:r>
            <w:r w:rsidR="00915936"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lucro cesante</w:t>
            </w:r>
            <w:r w:rsidR="00915936" w:rsidRPr="004768D0">
              <w:rPr>
                <w:rFonts w:asciiTheme="majorHAnsi" w:hAnsiTheme="majorHAnsi"/>
                <w:bCs/>
                <w:color w:val="000000" w:themeColor="text1"/>
                <w:sz w:val="18"/>
                <w:szCs w:val="18"/>
                <w:lang w:val="es-ES"/>
              </w:rPr>
              <w:t xml:space="preserve">— </w:t>
            </w:r>
            <w:r w:rsidRPr="004768D0">
              <w:rPr>
                <w:rFonts w:asciiTheme="majorHAnsi" w:hAnsiTheme="majorHAnsi"/>
                <w:bCs/>
                <w:color w:val="000000" w:themeColor="text1"/>
                <w:sz w:val="18"/>
                <w:szCs w:val="18"/>
                <w:lang w:val="es-ES"/>
              </w:rPr>
              <w:t>mediante habilita</w:t>
            </w:r>
            <w:r w:rsidR="00915936" w:rsidRPr="004768D0">
              <w:rPr>
                <w:rFonts w:asciiTheme="majorHAnsi" w:hAnsiTheme="majorHAnsi"/>
                <w:bCs/>
                <w:color w:val="000000" w:themeColor="text1"/>
                <w:sz w:val="18"/>
                <w:szCs w:val="18"/>
                <w:lang w:val="es-ES"/>
              </w:rPr>
              <w:t>ción</w:t>
            </w:r>
            <w:r w:rsidRPr="004768D0">
              <w:rPr>
                <w:rFonts w:asciiTheme="majorHAnsi" w:hAnsiTheme="majorHAnsi"/>
                <w:bCs/>
                <w:color w:val="000000" w:themeColor="text1"/>
                <w:sz w:val="18"/>
                <w:szCs w:val="18"/>
                <w:lang w:val="es-ES"/>
              </w:rPr>
              <w:t xml:space="preserve"> individual; </w:t>
            </w:r>
          </w:p>
          <w:p w14:paraId="3DDA7C95" w14:textId="77777777" w:rsidR="00654B53" w:rsidRPr="004768D0"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ii) </w:t>
            </w:r>
            <w:r w:rsidR="00915936" w:rsidRPr="004768D0">
              <w:rPr>
                <w:rFonts w:asciiTheme="majorHAnsi" w:hAnsiTheme="majorHAnsi"/>
                <w:bCs/>
                <w:color w:val="000000" w:themeColor="text1"/>
                <w:sz w:val="18"/>
                <w:szCs w:val="18"/>
                <w:lang w:val="es-ES"/>
              </w:rPr>
              <w:t>que se condenara al</w:t>
            </w:r>
            <w:r w:rsidR="007F4608" w:rsidRPr="004768D0">
              <w:rPr>
                <w:rFonts w:asciiTheme="majorHAnsi" w:hAnsiTheme="majorHAnsi"/>
                <w:bCs/>
                <w:color w:val="000000" w:themeColor="text1"/>
                <w:sz w:val="18"/>
                <w:szCs w:val="18"/>
                <w:lang w:val="es-ES"/>
              </w:rPr>
              <w:t xml:space="preserve">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w:t>
            </w:r>
            <w:r w:rsidR="00915936" w:rsidRPr="004768D0">
              <w:rPr>
                <w:rFonts w:asciiTheme="majorHAnsi" w:hAnsiTheme="majorHAnsi"/>
                <w:bCs/>
                <w:color w:val="000000" w:themeColor="text1"/>
                <w:sz w:val="18"/>
                <w:szCs w:val="18"/>
                <w:lang w:val="es-ES"/>
              </w:rPr>
              <w:t>a pagar indemnización por daños</w:t>
            </w:r>
            <w:r w:rsidRPr="004768D0">
              <w:rPr>
                <w:rFonts w:asciiTheme="majorHAnsi" w:hAnsiTheme="majorHAnsi"/>
                <w:bCs/>
                <w:color w:val="000000" w:themeColor="text1"/>
                <w:sz w:val="18"/>
                <w:szCs w:val="18"/>
                <w:lang w:val="es-ES"/>
              </w:rPr>
              <w:t xml:space="preserve"> mora</w:t>
            </w:r>
            <w:r w:rsidR="00915936" w:rsidRPr="004768D0">
              <w:rPr>
                <w:rFonts w:asciiTheme="majorHAnsi" w:hAnsiTheme="majorHAnsi"/>
                <w:bCs/>
                <w:color w:val="000000" w:themeColor="text1"/>
                <w:sz w:val="18"/>
                <w:szCs w:val="18"/>
                <w:lang w:val="es-ES"/>
              </w:rPr>
              <w:t>le</w:t>
            </w:r>
            <w:r w:rsidRPr="004768D0">
              <w:rPr>
                <w:rFonts w:asciiTheme="majorHAnsi" w:hAnsiTheme="majorHAnsi"/>
                <w:bCs/>
                <w:color w:val="000000" w:themeColor="text1"/>
                <w:sz w:val="18"/>
                <w:szCs w:val="18"/>
                <w:lang w:val="es-ES"/>
              </w:rPr>
              <w:t xml:space="preserve">s </w:t>
            </w:r>
            <w:r w:rsidR="00882F67" w:rsidRPr="004768D0">
              <w:rPr>
                <w:rFonts w:asciiTheme="majorHAnsi" w:hAnsiTheme="majorHAnsi"/>
                <w:bCs/>
                <w:color w:val="000000" w:themeColor="text1"/>
                <w:sz w:val="18"/>
                <w:szCs w:val="18"/>
                <w:lang w:val="es-ES"/>
              </w:rPr>
              <w:t>individuales</w:t>
            </w:r>
            <w:r w:rsidRPr="004768D0">
              <w:rPr>
                <w:rFonts w:asciiTheme="majorHAnsi" w:hAnsiTheme="majorHAnsi"/>
                <w:bCs/>
                <w:color w:val="000000" w:themeColor="text1"/>
                <w:sz w:val="18"/>
                <w:szCs w:val="18"/>
                <w:lang w:val="es-ES"/>
              </w:rPr>
              <w:t xml:space="preserve"> causados, mediante </w:t>
            </w:r>
            <w:r w:rsidR="00915936" w:rsidRPr="004768D0">
              <w:rPr>
                <w:rFonts w:asciiTheme="majorHAnsi" w:hAnsiTheme="majorHAnsi"/>
                <w:bCs/>
                <w:color w:val="000000" w:themeColor="text1"/>
                <w:sz w:val="18"/>
                <w:szCs w:val="18"/>
                <w:lang w:val="es-ES"/>
              </w:rPr>
              <w:t>habilitación</w:t>
            </w:r>
            <w:r w:rsidRPr="004768D0">
              <w:rPr>
                <w:rFonts w:asciiTheme="majorHAnsi" w:hAnsiTheme="majorHAnsi"/>
                <w:bCs/>
                <w:color w:val="000000" w:themeColor="text1"/>
                <w:sz w:val="18"/>
                <w:szCs w:val="18"/>
                <w:lang w:val="es-ES"/>
              </w:rPr>
              <w:t xml:space="preserve"> individual, </w:t>
            </w:r>
            <w:r w:rsidR="00915936" w:rsidRPr="004768D0">
              <w:rPr>
                <w:rFonts w:asciiTheme="majorHAnsi" w:hAnsiTheme="majorHAnsi"/>
                <w:bCs/>
                <w:color w:val="000000" w:themeColor="text1"/>
                <w:sz w:val="18"/>
                <w:szCs w:val="18"/>
                <w:lang w:val="es-ES"/>
              </w:rPr>
              <w:t xml:space="preserve">por </w:t>
            </w:r>
            <w:r w:rsidRPr="004768D0">
              <w:rPr>
                <w:rFonts w:asciiTheme="majorHAnsi" w:hAnsiTheme="majorHAnsi"/>
                <w:bCs/>
                <w:color w:val="000000" w:themeColor="text1"/>
                <w:sz w:val="18"/>
                <w:szCs w:val="18"/>
                <w:lang w:val="es-ES"/>
              </w:rPr>
              <w:t xml:space="preserve">valor de R$136.150,00 </w:t>
            </w:r>
            <w:r w:rsidR="00915936" w:rsidRPr="004768D0">
              <w:rPr>
                <w:rFonts w:asciiTheme="majorHAnsi" w:hAnsiTheme="majorHAnsi"/>
                <w:bCs/>
                <w:color w:val="000000" w:themeColor="text1"/>
                <w:sz w:val="18"/>
                <w:szCs w:val="18"/>
                <w:lang w:val="es-ES"/>
              </w:rPr>
              <w:t>a l</w:t>
            </w:r>
            <w:r w:rsidRPr="004768D0">
              <w:rPr>
                <w:rFonts w:asciiTheme="majorHAnsi" w:hAnsiTheme="majorHAnsi"/>
                <w:bCs/>
                <w:color w:val="000000" w:themeColor="text1"/>
                <w:sz w:val="18"/>
                <w:szCs w:val="18"/>
                <w:lang w:val="es-ES"/>
              </w:rPr>
              <w:t>os familiares d</w:t>
            </w:r>
            <w:r w:rsidR="00915936"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as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fa</w:t>
            </w:r>
            <w:r w:rsidR="00915936" w:rsidRPr="004768D0">
              <w:rPr>
                <w:rFonts w:asciiTheme="majorHAnsi" w:hAnsiTheme="majorHAnsi"/>
                <w:bCs/>
                <w:color w:val="000000" w:themeColor="text1"/>
                <w:sz w:val="18"/>
                <w:szCs w:val="18"/>
                <w:lang w:val="es-ES"/>
              </w:rPr>
              <w:t>llecidas y</w:t>
            </w:r>
            <w:r w:rsidRPr="004768D0">
              <w:rPr>
                <w:rFonts w:asciiTheme="majorHAnsi" w:hAnsiTheme="majorHAnsi"/>
                <w:bCs/>
                <w:color w:val="000000" w:themeColor="text1"/>
                <w:sz w:val="18"/>
                <w:szCs w:val="18"/>
                <w:lang w:val="es-ES"/>
              </w:rPr>
              <w:t xml:space="preserve"> de R$68.075,00 </w:t>
            </w:r>
            <w:r w:rsidR="00915936" w:rsidRPr="004768D0">
              <w:rPr>
                <w:rFonts w:asciiTheme="majorHAnsi" w:hAnsiTheme="majorHAnsi"/>
                <w:bCs/>
                <w:color w:val="000000" w:themeColor="text1"/>
                <w:sz w:val="18"/>
                <w:szCs w:val="18"/>
                <w:lang w:val="es-ES"/>
              </w:rPr>
              <w:t>a l</w:t>
            </w:r>
            <w:r w:rsidRPr="004768D0">
              <w:rPr>
                <w:rFonts w:asciiTheme="majorHAnsi" w:hAnsiTheme="majorHAnsi"/>
                <w:bCs/>
                <w:color w:val="000000" w:themeColor="text1"/>
                <w:sz w:val="18"/>
                <w:szCs w:val="18"/>
                <w:lang w:val="es-ES"/>
              </w:rPr>
              <w:t xml:space="preserve">as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w:t>
            </w:r>
            <w:r w:rsidR="00915936" w:rsidRPr="004768D0">
              <w:rPr>
                <w:rFonts w:asciiTheme="majorHAnsi" w:hAnsiTheme="majorHAnsi"/>
                <w:bCs/>
                <w:color w:val="000000" w:themeColor="text1"/>
                <w:sz w:val="18"/>
                <w:szCs w:val="18"/>
                <w:lang w:val="es-ES"/>
              </w:rPr>
              <w:t>sobrevivientes;</w:t>
            </w:r>
            <w:r w:rsidRPr="004768D0">
              <w:rPr>
                <w:rFonts w:asciiTheme="majorHAnsi" w:hAnsiTheme="majorHAnsi"/>
                <w:bCs/>
                <w:color w:val="000000" w:themeColor="text1"/>
                <w:sz w:val="18"/>
                <w:szCs w:val="18"/>
                <w:lang w:val="es-ES"/>
              </w:rPr>
              <w:t xml:space="preserve"> </w:t>
            </w:r>
          </w:p>
          <w:p w14:paraId="01EA261E" w14:textId="77777777" w:rsidR="00654B53" w:rsidRPr="004768D0"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iii) </w:t>
            </w:r>
            <w:r w:rsidR="00915936" w:rsidRPr="004768D0">
              <w:rPr>
                <w:rFonts w:asciiTheme="majorHAnsi" w:hAnsiTheme="majorHAnsi"/>
                <w:bCs/>
                <w:color w:val="000000" w:themeColor="text1"/>
                <w:sz w:val="18"/>
                <w:szCs w:val="18"/>
                <w:lang w:val="es-ES"/>
              </w:rPr>
              <w:t>que se condenara al</w:t>
            </w:r>
            <w:r w:rsidR="007F4608" w:rsidRPr="004768D0">
              <w:rPr>
                <w:rFonts w:asciiTheme="majorHAnsi" w:hAnsiTheme="majorHAnsi"/>
                <w:bCs/>
                <w:color w:val="000000" w:themeColor="text1"/>
                <w:sz w:val="18"/>
                <w:szCs w:val="18"/>
                <w:lang w:val="es-ES"/>
              </w:rPr>
              <w:t xml:space="preserve">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w:t>
            </w:r>
            <w:r w:rsidR="00915936" w:rsidRPr="004768D0">
              <w:rPr>
                <w:rFonts w:asciiTheme="majorHAnsi" w:hAnsiTheme="majorHAnsi"/>
                <w:bCs/>
                <w:color w:val="000000" w:themeColor="text1"/>
                <w:sz w:val="18"/>
                <w:szCs w:val="18"/>
                <w:lang w:val="es-ES"/>
              </w:rPr>
              <w:t>a pagar indemnización por daños</w:t>
            </w:r>
            <w:r w:rsidRPr="004768D0">
              <w:rPr>
                <w:rFonts w:asciiTheme="majorHAnsi" w:hAnsiTheme="majorHAnsi"/>
                <w:bCs/>
                <w:color w:val="000000" w:themeColor="text1"/>
                <w:sz w:val="18"/>
                <w:szCs w:val="18"/>
                <w:lang w:val="es-ES"/>
              </w:rPr>
              <w:t xml:space="preserve"> socia</w:t>
            </w:r>
            <w:r w:rsidR="00915936" w:rsidRPr="004768D0">
              <w:rPr>
                <w:rFonts w:asciiTheme="majorHAnsi" w:hAnsiTheme="majorHAnsi"/>
                <w:bCs/>
                <w:color w:val="000000" w:themeColor="text1"/>
                <w:sz w:val="18"/>
                <w:szCs w:val="18"/>
                <w:lang w:val="es-ES"/>
              </w:rPr>
              <w:t>le</w:t>
            </w:r>
            <w:r w:rsidRPr="004768D0">
              <w:rPr>
                <w:rFonts w:asciiTheme="majorHAnsi" w:hAnsiTheme="majorHAnsi"/>
                <w:bCs/>
                <w:color w:val="000000" w:themeColor="text1"/>
                <w:sz w:val="18"/>
                <w:szCs w:val="18"/>
                <w:lang w:val="es-ES"/>
              </w:rPr>
              <w:t xml:space="preserve">s (difusos) </w:t>
            </w:r>
            <w:r w:rsidR="00915936" w:rsidRPr="004768D0">
              <w:rPr>
                <w:rFonts w:asciiTheme="majorHAnsi" w:hAnsiTheme="majorHAnsi"/>
                <w:bCs/>
                <w:color w:val="000000" w:themeColor="text1"/>
                <w:sz w:val="18"/>
                <w:szCs w:val="18"/>
                <w:lang w:val="es-ES"/>
              </w:rPr>
              <w:t xml:space="preserve">por </w:t>
            </w:r>
            <w:r w:rsidRPr="004768D0">
              <w:rPr>
                <w:rFonts w:asciiTheme="majorHAnsi" w:hAnsiTheme="majorHAnsi"/>
                <w:bCs/>
                <w:color w:val="000000" w:themeColor="text1"/>
                <w:sz w:val="18"/>
                <w:szCs w:val="18"/>
                <w:lang w:val="es-ES"/>
              </w:rPr>
              <w:t>valor de R$76.788.600,00</w:t>
            </w:r>
            <w:r w:rsidR="00915936" w:rsidRPr="004768D0">
              <w:rPr>
                <w:rFonts w:asciiTheme="majorHAnsi" w:hAnsiTheme="majorHAnsi"/>
                <w:bCs/>
                <w:color w:val="000000" w:themeColor="text1"/>
                <w:sz w:val="18"/>
                <w:szCs w:val="18"/>
                <w:lang w:val="es-ES"/>
              </w:rPr>
              <w:t xml:space="preserve">, </w:t>
            </w:r>
            <w:r w:rsidR="005912C9">
              <w:rPr>
                <w:rFonts w:asciiTheme="majorHAnsi" w:hAnsiTheme="majorHAnsi"/>
                <w:bCs/>
                <w:color w:val="000000" w:themeColor="text1"/>
                <w:sz w:val="18"/>
                <w:szCs w:val="18"/>
                <w:lang w:val="es-ES"/>
              </w:rPr>
              <w:t xml:space="preserve">suma </w:t>
            </w:r>
            <w:r w:rsidR="00915936" w:rsidRPr="004768D0">
              <w:rPr>
                <w:rFonts w:asciiTheme="majorHAnsi" w:hAnsiTheme="majorHAnsi"/>
                <w:bCs/>
                <w:color w:val="000000" w:themeColor="text1"/>
                <w:sz w:val="18"/>
                <w:szCs w:val="18"/>
                <w:lang w:val="es-ES"/>
              </w:rPr>
              <w:t>que deb</w:t>
            </w:r>
            <w:r w:rsidR="005912C9">
              <w:rPr>
                <w:rFonts w:asciiTheme="majorHAnsi" w:hAnsiTheme="majorHAnsi"/>
                <w:bCs/>
                <w:color w:val="000000" w:themeColor="text1"/>
                <w:sz w:val="18"/>
                <w:szCs w:val="18"/>
                <w:lang w:val="es-ES"/>
              </w:rPr>
              <w:t>ía</w:t>
            </w:r>
            <w:r w:rsidR="00915936" w:rsidRPr="004768D0">
              <w:rPr>
                <w:rFonts w:asciiTheme="majorHAnsi" w:hAnsiTheme="majorHAnsi"/>
                <w:bCs/>
                <w:color w:val="000000" w:themeColor="text1"/>
                <w:sz w:val="18"/>
                <w:szCs w:val="18"/>
                <w:lang w:val="es-ES"/>
              </w:rPr>
              <w:t xml:space="preserve"> destinarse al </w:t>
            </w:r>
            <w:r w:rsidRPr="004768D0">
              <w:rPr>
                <w:rFonts w:asciiTheme="majorHAnsi" w:hAnsiTheme="majorHAnsi"/>
                <w:bCs/>
                <w:color w:val="000000" w:themeColor="text1"/>
                <w:sz w:val="18"/>
                <w:szCs w:val="18"/>
                <w:lang w:val="es-ES"/>
              </w:rPr>
              <w:t>F</w:t>
            </w:r>
            <w:r w:rsidR="00915936" w:rsidRPr="004768D0">
              <w:rPr>
                <w:rFonts w:asciiTheme="majorHAnsi" w:hAnsiTheme="majorHAnsi"/>
                <w:bCs/>
                <w:color w:val="000000" w:themeColor="text1"/>
                <w:sz w:val="18"/>
                <w:szCs w:val="18"/>
                <w:lang w:val="es-ES"/>
              </w:rPr>
              <w:t>o</w:t>
            </w:r>
            <w:r w:rsidRPr="004768D0">
              <w:rPr>
                <w:rFonts w:asciiTheme="majorHAnsi" w:hAnsiTheme="majorHAnsi"/>
                <w:bCs/>
                <w:color w:val="000000" w:themeColor="text1"/>
                <w:sz w:val="18"/>
                <w:szCs w:val="18"/>
                <w:lang w:val="es-ES"/>
              </w:rPr>
              <w:t>ndo Esta</w:t>
            </w:r>
            <w:r w:rsidR="00915936" w:rsidRPr="004768D0">
              <w:rPr>
                <w:rFonts w:asciiTheme="majorHAnsi" w:hAnsiTheme="majorHAnsi"/>
                <w:bCs/>
                <w:color w:val="000000" w:themeColor="text1"/>
                <w:sz w:val="18"/>
                <w:szCs w:val="18"/>
                <w:lang w:val="es-ES"/>
              </w:rPr>
              <w:t>t</w:t>
            </w:r>
            <w:r w:rsidRPr="004768D0">
              <w:rPr>
                <w:rFonts w:asciiTheme="majorHAnsi" w:hAnsiTheme="majorHAnsi"/>
                <w:bCs/>
                <w:color w:val="000000" w:themeColor="text1"/>
                <w:sz w:val="18"/>
                <w:szCs w:val="18"/>
                <w:lang w:val="es-ES"/>
              </w:rPr>
              <w:t xml:space="preserve">al de </w:t>
            </w:r>
            <w:r w:rsidRPr="004768D0">
              <w:rPr>
                <w:rFonts w:asciiTheme="majorHAnsi" w:hAnsiTheme="majorHAnsi"/>
                <w:bCs/>
                <w:color w:val="000000" w:themeColor="text1"/>
                <w:sz w:val="18"/>
                <w:szCs w:val="18"/>
                <w:lang w:val="es-ES"/>
              </w:rPr>
              <w:lastRenderedPageBreak/>
              <w:t>Repara</w:t>
            </w:r>
            <w:r w:rsidR="00915936" w:rsidRPr="004768D0">
              <w:rPr>
                <w:rFonts w:asciiTheme="majorHAnsi" w:hAnsiTheme="majorHAnsi"/>
                <w:bCs/>
                <w:color w:val="000000" w:themeColor="text1"/>
                <w:sz w:val="18"/>
                <w:szCs w:val="18"/>
                <w:lang w:val="es-ES"/>
              </w:rPr>
              <w:t xml:space="preserve">ción de los </w:t>
            </w:r>
            <w:r w:rsidRPr="004768D0">
              <w:rPr>
                <w:rFonts w:asciiTheme="majorHAnsi" w:hAnsiTheme="majorHAnsi"/>
                <w:bCs/>
                <w:color w:val="000000" w:themeColor="text1"/>
                <w:sz w:val="18"/>
                <w:szCs w:val="18"/>
                <w:lang w:val="es-ES"/>
              </w:rPr>
              <w:t xml:space="preserve">Intereses Difusos </w:t>
            </w:r>
            <w:r w:rsidR="00915936"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w:t>
            </w:r>
            <w:r w:rsidR="00915936" w:rsidRPr="004768D0">
              <w:rPr>
                <w:rFonts w:asciiTheme="majorHAnsi" w:hAnsiTheme="majorHAnsi"/>
                <w:bCs/>
                <w:color w:val="000000" w:themeColor="text1"/>
                <w:sz w:val="18"/>
                <w:szCs w:val="18"/>
                <w:lang w:val="es-ES"/>
              </w:rPr>
              <w:t>Colectivos</w:t>
            </w:r>
            <w:r w:rsidRPr="004768D0">
              <w:rPr>
                <w:rFonts w:asciiTheme="majorHAnsi" w:hAnsiTheme="majorHAnsi"/>
                <w:bCs/>
                <w:color w:val="000000" w:themeColor="text1"/>
                <w:sz w:val="18"/>
                <w:szCs w:val="18"/>
                <w:lang w:val="es-ES"/>
              </w:rPr>
              <w:t xml:space="preserve"> les</w:t>
            </w:r>
            <w:r w:rsidR="00915936" w:rsidRPr="004768D0">
              <w:rPr>
                <w:rFonts w:asciiTheme="majorHAnsi" w:hAnsiTheme="majorHAnsi"/>
                <w:bCs/>
                <w:color w:val="000000" w:themeColor="text1"/>
                <w:sz w:val="18"/>
                <w:szCs w:val="18"/>
                <w:lang w:val="es-ES"/>
              </w:rPr>
              <w:t>ion</w:t>
            </w:r>
            <w:r w:rsidRPr="004768D0">
              <w:rPr>
                <w:rFonts w:asciiTheme="majorHAnsi" w:hAnsiTheme="majorHAnsi"/>
                <w:bCs/>
                <w:color w:val="000000" w:themeColor="text1"/>
                <w:sz w:val="18"/>
                <w:szCs w:val="18"/>
                <w:lang w:val="es-ES"/>
              </w:rPr>
              <w:t xml:space="preserve">ados, previsto </w:t>
            </w:r>
            <w:r w:rsidR="00915936"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n</w:t>
            </w:r>
            <w:r w:rsidR="00915936" w:rsidRPr="004768D0">
              <w:rPr>
                <w:rFonts w:asciiTheme="majorHAnsi" w:hAnsiTheme="majorHAnsi"/>
                <w:bCs/>
                <w:color w:val="000000" w:themeColor="text1"/>
                <w:sz w:val="18"/>
                <w:szCs w:val="18"/>
                <w:lang w:val="es-ES"/>
              </w:rPr>
              <w:t xml:space="preserve"> l</w:t>
            </w:r>
            <w:r w:rsidRPr="004768D0">
              <w:rPr>
                <w:rFonts w:asciiTheme="majorHAnsi" w:hAnsiTheme="majorHAnsi"/>
                <w:bCs/>
                <w:color w:val="000000" w:themeColor="text1"/>
                <w:sz w:val="18"/>
                <w:szCs w:val="18"/>
                <w:lang w:val="es-ES"/>
              </w:rPr>
              <w:t xml:space="preserve">a </w:t>
            </w:r>
            <w:r w:rsidR="00915936" w:rsidRPr="004768D0">
              <w:rPr>
                <w:rFonts w:asciiTheme="majorHAnsi" w:hAnsiTheme="majorHAnsi"/>
                <w:bCs/>
                <w:color w:val="000000" w:themeColor="text1"/>
                <w:sz w:val="18"/>
                <w:szCs w:val="18"/>
                <w:lang w:val="es-ES"/>
              </w:rPr>
              <w:t>ley</w:t>
            </w:r>
            <w:r w:rsidRPr="004768D0">
              <w:rPr>
                <w:rFonts w:asciiTheme="majorHAnsi" w:hAnsiTheme="majorHAnsi"/>
                <w:bCs/>
                <w:color w:val="000000" w:themeColor="text1"/>
                <w:sz w:val="18"/>
                <w:szCs w:val="18"/>
                <w:lang w:val="es-ES"/>
              </w:rPr>
              <w:t xml:space="preserve"> </w:t>
            </w:r>
            <w:r w:rsidR="00915936" w:rsidRPr="004768D0">
              <w:rPr>
                <w:rFonts w:asciiTheme="majorHAnsi" w:hAnsiTheme="majorHAnsi"/>
                <w:bCs/>
                <w:color w:val="000000" w:themeColor="text1"/>
                <w:sz w:val="18"/>
                <w:szCs w:val="18"/>
                <w:lang w:val="es-ES"/>
              </w:rPr>
              <w:t>estatal</w:t>
            </w:r>
            <w:r w:rsidRPr="004768D0">
              <w:rPr>
                <w:rFonts w:asciiTheme="majorHAnsi" w:hAnsiTheme="majorHAnsi"/>
                <w:bCs/>
                <w:color w:val="000000" w:themeColor="text1"/>
                <w:sz w:val="18"/>
                <w:szCs w:val="18"/>
                <w:lang w:val="es-ES"/>
              </w:rPr>
              <w:t xml:space="preserve"> </w:t>
            </w:r>
            <w:proofErr w:type="spellStart"/>
            <w:r w:rsidR="009615E2" w:rsidRPr="004768D0">
              <w:rPr>
                <w:rFonts w:asciiTheme="majorHAnsi" w:hAnsiTheme="majorHAnsi"/>
                <w:bCs/>
                <w:color w:val="000000" w:themeColor="text1"/>
                <w:sz w:val="18"/>
                <w:szCs w:val="18"/>
                <w:lang w:val="es-ES"/>
              </w:rPr>
              <w:t>N.</w:t>
            </w:r>
            <w:r w:rsidR="009615E2" w:rsidRPr="004768D0">
              <w:rPr>
                <w:rFonts w:asciiTheme="majorHAnsi" w:hAnsiTheme="majorHAnsi"/>
                <w:bCs/>
                <w:color w:val="000000" w:themeColor="text1"/>
                <w:sz w:val="18"/>
                <w:szCs w:val="18"/>
                <w:vertAlign w:val="superscript"/>
                <w:lang w:val="es-ES"/>
              </w:rPr>
              <w:t>o</w:t>
            </w:r>
            <w:proofErr w:type="spellEnd"/>
            <w:r w:rsidRPr="004768D0">
              <w:rPr>
                <w:rFonts w:asciiTheme="majorHAnsi" w:hAnsiTheme="majorHAnsi"/>
                <w:bCs/>
                <w:color w:val="000000" w:themeColor="text1"/>
                <w:sz w:val="18"/>
                <w:szCs w:val="18"/>
                <w:lang w:val="es-ES"/>
              </w:rPr>
              <w:t xml:space="preserve"> 13.555/2009; </w:t>
            </w:r>
          </w:p>
          <w:p w14:paraId="0EC4F30A" w14:textId="77777777" w:rsidR="00654B53" w:rsidRPr="004768D0"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iv) </w:t>
            </w:r>
            <w:r w:rsidR="00915936" w:rsidRPr="004768D0">
              <w:rPr>
                <w:rFonts w:asciiTheme="majorHAnsi" w:hAnsiTheme="majorHAnsi"/>
                <w:bCs/>
                <w:color w:val="000000" w:themeColor="text1"/>
                <w:sz w:val="18"/>
                <w:szCs w:val="18"/>
                <w:lang w:val="es-ES"/>
              </w:rPr>
              <w:t>que se condenara al</w:t>
            </w:r>
            <w:r w:rsidR="007F4608" w:rsidRPr="004768D0">
              <w:rPr>
                <w:rFonts w:asciiTheme="majorHAnsi" w:hAnsiTheme="majorHAnsi"/>
                <w:bCs/>
                <w:color w:val="000000" w:themeColor="text1"/>
                <w:sz w:val="18"/>
                <w:szCs w:val="18"/>
                <w:lang w:val="es-ES"/>
              </w:rPr>
              <w:t xml:space="preserve">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w:t>
            </w:r>
            <w:r w:rsidR="00915936" w:rsidRPr="004768D0">
              <w:rPr>
                <w:rFonts w:asciiTheme="majorHAnsi" w:hAnsiTheme="majorHAnsi"/>
                <w:bCs/>
                <w:color w:val="000000" w:themeColor="text1"/>
                <w:sz w:val="18"/>
                <w:szCs w:val="18"/>
                <w:lang w:val="es-ES"/>
              </w:rPr>
              <w:t xml:space="preserve">a ofrecer </w:t>
            </w:r>
            <w:r w:rsidRPr="004768D0">
              <w:rPr>
                <w:rFonts w:asciiTheme="majorHAnsi" w:hAnsiTheme="majorHAnsi"/>
                <w:bCs/>
                <w:color w:val="000000" w:themeColor="text1"/>
                <w:sz w:val="18"/>
                <w:szCs w:val="18"/>
                <w:lang w:val="es-ES"/>
              </w:rPr>
              <w:t>a</w:t>
            </w:r>
            <w:r w:rsidR="00915936" w:rsidRPr="004768D0">
              <w:rPr>
                <w:rFonts w:asciiTheme="majorHAnsi" w:hAnsiTheme="majorHAnsi"/>
                <w:bCs/>
                <w:color w:val="000000" w:themeColor="text1"/>
                <w:sz w:val="18"/>
                <w:szCs w:val="18"/>
                <w:lang w:val="es-ES"/>
              </w:rPr>
              <w:t xml:space="preserve">tención </w:t>
            </w:r>
            <w:r w:rsidRPr="004768D0">
              <w:rPr>
                <w:rFonts w:asciiTheme="majorHAnsi" w:hAnsiTheme="majorHAnsi"/>
                <w:bCs/>
                <w:color w:val="000000" w:themeColor="text1"/>
                <w:sz w:val="18"/>
                <w:szCs w:val="18"/>
                <w:lang w:val="es-ES"/>
              </w:rPr>
              <w:t>psicológica a</w:t>
            </w:r>
            <w:r w:rsidR="00915936" w:rsidRPr="004768D0">
              <w:rPr>
                <w:rFonts w:asciiTheme="majorHAnsi" w:hAnsiTheme="majorHAnsi"/>
                <w:bCs/>
                <w:color w:val="000000" w:themeColor="text1"/>
                <w:sz w:val="18"/>
                <w:szCs w:val="18"/>
                <w:lang w:val="es-ES"/>
              </w:rPr>
              <w:t xml:space="preserve"> l</w:t>
            </w:r>
            <w:r w:rsidRPr="004768D0">
              <w:rPr>
                <w:rFonts w:asciiTheme="majorHAnsi" w:hAnsiTheme="majorHAnsi"/>
                <w:bCs/>
                <w:color w:val="000000" w:themeColor="text1"/>
                <w:sz w:val="18"/>
                <w:szCs w:val="18"/>
                <w:lang w:val="es-ES"/>
              </w:rPr>
              <w:t xml:space="preserve">os familiares de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que as</w:t>
            </w:r>
            <w:r w:rsidR="00915936" w:rsidRPr="004768D0">
              <w:rPr>
                <w:rFonts w:asciiTheme="majorHAnsi" w:hAnsiTheme="majorHAnsi"/>
                <w:bCs/>
                <w:color w:val="000000" w:themeColor="text1"/>
                <w:sz w:val="18"/>
                <w:szCs w:val="18"/>
                <w:lang w:val="es-ES"/>
              </w:rPr>
              <w:t xml:space="preserve">í lo desearan, </w:t>
            </w:r>
            <w:r w:rsidRPr="004768D0">
              <w:rPr>
                <w:rFonts w:asciiTheme="majorHAnsi" w:hAnsiTheme="majorHAnsi"/>
                <w:bCs/>
                <w:color w:val="000000" w:themeColor="text1"/>
                <w:sz w:val="18"/>
                <w:szCs w:val="18"/>
                <w:lang w:val="es-ES"/>
              </w:rPr>
              <w:t>específica</w:t>
            </w:r>
            <w:r w:rsidR="00915936" w:rsidRPr="004768D0">
              <w:rPr>
                <w:rFonts w:asciiTheme="majorHAnsi" w:hAnsiTheme="majorHAnsi"/>
                <w:bCs/>
                <w:color w:val="000000" w:themeColor="text1"/>
                <w:sz w:val="18"/>
                <w:szCs w:val="18"/>
                <w:lang w:val="es-ES"/>
              </w:rPr>
              <w:t>mente</w:t>
            </w:r>
            <w:r w:rsidRPr="004768D0">
              <w:rPr>
                <w:rFonts w:asciiTheme="majorHAnsi" w:hAnsiTheme="majorHAnsi"/>
                <w:bCs/>
                <w:color w:val="000000" w:themeColor="text1"/>
                <w:sz w:val="18"/>
                <w:szCs w:val="18"/>
                <w:lang w:val="es-ES"/>
              </w:rPr>
              <w:t xml:space="preserve"> para </w:t>
            </w:r>
            <w:r w:rsidR="00915936"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as situa</w:t>
            </w:r>
            <w:r w:rsidR="00915936" w:rsidRPr="004768D0">
              <w:rPr>
                <w:rFonts w:asciiTheme="majorHAnsi" w:hAnsiTheme="majorHAnsi"/>
                <w:bCs/>
                <w:color w:val="000000" w:themeColor="text1"/>
                <w:sz w:val="18"/>
                <w:szCs w:val="18"/>
                <w:lang w:val="es-ES"/>
              </w:rPr>
              <w:t xml:space="preserve">ciones abordadas en la acción </w:t>
            </w:r>
            <w:r w:rsidRPr="004768D0">
              <w:rPr>
                <w:rFonts w:asciiTheme="majorHAnsi" w:hAnsiTheme="majorHAnsi"/>
                <w:bCs/>
                <w:color w:val="000000" w:themeColor="text1"/>
                <w:sz w:val="18"/>
                <w:szCs w:val="18"/>
                <w:lang w:val="es-ES"/>
              </w:rPr>
              <w:t>judicial e</w:t>
            </w:r>
            <w:r w:rsidR="00915936" w:rsidRPr="004768D0">
              <w:rPr>
                <w:rFonts w:asciiTheme="majorHAnsi" w:hAnsiTheme="majorHAnsi"/>
                <w:bCs/>
                <w:color w:val="000000" w:themeColor="text1"/>
                <w:sz w:val="18"/>
                <w:szCs w:val="18"/>
                <w:lang w:val="es-ES"/>
              </w:rPr>
              <w:t xml:space="preserve">n cuestión, </w:t>
            </w:r>
            <w:r w:rsidRPr="004768D0">
              <w:rPr>
                <w:rFonts w:asciiTheme="majorHAnsi" w:hAnsiTheme="majorHAnsi"/>
                <w:bCs/>
                <w:color w:val="000000" w:themeColor="text1"/>
                <w:sz w:val="18"/>
                <w:szCs w:val="18"/>
                <w:lang w:val="es-ES"/>
              </w:rPr>
              <w:t>por prof</w:t>
            </w:r>
            <w:r w:rsidR="00915936" w:rsidRPr="004768D0">
              <w:rPr>
                <w:rFonts w:asciiTheme="majorHAnsi" w:hAnsiTheme="majorHAnsi"/>
                <w:bCs/>
                <w:color w:val="000000" w:themeColor="text1"/>
                <w:sz w:val="18"/>
                <w:szCs w:val="18"/>
                <w:lang w:val="es-ES"/>
              </w:rPr>
              <w:t xml:space="preserve">esionales facilitados o </w:t>
            </w:r>
            <w:r w:rsidRPr="004768D0">
              <w:rPr>
                <w:rFonts w:asciiTheme="majorHAnsi" w:hAnsiTheme="majorHAnsi"/>
                <w:bCs/>
                <w:color w:val="000000" w:themeColor="text1"/>
                <w:sz w:val="18"/>
                <w:szCs w:val="18"/>
                <w:lang w:val="es-ES"/>
              </w:rPr>
              <w:t>contratados p</w:t>
            </w:r>
            <w:r w:rsidR="00915936" w:rsidRPr="004768D0">
              <w:rPr>
                <w:rFonts w:asciiTheme="majorHAnsi" w:hAnsiTheme="majorHAnsi"/>
                <w:bCs/>
                <w:color w:val="000000" w:themeColor="text1"/>
                <w:sz w:val="18"/>
                <w:szCs w:val="18"/>
                <w:lang w:val="es-ES"/>
              </w:rPr>
              <w:t>or el</w:t>
            </w:r>
            <w:r w:rsidRPr="004768D0">
              <w:rPr>
                <w:rFonts w:asciiTheme="majorHAnsi" w:hAnsiTheme="majorHAnsi"/>
                <w:bCs/>
                <w:color w:val="000000" w:themeColor="text1"/>
                <w:sz w:val="18"/>
                <w:szCs w:val="18"/>
                <w:lang w:val="es-ES"/>
              </w:rPr>
              <w:t xml:space="preserve"> estado </w:t>
            </w:r>
            <w:r w:rsidR="00915936" w:rsidRPr="004768D0">
              <w:rPr>
                <w:rFonts w:asciiTheme="majorHAnsi" w:hAnsiTheme="majorHAnsi"/>
                <w:bCs/>
                <w:color w:val="000000" w:themeColor="text1"/>
                <w:sz w:val="18"/>
                <w:szCs w:val="18"/>
                <w:lang w:val="es-ES"/>
              </w:rPr>
              <w:t xml:space="preserve">con ese fin y durante el tiempo necesario, a criterio de los </w:t>
            </w:r>
            <w:r w:rsidRPr="004768D0">
              <w:rPr>
                <w:rFonts w:asciiTheme="majorHAnsi" w:hAnsiTheme="majorHAnsi"/>
                <w:bCs/>
                <w:color w:val="000000" w:themeColor="text1"/>
                <w:sz w:val="18"/>
                <w:szCs w:val="18"/>
                <w:lang w:val="es-ES"/>
              </w:rPr>
              <w:t>prof</w:t>
            </w:r>
            <w:r w:rsidR="00915936" w:rsidRPr="004768D0">
              <w:rPr>
                <w:rFonts w:asciiTheme="majorHAnsi" w:hAnsiTheme="majorHAnsi"/>
                <w:bCs/>
                <w:color w:val="000000" w:themeColor="text1"/>
                <w:sz w:val="18"/>
                <w:szCs w:val="18"/>
                <w:lang w:val="es-ES"/>
              </w:rPr>
              <w:t>esionales</w:t>
            </w:r>
            <w:r w:rsidRPr="004768D0">
              <w:rPr>
                <w:rFonts w:asciiTheme="majorHAnsi" w:hAnsiTheme="majorHAnsi"/>
                <w:bCs/>
                <w:color w:val="000000" w:themeColor="text1"/>
                <w:sz w:val="18"/>
                <w:szCs w:val="18"/>
                <w:lang w:val="es-ES"/>
              </w:rPr>
              <w:t xml:space="preserve">; </w:t>
            </w:r>
          </w:p>
          <w:p w14:paraId="34AC8B92" w14:textId="77777777" w:rsidR="00654B53" w:rsidRPr="004768D0"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v) </w:t>
            </w:r>
            <w:r w:rsidR="00915936" w:rsidRPr="004768D0">
              <w:rPr>
                <w:rFonts w:asciiTheme="majorHAnsi" w:hAnsiTheme="majorHAnsi"/>
                <w:bCs/>
                <w:color w:val="000000" w:themeColor="text1"/>
                <w:sz w:val="18"/>
                <w:szCs w:val="18"/>
                <w:lang w:val="es-ES"/>
              </w:rPr>
              <w:t>que se condenara al</w:t>
            </w:r>
            <w:r w:rsidR="007F4608" w:rsidRPr="004768D0">
              <w:rPr>
                <w:rFonts w:asciiTheme="majorHAnsi" w:hAnsiTheme="majorHAnsi"/>
                <w:bCs/>
                <w:color w:val="000000" w:themeColor="text1"/>
                <w:sz w:val="18"/>
                <w:szCs w:val="18"/>
                <w:lang w:val="es-ES"/>
              </w:rPr>
              <w:t xml:space="preserve">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w:t>
            </w:r>
            <w:r w:rsidR="00502BA4" w:rsidRPr="004768D0">
              <w:rPr>
                <w:rFonts w:asciiTheme="majorHAnsi" w:hAnsiTheme="majorHAnsi"/>
                <w:bCs/>
                <w:color w:val="000000" w:themeColor="text1"/>
                <w:sz w:val="18"/>
                <w:szCs w:val="18"/>
                <w:lang w:val="es-ES"/>
              </w:rPr>
              <w:t>a p</w:t>
            </w:r>
            <w:r w:rsidR="005912C9">
              <w:rPr>
                <w:rFonts w:asciiTheme="majorHAnsi" w:hAnsiTheme="majorHAnsi"/>
                <w:bCs/>
                <w:color w:val="000000" w:themeColor="text1"/>
                <w:sz w:val="18"/>
                <w:szCs w:val="18"/>
                <w:lang w:val="es-ES"/>
              </w:rPr>
              <w:t xml:space="preserve">edir disculpas formalmente </w:t>
            </w:r>
            <w:r w:rsidR="00502BA4" w:rsidRPr="004768D0">
              <w:rPr>
                <w:rFonts w:asciiTheme="majorHAnsi" w:hAnsiTheme="majorHAnsi"/>
                <w:bCs/>
                <w:color w:val="000000" w:themeColor="text1"/>
                <w:sz w:val="18"/>
                <w:szCs w:val="18"/>
                <w:lang w:val="es-ES"/>
              </w:rPr>
              <w:t>a las</w:t>
            </w:r>
            <w:r w:rsidRPr="004768D0">
              <w:rPr>
                <w:rFonts w:asciiTheme="majorHAnsi" w:hAnsiTheme="majorHAnsi"/>
                <w:bCs/>
                <w:color w:val="000000" w:themeColor="text1"/>
                <w:sz w:val="18"/>
                <w:szCs w:val="18"/>
                <w:lang w:val="es-ES"/>
              </w:rPr>
              <w:t xml:space="preserve">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w:t>
            </w:r>
            <w:r w:rsidR="00502BA4"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w:t>
            </w:r>
            <w:r w:rsidR="000C0AC4" w:rsidRPr="004768D0">
              <w:rPr>
                <w:rFonts w:asciiTheme="majorHAnsi" w:hAnsiTheme="majorHAnsi"/>
                <w:bCs/>
                <w:color w:val="000000" w:themeColor="text1"/>
                <w:sz w:val="18"/>
                <w:szCs w:val="18"/>
                <w:lang w:val="es-ES"/>
              </w:rPr>
              <w:t>sus</w:t>
            </w:r>
            <w:r w:rsidRPr="004768D0">
              <w:rPr>
                <w:rFonts w:asciiTheme="majorHAnsi" w:hAnsiTheme="majorHAnsi"/>
                <w:bCs/>
                <w:color w:val="000000" w:themeColor="text1"/>
                <w:sz w:val="18"/>
                <w:szCs w:val="18"/>
                <w:lang w:val="es-ES"/>
              </w:rPr>
              <w:t xml:space="preserve"> familiares</w:t>
            </w:r>
            <w:r w:rsidR="00502BA4" w:rsidRPr="004768D0">
              <w:rPr>
                <w:rFonts w:asciiTheme="majorHAnsi" w:hAnsiTheme="majorHAnsi"/>
                <w:bCs/>
                <w:color w:val="000000" w:themeColor="text1"/>
                <w:sz w:val="18"/>
                <w:szCs w:val="18"/>
                <w:lang w:val="es-ES"/>
              </w:rPr>
              <w:t xml:space="preserve"> en un acto</w:t>
            </w:r>
            <w:r w:rsidRPr="004768D0">
              <w:rPr>
                <w:rFonts w:asciiTheme="majorHAnsi" w:hAnsiTheme="majorHAnsi"/>
                <w:bCs/>
                <w:color w:val="000000" w:themeColor="text1"/>
                <w:sz w:val="18"/>
                <w:szCs w:val="18"/>
                <w:lang w:val="es-ES"/>
              </w:rPr>
              <w:t xml:space="preserve"> público </w:t>
            </w:r>
            <w:r w:rsidR="005912C9">
              <w:rPr>
                <w:rFonts w:asciiTheme="majorHAnsi" w:hAnsiTheme="majorHAnsi"/>
                <w:bCs/>
                <w:color w:val="000000" w:themeColor="text1"/>
                <w:sz w:val="18"/>
                <w:szCs w:val="18"/>
                <w:lang w:val="es-ES"/>
              </w:rPr>
              <w:t xml:space="preserve">de amplia difusión y a </w:t>
            </w:r>
            <w:r w:rsidR="00502BA4" w:rsidRPr="004768D0">
              <w:rPr>
                <w:rFonts w:asciiTheme="majorHAnsi" w:hAnsiTheme="majorHAnsi"/>
                <w:bCs/>
                <w:color w:val="000000" w:themeColor="text1"/>
                <w:sz w:val="18"/>
                <w:szCs w:val="18"/>
                <w:lang w:val="es-ES"/>
              </w:rPr>
              <w:t>publica</w:t>
            </w:r>
            <w:r w:rsidR="005912C9">
              <w:rPr>
                <w:rFonts w:asciiTheme="majorHAnsi" w:hAnsiTheme="majorHAnsi"/>
                <w:bCs/>
                <w:color w:val="000000" w:themeColor="text1"/>
                <w:sz w:val="18"/>
                <w:szCs w:val="18"/>
                <w:lang w:val="es-ES"/>
              </w:rPr>
              <w:t xml:space="preserve">r </w:t>
            </w:r>
            <w:r w:rsidR="00502BA4" w:rsidRPr="004768D0">
              <w:rPr>
                <w:rFonts w:asciiTheme="majorHAnsi" w:hAnsiTheme="majorHAnsi"/>
                <w:bCs/>
                <w:color w:val="000000" w:themeColor="text1"/>
                <w:sz w:val="18"/>
                <w:szCs w:val="18"/>
                <w:lang w:val="es-ES"/>
              </w:rPr>
              <w:t xml:space="preserve">un </w:t>
            </w:r>
            <w:r w:rsidRPr="004768D0">
              <w:rPr>
                <w:rFonts w:asciiTheme="majorHAnsi" w:hAnsiTheme="majorHAnsi"/>
                <w:bCs/>
                <w:color w:val="000000" w:themeColor="text1"/>
                <w:sz w:val="18"/>
                <w:szCs w:val="18"/>
                <w:lang w:val="es-ES"/>
              </w:rPr>
              <w:t xml:space="preserve">texto claro </w:t>
            </w:r>
            <w:r w:rsidR="00502BA4"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objetivo e</w:t>
            </w:r>
            <w:r w:rsidR="00502BA4" w:rsidRPr="004768D0">
              <w:rPr>
                <w:rFonts w:asciiTheme="majorHAnsi" w:hAnsiTheme="majorHAnsi"/>
                <w:bCs/>
                <w:color w:val="000000" w:themeColor="text1"/>
                <w:sz w:val="18"/>
                <w:szCs w:val="18"/>
                <w:lang w:val="es-ES"/>
              </w:rPr>
              <w:t>n</w:t>
            </w:r>
            <w:r w:rsidRPr="004768D0">
              <w:rPr>
                <w:rFonts w:asciiTheme="majorHAnsi" w:hAnsiTheme="majorHAnsi"/>
                <w:bCs/>
                <w:color w:val="000000" w:themeColor="text1"/>
                <w:sz w:val="18"/>
                <w:szCs w:val="18"/>
                <w:lang w:val="es-ES"/>
              </w:rPr>
              <w:t xml:space="preserve"> </w:t>
            </w:r>
            <w:r w:rsidR="003C58C5" w:rsidRPr="004768D0">
              <w:rPr>
                <w:rFonts w:asciiTheme="majorHAnsi" w:hAnsiTheme="majorHAnsi"/>
                <w:bCs/>
                <w:color w:val="000000" w:themeColor="text1"/>
                <w:sz w:val="18"/>
                <w:szCs w:val="18"/>
                <w:lang w:val="es-ES"/>
              </w:rPr>
              <w:t>su</w:t>
            </w:r>
            <w:r w:rsidRPr="004768D0">
              <w:rPr>
                <w:rFonts w:asciiTheme="majorHAnsi" w:hAnsiTheme="majorHAnsi"/>
                <w:bCs/>
                <w:color w:val="000000" w:themeColor="text1"/>
                <w:sz w:val="18"/>
                <w:szCs w:val="18"/>
                <w:lang w:val="es-ES"/>
              </w:rPr>
              <w:t xml:space="preserve"> página </w:t>
            </w:r>
            <w:r w:rsidR="00502BA4" w:rsidRPr="004768D0">
              <w:rPr>
                <w:rFonts w:asciiTheme="majorHAnsi" w:hAnsiTheme="majorHAnsi"/>
                <w:bCs/>
                <w:color w:val="000000" w:themeColor="text1"/>
                <w:sz w:val="18"/>
                <w:szCs w:val="18"/>
                <w:lang w:val="es-ES"/>
              </w:rPr>
              <w:t>electrónica</w:t>
            </w:r>
            <w:r w:rsidRPr="004768D0">
              <w:rPr>
                <w:rFonts w:asciiTheme="majorHAnsi" w:hAnsiTheme="majorHAnsi"/>
                <w:bCs/>
                <w:color w:val="000000" w:themeColor="text1"/>
                <w:sz w:val="18"/>
                <w:szCs w:val="18"/>
                <w:lang w:val="es-ES"/>
              </w:rPr>
              <w:t xml:space="preserve"> oficial</w:t>
            </w:r>
            <w:r w:rsidR="005912C9">
              <w:rPr>
                <w:rFonts w:asciiTheme="majorHAnsi" w:hAnsiTheme="majorHAnsi"/>
                <w:bCs/>
                <w:color w:val="000000" w:themeColor="text1"/>
                <w:sz w:val="18"/>
                <w:szCs w:val="18"/>
                <w:lang w:val="es-ES"/>
              </w:rPr>
              <w:t xml:space="preserve">, </w:t>
            </w:r>
            <w:r w:rsidR="00502BA4" w:rsidRPr="004768D0">
              <w:rPr>
                <w:rFonts w:asciiTheme="majorHAnsi" w:hAnsiTheme="majorHAnsi"/>
                <w:bCs/>
                <w:color w:val="000000" w:themeColor="text1"/>
                <w:sz w:val="18"/>
                <w:szCs w:val="18"/>
                <w:lang w:val="es-ES"/>
              </w:rPr>
              <w:t xml:space="preserve">en </w:t>
            </w:r>
            <w:r w:rsidR="00FE5F5D" w:rsidRPr="004768D0">
              <w:rPr>
                <w:rFonts w:asciiTheme="majorHAnsi" w:hAnsiTheme="majorHAnsi"/>
                <w:bCs/>
                <w:color w:val="000000" w:themeColor="text1"/>
                <w:sz w:val="18"/>
                <w:szCs w:val="18"/>
                <w:lang w:val="es-ES"/>
              </w:rPr>
              <w:t>sus</w:t>
            </w:r>
            <w:r w:rsidRPr="004768D0">
              <w:rPr>
                <w:rFonts w:asciiTheme="majorHAnsi" w:hAnsiTheme="majorHAnsi"/>
                <w:bCs/>
                <w:color w:val="000000" w:themeColor="text1"/>
                <w:sz w:val="18"/>
                <w:szCs w:val="18"/>
                <w:lang w:val="es-ES"/>
              </w:rPr>
              <w:t xml:space="preserve"> redes socia</w:t>
            </w:r>
            <w:r w:rsidR="00502BA4" w:rsidRPr="004768D0">
              <w:rPr>
                <w:rFonts w:asciiTheme="majorHAnsi" w:hAnsiTheme="majorHAnsi"/>
                <w:bCs/>
                <w:color w:val="000000" w:themeColor="text1"/>
                <w:sz w:val="18"/>
                <w:szCs w:val="18"/>
                <w:lang w:val="es-ES"/>
              </w:rPr>
              <w:t xml:space="preserve">les y por lo menos en tres ediciones de periódicos impresos </w:t>
            </w:r>
            <w:r w:rsidRPr="004768D0">
              <w:rPr>
                <w:rFonts w:asciiTheme="majorHAnsi" w:hAnsiTheme="majorHAnsi"/>
                <w:bCs/>
                <w:color w:val="000000" w:themeColor="text1"/>
                <w:sz w:val="18"/>
                <w:szCs w:val="18"/>
                <w:lang w:val="es-ES"/>
              </w:rPr>
              <w:t>de gran circula</w:t>
            </w:r>
            <w:r w:rsidR="00502BA4" w:rsidRPr="004768D0">
              <w:rPr>
                <w:rFonts w:asciiTheme="majorHAnsi" w:hAnsiTheme="majorHAnsi"/>
                <w:bCs/>
                <w:color w:val="000000" w:themeColor="text1"/>
                <w:sz w:val="18"/>
                <w:szCs w:val="18"/>
                <w:lang w:val="es-ES"/>
              </w:rPr>
              <w:t>ción en l</w:t>
            </w:r>
            <w:r w:rsidRPr="004768D0">
              <w:rPr>
                <w:rFonts w:asciiTheme="majorHAnsi" w:hAnsiTheme="majorHAnsi"/>
                <w:bCs/>
                <w:color w:val="000000" w:themeColor="text1"/>
                <w:sz w:val="18"/>
                <w:szCs w:val="18"/>
                <w:lang w:val="es-ES"/>
              </w:rPr>
              <w:t xml:space="preserve">a capital </w:t>
            </w:r>
            <w:r w:rsidR="00502BA4" w:rsidRPr="004768D0">
              <w:rPr>
                <w:rFonts w:asciiTheme="majorHAnsi" w:hAnsiTheme="majorHAnsi"/>
                <w:bCs/>
                <w:color w:val="000000" w:themeColor="text1"/>
                <w:sz w:val="18"/>
                <w:szCs w:val="18"/>
                <w:lang w:val="es-ES"/>
              </w:rPr>
              <w:t xml:space="preserve">y en el </w:t>
            </w:r>
            <w:r w:rsidRPr="004768D0">
              <w:rPr>
                <w:rFonts w:asciiTheme="majorHAnsi" w:hAnsiTheme="majorHAnsi"/>
                <w:bCs/>
                <w:color w:val="000000" w:themeColor="text1"/>
                <w:sz w:val="18"/>
                <w:szCs w:val="18"/>
                <w:lang w:val="es-ES"/>
              </w:rPr>
              <w:t>interior de São Paulo (</w:t>
            </w:r>
            <w:r w:rsidR="00502BA4" w:rsidRPr="004768D0">
              <w:rPr>
                <w:rFonts w:asciiTheme="majorHAnsi" w:hAnsiTheme="majorHAnsi"/>
                <w:bCs/>
                <w:color w:val="000000" w:themeColor="text1"/>
                <w:sz w:val="18"/>
                <w:szCs w:val="18"/>
                <w:lang w:val="es-ES"/>
              </w:rPr>
              <w:t xml:space="preserve">como </w:t>
            </w:r>
            <w:r w:rsidRPr="004768D0">
              <w:rPr>
                <w:rFonts w:asciiTheme="majorHAnsi" w:hAnsiTheme="majorHAnsi"/>
                <w:bCs/>
                <w:color w:val="000000" w:themeColor="text1"/>
                <w:sz w:val="18"/>
                <w:szCs w:val="18"/>
                <w:lang w:val="es-ES"/>
              </w:rPr>
              <w:t xml:space="preserve">mínimo </w:t>
            </w:r>
            <w:r w:rsidR="00502BA4" w:rsidRPr="004768D0">
              <w:rPr>
                <w:rFonts w:asciiTheme="majorHAnsi" w:hAnsiTheme="majorHAnsi"/>
                <w:bCs/>
                <w:color w:val="000000" w:themeColor="text1"/>
                <w:sz w:val="18"/>
                <w:szCs w:val="18"/>
                <w:lang w:val="es-ES"/>
              </w:rPr>
              <w:t>en</w:t>
            </w:r>
            <w:r w:rsidRPr="004768D0">
              <w:rPr>
                <w:rFonts w:asciiTheme="majorHAnsi" w:hAnsiTheme="majorHAnsi"/>
                <w:bCs/>
                <w:color w:val="000000" w:themeColor="text1"/>
                <w:sz w:val="18"/>
                <w:szCs w:val="18"/>
                <w:lang w:val="es-ES"/>
              </w:rPr>
              <w:t xml:space="preserve"> </w:t>
            </w:r>
            <w:r w:rsidR="00D0566E" w:rsidRPr="004768D0">
              <w:rPr>
                <w:rFonts w:asciiTheme="majorHAnsi" w:hAnsiTheme="majorHAnsi"/>
                <w:bCs/>
                <w:color w:val="000000" w:themeColor="text1"/>
                <w:sz w:val="18"/>
                <w:szCs w:val="18"/>
                <w:lang w:val="es-ES"/>
              </w:rPr>
              <w:t xml:space="preserve">la </w:t>
            </w:r>
            <w:proofErr w:type="spellStart"/>
            <w:r w:rsidRPr="004768D0">
              <w:rPr>
                <w:rFonts w:asciiTheme="majorHAnsi" w:hAnsiTheme="majorHAnsi"/>
                <w:bCs/>
                <w:color w:val="000000" w:themeColor="text1"/>
                <w:sz w:val="18"/>
                <w:szCs w:val="18"/>
                <w:lang w:val="es-ES"/>
              </w:rPr>
              <w:t>Baixada</w:t>
            </w:r>
            <w:proofErr w:type="spellEnd"/>
            <w:r w:rsidRPr="004768D0">
              <w:rPr>
                <w:rFonts w:asciiTheme="majorHAnsi" w:hAnsiTheme="majorHAnsi"/>
                <w:bCs/>
                <w:color w:val="000000" w:themeColor="text1"/>
                <w:sz w:val="18"/>
                <w:szCs w:val="18"/>
                <w:lang w:val="es-ES"/>
              </w:rPr>
              <w:t xml:space="preserve"> </w:t>
            </w:r>
            <w:proofErr w:type="spellStart"/>
            <w:r w:rsidRPr="004768D0">
              <w:rPr>
                <w:rFonts w:asciiTheme="majorHAnsi" w:hAnsiTheme="majorHAnsi"/>
                <w:bCs/>
                <w:color w:val="000000" w:themeColor="text1"/>
                <w:sz w:val="18"/>
                <w:szCs w:val="18"/>
                <w:lang w:val="es-ES"/>
              </w:rPr>
              <w:t>Santista</w:t>
            </w:r>
            <w:proofErr w:type="spellEnd"/>
            <w:r w:rsidRPr="004768D0">
              <w:rPr>
                <w:rFonts w:asciiTheme="majorHAnsi" w:hAnsiTheme="majorHAnsi"/>
                <w:bCs/>
                <w:color w:val="000000" w:themeColor="text1"/>
                <w:sz w:val="18"/>
                <w:szCs w:val="18"/>
                <w:lang w:val="es-ES"/>
              </w:rPr>
              <w:t xml:space="preserve"> </w:t>
            </w:r>
            <w:r w:rsidR="00502BA4" w:rsidRPr="004768D0">
              <w:rPr>
                <w:rFonts w:asciiTheme="majorHAnsi" w:hAnsiTheme="majorHAnsi"/>
                <w:bCs/>
                <w:color w:val="000000" w:themeColor="text1"/>
                <w:sz w:val="18"/>
                <w:szCs w:val="18"/>
                <w:lang w:val="es-ES"/>
              </w:rPr>
              <w:t xml:space="preserve">y en </w:t>
            </w:r>
            <w:r w:rsidRPr="004768D0">
              <w:rPr>
                <w:rFonts w:asciiTheme="majorHAnsi" w:hAnsiTheme="majorHAnsi"/>
                <w:bCs/>
                <w:color w:val="000000" w:themeColor="text1"/>
                <w:sz w:val="18"/>
                <w:szCs w:val="18"/>
                <w:lang w:val="es-ES"/>
              </w:rPr>
              <w:t xml:space="preserve">Campinas), </w:t>
            </w:r>
            <w:r w:rsidR="00502BA4" w:rsidRPr="004768D0">
              <w:rPr>
                <w:rFonts w:asciiTheme="majorHAnsi" w:hAnsiTheme="majorHAnsi"/>
                <w:bCs/>
                <w:color w:val="000000" w:themeColor="text1"/>
                <w:sz w:val="18"/>
                <w:szCs w:val="18"/>
                <w:lang w:val="es-ES"/>
              </w:rPr>
              <w:t>en</w:t>
            </w:r>
            <w:r w:rsidRPr="004768D0">
              <w:rPr>
                <w:rFonts w:asciiTheme="majorHAnsi" w:hAnsiTheme="majorHAnsi"/>
                <w:bCs/>
                <w:color w:val="000000" w:themeColor="text1"/>
                <w:sz w:val="18"/>
                <w:szCs w:val="18"/>
                <w:lang w:val="es-ES"/>
              </w:rPr>
              <w:t xml:space="preserve"> </w:t>
            </w:r>
            <w:r w:rsidR="00502BA4" w:rsidRPr="004768D0">
              <w:rPr>
                <w:rFonts w:asciiTheme="majorHAnsi" w:hAnsiTheme="majorHAnsi"/>
                <w:bCs/>
                <w:color w:val="000000" w:themeColor="text1"/>
                <w:sz w:val="18"/>
                <w:szCs w:val="18"/>
                <w:lang w:val="es-ES"/>
              </w:rPr>
              <w:t>anuncios</w:t>
            </w:r>
            <w:r w:rsidRPr="004768D0">
              <w:rPr>
                <w:rFonts w:asciiTheme="majorHAnsi" w:hAnsiTheme="majorHAnsi"/>
                <w:bCs/>
                <w:color w:val="000000" w:themeColor="text1"/>
                <w:sz w:val="18"/>
                <w:szCs w:val="18"/>
                <w:lang w:val="es-ES"/>
              </w:rPr>
              <w:t xml:space="preserve"> de</w:t>
            </w:r>
            <w:r w:rsidR="00502BA4" w:rsidRPr="004768D0">
              <w:rPr>
                <w:rFonts w:asciiTheme="majorHAnsi" w:hAnsiTheme="majorHAnsi"/>
                <w:bCs/>
                <w:color w:val="000000" w:themeColor="text1"/>
                <w:sz w:val="18"/>
                <w:szCs w:val="18"/>
                <w:lang w:val="es-ES"/>
              </w:rPr>
              <w:t xml:space="preserve"> un cuarto de </w:t>
            </w:r>
            <w:r w:rsidRPr="004768D0">
              <w:rPr>
                <w:rFonts w:asciiTheme="majorHAnsi" w:hAnsiTheme="majorHAnsi"/>
                <w:bCs/>
                <w:color w:val="000000" w:themeColor="text1"/>
                <w:sz w:val="18"/>
                <w:szCs w:val="18"/>
                <w:lang w:val="es-ES"/>
              </w:rPr>
              <w:t>página</w:t>
            </w:r>
            <w:r w:rsidR="00502BA4" w:rsidRPr="004768D0">
              <w:rPr>
                <w:rFonts w:asciiTheme="majorHAnsi" w:hAnsiTheme="majorHAnsi"/>
                <w:bCs/>
                <w:color w:val="000000" w:themeColor="text1"/>
                <w:sz w:val="18"/>
                <w:szCs w:val="18"/>
                <w:lang w:val="es-ES"/>
              </w:rPr>
              <w:t xml:space="preserve"> como mínimo;</w:t>
            </w:r>
          </w:p>
          <w:p w14:paraId="5A732EB6" w14:textId="77777777" w:rsidR="00654B53" w:rsidRPr="004768D0"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vi) </w:t>
            </w:r>
            <w:r w:rsidR="00915936" w:rsidRPr="004768D0">
              <w:rPr>
                <w:rFonts w:asciiTheme="majorHAnsi" w:hAnsiTheme="majorHAnsi"/>
                <w:bCs/>
                <w:color w:val="000000" w:themeColor="text1"/>
                <w:sz w:val="18"/>
                <w:szCs w:val="18"/>
                <w:lang w:val="es-ES"/>
              </w:rPr>
              <w:t>que se condenara al</w:t>
            </w:r>
            <w:r w:rsidR="007F4608" w:rsidRPr="004768D0">
              <w:rPr>
                <w:rFonts w:asciiTheme="majorHAnsi" w:hAnsiTheme="majorHAnsi"/>
                <w:bCs/>
                <w:color w:val="000000" w:themeColor="text1"/>
                <w:sz w:val="18"/>
                <w:szCs w:val="18"/>
                <w:lang w:val="es-ES"/>
              </w:rPr>
              <w:t xml:space="preserve">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w:t>
            </w:r>
            <w:r w:rsidR="00502BA4" w:rsidRPr="004768D0">
              <w:rPr>
                <w:rFonts w:asciiTheme="majorHAnsi" w:hAnsiTheme="majorHAnsi"/>
                <w:bCs/>
                <w:color w:val="000000" w:themeColor="text1"/>
                <w:sz w:val="18"/>
                <w:szCs w:val="18"/>
                <w:lang w:val="es-ES"/>
              </w:rPr>
              <w:t xml:space="preserve">a hacer un </w:t>
            </w:r>
            <w:r w:rsidRPr="004768D0">
              <w:rPr>
                <w:rFonts w:asciiTheme="majorHAnsi" w:hAnsiTheme="majorHAnsi"/>
                <w:bCs/>
                <w:color w:val="000000" w:themeColor="text1"/>
                <w:sz w:val="18"/>
                <w:szCs w:val="18"/>
                <w:lang w:val="es-ES"/>
              </w:rPr>
              <w:t>v</w:t>
            </w:r>
            <w:r w:rsidR="00502BA4" w:rsidRPr="004768D0">
              <w:rPr>
                <w:rFonts w:asciiTheme="majorHAnsi" w:hAnsiTheme="majorHAnsi"/>
                <w:bCs/>
                <w:color w:val="000000" w:themeColor="text1"/>
                <w:sz w:val="18"/>
                <w:szCs w:val="18"/>
                <w:lang w:val="es-ES"/>
              </w:rPr>
              <w:t>i</w:t>
            </w:r>
            <w:r w:rsidRPr="004768D0">
              <w:rPr>
                <w:rFonts w:asciiTheme="majorHAnsi" w:hAnsiTheme="majorHAnsi"/>
                <w:bCs/>
                <w:color w:val="000000" w:themeColor="text1"/>
                <w:sz w:val="18"/>
                <w:szCs w:val="18"/>
                <w:lang w:val="es-ES"/>
              </w:rPr>
              <w:t xml:space="preserve">deo </w:t>
            </w:r>
            <w:r w:rsidR="00502BA4" w:rsidRPr="004768D0">
              <w:rPr>
                <w:rFonts w:asciiTheme="majorHAnsi" w:hAnsiTheme="majorHAnsi"/>
                <w:bCs/>
                <w:color w:val="000000" w:themeColor="text1"/>
                <w:sz w:val="18"/>
                <w:szCs w:val="18"/>
                <w:lang w:val="es-ES"/>
              </w:rPr>
              <w:t xml:space="preserve">de declaraciones </w:t>
            </w:r>
            <w:r w:rsidRPr="004768D0">
              <w:rPr>
                <w:rFonts w:asciiTheme="majorHAnsi" w:hAnsiTheme="majorHAnsi"/>
                <w:bCs/>
                <w:color w:val="000000" w:themeColor="text1"/>
                <w:sz w:val="18"/>
                <w:szCs w:val="18"/>
                <w:lang w:val="es-ES"/>
              </w:rPr>
              <w:t>de familiares d</w:t>
            </w:r>
            <w:r w:rsidR="00502BA4" w:rsidRPr="004768D0">
              <w:rPr>
                <w:rFonts w:asciiTheme="majorHAnsi" w:hAnsiTheme="majorHAnsi"/>
                <w:bCs/>
                <w:color w:val="000000" w:themeColor="text1"/>
                <w:sz w:val="18"/>
                <w:szCs w:val="18"/>
                <w:lang w:val="es-ES"/>
              </w:rPr>
              <w:t>e las</w:t>
            </w:r>
            <w:r w:rsidRPr="004768D0">
              <w:rPr>
                <w:rFonts w:asciiTheme="majorHAnsi" w:hAnsiTheme="majorHAnsi"/>
                <w:bCs/>
                <w:color w:val="000000" w:themeColor="text1"/>
                <w:sz w:val="18"/>
                <w:szCs w:val="18"/>
                <w:lang w:val="es-ES"/>
              </w:rPr>
              <w:t xml:space="preserve">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que </w:t>
            </w:r>
            <w:r w:rsidR="00502BA4" w:rsidRPr="004768D0">
              <w:rPr>
                <w:rFonts w:asciiTheme="majorHAnsi" w:hAnsiTheme="majorHAnsi"/>
                <w:bCs/>
                <w:color w:val="000000" w:themeColor="text1"/>
                <w:sz w:val="18"/>
                <w:szCs w:val="18"/>
                <w:lang w:val="es-ES"/>
              </w:rPr>
              <w:t xml:space="preserve">así lo desearan, producido por el </w:t>
            </w:r>
            <w:r w:rsidRPr="004768D0">
              <w:rPr>
                <w:rFonts w:asciiTheme="majorHAnsi" w:hAnsiTheme="majorHAnsi"/>
                <w:bCs/>
                <w:color w:val="000000" w:themeColor="text1"/>
                <w:sz w:val="18"/>
                <w:szCs w:val="18"/>
                <w:lang w:val="es-ES"/>
              </w:rPr>
              <w:t xml:space="preserve">estado </w:t>
            </w:r>
            <w:r w:rsidR="00502BA4" w:rsidRPr="004768D0">
              <w:rPr>
                <w:rFonts w:asciiTheme="majorHAnsi" w:hAnsiTheme="majorHAnsi"/>
                <w:bCs/>
                <w:color w:val="000000" w:themeColor="text1"/>
                <w:sz w:val="18"/>
                <w:szCs w:val="18"/>
                <w:lang w:val="es-ES"/>
              </w:rPr>
              <w:t xml:space="preserve">y </w:t>
            </w:r>
            <w:r w:rsidRPr="004768D0">
              <w:rPr>
                <w:rFonts w:asciiTheme="majorHAnsi" w:hAnsiTheme="majorHAnsi"/>
                <w:bCs/>
                <w:color w:val="000000" w:themeColor="text1"/>
                <w:sz w:val="18"/>
                <w:szCs w:val="18"/>
                <w:lang w:val="es-ES"/>
              </w:rPr>
              <w:t>mant</w:t>
            </w:r>
            <w:r w:rsidR="00502BA4" w:rsidRPr="004768D0">
              <w:rPr>
                <w:rFonts w:asciiTheme="majorHAnsi" w:hAnsiTheme="majorHAnsi"/>
                <w:bCs/>
                <w:color w:val="000000" w:themeColor="text1"/>
                <w:sz w:val="18"/>
                <w:szCs w:val="18"/>
                <w:lang w:val="es-ES"/>
              </w:rPr>
              <w:t>en</w:t>
            </w:r>
            <w:r w:rsidRPr="004768D0">
              <w:rPr>
                <w:rFonts w:asciiTheme="majorHAnsi" w:hAnsiTheme="majorHAnsi"/>
                <w:bCs/>
                <w:color w:val="000000" w:themeColor="text1"/>
                <w:sz w:val="18"/>
                <w:szCs w:val="18"/>
                <w:lang w:val="es-ES"/>
              </w:rPr>
              <w:t xml:space="preserve">ido </w:t>
            </w:r>
            <w:r w:rsidR="00502BA4" w:rsidRPr="004768D0">
              <w:rPr>
                <w:rFonts w:asciiTheme="majorHAnsi" w:hAnsiTheme="majorHAnsi"/>
                <w:bCs/>
                <w:color w:val="000000" w:themeColor="text1"/>
                <w:sz w:val="18"/>
                <w:szCs w:val="18"/>
                <w:lang w:val="es-ES"/>
              </w:rPr>
              <w:t xml:space="preserve">en la </w:t>
            </w:r>
            <w:r w:rsidRPr="004768D0">
              <w:rPr>
                <w:rFonts w:asciiTheme="majorHAnsi" w:hAnsiTheme="majorHAnsi"/>
                <w:bCs/>
                <w:color w:val="000000" w:themeColor="text1"/>
                <w:sz w:val="18"/>
                <w:szCs w:val="18"/>
                <w:lang w:val="es-ES"/>
              </w:rPr>
              <w:t>página oficial d</w:t>
            </w:r>
            <w:r w:rsidR="00502BA4" w:rsidRPr="004768D0">
              <w:rPr>
                <w:rFonts w:asciiTheme="majorHAnsi" w:hAnsiTheme="majorHAnsi"/>
                <w:bCs/>
                <w:color w:val="000000" w:themeColor="text1"/>
                <w:sz w:val="18"/>
                <w:szCs w:val="18"/>
                <w:lang w:val="es-ES"/>
              </w:rPr>
              <w:t xml:space="preserve">el gobierno </w:t>
            </w:r>
            <w:r w:rsidR="00915936" w:rsidRPr="004768D0">
              <w:rPr>
                <w:rFonts w:asciiTheme="majorHAnsi" w:hAnsiTheme="majorHAnsi"/>
                <w:bCs/>
                <w:color w:val="000000" w:themeColor="text1"/>
                <w:sz w:val="18"/>
                <w:szCs w:val="18"/>
                <w:lang w:val="es-ES"/>
              </w:rPr>
              <w:t>estatal</w:t>
            </w:r>
            <w:r w:rsidR="00502BA4" w:rsidRPr="004768D0">
              <w:rPr>
                <w:rFonts w:asciiTheme="majorHAnsi" w:hAnsiTheme="majorHAnsi"/>
                <w:bCs/>
                <w:color w:val="000000" w:themeColor="text1"/>
                <w:sz w:val="18"/>
                <w:szCs w:val="18"/>
                <w:lang w:val="es-ES"/>
              </w:rPr>
              <w:t xml:space="preserve"> y en </w:t>
            </w:r>
            <w:r w:rsidR="00FE5F5D" w:rsidRPr="004768D0">
              <w:rPr>
                <w:rFonts w:asciiTheme="majorHAnsi" w:hAnsiTheme="majorHAnsi"/>
                <w:bCs/>
                <w:color w:val="000000" w:themeColor="text1"/>
                <w:sz w:val="18"/>
                <w:szCs w:val="18"/>
                <w:lang w:val="es-ES"/>
              </w:rPr>
              <w:t>sus</w:t>
            </w:r>
            <w:r w:rsidRPr="004768D0">
              <w:rPr>
                <w:rFonts w:asciiTheme="majorHAnsi" w:hAnsiTheme="majorHAnsi"/>
                <w:bCs/>
                <w:color w:val="000000" w:themeColor="text1"/>
                <w:sz w:val="18"/>
                <w:szCs w:val="18"/>
                <w:lang w:val="es-ES"/>
              </w:rPr>
              <w:t xml:space="preserve"> redes socia</w:t>
            </w:r>
            <w:r w:rsidR="00502BA4" w:rsidRPr="004768D0">
              <w:rPr>
                <w:rFonts w:asciiTheme="majorHAnsi" w:hAnsiTheme="majorHAnsi"/>
                <w:bCs/>
                <w:color w:val="000000" w:themeColor="text1"/>
                <w:sz w:val="18"/>
                <w:szCs w:val="18"/>
                <w:lang w:val="es-ES"/>
              </w:rPr>
              <w:t xml:space="preserve">les, con un enlace visible y por tiempo </w:t>
            </w:r>
            <w:r w:rsidRPr="004768D0">
              <w:rPr>
                <w:rFonts w:asciiTheme="majorHAnsi" w:hAnsiTheme="majorHAnsi"/>
                <w:bCs/>
                <w:color w:val="000000" w:themeColor="text1"/>
                <w:sz w:val="18"/>
                <w:szCs w:val="18"/>
                <w:lang w:val="es-ES"/>
              </w:rPr>
              <w:t>indeterminado, as</w:t>
            </w:r>
            <w:r w:rsidR="00030309" w:rsidRPr="004768D0">
              <w:rPr>
                <w:rFonts w:asciiTheme="majorHAnsi" w:hAnsiTheme="majorHAnsi"/>
                <w:bCs/>
                <w:color w:val="000000" w:themeColor="text1"/>
                <w:sz w:val="18"/>
                <w:szCs w:val="18"/>
                <w:lang w:val="es-ES"/>
              </w:rPr>
              <w:t xml:space="preserve">í como en los archivos </w:t>
            </w:r>
            <w:r w:rsidRPr="004768D0">
              <w:rPr>
                <w:rFonts w:asciiTheme="majorHAnsi" w:hAnsiTheme="majorHAnsi"/>
                <w:bCs/>
                <w:color w:val="000000" w:themeColor="text1"/>
                <w:sz w:val="18"/>
                <w:szCs w:val="18"/>
                <w:lang w:val="es-ES"/>
              </w:rPr>
              <w:t xml:space="preserve">públicos </w:t>
            </w:r>
            <w:r w:rsidR="00462731" w:rsidRPr="004768D0">
              <w:rPr>
                <w:rFonts w:asciiTheme="majorHAnsi" w:hAnsiTheme="majorHAnsi"/>
                <w:bCs/>
                <w:color w:val="000000" w:themeColor="text1"/>
                <w:sz w:val="18"/>
                <w:szCs w:val="18"/>
                <w:lang w:val="es-ES"/>
              </w:rPr>
              <w:t>estatales</w:t>
            </w:r>
            <w:r w:rsidRPr="004768D0">
              <w:rPr>
                <w:rFonts w:asciiTheme="majorHAnsi" w:hAnsiTheme="majorHAnsi"/>
                <w:bCs/>
                <w:color w:val="000000" w:themeColor="text1"/>
                <w:sz w:val="18"/>
                <w:szCs w:val="18"/>
                <w:lang w:val="es-ES"/>
              </w:rPr>
              <w:t xml:space="preserve">; </w:t>
            </w:r>
          </w:p>
          <w:p w14:paraId="0FD3F1AF" w14:textId="77777777" w:rsidR="00654B53" w:rsidRPr="004768D0" w:rsidRDefault="00654B53" w:rsidP="00030309">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vii) </w:t>
            </w:r>
            <w:r w:rsidR="00915936" w:rsidRPr="004768D0">
              <w:rPr>
                <w:rFonts w:asciiTheme="majorHAnsi" w:hAnsiTheme="majorHAnsi"/>
                <w:bCs/>
                <w:color w:val="000000" w:themeColor="text1"/>
                <w:sz w:val="18"/>
                <w:szCs w:val="18"/>
                <w:lang w:val="es-ES"/>
              </w:rPr>
              <w:t>que se condenara al</w:t>
            </w:r>
            <w:r w:rsidRPr="004768D0">
              <w:rPr>
                <w:rFonts w:asciiTheme="majorHAnsi" w:hAnsiTheme="majorHAnsi"/>
                <w:bCs/>
                <w:color w:val="000000" w:themeColor="text1"/>
                <w:sz w:val="18"/>
                <w:szCs w:val="18"/>
                <w:lang w:val="es-ES"/>
              </w:rPr>
              <w:t xml:space="preserve"> r</w:t>
            </w:r>
            <w:r w:rsidR="00030309" w:rsidRPr="004768D0">
              <w:rPr>
                <w:rFonts w:asciiTheme="majorHAnsi" w:hAnsiTheme="majorHAnsi"/>
                <w:bCs/>
                <w:color w:val="000000" w:themeColor="text1"/>
                <w:sz w:val="18"/>
                <w:szCs w:val="18"/>
                <w:lang w:val="es-ES"/>
              </w:rPr>
              <w:t>eo a pagar las costas del proceso, con las debidas actualizaciones monetarias</w:t>
            </w:r>
            <w:r w:rsidRPr="004768D0">
              <w:rPr>
                <w:rFonts w:asciiTheme="majorHAnsi" w:hAnsiTheme="majorHAnsi"/>
                <w:bCs/>
                <w:color w:val="000000" w:themeColor="text1"/>
                <w:sz w:val="18"/>
                <w:szCs w:val="18"/>
                <w:lang w:val="es-ES"/>
              </w:rPr>
              <w:t xml:space="preserve">. </w:t>
            </w:r>
          </w:p>
        </w:tc>
      </w:tr>
      <w:tr w:rsidR="00654B53" w:rsidRPr="008D6F96" w14:paraId="6EACD761" w14:textId="77777777" w:rsidTr="0080214D">
        <w:tc>
          <w:tcPr>
            <w:tcW w:w="2263" w:type="dxa"/>
            <w:tcBorders>
              <w:bottom w:val="single" w:sz="12" w:space="0" w:color="auto"/>
            </w:tcBorders>
            <w:shd w:val="clear" w:color="auto" w:fill="D9D9D9" w:themeFill="background1" w:themeFillShade="D9"/>
          </w:tcPr>
          <w:p w14:paraId="74AD76C8" w14:textId="77777777" w:rsidR="000F34D0" w:rsidRPr="004768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es-ES"/>
              </w:rPr>
            </w:pPr>
          </w:p>
          <w:p w14:paraId="3DB2BC69" w14:textId="77777777" w:rsidR="000F34D0" w:rsidRPr="004768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es-ES"/>
              </w:rPr>
            </w:pPr>
          </w:p>
          <w:p w14:paraId="0CF2D566" w14:textId="77777777" w:rsidR="000F34D0" w:rsidRPr="004768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es-ES"/>
              </w:rPr>
            </w:pPr>
          </w:p>
          <w:p w14:paraId="5AF167F2" w14:textId="77777777" w:rsidR="000F34D0" w:rsidRPr="004768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es-ES"/>
              </w:rPr>
            </w:pPr>
          </w:p>
          <w:p w14:paraId="7A2D8A19" w14:textId="77777777" w:rsidR="00654B53" w:rsidRPr="004768D0" w:rsidRDefault="00654B53" w:rsidP="00D04E5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color w:val="000000" w:themeColor="text1"/>
                <w:sz w:val="18"/>
                <w:szCs w:val="18"/>
                <w:lang w:val="es-ES"/>
              </w:rPr>
            </w:pPr>
            <w:r w:rsidRPr="004768D0">
              <w:rPr>
                <w:rFonts w:asciiTheme="majorHAnsi" w:hAnsiTheme="majorHAnsi"/>
                <w:b/>
                <w:color w:val="000000" w:themeColor="text1"/>
                <w:sz w:val="18"/>
                <w:szCs w:val="18"/>
                <w:lang w:val="es-ES"/>
              </w:rPr>
              <w:t>Medidas de no</w:t>
            </w:r>
            <w:r w:rsidR="00D04E5A" w:rsidRPr="004768D0">
              <w:rPr>
                <w:rFonts w:asciiTheme="majorHAnsi" w:hAnsiTheme="majorHAnsi"/>
                <w:b/>
                <w:color w:val="000000" w:themeColor="text1"/>
                <w:sz w:val="18"/>
                <w:szCs w:val="18"/>
                <w:lang w:val="es-ES"/>
              </w:rPr>
              <w:t xml:space="preserve"> </w:t>
            </w:r>
            <w:r w:rsidRPr="004768D0">
              <w:rPr>
                <w:rFonts w:asciiTheme="majorHAnsi" w:hAnsiTheme="majorHAnsi"/>
                <w:b/>
                <w:color w:val="000000" w:themeColor="text1"/>
                <w:sz w:val="18"/>
                <w:szCs w:val="18"/>
                <w:lang w:val="es-ES"/>
              </w:rPr>
              <w:t>repeti</w:t>
            </w:r>
            <w:r w:rsidR="00D04E5A" w:rsidRPr="004768D0">
              <w:rPr>
                <w:rFonts w:asciiTheme="majorHAnsi" w:hAnsiTheme="majorHAnsi"/>
                <w:b/>
                <w:color w:val="000000" w:themeColor="text1"/>
                <w:sz w:val="18"/>
                <w:szCs w:val="18"/>
                <w:lang w:val="es-ES"/>
              </w:rPr>
              <w:t>ción</w:t>
            </w:r>
            <w:r w:rsidRPr="004768D0">
              <w:rPr>
                <w:rFonts w:asciiTheme="majorHAnsi" w:hAnsiTheme="majorHAnsi"/>
                <w:b/>
                <w:color w:val="000000" w:themeColor="text1"/>
                <w:sz w:val="18"/>
                <w:szCs w:val="18"/>
                <w:lang w:val="es-ES"/>
              </w:rPr>
              <w:t xml:space="preserve"> (</w:t>
            </w:r>
            <w:r w:rsidRPr="004768D0">
              <w:rPr>
                <w:rFonts w:ascii="Cambria" w:hAnsi="Cambria"/>
                <w:b/>
                <w:sz w:val="18"/>
                <w:szCs w:val="18"/>
                <w:lang w:val="es-ES"/>
              </w:rPr>
              <w:t>constru</w:t>
            </w:r>
            <w:r w:rsidR="00D04E5A" w:rsidRPr="004768D0">
              <w:rPr>
                <w:rFonts w:ascii="Cambria" w:hAnsi="Cambria"/>
                <w:b/>
                <w:sz w:val="18"/>
                <w:szCs w:val="18"/>
                <w:lang w:val="es-ES"/>
              </w:rPr>
              <w:t>cción</w:t>
            </w:r>
            <w:r w:rsidRPr="004768D0">
              <w:rPr>
                <w:rFonts w:ascii="Cambria" w:hAnsi="Cambria"/>
                <w:b/>
                <w:sz w:val="18"/>
                <w:szCs w:val="18"/>
                <w:lang w:val="es-ES"/>
              </w:rPr>
              <w:t xml:space="preserve"> de u</w:t>
            </w:r>
            <w:r w:rsidR="00D04E5A" w:rsidRPr="004768D0">
              <w:rPr>
                <w:rFonts w:ascii="Cambria" w:hAnsi="Cambria"/>
                <w:b/>
                <w:sz w:val="18"/>
                <w:szCs w:val="18"/>
                <w:lang w:val="es-ES"/>
              </w:rPr>
              <w:t>n</w:t>
            </w:r>
            <w:r w:rsidRPr="004768D0">
              <w:rPr>
                <w:rFonts w:ascii="Cambria" w:hAnsi="Cambria"/>
                <w:b/>
                <w:sz w:val="18"/>
                <w:szCs w:val="18"/>
                <w:lang w:val="es-ES"/>
              </w:rPr>
              <w:t xml:space="preserve"> monumento </w:t>
            </w:r>
            <w:r w:rsidR="009A17FD" w:rsidRPr="004768D0">
              <w:rPr>
                <w:rFonts w:ascii="Cambria" w:hAnsi="Cambria"/>
                <w:b/>
                <w:sz w:val="18"/>
                <w:szCs w:val="18"/>
                <w:lang w:val="es-ES"/>
              </w:rPr>
              <w:t>en la ciudad de</w:t>
            </w:r>
            <w:r w:rsidRPr="004768D0">
              <w:rPr>
                <w:rFonts w:ascii="Cambria" w:hAnsi="Cambria"/>
                <w:b/>
                <w:sz w:val="18"/>
                <w:szCs w:val="18"/>
                <w:lang w:val="es-ES"/>
              </w:rPr>
              <w:t xml:space="preserve"> Santos </w:t>
            </w:r>
            <w:r w:rsidR="00D04E5A" w:rsidRPr="004768D0">
              <w:rPr>
                <w:rFonts w:ascii="Cambria" w:hAnsi="Cambria"/>
                <w:b/>
                <w:sz w:val="18"/>
                <w:szCs w:val="18"/>
                <w:lang w:val="es-ES"/>
              </w:rPr>
              <w:t xml:space="preserve">y elaboración y aprobación </w:t>
            </w:r>
            <w:r w:rsidRPr="004768D0">
              <w:rPr>
                <w:rFonts w:ascii="Cambria" w:hAnsi="Cambria"/>
                <w:b/>
                <w:sz w:val="18"/>
                <w:szCs w:val="18"/>
                <w:lang w:val="es-ES"/>
              </w:rPr>
              <w:t xml:space="preserve">de normas administrativas </w:t>
            </w:r>
            <w:r w:rsidR="00D04E5A" w:rsidRPr="004768D0">
              <w:rPr>
                <w:rFonts w:ascii="Cambria" w:hAnsi="Cambria"/>
                <w:b/>
                <w:sz w:val="18"/>
                <w:szCs w:val="18"/>
                <w:lang w:val="es-ES"/>
              </w:rPr>
              <w:t>y</w:t>
            </w:r>
            <w:r w:rsidRPr="004768D0">
              <w:rPr>
                <w:rFonts w:ascii="Cambria" w:hAnsi="Cambria"/>
                <w:b/>
                <w:sz w:val="18"/>
                <w:szCs w:val="18"/>
                <w:lang w:val="es-ES"/>
              </w:rPr>
              <w:t xml:space="preserve"> legislativas </w:t>
            </w:r>
            <w:r w:rsidR="00D04E5A" w:rsidRPr="004768D0">
              <w:rPr>
                <w:rFonts w:ascii="Cambria" w:hAnsi="Cambria"/>
                <w:b/>
                <w:sz w:val="18"/>
                <w:szCs w:val="18"/>
                <w:lang w:val="es-ES"/>
              </w:rPr>
              <w:t xml:space="preserve">que dispongan que los </w:t>
            </w:r>
            <w:r w:rsidRPr="004768D0">
              <w:rPr>
                <w:rFonts w:ascii="Cambria" w:hAnsi="Cambria"/>
                <w:b/>
                <w:sz w:val="18"/>
                <w:szCs w:val="18"/>
                <w:lang w:val="es-ES"/>
              </w:rPr>
              <w:t>casos de e</w:t>
            </w:r>
            <w:r w:rsidR="00D04E5A" w:rsidRPr="004768D0">
              <w:rPr>
                <w:rFonts w:ascii="Cambria" w:hAnsi="Cambria"/>
                <w:b/>
                <w:sz w:val="18"/>
                <w:szCs w:val="18"/>
                <w:lang w:val="es-ES"/>
              </w:rPr>
              <w:t xml:space="preserve">jecución </w:t>
            </w:r>
            <w:r w:rsidRPr="004768D0">
              <w:rPr>
                <w:rFonts w:ascii="Cambria" w:hAnsi="Cambria"/>
                <w:b/>
                <w:sz w:val="18"/>
                <w:szCs w:val="18"/>
                <w:lang w:val="es-ES"/>
              </w:rPr>
              <w:t>sum</w:t>
            </w:r>
            <w:r w:rsidR="00D04E5A" w:rsidRPr="004768D0">
              <w:rPr>
                <w:rFonts w:ascii="Cambria" w:hAnsi="Cambria"/>
                <w:b/>
                <w:sz w:val="18"/>
                <w:szCs w:val="18"/>
                <w:lang w:val="es-ES"/>
              </w:rPr>
              <w:t>a</w:t>
            </w:r>
            <w:r w:rsidRPr="004768D0">
              <w:rPr>
                <w:rFonts w:ascii="Cambria" w:hAnsi="Cambria"/>
                <w:b/>
                <w:sz w:val="18"/>
                <w:szCs w:val="18"/>
                <w:lang w:val="es-ES"/>
              </w:rPr>
              <w:t xml:space="preserve">ria </w:t>
            </w:r>
            <w:r w:rsidR="00D04E5A" w:rsidRPr="004768D0">
              <w:rPr>
                <w:rFonts w:ascii="Cambria" w:hAnsi="Cambria"/>
                <w:b/>
                <w:sz w:val="18"/>
                <w:szCs w:val="18"/>
                <w:lang w:val="es-ES"/>
              </w:rPr>
              <w:t xml:space="preserve">deben ser </w:t>
            </w:r>
            <w:r w:rsidRPr="004768D0">
              <w:rPr>
                <w:rFonts w:ascii="Cambria" w:hAnsi="Cambria"/>
                <w:b/>
                <w:sz w:val="18"/>
                <w:szCs w:val="18"/>
                <w:lang w:val="es-ES"/>
              </w:rPr>
              <w:t>investigados co</w:t>
            </w:r>
            <w:r w:rsidR="00D04E5A" w:rsidRPr="004768D0">
              <w:rPr>
                <w:rFonts w:ascii="Cambria" w:hAnsi="Cambria"/>
                <w:b/>
                <w:sz w:val="18"/>
                <w:szCs w:val="18"/>
                <w:lang w:val="es-ES"/>
              </w:rPr>
              <w:t>n</w:t>
            </w:r>
            <w:r w:rsidRPr="004768D0">
              <w:rPr>
                <w:rFonts w:ascii="Cambria" w:hAnsi="Cambria"/>
                <w:b/>
                <w:sz w:val="18"/>
                <w:szCs w:val="18"/>
                <w:lang w:val="es-ES"/>
              </w:rPr>
              <w:t xml:space="preserve"> </w:t>
            </w:r>
            <w:r w:rsidR="00D04E5A" w:rsidRPr="004768D0">
              <w:rPr>
                <w:rFonts w:ascii="Cambria" w:hAnsi="Cambria"/>
                <w:b/>
                <w:sz w:val="18"/>
                <w:szCs w:val="18"/>
                <w:lang w:val="es-ES"/>
              </w:rPr>
              <w:t xml:space="preserve">carácter prioritario, de acuerdo con </w:t>
            </w:r>
            <w:r w:rsidR="00CF044D" w:rsidRPr="004768D0">
              <w:rPr>
                <w:rFonts w:ascii="Cambria" w:hAnsi="Cambria"/>
                <w:b/>
                <w:sz w:val="18"/>
                <w:szCs w:val="18"/>
                <w:lang w:val="es-ES"/>
              </w:rPr>
              <w:t>las</w:t>
            </w:r>
            <w:r w:rsidRPr="004768D0">
              <w:rPr>
                <w:rFonts w:ascii="Cambria" w:hAnsi="Cambria"/>
                <w:b/>
                <w:sz w:val="18"/>
                <w:szCs w:val="18"/>
                <w:lang w:val="es-ES"/>
              </w:rPr>
              <w:t xml:space="preserve"> normas internaciona</w:t>
            </w:r>
            <w:r w:rsidR="00D04E5A" w:rsidRPr="004768D0">
              <w:rPr>
                <w:rFonts w:ascii="Cambria" w:hAnsi="Cambria"/>
                <w:b/>
                <w:sz w:val="18"/>
                <w:szCs w:val="18"/>
                <w:lang w:val="es-ES"/>
              </w:rPr>
              <w:t>le</w:t>
            </w:r>
            <w:r w:rsidRPr="004768D0">
              <w:rPr>
                <w:rFonts w:ascii="Cambria" w:hAnsi="Cambria"/>
                <w:b/>
                <w:sz w:val="18"/>
                <w:szCs w:val="18"/>
                <w:lang w:val="es-ES"/>
              </w:rPr>
              <w:t>s</w:t>
            </w:r>
            <w:r w:rsidR="005912C9">
              <w:rPr>
                <w:rFonts w:ascii="Cambria" w:hAnsi="Cambria"/>
                <w:b/>
                <w:sz w:val="18"/>
                <w:szCs w:val="18"/>
                <w:lang w:val="es-ES"/>
              </w:rPr>
              <w:t xml:space="preserve">, y </w:t>
            </w:r>
            <w:r w:rsidRPr="004768D0">
              <w:rPr>
                <w:rFonts w:ascii="Cambria" w:hAnsi="Cambria"/>
                <w:b/>
                <w:sz w:val="18"/>
                <w:szCs w:val="18"/>
                <w:lang w:val="es-ES"/>
              </w:rPr>
              <w:t>capacita</w:t>
            </w:r>
            <w:r w:rsidR="00D04E5A" w:rsidRPr="004768D0">
              <w:rPr>
                <w:rFonts w:ascii="Cambria" w:hAnsi="Cambria"/>
                <w:b/>
                <w:sz w:val="18"/>
                <w:szCs w:val="18"/>
                <w:lang w:val="es-ES"/>
              </w:rPr>
              <w:t xml:space="preserve">ción </w:t>
            </w:r>
            <w:r w:rsidRPr="004768D0">
              <w:rPr>
                <w:rFonts w:ascii="Cambria" w:hAnsi="Cambria"/>
                <w:b/>
                <w:sz w:val="18"/>
                <w:szCs w:val="18"/>
                <w:lang w:val="es-ES"/>
              </w:rPr>
              <w:t xml:space="preserve">de agentes </w:t>
            </w:r>
            <w:r w:rsidR="00D04E5A" w:rsidRPr="004768D0">
              <w:rPr>
                <w:rFonts w:ascii="Cambria" w:hAnsi="Cambria"/>
                <w:b/>
                <w:sz w:val="18"/>
                <w:szCs w:val="18"/>
                <w:lang w:val="es-ES"/>
              </w:rPr>
              <w:t xml:space="preserve">de policía y funcionarios del </w:t>
            </w:r>
            <w:r w:rsidR="00F154A0" w:rsidRPr="004768D0">
              <w:rPr>
                <w:rFonts w:ascii="Cambria" w:hAnsi="Cambria"/>
                <w:b/>
                <w:sz w:val="18"/>
                <w:szCs w:val="18"/>
                <w:lang w:val="es-ES"/>
              </w:rPr>
              <w:t>Ministerio</w:t>
            </w:r>
            <w:r w:rsidRPr="004768D0">
              <w:rPr>
                <w:rFonts w:ascii="Cambria" w:hAnsi="Cambria"/>
                <w:b/>
                <w:sz w:val="18"/>
                <w:szCs w:val="18"/>
                <w:lang w:val="es-ES"/>
              </w:rPr>
              <w:t xml:space="preserve"> Público </w:t>
            </w:r>
            <w:r w:rsidR="00D04E5A" w:rsidRPr="004768D0">
              <w:rPr>
                <w:rFonts w:ascii="Cambria" w:hAnsi="Cambria"/>
                <w:b/>
                <w:sz w:val="18"/>
                <w:szCs w:val="18"/>
                <w:lang w:val="es-ES"/>
              </w:rPr>
              <w:t xml:space="preserve">sobre el seguimiento de las </w:t>
            </w:r>
            <w:r w:rsidR="00E04ED3" w:rsidRPr="004768D0">
              <w:rPr>
                <w:rFonts w:ascii="Cambria" w:hAnsi="Cambria"/>
                <w:b/>
                <w:sz w:val="18"/>
                <w:szCs w:val="18"/>
                <w:lang w:val="es-ES"/>
              </w:rPr>
              <w:t>investigaciones</w:t>
            </w:r>
            <w:r w:rsidRPr="004768D0">
              <w:rPr>
                <w:rFonts w:ascii="Cambria" w:hAnsi="Cambria"/>
                <w:b/>
                <w:sz w:val="18"/>
                <w:szCs w:val="18"/>
                <w:lang w:val="es-ES"/>
              </w:rPr>
              <w:t xml:space="preserve"> </w:t>
            </w:r>
            <w:r w:rsidR="00D04E5A" w:rsidRPr="004768D0">
              <w:rPr>
                <w:rFonts w:ascii="Cambria" w:hAnsi="Cambria"/>
                <w:b/>
                <w:sz w:val="18"/>
                <w:szCs w:val="18"/>
                <w:lang w:val="es-ES"/>
              </w:rPr>
              <w:t>y el</w:t>
            </w:r>
            <w:r w:rsidRPr="004768D0">
              <w:rPr>
                <w:rFonts w:ascii="Cambria" w:hAnsi="Cambria"/>
                <w:b/>
                <w:sz w:val="18"/>
                <w:szCs w:val="18"/>
                <w:lang w:val="es-ES"/>
              </w:rPr>
              <w:t xml:space="preserve"> tratam</w:t>
            </w:r>
            <w:r w:rsidR="00D04E5A" w:rsidRPr="004768D0">
              <w:rPr>
                <w:rFonts w:ascii="Cambria" w:hAnsi="Cambria"/>
                <w:b/>
                <w:sz w:val="18"/>
                <w:szCs w:val="18"/>
                <w:lang w:val="es-ES"/>
              </w:rPr>
              <w:t>i</w:t>
            </w:r>
            <w:r w:rsidRPr="004768D0">
              <w:rPr>
                <w:rFonts w:ascii="Cambria" w:hAnsi="Cambria"/>
                <w:b/>
                <w:sz w:val="18"/>
                <w:szCs w:val="18"/>
                <w:lang w:val="es-ES"/>
              </w:rPr>
              <w:t>ento d</w:t>
            </w:r>
            <w:r w:rsidR="00D04E5A" w:rsidRPr="004768D0">
              <w:rPr>
                <w:rFonts w:ascii="Cambria" w:hAnsi="Cambria"/>
                <w:b/>
                <w:sz w:val="18"/>
                <w:szCs w:val="18"/>
                <w:lang w:val="es-ES"/>
              </w:rPr>
              <w:t>e l</w:t>
            </w:r>
            <w:r w:rsidRPr="004768D0">
              <w:rPr>
                <w:rFonts w:ascii="Cambria" w:hAnsi="Cambria"/>
                <w:b/>
                <w:sz w:val="18"/>
                <w:szCs w:val="18"/>
                <w:lang w:val="es-ES"/>
              </w:rPr>
              <w:t xml:space="preserve">as </w:t>
            </w:r>
            <w:r w:rsidR="00000CF9" w:rsidRPr="004768D0">
              <w:rPr>
                <w:rFonts w:ascii="Cambria" w:hAnsi="Cambria"/>
                <w:b/>
                <w:sz w:val="18"/>
                <w:szCs w:val="18"/>
                <w:lang w:val="es-ES"/>
              </w:rPr>
              <w:t>víctimas</w:t>
            </w:r>
            <w:r w:rsidRPr="004768D0">
              <w:rPr>
                <w:rFonts w:ascii="Cambria" w:hAnsi="Cambria"/>
                <w:b/>
                <w:sz w:val="18"/>
                <w:szCs w:val="18"/>
                <w:lang w:val="es-ES"/>
              </w:rPr>
              <w:t>).</w:t>
            </w:r>
          </w:p>
        </w:tc>
        <w:tc>
          <w:tcPr>
            <w:tcW w:w="7087" w:type="dxa"/>
            <w:tcBorders>
              <w:bottom w:val="single" w:sz="12" w:space="0" w:color="auto"/>
            </w:tcBorders>
            <w:shd w:val="clear" w:color="auto" w:fill="D9D9D9" w:themeFill="background1" w:themeFillShade="D9"/>
          </w:tcPr>
          <w:p w14:paraId="4017E375"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p>
          <w:p w14:paraId="6F7DDB70"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E</w:t>
            </w:r>
            <w:r w:rsidR="006C0B01"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 9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de 2014, </w:t>
            </w:r>
            <w:r w:rsidR="006C0B01"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a </w:t>
            </w:r>
            <w:r w:rsidR="006C0B01" w:rsidRPr="004768D0">
              <w:rPr>
                <w:rFonts w:asciiTheme="majorHAnsi" w:hAnsiTheme="majorHAnsi"/>
                <w:bCs/>
                <w:color w:val="000000" w:themeColor="text1"/>
                <w:sz w:val="18"/>
                <w:szCs w:val="18"/>
                <w:lang w:val="es-ES"/>
              </w:rPr>
              <w:t>Cámara</w:t>
            </w:r>
            <w:r w:rsidRPr="004768D0">
              <w:rPr>
                <w:rFonts w:asciiTheme="majorHAnsi" w:hAnsiTheme="majorHAnsi"/>
                <w:bCs/>
                <w:color w:val="000000" w:themeColor="text1"/>
                <w:sz w:val="18"/>
                <w:szCs w:val="18"/>
                <w:lang w:val="es-ES"/>
              </w:rPr>
              <w:t xml:space="preserve"> Municipal de Santos </w:t>
            </w:r>
            <w:r w:rsidR="006C0B01" w:rsidRPr="004768D0">
              <w:rPr>
                <w:rFonts w:asciiTheme="majorHAnsi" w:hAnsiTheme="majorHAnsi"/>
                <w:bCs/>
                <w:color w:val="000000" w:themeColor="text1"/>
                <w:sz w:val="18"/>
                <w:szCs w:val="18"/>
                <w:lang w:val="es-ES"/>
              </w:rPr>
              <w:t>rindió homenaje al Movimiento</w:t>
            </w:r>
            <w:r w:rsidRPr="004768D0">
              <w:rPr>
                <w:rFonts w:asciiTheme="majorHAnsi" w:hAnsiTheme="majorHAnsi"/>
                <w:bCs/>
                <w:color w:val="000000" w:themeColor="text1"/>
                <w:sz w:val="18"/>
                <w:szCs w:val="18"/>
                <w:lang w:val="es-ES"/>
              </w:rPr>
              <w:t xml:space="preserve">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con l</w:t>
            </w:r>
            <w:r w:rsidRPr="004768D0">
              <w:rPr>
                <w:rFonts w:asciiTheme="majorHAnsi" w:hAnsiTheme="majorHAnsi"/>
                <w:bCs/>
                <w:color w:val="000000" w:themeColor="text1"/>
                <w:sz w:val="18"/>
                <w:szCs w:val="18"/>
                <w:lang w:val="es-ES"/>
              </w:rPr>
              <w:t xml:space="preserve">a </w:t>
            </w:r>
            <w:r w:rsidR="006C0B01" w:rsidRPr="004768D0">
              <w:rPr>
                <w:rFonts w:asciiTheme="majorHAnsi" w:hAnsiTheme="majorHAnsi"/>
                <w:bCs/>
                <w:color w:val="000000" w:themeColor="text1"/>
                <w:sz w:val="18"/>
                <w:szCs w:val="18"/>
                <w:lang w:val="es-ES"/>
              </w:rPr>
              <w:t>entrega de la medalla de honor al</w:t>
            </w:r>
            <w:r w:rsidRPr="004768D0">
              <w:rPr>
                <w:rFonts w:asciiTheme="majorHAnsi" w:hAnsiTheme="majorHAnsi"/>
                <w:bCs/>
                <w:color w:val="000000" w:themeColor="text1"/>
                <w:sz w:val="18"/>
                <w:szCs w:val="18"/>
                <w:lang w:val="es-ES"/>
              </w:rPr>
              <w:t xml:space="preserve"> </w:t>
            </w:r>
            <w:r w:rsidR="00D05578">
              <w:rPr>
                <w:rFonts w:asciiTheme="majorHAnsi" w:hAnsiTheme="majorHAnsi"/>
                <w:bCs/>
                <w:color w:val="000000" w:themeColor="text1"/>
                <w:sz w:val="18"/>
                <w:szCs w:val="18"/>
                <w:lang w:val="es-ES"/>
              </w:rPr>
              <w:t>fondo</w:t>
            </w:r>
            <w:r w:rsidRPr="004768D0">
              <w:rPr>
                <w:rFonts w:asciiTheme="majorHAnsi" w:hAnsiTheme="majorHAnsi"/>
                <w:bCs/>
                <w:color w:val="000000" w:themeColor="text1"/>
                <w:sz w:val="18"/>
                <w:szCs w:val="18"/>
                <w:lang w:val="es-ES"/>
              </w:rPr>
              <w:t xml:space="preserve"> </w:t>
            </w:r>
            <w:proofErr w:type="spellStart"/>
            <w:r w:rsidRPr="004768D0">
              <w:rPr>
                <w:rFonts w:asciiTheme="majorHAnsi" w:hAnsiTheme="majorHAnsi"/>
                <w:bCs/>
                <w:color w:val="000000" w:themeColor="text1"/>
                <w:sz w:val="18"/>
                <w:szCs w:val="18"/>
                <w:lang w:val="es-ES"/>
              </w:rPr>
              <w:t>Braz</w:t>
            </w:r>
            <w:proofErr w:type="spellEnd"/>
            <w:r w:rsidRPr="004768D0">
              <w:rPr>
                <w:rFonts w:asciiTheme="majorHAnsi" w:hAnsiTheme="majorHAnsi"/>
                <w:bCs/>
                <w:color w:val="000000" w:themeColor="text1"/>
                <w:sz w:val="18"/>
                <w:szCs w:val="18"/>
                <w:lang w:val="es-ES"/>
              </w:rPr>
              <w:t xml:space="preserve"> Cubas. </w:t>
            </w:r>
            <w:r w:rsidR="006C0B01" w:rsidRPr="004768D0">
              <w:rPr>
                <w:rFonts w:asciiTheme="majorHAnsi" w:hAnsiTheme="majorHAnsi"/>
                <w:bCs/>
                <w:color w:val="000000" w:themeColor="text1"/>
                <w:sz w:val="18"/>
                <w:szCs w:val="18"/>
                <w:lang w:val="es-ES"/>
              </w:rPr>
              <w:t xml:space="preserve">Dicho homenaje se basó en la labor desarrollada por la </w:t>
            </w:r>
            <w:r w:rsidRPr="004768D0">
              <w:rPr>
                <w:rFonts w:asciiTheme="majorHAnsi" w:hAnsiTheme="majorHAnsi"/>
                <w:bCs/>
                <w:color w:val="000000" w:themeColor="text1"/>
                <w:sz w:val="18"/>
                <w:szCs w:val="18"/>
                <w:lang w:val="es-ES"/>
              </w:rPr>
              <w:t xml:space="preserve">entidad </w:t>
            </w:r>
            <w:r w:rsidR="006C0B01"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 xml:space="preserve">refleja la consideración atribuida por </w:t>
            </w:r>
            <w:r w:rsidR="00A07DD9" w:rsidRPr="004768D0">
              <w:rPr>
                <w:rFonts w:asciiTheme="majorHAnsi" w:hAnsiTheme="majorHAnsi"/>
                <w:bCs/>
                <w:color w:val="000000" w:themeColor="text1"/>
                <w:sz w:val="18"/>
                <w:szCs w:val="18"/>
                <w:lang w:val="es-ES"/>
              </w:rPr>
              <w:t>el Estado brasileño</w:t>
            </w:r>
            <w:r w:rsidRPr="004768D0">
              <w:rPr>
                <w:rFonts w:asciiTheme="majorHAnsi" w:hAnsiTheme="majorHAnsi"/>
                <w:bCs/>
                <w:color w:val="000000" w:themeColor="text1"/>
                <w:sz w:val="18"/>
                <w:szCs w:val="18"/>
                <w:lang w:val="es-ES"/>
              </w:rPr>
              <w:t xml:space="preserve"> a</w:t>
            </w:r>
            <w:r w:rsidR="006C0B01" w:rsidRPr="004768D0">
              <w:rPr>
                <w:rFonts w:asciiTheme="majorHAnsi" w:hAnsiTheme="majorHAnsi"/>
                <w:bCs/>
                <w:color w:val="000000" w:themeColor="text1"/>
                <w:sz w:val="18"/>
                <w:szCs w:val="18"/>
                <w:lang w:val="es-ES"/>
              </w:rPr>
              <w:t xml:space="preserve"> lo</w:t>
            </w:r>
            <w:r w:rsidRPr="004768D0">
              <w:rPr>
                <w:rFonts w:asciiTheme="majorHAnsi" w:hAnsiTheme="majorHAnsi"/>
                <w:bCs/>
                <w:color w:val="000000" w:themeColor="text1"/>
                <w:sz w:val="18"/>
                <w:szCs w:val="18"/>
                <w:lang w:val="es-ES"/>
              </w:rPr>
              <w:t xml:space="preserve">s </w:t>
            </w:r>
            <w:r w:rsidR="000C0AC4" w:rsidRPr="004768D0">
              <w:rPr>
                <w:rFonts w:asciiTheme="majorHAnsi" w:hAnsiTheme="majorHAnsi"/>
                <w:bCs/>
                <w:color w:val="000000" w:themeColor="text1"/>
                <w:sz w:val="18"/>
                <w:szCs w:val="18"/>
                <w:lang w:val="es-ES"/>
              </w:rPr>
              <w:t>hechos</w:t>
            </w:r>
            <w:r w:rsidRPr="004768D0">
              <w:rPr>
                <w:rFonts w:asciiTheme="majorHAnsi" w:hAnsiTheme="majorHAnsi"/>
                <w:bCs/>
                <w:color w:val="000000" w:themeColor="text1"/>
                <w:sz w:val="18"/>
                <w:szCs w:val="18"/>
                <w:lang w:val="es-ES"/>
              </w:rPr>
              <w:t xml:space="preserve"> oc</w:t>
            </w:r>
            <w:r w:rsidR="006C0B01" w:rsidRPr="004768D0">
              <w:rPr>
                <w:rFonts w:asciiTheme="majorHAnsi" w:hAnsiTheme="majorHAnsi"/>
                <w:bCs/>
                <w:color w:val="000000" w:themeColor="text1"/>
                <w:sz w:val="18"/>
                <w:szCs w:val="18"/>
                <w:lang w:val="es-ES"/>
              </w:rPr>
              <w:t>u</w:t>
            </w:r>
            <w:r w:rsidRPr="004768D0">
              <w:rPr>
                <w:rFonts w:asciiTheme="majorHAnsi" w:hAnsiTheme="majorHAnsi"/>
                <w:bCs/>
                <w:color w:val="000000" w:themeColor="text1"/>
                <w:sz w:val="18"/>
                <w:szCs w:val="18"/>
                <w:lang w:val="es-ES"/>
              </w:rPr>
              <w:t xml:space="preserve">rridos. </w:t>
            </w:r>
          </w:p>
          <w:p w14:paraId="4A585305"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Se aprobó la L</w:t>
            </w:r>
            <w:r w:rsidR="00915936" w:rsidRPr="004768D0">
              <w:rPr>
                <w:rFonts w:asciiTheme="majorHAnsi" w:hAnsiTheme="majorHAnsi"/>
                <w:bCs/>
                <w:color w:val="000000" w:themeColor="text1"/>
                <w:sz w:val="18"/>
                <w:szCs w:val="18"/>
                <w:lang w:val="es-ES"/>
              </w:rPr>
              <w:t>ey</w:t>
            </w:r>
            <w:r w:rsidRPr="004768D0">
              <w:rPr>
                <w:rFonts w:asciiTheme="majorHAnsi" w:hAnsiTheme="majorHAnsi"/>
                <w:bCs/>
                <w:color w:val="000000" w:themeColor="text1"/>
                <w:sz w:val="18"/>
                <w:szCs w:val="18"/>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Pr="004768D0">
              <w:rPr>
                <w:rFonts w:asciiTheme="majorHAnsi" w:hAnsiTheme="majorHAnsi"/>
                <w:bCs/>
                <w:color w:val="000000" w:themeColor="text1"/>
                <w:sz w:val="18"/>
                <w:szCs w:val="18"/>
                <w:lang w:val="es-ES"/>
              </w:rPr>
              <w:t xml:space="preserve"> 14.981, de</w:t>
            </w:r>
            <w:r w:rsidR="006C0B01"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 5 de abril de 2013, </w:t>
            </w:r>
            <w:r w:rsidR="006C0B01" w:rsidRPr="004768D0">
              <w:rPr>
                <w:rFonts w:asciiTheme="majorHAnsi" w:hAnsiTheme="majorHAnsi"/>
                <w:bCs/>
                <w:color w:val="000000" w:themeColor="text1"/>
                <w:sz w:val="18"/>
                <w:szCs w:val="18"/>
                <w:lang w:val="es-ES"/>
              </w:rPr>
              <w:t xml:space="preserve">mediante la cual se dispuso la inclusión del </w:t>
            </w:r>
            <w:r w:rsidR="004744F0" w:rsidRPr="004768D0">
              <w:rPr>
                <w:rFonts w:asciiTheme="majorHAnsi" w:hAnsiTheme="majorHAnsi"/>
                <w:bCs/>
                <w:color w:val="000000" w:themeColor="text1"/>
                <w:sz w:val="18"/>
                <w:szCs w:val="18"/>
                <w:lang w:val="es-ES"/>
              </w:rPr>
              <w:t>“</w:t>
            </w:r>
            <w:r w:rsidR="000A5DA2" w:rsidRPr="004768D0">
              <w:rPr>
                <w:rFonts w:asciiTheme="majorHAnsi" w:hAnsiTheme="majorHAnsi"/>
                <w:bCs/>
                <w:color w:val="000000" w:themeColor="text1"/>
                <w:sz w:val="18"/>
                <w:szCs w:val="18"/>
                <w:lang w:val="es-ES"/>
              </w:rPr>
              <w:t>Día</w:t>
            </w:r>
            <w:r w:rsidRPr="004768D0">
              <w:rPr>
                <w:rFonts w:asciiTheme="majorHAnsi" w:hAnsiTheme="majorHAnsi"/>
                <w:bCs/>
                <w:color w:val="000000" w:themeColor="text1"/>
                <w:sz w:val="18"/>
                <w:szCs w:val="18"/>
                <w:lang w:val="es-ES"/>
              </w:rPr>
              <w:t xml:space="preserve"> d</w:t>
            </w:r>
            <w:r w:rsidR="000A5DA2"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as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n</w:t>
            </w:r>
            <w:r w:rsidR="006C0B01" w:rsidRPr="004768D0">
              <w:rPr>
                <w:rFonts w:asciiTheme="majorHAnsi" w:hAnsiTheme="majorHAnsi"/>
                <w:bCs/>
                <w:color w:val="000000" w:themeColor="text1"/>
                <w:sz w:val="18"/>
                <w:szCs w:val="18"/>
                <w:lang w:val="es-ES"/>
              </w:rPr>
              <w:t xml:space="preserve"> el</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calendario</w:t>
            </w:r>
            <w:r w:rsidRPr="004768D0">
              <w:rPr>
                <w:rFonts w:asciiTheme="majorHAnsi" w:hAnsiTheme="majorHAnsi"/>
                <w:bCs/>
                <w:color w:val="000000" w:themeColor="text1"/>
                <w:sz w:val="18"/>
                <w:szCs w:val="18"/>
                <w:lang w:val="es-ES"/>
              </w:rPr>
              <w:t xml:space="preserve"> turístico d</w:t>
            </w:r>
            <w:r w:rsidR="006C0B01"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estado, e</w:t>
            </w:r>
            <w:r w:rsidR="006C0B01" w:rsidRPr="004768D0">
              <w:rPr>
                <w:rFonts w:asciiTheme="majorHAnsi" w:hAnsiTheme="majorHAnsi"/>
                <w:bCs/>
                <w:color w:val="000000" w:themeColor="text1"/>
                <w:sz w:val="18"/>
                <w:szCs w:val="18"/>
                <w:lang w:val="es-ES"/>
              </w:rPr>
              <w:t>n</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homenaje</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a la</w:t>
            </w:r>
            <w:r w:rsidRPr="004768D0">
              <w:rPr>
                <w:rFonts w:asciiTheme="majorHAnsi" w:hAnsiTheme="majorHAnsi"/>
                <w:bCs/>
                <w:color w:val="000000" w:themeColor="text1"/>
                <w:sz w:val="18"/>
                <w:szCs w:val="18"/>
                <w:lang w:val="es-ES"/>
              </w:rPr>
              <w:t xml:space="preserve">s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d</w:t>
            </w:r>
            <w:r w:rsidR="006C0B01" w:rsidRPr="004768D0">
              <w:rPr>
                <w:rFonts w:asciiTheme="majorHAnsi" w:hAnsiTheme="majorHAnsi"/>
                <w:bCs/>
                <w:color w:val="000000" w:themeColor="text1"/>
                <w:sz w:val="18"/>
                <w:szCs w:val="18"/>
                <w:lang w:val="es-ES"/>
              </w:rPr>
              <w:t>e los</w:t>
            </w:r>
            <w:r w:rsidRPr="004768D0">
              <w:rPr>
                <w:rFonts w:asciiTheme="majorHAnsi" w:hAnsiTheme="majorHAnsi"/>
                <w:bCs/>
                <w:color w:val="000000" w:themeColor="text1"/>
                <w:sz w:val="18"/>
                <w:szCs w:val="18"/>
                <w:lang w:val="es-ES"/>
              </w:rPr>
              <w:t xml:space="preserve"> </w:t>
            </w:r>
            <w:r w:rsidR="000C0AC4" w:rsidRPr="004768D0">
              <w:rPr>
                <w:rFonts w:asciiTheme="majorHAnsi" w:hAnsiTheme="majorHAnsi"/>
                <w:bCs/>
                <w:color w:val="000000" w:themeColor="text1"/>
                <w:sz w:val="18"/>
                <w:szCs w:val="18"/>
                <w:lang w:val="es-ES"/>
              </w:rPr>
              <w:t>hechos</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ocurridos</w:t>
            </w:r>
            <w:r w:rsidRPr="004768D0">
              <w:rPr>
                <w:rFonts w:asciiTheme="majorHAnsi" w:hAnsiTheme="majorHAnsi"/>
                <w:bCs/>
                <w:color w:val="000000" w:themeColor="text1"/>
                <w:sz w:val="18"/>
                <w:szCs w:val="18"/>
                <w:lang w:val="es-ES"/>
              </w:rPr>
              <w:t xml:space="preserve"> entre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de 2006 </w:t>
            </w:r>
            <w:r w:rsidR="006C0B01"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w:t>
            </w:r>
            <w:r w:rsidR="007F4608" w:rsidRPr="004768D0">
              <w:rPr>
                <w:rFonts w:asciiTheme="majorHAnsi" w:hAnsiTheme="majorHAnsi"/>
                <w:bCs/>
                <w:color w:val="000000" w:themeColor="text1"/>
                <w:sz w:val="18"/>
                <w:szCs w:val="18"/>
                <w:lang w:val="es-ES"/>
              </w:rPr>
              <w:t>marzo</w:t>
            </w:r>
            <w:r w:rsidRPr="004768D0">
              <w:rPr>
                <w:rFonts w:asciiTheme="majorHAnsi" w:hAnsiTheme="majorHAnsi"/>
                <w:bCs/>
                <w:color w:val="000000" w:themeColor="text1"/>
                <w:sz w:val="18"/>
                <w:szCs w:val="18"/>
                <w:lang w:val="es-ES"/>
              </w:rPr>
              <w:t xml:space="preserve"> de 2007 </w:t>
            </w:r>
            <w:r w:rsidR="006C0B01"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a </w:t>
            </w:r>
            <w:r w:rsidR="000C0AC4" w:rsidRPr="004768D0">
              <w:rPr>
                <w:rFonts w:asciiTheme="majorHAnsi" w:hAnsiTheme="majorHAnsi"/>
                <w:bCs/>
                <w:color w:val="000000" w:themeColor="text1"/>
                <w:sz w:val="18"/>
                <w:szCs w:val="18"/>
                <w:lang w:val="es-ES"/>
              </w:rPr>
              <w:t>sus</w:t>
            </w:r>
            <w:r w:rsidRPr="004768D0">
              <w:rPr>
                <w:rFonts w:asciiTheme="majorHAnsi" w:hAnsiTheme="majorHAnsi"/>
                <w:bCs/>
                <w:color w:val="000000" w:themeColor="text1"/>
                <w:sz w:val="18"/>
                <w:szCs w:val="18"/>
                <w:lang w:val="es-ES"/>
              </w:rPr>
              <w:t xml:space="preserve"> familiares. </w:t>
            </w:r>
          </w:p>
          <w:p w14:paraId="3975C00F"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Se aprobó la Ley</w:t>
            </w:r>
            <w:r w:rsidRPr="004768D0">
              <w:rPr>
                <w:rFonts w:asciiTheme="majorHAnsi" w:hAnsiTheme="majorHAnsi"/>
                <w:bCs/>
                <w:color w:val="000000" w:themeColor="text1"/>
                <w:sz w:val="18"/>
                <w:szCs w:val="18"/>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Pr="004768D0">
              <w:rPr>
                <w:rFonts w:asciiTheme="majorHAnsi" w:hAnsiTheme="majorHAnsi"/>
                <w:bCs/>
                <w:color w:val="000000" w:themeColor="text1"/>
                <w:sz w:val="18"/>
                <w:szCs w:val="18"/>
                <w:lang w:val="es-ES"/>
              </w:rPr>
              <w:t xml:space="preserve"> 15.501, de</w:t>
            </w:r>
            <w:r w:rsidR="006C0B01"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 16 de </w:t>
            </w:r>
            <w:r w:rsidR="007F4608" w:rsidRPr="004768D0">
              <w:rPr>
                <w:rFonts w:asciiTheme="majorHAnsi" w:hAnsiTheme="majorHAnsi"/>
                <w:bCs/>
                <w:color w:val="000000" w:themeColor="text1"/>
                <w:sz w:val="18"/>
                <w:szCs w:val="18"/>
                <w:lang w:val="es-ES"/>
              </w:rPr>
              <w:t>julio</w:t>
            </w:r>
            <w:r w:rsidRPr="004768D0">
              <w:rPr>
                <w:rFonts w:asciiTheme="majorHAnsi" w:hAnsiTheme="majorHAnsi"/>
                <w:bCs/>
                <w:color w:val="000000" w:themeColor="text1"/>
                <w:sz w:val="18"/>
                <w:szCs w:val="18"/>
                <w:lang w:val="es-ES"/>
              </w:rPr>
              <w:t xml:space="preserve"> de 2014, </w:t>
            </w:r>
            <w:r w:rsidR="006C0B01" w:rsidRPr="004768D0">
              <w:rPr>
                <w:rFonts w:asciiTheme="majorHAnsi" w:hAnsiTheme="majorHAnsi"/>
                <w:bCs/>
                <w:color w:val="000000" w:themeColor="text1"/>
                <w:sz w:val="18"/>
                <w:szCs w:val="18"/>
                <w:lang w:val="es-ES"/>
              </w:rPr>
              <w:t xml:space="preserve">mediante la cual se estableció la </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Semana </w:t>
            </w:r>
            <w:r w:rsidR="005912C9" w:rsidRPr="004768D0">
              <w:rPr>
                <w:rFonts w:asciiTheme="majorHAnsi" w:hAnsiTheme="majorHAnsi"/>
                <w:bCs/>
                <w:color w:val="000000" w:themeColor="text1"/>
                <w:sz w:val="18"/>
                <w:szCs w:val="18"/>
                <w:lang w:val="es-ES"/>
              </w:rPr>
              <w:t>estatal de las personas víctimas de violencia en el es</w:t>
            </w:r>
            <w:r w:rsidR="003C58C5" w:rsidRPr="004768D0">
              <w:rPr>
                <w:rFonts w:asciiTheme="majorHAnsi" w:hAnsiTheme="majorHAnsi"/>
                <w:bCs/>
                <w:color w:val="000000" w:themeColor="text1"/>
                <w:sz w:val="18"/>
                <w:szCs w:val="18"/>
                <w:lang w:val="es-ES"/>
              </w:rPr>
              <w:t>tado</w:t>
            </w:r>
            <w:r w:rsidRPr="004768D0">
              <w:rPr>
                <w:rFonts w:asciiTheme="majorHAnsi" w:hAnsiTheme="majorHAnsi"/>
                <w:bCs/>
                <w:color w:val="000000" w:themeColor="text1"/>
                <w:sz w:val="18"/>
                <w:szCs w:val="18"/>
                <w:lang w:val="es-ES"/>
              </w:rPr>
              <w:t xml:space="preserve"> de São Paulo</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 xml:space="preserve">que se celebra </w:t>
            </w:r>
            <w:r w:rsidRPr="004768D0">
              <w:rPr>
                <w:rFonts w:asciiTheme="majorHAnsi" w:hAnsiTheme="majorHAnsi"/>
                <w:bCs/>
                <w:color w:val="000000" w:themeColor="text1"/>
                <w:sz w:val="18"/>
                <w:szCs w:val="18"/>
                <w:lang w:val="es-ES"/>
              </w:rPr>
              <w:t>anualmente</w:t>
            </w:r>
            <w:r w:rsidR="006C0B01" w:rsidRPr="004768D0">
              <w:rPr>
                <w:rFonts w:asciiTheme="majorHAnsi" w:hAnsiTheme="majorHAnsi"/>
                <w:bCs/>
                <w:color w:val="000000" w:themeColor="text1"/>
                <w:sz w:val="18"/>
                <w:szCs w:val="18"/>
                <w:lang w:val="es-ES"/>
              </w:rPr>
              <w:t xml:space="preserve"> la </w:t>
            </w:r>
            <w:r w:rsidRPr="004768D0">
              <w:rPr>
                <w:rFonts w:asciiTheme="majorHAnsi" w:hAnsiTheme="majorHAnsi"/>
                <w:bCs/>
                <w:color w:val="000000" w:themeColor="text1"/>
                <w:sz w:val="18"/>
                <w:szCs w:val="18"/>
                <w:lang w:val="es-ES"/>
              </w:rPr>
              <w:t xml:space="preserve">semana </w:t>
            </w:r>
            <w:r w:rsidR="006C0B01" w:rsidRPr="004768D0">
              <w:rPr>
                <w:rFonts w:asciiTheme="majorHAnsi" w:hAnsiTheme="majorHAnsi"/>
                <w:bCs/>
                <w:color w:val="000000" w:themeColor="text1"/>
                <w:sz w:val="18"/>
                <w:szCs w:val="18"/>
                <w:lang w:val="es-ES"/>
              </w:rPr>
              <w:t xml:space="preserve">del </w:t>
            </w:r>
            <w:r w:rsidRPr="004768D0">
              <w:rPr>
                <w:rFonts w:asciiTheme="majorHAnsi" w:hAnsiTheme="majorHAnsi"/>
                <w:bCs/>
                <w:color w:val="000000" w:themeColor="text1"/>
                <w:sz w:val="18"/>
                <w:szCs w:val="18"/>
                <w:lang w:val="es-ES"/>
              </w:rPr>
              <w:t xml:space="preserve">12 </w:t>
            </w:r>
            <w:r w:rsidR="006C0B01" w:rsidRPr="004768D0">
              <w:rPr>
                <w:rFonts w:asciiTheme="majorHAnsi" w:hAnsiTheme="majorHAnsi"/>
                <w:bCs/>
                <w:color w:val="000000" w:themeColor="text1"/>
                <w:sz w:val="18"/>
                <w:szCs w:val="18"/>
                <w:lang w:val="es-ES"/>
              </w:rPr>
              <w:t>al</w:t>
            </w:r>
            <w:r w:rsidRPr="004768D0">
              <w:rPr>
                <w:rFonts w:asciiTheme="majorHAnsi" w:hAnsiTheme="majorHAnsi"/>
                <w:bCs/>
                <w:color w:val="000000" w:themeColor="text1"/>
                <w:sz w:val="18"/>
                <w:szCs w:val="18"/>
                <w:lang w:val="es-ES"/>
              </w:rPr>
              <w:t xml:space="preserve"> 19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w:t>
            </w:r>
          </w:p>
          <w:p w14:paraId="7555BFBC"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La Asamblea</w:t>
            </w:r>
            <w:r w:rsidRPr="004768D0">
              <w:rPr>
                <w:rFonts w:asciiTheme="majorHAnsi" w:hAnsiTheme="majorHAnsi"/>
                <w:bCs/>
                <w:color w:val="000000" w:themeColor="text1"/>
                <w:sz w:val="18"/>
                <w:szCs w:val="18"/>
                <w:lang w:val="es-ES"/>
              </w:rPr>
              <w:t xml:space="preserve"> Legislativa </w:t>
            </w:r>
            <w:r w:rsidR="007F4608" w:rsidRPr="004768D0">
              <w:rPr>
                <w:rFonts w:asciiTheme="majorHAnsi" w:hAnsiTheme="majorHAnsi"/>
                <w:bCs/>
                <w:color w:val="000000" w:themeColor="text1"/>
                <w:sz w:val="18"/>
                <w:szCs w:val="18"/>
                <w:lang w:val="es-ES"/>
              </w:rPr>
              <w:t xml:space="preserve">del </w:t>
            </w:r>
            <w:r w:rsidR="0000579C">
              <w:rPr>
                <w:rFonts w:asciiTheme="majorHAnsi" w:hAnsiTheme="majorHAnsi"/>
                <w:bCs/>
                <w:color w:val="000000" w:themeColor="text1"/>
                <w:sz w:val="18"/>
                <w:szCs w:val="18"/>
                <w:lang w:val="es-ES"/>
              </w:rPr>
              <w:t>estado de São Paulo</w:t>
            </w:r>
            <w:r w:rsidR="0000579C" w:rsidRPr="0000579C">
              <w:rPr>
                <w:rFonts w:asciiTheme="majorHAnsi" w:hAnsiTheme="majorHAnsi"/>
                <w:bCs/>
                <w:color w:val="000000" w:themeColor="text1"/>
                <w:sz w:val="18"/>
                <w:szCs w:val="18"/>
                <w:lang w:val="es-ES"/>
              </w:rPr>
              <w:t xml:space="preserve"> (ALESP)</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 xml:space="preserve">creó en </w:t>
            </w:r>
            <w:r w:rsidRPr="004768D0">
              <w:rPr>
                <w:rFonts w:asciiTheme="majorHAnsi" w:hAnsiTheme="majorHAnsi"/>
                <w:bCs/>
                <w:color w:val="000000" w:themeColor="text1"/>
                <w:sz w:val="18"/>
                <w:szCs w:val="18"/>
                <w:lang w:val="es-ES"/>
              </w:rPr>
              <w:t xml:space="preserve">2015 </w:t>
            </w:r>
            <w:r w:rsidR="00C65DE2" w:rsidRPr="004768D0">
              <w:rPr>
                <w:rFonts w:asciiTheme="majorHAnsi" w:hAnsiTheme="majorHAnsi"/>
                <w:bCs/>
                <w:color w:val="000000" w:themeColor="text1"/>
                <w:sz w:val="18"/>
                <w:szCs w:val="18"/>
                <w:lang w:val="es-ES"/>
              </w:rPr>
              <w:t>la Comisión</w:t>
            </w:r>
            <w:r w:rsidRPr="004768D0">
              <w:rPr>
                <w:rFonts w:asciiTheme="majorHAnsi" w:hAnsiTheme="majorHAnsi"/>
                <w:bCs/>
                <w:color w:val="000000" w:themeColor="text1"/>
                <w:sz w:val="18"/>
                <w:szCs w:val="18"/>
                <w:lang w:val="es-ES"/>
              </w:rPr>
              <w:t xml:space="preserve"> d</w:t>
            </w:r>
            <w:r w:rsidR="006C0B01"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w:t>
            </w:r>
            <w:r w:rsidR="006C0B01" w:rsidRPr="004768D0">
              <w:rPr>
                <w:rFonts w:asciiTheme="majorHAnsi" w:hAnsiTheme="majorHAnsi"/>
                <w:bCs/>
                <w:color w:val="000000" w:themeColor="text1"/>
                <w:sz w:val="18"/>
                <w:szCs w:val="18"/>
                <w:lang w:val="es-ES"/>
              </w:rPr>
              <w:t>Verdad</w:t>
            </w:r>
            <w:r w:rsidRPr="004768D0">
              <w:rPr>
                <w:rFonts w:asciiTheme="majorHAnsi" w:hAnsiTheme="majorHAnsi"/>
                <w:bCs/>
                <w:color w:val="000000" w:themeColor="text1"/>
                <w:sz w:val="18"/>
                <w:szCs w:val="18"/>
                <w:lang w:val="es-ES"/>
              </w:rPr>
              <w:t xml:space="preserve"> d</w:t>
            </w:r>
            <w:r w:rsidR="006C0B01"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a Democracia</w:t>
            </w:r>
            <w:r w:rsidR="006C0B01" w:rsidRPr="004768D0">
              <w:rPr>
                <w:rFonts w:asciiTheme="majorHAnsi" w:hAnsiTheme="majorHAnsi"/>
                <w:bCs/>
                <w:color w:val="000000" w:themeColor="text1"/>
                <w:sz w:val="18"/>
                <w:szCs w:val="18"/>
                <w:lang w:val="es-ES"/>
              </w:rPr>
              <w:t xml:space="preserve">, cuyo cometido principal es sensibilizar a la opinión </w:t>
            </w:r>
            <w:r w:rsidRPr="004768D0">
              <w:rPr>
                <w:rFonts w:asciiTheme="majorHAnsi" w:hAnsiTheme="majorHAnsi"/>
                <w:bCs/>
                <w:color w:val="000000" w:themeColor="text1"/>
                <w:sz w:val="18"/>
                <w:szCs w:val="18"/>
                <w:lang w:val="es-ES"/>
              </w:rPr>
              <w:t xml:space="preserve">pública </w:t>
            </w:r>
            <w:r w:rsidR="006C0B01" w:rsidRPr="004768D0">
              <w:rPr>
                <w:rFonts w:asciiTheme="majorHAnsi" w:hAnsiTheme="majorHAnsi"/>
                <w:bCs/>
                <w:color w:val="000000" w:themeColor="text1"/>
                <w:sz w:val="18"/>
                <w:szCs w:val="18"/>
                <w:lang w:val="es-ES"/>
              </w:rPr>
              <w:t xml:space="preserve">y </w:t>
            </w:r>
            <w:r w:rsidR="005912C9">
              <w:rPr>
                <w:rFonts w:asciiTheme="majorHAnsi" w:hAnsiTheme="majorHAnsi"/>
                <w:bCs/>
                <w:color w:val="000000" w:themeColor="text1"/>
                <w:sz w:val="18"/>
                <w:szCs w:val="18"/>
                <w:lang w:val="es-ES"/>
              </w:rPr>
              <w:t>recabar</w:t>
            </w:r>
            <w:r w:rsidR="006C0B01" w:rsidRPr="004768D0">
              <w:rPr>
                <w:rFonts w:asciiTheme="majorHAnsi" w:hAnsiTheme="majorHAnsi"/>
                <w:bCs/>
                <w:color w:val="000000" w:themeColor="text1"/>
                <w:sz w:val="18"/>
                <w:szCs w:val="18"/>
                <w:lang w:val="es-ES"/>
              </w:rPr>
              <w:t xml:space="preserve"> el testimonio de las</w:t>
            </w:r>
            <w:r w:rsidRPr="004768D0">
              <w:rPr>
                <w:rFonts w:asciiTheme="majorHAnsi" w:hAnsiTheme="majorHAnsi"/>
                <w:bCs/>
                <w:color w:val="000000" w:themeColor="text1"/>
                <w:sz w:val="18"/>
                <w:szCs w:val="18"/>
                <w:lang w:val="es-ES"/>
              </w:rPr>
              <w:t xml:space="preserve"> </w:t>
            </w:r>
            <w:r w:rsidR="000C0AC4" w:rsidRPr="004768D0">
              <w:rPr>
                <w:rFonts w:asciiTheme="majorHAnsi" w:hAnsiTheme="majorHAnsi"/>
                <w:bCs/>
                <w:color w:val="000000" w:themeColor="text1"/>
                <w:sz w:val="18"/>
                <w:szCs w:val="18"/>
                <w:lang w:val="es-ES"/>
              </w:rPr>
              <w:t>personas</w:t>
            </w:r>
            <w:r w:rsidRPr="004768D0">
              <w:rPr>
                <w:rFonts w:asciiTheme="majorHAnsi" w:hAnsiTheme="majorHAnsi"/>
                <w:bCs/>
                <w:color w:val="000000" w:themeColor="text1"/>
                <w:sz w:val="18"/>
                <w:szCs w:val="18"/>
                <w:lang w:val="es-ES"/>
              </w:rPr>
              <w:t xml:space="preserve"> que viv</w:t>
            </w:r>
            <w:r w:rsidR="006C0B01" w:rsidRPr="004768D0">
              <w:rPr>
                <w:rFonts w:asciiTheme="majorHAnsi" w:hAnsiTheme="majorHAnsi"/>
                <w:bCs/>
                <w:color w:val="000000" w:themeColor="text1"/>
                <w:sz w:val="18"/>
                <w:szCs w:val="18"/>
                <w:lang w:val="es-ES"/>
              </w:rPr>
              <w:t xml:space="preserve">ieron los </w:t>
            </w:r>
            <w:r w:rsidR="000C0AC4" w:rsidRPr="004768D0">
              <w:rPr>
                <w:rFonts w:asciiTheme="majorHAnsi" w:hAnsiTheme="majorHAnsi"/>
                <w:bCs/>
                <w:color w:val="000000" w:themeColor="text1"/>
                <w:sz w:val="18"/>
                <w:szCs w:val="18"/>
                <w:lang w:val="es-ES"/>
              </w:rPr>
              <w:t>hechos</w:t>
            </w:r>
            <w:r w:rsidRPr="004768D0">
              <w:rPr>
                <w:rFonts w:asciiTheme="majorHAnsi" w:hAnsiTheme="majorHAnsi"/>
                <w:bCs/>
                <w:color w:val="000000" w:themeColor="text1"/>
                <w:sz w:val="18"/>
                <w:szCs w:val="18"/>
                <w:lang w:val="es-ES"/>
              </w:rPr>
              <w:t xml:space="preserve"> </w:t>
            </w:r>
            <w:r w:rsidR="005912C9">
              <w:rPr>
                <w:rFonts w:asciiTheme="majorHAnsi" w:hAnsiTheme="majorHAnsi"/>
                <w:bCs/>
                <w:color w:val="000000" w:themeColor="text1"/>
                <w:sz w:val="18"/>
                <w:szCs w:val="18"/>
                <w:lang w:val="es-ES"/>
              </w:rPr>
              <w:t xml:space="preserve">planteados </w:t>
            </w:r>
            <w:r w:rsidR="006C0B01" w:rsidRPr="004768D0">
              <w:rPr>
                <w:rFonts w:asciiTheme="majorHAnsi" w:hAnsiTheme="majorHAnsi"/>
                <w:bCs/>
                <w:color w:val="000000" w:themeColor="text1"/>
                <w:sz w:val="18"/>
                <w:szCs w:val="18"/>
                <w:lang w:val="es-ES"/>
              </w:rPr>
              <w:t>en la</w:t>
            </w:r>
            <w:r w:rsidRPr="004768D0">
              <w:rPr>
                <w:rFonts w:asciiTheme="majorHAnsi" w:hAnsiTheme="majorHAnsi"/>
                <w:bCs/>
                <w:color w:val="000000" w:themeColor="text1"/>
                <w:sz w:val="18"/>
                <w:szCs w:val="18"/>
                <w:lang w:val="es-ES"/>
              </w:rPr>
              <w:t xml:space="preserve"> </w:t>
            </w:r>
            <w:r w:rsidR="00882F67" w:rsidRPr="004768D0">
              <w:rPr>
                <w:rFonts w:asciiTheme="majorHAnsi" w:hAnsiTheme="majorHAnsi"/>
                <w:bCs/>
                <w:color w:val="000000" w:themeColor="text1"/>
                <w:sz w:val="18"/>
                <w:szCs w:val="18"/>
                <w:lang w:val="es-ES"/>
              </w:rPr>
              <w:t>petición</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en cuestión</w:t>
            </w:r>
            <w:r w:rsidRPr="004768D0">
              <w:rPr>
                <w:rFonts w:asciiTheme="majorHAnsi" w:hAnsiTheme="majorHAnsi"/>
                <w:bCs/>
                <w:color w:val="000000" w:themeColor="text1"/>
                <w:sz w:val="18"/>
                <w:szCs w:val="18"/>
                <w:lang w:val="es-ES"/>
              </w:rPr>
              <w:t xml:space="preserve">. </w:t>
            </w:r>
          </w:p>
          <w:p w14:paraId="75A989A7"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La</w:t>
            </w:r>
            <w:r w:rsidRPr="004768D0">
              <w:rPr>
                <w:rFonts w:asciiTheme="majorHAnsi" w:hAnsiTheme="majorHAnsi"/>
                <w:bCs/>
                <w:color w:val="000000" w:themeColor="text1"/>
                <w:sz w:val="18"/>
                <w:szCs w:val="18"/>
                <w:lang w:val="es-ES"/>
              </w:rPr>
              <w:t xml:space="preserve"> </w:t>
            </w:r>
            <w:r w:rsidR="006C0B01" w:rsidRPr="004768D0">
              <w:rPr>
                <w:rFonts w:asciiTheme="majorHAnsi" w:hAnsiTheme="majorHAnsi"/>
                <w:bCs/>
                <w:color w:val="000000" w:themeColor="text1"/>
                <w:sz w:val="18"/>
                <w:szCs w:val="18"/>
                <w:lang w:val="es-ES"/>
              </w:rPr>
              <w:t>A</w:t>
            </w:r>
            <w:r w:rsidR="0000579C">
              <w:rPr>
                <w:rFonts w:asciiTheme="majorHAnsi" w:hAnsiTheme="majorHAnsi"/>
                <w:bCs/>
                <w:color w:val="000000" w:themeColor="text1"/>
                <w:sz w:val="18"/>
                <w:szCs w:val="18"/>
                <w:lang w:val="es-ES"/>
              </w:rPr>
              <w:t xml:space="preserve">LESP </w:t>
            </w:r>
            <w:r w:rsidR="006C0B01" w:rsidRPr="004768D0">
              <w:rPr>
                <w:rFonts w:asciiTheme="majorHAnsi" w:hAnsiTheme="majorHAnsi"/>
                <w:bCs/>
                <w:color w:val="000000" w:themeColor="text1"/>
                <w:sz w:val="18"/>
                <w:szCs w:val="18"/>
                <w:lang w:val="es-ES"/>
              </w:rPr>
              <w:t xml:space="preserve">adoptó también las </w:t>
            </w:r>
            <w:r w:rsidRPr="004768D0">
              <w:rPr>
                <w:rFonts w:asciiTheme="majorHAnsi" w:hAnsiTheme="majorHAnsi"/>
                <w:bCs/>
                <w:color w:val="000000" w:themeColor="text1"/>
                <w:sz w:val="18"/>
                <w:szCs w:val="18"/>
                <w:lang w:val="es-ES"/>
              </w:rPr>
              <w:t>s</w:t>
            </w:r>
            <w:r w:rsidR="006C0B01" w:rsidRPr="004768D0">
              <w:rPr>
                <w:rFonts w:asciiTheme="majorHAnsi" w:hAnsiTheme="majorHAnsi"/>
                <w:bCs/>
                <w:color w:val="000000" w:themeColor="text1"/>
                <w:sz w:val="18"/>
                <w:szCs w:val="18"/>
                <w:lang w:val="es-ES"/>
              </w:rPr>
              <w:t xml:space="preserve">iguientes </w:t>
            </w:r>
            <w:r w:rsidRPr="004768D0">
              <w:rPr>
                <w:rFonts w:asciiTheme="majorHAnsi" w:hAnsiTheme="majorHAnsi"/>
                <w:bCs/>
                <w:color w:val="000000" w:themeColor="text1"/>
                <w:sz w:val="18"/>
                <w:szCs w:val="18"/>
                <w:lang w:val="es-ES"/>
              </w:rPr>
              <w:t xml:space="preserve">medidas: </w:t>
            </w:r>
          </w:p>
          <w:p w14:paraId="0412BD57"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i) Evento: </w:t>
            </w:r>
            <w:r w:rsidR="00D0566E" w:rsidRPr="004768D0">
              <w:rPr>
                <w:rFonts w:asciiTheme="majorHAnsi" w:hAnsiTheme="majorHAnsi"/>
                <w:bCs/>
                <w:color w:val="000000" w:themeColor="text1"/>
                <w:sz w:val="18"/>
                <w:szCs w:val="18"/>
                <w:lang w:val="es-ES"/>
              </w:rPr>
              <w:t>E</w:t>
            </w:r>
            <w:r w:rsidR="006C0B01"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 8 de </w:t>
            </w:r>
            <w:r w:rsidR="00346878" w:rsidRPr="004768D0">
              <w:rPr>
                <w:rFonts w:asciiTheme="majorHAnsi" w:hAnsiTheme="majorHAnsi"/>
                <w:bCs/>
                <w:color w:val="000000" w:themeColor="text1"/>
                <w:sz w:val="18"/>
                <w:szCs w:val="18"/>
                <w:lang w:val="es-ES"/>
              </w:rPr>
              <w:t>junio</w:t>
            </w:r>
            <w:r w:rsidRPr="004768D0">
              <w:rPr>
                <w:rFonts w:asciiTheme="majorHAnsi" w:hAnsiTheme="majorHAnsi"/>
                <w:bCs/>
                <w:color w:val="000000" w:themeColor="text1"/>
                <w:sz w:val="18"/>
                <w:szCs w:val="18"/>
                <w:lang w:val="es-ES"/>
              </w:rPr>
              <w:t xml:space="preserve"> de 2006</w:t>
            </w:r>
            <w:r w:rsidR="006C0B01" w:rsidRPr="004768D0">
              <w:rPr>
                <w:rFonts w:asciiTheme="majorHAnsi" w:hAnsiTheme="majorHAnsi"/>
                <w:bCs/>
                <w:color w:val="000000" w:themeColor="text1"/>
                <w:sz w:val="18"/>
                <w:szCs w:val="18"/>
                <w:lang w:val="es-ES"/>
              </w:rPr>
              <w:t xml:space="preserve"> se celebró una reunión de la </w:t>
            </w:r>
            <w:r w:rsidR="00C65DE2" w:rsidRPr="004768D0">
              <w:rPr>
                <w:rFonts w:asciiTheme="majorHAnsi" w:hAnsiTheme="majorHAnsi"/>
                <w:bCs/>
                <w:color w:val="000000" w:themeColor="text1"/>
                <w:sz w:val="18"/>
                <w:szCs w:val="18"/>
                <w:lang w:val="es-ES"/>
              </w:rPr>
              <w:t>Comisión</w:t>
            </w:r>
            <w:r w:rsidRPr="004768D0">
              <w:rPr>
                <w:rFonts w:asciiTheme="majorHAnsi" w:hAnsiTheme="majorHAnsi"/>
                <w:bCs/>
                <w:color w:val="000000" w:themeColor="text1"/>
                <w:sz w:val="18"/>
                <w:szCs w:val="18"/>
                <w:lang w:val="es-ES"/>
              </w:rPr>
              <w:t xml:space="preserve"> de </w:t>
            </w:r>
            <w:r w:rsidR="00246A29" w:rsidRPr="004768D0">
              <w:rPr>
                <w:rFonts w:asciiTheme="majorHAnsi" w:hAnsiTheme="majorHAnsi"/>
                <w:bCs/>
                <w:color w:val="000000" w:themeColor="text1"/>
                <w:sz w:val="18"/>
                <w:szCs w:val="18"/>
                <w:lang w:val="es-ES"/>
              </w:rPr>
              <w:t>Derechos</w:t>
            </w:r>
            <w:r w:rsidRPr="004768D0">
              <w:rPr>
                <w:rFonts w:asciiTheme="majorHAnsi" w:hAnsiTheme="majorHAnsi"/>
                <w:bCs/>
                <w:color w:val="000000" w:themeColor="text1"/>
                <w:sz w:val="18"/>
                <w:szCs w:val="18"/>
                <w:lang w:val="es-ES"/>
              </w:rPr>
              <w:t xml:space="preserve"> Humanos d</w:t>
            </w:r>
            <w:r w:rsidR="006C0B01"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ALESP para </w:t>
            </w:r>
            <w:r w:rsidR="006C0B01" w:rsidRPr="004768D0">
              <w:rPr>
                <w:rFonts w:asciiTheme="majorHAnsi" w:hAnsiTheme="majorHAnsi"/>
                <w:bCs/>
                <w:color w:val="000000" w:themeColor="text1"/>
                <w:sz w:val="18"/>
                <w:szCs w:val="18"/>
                <w:lang w:val="es-ES"/>
              </w:rPr>
              <w:t xml:space="preserve">tratar el </w:t>
            </w:r>
            <w:r w:rsidRPr="004768D0">
              <w:rPr>
                <w:rFonts w:asciiTheme="majorHAnsi" w:hAnsiTheme="majorHAnsi"/>
                <w:bCs/>
                <w:color w:val="000000" w:themeColor="text1"/>
                <w:sz w:val="18"/>
                <w:szCs w:val="18"/>
                <w:lang w:val="es-ES"/>
              </w:rPr>
              <w:t xml:space="preserve">tema </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Desdob</w:t>
            </w:r>
            <w:r w:rsidR="00D0566E" w:rsidRPr="004768D0">
              <w:rPr>
                <w:rFonts w:asciiTheme="majorHAnsi" w:hAnsiTheme="majorHAnsi"/>
                <w:bCs/>
                <w:color w:val="000000" w:themeColor="text1"/>
                <w:sz w:val="18"/>
                <w:szCs w:val="18"/>
                <w:lang w:val="es-ES"/>
              </w:rPr>
              <w:t xml:space="preserve">lamientos de la ola </w:t>
            </w:r>
            <w:r w:rsidRPr="004768D0">
              <w:rPr>
                <w:rFonts w:asciiTheme="majorHAnsi" w:hAnsiTheme="majorHAnsi"/>
                <w:bCs/>
                <w:color w:val="000000" w:themeColor="text1"/>
                <w:sz w:val="18"/>
                <w:szCs w:val="18"/>
                <w:lang w:val="es-ES"/>
              </w:rPr>
              <w:t xml:space="preserve">de </w:t>
            </w:r>
            <w:r w:rsidR="00D0566E" w:rsidRPr="004768D0">
              <w:rPr>
                <w:rFonts w:asciiTheme="majorHAnsi" w:hAnsiTheme="majorHAnsi"/>
                <w:bCs/>
                <w:color w:val="000000" w:themeColor="text1"/>
                <w:sz w:val="18"/>
                <w:szCs w:val="18"/>
                <w:lang w:val="es-ES"/>
              </w:rPr>
              <w:t>violencia</w:t>
            </w:r>
            <w:r w:rsidRPr="004768D0">
              <w:rPr>
                <w:rFonts w:asciiTheme="majorHAnsi" w:hAnsiTheme="majorHAnsi"/>
                <w:bCs/>
                <w:color w:val="000000" w:themeColor="text1"/>
                <w:sz w:val="18"/>
                <w:szCs w:val="18"/>
                <w:lang w:val="es-ES"/>
              </w:rPr>
              <w:t xml:space="preserve"> </w:t>
            </w:r>
            <w:r w:rsidR="00D0566E" w:rsidRPr="004768D0">
              <w:rPr>
                <w:rFonts w:asciiTheme="majorHAnsi" w:hAnsiTheme="majorHAnsi"/>
                <w:bCs/>
                <w:color w:val="000000" w:themeColor="text1"/>
                <w:sz w:val="18"/>
                <w:szCs w:val="18"/>
                <w:lang w:val="es-ES"/>
              </w:rPr>
              <w:t>que se produjo e</w:t>
            </w:r>
            <w:r w:rsidRPr="004768D0">
              <w:rPr>
                <w:rFonts w:asciiTheme="majorHAnsi" w:hAnsiTheme="majorHAnsi"/>
                <w:bCs/>
                <w:color w:val="000000" w:themeColor="text1"/>
                <w:sz w:val="18"/>
                <w:szCs w:val="18"/>
                <w:lang w:val="es-ES"/>
              </w:rPr>
              <w:t>n</w:t>
            </w:r>
            <w:r w:rsidR="00D0566E" w:rsidRPr="004768D0">
              <w:rPr>
                <w:rFonts w:asciiTheme="majorHAnsi" w:hAnsiTheme="majorHAnsi"/>
                <w:bCs/>
                <w:color w:val="000000" w:themeColor="text1"/>
                <w:sz w:val="18"/>
                <w:szCs w:val="18"/>
                <w:lang w:val="es-ES"/>
              </w:rPr>
              <w:t xml:space="preserve"> </w:t>
            </w:r>
            <w:r w:rsidR="003C58C5" w:rsidRPr="004768D0">
              <w:rPr>
                <w:rFonts w:asciiTheme="majorHAnsi" w:hAnsiTheme="majorHAnsi"/>
                <w:bCs/>
                <w:color w:val="000000" w:themeColor="text1"/>
                <w:sz w:val="18"/>
                <w:szCs w:val="18"/>
                <w:lang w:val="es-ES"/>
              </w:rPr>
              <w:t xml:space="preserve">el </w:t>
            </w:r>
            <w:r w:rsidR="0000579C">
              <w:rPr>
                <w:rFonts w:asciiTheme="majorHAnsi" w:hAnsiTheme="majorHAnsi"/>
                <w:bCs/>
                <w:color w:val="000000" w:themeColor="text1"/>
                <w:sz w:val="18"/>
                <w:szCs w:val="18"/>
                <w:lang w:val="es-ES"/>
              </w:rPr>
              <w:t>estado de São Paulo</w:t>
            </w:r>
            <w:r w:rsidR="00D0566E" w:rsidRPr="004768D0">
              <w:rPr>
                <w:rFonts w:asciiTheme="majorHAnsi" w:hAnsiTheme="majorHAnsi"/>
                <w:bCs/>
                <w:color w:val="000000" w:themeColor="text1"/>
                <w:sz w:val="18"/>
                <w:szCs w:val="18"/>
                <w:lang w:val="es-ES"/>
              </w:rPr>
              <w:t xml:space="preserve"> </w:t>
            </w:r>
            <w:r w:rsidRPr="004768D0">
              <w:rPr>
                <w:rFonts w:asciiTheme="majorHAnsi" w:hAnsiTheme="majorHAnsi"/>
                <w:bCs/>
                <w:color w:val="000000" w:themeColor="text1"/>
                <w:sz w:val="18"/>
                <w:szCs w:val="18"/>
                <w:lang w:val="es-ES"/>
              </w:rPr>
              <w:t xml:space="preserve">a partir de 12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w:t>
            </w:r>
            <w:r w:rsidR="00D0566E" w:rsidRPr="004768D0">
              <w:rPr>
                <w:rFonts w:asciiTheme="majorHAnsi" w:hAnsiTheme="majorHAnsi"/>
                <w:bCs/>
                <w:color w:val="000000" w:themeColor="text1"/>
                <w:sz w:val="18"/>
                <w:szCs w:val="18"/>
                <w:lang w:val="es-ES"/>
              </w:rPr>
              <w:t>con</w:t>
            </w:r>
            <w:r w:rsidRPr="004768D0">
              <w:rPr>
                <w:rFonts w:asciiTheme="majorHAnsi" w:hAnsiTheme="majorHAnsi"/>
                <w:bCs/>
                <w:color w:val="000000" w:themeColor="text1"/>
                <w:sz w:val="18"/>
                <w:szCs w:val="18"/>
                <w:lang w:val="es-ES"/>
              </w:rPr>
              <w:t xml:space="preserve"> </w:t>
            </w:r>
            <w:r w:rsidR="00D0566E"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a </w:t>
            </w:r>
            <w:r w:rsidR="00D0566E" w:rsidRPr="004768D0">
              <w:rPr>
                <w:rFonts w:asciiTheme="majorHAnsi" w:hAnsiTheme="majorHAnsi"/>
                <w:bCs/>
                <w:color w:val="000000" w:themeColor="text1"/>
                <w:sz w:val="18"/>
                <w:szCs w:val="18"/>
                <w:lang w:val="es-ES"/>
              </w:rPr>
              <w:t>presencia</w:t>
            </w:r>
            <w:r w:rsidRPr="004768D0">
              <w:rPr>
                <w:rFonts w:asciiTheme="majorHAnsi" w:hAnsiTheme="majorHAnsi"/>
                <w:bCs/>
                <w:color w:val="000000" w:themeColor="text1"/>
                <w:sz w:val="18"/>
                <w:szCs w:val="18"/>
                <w:lang w:val="es-ES"/>
              </w:rPr>
              <w:t xml:space="preserve"> d</w:t>
            </w:r>
            <w:r w:rsidR="00D0566E"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Dr. Pedro </w:t>
            </w:r>
            <w:proofErr w:type="spellStart"/>
            <w:r w:rsidRPr="004768D0">
              <w:rPr>
                <w:rFonts w:asciiTheme="majorHAnsi" w:hAnsiTheme="majorHAnsi"/>
                <w:bCs/>
                <w:color w:val="000000" w:themeColor="text1"/>
                <w:sz w:val="18"/>
                <w:szCs w:val="18"/>
                <w:lang w:val="es-ES"/>
              </w:rPr>
              <w:t>Gilberti</w:t>
            </w:r>
            <w:proofErr w:type="spellEnd"/>
            <w:r w:rsidRPr="004768D0">
              <w:rPr>
                <w:rFonts w:asciiTheme="majorHAnsi" w:hAnsiTheme="majorHAnsi"/>
                <w:bCs/>
                <w:color w:val="000000" w:themeColor="text1"/>
                <w:sz w:val="18"/>
                <w:szCs w:val="18"/>
                <w:lang w:val="es-ES"/>
              </w:rPr>
              <w:t>, defensor público</w:t>
            </w:r>
            <w:r w:rsidR="00D0566E" w:rsidRPr="004768D0">
              <w:rPr>
                <w:rFonts w:asciiTheme="majorHAnsi" w:hAnsiTheme="majorHAnsi"/>
                <w:bCs/>
                <w:color w:val="000000" w:themeColor="text1"/>
                <w:sz w:val="18"/>
                <w:szCs w:val="18"/>
                <w:lang w:val="es-ES"/>
              </w:rPr>
              <w:t xml:space="preserve"> </w:t>
            </w:r>
            <w:r w:rsidR="001343FF" w:rsidRPr="004768D0">
              <w:rPr>
                <w:rFonts w:asciiTheme="majorHAnsi" w:hAnsiTheme="majorHAnsi"/>
                <w:bCs/>
                <w:color w:val="000000" w:themeColor="text1"/>
                <w:sz w:val="18"/>
                <w:szCs w:val="18"/>
                <w:lang w:val="es-ES"/>
              </w:rPr>
              <w:t>general</w:t>
            </w:r>
            <w:r w:rsidR="004744F0" w:rsidRPr="004768D0">
              <w:rPr>
                <w:rFonts w:asciiTheme="majorHAnsi" w:hAnsiTheme="majorHAnsi"/>
                <w:bCs/>
                <w:color w:val="000000" w:themeColor="text1"/>
                <w:sz w:val="18"/>
                <w:szCs w:val="18"/>
                <w:lang w:val="es-ES"/>
              </w:rPr>
              <w:t>”</w:t>
            </w:r>
            <w:r w:rsidR="00D0566E"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p>
          <w:p w14:paraId="5DF654D9"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ii) </w:t>
            </w:r>
            <w:r w:rsidR="00D0566E" w:rsidRPr="004768D0">
              <w:rPr>
                <w:rFonts w:asciiTheme="majorHAnsi" w:hAnsiTheme="majorHAnsi"/>
                <w:bCs/>
                <w:color w:val="000000" w:themeColor="text1"/>
                <w:sz w:val="18"/>
                <w:szCs w:val="18"/>
                <w:lang w:val="es-ES"/>
              </w:rPr>
              <w:t>Audiencia</w:t>
            </w:r>
            <w:r w:rsidRPr="004768D0">
              <w:rPr>
                <w:rFonts w:asciiTheme="majorHAnsi" w:hAnsiTheme="majorHAnsi"/>
                <w:bCs/>
                <w:color w:val="000000" w:themeColor="text1"/>
                <w:sz w:val="18"/>
                <w:szCs w:val="18"/>
                <w:lang w:val="es-ES"/>
              </w:rPr>
              <w:t xml:space="preserve"> pública</w:t>
            </w:r>
            <w:r w:rsidR="00D0566E" w:rsidRPr="004768D0">
              <w:rPr>
                <w:rFonts w:asciiTheme="majorHAnsi" w:hAnsiTheme="majorHAnsi"/>
                <w:bCs/>
                <w:color w:val="000000" w:themeColor="text1"/>
                <w:sz w:val="18"/>
                <w:szCs w:val="18"/>
                <w:lang w:val="es-ES"/>
              </w:rPr>
              <w:t>: L</w:t>
            </w:r>
            <w:r w:rsidR="000C0AC4" w:rsidRPr="004768D0">
              <w:rPr>
                <w:rFonts w:asciiTheme="majorHAnsi" w:hAnsiTheme="majorHAnsi"/>
                <w:bCs/>
                <w:color w:val="000000" w:themeColor="text1"/>
                <w:sz w:val="18"/>
                <w:szCs w:val="18"/>
                <w:lang w:val="es-ES"/>
              </w:rPr>
              <w:t>a Comisión</w:t>
            </w:r>
            <w:r w:rsidRPr="004768D0">
              <w:rPr>
                <w:rFonts w:asciiTheme="majorHAnsi" w:hAnsiTheme="majorHAnsi"/>
                <w:bCs/>
                <w:color w:val="000000" w:themeColor="text1"/>
                <w:sz w:val="18"/>
                <w:szCs w:val="18"/>
                <w:lang w:val="es-ES"/>
              </w:rPr>
              <w:t xml:space="preserve"> de </w:t>
            </w:r>
            <w:r w:rsidR="00246A29" w:rsidRPr="004768D0">
              <w:rPr>
                <w:rFonts w:asciiTheme="majorHAnsi" w:hAnsiTheme="majorHAnsi"/>
                <w:bCs/>
                <w:color w:val="000000" w:themeColor="text1"/>
                <w:sz w:val="18"/>
                <w:szCs w:val="18"/>
                <w:lang w:val="es-ES"/>
              </w:rPr>
              <w:t>Derechos</w:t>
            </w:r>
            <w:r w:rsidRPr="004768D0">
              <w:rPr>
                <w:rFonts w:asciiTheme="majorHAnsi" w:hAnsiTheme="majorHAnsi"/>
                <w:bCs/>
                <w:color w:val="000000" w:themeColor="text1"/>
                <w:sz w:val="18"/>
                <w:szCs w:val="18"/>
                <w:lang w:val="es-ES"/>
              </w:rPr>
              <w:t xml:space="preserve"> Humanos</w:t>
            </w:r>
            <w:r w:rsidR="00D0566E" w:rsidRPr="004768D0">
              <w:rPr>
                <w:rFonts w:asciiTheme="majorHAnsi" w:hAnsiTheme="majorHAnsi"/>
                <w:bCs/>
                <w:color w:val="000000" w:themeColor="text1"/>
                <w:sz w:val="18"/>
                <w:szCs w:val="18"/>
                <w:lang w:val="es-ES"/>
              </w:rPr>
              <w:t xml:space="preserve"> realizó una audiencia pública en Santos el 9 de junio de 2010</w:t>
            </w:r>
            <w:r w:rsidRPr="004768D0">
              <w:rPr>
                <w:rFonts w:asciiTheme="majorHAnsi" w:hAnsiTheme="majorHAnsi"/>
                <w:bCs/>
                <w:color w:val="000000" w:themeColor="text1"/>
                <w:sz w:val="18"/>
                <w:szCs w:val="18"/>
                <w:lang w:val="es-ES"/>
              </w:rPr>
              <w:t>. Seg</w:t>
            </w:r>
            <w:r w:rsidR="00D0566E" w:rsidRPr="004768D0">
              <w:rPr>
                <w:rFonts w:asciiTheme="majorHAnsi" w:hAnsiTheme="majorHAnsi"/>
                <w:bCs/>
                <w:color w:val="000000" w:themeColor="text1"/>
                <w:sz w:val="18"/>
                <w:szCs w:val="18"/>
                <w:lang w:val="es-ES"/>
              </w:rPr>
              <w:t xml:space="preserve">ún la </w:t>
            </w:r>
            <w:r w:rsidR="00F3067C" w:rsidRPr="004768D0">
              <w:rPr>
                <w:rFonts w:asciiTheme="majorHAnsi" w:hAnsiTheme="majorHAnsi"/>
                <w:bCs/>
                <w:color w:val="000000" w:themeColor="text1"/>
                <w:sz w:val="18"/>
                <w:szCs w:val="18"/>
                <w:lang w:val="es-ES"/>
              </w:rPr>
              <w:t>información</w:t>
            </w:r>
            <w:r w:rsidRPr="004768D0">
              <w:rPr>
                <w:rFonts w:asciiTheme="majorHAnsi" w:hAnsiTheme="majorHAnsi"/>
                <w:bCs/>
                <w:color w:val="000000" w:themeColor="text1"/>
                <w:sz w:val="18"/>
                <w:szCs w:val="18"/>
                <w:lang w:val="es-ES"/>
              </w:rPr>
              <w:t xml:space="preserve"> </w:t>
            </w:r>
            <w:r w:rsidR="00D0566E" w:rsidRPr="004768D0">
              <w:rPr>
                <w:rFonts w:asciiTheme="majorHAnsi" w:hAnsiTheme="majorHAnsi"/>
                <w:bCs/>
                <w:color w:val="000000" w:themeColor="text1"/>
                <w:sz w:val="18"/>
                <w:szCs w:val="18"/>
                <w:lang w:val="es-ES"/>
              </w:rPr>
              <w:t xml:space="preserve">publicada en </w:t>
            </w:r>
            <w:r w:rsidR="005912C9">
              <w:rPr>
                <w:rFonts w:asciiTheme="majorHAnsi" w:hAnsiTheme="majorHAnsi"/>
                <w:bCs/>
                <w:color w:val="000000" w:themeColor="text1"/>
                <w:sz w:val="18"/>
                <w:szCs w:val="18"/>
                <w:lang w:val="es-ES"/>
              </w:rPr>
              <w:t xml:space="preserve">el </w:t>
            </w:r>
            <w:r w:rsidR="000A5DA2" w:rsidRPr="004768D0">
              <w:rPr>
                <w:rFonts w:asciiTheme="majorHAnsi" w:hAnsiTheme="majorHAnsi"/>
                <w:bCs/>
                <w:color w:val="000000" w:themeColor="text1"/>
                <w:sz w:val="18"/>
                <w:szCs w:val="18"/>
                <w:lang w:val="es-ES"/>
              </w:rPr>
              <w:t>Diario</w:t>
            </w:r>
            <w:r w:rsidRPr="004768D0">
              <w:rPr>
                <w:rFonts w:asciiTheme="majorHAnsi" w:hAnsiTheme="majorHAnsi"/>
                <w:bCs/>
                <w:color w:val="000000" w:themeColor="text1"/>
                <w:sz w:val="18"/>
                <w:szCs w:val="18"/>
                <w:lang w:val="es-ES"/>
              </w:rPr>
              <w:t xml:space="preserve"> Oficial </w:t>
            </w:r>
            <w:r w:rsidR="007F4608" w:rsidRPr="004768D0">
              <w:rPr>
                <w:rFonts w:asciiTheme="majorHAnsi" w:hAnsiTheme="majorHAnsi"/>
                <w:bCs/>
                <w:color w:val="000000" w:themeColor="text1"/>
                <w:sz w:val="18"/>
                <w:szCs w:val="18"/>
                <w:lang w:val="es-ES"/>
              </w:rPr>
              <w:t xml:space="preserve">del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de</w:t>
            </w:r>
            <w:r w:rsidR="00D0566E" w:rsidRPr="004768D0">
              <w:rPr>
                <w:rFonts w:asciiTheme="majorHAnsi" w:hAnsiTheme="majorHAnsi"/>
                <w:bCs/>
                <w:color w:val="000000" w:themeColor="text1"/>
                <w:sz w:val="18"/>
                <w:szCs w:val="18"/>
                <w:lang w:val="es-ES"/>
              </w:rPr>
              <w:t xml:space="preserve">l </w:t>
            </w:r>
            <w:r w:rsidRPr="004768D0">
              <w:rPr>
                <w:rFonts w:asciiTheme="majorHAnsi" w:hAnsiTheme="majorHAnsi"/>
                <w:bCs/>
                <w:color w:val="000000" w:themeColor="text1"/>
                <w:sz w:val="18"/>
                <w:szCs w:val="18"/>
                <w:lang w:val="es-ES"/>
              </w:rPr>
              <w:t>10</w:t>
            </w:r>
            <w:r w:rsidR="00D0566E" w:rsidRPr="004768D0">
              <w:rPr>
                <w:rFonts w:asciiTheme="majorHAnsi" w:hAnsiTheme="majorHAnsi"/>
                <w:bCs/>
                <w:color w:val="000000" w:themeColor="text1"/>
                <w:sz w:val="18"/>
                <w:szCs w:val="18"/>
                <w:lang w:val="es-ES"/>
              </w:rPr>
              <w:t xml:space="preserve"> de junio de </w:t>
            </w:r>
            <w:r w:rsidR="005912C9">
              <w:rPr>
                <w:rFonts w:asciiTheme="majorHAnsi" w:hAnsiTheme="majorHAnsi"/>
                <w:bCs/>
                <w:color w:val="000000" w:themeColor="text1"/>
                <w:sz w:val="18"/>
                <w:szCs w:val="18"/>
                <w:lang w:val="es-ES"/>
              </w:rPr>
              <w:t>2</w:t>
            </w:r>
            <w:r w:rsidRPr="004768D0">
              <w:rPr>
                <w:rFonts w:asciiTheme="majorHAnsi" w:hAnsiTheme="majorHAnsi"/>
                <w:bCs/>
                <w:color w:val="000000" w:themeColor="text1"/>
                <w:sz w:val="18"/>
                <w:szCs w:val="18"/>
                <w:lang w:val="es-ES"/>
              </w:rPr>
              <w:t>010</w:t>
            </w:r>
            <w:r w:rsidR="00D0566E" w:rsidRPr="004768D0">
              <w:rPr>
                <w:rFonts w:asciiTheme="majorHAnsi" w:hAnsiTheme="majorHAnsi"/>
                <w:bCs/>
                <w:color w:val="000000" w:themeColor="text1"/>
                <w:sz w:val="18"/>
                <w:szCs w:val="18"/>
                <w:lang w:val="es-ES"/>
              </w:rPr>
              <w:t xml:space="preserve">, se puso de relieve la actuación de la </w:t>
            </w:r>
            <w:r w:rsidR="00372008" w:rsidRPr="004768D0">
              <w:rPr>
                <w:rFonts w:asciiTheme="majorHAnsi" w:hAnsiTheme="majorHAnsi"/>
                <w:bCs/>
                <w:color w:val="000000" w:themeColor="text1"/>
                <w:sz w:val="18"/>
                <w:szCs w:val="18"/>
                <w:lang w:val="es-ES"/>
              </w:rPr>
              <w:t>Policía</w:t>
            </w:r>
            <w:r w:rsidRPr="004768D0">
              <w:rPr>
                <w:rFonts w:asciiTheme="majorHAnsi" w:hAnsiTheme="majorHAnsi"/>
                <w:bCs/>
                <w:color w:val="000000" w:themeColor="text1"/>
                <w:sz w:val="18"/>
                <w:szCs w:val="18"/>
                <w:lang w:val="es-ES"/>
              </w:rPr>
              <w:t xml:space="preserve"> Militar, que </w:t>
            </w:r>
            <w:r w:rsidR="00D0566E" w:rsidRPr="004768D0">
              <w:rPr>
                <w:rFonts w:asciiTheme="majorHAnsi" w:hAnsiTheme="majorHAnsi"/>
                <w:bCs/>
                <w:color w:val="000000" w:themeColor="text1"/>
                <w:sz w:val="18"/>
                <w:szCs w:val="18"/>
                <w:lang w:val="es-ES"/>
              </w:rPr>
              <w:t xml:space="preserve">dispuso la </w:t>
            </w:r>
            <w:r w:rsidR="00712D2E" w:rsidRPr="004768D0">
              <w:rPr>
                <w:rFonts w:asciiTheme="majorHAnsi" w:hAnsiTheme="majorHAnsi"/>
                <w:bCs/>
                <w:color w:val="000000" w:themeColor="text1"/>
                <w:sz w:val="18"/>
                <w:szCs w:val="18"/>
                <w:lang w:val="es-ES"/>
              </w:rPr>
              <w:t>investigación</w:t>
            </w:r>
            <w:r w:rsidR="00D0566E" w:rsidRPr="004768D0">
              <w:rPr>
                <w:rFonts w:asciiTheme="majorHAnsi" w:hAnsiTheme="majorHAnsi"/>
                <w:bCs/>
                <w:color w:val="000000" w:themeColor="text1"/>
                <w:sz w:val="18"/>
                <w:szCs w:val="18"/>
                <w:lang w:val="es-ES"/>
              </w:rPr>
              <w:t xml:space="preserve"> de 23 agentes.</w:t>
            </w:r>
          </w:p>
          <w:p w14:paraId="4E21E30C"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iii) Pr</w:t>
            </w:r>
            <w:r w:rsidR="00D0566E" w:rsidRPr="004768D0">
              <w:rPr>
                <w:rFonts w:asciiTheme="majorHAnsi" w:hAnsiTheme="majorHAnsi"/>
                <w:bCs/>
                <w:color w:val="000000" w:themeColor="text1"/>
                <w:sz w:val="18"/>
                <w:szCs w:val="18"/>
                <w:lang w:val="es-ES"/>
              </w:rPr>
              <w:t>esentación de un proyecto</w:t>
            </w:r>
            <w:r w:rsidR="00D0566E" w:rsidRPr="005912C9">
              <w:rPr>
                <w:rFonts w:asciiTheme="majorHAnsi" w:hAnsiTheme="majorHAnsi"/>
                <w:bCs/>
                <w:color w:val="000000" w:themeColor="text1"/>
                <w:sz w:val="18"/>
                <w:szCs w:val="18"/>
                <w:lang w:val="es-ES"/>
              </w:rPr>
              <w:t xml:space="preserve"> </w:t>
            </w:r>
            <w:r w:rsidRPr="005912C9">
              <w:rPr>
                <w:rFonts w:asciiTheme="majorHAnsi" w:hAnsiTheme="majorHAnsi"/>
                <w:bCs/>
                <w:color w:val="000000" w:themeColor="text1"/>
                <w:sz w:val="18"/>
                <w:szCs w:val="18"/>
                <w:lang w:val="es-ES"/>
              </w:rPr>
              <w:t xml:space="preserve">de </w:t>
            </w:r>
            <w:r w:rsidR="00915936" w:rsidRPr="005912C9">
              <w:rPr>
                <w:rFonts w:asciiTheme="majorHAnsi" w:hAnsiTheme="majorHAnsi"/>
                <w:bCs/>
                <w:color w:val="000000" w:themeColor="text1"/>
                <w:sz w:val="18"/>
                <w:szCs w:val="18"/>
                <w:lang w:val="es-ES"/>
              </w:rPr>
              <w:t>ley</w:t>
            </w:r>
            <w:r w:rsidRPr="005912C9">
              <w:rPr>
                <w:rFonts w:asciiTheme="majorHAnsi" w:hAnsiTheme="majorHAnsi"/>
                <w:bCs/>
                <w:color w:val="000000" w:themeColor="text1"/>
                <w:sz w:val="18"/>
                <w:szCs w:val="18"/>
                <w:lang w:val="es-ES"/>
              </w:rPr>
              <w:t xml:space="preserve">: </w:t>
            </w:r>
            <w:r w:rsidR="00D0566E" w:rsidRPr="005912C9">
              <w:rPr>
                <w:rFonts w:asciiTheme="majorHAnsi" w:hAnsiTheme="majorHAnsi"/>
                <w:bCs/>
                <w:color w:val="000000" w:themeColor="text1"/>
                <w:sz w:val="18"/>
                <w:szCs w:val="18"/>
                <w:lang w:val="es-ES"/>
              </w:rPr>
              <w:t>El</w:t>
            </w:r>
            <w:r w:rsidRPr="005912C9">
              <w:rPr>
                <w:rFonts w:asciiTheme="majorHAnsi" w:hAnsiTheme="majorHAnsi"/>
                <w:bCs/>
                <w:color w:val="000000" w:themeColor="text1"/>
                <w:sz w:val="18"/>
                <w:szCs w:val="18"/>
                <w:lang w:val="es-ES"/>
              </w:rPr>
              <w:t xml:space="preserve"> 17</w:t>
            </w:r>
            <w:r w:rsidR="00D0566E" w:rsidRPr="005912C9">
              <w:rPr>
                <w:rFonts w:asciiTheme="majorHAnsi" w:hAnsiTheme="majorHAnsi"/>
                <w:bCs/>
                <w:color w:val="000000" w:themeColor="text1"/>
                <w:sz w:val="18"/>
                <w:szCs w:val="18"/>
                <w:lang w:val="es-ES"/>
              </w:rPr>
              <w:t xml:space="preserve"> de noviembre de 2</w:t>
            </w:r>
            <w:r w:rsidRPr="005912C9">
              <w:rPr>
                <w:rFonts w:asciiTheme="majorHAnsi" w:hAnsiTheme="majorHAnsi"/>
                <w:bCs/>
                <w:color w:val="000000" w:themeColor="text1"/>
                <w:sz w:val="18"/>
                <w:szCs w:val="18"/>
                <w:lang w:val="es-ES"/>
              </w:rPr>
              <w:t xml:space="preserve">010, </w:t>
            </w:r>
            <w:r w:rsidR="00D0566E" w:rsidRPr="005912C9">
              <w:rPr>
                <w:rFonts w:asciiTheme="majorHAnsi" w:hAnsiTheme="majorHAnsi"/>
                <w:bCs/>
                <w:color w:val="000000" w:themeColor="text1"/>
                <w:sz w:val="18"/>
                <w:szCs w:val="18"/>
                <w:lang w:val="es-ES"/>
              </w:rPr>
              <w:t xml:space="preserve">el punto </w:t>
            </w:r>
            <w:r w:rsidRPr="005912C9">
              <w:rPr>
                <w:rFonts w:asciiTheme="majorHAnsi" w:hAnsiTheme="majorHAnsi"/>
                <w:bCs/>
                <w:color w:val="000000" w:themeColor="text1"/>
                <w:sz w:val="18"/>
                <w:szCs w:val="18"/>
                <w:lang w:val="es-ES"/>
              </w:rPr>
              <w:t>16 d</w:t>
            </w:r>
            <w:r w:rsidR="00D0566E" w:rsidRPr="005912C9">
              <w:rPr>
                <w:rFonts w:asciiTheme="majorHAnsi" w:hAnsiTheme="majorHAnsi"/>
                <w:bCs/>
                <w:color w:val="000000" w:themeColor="text1"/>
                <w:sz w:val="18"/>
                <w:szCs w:val="18"/>
                <w:lang w:val="es-ES"/>
              </w:rPr>
              <w:t xml:space="preserve">el orden del día de la </w:t>
            </w:r>
            <w:r w:rsidR="00C65DE2" w:rsidRPr="005912C9">
              <w:rPr>
                <w:rFonts w:asciiTheme="majorHAnsi" w:hAnsiTheme="majorHAnsi"/>
                <w:bCs/>
                <w:color w:val="000000" w:themeColor="text1"/>
                <w:sz w:val="18"/>
                <w:szCs w:val="18"/>
                <w:lang w:val="es-ES"/>
              </w:rPr>
              <w:t>Comisión</w:t>
            </w:r>
            <w:r w:rsidRPr="005912C9">
              <w:rPr>
                <w:rFonts w:asciiTheme="majorHAnsi" w:hAnsiTheme="majorHAnsi"/>
                <w:bCs/>
                <w:color w:val="000000" w:themeColor="text1"/>
                <w:sz w:val="18"/>
                <w:szCs w:val="18"/>
                <w:lang w:val="es-ES"/>
              </w:rPr>
              <w:t xml:space="preserve"> de </w:t>
            </w:r>
            <w:r w:rsidR="00246A29" w:rsidRPr="005912C9">
              <w:rPr>
                <w:rFonts w:asciiTheme="majorHAnsi" w:hAnsiTheme="majorHAnsi"/>
                <w:bCs/>
                <w:color w:val="000000" w:themeColor="text1"/>
                <w:sz w:val="18"/>
                <w:szCs w:val="18"/>
                <w:lang w:val="es-ES"/>
              </w:rPr>
              <w:t>Derechos</w:t>
            </w:r>
            <w:r w:rsidRPr="005912C9">
              <w:rPr>
                <w:rFonts w:asciiTheme="majorHAnsi" w:hAnsiTheme="majorHAnsi"/>
                <w:bCs/>
                <w:color w:val="000000" w:themeColor="text1"/>
                <w:sz w:val="18"/>
                <w:szCs w:val="18"/>
                <w:lang w:val="es-ES"/>
              </w:rPr>
              <w:t xml:space="preserve"> Humanos </w:t>
            </w:r>
            <w:r w:rsidR="00D0566E" w:rsidRPr="005912C9">
              <w:rPr>
                <w:rFonts w:asciiTheme="majorHAnsi" w:hAnsiTheme="majorHAnsi"/>
                <w:bCs/>
                <w:color w:val="000000" w:themeColor="text1"/>
                <w:sz w:val="18"/>
                <w:szCs w:val="18"/>
                <w:lang w:val="es-ES"/>
              </w:rPr>
              <w:t xml:space="preserve">era el proceso </w:t>
            </w:r>
            <w:r w:rsidRPr="005912C9">
              <w:rPr>
                <w:rFonts w:asciiTheme="majorHAnsi" w:hAnsiTheme="majorHAnsi"/>
                <w:bCs/>
                <w:color w:val="000000" w:themeColor="text1"/>
                <w:sz w:val="18"/>
                <w:szCs w:val="18"/>
                <w:lang w:val="es-ES"/>
              </w:rPr>
              <w:t xml:space="preserve">RGL </w:t>
            </w:r>
            <w:proofErr w:type="spellStart"/>
            <w:r w:rsidR="009615E2" w:rsidRPr="005912C9">
              <w:rPr>
                <w:rFonts w:asciiTheme="majorHAnsi" w:hAnsiTheme="majorHAnsi"/>
                <w:bCs/>
                <w:color w:val="000000" w:themeColor="text1"/>
                <w:sz w:val="18"/>
                <w:szCs w:val="18"/>
                <w:lang w:val="es-ES"/>
              </w:rPr>
              <w:t>N.</w:t>
            </w:r>
            <w:r w:rsidR="009615E2" w:rsidRPr="005912C9">
              <w:rPr>
                <w:rFonts w:asciiTheme="majorHAnsi" w:hAnsiTheme="majorHAnsi"/>
                <w:bCs/>
                <w:color w:val="000000" w:themeColor="text1"/>
                <w:sz w:val="18"/>
                <w:szCs w:val="18"/>
                <w:vertAlign w:val="superscript"/>
                <w:lang w:val="es-ES"/>
              </w:rPr>
              <w:t>o</w:t>
            </w:r>
            <w:proofErr w:type="spellEnd"/>
            <w:r w:rsidRPr="005912C9">
              <w:rPr>
                <w:rFonts w:asciiTheme="majorHAnsi" w:hAnsiTheme="majorHAnsi"/>
                <w:bCs/>
                <w:color w:val="000000" w:themeColor="text1"/>
                <w:sz w:val="18"/>
                <w:szCs w:val="18"/>
                <w:lang w:val="es-ES"/>
              </w:rPr>
              <w:t xml:space="preserve"> 4360/2010, </w:t>
            </w:r>
            <w:r w:rsidR="00D0566E" w:rsidRPr="005912C9">
              <w:rPr>
                <w:rFonts w:asciiTheme="majorHAnsi" w:hAnsiTheme="majorHAnsi"/>
                <w:bCs/>
                <w:color w:val="000000" w:themeColor="text1"/>
                <w:sz w:val="18"/>
                <w:szCs w:val="18"/>
                <w:lang w:val="es-ES"/>
              </w:rPr>
              <w:t>entablado por el Movimiento</w:t>
            </w:r>
            <w:r w:rsidRPr="005912C9">
              <w:rPr>
                <w:rFonts w:asciiTheme="majorHAnsi" w:hAnsiTheme="majorHAnsi"/>
                <w:bCs/>
                <w:color w:val="000000" w:themeColor="text1"/>
                <w:sz w:val="18"/>
                <w:szCs w:val="18"/>
                <w:lang w:val="es-ES"/>
              </w:rPr>
              <w:t xml:space="preserve"> </w:t>
            </w:r>
            <w:r w:rsidR="000A5DA2" w:rsidRPr="005912C9">
              <w:rPr>
                <w:rFonts w:asciiTheme="majorHAnsi" w:hAnsiTheme="majorHAnsi"/>
                <w:bCs/>
                <w:color w:val="000000" w:themeColor="text1"/>
                <w:sz w:val="18"/>
                <w:szCs w:val="18"/>
                <w:lang w:val="es-ES"/>
              </w:rPr>
              <w:t>Madre</w:t>
            </w:r>
            <w:r w:rsidR="000A5DA2" w:rsidRPr="004768D0">
              <w:rPr>
                <w:rFonts w:asciiTheme="majorHAnsi" w:hAnsiTheme="majorHAnsi"/>
                <w:bCs/>
                <w:color w:val="000000" w:themeColor="text1"/>
                <w:sz w:val="18"/>
                <w:szCs w:val="18"/>
                <w:lang w:val="es-ES"/>
              </w:rPr>
              <w:t>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d</w:t>
            </w:r>
            <w:r w:rsidR="00D0566E"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 xml:space="preserve"> </w:t>
            </w:r>
            <w:r w:rsidR="00D0566E" w:rsidRPr="004768D0">
              <w:rPr>
                <w:rFonts w:asciiTheme="majorHAnsi" w:hAnsiTheme="majorHAnsi"/>
                <w:bCs/>
                <w:color w:val="000000" w:themeColor="text1"/>
                <w:sz w:val="18"/>
                <w:szCs w:val="18"/>
                <w:lang w:val="es-ES"/>
              </w:rPr>
              <w:t xml:space="preserve">la </w:t>
            </w:r>
            <w:proofErr w:type="spellStart"/>
            <w:r w:rsidRPr="004768D0">
              <w:rPr>
                <w:rFonts w:asciiTheme="majorHAnsi" w:hAnsiTheme="majorHAnsi"/>
                <w:bCs/>
                <w:color w:val="000000" w:themeColor="text1"/>
                <w:sz w:val="18"/>
                <w:szCs w:val="18"/>
                <w:lang w:val="es-ES"/>
              </w:rPr>
              <w:t>Baixada</w:t>
            </w:r>
            <w:proofErr w:type="spellEnd"/>
            <w:r w:rsidRPr="004768D0">
              <w:rPr>
                <w:rFonts w:asciiTheme="majorHAnsi" w:hAnsiTheme="majorHAnsi"/>
                <w:bCs/>
                <w:color w:val="000000" w:themeColor="text1"/>
                <w:sz w:val="18"/>
                <w:szCs w:val="18"/>
                <w:lang w:val="es-ES"/>
              </w:rPr>
              <w:t xml:space="preserve"> </w:t>
            </w:r>
            <w:proofErr w:type="spellStart"/>
            <w:r w:rsidRPr="004768D0">
              <w:rPr>
                <w:rFonts w:asciiTheme="majorHAnsi" w:hAnsiTheme="majorHAnsi"/>
                <w:bCs/>
                <w:color w:val="000000" w:themeColor="text1"/>
                <w:sz w:val="18"/>
                <w:szCs w:val="18"/>
                <w:lang w:val="es-ES"/>
              </w:rPr>
              <w:t>Santista</w:t>
            </w:r>
            <w:proofErr w:type="spellEnd"/>
            <w:r w:rsidRPr="004768D0">
              <w:rPr>
                <w:rFonts w:asciiTheme="majorHAnsi" w:hAnsiTheme="majorHAnsi"/>
                <w:bCs/>
                <w:color w:val="000000" w:themeColor="text1"/>
                <w:sz w:val="18"/>
                <w:szCs w:val="18"/>
                <w:lang w:val="es-ES"/>
              </w:rPr>
              <w:t xml:space="preserve">, </w:t>
            </w:r>
            <w:r w:rsidR="00D0566E" w:rsidRPr="004768D0">
              <w:rPr>
                <w:rFonts w:asciiTheme="majorHAnsi" w:hAnsiTheme="majorHAnsi"/>
                <w:bCs/>
                <w:color w:val="000000" w:themeColor="text1"/>
                <w:sz w:val="18"/>
                <w:szCs w:val="18"/>
                <w:lang w:val="es-ES"/>
              </w:rPr>
              <w:t xml:space="preserve">mediante el cual se </w:t>
            </w:r>
            <w:r w:rsidRPr="004768D0">
              <w:rPr>
                <w:rFonts w:asciiTheme="majorHAnsi" w:hAnsiTheme="majorHAnsi"/>
                <w:bCs/>
                <w:color w:val="000000" w:themeColor="text1"/>
                <w:sz w:val="18"/>
                <w:szCs w:val="18"/>
                <w:lang w:val="es-ES"/>
              </w:rPr>
              <w:t>solicita</w:t>
            </w:r>
            <w:r w:rsidR="00D0566E" w:rsidRPr="004768D0">
              <w:rPr>
                <w:rFonts w:asciiTheme="majorHAnsi" w:hAnsiTheme="majorHAnsi"/>
                <w:bCs/>
                <w:color w:val="000000" w:themeColor="text1"/>
                <w:sz w:val="18"/>
                <w:szCs w:val="18"/>
                <w:lang w:val="es-ES"/>
              </w:rPr>
              <w:t xml:space="preserve">ba la presentación de una propuesta para designar la </w:t>
            </w:r>
            <w:r w:rsidR="003D13F3" w:rsidRPr="004768D0">
              <w:rPr>
                <w:rFonts w:asciiTheme="majorHAnsi" w:hAnsiTheme="majorHAnsi"/>
                <w:bCs/>
                <w:color w:val="000000" w:themeColor="text1"/>
                <w:sz w:val="18"/>
                <w:szCs w:val="18"/>
                <w:lang w:val="es-ES"/>
              </w:rPr>
              <w:t>semana estatal de las personas víctimas de viole</w:t>
            </w:r>
            <w:r w:rsidR="00D0566E" w:rsidRPr="004768D0">
              <w:rPr>
                <w:rFonts w:asciiTheme="majorHAnsi" w:hAnsiTheme="majorHAnsi"/>
                <w:bCs/>
                <w:color w:val="000000" w:themeColor="text1"/>
                <w:sz w:val="18"/>
                <w:szCs w:val="18"/>
                <w:lang w:val="es-ES"/>
              </w:rPr>
              <w:t>ncia</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 xml:space="preserve">Actuó como </w:t>
            </w:r>
            <w:r w:rsidRPr="004768D0">
              <w:rPr>
                <w:rFonts w:asciiTheme="majorHAnsi" w:hAnsiTheme="majorHAnsi"/>
                <w:bCs/>
                <w:color w:val="000000" w:themeColor="text1"/>
                <w:sz w:val="18"/>
                <w:szCs w:val="18"/>
                <w:lang w:val="es-ES"/>
              </w:rPr>
              <w:t xml:space="preserve">relator </w:t>
            </w:r>
            <w:r w:rsidR="009A61EC"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d</w:t>
            </w:r>
            <w:r w:rsidR="009A61EC" w:rsidRPr="004768D0">
              <w:rPr>
                <w:rFonts w:asciiTheme="majorHAnsi" w:hAnsiTheme="majorHAnsi"/>
                <w:bCs/>
                <w:color w:val="000000" w:themeColor="text1"/>
                <w:sz w:val="18"/>
                <w:szCs w:val="18"/>
                <w:lang w:val="es-ES"/>
              </w:rPr>
              <w:t>i</w:t>
            </w:r>
            <w:r w:rsidRPr="004768D0">
              <w:rPr>
                <w:rFonts w:asciiTheme="majorHAnsi" w:hAnsiTheme="majorHAnsi"/>
                <w:bCs/>
                <w:color w:val="000000" w:themeColor="text1"/>
                <w:sz w:val="18"/>
                <w:szCs w:val="18"/>
                <w:lang w:val="es-ES"/>
              </w:rPr>
              <w:t xml:space="preserve">putado </w:t>
            </w:r>
            <w:proofErr w:type="spellStart"/>
            <w:r w:rsidRPr="004768D0">
              <w:rPr>
                <w:rFonts w:asciiTheme="majorHAnsi" w:hAnsiTheme="majorHAnsi"/>
                <w:bCs/>
                <w:color w:val="000000" w:themeColor="text1"/>
                <w:sz w:val="18"/>
                <w:szCs w:val="18"/>
                <w:lang w:val="es-ES"/>
              </w:rPr>
              <w:t>Raul</w:t>
            </w:r>
            <w:proofErr w:type="spellEnd"/>
            <w:r w:rsidRPr="004768D0">
              <w:rPr>
                <w:rFonts w:asciiTheme="majorHAnsi" w:hAnsiTheme="majorHAnsi"/>
                <w:bCs/>
                <w:color w:val="000000" w:themeColor="text1"/>
                <w:sz w:val="18"/>
                <w:szCs w:val="18"/>
                <w:lang w:val="es-ES"/>
              </w:rPr>
              <w:t xml:space="preserve"> Marcelo, </w:t>
            </w:r>
            <w:r w:rsidR="009A61EC" w:rsidRPr="004768D0">
              <w:rPr>
                <w:rFonts w:asciiTheme="majorHAnsi" w:hAnsiTheme="majorHAnsi"/>
                <w:bCs/>
                <w:color w:val="000000" w:themeColor="text1"/>
                <w:sz w:val="18"/>
                <w:szCs w:val="18"/>
                <w:lang w:val="es-ES"/>
              </w:rPr>
              <w:t xml:space="preserve">quien presentó un </w:t>
            </w:r>
            <w:r w:rsidRPr="004768D0">
              <w:rPr>
                <w:rFonts w:asciiTheme="majorHAnsi" w:hAnsiTheme="majorHAnsi"/>
                <w:bCs/>
                <w:color w:val="000000" w:themeColor="text1"/>
                <w:sz w:val="18"/>
                <w:szCs w:val="18"/>
                <w:lang w:val="es-ES"/>
              </w:rPr>
              <w:t>pro</w:t>
            </w:r>
            <w:r w:rsidR="009A61EC" w:rsidRPr="004768D0">
              <w:rPr>
                <w:rFonts w:asciiTheme="majorHAnsi" w:hAnsiTheme="majorHAnsi"/>
                <w:bCs/>
                <w:color w:val="000000" w:themeColor="text1"/>
                <w:sz w:val="18"/>
                <w:szCs w:val="18"/>
                <w:lang w:val="es-ES"/>
              </w:rPr>
              <w:t>yecto de</w:t>
            </w:r>
            <w:r w:rsidRPr="004768D0">
              <w:rPr>
                <w:rFonts w:asciiTheme="majorHAnsi" w:hAnsiTheme="majorHAnsi"/>
                <w:bCs/>
                <w:color w:val="000000" w:themeColor="text1"/>
                <w:sz w:val="18"/>
                <w:szCs w:val="18"/>
                <w:lang w:val="es-ES"/>
              </w:rPr>
              <w:t xml:space="preserve"> </w:t>
            </w:r>
            <w:r w:rsidR="00915936" w:rsidRPr="004768D0">
              <w:rPr>
                <w:rFonts w:asciiTheme="majorHAnsi" w:hAnsiTheme="majorHAnsi"/>
                <w:bCs/>
                <w:color w:val="000000" w:themeColor="text1"/>
                <w:sz w:val="18"/>
                <w:szCs w:val="18"/>
                <w:lang w:val="es-ES"/>
              </w:rPr>
              <w:t>ley</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 xml:space="preserve">para designar la </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semana </w:t>
            </w:r>
            <w:r w:rsidR="00915936" w:rsidRPr="004768D0">
              <w:rPr>
                <w:rFonts w:asciiTheme="majorHAnsi" w:hAnsiTheme="majorHAnsi"/>
                <w:bCs/>
                <w:color w:val="000000" w:themeColor="text1"/>
                <w:sz w:val="18"/>
                <w:szCs w:val="18"/>
                <w:lang w:val="es-ES"/>
              </w:rPr>
              <w:t>estatal</w:t>
            </w:r>
            <w:r w:rsidRPr="004768D0">
              <w:rPr>
                <w:rFonts w:asciiTheme="majorHAnsi" w:hAnsiTheme="majorHAnsi"/>
                <w:bCs/>
                <w:color w:val="000000" w:themeColor="text1"/>
                <w:sz w:val="18"/>
                <w:szCs w:val="18"/>
                <w:lang w:val="es-ES"/>
              </w:rPr>
              <w:t xml:space="preserve"> d</w:t>
            </w:r>
            <w:r w:rsidR="003D13F3">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as </w:t>
            </w:r>
            <w:r w:rsidR="000C0AC4" w:rsidRPr="004768D0">
              <w:rPr>
                <w:rFonts w:asciiTheme="majorHAnsi" w:hAnsiTheme="majorHAnsi"/>
                <w:bCs/>
                <w:color w:val="000000" w:themeColor="text1"/>
                <w:sz w:val="18"/>
                <w:szCs w:val="18"/>
                <w:lang w:val="es-ES"/>
              </w:rPr>
              <w:t>personas</w:t>
            </w:r>
            <w:r w:rsidRPr="004768D0">
              <w:rPr>
                <w:rFonts w:asciiTheme="majorHAnsi" w:hAnsiTheme="majorHAnsi"/>
                <w:bCs/>
                <w:color w:val="000000" w:themeColor="text1"/>
                <w:sz w:val="18"/>
                <w:szCs w:val="18"/>
                <w:lang w:val="es-ES"/>
              </w:rPr>
              <w:t xml:space="preserve">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de </w:t>
            </w:r>
            <w:r w:rsidR="000A5DA2" w:rsidRPr="004768D0">
              <w:rPr>
                <w:rFonts w:asciiTheme="majorHAnsi" w:hAnsiTheme="majorHAnsi"/>
                <w:bCs/>
                <w:color w:val="000000" w:themeColor="text1"/>
                <w:sz w:val="18"/>
                <w:szCs w:val="18"/>
                <w:lang w:val="es-ES"/>
              </w:rPr>
              <w:t xml:space="preserve">violencia en el </w:t>
            </w:r>
            <w:r w:rsidRPr="004768D0">
              <w:rPr>
                <w:rFonts w:asciiTheme="majorHAnsi" w:hAnsiTheme="majorHAnsi"/>
                <w:bCs/>
                <w:color w:val="000000" w:themeColor="text1"/>
                <w:sz w:val="18"/>
                <w:szCs w:val="18"/>
                <w:lang w:val="es-ES"/>
              </w:rPr>
              <w:t>estado de São Paulo</w:t>
            </w:r>
            <w:r w:rsidR="004744F0" w:rsidRPr="004768D0">
              <w:rPr>
                <w:rFonts w:asciiTheme="majorHAnsi" w:hAnsiTheme="majorHAnsi"/>
                <w:bCs/>
                <w:color w:val="000000" w:themeColor="text1"/>
                <w:sz w:val="18"/>
                <w:szCs w:val="18"/>
                <w:lang w:val="es-ES"/>
              </w:rPr>
              <w:t>”</w:t>
            </w:r>
            <w:r w:rsidR="009A61EC"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p>
          <w:p w14:paraId="05101183"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iv) Premi</w:t>
            </w:r>
            <w:r w:rsidR="009A61EC" w:rsidRPr="004768D0">
              <w:rPr>
                <w:rFonts w:asciiTheme="majorHAnsi" w:hAnsiTheme="majorHAnsi"/>
                <w:bCs/>
                <w:color w:val="000000" w:themeColor="text1"/>
                <w:sz w:val="18"/>
                <w:szCs w:val="18"/>
                <w:lang w:val="es-ES"/>
              </w:rPr>
              <w:t xml:space="preserve">o al </w:t>
            </w:r>
            <w:r w:rsidR="000A5DA2" w:rsidRPr="004768D0">
              <w:rPr>
                <w:rFonts w:asciiTheme="majorHAnsi" w:hAnsiTheme="majorHAnsi"/>
                <w:bCs/>
                <w:color w:val="000000" w:themeColor="text1"/>
                <w:sz w:val="18"/>
                <w:szCs w:val="18"/>
                <w:lang w:val="es-ES"/>
              </w:rPr>
              <w:t>Movimiento</w:t>
            </w:r>
            <w:r w:rsidRPr="004768D0">
              <w:rPr>
                <w:rFonts w:asciiTheme="majorHAnsi" w:hAnsiTheme="majorHAnsi"/>
                <w:bCs/>
                <w:color w:val="000000" w:themeColor="text1"/>
                <w:sz w:val="18"/>
                <w:szCs w:val="18"/>
                <w:lang w:val="es-ES"/>
              </w:rPr>
              <w:t xml:space="preserve">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 xml:space="preserve">El </w:t>
            </w:r>
            <w:r w:rsidRPr="004768D0">
              <w:rPr>
                <w:rFonts w:asciiTheme="majorHAnsi" w:hAnsiTheme="majorHAnsi"/>
                <w:bCs/>
                <w:color w:val="000000" w:themeColor="text1"/>
                <w:sz w:val="18"/>
                <w:szCs w:val="18"/>
                <w:lang w:val="es-ES"/>
              </w:rPr>
              <w:t>26</w:t>
            </w:r>
            <w:r w:rsidR="009A61EC" w:rsidRPr="004768D0">
              <w:rPr>
                <w:rFonts w:asciiTheme="majorHAnsi" w:hAnsiTheme="majorHAnsi"/>
                <w:bCs/>
                <w:color w:val="000000" w:themeColor="text1"/>
                <w:sz w:val="18"/>
                <w:szCs w:val="18"/>
                <w:lang w:val="es-ES"/>
              </w:rPr>
              <w:t xml:space="preserve"> de octubre de 2</w:t>
            </w:r>
            <w:r w:rsidRPr="004768D0">
              <w:rPr>
                <w:rFonts w:asciiTheme="majorHAnsi" w:hAnsiTheme="majorHAnsi"/>
                <w:bCs/>
                <w:color w:val="000000" w:themeColor="text1"/>
                <w:sz w:val="18"/>
                <w:szCs w:val="18"/>
                <w:lang w:val="es-ES"/>
              </w:rPr>
              <w:t xml:space="preserve">011, </w:t>
            </w:r>
            <w:r w:rsidR="009A61EC"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a </w:t>
            </w:r>
            <w:r w:rsidR="00C65DE2" w:rsidRPr="004768D0">
              <w:rPr>
                <w:rFonts w:asciiTheme="majorHAnsi" w:hAnsiTheme="majorHAnsi"/>
                <w:bCs/>
                <w:color w:val="000000" w:themeColor="text1"/>
                <w:sz w:val="18"/>
                <w:szCs w:val="18"/>
                <w:lang w:val="es-ES"/>
              </w:rPr>
              <w:t>Comisión</w:t>
            </w:r>
            <w:r w:rsidRPr="004768D0">
              <w:rPr>
                <w:rFonts w:asciiTheme="majorHAnsi" w:hAnsiTheme="majorHAnsi"/>
                <w:bCs/>
                <w:color w:val="000000" w:themeColor="text1"/>
                <w:sz w:val="18"/>
                <w:szCs w:val="18"/>
                <w:lang w:val="es-ES"/>
              </w:rPr>
              <w:t xml:space="preserve"> de </w:t>
            </w:r>
            <w:r w:rsidR="00246A29" w:rsidRPr="004768D0">
              <w:rPr>
                <w:rFonts w:asciiTheme="majorHAnsi" w:hAnsiTheme="majorHAnsi"/>
                <w:bCs/>
                <w:color w:val="000000" w:themeColor="text1"/>
                <w:sz w:val="18"/>
                <w:szCs w:val="18"/>
                <w:lang w:val="es-ES"/>
              </w:rPr>
              <w:t>Derechos</w:t>
            </w:r>
            <w:r w:rsidRPr="004768D0">
              <w:rPr>
                <w:rFonts w:asciiTheme="majorHAnsi" w:hAnsiTheme="majorHAnsi"/>
                <w:bCs/>
                <w:color w:val="000000" w:themeColor="text1"/>
                <w:sz w:val="18"/>
                <w:szCs w:val="18"/>
                <w:lang w:val="es-ES"/>
              </w:rPr>
              <w:t xml:space="preserve"> Humanos d</w:t>
            </w:r>
            <w:r w:rsidR="009A61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ALESP </w:t>
            </w:r>
            <w:r w:rsidR="009A61EC" w:rsidRPr="004768D0">
              <w:rPr>
                <w:rFonts w:asciiTheme="majorHAnsi" w:hAnsiTheme="majorHAnsi"/>
                <w:bCs/>
                <w:color w:val="000000" w:themeColor="text1"/>
                <w:sz w:val="18"/>
                <w:szCs w:val="18"/>
                <w:lang w:val="es-ES"/>
              </w:rPr>
              <w:t xml:space="preserve">adjudicó al </w:t>
            </w:r>
            <w:r w:rsidR="004744F0" w:rsidRPr="004768D0">
              <w:rPr>
                <w:rFonts w:asciiTheme="majorHAnsi" w:hAnsiTheme="majorHAnsi"/>
                <w:bCs/>
                <w:color w:val="000000" w:themeColor="text1"/>
                <w:sz w:val="18"/>
                <w:szCs w:val="18"/>
                <w:lang w:val="es-ES"/>
              </w:rPr>
              <w:t>“</w:t>
            </w:r>
            <w:r w:rsidR="000A5DA2" w:rsidRPr="004768D0">
              <w:rPr>
                <w:rFonts w:asciiTheme="majorHAnsi" w:hAnsiTheme="majorHAnsi"/>
                <w:bCs/>
                <w:color w:val="000000" w:themeColor="text1"/>
                <w:sz w:val="18"/>
                <w:szCs w:val="18"/>
                <w:lang w:val="es-ES"/>
              </w:rPr>
              <w:t>Movimiento</w:t>
            </w:r>
            <w:r w:rsidRPr="004768D0">
              <w:rPr>
                <w:rFonts w:asciiTheme="majorHAnsi" w:hAnsiTheme="majorHAnsi"/>
                <w:bCs/>
                <w:color w:val="000000" w:themeColor="text1"/>
                <w:sz w:val="18"/>
                <w:szCs w:val="18"/>
                <w:lang w:val="es-ES"/>
              </w:rPr>
              <w:t xml:space="preserve">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d</w:t>
            </w:r>
            <w:r w:rsidR="009A61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w:t>
            </w:r>
            <w:proofErr w:type="spellStart"/>
            <w:r w:rsidRPr="004768D0">
              <w:rPr>
                <w:rFonts w:asciiTheme="majorHAnsi" w:hAnsiTheme="majorHAnsi"/>
                <w:bCs/>
                <w:color w:val="000000" w:themeColor="text1"/>
                <w:sz w:val="18"/>
                <w:szCs w:val="18"/>
                <w:lang w:val="es-ES"/>
              </w:rPr>
              <w:t>Baixada</w:t>
            </w:r>
            <w:proofErr w:type="spellEnd"/>
            <w:r w:rsidRPr="004768D0">
              <w:rPr>
                <w:rFonts w:asciiTheme="majorHAnsi" w:hAnsiTheme="majorHAnsi"/>
                <w:bCs/>
                <w:color w:val="000000" w:themeColor="text1"/>
                <w:sz w:val="18"/>
                <w:szCs w:val="18"/>
                <w:lang w:val="es-ES"/>
              </w:rPr>
              <w:t xml:space="preserve"> </w:t>
            </w:r>
            <w:proofErr w:type="spellStart"/>
            <w:r w:rsidRPr="004768D0">
              <w:rPr>
                <w:rFonts w:asciiTheme="majorHAnsi" w:hAnsiTheme="majorHAnsi"/>
                <w:bCs/>
                <w:color w:val="000000" w:themeColor="text1"/>
                <w:sz w:val="18"/>
                <w:szCs w:val="18"/>
                <w:lang w:val="es-ES"/>
              </w:rPr>
              <w:t>Santista</w:t>
            </w:r>
            <w:proofErr w:type="spellEnd"/>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el Premio</w:t>
            </w:r>
            <w:r w:rsidRPr="004768D0">
              <w:rPr>
                <w:rFonts w:asciiTheme="majorHAnsi" w:hAnsiTheme="majorHAnsi"/>
                <w:bCs/>
                <w:color w:val="000000" w:themeColor="text1"/>
                <w:sz w:val="18"/>
                <w:szCs w:val="18"/>
                <w:lang w:val="es-ES"/>
              </w:rPr>
              <w:t xml:space="preserve"> Santo </w:t>
            </w:r>
            <w:r w:rsidR="00B9588A" w:rsidRPr="004768D0">
              <w:rPr>
                <w:rFonts w:asciiTheme="majorHAnsi" w:hAnsiTheme="majorHAnsi"/>
                <w:bCs/>
                <w:color w:val="000000" w:themeColor="text1"/>
                <w:sz w:val="18"/>
                <w:szCs w:val="18"/>
                <w:lang w:val="es-ES"/>
              </w:rPr>
              <w:t>Días</w:t>
            </w:r>
            <w:r w:rsidRPr="004768D0">
              <w:rPr>
                <w:rFonts w:asciiTheme="majorHAnsi" w:hAnsiTheme="majorHAnsi"/>
                <w:bCs/>
                <w:color w:val="000000" w:themeColor="text1"/>
                <w:sz w:val="18"/>
                <w:szCs w:val="18"/>
                <w:lang w:val="es-ES"/>
              </w:rPr>
              <w:t xml:space="preserve"> de </w:t>
            </w:r>
            <w:r w:rsidR="00246A29" w:rsidRPr="004768D0">
              <w:rPr>
                <w:rFonts w:asciiTheme="majorHAnsi" w:hAnsiTheme="majorHAnsi"/>
                <w:bCs/>
                <w:color w:val="000000" w:themeColor="text1"/>
                <w:sz w:val="18"/>
                <w:szCs w:val="18"/>
                <w:lang w:val="es-ES"/>
              </w:rPr>
              <w:t>Derechos</w:t>
            </w:r>
            <w:r w:rsidRPr="004768D0">
              <w:rPr>
                <w:rFonts w:asciiTheme="majorHAnsi" w:hAnsiTheme="majorHAnsi"/>
                <w:bCs/>
                <w:color w:val="000000" w:themeColor="text1"/>
                <w:sz w:val="18"/>
                <w:szCs w:val="18"/>
                <w:lang w:val="es-ES"/>
              </w:rPr>
              <w:t xml:space="preserve"> Humanos. E</w:t>
            </w:r>
            <w:r w:rsidR="009A61EC" w:rsidRPr="004768D0">
              <w:rPr>
                <w:rFonts w:asciiTheme="majorHAnsi" w:hAnsiTheme="majorHAnsi"/>
                <w:bCs/>
                <w:color w:val="000000" w:themeColor="text1"/>
                <w:sz w:val="18"/>
                <w:szCs w:val="18"/>
                <w:lang w:val="es-ES"/>
              </w:rPr>
              <w:t xml:space="preserve">l </w:t>
            </w:r>
            <w:r w:rsidRPr="004768D0">
              <w:rPr>
                <w:rFonts w:asciiTheme="majorHAnsi" w:hAnsiTheme="majorHAnsi"/>
                <w:bCs/>
                <w:color w:val="000000" w:themeColor="text1"/>
                <w:sz w:val="18"/>
                <w:szCs w:val="18"/>
                <w:lang w:val="es-ES"/>
              </w:rPr>
              <w:t>5</w:t>
            </w:r>
            <w:r w:rsidR="009A61EC" w:rsidRPr="004768D0">
              <w:rPr>
                <w:rFonts w:asciiTheme="majorHAnsi" w:hAnsiTheme="majorHAnsi"/>
                <w:bCs/>
                <w:color w:val="000000" w:themeColor="text1"/>
                <w:sz w:val="18"/>
                <w:szCs w:val="18"/>
                <w:lang w:val="es-ES"/>
              </w:rPr>
              <w:t xml:space="preserve"> de diciembre de 2</w:t>
            </w:r>
            <w:r w:rsidRPr="004768D0">
              <w:rPr>
                <w:rFonts w:asciiTheme="majorHAnsi" w:hAnsiTheme="majorHAnsi"/>
                <w:bCs/>
                <w:color w:val="000000" w:themeColor="text1"/>
                <w:sz w:val="18"/>
                <w:szCs w:val="18"/>
                <w:lang w:val="es-ES"/>
              </w:rPr>
              <w:t xml:space="preserve">011, </w:t>
            </w:r>
            <w:r w:rsidR="009A61EC" w:rsidRPr="004768D0">
              <w:rPr>
                <w:rFonts w:asciiTheme="majorHAnsi" w:hAnsiTheme="majorHAnsi"/>
                <w:bCs/>
                <w:color w:val="000000" w:themeColor="text1"/>
                <w:sz w:val="18"/>
                <w:szCs w:val="18"/>
                <w:lang w:val="es-ES"/>
              </w:rPr>
              <w:t xml:space="preserve">dicho movimiento recibió el premio en una sesión solemne de la </w:t>
            </w:r>
            <w:r w:rsidRPr="004768D0">
              <w:rPr>
                <w:rFonts w:asciiTheme="majorHAnsi" w:hAnsiTheme="majorHAnsi"/>
                <w:bCs/>
                <w:color w:val="000000" w:themeColor="text1"/>
                <w:sz w:val="18"/>
                <w:szCs w:val="18"/>
                <w:lang w:val="es-ES"/>
              </w:rPr>
              <w:t>ALESP</w:t>
            </w:r>
            <w:r w:rsidR="009A61EC"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p>
          <w:p w14:paraId="547C9360"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v) </w:t>
            </w:r>
            <w:r w:rsidR="009A61EC" w:rsidRPr="004768D0">
              <w:rPr>
                <w:rFonts w:asciiTheme="majorHAnsi" w:hAnsiTheme="majorHAnsi"/>
                <w:bCs/>
                <w:color w:val="000000" w:themeColor="text1"/>
                <w:sz w:val="18"/>
                <w:szCs w:val="18"/>
                <w:lang w:val="es-ES"/>
              </w:rPr>
              <w:t xml:space="preserve">Declaración de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familiares </w:t>
            </w:r>
            <w:r w:rsidR="009A61EC"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w:t>
            </w:r>
            <w:r w:rsidR="003346C1" w:rsidRPr="004768D0">
              <w:rPr>
                <w:rFonts w:asciiTheme="majorHAnsi" w:hAnsiTheme="majorHAnsi"/>
                <w:bCs/>
                <w:color w:val="000000" w:themeColor="text1"/>
                <w:sz w:val="18"/>
                <w:szCs w:val="18"/>
                <w:lang w:val="es-ES"/>
              </w:rPr>
              <w:t>testigos</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 xml:space="preserve">El </w:t>
            </w:r>
            <w:r w:rsidRPr="004768D0">
              <w:rPr>
                <w:rFonts w:asciiTheme="majorHAnsi" w:hAnsiTheme="majorHAnsi"/>
                <w:bCs/>
                <w:color w:val="000000" w:themeColor="text1"/>
                <w:sz w:val="18"/>
                <w:szCs w:val="18"/>
                <w:lang w:val="es-ES"/>
              </w:rPr>
              <w:t>18</w:t>
            </w:r>
            <w:r w:rsidR="009A61EC" w:rsidRPr="004768D0">
              <w:rPr>
                <w:rFonts w:asciiTheme="majorHAnsi" w:hAnsiTheme="majorHAnsi"/>
                <w:bCs/>
                <w:color w:val="000000" w:themeColor="text1"/>
                <w:sz w:val="18"/>
                <w:szCs w:val="18"/>
                <w:lang w:val="es-ES"/>
              </w:rPr>
              <w:t xml:space="preserve"> de noviembre de 2</w:t>
            </w:r>
            <w:r w:rsidRPr="004768D0">
              <w:rPr>
                <w:rFonts w:asciiTheme="majorHAnsi" w:hAnsiTheme="majorHAnsi"/>
                <w:bCs/>
                <w:color w:val="000000" w:themeColor="text1"/>
                <w:sz w:val="18"/>
                <w:szCs w:val="18"/>
                <w:lang w:val="es-ES"/>
              </w:rPr>
              <w:t xml:space="preserve">011, </w:t>
            </w:r>
            <w:r w:rsidR="009A61EC"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a </w:t>
            </w:r>
            <w:r w:rsidR="00C65DE2" w:rsidRPr="004768D0">
              <w:rPr>
                <w:rFonts w:asciiTheme="majorHAnsi" w:hAnsiTheme="majorHAnsi"/>
                <w:bCs/>
                <w:color w:val="000000" w:themeColor="text1"/>
                <w:sz w:val="18"/>
                <w:szCs w:val="18"/>
                <w:lang w:val="es-ES"/>
              </w:rPr>
              <w:t>Comisión</w:t>
            </w:r>
            <w:r w:rsidRPr="004768D0">
              <w:rPr>
                <w:rFonts w:asciiTheme="majorHAnsi" w:hAnsiTheme="majorHAnsi"/>
                <w:bCs/>
                <w:color w:val="000000" w:themeColor="text1"/>
                <w:sz w:val="18"/>
                <w:szCs w:val="18"/>
                <w:lang w:val="es-ES"/>
              </w:rPr>
              <w:t xml:space="preserve"> de </w:t>
            </w:r>
            <w:r w:rsidR="00246A29" w:rsidRPr="004768D0">
              <w:rPr>
                <w:rFonts w:asciiTheme="majorHAnsi" w:hAnsiTheme="majorHAnsi"/>
                <w:bCs/>
                <w:color w:val="000000" w:themeColor="text1"/>
                <w:sz w:val="18"/>
                <w:szCs w:val="18"/>
                <w:lang w:val="es-ES"/>
              </w:rPr>
              <w:t>Derechos</w:t>
            </w:r>
            <w:r w:rsidRPr="004768D0">
              <w:rPr>
                <w:rFonts w:asciiTheme="majorHAnsi" w:hAnsiTheme="majorHAnsi"/>
                <w:bCs/>
                <w:color w:val="000000" w:themeColor="text1"/>
                <w:sz w:val="18"/>
                <w:szCs w:val="18"/>
                <w:lang w:val="es-ES"/>
              </w:rPr>
              <w:t xml:space="preserve"> Humanos realiz</w:t>
            </w:r>
            <w:r w:rsidR="009A61EC" w:rsidRPr="004768D0">
              <w:rPr>
                <w:rFonts w:asciiTheme="majorHAnsi" w:hAnsiTheme="majorHAnsi"/>
                <w:bCs/>
                <w:color w:val="000000" w:themeColor="text1"/>
                <w:sz w:val="18"/>
                <w:szCs w:val="18"/>
                <w:lang w:val="es-ES"/>
              </w:rPr>
              <w:t>ó una reunión en la Cámara</w:t>
            </w:r>
            <w:r w:rsidRPr="004768D0">
              <w:rPr>
                <w:rFonts w:asciiTheme="majorHAnsi" w:hAnsiTheme="majorHAnsi"/>
                <w:bCs/>
                <w:color w:val="000000" w:themeColor="text1"/>
                <w:sz w:val="18"/>
                <w:szCs w:val="18"/>
                <w:lang w:val="es-ES"/>
              </w:rPr>
              <w:t xml:space="preserve"> Municipal de Santos </w:t>
            </w:r>
            <w:r w:rsidR="009A61EC" w:rsidRPr="004768D0">
              <w:rPr>
                <w:rFonts w:asciiTheme="majorHAnsi" w:hAnsiTheme="majorHAnsi"/>
                <w:bCs/>
                <w:color w:val="000000" w:themeColor="text1"/>
                <w:sz w:val="18"/>
                <w:szCs w:val="18"/>
                <w:lang w:val="es-ES"/>
              </w:rPr>
              <w:lastRenderedPageBreak/>
              <w:t xml:space="preserve">a fin de escuchar los </w:t>
            </w:r>
            <w:r w:rsidRPr="004768D0">
              <w:rPr>
                <w:rFonts w:asciiTheme="majorHAnsi" w:hAnsiTheme="majorHAnsi"/>
                <w:bCs/>
                <w:color w:val="000000" w:themeColor="text1"/>
                <w:sz w:val="18"/>
                <w:szCs w:val="18"/>
                <w:lang w:val="es-ES"/>
              </w:rPr>
              <w:t>relatos de integrantes d</w:t>
            </w:r>
            <w:r w:rsidR="009A61EC"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w:t>
            </w:r>
            <w:r w:rsidR="004744F0" w:rsidRPr="004768D0">
              <w:rPr>
                <w:rFonts w:asciiTheme="majorHAnsi" w:hAnsiTheme="majorHAnsi"/>
                <w:bCs/>
                <w:color w:val="000000" w:themeColor="text1"/>
                <w:sz w:val="18"/>
                <w:szCs w:val="18"/>
                <w:lang w:val="es-ES"/>
              </w:rPr>
              <w:t>“</w:t>
            </w:r>
            <w:r w:rsidR="009A61EC" w:rsidRPr="004768D0">
              <w:rPr>
                <w:rFonts w:asciiTheme="majorHAnsi" w:hAnsiTheme="majorHAnsi"/>
                <w:bCs/>
                <w:color w:val="000000" w:themeColor="text1"/>
                <w:sz w:val="18"/>
                <w:szCs w:val="18"/>
                <w:lang w:val="es-ES"/>
              </w:rPr>
              <w:t>Movimiento</w:t>
            </w:r>
            <w:r w:rsidRPr="004768D0">
              <w:rPr>
                <w:rFonts w:asciiTheme="majorHAnsi" w:hAnsiTheme="majorHAnsi"/>
                <w:bCs/>
                <w:color w:val="000000" w:themeColor="text1"/>
                <w:sz w:val="18"/>
                <w:szCs w:val="18"/>
                <w:lang w:val="es-ES"/>
              </w:rPr>
              <w:t xml:space="preserve">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Santos</w:t>
            </w:r>
            <w:r w:rsidR="004744F0" w:rsidRPr="004768D0">
              <w:rPr>
                <w:rFonts w:asciiTheme="majorHAnsi" w:hAnsiTheme="majorHAnsi"/>
                <w:bCs/>
                <w:color w:val="000000" w:themeColor="text1"/>
                <w:sz w:val="18"/>
                <w:szCs w:val="18"/>
                <w:lang w:val="es-ES"/>
              </w:rPr>
              <w:t>”</w:t>
            </w:r>
            <w:r w:rsidR="009A61EC"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p>
          <w:p w14:paraId="4A2E99F9"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proofErr w:type="gramStart"/>
            <w:r w:rsidRPr="004768D0">
              <w:rPr>
                <w:rFonts w:asciiTheme="majorHAnsi" w:hAnsiTheme="majorHAnsi"/>
                <w:bCs/>
                <w:color w:val="000000" w:themeColor="text1"/>
                <w:sz w:val="18"/>
                <w:szCs w:val="18"/>
                <w:lang w:val="es-ES"/>
              </w:rPr>
              <w:t>vi</w:t>
            </w:r>
            <w:proofErr w:type="gramEnd"/>
            <w:r w:rsidRPr="004768D0">
              <w:rPr>
                <w:rFonts w:asciiTheme="majorHAnsi" w:hAnsiTheme="majorHAnsi"/>
                <w:bCs/>
                <w:color w:val="000000" w:themeColor="text1"/>
                <w:sz w:val="18"/>
                <w:szCs w:val="18"/>
                <w:lang w:val="es-ES"/>
              </w:rPr>
              <w:t>) Premi</w:t>
            </w:r>
            <w:r w:rsidR="009A61EC" w:rsidRPr="004768D0">
              <w:rPr>
                <w:rFonts w:asciiTheme="majorHAnsi" w:hAnsiTheme="majorHAnsi"/>
                <w:bCs/>
                <w:color w:val="000000" w:themeColor="text1"/>
                <w:sz w:val="18"/>
                <w:szCs w:val="18"/>
                <w:lang w:val="es-ES"/>
              </w:rPr>
              <w:t xml:space="preserve">o al </w:t>
            </w:r>
            <w:r w:rsidR="000A5DA2" w:rsidRPr="004768D0">
              <w:rPr>
                <w:rFonts w:asciiTheme="majorHAnsi" w:hAnsiTheme="majorHAnsi"/>
                <w:bCs/>
                <w:color w:val="000000" w:themeColor="text1"/>
                <w:sz w:val="18"/>
                <w:szCs w:val="18"/>
                <w:lang w:val="es-ES"/>
              </w:rPr>
              <w:t>Movimiento</w:t>
            </w:r>
            <w:r w:rsidRPr="004768D0">
              <w:rPr>
                <w:rFonts w:asciiTheme="majorHAnsi" w:hAnsiTheme="majorHAnsi"/>
                <w:bCs/>
                <w:color w:val="000000" w:themeColor="text1"/>
                <w:sz w:val="18"/>
                <w:szCs w:val="18"/>
                <w:lang w:val="es-ES"/>
              </w:rPr>
              <w:t xml:space="preserve">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 xml:space="preserve">El </w:t>
            </w:r>
            <w:r w:rsidRPr="004768D0">
              <w:rPr>
                <w:rFonts w:asciiTheme="majorHAnsi" w:hAnsiTheme="majorHAnsi"/>
                <w:bCs/>
                <w:color w:val="000000" w:themeColor="text1"/>
                <w:sz w:val="18"/>
                <w:szCs w:val="18"/>
                <w:lang w:val="es-ES"/>
              </w:rPr>
              <w:t>5</w:t>
            </w:r>
            <w:r w:rsidR="009A61EC" w:rsidRPr="004768D0">
              <w:rPr>
                <w:rFonts w:asciiTheme="majorHAnsi" w:hAnsiTheme="majorHAnsi"/>
                <w:bCs/>
                <w:color w:val="000000" w:themeColor="text1"/>
                <w:sz w:val="18"/>
                <w:szCs w:val="18"/>
                <w:lang w:val="es-ES"/>
              </w:rPr>
              <w:t xml:space="preserve"> de diciembre de </w:t>
            </w:r>
            <w:r w:rsidRPr="004768D0">
              <w:rPr>
                <w:rFonts w:asciiTheme="majorHAnsi" w:hAnsiTheme="majorHAnsi"/>
                <w:bCs/>
                <w:color w:val="000000" w:themeColor="text1"/>
                <w:sz w:val="18"/>
                <w:szCs w:val="18"/>
                <w:lang w:val="es-ES"/>
              </w:rPr>
              <w:t xml:space="preserve">2011, </w:t>
            </w:r>
            <w:r w:rsidR="009A61EC"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w:t>
            </w:r>
            <w:r w:rsidR="004744F0" w:rsidRPr="004768D0">
              <w:rPr>
                <w:rFonts w:asciiTheme="majorHAnsi" w:hAnsiTheme="majorHAnsi"/>
                <w:bCs/>
                <w:color w:val="000000" w:themeColor="text1"/>
                <w:sz w:val="18"/>
                <w:szCs w:val="18"/>
                <w:lang w:val="es-ES"/>
              </w:rPr>
              <w:t>“</w:t>
            </w:r>
            <w:r w:rsidR="009A61EC" w:rsidRPr="004768D0">
              <w:rPr>
                <w:rFonts w:asciiTheme="majorHAnsi" w:hAnsiTheme="majorHAnsi"/>
                <w:bCs/>
                <w:color w:val="000000" w:themeColor="text1"/>
                <w:sz w:val="18"/>
                <w:szCs w:val="18"/>
                <w:lang w:val="es-ES"/>
              </w:rPr>
              <w:t>Movimiento</w:t>
            </w:r>
            <w:r w:rsidRPr="004768D0">
              <w:rPr>
                <w:rFonts w:asciiTheme="majorHAnsi" w:hAnsiTheme="majorHAnsi"/>
                <w:bCs/>
                <w:color w:val="000000" w:themeColor="text1"/>
                <w:sz w:val="18"/>
                <w:szCs w:val="18"/>
                <w:lang w:val="es-ES"/>
              </w:rPr>
              <w:t xml:space="preserve">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rec</w:t>
            </w:r>
            <w:r w:rsidR="009A61EC" w:rsidRPr="004768D0">
              <w:rPr>
                <w:rFonts w:asciiTheme="majorHAnsi" w:hAnsiTheme="majorHAnsi"/>
                <w:bCs/>
                <w:color w:val="000000" w:themeColor="text1"/>
                <w:sz w:val="18"/>
                <w:szCs w:val="18"/>
                <w:lang w:val="es-ES"/>
              </w:rPr>
              <w:t>ibió el Premio</w:t>
            </w:r>
            <w:r w:rsidRPr="004768D0">
              <w:rPr>
                <w:rFonts w:asciiTheme="majorHAnsi" w:hAnsiTheme="majorHAnsi"/>
                <w:bCs/>
                <w:color w:val="000000" w:themeColor="text1"/>
                <w:sz w:val="18"/>
                <w:szCs w:val="18"/>
                <w:lang w:val="es-ES"/>
              </w:rPr>
              <w:t xml:space="preserve"> Santo </w:t>
            </w:r>
            <w:r w:rsidR="00B9588A" w:rsidRPr="004768D0">
              <w:rPr>
                <w:rFonts w:asciiTheme="majorHAnsi" w:hAnsiTheme="majorHAnsi"/>
                <w:bCs/>
                <w:color w:val="000000" w:themeColor="text1"/>
                <w:sz w:val="18"/>
                <w:szCs w:val="18"/>
                <w:lang w:val="es-ES"/>
              </w:rPr>
              <w:t>Días</w:t>
            </w:r>
            <w:r w:rsidRPr="004768D0">
              <w:rPr>
                <w:rFonts w:asciiTheme="majorHAnsi" w:hAnsiTheme="majorHAnsi"/>
                <w:bCs/>
                <w:color w:val="000000" w:themeColor="text1"/>
                <w:sz w:val="18"/>
                <w:szCs w:val="18"/>
                <w:lang w:val="es-ES"/>
              </w:rPr>
              <w:t xml:space="preserve"> </w:t>
            </w:r>
            <w:r w:rsidR="003D13F3">
              <w:rPr>
                <w:rFonts w:asciiTheme="majorHAnsi" w:hAnsiTheme="majorHAnsi"/>
                <w:bCs/>
                <w:color w:val="000000" w:themeColor="text1"/>
                <w:sz w:val="18"/>
                <w:szCs w:val="18"/>
                <w:lang w:val="es-ES"/>
              </w:rPr>
              <w:t xml:space="preserve">a </w:t>
            </w:r>
            <w:r w:rsidRPr="004768D0">
              <w:rPr>
                <w:rFonts w:asciiTheme="majorHAnsi" w:hAnsiTheme="majorHAnsi"/>
                <w:bCs/>
                <w:color w:val="000000" w:themeColor="text1"/>
                <w:sz w:val="18"/>
                <w:szCs w:val="18"/>
                <w:lang w:val="es-ES"/>
              </w:rPr>
              <w:t xml:space="preserve">la </w:t>
            </w:r>
            <w:r w:rsidR="00A34E74" w:rsidRPr="004768D0">
              <w:rPr>
                <w:rFonts w:asciiTheme="majorHAnsi" w:hAnsiTheme="majorHAnsi"/>
                <w:bCs/>
                <w:color w:val="000000" w:themeColor="text1"/>
                <w:sz w:val="18"/>
                <w:szCs w:val="18"/>
                <w:lang w:val="es-ES"/>
              </w:rPr>
              <w:t>Defensa</w:t>
            </w:r>
            <w:r w:rsidRPr="004768D0">
              <w:rPr>
                <w:rFonts w:asciiTheme="majorHAnsi" w:hAnsiTheme="majorHAnsi"/>
                <w:bCs/>
                <w:color w:val="000000" w:themeColor="text1"/>
                <w:sz w:val="18"/>
                <w:szCs w:val="18"/>
                <w:lang w:val="es-ES"/>
              </w:rPr>
              <w:t xml:space="preserve"> d</w:t>
            </w:r>
            <w:r w:rsidR="009A61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os </w:t>
            </w:r>
            <w:r w:rsidR="00246A29" w:rsidRPr="004768D0">
              <w:rPr>
                <w:rFonts w:asciiTheme="majorHAnsi" w:hAnsiTheme="majorHAnsi"/>
                <w:bCs/>
                <w:color w:val="000000" w:themeColor="text1"/>
                <w:sz w:val="18"/>
                <w:szCs w:val="18"/>
                <w:lang w:val="es-ES"/>
              </w:rPr>
              <w:t>Derechos</w:t>
            </w:r>
            <w:r w:rsidRPr="004768D0">
              <w:rPr>
                <w:rFonts w:asciiTheme="majorHAnsi" w:hAnsiTheme="majorHAnsi"/>
                <w:bCs/>
                <w:color w:val="000000" w:themeColor="text1"/>
                <w:sz w:val="18"/>
                <w:szCs w:val="18"/>
                <w:lang w:val="es-ES"/>
              </w:rPr>
              <w:t xml:space="preserve"> Humanos</w:t>
            </w:r>
            <w:r w:rsidR="009A61EC"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p>
          <w:p w14:paraId="78D5C5F6"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vii) </w:t>
            </w:r>
            <w:r w:rsidR="009A61EC" w:rsidRPr="004768D0">
              <w:rPr>
                <w:rFonts w:asciiTheme="majorHAnsi" w:hAnsiTheme="majorHAnsi"/>
                <w:bCs/>
                <w:color w:val="000000" w:themeColor="text1"/>
                <w:sz w:val="18"/>
                <w:szCs w:val="18"/>
                <w:lang w:val="es-ES"/>
              </w:rPr>
              <w:t xml:space="preserve">Presentación de proyecto </w:t>
            </w:r>
            <w:r w:rsidRPr="004768D0">
              <w:rPr>
                <w:rFonts w:asciiTheme="majorHAnsi" w:hAnsiTheme="majorHAnsi"/>
                <w:bCs/>
                <w:color w:val="000000" w:themeColor="text1"/>
                <w:sz w:val="18"/>
                <w:szCs w:val="18"/>
                <w:lang w:val="es-ES"/>
              </w:rPr>
              <w:t xml:space="preserve">de </w:t>
            </w:r>
            <w:r w:rsidR="00915936" w:rsidRPr="004768D0">
              <w:rPr>
                <w:rFonts w:asciiTheme="majorHAnsi" w:hAnsiTheme="majorHAnsi"/>
                <w:bCs/>
                <w:color w:val="000000" w:themeColor="text1"/>
                <w:sz w:val="18"/>
                <w:szCs w:val="18"/>
                <w:lang w:val="es-ES"/>
              </w:rPr>
              <w:t>ley</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 xml:space="preserve">El </w:t>
            </w:r>
            <w:r w:rsidRPr="004768D0">
              <w:rPr>
                <w:rFonts w:asciiTheme="majorHAnsi" w:hAnsiTheme="majorHAnsi"/>
                <w:bCs/>
                <w:color w:val="000000" w:themeColor="text1"/>
                <w:sz w:val="18"/>
                <w:szCs w:val="18"/>
                <w:lang w:val="es-ES"/>
              </w:rPr>
              <w:t>29</w:t>
            </w:r>
            <w:r w:rsidR="009A61EC" w:rsidRPr="004768D0">
              <w:rPr>
                <w:rFonts w:asciiTheme="majorHAnsi" w:hAnsiTheme="majorHAnsi"/>
                <w:bCs/>
                <w:color w:val="000000" w:themeColor="text1"/>
                <w:sz w:val="18"/>
                <w:szCs w:val="18"/>
                <w:lang w:val="es-ES"/>
              </w:rPr>
              <w:t xml:space="preserve"> de febrero de 2</w:t>
            </w:r>
            <w:r w:rsidRPr="004768D0">
              <w:rPr>
                <w:rFonts w:asciiTheme="majorHAnsi" w:hAnsiTheme="majorHAnsi"/>
                <w:bCs/>
                <w:color w:val="000000" w:themeColor="text1"/>
                <w:sz w:val="18"/>
                <w:szCs w:val="18"/>
                <w:lang w:val="es-ES"/>
              </w:rPr>
              <w:t xml:space="preserve">012, </w:t>
            </w:r>
            <w:r w:rsidR="009A61EC"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a d</w:t>
            </w:r>
            <w:r w:rsidR="009A61EC" w:rsidRPr="004768D0">
              <w:rPr>
                <w:rFonts w:asciiTheme="majorHAnsi" w:hAnsiTheme="majorHAnsi"/>
                <w:bCs/>
                <w:color w:val="000000" w:themeColor="text1"/>
                <w:sz w:val="18"/>
                <w:szCs w:val="18"/>
                <w:lang w:val="es-ES"/>
              </w:rPr>
              <w:t>i</w:t>
            </w:r>
            <w:r w:rsidRPr="004768D0">
              <w:rPr>
                <w:rFonts w:asciiTheme="majorHAnsi" w:hAnsiTheme="majorHAnsi"/>
                <w:bCs/>
                <w:color w:val="000000" w:themeColor="text1"/>
                <w:sz w:val="18"/>
                <w:szCs w:val="18"/>
                <w:lang w:val="es-ES"/>
              </w:rPr>
              <w:t xml:space="preserve">putada Telma de Souza </w:t>
            </w:r>
            <w:r w:rsidR="009A61EC" w:rsidRPr="004768D0">
              <w:rPr>
                <w:rFonts w:asciiTheme="majorHAnsi" w:hAnsiTheme="majorHAnsi"/>
                <w:bCs/>
                <w:color w:val="000000" w:themeColor="text1"/>
                <w:sz w:val="18"/>
                <w:szCs w:val="18"/>
                <w:lang w:val="es-ES"/>
              </w:rPr>
              <w:t>presentó</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proyecto</w:t>
            </w:r>
            <w:r w:rsidRPr="004768D0">
              <w:rPr>
                <w:rFonts w:asciiTheme="majorHAnsi" w:hAnsiTheme="majorHAnsi"/>
                <w:bCs/>
                <w:color w:val="000000" w:themeColor="text1"/>
                <w:sz w:val="18"/>
                <w:szCs w:val="18"/>
                <w:lang w:val="es-ES"/>
              </w:rPr>
              <w:t xml:space="preserve"> de </w:t>
            </w:r>
            <w:r w:rsidR="00915936" w:rsidRPr="004768D0">
              <w:rPr>
                <w:rFonts w:asciiTheme="majorHAnsi" w:hAnsiTheme="majorHAnsi"/>
                <w:bCs/>
                <w:color w:val="000000" w:themeColor="text1"/>
                <w:sz w:val="18"/>
                <w:szCs w:val="18"/>
                <w:lang w:val="es-ES"/>
              </w:rPr>
              <w:t>ley</w:t>
            </w:r>
            <w:r w:rsidRPr="004768D0">
              <w:rPr>
                <w:rFonts w:asciiTheme="majorHAnsi" w:hAnsiTheme="majorHAnsi"/>
                <w:bCs/>
                <w:color w:val="000000" w:themeColor="text1"/>
                <w:sz w:val="18"/>
                <w:szCs w:val="18"/>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Pr="004768D0">
              <w:rPr>
                <w:rFonts w:asciiTheme="majorHAnsi" w:hAnsiTheme="majorHAnsi"/>
                <w:bCs/>
                <w:color w:val="000000" w:themeColor="text1"/>
                <w:sz w:val="18"/>
                <w:szCs w:val="18"/>
                <w:lang w:val="es-ES"/>
              </w:rPr>
              <w:t xml:space="preserve"> 91/2012</w:t>
            </w:r>
            <w:r w:rsidR="003D13F3">
              <w:rPr>
                <w:rFonts w:asciiTheme="majorHAnsi" w:hAnsiTheme="majorHAnsi"/>
                <w:bCs/>
                <w:color w:val="000000" w:themeColor="text1"/>
                <w:sz w:val="18"/>
                <w:szCs w:val="18"/>
                <w:lang w:val="es-ES"/>
              </w:rPr>
              <w:t xml:space="preserve"> para incluir </w:t>
            </w:r>
            <w:r w:rsidR="009A61EC" w:rsidRPr="004768D0">
              <w:rPr>
                <w:rFonts w:asciiTheme="majorHAnsi" w:hAnsiTheme="majorHAnsi"/>
                <w:bCs/>
                <w:color w:val="000000" w:themeColor="text1"/>
                <w:sz w:val="18"/>
                <w:szCs w:val="18"/>
                <w:lang w:val="es-ES"/>
              </w:rPr>
              <w:t>en el calendario</w:t>
            </w:r>
            <w:r w:rsidRPr="004768D0">
              <w:rPr>
                <w:rFonts w:asciiTheme="majorHAnsi" w:hAnsiTheme="majorHAnsi"/>
                <w:bCs/>
                <w:color w:val="000000" w:themeColor="text1"/>
                <w:sz w:val="18"/>
                <w:szCs w:val="18"/>
                <w:lang w:val="es-ES"/>
              </w:rPr>
              <w:t xml:space="preserve"> </w:t>
            </w:r>
            <w:r w:rsidR="007F4608" w:rsidRPr="004768D0">
              <w:rPr>
                <w:rFonts w:asciiTheme="majorHAnsi" w:hAnsiTheme="majorHAnsi"/>
                <w:bCs/>
                <w:color w:val="000000" w:themeColor="text1"/>
                <w:sz w:val="18"/>
                <w:szCs w:val="18"/>
                <w:lang w:val="es-ES"/>
              </w:rPr>
              <w:t xml:space="preserve">del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D</w:t>
            </w:r>
            <w:r w:rsidR="009A61EC" w:rsidRPr="004768D0">
              <w:rPr>
                <w:rFonts w:asciiTheme="majorHAnsi" w:hAnsiTheme="majorHAnsi"/>
                <w:bCs/>
                <w:color w:val="000000" w:themeColor="text1"/>
                <w:sz w:val="18"/>
                <w:szCs w:val="18"/>
                <w:lang w:val="es-ES"/>
              </w:rPr>
              <w:t xml:space="preserve">ía de las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que se conmemora</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 xml:space="preserve">el </w:t>
            </w:r>
            <w:r w:rsidRPr="004768D0">
              <w:rPr>
                <w:rFonts w:asciiTheme="majorHAnsi" w:hAnsiTheme="majorHAnsi"/>
                <w:bCs/>
                <w:color w:val="000000" w:themeColor="text1"/>
                <w:sz w:val="18"/>
                <w:szCs w:val="18"/>
                <w:lang w:val="es-ES"/>
              </w:rPr>
              <w:t xml:space="preserve">12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El proyecto</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se convirtió en la Le</w:t>
            </w:r>
            <w:r w:rsidR="00915936"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Pr="004768D0">
              <w:rPr>
                <w:rFonts w:asciiTheme="majorHAnsi" w:hAnsiTheme="majorHAnsi"/>
                <w:bCs/>
                <w:color w:val="000000" w:themeColor="text1"/>
                <w:sz w:val="18"/>
                <w:szCs w:val="18"/>
                <w:lang w:val="es-ES"/>
              </w:rPr>
              <w:t xml:space="preserve"> 14.981</w:t>
            </w:r>
            <w:r w:rsidR="009A61EC"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de 2013. </w:t>
            </w:r>
          </w:p>
          <w:p w14:paraId="3C186CC6"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viii) </w:t>
            </w:r>
            <w:r w:rsidR="00C65DE2" w:rsidRPr="004768D0">
              <w:rPr>
                <w:rFonts w:asciiTheme="majorHAnsi" w:hAnsiTheme="majorHAnsi"/>
                <w:bCs/>
                <w:color w:val="000000" w:themeColor="text1"/>
                <w:sz w:val="18"/>
                <w:szCs w:val="18"/>
                <w:lang w:val="es-ES"/>
              </w:rPr>
              <w:t>Comisión</w:t>
            </w:r>
            <w:r w:rsidRPr="004768D0">
              <w:rPr>
                <w:rFonts w:asciiTheme="majorHAnsi" w:hAnsiTheme="majorHAnsi"/>
                <w:bCs/>
                <w:color w:val="000000" w:themeColor="text1"/>
                <w:sz w:val="18"/>
                <w:szCs w:val="18"/>
                <w:lang w:val="es-ES"/>
              </w:rPr>
              <w:t xml:space="preserve"> Parlamentar</w:t>
            </w:r>
            <w:r w:rsidR="009A61EC" w:rsidRPr="004768D0">
              <w:rPr>
                <w:rFonts w:asciiTheme="majorHAnsi" w:hAnsiTheme="majorHAnsi"/>
                <w:bCs/>
                <w:color w:val="000000" w:themeColor="text1"/>
                <w:sz w:val="18"/>
                <w:szCs w:val="18"/>
                <w:lang w:val="es-ES"/>
              </w:rPr>
              <w:t>ia</w:t>
            </w:r>
            <w:r w:rsidRPr="004768D0">
              <w:rPr>
                <w:rFonts w:asciiTheme="majorHAnsi" w:hAnsiTheme="majorHAnsi"/>
                <w:bCs/>
                <w:color w:val="000000" w:themeColor="text1"/>
                <w:sz w:val="18"/>
                <w:szCs w:val="18"/>
                <w:lang w:val="es-ES"/>
              </w:rPr>
              <w:t xml:space="preserve"> de </w:t>
            </w:r>
            <w:r w:rsidR="00C03E33" w:rsidRPr="004768D0">
              <w:rPr>
                <w:rFonts w:asciiTheme="majorHAnsi" w:hAnsiTheme="majorHAnsi"/>
                <w:bCs/>
                <w:color w:val="000000" w:themeColor="text1"/>
                <w:sz w:val="18"/>
                <w:szCs w:val="18"/>
                <w:lang w:val="es-ES"/>
              </w:rPr>
              <w:t>Investigación</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CPI</w:t>
            </w:r>
            <w:r w:rsidR="009A61EC"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 xml:space="preserve">En el </w:t>
            </w:r>
            <w:r w:rsidRPr="004768D0">
              <w:rPr>
                <w:rFonts w:asciiTheme="majorHAnsi" w:hAnsiTheme="majorHAnsi"/>
                <w:bCs/>
                <w:color w:val="000000" w:themeColor="text1"/>
                <w:sz w:val="18"/>
                <w:szCs w:val="18"/>
                <w:lang w:val="es-ES"/>
              </w:rPr>
              <w:t>a</w:t>
            </w:r>
            <w:r w:rsidR="009A61EC" w:rsidRPr="004768D0">
              <w:rPr>
                <w:rFonts w:asciiTheme="majorHAnsi" w:hAnsiTheme="majorHAnsi"/>
                <w:bCs/>
                <w:color w:val="000000" w:themeColor="text1"/>
                <w:sz w:val="18"/>
                <w:szCs w:val="18"/>
                <w:lang w:val="es-ES"/>
              </w:rPr>
              <w:t>c</w:t>
            </w:r>
            <w:r w:rsidRPr="004768D0">
              <w:rPr>
                <w:rFonts w:asciiTheme="majorHAnsi" w:hAnsiTheme="majorHAnsi"/>
                <w:bCs/>
                <w:color w:val="000000" w:themeColor="text1"/>
                <w:sz w:val="18"/>
                <w:szCs w:val="18"/>
                <w:lang w:val="es-ES"/>
              </w:rPr>
              <w:t>ta d</w:t>
            </w:r>
            <w:r w:rsidR="009A61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a reuni</w:t>
            </w:r>
            <w:r w:rsidR="009A61EC" w:rsidRPr="004768D0">
              <w:rPr>
                <w:rFonts w:asciiTheme="majorHAnsi" w:hAnsiTheme="majorHAnsi"/>
                <w:bCs/>
                <w:color w:val="000000" w:themeColor="text1"/>
                <w:sz w:val="18"/>
                <w:szCs w:val="18"/>
                <w:lang w:val="es-ES"/>
              </w:rPr>
              <w:t xml:space="preserve">ón del </w:t>
            </w:r>
            <w:r w:rsidRPr="004768D0">
              <w:rPr>
                <w:rFonts w:asciiTheme="majorHAnsi" w:hAnsiTheme="majorHAnsi"/>
                <w:bCs/>
                <w:color w:val="000000" w:themeColor="text1"/>
                <w:sz w:val="18"/>
                <w:szCs w:val="18"/>
                <w:lang w:val="es-ES"/>
              </w:rPr>
              <w:t>16</w:t>
            </w:r>
            <w:r w:rsidR="009A61EC" w:rsidRPr="004768D0">
              <w:rPr>
                <w:rFonts w:asciiTheme="majorHAnsi" w:hAnsiTheme="majorHAnsi"/>
                <w:bCs/>
                <w:color w:val="000000" w:themeColor="text1"/>
                <w:sz w:val="18"/>
                <w:szCs w:val="18"/>
                <w:lang w:val="es-ES"/>
              </w:rPr>
              <w:t xml:space="preserve"> de octubre de 2</w:t>
            </w:r>
            <w:r w:rsidRPr="004768D0">
              <w:rPr>
                <w:rFonts w:asciiTheme="majorHAnsi" w:hAnsiTheme="majorHAnsi"/>
                <w:bCs/>
                <w:color w:val="000000" w:themeColor="text1"/>
                <w:sz w:val="18"/>
                <w:szCs w:val="18"/>
                <w:lang w:val="es-ES"/>
              </w:rPr>
              <w:t>013</w:t>
            </w:r>
            <w:r w:rsidR="009A61EC" w:rsidRPr="004768D0">
              <w:rPr>
                <w:rFonts w:asciiTheme="majorHAnsi" w:hAnsiTheme="majorHAnsi"/>
                <w:bCs/>
                <w:color w:val="000000" w:themeColor="text1"/>
                <w:sz w:val="18"/>
                <w:szCs w:val="18"/>
                <w:lang w:val="es-ES"/>
              </w:rPr>
              <w:t xml:space="preserve"> de la</w:t>
            </w:r>
            <w:r w:rsidRPr="004768D0">
              <w:rPr>
                <w:rFonts w:asciiTheme="majorHAnsi" w:hAnsiTheme="majorHAnsi"/>
                <w:bCs/>
                <w:color w:val="000000" w:themeColor="text1"/>
                <w:sz w:val="18"/>
                <w:szCs w:val="18"/>
                <w:lang w:val="es-ES"/>
              </w:rPr>
              <w:t xml:space="preserve"> </w:t>
            </w:r>
            <w:r w:rsidR="003D13F3">
              <w:rPr>
                <w:rFonts w:asciiTheme="majorHAnsi" w:hAnsiTheme="majorHAnsi"/>
                <w:bCs/>
                <w:color w:val="000000" w:themeColor="text1"/>
                <w:sz w:val="18"/>
                <w:szCs w:val="18"/>
                <w:lang w:val="es-ES"/>
              </w:rPr>
              <w:t>CPI cons</w:t>
            </w:r>
            <w:r w:rsidR="009A61EC" w:rsidRPr="004768D0">
              <w:rPr>
                <w:rFonts w:asciiTheme="majorHAnsi" w:hAnsiTheme="majorHAnsi"/>
                <w:bCs/>
                <w:color w:val="000000" w:themeColor="text1"/>
                <w:sz w:val="18"/>
                <w:szCs w:val="18"/>
                <w:lang w:val="es-ES"/>
              </w:rPr>
              <w:t>tituida</w:t>
            </w:r>
            <w:r w:rsidRPr="004768D0">
              <w:rPr>
                <w:rFonts w:asciiTheme="majorHAnsi" w:hAnsiTheme="majorHAnsi"/>
                <w:bCs/>
                <w:color w:val="000000" w:themeColor="text1"/>
                <w:sz w:val="18"/>
                <w:szCs w:val="18"/>
                <w:lang w:val="es-ES"/>
              </w:rPr>
              <w:t xml:space="preserve"> para </w:t>
            </w:r>
            <w:r w:rsidR="009A61EC" w:rsidRPr="004768D0">
              <w:rPr>
                <w:rFonts w:asciiTheme="majorHAnsi" w:hAnsiTheme="majorHAnsi"/>
                <w:bCs/>
                <w:color w:val="000000" w:themeColor="text1"/>
                <w:sz w:val="18"/>
                <w:szCs w:val="18"/>
                <w:lang w:val="es-ES"/>
              </w:rPr>
              <w:t xml:space="preserve">investigar la desaparición </w:t>
            </w:r>
            <w:r w:rsidRPr="004768D0">
              <w:rPr>
                <w:rFonts w:asciiTheme="majorHAnsi" w:hAnsiTheme="majorHAnsi"/>
                <w:bCs/>
                <w:color w:val="000000" w:themeColor="text1"/>
                <w:sz w:val="18"/>
                <w:szCs w:val="18"/>
                <w:lang w:val="es-ES"/>
              </w:rPr>
              <w:t xml:space="preserve">de </w:t>
            </w:r>
            <w:r w:rsidR="000C0AC4" w:rsidRPr="004768D0">
              <w:rPr>
                <w:rFonts w:asciiTheme="majorHAnsi" w:hAnsiTheme="majorHAnsi"/>
                <w:bCs/>
                <w:color w:val="000000" w:themeColor="text1"/>
                <w:sz w:val="18"/>
                <w:szCs w:val="18"/>
                <w:lang w:val="es-ES"/>
              </w:rPr>
              <w:t>personas</w:t>
            </w:r>
            <w:r w:rsidRPr="004768D0">
              <w:rPr>
                <w:rFonts w:asciiTheme="majorHAnsi" w:hAnsiTheme="majorHAnsi"/>
                <w:bCs/>
                <w:color w:val="000000" w:themeColor="text1"/>
                <w:sz w:val="18"/>
                <w:szCs w:val="18"/>
                <w:lang w:val="es-ES"/>
              </w:rPr>
              <w:t xml:space="preserve"> consta </w:t>
            </w:r>
            <w:r w:rsidR="009A61EC" w:rsidRPr="004768D0">
              <w:rPr>
                <w:rFonts w:asciiTheme="majorHAnsi" w:hAnsiTheme="majorHAnsi"/>
                <w:bCs/>
                <w:color w:val="000000" w:themeColor="text1"/>
                <w:sz w:val="18"/>
                <w:szCs w:val="18"/>
                <w:lang w:val="es-ES"/>
              </w:rPr>
              <w:t xml:space="preserve">el punto </w:t>
            </w:r>
            <w:r w:rsidRPr="004768D0">
              <w:rPr>
                <w:rFonts w:asciiTheme="majorHAnsi" w:hAnsiTheme="majorHAnsi"/>
                <w:bCs/>
                <w:color w:val="000000" w:themeColor="text1"/>
                <w:sz w:val="18"/>
                <w:szCs w:val="18"/>
                <w:lang w:val="es-ES"/>
              </w:rPr>
              <w:t>3, re</w:t>
            </w:r>
            <w:r w:rsidR="009A61EC" w:rsidRPr="004768D0">
              <w:rPr>
                <w:rFonts w:asciiTheme="majorHAnsi" w:hAnsiTheme="majorHAnsi"/>
                <w:bCs/>
                <w:color w:val="000000" w:themeColor="text1"/>
                <w:sz w:val="18"/>
                <w:szCs w:val="18"/>
                <w:lang w:val="es-ES"/>
              </w:rPr>
              <w:t xml:space="preserve">lativo a la invitación cursada al </w:t>
            </w:r>
            <w:r w:rsidR="004744F0" w:rsidRPr="004768D0">
              <w:rPr>
                <w:rFonts w:asciiTheme="majorHAnsi" w:hAnsiTheme="majorHAnsi"/>
                <w:bCs/>
                <w:color w:val="000000" w:themeColor="text1"/>
                <w:sz w:val="18"/>
                <w:szCs w:val="18"/>
                <w:lang w:val="es-ES"/>
              </w:rPr>
              <w:t>“</w:t>
            </w:r>
            <w:r w:rsidR="009A61EC" w:rsidRPr="004768D0">
              <w:rPr>
                <w:rFonts w:asciiTheme="majorHAnsi" w:hAnsiTheme="majorHAnsi"/>
                <w:bCs/>
                <w:color w:val="000000" w:themeColor="text1"/>
                <w:sz w:val="18"/>
                <w:szCs w:val="18"/>
                <w:lang w:val="es-ES"/>
              </w:rPr>
              <w:t>Movimiento</w:t>
            </w:r>
            <w:r w:rsidRPr="004768D0">
              <w:rPr>
                <w:rFonts w:asciiTheme="majorHAnsi" w:hAnsiTheme="majorHAnsi"/>
                <w:bCs/>
                <w:color w:val="000000" w:themeColor="text1"/>
                <w:sz w:val="18"/>
                <w:szCs w:val="18"/>
                <w:lang w:val="es-ES"/>
              </w:rPr>
              <w:t xml:space="preserve">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 xml:space="preserve">para que asistiera a una reunión de la </w:t>
            </w:r>
            <w:r w:rsidRPr="004768D0">
              <w:rPr>
                <w:rFonts w:asciiTheme="majorHAnsi" w:hAnsiTheme="majorHAnsi"/>
                <w:bCs/>
                <w:color w:val="000000" w:themeColor="text1"/>
                <w:sz w:val="18"/>
                <w:szCs w:val="18"/>
                <w:lang w:val="es-ES"/>
              </w:rPr>
              <w:t>CPI. De ac</w:t>
            </w:r>
            <w:r w:rsidR="009A61EC" w:rsidRPr="004768D0">
              <w:rPr>
                <w:rFonts w:asciiTheme="majorHAnsi" w:hAnsiTheme="majorHAnsi"/>
                <w:bCs/>
                <w:color w:val="000000" w:themeColor="text1"/>
                <w:sz w:val="18"/>
                <w:szCs w:val="18"/>
                <w:lang w:val="es-ES"/>
              </w:rPr>
              <w:t xml:space="preserve">uerdo con el </w:t>
            </w:r>
            <w:r w:rsidRPr="004768D0">
              <w:rPr>
                <w:rFonts w:asciiTheme="majorHAnsi" w:hAnsiTheme="majorHAnsi"/>
                <w:bCs/>
                <w:color w:val="000000" w:themeColor="text1"/>
                <w:sz w:val="18"/>
                <w:szCs w:val="18"/>
                <w:lang w:val="es-ES"/>
              </w:rPr>
              <w:t>a</w:t>
            </w:r>
            <w:r w:rsidR="009A61EC" w:rsidRPr="004768D0">
              <w:rPr>
                <w:rFonts w:asciiTheme="majorHAnsi" w:hAnsiTheme="majorHAnsi"/>
                <w:bCs/>
                <w:color w:val="000000" w:themeColor="text1"/>
                <w:sz w:val="18"/>
                <w:szCs w:val="18"/>
                <w:lang w:val="es-ES"/>
              </w:rPr>
              <w:t>c</w:t>
            </w:r>
            <w:r w:rsidRPr="004768D0">
              <w:rPr>
                <w:rFonts w:asciiTheme="majorHAnsi" w:hAnsiTheme="majorHAnsi"/>
                <w:bCs/>
                <w:color w:val="000000" w:themeColor="text1"/>
                <w:sz w:val="18"/>
                <w:szCs w:val="18"/>
                <w:lang w:val="es-ES"/>
              </w:rPr>
              <w:t xml:space="preserve">ta, </w:t>
            </w:r>
            <w:r w:rsidR="009A61EC" w:rsidRPr="004768D0">
              <w:rPr>
                <w:rFonts w:asciiTheme="majorHAnsi" w:hAnsiTheme="majorHAnsi"/>
                <w:bCs/>
                <w:color w:val="000000" w:themeColor="text1"/>
                <w:sz w:val="18"/>
                <w:szCs w:val="18"/>
                <w:lang w:val="es-ES"/>
              </w:rPr>
              <w:t xml:space="preserve">se decidió extender la invitación a </w:t>
            </w:r>
            <w:r w:rsidR="003D13F3">
              <w:rPr>
                <w:rFonts w:asciiTheme="majorHAnsi" w:hAnsiTheme="majorHAnsi"/>
                <w:bCs/>
                <w:color w:val="000000" w:themeColor="text1"/>
                <w:sz w:val="18"/>
                <w:szCs w:val="18"/>
                <w:lang w:val="es-ES"/>
              </w:rPr>
              <w:t xml:space="preserve">los movimientos </w:t>
            </w:r>
            <w:r w:rsidR="004744F0" w:rsidRPr="004768D0">
              <w:rPr>
                <w:rFonts w:asciiTheme="majorHAnsi" w:hAnsiTheme="majorHAnsi"/>
                <w:bCs/>
                <w:color w:val="000000" w:themeColor="text1"/>
                <w:sz w:val="18"/>
                <w:szCs w:val="18"/>
                <w:lang w:val="es-ES"/>
              </w:rPr>
              <w:t>“</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w:t>
            </w:r>
            <w:r w:rsidR="009A61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a Sé</w:t>
            </w:r>
            <w:r w:rsidR="004744F0"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w:t>
            </w:r>
            <w:r w:rsidR="004744F0" w:rsidRPr="004768D0">
              <w:rPr>
                <w:rFonts w:asciiTheme="majorHAnsi" w:hAnsiTheme="majorHAnsi"/>
                <w:bCs/>
                <w:color w:val="000000" w:themeColor="text1"/>
                <w:sz w:val="18"/>
                <w:szCs w:val="18"/>
                <w:lang w:val="es-ES"/>
              </w:rPr>
              <w:t>“</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e</w:t>
            </w:r>
            <w:r w:rsidR="004827EC" w:rsidRPr="004768D0">
              <w:rPr>
                <w:rFonts w:asciiTheme="majorHAnsi" w:hAnsiTheme="majorHAnsi"/>
                <w:bCs/>
                <w:color w:val="000000" w:themeColor="text1"/>
                <w:sz w:val="18"/>
                <w:szCs w:val="18"/>
                <w:lang w:val="es-ES"/>
              </w:rPr>
              <w:t>n Lucha</w:t>
            </w:r>
            <w:r w:rsidR="004744F0" w:rsidRPr="004768D0">
              <w:rPr>
                <w:rFonts w:asciiTheme="majorHAnsi" w:hAnsiTheme="majorHAnsi"/>
                <w:bCs/>
                <w:color w:val="000000" w:themeColor="text1"/>
                <w:sz w:val="18"/>
                <w:szCs w:val="18"/>
                <w:lang w:val="es-ES"/>
              </w:rPr>
              <w:t>”</w:t>
            </w:r>
            <w:r w:rsidR="004827EC"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p>
          <w:p w14:paraId="1011ABE5"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ix) </w:t>
            </w:r>
            <w:r w:rsidR="004827EC" w:rsidRPr="004768D0">
              <w:rPr>
                <w:rFonts w:asciiTheme="majorHAnsi" w:hAnsiTheme="majorHAnsi"/>
                <w:bCs/>
                <w:color w:val="000000" w:themeColor="text1"/>
                <w:sz w:val="18"/>
                <w:szCs w:val="18"/>
                <w:lang w:val="es-ES"/>
              </w:rPr>
              <w:t>Ceremonia</w:t>
            </w:r>
            <w:r w:rsidRPr="004768D0">
              <w:rPr>
                <w:rFonts w:asciiTheme="majorHAnsi" w:hAnsiTheme="majorHAnsi"/>
                <w:bCs/>
                <w:color w:val="000000" w:themeColor="text1"/>
                <w:sz w:val="18"/>
                <w:szCs w:val="18"/>
                <w:lang w:val="es-ES"/>
              </w:rPr>
              <w:t xml:space="preserve"> para </w:t>
            </w:r>
            <w:r w:rsidR="004827EC" w:rsidRPr="004768D0">
              <w:rPr>
                <w:rFonts w:asciiTheme="majorHAnsi" w:hAnsiTheme="majorHAnsi"/>
                <w:bCs/>
                <w:color w:val="000000" w:themeColor="text1"/>
                <w:sz w:val="18"/>
                <w:szCs w:val="18"/>
                <w:lang w:val="es-ES"/>
              </w:rPr>
              <w:t>recordar l</w:t>
            </w:r>
            <w:r w:rsidRPr="004768D0">
              <w:rPr>
                <w:rFonts w:asciiTheme="majorHAnsi" w:hAnsiTheme="majorHAnsi"/>
                <w:bCs/>
                <w:color w:val="000000" w:themeColor="text1"/>
                <w:sz w:val="18"/>
                <w:szCs w:val="18"/>
                <w:lang w:val="es-ES"/>
              </w:rPr>
              <w:t xml:space="preserve">os </w:t>
            </w:r>
            <w:r w:rsidR="000C0AC4" w:rsidRPr="004768D0">
              <w:rPr>
                <w:rFonts w:asciiTheme="majorHAnsi" w:hAnsiTheme="majorHAnsi"/>
                <w:bCs/>
                <w:color w:val="000000" w:themeColor="text1"/>
                <w:sz w:val="18"/>
                <w:szCs w:val="18"/>
                <w:lang w:val="es-ES"/>
              </w:rPr>
              <w:t>hechos</w:t>
            </w:r>
            <w:r w:rsidRPr="004768D0">
              <w:rPr>
                <w:rFonts w:asciiTheme="majorHAnsi" w:hAnsiTheme="majorHAnsi"/>
                <w:bCs/>
                <w:color w:val="000000" w:themeColor="text1"/>
                <w:sz w:val="18"/>
                <w:szCs w:val="18"/>
                <w:lang w:val="es-ES"/>
              </w:rPr>
              <w:t xml:space="preserve">: </w:t>
            </w:r>
            <w:r w:rsidR="004827EC" w:rsidRPr="004768D0">
              <w:rPr>
                <w:rFonts w:asciiTheme="majorHAnsi" w:hAnsiTheme="majorHAnsi"/>
                <w:bCs/>
                <w:color w:val="000000" w:themeColor="text1"/>
                <w:sz w:val="18"/>
                <w:szCs w:val="18"/>
                <w:lang w:val="es-ES"/>
              </w:rPr>
              <w:t>En el Diario</w:t>
            </w:r>
            <w:r w:rsidRPr="004768D0">
              <w:rPr>
                <w:rFonts w:asciiTheme="majorHAnsi" w:hAnsiTheme="majorHAnsi"/>
                <w:bCs/>
                <w:color w:val="000000" w:themeColor="text1"/>
                <w:sz w:val="18"/>
                <w:szCs w:val="18"/>
                <w:lang w:val="es-ES"/>
              </w:rPr>
              <w:t xml:space="preserve"> Oficial </w:t>
            </w:r>
            <w:r w:rsidR="007F4608" w:rsidRPr="004768D0">
              <w:rPr>
                <w:rFonts w:asciiTheme="majorHAnsi" w:hAnsiTheme="majorHAnsi"/>
                <w:bCs/>
                <w:color w:val="000000" w:themeColor="text1"/>
                <w:sz w:val="18"/>
                <w:szCs w:val="18"/>
                <w:lang w:val="es-ES"/>
              </w:rPr>
              <w:t xml:space="preserve">del </w:t>
            </w:r>
            <w:r w:rsidR="0000579C">
              <w:rPr>
                <w:rFonts w:asciiTheme="majorHAnsi" w:hAnsiTheme="majorHAnsi"/>
                <w:bCs/>
                <w:color w:val="000000" w:themeColor="text1"/>
                <w:sz w:val="18"/>
                <w:szCs w:val="18"/>
                <w:lang w:val="es-ES"/>
              </w:rPr>
              <w:t>estado de São Paulo</w:t>
            </w:r>
            <w:r w:rsidRPr="004768D0">
              <w:rPr>
                <w:rFonts w:asciiTheme="majorHAnsi" w:hAnsiTheme="majorHAnsi"/>
                <w:bCs/>
                <w:color w:val="000000" w:themeColor="text1"/>
                <w:sz w:val="18"/>
                <w:szCs w:val="18"/>
                <w:lang w:val="es-ES"/>
              </w:rPr>
              <w:t xml:space="preserve"> </w:t>
            </w:r>
            <w:r w:rsidR="003D13F3">
              <w:rPr>
                <w:rFonts w:asciiTheme="majorHAnsi" w:hAnsiTheme="majorHAnsi"/>
                <w:bCs/>
                <w:color w:val="000000" w:themeColor="text1"/>
                <w:sz w:val="18"/>
                <w:szCs w:val="18"/>
                <w:lang w:val="es-ES"/>
              </w:rPr>
              <w:t>d</w:t>
            </w:r>
            <w:r w:rsidR="004827EC" w:rsidRPr="004768D0">
              <w:rPr>
                <w:rFonts w:asciiTheme="majorHAnsi" w:hAnsiTheme="majorHAnsi"/>
                <w:bCs/>
                <w:color w:val="000000" w:themeColor="text1"/>
                <w:sz w:val="18"/>
                <w:szCs w:val="18"/>
                <w:lang w:val="es-ES"/>
              </w:rPr>
              <w:t xml:space="preserve">el </w:t>
            </w:r>
            <w:r w:rsidRPr="004768D0">
              <w:rPr>
                <w:rFonts w:asciiTheme="majorHAnsi" w:hAnsiTheme="majorHAnsi"/>
                <w:bCs/>
                <w:color w:val="000000" w:themeColor="text1"/>
                <w:sz w:val="18"/>
                <w:szCs w:val="18"/>
                <w:lang w:val="es-ES"/>
              </w:rPr>
              <w:t>14</w:t>
            </w:r>
            <w:r w:rsidR="004827EC" w:rsidRPr="004768D0">
              <w:rPr>
                <w:rFonts w:asciiTheme="majorHAnsi" w:hAnsiTheme="majorHAnsi"/>
                <w:bCs/>
                <w:color w:val="000000" w:themeColor="text1"/>
                <w:sz w:val="18"/>
                <w:szCs w:val="18"/>
                <w:lang w:val="es-ES"/>
              </w:rPr>
              <w:t xml:space="preserve"> de mayo de </w:t>
            </w:r>
            <w:r w:rsidRPr="004768D0">
              <w:rPr>
                <w:rFonts w:asciiTheme="majorHAnsi" w:hAnsiTheme="majorHAnsi"/>
                <w:bCs/>
                <w:color w:val="000000" w:themeColor="text1"/>
                <w:sz w:val="18"/>
                <w:szCs w:val="18"/>
                <w:lang w:val="es-ES"/>
              </w:rPr>
              <w:t>2014</w:t>
            </w:r>
            <w:r w:rsidR="004827EC" w:rsidRPr="004768D0">
              <w:rPr>
                <w:rFonts w:asciiTheme="majorHAnsi" w:hAnsiTheme="majorHAnsi"/>
                <w:bCs/>
                <w:color w:val="000000" w:themeColor="text1"/>
                <w:sz w:val="18"/>
                <w:szCs w:val="18"/>
                <w:lang w:val="es-ES"/>
              </w:rPr>
              <w:t xml:space="preserve"> hay un artículo </w:t>
            </w:r>
            <w:r w:rsidRPr="004768D0">
              <w:rPr>
                <w:rFonts w:asciiTheme="majorHAnsi" w:hAnsiTheme="majorHAnsi"/>
                <w:bCs/>
                <w:color w:val="000000" w:themeColor="text1"/>
                <w:sz w:val="18"/>
                <w:szCs w:val="18"/>
                <w:lang w:val="es-ES"/>
              </w:rPr>
              <w:t xml:space="preserve">sobre </w:t>
            </w:r>
            <w:r w:rsidR="004827EC"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a participa</w:t>
            </w:r>
            <w:r w:rsidR="004827EC" w:rsidRPr="004768D0">
              <w:rPr>
                <w:rFonts w:asciiTheme="majorHAnsi" w:hAnsiTheme="majorHAnsi"/>
                <w:bCs/>
                <w:color w:val="000000" w:themeColor="text1"/>
                <w:sz w:val="18"/>
                <w:szCs w:val="18"/>
                <w:lang w:val="es-ES"/>
              </w:rPr>
              <w:t xml:space="preserve">ción de la </w:t>
            </w:r>
            <w:r w:rsidRPr="004768D0">
              <w:rPr>
                <w:rFonts w:asciiTheme="majorHAnsi" w:hAnsiTheme="majorHAnsi"/>
                <w:bCs/>
                <w:color w:val="000000" w:themeColor="text1"/>
                <w:sz w:val="18"/>
                <w:szCs w:val="18"/>
                <w:lang w:val="es-ES"/>
              </w:rPr>
              <w:t>d</w:t>
            </w:r>
            <w:r w:rsidR="004827EC" w:rsidRPr="004768D0">
              <w:rPr>
                <w:rFonts w:asciiTheme="majorHAnsi" w:hAnsiTheme="majorHAnsi"/>
                <w:bCs/>
                <w:color w:val="000000" w:themeColor="text1"/>
                <w:sz w:val="18"/>
                <w:szCs w:val="18"/>
                <w:lang w:val="es-ES"/>
              </w:rPr>
              <w:t>i</w:t>
            </w:r>
            <w:r w:rsidRPr="004768D0">
              <w:rPr>
                <w:rFonts w:asciiTheme="majorHAnsi" w:hAnsiTheme="majorHAnsi"/>
                <w:bCs/>
                <w:color w:val="000000" w:themeColor="text1"/>
                <w:sz w:val="18"/>
                <w:szCs w:val="18"/>
                <w:lang w:val="es-ES"/>
              </w:rPr>
              <w:t>putada Telma de Souza e</w:t>
            </w:r>
            <w:r w:rsidR="004827EC" w:rsidRPr="004768D0">
              <w:rPr>
                <w:rFonts w:asciiTheme="majorHAnsi" w:hAnsiTheme="majorHAnsi"/>
                <w:bCs/>
                <w:color w:val="000000" w:themeColor="text1"/>
                <w:sz w:val="18"/>
                <w:szCs w:val="18"/>
                <w:lang w:val="es-ES"/>
              </w:rPr>
              <w:t>n una ceremonia</w:t>
            </w:r>
            <w:r w:rsidRPr="004768D0">
              <w:rPr>
                <w:rFonts w:asciiTheme="majorHAnsi" w:hAnsiTheme="majorHAnsi"/>
                <w:bCs/>
                <w:color w:val="000000" w:themeColor="text1"/>
                <w:sz w:val="18"/>
                <w:szCs w:val="18"/>
                <w:lang w:val="es-ES"/>
              </w:rPr>
              <w:t xml:space="preserve"> para </w:t>
            </w:r>
            <w:r w:rsidR="004827EC" w:rsidRPr="004768D0">
              <w:rPr>
                <w:rFonts w:asciiTheme="majorHAnsi" w:hAnsiTheme="majorHAnsi"/>
                <w:bCs/>
                <w:color w:val="000000" w:themeColor="text1"/>
                <w:sz w:val="18"/>
                <w:szCs w:val="18"/>
                <w:lang w:val="es-ES"/>
              </w:rPr>
              <w:t xml:space="preserve">recordar </w:t>
            </w:r>
            <w:r w:rsidR="004744F0" w:rsidRPr="004768D0">
              <w:rPr>
                <w:rFonts w:asciiTheme="majorHAnsi" w:hAnsiTheme="majorHAnsi"/>
                <w:bCs/>
                <w:color w:val="000000" w:themeColor="text1"/>
                <w:sz w:val="18"/>
                <w:szCs w:val="18"/>
                <w:lang w:val="es-ES"/>
              </w:rPr>
              <w:t>“</w:t>
            </w:r>
            <w:r w:rsidR="004827EC"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os cr</w:t>
            </w:r>
            <w:r w:rsidR="004827EC" w:rsidRPr="004768D0">
              <w:rPr>
                <w:rFonts w:asciiTheme="majorHAnsi" w:hAnsiTheme="majorHAnsi"/>
                <w:bCs/>
                <w:color w:val="000000" w:themeColor="text1"/>
                <w:sz w:val="18"/>
                <w:szCs w:val="18"/>
                <w:lang w:val="es-ES"/>
              </w:rPr>
              <w:t xml:space="preserve">ímenes </w:t>
            </w:r>
            <w:r w:rsidRPr="004768D0">
              <w:rPr>
                <w:rFonts w:asciiTheme="majorHAnsi" w:hAnsiTheme="majorHAnsi"/>
                <w:bCs/>
                <w:color w:val="000000" w:themeColor="text1"/>
                <w:sz w:val="18"/>
                <w:szCs w:val="18"/>
                <w:lang w:val="es-ES"/>
              </w:rPr>
              <w:t xml:space="preserve">de </w:t>
            </w:r>
            <w:r w:rsidR="007F4608" w:rsidRPr="004768D0">
              <w:rPr>
                <w:rFonts w:asciiTheme="majorHAnsi" w:hAnsiTheme="majorHAnsi"/>
                <w:bCs/>
                <w:color w:val="000000" w:themeColor="text1"/>
                <w:sz w:val="18"/>
                <w:szCs w:val="18"/>
                <w:lang w:val="es-ES"/>
              </w:rPr>
              <w:t>mayo</w:t>
            </w:r>
            <w:r w:rsidR="004744F0" w:rsidRPr="004768D0">
              <w:rPr>
                <w:rFonts w:asciiTheme="majorHAnsi" w:hAnsiTheme="majorHAnsi"/>
                <w:bCs/>
                <w:color w:val="000000" w:themeColor="text1"/>
                <w:sz w:val="18"/>
                <w:szCs w:val="18"/>
                <w:lang w:val="es-ES"/>
              </w:rPr>
              <w:t>”</w:t>
            </w:r>
            <w:r w:rsidR="004827EC" w:rsidRPr="004768D0">
              <w:rPr>
                <w:rFonts w:asciiTheme="majorHAnsi" w:hAnsiTheme="majorHAnsi"/>
                <w:bCs/>
                <w:color w:val="000000" w:themeColor="text1"/>
                <w:sz w:val="18"/>
                <w:szCs w:val="18"/>
                <w:lang w:val="es-ES"/>
              </w:rPr>
              <w:t>.</w:t>
            </w:r>
            <w:r w:rsidRPr="004768D0">
              <w:rPr>
                <w:rFonts w:asciiTheme="majorHAnsi" w:hAnsiTheme="majorHAnsi"/>
                <w:bCs/>
                <w:color w:val="000000" w:themeColor="text1"/>
                <w:sz w:val="18"/>
                <w:szCs w:val="18"/>
                <w:lang w:val="es-ES"/>
              </w:rPr>
              <w:t xml:space="preserve"> </w:t>
            </w:r>
          </w:p>
          <w:p w14:paraId="10FC1A01"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x) Sub</w:t>
            </w:r>
            <w:r w:rsidR="004827EC" w:rsidRPr="004768D0">
              <w:rPr>
                <w:rFonts w:asciiTheme="majorHAnsi" w:hAnsiTheme="majorHAnsi"/>
                <w:bCs/>
                <w:color w:val="000000" w:themeColor="text1"/>
                <w:sz w:val="18"/>
                <w:szCs w:val="18"/>
                <w:lang w:val="es-ES"/>
              </w:rPr>
              <w:t>c</w:t>
            </w:r>
            <w:r w:rsidR="00C65DE2" w:rsidRPr="004768D0">
              <w:rPr>
                <w:rFonts w:asciiTheme="majorHAnsi" w:hAnsiTheme="majorHAnsi"/>
                <w:bCs/>
                <w:color w:val="000000" w:themeColor="text1"/>
                <w:sz w:val="18"/>
                <w:szCs w:val="18"/>
                <w:lang w:val="es-ES"/>
              </w:rPr>
              <w:t>omisión</w:t>
            </w:r>
            <w:r w:rsidRPr="004768D0">
              <w:rPr>
                <w:rFonts w:asciiTheme="majorHAnsi" w:hAnsiTheme="majorHAnsi"/>
                <w:bCs/>
                <w:color w:val="000000" w:themeColor="text1"/>
                <w:sz w:val="18"/>
                <w:szCs w:val="18"/>
                <w:lang w:val="es-ES"/>
              </w:rPr>
              <w:t xml:space="preserve"> de </w:t>
            </w:r>
            <w:r w:rsidR="004827EC" w:rsidRPr="004768D0">
              <w:rPr>
                <w:rFonts w:asciiTheme="majorHAnsi" w:hAnsiTheme="majorHAnsi"/>
                <w:bCs/>
                <w:color w:val="000000" w:themeColor="text1"/>
                <w:sz w:val="18"/>
                <w:szCs w:val="18"/>
                <w:lang w:val="es-ES"/>
              </w:rPr>
              <w:t>estudios</w:t>
            </w:r>
            <w:r w:rsidRPr="004768D0">
              <w:rPr>
                <w:rFonts w:asciiTheme="majorHAnsi" w:hAnsiTheme="majorHAnsi"/>
                <w:bCs/>
                <w:color w:val="000000" w:themeColor="text1"/>
                <w:sz w:val="18"/>
                <w:szCs w:val="18"/>
                <w:lang w:val="es-ES"/>
              </w:rPr>
              <w:t xml:space="preserve"> d</w:t>
            </w:r>
            <w:r w:rsidR="004827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w:t>
            </w:r>
            <w:r w:rsidR="004827EC" w:rsidRPr="004768D0">
              <w:rPr>
                <w:rFonts w:asciiTheme="majorHAnsi" w:hAnsiTheme="majorHAnsi"/>
                <w:bCs/>
                <w:color w:val="000000" w:themeColor="text1"/>
                <w:sz w:val="18"/>
                <w:szCs w:val="18"/>
                <w:lang w:val="es-ES"/>
              </w:rPr>
              <w:t>violencia</w:t>
            </w:r>
            <w:r w:rsidRPr="004768D0">
              <w:rPr>
                <w:rFonts w:asciiTheme="majorHAnsi" w:hAnsiTheme="majorHAnsi"/>
                <w:bCs/>
                <w:color w:val="000000" w:themeColor="text1"/>
                <w:sz w:val="18"/>
                <w:szCs w:val="18"/>
                <w:lang w:val="es-ES"/>
              </w:rPr>
              <w:t xml:space="preserve"> </w:t>
            </w:r>
            <w:r w:rsidR="004827EC"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n</w:t>
            </w:r>
            <w:r w:rsidR="004827EC" w:rsidRPr="004768D0">
              <w:rPr>
                <w:rFonts w:asciiTheme="majorHAnsi" w:hAnsiTheme="majorHAnsi"/>
                <w:bCs/>
                <w:color w:val="000000" w:themeColor="text1"/>
                <w:sz w:val="18"/>
                <w:szCs w:val="18"/>
                <w:lang w:val="es-ES"/>
              </w:rPr>
              <w:t xml:space="preserve"> </w:t>
            </w:r>
            <w:r w:rsidR="003C58C5" w:rsidRPr="004768D0">
              <w:rPr>
                <w:rFonts w:asciiTheme="majorHAnsi" w:hAnsiTheme="majorHAnsi"/>
                <w:bCs/>
                <w:color w:val="000000" w:themeColor="text1"/>
                <w:sz w:val="18"/>
                <w:szCs w:val="18"/>
                <w:lang w:val="es-ES"/>
              </w:rPr>
              <w:t xml:space="preserve">el </w:t>
            </w:r>
            <w:r w:rsidR="004827EC" w:rsidRPr="004768D0">
              <w:rPr>
                <w:rFonts w:asciiTheme="majorHAnsi" w:hAnsiTheme="majorHAnsi"/>
                <w:bCs/>
                <w:color w:val="000000" w:themeColor="text1"/>
                <w:sz w:val="18"/>
                <w:szCs w:val="18"/>
                <w:lang w:val="es-ES"/>
              </w:rPr>
              <w:t>e</w:t>
            </w:r>
            <w:r w:rsidR="003C58C5" w:rsidRPr="004768D0">
              <w:rPr>
                <w:rFonts w:asciiTheme="majorHAnsi" w:hAnsiTheme="majorHAnsi"/>
                <w:bCs/>
                <w:color w:val="000000" w:themeColor="text1"/>
                <w:sz w:val="18"/>
                <w:szCs w:val="18"/>
                <w:lang w:val="es-ES"/>
              </w:rPr>
              <w:t>stado</w:t>
            </w:r>
            <w:r w:rsidRPr="004768D0">
              <w:rPr>
                <w:rFonts w:asciiTheme="majorHAnsi" w:hAnsiTheme="majorHAnsi"/>
                <w:bCs/>
                <w:color w:val="000000" w:themeColor="text1"/>
                <w:sz w:val="18"/>
                <w:szCs w:val="18"/>
                <w:lang w:val="es-ES"/>
              </w:rPr>
              <w:t xml:space="preserve"> de São Paulo: </w:t>
            </w:r>
            <w:r w:rsidR="004827EC" w:rsidRPr="004768D0">
              <w:rPr>
                <w:rFonts w:asciiTheme="majorHAnsi" w:hAnsiTheme="majorHAnsi"/>
                <w:bCs/>
                <w:color w:val="000000" w:themeColor="text1"/>
                <w:sz w:val="18"/>
                <w:szCs w:val="18"/>
                <w:lang w:val="es-ES"/>
              </w:rPr>
              <w:t xml:space="preserve">El </w:t>
            </w:r>
            <w:r w:rsidRPr="004768D0">
              <w:rPr>
                <w:rFonts w:asciiTheme="majorHAnsi" w:hAnsiTheme="majorHAnsi"/>
                <w:bCs/>
                <w:color w:val="000000" w:themeColor="text1"/>
                <w:sz w:val="18"/>
                <w:szCs w:val="18"/>
                <w:lang w:val="es-ES"/>
              </w:rPr>
              <w:t>20</w:t>
            </w:r>
            <w:r w:rsidR="004827EC" w:rsidRPr="004768D0">
              <w:rPr>
                <w:rFonts w:asciiTheme="majorHAnsi" w:hAnsiTheme="majorHAnsi"/>
                <w:bCs/>
                <w:color w:val="000000" w:themeColor="text1"/>
                <w:sz w:val="18"/>
                <w:szCs w:val="18"/>
                <w:lang w:val="es-ES"/>
              </w:rPr>
              <w:t xml:space="preserve"> de febrero de </w:t>
            </w:r>
            <w:r w:rsidRPr="004768D0">
              <w:rPr>
                <w:rFonts w:asciiTheme="majorHAnsi" w:hAnsiTheme="majorHAnsi"/>
                <w:bCs/>
                <w:color w:val="000000" w:themeColor="text1"/>
                <w:sz w:val="18"/>
                <w:szCs w:val="18"/>
                <w:lang w:val="es-ES"/>
              </w:rPr>
              <w:t xml:space="preserve">2015 </w:t>
            </w:r>
            <w:r w:rsidR="004827EC" w:rsidRPr="004768D0">
              <w:rPr>
                <w:rFonts w:asciiTheme="majorHAnsi" w:hAnsiTheme="majorHAnsi"/>
                <w:bCs/>
                <w:color w:val="000000" w:themeColor="text1"/>
                <w:sz w:val="18"/>
                <w:szCs w:val="18"/>
                <w:lang w:val="es-ES"/>
              </w:rPr>
              <w:t>estaba</w:t>
            </w:r>
            <w:r w:rsidRPr="004768D0">
              <w:rPr>
                <w:rFonts w:asciiTheme="majorHAnsi" w:hAnsiTheme="majorHAnsi"/>
                <w:bCs/>
                <w:color w:val="000000" w:themeColor="text1"/>
                <w:sz w:val="18"/>
                <w:szCs w:val="18"/>
                <w:lang w:val="es-ES"/>
              </w:rPr>
              <w:t xml:space="preserve"> prevista </w:t>
            </w:r>
            <w:r w:rsidR="004827EC"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n</w:t>
            </w:r>
            <w:r w:rsidR="004827EC" w:rsidRPr="004768D0">
              <w:rPr>
                <w:rFonts w:asciiTheme="majorHAnsi" w:hAnsiTheme="majorHAnsi"/>
                <w:bCs/>
                <w:color w:val="000000" w:themeColor="text1"/>
                <w:sz w:val="18"/>
                <w:szCs w:val="18"/>
                <w:lang w:val="es-ES"/>
              </w:rPr>
              <w:t xml:space="preserve"> el orden del día una reunión de la S</w:t>
            </w:r>
            <w:r w:rsidRPr="004768D0">
              <w:rPr>
                <w:rFonts w:asciiTheme="majorHAnsi" w:hAnsiTheme="majorHAnsi"/>
                <w:bCs/>
                <w:color w:val="000000" w:themeColor="text1"/>
                <w:sz w:val="18"/>
                <w:szCs w:val="18"/>
                <w:lang w:val="es-ES"/>
              </w:rPr>
              <w:t>ub</w:t>
            </w:r>
            <w:r w:rsidR="004827EC" w:rsidRPr="004768D0">
              <w:rPr>
                <w:rFonts w:asciiTheme="majorHAnsi" w:hAnsiTheme="majorHAnsi"/>
                <w:bCs/>
                <w:color w:val="000000" w:themeColor="text1"/>
                <w:sz w:val="18"/>
                <w:szCs w:val="18"/>
                <w:lang w:val="es-ES"/>
              </w:rPr>
              <w:t>c</w:t>
            </w:r>
            <w:r w:rsidR="00C65DE2" w:rsidRPr="004768D0">
              <w:rPr>
                <w:rFonts w:asciiTheme="majorHAnsi" w:hAnsiTheme="majorHAnsi"/>
                <w:bCs/>
                <w:color w:val="000000" w:themeColor="text1"/>
                <w:sz w:val="18"/>
                <w:szCs w:val="18"/>
                <w:lang w:val="es-ES"/>
              </w:rPr>
              <w:t>omisión</w:t>
            </w:r>
            <w:r w:rsidRPr="004768D0">
              <w:rPr>
                <w:rFonts w:asciiTheme="majorHAnsi" w:hAnsiTheme="majorHAnsi"/>
                <w:bCs/>
                <w:color w:val="000000" w:themeColor="text1"/>
                <w:sz w:val="18"/>
                <w:szCs w:val="18"/>
                <w:lang w:val="es-ES"/>
              </w:rPr>
              <w:t xml:space="preserve"> de </w:t>
            </w:r>
            <w:r w:rsidR="004827EC" w:rsidRPr="004768D0">
              <w:rPr>
                <w:rFonts w:asciiTheme="majorHAnsi" w:hAnsiTheme="majorHAnsi"/>
                <w:bCs/>
                <w:color w:val="000000" w:themeColor="text1"/>
                <w:sz w:val="18"/>
                <w:szCs w:val="18"/>
                <w:lang w:val="es-ES"/>
              </w:rPr>
              <w:t>estudios</w:t>
            </w:r>
            <w:r w:rsidRPr="004768D0">
              <w:rPr>
                <w:rFonts w:asciiTheme="majorHAnsi" w:hAnsiTheme="majorHAnsi"/>
                <w:bCs/>
                <w:color w:val="000000" w:themeColor="text1"/>
                <w:sz w:val="18"/>
                <w:szCs w:val="18"/>
                <w:lang w:val="es-ES"/>
              </w:rPr>
              <w:t xml:space="preserve"> d</w:t>
            </w:r>
            <w:r w:rsidR="004827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w:t>
            </w:r>
            <w:r w:rsidR="004827EC" w:rsidRPr="004768D0">
              <w:rPr>
                <w:rFonts w:asciiTheme="majorHAnsi" w:hAnsiTheme="majorHAnsi"/>
                <w:bCs/>
                <w:color w:val="000000" w:themeColor="text1"/>
                <w:sz w:val="18"/>
                <w:szCs w:val="18"/>
                <w:lang w:val="es-ES"/>
              </w:rPr>
              <w:t>violencia</w:t>
            </w:r>
            <w:r w:rsidRPr="004768D0">
              <w:rPr>
                <w:rFonts w:asciiTheme="majorHAnsi" w:hAnsiTheme="majorHAnsi"/>
                <w:bCs/>
                <w:color w:val="000000" w:themeColor="text1"/>
                <w:sz w:val="18"/>
                <w:szCs w:val="18"/>
                <w:lang w:val="es-ES"/>
              </w:rPr>
              <w:t xml:space="preserve"> </w:t>
            </w:r>
            <w:r w:rsidR="004827EC"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n</w:t>
            </w:r>
            <w:r w:rsidR="004827EC" w:rsidRPr="004768D0">
              <w:rPr>
                <w:rFonts w:asciiTheme="majorHAnsi" w:hAnsiTheme="majorHAnsi"/>
                <w:bCs/>
                <w:color w:val="000000" w:themeColor="text1"/>
                <w:sz w:val="18"/>
                <w:szCs w:val="18"/>
                <w:lang w:val="es-ES"/>
              </w:rPr>
              <w:t xml:space="preserve"> el</w:t>
            </w:r>
            <w:r w:rsidRPr="004768D0">
              <w:rPr>
                <w:rFonts w:asciiTheme="majorHAnsi" w:hAnsiTheme="majorHAnsi"/>
                <w:bCs/>
                <w:color w:val="000000" w:themeColor="text1"/>
                <w:sz w:val="18"/>
                <w:szCs w:val="18"/>
                <w:lang w:val="es-ES"/>
              </w:rPr>
              <w:t xml:space="preserve"> estado de São Paulo (</w:t>
            </w:r>
            <w:r w:rsidR="004827EC" w:rsidRPr="004768D0">
              <w:rPr>
                <w:rFonts w:asciiTheme="majorHAnsi" w:hAnsiTheme="majorHAnsi"/>
                <w:bCs/>
                <w:color w:val="000000" w:themeColor="text1"/>
                <w:sz w:val="18"/>
                <w:szCs w:val="18"/>
                <w:lang w:val="es-ES"/>
              </w:rPr>
              <w:t>en el ámbito</w:t>
            </w:r>
            <w:r w:rsidRPr="004768D0">
              <w:rPr>
                <w:rFonts w:asciiTheme="majorHAnsi" w:hAnsiTheme="majorHAnsi"/>
                <w:bCs/>
                <w:color w:val="000000" w:themeColor="text1"/>
                <w:sz w:val="18"/>
                <w:szCs w:val="18"/>
                <w:lang w:val="es-ES"/>
              </w:rPr>
              <w:t xml:space="preserve"> d</w:t>
            </w:r>
            <w:r w:rsidR="004827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w:t>
            </w:r>
            <w:r w:rsidR="00C65DE2" w:rsidRPr="004768D0">
              <w:rPr>
                <w:rFonts w:asciiTheme="majorHAnsi" w:hAnsiTheme="majorHAnsi"/>
                <w:bCs/>
                <w:color w:val="000000" w:themeColor="text1"/>
                <w:sz w:val="18"/>
                <w:szCs w:val="18"/>
                <w:lang w:val="es-ES"/>
              </w:rPr>
              <w:t>Comisión</w:t>
            </w:r>
            <w:r w:rsidRPr="004768D0">
              <w:rPr>
                <w:rFonts w:asciiTheme="majorHAnsi" w:hAnsiTheme="majorHAnsi"/>
                <w:bCs/>
                <w:color w:val="000000" w:themeColor="text1"/>
                <w:sz w:val="18"/>
                <w:szCs w:val="18"/>
                <w:lang w:val="es-ES"/>
              </w:rPr>
              <w:t xml:space="preserve"> de </w:t>
            </w:r>
            <w:r w:rsidR="00A34E74" w:rsidRPr="004768D0">
              <w:rPr>
                <w:rFonts w:asciiTheme="majorHAnsi" w:hAnsiTheme="majorHAnsi"/>
                <w:bCs/>
                <w:color w:val="000000" w:themeColor="text1"/>
                <w:sz w:val="18"/>
                <w:szCs w:val="18"/>
                <w:lang w:val="es-ES"/>
              </w:rPr>
              <w:t>Defensa</w:t>
            </w:r>
            <w:r w:rsidRPr="004768D0">
              <w:rPr>
                <w:rFonts w:asciiTheme="majorHAnsi" w:hAnsiTheme="majorHAnsi"/>
                <w:bCs/>
                <w:color w:val="000000" w:themeColor="text1"/>
                <w:sz w:val="18"/>
                <w:szCs w:val="18"/>
                <w:lang w:val="es-ES"/>
              </w:rPr>
              <w:t xml:space="preserve"> d</w:t>
            </w:r>
            <w:r w:rsidR="004827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os </w:t>
            </w:r>
            <w:r w:rsidR="00246A29" w:rsidRPr="004768D0">
              <w:rPr>
                <w:rFonts w:asciiTheme="majorHAnsi" w:hAnsiTheme="majorHAnsi"/>
                <w:bCs/>
                <w:color w:val="000000" w:themeColor="text1"/>
                <w:sz w:val="18"/>
                <w:szCs w:val="18"/>
                <w:lang w:val="es-ES"/>
              </w:rPr>
              <w:t>Derechos</w:t>
            </w:r>
            <w:r w:rsidRPr="004768D0">
              <w:rPr>
                <w:rFonts w:asciiTheme="majorHAnsi" w:hAnsiTheme="majorHAnsi"/>
                <w:bCs/>
                <w:color w:val="000000" w:themeColor="text1"/>
                <w:sz w:val="18"/>
                <w:szCs w:val="18"/>
                <w:lang w:val="es-ES"/>
              </w:rPr>
              <w:t xml:space="preserve"> d</w:t>
            </w:r>
            <w:r w:rsidR="004827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w:t>
            </w:r>
            <w:r w:rsidR="00246A29" w:rsidRPr="004768D0">
              <w:rPr>
                <w:rFonts w:asciiTheme="majorHAnsi" w:hAnsiTheme="majorHAnsi"/>
                <w:bCs/>
                <w:color w:val="000000" w:themeColor="text1"/>
                <w:sz w:val="18"/>
                <w:szCs w:val="18"/>
                <w:lang w:val="es-ES"/>
              </w:rPr>
              <w:t>Persona</w:t>
            </w:r>
            <w:r w:rsidRPr="004768D0">
              <w:rPr>
                <w:rFonts w:asciiTheme="majorHAnsi" w:hAnsiTheme="majorHAnsi"/>
                <w:bCs/>
                <w:color w:val="000000" w:themeColor="text1"/>
                <w:sz w:val="18"/>
                <w:szCs w:val="18"/>
                <w:lang w:val="es-ES"/>
              </w:rPr>
              <w:t xml:space="preserve"> Humana, </w:t>
            </w:r>
            <w:r w:rsidR="004827EC" w:rsidRPr="004768D0">
              <w:rPr>
                <w:rFonts w:asciiTheme="majorHAnsi" w:hAnsiTheme="majorHAnsi"/>
                <w:bCs/>
                <w:color w:val="000000" w:themeColor="text1"/>
                <w:sz w:val="18"/>
                <w:szCs w:val="18"/>
                <w:lang w:val="es-ES"/>
              </w:rPr>
              <w:t>de la Ciudadanía</w:t>
            </w:r>
            <w:r w:rsidRPr="004768D0">
              <w:rPr>
                <w:rFonts w:asciiTheme="majorHAnsi" w:hAnsiTheme="majorHAnsi"/>
                <w:bCs/>
                <w:color w:val="000000" w:themeColor="text1"/>
                <w:sz w:val="18"/>
                <w:szCs w:val="18"/>
                <w:lang w:val="es-ES"/>
              </w:rPr>
              <w:t>, d</w:t>
            </w:r>
            <w:r w:rsidR="004827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a Participa</w:t>
            </w:r>
            <w:r w:rsidR="004827EC" w:rsidRPr="004768D0">
              <w:rPr>
                <w:rFonts w:asciiTheme="majorHAnsi" w:hAnsiTheme="majorHAnsi"/>
                <w:bCs/>
                <w:color w:val="000000" w:themeColor="text1"/>
                <w:sz w:val="18"/>
                <w:szCs w:val="18"/>
                <w:lang w:val="es-ES"/>
              </w:rPr>
              <w:t>ción y de las Cuestiones Sociales</w:t>
            </w:r>
            <w:r w:rsidRPr="004768D0">
              <w:rPr>
                <w:rFonts w:asciiTheme="majorHAnsi" w:hAnsiTheme="majorHAnsi"/>
                <w:bCs/>
                <w:color w:val="000000" w:themeColor="text1"/>
                <w:sz w:val="18"/>
                <w:szCs w:val="18"/>
                <w:lang w:val="es-ES"/>
              </w:rPr>
              <w:t>), a pedido d</w:t>
            </w:r>
            <w:r w:rsidR="004827EC"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w:t>
            </w:r>
            <w:r w:rsidR="004827EC" w:rsidRPr="004768D0">
              <w:rPr>
                <w:rFonts w:asciiTheme="majorHAnsi" w:hAnsiTheme="majorHAnsi"/>
                <w:bCs/>
                <w:color w:val="000000" w:themeColor="text1"/>
                <w:sz w:val="18"/>
                <w:szCs w:val="18"/>
                <w:lang w:val="es-ES"/>
              </w:rPr>
              <w:t>Movimiento</w:t>
            </w:r>
            <w:r w:rsidRPr="004768D0">
              <w:rPr>
                <w:rFonts w:asciiTheme="majorHAnsi" w:hAnsiTheme="majorHAnsi"/>
                <w:bCs/>
                <w:color w:val="000000" w:themeColor="text1"/>
                <w:sz w:val="18"/>
                <w:szCs w:val="18"/>
                <w:lang w:val="es-ES"/>
              </w:rPr>
              <w:t xml:space="preserve"> </w:t>
            </w:r>
            <w:r w:rsidR="000A5DA2" w:rsidRPr="004768D0">
              <w:rPr>
                <w:rFonts w:asciiTheme="majorHAnsi" w:hAnsiTheme="majorHAnsi"/>
                <w:bCs/>
                <w:color w:val="000000" w:themeColor="text1"/>
                <w:sz w:val="18"/>
                <w:szCs w:val="18"/>
                <w:lang w:val="es-ES"/>
              </w:rPr>
              <w:t>Madres</w:t>
            </w:r>
            <w:r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Pr="004768D0">
              <w:rPr>
                <w:rFonts w:asciiTheme="majorHAnsi" w:hAnsiTheme="majorHAnsi"/>
                <w:bCs/>
                <w:color w:val="000000" w:themeColor="text1"/>
                <w:sz w:val="18"/>
                <w:szCs w:val="18"/>
                <w:lang w:val="es-ES"/>
              </w:rPr>
              <w:t>, co</w:t>
            </w:r>
            <w:r w:rsidR="004827EC" w:rsidRPr="004768D0">
              <w:rPr>
                <w:rFonts w:asciiTheme="majorHAnsi" w:hAnsiTheme="majorHAnsi"/>
                <w:bCs/>
                <w:color w:val="000000" w:themeColor="text1"/>
                <w:sz w:val="18"/>
                <w:szCs w:val="18"/>
                <w:lang w:val="es-ES"/>
              </w:rPr>
              <w:t xml:space="preserve">n el apoyo de la entonces </w:t>
            </w:r>
            <w:r w:rsidRPr="004768D0">
              <w:rPr>
                <w:rFonts w:asciiTheme="majorHAnsi" w:hAnsiTheme="majorHAnsi"/>
                <w:bCs/>
                <w:color w:val="000000" w:themeColor="text1"/>
                <w:sz w:val="18"/>
                <w:szCs w:val="18"/>
                <w:lang w:val="es-ES"/>
              </w:rPr>
              <w:t>Secretar</w:t>
            </w:r>
            <w:r w:rsidR="004827EC" w:rsidRPr="004768D0">
              <w:rPr>
                <w:rFonts w:asciiTheme="majorHAnsi" w:hAnsiTheme="majorHAnsi"/>
                <w:bCs/>
                <w:color w:val="000000" w:themeColor="text1"/>
                <w:sz w:val="18"/>
                <w:szCs w:val="18"/>
                <w:lang w:val="es-ES"/>
              </w:rPr>
              <w:t>ía</w:t>
            </w:r>
            <w:r w:rsidRPr="004768D0">
              <w:rPr>
                <w:rFonts w:asciiTheme="majorHAnsi" w:hAnsiTheme="majorHAnsi"/>
                <w:bCs/>
                <w:color w:val="000000" w:themeColor="text1"/>
                <w:sz w:val="18"/>
                <w:szCs w:val="18"/>
                <w:lang w:val="es-ES"/>
              </w:rPr>
              <w:t xml:space="preserve"> de </w:t>
            </w:r>
            <w:r w:rsidR="00246A29" w:rsidRPr="004768D0">
              <w:rPr>
                <w:rFonts w:asciiTheme="majorHAnsi" w:hAnsiTheme="majorHAnsi"/>
                <w:bCs/>
                <w:color w:val="000000" w:themeColor="text1"/>
                <w:sz w:val="18"/>
                <w:szCs w:val="18"/>
                <w:lang w:val="es-ES"/>
              </w:rPr>
              <w:t>Derechos</w:t>
            </w:r>
            <w:r w:rsidRPr="004768D0">
              <w:rPr>
                <w:rFonts w:asciiTheme="majorHAnsi" w:hAnsiTheme="majorHAnsi"/>
                <w:bCs/>
                <w:color w:val="000000" w:themeColor="text1"/>
                <w:sz w:val="18"/>
                <w:szCs w:val="18"/>
                <w:lang w:val="es-ES"/>
              </w:rPr>
              <w:t xml:space="preserve"> Humanos d</w:t>
            </w:r>
            <w:r w:rsidR="004827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w:t>
            </w:r>
            <w:r w:rsidR="004827EC" w:rsidRPr="004768D0">
              <w:rPr>
                <w:rFonts w:asciiTheme="majorHAnsi" w:hAnsiTheme="majorHAnsi"/>
                <w:bCs/>
                <w:color w:val="000000" w:themeColor="text1"/>
                <w:sz w:val="18"/>
                <w:szCs w:val="18"/>
                <w:lang w:val="es-ES"/>
              </w:rPr>
              <w:t>Presidencia</w:t>
            </w:r>
            <w:r w:rsidRPr="004768D0">
              <w:rPr>
                <w:rFonts w:asciiTheme="majorHAnsi" w:hAnsiTheme="majorHAnsi"/>
                <w:bCs/>
                <w:color w:val="000000" w:themeColor="text1"/>
                <w:sz w:val="18"/>
                <w:szCs w:val="18"/>
                <w:lang w:val="es-ES"/>
              </w:rPr>
              <w:t xml:space="preserve"> d</w:t>
            </w:r>
            <w:r w:rsidR="004827EC" w:rsidRPr="004768D0">
              <w:rPr>
                <w:rFonts w:asciiTheme="majorHAnsi" w:hAnsiTheme="majorHAnsi"/>
                <w:bCs/>
                <w:color w:val="000000" w:themeColor="text1"/>
                <w:sz w:val="18"/>
                <w:szCs w:val="18"/>
                <w:lang w:val="es-ES"/>
              </w:rPr>
              <w:t>e l</w:t>
            </w:r>
            <w:r w:rsidRPr="004768D0">
              <w:rPr>
                <w:rFonts w:asciiTheme="majorHAnsi" w:hAnsiTheme="majorHAnsi"/>
                <w:bCs/>
                <w:color w:val="000000" w:themeColor="text1"/>
                <w:sz w:val="18"/>
                <w:szCs w:val="18"/>
                <w:lang w:val="es-ES"/>
              </w:rPr>
              <w:t xml:space="preserve">a República. </w:t>
            </w:r>
          </w:p>
          <w:p w14:paraId="327E597A"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xml:space="preserve">- </w:t>
            </w:r>
            <w:r w:rsidR="004827EC" w:rsidRPr="004768D0">
              <w:rPr>
                <w:rFonts w:asciiTheme="majorHAnsi" w:hAnsiTheme="majorHAnsi"/>
                <w:bCs/>
                <w:color w:val="000000" w:themeColor="text1"/>
                <w:sz w:val="18"/>
                <w:szCs w:val="18"/>
                <w:lang w:val="es-ES"/>
              </w:rPr>
              <w:t xml:space="preserve">El </w:t>
            </w:r>
            <w:r w:rsidRPr="004768D0">
              <w:rPr>
                <w:rFonts w:asciiTheme="majorHAnsi" w:hAnsiTheme="majorHAnsi"/>
                <w:bCs/>
                <w:color w:val="000000" w:themeColor="text1"/>
                <w:sz w:val="18"/>
                <w:szCs w:val="18"/>
                <w:lang w:val="es-ES"/>
              </w:rPr>
              <w:t xml:space="preserve">Poder Legislativo federal </w:t>
            </w:r>
            <w:r w:rsidR="004827EC" w:rsidRPr="004768D0">
              <w:rPr>
                <w:rFonts w:asciiTheme="majorHAnsi" w:hAnsiTheme="majorHAnsi"/>
                <w:bCs/>
                <w:color w:val="000000" w:themeColor="text1"/>
                <w:sz w:val="18"/>
                <w:szCs w:val="18"/>
                <w:lang w:val="es-ES"/>
              </w:rPr>
              <w:t>estab</w:t>
            </w:r>
            <w:r w:rsidR="004827EC" w:rsidRPr="003D13F3">
              <w:rPr>
                <w:rFonts w:asciiTheme="majorHAnsi" w:hAnsiTheme="majorHAnsi"/>
                <w:bCs/>
                <w:color w:val="000000" w:themeColor="text1"/>
                <w:sz w:val="18"/>
                <w:szCs w:val="18"/>
                <w:lang w:val="es-ES"/>
              </w:rPr>
              <w:t xml:space="preserve">leció la </w:t>
            </w:r>
            <w:r w:rsidR="00C65DE2" w:rsidRPr="003D13F3">
              <w:rPr>
                <w:rFonts w:asciiTheme="majorHAnsi" w:hAnsiTheme="majorHAnsi"/>
                <w:bCs/>
                <w:color w:val="000000" w:themeColor="text1"/>
                <w:sz w:val="18"/>
                <w:szCs w:val="18"/>
                <w:lang w:val="es-ES"/>
              </w:rPr>
              <w:t>Comisión</w:t>
            </w:r>
            <w:r w:rsidRPr="003D13F3">
              <w:rPr>
                <w:rFonts w:asciiTheme="majorHAnsi" w:hAnsiTheme="majorHAnsi"/>
                <w:bCs/>
                <w:color w:val="000000" w:themeColor="text1"/>
                <w:sz w:val="18"/>
                <w:szCs w:val="18"/>
                <w:lang w:val="es-ES"/>
              </w:rPr>
              <w:t xml:space="preserve"> Parlamentar</w:t>
            </w:r>
            <w:r w:rsidR="004827EC" w:rsidRPr="003D13F3">
              <w:rPr>
                <w:rFonts w:asciiTheme="majorHAnsi" w:hAnsiTheme="majorHAnsi"/>
                <w:bCs/>
                <w:color w:val="000000" w:themeColor="text1"/>
                <w:sz w:val="18"/>
                <w:szCs w:val="18"/>
                <w:lang w:val="es-ES"/>
              </w:rPr>
              <w:t>ia</w:t>
            </w:r>
            <w:r w:rsidRPr="003D13F3">
              <w:rPr>
                <w:rFonts w:asciiTheme="majorHAnsi" w:hAnsiTheme="majorHAnsi"/>
                <w:bCs/>
                <w:color w:val="000000" w:themeColor="text1"/>
                <w:sz w:val="18"/>
                <w:szCs w:val="18"/>
                <w:lang w:val="es-ES"/>
              </w:rPr>
              <w:t xml:space="preserve"> de </w:t>
            </w:r>
            <w:r w:rsidR="00C03E33" w:rsidRPr="003D13F3">
              <w:rPr>
                <w:rFonts w:asciiTheme="majorHAnsi" w:hAnsiTheme="majorHAnsi"/>
                <w:bCs/>
                <w:color w:val="000000" w:themeColor="text1"/>
                <w:sz w:val="18"/>
                <w:szCs w:val="18"/>
                <w:lang w:val="es-ES"/>
              </w:rPr>
              <w:t>Investigación</w:t>
            </w:r>
            <w:r w:rsidRPr="003D13F3">
              <w:rPr>
                <w:rFonts w:asciiTheme="majorHAnsi" w:hAnsiTheme="majorHAnsi"/>
                <w:bCs/>
                <w:color w:val="000000" w:themeColor="text1"/>
                <w:sz w:val="18"/>
                <w:szCs w:val="18"/>
                <w:lang w:val="es-ES"/>
              </w:rPr>
              <w:t xml:space="preserve"> d</w:t>
            </w:r>
            <w:r w:rsidR="004827EC" w:rsidRPr="003D13F3">
              <w:rPr>
                <w:rFonts w:asciiTheme="majorHAnsi" w:hAnsiTheme="majorHAnsi"/>
                <w:bCs/>
                <w:color w:val="000000" w:themeColor="text1"/>
                <w:sz w:val="18"/>
                <w:szCs w:val="18"/>
                <w:lang w:val="es-ES"/>
              </w:rPr>
              <w:t>el</w:t>
            </w:r>
            <w:r w:rsidRPr="003D13F3">
              <w:rPr>
                <w:rFonts w:asciiTheme="majorHAnsi" w:hAnsiTheme="majorHAnsi"/>
                <w:bCs/>
                <w:color w:val="000000" w:themeColor="text1"/>
                <w:sz w:val="18"/>
                <w:szCs w:val="18"/>
                <w:lang w:val="es-ES"/>
              </w:rPr>
              <w:t xml:space="preserve"> </w:t>
            </w:r>
            <w:r w:rsidR="004827EC" w:rsidRPr="003D13F3">
              <w:rPr>
                <w:rFonts w:asciiTheme="majorHAnsi" w:hAnsiTheme="majorHAnsi"/>
                <w:bCs/>
                <w:color w:val="000000" w:themeColor="text1"/>
                <w:sz w:val="18"/>
                <w:szCs w:val="18"/>
                <w:lang w:val="es-ES"/>
              </w:rPr>
              <w:t>Asesinato</w:t>
            </w:r>
            <w:r w:rsidRPr="003D13F3">
              <w:rPr>
                <w:rFonts w:asciiTheme="majorHAnsi" w:hAnsiTheme="majorHAnsi"/>
                <w:bCs/>
                <w:color w:val="000000" w:themeColor="text1"/>
                <w:sz w:val="18"/>
                <w:szCs w:val="18"/>
                <w:lang w:val="es-ES"/>
              </w:rPr>
              <w:t xml:space="preserve"> de </w:t>
            </w:r>
            <w:r w:rsidR="004827EC" w:rsidRPr="003D13F3">
              <w:rPr>
                <w:rFonts w:asciiTheme="majorHAnsi" w:hAnsiTheme="majorHAnsi"/>
                <w:bCs/>
                <w:color w:val="000000" w:themeColor="text1"/>
                <w:sz w:val="18"/>
                <w:szCs w:val="18"/>
                <w:lang w:val="es-ES"/>
              </w:rPr>
              <w:t>Jóvenes</w:t>
            </w:r>
            <w:r w:rsidRPr="003D13F3">
              <w:rPr>
                <w:rFonts w:asciiTheme="majorHAnsi" w:hAnsiTheme="majorHAnsi"/>
                <w:bCs/>
                <w:color w:val="000000" w:themeColor="text1"/>
                <w:sz w:val="18"/>
                <w:szCs w:val="18"/>
                <w:lang w:val="es-ES"/>
              </w:rPr>
              <w:t xml:space="preserve"> (CPIADJ), </w:t>
            </w:r>
            <w:r w:rsidR="004827EC" w:rsidRPr="003D13F3">
              <w:rPr>
                <w:rFonts w:asciiTheme="majorHAnsi" w:hAnsiTheme="majorHAnsi"/>
                <w:bCs/>
                <w:color w:val="000000" w:themeColor="text1"/>
                <w:sz w:val="18"/>
                <w:szCs w:val="18"/>
                <w:lang w:val="es-ES"/>
              </w:rPr>
              <w:t xml:space="preserve">en atención a la solicitud </w:t>
            </w:r>
            <w:proofErr w:type="spellStart"/>
            <w:r w:rsidR="009615E2" w:rsidRPr="003D13F3">
              <w:rPr>
                <w:rFonts w:asciiTheme="majorHAnsi" w:hAnsiTheme="majorHAnsi"/>
                <w:bCs/>
                <w:color w:val="000000" w:themeColor="text1"/>
                <w:sz w:val="18"/>
                <w:szCs w:val="18"/>
                <w:lang w:val="es-ES"/>
              </w:rPr>
              <w:t>N.</w:t>
            </w:r>
            <w:r w:rsidR="009615E2" w:rsidRPr="003D13F3">
              <w:rPr>
                <w:rFonts w:asciiTheme="majorHAnsi" w:hAnsiTheme="majorHAnsi"/>
                <w:bCs/>
                <w:color w:val="000000" w:themeColor="text1"/>
                <w:sz w:val="18"/>
                <w:szCs w:val="18"/>
                <w:vertAlign w:val="superscript"/>
                <w:lang w:val="es-ES"/>
              </w:rPr>
              <w:t>o</w:t>
            </w:r>
            <w:proofErr w:type="spellEnd"/>
            <w:r w:rsidRPr="003D13F3">
              <w:rPr>
                <w:rFonts w:asciiTheme="majorHAnsi" w:hAnsiTheme="majorHAnsi"/>
                <w:bCs/>
                <w:color w:val="000000" w:themeColor="text1"/>
                <w:sz w:val="18"/>
                <w:szCs w:val="18"/>
                <w:lang w:val="es-ES"/>
              </w:rPr>
              <w:t xml:space="preserve"> 115, de 2015, </w:t>
            </w:r>
            <w:r w:rsidR="004827EC" w:rsidRPr="003D13F3">
              <w:rPr>
                <w:rFonts w:asciiTheme="majorHAnsi" w:hAnsiTheme="majorHAnsi"/>
                <w:bCs/>
                <w:color w:val="000000" w:themeColor="text1"/>
                <w:sz w:val="18"/>
                <w:szCs w:val="18"/>
                <w:lang w:val="es-ES"/>
              </w:rPr>
              <w:t>con</w:t>
            </w:r>
            <w:r w:rsidRPr="003D13F3">
              <w:rPr>
                <w:rFonts w:asciiTheme="majorHAnsi" w:hAnsiTheme="majorHAnsi"/>
                <w:bCs/>
                <w:color w:val="000000" w:themeColor="text1"/>
                <w:sz w:val="18"/>
                <w:szCs w:val="18"/>
                <w:lang w:val="es-ES"/>
              </w:rPr>
              <w:t xml:space="preserve"> </w:t>
            </w:r>
            <w:r w:rsidR="004827EC" w:rsidRPr="003D13F3">
              <w:rPr>
                <w:rFonts w:asciiTheme="majorHAnsi" w:hAnsiTheme="majorHAnsi"/>
                <w:bCs/>
                <w:color w:val="000000" w:themeColor="text1"/>
                <w:sz w:val="18"/>
                <w:szCs w:val="18"/>
                <w:lang w:val="es-ES"/>
              </w:rPr>
              <w:t>el</w:t>
            </w:r>
            <w:r w:rsidRPr="003D13F3">
              <w:rPr>
                <w:rFonts w:asciiTheme="majorHAnsi" w:hAnsiTheme="majorHAnsi"/>
                <w:bCs/>
                <w:color w:val="000000" w:themeColor="text1"/>
                <w:sz w:val="18"/>
                <w:szCs w:val="18"/>
                <w:lang w:val="es-ES"/>
              </w:rPr>
              <w:t xml:space="preserve"> objetivo de investigar </w:t>
            </w:r>
            <w:r w:rsidR="004827EC" w:rsidRPr="003D13F3">
              <w:rPr>
                <w:rFonts w:asciiTheme="majorHAnsi" w:hAnsiTheme="majorHAnsi"/>
                <w:bCs/>
                <w:color w:val="000000" w:themeColor="text1"/>
                <w:sz w:val="18"/>
                <w:szCs w:val="18"/>
                <w:lang w:val="es-ES"/>
              </w:rPr>
              <w:t>el</w:t>
            </w:r>
            <w:r w:rsidRPr="003D13F3">
              <w:rPr>
                <w:rFonts w:asciiTheme="majorHAnsi" w:hAnsiTheme="majorHAnsi"/>
                <w:bCs/>
                <w:color w:val="000000" w:themeColor="text1"/>
                <w:sz w:val="18"/>
                <w:szCs w:val="18"/>
                <w:lang w:val="es-ES"/>
              </w:rPr>
              <w:t xml:space="preserve"> </w:t>
            </w:r>
            <w:r w:rsidR="004827EC" w:rsidRPr="003D13F3">
              <w:rPr>
                <w:rFonts w:asciiTheme="majorHAnsi" w:hAnsiTheme="majorHAnsi"/>
                <w:bCs/>
                <w:color w:val="000000" w:themeColor="text1"/>
                <w:sz w:val="18"/>
                <w:szCs w:val="18"/>
                <w:lang w:val="es-ES"/>
              </w:rPr>
              <w:t>asesinato</w:t>
            </w:r>
            <w:r w:rsidRPr="004768D0">
              <w:rPr>
                <w:rFonts w:asciiTheme="majorHAnsi" w:hAnsiTheme="majorHAnsi"/>
                <w:bCs/>
                <w:color w:val="000000" w:themeColor="text1"/>
                <w:sz w:val="18"/>
                <w:szCs w:val="18"/>
                <w:lang w:val="es-ES"/>
              </w:rPr>
              <w:t xml:space="preserve"> de </w:t>
            </w:r>
            <w:r w:rsidR="004827EC" w:rsidRPr="004768D0">
              <w:rPr>
                <w:rFonts w:asciiTheme="majorHAnsi" w:hAnsiTheme="majorHAnsi"/>
                <w:bCs/>
                <w:color w:val="000000" w:themeColor="text1"/>
                <w:sz w:val="18"/>
                <w:szCs w:val="18"/>
                <w:lang w:val="es-ES"/>
              </w:rPr>
              <w:t>jóvenes</w:t>
            </w:r>
            <w:r w:rsidRPr="004768D0">
              <w:rPr>
                <w:rFonts w:asciiTheme="majorHAnsi" w:hAnsiTheme="majorHAnsi"/>
                <w:bCs/>
                <w:color w:val="000000" w:themeColor="text1"/>
                <w:sz w:val="18"/>
                <w:szCs w:val="18"/>
                <w:lang w:val="es-ES"/>
              </w:rPr>
              <w:t xml:space="preserve"> </w:t>
            </w:r>
            <w:r w:rsidR="004827EC"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 xml:space="preserve">n Brasil </w:t>
            </w:r>
            <w:r w:rsidR="004827EC" w:rsidRPr="004768D0">
              <w:rPr>
                <w:rFonts w:asciiTheme="majorHAnsi" w:hAnsiTheme="majorHAnsi"/>
                <w:bCs/>
                <w:color w:val="000000" w:themeColor="text1"/>
                <w:sz w:val="18"/>
                <w:szCs w:val="18"/>
                <w:lang w:val="es-ES"/>
              </w:rPr>
              <w:t xml:space="preserve">y crear </w:t>
            </w:r>
            <w:r w:rsidRPr="004768D0">
              <w:rPr>
                <w:rFonts w:asciiTheme="majorHAnsi" w:hAnsiTheme="majorHAnsi"/>
                <w:bCs/>
                <w:color w:val="000000" w:themeColor="text1"/>
                <w:sz w:val="18"/>
                <w:szCs w:val="18"/>
                <w:lang w:val="es-ES"/>
              </w:rPr>
              <w:t>mecanismos para preveni</w:t>
            </w:r>
            <w:r w:rsidR="004827EC" w:rsidRPr="004768D0">
              <w:rPr>
                <w:rFonts w:asciiTheme="majorHAnsi" w:hAnsiTheme="majorHAnsi"/>
                <w:bCs/>
                <w:color w:val="000000" w:themeColor="text1"/>
                <w:sz w:val="18"/>
                <w:szCs w:val="18"/>
                <w:lang w:val="es-ES"/>
              </w:rPr>
              <w:t>r</w:t>
            </w:r>
            <w:r w:rsidRPr="004768D0">
              <w:rPr>
                <w:rFonts w:asciiTheme="majorHAnsi" w:hAnsiTheme="majorHAnsi"/>
                <w:bCs/>
                <w:color w:val="000000" w:themeColor="text1"/>
                <w:sz w:val="18"/>
                <w:szCs w:val="18"/>
                <w:lang w:val="es-ES"/>
              </w:rPr>
              <w:t xml:space="preserve">lo </w:t>
            </w:r>
            <w:r w:rsidR="004827EC" w:rsidRPr="004768D0">
              <w:rPr>
                <w:rFonts w:asciiTheme="majorHAnsi" w:hAnsiTheme="majorHAnsi"/>
                <w:bCs/>
                <w:color w:val="000000" w:themeColor="text1"/>
                <w:sz w:val="18"/>
                <w:szCs w:val="18"/>
                <w:lang w:val="es-ES"/>
              </w:rPr>
              <w:t>y</w:t>
            </w:r>
            <w:r w:rsidRPr="004768D0">
              <w:rPr>
                <w:rFonts w:asciiTheme="majorHAnsi" w:hAnsiTheme="majorHAnsi"/>
                <w:bCs/>
                <w:color w:val="000000" w:themeColor="text1"/>
                <w:sz w:val="18"/>
                <w:szCs w:val="18"/>
                <w:lang w:val="es-ES"/>
              </w:rPr>
              <w:t xml:space="preserve"> combat</w:t>
            </w:r>
            <w:r w:rsidR="004827EC" w:rsidRPr="004768D0">
              <w:rPr>
                <w:rFonts w:asciiTheme="majorHAnsi" w:hAnsiTheme="majorHAnsi"/>
                <w:bCs/>
                <w:color w:val="000000" w:themeColor="text1"/>
                <w:sz w:val="18"/>
                <w:szCs w:val="18"/>
                <w:lang w:val="es-ES"/>
              </w:rPr>
              <w:t>ir</w:t>
            </w:r>
            <w:r w:rsidRPr="004768D0">
              <w:rPr>
                <w:rFonts w:asciiTheme="majorHAnsi" w:hAnsiTheme="majorHAnsi"/>
                <w:bCs/>
                <w:color w:val="000000" w:themeColor="text1"/>
                <w:sz w:val="18"/>
                <w:szCs w:val="18"/>
                <w:lang w:val="es-ES"/>
              </w:rPr>
              <w:t xml:space="preserve">lo. </w:t>
            </w:r>
            <w:r w:rsidR="004827EC" w:rsidRPr="004768D0">
              <w:rPr>
                <w:rFonts w:asciiTheme="majorHAnsi" w:hAnsiTheme="majorHAnsi"/>
                <w:bCs/>
                <w:color w:val="000000" w:themeColor="text1"/>
                <w:sz w:val="18"/>
                <w:szCs w:val="18"/>
                <w:lang w:val="es-ES"/>
              </w:rPr>
              <w:t>El Consejo Nacional de la Juventud (</w:t>
            </w:r>
            <w:proofErr w:type="spellStart"/>
            <w:r w:rsidR="004827EC" w:rsidRPr="004768D0">
              <w:rPr>
                <w:rFonts w:asciiTheme="majorHAnsi" w:hAnsiTheme="majorHAnsi"/>
                <w:bCs/>
                <w:color w:val="000000" w:themeColor="text1"/>
                <w:sz w:val="18"/>
                <w:szCs w:val="18"/>
                <w:lang w:val="es-ES"/>
              </w:rPr>
              <w:t>Conjuve</w:t>
            </w:r>
            <w:proofErr w:type="spellEnd"/>
            <w:r w:rsidR="004827EC" w:rsidRPr="004768D0">
              <w:rPr>
                <w:rFonts w:asciiTheme="majorHAnsi" w:hAnsiTheme="majorHAnsi"/>
                <w:bCs/>
                <w:color w:val="000000" w:themeColor="text1"/>
                <w:sz w:val="18"/>
                <w:szCs w:val="18"/>
                <w:lang w:val="es-ES"/>
              </w:rPr>
              <w:t xml:space="preserve">) y diversos </w:t>
            </w:r>
            <w:r w:rsidR="00896A3E" w:rsidRPr="004768D0">
              <w:rPr>
                <w:rFonts w:asciiTheme="majorHAnsi" w:hAnsiTheme="majorHAnsi"/>
                <w:bCs/>
                <w:color w:val="000000" w:themeColor="text1"/>
                <w:sz w:val="18"/>
                <w:szCs w:val="18"/>
                <w:lang w:val="es-ES"/>
              </w:rPr>
              <w:t>movimientos</w:t>
            </w:r>
            <w:r w:rsidR="004827EC" w:rsidRPr="004768D0">
              <w:rPr>
                <w:rFonts w:asciiTheme="majorHAnsi" w:hAnsiTheme="majorHAnsi"/>
                <w:bCs/>
                <w:color w:val="000000" w:themeColor="text1"/>
                <w:sz w:val="18"/>
                <w:szCs w:val="18"/>
                <w:lang w:val="es-ES"/>
              </w:rPr>
              <w:t xml:space="preserve"> socia</w:t>
            </w:r>
            <w:r w:rsidR="00896A3E" w:rsidRPr="004768D0">
              <w:rPr>
                <w:rFonts w:asciiTheme="majorHAnsi" w:hAnsiTheme="majorHAnsi"/>
                <w:bCs/>
                <w:color w:val="000000" w:themeColor="text1"/>
                <w:sz w:val="18"/>
                <w:szCs w:val="18"/>
                <w:lang w:val="es-ES"/>
              </w:rPr>
              <w:t xml:space="preserve">les señalaron la </w:t>
            </w:r>
            <w:r w:rsidR="004827EC" w:rsidRPr="004768D0">
              <w:rPr>
                <w:rFonts w:asciiTheme="majorHAnsi" w:hAnsiTheme="majorHAnsi"/>
                <w:bCs/>
                <w:color w:val="000000" w:themeColor="text1"/>
                <w:sz w:val="18"/>
                <w:szCs w:val="18"/>
                <w:lang w:val="es-ES"/>
              </w:rPr>
              <w:t>necesidad</w:t>
            </w:r>
            <w:r w:rsidRPr="004768D0">
              <w:rPr>
                <w:rFonts w:asciiTheme="majorHAnsi" w:hAnsiTheme="majorHAnsi"/>
                <w:bCs/>
                <w:color w:val="000000" w:themeColor="text1"/>
                <w:sz w:val="18"/>
                <w:szCs w:val="18"/>
                <w:lang w:val="es-ES"/>
              </w:rPr>
              <w:t xml:space="preserve"> de </w:t>
            </w:r>
            <w:r w:rsidR="00896A3E" w:rsidRPr="004768D0">
              <w:rPr>
                <w:rFonts w:asciiTheme="majorHAnsi" w:hAnsiTheme="majorHAnsi"/>
                <w:bCs/>
                <w:color w:val="000000" w:themeColor="text1"/>
                <w:sz w:val="18"/>
                <w:szCs w:val="18"/>
                <w:lang w:val="es-ES"/>
              </w:rPr>
              <w:t xml:space="preserve">iniciar la </w:t>
            </w:r>
            <w:r w:rsidR="00712D2E" w:rsidRPr="004768D0">
              <w:rPr>
                <w:rFonts w:asciiTheme="majorHAnsi" w:hAnsiTheme="majorHAnsi"/>
                <w:bCs/>
                <w:color w:val="000000" w:themeColor="text1"/>
                <w:sz w:val="18"/>
                <w:szCs w:val="18"/>
                <w:lang w:val="es-ES"/>
              </w:rPr>
              <w:t>investigación</w:t>
            </w:r>
            <w:r w:rsidR="00896A3E" w:rsidRPr="004768D0">
              <w:rPr>
                <w:rFonts w:asciiTheme="majorHAnsi" w:hAnsiTheme="majorHAnsi"/>
                <w:bCs/>
                <w:color w:val="000000" w:themeColor="text1"/>
                <w:sz w:val="18"/>
                <w:szCs w:val="18"/>
                <w:lang w:val="es-ES"/>
              </w:rPr>
              <w:t xml:space="preserve">. La </w:t>
            </w:r>
            <w:r w:rsidRPr="004768D0">
              <w:rPr>
                <w:rFonts w:asciiTheme="majorHAnsi" w:hAnsiTheme="majorHAnsi"/>
                <w:bCs/>
                <w:color w:val="000000" w:themeColor="text1"/>
                <w:sz w:val="18"/>
                <w:szCs w:val="18"/>
                <w:lang w:val="es-ES"/>
              </w:rPr>
              <w:t xml:space="preserve">CPIADJ </w:t>
            </w:r>
            <w:r w:rsidR="00896A3E" w:rsidRPr="004768D0">
              <w:rPr>
                <w:rFonts w:asciiTheme="majorHAnsi" w:hAnsiTheme="majorHAnsi"/>
                <w:bCs/>
                <w:color w:val="000000" w:themeColor="text1"/>
                <w:sz w:val="18"/>
                <w:szCs w:val="18"/>
                <w:lang w:val="es-ES"/>
              </w:rPr>
              <w:t>pidió a los</w:t>
            </w:r>
            <w:r w:rsidRPr="004768D0">
              <w:rPr>
                <w:rFonts w:asciiTheme="majorHAnsi" w:hAnsiTheme="majorHAnsi"/>
                <w:bCs/>
                <w:color w:val="000000" w:themeColor="text1"/>
                <w:sz w:val="18"/>
                <w:szCs w:val="18"/>
                <w:lang w:val="es-ES"/>
              </w:rPr>
              <w:t xml:space="preserve"> go</w:t>
            </w:r>
            <w:r w:rsidR="00896A3E" w:rsidRPr="004768D0">
              <w:rPr>
                <w:rFonts w:asciiTheme="majorHAnsi" w:hAnsiTheme="majorHAnsi"/>
                <w:bCs/>
                <w:color w:val="000000" w:themeColor="text1"/>
                <w:sz w:val="18"/>
                <w:szCs w:val="18"/>
                <w:lang w:val="es-ES"/>
              </w:rPr>
              <w:t xml:space="preserve">biernos estatales, al </w:t>
            </w:r>
            <w:r w:rsidR="00F154A0" w:rsidRPr="004768D0">
              <w:rPr>
                <w:rFonts w:asciiTheme="majorHAnsi" w:hAnsiTheme="majorHAnsi"/>
                <w:bCs/>
                <w:color w:val="000000" w:themeColor="text1"/>
                <w:sz w:val="18"/>
                <w:szCs w:val="18"/>
                <w:lang w:val="es-ES"/>
              </w:rPr>
              <w:t>Ministerio</w:t>
            </w:r>
            <w:r w:rsidRPr="004768D0">
              <w:rPr>
                <w:rFonts w:asciiTheme="majorHAnsi" w:hAnsiTheme="majorHAnsi"/>
                <w:bCs/>
                <w:color w:val="000000" w:themeColor="text1"/>
                <w:sz w:val="18"/>
                <w:szCs w:val="18"/>
                <w:lang w:val="es-ES"/>
              </w:rPr>
              <w:t xml:space="preserve"> Público </w:t>
            </w:r>
            <w:r w:rsidR="00896A3E" w:rsidRPr="004768D0">
              <w:rPr>
                <w:rFonts w:asciiTheme="majorHAnsi" w:hAnsiTheme="majorHAnsi"/>
                <w:bCs/>
                <w:color w:val="000000" w:themeColor="text1"/>
                <w:sz w:val="18"/>
                <w:szCs w:val="18"/>
                <w:lang w:val="es-ES"/>
              </w:rPr>
              <w:t xml:space="preserve">y al </w:t>
            </w:r>
            <w:r w:rsidRPr="004768D0">
              <w:rPr>
                <w:rFonts w:asciiTheme="majorHAnsi" w:hAnsiTheme="majorHAnsi"/>
                <w:bCs/>
                <w:color w:val="000000" w:themeColor="text1"/>
                <w:sz w:val="18"/>
                <w:szCs w:val="18"/>
                <w:lang w:val="es-ES"/>
              </w:rPr>
              <w:t xml:space="preserve">Poder </w:t>
            </w:r>
            <w:r w:rsidR="00246A29" w:rsidRPr="004768D0">
              <w:rPr>
                <w:rFonts w:asciiTheme="majorHAnsi" w:hAnsiTheme="majorHAnsi"/>
                <w:bCs/>
                <w:color w:val="000000" w:themeColor="text1"/>
                <w:sz w:val="18"/>
                <w:szCs w:val="18"/>
                <w:lang w:val="es-ES"/>
              </w:rPr>
              <w:t>Judicial</w:t>
            </w:r>
            <w:r w:rsidRPr="004768D0">
              <w:rPr>
                <w:rFonts w:asciiTheme="majorHAnsi" w:hAnsiTheme="majorHAnsi"/>
                <w:bCs/>
                <w:color w:val="000000" w:themeColor="text1"/>
                <w:sz w:val="18"/>
                <w:szCs w:val="18"/>
                <w:lang w:val="es-ES"/>
              </w:rPr>
              <w:t xml:space="preserve"> da</w:t>
            </w:r>
            <w:r w:rsidR="00896A3E" w:rsidRPr="004768D0">
              <w:rPr>
                <w:rFonts w:asciiTheme="majorHAnsi" w:hAnsiTheme="majorHAnsi"/>
                <w:bCs/>
                <w:color w:val="000000" w:themeColor="text1"/>
                <w:sz w:val="18"/>
                <w:szCs w:val="18"/>
                <w:lang w:val="es-ES"/>
              </w:rPr>
              <w:t>t</w:t>
            </w:r>
            <w:r w:rsidRPr="004768D0">
              <w:rPr>
                <w:rFonts w:asciiTheme="majorHAnsi" w:hAnsiTheme="majorHAnsi"/>
                <w:bCs/>
                <w:color w:val="000000" w:themeColor="text1"/>
                <w:sz w:val="18"/>
                <w:szCs w:val="18"/>
                <w:lang w:val="es-ES"/>
              </w:rPr>
              <w:t xml:space="preserve">os sobre </w:t>
            </w:r>
            <w:r w:rsidR="00896A3E"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a </w:t>
            </w:r>
            <w:r w:rsidR="00712D2E" w:rsidRPr="004768D0">
              <w:rPr>
                <w:rFonts w:asciiTheme="majorHAnsi" w:hAnsiTheme="majorHAnsi"/>
                <w:bCs/>
                <w:color w:val="000000" w:themeColor="text1"/>
                <w:sz w:val="18"/>
                <w:szCs w:val="18"/>
                <w:lang w:val="es-ES"/>
              </w:rPr>
              <w:t>investigación</w:t>
            </w:r>
            <w:r w:rsidRPr="004768D0">
              <w:rPr>
                <w:rFonts w:asciiTheme="majorHAnsi" w:hAnsiTheme="majorHAnsi"/>
                <w:bCs/>
                <w:color w:val="000000" w:themeColor="text1"/>
                <w:sz w:val="18"/>
                <w:szCs w:val="18"/>
                <w:lang w:val="es-ES"/>
              </w:rPr>
              <w:t xml:space="preserve">, </w:t>
            </w:r>
            <w:r w:rsidR="00896A3E" w:rsidRPr="004768D0">
              <w:rPr>
                <w:rFonts w:asciiTheme="majorHAnsi" w:hAnsiTheme="majorHAnsi"/>
                <w:bCs/>
                <w:color w:val="000000" w:themeColor="text1"/>
                <w:sz w:val="18"/>
                <w:szCs w:val="18"/>
                <w:lang w:val="es-ES"/>
              </w:rPr>
              <w:t xml:space="preserve">el juicio </w:t>
            </w:r>
            <w:r w:rsidRPr="004768D0">
              <w:rPr>
                <w:rFonts w:asciiTheme="majorHAnsi" w:hAnsiTheme="majorHAnsi"/>
                <w:bCs/>
                <w:color w:val="000000" w:themeColor="text1"/>
                <w:sz w:val="18"/>
                <w:szCs w:val="18"/>
                <w:lang w:val="es-ES"/>
              </w:rPr>
              <w:t xml:space="preserve">penal </w:t>
            </w:r>
            <w:r w:rsidR="00896A3E" w:rsidRPr="004768D0">
              <w:rPr>
                <w:rFonts w:asciiTheme="majorHAnsi" w:hAnsiTheme="majorHAnsi"/>
                <w:bCs/>
                <w:color w:val="000000" w:themeColor="text1"/>
                <w:sz w:val="18"/>
                <w:szCs w:val="18"/>
                <w:lang w:val="es-ES"/>
              </w:rPr>
              <w:t>y la tramitación de las acciones penales</w:t>
            </w:r>
            <w:r w:rsidRPr="004768D0">
              <w:rPr>
                <w:rFonts w:asciiTheme="majorHAnsi" w:hAnsiTheme="majorHAnsi"/>
                <w:bCs/>
                <w:color w:val="000000" w:themeColor="text1"/>
                <w:sz w:val="18"/>
                <w:szCs w:val="18"/>
                <w:lang w:val="es-ES"/>
              </w:rPr>
              <w:t xml:space="preserve"> relacionadas </w:t>
            </w:r>
            <w:r w:rsidR="00896A3E" w:rsidRPr="004768D0">
              <w:rPr>
                <w:rFonts w:asciiTheme="majorHAnsi" w:hAnsiTheme="majorHAnsi"/>
                <w:bCs/>
                <w:color w:val="000000" w:themeColor="text1"/>
                <w:sz w:val="18"/>
                <w:szCs w:val="18"/>
                <w:lang w:val="es-ES"/>
              </w:rPr>
              <w:t xml:space="preserve">con los delitos de </w:t>
            </w:r>
            <w:r w:rsidR="00F154A0" w:rsidRPr="004768D0">
              <w:rPr>
                <w:rFonts w:asciiTheme="majorHAnsi" w:hAnsiTheme="majorHAnsi"/>
                <w:bCs/>
                <w:color w:val="000000" w:themeColor="text1"/>
                <w:sz w:val="18"/>
                <w:szCs w:val="18"/>
                <w:lang w:val="es-ES"/>
              </w:rPr>
              <w:t>homicidio</w:t>
            </w:r>
            <w:r w:rsidRPr="004768D0">
              <w:rPr>
                <w:rFonts w:asciiTheme="majorHAnsi" w:hAnsiTheme="majorHAnsi"/>
                <w:bCs/>
                <w:color w:val="000000" w:themeColor="text1"/>
                <w:sz w:val="18"/>
                <w:szCs w:val="18"/>
                <w:lang w:val="es-ES"/>
              </w:rPr>
              <w:t xml:space="preserve"> de </w:t>
            </w:r>
            <w:r w:rsidR="00896A3E" w:rsidRPr="004768D0">
              <w:rPr>
                <w:rFonts w:asciiTheme="majorHAnsi" w:hAnsiTheme="majorHAnsi"/>
                <w:bCs/>
                <w:color w:val="000000" w:themeColor="text1"/>
                <w:sz w:val="18"/>
                <w:szCs w:val="18"/>
                <w:lang w:val="es-ES"/>
              </w:rPr>
              <w:t>jóvenes</w:t>
            </w:r>
            <w:r w:rsidRPr="004768D0">
              <w:rPr>
                <w:rFonts w:asciiTheme="majorHAnsi" w:hAnsiTheme="majorHAnsi"/>
                <w:bCs/>
                <w:color w:val="000000" w:themeColor="text1"/>
                <w:sz w:val="18"/>
                <w:szCs w:val="18"/>
                <w:lang w:val="es-ES"/>
              </w:rPr>
              <w:t xml:space="preserve"> de 12 a 29 </w:t>
            </w:r>
            <w:r w:rsidR="000C0AC4" w:rsidRPr="004768D0">
              <w:rPr>
                <w:rFonts w:asciiTheme="majorHAnsi" w:hAnsiTheme="majorHAnsi"/>
                <w:bCs/>
                <w:color w:val="000000" w:themeColor="text1"/>
                <w:sz w:val="18"/>
                <w:szCs w:val="18"/>
                <w:lang w:val="es-ES"/>
              </w:rPr>
              <w:t>años</w:t>
            </w:r>
            <w:r w:rsidR="00896A3E" w:rsidRPr="004768D0">
              <w:rPr>
                <w:rFonts w:asciiTheme="majorHAnsi" w:hAnsiTheme="majorHAnsi"/>
                <w:bCs/>
                <w:color w:val="000000" w:themeColor="text1"/>
                <w:sz w:val="18"/>
                <w:szCs w:val="18"/>
                <w:lang w:val="es-ES"/>
              </w:rPr>
              <w:t xml:space="preserve">, con información desglosada por </w:t>
            </w:r>
            <w:r w:rsidRPr="004768D0">
              <w:rPr>
                <w:rFonts w:asciiTheme="majorHAnsi" w:hAnsiTheme="majorHAnsi"/>
                <w:bCs/>
                <w:color w:val="000000" w:themeColor="text1"/>
                <w:sz w:val="18"/>
                <w:szCs w:val="18"/>
                <w:lang w:val="es-ES"/>
              </w:rPr>
              <w:t xml:space="preserve">sexo, </w:t>
            </w:r>
            <w:r w:rsidR="00896A3E"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dad</w:t>
            </w:r>
            <w:r w:rsidR="00896A3E" w:rsidRPr="004768D0">
              <w:rPr>
                <w:rFonts w:asciiTheme="majorHAnsi" w:hAnsiTheme="majorHAnsi"/>
                <w:bCs/>
                <w:color w:val="000000" w:themeColor="text1"/>
                <w:sz w:val="18"/>
                <w:szCs w:val="18"/>
                <w:lang w:val="es-ES"/>
              </w:rPr>
              <w:t xml:space="preserve"> y raza de las</w:t>
            </w:r>
            <w:r w:rsidRPr="004768D0">
              <w:rPr>
                <w:rFonts w:asciiTheme="majorHAnsi" w:hAnsiTheme="majorHAnsi"/>
                <w:bCs/>
                <w:color w:val="000000" w:themeColor="text1"/>
                <w:sz w:val="18"/>
                <w:szCs w:val="18"/>
                <w:lang w:val="es-ES"/>
              </w:rPr>
              <w:t xml:space="preserve">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w:t>
            </w:r>
            <w:r w:rsidR="00896A3E" w:rsidRPr="004768D0">
              <w:rPr>
                <w:rFonts w:asciiTheme="majorHAnsi" w:hAnsiTheme="majorHAnsi"/>
                <w:bCs/>
                <w:color w:val="000000" w:themeColor="text1"/>
                <w:sz w:val="18"/>
                <w:szCs w:val="18"/>
                <w:lang w:val="es-ES"/>
              </w:rPr>
              <w:t xml:space="preserve">También se investigó el involucramiento de los </w:t>
            </w:r>
            <w:r w:rsidR="00462731" w:rsidRPr="004768D0">
              <w:rPr>
                <w:rFonts w:asciiTheme="majorHAnsi" w:hAnsiTheme="majorHAnsi"/>
                <w:bCs/>
                <w:color w:val="000000" w:themeColor="text1"/>
                <w:sz w:val="18"/>
                <w:szCs w:val="18"/>
                <w:lang w:val="es-ES"/>
              </w:rPr>
              <w:t>órganos</w:t>
            </w:r>
            <w:r w:rsidRPr="004768D0">
              <w:rPr>
                <w:rFonts w:asciiTheme="majorHAnsi" w:hAnsiTheme="majorHAnsi"/>
                <w:bCs/>
                <w:color w:val="000000" w:themeColor="text1"/>
                <w:sz w:val="18"/>
                <w:szCs w:val="18"/>
                <w:lang w:val="es-ES"/>
              </w:rPr>
              <w:t xml:space="preserve"> de </w:t>
            </w:r>
            <w:r w:rsidR="00F41459" w:rsidRPr="004768D0">
              <w:rPr>
                <w:rFonts w:asciiTheme="majorHAnsi" w:hAnsiTheme="majorHAnsi"/>
                <w:bCs/>
                <w:color w:val="000000" w:themeColor="text1"/>
                <w:sz w:val="18"/>
                <w:szCs w:val="18"/>
                <w:lang w:val="es-ES"/>
              </w:rPr>
              <w:t>seguridad</w:t>
            </w:r>
            <w:r w:rsidRPr="004768D0">
              <w:rPr>
                <w:rFonts w:asciiTheme="majorHAnsi" w:hAnsiTheme="majorHAnsi"/>
                <w:bCs/>
                <w:color w:val="000000" w:themeColor="text1"/>
                <w:sz w:val="18"/>
                <w:szCs w:val="18"/>
                <w:lang w:val="es-ES"/>
              </w:rPr>
              <w:t xml:space="preserve"> pública </w:t>
            </w:r>
            <w:r w:rsidR="00896A3E"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n</w:t>
            </w:r>
            <w:r w:rsidR="00896A3E" w:rsidRPr="004768D0">
              <w:rPr>
                <w:rFonts w:asciiTheme="majorHAnsi" w:hAnsiTheme="majorHAnsi"/>
                <w:bCs/>
                <w:color w:val="000000" w:themeColor="text1"/>
                <w:sz w:val="18"/>
                <w:szCs w:val="18"/>
                <w:lang w:val="es-ES"/>
              </w:rPr>
              <w:t xml:space="preserve"> el</w:t>
            </w:r>
            <w:r w:rsidRPr="004768D0">
              <w:rPr>
                <w:rFonts w:asciiTheme="majorHAnsi" w:hAnsiTheme="majorHAnsi"/>
                <w:bCs/>
                <w:color w:val="000000" w:themeColor="text1"/>
                <w:sz w:val="18"/>
                <w:szCs w:val="18"/>
                <w:lang w:val="es-ES"/>
              </w:rPr>
              <w:t xml:space="preserve"> </w:t>
            </w:r>
            <w:r w:rsidR="00F154A0" w:rsidRPr="004768D0">
              <w:rPr>
                <w:rFonts w:asciiTheme="majorHAnsi" w:hAnsiTheme="majorHAnsi"/>
                <w:bCs/>
                <w:color w:val="000000" w:themeColor="text1"/>
                <w:sz w:val="18"/>
                <w:szCs w:val="18"/>
                <w:lang w:val="es-ES"/>
              </w:rPr>
              <w:t>homicidio</w:t>
            </w:r>
            <w:r w:rsidRPr="004768D0">
              <w:rPr>
                <w:rFonts w:asciiTheme="majorHAnsi" w:hAnsiTheme="majorHAnsi"/>
                <w:bCs/>
                <w:color w:val="000000" w:themeColor="text1"/>
                <w:sz w:val="18"/>
                <w:szCs w:val="18"/>
                <w:lang w:val="es-ES"/>
              </w:rPr>
              <w:t xml:space="preserve"> de </w:t>
            </w:r>
            <w:r w:rsidR="00896A3E" w:rsidRPr="004768D0">
              <w:rPr>
                <w:rFonts w:asciiTheme="majorHAnsi" w:hAnsiTheme="majorHAnsi"/>
                <w:bCs/>
                <w:color w:val="000000" w:themeColor="text1"/>
                <w:sz w:val="18"/>
                <w:szCs w:val="18"/>
                <w:lang w:val="es-ES"/>
              </w:rPr>
              <w:t>jóvenes. Al respecto, además de innumerables audiencias</w:t>
            </w:r>
            <w:r w:rsidRPr="004768D0">
              <w:rPr>
                <w:rFonts w:asciiTheme="majorHAnsi" w:hAnsiTheme="majorHAnsi"/>
                <w:bCs/>
                <w:color w:val="000000" w:themeColor="text1"/>
                <w:sz w:val="18"/>
                <w:szCs w:val="18"/>
                <w:lang w:val="es-ES"/>
              </w:rPr>
              <w:t xml:space="preserve"> públicas, </w:t>
            </w:r>
            <w:r w:rsidR="00896A3E" w:rsidRPr="004768D0">
              <w:rPr>
                <w:rFonts w:asciiTheme="majorHAnsi" w:hAnsiTheme="majorHAnsi"/>
                <w:bCs/>
                <w:color w:val="000000" w:themeColor="text1"/>
                <w:sz w:val="18"/>
                <w:szCs w:val="18"/>
                <w:lang w:val="es-ES"/>
              </w:rPr>
              <w:t xml:space="preserve">se solicitó información </w:t>
            </w:r>
            <w:r w:rsidRPr="004768D0">
              <w:rPr>
                <w:rFonts w:asciiTheme="majorHAnsi" w:hAnsiTheme="majorHAnsi"/>
                <w:bCs/>
                <w:color w:val="000000" w:themeColor="text1"/>
                <w:sz w:val="18"/>
                <w:szCs w:val="18"/>
                <w:lang w:val="es-ES"/>
              </w:rPr>
              <w:t xml:space="preserve">sobre </w:t>
            </w:r>
            <w:r w:rsidR="00896A3E" w:rsidRPr="004768D0">
              <w:rPr>
                <w:rFonts w:asciiTheme="majorHAnsi" w:hAnsiTheme="majorHAnsi"/>
                <w:bCs/>
                <w:color w:val="000000" w:themeColor="text1"/>
                <w:sz w:val="18"/>
                <w:szCs w:val="18"/>
                <w:lang w:val="es-ES"/>
              </w:rPr>
              <w:t>l</w:t>
            </w:r>
            <w:r w:rsidRPr="004768D0">
              <w:rPr>
                <w:rFonts w:asciiTheme="majorHAnsi" w:hAnsiTheme="majorHAnsi"/>
                <w:bCs/>
                <w:color w:val="000000" w:themeColor="text1"/>
                <w:sz w:val="18"/>
                <w:szCs w:val="18"/>
                <w:lang w:val="es-ES"/>
              </w:rPr>
              <w:t xml:space="preserve">os </w:t>
            </w:r>
            <w:r w:rsidR="00F154A0" w:rsidRPr="004768D0">
              <w:rPr>
                <w:rFonts w:asciiTheme="majorHAnsi" w:hAnsiTheme="majorHAnsi"/>
                <w:bCs/>
                <w:color w:val="000000" w:themeColor="text1"/>
                <w:sz w:val="18"/>
                <w:szCs w:val="18"/>
                <w:lang w:val="es-ES"/>
              </w:rPr>
              <w:t>homicidio</w:t>
            </w:r>
            <w:r w:rsidRPr="004768D0">
              <w:rPr>
                <w:rFonts w:asciiTheme="majorHAnsi" w:hAnsiTheme="majorHAnsi"/>
                <w:bCs/>
                <w:color w:val="000000" w:themeColor="text1"/>
                <w:sz w:val="18"/>
                <w:szCs w:val="18"/>
                <w:lang w:val="es-ES"/>
              </w:rPr>
              <w:t xml:space="preserve">s </w:t>
            </w:r>
            <w:r w:rsidR="00896A3E" w:rsidRPr="004768D0">
              <w:rPr>
                <w:rFonts w:asciiTheme="majorHAnsi" w:hAnsiTheme="majorHAnsi"/>
                <w:bCs/>
                <w:color w:val="000000" w:themeColor="text1"/>
                <w:sz w:val="18"/>
                <w:szCs w:val="18"/>
                <w:lang w:val="es-ES"/>
              </w:rPr>
              <w:t xml:space="preserve">resultantes de la actuación </w:t>
            </w:r>
            <w:r w:rsidR="003D13F3">
              <w:rPr>
                <w:rFonts w:asciiTheme="majorHAnsi" w:hAnsiTheme="majorHAnsi"/>
                <w:bCs/>
                <w:color w:val="000000" w:themeColor="text1"/>
                <w:sz w:val="18"/>
                <w:szCs w:val="18"/>
                <w:lang w:val="es-ES"/>
              </w:rPr>
              <w:t>policial</w:t>
            </w:r>
            <w:r w:rsidRPr="004768D0">
              <w:rPr>
                <w:rFonts w:asciiTheme="majorHAnsi" w:hAnsiTheme="majorHAnsi"/>
                <w:bCs/>
                <w:color w:val="000000" w:themeColor="text1"/>
                <w:sz w:val="18"/>
                <w:szCs w:val="18"/>
                <w:lang w:val="es-ES"/>
              </w:rPr>
              <w:t>, co</w:t>
            </w:r>
            <w:r w:rsidR="00896A3E" w:rsidRPr="004768D0">
              <w:rPr>
                <w:rFonts w:asciiTheme="majorHAnsi" w:hAnsiTheme="majorHAnsi"/>
                <w:bCs/>
                <w:color w:val="000000" w:themeColor="text1"/>
                <w:sz w:val="18"/>
                <w:szCs w:val="18"/>
                <w:lang w:val="es-ES"/>
              </w:rPr>
              <w:t>n una descripción de las</w:t>
            </w:r>
            <w:r w:rsidRPr="004768D0">
              <w:rPr>
                <w:rFonts w:asciiTheme="majorHAnsi" w:hAnsiTheme="majorHAnsi"/>
                <w:bCs/>
                <w:color w:val="000000" w:themeColor="text1"/>
                <w:sz w:val="18"/>
                <w:szCs w:val="18"/>
                <w:lang w:val="es-ES"/>
              </w:rPr>
              <w:t xml:space="preserve"> </w:t>
            </w:r>
            <w:r w:rsidR="00000CF9" w:rsidRPr="004768D0">
              <w:rPr>
                <w:rFonts w:asciiTheme="majorHAnsi" w:hAnsiTheme="majorHAnsi"/>
                <w:bCs/>
                <w:color w:val="000000" w:themeColor="text1"/>
                <w:sz w:val="18"/>
                <w:szCs w:val="18"/>
                <w:lang w:val="es-ES"/>
              </w:rPr>
              <w:t>víctimas</w:t>
            </w:r>
            <w:r w:rsidRPr="004768D0">
              <w:rPr>
                <w:rFonts w:asciiTheme="majorHAnsi" w:hAnsiTheme="majorHAnsi"/>
                <w:bCs/>
                <w:color w:val="000000" w:themeColor="text1"/>
                <w:sz w:val="18"/>
                <w:szCs w:val="18"/>
                <w:lang w:val="es-ES"/>
              </w:rPr>
              <w:t xml:space="preserve"> </w:t>
            </w:r>
            <w:r w:rsidR="00896A3E" w:rsidRPr="004768D0">
              <w:rPr>
                <w:rFonts w:asciiTheme="majorHAnsi" w:hAnsiTheme="majorHAnsi"/>
                <w:bCs/>
                <w:color w:val="000000" w:themeColor="text1"/>
                <w:sz w:val="18"/>
                <w:szCs w:val="18"/>
                <w:lang w:val="es-ES"/>
              </w:rPr>
              <w:t>y la</w:t>
            </w:r>
            <w:r w:rsidRPr="004768D0">
              <w:rPr>
                <w:rFonts w:asciiTheme="majorHAnsi" w:hAnsiTheme="majorHAnsi"/>
                <w:bCs/>
                <w:color w:val="000000" w:themeColor="text1"/>
                <w:sz w:val="18"/>
                <w:szCs w:val="18"/>
                <w:lang w:val="es-ES"/>
              </w:rPr>
              <w:t xml:space="preserve"> forma </w:t>
            </w:r>
            <w:r w:rsidR="00896A3E" w:rsidRPr="004768D0">
              <w:rPr>
                <w:rFonts w:asciiTheme="majorHAnsi" w:hAnsiTheme="majorHAnsi"/>
                <w:bCs/>
                <w:color w:val="000000" w:themeColor="text1"/>
                <w:sz w:val="18"/>
                <w:szCs w:val="18"/>
                <w:lang w:val="es-ES"/>
              </w:rPr>
              <w:t>en que se registraron e investigaron los incidentes</w:t>
            </w:r>
            <w:r w:rsidRPr="004768D0">
              <w:rPr>
                <w:rFonts w:asciiTheme="majorHAnsi" w:hAnsiTheme="majorHAnsi"/>
                <w:bCs/>
                <w:color w:val="000000" w:themeColor="text1"/>
                <w:sz w:val="18"/>
                <w:szCs w:val="18"/>
                <w:lang w:val="es-ES"/>
              </w:rPr>
              <w:t xml:space="preserve">. </w:t>
            </w:r>
          </w:p>
          <w:p w14:paraId="343B713E" w14:textId="77777777" w:rsidR="000F34D0" w:rsidRPr="004768D0" w:rsidRDefault="00896A3E"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En el ámbito</w:t>
            </w:r>
            <w:r w:rsidR="000F34D0" w:rsidRPr="004768D0">
              <w:rPr>
                <w:rFonts w:asciiTheme="majorHAnsi" w:hAnsiTheme="majorHAnsi"/>
                <w:bCs/>
                <w:color w:val="000000" w:themeColor="text1"/>
                <w:sz w:val="18"/>
                <w:szCs w:val="18"/>
                <w:lang w:val="es-ES"/>
              </w:rPr>
              <w:t xml:space="preserve"> d</w:t>
            </w:r>
            <w:r w:rsidRPr="004768D0">
              <w:rPr>
                <w:rFonts w:asciiTheme="majorHAnsi" w:hAnsiTheme="majorHAnsi"/>
                <w:bCs/>
                <w:color w:val="000000" w:themeColor="text1"/>
                <w:sz w:val="18"/>
                <w:szCs w:val="18"/>
                <w:lang w:val="es-ES"/>
              </w:rPr>
              <w:t>e l</w:t>
            </w:r>
            <w:r w:rsidR="000F34D0" w:rsidRPr="004768D0">
              <w:rPr>
                <w:rFonts w:asciiTheme="majorHAnsi" w:hAnsiTheme="majorHAnsi"/>
                <w:bCs/>
                <w:color w:val="000000" w:themeColor="text1"/>
                <w:sz w:val="18"/>
                <w:szCs w:val="18"/>
                <w:lang w:val="es-ES"/>
              </w:rPr>
              <w:t xml:space="preserve">a </w:t>
            </w:r>
            <w:r w:rsidRPr="004768D0">
              <w:rPr>
                <w:rFonts w:asciiTheme="majorHAnsi" w:hAnsiTheme="majorHAnsi"/>
                <w:bCs/>
                <w:color w:val="000000" w:themeColor="text1"/>
                <w:sz w:val="18"/>
                <w:szCs w:val="18"/>
                <w:lang w:val="es-ES"/>
              </w:rPr>
              <w:t>Cámara</w:t>
            </w:r>
            <w:r w:rsidR="000F34D0" w:rsidRPr="004768D0">
              <w:rPr>
                <w:rFonts w:asciiTheme="majorHAnsi" w:hAnsiTheme="majorHAnsi"/>
                <w:bCs/>
                <w:color w:val="000000" w:themeColor="text1"/>
                <w:sz w:val="18"/>
                <w:szCs w:val="18"/>
                <w:lang w:val="es-ES"/>
              </w:rPr>
              <w:t xml:space="preserve"> d</w:t>
            </w:r>
            <w:r w:rsidRPr="004768D0">
              <w:rPr>
                <w:rFonts w:asciiTheme="majorHAnsi" w:hAnsiTheme="majorHAnsi"/>
                <w:bCs/>
                <w:color w:val="000000" w:themeColor="text1"/>
                <w:sz w:val="18"/>
                <w:szCs w:val="18"/>
                <w:lang w:val="es-ES"/>
              </w:rPr>
              <w:t xml:space="preserve">e </w:t>
            </w:r>
            <w:r w:rsidR="000F34D0" w:rsidRPr="004768D0">
              <w:rPr>
                <w:rFonts w:asciiTheme="majorHAnsi" w:hAnsiTheme="majorHAnsi"/>
                <w:bCs/>
                <w:color w:val="000000" w:themeColor="text1"/>
                <w:sz w:val="18"/>
                <w:szCs w:val="18"/>
                <w:lang w:val="es-ES"/>
              </w:rPr>
              <w:t>D</w:t>
            </w:r>
            <w:r w:rsidRPr="004768D0">
              <w:rPr>
                <w:rFonts w:asciiTheme="majorHAnsi" w:hAnsiTheme="majorHAnsi"/>
                <w:bCs/>
                <w:color w:val="000000" w:themeColor="text1"/>
                <w:sz w:val="18"/>
                <w:szCs w:val="18"/>
                <w:lang w:val="es-ES"/>
              </w:rPr>
              <w:t>i</w:t>
            </w:r>
            <w:r w:rsidR="000F34D0" w:rsidRPr="004768D0">
              <w:rPr>
                <w:rFonts w:asciiTheme="majorHAnsi" w:hAnsiTheme="majorHAnsi"/>
                <w:bCs/>
                <w:color w:val="000000" w:themeColor="text1"/>
                <w:sz w:val="18"/>
                <w:szCs w:val="18"/>
                <w:lang w:val="es-ES"/>
              </w:rPr>
              <w:t xml:space="preserve">putados, </w:t>
            </w:r>
            <w:r w:rsidRPr="004768D0">
              <w:rPr>
                <w:rFonts w:asciiTheme="majorHAnsi" w:hAnsiTheme="majorHAnsi"/>
                <w:bCs/>
                <w:color w:val="000000" w:themeColor="text1"/>
                <w:sz w:val="18"/>
                <w:szCs w:val="18"/>
                <w:lang w:val="es-ES"/>
              </w:rPr>
              <w:t>l</w:t>
            </w:r>
            <w:r w:rsidR="000F34D0" w:rsidRPr="004768D0">
              <w:rPr>
                <w:rFonts w:asciiTheme="majorHAnsi" w:hAnsiTheme="majorHAnsi"/>
                <w:bCs/>
                <w:color w:val="000000" w:themeColor="text1"/>
                <w:sz w:val="18"/>
                <w:szCs w:val="18"/>
                <w:lang w:val="es-ES"/>
              </w:rPr>
              <w:t xml:space="preserve">as </w:t>
            </w:r>
            <w:r w:rsidR="00E04ED3" w:rsidRPr="004768D0">
              <w:rPr>
                <w:rFonts w:asciiTheme="majorHAnsi" w:hAnsiTheme="majorHAnsi"/>
                <w:bCs/>
                <w:color w:val="000000" w:themeColor="text1"/>
                <w:sz w:val="18"/>
                <w:szCs w:val="18"/>
                <w:lang w:val="es-ES"/>
              </w:rPr>
              <w:t>investigaciones</w:t>
            </w:r>
            <w:r w:rsidR="000F34D0" w:rsidRPr="004768D0">
              <w:rPr>
                <w:rFonts w:asciiTheme="majorHAnsi" w:hAnsiTheme="majorHAnsi"/>
                <w:bCs/>
                <w:color w:val="000000" w:themeColor="text1"/>
                <w:sz w:val="18"/>
                <w:szCs w:val="18"/>
                <w:lang w:val="es-ES"/>
              </w:rPr>
              <w:t xml:space="preserve"> </w:t>
            </w:r>
            <w:r w:rsidR="00414976" w:rsidRPr="004768D0">
              <w:rPr>
                <w:rFonts w:asciiTheme="majorHAnsi" w:hAnsiTheme="majorHAnsi"/>
                <w:bCs/>
                <w:color w:val="000000" w:themeColor="text1"/>
                <w:sz w:val="18"/>
                <w:szCs w:val="18"/>
                <w:lang w:val="es-ES"/>
              </w:rPr>
              <w:t xml:space="preserve">tuvieron como fin determinar, en el plazo de 120 </w:t>
            </w:r>
            <w:r w:rsidR="00B9588A" w:rsidRPr="004768D0">
              <w:rPr>
                <w:rFonts w:asciiTheme="majorHAnsi" w:hAnsiTheme="majorHAnsi"/>
                <w:bCs/>
                <w:color w:val="000000" w:themeColor="text1"/>
                <w:sz w:val="18"/>
                <w:szCs w:val="18"/>
                <w:lang w:val="es-ES"/>
              </w:rPr>
              <w:t>días</w:t>
            </w:r>
            <w:r w:rsidR="000F34D0" w:rsidRPr="004768D0">
              <w:rPr>
                <w:rFonts w:asciiTheme="majorHAnsi" w:hAnsiTheme="majorHAnsi"/>
                <w:bCs/>
                <w:color w:val="000000" w:themeColor="text1"/>
                <w:sz w:val="18"/>
                <w:szCs w:val="18"/>
                <w:lang w:val="es-ES"/>
              </w:rPr>
              <w:t xml:space="preserve">, </w:t>
            </w:r>
            <w:r w:rsidR="00414976" w:rsidRPr="004768D0">
              <w:rPr>
                <w:rFonts w:asciiTheme="majorHAnsi" w:hAnsiTheme="majorHAnsi"/>
                <w:bCs/>
                <w:color w:val="000000" w:themeColor="text1"/>
                <w:sz w:val="18"/>
                <w:szCs w:val="18"/>
                <w:lang w:val="es-ES"/>
              </w:rPr>
              <w:t xml:space="preserve">las </w:t>
            </w:r>
            <w:r w:rsidR="000F34D0" w:rsidRPr="004768D0">
              <w:rPr>
                <w:rFonts w:asciiTheme="majorHAnsi" w:hAnsiTheme="majorHAnsi"/>
                <w:bCs/>
                <w:color w:val="000000" w:themeColor="text1"/>
                <w:sz w:val="18"/>
                <w:szCs w:val="18"/>
                <w:lang w:val="es-ES"/>
              </w:rPr>
              <w:t xml:space="preserve">causas, </w:t>
            </w:r>
            <w:r w:rsidR="00414976" w:rsidRPr="004768D0">
              <w:rPr>
                <w:rFonts w:asciiTheme="majorHAnsi" w:hAnsiTheme="majorHAnsi"/>
                <w:bCs/>
                <w:color w:val="000000" w:themeColor="text1"/>
                <w:sz w:val="18"/>
                <w:szCs w:val="18"/>
                <w:lang w:val="es-ES"/>
              </w:rPr>
              <w:t xml:space="preserve">las </w:t>
            </w:r>
            <w:r w:rsidR="000F34D0" w:rsidRPr="004768D0">
              <w:rPr>
                <w:rFonts w:asciiTheme="majorHAnsi" w:hAnsiTheme="majorHAnsi"/>
                <w:bCs/>
                <w:color w:val="000000" w:themeColor="text1"/>
                <w:sz w:val="18"/>
                <w:szCs w:val="18"/>
                <w:lang w:val="es-ES"/>
              </w:rPr>
              <w:t>raz</w:t>
            </w:r>
            <w:r w:rsidR="00414976" w:rsidRPr="004768D0">
              <w:rPr>
                <w:rFonts w:asciiTheme="majorHAnsi" w:hAnsiTheme="majorHAnsi"/>
                <w:bCs/>
                <w:color w:val="000000" w:themeColor="text1"/>
                <w:sz w:val="18"/>
                <w:szCs w:val="18"/>
                <w:lang w:val="es-ES"/>
              </w:rPr>
              <w:t>on</w:t>
            </w:r>
            <w:r w:rsidR="000F34D0" w:rsidRPr="004768D0">
              <w:rPr>
                <w:rFonts w:asciiTheme="majorHAnsi" w:hAnsiTheme="majorHAnsi"/>
                <w:bCs/>
                <w:color w:val="000000" w:themeColor="text1"/>
                <w:sz w:val="18"/>
                <w:szCs w:val="18"/>
                <w:lang w:val="es-ES"/>
              </w:rPr>
              <w:t xml:space="preserve">es, </w:t>
            </w:r>
            <w:r w:rsidR="00414976" w:rsidRPr="004768D0">
              <w:rPr>
                <w:rFonts w:asciiTheme="majorHAnsi" w:hAnsiTheme="majorHAnsi"/>
                <w:bCs/>
                <w:color w:val="000000" w:themeColor="text1"/>
                <w:sz w:val="18"/>
                <w:szCs w:val="18"/>
                <w:lang w:val="es-ES"/>
              </w:rPr>
              <w:t>las consecuencias y</w:t>
            </w:r>
            <w:r w:rsidR="000F34D0" w:rsidRPr="004768D0">
              <w:rPr>
                <w:rFonts w:asciiTheme="majorHAnsi" w:hAnsiTheme="majorHAnsi"/>
                <w:bCs/>
                <w:color w:val="000000" w:themeColor="text1"/>
                <w:sz w:val="18"/>
                <w:szCs w:val="18"/>
                <w:lang w:val="es-ES"/>
              </w:rPr>
              <w:t xml:space="preserve"> </w:t>
            </w:r>
            <w:r w:rsidR="00414976" w:rsidRPr="004768D0">
              <w:rPr>
                <w:rFonts w:asciiTheme="majorHAnsi" w:hAnsiTheme="majorHAnsi"/>
                <w:bCs/>
                <w:color w:val="000000" w:themeColor="text1"/>
                <w:sz w:val="18"/>
                <w:szCs w:val="18"/>
                <w:lang w:val="es-ES"/>
              </w:rPr>
              <w:t>los cos</w:t>
            </w:r>
            <w:r w:rsidR="000F34D0" w:rsidRPr="004768D0">
              <w:rPr>
                <w:rFonts w:asciiTheme="majorHAnsi" w:hAnsiTheme="majorHAnsi"/>
                <w:bCs/>
                <w:color w:val="000000" w:themeColor="text1"/>
                <w:sz w:val="18"/>
                <w:szCs w:val="18"/>
                <w:lang w:val="es-ES"/>
              </w:rPr>
              <w:t>tos socia</w:t>
            </w:r>
            <w:r w:rsidR="00414976" w:rsidRPr="004768D0">
              <w:rPr>
                <w:rFonts w:asciiTheme="majorHAnsi" w:hAnsiTheme="majorHAnsi"/>
                <w:bCs/>
                <w:color w:val="000000" w:themeColor="text1"/>
                <w:sz w:val="18"/>
                <w:szCs w:val="18"/>
                <w:lang w:val="es-ES"/>
              </w:rPr>
              <w:t>le</w:t>
            </w:r>
            <w:r w:rsidR="000F34D0" w:rsidRPr="004768D0">
              <w:rPr>
                <w:rFonts w:asciiTheme="majorHAnsi" w:hAnsiTheme="majorHAnsi"/>
                <w:bCs/>
                <w:color w:val="000000" w:themeColor="text1"/>
                <w:sz w:val="18"/>
                <w:szCs w:val="18"/>
                <w:lang w:val="es-ES"/>
              </w:rPr>
              <w:t xml:space="preserve">s </w:t>
            </w:r>
            <w:r w:rsidR="00414976" w:rsidRPr="004768D0">
              <w:rPr>
                <w:rFonts w:asciiTheme="majorHAnsi" w:hAnsiTheme="majorHAnsi"/>
                <w:bCs/>
                <w:color w:val="000000" w:themeColor="text1"/>
                <w:sz w:val="18"/>
                <w:szCs w:val="18"/>
                <w:lang w:val="es-ES"/>
              </w:rPr>
              <w:t>y</w:t>
            </w:r>
            <w:r w:rsidR="000F34D0" w:rsidRPr="004768D0">
              <w:rPr>
                <w:rFonts w:asciiTheme="majorHAnsi" w:hAnsiTheme="majorHAnsi"/>
                <w:bCs/>
                <w:color w:val="000000" w:themeColor="text1"/>
                <w:sz w:val="18"/>
                <w:szCs w:val="18"/>
                <w:lang w:val="es-ES"/>
              </w:rPr>
              <w:t xml:space="preserve"> </w:t>
            </w:r>
            <w:r w:rsidR="00414976" w:rsidRPr="004768D0">
              <w:rPr>
                <w:rFonts w:asciiTheme="majorHAnsi" w:hAnsiTheme="majorHAnsi"/>
                <w:bCs/>
                <w:color w:val="000000" w:themeColor="text1"/>
                <w:sz w:val="18"/>
                <w:szCs w:val="18"/>
                <w:lang w:val="es-ES"/>
              </w:rPr>
              <w:t>económicos</w:t>
            </w:r>
            <w:r w:rsidR="000F34D0" w:rsidRPr="004768D0">
              <w:rPr>
                <w:rFonts w:asciiTheme="majorHAnsi" w:hAnsiTheme="majorHAnsi"/>
                <w:bCs/>
                <w:color w:val="000000" w:themeColor="text1"/>
                <w:sz w:val="18"/>
                <w:szCs w:val="18"/>
                <w:lang w:val="es-ES"/>
              </w:rPr>
              <w:t xml:space="preserve"> d</w:t>
            </w:r>
            <w:r w:rsidR="00414976" w:rsidRPr="004768D0">
              <w:rPr>
                <w:rFonts w:asciiTheme="majorHAnsi" w:hAnsiTheme="majorHAnsi"/>
                <w:bCs/>
                <w:color w:val="000000" w:themeColor="text1"/>
                <w:sz w:val="18"/>
                <w:szCs w:val="18"/>
                <w:lang w:val="es-ES"/>
              </w:rPr>
              <w:t>e l</w:t>
            </w:r>
            <w:r w:rsidR="000F34D0" w:rsidRPr="004768D0">
              <w:rPr>
                <w:rFonts w:asciiTheme="majorHAnsi" w:hAnsiTheme="majorHAnsi"/>
                <w:bCs/>
                <w:color w:val="000000" w:themeColor="text1"/>
                <w:sz w:val="18"/>
                <w:szCs w:val="18"/>
                <w:lang w:val="es-ES"/>
              </w:rPr>
              <w:t xml:space="preserve">a </w:t>
            </w:r>
            <w:r w:rsidR="00414976" w:rsidRPr="004768D0">
              <w:rPr>
                <w:rFonts w:asciiTheme="majorHAnsi" w:hAnsiTheme="majorHAnsi"/>
                <w:bCs/>
                <w:color w:val="000000" w:themeColor="text1"/>
                <w:sz w:val="18"/>
                <w:szCs w:val="18"/>
                <w:lang w:val="es-ES"/>
              </w:rPr>
              <w:t>violencia</w:t>
            </w:r>
            <w:r w:rsidR="000F34D0" w:rsidRPr="004768D0">
              <w:rPr>
                <w:rFonts w:asciiTheme="majorHAnsi" w:hAnsiTheme="majorHAnsi"/>
                <w:bCs/>
                <w:color w:val="000000" w:themeColor="text1"/>
                <w:sz w:val="18"/>
                <w:szCs w:val="18"/>
                <w:lang w:val="es-ES"/>
              </w:rPr>
              <w:t xml:space="preserve">, </w:t>
            </w:r>
            <w:r w:rsidR="00414976" w:rsidRPr="004768D0">
              <w:rPr>
                <w:rFonts w:asciiTheme="majorHAnsi" w:hAnsiTheme="majorHAnsi"/>
                <w:bCs/>
                <w:color w:val="000000" w:themeColor="text1"/>
                <w:sz w:val="18"/>
                <w:szCs w:val="18"/>
                <w:lang w:val="es-ES"/>
              </w:rPr>
              <w:t>la muerte y la desaparición de jóvenes</w:t>
            </w:r>
            <w:r w:rsidR="000F34D0" w:rsidRPr="004768D0">
              <w:rPr>
                <w:rFonts w:asciiTheme="majorHAnsi" w:hAnsiTheme="majorHAnsi"/>
                <w:bCs/>
                <w:color w:val="000000" w:themeColor="text1"/>
                <w:sz w:val="18"/>
                <w:szCs w:val="18"/>
                <w:lang w:val="es-ES"/>
              </w:rPr>
              <w:t xml:space="preserve">. </w:t>
            </w:r>
            <w:r w:rsidR="00414976" w:rsidRPr="004768D0">
              <w:rPr>
                <w:rFonts w:asciiTheme="majorHAnsi" w:hAnsiTheme="majorHAnsi"/>
                <w:bCs/>
                <w:color w:val="000000" w:themeColor="text1"/>
                <w:sz w:val="18"/>
                <w:szCs w:val="18"/>
                <w:lang w:val="es-ES"/>
              </w:rPr>
              <w:t xml:space="preserve">El </w:t>
            </w:r>
            <w:r w:rsidR="001F69B8" w:rsidRPr="004768D0">
              <w:rPr>
                <w:rFonts w:asciiTheme="majorHAnsi" w:hAnsiTheme="majorHAnsi"/>
                <w:bCs/>
                <w:color w:val="000000" w:themeColor="text1"/>
                <w:sz w:val="18"/>
                <w:szCs w:val="18"/>
                <w:lang w:val="es-ES"/>
              </w:rPr>
              <w:t>informe</w:t>
            </w:r>
            <w:r w:rsidR="000F34D0" w:rsidRPr="004768D0">
              <w:rPr>
                <w:rFonts w:asciiTheme="majorHAnsi" w:hAnsiTheme="majorHAnsi"/>
                <w:bCs/>
                <w:color w:val="000000" w:themeColor="text1"/>
                <w:sz w:val="18"/>
                <w:szCs w:val="18"/>
                <w:lang w:val="es-ES"/>
              </w:rPr>
              <w:t xml:space="preserve"> final </w:t>
            </w:r>
            <w:r w:rsidR="00414976" w:rsidRPr="004768D0">
              <w:rPr>
                <w:rFonts w:asciiTheme="majorHAnsi" w:hAnsiTheme="majorHAnsi"/>
                <w:bCs/>
                <w:color w:val="000000" w:themeColor="text1"/>
                <w:sz w:val="18"/>
                <w:szCs w:val="18"/>
                <w:lang w:val="es-ES"/>
              </w:rPr>
              <w:t>preparado por la Cámara</w:t>
            </w:r>
            <w:r w:rsidR="000F34D0" w:rsidRPr="004768D0">
              <w:rPr>
                <w:rFonts w:asciiTheme="majorHAnsi" w:hAnsiTheme="majorHAnsi"/>
                <w:bCs/>
                <w:color w:val="000000" w:themeColor="text1"/>
                <w:sz w:val="18"/>
                <w:szCs w:val="18"/>
                <w:lang w:val="es-ES"/>
              </w:rPr>
              <w:t xml:space="preserve"> d</w:t>
            </w:r>
            <w:r w:rsidR="00414976" w:rsidRPr="004768D0">
              <w:rPr>
                <w:rFonts w:asciiTheme="majorHAnsi" w:hAnsiTheme="majorHAnsi"/>
                <w:bCs/>
                <w:color w:val="000000" w:themeColor="text1"/>
                <w:sz w:val="18"/>
                <w:szCs w:val="18"/>
                <w:lang w:val="es-ES"/>
              </w:rPr>
              <w:t>e</w:t>
            </w:r>
            <w:r w:rsidR="000F34D0" w:rsidRPr="004768D0">
              <w:rPr>
                <w:rFonts w:asciiTheme="majorHAnsi" w:hAnsiTheme="majorHAnsi"/>
                <w:bCs/>
                <w:color w:val="000000" w:themeColor="text1"/>
                <w:sz w:val="18"/>
                <w:szCs w:val="18"/>
                <w:lang w:val="es-ES"/>
              </w:rPr>
              <w:t xml:space="preserve"> </w:t>
            </w:r>
            <w:r w:rsidR="00414976" w:rsidRPr="004768D0">
              <w:rPr>
                <w:rFonts w:asciiTheme="majorHAnsi" w:hAnsiTheme="majorHAnsi"/>
                <w:bCs/>
                <w:color w:val="000000" w:themeColor="text1"/>
                <w:sz w:val="18"/>
                <w:szCs w:val="18"/>
                <w:lang w:val="es-ES"/>
              </w:rPr>
              <w:t>Diputados, presentado en julio de 2015,</w:t>
            </w:r>
            <w:r w:rsidR="000F34D0" w:rsidRPr="004768D0">
              <w:rPr>
                <w:rFonts w:asciiTheme="majorHAnsi" w:hAnsiTheme="majorHAnsi"/>
                <w:bCs/>
                <w:color w:val="000000" w:themeColor="text1"/>
                <w:sz w:val="18"/>
                <w:szCs w:val="18"/>
                <w:lang w:val="es-ES"/>
              </w:rPr>
              <w:t xml:space="preserve"> ab</w:t>
            </w:r>
            <w:r w:rsidR="00414976" w:rsidRPr="004768D0">
              <w:rPr>
                <w:rFonts w:asciiTheme="majorHAnsi" w:hAnsiTheme="majorHAnsi"/>
                <w:bCs/>
                <w:color w:val="000000" w:themeColor="text1"/>
                <w:sz w:val="18"/>
                <w:szCs w:val="18"/>
                <w:lang w:val="es-ES"/>
              </w:rPr>
              <w:t xml:space="preserve">arcó los </w:t>
            </w:r>
            <w:r w:rsidR="00F154A0" w:rsidRPr="004768D0">
              <w:rPr>
                <w:rFonts w:asciiTheme="majorHAnsi" w:hAnsiTheme="majorHAnsi"/>
                <w:bCs/>
                <w:color w:val="000000" w:themeColor="text1"/>
                <w:sz w:val="18"/>
                <w:szCs w:val="18"/>
                <w:lang w:val="es-ES"/>
              </w:rPr>
              <w:t>homicidio</w:t>
            </w:r>
            <w:r w:rsidR="000F34D0" w:rsidRPr="004768D0">
              <w:rPr>
                <w:rFonts w:asciiTheme="majorHAnsi" w:hAnsiTheme="majorHAnsi"/>
                <w:bCs/>
                <w:color w:val="000000" w:themeColor="text1"/>
                <w:sz w:val="18"/>
                <w:szCs w:val="18"/>
                <w:lang w:val="es-ES"/>
              </w:rPr>
              <w:t xml:space="preserve">s </w:t>
            </w:r>
            <w:r w:rsidR="00414976" w:rsidRPr="004768D0">
              <w:rPr>
                <w:rFonts w:asciiTheme="majorHAnsi" w:hAnsiTheme="majorHAnsi"/>
                <w:bCs/>
                <w:color w:val="000000" w:themeColor="text1"/>
                <w:sz w:val="18"/>
                <w:szCs w:val="18"/>
                <w:lang w:val="es-ES"/>
              </w:rPr>
              <w:t>de jóvenes</w:t>
            </w:r>
            <w:r w:rsidR="000F34D0" w:rsidRPr="004768D0">
              <w:rPr>
                <w:rFonts w:asciiTheme="majorHAnsi" w:hAnsiTheme="majorHAnsi"/>
                <w:bCs/>
                <w:color w:val="000000" w:themeColor="text1"/>
                <w:sz w:val="18"/>
                <w:szCs w:val="18"/>
                <w:lang w:val="es-ES"/>
              </w:rPr>
              <w:t xml:space="preserve"> </w:t>
            </w:r>
            <w:r w:rsidR="00414976" w:rsidRPr="004768D0">
              <w:rPr>
                <w:rFonts w:asciiTheme="majorHAnsi" w:hAnsiTheme="majorHAnsi"/>
                <w:bCs/>
                <w:color w:val="000000" w:themeColor="text1"/>
                <w:sz w:val="18"/>
                <w:szCs w:val="18"/>
                <w:lang w:val="es-ES"/>
              </w:rPr>
              <w:t>en</w:t>
            </w:r>
            <w:r w:rsidR="000F34D0" w:rsidRPr="004768D0">
              <w:rPr>
                <w:rFonts w:asciiTheme="majorHAnsi" w:hAnsiTheme="majorHAnsi"/>
                <w:bCs/>
                <w:color w:val="000000" w:themeColor="text1"/>
                <w:sz w:val="18"/>
                <w:szCs w:val="18"/>
                <w:lang w:val="es-ES"/>
              </w:rPr>
              <w:t xml:space="preserve"> todo </w:t>
            </w:r>
            <w:r w:rsidR="00414976" w:rsidRPr="004768D0">
              <w:rPr>
                <w:rFonts w:asciiTheme="majorHAnsi" w:hAnsiTheme="majorHAnsi"/>
                <w:bCs/>
                <w:color w:val="000000" w:themeColor="text1"/>
                <w:sz w:val="18"/>
                <w:szCs w:val="18"/>
                <w:lang w:val="es-ES"/>
              </w:rPr>
              <w:t>el</w:t>
            </w:r>
            <w:r w:rsidR="000F34D0" w:rsidRPr="004768D0">
              <w:rPr>
                <w:rFonts w:asciiTheme="majorHAnsi" w:hAnsiTheme="majorHAnsi"/>
                <w:bCs/>
                <w:color w:val="000000" w:themeColor="text1"/>
                <w:sz w:val="18"/>
                <w:szCs w:val="18"/>
                <w:lang w:val="es-ES"/>
              </w:rPr>
              <w:t xml:space="preserve"> país. </w:t>
            </w:r>
            <w:r w:rsidR="00414976" w:rsidRPr="004768D0">
              <w:rPr>
                <w:rFonts w:asciiTheme="majorHAnsi" w:hAnsiTheme="majorHAnsi"/>
                <w:bCs/>
                <w:color w:val="000000" w:themeColor="text1"/>
                <w:sz w:val="18"/>
                <w:szCs w:val="18"/>
                <w:lang w:val="es-ES"/>
              </w:rPr>
              <w:t xml:space="preserve">En dicho </w:t>
            </w:r>
            <w:r w:rsidR="001F69B8" w:rsidRPr="004768D0">
              <w:rPr>
                <w:rFonts w:asciiTheme="majorHAnsi" w:hAnsiTheme="majorHAnsi"/>
                <w:bCs/>
                <w:color w:val="000000" w:themeColor="text1"/>
                <w:sz w:val="18"/>
                <w:szCs w:val="18"/>
                <w:lang w:val="es-ES"/>
              </w:rPr>
              <w:t>informe</w:t>
            </w:r>
            <w:r w:rsidR="00414976" w:rsidRPr="004768D0">
              <w:rPr>
                <w:rFonts w:asciiTheme="majorHAnsi" w:hAnsiTheme="majorHAnsi"/>
                <w:bCs/>
                <w:color w:val="000000" w:themeColor="text1"/>
                <w:sz w:val="18"/>
                <w:szCs w:val="18"/>
                <w:lang w:val="es-ES"/>
              </w:rPr>
              <w:t xml:space="preserve"> se puso de relieve el </w:t>
            </w:r>
            <w:r w:rsidR="000F34D0" w:rsidRPr="004768D0">
              <w:rPr>
                <w:rFonts w:asciiTheme="majorHAnsi" w:hAnsiTheme="majorHAnsi"/>
                <w:bCs/>
                <w:color w:val="000000" w:themeColor="text1"/>
                <w:sz w:val="18"/>
                <w:szCs w:val="18"/>
                <w:lang w:val="es-ES"/>
              </w:rPr>
              <w:t xml:space="preserve">relato </w:t>
            </w:r>
            <w:r w:rsidR="00414976" w:rsidRPr="004768D0">
              <w:rPr>
                <w:rFonts w:asciiTheme="majorHAnsi" w:hAnsiTheme="majorHAnsi"/>
                <w:bCs/>
                <w:color w:val="000000" w:themeColor="text1"/>
                <w:sz w:val="18"/>
                <w:szCs w:val="18"/>
                <w:lang w:val="es-ES"/>
              </w:rPr>
              <w:t xml:space="preserve">de </w:t>
            </w:r>
            <w:r w:rsidR="000F34D0" w:rsidRPr="004768D0">
              <w:rPr>
                <w:rFonts w:asciiTheme="majorHAnsi" w:hAnsiTheme="majorHAnsi"/>
                <w:bCs/>
                <w:color w:val="000000" w:themeColor="text1"/>
                <w:sz w:val="18"/>
                <w:szCs w:val="18"/>
                <w:lang w:val="es-ES"/>
              </w:rPr>
              <w:t>la representante d</w:t>
            </w:r>
            <w:r w:rsidR="00414976" w:rsidRPr="004768D0">
              <w:rPr>
                <w:rFonts w:asciiTheme="majorHAnsi" w:hAnsiTheme="majorHAnsi"/>
                <w:bCs/>
                <w:color w:val="000000" w:themeColor="text1"/>
                <w:sz w:val="18"/>
                <w:szCs w:val="18"/>
                <w:lang w:val="es-ES"/>
              </w:rPr>
              <w:t>el</w:t>
            </w:r>
            <w:r w:rsidR="000F34D0" w:rsidRPr="004768D0">
              <w:rPr>
                <w:rFonts w:asciiTheme="majorHAnsi" w:hAnsiTheme="majorHAnsi"/>
                <w:bCs/>
                <w:color w:val="000000" w:themeColor="text1"/>
                <w:sz w:val="18"/>
                <w:szCs w:val="18"/>
                <w:lang w:val="es-ES"/>
              </w:rPr>
              <w:t xml:space="preserve"> </w:t>
            </w:r>
            <w:r w:rsidR="00414976" w:rsidRPr="004768D0">
              <w:rPr>
                <w:rFonts w:asciiTheme="majorHAnsi" w:hAnsiTheme="majorHAnsi"/>
                <w:bCs/>
                <w:color w:val="000000" w:themeColor="text1"/>
                <w:sz w:val="18"/>
                <w:szCs w:val="18"/>
                <w:lang w:val="es-ES"/>
              </w:rPr>
              <w:t>Movimiento</w:t>
            </w:r>
            <w:r w:rsidR="000F34D0" w:rsidRPr="004768D0">
              <w:rPr>
                <w:rFonts w:asciiTheme="majorHAnsi" w:hAnsiTheme="majorHAnsi"/>
                <w:bCs/>
                <w:color w:val="000000" w:themeColor="text1"/>
                <w:sz w:val="18"/>
                <w:szCs w:val="18"/>
                <w:lang w:val="es-ES"/>
              </w:rPr>
              <w:t xml:space="preserve"> </w:t>
            </w:r>
            <w:r w:rsidR="000A5DA2" w:rsidRPr="004768D0">
              <w:rPr>
                <w:rFonts w:asciiTheme="majorHAnsi" w:hAnsiTheme="majorHAnsi"/>
                <w:bCs/>
                <w:color w:val="000000" w:themeColor="text1"/>
                <w:sz w:val="18"/>
                <w:szCs w:val="18"/>
                <w:lang w:val="es-ES"/>
              </w:rPr>
              <w:t>Madres</w:t>
            </w:r>
            <w:r w:rsidR="000F34D0" w:rsidRPr="004768D0">
              <w:rPr>
                <w:rFonts w:asciiTheme="majorHAnsi" w:hAnsiTheme="majorHAnsi"/>
                <w:bCs/>
                <w:color w:val="000000" w:themeColor="text1"/>
                <w:sz w:val="18"/>
                <w:szCs w:val="18"/>
                <w:lang w:val="es-ES"/>
              </w:rPr>
              <w:t xml:space="preserve"> de </w:t>
            </w:r>
            <w:r w:rsidR="007F4608" w:rsidRPr="004768D0">
              <w:rPr>
                <w:rFonts w:asciiTheme="majorHAnsi" w:hAnsiTheme="majorHAnsi"/>
                <w:bCs/>
                <w:color w:val="000000" w:themeColor="text1"/>
                <w:sz w:val="18"/>
                <w:szCs w:val="18"/>
                <w:lang w:val="es-ES"/>
              </w:rPr>
              <w:t>Mayo</w:t>
            </w:r>
            <w:r w:rsidR="000F34D0" w:rsidRPr="004768D0">
              <w:rPr>
                <w:rFonts w:asciiTheme="majorHAnsi" w:hAnsiTheme="majorHAnsi"/>
                <w:bCs/>
                <w:color w:val="000000" w:themeColor="text1"/>
                <w:sz w:val="18"/>
                <w:szCs w:val="18"/>
                <w:lang w:val="es-ES"/>
              </w:rPr>
              <w:t xml:space="preserve">, Débora Maria da Silva, sobre </w:t>
            </w:r>
            <w:r w:rsidR="00414976" w:rsidRPr="004768D0">
              <w:rPr>
                <w:rFonts w:asciiTheme="majorHAnsi" w:hAnsiTheme="majorHAnsi"/>
                <w:bCs/>
                <w:color w:val="000000" w:themeColor="text1"/>
                <w:sz w:val="18"/>
                <w:szCs w:val="18"/>
                <w:lang w:val="es-ES"/>
              </w:rPr>
              <w:t>l</w:t>
            </w:r>
            <w:r w:rsidR="000F34D0" w:rsidRPr="004768D0">
              <w:rPr>
                <w:rFonts w:asciiTheme="majorHAnsi" w:hAnsiTheme="majorHAnsi"/>
                <w:bCs/>
                <w:color w:val="000000" w:themeColor="text1"/>
                <w:sz w:val="18"/>
                <w:szCs w:val="18"/>
                <w:lang w:val="es-ES"/>
              </w:rPr>
              <w:t xml:space="preserve">os </w:t>
            </w:r>
            <w:r w:rsidR="000C0AC4" w:rsidRPr="004768D0">
              <w:rPr>
                <w:rFonts w:asciiTheme="majorHAnsi" w:hAnsiTheme="majorHAnsi"/>
                <w:bCs/>
                <w:color w:val="000000" w:themeColor="text1"/>
                <w:sz w:val="18"/>
                <w:szCs w:val="18"/>
                <w:lang w:val="es-ES"/>
              </w:rPr>
              <w:t>hechos</w:t>
            </w:r>
            <w:r w:rsidR="000F34D0" w:rsidRPr="004768D0">
              <w:rPr>
                <w:rFonts w:asciiTheme="majorHAnsi" w:hAnsiTheme="majorHAnsi"/>
                <w:bCs/>
                <w:color w:val="000000" w:themeColor="text1"/>
                <w:sz w:val="18"/>
                <w:szCs w:val="18"/>
                <w:lang w:val="es-ES"/>
              </w:rPr>
              <w:t xml:space="preserve"> en</w:t>
            </w:r>
            <w:r w:rsidR="00414976" w:rsidRPr="004768D0">
              <w:rPr>
                <w:rFonts w:asciiTheme="majorHAnsi" w:hAnsiTheme="majorHAnsi"/>
                <w:bCs/>
                <w:color w:val="000000" w:themeColor="text1"/>
                <w:sz w:val="18"/>
                <w:szCs w:val="18"/>
                <w:lang w:val="es-ES"/>
              </w:rPr>
              <w:t xml:space="preserve"> torno a su hijo, </w:t>
            </w:r>
            <w:r w:rsidR="000F34D0" w:rsidRPr="004768D0">
              <w:rPr>
                <w:rFonts w:asciiTheme="majorHAnsi" w:hAnsiTheme="majorHAnsi"/>
                <w:bCs/>
                <w:color w:val="000000" w:themeColor="text1"/>
                <w:sz w:val="18"/>
                <w:szCs w:val="18"/>
                <w:lang w:val="es-ES"/>
              </w:rPr>
              <w:t xml:space="preserve">Edson Rogério Silva dos Santos, </w:t>
            </w:r>
            <w:r w:rsidR="00414976" w:rsidRPr="004768D0">
              <w:rPr>
                <w:rFonts w:asciiTheme="majorHAnsi" w:hAnsiTheme="majorHAnsi"/>
                <w:bCs/>
                <w:color w:val="000000" w:themeColor="text1"/>
                <w:sz w:val="18"/>
                <w:szCs w:val="18"/>
                <w:lang w:val="es-ES"/>
              </w:rPr>
              <w:t xml:space="preserve">que se produjeron en la noche del </w:t>
            </w:r>
            <w:r w:rsidR="000F34D0" w:rsidRPr="004768D0">
              <w:rPr>
                <w:rFonts w:asciiTheme="majorHAnsi" w:hAnsiTheme="majorHAnsi"/>
                <w:bCs/>
                <w:color w:val="000000" w:themeColor="text1"/>
                <w:sz w:val="18"/>
                <w:szCs w:val="18"/>
                <w:lang w:val="es-ES"/>
              </w:rPr>
              <w:t xml:space="preserve">15 de </w:t>
            </w:r>
            <w:r w:rsidR="007F4608" w:rsidRPr="004768D0">
              <w:rPr>
                <w:rFonts w:asciiTheme="majorHAnsi" w:hAnsiTheme="majorHAnsi"/>
                <w:bCs/>
                <w:color w:val="000000" w:themeColor="text1"/>
                <w:sz w:val="18"/>
                <w:szCs w:val="18"/>
                <w:lang w:val="es-ES"/>
              </w:rPr>
              <w:t>mayo</w:t>
            </w:r>
            <w:r w:rsidR="000F34D0" w:rsidRPr="004768D0">
              <w:rPr>
                <w:rFonts w:asciiTheme="majorHAnsi" w:hAnsiTheme="majorHAnsi"/>
                <w:bCs/>
                <w:color w:val="000000" w:themeColor="text1"/>
                <w:sz w:val="18"/>
                <w:szCs w:val="18"/>
                <w:lang w:val="es-ES"/>
              </w:rPr>
              <w:t xml:space="preserve"> de 2006</w:t>
            </w:r>
            <w:r w:rsidR="00414976" w:rsidRPr="004768D0">
              <w:rPr>
                <w:rFonts w:asciiTheme="majorHAnsi" w:hAnsiTheme="majorHAnsi"/>
                <w:bCs/>
                <w:color w:val="000000" w:themeColor="text1"/>
                <w:sz w:val="18"/>
                <w:szCs w:val="18"/>
                <w:lang w:val="es-ES"/>
              </w:rPr>
              <w:t xml:space="preserve"> en la </w:t>
            </w:r>
            <w:proofErr w:type="spellStart"/>
            <w:r w:rsidR="000F34D0" w:rsidRPr="004768D0">
              <w:rPr>
                <w:rFonts w:asciiTheme="majorHAnsi" w:hAnsiTheme="majorHAnsi"/>
                <w:bCs/>
                <w:color w:val="000000" w:themeColor="text1"/>
                <w:sz w:val="18"/>
                <w:szCs w:val="18"/>
                <w:lang w:val="es-ES"/>
              </w:rPr>
              <w:t>Baixada</w:t>
            </w:r>
            <w:proofErr w:type="spellEnd"/>
            <w:r w:rsidR="000F34D0" w:rsidRPr="004768D0">
              <w:rPr>
                <w:rFonts w:asciiTheme="majorHAnsi" w:hAnsiTheme="majorHAnsi"/>
                <w:bCs/>
                <w:color w:val="000000" w:themeColor="text1"/>
                <w:sz w:val="18"/>
                <w:szCs w:val="18"/>
                <w:lang w:val="es-ES"/>
              </w:rPr>
              <w:t xml:space="preserve"> </w:t>
            </w:r>
            <w:proofErr w:type="spellStart"/>
            <w:r w:rsidR="000F34D0" w:rsidRPr="004768D0">
              <w:rPr>
                <w:rFonts w:asciiTheme="majorHAnsi" w:hAnsiTheme="majorHAnsi"/>
                <w:bCs/>
                <w:color w:val="000000" w:themeColor="text1"/>
                <w:sz w:val="18"/>
                <w:szCs w:val="18"/>
                <w:lang w:val="es-ES"/>
              </w:rPr>
              <w:t>Santista</w:t>
            </w:r>
            <w:proofErr w:type="spellEnd"/>
            <w:r w:rsidR="00414976" w:rsidRPr="004768D0">
              <w:rPr>
                <w:rFonts w:asciiTheme="majorHAnsi" w:hAnsiTheme="majorHAnsi"/>
                <w:bCs/>
                <w:color w:val="000000" w:themeColor="text1"/>
                <w:sz w:val="18"/>
                <w:szCs w:val="18"/>
                <w:lang w:val="es-ES"/>
              </w:rPr>
              <w:t xml:space="preserve"> (</w:t>
            </w:r>
            <w:r w:rsidR="000F34D0" w:rsidRPr="004768D0">
              <w:rPr>
                <w:rFonts w:asciiTheme="majorHAnsi" w:hAnsiTheme="majorHAnsi"/>
                <w:bCs/>
                <w:color w:val="000000" w:themeColor="text1"/>
                <w:sz w:val="18"/>
                <w:szCs w:val="18"/>
                <w:lang w:val="es-ES"/>
              </w:rPr>
              <w:t>São Paulo</w:t>
            </w:r>
            <w:r w:rsidR="00414976" w:rsidRPr="004768D0">
              <w:rPr>
                <w:rFonts w:asciiTheme="majorHAnsi" w:hAnsiTheme="majorHAnsi"/>
                <w:bCs/>
                <w:color w:val="000000" w:themeColor="text1"/>
                <w:sz w:val="18"/>
                <w:szCs w:val="18"/>
                <w:lang w:val="es-ES"/>
              </w:rPr>
              <w:t>)</w:t>
            </w:r>
            <w:r w:rsidR="000F34D0" w:rsidRPr="004768D0">
              <w:rPr>
                <w:rFonts w:asciiTheme="majorHAnsi" w:hAnsiTheme="majorHAnsi"/>
                <w:bCs/>
                <w:color w:val="000000" w:themeColor="text1"/>
                <w:sz w:val="18"/>
                <w:szCs w:val="18"/>
                <w:lang w:val="es-ES"/>
              </w:rPr>
              <w:t xml:space="preserve">. </w:t>
            </w:r>
          </w:p>
          <w:p w14:paraId="67741BC8" w14:textId="77777777" w:rsidR="000F34D0" w:rsidRPr="004768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r w:rsidRPr="004768D0">
              <w:rPr>
                <w:rFonts w:asciiTheme="majorHAnsi" w:hAnsiTheme="majorHAnsi"/>
                <w:bCs/>
                <w:color w:val="000000" w:themeColor="text1"/>
                <w:sz w:val="18"/>
                <w:szCs w:val="18"/>
                <w:lang w:val="es-ES"/>
              </w:rPr>
              <w:t>- Como resultado d</w:t>
            </w:r>
            <w:r w:rsidR="00414976" w:rsidRPr="004768D0">
              <w:rPr>
                <w:rFonts w:asciiTheme="majorHAnsi" w:hAnsiTheme="majorHAnsi"/>
                <w:bCs/>
                <w:color w:val="000000" w:themeColor="text1"/>
                <w:sz w:val="18"/>
                <w:szCs w:val="18"/>
                <w:lang w:val="es-ES"/>
              </w:rPr>
              <w:t xml:space="preserve">e los trabajos de dicha </w:t>
            </w:r>
            <w:r w:rsidR="00C65DE2" w:rsidRPr="004768D0">
              <w:rPr>
                <w:rFonts w:asciiTheme="majorHAnsi" w:hAnsiTheme="majorHAnsi"/>
                <w:bCs/>
                <w:color w:val="000000" w:themeColor="text1"/>
                <w:sz w:val="18"/>
                <w:szCs w:val="18"/>
                <w:lang w:val="es-ES"/>
              </w:rPr>
              <w:t>Comisión</w:t>
            </w:r>
            <w:r w:rsidRPr="004768D0">
              <w:rPr>
                <w:rFonts w:asciiTheme="majorHAnsi" w:hAnsiTheme="majorHAnsi"/>
                <w:bCs/>
                <w:color w:val="000000" w:themeColor="text1"/>
                <w:sz w:val="18"/>
                <w:szCs w:val="18"/>
                <w:lang w:val="es-ES"/>
              </w:rPr>
              <w:t xml:space="preserve"> Parlamentar</w:t>
            </w:r>
            <w:r w:rsidR="00414976" w:rsidRPr="004768D0">
              <w:rPr>
                <w:rFonts w:asciiTheme="majorHAnsi" w:hAnsiTheme="majorHAnsi"/>
                <w:bCs/>
                <w:color w:val="000000" w:themeColor="text1"/>
                <w:sz w:val="18"/>
                <w:szCs w:val="18"/>
                <w:lang w:val="es-ES"/>
              </w:rPr>
              <w:t xml:space="preserve">ia se presentó un </w:t>
            </w:r>
            <w:r w:rsidR="009A61EC" w:rsidRPr="004768D0">
              <w:rPr>
                <w:rFonts w:asciiTheme="majorHAnsi" w:hAnsiTheme="majorHAnsi"/>
                <w:bCs/>
                <w:color w:val="000000" w:themeColor="text1"/>
                <w:sz w:val="18"/>
                <w:szCs w:val="18"/>
                <w:lang w:val="es-ES"/>
              </w:rPr>
              <w:t>proyecto</w:t>
            </w:r>
            <w:r w:rsidRPr="004768D0">
              <w:rPr>
                <w:rFonts w:asciiTheme="majorHAnsi" w:hAnsiTheme="majorHAnsi"/>
                <w:bCs/>
                <w:color w:val="000000" w:themeColor="text1"/>
                <w:sz w:val="18"/>
                <w:szCs w:val="18"/>
                <w:lang w:val="es-ES"/>
              </w:rPr>
              <w:t xml:space="preserve"> </w:t>
            </w:r>
            <w:r w:rsidR="00D42125" w:rsidRPr="004768D0">
              <w:rPr>
                <w:rFonts w:asciiTheme="majorHAnsi" w:hAnsiTheme="majorHAnsi"/>
                <w:bCs/>
                <w:color w:val="000000" w:themeColor="text1"/>
                <w:sz w:val="18"/>
                <w:szCs w:val="18"/>
                <w:lang w:val="es-ES"/>
              </w:rPr>
              <w:t xml:space="preserve">para adoptar el </w:t>
            </w:r>
            <w:r w:rsidR="003D13F3">
              <w:rPr>
                <w:rFonts w:asciiTheme="majorHAnsi" w:hAnsiTheme="majorHAnsi"/>
                <w:bCs/>
                <w:color w:val="000000" w:themeColor="text1"/>
                <w:sz w:val="18"/>
                <w:szCs w:val="18"/>
                <w:lang w:val="es-ES"/>
              </w:rPr>
              <w:t>p</w:t>
            </w:r>
            <w:r w:rsidRPr="004768D0">
              <w:rPr>
                <w:rFonts w:asciiTheme="majorHAnsi" w:hAnsiTheme="majorHAnsi"/>
                <w:bCs/>
                <w:color w:val="000000" w:themeColor="text1"/>
                <w:sz w:val="18"/>
                <w:szCs w:val="18"/>
                <w:lang w:val="es-ES"/>
              </w:rPr>
              <w:t xml:space="preserve">lan </w:t>
            </w:r>
            <w:r w:rsidR="003D13F3">
              <w:rPr>
                <w:rFonts w:asciiTheme="majorHAnsi" w:hAnsiTheme="majorHAnsi"/>
                <w:bCs/>
                <w:color w:val="000000" w:themeColor="text1"/>
                <w:sz w:val="18"/>
                <w:szCs w:val="18"/>
                <w:lang w:val="es-ES"/>
              </w:rPr>
              <w:t>n</w:t>
            </w:r>
            <w:r w:rsidRPr="004768D0">
              <w:rPr>
                <w:rFonts w:asciiTheme="majorHAnsi" w:hAnsiTheme="majorHAnsi"/>
                <w:bCs/>
                <w:color w:val="000000" w:themeColor="text1"/>
                <w:sz w:val="18"/>
                <w:szCs w:val="18"/>
                <w:lang w:val="es-ES"/>
              </w:rPr>
              <w:t xml:space="preserve">acional </w:t>
            </w:r>
            <w:r w:rsidR="00D42125" w:rsidRPr="004768D0">
              <w:rPr>
                <w:rFonts w:asciiTheme="majorHAnsi" w:hAnsiTheme="majorHAnsi"/>
                <w:bCs/>
                <w:color w:val="000000" w:themeColor="text1"/>
                <w:sz w:val="18"/>
                <w:szCs w:val="18"/>
                <w:lang w:val="es-ES"/>
              </w:rPr>
              <w:t>para hacer frente a los h</w:t>
            </w:r>
            <w:r w:rsidR="00F154A0" w:rsidRPr="004768D0">
              <w:rPr>
                <w:rFonts w:asciiTheme="majorHAnsi" w:hAnsiTheme="majorHAnsi"/>
                <w:bCs/>
                <w:color w:val="000000" w:themeColor="text1"/>
                <w:sz w:val="18"/>
                <w:szCs w:val="18"/>
                <w:lang w:val="es-ES"/>
              </w:rPr>
              <w:t>omicidio</w:t>
            </w:r>
            <w:r w:rsidR="00D42125" w:rsidRPr="004768D0">
              <w:rPr>
                <w:rFonts w:asciiTheme="majorHAnsi" w:hAnsiTheme="majorHAnsi"/>
                <w:bCs/>
                <w:color w:val="000000" w:themeColor="text1"/>
                <w:sz w:val="18"/>
                <w:szCs w:val="18"/>
                <w:lang w:val="es-ES"/>
              </w:rPr>
              <w:t>s</w:t>
            </w:r>
            <w:r w:rsidRPr="004768D0">
              <w:rPr>
                <w:rFonts w:asciiTheme="majorHAnsi" w:hAnsiTheme="majorHAnsi"/>
                <w:bCs/>
                <w:color w:val="000000" w:themeColor="text1"/>
                <w:sz w:val="18"/>
                <w:szCs w:val="18"/>
                <w:lang w:val="es-ES"/>
              </w:rPr>
              <w:t xml:space="preserve"> de </w:t>
            </w:r>
            <w:r w:rsidR="00D42125" w:rsidRPr="004768D0">
              <w:rPr>
                <w:rFonts w:asciiTheme="majorHAnsi" w:hAnsiTheme="majorHAnsi"/>
                <w:bCs/>
                <w:color w:val="000000" w:themeColor="text1"/>
                <w:sz w:val="18"/>
                <w:szCs w:val="18"/>
                <w:lang w:val="es-ES"/>
              </w:rPr>
              <w:t xml:space="preserve">jóvenes, con el fin de reducir los </w:t>
            </w:r>
            <w:r w:rsidRPr="004768D0">
              <w:rPr>
                <w:rFonts w:asciiTheme="majorHAnsi" w:hAnsiTheme="majorHAnsi"/>
                <w:bCs/>
                <w:color w:val="000000" w:themeColor="text1"/>
                <w:sz w:val="18"/>
                <w:szCs w:val="18"/>
                <w:lang w:val="es-ES"/>
              </w:rPr>
              <w:t xml:space="preserve">índices de </w:t>
            </w:r>
            <w:r w:rsidR="00D42125" w:rsidRPr="004768D0">
              <w:rPr>
                <w:rFonts w:asciiTheme="majorHAnsi" w:hAnsiTheme="majorHAnsi"/>
                <w:bCs/>
                <w:color w:val="000000" w:themeColor="text1"/>
                <w:sz w:val="18"/>
                <w:szCs w:val="18"/>
                <w:lang w:val="es-ES"/>
              </w:rPr>
              <w:t>violencia</w:t>
            </w:r>
            <w:r w:rsidRPr="004768D0">
              <w:rPr>
                <w:rFonts w:asciiTheme="majorHAnsi" w:hAnsiTheme="majorHAnsi"/>
                <w:bCs/>
                <w:color w:val="000000" w:themeColor="text1"/>
                <w:sz w:val="18"/>
                <w:szCs w:val="18"/>
                <w:lang w:val="es-ES"/>
              </w:rPr>
              <w:t xml:space="preserve"> contra </w:t>
            </w:r>
            <w:r w:rsidR="00D42125" w:rsidRPr="004768D0">
              <w:rPr>
                <w:rFonts w:asciiTheme="majorHAnsi" w:hAnsiTheme="majorHAnsi"/>
                <w:bCs/>
                <w:color w:val="000000" w:themeColor="text1"/>
                <w:sz w:val="18"/>
                <w:szCs w:val="18"/>
                <w:lang w:val="es-ES"/>
              </w:rPr>
              <w:t>los jóvenes</w:t>
            </w:r>
            <w:r w:rsidRPr="004768D0">
              <w:rPr>
                <w:rFonts w:asciiTheme="majorHAnsi" w:hAnsiTheme="majorHAnsi"/>
                <w:bCs/>
                <w:color w:val="000000" w:themeColor="text1"/>
                <w:sz w:val="18"/>
                <w:szCs w:val="18"/>
                <w:lang w:val="es-ES"/>
              </w:rPr>
              <w:t xml:space="preserve"> </w:t>
            </w:r>
            <w:r w:rsidR="00D42125" w:rsidRPr="004768D0">
              <w:rPr>
                <w:rFonts w:asciiTheme="majorHAnsi" w:hAnsiTheme="majorHAnsi"/>
                <w:bCs/>
                <w:color w:val="000000" w:themeColor="text1"/>
                <w:sz w:val="18"/>
                <w:szCs w:val="18"/>
                <w:lang w:val="es-ES"/>
              </w:rPr>
              <w:t xml:space="preserve">en un plazo de diez </w:t>
            </w:r>
            <w:r w:rsidR="000C0AC4" w:rsidRPr="004768D0">
              <w:rPr>
                <w:rFonts w:asciiTheme="majorHAnsi" w:hAnsiTheme="majorHAnsi"/>
                <w:bCs/>
                <w:color w:val="000000" w:themeColor="text1"/>
                <w:sz w:val="18"/>
                <w:szCs w:val="18"/>
                <w:lang w:val="es-ES"/>
              </w:rPr>
              <w:t>años</w:t>
            </w:r>
            <w:r w:rsidRPr="004768D0">
              <w:rPr>
                <w:rFonts w:asciiTheme="majorHAnsi" w:hAnsiTheme="majorHAnsi"/>
                <w:bCs/>
                <w:color w:val="000000" w:themeColor="text1"/>
                <w:sz w:val="18"/>
                <w:szCs w:val="18"/>
                <w:lang w:val="es-ES"/>
              </w:rPr>
              <w:t xml:space="preserve">. </w:t>
            </w:r>
            <w:r w:rsidR="00D42125" w:rsidRPr="004768D0">
              <w:rPr>
                <w:rFonts w:asciiTheme="majorHAnsi" w:hAnsiTheme="majorHAnsi"/>
                <w:bCs/>
                <w:color w:val="000000" w:themeColor="text1"/>
                <w:sz w:val="18"/>
                <w:szCs w:val="18"/>
                <w:lang w:val="es-ES"/>
              </w:rPr>
              <w:t>El</w:t>
            </w:r>
            <w:r w:rsidRPr="004768D0">
              <w:rPr>
                <w:rFonts w:asciiTheme="majorHAnsi" w:hAnsiTheme="majorHAnsi"/>
                <w:bCs/>
                <w:color w:val="000000" w:themeColor="text1"/>
                <w:sz w:val="18"/>
                <w:szCs w:val="18"/>
                <w:lang w:val="es-ES"/>
              </w:rPr>
              <w:t xml:space="preserve"> </w:t>
            </w:r>
            <w:r w:rsidR="009A61EC" w:rsidRPr="004768D0">
              <w:rPr>
                <w:rFonts w:asciiTheme="majorHAnsi" w:hAnsiTheme="majorHAnsi"/>
                <w:bCs/>
                <w:color w:val="000000" w:themeColor="text1"/>
                <w:sz w:val="18"/>
                <w:szCs w:val="18"/>
                <w:lang w:val="es-ES"/>
              </w:rPr>
              <w:t>proyecto</w:t>
            </w:r>
            <w:r w:rsidRPr="004768D0">
              <w:rPr>
                <w:rFonts w:asciiTheme="majorHAnsi" w:hAnsiTheme="majorHAnsi"/>
                <w:bCs/>
                <w:color w:val="000000" w:themeColor="text1"/>
                <w:sz w:val="18"/>
                <w:szCs w:val="18"/>
                <w:lang w:val="es-ES"/>
              </w:rPr>
              <w:t xml:space="preserve"> f</w:t>
            </w:r>
            <w:r w:rsidR="00D42125" w:rsidRPr="004768D0">
              <w:rPr>
                <w:rFonts w:asciiTheme="majorHAnsi" w:hAnsiTheme="majorHAnsi"/>
                <w:bCs/>
                <w:color w:val="000000" w:themeColor="text1"/>
                <w:sz w:val="18"/>
                <w:szCs w:val="18"/>
                <w:lang w:val="es-ES"/>
              </w:rPr>
              <w:t xml:space="preserve">ue aprobado por el </w:t>
            </w:r>
            <w:r w:rsidRPr="004768D0">
              <w:rPr>
                <w:rFonts w:asciiTheme="majorHAnsi" w:hAnsiTheme="majorHAnsi"/>
                <w:bCs/>
                <w:color w:val="000000" w:themeColor="text1"/>
                <w:sz w:val="18"/>
                <w:szCs w:val="18"/>
                <w:lang w:val="es-ES"/>
              </w:rPr>
              <w:t xml:space="preserve">Senado </w:t>
            </w:r>
            <w:r w:rsidR="00D42125" w:rsidRPr="004768D0">
              <w:rPr>
                <w:rFonts w:asciiTheme="majorHAnsi" w:hAnsiTheme="majorHAnsi"/>
                <w:bCs/>
                <w:color w:val="000000" w:themeColor="text1"/>
                <w:sz w:val="18"/>
                <w:szCs w:val="18"/>
                <w:lang w:val="es-ES"/>
              </w:rPr>
              <w:t>f</w:t>
            </w:r>
            <w:r w:rsidRPr="004768D0">
              <w:rPr>
                <w:rFonts w:asciiTheme="majorHAnsi" w:hAnsiTheme="majorHAnsi"/>
                <w:bCs/>
                <w:color w:val="000000" w:themeColor="text1"/>
                <w:sz w:val="18"/>
                <w:szCs w:val="18"/>
                <w:lang w:val="es-ES"/>
              </w:rPr>
              <w:t>ederal e</w:t>
            </w:r>
            <w:r w:rsidR="00D42125" w:rsidRPr="004768D0">
              <w:rPr>
                <w:rFonts w:asciiTheme="majorHAnsi" w:hAnsiTheme="majorHAnsi"/>
                <w:bCs/>
                <w:color w:val="000000" w:themeColor="text1"/>
                <w:sz w:val="18"/>
                <w:szCs w:val="18"/>
                <w:lang w:val="es-ES"/>
              </w:rPr>
              <w:t>n</w:t>
            </w:r>
            <w:r w:rsidRPr="004768D0">
              <w:rPr>
                <w:rFonts w:asciiTheme="majorHAnsi" w:hAnsiTheme="majorHAnsi"/>
                <w:bCs/>
                <w:color w:val="000000" w:themeColor="text1"/>
                <w:sz w:val="18"/>
                <w:szCs w:val="18"/>
                <w:lang w:val="es-ES"/>
              </w:rPr>
              <w:t xml:space="preserve"> </w:t>
            </w:r>
            <w:r w:rsidR="007F4608" w:rsidRPr="004768D0">
              <w:rPr>
                <w:rFonts w:asciiTheme="majorHAnsi" w:hAnsiTheme="majorHAnsi"/>
                <w:bCs/>
                <w:color w:val="000000" w:themeColor="text1"/>
                <w:sz w:val="18"/>
                <w:szCs w:val="18"/>
                <w:lang w:val="es-ES"/>
              </w:rPr>
              <w:t>marzo</w:t>
            </w:r>
            <w:r w:rsidRPr="004768D0">
              <w:rPr>
                <w:rFonts w:asciiTheme="majorHAnsi" w:hAnsiTheme="majorHAnsi"/>
                <w:bCs/>
                <w:color w:val="000000" w:themeColor="text1"/>
                <w:sz w:val="18"/>
                <w:szCs w:val="18"/>
                <w:lang w:val="es-ES"/>
              </w:rPr>
              <w:t xml:space="preserve"> de 2018 </w:t>
            </w:r>
            <w:r w:rsidR="00D42125" w:rsidRPr="004768D0">
              <w:rPr>
                <w:rFonts w:asciiTheme="majorHAnsi" w:hAnsiTheme="majorHAnsi"/>
                <w:bCs/>
                <w:color w:val="000000" w:themeColor="text1"/>
                <w:sz w:val="18"/>
                <w:szCs w:val="18"/>
                <w:lang w:val="es-ES"/>
              </w:rPr>
              <w:t>y estaba en estudio en la Cámara</w:t>
            </w:r>
            <w:r w:rsidRPr="004768D0">
              <w:rPr>
                <w:rFonts w:asciiTheme="majorHAnsi" w:hAnsiTheme="majorHAnsi"/>
                <w:bCs/>
                <w:color w:val="000000" w:themeColor="text1"/>
                <w:sz w:val="18"/>
                <w:szCs w:val="18"/>
                <w:lang w:val="es-ES"/>
              </w:rPr>
              <w:t xml:space="preserve"> d</w:t>
            </w:r>
            <w:r w:rsidR="00D42125" w:rsidRPr="004768D0">
              <w:rPr>
                <w:rFonts w:asciiTheme="majorHAnsi" w:hAnsiTheme="majorHAnsi"/>
                <w:bCs/>
                <w:color w:val="000000" w:themeColor="text1"/>
                <w:sz w:val="18"/>
                <w:szCs w:val="18"/>
                <w:lang w:val="es-ES"/>
              </w:rPr>
              <w:t>e</w:t>
            </w:r>
            <w:r w:rsidRPr="004768D0">
              <w:rPr>
                <w:rFonts w:asciiTheme="majorHAnsi" w:hAnsiTheme="majorHAnsi"/>
                <w:bCs/>
                <w:color w:val="000000" w:themeColor="text1"/>
                <w:sz w:val="18"/>
                <w:szCs w:val="18"/>
                <w:lang w:val="es-ES"/>
              </w:rPr>
              <w:t xml:space="preserve"> </w:t>
            </w:r>
            <w:r w:rsidR="00D42125" w:rsidRPr="004768D0">
              <w:rPr>
                <w:rFonts w:asciiTheme="majorHAnsi" w:hAnsiTheme="majorHAnsi"/>
                <w:bCs/>
                <w:color w:val="000000" w:themeColor="text1"/>
                <w:sz w:val="18"/>
                <w:szCs w:val="18"/>
                <w:lang w:val="es-ES"/>
              </w:rPr>
              <w:t>Diputados</w:t>
            </w:r>
            <w:r w:rsidRPr="004768D0">
              <w:rPr>
                <w:rFonts w:asciiTheme="majorHAnsi" w:hAnsiTheme="majorHAnsi"/>
                <w:bCs/>
                <w:color w:val="000000" w:themeColor="text1"/>
                <w:sz w:val="18"/>
                <w:szCs w:val="18"/>
                <w:lang w:val="es-ES"/>
              </w:rPr>
              <w:t xml:space="preserve">. </w:t>
            </w:r>
          </w:p>
          <w:p w14:paraId="6C5AB3B3" w14:textId="77777777" w:rsidR="00654B53" w:rsidRPr="004768D0"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es-ES"/>
              </w:rPr>
            </w:pPr>
          </w:p>
        </w:tc>
      </w:tr>
    </w:tbl>
    <w:bookmarkEnd w:id="4"/>
    <w:p w14:paraId="77CFA017" w14:textId="77777777" w:rsidR="00985FD4" w:rsidRPr="004768D0" w:rsidRDefault="00985FD4" w:rsidP="00985FD4">
      <w:pPr>
        <w:spacing w:before="240" w:after="240"/>
        <w:ind w:firstLine="720"/>
        <w:jc w:val="both"/>
        <w:rPr>
          <w:rFonts w:asciiTheme="majorHAnsi" w:hAnsiTheme="majorHAnsi"/>
          <w:color w:val="000000" w:themeColor="text1"/>
          <w:sz w:val="20"/>
          <w:szCs w:val="20"/>
          <w:lang w:val="es-ES"/>
        </w:rPr>
      </w:pPr>
      <w:r w:rsidRPr="004768D0">
        <w:rPr>
          <w:rFonts w:asciiTheme="majorHAnsi" w:eastAsia="Cambria" w:hAnsiTheme="majorHAnsi" w:cs="Cambria"/>
          <w:b/>
          <w:bCs/>
          <w:color w:val="000000" w:themeColor="text1"/>
          <w:sz w:val="20"/>
          <w:szCs w:val="20"/>
          <w:u w:color="000000"/>
          <w:lang w:val="es-ES" w:eastAsia="es-ES"/>
        </w:rPr>
        <w:lastRenderedPageBreak/>
        <w:t>VI.</w:t>
      </w:r>
      <w:r w:rsidRPr="004768D0">
        <w:rPr>
          <w:rFonts w:asciiTheme="majorHAnsi" w:eastAsia="Cambria" w:hAnsiTheme="majorHAnsi" w:cs="Cambria"/>
          <w:b/>
          <w:bCs/>
          <w:color w:val="000000" w:themeColor="text1"/>
          <w:sz w:val="20"/>
          <w:szCs w:val="20"/>
          <w:u w:color="000000"/>
          <w:lang w:val="es-ES" w:eastAsia="es-ES"/>
        </w:rPr>
        <w:tab/>
      </w:r>
      <w:r w:rsidR="00A07DD9" w:rsidRPr="004768D0">
        <w:rPr>
          <w:rFonts w:asciiTheme="majorHAnsi" w:hAnsiTheme="majorHAnsi"/>
          <w:b/>
          <w:bCs/>
          <w:color w:val="000000" w:themeColor="text1"/>
          <w:sz w:val="20"/>
          <w:szCs w:val="20"/>
          <w:lang w:val="es-ES"/>
        </w:rPr>
        <w:t>AGOTAMIENTO DE LOS RECURSOS INTERNOS Y PLAZO DE PRESENTACIÓN</w:t>
      </w:r>
      <w:r w:rsidRPr="004768D0">
        <w:rPr>
          <w:rFonts w:asciiTheme="majorHAnsi" w:eastAsia="Cambria" w:hAnsiTheme="majorHAnsi" w:cs="Cambria"/>
          <w:b/>
          <w:bCs/>
          <w:color w:val="000000" w:themeColor="text1"/>
          <w:sz w:val="20"/>
          <w:szCs w:val="20"/>
          <w:u w:color="000000"/>
          <w:lang w:val="es-ES" w:eastAsia="es-ES"/>
        </w:rPr>
        <w:t xml:space="preserve"> </w:t>
      </w:r>
    </w:p>
    <w:p w14:paraId="733D9C4C" w14:textId="77777777" w:rsidR="00FE5E34" w:rsidRPr="004768D0" w:rsidRDefault="00462731" w:rsidP="00A104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bookmarkStart w:id="6" w:name="_Hlk72954899"/>
      <w:r w:rsidRPr="004768D0">
        <w:rPr>
          <w:rFonts w:asciiTheme="majorHAnsi" w:hAnsiTheme="majorHAnsi"/>
          <w:color w:val="000000" w:themeColor="text1"/>
          <w:sz w:val="20"/>
          <w:szCs w:val="20"/>
          <w:lang w:val="es-ES"/>
        </w:rPr>
        <w:t>El Estado</w:t>
      </w:r>
      <w:r w:rsidR="0080214D" w:rsidRPr="004768D0">
        <w:rPr>
          <w:rFonts w:asciiTheme="majorHAnsi" w:hAnsiTheme="majorHAnsi"/>
          <w:color w:val="000000" w:themeColor="text1"/>
          <w:sz w:val="20"/>
          <w:szCs w:val="20"/>
          <w:lang w:val="es-ES"/>
        </w:rPr>
        <w:t xml:space="preserve"> </w:t>
      </w:r>
      <w:r w:rsidR="00F5490C" w:rsidRPr="004768D0">
        <w:rPr>
          <w:rFonts w:asciiTheme="majorHAnsi" w:hAnsiTheme="majorHAnsi"/>
          <w:color w:val="000000" w:themeColor="text1"/>
          <w:sz w:val="20"/>
          <w:szCs w:val="20"/>
          <w:lang w:val="es-ES"/>
        </w:rPr>
        <w:t xml:space="preserve">asevera </w:t>
      </w:r>
      <w:r w:rsidR="0080214D" w:rsidRPr="004768D0">
        <w:rPr>
          <w:rFonts w:asciiTheme="majorHAnsi" w:hAnsiTheme="majorHAnsi"/>
          <w:color w:val="000000" w:themeColor="text1"/>
          <w:sz w:val="20"/>
          <w:szCs w:val="20"/>
          <w:lang w:val="es-ES"/>
        </w:rPr>
        <w:t xml:space="preserve">que </w:t>
      </w:r>
      <w:r w:rsidR="00F5490C" w:rsidRPr="004768D0">
        <w:rPr>
          <w:rFonts w:asciiTheme="majorHAnsi" w:hAnsiTheme="majorHAnsi"/>
          <w:color w:val="000000" w:themeColor="text1"/>
          <w:sz w:val="20"/>
          <w:szCs w:val="20"/>
          <w:lang w:val="es-ES"/>
        </w:rPr>
        <w:t>l</w:t>
      </w:r>
      <w:r w:rsidR="0080214D" w:rsidRPr="004768D0">
        <w:rPr>
          <w:rFonts w:asciiTheme="majorHAnsi" w:hAnsiTheme="majorHAnsi"/>
          <w:color w:val="000000" w:themeColor="text1"/>
          <w:sz w:val="20"/>
          <w:szCs w:val="20"/>
          <w:lang w:val="es-ES"/>
        </w:rPr>
        <w:t xml:space="preserve">a </w:t>
      </w:r>
      <w:r w:rsidR="00882F67" w:rsidRPr="004768D0">
        <w:rPr>
          <w:rFonts w:asciiTheme="majorHAnsi" w:hAnsiTheme="majorHAnsi"/>
          <w:color w:val="000000" w:themeColor="text1"/>
          <w:sz w:val="20"/>
          <w:szCs w:val="20"/>
          <w:lang w:val="es-ES"/>
        </w:rPr>
        <w:t>petición</w:t>
      </w:r>
      <w:r w:rsidR="0080214D" w:rsidRPr="004768D0">
        <w:rPr>
          <w:rFonts w:asciiTheme="majorHAnsi" w:hAnsiTheme="majorHAnsi"/>
          <w:color w:val="000000" w:themeColor="text1"/>
          <w:sz w:val="20"/>
          <w:szCs w:val="20"/>
          <w:lang w:val="es-ES"/>
        </w:rPr>
        <w:t xml:space="preserve"> </w:t>
      </w:r>
      <w:r w:rsidR="00F5490C" w:rsidRPr="004768D0">
        <w:rPr>
          <w:rFonts w:asciiTheme="majorHAnsi" w:hAnsiTheme="majorHAnsi"/>
          <w:color w:val="000000" w:themeColor="text1"/>
          <w:sz w:val="20"/>
          <w:szCs w:val="20"/>
          <w:lang w:val="es-ES"/>
        </w:rPr>
        <w:t>es</w:t>
      </w:r>
      <w:r w:rsidR="0080214D" w:rsidRPr="004768D0">
        <w:rPr>
          <w:rFonts w:asciiTheme="majorHAnsi" w:hAnsiTheme="majorHAnsi"/>
          <w:color w:val="000000" w:themeColor="text1"/>
          <w:sz w:val="20"/>
          <w:szCs w:val="20"/>
          <w:lang w:val="es-ES"/>
        </w:rPr>
        <w:t xml:space="preserve"> </w:t>
      </w:r>
      <w:r w:rsidR="00F5490C" w:rsidRPr="004768D0">
        <w:rPr>
          <w:rFonts w:asciiTheme="majorHAnsi" w:hAnsiTheme="majorHAnsi"/>
          <w:color w:val="000000" w:themeColor="text1"/>
          <w:sz w:val="20"/>
          <w:szCs w:val="20"/>
          <w:lang w:val="es-ES"/>
        </w:rPr>
        <w:t>inadmisible</w:t>
      </w:r>
      <w:r w:rsidR="0080214D" w:rsidRPr="004768D0">
        <w:rPr>
          <w:rFonts w:asciiTheme="majorHAnsi" w:hAnsiTheme="majorHAnsi"/>
          <w:color w:val="000000" w:themeColor="text1"/>
          <w:sz w:val="20"/>
          <w:szCs w:val="20"/>
          <w:lang w:val="es-ES"/>
        </w:rPr>
        <w:t xml:space="preserve"> por</w:t>
      </w:r>
      <w:r w:rsidR="00F5490C" w:rsidRPr="004768D0">
        <w:rPr>
          <w:rFonts w:asciiTheme="majorHAnsi" w:hAnsiTheme="majorHAnsi"/>
          <w:color w:val="000000" w:themeColor="text1"/>
          <w:sz w:val="20"/>
          <w:szCs w:val="20"/>
          <w:lang w:val="es-ES"/>
        </w:rPr>
        <w:t>que no se refiere a</w:t>
      </w:r>
      <w:r w:rsidR="0080214D" w:rsidRPr="004768D0">
        <w:rPr>
          <w:rFonts w:asciiTheme="majorHAnsi" w:hAnsiTheme="majorHAnsi"/>
          <w:color w:val="000000" w:themeColor="text1"/>
          <w:sz w:val="20"/>
          <w:szCs w:val="20"/>
          <w:lang w:val="es-ES"/>
        </w:rPr>
        <w:t xml:space="preserve"> </w:t>
      </w:r>
      <w:r w:rsidR="000C0AC4" w:rsidRPr="004768D0">
        <w:rPr>
          <w:rFonts w:asciiTheme="majorHAnsi" w:hAnsiTheme="majorHAnsi"/>
          <w:color w:val="000000" w:themeColor="text1"/>
          <w:sz w:val="20"/>
          <w:szCs w:val="20"/>
          <w:lang w:val="es-ES"/>
        </w:rPr>
        <w:t>hechos</w:t>
      </w:r>
      <w:r w:rsidR="0080214D" w:rsidRPr="004768D0">
        <w:rPr>
          <w:rFonts w:asciiTheme="majorHAnsi" w:hAnsiTheme="majorHAnsi"/>
          <w:color w:val="000000" w:themeColor="text1"/>
          <w:sz w:val="20"/>
          <w:szCs w:val="20"/>
          <w:lang w:val="es-ES"/>
        </w:rPr>
        <w:t xml:space="preserve"> que p</w:t>
      </w:r>
      <w:r w:rsidR="00F5490C" w:rsidRPr="004768D0">
        <w:rPr>
          <w:rFonts w:asciiTheme="majorHAnsi" w:hAnsiTheme="majorHAnsi"/>
          <w:color w:val="000000" w:themeColor="text1"/>
          <w:sz w:val="20"/>
          <w:szCs w:val="20"/>
          <w:lang w:val="es-ES"/>
        </w:rPr>
        <w:t>uedan</w:t>
      </w:r>
      <w:r w:rsidR="0080214D" w:rsidRPr="004768D0">
        <w:rPr>
          <w:rFonts w:asciiTheme="majorHAnsi" w:hAnsiTheme="majorHAnsi"/>
          <w:color w:val="000000" w:themeColor="text1"/>
          <w:sz w:val="20"/>
          <w:szCs w:val="20"/>
          <w:lang w:val="es-ES"/>
        </w:rPr>
        <w:t xml:space="preserve"> caracterizar </w:t>
      </w:r>
      <w:r w:rsidR="00F5490C" w:rsidRPr="004768D0">
        <w:rPr>
          <w:rFonts w:asciiTheme="majorHAnsi" w:hAnsiTheme="majorHAnsi"/>
          <w:color w:val="000000" w:themeColor="text1"/>
          <w:sz w:val="20"/>
          <w:szCs w:val="20"/>
          <w:lang w:val="es-ES"/>
        </w:rPr>
        <w:t>violaciones</w:t>
      </w:r>
      <w:r w:rsidR="0080214D" w:rsidRPr="004768D0">
        <w:rPr>
          <w:rFonts w:asciiTheme="majorHAnsi" w:hAnsiTheme="majorHAnsi"/>
          <w:color w:val="000000" w:themeColor="text1"/>
          <w:sz w:val="20"/>
          <w:szCs w:val="20"/>
          <w:lang w:val="es-ES"/>
        </w:rPr>
        <w:t xml:space="preserve"> de </w:t>
      </w:r>
      <w:r w:rsidR="00246A29" w:rsidRPr="004768D0">
        <w:rPr>
          <w:rFonts w:asciiTheme="majorHAnsi" w:hAnsiTheme="majorHAnsi"/>
          <w:color w:val="000000" w:themeColor="text1"/>
          <w:sz w:val="20"/>
          <w:szCs w:val="20"/>
          <w:lang w:val="es-ES"/>
        </w:rPr>
        <w:t>derechos</w:t>
      </w:r>
      <w:r w:rsidR="0080214D" w:rsidRPr="004768D0">
        <w:rPr>
          <w:rFonts w:asciiTheme="majorHAnsi" w:hAnsiTheme="majorHAnsi"/>
          <w:color w:val="000000" w:themeColor="text1"/>
          <w:sz w:val="20"/>
          <w:szCs w:val="20"/>
          <w:lang w:val="es-ES"/>
        </w:rPr>
        <w:t xml:space="preserve"> humanos atribu</w:t>
      </w:r>
      <w:r w:rsidR="00F5490C" w:rsidRPr="004768D0">
        <w:rPr>
          <w:rFonts w:asciiTheme="majorHAnsi" w:hAnsiTheme="majorHAnsi"/>
          <w:color w:val="000000" w:themeColor="text1"/>
          <w:sz w:val="20"/>
          <w:szCs w:val="20"/>
          <w:lang w:val="es-ES"/>
        </w:rPr>
        <w:t xml:space="preserve">ibles al </w:t>
      </w:r>
      <w:r w:rsidR="00A07DD9" w:rsidRPr="004768D0">
        <w:rPr>
          <w:rFonts w:asciiTheme="majorHAnsi" w:hAnsiTheme="majorHAnsi"/>
          <w:color w:val="000000" w:themeColor="text1"/>
          <w:sz w:val="20"/>
          <w:szCs w:val="20"/>
          <w:lang w:val="es-ES"/>
        </w:rPr>
        <w:t>Estado brasileño</w:t>
      </w:r>
      <w:r w:rsidR="0080214D" w:rsidRPr="004768D0">
        <w:rPr>
          <w:rFonts w:asciiTheme="majorHAnsi" w:hAnsiTheme="majorHAnsi"/>
          <w:color w:val="000000" w:themeColor="text1"/>
          <w:sz w:val="20"/>
          <w:szCs w:val="20"/>
          <w:lang w:val="es-ES"/>
        </w:rPr>
        <w:t xml:space="preserve">, </w:t>
      </w:r>
      <w:r w:rsidR="00C029EA" w:rsidRPr="004768D0">
        <w:rPr>
          <w:rFonts w:asciiTheme="majorHAnsi" w:hAnsiTheme="majorHAnsi"/>
          <w:color w:val="000000" w:themeColor="text1"/>
          <w:sz w:val="20"/>
          <w:szCs w:val="20"/>
          <w:lang w:val="es-ES"/>
        </w:rPr>
        <w:t xml:space="preserve">ya </w:t>
      </w:r>
      <w:r w:rsidR="0080214D" w:rsidRPr="004768D0">
        <w:rPr>
          <w:rFonts w:asciiTheme="majorHAnsi" w:hAnsiTheme="majorHAnsi"/>
          <w:color w:val="000000" w:themeColor="text1"/>
          <w:sz w:val="20"/>
          <w:szCs w:val="20"/>
          <w:lang w:val="es-ES"/>
        </w:rPr>
        <w:t xml:space="preserve">que i) </w:t>
      </w:r>
      <w:r w:rsidR="00C029EA" w:rsidRPr="004768D0">
        <w:rPr>
          <w:rFonts w:asciiTheme="majorHAnsi" w:hAnsiTheme="majorHAnsi"/>
          <w:color w:val="000000" w:themeColor="text1"/>
          <w:sz w:val="20"/>
          <w:szCs w:val="20"/>
          <w:lang w:val="es-ES"/>
        </w:rPr>
        <w:t xml:space="preserve">la policía tomó medidas para restablecer la </w:t>
      </w:r>
      <w:r w:rsidR="00F41459" w:rsidRPr="004768D0">
        <w:rPr>
          <w:rFonts w:ascii="Cambria" w:hAnsi="Cambria" w:cs="Arial"/>
          <w:bCs/>
          <w:color w:val="000000" w:themeColor="text1"/>
          <w:sz w:val="20"/>
          <w:szCs w:val="20"/>
          <w:lang w:val="es-ES"/>
        </w:rPr>
        <w:t>seguridad</w:t>
      </w:r>
      <w:r w:rsidR="0080214D" w:rsidRPr="004768D0">
        <w:rPr>
          <w:rFonts w:ascii="Cambria" w:hAnsi="Cambria" w:cs="Arial"/>
          <w:bCs/>
          <w:color w:val="000000" w:themeColor="text1"/>
          <w:sz w:val="20"/>
          <w:szCs w:val="20"/>
          <w:lang w:val="es-ES"/>
        </w:rPr>
        <w:t xml:space="preserve"> </w:t>
      </w:r>
      <w:r w:rsidR="00C029EA" w:rsidRPr="004768D0">
        <w:rPr>
          <w:rFonts w:ascii="Cambria" w:hAnsi="Cambria" w:cs="Arial"/>
          <w:bCs/>
          <w:color w:val="000000" w:themeColor="text1"/>
          <w:sz w:val="20"/>
          <w:szCs w:val="20"/>
          <w:lang w:val="es-ES"/>
        </w:rPr>
        <w:t xml:space="preserve">y el orden </w:t>
      </w:r>
      <w:r w:rsidR="0080214D" w:rsidRPr="004768D0">
        <w:rPr>
          <w:rFonts w:ascii="Cambria" w:hAnsi="Cambria" w:cs="Arial"/>
          <w:bCs/>
          <w:color w:val="000000" w:themeColor="text1"/>
          <w:sz w:val="20"/>
          <w:szCs w:val="20"/>
          <w:lang w:val="es-ES"/>
        </w:rPr>
        <w:t>públic</w:t>
      </w:r>
      <w:r w:rsidR="00C029EA" w:rsidRPr="004768D0">
        <w:rPr>
          <w:rFonts w:ascii="Cambria" w:hAnsi="Cambria" w:cs="Arial"/>
          <w:bCs/>
          <w:color w:val="000000" w:themeColor="text1"/>
          <w:sz w:val="20"/>
          <w:szCs w:val="20"/>
          <w:lang w:val="es-ES"/>
        </w:rPr>
        <w:t xml:space="preserve">os a fin de responder a una crisis de </w:t>
      </w:r>
      <w:r w:rsidR="00F41459" w:rsidRPr="004768D0">
        <w:rPr>
          <w:rFonts w:ascii="Cambria" w:hAnsi="Cambria" w:cs="Arial"/>
          <w:bCs/>
          <w:color w:val="000000" w:themeColor="text1"/>
          <w:sz w:val="20"/>
          <w:szCs w:val="20"/>
          <w:lang w:val="es-ES"/>
        </w:rPr>
        <w:t>seguridad</w:t>
      </w:r>
      <w:r w:rsidR="0080214D" w:rsidRPr="004768D0">
        <w:rPr>
          <w:rFonts w:ascii="Cambria" w:hAnsi="Cambria" w:cs="Arial"/>
          <w:bCs/>
          <w:color w:val="000000" w:themeColor="text1"/>
          <w:sz w:val="20"/>
          <w:szCs w:val="20"/>
          <w:lang w:val="es-ES"/>
        </w:rPr>
        <w:t xml:space="preserve"> pública causada p</w:t>
      </w:r>
      <w:r w:rsidR="00C029EA" w:rsidRPr="004768D0">
        <w:rPr>
          <w:rFonts w:ascii="Cambria" w:hAnsi="Cambria" w:cs="Arial"/>
          <w:bCs/>
          <w:color w:val="000000" w:themeColor="text1"/>
          <w:sz w:val="20"/>
          <w:szCs w:val="20"/>
          <w:lang w:val="es-ES"/>
        </w:rPr>
        <w:t xml:space="preserve">or </w:t>
      </w:r>
      <w:r w:rsidR="0080214D" w:rsidRPr="004768D0">
        <w:rPr>
          <w:rFonts w:ascii="Cambria" w:hAnsi="Cambria" w:cs="Arial"/>
          <w:bCs/>
          <w:color w:val="000000" w:themeColor="text1"/>
          <w:sz w:val="20"/>
          <w:szCs w:val="20"/>
          <w:lang w:val="es-ES"/>
        </w:rPr>
        <w:t xml:space="preserve">la </w:t>
      </w:r>
      <w:r w:rsidR="00C029EA" w:rsidRPr="004768D0">
        <w:rPr>
          <w:rFonts w:ascii="Cambria" w:hAnsi="Cambria" w:cs="Arial"/>
          <w:bCs/>
          <w:color w:val="000000" w:themeColor="text1"/>
          <w:sz w:val="20"/>
          <w:szCs w:val="20"/>
          <w:lang w:val="es-ES"/>
        </w:rPr>
        <w:t>organización</w:t>
      </w:r>
      <w:r w:rsidR="0080214D" w:rsidRPr="004768D0">
        <w:rPr>
          <w:rFonts w:ascii="Cambria" w:hAnsi="Cambria" w:cs="Arial"/>
          <w:bCs/>
          <w:color w:val="000000" w:themeColor="text1"/>
          <w:sz w:val="20"/>
          <w:szCs w:val="20"/>
          <w:lang w:val="es-ES"/>
        </w:rPr>
        <w:t xml:space="preserve"> </w:t>
      </w:r>
      <w:r w:rsidR="00C029EA" w:rsidRPr="004768D0">
        <w:rPr>
          <w:rFonts w:ascii="Cambria" w:hAnsi="Cambria" w:cs="Arial"/>
          <w:bCs/>
          <w:color w:val="000000" w:themeColor="text1"/>
          <w:sz w:val="20"/>
          <w:szCs w:val="20"/>
          <w:lang w:val="es-ES"/>
        </w:rPr>
        <w:t xml:space="preserve">delictiva </w:t>
      </w:r>
      <w:r w:rsidR="0080214D" w:rsidRPr="004768D0">
        <w:rPr>
          <w:rFonts w:ascii="Cambria" w:hAnsi="Cambria" w:cs="Arial"/>
          <w:bCs/>
          <w:color w:val="000000" w:themeColor="text1"/>
          <w:sz w:val="20"/>
          <w:szCs w:val="20"/>
          <w:lang w:val="es-ES"/>
        </w:rPr>
        <w:t>PCC, de ac</w:t>
      </w:r>
      <w:r w:rsidR="00C029EA" w:rsidRPr="004768D0">
        <w:rPr>
          <w:rFonts w:ascii="Cambria" w:hAnsi="Cambria" w:cs="Arial"/>
          <w:bCs/>
          <w:color w:val="000000" w:themeColor="text1"/>
          <w:sz w:val="20"/>
          <w:szCs w:val="20"/>
          <w:lang w:val="es-ES"/>
        </w:rPr>
        <w:t>uerdo con el</w:t>
      </w:r>
      <w:r w:rsidR="0080214D" w:rsidRPr="004768D0">
        <w:rPr>
          <w:rFonts w:ascii="Cambria" w:hAnsi="Cambria" w:cs="Arial"/>
          <w:bCs/>
          <w:color w:val="000000" w:themeColor="text1"/>
          <w:sz w:val="20"/>
          <w:szCs w:val="20"/>
          <w:lang w:val="es-ES"/>
        </w:rPr>
        <w:t xml:space="preserve"> uso racional d</w:t>
      </w:r>
      <w:r w:rsidR="00C029EA" w:rsidRPr="004768D0">
        <w:rPr>
          <w:rFonts w:ascii="Cambria" w:hAnsi="Cambria" w:cs="Arial"/>
          <w:bCs/>
          <w:color w:val="000000" w:themeColor="text1"/>
          <w:sz w:val="20"/>
          <w:szCs w:val="20"/>
          <w:lang w:val="es-ES"/>
        </w:rPr>
        <w:t>e l</w:t>
      </w:r>
      <w:r w:rsidR="0080214D" w:rsidRPr="004768D0">
        <w:rPr>
          <w:rFonts w:ascii="Cambria" w:hAnsi="Cambria" w:cs="Arial"/>
          <w:bCs/>
          <w:color w:val="000000" w:themeColor="text1"/>
          <w:sz w:val="20"/>
          <w:szCs w:val="20"/>
          <w:lang w:val="es-ES"/>
        </w:rPr>
        <w:t xml:space="preserve">a </w:t>
      </w:r>
      <w:r w:rsidRPr="004768D0">
        <w:rPr>
          <w:rFonts w:ascii="Cambria" w:hAnsi="Cambria" w:cs="Arial"/>
          <w:bCs/>
          <w:color w:val="000000" w:themeColor="text1"/>
          <w:sz w:val="20"/>
          <w:szCs w:val="20"/>
          <w:lang w:val="es-ES"/>
        </w:rPr>
        <w:t>fuerza</w:t>
      </w:r>
      <w:r w:rsidR="0080214D" w:rsidRPr="004768D0">
        <w:rPr>
          <w:rFonts w:ascii="Cambria" w:hAnsi="Cambria" w:cs="Arial"/>
          <w:bCs/>
          <w:color w:val="000000" w:themeColor="text1"/>
          <w:sz w:val="20"/>
          <w:szCs w:val="20"/>
          <w:lang w:val="es-ES"/>
        </w:rPr>
        <w:t xml:space="preserve"> pública</w:t>
      </w:r>
      <w:r w:rsidR="0080214D" w:rsidRPr="004768D0">
        <w:rPr>
          <w:rFonts w:asciiTheme="majorHAnsi" w:hAnsiTheme="majorHAnsi"/>
          <w:color w:val="000000" w:themeColor="text1"/>
          <w:sz w:val="20"/>
          <w:szCs w:val="20"/>
          <w:lang w:val="es-ES"/>
        </w:rPr>
        <w:t xml:space="preserve">; ii) </w:t>
      </w:r>
      <w:r w:rsidR="00A07DD9" w:rsidRPr="004768D0">
        <w:rPr>
          <w:rFonts w:asciiTheme="majorHAnsi" w:hAnsiTheme="majorHAnsi"/>
          <w:color w:val="000000" w:themeColor="text1"/>
          <w:sz w:val="20"/>
          <w:szCs w:val="20"/>
          <w:lang w:val="es-ES"/>
        </w:rPr>
        <w:t>la parte peticionaria</w:t>
      </w:r>
      <w:r w:rsidR="0080214D" w:rsidRPr="004768D0">
        <w:rPr>
          <w:rFonts w:asciiTheme="majorHAnsi" w:hAnsiTheme="majorHAnsi"/>
          <w:color w:val="000000" w:themeColor="text1"/>
          <w:sz w:val="20"/>
          <w:szCs w:val="20"/>
          <w:lang w:val="es-ES"/>
        </w:rPr>
        <w:t xml:space="preserve"> no </w:t>
      </w:r>
      <w:r w:rsidR="00C029EA" w:rsidRPr="004768D0">
        <w:rPr>
          <w:rFonts w:asciiTheme="majorHAnsi" w:hAnsiTheme="majorHAnsi"/>
          <w:color w:val="000000" w:themeColor="text1"/>
          <w:sz w:val="20"/>
          <w:szCs w:val="20"/>
          <w:lang w:val="es-ES"/>
        </w:rPr>
        <w:t xml:space="preserve">habría </w:t>
      </w:r>
      <w:r w:rsidR="0080214D" w:rsidRPr="004768D0">
        <w:rPr>
          <w:rFonts w:asciiTheme="majorHAnsi" w:hAnsiTheme="majorHAnsi"/>
          <w:color w:val="000000" w:themeColor="text1"/>
          <w:sz w:val="20"/>
          <w:szCs w:val="20"/>
          <w:lang w:val="es-ES"/>
        </w:rPr>
        <w:t xml:space="preserve">presentado elementos suficientes para atribuir </w:t>
      </w:r>
      <w:r w:rsidR="00C029EA" w:rsidRPr="004768D0">
        <w:rPr>
          <w:rFonts w:asciiTheme="majorHAnsi" w:hAnsiTheme="majorHAnsi"/>
          <w:color w:val="000000" w:themeColor="text1"/>
          <w:sz w:val="20"/>
          <w:szCs w:val="20"/>
          <w:lang w:val="es-ES"/>
        </w:rPr>
        <w:t>l</w:t>
      </w:r>
      <w:r w:rsidR="0080214D" w:rsidRPr="004768D0">
        <w:rPr>
          <w:rFonts w:asciiTheme="majorHAnsi" w:hAnsiTheme="majorHAnsi"/>
          <w:color w:val="000000" w:themeColor="text1"/>
          <w:sz w:val="20"/>
          <w:szCs w:val="20"/>
          <w:lang w:val="es-ES"/>
        </w:rPr>
        <w:t xml:space="preserve">as </w:t>
      </w:r>
      <w:r w:rsidRPr="004768D0">
        <w:rPr>
          <w:rFonts w:asciiTheme="majorHAnsi" w:hAnsiTheme="majorHAnsi"/>
          <w:color w:val="000000" w:themeColor="text1"/>
          <w:sz w:val="20"/>
          <w:szCs w:val="20"/>
          <w:lang w:val="es-ES"/>
        </w:rPr>
        <w:t>muertes</w:t>
      </w:r>
      <w:r w:rsidR="0080214D" w:rsidRPr="004768D0">
        <w:rPr>
          <w:rFonts w:asciiTheme="majorHAnsi" w:hAnsiTheme="majorHAnsi"/>
          <w:color w:val="000000" w:themeColor="text1"/>
          <w:sz w:val="20"/>
          <w:szCs w:val="20"/>
          <w:lang w:val="es-ES"/>
        </w:rPr>
        <w:t xml:space="preserve"> a agentes </w:t>
      </w:r>
      <w:r w:rsidR="003D13F3">
        <w:rPr>
          <w:rFonts w:asciiTheme="majorHAnsi" w:hAnsiTheme="majorHAnsi"/>
          <w:color w:val="000000" w:themeColor="text1"/>
          <w:sz w:val="20"/>
          <w:szCs w:val="20"/>
          <w:lang w:val="es-ES"/>
        </w:rPr>
        <w:t>estatales</w:t>
      </w:r>
      <w:r w:rsidR="0080214D" w:rsidRPr="004768D0">
        <w:rPr>
          <w:rFonts w:asciiTheme="majorHAnsi" w:hAnsiTheme="majorHAnsi"/>
          <w:color w:val="000000" w:themeColor="text1"/>
          <w:sz w:val="20"/>
          <w:szCs w:val="20"/>
          <w:lang w:val="es-ES"/>
        </w:rPr>
        <w:t xml:space="preserve"> </w:t>
      </w:r>
      <w:r w:rsidR="00C029EA" w:rsidRPr="004768D0">
        <w:rPr>
          <w:rFonts w:asciiTheme="majorHAnsi" w:hAnsiTheme="majorHAnsi"/>
          <w:color w:val="000000" w:themeColor="text1"/>
          <w:sz w:val="20"/>
          <w:szCs w:val="20"/>
          <w:lang w:val="es-ES"/>
        </w:rPr>
        <w:t>y</w:t>
      </w:r>
      <w:r w:rsidR="0080214D" w:rsidRPr="004768D0">
        <w:rPr>
          <w:rFonts w:asciiTheme="majorHAnsi" w:hAnsiTheme="majorHAnsi"/>
          <w:color w:val="000000" w:themeColor="text1"/>
          <w:sz w:val="20"/>
          <w:szCs w:val="20"/>
          <w:lang w:val="es-ES"/>
        </w:rPr>
        <w:t xml:space="preserve">, </w:t>
      </w:r>
      <w:r w:rsidR="00C029EA" w:rsidRPr="004768D0">
        <w:rPr>
          <w:rFonts w:asciiTheme="majorHAnsi" w:hAnsiTheme="majorHAnsi"/>
          <w:color w:val="000000" w:themeColor="text1"/>
          <w:sz w:val="20"/>
          <w:szCs w:val="20"/>
          <w:lang w:val="es-ES"/>
        </w:rPr>
        <w:t xml:space="preserve">en lo </w:t>
      </w:r>
      <w:r w:rsidR="00C029EA" w:rsidRPr="004768D0">
        <w:rPr>
          <w:rFonts w:asciiTheme="majorHAnsi" w:hAnsiTheme="majorHAnsi"/>
          <w:color w:val="000000" w:themeColor="text1"/>
          <w:sz w:val="20"/>
          <w:szCs w:val="20"/>
          <w:lang w:val="es-ES"/>
        </w:rPr>
        <w:lastRenderedPageBreak/>
        <w:t xml:space="preserve">que se refiere a los deberes </w:t>
      </w:r>
      <w:r w:rsidR="0080214D" w:rsidRPr="004768D0">
        <w:rPr>
          <w:rFonts w:asciiTheme="majorHAnsi" w:hAnsiTheme="majorHAnsi"/>
          <w:color w:val="000000" w:themeColor="text1"/>
          <w:sz w:val="20"/>
          <w:szCs w:val="20"/>
          <w:lang w:val="es-ES"/>
        </w:rPr>
        <w:t xml:space="preserve">de </w:t>
      </w:r>
      <w:r w:rsidR="00712D2E" w:rsidRPr="004768D0">
        <w:rPr>
          <w:rFonts w:asciiTheme="majorHAnsi" w:hAnsiTheme="majorHAnsi"/>
          <w:color w:val="000000" w:themeColor="text1"/>
          <w:sz w:val="20"/>
          <w:szCs w:val="20"/>
          <w:lang w:val="es-ES"/>
        </w:rPr>
        <w:t>investiga</w:t>
      </w:r>
      <w:r w:rsidR="00C029EA" w:rsidRPr="004768D0">
        <w:rPr>
          <w:rFonts w:asciiTheme="majorHAnsi" w:hAnsiTheme="majorHAnsi"/>
          <w:color w:val="000000" w:themeColor="text1"/>
          <w:sz w:val="20"/>
          <w:szCs w:val="20"/>
          <w:lang w:val="es-ES"/>
        </w:rPr>
        <w:t xml:space="preserve">r y sancionar a los </w:t>
      </w:r>
      <w:r w:rsidR="000A5DA2" w:rsidRPr="004768D0">
        <w:rPr>
          <w:rFonts w:asciiTheme="majorHAnsi" w:hAnsiTheme="majorHAnsi"/>
          <w:color w:val="000000" w:themeColor="text1"/>
          <w:sz w:val="20"/>
          <w:szCs w:val="20"/>
          <w:lang w:val="es-ES"/>
        </w:rPr>
        <w:t>responsables</w:t>
      </w:r>
      <w:r w:rsidR="0080214D" w:rsidRPr="004768D0">
        <w:rPr>
          <w:rFonts w:asciiTheme="majorHAnsi" w:hAnsiTheme="majorHAnsi"/>
          <w:color w:val="000000" w:themeColor="text1"/>
          <w:sz w:val="20"/>
          <w:szCs w:val="20"/>
          <w:lang w:val="es-ES"/>
        </w:rPr>
        <w:t xml:space="preserve">, </w:t>
      </w:r>
      <w:r w:rsidR="00C029EA" w:rsidRPr="004768D0">
        <w:rPr>
          <w:rFonts w:asciiTheme="majorHAnsi" w:hAnsiTheme="majorHAnsi"/>
          <w:color w:val="000000" w:themeColor="text1"/>
          <w:sz w:val="20"/>
          <w:szCs w:val="20"/>
          <w:lang w:val="es-ES"/>
        </w:rPr>
        <w:t>l</w:t>
      </w:r>
      <w:r w:rsidR="0080214D" w:rsidRPr="004768D0">
        <w:rPr>
          <w:rFonts w:asciiTheme="majorHAnsi" w:hAnsiTheme="majorHAnsi"/>
          <w:color w:val="000000" w:themeColor="text1"/>
          <w:sz w:val="20"/>
          <w:szCs w:val="20"/>
          <w:lang w:val="es-ES"/>
        </w:rPr>
        <w:t xml:space="preserve">os </w:t>
      </w:r>
      <w:r w:rsidRPr="004768D0">
        <w:rPr>
          <w:rFonts w:asciiTheme="majorHAnsi" w:hAnsiTheme="majorHAnsi"/>
          <w:color w:val="000000" w:themeColor="text1"/>
          <w:sz w:val="20"/>
          <w:szCs w:val="20"/>
          <w:lang w:val="es-ES"/>
        </w:rPr>
        <w:t>órganos</w:t>
      </w:r>
      <w:r w:rsidR="0080214D" w:rsidRPr="004768D0">
        <w:rPr>
          <w:rFonts w:asciiTheme="majorHAnsi" w:hAnsiTheme="majorHAnsi"/>
          <w:color w:val="000000" w:themeColor="text1"/>
          <w:sz w:val="20"/>
          <w:szCs w:val="20"/>
          <w:lang w:val="es-ES"/>
        </w:rPr>
        <w:t xml:space="preserve"> de</w:t>
      </w:r>
      <w:r w:rsidR="003D13F3">
        <w:rPr>
          <w:rFonts w:asciiTheme="majorHAnsi" w:hAnsiTheme="majorHAnsi"/>
          <w:color w:val="000000" w:themeColor="text1"/>
          <w:sz w:val="20"/>
          <w:szCs w:val="20"/>
          <w:lang w:val="es-ES"/>
        </w:rPr>
        <w:t>l</w:t>
      </w:r>
      <w:r w:rsidR="0080214D" w:rsidRPr="004768D0">
        <w:rPr>
          <w:rFonts w:asciiTheme="majorHAnsi" w:hAnsiTheme="majorHAnsi"/>
          <w:color w:val="000000" w:themeColor="text1"/>
          <w:sz w:val="20"/>
          <w:szCs w:val="20"/>
          <w:lang w:val="es-ES"/>
        </w:rPr>
        <w:t xml:space="preserve"> Estado no se mant</w:t>
      </w:r>
      <w:r w:rsidR="00C029EA" w:rsidRPr="004768D0">
        <w:rPr>
          <w:rFonts w:asciiTheme="majorHAnsi" w:hAnsiTheme="majorHAnsi"/>
          <w:color w:val="000000" w:themeColor="text1"/>
          <w:sz w:val="20"/>
          <w:szCs w:val="20"/>
          <w:lang w:val="es-ES"/>
        </w:rPr>
        <w:t xml:space="preserve">uvieron </w:t>
      </w:r>
      <w:r w:rsidR="0080214D" w:rsidRPr="004768D0">
        <w:rPr>
          <w:rFonts w:asciiTheme="majorHAnsi" w:hAnsiTheme="majorHAnsi"/>
          <w:color w:val="000000" w:themeColor="text1"/>
          <w:sz w:val="20"/>
          <w:szCs w:val="20"/>
          <w:lang w:val="es-ES"/>
        </w:rPr>
        <w:t>inertes.</w:t>
      </w:r>
    </w:p>
    <w:bookmarkEnd w:id="6"/>
    <w:p w14:paraId="1DA1F8E3" w14:textId="77777777" w:rsidR="0080214D" w:rsidRPr="004768D0" w:rsidRDefault="00462731" w:rsidP="00A104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4768D0">
        <w:rPr>
          <w:rFonts w:asciiTheme="majorHAnsi" w:hAnsiTheme="majorHAnsi"/>
          <w:color w:val="000000" w:themeColor="text1"/>
          <w:sz w:val="20"/>
          <w:szCs w:val="20"/>
          <w:lang w:val="es-ES"/>
        </w:rPr>
        <w:t>El Estado</w:t>
      </w:r>
      <w:r w:rsidR="0080214D" w:rsidRPr="004768D0">
        <w:rPr>
          <w:rFonts w:asciiTheme="majorHAnsi" w:hAnsiTheme="majorHAnsi"/>
          <w:color w:val="000000" w:themeColor="text1"/>
          <w:sz w:val="20"/>
          <w:szCs w:val="20"/>
          <w:lang w:val="es-ES"/>
        </w:rPr>
        <w:t xml:space="preserve"> argumenta </w:t>
      </w:r>
      <w:r w:rsidR="00C029EA" w:rsidRPr="004768D0">
        <w:rPr>
          <w:rFonts w:asciiTheme="majorHAnsi" w:hAnsiTheme="majorHAnsi"/>
          <w:color w:val="000000" w:themeColor="text1"/>
          <w:sz w:val="20"/>
          <w:szCs w:val="20"/>
          <w:lang w:val="es-ES"/>
        </w:rPr>
        <w:t xml:space="preserve">también </w:t>
      </w:r>
      <w:r w:rsidR="0080214D" w:rsidRPr="004768D0">
        <w:rPr>
          <w:rFonts w:asciiTheme="majorHAnsi" w:hAnsiTheme="majorHAnsi"/>
          <w:color w:val="000000" w:themeColor="text1"/>
          <w:sz w:val="20"/>
          <w:szCs w:val="20"/>
          <w:lang w:val="es-ES"/>
        </w:rPr>
        <w:t xml:space="preserve">que </w:t>
      </w:r>
      <w:r w:rsidR="00C029EA" w:rsidRPr="004768D0">
        <w:rPr>
          <w:rFonts w:asciiTheme="majorHAnsi" w:hAnsiTheme="majorHAnsi"/>
          <w:color w:val="000000" w:themeColor="text1"/>
          <w:sz w:val="20"/>
          <w:szCs w:val="20"/>
          <w:lang w:val="es-ES"/>
        </w:rPr>
        <w:t>l</w:t>
      </w:r>
      <w:r w:rsidR="0080214D" w:rsidRPr="004768D0">
        <w:rPr>
          <w:rFonts w:asciiTheme="majorHAnsi" w:hAnsiTheme="majorHAnsi"/>
          <w:color w:val="000000" w:themeColor="text1"/>
          <w:sz w:val="20"/>
          <w:szCs w:val="20"/>
          <w:lang w:val="es-ES"/>
        </w:rPr>
        <w:t xml:space="preserve">a </w:t>
      </w:r>
      <w:r w:rsidR="00882F67" w:rsidRPr="004768D0">
        <w:rPr>
          <w:rFonts w:asciiTheme="majorHAnsi" w:hAnsiTheme="majorHAnsi"/>
          <w:color w:val="000000" w:themeColor="text1"/>
          <w:sz w:val="20"/>
          <w:szCs w:val="20"/>
          <w:lang w:val="es-ES"/>
        </w:rPr>
        <w:t>petición</w:t>
      </w:r>
      <w:r w:rsidR="0080214D" w:rsidRPr="004768D0">
        <w:rPr>
          <w:rFonts w:asciiTheme="majorHAnsi" w:hAnsiTheme="majorHAnsi"/>
          <w:color w:val="000000" w:themeColor="text1"/>
          <w:sz w:val="20"/>
          <w:szCs w:val="20"/>
          <w:lang w:val="es-ES"/>
        </w:rPr>
        <w:t xml:space="preserve"> </w:t>
      </w:r>
      <w:r w:rsidR="00C029EA" w:rsidRPr="004768D0">
        <w:rPr>
          <w:rFonts w:asciiTheme="majorHAnsi" w:hAnsiTheme="majorHAnsi"/>
          <w:color w:val="000000" w:themeColor="text1"/>
          <w:sz w:val="20"/>
          <w:szCs w:val="20"/>
          <w:lang w:val="es-ES"/>
        </w:rPr>
        <w:t>es</w:t>
      </w:r>
      <w:r w:rsidR="0080214D" w:rsidRPr="004768D0">
        <w:rPr>
          <w:rFonts w:asciiTheme="majorHAnsi" w:hAnsiTheme="majorHAnsi"/>
          <w:color w:val="000000" w:themeColor="text1"/>
          <w:sz w:val="20"/>
          <w:szCs w:val="20"/>
          <w:lang w:val="es-ES"/>
        </w:rPr>
        <w:t xml:space="preserve"> </w:t>
      </w:r>
      <w:r w:rsidR="00882F67" w:rsidRPr="004768D0">
        <w:rPr>
          <w:rFonts w:asciiTheme="majorHAnsi" w:hAnsiTheme="majorHAnsi"/>
          <w:color w:val="000000" w:themeColor="text1"/>
          <w:sz w:val="20"/>
          <w:szCs w:val="20"/>
          <w:lang w:val="es-ES"/>
        </w:rPr>
        <w:t>inadmisible</w:t>
      </w:r>
      <w:r w:rsidR="0080214D" w:rsidRPr="004768D0">
        <w:rPr>
          <w:rFonts w:asciiTheme="majorHAnsi" w:hAnsiTheme="majorHAnsi"/>
          <w:color w:val="000000" w:themeColor="text1"/>
          <w:sz w:val="20"/>
          <w:szCs w:val="20"/>
          <w:lang w:val="es-ES"/>
        </w:rPr>
        <w:t xml:space="preserve"> </w:t>
      </w:r>
      <w:r w:rsidR="004744F0" w:rsidRPr="004768D0">
        <w:rPr>
          <w:rFonts w:asciiTheme="majorHAnsi" w:hAnsiTheme="majorHAnsi"/>
          <w:color w:val="000000" w:themeColor="text1"/>
          <w:sz w:val="20"/>
          <w:szCs w:val="20"/>
          <w:lang w:val="es-ES"/>
        </w:rPr>
        <w:t>“</w:t>
      </w:r>
      <w:r w:rsidR="00C029EA" w:rsidRPr="004768D0">
        <w:rPr>
          <w:rFonts w:asciiTheme="majorHAnsi" w:hAnsiTheme="majorHAnsi"/>
          <w:color w:val="000000" w:themeColor="text1"/>
          <w:sz w:val="20"/>
          <w:szCs w:val="20"/>
          <w:lang w:val="es-ES"/>
        </w:rPr>
        <w:t xml:space="preserve">debido al requisito del agotamiento previo de los </w:t>
      </w:r>
      <w:r w:rsidR="0080214D" w:rsidRPr="004768D0">
        <w:rPr>
          <w:rFonts w:asciiTheme="majorHAnsi" w:hAnsiTheme="majorHAnsi"/>
          <w:color w:val="000000" w:themeColor="text1"/>
          <w:sz w:val="20"/>
          <w:szCs w:val="20"/>
          <w:lang w:val="es-ES"/>
        </w:rPr>
        <w:t xml:space="preserve">recursos internos, </w:t>
      </w:r>
      <w:r w:rsidR="00C029EA" w:rsidRPr="004768D0">
        <w:rPr>
          <w:rFonts w:asciiTheme="majorHAnsi" w:hAnsiTheme="majorHAnsi"/>
          <w:color w:val="000000" w:themeColor="text1"/>
          <w:sz w:val="20"/>
          <w:szCs w:val="20"/>
          <w:lang w:val="es-ES"/>
        </w:rPr>
        <w:t xml:space="preserve">sumado a la </w:t>
      </w:r>
      <w:r w:rsidR="0080214D" w:rsidRPr="004768D0">
        <w:rPr>
          <w:rFonts w:asciiTheme="majorHAnsi" w:hAnsiTheme="majorHAnsi"/>
          <w:color w:val="000000" w:themeColor="text1"/>
          <w:sz w:val="20"/>
          <w:szCs w:val="20"/>
          <w:lang w:val="es-ES"/>
        </w:rPr>
        <w:t>fórmula d</w:t>
      </w:r>
      <w:r w:rsidR="00C029EA" w:rsidRPr="004768D0">
        <w:rPr>
          <w:rFonts w:asciiTheme="majorHAnsi" w:hAnsiTheme="majorHAnsi"/>
          <w:color w:val="000000" w:themeColor="text1"/>
          <w:sz w:val="20"/>
          <w:szCs w:val="20"/>
          <w:lang w:val="es-ES"/>
        </w:rPr>
        <w:t>e la cuarta</w:t>
      </w:r>
      <w:r w:rsidR="0080214D" w:rsidRPr="004768D0">
        <w:rPr>
          <w:rFonts w:asciiTheme="majorHAnsi" w:hAnsiTheme="majorHAnsi"/>
          <w:color w:val="000000" w:themeColor="text1"/>
          <w:sz w:val="20"/>
          <w:szCs w:val="20"/>
          <w:lang w:val="es-ES"/>
        </w:rPr>
        <w:t xml:space="preserve"> instancia, </w:t>
      </w:r>
      <w:r w:rsidR="00C029EA" w:rsidRPr="004768D0">
        <w:rPr>
          <w:rFonts w:asciiTheme="majorHAnsi" w:hAnsiTheme="majorHAnsi"/>
          <w:color w:val="000000" w:themeColor="text1"/>
          <w:sz w:val="20"/>
          <w:szCs w:val="20"/>
          <w:lang w:val="es-ES"/>
        </w:rPr>
        <w:t xml:space="preserve">ya </w:t>
      </w:r>
      <w:r w:rsidR="0080214D" w:rsidRPr="004768D0">
        <w:rPr>
          <w:rFonts w:asciiTheme="majorHAnsi" w:hAnsiTheme="majorHAnsi"/>
          <w:color w:val="000000" w:themeColor="text1"/>
          <w:sz w:val="20"/>
          <w:szCs w:val="20"/>
          <w:lang w:val="es-ES"/>
        </w:rPr>
        <w:t xml:space="preserve">que </w:t>
      </w:r>
      <w:r w:rsidR="00C029EA" w:rsidRPr="004768D0">
        <w:rPr>
          <w:rFonts w:asciiTheme="majorHAnsi" w:hAnsiTheme="majorHAnsi"/>
          <w:color w:val="000000" w:themeColor="text1"/>
          <w:sz w:val="20"/>
          <w:szCs w:val="20"/>
          <w:lang w:val="es-ES"/>
        </w:rPr>
        <w:t>l</w:t>
      </w:r>
      <w:r w:rsidR="0080214D" w:rsidRPr="004768D0">
        <w:rPr>
          <w:rFonts w:asciiTheme="majorHAnsi" w:hAnsiTheme="majorHAnsi"/>
          <w:color w:val="000000" w:themeColor="text1"/>
          <w:sz w:val="20"/>
          <w:szCs w:val="20"/>
          <w:lang w:val="es-ES"/>
        </w:rPr>
        <w:t xml:space="preserve">as medidas </w:t>
      </w:r>
      <w:r w:rsidR="00C029EA" w:rsidRPr="004768D0">
        <w:rPr>
          <w:rFonts w:asciiTheme="majorHAnsi" w:hAnsiTheme="majorHAnsi"/>
          <w:color w:val="000000" w:themeColor="text1"/>
          <w:sz w:val="20"/>
          <w:szCs w:val="20"/>
          <w:lang w:val="es-ES"/>
        </w:rPr>
        <w:t xml:space="preserve">adoptadas por la </w:t>
      </w:r>
      <w:r w:rsidR="00372008" w:rsidRPr="004768D0">
        <w:rPr>
          <w:rFonts w:asciiTheme="majorHAnsi" w:hAnsiTheme="majorHAnsi"/>
          <w:color w:val="000000" w:themeColor="text1"/>
          <w:sz w:val="20"/>
          <w:szCs w:val="20"/>
          <w:lang w:val="es-ES"/>
        </w:rPr>
        <w:t>Policía</w:t>
      </w:r>
      <w:r w:rsidR="0080214D" w:rsidRPr="004768D0">
        <w:rPr>
          <w:rFonts w:asciiTheme="majorHAnsi" w:hAnsiTheme="majorHAnsi"/>
          <w:color w:val="000000" w:themeColor="text1"/>
          <w:sz w:val="20"/>
          <w:szCs w:val="20"/>
          <w:lang w:val="es-ES"/>
        </w:rPr>
        <w:t xml:space="preserve"> Civil, </w:t>
      </w:r>
      <w:r w:rsidR="00C029EA" w:rsidRPr="004768D0">
        <w:rPr>
          <w:rFonts w:asciiTheme="majorHAnsi" w:hAnsiTheme="majorHAnsi"/>
          <w:color w:val="000000" w:themeColor="text1"/>
          <w:sz w:val="20"/>
          <w:szCs w:val="20"/>
          <w:lang w:val="es-ES"/>
        </w:rPr>
        <w:t xml:space="preserve">el </w:t>
      </w:r>
      <w:r w:rsidR="00F154A0" w:rsidRPr="004768D0">
        <w:rPr>
          <w:rFonts w:asciiTheme="majorHAnsi" w:hAnsiTheme="majorHAnsi"/>
          <w:color w:val="000000" w:themeColor="text1"/>
          <w:sz w:val="20"/>
          <w:szCs w:val="20"/>
          <w:lang w:val="es-ES"/>
        </w:rPr>
        <w:t>Ministerio</w:t>
      </w:r>
      <w:r w:rsidR="0080214D" w:rsidRPr="004768D0">
        <w:rPr>
          <w:rFonts w:asciiTheme="majorHAnsi" w:hAnsiTheme="majorHAnsi"/>
          <w:color w:val="000000" w:themeColor="text1"/>
          <w:sz w:val="20"/>
          <w:szCs w:val="20"/>
          <w:lang w:val="es-ES"/>
        </w:rPr>
        <w:t xml:space="preserve"> Público </w:t>
      </w:r>
      <w:r w:rsidR="00C029EA" w:rsidRPr="004768D0">
        <w:rPr>
          <w:rFonts w:asciiTheme="majorHAnsi" w:hAnsiTheme="majorHAnsi"/>
          <w:color w:val="000000" w:themeColor="text1"/>
          <w:sz w:val="20"/>
          <w:szCs w:val="20"/>
          <w:lang w:val="es-ES"/>
        </w:rPr>
        <w:t xml:space="preserve">y el </w:t>
      </w:r>
      <w:r w:rsidR="0080214D" w:rsidRPr="004768D0">
        <w:rPr>
          <w:rFonts w:asciiTheme="majorHAnsi" w:hAnsiTheme="majorHAnsi"/>
          <w:color w:val="000000" w:themeColor="text1"/>
          <w:sz w:val="20"/>
          <w:szCs w:val="20"/>
          <w:lang w:val="es-ES"/>
        </w:rPr>
        <w:t xml:space="preserve">Poder </w:t>
      </w:r>
      <w:r w:rsidR="00246A29" w:rsidRPr="004768D0">
        <w:rPr>
          <w:rFonts w:asciiTheme="majorHAnsi" w:hAnsiTheme="majorHAnsi"/>
          <w:color w:val="000000" w:themeColor="text1"/>
          <w:sz w:val="20"/>
          <w:szCs w:val="20"/>
          <w:lang w:val="es-ES"/>
        </w:rPr>
        <w:t>Judicial</w:t>
      </w:r>
      <w:r w:rsidR="0080214D" w:rsidRPr="004768D0">
        <w:rPr>
          <w:rFonts w:asciiTheme="majorHAnsi" w:hAnsiTheme="majorHAnsi"/>
          <w:color w:val="000000" w:themeColor="text1"/>
          <w:sz w:val="20"/>
          <w:szCs w:val="20"/>
          <w:lang w:val="es-ES"/>
        </w:rPr>
        <w:t xml:space="preserve"> </w:t>
      </w:r>
      <w:r w:rsidR="007F4608" w:rsidRPr="004768D0">
        <w:rPr>
          <w:rFonts w:asciiTheme="majorHAnsi" w:hAnsiTheme="majorHAnsi"/>
          <w:color w:val="000000" w:themeColor="text1"/>
          <w:sz w:val="20"/>
          <w:szCs w:val="20"/>
          <w:lang w:val="es-ES"/>
        </w:rPr>
        <w:t xml:space="preserve">del </w:t>
      </w:r>
      <w:r w:rsidR="0000579C">
        <w:rPr>
          <w:rFonts w:asciiTheme="majorHAnsi" w:hAnsiTheme="majorHAnsi"/>
          <w:color w:val="000000" w:themeColor="text1"/>
          <w:sz w:val="20"/>
          <w:szCs w:val="20"/>
          <w:lang w:val="es-ES"/>
        </w:rPr>
        <w:t>estado de São Paulo</w:t>
      </w:r>
      <w:r w:rsidR="0080214D" w:rsidRPr="004768D0">
        <w:rPr>
          <w:rFonts w:asciiTheme="majorHAnsi" w:hAnsiTheme="majorHAnsi"/>
          <w:color w:val="000000" w:themeColor="text1"/>
          <w:sz w:val="20"/>
          <w:szCs w:val="20"/>
          <w:lang w:val="es-ES"/>
        </w:rPr>
        <w:t xml:space="preserve"> </w:t>
      </w:r>
      <w:r w:rsidR="00C029EA" w:rsidRPr="004768D0">
        <w:rPr>
          <w:rFonts w:asciiTheme="majorHAnsi" w:hAnsiTheme="majorHAnsi"/>
          <w:color w:val="000000" w:themeColor="text1"/>
          <w:sz w:val="20"/>
          <w:szCs w:val="20"/>
          <w:lang w:val="es-ES"/>
        </w:rPr>
        <w:t xml:space="preserve">muestran que no hubo inercia de los </w:t>
      </w:r>
      <w:r w:rsidRPr="004768D0">
        <w:rPr>
          <w:rFonts w:asciiTheme="majorHAnsi" w:hAnsiTheme="majorHAnsi"/>
          <w:color w:val="000000" w:themeColor="text1"/>
          <w:sz w:val="20"/>
          <w:szCs w:val="20"/>
          <w:lang w:val="es-ES"/>
        </w:rPr>
        <w:t>órganos</w:t>
      </w:r>
      <w:r w:rsidR="0080214D" w:rsidRPr="004768D0">
        <w:rPr>
          <w:rFonts w:asciiTheme="majorHAnsi" w:hAnsiTheme="majorHAnsi"/>
          <w:color w:val="000000" w:themeColor="text1"/>
          <w:sz w:val="20"/>
          <w:szCs w:val="20"/>
          <w:lang w:val="es-ES"/>
        </w:rPr>
        <w:t xml:space="preserve"> </w:t>
      </w:r>
      <w:r w:rsidRPr="004768D0">
        <w:rPr>
          <w:rFonts w:asciiTheme="majorHAnsi" w:hAnsiTheme="majorHAnsi"/>
          <w:color w:val="000000" w:themeColor="text1"/>
          <w:sz w:val="20"/>
          <w:szCs w:val="20"/>
          <w:lang w:val="es-ES"/>
        </w:rPr>
        <w:t>estatales</w:t>
      </w:r>
      <w:r w:rsidR="0080214D" w:rsidRPr="004768D0">
        <w:rPr>
          <w:rFonts w:asciiTheme="majorHAnsi" w:hAnsiTheme="majorHAnsi"/>
          <w:color w:val="000000" w:themeColor="text1"/>
          <w:sz w:val="20"/>
          <w:szCs w:val="20"/>
          <w:lang w:val="es-ES"/>
        </w:rPr>
        <w:t xml:space="preserve"> </w:t>
      </w:r>
      <w:r w:rsidR="003D13F3">
        <w:rPr>
          <w:rFonts w:asciiTheme="majorHAnsi" w:hAnsiTheme="majorHAnsi"/>
          <w:color w:val="000000" w:themeColor="text1"/>
          <w:sz w:val="20"/>
          <w:szCs w:val="20"/>
          <w:lang w:val="es-ES"/>
        </w:rPr>
        <w:t xml:space="preserve">encargados </w:t>
      </w:r>
      <w:r w:rsidR="00C029EA" w:rsidRPr="004768D0">
        <w:rPr>
          <w:rFonts w:asciiTheme="majorHAnsi" w:hAnsiTheme="majorHAnsi"/>
          <w:color w:val="000000" w:themeColor="text1"/>
          <w:sz w:val="20"/>
          <w:szCs w:val="20"/>
          <w:lang w:val="es-ES"/>
        </w:rPr>
        <w:t xml:space="preserve">del enjuiciamiento, la </w:t>
      </w:r>
      <w:r w:rsidR="00F154A0" w:rsidRPr="004768D0">
        <w:rPr>
          <w:rFonts w:asciiTheme="majorHAnsi" w:hAnsiTheme="majorHAnsi"/>
          <w:color w:val="000000" w:themeColor="text1"/>
          <w:sz w:val="20"/>
          <w:szCs w:val="20"/>
          <w:lang w:val="es-ES"/>
        </w:rPr>
        <w:t>denuncia</w:t>
      </w:r>
      <w:r w:rsidR="0080214D" w:rsidRPr="004768D0">
        <w:rPr>
          <w:rFonts w:asciiTheme="majorHAnsi" w:hAnsiTheme="majorHAnsi"/>
          <w:color w:val="000000" w:themeColor="text1"/>
          <w:sz w:val="20"/>
          <w:szCs w:val="20"/>
          <w:lang w:val="es-ES"/>
        </w:rPr>
        <w:t xml:space="preserve"> </w:t>
      </w:r>
      <w:r w:rsidR="00C029EA" w:rsidRPr="004768D0">
        <w:rPr>
          <w:rFonts w:asciiTheme="majorHAnsi" w:hAnsiTheme="majorHAnsi"/>
          <w:color w:val="000000" w:themeColor="text1"/>
          <w:sz w:val="20"/>
          <w:szCs w:val="20"/>
          <w:lang w:val="es-ES"/>
        </w:rPr>
        <w:t>y la</w:t>
      </w:r>
      <w:r w:rsidR="0080214D" w:rsidRPr="004768D0">
        <w:rPr>
          <w:rFonts w:asciiTheme="majorHAnsi" w:hAnsiTheme="majorHAnsi"/>
          <w:color w:val="000000" w:themeColor="text1"/>
          <w:sz w:val="20"/>
          <w:szCs w:val="20"/>
          <w:lang w:val="es-ES"/>
        </w:rPr>
        <w:t xml:space="preserve"> responsabiliza</w:t>
      </w:r>
      <w:r w:rsidR="00C029EA" w:rsidRPr="004768D0">
        <w:rPr>
          <w:rFonts w:asciiTheme="majorHAnsi" w:hAnsiTheme="majorHAnsi"/>
          <w:color w:val="000000" w:themeColor="text1"/>
          <w:sz w:val="20"/>
          <w:szCs w:val="20"/>
          <w:lang w:val="es-ES"/>
        </w:rPr>
        <w:t xml:space="preserve">ción penal de los </w:t>
      </w:r>
      <w:r w:rsidR="0080214D" w:rsidRPr="004768D0">
        <w:rPr>
          <w:rFonts w:asciiTheme="majorHAnsi" w:hAnsiTheme="majorHAnsi"/>
          <w:color w:val="000000" w:themeColor="text1"/>
          <w:sz w:val="20"/>
          <w:szCs w:val="20"/>
          <w:lang w:val="es-ES"/>
        </w:rPr>
        <w:t xml:space="preserve">acusados </w:t>
      </w:r>
      <w:r w:rsidR="00C029EA" w:rsidRPr="004768D0">
        <w:rPr>
          <w:rFonts w:asciiTheme="majorHAnsi" w:hAnsiTheme="majorHAnsi"/>
          <w:color w:val="000000" w:themeColor="text1"/>
          <w:sz w:val="20"/>
          <w:szCs w:val="20"/>
          <w:lang w:val="es-ES"/>
        </w:rPr>
        <w:t>del</w:t>
      </w:r>
      <w:r w:rsidR="0080214D" w:rsidRPr="004768D0">
        <w:rPr>
          <w:rFonts w:asciiTheme="majorHAnsi" w:hAnsiTheme="majorHAnsi"/>
          <w:color w:val="000000" w:themeColor="text1"/>
          <w:sz w:val="20"/>
          <w:szCs w:val="20"/>
          <w:lang w:val="es-ES"/>
        </w:rPr>
        <w:t xml:space="preserve"> </w:t>
      </w:r>
      <w:r w:rsidR="00F154A0" w:rsidRPr="004768D0">
        <w:rPr>
          <w:rFonts w:asciiTheme="majorHAnsi" w:hAnsiTheme="majorHAnsi"/>
          <w:color w:val="000000" w:themeColor="text1"/>
          <w:sz w:val="20"/>
          <w:szCs w:val="20"/>
          <w:lang w:val="es-ES"/>
        </w:rPr>
        <w:t>homicidio</w:t>
      </w:r>
      <w:r w:rsidR="0080214D" w:rsidRPr="004768D0">
        <w:rPr>
          <w:rFonts w:asciiTheme="majorHAnsi" w:hAnsiTheme="majorHAnsi"/>
          <w:color w:val="000000" w:themeColor="text1"/>
          <w:sz w:val="20"/>
          <w:szCs w:val="20"/>
          <w:lang w:val="es-ES"/>
        </w:rPr>
        <w:t xml:space="preserve"> d</w:t>
      </w:r>
      <w:r w:rsidR="00C029EA" w:rsidRPr="004768D0">
        <w:rPr>
          <w:rFonts w:asciiTheme="majorHAnsi" w:hAnsiTheme="majorHAnsi"/>
          <w:color w:val="000000" w:themeColor="text1"/>
          <w:sz w:val="20"/>
          <w:szCs w:val="20"/>
          <w:lang w:val="es-ES"/>
        </w:rPr>
        <w:t>e l</w:t>
      </w:r>
      <w:r w:rsidR="0080214D" w:rsidRPr="004768D0">
        <w:rPr>
          <w:rFonts w:asciiTheme="majorHAnsi" w:hAnsiTheme="majorHAnsi"/>
          <w:color w:val="000000" w:themeColor="text1"/>
          <w:sz w:val="20"/>
          <w:szCs w:val="20"/>
          <w:lang w:val="es-ES"/>
        </w:rPr>
        <w:t xml:space="preserve">as </w:t>
      </w:r>
      <w:r w:rsidR="00000CF9" w:rsidRPr="004768D0">
        <w:rPr>
          <w:rFonts w:asciiTheme="majorHAnsi" w:hAnsiTheme="majorHAnsi"/>
          <w:color w:val="000000" w:themeColor="text1"/>
          <w:sz w:val="20"/>
          <w:szCs w:val="20"/>
          <w:lang w:val="es-ES"/>
        </w:rPr>
        <w:t>víctimas</w:t>
      </w:r>
      <w:r w:rsidR="0080214D" w:rsidRPr="004768D0">
        <w:rPr>
          <w:rFonts w:asciiTheme="majorHAnsi" w:hAnsiTheme="majorHAnsi"/>
          <w:color w:val="000000" w:themeColor="text1"/>
          <w:sz w:val="20"/>
          <w:szCs w:val="20"/>
          <w:lang w:val="es-ES"/>
        </w:rPr>
        <w:t xml:space="preserve"> </w:t>
      </w:r>
      <w:r w:rsidR="00C029EA" w:rsidRPr="004768D0">
        <w:rPr>
          <w:rFonts w:asciiTheme="majorHAnsi" w:hAnsiTheme="majorHAnsi"/>
          <w:color w:val="000000" w:themeColor="text1"/>
          <w:sz w:val="20"/>
          <w:szCs w:val="20"/>
          <w:lang w:val="es-ES"/>
        </w:rPr>
        <w:t xml:space="preserve">señaladas. </w:t>
      </w:r>
      <w:r w:rsidR="00FC3E1F" w:rsidRPr="004768D0">
        <w:rPr>
          <w:rFonts w:asciiTheme="majorHAnsi" w:hAnsiTheme="majorHAnsi"/>
          <w:color w:val="000000" w:themeColor="text1"/>
          <w:sz w:val="20"/>
          <w:szCs w:val="20"/>
          <w:lang w:val="es-ES"/>
        </w:rPr>
        <w:t>En algunos casos, l</w:t>
      </w:r>
      <w:r w:rsidR="00C029EA" w:rsidRPr="004768D0">
        <w:rPr>
          <w:rFonts w:asciiTheme="majorHAnsi" w:hAnsiTheme="majorHAnsi"/>
          <w:color w:val="000000" w:themeColor="text1"/>
          <w:sz w:val="20"/>
          <w:szCs w:val="20"/>
          <w:lang w:val="es-ES"/>
        </w:rPr>
        <w:t>a ausencia</w:t>
      </w:r>
      <w:r w:rsidR="0080214D" w:rsidRPr="004768D0">
        <w:rPr>
          <w:rFonts w:asciiTheme="majorHAnsi" w:hAnsiTheme="majorHAnsi"/>
          <w:color w:val="000000" w:themeColor="text1"/>
          <w:sz w:val="20"/>
          <w:szCs w:val="20"/>
          <w:lang w:val="es-ES"/>
        </w:rPr>
        <w:t xml:space="preserve"> de </w:t>
      </w:r>
      <w:r w:rsidR="00FC3E1F" w:rsidRPr="004768D0">
        <w:rPr>
          <w:rFonts w:asciiTheme="majorHAnsi" w:hAnsiTheme="majorHAnsi"/>
          <w:color w:val="000000" w:themeColor="text1"/>
          <w:sz w:val="20"/>
          <w:szCs w:val="20"/>
          <w:lang w:val="es-ES"/>
        </w:rPr>
        <w:t xml:space="preserve">indicios </w:t>
      </w:r>
      <w:r w:rsidR="0080214D" w:rsidRPr="004768D0">
        <w:rPr>
          <w:rFonts w:asciiTheme="majorHAnsi" w:hAnsiTheme="majorHAnsi"/>
          <w:color w:val="000000" w:themeColor="text1"/>
          <w:sz w:val="20"/>
          <w:szCs w:val="20"/>
          <w:lang w:val="es-ES"/>
        </w:rPr>
        <w:t xml:space="preserve">suficientes de </w:t>
      </w:r>
      <w:r w:rsidR="00FC3E1F" w:rsidRPr="004768D0">
        <w:rPr>
          <w:rFonts w:asciiTheme="majorHAnsi" w:hAnsiTheme="majorHAnsi"/>
          <w:color w:val="000000" w:themeColor="text1"/>
          <w:sz w:val="20"/>
          <w:szCs w:val="20"/>
          <w:lang w:val="es-ES"/>
        </w:rPr>
        <w:t>autoría</w:t>
      </w:r>
      <w:r w:rsidR="0080214D" w:rsidRPr="004768D0">
        <w:rPr>
          <w:rFonts w:asciiTheme="majorHAnsi" w:hAnsiTheme="majorHAnsi"/>
          <w:color w:val="000000" w:themeColor="text1"/>
          <w:sz w:val="20"/>
          <w:szCs w:val="20"/>
          <w:lang w:val="es-ES"/>
        </w:rPr>
        <w:t xml:space="preserve"> del</w:t>
      </w:r>
      <w:r w:rsidR="00FC3E1F" w:rsidRPr="004768D0">
        <w:rPr>
          <w:rFonts w:asciiTheme="majorHAnsi" w:hAnsiTheme="majorHAnsi"/>
          <w:color w:val="000000" w:themeColor="text1"/>
          <w:sz w:val="20"/>
          <w:szCs w:val="20"/>
          <w:lang w:val="es-ES"/>
        </w:rPr>
        <w:t xml:space="preserve"> delito es la razón de la </w:t>
      </w:r>
      <w:r w:rsidR="0080214D" w:rsidRPr="004768D0">
        <w:rPr>
          <w:rFonts w:asciiTheme="majorHAnsi" w:hAnsiTheme="majorHAnsi"/>
          <w:color w:val="000000" w:themeColor="text1"/>
          <w:sz w:val="20"/>
          <w:szCs w:val="20"/>
          <w:lang w:val="es-ES"/>
        </w:rPr>
        <w:t>falta de responsabiliza</w:t>
      </w:r>
      <w:r w:rsidR="00FC3E1F" w:rsidRPr="004768D0">
        <w:rPr>
          <w:rFonts w:asciiTheme="majorHAnsi" w:hAnsiTheme="majorHAnsi"/>
          <w:color w:val="000000" w:themeColor="text1"/>
          <w:sz w:val="20"/>
          <w:szCs w:val="20"/>
          <w:lang w:val="es-ES"/>
        </w:rPr>
        <w:t>ción</w:t>
      </w:r>
      <w:r w:rsidR="0080214D" w:rsidRPr="004768D0">
        <w:rPr>
          <w:rFonts w:asciiTheme="majorHAnsi" w:hAnsiTheme="majorHAnsi"/>
          <w:color w:val="000000" w:themeColor="text1"/>
          <w:sz w:val="20"/>
          <w:szCs w:val="20"/>
          <w:lang w:val="es-ES"/>
        </w:rPr>
        <w:t xml:space="preserve"> penal</w:t>
      </w:r>
      <w:r w:rsidR="004744F0" w:rsidRPr="004768D0">
        <w:rPr>
          <w:rFonts w:asciiTheme="majorHAnsi" w:hAnsiTheme="majorHAnsi"/>
          <w:color w:val="000000" w:themeColor="text1"/>
          <w:sz w:val="20"/>
          <w:szCs w:val="20"/>
          <w:lang w:val="es-ES"/>
        </w:rPr>
        <w:t>”</w:t>
      </w:r>
      <w:r w:rsidR="00945902" w:rsidRPr="004768D0">
        <w:rPr>
          <w:rStyle w:val="FootnoteReference"/>
          <w:rFonts w:asciiTheme="majorHAnsi" w:hAnsiTheme="majorHAnsi"/>
          <w:bCs/>
          <w:color w:val="000000" w:themeColor="text1"/>
          <w:sz w:val="20"/>
          <w:szCs w:val="20"/>
          <w:lang w:val="es-ES"/>
        </w:rPr>
        <w:footnoteReference w:id="17"/>
      </w:r>
      <w:r w:rsidR="00FC3E1F" w:rsidRPr="004768D0">
        <w:rPr>
          <w:rFonts w:asciiTheme="majorHAnsi" w:hAnsiTheme="majorHAnsi"/>
          <w:color w:val="000000" w:themeColor="text1"/>
          <w:sz w:val="20"/>
          <w:szCs w:val="20"/>
          <w:lang w:val="es-ES"/>
        </w:rPr>
        <w:t>.</w:t>
      </w:r>
    </w:p>
    <w:p w14:paraId="69D5D7E1" w14:textId="77777777" w:rsidR="00945902" w:rsidRPr="004768D0" w:rsidRDefault="00945902" w:rsidP="00A104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4768D0">
        <w:rPr>
          <w:rFonts w:asciiTheme="majorHAnsi" w:hAnsiTheme="majorHAnsi"/>
          <w:color w:val="000000" w:themeColor="text1"/>
          <w:sz w:val="20"/>
          <w:szCs w:val="20"/>
          <w:lang w:val="es-ES"/>
        </w:rPr>
        <w:t xml:space="preserve">Por </w:t>
      </w:r>
      <w:r w:rsidR="00FC3E1F" w:rsidRPr="004768D0">
        <w:rPr>
          <w:rFonts w:asciiTheme="majorHAnsi" w:hAnsiTheme="majorHAnsi"/>
          <w:color w:val="000000" w:themeColor="text1"/>
          <w:sz w:val="20"/>
          <w:szCs w:val="20"/>
          <w:lang w:val="es-ES"/>
        </w:rPr>
        <w:t xml:space="preserve">último, </w:t>
      </w:r>
      <w:bookmarkStart w:id="7" w:name="_Hlk72955119"/>
      <w:r w:rsidR="003C58C5" w:rsidRPr="004768D0">
        <w:rPr>
          <w:rFonts w:asciiTheme="majorHAnsi" w:hAnsiTheme="majorHAnsi"/>
          <w:color w:val="000000" w:themeColor="text1"/>
          <w:sz w:val="20"/>
          <w:szCs w:val="20"/>
          <w:lang w:val="es-ES"/>
        </w:rPr>
        <w:t>el Estado</w:t>
      </w:r>
      <w:r w:rsidRPr="004768D0">
        <w:rPr>
          <w:rFonts w:asciiTheme="majorHAnsi" w:hAnsiTheme="majorHAnsi"/>
          <w:color w:val="000000" w:themeColor="text1"/>
          <w:sz w:val="20"/>
          <w:szCs w:val="20"/>
          <w:lang w:val="es-ES"/>
        </w:rPr>
        <w:t xml:space="preserve"> </w:t>
      </w:r>
      <w:r w:rsidR="00FC3E1F" w:rsidRPr="004768D0">
        <w:rPr>
          <w:rFonts w:asciiTheme="majorHAnsi" w:hAnsiTheme="majorHAnsi"/>
          <w:color w:val="000000" w:themeColor="text1"/>
          <w:sz w:val="20"/>
          <w:szCs w:val="20"/>
          <w:lang w:val="es-ES"/>
        </w:rPr>
        <w:t xml:space="preserve">afirma </w:t>
      </w:r>
      <w:r w:rsidRPr="004768D0">
        <w:rPr>
          <w:rFonts w:asciiTheme="majorHAnsi" w:hAnsiTheme="majorHAnsi"/>
          <w:color w:val="000000" w:themeColor="text1"/>
          <w:sz w:val="20"/>
          <w:szCs w:val="20"/>
          <w:lang w:val="es-ES"/>
        </w:rPr>
        <w:t xml:space="preserve">que </w:t>
      </w:r>
      <w:r w:rsidR="00FC3E1F" w:rsidRPr="004768D0">
        <w:rPr>
          <w:rFonts w:asciiTheme="majorHAnsi" w:hAnsiTheme="majorHAnsi"/>
          <w:color w:val="000000" w:themeColor="text1"/>
          <w:sz w:val="20"/>
          <w:szCs w:val="20"/>
          <w:lang w:val="es-ES"/>
        </w:rPr>
        <w:t>l</w:t>
      </w:r>
      <w:r w:rsidRPr="004768D0">
        <w:rPr>
          <w:rFonts w:asciiTheme="majorHAnsi" w:hAnsiTheme="majorHAnsi"/>
          <w:color w:val="000000" w:themeColor="text1"/>
          <w:sz w:val="20"/>
          <w:szCs w:val="20"/>
          <w:lang w:val="es-ES"/>
        </w:rPr>
        <w:t xml:space="preserve">a </w:t>
      </w:r>
      <w:r w:rsidR="00882F67" w:rsidRPr="004768D0">
        <w:rPr>
          <w:rFonts w:asciiTheme="majorHAnsi" w:hAnsiTheme="majorHAnsi"/>
          <w:color w:val="000000" w:themeColor="text1"/>
          <w:sz w:val="20"/>
          <w:szCs w:val="20"/>
          <w:lang w:val="es-ES"/>
        </w:rPr>
        <w:t>petición</w:t>
      </w:r>
      <w:r w:rsidRPr="004768D0">
        <w:rPr>
          <w:rFonts w:asciiTheme="majorHAnsi" w:hAnsiTheme="majorHAnsi"/>
          <w:color w:val="000000" w:themeColor="text1"/>
          <w:sz w:val="20"/>
          <w:szCs w:val="20"/>
          <w:lang w:val="es-ES"/>
        </w:rPr>
        <w:t xml:space="preserve"> de</w:t>
      </w:r>
      <w:r w:rsidR="00FC3E1F" w:rsidRPr="004768D0">
        <w:rPr>
          <w:rFonts w:asciiTheme="majorHAnsi" w:hAnsiTheme="majorHAnsi"/>
          <w:color w:val="000000" w:themeColor="text1"/>
          <w:sz w:val="20"/>
          <w:szCs w:val="20"/>
          <w:lang w:val="es-ES"/>
        </w:rPr>
        <w:t>b</w:t>
      </w:r>
      <w:r w:rsidRPr="004768D0">
        <w:rPr>
          <w:rFonts w:asciiTheme="majorHAnsi" w:hAnsiTheme="majorHAnsi"/>
          <w:color w:val="000000" w:themeColor="text1"/>
          <w:sz w:val="20"/>
          <w:szCs w:val="20"/>
          <w:lang w:val="es-ES"/>
        </w:rPr>
        <w:t xml:space="preserve">e ser declarada </w:t>
      </w:r>
      <w:r w:rsidR="00882F67" w:rsidRPr="004768D0">
        <w:rPr>
          <w:rFonts w:asciiTheme="majorHAnsi" w:hAnsiTheme="majorHAnsi"/>
          <w:color w:val="000000" w:themeColor="text1"/>
          <w:sz w:val="20"/>
          <w:szCs w:val="20"/>
          <w:lang w:val="es-ES"/>
        </w:rPr>
        <w:t>inadmisible</w:t>
      </w:r>
      <w:r w:rsidRPr="004768D0">
        <w:rPr>
          <w:rFonts w:asciiTheme="majorHAnsi" w:hAnsiTheme="majorHAnsi"/>
          <w:color w:val="000000" w:themeColor="text1"/>
          <w:sz w:val="20"/>
          <w:szCs w:val="20"/>
          <w:lang w:val="es-ES"/>
        </w:rPr>
        <w:t xml:space="preserve"> </w:t>
      </w:r>
      <w:r w:rsidR="00FC3E1F" w:rsidRPr="004768D0">
        <w:rPr>
          <w:rFonts w:asciiTheme="majorHAnsi" w:hAnsiTheme="majorHAnsi"/>
          <w:color w:val="000000" w:themeColor="text1"/>
          <w:sz w:val="20"/>
          <w:szCs w:val="20"/>
          <w:lang w:val="es-ES"/>
        </w:rPr>
        <w:t xml:space="preserve">en vista de las informaciones y pruebas </w:t>
      </w:r>
      <w:r w:rsidRPr="004768D0">
        <w:rPr>
          <w:rFonts w:asciiTheme="majorHAnsi" w:hAnsiTheme="majorHAnsi"/>
          <w:color w:val="000000" w:themeColor="text1"/>
          <w:sz w:val="20"/>
          <w:szCs w:val="20"/>
          <w:lang w:val="es-ES"/>
        </w:rPr>
        <w:t xml:space="preserve">supervenientes relacionadas </w:t>
      </w:r>
      <w:r w:rsidR="00FC3E1F" w:rsidRPr="004768D0">
        <w:rPr>
          <w:rFonts w:asciiTheme="majorHAnsi" w:hAnsiTheme="majorHAnsi"/>
          <w:color w:val="000000" w:themeColor="text1"/>
          <w:sz w:val="20"/>
          <w:szCs w:val="20"/>
          <w:lang w:val="es-ES"/>
        </w:rPr>
        <w:t>con las dif</w:t>
      </w:r>
      <w:r w:rsidRPr="004768D0">
        <w:rPr>
          <w:rFonts w:asciiTheme="majorHAnsi" w:hAnsiTheme="majorHAnsi"/>
          <w:color w:val="000000" w:themeColor="text1"/>
          <w:sz w:val="20"/>
          <w:szCs w:val="20"/>
          <w:lang w:val="es-ES"/>
        </w:rPr>
        <w:t xml:space="preserve">erentes medidas </w:t>
      </w:r>
      <w:r w:rsidR="00FC3E1F" w:rsidRPr="004768D0">
        <w:rPr>
          <w:rFonts w:asciiTheme="majorHAnsi" w:hAnsiTheme="majorHAnsi"/>
          <w:color w:val="000000" w:themeColor="text1"/>
          <w:sz w:val="20"/>
          <w:szCs w:val="20"/>
          <w:lang w:val="es-ES"/>
        </w:rPr>
        <w:t>adoptadas</w:t>
      </w:r>
      <w:r w:rsidRPr="004768D0">
        <w:rPr>
          <w:rFonts w:asciiTheme="majorHAnsi" w:hAnsiTheme="majorHAnsi"/>
          <w:color w:val="000000" w:themeColor="text1"/>
          <w:sz w:val="20"/>
          <w:szCs w:val="20"/>
          <w:lang w:val="es-ES"/>
        </w:rPr>
        <w:t xml:space="preserve"> p</w:t>
      </w:r>
      <w:r w:rsidR="00FC3E1F" w:rsidRPr="004768D0">
        <w:rPr>
          <w:rFonts w:asciiTheme="majorHAnsi" w:hAnsiTheme="majorHAnsi"/>
          <w:color w:val="000000" w:themeColor="text1"/>
          <w:sz w:val="20"/>
          <w:szCs w:val="20"/>
          <w:lang w:val="es-ES"/>
        </w:rPr>
        <w:t xml:space="preserve">or </w:t>
      </w:r>
      <w:r w:rsidR="003C58C5" w:rsidRPr="004768D0">
        <w:rPr>
          <w:rFonts w:asciiTheme="majorHAnsi" w:hAnsiTheme="majorHAnsi"/>
          <w:color w:val="000000" w:themeColor="text1"/>
          <w:sz w:val="20"/>
          <w:szCs w:val="20"/>
          <w:lang w:val="es-ES"/>
        </w:rPr>
        <w:t>el Estado</w:t>
      </w:r>
      <w:r w:rsidRPr="004768D0">
        <w:rPr>
          <w:rFonts w:asciiTheme="majorHAnsi" w:hAnsiTheme="majorHAnsi"/>
          <w:color w:val="000000" w:themeColor="text1"/>
          <w:sz w:val="20"/>
          <w:szCs w:val="20"/>
          <w:lang w:val="es-ES"/>
        </w:rPr>
        <w:t xml:space="preserve">, </w:t>
      </w:r>
      <w:r w:rsidR="00FC3E1F" w:rsidRPr="004768D0">
        <w:rPr>
          <w:rFonts w:asciiTheme="majorHAnsi" w:hAnsiTheme="majorHAnsi"/>
          <w:color w:val="000000" w:themeColor="text1"/>
          <w:sz w:val="20"/>
          <w:szCs w:val="20"/>
          <w:lang w:val="es-ES"/>
        </w:rPr>
        <w:t xml:space="preserve">en el plano </w:t>
      </w:r>
      <w:r w:rsidRPr="004768D0">
        <w:rPr>
          <w:rFonts w:asciiTheme="majorHAnsi" w:hAnsiTheme="majorHAnsi"/>
          <w:color w:val="000000" w:themeColor="text1"/>
          <w:sz w:val="20"/>
          <w:szCs w:val="20"/>
          <w:lang w:val="es-ES"/>
        </w:rPr>
        <w:t xml:space="preserve">interno, </w:t>
      </w:r>
      <w:r w:rsidR="00FC3E1F" w:rsidRPr="004768D0">
        <w:rPr>
          <w:rFonts w:asciiTheme="majorHAnsi" w:hAnsiTheme="majorHAnsi"/>
          <w:color w:val="000000" w:themeColor="text1"/>
          <w:sz w:val="20"/>
          <w:szCs w:val="20"/>
          <w:lang w:val="es-ES"/>
        </w:rPr>
        <w:t xml:space="preserve">para </w:t>
      </w:r>
      <w:r w:rsidR="003D13F3">
        <w:rPr>
          <w:rFonts w:asciiTheme="majorHAnsi" w:hAnsiTheme="majorHAnsi"/>
          <w:color w:val="000000" w:themeColor="text1"/>
          <w:sz w:val="20"/>
          <w:szCs w:val="20"/>
          <w:lang w:val="es-ES"/>
        </w:rPr>
        <w:t xml:space="preserve">esclarecer </w:t>
      </w:r>
      <w:r w:rsidR="00FC3E1F" w:rsidRPr="004768D0">
        <w:rPr>
          <w:rFonts w:asciiTheme="majorHAnsi" w:hAnsiTheme="majorHAnsi"/>
          <w:color w:val="000000" w:themeColor="text1"/>
          <w:sz w:val="20"/>
          <w:szCs w:val="20"/>
          <w:lang w:val="es-ES"/>
        </w:rPr>
        <w:t xml:space="preserve">e investigar las </w:t>
      </w:r>
      <w:r w:rsidRPr="004768D0">
        <w:rPr>
          <w:rFonts w:asciiTheme="majorHAnsi" w:hAnsiTheme="majorHAnsi"/>
          <w:color w:val="000000" w:themeColor="text1"/>
          <w:sz w:val="20"/>
          <w:szCs w:val="20"/>
          <w:lang w:val="es-ES"/>
        </w:rPr>
        <w:t xml:space="preserve">responsabilidades </w:t>
      </w:r>
      <w:r w:rsidR="00882F67" w:rsidRPr="004768D0">
        <w:rPr>
          <w:rFonts w:asciiTheme="majorHAnsi" w:hAnsiTheme="majorHAnsi"/>
          <w:color w:val="000000" w:themeColor="text1"/>
          <w:sz w:val="20"/>
          <w:szCs w:val="20"/>
          <w:lang w:val="es-ES"/>
        </w:rPr>
        <w:t>individuales</w:t>
      </w:r>
      <w:r w:rsidRPr="004768D0">
        <w:rPr>
          <w:rFonts w:asciiTheme="majorHAnsi" w:hAnsiTheme="majorHAnsi"/>
          <w:color w:val="000000" w:themeColor="text1"/>
          <w:sz w:val="20"/>
          <w:szCs w:val="20"/>
          <w:lang w:val="es-ES"/>
        </w:rPr>
        <w:t xml:space="preserve"> relacionadas </w:t>
      </w:r>
      <w:r w:rsidR="00FC3E1F" w:rsidRPr="004768D0">
        <w:rPr>
          <w:rFonts w:asciiTheme="majorHAnsi" w:hAnsiTheme="majorHAnsi"/>
          <w:color w:val="000000" w:themeColor="text1"/>
          <w:sz w:val="20"/>
          <w:szCs w:val="20"/>
          <w:lang w:val="es-ES"/>
        </w:rPr>
        <w:t xml:space="preserve">con las </w:t>
      </w:r>
      <w:r w:rsidR="00462731" w:rsidRPr="004768D0">
        <w:rPr>
          <w:rFonts w:asciiTheme="majorHAnsi" w:hAnsiTheme="majorHAnsi"/>
          <w:color w:val="000000" w:themeColor="text1"/>
          <w:sz w:val="20"/>
          <w:szCs w:val="20"/>
          <w:lang w:val="es-ES"/>
        </w:rPr>
        <w:t>muertes</w:t>
      </w:r>
      <w:r w:rsidRPr="004768D0">
        <w:rPr>
          <w:rFonts w:asciiTheme="majorHAnsi" w:hAnsiTheme="majorHAnsi"/>
          <w:color w:val="000000" w:themeColor="text1"/>
          <w:sz w:val="20"/>
          <w:szCs w:val="20"/>
          <w:lang w:val="es-ES"/>
        </w:rPr>
        <w:t xml:space="preserve"> </w:t>
      </w:r>
      <w:r w:rsidR="00FC3E1F" w:rsidRPr="004768D0">
        <w:rPr>
          <w:rFonts w:asciiTheme="majorHAnsi" w:hAnsiTheme="majorHAnsi"/>
          <w:color w:val="000000" w:themeColor="text1"/>
          <w:sz w:val="20"/>
          <w:szCs w:val="20"/>
          <w:lang w:val="es-ES"/>
        </w:rPr>
        <w:t xml:space="preserve">y la reparación de los daños morales y materiales sufridos por las </w:t>
      </w:r>
      <w:r w:rsidR="00000CF9" w:rsidRPr="004768D0">
        <w:rPr>
          <w:rFonts w:asciiTheme="majorHAnsi" w:hAnsiTheme="majorHAnsi"/>
          <w:color w:val="000000" w:themeColor="text1"/>
          <w:sz w:val="20"/>
          <w:szCs w:val="20"/>
          <w:lang w:val="es-ES"/>
        </w:rPr>
        <w:t>víctimas</w:t>
      </w:r>
      <w:r w:rsidRPr="004768D0">
        <w:rPr>
          <w:rFonts w:asciiTheme="majorHAnsi" w:hAnsiTheme="majorHAnsi"/>
          <w:color w:val="000000" w:themeColor="text1"/>
          <w:sz w:val="20"/>
          <w:szCs w:val="20"/>
          <w:lang w:val="es-ES"/>
        </w:rPr>
        <w:t xml:space="preserve"> </w:t>
      </w:r>
      <w:r w:rsidR="00FC3E1F" w:rsidRPr="004768D0">
        <w:rPr>
          <w:rFonts w:asciiTheme="majorHAnsi" w:hAnsiTheme="majorHAnsi"/>
          <w:color w:val="000000" w:themeColor="text1"/>
          <w:sz w:val="20"/>
          <w:szCs w:val="20"/>
          <w:lang w:val="es-ES"/>
        </w:rPr>
        <w:t>y</w:t>
      </w:r>
      <w:r w:rsidRPr="004768D0">
        <w:rPr>
          <w:rFonts w:asciiTheme="majorHAnsi" w:hAnsiTheme="majorHAnsi"/>
          <w:color w:val="000000" w:themeColor="text1"/>
          <w:sz w:val="20"/>
          <w:szCs w:val="20"/>
          <w:lang w:val="es-ES"/>
        </w:rPr>
        <w:t xml:space="preserve"> </w:t>
      </w:r>
      <w:r w:rsidR="000C0AC4" w:rsidRPr="004768D0">
        <w:rPr>
          <w:rFonts w:asciiTheme="majorHAnsi" w:hAnsiTheme="majorHAnsi"/>
          <w:color w:val="000000" w:themeColor="text1"/>
          <w:sz w:val="20"/>
          <w:szCs w:val="20"/>
          <w:lang w:val="es-ES"/>
        </w:rPr>
        <w:t>sus</w:t>
      </w:r>
      <w:r w:rsidRPr="004768D0">
        <w:rPr>
          <w:rFonts w:asciiTheme="majorHAnsi" w:hAnsiTheme="majorHAnsi"/>
          <w:color w:val="000000" w:themeColor="text1"/>
          <w:sz w:val="20"/>
          <w:szCs w:val="20"/>
          <w:lang w:val="es-ES"/>
        </w:rPr>
        <w:t xml:space="preserve"> familiares. </w:t>
      </w:r>
      <w:r w:rsidR="00FC3E1F" w:rsidRPr="004768D0">
        <w:rPr>
          <w:rFonts w:asciiTheme="majorHAnsi" w:hAnsiTheme="majorHAnsi"/>
          <w:color w:val="000000" w:themeColor="text1"/>
          <w:sz w:val="20"/>
          <w:szCs w:val="20"/>
          <w:lang w:val="es-ES"/>
        </w:rPr>
        <w:t>En ese</w:t>
      </w:r>
      <w:r w:rsidRPr="004768D0">
        <w:rPr>
          <w:rFonts w:asciiTheme="majorHAnsi" w:hAnsiTheme="majorHAnsi"/>
          <w:color w:val="000000" w:themeColor="text1"/>
          <w:sz w:val="20"/>
          <w:szCs w:val="20"/>
          <w:lang w:val="es-ES"/>
        </w:rPr>
        <w:t xml:space="preserve"> sentido, </w:t>
      </w:r>
      <w:r w:rsidR="003C58C5" w:rsidRPr="004768D0">
        <w:rPr>
          <w:rFonts w:asciiTheme="majorHAnsi" w:hAnsiTheme="majorHAnsi"/>
          <w:color w:val="000000" w:themeColor="text1"/>
          <w:sz w:val="20"/>
          <w:szCs w:val="20"/>
          <w:lang w:val="es-ES"/>
        </w:rPr>
        <w:t>el Estado</w:t>
      </w:r>
      <w:r w:rsidRPr="004768D0">
        <w:rPr>
          <w:rFonts w:asciiTheme="majorHAnsi" w:hAnsiTheme="majorHAnsi"/>
          <w:color w:val="000000" w:themeColor="text1"/>
          <w:sz w:val="20"/>
          <w:szCs w:val="20"/>
          <w:lang w:val="es-ES"/>
        </w:rPr>
        <w:t xml:space="preserve"> solicit</w:t>
      </w:r>
      <w:r w:rsidR="00FC3E1F" w:rsidRPr="004768D0">
        <w:rPr>
          <w:rFonts w:asciiTheme="majorHAnsi" w:hAnsiTheme="majorHAnsi"/>
          <w:color w:val="000000" w:themeColor="text1"/>
          <w:sz w:val="20"/>
          <w:szCs w:val="20"/>
          <w:lang w:val="es-ES"/>
        </w:rPr>
        <w:t>ó, entre otras cosas, que se le diera l</w:t>
      </w:r>
      <w:r w:rsidRPr="004768D0">
        <w:rPr>
          <w:rFonts w:asciiTheme="majorHAnsi" w:hAnsiTheme="majorHAnsi"/>
          <w:color w:val="000000" w:themeColor="text1"/>
          <w:sz w:val="20"/>
          <w:szCs w:val="20"/>
          <w:lang w:val="es-ES"/>
        </w:rPr>
        <w:t xml:space="preserve">a </w:t>
      </w:r>
      <w:r w:rsidR="000A5DA2" w:rsidRPr="004768D0">
        <w:rPr>
          <w:rFonts w:asciiTheme="majorHAnsi" w:hAnsiTheme="majorHAnsi"/>
          <w:color w:val="000000" w:themeColor="text1"/>
          <w:sz w:val="20"/>
          <w:szCs w:val="20"/>
          <w:lang w:val="es-ES"/>
        </w:rPr>
        <w:t>oportunidad</w:t>
      </w:r>
      <w:r w:rsidRPr="004768D0">
        <w:rPr>
          <w:rFonts w:asciiTheme="majorHAnsi" w:hAnsiTheme="majorHAnsi"/>
          <w:color w:val="000000" w:themeColor="text1"/>
          <w:sz w:val="20"/>
          <w:szCs w:val="20"/>
          <w:lang w:val="es-ES"/>
        </w:rPr>
        <w:t xml:space="preserve"> de </w:t>
      </w:r>
      <w:r w:rsidR="00FC3E1F" w:rsidRPr="004768D0">
        <w:rPr>
          <w:rFonts w:asciiTheme="majorHAnsi" w:hAnsiTheme="majorHAnsi"/>
          <w:color w:val="000000" w:themeColor="text1"/>
          <w:sz w:val="20"/>
          <w:szCs w:val="20"/>
          <w:lang w:val="es-ES"/>
        </w:rPr>
        <w:t xml:space="preserve">efectuar la reparación por sus vías </w:t>
      </w:r>
      <w:r w:rsidRPr="004768D0">
        <w:rPr>
          <w:rFonts w:asciiTheme="majorHAnsi" w:hAnsiTheme="majorHAnsi"/>
          <w:color w:val="000000" w:themeColor="text1"/>
          <w:sz w:val="20"/>
          <w:szCs w:val="20"/>
          <w:lang w:val="es-ES"/>
        </w:rPr>
        <w:t>internas</w:t>
      </w:r>
      <w:bookmarkEnd w:id="7"/>
      <w:r w:rsidRPr="004768D0">
        <w:rPr>
          <w:rStyle w:val="FootnoteReference"/>
          <w:rFonts w:asciiTheme="majorHAnsi" w:hAnsiTheme="majorHAnsi"/>
          <w:bCs/>
          <w:color w:val="000000" w:themeColor="text1"/>
          <w:sz w:val="20"/>
          <w:szCs w:val="20"/>
          <w:lang w:val="es-ES"/>
        </w:rPr>
        <w:footnoteReference w:id="18"/>
      </w:r>
      <w:r w:rsidR="00FC3E1F" w:rsidRPr="004768D0">
        <w:rPr>
          <w:rFonts w:asciiTheme="majorHAnsi" w:hAnsiTheme="majorHAnsi"/>
          <w:color w:val="000000" w:themeColor="text1"/>
          <w:sz w:val="20"/>
          <w:szCs w:val="20"/>
          <w:lang w:val="es-ES"/>
        </w:rPr>
        <w:t>.</w:t>
      </w:r>
    </w:p>
    <w:p w14:paraId="4BC7D484" w14:textId="77777777" w:rsidR="00E55F62" w:rsidRPr="004768D0" w:rsidRDefault="00A07DD9" w:rsidP="00A104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r w:rsidRPr="004768D0">
        <w:rPr>
          <w:color w:val="000000" w:themeColor="text1"/>
          <w:sz w:val="20"/>
          <w:szCs w:val="20"/>
          <w:lang w:val="es-ES"/>
        </w:rPr>
        <w:t>La parte peticionaria</w:t>
      </w:r>
      <w:r w:rsidR="00E55F62" w:rsidRPr="004768D0">
        <w:rPr>
          <w:color w:val="000000" w:themeColor="text1"/>
          <w:sz w:val="20"/>
          <w:szCs w:val="20"/>
          <w:lang w:val="es-ES"/>
        </w:rPr>
        <w:t xml:space="preserve"> afirma que</w:t>
      </w:r>
      <w:r w:rsidR="005620DD">
        <w:rPr>
          <w:color w:val="000000" w:themeColor="text1"/>
          <w:sz w:val="20"/>
          <w:szCs w:val="20"/>
          <w:lang w:val="es-ES"/>
        </w:rPr>
        <w:t xml:space="preserve"> el Estado</w:t>
      </w:r>
      <w:r w:rsidR="00E55F62" w:rsidRPr="004768D0">
        <w:rPr>
          <w:color w:val="000000" w:themeColor="text1"/>
          <w:sz w:val="20"/>
          <w:szCs w:val="20"/>
          <w:lang w:val="es-ES"/>
        </w:rPr>
        <w:t xml:space="preserve">, </w:t>
      </w:r>
      <w:r w:rsidR="00FC3E1F" w:rsidRPr="004768D0">
        <w:rPr>
          <w:color w:val="000000" w:themeColor="text1"/>
          <w:sz w:val="20"/>
          <w:szCs w:val="20"/>
          <w:lang w:val="es-ES"/>
        </w:rPr>
        <w:t xml:space="preserve">aunque dijo </w:t>
      </w:r>
      <w:r w:rsidR="00E55F62" w:rsidRPr="004768D0">
        <w:rPr>
          <w:color w:val="000000" w:themeColor="text1"/>
          <w:sz w:val="20"/>
          <w:szCs w:val="20"/>
          <w:lang w:val="es-ES"/>
        </w:rPr>
        <w:t xml:space="preserve">que </w:t>
      </w:r>
      <w:r w:rsidR="004744F0" w:rsidRPr="004768D0">
        <w:rPr>
          <w:color w:val="000000" w:themeColor="text1"/>
          <w:sz w:val="20"/>
          <w:szCs w:val="20"/>
          <w:lang w:val="es-ES"/>
        </w:rPr>
        <w:t>“</w:t>
      </w:r>
      <w:r w:rsidR="00FC3E1F" w:rsidRPr="004768D0">
        <w:rPr>
          <w:color w:val="000000" w:themeColor="text1"/>
          <w:sz w:val="20"/>
          <w:szCs w:val="20"/>
          <w:lang w:val="es-ES"/>
        </w:rPr>
        <w:t xml:space="preserve">todavía hay </w:t>
      </w:r>
      <w:r w:rsidR="00E55F62" w:rsidRPr="004768D0">
        <w:rPr>
          <w:color w:val="000000" w:themeColor="text1"/>
          <w:sz w:val="20"/>
          <w:szCs w:val="20"/>
          <w:lang w:val="es-ES"/>
        </w:rPr>
        <w:t>recursos</w:t>
      </w:r>
      <w:r w:rsidR="00FC3E1F" w:rsidRPr="004768D0">
        <w:rPr>
          <w:color w:val="000000" w:themeColor="text1"/>
          <w:sz w:val="20"/>
          <w:szCs w:val="20"/>
          <w:lang w:val="es-ES"/>
        </w:rPr>
        <w:t xml:space="preserve">, que son idóneos </w:t>
      </w:r>
      <w:r w:rsidR="00E55F62" w:rsidRPr="004768D0">
        <w:rPr>
          <w:color w:val="000000" w:themeColor="text1"/>
          <w:sz w:val="20"/>
          <w:szCs w:val="20"/>
          <w:lang w:val="es-ES"/>
        </w:rPr>
        <w:t xml:space="preserve">para proteger </w:t>
      </w:r>
      <w:r w:rsidR="00FC3E1F" w:rsidRPr="004768D0">
        <w:rPr>
          <w:color w:val="000000" w:themeColor="text1"/>
          <w:sz w:val="20"/>
          <w:szCs w:val="20"/>
          <w:lang w:val="es-ES"/>
        </w:rPr>
        <w:t>l</w:t>
      </w:r>
      <w:r w:rsidR="00E55F62" w:rsidRPr="004768D0">
        <w:rPr>
          <w:color w:val="000000" w:themeColor="text1"/>
          <w:sz w:val="20"/>
          <w:szCs w:val="20"/>
          <w:lang w:val="es-ES"/>
        </w:rPr>
        <w:t>a situa</w:t>
      </w:r>
      <w:r w:rsidR="00FC3E1F" w:rsidRPr="004768D0">
        <w:rPr>
          <w:color w:val="000000" w:themeColor="text1"/>
          <w:sz w:val="20"/>
          <w:szCs w:val="20"/>
          <w:lang w:val="es-ES"/>
        </w:rPr>
        <w:t>ción</w:t>
      </w:r>
      <w:r w:rsidR="00E55F62" w:rsidRPr="004768D0">
        <w:rPr>
          <w:color w:val="000000" w:themeColor="text1"/>
          <w:sz w:val="20"/>
          <w:szCs w:val="20"/>
          <w:lang w:val="es-ES"/>
        </w:rPr>
        <w:t xml:space="preserve"> jurídica demandada</w:t>
      </w:r>
      <w:r w:rsidR="004744F0" w:rsidRPr="004768D0">
        <w:rPr>
          <w:color w:val="000000" w:themeColor="text1"/>
          <w:sz w:val="20"/>
          <w:szCs w:val="20"/>
          <w:lang w:val="es-ES"/>
        </w:rPr>
        <w:t>”</w:t>
      </w:r>
      <w:r w:rsidR="00E55F62" w:rsidRPr="004768D0">
        <w:rPr>
          <w:color w:val="000000" w:themeColor="text1"/>
          <w:sz w:val="20"/>
          <w:szCs w:val="20"/>
          <w:lang w:val="es-ES"/>
        </w:rPr>
        <w:t>, no demostr</w:t>
      </w:r>
      <w:r w:rsidR="00FC3E1F" w:rsidRPr="004768D0">
        <w:rPr>
          <w:color w:val="000000" w:themeColor="text1"/>
          <w:sz w:val="20"/>
          <w:szCs w:val="20"/>
          <w:lang w:val="es-ES"/>
        </w:rPr>
        <w:t>ó</w:t>
      </w:r>
      <w:r w:rsidR="00E55F62" w:rsidRPr="004768D0">
        <w:rPr>
          <w:color w:val="000000" w:themeColor="text1"/>
          <w:sz w:val="20"/>
          <w:szCs w:val="20"/>
          <w:lang w:val="es-ES"/>
        </w:rPr>
        <w:t xml:space="preserve"> claramente </w:t>
      </w:r>
      <w:r w:rsidR="00FC3E1F" w:rsidRPr="004768D0">
        <w:rPr>
          <w:color w:val="000000" w:themeColor="text1"/>
          <w:sz w:val="20"/>
          <w:szCs w:val="20"/>
          <w:lang w:val="es-ES"/>
        </w:rPr>
        <w:t xml:space="preserve">cuáles son los </w:t>
      </w:r>
      <w:r w:rsidR="00E55F62" w:rsidRPr="004768D0">
        <w:rPr>
          <w:color w:val="000000" w:themeColor="text1"/>
          <w:sz w:val="20"/>
          <w:szCs w:val="20"/>
          <w:lang w:val="es-ES"/>
        </w:rPr>
        <w:t xml:space="preserve">recursos internos que no </w:t>
      </w:r>
      <w:r w:rsidR="00FC3E1F" w:rsidRPr="004768D0">
        <w:rPr>
          <w:color w:val="000000" w:themeColor="text1"/>
          <w:sz w:val="20"/>
          <w:szCs w:val="20"/>
          <w:lang w:val="es-ES"/>
        </w:rPr>
        <w:t xml:space="preserve">habrían sido agotados </w:t>
      </w:r>
      <w:r w:rsidR="00E55F62" w:rsidRPr="004768D0">
        <w:rPr>
          <w:color w:val="000000" w:themeColor="text1"/>
          <w:sz w:val="20"/>
          <w:szCs w:val="20"/>
          <w:lang w:val="es-ES"/>
        </w:rPr>
        <w:t>previamente</w:t>
      </w:r>
      <w:r w:rsidR="00FC3E1F" w:rsidRPr="004768D0">
        <w:rPr>
          <w:color w:val="000000" w:themeColor="text1"/>
          <w:sz w:val="20"/>
          <w:szCs w:val="20"/>
          <w:lang w:val="es-ES"/>
        </w:rPr>
        <w:t xml:space="preserve">, en contravención del </w:t>
      </w:r>
      <w:r w:rsidR="0052395A" w:rsidRPr="004768D0">
        <w:rPr>
          <w:color w:val="000000" w:themeColor="text1"/>
          <w:sz w:val="20"/>
          <w:szCs w:val="20"/>
          <w:lang w:val="es-ES"/>
        </w:rPr>
        <w:t>artículo</w:t>
      </w:r>
      <w:r w:rsidR="00E55F62" w:rsidRPr="004768D0">
        <w:rPr>
          <w:color w:val="000000" w:themeColor="text1"/>
          <w:sz w:val="20"/>
          <w:szCs w:val="20"/>
          <w:lang w:val="es-ES"/>
        </w:rPr>
        <w:t xml:space="preserve"> 31.3 d</w:t>
      </w:r>
      <w:r w:rsidR="00FC3E1F" w:rsidRPr="004768D0">
        <w:rPr>
          <w:color w:val="000000" w:themeColor="text1"/>
          <w:sz w:val="20"/>
          <w:szCs w:val="20"/>
          <w:lang w:val="es-ES"/>
        </w:rPr>
        <w:t>el</w:t>
      </w:r>
      <w:r w:rsidR="00E55F62" w:rsidRPr="004768D0">
        <w:rPr>
          <w:color w:val="000000" w:themeColor="text1"/>
          <w:sz w:val="20"/>
          <w:szCs w:val="20"/>
          <w:lang w:val="es-ES"/>
        </w:rPr>
        <w:t xml:space="preserve"> </w:t>
      </w:r>
      <w:r w:rsidR="00FC3E1F" w:rsidRPr="004768D0">
        <w:rPr>
          <w:color w:val="000000" w:themeColor="text1"/>
          <w:sz w:val="20"/>
          <w:szCs w:val="20"/>
          <w:lang w:val="es-ES"/>
        </w:rPr>
        <w:t>Reglamento</w:t>
      </w:r>
      <w:r w:rsidR="00E55F62" w:rsidRPr="004768D0">
        <w:rPr>
          <w:color w:val="000000" w:themeColor="text1"/>
          <w:sz w:val="20"/>
          <w:szCs w:val="20"/>
          <w:lang w:val="es-ES"/>
        </w:rPr>
        <w:t xml:space="preserve"> Interno d</w:t>
      </w:r>
      <w:r w:rsidR="00FC3E1F" w:rsidRPr="004768D0">
        <w:rPr>
          <w:color w:val="000000" w:themeColor="text1"/>
          <w:sz w:val="20"/>
          <w:szCs w:val="20"/>
          <w:lang w:val="es-ES"/>
        </w:rPr>
        <w:t>e l</w:t>
      </w:r>
      <w:r w:rsidR="00E55F62" w:rsidRPr="004768D0">
        <w:rPr>
          <w:color w:val="000000" w:themeColor="text1"/>
          <w:sz w:val="20"/>
          <w:szCs w:val="20"/>
          <w:lang w:val="es-ES"/>
        </w:rPr>
        <w:t>a CIDH.</w:t>
      </w:r>
    </w:p>
    <w:p w14:paraId="4C309682" w14:textId="77777777" w:rsidR="00E55F62" w:rsidRPr="004768D0" w:rsidRDefault="00E55F62" w:rsidP="00E55F6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p>
    <w:p w14:paraId="7F0AC8CC" w14:textId="48A48BBE" w:rsidR="00E55F62" w:rsidRPr="004768D0" w:rsidRDefault="00E55F62" w:rsidP="00A104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r w:rsidRPr="004768D0">
        <w:rPr>
          <w:rFonts w:asciiTheme="majorHAnsi" w:hAnsiTheme="majorHAnsi"/>
          <w:color w:val="000000" w:themeColor="text1"/>
          <w:sz w:val="20"/>
          <w:szCs w:val="20"/>
          <w:lang w:val="es-ES"/>
        </w:rPr>
        <w:t>Ad</w:t>
      </w:r>
      <w:r w:rsidR="000A5DA2" w:rsidRPr="004768D0">
        <w:rPr>
          <w:rFonts w:asciiTheme="majorHAnsi" w:hAnsiTheme="majorHAnsi"/>
          <w:color w:val="000000" w:themeColor="text1"/>
          <w:sz w:val="20"/>
          <w:szCs w:val="20"/>
          <w:lang w:val="es-ES"/>
        </w:rPr>
        <w:t>emás</w:t>
      </w:r>
      <w:r w:rsidRPr="004768D0">
        <w:rPr>
          <w:rFonts w:asciiTheme="majorHAnsi" w:hAnsiTheme="majorHAnsi"/>
          <w:color w:val="000000" w:themeColor="text1"/>
          <w:sz w:val="20"/>
          <w:szCs w:val="20"/>
          <w:lang w:val="es-ES"/>
        </w:rPr>
        <w:t xml:space="preserve">, </w:t>
      </w:r>
      <w:r w:rsidR="00A07DD9" w:rsidRPr="004768D0">
        <w:rPr>
          <w:rFonts w:asciiTheme="majorHAnsi" w:hAnsiTheme="majorHAnsi"/>
          <w:color w:val="000000" w:themeColor="text1"/>
          <w:sz w:val="20"/>
          <w:szCs w:val="20"/>
          <w:lang w:val="es-ES"/>
        </w:rPr>
        <w:t>la parte peticionaria</w:t>
      </w:r>
      <w:r w:rsidRPr="004768D0">
        <w:rPr>
          <w:rFonts w:asciiTheme="majorHAnsi" w:hAnsiTheme="majorHAnsi"/>
          <w:color w:val="000000" w:themeColor="text1"/>
          <w:sz w:val="20"/>
          <w:szCs w:val="20"/>
          <w:lang w:val="es-ES"/>
        </w:rPr>
        <w:t xml:space="preserve"> re</w:t>
      </w:r>
      <w:r w:rsidR="000A5DA2" w:rsidRPr="004768D0">
        <w:rPr>
          <w:rFonts w:asciiTheme="majorHAnsi" w:hAnsiTheme="majorHAnsi"/>
          <w:color w:val="000000" w:themeColor="text1"/>
          <w:sz w:val="20"/>
          <w:szCs w:val="20"/>
          <w:lang w:val="es-ES"/>
        </w:rPr>
        <w:t xml:space="preserve">cuerda </w:t>
      </w:r>
      <w:r w:rsidRPr="004768D0">
        <w:rPr>
          <w:rFonts w:asciiTheme="majorHAnsi" w:hAnsiTheme="majorHAnsi"/>
          <w:color w:val="000000" w:themeColor="text1"/>
          <w:sz w:val="20"/>
          <w:szCs w:val="20"/>
          <w:lang w:val="es-ES"/>
        </w:rPr>
        <w:t>que t</w:t>
      </w:r>
      <w:r w:rsidRPr="004768D0">
        <w:rPr>
          <w:color w:val="000000" w:themeColor="text1"/>
          <w:sz w:val="20"/>
          <w:szCs w:val="20"/>
          <w:lang w:val="es-ES"/>
        </w:rPr>
        <w:t>od</w:t>
      </w:r>
      <w:r w:rsidR="00FC3E1F" w:rsidRPr="004768D0">
        <w:rPr>
          <w:color w:val="000000" w:themeColor="text1"/>
          <w:sz w:val="20"/>
          <w:szCs w:val="20"/>
          <w:lang w:val="es-ES"/>
        </w:rPr>
        <w:t xml:space="preserve">as las </w:t>
      </w:r>
      <w:r w:rsidR="000A5DA2" w:rsidRPr="004768D0">
        <w:rPr>
          <w:color w:val="000000" w:themeColor="text1"/>
          <w:sz w:val="20"/>
          <w:szCs w:val="20"/>
          <w:lang w:val="es-ES"/>
        </w:rPr>
        <w:t>investigaciones</w:t>
      </w:r>
      <w:r w:rsidRPr="004768D0">
        <w:rPr>
          <w:color w:val="000000" w:themeColor="text1"/>
          <w:sz w:val="20"/>
          <w:szCs w:val="20"/>
          <w:lang w:val="es-ES"/>
        </w:rPr>
        <w:t xml:space="preserve"> </w:t>
      </w:r>
      <w:r w:rsidR="00FC3E1F" w:rsidRPr="004768D0">
        <w:rPr>
          <w:color w:val="000000" w:themeColor="text1"/>
          <w:sz w:val="20"/>
          <w:szCs w:val="20"/>
          <w:lang w:val="es-ES"/>
        </w:rPr>
        <w:t xml:space="preserve">de agentes de policía fueron archivadas, lo cual impidió la </w:t>
      </w:r>
      <w:r w:rsidRPr="004768D0">
        <w:rPr>
          <w:color w:val="000000" w:themeColor="text1"/>
          <w:sz w:val="20"/>
          <w:szCs w:val="20"/>
          <w:lang w:val="es-ES"/>
        </w:rPr>
        <w:t>responsabiliza</w:t>
      </w:r>
      <w:r w:rsidR="00FC3E1F" w:rsidRPr="004768D0">
        <w:rPr>
          <w:color w:val="000000" w:themeColor="text1"/>
          <w:sz w:val="20"/>
          <w:szCs w:val="20"/>
          <w:lang w:val="es-ES"/>
        </w:rPr>
        <w:t>ción p</w:t>
      </w:r>
      <w:r w:rsidRPr="004768D0">
        <w:rPr>
          <w:color w:val="000000" w:themeColor="text1"/>
          <w:sz w:val="20"/>
          <w:szCs w:val="20"/>
          <w:lang w:val="es-ES"/>
        </w:rPr>
        <w:t>enal d</w:t>
      </w:r>
      <w:r w:rsidR="00FC3E1F" w:rsidRPr="004768D0">
        <w:rPr>
          <w:color w:val="000000" w:themeColor="text1"/>
          <w:sz w:val="20"/>
          <w:szCs w:val="20"/>
          <w:lang w:val="es-ES"/>
        </w:rPr>
        <w:t>e l</w:t>
      </w:r>
      <w:r w:rsidRPr="004768D0">
        <w:rPr>
          <w:color w:val="000000" w:themeColor="text1"/>
          <w:sz w:val="20"/>
          <w:szCs w:val="20"/>
          <w:lang w:val="es-ES"/>
        </w:rPr>
        <w:t xml:space="preserve">os </w:t>
      </w:r>
      <w:r w:rsidR="00FC3E1F" w:rsidRPr="004768D0">
        <w:rPr>
          <w:color w:val="000000" w:themeColor="text1"/>
          <w:sz w:val="20"/>
          <w:szCs w:val="20"/>
          <w:lang w:val="es-ES"/>
        </w:rPr>
        <w:t xml:space="preserve">involucrados. </w:t>
      </w:r>
      <w:r w:rsidRPr="004768D0">
        <w:rPr>
          <w:rFonts w:asciiTheme="majorHAnsi" w:hAnsiTheme="majorHAnsi"/>
          <w:color w:val="000000" w:themeColor="text1"/>
          <w:sz w:val="20"/>
          <w:szCs w:val="20"/>
          <w:lang w:val="es-ES"/>
        </w:rPr>
        <w:t>A</w:t>
      </w:r>
      <w:r w:rsidR="00FC3E1F" w:rsidRPr="004768D0">
        <w:rPr>
          <w:rFonts w:asciiTheme="majorHAnsi" w:hAnsiTheme="majorHAnsi"/>
          <w:color w:val="000000" w:themeColor="text1"/>
          <w:sz w:val="20"/>
          <w:szCs w:val="20"/>
          <w:lang w:val="es-ES"/>
        </w:rPr>
        <w:t xml:space="preserve"> </w:t>
      </w:r>
      <w:r w:rsidRPr="004768D0">
        <w:rPr>
          <w:rFonts w:asciiTheme="majorHAnsi" w:hAnsiTheme="majorHAnsi"/>
          <w:color w:val="000000" w:themeColor="text1"/>
          <w:sz w:val="20"/>
          <w:szCs w:val="20"/>
          <w:lang w:val="es-ES"/>
        </w:rPr>
        <w:t>pesar d</w:t>
      </w:r>
      <w:r w:rsidR="00FC3E1F" w:rsidRPr="004768D0">
        <w:rPr>
          <w:rFonts w:asciiTheme="majorHAnsi" w:hAnsiTheme="majorHAnsi"/>
          <w:color w:val="000000" w:themeColor="text1"/>
          <w:sz w:val="20"/>
          <w:szCs w:val="20"/>
          <w:lang w:val="es-ES"/>
        </w:rPr>
        <w:t>e l</w:t>
      </w:r>
      <w:r w:rsidRPr="004768D0">
        <w:rPr>
          <w:rFonts w:asciiTheme="majorHAnsi" w:hAnsiTheme="majorHAnsi"/>
          <w:color w:val="000000" w:themeColor="text1"/>
          <w:sz w:val="20"/>
          <w:szCs w:val="20"/>
          <w:lang w:val="es-ES"/>
        </w:rPr>
        <w:t xml:space="preserve">as </w:t>
      </w:r>
      <w:r w:rsidR="000C0AC4" w:rsidRPr="004768D0">
        <w:rPr>
          <w:rFonts w:asciiTheme="majorHAnsi" w:hAnsiTheme="majorHAnsi"/>
          <w:color w:val="000000" w:themeColor="text1"/>
          <w:sz w:val="20"/>
          <w:szCs w:val="20"/>
          <w:lang w:val="es-ES"/>
        </w:rPr>
        <w:t>alegaciones</w:t>
      </w:r>
      <w:r w:rsidRPr="004768D0">
        <w:rPr>
          <w:rFonts w:asciiTheme="majorHAnsi" w:hAnsiTheme="majorHAnsi"/>
          <w:color w:val="000000" w:themeColor="text1"/>
          <w:sz w:val="20"/>
          <w:szCs w:val="20"/>
          <w:lang w:val="es-ES"/>
        </w:rPr>
        <w:t xml:space="preserve"> </w:t>
      </w:r>
      <w:r w:rsidR="007F4608" w:rsidRPr="004768D0">
        <w:rPr>
          <w:rFonts w:asciiTheme="majorHAnsi" w:hAnsiTheme="majorHAnsi"/>
          <w:color w:val="000000" w:themeColor="text1"/>
          <w:sz w:val="20"/>
          <w:szCs w:val="20"/>
          <w:lang w:val="es-ES"/>
        </w:rPr>
        <w:t>del Estado de</w:t>
      </w:r>
      <w:r w:rsidRPr="004768D0">
        <w:rPr>
          <w:rFonts w:asciiTheme="majorHAnsi" w:hAnsiTheme="majorHAnsi"/>
          <w:color w:val="000000" w:themeColor="text1"/>
          <w:sz w:val="20"/>
          <w:szCs w:val="20"/>
          <w:lang w:val="es-ES"/>
        </w:rPr>
        <w:t xml:space="preserve"> que </w:t>
      </w:r>
      <w:r w:rsidR="00FC3E1F" w:rsidRPr="004768D0">
        <w:rPr>
          <w:rFonts w:asciiTheme="majorHAnsi" w:hAnsiTheme="majorHAnsi"/>
          <w:color w:val="000000" w:themeColor="text1"/>
          <w:sz w:val="20"/>
          <w:szCs w:val="20"/>
          <w:lang w:val="es-ES"/>
        </w:rPr>
        <w:t>el</w:t>
      </w:r>
      <w:r w:rsidRPr="004768D0">
        <w:rPr>
          <w:rFonts w:asciiTheme="majorHAnsi" w:hAnsiTheme="majorHAnsi"/>
          <w:color w:val="000000" w:themeColor="text1"/>
          <w:sz w:val="20"/>
          <w:szCs w:val="20"/>
          <w:lang w:val="es-ES"/>
        </w:rPr>
        <w:t xml:space="preserve"> </w:t>
      </w:r>
      <w:r w:rsidR="003D19EA" w:rsidRPr="004768D0">
        <w:rPr>
          <w:rFonts w:asciiTheme="majorHAnsi" w:hAnsiTheme="majorHAnsi"/>
          <w:color w:val="000000" w:themeColor="text1"/>
          <w:sz w:val="20"/>
          <w:szCs w:val="20"/>
          <w:lang w:val="es-ES"/>
        </w:rPr>
        <w:t>archivamiento</w:t>
      </w:r>
      <w:r w:rsidRPr="004768D0">
        <w:rPr>
          <w:rFonts w:asciiTheme="majorHAnsi" w:hAnsiTheme="majorHAnsi"/>
          <w:color w:val="000000" w:themeColor="text1"/>
          <w:sz w:val="20"/>
          <w:szCs w:val="20"/>
          <w:lang w:val="es-ES"/>
        </w:rPr>
        <w:t xml:space="preserve"> d</w:t>
      </w:r>
      <w:r w:rsidR="00FC3E1F" w:rsidRPr="004768D0">
        <w:rPr>
          <w:rFonts w:asciiTheme="majorHAnsi" w:hAnsiTheme="majorHAnsi"/>
          <w:color w:val="000000" w:themeColor="text1"/>
          <w:sz w:val="20"/>
          <w:szCs w:val="20"/>
          <w:lang w:val="es-ES"/>
        </w:rPr>
        <w:t>e la</w:t>
      </w:r>
      <w:r w:rsidRPr="004768D0">
        <w:rPr>
          <w:rFonts w:asciiTheme="majorHAnsi" w:hAnsiTheme="majorHAnsi"/>
          <w:color w:val="000000" w:themeColor="text1"/>
          <w:sz w:val="20"/>
          <w:szCs w:val="20"/>
          <w:lang w:val="es-ES"/>
        </w:rPr>
        <w:t xml:space="preserve">s </w:t>
      </w:r>
      <w:r w:rsidR="000A5DA2" w:rsidRPr="004768D0">
        <w:rPr>
          <w:rFonts w:asciiTheme="majorHAnsi" w:hAnsiTheme="majorHAnsi"/>
          <w:color w:val="000000" w:themeColor="text1"/>
          <w:sz w:val="20"/>
          <w:szCs w:val="20"/>
          <w:lang w:val="es-ES"/>
        </w:rPr>
        <w:t>investigaciones</w:t>
      </w:r>
      <w:r w:rsidRPr="004768D0">
        <w:rPr>
          <w:rFonts w:asciiTheme="majorHAnsi" w:hAnsiTheme="majorHAnsi"/>
          <w:color w:val="000000" w:themeColor="text1"/>
          <w:sz w:val="20"/>
          <w:szCs w:val="20"/>
          <w:lang w:val="es-ES"/>
        </w:rPr>
        <w:t xml:space="preserve"> no </w:t>
      </w:r>
      <w:r w:rsidR="00FC3E1F" w:rsidRPr="004768D0">
        <w:rPr>
          <w:rFonts w:asciiTheme="majorHAnsi" w:hAnsiTheme="majorHAnsi"/>
          <w:color w:val="000000" w:themeColor="text1"/>
          <w:sz w:val="20"/>
          <w:szCs w:val="20"/>
          <w:lang w:val="es-ES"/>
        </w:rPr>
        <w:t>tiene carácter</w:t>
      </w:r>
      <w:r w:rsidRPr="004768D0">
        <w:rPr>
          <w:rFonts w:asciiTheme="majorHAnsi" w:hAnsiTheme="majorHAnsi"/>
          <w:color w:val="000000" w:themeColor="text1"/>
          <w:sz w:val="20"/>
          <w:szCs w:val="20"/>
          <w:lang w:val="es-ES"/>
        </w:rPr>
        <w:t xml:space="preserve"> definitivo</w:t>
      </w:r>
      <w:r w:rsidR="00FC3E1F" w:rsidRPr="004768D0">
        <w:rPr>
          <w:rFonts w:asciiTheme="majorHAnsi" w:hAnsiTheme="majorHAnsi"/>
          <w:color w:val="000000" w:themeColor="text1"/>
          <w:sz w:val="20"/>
          <w:szCs w:val="20"/>
          <w:lang w:val="es-ES"/>
        </w:rPr>
        <w:t>, no existe en la legislación</w:t>
      </w:r>
      <w:r w:rsidRPr="004768D0">
        <w:rPr>
          <w:rFonts w:asciiTheme="majorHAnsi" w:hAnsiTheme="majorHAnsi"/>
          <w:color w:val="000000" w:themeColor="text1"/>
          <w:sz w:val="20"/>
          <w:szCs w:val="20"/>
          <w:lang w:val="es-ES"/>
        </w:rPr>
        <w:t xml:space="preserve"> brasile</w:t>
      </w:r>
      <w:r w:rsidR="00FC3E1F" w:rsidRPr="004768D0">
        <w:rPr>
          <w:rFonts w:asciiTheme="majorHAnsi" w:hAnsiTheme="majorHAnsi"/>
          <w:color w:val="000000" w:themeColor="text1"/>
          <w:sz w:val="20"/>
          <w:szCs w:val="20"/>
          <w:lang w:val="es-ES"/>
        </w:rPr>
        <w:t>ña</w:t>
      </w:r>
      <w:r w:rsidRPr="004768D0">
        <w:rPr>
          <w:rFonts w:asciiTheme="majorHAnsi" w:hAnsiTheme="majorHAnsi"/>
          <w:color w:val="000000" w:themeColor="text1"/>
          <w:sz w:val="20"/>
          <w:szCs w:val="20"/>
          <w:lang w:val="es-ES"/>
        </w:rPr>
        <w:t xml:space="preserve"> </w:t>
      </w:r>
      <w:r w:rsidR="00FC3E1F" w:rsidRPr="004768D0">
        <w:rPr>
          <w:rFonts w:asciiTheme="majorHAnsi" w:hAnsiTheme="majorHAnsi"/>
          <w:color w:val="000000" w:themeColor="text1"/>
          <w:sz w:val="20"/>
          <w:szCs w:val="20"/>
          <w:lang w:val="es-ES"/>
        </w:rPr>
        <w:t>l</w:t>
      </w:r>
      <w:r w:rsidRPr="004768D0">
        <w:rPr>
          <w:rFonts w:asciiTheme="majorHAnsi" w:hAnsiTheme="majorHAnsi"/>
          <w:color w:val="000000" w:themeColor="text1"/>
          <w:sz w:val="20"/>
          <w:szCs w:val="20"/>
          <w:lang w:val="es-ES"/>
        </w:rPr>
        <w:t xml:space="preserve">a </w:t>
      </w:r>
      <w:r w:rsidR="00FC3E1F" w:rsidRPr="004768D0">
        <w:rPr>
          <w:rFonts w:asciiTheme="majorHAnsi" w:hAnsiTheme="majorHAnsi"/>
          <w:color w:val="000000" w:themeColor="text1"/>
          <w:sz w:val="20"/>
          <w:szCs w:val="20"/>
          <w:lang w:val="es-ES"/>
        </w:rPr>
        <w:t>posibilidad</w:t>
      </w:r>
      <w:r w:rsidRPr="004768D0">
        <w:rPr>
          <w:rFonts w:asciiTheme="majorHAnsi" w:hAnsiTheme="majorHAnsi"/>
          <w:color w:val="000000" w:themeColor="text1"/>
          <w:sz w:val="20"/>
          <w:szCs w:val="20"/>
          <w:lang w:val="es-ES"/>
        </w:rPr>
        <w:t xml:space="preserve"> de </w:t>
      </w:r>
      <w:r w:rsidR="00FC3E1F" w:rsidRPr="004768D0">
        <w:rPr>
          <w:rFonts w:asciiTheme="majorHAnsi" w:hAnsiTheme="majorHAnsi"/>
          <w:color w:val="000000" w:themeColor="text1"/>
          <w:sz w:val="20"/>
          <w:szCs w:val="20"/>
          <w:lang w:val="es-ES"/>
        </w:rPr>
        <w:t xml:space="preserve">interponer un </w:t>
      </w:r>
      <w:r w:rsidRPr="004768D0">
        <w:rPr>
          <w:rFonts w:asciiTheme="majorHAnsi" w:hAnsiTheme="majorHAnsi"/>
          <w:color w:val="000000" w:themeColor="text1"/>
          <w:sz w:val="20"/>
          <w:szCs w:val="20"/>
          <w:lang w:val="es-ES"/>
        </w:rPr>
        <w:t xml:space="preserve">recurso judicial contra </w:t>
      </w:r>
      <w:r w:rsidR="00FC3E1F" w:rsidRPr="004768D0">
        <w:rPr>
          <w:rFonts w:asciiTheme="majorHAnsi" w:hAnsiTheme="majorHAnsi"/>
          <w:color w:val="000000" w:themeColor="text1"/>
          <w:sz w:val="20"/>
          <w:szCs w:val="20"/>
          <w:lang w:val="es-ES"/>
        </w:rPr>
        <w:t>l</w:t>
      </w:r>
      <w:r w:rsidRPr="004768D0">
        <w:rPr>
          <w:rFonts w:asciiTheme="majorHAnsi" w:hAnsiTheme="majorHAnsi"/>
          <w:color w:val="000000" w:themeColor="text1"/>
          <w:sz w:val="20"/>
          <w:szCs w:val="20"/>
          <w:lang w:val="es-ES"/>
        </w:rPr>
        <w:t>a decis</w:t>
      </w:r>
      <w:r w:rsidR="00FC3E1F" w:rsidRPr="004768D0">
        <w:rPr>
          <w:rFonts w:asciiTheme="majorHAnsi" w:hAnsiTheme="majorHAnsi"/>
          <w:color w:val="000000" w:themeColor="text1"/>
          <w:sz w:val="20"/>
          <w:szCs w:val="20"/>
          <w:lang w:val="es-ES"/>
        </w:rPr>
        <w:t xml:space="preserve">ión de archivar una </w:t>
      </w:r>
      <w:r w:rsidR="00C03E33" w:rsidRPr="004768D0">
        <w:rPr>
          <w:rFonts w:asciiTheme="majorHAnsi" w:hAnsiTheme="majorHAnsi"/>
          <w:color w:val="000000" w:themeColor="text1"/>
          <w:sz w:val="20"/>
          <w:szCs w:val="20"/>
          <w:lang w:val="es-ES"/>
        </w:rPr>
        <w:t>investigación</w:t>
      </w:r>
      <w:r w:rsidRPr="004768D0">
        <w:rPr>
          <w:rFonts w:asciiTheme="majorHAnsi" w:hAnsiTheme="majorHAnsi"/>
          <w:color w:val="000000" w:themeColor="text1"/>
          <w:sz w:val="20"/>
          <w:szCs w:val="20"/>
          <w:lang w:val="es-ES"/>
        </w:rPr>
        <w:t xml:space="preserve"> policial. </w:t>
      </w:r>
      <w:r w:rsidR="00FC3E1F" w:rsidRPr="004768D0">
        <w:rPr>
          <w:rFonts w:asciiTheme="majorHAnsi" w:hAnsiTheme="majorHAnsi"/>
          <w:color w:val="000000" w:themeColor="text1"/>
          <w:sz w:val="20"/>
          <w:szCs w:val="20"/>
          <w:lang w:val="es-ES"/>
        </w:rPr>
        <w:t>Al respecto,</w:t>
      </w:r>
      <w:r w:rsidR="00512C56">
        <w:rPr>
          <w:rFonts w:asciiTheme="majorHAnsi" w:hAnsiTheme="majorHAnsi"/>
          <w:color w:val="000000" w:themeColor="text1"/>
          <w:sz w:val="20"/>
          <w:szCs w:val="20"/>
          <w:lang w:val="es-ES"/>
        </w:rPr>
        <w:t xml:space="preserve"> señala que</w:t>
      </w:r>
      <w:r w:rsidR="00FC3E1F" w:rsidRPr="004768D0">
        <w:rPr>
          <w:rFonts w:asciiTheme="majorHAnsi" w:hAnsiTheme="majorHAnsi"/>
          <w:color w:val="000000" w:themeColor="text1"/>
          <w:sz w:val="20"/>
          <w:szCs w:val="20"/>
          <w:lang w:val="es-ES"/>
        </w:rPr>
        <w:t xml:space="preserve"> l</w:t>
      </w:r>
      <w:r w:rsidRPr="004768D0">
        <w:rPr>
          <w:rFonts w:asciiTheme="majorHAnsi" w:hAnsiTheme="majorHAnsi"/>
          <w:color w:val="000000" w:themeColor="text1"/>
          <w:sz w:val="20"/>
          <w:szCs w:val="20"/>
          <w:lang w:val="es-ES"/>
        </w:rPr>
        <w:t xml:space="preserve">a </w:t>
      </w:r>
      <w:r w:rsidR="00462731" w:rsidRPr="004768D0">
        <w:rPr>
          <w:rFonts w:asciiTheme="majorHAnsi" w:hAnsiTheme="majorHAnsi"/>
          <w:color w:val="000000" w:themeColor="text1"/>
          <w:sz w:val="20"/>
          <w:szCs w:val="20"/>
          <w:lang w:val="es-ES"/>
        </w:rPr>
        <w:t>Convención</w:t>
      </w:r>
      <w:r w:rsidRPr="004768D0">
        <w:rPr>
          <w:rFonts w:asciiTheme="majorHAnsi" w:hAnsiTheme="majorHAnsi"/>
          <w:color w:val="000000" w:themeColor="text1"/>
          <w:sz w:val="20"/>
          <w:szCs w:val="20"/>
          <w:lang w:val="es-ES"/>
        </w:rPr>
        <w:t xml:space="preserve"> </w:t>
      </w:r>
      <w:r w:rsidR="00FC3E1F" w:rsidRPr="004768D0">
        <w:rPr>
          <w:rFonts w:asciiTheme="majorHAnsi" w:hAnsiTheme="majorHAnsi"/>
          <w:color w:val="000000" w:themeColor="text1"/>
          <w:sz w:val="20"/>
          <w:szCs w:val="20"/>
          <w:lang w:val="es-ES"/>
        </w:rPr>
        <w:t>prevé</w:t>
      </w:r>
      <w:r w:rsidRPr="004768D0">
        <w:rPr>
          <w:rFonts w:asciiTheme="majorHAnsi" w:hAnsiTheme="majorHAnsi"/>
          <w:color w:val="000000" w:themeColor="text1"/>
          <w:sz w:val="20"/>
          <w:szCs w:val="20"/>
          <w:lang w:val="es-ES"/>
        </w:rPr>
        <w:t xml:space="preserve"> </w:t>
      </w:r>
      <w:r w:rsidR="00FC3E1F" w:rsidRPr="004768D0">
        <w:rPr>
          <w:rFonts w:asciiTheme="majorHAnsi" w:hAnsiTheme="majorHAnsi"/>
          <w:color w:val="000000" w:themeColor="text1"/>
          <w:sz w:val="20"/>
          <w:szCs w:val="20"/>
          <w:lang w:val="es-ES"/>
        </w:rPr>
        <w:t>l</w:t>
      </w:r>
      <w:r w:rsidRPr="004768D0">
        <w:rPr>
          <w:rFonts w:asciiTheme="majorHAnsi" w:hAnsiTheme="majorHAnsi"/>
          <w:color w:val="000000" w:themeColor="text1"/>
          <w:sz w:val="20"/>
          <w:szCs w:val="20"/>
          <w:lang w:val="es-ES"/>
        </w:rPr>
        <w:t xml:space="preserve">a </w:t>
      </w:r>
      <w:r w:rsidR="000A5DA2" w:rsidRPr="004768D0">
        <w:rPr>
          <w:rFonts w:asciiTheme="majorHAnsi" w:hAnsiTheme="majorHAnsi"/>
          <w:color w:val="000000" w:themeColor="text1"/>
          <w:sz w:val="20"/>
          <w:szCs w:val="20"/>
          <w:lang w:val="es-ES"/>
        </w:rPr>
        <w:t>posibilidad</w:t>
      </w:r>
      <w:r w:rsidRPr="004768D0">
        <w:rPr>
          <w:rFonts w:asciiTheme="majorHAnsi" w:hAnsiTheme="majorHAnsi"/>
          <w:color w:val="000000" w:themeColor="text1"/>
          <w:sz w:val="20"/>
          <w:szCs w:val="20"/>
          <w:lang w:val="es-ES"/>
        </w:rPr>
        <w:t xml:space="preserve"> de que </w:t>
      </w:r>
      <w:r w:rsidR="00FC3E1F" w:rsidRPr="004768D0">
        <w:rPr>
          <w:rFonts w:asciiTheme="majorHAnsi" w:hAnsiTheme="majorHAnsi"/>
          <w:color w:val="000000" w:themeColor="text1"/>
          <w:sz w:val="20"/>
          <w:szCs w:val="20"/>
          <w:lang w:val="es-ES"/>
        </w:rPr>
        <w:t>l</w:t>
      </w:r>
      <w:r w:rsidRPr="004768D0">
        <w:rPr>
          <w:rFonts w:asciiTheme="majorHAnsi" w:hAnsiTheme="majorHAnsi"/>
          <w:color w:val="000000" w:themeColor="text1"/>
          <w:sz w:val="20"/>
          <w:szCs w:val="20"/>
          <w:lang w:val="es-ES"/>
        </w:rPr>
        <w:t xml:space="preserve">a </w:t>
      </w:r>
      <w:r w:rsidR="00FC3E1F" w:rsidRPr="004768D0">
        <w:rPr>
          <w:rFonts w:asciiTheme="majorHAnsi" w:hAnsiTheme="majorHAnsi"/>
          <w:color w:val="000000" w:themeColor="text1"/>
          <w:sz w:val="20"/>
          <w:szCs w:val="20"/>
          <w:lang w:val="es-ES"/>
        </w:rPr>
        <w:t>norma del agotamiento no se aplique cuando no haya</w:t>
      </w:r>
      <w:r w:rsidRPr="004768D0">
        <w:rPr>
          <w:rFonts w:asciiTheme="majorHAnsi" w:hAnsiTheme="majorHAnsi"/>
          <w:color w:val="000000" w:themeColor="text1"/>
          <w:sz w:val="20"/>
          <w:szCs w:val="20"/>
          <w:lang w:val="es-ES"/>
        </w:rPr>
        <w:t xml:space="preserve"> recursos internos </w:t>
      </w:r>
      <w:r w:rsidR="00FF40C6" w:rsidRPr="004768D0">
        <w:rPr>
          <w:rFonts w:asciiTheme="majorHAnsi" w:hAnsiTheme="majorHAnsi"/>
          <w:color w:val="000000" w:themeColor="text1"/>
          <w:sz w:val="20"/>
          <w:szCs w:val="20"/>
          <w:lang w:val="es-ES"/>
        </w:rPr>
        <w:t xml:space="preserve">por razones de hecho o </w:t>
      </w:r>
      <w:r w:rsidRPr="004768D0">
        <w:rPr>
          <w:rFonts w:asciiTheme="majorHAnsi" w:hAnsiTheme="majorHAnsi"/>
          <w:color w:val="000000" w:themeColor="text1"/>
          <w:sz w:val="20"/>
          <w:szCs w:val="20"/>
          <w:lang w:val="es-ES"/>
        </w:rPr>
        <w:t xml:space="preserve">de </w:t>
      </w:r>
      <w:r w:rsidR="001343FF" w:rsidRPr="004768D0">
        <w:rPr>
          <w:rFonts w:asciiTheme="majorHAnsi" w:hAnsiTheme="majorHAnsi"/>
          <w:color w:val="000000" w:themeColor="text1"/>
          <w:sz w:val="20"/>
          <w:szCs w:val="20"/>
          <w:lang w:val="es-ES"/>
        </w:rPr>
        <w:t>derecho</w:t>
      </w:r>
      <w:r w:rsidRPr="004768D0">
        <w:rPr>
          <w:rFonts w:asciiTheme="majorHAnsi" w:hAnsiTheme="majorHAnsi"/>
          <w:color w:val="000000" w:themeColor="text1"/>
          <w:sz w:val="20"/>
          <w:szCs w:val="20"/>
          <w:lang w:val="es-ES"/>
        </w:rPr>
        <w:t>.</w:t>
      </w:r>
    </w:p>
    <w:p w14:paraId="5BC63690" w14:textId="77777777" w:rsidR="00E55F62" w:rsidRPr="004768D0" w:rsidRDefault="00E55F62" w:rsidP="002A0C19">
      <w:pPr>
        <w:pStyle w:val="ListParagraph"/>
        <w:jc w:val="both"/>
        <w:rPr>
          <w:rFonts w:asciiTheme="majorHAnsi" w:hAnsiTheme="majorHAnsi"/>
          <w:color w:val="000000" w:themeColor="text1"/>
          <w:sz w:val="20"/>
          <w:szCs w:val="20"/>
          <w:lang w:val="es-ES"/>
        </w:rPr>
      </w:pPr>
    </w:p>
    <w:p w14:paraId="5E282746" w14:textId="77777777" w:rsidR="002A0C19" w:rsidRPr="004768D0" w:rsidRDefault="00E55F62" w:rsidP="00A104B5">
      <w:pPr>
        <w:pStyle w:val="ListParagraph"/>
        <w:numPr>
          <w:ilvl w:val="0"/>
          <w:numId w:val="103"/>
        </w:numPr>
        <w:jc w:val="both"/>
        <w:rPr>
          <w:color w:val="000000" w:themeColor="text1"/>
          <w:sz w:val="20"/>
          <w:szCs w:val="20"/>
          <w:lang w:val="es-ES"/>
        </w:rPr>
      </w:pPr>
      <w:r w:rsidRPr="004768D0">
        <w:rPr>
          <w:rFonts w:asciiTheme="majorHAnsi" w:hAnsiTheme="majorHAnsi"/>
          <w:color w:val="000000" w:themeColor="text1"/>
          <w:sz w:val="20"/>
          <w:szCs w:val="20"/>
          <w:lang w:val="es-ES"/>
        </w:rPr>
        <w:t>A</w:t>
      </w:r>
      <w:r w:rsidR="002946BE" w:rsidRPr="004768D0">
        <w:rPr>
          <w:rFonts w:asciiTheme="majorHAnsi" w:hAnsiTheme="majorHAnsi"/>
          <w:color w:val="000000" w:themeColor="text1"/>
          <w:sz w:val="20"/>
          <w:szCs w:val="20"/>
          <w:lang w:val="es-ES"/>
        </w:rPr>
        <w:t>simismo</w:t>
      </w:r>
      <w:r w:rsidRPr="004768D0">
        <w:rPr>
          <w:rFonts w:asciiTheme="majorHAnsi" w:hAnsiTheme="majorHAnsi"/>
          <w:color w:val="000000" w:themeColor="text1"/>
          <w:sz w:val="20"/>
          <w:szCs w:val="20"/>
          <w:lang w:val="es-ES"/>
        </w:rPr>
        <w:t xml:space="preserve">, </w:t>
      </w:r>
      <w:r w:rsidR="00A07DD9" w:rsidRPr="004768D0">
        <w:rPr>
          <w:rFonts w:asciiTheme="majorHAnsi" w:hAnsiTheme="majorHAnsi"/>
          <w:color w:val="000000" w:themeColor="text1"/>
          <w:sz w:val="20"/>
          <w:szCs w:val="20"/>
          <w:lang w:val="es-ES"/>
        </w:rPr>
        <w:t>la parte peticionaria</w:t>
      </w:r>
      <w:r w:rsidRPr="004768D0">
        <w:rPr>
          <w:rFonts w:asciiTheme="majorHAnsi" w:hAnsiTheme="majorHAnsi"/>
          <w:color w:val="000000" w:themeColor="text1"/>
          <w:sz w:val="20"/>
          <w:szCs w:val="20"/>
          <w:lang w:val="es-ES"/>
        </w:rPr>
        <w:t xml:space="preserve"> </w:t>
      </w:r>
      <w:r w:rsidR="002946BE" w:rsidRPr="004768D0">
        <w:rPr>
          <w:rFonts w:asciiTheme="majorHAnsi" w:hAnsiTheme="majorHAnsi"/>
          <w:color w:val="000000" w:themeColor="text1"/>
          <w:sz w:val="20"/>
          <w:szCs w:val="20"/>
          <w:lang w:val="es-ES"/>
        </w:rPr>
        <w:t xml:space="preserve">recalcó que no es </w:t>
      </w:r>
      <w:r w:rsidR="002946BE" w:rsidRPr="004768D0">
        <w:rPr>
          <w:color w:val="000000" w:themeColor="text1"/>
          <w:sz w:val="20"/>
          <w:szCs w:val="20"/>
          <w:lang w:val="es-ES"/>
        </w:rPr>
        <w:t>necesario</w:t>
      </w:r>
      <w:r w:rsidRPr="004768D0">
        <w:rPr>
          <w:color w:val="000000" w:themeColor="text1"/>
          <w:sz w:val="20"/>
          <w:szCs w:val="20"/>
          <w:lang w:val="es-ES"/>
        </w:rPr>
        <w:t xml:space="preserve"> </w:t>
      </w:r>
      <w:r w:rsidR="002946BE" w:rsidRPr="004768D0">
        <w:rPr>
          <w:color w:val="000000" w:themeColor="text1"/>
          <w:sz w:val="20"/>
          <w:szCs w:val="20"/>
          <w:lang w:val="es-ES"/>
        </w:rPr>
        <w:t>ago</w:t>
      </w:r>
      <w:r w:rsidR="00D677F2" w:rsidRPr="004768D0">
        <w:rPr>
          <w:color w:val="000000" w:themeColor="text1"/>
          <w:sz w:val="20"/>
          <w:szCs w:val="20"/>
          <w:lang w:val="es-ES"/>
        </w:rPr>
        <w:t>t</w:t>
      </w:r>
      <w:r w:rsidR="002946BE" w:rsidRPr="004768D0">
        <w:rPr>
          <w:color w:val="000000" w:themeColor="text1"/>
          <w:sz w:val="20"/>
          <w:szCs w:val="20"/>
          <w:lang w:val="es-ES"/>
        </w:rPr>
        <w:t>ar las acciones civiles antes de recurrir al s</w:t>
      </w:r>
      <w:r w:rsidRPr="004768D0">
        <w:rPr>
          <w:color w:val="000000" w:themeColor="text1"/>
          <w:sz w:val="20"/>
          <w:szCs w:val="20"/>
          <w:lang w:val="es-ES"/>
        </w:rPr>
        <w:t xml:space="preserve">istema </w:t>
      </w:r>
      <w:r w:rsidR="002946BE" w:rsidRPr="004768D0">
        <w:rPr>
          <w:color w:val="000000" w:themeColor="text1"/>
          <w:sz w:val="20"/>
          <w:szCs w:val="20"/>
          <w:lang w:val="es-ES"/>
        </w:rPr>
        <w:t>i</w:t>
      </w:r>
      <w:r w:rsidRPr="004768D0">
        <w:rPr>
          <w:color w:val="000000" w:themeColor="text1"/>
          <w:sz w:val="20"/>
          <w:szCs w:val="20"/>
          <w:lang w:val="es-ES"/>
        </w:rPr>
        <w:t xml:space="preserve">nteramericano, </w:t>
      </w:r>
      <w:r w:rsidR="00D677F2" w:rsidRPr="004768D0">
        <w:rPr>
          <w:color w:val="000000" w:themeColor="text1"/>
          <w:sz w:val="20"/>
          <w:szCs w:val="20"/>
          <w:lang w:val="es-ES"/>
        </w:rPr>
        <w:t>ya que el fondo del d</w:t>
      </w:r>
      <w:r w:rsidRPr="004768D0">
        <w:rPr>
          <w:color w:val="000000" w:themeColor="text1"/>
          <w:sz w:val="20"/>
          <w:szCs w:val="20"/>
          <w:lang w:val="es-ES"/>
        </w:rPr>
        <w:t xml:space="preserve">ebate </w:t>
      </w:r>
      <w:r w:rsidR="00D677F2" w:rsidRPr="004768D0">
        <w:rPr>
          <w:color w:val="000000" w:themeColor="text1"/>
          <w:sz w:val="20"/>
          <w:szCs w:val="20"/>
          <w:lang w:val="es-ES"/>
        </w:rPr>
        <w:t>es la ejecución sumaria</w:t>
      </w:r>
      <w:r w:rsidRPr="004768D0">
        <w:rPr>
          <w:color w:val="000000" w:themeColor="text1"/>
          <w:sz w:val="20"/>
          <w:szCs w:val="20"/>
          <w:lang w:val="es-ES"/>
        </w:rPr>
        <w:t xml:space="preserve"> </w:t>
      </w:r>
      <w:r w:rsidR="00D677F2" w:rsidRPr="004768D0">
        <w:rPr>
          <w:color w:val="000000" w:themeColor="text1"/>
          <w:sz w:val="20"/>
          <w:szCs w:val="20"/>
          <w:lang w:val="es-ES"/>
        </w:rPr>
        <w:t xml:space="preserve">efectuada por </w:t>
      </w:r>
      <w:r w:rsidR="003D13F3">
        <w:rPr>
          <w:color w:val="000000" w:themeColor="text1"/>
          <w:sz w:val="20"/>
          <w:szCs w:val="20"/>
          <w:lang w:val="es-ES"/>
        </w:rPr>
        <w:t>agentes estatales</w:t>
      </w:r>
      <w:r w:rsidRPr="004768D0">
        <w:rPr>
          <w:color w:val="000000" w:themeColor="text1"/>
          <w:sz w:val="20"/>
          <w:szCs w:val="20"/>
          <w:lang w:val="es-ES"/>
        </w:rPr>
        <w:t>, seguida d</w:t>
      </w:r>
      <w:r w:rsidR="00D677F2" w:rsidRPr="004768D0">
        <w:rPr>
          <w:color w:val="000000" w:themeColor="text1"/>
          <w:sz w:val="20"/>
          <w:szCs w:val="20"/>
          <w:lang w:val="es-ES"/>
        </w:rPr>
        <w:t>e las</w:t>
      </w:r>
      <w:r w:rsidRPr="004768D0">
        <w:rPr>
          <w:color w:val="000000" w:themeColor="text1"/>
          <w:sz w:val="20"/>
          <w:szCs w:val="20"/>
          <w:lang w:val="es-ES"/>
        </w:rPr>
        <w:t xml:space="preserve"> fal</w:t>
      </w:r>
      <w:r w:rsidR="00D677F2" w:rsidRPr="004768D0">
        <w:rPr>
          <w:color w:val="000000" w:themeColor="text1"/>
          <w:sz w:val="20"/>
          <w:szCs w:val="20"/>
          <w:lang w:val="es-ES"/>
        </w:rPr>
        <w:t>l</w:t>
      </w:r>
      <w:r w:rsidRPr="004768D0">
        <w:rPr>
          <w:color w:val="000000" w:themeColor="text1"/>
          <w:sz w:val="20"/>
          <w:szCs w:val="20"/>
          <w:lang w:val="es-ES"/>
        </w:rPr>
        <w:t xml:space="preserve">as de </w:t>
      </w:r>
      <w:r w:rsidR="00D677F2" w:rsidRPr="004768D0">
        <w:rPr>
          <w:color w:val="000000" w:themeColor="text1"/>
          <w:sz w:val="20"/>
          <w:szCs w:val="20"/>
          <w:lang w:val="es-ES"/>
        </w:rPr>
        <w:t xml:space="preserve">la </w:t>
      </w:r>
      <w:r w:rsidR="00712D2E" w:rsidRPr="004768D0">
        <w:rPr>
          <w:color w:val="000000" w:themeColor="text1"/>
          <w:sz w:val="20"/>
          <w:szCs w:val="20"/>
          <w:lang w:val="es-ES"/>
        </w:rPr>
        <w:t>investigación</w:t>
      </w:r>
      <w:r w:rsidRPr="004768D0">
        <w:rPr>
          <w:color w:val="000000" w:themeColor="text1"/>
          <w:sz w:val="20"/>
          <w:szCs w:val="20"/>
          <w:lang w:val="es-ES"/>
        </w:rPr>
        <w:t xml:space="preserve"> </w:t>
      </w:r>
      <w:r w:rsidR="00D677F2" w:rsidRPr="004768D0">
        <w:rPr>
          <w:color w:val="000000" w:themeColor="text1"/>
          <w:sz w:val="20"/>
          <w:szCs w:val="20"/>
          <w:lang w:val="es-ES"/>
        </w:rPr>
        <w:t xml:space="preserve">y la </w:t>
      </w:r>
      <w:r w:rsidR="000C0AC4" w:rsidRPr="004768D0">
        <w:rPr>
          <w:color w:val="000000" w:themeColor="text1"/>
          <w:sz w:val="20"/>
          <w:szCs w:val="20"/>
          <w:lang w:val="es-ES"/>
        </w:rPr>
        <w:t>impunidad</w:t>
      </w:r>
      <w:r w:rsidRPr="004768D0">
        <w:rPr>
          <w:color w:val="000000" w:themeColor="text1"/>
          <w:sz w:val="20"/>
          <w:szCs w:val="20"/>
          <w:lang w:val="es-ES"/>
        </w:rPr>
        <w:t xml:space="preserve"> d</w:t>
      </w:r>
      <w:r w:rsidR="00D677F2" w:rsidRPr="004768D0">
        <w:rPr>
          <w:color w:val="000000" w:themeColor="text1"/>
          <w:sz w:val="20"/>
          <w:szCs w:val="20"/>
          <w:lang w:val="es-ES"/>
        </w:rPr>
        <w:t>e l</w:t>
      </w:r>
      <w:r w:rsidRPr="004768D0">
        <w:rPr>
          <w:color w:val="000000" w:themeColor="text1"/>
          <w:sz w:val="20"/>
          <w:szCs w:val="20"/>
          <w:lang w:val="es-ES"/>
        </w:rPr>
        <w:t xml:space="preserve">os </w:t>
      </w:r>
      <w:r w:rsidR="000A5DA2" w:rsidRPr="004768D0">
        <w:rPr>
          <w:color w:val="000000" w:themeColor="text1"/>
          <w:sz w:val="20"/>
          <w:szCs w:val="20"/>
          <w:lang w:val="es-ES"/>
        </w:rPr>
        <w:t>responsables</w:t>
      </w:r>
      <w:r w:rsidR="00D677F2" w:rsidRPr="004768D0">
        <w:rPr>
          <w:color w:val="000000" w:themeColor="text1"/>
          <w:sz w:val="20"/>
          <w:szCs w:val="20"/>
          <w:lang w:val="es-ES"/>
        </w:rPr>
        <w:t>,</w:t>
      </w:r>
      <w:r w:rsidRPr="004768D0">
        <w:rPr>
          <w:color w:val="000000" w:themeColor="text1"/>
          <w:sz w:val="20"/>
          <w:szCs w:val="20"/>
          <w:lang w:val="es-ES"/>
        </w:rPr>
        <w:t xml:space="preserve"> </w:t>
      </w:r>
      <w:r w:rsidR="00D677F2" w:rsidRPr="004768D0">
        <w:rPr>
          <w:color w:val="000000" w:themeColor="text1"/>
          <w:sz w:val="20"/>
          <w:szCs w:val="20"/>
          <w:lang w:val="es-ES"/>
        </w:rPr>
        <w:t>y</w:t>
      </w:r>
      <w:r w:rsidRPr="004768D0">
        <w:rPr>
          <w:color w:val="000000" w:themeColor="text1"/>
          <w:sz w:val="20"/>
          <w:szCs w:val="20"/>
          <w:lang w:val="es-ES"/>
        </w:rPr>
        <w:t xml:space="preserve"> que, </w:t>
      </w:r>
      <w:r w:rsidR="00D677F2" w:rsidRPr="004768D0">
        <w:rPr>
          <w:color w:val="000000" w:themeColor="text1"/>
          <w:sz w:val="20"/>
          <w:szCs w:val="20"/>
          <w:lang w:val="es-ES"/>
        </w:rPr>
        <w:t xml:space="preserve">en lo que se refiere a las </w:t>
      </w:r>
      <w:r w:rsidRPr="004768D0">
        <w:rPr>
          <w:color w:val="000000" w:themeColor="text1"/>
          <w:sz w:val="20"/>
          <w:szCs w:val="20"/>
          <w:lang w:val="es-ES"/>
        </w:rPr>
        <w:t>a</w:t>
      </w:r>
      <w:r w:rsidR="002946BE" w:rsidRPr="004768D0">
        <w:rPr>
          <w:color w:val="000000" w:themeColor="text1"/>
          <w:sz w:val="20"/>
          <w:szCs w:val="20"/>
          <w:lang w:val="es-ES"/>
        </w:rPr>
        <w:t>cciones civiles</w:t>
      </w:r>
      <w:r w:rsidRPr="004768D0">
        <w:rPr>
          <w:color w:val="000000" w:themeColor="text1"/>
          <w:sz w:val="20"/>
          <w:szCs w:val="20"/>
          <w:lang w:val="es-ES"/>
        </w:rPr>
        <w:t xml:space="preserve">, </w:t>
      </w:r>
      <w:r w:rsidR="00D677F2" w:rsidRPr="004768D0">
        <w:rPr>
          <w:color w:val="000000" w:themeColor="text1"/>
          <w:sz w:val="20"/>
          <w:szCs w:val="20"/>
          <w:lang w:val="es-ES"/>
        </w:rPr>
        <w:t xml:space="preserve">aunque se presentaron ocho </w:t>
      </w:r>
      <w:r w:rsidR="002946BE" w:rsidRPr="004768D0">
        <w:rPr>
          <w:color w:val="000000" w:themeColor="text1"/>
          <w:sz w:val="20"/>
          <w:szCs w:val="20"/>
          <w:lang w:val="es-ES"/>
        </w:rPr>
        <w:t>acciones civiles</w:t>
      </w:r>
      <w:r w:rsidRPr="004768D0">
        <w:rPr>
          <w:color w:val="000000" w:themeColor="text1"/>
          <w:sz w:val="20"/>
          <w:szCs w:val="20"/>
          <w:lang w:val="es-ES"/>
        </w:rPr>
        <w:t xml:space="preserve"> de </w:t>
      </w:r>
      <w:r w:rsidR="002946BE" w:rsidRPr="004768D0">
        <w:rPr>
          <w:color w:val="000000" w:themeColor="text1"/>
          <w:sz w:val="20"/>
          <w:szCs w:val="20"/>
          <w:lang w:val="es-ES"/>
        </w:rPr>
        <w:t>indemnización</w:t>
      </w:r>
      <w:r w:rsidRPr="004768D0">
        <w:rPr>
          <w:color w:val="000000" w:themeColor="text1"/>
          <w:sz w:val="20"/>
          <w:szCs w:val="20"/>
          <w:lang w:val="es-ES"/>
        </w:rPr>
        <w:t xml:space="preserve"> por </w:t>
      </w:r>
      <w:r w:rsidR="002946BE" w:rsidRPr="004768D0">
        <w:rPr>
          <w:color w:val="000000" w:themeColor="text1"/>
          <w:sz w:val="20"/>
          <w:szCs w:val="20"/>
          <w:lang w:val="es-ES"/>
        </w:rPr>
        <w:t>daños</w:t>
      </w:r>
      <w:r w:rsidRPr="004768D0">
        <w:rPr>
          <w:color w:val="000000" w:themeColor="text1"/>
          <w:sz w:val="20"/>
          <w:szCs w:val="20"/>
          <w:lang w:val="es-ES"/>
        </w:rPr>
        <w:t xml:space="preserve"> </w:t>
      </w:r>
      <w:r w:rsidR="002946BE" w:rsidRPr="004768D0">
        <w:rPr>
          <w:color w:val="000000" w:themeColor="text1"/>
          <w:sz w:val="20"/>
          <w:szCs w:val="20"/>
          <w:lang w:val="es-ES"/>
        </w:rPr>
        <w:t>morales</w:t>
      </w:r>
      <w:r w:rsidRPr="004768D0">
        <w:rPr>
          <w:color w:val="000000" w:themeColor="text1"/>
          <w:sz w:val="20"/>
          <w:szCs w:val="20"/>
          <w:lang w:val="es-ES"/>
        </w:rPr>
        <w:t xml:space="preserve"> </w:t>
      </w:r>
      <w:r w:rsidR="00D677F2" w:rsidRPr="004768D0">
        <w:rPr>
          <w:color w:val="000000" w:themeColor="text1"/>
          <w:sz w:val="20"/>
          <w:szCs w:val="20"/>
          <w:lang w:val="es-ES"/>
        </w:rPr>
        <w:t>y</w:t>
      </w:r>
      <w:r w:rsidRPr="004768D0">
        <w:rPr>
          <w:color w:val="000000" w:themeColor="text1"/>
          <w:sz w:val="20"/>
          <w:szCs w:val="20"/>
          <w:lang w:val="es-ES"/>
        </w:rPr>
        <w:t xml:space="preserve"> </w:t>
      </w:r>
      <w:r w:rsidR="002946BE" w:rsidRPr="004768D0">
        <w:rPr>
          <w:color w:val="000000" w:themeColor="text1"/>
          <w:sz w:val="20"/>
          <w:szCs w:val="20"/>
          <w:lang w:val="es-ES"/>
        </w:rPr>
        <w:t>materiales</w:t>
      </w:r>
      <w:r w:rsidRPr="004768D0">
        <w:rPr>
          <w:color w:val="000000" w:themeColor="text1"/>
          <w:sz w:val="20"/>
          <w:szCs w:val="20"/>
          <w:lang w:val="es-ES"/>
        </w:rPr>
        <w:t xml:space="preserve"> contra </w:t>
      </w:r>
      <w:r w:rsidR="003C58C5" w:rsidRPr="004768D0">
        <w:rPr>
          <w:color w:val="000000" w:themeColor="text1"/>
          <w:sz w:val="20"/>
          <w:szCs w:val="20"/>
          <w:lang w:val="es-ES"/>
        </w:rPr>
        <w:t xml:space="preserve">el </w:t>
      </w:r>
      <w:r w:rsidR="0000579C">
        <w:rPr>
          <w:color w:val="000000" w:themeColor="text1"/>
          <w:sz w:val="20"/>
          <w:szCs w:val="20"/>
          <w:lang w:val="es-ES"/>
        </w:rPr>
        <w:t>estado de São Paulo</w:t>
      </w:r>
      <w:r w:rsidRPr="004768D0">
        <w:rPr>
          <w:color w:val="000000" w:themeColor="text1"/>
          <w:sz w:val="20"/>
          <w:szCs w:val="20"/>
          <w:lang w:val="es-ES"/>
        </w:rPr>
        <w:t xml:space="preserve">, </w:t>
      </w:r>
      <w:r w:rsidR="00D677F2" w:rsidRPr="004768D0">
        <w:rPr>
          <w:color w:val="000000" w:themeColor="text1"/>
          <w:sz w:val="20"/>
          <w:szCs w:val="20"/>
          <w:lang w:val="es-ES"/>
        </w:rPr>
        <w:t xml:space="preserve">seis fueron denegadas y archivadas. En las dos en las cuales se dictó sentencia favorable, el monto adjudicado fue </w:t>
      </w:r>
      <w:r w:rsidR="002A0C19" w:rsidRPr="004768D0">
        <w:rPr>
          <w:color w:val="000000" w:themeColor="text1"/>
          <w:sz w:val="20"/>
          <w:szCs w:val="20"/>
          <w:lang w:val="es-ES"/>
        </w:rPr>
        <w:t>irris</w:t>
      </w:r>
      <w:r w:rsidR="00D677F2" w:rsidRPr="004768D0">
        <w:rPr>
          <w:color w:val="000000" w:themeColor="text1"/>
          <w:sz w:val="20"/>
          <w:szCs w:val="20"/>
          <w:lang w:val="es-ES"/>
        </w:rPr>
        <w:t xml:space="preserve">orio, como ocurrió en el </w:t>
      </w:r>
      <w:r w:rsidR="002A0C19" w:rsidRPr="004768D0">
        <w:rPr>
          <w:color w:val="000000" w:themeColor="text1"/>
          <w:sz w:val="20"/>
          <w:szCs w:val="20"/>
          <w:lang w:val="es-ES"/>
        </w:rPr>
        <w:t>caso d</w:t>
      </w:r>
      <w:r w:rsidR="00D677F2" w:rsidRPr="004768D0">
        <w:rPr>
          <w:color w:val="000000" w:themeColor="text1"/>
          <w:sz w:val="20"/>
          <w:szCs w:val="20"/>
          <w:lang w:val="es-ES"/>
        </w:rPr>
        <w:t xml:space="preserve">e </w:t>
      </w:r>
      <w:r w:rsidR="00CF044D" w:rsidRPr="004768D0">
        <w:rPr>
          <w:color w:val="000000" w:themeColor="text1"/>
          <w:sz w:val="20"/>
          <w:szCs w:val="20"/>
          <w:lang w:val="es-ES"/>
        </w:rPr>
        <w:t>la señora</w:t>
      </w:r>
      <w:r w:rsidR="002A0C19" w:rsidRPr="004768D0">
        <w:rPr>
          <w:color w:val="000000" w:themeColor="text1"/>
          <w:sz w:val="20"/>
          <w:szCs w:val="20"/>
          <w:lang w:val="es-ES"/>
        </w:rPr>
        <w:t xml:space="preserve"> Débora Maria da Silva (</w:t>
      </w:r>
      <w:r w:rsidR="000A5DA2" w:rsidRPr="004768D0">
        <w:rPr>
          <w:color w:val="000000" w:themeColor="text1"/>
          <w:sz w:val="20"/>
          <w:szCs w:val="20"/>
          <w:lang w:val="es-ES"/>
        </w:rPr>
        <w:t>proceso</w:t>
      </w:r>
      <w:r w:rsidR="002A0C19" w:rsidRPr="004768D0">
        <w:rPr>
          <w:color w:val="000000" w:themeColor="text1"/>
          <w:sz w:val="20"/>
          <w:szCs w:val="20"/>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002A0C19" w:rsidRPr="004768D0">
        <w:rPr>
          <w:color w:val="000000" w:themeColor="text1"/>
          <w:sz w:val="20"/>
          <w:szCs w:val="20"/>
          <w:lang w:val="es-ES"/>
        </w:rPr>
        <w:t xml:space="preserve"> 0019146-44.2010.8.26.0562), cu</w:t>
      </w:r>
      <w:r w:rsidR="00D677F2" w:rsidRPr="004768D0">
        <w:rPr>
          <w:color w:val="000000" w:themeColor="text1"/>
          <w:sz w:val="20"/>
          <w:szCs w:val="20"/>
          <w:lang w:val="es-ES"/>
        </w:rPr>
        <w:t xml:space="preserve">ya pensión consistió en solo un tercio de un salario </w:t>
      </w:r>
      <w:r w:rsidR="002A0C19" w:rsidRPr="004768D0">
        <w:rPr>
          <w:color w:val="000000" w:themeColor="text1"/>
          <w:sz w:val="20"/>
          <w:szCs w:val="20"/>
          <w:lang w:val="es-ES"/>
        </w:rPr>
        <w:t xml:space="preserve">mínimo legal. </w:t>
      </w:r>
      <w:r w:rsidR="000D0997" w:rsidRPr="004768D0">
        <w:rPr>
          <w:color w:val="000000" w:themeColor="text1"/>
          <w:sz w:val="20"/>
          <w:szCs w:val="20"/>
          <w:lang w:val="es-ES"/>
        </w:rPr>
        <w:t>Tampoco</w:t>
      </w:r>
      <w:r w:rsidR="002A0C19" w:rsidRPr="004768D0">
        <w:rPr>
          <w:color w:val="000000" w:themeColor="text1"/>
          <w:sz w:val="20"/>
          <w:szCs w:val="20"/>
          <w:lang w:val="es-ES"/>
        </w:rPr>
        <w:t xml:space="preserve"> </w:t>
      </w:r>
      <w:r w:rsidR="00D677F2" w:rsidRPr="004768D0">
        <w:rPr>
          <w:color w:val="000000" w:themeColor="text1"/>
          <w:sz w:val="20"/>
          <w:szCs w:val="20"/>
          <w:lang w:val="es-ES"/>
        </w:rPr>
        <w:t xml:space="preserve">se atendió, ni en la acción </w:t>
      </w:r>
      <w:r w:rsidR="002A0C19" w:rsidRPr="004768D0">
        <w:rPr>
          <w:color w:val="000000" w:themeColor="text1"/>
          <w:sz w:val="20"/>
          <w:szCs w:val="20"/>
          <w:lang w:val="es-ES"/>
        </w:rPr>
        <w:t>de Débora</w:t>
      </w:r>
      <w:r w:rsidR="00D677F2" w:rsidRPr="004768D0">
        <w:rPr>
          <w:color w:val="000000" w:themeColor="text1"/>
          <w:sz w:val="20"/>
          <w:szCs w:val="20"/>
          <w:lang w:val="es-ES"/>
        </w:rPr>
        <w:t xml:space="preserve"> ni en la de </w:t>
      </w:r>
      <w:r w:rsidR="002A0C19" w:rsidRPr="004768D0">
        <w:rPr>
          <w:color w:val="000000" w:themeColor="text1"/>
          <w:sz w:val="20"/>
          <w:szCs w:val="20"/>
          <w:lang w:val="es-ES"/>
        </w:rPr>
        <w:t xml:space="preserve">Vera </w:t>
      </w:r>
      <w:proofErr w:type="spellStart"/>
      <w:r w:rsidR="002A0C19" w:rsidRPr="004768D0">
        <w:rPr>
          <w:color w:val="000000" w:themeColor="text1"/>
          <w:sz w:val="20"/>
          <w:szCs w:val="20"/>
          <w:lang w:val="es-ES"/>
        </w:rPr>
        <w:t>Lúcia</w:t>
      </w:r>
      <w:proofErr w:type="spellEnd"/>
      <w:r w:rsidR="002A0C19" w:rsidRPr="004768D0">
        <w:rPr>
          <w:color w:val="000000" w:themeColor="text1"/>
          <w:sz w:val="20"/>
          <w:szCs w:val="20"/>
          <w:lang w:val="es-ES"/>
        </w:rPr>
        <w:t xml:space="preserve"> Andrade de Freitas </w:t>
      </w:r>
      <w:r w:rsidR="00D677F2" w:rsidRPr="004768D0">
        <w:rPr>
          <w:color w:val="000000" w:themeColor="text1"/>
          <w:sz w:val="20"/>
          <w:szCs w:val="20"/>
          <w:lang w:val="es-ES"/>
        </w:rPr>
        <w:t>y</w:t>
      </w:r>
      <w:r w:rsidR="002A0C19" w:rsidRPr="004768D0">
        <w:rPr>
          <w:color w:val="000000" w:themeColor="text1"/>
          <w:sz w:val="20"/>
          <w:szCs w:val="20"/>
          <w:lang w:val="es-ES"/>
        </w:rPr>
        <w:t xml:space="preserve"> João </w:t>
      </w:r>
      <w:proofErr w:type="spellStart"/>
      <w:r w:rsidR="002A0C19" w:rsidRPr="004768D0">
        <w:rPr>
          <w:color w:val="000000" w:themeColor="text1"/>
          <w:sz w:val="20"/>
          <w:szCs w:val="20"/>
          <w:lang w:val="es-ES"/>
        </w:rPr>
        <w:t>Inocêncio</w:t>
      </w:r>
      <w:proofErr w:type="spellEnd"/>
      <w:r w:rsidR="002A0C19" w:rsidRPr="004768D0">
        <w:rPr>
          <w:color w:val="000000" w:themeColor="text1"/>
          <w:sz w:val="20"/>
          <w:szCs w:val="20"/>
          <w:lang w:val="es-ES"/>
        </w:rPr>
        <w:t xml:space="preserve"> Correa de Freitas (</w:t>
      </w:r>
      <w:r w:rsidR="000A5DA2" w:rsidRPr="004768D0">
        <w:rPr>
          <w:color w:val="000000" w:themeColor="text1"/>
          <w:sz w:val="20"/>
          <w:szCs w:val="20"/>
          <w:lang w:val="es-ES"/>
        </w:rPr>
        <w:t>proceso</w:t>
      </w:r>
      <w:r w:rsidR="002A0C19" w:rsidRPr="004768D0">
        <w:rPr>
          <w:color w:val="000000" w:themeColor="text1"/>
          <w:sz w:val="20"/>
          <w:szCs w:val="20"/>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002A0C19" w:rsidRPr="004768D0">
        <w:rPr>
          <w:color w:val="000000" w:themeColor="text1"/>
          <w:sz w:val="20"/>
          <w:szCs w:val="20"/>
          <w:lang w:val="es-ES"/>
        </w:rPr>
        <w:t xml:space="preserve"> 0017540-78.2010.8.26.0562), </w:t>
      </w:r>
      <w:r w:rsidR="00D677F2" w:rsidRPr="004768D0">
        <w:rPr>
          <w:color w:val="000000" w:themeColor="text1"/>
          <w:sz w:val="20"/>
          <w:szCs w:val="20"/>
          <w:lang w:val="es-ES"/>
        </w:rPr>
        <w:t>el</w:t>
      </w:r>
      <w:r w:rsidR="002A0C19" w:rsidRPr="004768D0">
        <w:rPr>
          <w:color w:val="000000" w:themeColor="text1"/>
          <w:sz w:val="20"/>
          <w:szCs w:val="20"/>
          <w:lang w:val="es-ES"/>
        </w:rPr>
        <w:t xml:space="preserve"> pedido de condena d</w:t>
      </w:r>
      <w:r w:rsidR="003C58C5" w:rsidRPr="004768D0">
        <w:rPr>
          <w:color w:val="000000" w:themeColor="text1"/>
          <w:sz w:val="20"/>
          <w:szCs w:val="20"/>
          <w:lang w:val="es-ES"/>
        </w:rPr>
        <w:t>el Estado</w:t>
      </w:r>
      <w:r w:rsidR="002A0C19" w:rsidRPr="004768D0">
        <w:rPr>
          <w:color w:val="000000" w:themeColor="text1"/>
          <w:sz w:val="20"/>
          <w:szCs w:val="20"/>
          <w:lang w:val="es-ES"/>
        </w:rPr>
        <w:t xml:space="preserve"> </w:t>
      </w:r>
      <w:r w:rsidR="00D677F2" w:rsidRPr="004768D0">
        <w:rPr>
          <w:color w:val="000000" w:themeColor="text1"/>
          <w:sz w:val="20"/>
          <w:szCs w:val="20"/>
          <w:lang w:val="es-ES"/>
        </w:rPr>
        <w:t xml:space="preserve">por incumplimiento de la obligación de hacer, que consistía en el </w:t>
      </w:r>
      <w:r w:rsidR="004744F0" w:rsidRPr="004768D0">
        <w:rPr>
          <w:color w:val="000000" w:themeColor="text1"/>
          <w:sz w:val="20"/>
          <w:szCs w:val="20"/>
          <w:lang w:val="es-ES"/>
        </w:rPr>
        <w:t>“</w:t>
      </w:r>
      <w:r w:rsidR="002A0C19" w:rsidRPr="004768D0">
        <w:rPr>
          <w:color w:val="000000" w:themeColor="text1"/>
          <w:sz w:val="20"/>
          <w:szCs w:val="20"/>
          <w:lang w:val="es-ES"/>
        </w:rPr>
        <w:t xml:space="preserve">pedido de </w:t>
      </w:r>
      <w:r w:rsidR="002946BE" w:rsidRPr="004768D0">
        <w:rPr>
          <w:color w:val="000000" w:themeColor="text1"/>
          <w:sz w:val="20"/>
          <w:szCs w:val="20"/>
          <w:lang w:val="es-ES"/>
        </w:rPr>
        <w:t>disculpas</w:t>
      </w:r>
      <w:r w:rsidR="004744F0" w:rsidRPr="004768D0">
        <w:rPr>
          <w:color w:val="000000" w:themeColor="text1"/>
          <w:sz w:val="20"/>
          <w:szCs w:val="20"/>
          <w:lang w:val="es-ES"/>
        </w:rPr>
        <w:t>”</w:t>
      </w:r>
      <w:r w:rsidR="002A0C19" w:rsidRPr="004768D0">
        <w:rPr>
          <w:color w:val="000000" w:themeColor="text1"/>
          <w:sz w:val="20"/>
          <w:szCs w:val="20"/>
          <w:lang w:val="es-ES"/>
        </w:rPr>
        <w:t xml:space="preserve"> </w:t>
      </w:r>
      <w:r w:rsidR="00D677F2" w:rsidRPr="004768D0">
        <w:rPr>
          <w:color w:val="000000" w:themeColor="text1"/>
          <w:sz w:val="20"/>
          <w:szCs w:val="20"/>
          <w:lang w:val="es-ES"/>
        </w:rPr>
        <w:t xml:space="preserve">que debía formular el jefe del </w:t>
      </w:r>
      <w:r w:rsidR="002A0C19" w:rsidRPr="004768D0">
        <w:rPr>
          <w:color w:val="000000" w:themeColor="text1"/>
          <w:sz w:val="20"/>
          <w:szCs w:val="20"/>
          <w:lang w:val="es-ES"/>
        </w:rPr>
        <w:t>Poder E</w:t>
      </w:r>
      <w:r w:rsidR="00D677F2" w:rsidRPr="004768D0">
        <w:rPr>
          <w:color w:val="000000" w:themeColor="text1"/>
          <w:sz w:val="20"/>
          <w:szCs w:val="20"/>
          <w:lang w:val="es-ES"/>
        </w:rPr>
        <w:t>j</w:t>
      </w:r>
      <w:r w:rsidR="002A0C19" w:rsidRPr="004768D0">
        <w:rPr>
          <w:color w:val="000000" w:themeColor="text1"/>
          <w:sz w:val="20"/>
          <w:szCs w:val="20"/>
          <w:lang w:val="es-ES"/>
        </w:rPr>
        <w:t xml:space="preserve">ecutivo </w:t>
      </w:r>
      <w:r w:rsidR="00D677F2" w:rsidRPr="004768D0">
        <w:rPr>
          <w:color w:val="000000" w:themeColor="text1"/>
          <w:sz w:val="20"/>
          <w:szCs w:val="20"/>
          <w:lang w:val="es-ES"/>
        </w:rPr>
        <w:t xml:space="preserve">y en la construcción de un </w:t>
      </w:r>
      <w:r w:rsidR="002A0C19" w:rsidRPr="004768D0">
        <w:rPr>
          <w:color w:val="000000" w:themeColor="text1"/>
          <w:sz w:val="20"/>
          <w:szCs w:val="20"/>
          <w:lang w:val="es-ES"/>
        </w:rPr>
        <w:t>monumento e</w:t>
      </w:r>
      <w:r w:rsidR="00D677F2" w:rsidRPr="004768D0">
        <w:rPr>
          <w:color w:val="000000" w:themeColor="text1"/>
          <w:sz w:val="20"/>
          <w:szCs w:val="20"/>
          <w:lang w:val="es-ES"/>
        </w:rPr>
        <w:t>n</w:t>
      </w:r>
      <w:r w:rsidR="002A0C19" w:rsidRPr="004768D0">
        <w:rPr>
          <w:color w:val="000000" w:themeColor="text1"/>
          <w:sz w:val="20"/>
          <w:szCs w:val="20"/>
          <w:lang w:val="es-ES"/>
        </w:rPr>
        <w:t xml:space="preserve"> </w:t>
      </w:r>
      <w:r w:rsidR="002946BE" w:rsidRPr="004768D0">
        <w:rPr>
          <w:color w:val="000000" w:themeColor="text1"/>
          <w:sz w:val="20"/>
          <w:szCs w:val="20"/>
          <w:lang w:val="es-ES"/>
        </w:rPr>
        <w:t>homenaje</w:t>
      </w:r>
      <w:r w:rsidR="002A0C19" w:rsidRPr="004768D0">
        <w:rPr>
          <w:color w:val="000000" w:themeColor="text1"/>
          <w:sz w:val="20"/>
          <w:szCs w:val="20"/>
          <w:lang w:val="es-ES"/>
        </w:rPr>
        <w:t xml:space="preserve"> </w:t>
      </w:r>
      <w:r w:rsidR="00D677F2" w:rsidRPr="004768D0">
        <w:rPr>
          <w:color w:val="000000" w:themeColor="text1"/>
          <w:sz w:val="20"/>
          <w:szCs w:val="20"/>
          <w:lang w:val="es-ES"/>
        </w:rPr>
        <w:t>a la</w:t>
      </w:r>
      <w:r w:rsidR="002A0C19" w:rsidRPr="004768D0">
        <w:rPr>
          <w:color w:val="000000" w:themeColor="text1"/>
          <w:sz w:val="20"/>
          <w:szCs w:val="20"/>
          <w:lang w:val="es-ES"/>
        </w:rPr>
        <w:t xml:space="preserve">s </w:t>
      </w:r>
      <w:r w:rsidR="00000CF9" w:rsidRPr="004768D0">
        <w:rPr>
          <w:color w:val="000000" w:themeColor="text1"/>
          <w:sz w:val="20"/>
          <w:szCs w:val="20"/>
          <w:lang w:val="es-ES"/>
        </w:rPr>
        <w:t>víctimas</w:t>
      </w:r>
      <w:r w:rsidR="002A0C19" w:rsidRPr="004768D0">
        <w:rPr>
          <w:color w:val="000000" w:themeColor="text1"/>
          <w:sz w:val="20"/>
          <w:szCs w:val="20"/>
          <w:lang w:val="es-ES"/>
        </w:rPr>
        <w:t xml:space="preserve"> d</w:t>
      </w:r>
      <w:r w:rsidR="00D677F2" w:rsidRPr="004768D0">
        <w:rPr>
          <w:color w:val="000000" w:themeColor="text1"/>
          <w:sz w:val="20"/>
          <w:szCs w:val="20"/>
          <w:lang w:val="es-ES"/>
        </w:rPr>
        <w:t>e l</w:t>
      </w:r>
      <w:r w:rsidR="002A0C19" w:rsidRPr="004768D0">
        <w:rPr>
          <w:color w:val="000000" w:themeColor="text1"/>
          <w:sz w:val="20"/>
          <w:szCs w:val="20"/>
          <w:lang w:val="es-ES"/>
        </w:rPr>
        <w:t xml:space="preserve">os </w:t>
      </w:r>
      <w:r w:rsidR="00D677F2" w:rsidRPr="004768D0">
        <w:rPr>
          <w:color w:val="000000" w:themeColor="text1"/>
          <w:sz w:val="20"/>
          <w:szCs w:val="20"/>
          <w:lang w:val="es-ES"/>
        </w:rPr>
        <w:t xml:space="preserve">Crímenes </w:t>
      </w:r>
      <w:r w:rsidR="002A0C19" w:rsidRPr="004768D0">
        <w:rPr>
          <w:color w:val="000000" w:themeColor="text1"/>
          <w:sz w:val="20"/>
          <w:szCs w:val="20"/>
          <w:lang w:val="es-ES"/>
        </w:rPr>
        <w:t xml:space="preserve">de </w:t>
      </w:r>
      <w:r w:rsidR="007F4608" w:rsidRPr="004768D0">
        <w:rPr>
          <w:color w:val="000000" w:themeColor="text1"/>
          <w:sz w:val="20"/>
          <w:szCs w:val="20"/>
          <w:lang w:val="es-ES"/>
        </w:rPr>
        <w:t>Mayo</w:t>
      </w:r>
      <w:r w:rsidR="002A0C19" w:rsidRPr="004768D0">
        <w:rPr>
          <w:color w:val="000000" w:themeColor="text1"/>
          <w:sz w:val="20"/>
          <w:szCs w:val="20"/>
          <w:lang w:val="es-ES"/>
        </w:rPr>
        <w:t xml:space="preserve"> de 2006.</w:t>
      </w:r>
    </w:p>
    <w:p w14:paraId="45779706" w14:textId="77777777" w:rsidR="002A0C19" w:rsidRPr="004768D0" w:rsidRDefault="002A0C19" w:rsidP="00E55F6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p>
    <w:p w14:paraId="17E99EEB" w14:textId="77777777" w:rsidR="00B15DE1" w:rsidRPr="004768D0" w:rsidRDefault="00A07DD9" w:rsidP="00A104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r w:rsidRPr="004768D0">
        <w:rPr>
          <w:color w:val="000000" w:themeColor="text1"/>
          <w:sz w:val="20"/>
          <w:szCs w:val="20"/>
          <w:lang w:val="es-ES"/>
        </w:rPr>
        <w:t>La parte peticionaria</w:t>
      </w:r>
      <w:r w:rsidR="00E55F62" w:rsidRPr="004768D0">
        <w:rPr>
          <w:color w:val="000000" w:themeColor="text1"/>
          <w:sz w:val="20"/>
          <w:szCs w:val="20"/>
          <w:lang w:val="es-ES"/>
        </w:rPr>
        <w:t xml:space="preserve"> </w:t>
      </w:r>
      <w:r w:rsidR="00B15DE1" w:rsidRPr="004768D0">
        <w:rPr>
          <w:color w:val="000000" w:themeColor="text1"/>
          <w:sz w:val="20"/>
          <w:szCs w:val="20"/>
          <w:lang w:val="es-ES"/>
        </w:rPr>
        <w:t xml:space="preserve">alega </w:t>
      </w:r>
      <w:r w:rsidR="00D677F2" w:rsidRPr="004768D0">
        <w:rPr>
          <w:color w:val="000000" w:themeColor="text1"/>
          <w:sz w:val="20"/>
          <w:szCs w:val="20"/>
          <w:lang w:val="es-ES"/>
        </w:rPr>
        <w:t xml:space="preserve">también </w:t>
      </w:r>
      <w:r w:rsidR="00B15DE1" w:rsidRPr="004768D0">
        <w:rPr>
          <w:color w:val="000000" w:themeColor="text1"/>
          <w:sz w:val="20"/>
          <w:szCs w:val="20"/>
          <w:lang w:val="es-ES"/>
        </w:rPr>
        <w:t>que h</w:t>
      </w:r>
      <w:r w:rsidR="00D677F2" w:rsidRPr="004768D0">
        <w:rPr>
          <w:color w:val="000000" w:themeColor="text1"/>
          <w:sz w:val="20"/>
          <w:szCs w:val="20"/>
          <w:lang w:val="es-ES"/>
        </w:rPr>
        <w:t xml:space="preserve">ubo una </w:t>
      </w:r>
      <w:r w:rsidR="00B15DE1" w:rsidRPr="004768D0">
        <w:rPr>
          <w:color w:val="000000" w:themeColor="text1"/>
          <w:sz w:val="20"/>
          <w:szCs w:val="20"/>
          <w:lang w:val="es-ES"/>
        </w:rPr>
        <w:t xml:space="preserve">demora injustificada </w:t>
      </w:r>
      <w:r w:rsidR="00D677F2" w:rsidRPr="004768D0">
        <w:rPr>
          <w:color w:val="000000" w:themeColor="text1"/>
          <w:sz w:val="20"/>
          <w:szCs w:val="20"/>
          <w:lang w:val="es-ES"/>
        </w:rPr>
        <w:t>e</w:t>
      </w:r>
      <w:r w:rsidR="00B15DE1" w:rsidRPr="004768D0">
        <w:rPr>
          <w:color w:val="000000" w:themeColor="text1"/>
          <w:sz w:val="20"/>
          <w:szCs w:val="20"/>
          <w:lang w:val="es-ES"/>
        </w:rPr>
        <w:t>n</w:t>
      </w:r>
      <w:r w:rsidR="00D677F2" w:rsidRPr="004768D0">
        <w:rPr>
          <w:color w:val="000000" w:themeColor="text1"/>
          <w:sz w:val="20"/>
          <w:szCs w:val="20"/>
          <w:lang w:val="es-ES"/>
        </w:rPr>
        <w:t xml:space="preserve"> l</w:t>
      </w:r>
      <w:r w:rsidR="00B15DE1" w:rsidRPr="004768D0">
        <w:rPr>
          <w:color w:val="000000" w:themeColor="text1"/>
          <w:sz w:val="20"/>
          <w:szCs w:val="20"/>
          <w:lang w:val="es-ES"/>
        </w:rPr>
        <w:t xml:space="preserve">os </w:t>
      </w:r>
      <w:r w:rsidR="00D677F2" w:rsidRPr="004768D0">
        <w:rPr>
          <w:color w:val="000000" w:themeColor="text1"/>
          <w:sz w:val="20"/>
          <w:szCs w:val="20"/>
          <w:lang w:val="es-ES"/>
        </w:rPr>
        <w:t>procedimientos</w:t>
      </w:r>
      <w:r w:rsidR="00B15DE1" w:rsidRPr="004768D0">
        <w:rPr>
          <w:color w:val="000000" w:themeColor="text1"/>
          <w:sz w:val="20"/>
          <w:szCs w:val="20"/>
          <w:lang w:val="es-ES"/>
        </w:rPr>
        <w:t xml:space="preserve"> internos</w:t>
      </w:r>
      <w:r w:rsidR="00E55F62" w:rsidRPr="004768D0">
        <w:rPr>
          <w:color w:val="000000" w:themeColor="text1"/>
          <w:sz w:val="20"/>
          <w:szCs w:val="20"/>
          <w:lang w:val="es-ES"/>
        </w:rPr>
        <w:t xml:space="preserve">, </w:t>
      </w:r>
      <w:r w:rsidR="00D677F2" w:rsidRPr="004768D0">
        <w:rPr>
          <w:color w:val="000000" w:themeColor="text1"/>
          <w:sz w:val="20"/>
          <w:szCs w:val="20"/>
          <w:lang w:val="es-ES"/>
        </w:rPr>
        <w:t xml:space="preserve">ya que han transcurrido más </w:t>
      </w:r>
      <w:r w:rsidR="00E55F62" w:rsidRPr="004768D0">
        <w:rPr>
          <w:color w:val="000000" w:themeColor="text1"/>
          <w:sz w:val="20"/>
          <w:szCs w:val="20"/>
          <w:lang w:val="es-ES"/>
        </w:rPr>
        <w:t xml:space="preserve">de 14 </w:t>
      </w:r>
      <w:r w:rsidR="000C0AC4" w:rsidRPr="004768D0">
        <w:rPr>
          <w:color w:val="000000" w:themeColor="text1"/>
          <w:sz w:val="20"/>
          <w:szCs w:val="20"/>
          <w:lang w:val="es-ES"/>
        </w:rPr>
        <w:t>años</w:t>
      </w:r>
      <w:r w:rsidR="00E55F62" w:rsidRPr="004768D0">
        <w:rPr>
          <w:color w:val="000000" w:themeColor="text1"/>
          <w:sz w:val="20"/>
          <w:szCs w:val="20"/>
          <w:lang w:val="es-ES"/>
        </w:rPr>
        <w:t xml:space="preserve"> d</w:t>
      </w:r>
      <w:r w:rsidR="00D677F2" w:rsidRPr="004768D0">
        <w:rPr>
          <w:color w:val="000000" w:themeColor="text1"/>
          <w:sz w:val="20"/>
          <w:szCs w:val="20"/>
          <w:lang w:val="es-ES"/>
        </w:rPr>
        <w:t>esde l</w:t>
      </w:r>
      <w:r w:rsidR="00E55F62" w:rsidRPr="004768D0">
        <w:rPr>
          <w:color w:val="000000" w:themeColor="text1"/>
          <w:sz w:val="20"/>
          <w:szCs w:val="20"/>
          <w:lang w:val="es-ES"/>
        </w:rPr>
        <w:t xml:space="preserve">as </w:t>
      </w:r>
      <w:r w:rsidR="002946BE" w:rsidRPr="004768D0">
        <w:rPr>
          <w:color w:val="000000" w:themeColor="text1"/>
          <w:sz w:val="20"/>
          <w:szCs w:val="20"/>
          <w:lang w:val="es-ES"/>
        </w:rPr>
        <w:t>ejecuciones</w:t>
      </w:r>
      <w:r w:rsidR="00E55F62" w:rsidRPr="004768D0">
        <w:rPr>
          <w:color w:val="000000" w:themeColor="text1"/>
          <w:sz w:val="20"/>
          <w:szCs w:val="20"/>
          <w:lang w:val="es-ES"/>
        </w:rPr>
        <w:t xml:space="preserve"> </w:t>
      </w:r>
      <w:r w:rsidR="00D677F2" w:rsidRPr="004768D0">
        <w:rPr>
          <w:color w:val="000000" w:themeColor="text1"/>
          <w:sz w:val="20"/>
          <w:szCs w:val="20"/>
          <w:lang w:val="es-ES"/>
        </w:rPr>
        <w:t xml:space="preserve">sin que se aclaren los hechos y sin que se haya identificado a los </w:t>
      </w:r>
      <w:r w:rsidR="000A5DA2" w:rsidRPr="004768D0">
        <w:rPr>
          <w:color w:val="000000" w:themeColor="text1"/>
          <w:sz w:val="20"/>
          <w:szCs w:val="20"/>
          <w:lang w:val="es-ES"/>
        </w:rPr>
        <w:t>responsables</w:t>
      </w:r>
      <w:r w:rsidR="00D677F2" w:rsidRPr="004768D0">
        <w:rPr>
          <w:color w:val="000000" w:themeColor="text1"/>
          <w:sz w:val="20"/>
          <w:szCs w:val="20"/>
          <w:lang w:val="es-ES"/>
        </w:rPr>
        <w:t xml:space="preserve">. Agrega </w:t>
      </w:r>
      <w:r w:rsidR="00E55F62" w:rsidRPr="004768D0">
        <w:rPr>
          <w:color w:val="000000" w:themeColor="text1"/>
          <w:sz w:val="20"/>
          <w:szCs w:val="20"/>
          <w:lang w:val="es-ES"/>
        </w:rPr>
        <w:t xml:space="preserve">que </w:t>
      </w:r>
      <w:r w:rsidR="00D677F2" w:rsidRPr="004768D0">
        <w:rPr>
          <w:color w:val="000000" w:themeColor="text1"/>
          <w:sz w:val="20"/>
          <w:szCs w:val="20"/>
          <w:lang w:val="es-ES"/>
        </w:rPr>
        <w:t>l</w:t>
      </w:r>
      <w:r w:rsidR="00E55F62" w:rsidRPr="004768D0">
        <w:rPr>
          <w:color w:val="000000" w:themeColor="text1"/>
          <w:sz w:val="20"/>
          <w:szCs w:val="20"/>
          <w:lang w:val="es-ES"/>
        </w:rPr>
        <w:t xml:space="preserve">a demora injustificada </w:t>
      </w:r>
      <w:r w:rsidR="00D677F2" w:rsidRPr="004768D0">
        <w:rPr>
          <w:color w:val="000000" w:themeColor="text1"/>
          <w:sz w:val="20"/>
          <w:szCs w:val="20"/>
          <w:lang w:val="es-ES"/>
        </w:rPr>
        <w:t xml:space="preserve">se manifiesta en distintos </w:t>
      </w:r>
      <w:r w:rsidR="000C0AC4" w:rsidRPr="004768D0">
        <w:rPr>
          <w:color w:val="000000" w:themeColor="text1"/>
          <w:sz w:val="20"/>
          <w:szCs w:val="20"/>
          <w:lang w:val="es-ES"/>
        </w:rPr>
        <w:t>hechos</w:t>
      </w:r>
      <w:r w:rsidR="00E55F62" w:rsidRPr="004768D0">
        <w:rPr>
          <w:color w:val="000000" w:themeColor="text1"/>
          <w:sz w:val="20"/>
          <w:szCs w:val="20"/>
          <w:lang w:val="es-ES"/>
        </w:rPr>
        <w:t xml:space="preserve">: </w:t>
      </w:r>
      <w:r w:rsidR="00B15DE1" w:rsidRPr="004768D0">
        <w:rPr>
          <w:color w:val="000000" w:themeColor="text1"/>
          <w:sz w:val="20"/>
          <w:szCs w:val="20"/>
          <w:lang w:val="es-ES"/>
        </w:rPr>
        <w:t>i) e</w:t>
      </w:r>
      <w:r w:rsidR="00D677F2" w:rsidRPr="004768D0">
        <w:rPr>
          <w:color w:val="000000" w:themeColor="text1"/>
          <w:sz w:val="20"/>
          <w:szCs w:val="20"/>
          <w:lang w:val="es-ES"/>
        </w:rPr>
        <w:t>n</w:t>
      </w:r>
      <w:r w:rsidR="00B15DE1" w:rsidRPr="004768D0">
        <w:rPr>
          <w:color w:val="000000" w:themeColor="text1"/>
          <w:sz w:val="20"/>
          <w:szCs w:val="20"/>
          <w:lang w:val="es-ES"/>
        </w:rPr>
        <w:t xml:space="preserve"> 2020, </w:t>
      </w:r>
      <w:r w:rsidR="00D677F2" w:rsidRPr="004768D0">
        <w:rPr>
          <w:color w:val="000000" w:themeColor="text1"/>
          <w:sz w:val="20"/>
          <w:szCs w:val="20"/>
          <w:lang w:val="es-ES"/>
        </w:rPr>
        <w:t xml:space="preserve">casi diez años después de la </w:t>
      </w:r>
      <w:r w:rsidR="00B15DE1" w:rsidRPr="004768D0">
        <w:rPr>
          <w:color w:val="000000" w:themeColor="text1"/>
          <w:sz w:val="20"/>
          <w:szCs w:val="20"/>
          <w:lang w:val="es-ES"/>
        </w:rPr>
        <w:t>presenta</w:t>
      </w:r>
      <w:r w:rsidR="00D677F2" w:rsidRPr="004768D0">
        <w:rPr>
          <w:color w:val="000000" w:themeColor="text1"/>
          <w:sz w:val="20"/>
          <w:szCs w:val="20"/>
          <w:lang w:val="es-ES"/>
        </w:rPr>
        <w:t xml:space="preserve">ción del </w:t>
      </w:r>
      <w:r w:rsidR="00B15DE1" w:rsidRPr="004768D0">
        <w:rPr>
          <w:color w:val="000000" w:themeColor="text1"/>
          <w:sz w:val="20"/>
          <w:szCs w:val="20"/>
          <w:lang w:val="es-ES"/>
        </w:rPr>
        <w:t xml:space="preserve">pedido de </w:t>
      </w:r>
      <w:r w:rsidR="00D677F2" w:rsidRPr="004768D0">
        <w:rPr>
          <w:color w:val="000000" w:themeColor="text1"/>
          <w:sz w:val="20"/>
          <w:szCs w:val="20"/>
          <w:lang w:val="es-ES"/>
        </w:rPr>
        <w:t xml:space="preserve">traslado de competencia </w:t>
      </w:r>
      <w:r w:rsidR="005620DD">
        <w:rPr>
          <w:color w:val="000000" w:themeColor="text1"/>
          <w:sz w:val="20"/>
          <w:szCs w:val="20"/>
          <w:lang w:val="es-ES"/>
        </w:rPr>
        <w:t xml:space="preserve">al ámbito </w:t>
      </w:r>
      <w:r w:rsidR="00B15DE1" w:rsidRPr="004768D0">
        <w:rPr>
          <w:color w:val="000000" w:themeColor="text1"/>
          <w:sz w:val="20"/>
          <w:szCs w:val="20"/>
          <w:lang w:val="es-ES"/>
        </w:rPr>
        <w:t>federal</w:t>
      </w:r>
      <w:r w:rsidR="00D677F2" w:rsidRPr="004768D0">
        <w:rPr>
          <w:color w:val="000000" w:themeColor="text1"/>
          <w:sz w:val="20"/>
          <w:szCs w:val="20"/>
          <w:lang w:val="es-ES"/>
        </w:rPr>
        <w:t xml:space="preserve"> con el fin de </w:t>
      </w:r>
      <w:r w:rsidR="00B15DE1" w:rsidRPr="004768D0">
        <w:rPr>
          <w:color w:val="000000" w:themeColor="text1"/>
          <w:sz w:val="20"/>
          <w:szCs w:val="20"/>
          <w:lang w:val="es-ES"/>
        </w:rPr>
        <w:t xml:space="preserve">evitar </w:t>
      </w:r>
      <w:r w:rsidR="00D677F2" w:rsidRPr="004768D0">
        <w:rPr>
          <w:color w:val="000000" w:themeColor="text1"/>
          <w:sz w:val="20"/>
          <w:szCs w:val="20"/>
          <w:lang w:val="es-ES"/>
        </w:rPr>
        <w:t>l</w:t>
      </w:r>
      <w:r w:rsidR="00B15DE1" w:rsidRPr="004768D0">
        <w:rPr>
          <w:color w:val="000000" w:themeColor="text1"/>
          <w:sz w:val="20"/>
          <w:szCs w:val="20"/>
          <w:lang w:val="es-ES"/>
        </w:rPr>
        <w:t xml:space="preserve">a </w:t>
      </w:r>
      <w:r w:rsidR="000C0AC4" w:rsidRPr="004768D0">
        <w:rPr>
          <w:color w:val="000000" w:themeColor="text1"/>
          <w:sz w:val="20"/>
          <w:szCs w:val="20"/>
          <w:lang w:val="es-ES"/>
        </w:rPr>
        <w:t>impunidad</w:t>
      </w:r>
      <w:r w:rsidR="00B15DE1" w:rsidRPr="004768D0">
        <w:rPr>
          <w:color w:val="000000" w:themeColor="text1"/>
          <w:sz w:val="20"/>
          <w:szCs w:val="20"/>
          <w:lang w:val="es-ES"/>
        </w:rPr>
        <w:t xml:space="preserve"> d</w:t>
      </w:r>
      <w:r w:rsidR="00D677F2" w:rsidRPr="004768D0">
        <w:rPr>
          <w:color w:val="000000" w:themeColor="text1"/>
          <w:sz w:val="20"/>
          <w:szCs w:val="20"/>
          <w:lang w:val="es-ES"/>
        </w:rPr>
        <w:t>e l</w:t>
      </w:r>
      <w:r w:rsidR="00B15DE1" w:rsidRPr="004768D0">
        <w:rPr>
          <w:color w:val="000000" w:themeColor="text1"/>
          <w:sz w:val="20"/>
          <w:szCs w:val="20"/>
          <w:lang w:val="es-ES"/>
        </w:rPr>
        <w:t xml:space="preserve">os </w:t>
      </w:r>
      <w:r w:rsidR="00D677F2" w:rsidRPr="004768D0">
        <w:rPr>
          <w:color w:val="000000" w:themeColor="text1"/>
          <w:sz w:val="20"/>
          <w:szCs w:val="20"/>
          <w:lang w:val="es-ES"/>
        </w:rPr>
        <w:t xml:space="preserve">delitos </w:t>
      </w:r>
      <w:r w:rsidR="00B15DE1" w:rsidRPr="004768D0">
        <w:rPr>
          <w:color w:val="000000" w:themeColor="text1"/>
          <w:sz w:val="20"/>
          <w:szCs w:val="20"/>
          <w:lang w:val="es-ES"/>
        </w:rPr>
        <w:t>(</w:t>
      </w:r>
      <w:r w:rsidR="000A5DA2" w:rsidRPr="004768D0">
        <w:rPr>
          <w:color w:val="000000" w:themeColor="text1"/>
          <w:sz w:val="20"/>
          <w:szCs w:val="20"/>
          <w:lang w:val="es-ES"/>
        </w:rPr>
        <w:t>procedimiento preparatorio</w:t>
      </w:r>
      <w:r w:rsidR="00B15DE1" w:rsidRPr="004768D0">
        <w:rPr>
          <w:color w:val="000000" w:themeColor="text1"/>
          <w:sz w:val="20"/>
          <w:szCs w:val="20"/>
          <w:lang w:val="es-ES"/>
        </w:rPr>
        <w:t xml:space="preserve"> de </w:t>
      </w:r>
      <w:r w:rsidR="000A5DA2" w:rsidRPr="004768D0">
        <w:rPr>
          <w:color w:val="000000" w:themeColor="text1"/>
          <w:sz w:val="20"/>
          <w:szCs w:val="20"/>
          <w:lang w:val="es-ES"/>
        </w:rPr>
        <w:t>incidente de traslado de competencia</w:t>
      </w:r>
      <w:r w:rsidR="00B15DE1" w:rsidRPr="004768D0">
        <w:rPr>
          <w:color w:val="000000" w:themeColor="text1"/>
          <w:sz w:val="20"/>
          <w:szCs w:val="20"/>
          <w:lang w:val="es-ES"/>
        </w:rPr>
        <w:t xml:space="preserve"> </w:t>
      </w:r>
      <w:r w:rsidR="000A5DA2" w:rsidRPr="004768D0">
        <w:rPr>
          <w:color w:val="000000" w:themeColor="text1"/>
          <w:sz w:val="20"/>
          <w:szCs w:val="20"/>
          <w:lang w:val="es-ES"/>
        </w:rPr>
        <w:t>[</w:t>
      </w:r>
      <w:r w:rsidR="00B15DE1" w:rsidRPr="004768D0">
        <w:rPr>
          <w:color w:val="000000" w:themeColor="text1"/>
          <w:sz w:val="20"/>
          <w:szCs w:val="20"/>
          <w:lang w:val="es-ES"/>
        </w:rPr>
        <w:t>PPIDC-PGR</w:t>
      </w:r>
      <w:r w:rsidR="000A5DA2" w:rsidRPr="004768D0">
        <w:rPr>
          <w:color w:val="000000" w:themeColor="text1"/>
          <w:sz w:val="20"/>
          <w:szCs w:val="20"/>
          <w:lang w:val="es-ES"/>
        </w:rPr>
        <w:t>]</w:t>
      </w:r>
      <w:r w:rsidR="00B15DE1" w:rsidRPr="004768D0">
        <w:rPr>
          <w:color w:val="000000" w:themeColor="text1"/>
          <w:sz w:val="20"/>
          <w:szCs w:val="20"/>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00B15DE1" w:rsidRPr="004768D0">
        <w:rPr>
          <w:color w:val="000000" w:themeColor="text1"/>
          <w:sz w:val="20"/>
          <w:szCs w:val="20"/>
          <w:lang w:val="es-ES"/>
        </w:rPr>
        <w:t xml:space="preserve"> 1.00.000.005535/2010-00, </w:t>
      </w:r>
      <w:r w:rsidR="00D677F2" w:rsidRPr="004768D0">
        <w:rPr>
          <w:color w:val="000000" w:themeColor="text1"/>
          <w:sz w:val="20"/>
          <w:szCs w:val="20"/>
          <w:lang w:val="es-ES"/>
        </w:rPr>
        <w:t xml:space="preserve">incorporado en autos el </w:t>
      </w:r>
      <w:r w:rsidR="00B15DE1" w:rsidRPr="004768D0">
        <w:rPr>
          <w:color w:val="000000" w:themeColor="text1"/>
          <w:sz w:val="20"/>
          <w:szCs w:val="20"/>
          <w:lang w:val="es-ES"/>
        </w:rPr>
        <w:t xml:space="preserve">18 de </w:t>
      </w:r>
      <w:r w:rsidR="007F4608" w:rsidRPr="004768D0">
        <w:rPr>
          <w:color w:val="000000" w:themeColor="text1"/>
          <w:sz w:val="20"/>
          <w:szCs w:val="20"/>
          <w:lang w:val="es-ES"/>
        </w:rPr>
        <w:t>mayo</w:t>
      </w:r>
      <w:r w:rsidR="00B15DE1" w:rsidRPr="004768D0">
        <w:rPr>
          <w:color w:val="000000" w:themeColor="text1"/>
          <w:sz w:val="20"/>
          <w:szCs w:val="20"/>
          <w:lang w:val="es-ES"/>
        </w:rPr>
        <w:t xml:space="preserve"> de 2010), </w:t>
      </w:r>
      <w:r w:rsidR="00D677F2" w:rsidRPr="004768D0">
        <w:rPr>
          <w:color w:val="000000" w:themeColor="text1"/>
          <w:sz w:val="20"/>
          <w:szCs w:val="20"/>
          <w:lang w:val="es-ES"/>
        </w:rPr>
        <w:t>l</w:t>
      </w:r>
      <w:r w:rsidR="00B15DE1" w:rsidRPr="004768D0">
        <w:rPr>
          <w:color w:val="000000" w:themeColor="text1"/>
          <w:sz w:val="20"/>
          <w:szCs w:val="20"/>
          <w:lang w:val="es-ES"/>
        </w:rPr>
        <w:t xml:space="preserve">as entidades proponentes </w:t>
      </w:r>
      <w:r w:rsidR="00D677F2" w:rsidRPr="004768D0">
        <w:rPr>
          <w:color w:val="000000" w:themeColor="text1"/>
          <w:sz w:val="20"/>
          <w:szCs w:val="20"/>
          <w:lang w:val="es-ES"/>
        </w:rPr>
        <w:t xml:space="preserve">todavía no habían recibido una respuesta </w:t>
      </w:r>
      <w:r w:rsidR="00B15DE1" w:rsidRPr="004768D0">
        <w:rPr>
          <w:color w:val="000000" w:themeColor="text1"/>
          <w:sz w:val="20"/>
          <w:szCs w:val="20"/>
          <w:lang w:val="es-ES"/>
        </w:rPr>
        <w:t>definitiva d</w:t>
      </w:r>
      <w:r w:rsidR="00D677F2" w:rsidRPr="004768D0">
        <w:rPr>
          <w:color w:val="000000" w:themeColor="text1"/>
          <w:sz w:val="20"/>
          <w:szCs w:val="20"/>
          <w:lang w:val="es-ES"/>
        </w:rPr>
        <w:t>e la</w:t>
      </w:r>
      <w:r w:rsidR="00B15DE1" w:rsidRPr="004768D0">
        <w:rPr>
          <w:color w:val="000000" w:themeColor="text1"/>
          <w:sz w:val="20"/>
          <w:szCs w:val="20"/>
          <w:lang w:val="es-ES"/>
        </w:rPr>
        <w:t xml:space="preserve"> </w:t>
      </w:r>
      <w:r w:rsidR="00D677F2" w:rsidRPr="004768D0">
        <w:rPr>
          <w:color w:val="000000" w:themeColor="text1"/>
          <w:sz w:val="20"/>
          <w:szCs w:val="20"/>
          <w:lang w:val="es-ES"/>
        </w:rPr>
        <w:t>Procuraduría</w:t>
      </w:r>
      <w:r w:rsidR="00B15DE1" w:rsidRPr="004768D0">
        <w:rPr>
          <w:color w:val="000000" w:themeColor="text1"/>
          <w:sz w:val="20"/>
          <w:szCs w:val="20"/>
          <w:lang w:val="es-ES"/>
        </w:rPr>
        <w:t xml:space="preserve"> </w:t>
      </w:r>
      <w:r w:rsidR="001343FF" w:rsidRPr="004768D0">
        <w:rPr>
          <w:color w:val="000000" w:themeColor="text1"/>
          <w:sz w:val="20"/>
          <w:szCs w:val="20"/>
          <w:lang w:val="es-ES"/>
        </w:rPr>
        <w:t>General</w:t>
      </w:r>
      <w:r w:rsidR="00B15DE1" w:rsidRPr="004768D0">
        <w:rPr>
          <w:color w:val="000000" w:themeColor="text1"/>
          <w:sz w:val="20"/>
          <w:szCs w:val="20"/>
          <w:lang w:val="es-ES"/>
        </w:rPr>
        <w:t xml:space="preserve"> d</w:t>
      </w:r>
      <w:r w:rsidR="00D677F2" w:rsidRPr="004768D0">
        <w:rPr>
          <w:color w:val="000000" w:themeColor="text1"/>
          <w:sz w:val="20"/>
          <w:szCs w:val="20"/>
          <w:lang w:val="es-ES"/>
        </w:rPr>
        <w:t>e l</w:t>
      </w:r>
      <w:r w:rsidR="00B15DE1" w:rsidRPr="004768D0">
        <w:rPr>
          <w:color w:val="000000" w:themeColor="text1"/>
          <w:sz w:val="20"/>
          <w:szCs w:val="20"/>
          <w:lang w:val="es-ES"/>
        </w:rPr>
        <w:t xml:space="preserve">a República; ii) </w:t>
      </w:r>
      <w:r w:rsidR="00D677F2" w:rsidRPr="004768D0">
        <w:rPr>
          <w:color w:val="000000" w:themeColor="text1"/>
          <w:sz w:val="20"/>
          <w:szCs w:val="20"/>
          <w:lang w:val="es-ES"/>
        </w:rPr>
        <w:t>el p</w:t>
      </w:r>
      <w:r w:rsidR="00712D2E" w:rsidRPr="004768D0">
        <w:rPr>
          <w:color w:val="000000" w:themeColor="text1"/>
          <w:sz w:val="20"/>
          <w:szCs w:val="20"/>
          <w:lang w:val="es-ES"/>
        </w:rPr>
        <w:t>rocedimiento</w:t>
      </w:r>
      <w:r w:rsidR="00B15DE1" w:rsidRPr="004768D0">
        <w:rPr>
          <w:color w:val="000000" w:themeColor="text1"/>
          <w:sz w:val="20"/>
          <w:szCs w:val="20"/>
          <w:lang w:val="es-ES"/>
        </w:rPr>
        <w:t xml:space="preserve"> de </w:t>
      </w:r>
      <w:r w:rsidR="00D677F2" w:rsidRPr="004768D0">
        <w:rPr>
          <w:color w:val="000000" w:themeColor="text1"/>
          <w:sz w:val="20"/>
          <w:szCs w:val="20"/>
          <w:lang w:val="es-ES"/>
        </w:rPr>
        <w:t xml:space="preserve">traslado de competencia al ámbito federal estuvo parado durante mucho tiempo, por lo menos </w:t>
      </w:r>
      <w:r w:rsidR="00B15DE1" w:rsidRPr="004768D0">
        <w:rPr>
          <w:color w:val="000000" w:themeColor="text1"/>
          <w:sz w:val="20"/>
          <w:szCs w:val="20"/>
          <w:lang w:val="es-ES"/>
        </w:rPr>
        <w:t xml:space="preserve">entre </w:t>
      </w:r>
      <w:r w:rsidR="007F4608" w:rsidRPr="004768D0">
        <w:rPr>
          <w:color w:val="000000" w:themeColor="text1"/>
          <w:sz w:val="20"/>
          <w:szCs w:val="20"/>
          <w:lang w:val="es-ES"/>
        </w:rPr>
        <w:t>julio</w:t>
      </w:r>
      <w:r w:rsidR="00B15DE1" w:rsidRPr="004768D0">
        <w:rPr>
          <w:color w:val="000000" w:themeColor="text1"/>
          <w:sz w:val="20"/>
          <w:szCs w:val="20"/>
          <w:lang w:val="es-ES"/>
        </w:rPr>
        <w:t xml:space="preserve"> de 2015 </w:t>
      </w:r>
      <w:r w:rsidR="00D677F2" w:rsidRPr="004768D0">
        <w:rPr>
          <w:color w:val="000000" w:themeColor="text1"/>
          <w:sz w:val="20"/>
          <w:szCs w:val="20"/>
          <w:lang w:val="es-ES"/>
        </w:rPr>
        <w:t>y</w:t>
      </w:r>
      <w:r w:rsidR="00B15DE1" w:rsidRPr="004768D0">
        <w:rPr>
          <w:color w:val="000000" w:themeColor="text1"/>
          <w:sz w:val="20"/>
          <w:szCs w:val="20"/>
          <w:lang w:val="es-ES"/>
        </w:rPr>
        <w:t xml:space="preserve"> </w:t>
      </w:r>
      <w:r w:rsidR="007F4608" w:rsidRPr="004768D0">
        <w:rPr>
          <w:color w:val="000000" w:themeColor="text1"/>
          <w:sz w:val="20"/>
          <w:szCs w:val="20"/>
          <w:lang w:val="es-ES"/>
        </w:rPr>
        <w:t>julio</w:t>
      </w:r>
      <w:r w:rsidR="00B15DE1" w:rsidRPr="004768D0">
        <w:rPr>
          <w:color w:val="000000" w:themeColor="text1"/>
          <w:sz w:val="20"/>
          <w:szCs w:val="20"/>
          <w:lang w:val="es-ES"/>
        </w:rPr>
        <w:t xml:space="preserve"> de 2019; iii) e</w:t>
      </w:r>
      <w:r w:rsidR="00D677F2" w:rsidRPr="004768D0">
        <w:rPr>
          <w:color w:val="000000" w:themeColor="text1"/>
          <w:sz w:val="20"/>
          <w:szCs w:val="20"/>
          <w:lang w:val="es-ES"/>
        </w:rPr>
        <w:t>n</w:t>
      </w:r>
      <w:r w:rsidR="00B15DE1" w:rsidRPr="004768D0">
        <w:rPr>
          <w:color w:val="000000" w:themeColor="text1"/>
          <w:sz w:val="20"/>
          <w:szCs w:val="20"/>
          <w:lang w:val="es-ES"/>
        </w:rPr>
        <w:t xml:space="preserve"> 2020, 15 </w:t>
      </w:r>
      <w:r w:rsidR="000C0AC4" w:rsidRPr="004768D0">
        <w:rPr>
          <w:color w:val="000000" w:themeColor="text1"/>
          <w:sz w:val="20"/>
          <w:szCs w:val="20"/>
          <w:lang w:val="es-ES"/>
        </w:rPr>
        <w:t>años</w:t>
      </w:r>
      <w:r w:rsidR="00B15DE1" w:rsidRPr="004768D0">
        <w:rPr>
          <w:color w:val="000000" w:themeColor="text1"/>
          <w:sz w:val="20"/>
          <w:szCs w:val="20"/>
          <w:lang w:val="es-ES"/>
        </w:rPr>
        <w:t xml:space="preserve"> de</w:t>
      </w:r>
      <w:r w:rsidR="00D677F2" w:rsidRPr="004768D0">
        <w:rPr>
          <w:color w:val="000000" w:themeColor="text1"/>
          <w:sz w:val="20"/>
          <w:szCs w:val="20"/>
          <w:lang w:val="es-ES"/>
        </w:rPr>
        <w:t xml:space="preserve">spués de la introducción del </w:t>
      </w:r>
      <w:r w:rsidR="000A5DA2" w:rsidRPr="004768D0">
        <w:rPr>
          <w:color w:val="000000" w:themeColor="text1"/>
          <w:sz w:val="20"/>
          <w:szCs w:val="20"/>
          <w:lang w:val="es-ES"/>
        </w:rPr>
        <w:t>incidente de traslado de competencia</w:t>
      </w:r>
      <w:r w:rsidR="00B15DE1" w:rsidRPr="004768D0">
        <w:rPr>
          <w:color w:val="000000" w:themeColor="text1"/>
          <w:sz w:val="20"/>
          <w:szCs w:val="20"/>
          <w:lang w:val="es-ES"/>
        </w:rPr>
        <w:t xml:space="preserve"> </w:t>
      </w:r>
      <w:r w:rsidR="00D677F2" w:rsidRPr="004768D0">
        <w:rPr>
          <w:color w:val="000000" w:themeColor="text1"/>
          <w:sz w:val="20"/>
          <w:szCs w:val="20"/>
          <w:lang w:val="es-ES"/>
        </w:rPr>
        <w:t>en el ordenamiento</w:t>
      </w:r>
      <w:r w:rsidR="00B15DE1" w:rsidRPr="004768D0">
        <w:rPr>
          <w:color w:val="000000" w:themeColor="text1"/>
          <w:sz w:val="20"/>
          <w:szCs w:val="20"/>
          <w:lang w:val="es-ES"/>
        </w:rPr>
        <w:t xml:space="preserve"> jurídico </w:t>
      </w:r>
      <w:r w:rsidR="002946BE" w:rsidRPr="004768D0">
        <w:rPr>
          <w:color w:val="000000" w:themeColor="text1"/>
          <w:sz w:val="20"/>
          <w:szCs w:val="20"/>
          <w:lang w:val="es-ES"/>
        </w:rPr>
        <w:t>brasileño</w:t>
      </w:r>
      <w:r w:rsidR="00B15DE1" w:rsidRPr="004768D0">
        <w:rPr>
          <w:color w:val="000000" w:themeColor="text1"/>
          <w:sz w:val="20"/>
          <w:szCs w:val="20"/>
          <w:lang w:val="es-ES"/>
        </w:rPr>
        <w:t xml:space="preserve">, </w:t>
      </w:r>
      <w:r w:rsidR="003C58C5" w:rsidRPr="004768D0">
        <w:rPr>
          <w:color w:val="000000" w:themeColor="text1"/>
          <w:sz w:val="20"/>
          <w:szCs w:val="20"/>
          <w:lang w:val="es-ES"/>
        </w:rPr>
        <w:t>el Estado</w:t>
      </w:r>
      <w:r w:rsidR="00B15DE1" w:rsidRPr="004768D0">
        <w:rPr>
          <w:color w:val="000000" w:themeColor="text1"/>
          <w:sz w:val="20"/>
          <w:szCs w:val="20"/>
          <w:lang w:val="es-ES"/>
        </w:rPr>
        <w:t xml:space="preserve"> </w:t>
      </w:r>
      <w:r w:rsidR="004768D0" w:rsidRPr="004768D0">
        <w:rPr>
          <w:color w:val="000000" w:themeColor="text1"/>
          <w:sz w:val="20"/>
          <w:szCs w:val="20"/>
          <w:lang w:val="es-ES"/>
        </w:rPr>
        <w:lastRenderedPageBreak/>
        <w:t xml:space="preserve">todavía no había adoptado las </w:t>
      </w:r>
      <w:r w:rsidR="00B15DE1" w:rsidRPr="004768D0">
        <w:rPr>
          <w:color w:val="000000" w:themeColor="text1"/>
          <w:sz w:val="20"/>
          <w:szCs w:val="20"/>
          <w:lang w:val="es-ES"/>
        </w:rPr>
        <w:t xml:space="preserve">medidas </w:t>
      </w:r>
      <w:r w:rsidR="002946BE" w:rsidRPr="004768D0">
        <w:rPr>
          <w:color w:val="000000" w:themeColor="text1"/>
          <w:sz w:val="20"/>
          <w:szCs w:val="20"/>
          <w:lang w:val="es-ES"/>
        </w:rPr>
        <w:t>necesarias</w:t>
      </w:r>
      <w:r w:rsidR="00B15DE1" w:rsidRPr="004768D0">
        <w:rPr>
          <w:color w:val="000000" w:themeColor="text1"/>
          <w:sz w:val="20"/>
          <w:szCs w:val="20"/>
          <w:lang w:val="es-ES"/>
        </w:rPr>
        <w:t xml:space="preserve"> para </w:t>
      </w:r>
      <w:r w:rsidR="003C58C5" w:rsidRPr="004768D0">
        <w:rPr>
          <w:color w:val="000000" w:themeColor="text1"/>
          <w:sz w:val="20"/>
          <w:szCs w:val="20"/>
          <w:lang w:val="es-ES"/>
        </w:rPr>
        <w:t>su</w:t>
      </w:r>
      <w:r w:rsidR="00B15DE1" w:rsidRPr="004768D0">
        <w:rPr>
          <w:color w:val="000000" w:themeColor="text1"/>
          <w:sz w:val="20"/>
          <w:szCs w:val="20"/>
          <w:lang w:val="es-ES"/>
        </w:rPr>
        <w:t xml:space="preserve"> reglamenta</w:t>
      </w:r>
      <w:r w:rsidR="004768D0" w:rsidRPr="004768D0">
        <w:rPr>
          <w:color w:val="000000" w:themeColor="text1"/>
          <w:sz w:val="20"/>
          <w:szCs w:val="20"/>
          <w:lang w:val="es-ES"/>
        </w:rPr>
        <w:t>ción jurídica o interna y, en consecuencia, el Poder Judicial reconoc</w:t>
      </w:r>
      <w:r w:rsidR="001B2362">
        <w:rPr>
          <w:color w:val="000000" w:themeColor="text1"/>
          <w:sz w:val="20"/>
          <w:szCs w:val="20"/>
          <w:lang w:val="es-ES"/>
        </w:rPr>
        <w:t>ía</w:t>
      </w:r>
      <w:r w:rsidR="004768D0" w:rsidRPr="004768D0">
        <w:rPr>
          <w:color w:val="000000" w:themeColor="text1"/>
          <w:sz w:val="20"/>
          <w:szCs w:val="20"/>
          <w:lang w:val="es-ES"/>
        </w:rPr>
        <w:t xml:space="preserve"> el traslado de competencia en poquísimos</w:t>
      </w:r>
      <w:r w:rsidR="00B15DE1" w:rsidRPr="004768D0">
        <w:rPr>
          <w:color w:val="000000" w:themeColor="text1"/>
          <w:sz w:val="20"/>
          <w:szCs w:val="20"/>
          <w:lang w:val="es-ES"/>
        </w:rPr>
        <w:t xml:space="preserve"> casos; iv) </w:t>
      </w:r>
      <w:r w:rsidR="000A5DA2" w:rsidRPr="004768D0">
        <w:rPr>
          <w:color w:val="000000" w:themeColor="text1"/>
          <w:sz w:val="20"/>
          <w:szCs w:val="20"/>
          <w:lang w:val="es-ES"/>
        </w:rPr>
        <w:t>el i</w:t>
      </w:r>
      <w:r w:rsidR="00B15DE1" w:rsidRPr="004768D0">
        <w:rPr>
          <w:color w:val="000000" w:themeColor="text1"/>
          <w:sz w:val="20"/>
          <w:szCs w:val="20"/>
          <w:lang w:val="es-ES"/>
        </w:rPr>
        <w:t xml:space="preserve">ncidente de </w:t>
      </w:r>
      <w:r w:rsidR="000A5DA2" w:rsidRPr="004768D0">
        <w:rPr>
          <w:color w:val="000000" w:themeColor="text1"/>
          <w:sz w:val="20"/>
          <w:szCs w:val="20"/>
          <w:lang w:val="es-ES"/>
        </w:rPr>
        <w:t xml:space="preserve">traslado </w:t>
      </w:r>
      <w:r w:rsidR="00B15DE1" w:rsidRPr="004768D0">
        <w:rPr>
          <w:color w:val="000000" w:themeColor="text1"/>
          <w:sz w:val="20"/>
          <w:szCs w:val="20"/>
          <w:lang w:val="es-ES"/>
        </w:rPr>
        <w:t xml:space="preserve">de </w:t>
      </w:r>
      <w:r w:rsidR="000A5DA2" w:rsidRPr="004768D0">
        <w:rPr>
          <w:color w:val="000000" w:themeColor="text1"/>
          <w:sz w:val="20"/>
          <w:szCs w:val="20"/>
          <w:lang w:val="es-ES"/>
        </w:rPr>
        <w:t>competencia</w:t>
      </w:r>
      <w:r w:rsidR="00B15DE1" w:rsidRPr="004768D0">
        <w:rPr>
          <w:color w:val="000000" w:themeColor="text1"/>
          <w:sz w:val="20"/>
          <w:szCs w:val="20"/>
          <w:lang w:val="es-ES"/>
        </w:rPr>
        <w:t xml:space="preserve"> </w:t>
      </w:r>
      <w:proofErr w:type="spellStart"/>
      <w:r w:rsidR="000A5DA2" w:rsidRPr="004768D0">
        <w:rPr>
          <w:rFonts w:asciiTheme="majorHAnsi" w:hAnsiTheme="majorHAnsi"/>
          <w:bCs/>
          <w:color w:val="000000" w:themeColor="text1"/>
          <w:sz w:val="20"/>
          <w:szCs w:val="20"/>
          <w:lang w:val="es-ES"/>
        </w:rPr>
        <w:t>N.</w:t>
      </w:r>
      <w:r w:rsidR="000A5DA2" w:rsidRPr="004768D0">
        <w:rPr>
          <w:rFonts w:asciiTheme="majorHAnsi" w:hAnsiTheme="majorHAnsi"/>
          <w:bCs/>
          <w:color w:val="000000" w:themeColor="text1"/>
          <w:sz w:val="20"/>
          <w:szCs w:val="20"/>
          <w:vertAlign w:val="superscript"/>
          <w:lang w:val="es-ES"/>
        </w:rPr>
        <w:t>o</w:t>
      </w:r>
      <w:proofErr w:type="spellEnd"/>
      <w:r w:rsidR="000A5DA2" w:rsidRPr="004768D0">
        <w:rPr>
          <w:rFonts w:asciiTheme="majorHAnsi" w:hAnsiTheme="majorHAnsi"/>
          <w:bCs/>
          <w:color w:val="000000" w:themeColor="text1"/>
          <w:sz w:val="20"/>
          <w:szCs w:val="20"/>
          <w:lang w:val="es-ES"/>
        </w:rPr>
        <w:t xml:space="preserve"> </w:t>
      </w:r>
      <w:r w:rsidR="00B15DE1" w:rsidRPr="004768D0">
        <w:rPr>
          <w:color w:val="000000" w:themeColor="text1"/>
          <w:sz w:val="20"/>
          <w:szCs w:val="20"/>
          <w:lang w:val="es-ES"/>
        </w:rPr>
        <w:t>98625/2016 – ASJTC/SAJ/PGR</w:t>
      </w:r>
      <w:r w:rsidR="001B2362">
        <w:rPr>
          <w:color w:val="000000" w:themeColor="text1"/>
          <w:sz w:val="20"/>
          <w:szCs w:val="20"/>
          <w:lang w:val="es-ES"/>
        </w:rPr>
        <w:t xml:space="preserve"> (</w:t>
      </w:r>
      <w:proofErr w:type="spellStart"/>
      <w:r w:rsidR="001B2362">
        <w:rPr>
          <w:color w:val="000000" w:themeColor="text1"/>
          <w:sz w:val="20"/>
          <w:szCs w:val="20"/>
          <w:lang w:val="es-ES"/>
        </w:rPr>
        <w:t>N.</w:t>
      </w:r>
      <w:r w:rsidR="001B2362" w:rsidRPr="001B2362">
        <w:rPr>
          <w:color w:val="000000" w:themeColor="text1"/>
          <w:sz w:val="20"/>
          <w:szCs w:val="20"/>
          <w:vertAlign w:val="superscript"/>
          <w:lang w:val="es-ES"/>
        </w:rPr>
        <w:t>o</w:t>
      </w:r>
      <w:proofErr w:type="spellEnd"/>
      <w:r w:rsidR="001B2362">
        <w:rPr>
          <w:color w:val="000000" w:themeColor="text1"/>
          <w:sz w:val="20"/>
          <w:szCs w:val="20"/>
          <w:lang w:val="es-ES"/>
        </w:rPr>
        <w:t xml:space="preserve"> 9)</w:t>
      </w:r>
      <w:r w:rsidR="00B15DE1" w:rsidRPr="004768D0">
        <w:rPr>
          <w:color w:val="000000" w:themeColor="text1"/>
          <w:sz w:val="20"/>
          <w:szCs w:val="20"/>
          <w:lang w:val="es-ES"/>
        </w:rPr>
        <w:t xml:space="preserve"> relativo </w:t>
      </w:r>
      <w:r w:rsidR="004768D0" w:rsidRPr="004768D0">
        <w:rPr>
          <w:color w:val="000000" w:themeColor="text1"/>
          <w:sz w:val="20"/>
          <w:szCs w:val="20"/>
          <w:lang w:val="es-ES"/>
        </w:rPr>
        <w:t xml:space="preserve">a la matanza que tuvo lugar en </w:t>
      </w:r>
      <w:r w:rsidR="00B15DE1" w:rsidRPr="004768D0">
        <w:rPr>
          <w:color w:val="000000" w:themeColor="text1"/>
          <w:sz w:val="20"/>
          <w:szCs w:val="20"/>
          <w:lang w:val="es-ES"/>
        </w:rPr>
        <w:t>Parque Bristol e</w:t>
      </w:r>
      <w:r w:rsidR="004768D0" w:rsidRPr="004768D0">
        <w:rPr>
          <w:color w:val="000000" w:themeColor="text1"/>
          <w:sz w:val="20"/>
          <w:szCs w:val="20"/>
          <w:lang w:val="es-ES"/>
        </w:rPr>
        <w:t>l</w:t>
      </w:r>
      <w:r w:rsidR="00B15DE1" w:rsidRPr="004768D0">
        <w:rPr>
          <w:color w:val="000000" w:themeColor="text1"/>
          <w:sz w:val="20"/>
          <w:szCs w:val="20"/>
          <w:lang w:val="es-ES"/>
        </w:rPr>
        <w:t xml:space="preserve"> 14 de </w:t>
      </w:r>
      <w:r w:rsidR="007F4608" w:rsidRPr="004768D0">
        <w:rPr>
          <w:color w:val="000000" w:themeColor="text1"/>
          <w:sz w:val="20"/>
          <w:szCs w:val="20"/>
          <w:lang w:val="es-ES"/>
        </w:rPr>
        <w:t>mayo</w:t>
      </w:r>
      <w:r w:rsidR="00B15DE1" w:rsidRPr="004768D0">
        <w:rPr>
          <w:color w:val="000000" w:themeColor="text1"/>
          <w:sz w:val="20"/>
          <w:szCs w:val="20"/>
          <w:lang w:val="es-ES"/>
        </w:rPr>
        <w:t xml:space="preserve"> de 2006</w:t>
      </w:r>
      <w:r w:rsidR="004768D0" w:rsidRPr="004768D0">
        <w:rPr>
          <w:color w:val="000000" w:themeColor="text1"/>
          <w:sz w:val="20"/>
          <w:szCs w:val="20"/>
          <w:lang w:val="es-ES"/>
        </w:rPr>
        <w:t xml:space="preserve"> en el </w:t>
      </w:r>
      <w:r w:rsidR="00B15DE1" w:rsidRPr="004768D0">
        <w:rPr>
          <w:color w:val="000000" w:themeColor="text1"/>
          <w:sz w:val="20"/>
          <w:szCs w:val="20"/>
          <w:lang w:val="es-ES"/>
        </w:rPr>
        <w:t>contexto d</w:t>
      </w:r>
      <w:r w:rsidR="004768D0" w:rsidRPr="004768D0">
        <w:rPr>
          <w:color w:val="000000" w:themeColor="text1"/>
          <w:sz w:val="20"/>
          <w:szCs w:val="20"/>
          <w:lang w:val="es-ES"/>
        </w:rPr>
        <w:t xml:space="preserve">e los Crímenes </w:t>
      </w:r>
      <w:r w:rsidR="00B15DE1" w:rsidRPr="004768D0">
        <w:rPr>
          <w:color w:val="000000" w:themeColor="text1"/>
          <w:sz w:val="20"/>
          <w:szCs w:val="20"/>
          <w:lang w:val="es-ES"/>
        </w:rPr>
        <w:t xml:space="preserve">de </w:t>
      </w:r>
      <w:r w:rsidR="007F4608" w:rsidRPr="004768D0">
        <w:rPr>
          <w:color w:val="000000" w:themeColor="text1"/>
          <w:sz w:val="20"/>
          <w:szCs w:val="20"/>
          <w:lang w:val="es-ES"/>
        </w:rPr>
        <w:t>Mayo</w:t>
      </w:r>
      <w:r w:rsidR="00B15DE1" w:rsidRPr="004768D0">
        <w:rPr>
          <w:color w:val="000000" w:themeColor="text1"/>
          <w:sz w:val="20"/>
          <w:szCs w:val="20"/>
          <w:lang w:val="es-ES"/>
        </w:rPr>
        <w:t xml:space="preserve"> </w:t>
      </w:r>
      <w:r w:rsidR="004768D0" w:rsidRPr="004768D0">
        <w:rPr>
          <w:color w:val="000000" w:themeColor="text1"/>
          <w:sz w:val="20"/>
          <w:szCs w:val="20"/>
          <w:lang w:val="es-ES"/>
        </w:rPr>
        <w:t>y</w:t>
      </w:r>
      <w:r w:rsidR="00B15DE1" w:rsidRPr="004768D0">
        <w:rPr>
          <w:color w:val="000000" w:themeColor="text1"/>
          <w:sz w:val="20"/>
          <w:szCs w:val="20"/>
          <w:lang w:val="es-ES"/>
        </w:rPr>
        <w:t xml:space="preserve"> mencionado p</w:t>
      </w:r>
      <w:r w:rsidR="004768D0" w:rsidRPr="004768D0">
        <w:rPr>
          <w:color w:val="000000" w:themeColor="text1"/>
          <w:sz w:val="20"/>
          <w:szCs w:val="20"/>
          <w:lang w:val="es-ES"/>
        </w:rPr>
        <w:t xml:space="preserve">or </w:t>
      </w:r>
      <w:r w:rsidR="003C58C5" w:rsidRPr="004768D0">
        <w:rPr>
          <w:color w:val="000000" w:themeColor="text1"/>
          <w:sz w:val="20"/>
          <w:szCs w:val="20"/>
          <w:lang w:val="es-ES"/>
        </w:rPr>
        <w:t>el Estado</w:t>
      </w:r>
      <w:r w:rsidR="00B15DE1" w:rsidRPr="004768D0">
        <w:rPr>
          <w:color w:val="000000" w:themeColor="text1"/>
          <w:sz w:val="20"/>
          <w:szCs w:val="20"/>
          <w:lang w:val="es-ES"/>
        </w:rPr>
        <w:t xml:space="preserve"> e</w:t>
      </w:r>
      <w:r w:rsidR="004768D0" w:rsidRPr="004768D0">
        <w:rPr>
          <w:color w:val="000000" w:themeColor="text1"/>
          <w:sz w:val="20"/>
          <w:szCs w:val="20"/>
          <w:lang w:val="es-ES"/>
        </w:rPr>
        <w:t>n</w:t>
      </w:r>
      <w:r w:rsidR="00B15DE1" w:rsidRPr="004768D0">
        <w:rPr>
          <w:color w:val="000000" w:themeColor="text1"/>
          <w:sz w:val="20"/>
          <w:szCs w:val="20"/>
          <w:lang w:val="es-ES"/>
        </w:rPr>
        <w:t xml:space="preserve"> </w:t>
      </w:r>
      <w:r w:rsidR="007F4608" w:rsidRPr="004768D0">
        <w:rPr>
          <w:color w:val="000000" w:themeColor="text1"/>
          <w:sz w:val="20"/>
          <w:szCs w:val="20"/>
          <w:lang w:val="es-ES"/>
        </w:rPr>
        <w:t>julio</w:t>
      </w:r>
      <w:r w:rsidR="00B15DE1" w:rsidRPr="004768D0">
        <w:rPr>
          <w:color w:val="000000" w:themeColor="text1"/>
          <w:sz w:val="20"/>
          <w:szCs w:val="20"/>
          <w:lang w:val="es-ES"/>
        </w:rPr>
        <w:t xml:space="preserve"> de 2019, </w:t>
      </w:r>
      <w:r w:rsidR="004768D0" w:rsidRPr="004768D0">
        <w:rPr>
          <w:color w:val="000000" w:themeColor="text1"/>
          <w:sz w:val="20"/>
          <w:szCs w:val="20"/>
          <w:lang w:val="es-ES"/>
        </w:rPr>
        <w:t xml:space="preserve">seguía en </w:t>
      </w:r>
      <w:r w:rsidR="00B15DE1" w:rsidRPr="004768D0">
        <w:rPr>
          <w:color w:val="000000" w:themeColor="text1"/>
          <w:sz w:val="20"/>
          <w:szCs w:val="20"/>
          <w:lang w:val="es-ES"/>
        </w:rPr>
        <w:t xml:space="preserve">2020, </w:t>
      </w:r>
      <w:r w:rsidR="004768D0" w:rsidRPr="004768D0">
        <w:rPr>
          <w:color w:val="000000" w:themeColor="text1"/>
          <w:sz w:val="20"/>
          <w:szCs w:val="20"/>
          <w:lang w:val="es-ES"/>
        </w:rPr>
        <w:t>c</w:t>
      </w:r>
      <w:r w:rsidR="00B15DE1" w:rsidRPr="004768D0">
        <w:rPr>
          <w:color w:val="000000" w:themeColor="text1"/>
          <w:sz w:val="20"/>
          <w:szCs w:val="20"/>
          <w:lang w:val="es-ES"/>
        </w:rPr>
        <w:t xml:space="preserve">uatro </w:t>
      </w:r>
      <w:r w:rsidR="000C0AC4" w:rsidRPr="004768D0">
        <w:rPr>
          <w:color w:val="000000" w:themeColor="text1"/>
          <w:sz w:val="20"/>
          <w:szCs w:val="20"/>
          <w:lang w:val="es-ES"/>
        </w:rPr>
        <w:t>años</w:t>
      </w:r>
      <w:r w:rsidR="00B15DE1" w:rsidRPr="004768D0">
        <w:rPr>
          <w:color w:val="000000" w:themeColor="text1"/>
          <w:sz w:val="20"/>
          <w:szCs w:val="20"/>
          <w:lang w:val="es-ES"/>
        </w:rPr>
        <w:t xml:space="preserve"> </w:t>
      </w:r>
      <w:r w:rsidR="004768D0" w:rsidRPr="004768D0">
        <w:rPr>
          <w:color w:val="000000" w:themeColor="text1"/>
          <w:sz w:val="20"/>
          <w:szCs w:val="20"/>
          <w:lang w:val="es-ES"/>
        </w:rPr>
        <w:t xml:space="preserve">después de su protocolización, sin siquiera una fecha </w:t>
      </w:r>
      <w:r w:rsidR="00B15DE1" w:rsidRPr="004768D0">
        <w:rPr>
          <w:color w:val="000000" w:themeColor="text1"/>
          <w:sz w:val="20"/>
          <w:szCs w:val="20"/>
          <w:lang w:val="es-ES"/>
        </w:rPr>
        <w:t xml:space="preserve">prevista para </w:t>
      </w:r>
      <w:r w:rsidR="004768D0" w:rsidRPr="004768D0">
        <w:rPr>
          <w:color w:val="000000" w:themeColor="text1"/>
          <w:sz w:val="20"/>
          <w:szCs w:val="20"/>
          <w:lang w:val="es-ES"/>
        </w:rPr>
        <w:t>el juicio</w:t>
      </w:r>
      <w:r w:rsidR="00B15DE1" w:rsidRPr="004768D0">
        <w:rPr>
          <w:color w:val="000000" w:themeColor="text1"/>
          <w:sz w:val="20"/>
          <w:szCs w:val="20"/>
          <w:lang w:val="es-ES"/>
        </w:rPr>
        <w:t xml:space="preserve">; v) </w:t>
      </w:r>
      <w:r w:rsidR="004768D0" w:rsidRPr="004768D0">
        <w:rPr>
          <w:color w:val="000000" w:themeColor="text1"/>
          <w:sz w:val="20"/>
          <w:szCs w:val="20"/>
          <w:lang w:val="es-ES"/>
        </w:rPr>
        <w:t xml:space="preserve">dicho </w:t>
      </w:r>
      <w:r w:rsidR="000A5DA2" w:rsidRPr="004768D0">
        <w:rPr>
          <w:color w:val="000000" w:themeColor="text1"/>
          <w:sz w:val="20"/>
          <w:szCs w:val="20"/>
          <w:lang w:val="es-ES"/>
        </w:rPr>
        <w:t>incidente de traslado de competencia</w:t>
      </w:r>
      <w:r w:rsidR="00B15DE1" w:rsidRPr="004768D0">
        <w:rPr>
          <w:color w:val="000000" w:themeColor="text1"/>
          <w:sz w:val="20"/>
          <w:szCs w:val="20"/>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00B15DE1" w:rsidRPr="004768D0">
        <w:rPr>
          <w:color w:val="000000" w:themeColor="text1"/>
          <w:sz w:val="20"/>
          <w:szCs w:val="20"/>
          <w:lang w:val="es-ES"/>
        </w:rPr>
        <w:t xml:space="preserve"> 9 </w:t>
      </w:r>
      <w:r w:rsidR="004768D0" w:rsidRPr="004768D0">
        <w:rPr>
          <w:color w:val="000000" w:themeColor="text1"/>
          <w:sz w:val="20"/>
          <w:szCs w:val="20"/>
          <w:lang w:val="es-ES"/>
        </w:rPr>
        <w:t xml:space="preserve">demuestra también la inobservancia de los </w:t>
      </w:r>
      <w:r w:rsidR="00246A29" w:rsidRPr="004768D0">
        <w:rPr>
          <w:color w:val="000000" w:themeColor="text1"/>
          <w:sz w:val="20"/>
          <w:szCs w:val="20"/>
          <w:lang w:val="es-ES"/>
        </w:rPr>
        <w:t>derechos</w:t>
      </w:r>
      <w:r w:rsidR="00B15DE1" w:rsidRPr="004768D0">
        <w:rPr>
          <w:color w:val="000000" w:themeColor="text1"/>
          <w:sz w:val="20"/>
          <w:szCs w:val="20"/>
          <w:lang w:val="es-ES"/>
        </w:rPr>
        <w:t xml:space="preserve"> humanos</w:t>
      </w:r>
      <w:r w:rsidR="004768D0" w:rsidRPr="004768D0">
        <w:rPr>
          <w:color w:val="000000" w:themeColor="text1"/>
          <w:sz w:val="20"/>
          <w:szCs w:val="20"/>
          <w:lang w:val="es-ES"/>
        </w:rPr>
        <w:t xml:space="preserve"> por el Estado</w:t>
      </w:r>
      <w:r w:rsidR="00B15DE1" w:rsidRPr="004768D0">
        <w:rPr>
          <w:color w:val="000000" w:themeColor="text1"/>
          <w:sz w:val="20"/>
          <w:szCs w:val="20"/>
          <w:lang w:val="es-ES"/>
        </w:rPr>
        <w:t xml:space="preserve">, </w:t>
      </w:r>
      <w:r w:rsidR="004768D0" w:rsidRPr="004768D0">
        <w:rPr>
          <w:color w:val="000000" w:themeColor="text1"/>
          <w:sz w:val="20"/>
          <w:szCs w:val="20"/>
          <w:lang w:val="es-ES"/>
        </w:rPr>
        <w:t>ya que</w:t>
      </w:r>
      <w:r w:rsidR="001B2362">
        <w:rPr>
          <w:color w:val="000000" w:themeColor="text1"/>
          <w:sz w:val="20"/>
          <w:szCs w:val="20"/>
          <w:lang w:val="es-ES"/>
        </w:rPr>
        <w:t>,</w:t>
      </w:r>
      <w:r w:rsidR="004768D0" w:rsidRPr="004768D0">
        <w:rPr>
          <w:color w:val="000000" w:themeColor="text1"/>
          <w:sz w:val="20"/>
          <w:szCs w:val="20"/>
          <w:lang w:val="es-ES"/>
        </w:rPr>
        <w:t xml:space="preserve"> en la </w:t>
      </w:r>
      <w:r w:rsidR="00882F67" w:rsidRPr="004768D0">
        <w:rPr>
          <w:color w:val="000000" w:themeColor="text1"/>
          <w:sz w:val="20"/>
          <w:szCs w:val="20"/>
          <w:lang w:val="es-ES"/>
        </w:rPr>
        <w:t>petición</w:t>
      </w:r>
      <w:r w:rsidR="00B15DE1" w:rsidRPr="004768D0">
        <w:rPr>
          <w:color w:val="000000" w:themeColor="text1"/>
          <w:sz w:val="20"/>
          <w:szCs w:val="20"/>
          <w:lang w:val="es-ES"/>
        </w:rPr>
        <w:t xml:space="preserve"> de </w:t>
      </w:r>
      <w:r w:rsidR="004768D0" w:rsidRPr="004768D0">
        <w:rPr>
          <w:color w:val="000000" w:themeColor="text1"/>
          <w:sz w:val="20"/>
          <w:szCs w:val="20"/>
          <w:lang w:val="es-ES"/>
        </w:rPr>
        <w:t>traslado</w:t>
      </w:r>
      <w:r w:rsidR="001B2362">
        <w:rPr>
          <w:color w:val="000000" w:themeColor="text1"/>
          <w:sz w:val="20"/>
          <w:szCs w:val="20"/>
          <w:lang w:val="es-ES"/>
        </w:rPr>
        <w:t>,</w:t>
      </w:r>
      <w:r w:rsidR="004768D0" w:rsidRPr="004768D0">
        <w:rPr>
          <w:color w:val="000000" w:themeColor="text1"/>
          <w:sz w:val="20"/>
          <w:szCs w:val="20"/>
          <w:lang w:val="es-ES"/>
        </w:rPr>
        <w:t xml:space="preserve"> se </w:t>
      </w:r>
      <w:r w:rsidR="00B15DE1" w:rsidRPr="004768D0">
        <w:rPr>
          <w:color w:val="000000" w:themeColor="text1"/>
          <w:sz w:val="20"/>
          <w:szCs w:val="20"/>
          <w:lang w:val="es-ES"/>
        </w:rPr>
        <w:t xml:space="preserve">afirma que </w:t>
      </w:r>
      <w:r w:rsidR="004768D0" w:rsidRPr="004768D0">
        <w:rPr>
          <w:color w:val="000000" w:themeColor="text1"/>
          <w:sz w:val="20"/>
          <w:szCs w:val="20"/>
          <w:lang w:val="es-ES"/>
        </w:rPr>
        <w:t>l</w:t>
      </w:r>
      <w:r w:rsidR="00B15DE1" w:rsidRPr="004768D0">
        <w:rPr>
          <w:color w:val="000000" w:themeColor="text1"/>
          <w:sz w:val="20"/>
          <w:szCs w:val="20"/>
          <w:lang w:val="es-ES"/>
        </w:rPr>
        <w:t xml:space="preserve">a </w:t>
      </w:r>
      <w:r w:rsidR="00712D2E" w:rsidRPr="004768D0">
        <w:rPr>
          <w:color w:val="000000" w:themeColor="text1"/>
          <w:sz w:val="20"/>
          <w:szCs w:val="20"/>
          <w:lang w:val="es-ES"/>
        </w:rPr>
        <w:t>investigación</w:t>
      </w:r>
      <w:r w:rsidR="00B15DE1" w:rsidRPr="004768D0">
        <w:rPr>
          <w:color w:val="000000" w:themeColor="text1"/>
          <w:sz w:val="20"/>
          <w:szCs w:val="20"/>
          <w:lang w:val="es-ES"/>
        </w:rPr>
        <w:t xml:space="preserve"> </w:t>
      </w:r>
      <w:r w:rsidR="004768D0" w:rsidRPr="004768D0">
        <w:rPr>
          <w:color w:val="000000" w:themeColor="text1"/>
          <w:sz w:val="20"/>
          <w:szCs w:val="20"/>
          <w:lang w:val="es-ES"/>
        </w:rPr>
        <w:t xml:space="preserve">realizada por los </w:t>
      </w:r>
      <w:r w:rsidR="00462731" w:rsidRPr="004768D0">
        <w:rPr>
          <w:color w:val="000000" w:themeColor="text1"/>
          <w:sz w:val="20"/>
          <w:szCs w:val="20"/>
          <w:lang w:val="es-ES"/>
        </w:rPr>
        <w:t>órganos</w:t>
      </w:r>
      <w:r w:rsidR="00B15DE1" w:rsidRPr="004768D0">
        <w:rPr>
          <w:color w:val="000000" w:themeColor="text1"/>
          <w:sz w:val="20"/>
          <w:szCs w:val="20"/>
          <w:lang w:val="es-ES"/>
        </w:rPr>
        <w:t xml:space="preserve"> esta</w:t>
      </w:r>
      <w:r w:rsidR="004768D0" w:rsidRPr="004768D0">
        <w:rPr>
          <w:color w:val="000000" w:themeColor="text1"/>
          <w:sz w:val="20"/>
          <w:szCs w:val="20"/>
          <w:lang w:val="es-ES"/>
        </w:rPr>
        <w:t xml:space="preserve">tales fue </w:t>
      </w:r>
      <w:r w:rsidR="004744F0" w:rsidRPr="004768D0">
        <w:rPr>
          <w:color w:val="000000" w:themeColor="text1"/>
          <w:sz w:val="20"/>
          <w:szCs w:val="20"/>
          <w:lang w:val="es-ES"/>
        </w:rPr>
        <w:t>“</w:t>
      </w:r>
      <w:r w:rsidR="00B15DE1" w:rsidRPr="004768D0">
        <w:rPr>
          <w:color w:val="000000" w:themeColor="text1"/>
          <w:sz w:val="20"/>
          <w:szCs w:val="20"/>
          <w:lang w:val="es-ES"/>
        </w:rPr>
        <w:t>meramente protocolar</w:t>
      </w:r>
      <w:r w:rsidR="004768D0" w:rsidRPr="004768D0">
        <w:rPr>
          <w:color w:val="000000" w:themeColor="text1"/>
          <w:sz w:val="20"/>
          <w:szCs w:val="20"/>
          <w:lang w:val="es-ES"/>
        </w:rPr>
        <w:t>, [...] lo cual llevó a la ausencia</w:t>
      </w:r>
      <w:r w:rsidR="00B15DE1" w:rsidRPr="004768D0">
        <w:rPr>
          <w:color w:val="000000" w:themeColor="text1"/>
          <w:sz w:val="20"/>
          <w:szCs w:val="20"/>
          <w:lang w:val="es-ES"/>
        </w:rPr>
        <w:t xml:space="preserve"> de resultados </w:t>
      </w:r>
      <w:r w:rsidR="004768D0" w:rsidRPr="004768D0">
        <w:rPr>
          <w:color w:val="000000" w:themeColor="text1"/>
          <w:sz w:val="20"/>
          <w:szCs w:val="20"/>
          <w:lang w:val="es-ES"/>
        </w:rPr>
        <w:t>prácticos</w:t>
      </w:r>
      <w:r w:rsidR="00B15DE1" w:rsidRPr="004768D0">
        <w:rPr>
          <w:color w:val="000000" w:themeColor="text1"/>
          <w:sz w:val="20"/>
          <w:szCs w:val="20"/>
          <w:lang w:val="es-ES"/>
        </w:rPr>
        <w:t xml:space="preserve"> </w:t>
      </w:r>
      <w:r w:rsidR="004768D0">
        <w:rPr>
          <w:color w:val="000000" w:themeColor="text1"/>
          <w:sz w:val="20"/>
          <w:szCs w:val="20"/>
          <w:lang w:val="es-ES"/>
        </w:rPr>
        <w:t xml:space="preserve">en lo que concierne a la </w:t>
      </w:r>
      <w:r w:rsidR="00B15DE1" w:rsidRPr="004768D0">
        <w:rPr>
          <w:color w:val="000000" w:themeColor="text1"/>
          <w:sz w:val="20"/>
          <w:szCs w:val="20"/>
          <w:lang w:val="es-ES"/>
        </w:rPr>
        <w:t>responsabiliza</w:t>
      </w:r>
      <w:r w:rsidR="004768D0">
        <w:rPr>
          <w:color w:val="000000" w:themeColor="text1"/>
          <w:sz w:val="20"/>
          <w:szCs w:val="20"/>
          <w:lang w:val="es-ES"/>
        </w:rPr>
        <w:t xml:space="preserve">ción de los </w:t>
      </w:r>
      <w:r w:rsidR="00B15DE1" w:rsidRPr="004768D0">
        <w:rPr>
          <w:color w:val="000000" w:themeColor="text1"/>
          <w:sz w:val="20"/>
          <w:szCs w:val="20"/>
          <w:lang w:val="es-ES"/>
        </w:rPr>
        <w:t>autores</w:t>
      </w:r>
      <w:r w:rsidR="004768D0">
        <w:rPr>
          <w:color w:val="000000" w:themeColor="text1"/>
          <w:sz w:val="20"/>
          <w:szCs w:val="20"/>
          <w:lang w:val="es-ES"/>
        </w:rPr>
        <w:t>,</w:t>
      </w:r>
      <w:r w:rsidR="00B15DE1" w:rsidRPr="004768D0">
        <w:rPr>
          <w:color w:val="000000" w:themeColor="text1"/>
          <w:sz w:val="20"/>
          <w:szCs w:val="20"/>
          <w:lang w:val="es-ES"/>
        </w:rPr>
        <w:t xml:space="preserve"> </w:t>
      </w:r>
      <w:r w:rsidR="004768D0">
        <w:rPr>
          <w:color w:val="000000" w:themeColor="text1"/>
          <w:sz w:val="20"/>
          <w:szCs w:val="20"/>
          <w:lang w:val="es-ES"/>
        </w:rPr>
        <w:t>y</w:t>
      </w:r>
      <w:r w:rsidR="00B15DE1" w:rsidRPr="004768D0">
        <w:rPr>
          <w:color w:val="000000" w:themeColor="text1"/>
          <w:sz w:val="20"/>
          <w:szCs w:val="20"/>
          <w:lang w:val="es-ES"/>
        </w:rPr>
        <w:t xml:space="preserve"> que, </w:t>
      </w:r>
      <w:r w:rsidR="004768D0">
        <w:rPr>
          <w:color w:val="000000" w:themeColor="text1"/>
          <w:sz w:val="20"/>
          <w:szCs w:val="20"/>
          <w:lang w:val="es-ES"/>
        </w:rPr>
        <w:t xml:space="preserve">considerada </w:t>
      </w:r>
      <w:r w:rsidR="00B15DE1" w:rsidRPr="004768D0">
        <w:rPr>
          <w:color w:val="000000" w:themeColor="text1"/>
          <w:sz w:val="20"/>
          <w:szCs w:val="20"/>
          <w:lang w:val="es-ES"/>
        </w:rPr>
        <w:t>individualmente</w:t>
      </w:r>
      <w:r w:rsidR="004768D0">
        <w:rPr>
          <w:color w:val="000000" w:themeColor="text1"/>
          <w:sz w:val="20"/>
          <w:szCs w:val="20"/>
          <w:lang w:val="es-ES"/>
        </w:rPr>
        <w:t>,</w:t>
      </w:r>
      <w:r w:rsidR="00B15DE1" w:rsidRPr="004768D0">
        <w:rPr>
          <w:color w:val="000000" w:themeColor="text1"/>
          <w:sz w:val="20"/>
          <w:szCs w:val="20"/>
          <w:lang w:val="es-ES"/>
        </w:rPr>
        <w:t xml:space="preserve"> constitu</w:t>
      </w:r>
      <w:r w:rsidR="004768D0">
        <w:rPr>
          <w:color w:val="000000" w:themeColor="text1"/>
          <w:sz w:val="20"/>
          <w:szCs w:val="20"/>
          <w:lang w:val="es-ES"/>
        </w:rPr>
        <w:t>ye</w:t>
      </w:r>
      <w:r w:rsidR="00B15DE1" w:rsidRPr="004768D0">
        <w:rPr>
          <w:color w:val="000000" w:themeColor="text1"/>
          <w:sz w:val="20"/>
          <w:szCs w:val="20"/>
          <w:lang w:val="es-ES"/>
        </w:rPr>
        <w:t xml:space="preserve"> </w:t>
      </w:r>
      <w:r w:rsidR="004768D0" w:rsidRPr="004768D0">
        <w:rPr>
          <w:color w:val="000000" w:themeColor="text1"/>
          <w:sz w:val="20"/>
          <w:szCs w:val="20"/>
          <w:lang w:val="es-ES"/>
        </w:rPr>
        <w:t>también</w:t>
      </w:r>
      <w:r w:rsidR="00B15DE1" w:rsidRPr="004768D0">
        <w:rPr>
          <w:color w:val="000000" w:themeColor="text1"/>
          <w:sz w:val="20"/>
          <w:szCs w:val="20"/>
          <w:lang w:val="es-ES"/>
        </w:rPr>
        <w:t xml:space="preserve"> </w:t>
      </w:r>
      <w:r w:rsidR="004768D0">
        <w:rPr>
          <w:color w:val="000000" w:themeColor="text1"/>
          <w:sz w:val="20"/>
          <w:szCs w:val="20"/>
          <w:lang w:val="es-ES"/>
        </w:rPr>
        <w:t xml:space="preserve">una </w:t>
      </w:r>
      <w:r w:rsidR="00B15DE1" w:rsidRPr="004768D0">
        <w:rPr>
          <w:color w:val="000000" w:themeColor="text1"/>
          <w:sz w:val="20"/>
          <w:szCs w:val="20"/>
          <w:lang w:val="es-ES"/>
        </w:rPr>
        <w:t xml:space="preserve">grave </w:t>
      </w:r>
      <w:r w:rsidR="002946BE" w:rsidRPr="004768D0">
        <w:rPr>
          <w:color w:val="000000" w:themeColor="text1"/>
          <w:sz w:val="20"/>
          <w:szCs w:val="20"/>
          <w:lang w:val="es-ES"/>
        </w:rPr>
        <w:t>violación</w:t>
      </w:r>
      <w:r w:rsidR="00B15DE1" w:rsidRPr="004768D0">
        <w:rPr>
          <w:color w:val="000000" w:themeColor="text1"/>
          <w:sz w:val="20"/>
          <w:szCs w:val="20"/>
          <w:lang w:val="es-ES"/>
        </w:rPr>
        <w:t xml:space="preserve"> </w:t>
      </w:r>
      <w:r w:rsidR="004768D0">
        <w:rPr>
          <w:color w:val="000000" w:themeColor="text1"/>
          <w:sz w:val="20"/>
          <w:szCs w:val="20"/>
          <w:lang w:val="es-ES"/>
        </w:rPr>
        <w:t>de l</w:t>
      </w:r>
      <w:r w:rsidR="00B15DE1" w:rsidRPr="004768D0">
        <w:rPr>
          <w:color w:val="000000" w:themeColor="text1"/>
          <w:sz w:val="20"/>
          <w:szCs w:val="20"/>
          <w:lang w:val="es-ES"/>
        </w:rPr>
        <w:t xml:space="preserve">os </w:t>
      </w:r>
      <w:r w:rsidR="00246A29" w:rsidRPr="004768D0">
        <w:rPr>
          <w:color w:val="000000" w:themeColor="text1"/>
          <w:sz w:val="20"/>
          <w:szCs w:val="20"/>
          <w:lang w:val="es-ES"/>
        </w:rPr>
        <w:t>derechos</w:t>
      </w:r>
      <w:r w:rsidR="00B15DE1" w:rsidRPr="004768D0">
        <w:rPr>
          <w:color w:val="000000" w:themeColor="text1"/>
          <w:sz w:val="20"/>
          <w:szCs w:val="20"/>
          <w:lang w:val="es-ES"/>
        </w:rPr>
        <w:t xml:space="preserve"> humanos </w:t>
      </w:r>
      <w:r w:rsidR="00515A10">
        <w:rPr>
          <w:color w:val="000000" w:themeColor="text1"/>
          <w:sz w:val="20"/>
          <w:szCs w:val="20"/>
          <w:lang w:val="es-ES"/>
        </w:rPr>
        <w:t xml:space="preserve">que puede </w:t>
      </w:r>
      <w:r w:rsidR="00B15DE1" w:rsidRPr="004768D0">
        <w:rPr>
          <w:color w:val="000000" w:themeColor="text1"/>
          <w:sz w:val="20"/>
          <w:szCs w:val="20"/>
          <w:lang w:val="es-ES"/>
        </w:rPr>
        <w:t xml:space="preserve">ocasionar </w:t>
      </w:r>
      <w:r w:rsidR="00515A10">
        <w:rPr>
          <w:color w:val="000000" w:themeColor="text1"/>
          <w:sz w:val="20"/>
          <w:szCs w:val="20"/>
          <w:lang w:val="es-ES"/>
        </w:rPr>
        <w:t>l</w:t>
      </w:r>
      <w:r w:rsidR="00B15DE1" w:rsidRPr="004768D0">
        <w:rPr>
          <w:color w:val="000000" w:themeColor="text1"/>
          <w:sz w:val="20"/>
          <w:szCs w:val="20"/>
          <w:lang w:val="es-ES"/>
        </w:rPr>
        <w:t>a responsabiliza</w:t>
      </w:r>
      <w:r w:rsidR="00515A10">
        <w:rPr>
          <w:color w:val="000000" w:themeColor="text1"/>
          <w:sz w:val="20"/>
          <w:szCs w:val="20"/>
          <w:lang w:val="es-ES"/>
        </w:rPr>
        <w:t xml:space="preserve">ción del </w:t>
      </w:r>
      <w:r w:rsidR="00B15DE1" w:rsidRPr="004768D0">
        <w:rPr>
          <w:color w:val="000000" w:themeColor="text1"/>
          <w:sz w:val="20"/>
          <w:szCs w:val="20"/>
          <w:lang w:val="es-ES"/>
        </w:rPr>
        <w:t xml:space="preserve">país </w:t>
      </w:r>
      <w:r w:rsidR="00515A10">
        <w:rPr>
          <w:color w:val="000000" w:themeColor="text1"/>
          <w:sz w:val="20"/>
          <w:szCs w:val="20"/>
          <w:lang w:val="es-ES"/>
        </w:rPr>
        <w:t xml:space="preserve">en los tribunales </w:t>
      </w:r>
      <w:r w:rsidR="00B15DE1" w:rsidRPr="004768D0">
        <w:rPr>
          <w:color w:val="000000" w:themeColor="text1"/>
          <w:sz w:val="20"/>
          <w:szCs w:val="20"/>
          <w:lang w:val="es-ES"/>
        </w:rPr>
        <w:t>internaciona</w:t>
      </w:r>
      <w:r w:rsidR="00515A10">
        <w:rPr>
          <w:color w:val="000000" w:themeColor="text1"/>
          <w:sz w:val="20"/>
          <w:szCs w:val="20"/>
          <w:lang w:val="es-ES"/>
        </w:rPr>
        <w:t>le</w:t>
      </w:r>
      <w:r w:rsidR="00B15DE1" w:rsidRPr="004768D0">
        <w:rPr>
          <w:color w:val="000000" w:themeColor="text1"/>
          <w:sz w:val="20"/>
          <w:szCs w:val="20"/>
          <w:lang w:val="es-ES"/>
        </w:rPr>
        <w:t>s</w:t>
      </w:r>
      <w:r w:rsidR="004744F0" w:rsidRPr="004768D0">
        <w:rPr>
          <w:color w:val="000000" w:themeColor="text1"/>
          <w:sz w:val="20"/>
          <w:szCs w:val="20"/>
          <w:lang w:val="es-ES"/>
        </w:rPr>
        <w:t>”</w:t>
      </w:r>
      <w:r w:rsidR="00B15DE1" w:rsidRPr="004768D0">
        <w:rPr>
          <w:color w:val="000000" w:themeColor="text1"/>
          <w:sz w:val="20"/>
          <w:szCs w:val="20"/>
          <w:lang w:val="es-ES"/>
        </w:rPr>
        <w:t xml:space="preserve"> (</w:t>
      </w:r>
      <w:r w:rsidR="00515A10">
        <w:rPr>
          <w:color w:val="000000" w:themeColor="text1"/>
          <w:sz w:val="20"/>
          <w:szCs w:val="20"/>
          <w:lang w:val="es-ES"/>
        </w:rPr>
        <w:t xml:space="preserve">en </w:t>
      </w:r>
      <w:r w:rsidR="00515A10" w:rsidRPr="004768D0">
        <w:rPr>
          <w:color w:val="000000" w:themeColor="text1"/>
          <w:sz w:val="20"/>
          <w:szCs w:val="20"/>
          <w:lang w:val="es-ES"/>
        </w:rPr>
        <w:t>palabras</w:t>
      </w:r>
      <w:r w:rsidR="00B15DE1" w:rsidRPr="004768D0">
        <w:rPr>
          <w:color w:val="000000" w:themeColor="text1"/>
          <w:sz w:val="20"/>
          <w:szCs w:val="20"/>
          <w:lang w:val="es-ES"/>
        </w:rPr>
        <w:t xml:space="preserve"> d</w:t>
      </w:r>
      <w:r w:rsidR="00515A10">
        <w:rPr>
          <w:color w:val="000000" w:themeColor="text1"/>
          <w:sz w:val="20"/>
          <w:szCs w:val="20"/>
          <w:lang w:val="es-ES"/>
        </w:rPr>
        <w:t>e l</w:t>
      </w:r>
      <w:r w:rsidR="00B15DE1" w:rsidRPr="004768D0">
        <w:rPr>
          <w:color w:val="000000" w:themeColor="text1"/>
          <w:sz w:val="20"/>
          <w:szCs w:val="20"/>
          <w:lang w:val="es-ES"/>
        </w:rPr>
        <w:t xml:space="preserve">a </w:t>
      </w:r>
      <w:r w:rsidR="00515A10" w:rsidRPr="004768D0">
        <w:rPr>
          <w:color w:val="000000" w:themeColor="text1"/>
          <w:sz w:val="20"/>
          <w:szCs w:val="20"/>
          <w:lang w:val="es-ES"/>
        </w:rPr>
        <w:t>propia</w:t>
      </w:r>
      <w:r w:rsidR="00B15DE1" w:rsidRPr="004768D0">
        <w:rPr>
          <w:color w:val="000000" w:themeColor="text1"/>
          <w:sz w:val="20"/>
          <w:szCs w:val="20"/>
          <w:lang w:val="es-ES"/>
        </w:rPr>
        <w:t xml:space="preserve"> </w:t>
      </w:r>
      <w:r w:rsidR="00882F67" w:rsidRPr="004768D0">
        <w:rPr>
          <w:color w:val="000000" w:themeColor="text1"/>
          <w:sz w:val="20"/>
          <w:szCs w:val="20"/>
          <w:lang w:val="es-ES"/>
        </w:rPr>
        <w:t>petición</w:t>
      </w:r>
      <w:r w:rsidR="00B15DE1" w:rsidRPr="004768D0">
        <w:rPr>
          <w:color w:val="000000" w:themeColor="text1"/>
          <w:sz w:val="20"/>
          <w:szCs w:val="20"/>
          <w:lang w:val="es-ES"/>
        </w:rPr>
        <w:t xml:space="preserve"> de </w:t>
      </w:r>
      <w:r w:rsidR="00515A10">
        <w:rPr>
          <w:color w:val="000000" w:themeColor="text1"/>
          <w:sz w:val="20"/>
          <w:szCs w:val="20"/>
          <w:lang w:val="es-ES"/>
        </w:rPr>
        <w:t>traslado de competencia</w:t>
      </w:r>
      <w:r w:rsidR="00B15DE1" w:rsidRPr="004768D0">
        <w:rPr>
          <w:color w:val="000000" w:themeColor="text1"/>
          <w:sz w:val="20"/>
          <w:szCs w:val="20"/>
          <w:lang w:val="es-ES"/>
        </w:rPr>
        <w:t>).</w:t>
      </w:r>
    </w:p>
    <w:p w14:paraId="788259C3" w14:textId="77777777" w:rsidR="00B15DE1" w:rsidRPr="004768D0" w:rsidRDefault="00B15DE1" w:rsidP="00B15DE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p>
    <w:p w14:paraId="3BBA771D" w14:textId="77777777" w:rsidR="00B15DE1" w:rsidRPr="004768D0" w:rsidRDefault="00515A10" w:rsidP="00A104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r>
        <w:rPr>
          <w:color w:val="000000" w:themeColor="text1"/>
          <w:sz w:val="20"/>
          <w:szCs w:val="20"/>
          <w:lang w:val="es-ES"/>
        </w:rPr>
        <w:t xml:space="preserve">En el mismo </w:t>
      </w:r>
      <w:r w:rsidR="00E55F62" w:rsidRPr="004768D0">
        <w:rPr>
          <w:color w:val="000000" w:themeColor="text1"/>
          <w:sz w:val="20"/>
          <w:szCs w:val="20"/>
          <w:lang w:val="es-ES"/>
        </w:rPr>
        <w:t xml:space="preserve">sentido, </w:t>
      </w:r>
      <w:r w:rsidR="00A07DD9" w:rsidRPr="004768D0">
        <w:rPr>
          <w:color w:val="000000" w:themeColor="text1"/>
          <w:sz w:val="20"/>
          <w:szCs w:val="20"/>
          <w:lang w:val="es-ES"/>
        </w:rPr>
        <w:t>la parte peticionaria</w:t>
      </w:r>
      <w:r w:rsidR="00B15DE1" w:rsidRPr="004768D0">
        <w:rPr>
          <w:color w:val="000000" w:themeColor="text1"/>
          <w:sz w:val="20"/>
          <w:szCs w:val="20"/>
          <w:lang w:val="es-ES"/>
        </w:rPr>
        <w:t xml:space="preserve"> </w:t>
      </w:r>
      <w:r>
        <w:rPr>
          <w:color w:val="000000" w:themeColor="text1"/>
          <w:sz w:val="20"/>
          <w:szCs w:val="20"/>
          <w:lang w:val="es-ES"/>
        </w:rPr>
        <w:t xml:space="preserve">agregó </w:t>
      </w:r>
      <w:r w:rsidR="00B15DE1" w:rsidRPr="004768D0">
        <w:rPr>
          <w:color w:val="000000" w:themeColor="text1"/>
          <w:sz w:val="20"/>
          <w:szCs w:val="20"/>
          <w:lang w:val="es-ES"/>
        </w:rPr>
        <w:t xml:space="preserve">que, i) </w:t>
      </w:r>
      <w:r>
        <w:rPr>
          <w:color w:val="000000" w:themeColor="text1"/>
          <w:sz w:val="20"/>
          <w:szCs w:val="20"/>
          <w:lang w:val="es-ES"/>
        </w:rPr>
        <w:t xml:space="preserve">según la información aportada por el </w:t>
      </w:r>
      <w:r w:rsidR="003C58C5" w:rsidRPr="004768D0">
        <w:rPr>
          <w:color w:val="000000" w:themeColor="text1"/>
          <w:sz w:val="20"/>
          <w:szCs w:val="20"/>
          <w:lang w:val="es-ES"/>
        </w:rPr>
        <w:t>Estado</w:t>
      </w:r>
      <w:r w:rsidR="00B15DE1" w:rsidRPr="004768D0">
        <w:rPr>
          <w:color w:val="000000" w:themeColor="text1"/>
          <w:sz w:val="20"/>
          <w:szCs w:val="20"/>
          <w:lang w:val="es-ES"/>
        </w:rPr>
        <w:t xml:space="preserve">, </w:t>
      </w:r>
      <w:r>
        <w:rPr>
          <w:color w:val="000000" w:themeColor="text1"/>
          <w:sz w:val="20"/>
          <w:szCs w:val="20"/>
          <w:lang w:val="es-ES"/>
        </w:rPr>
        <w:t>l</w:t>
      </w:r>
      <w:r w:rsidR="00B15DE1" w:rsidRPr="004768D0">
        <w:rPr>
          <w:color w:val="000000" w:themeColor="text1"/>
          <w:sz w:val="20"/>
          <w:szCs w:val="20"/>
          <w:lang w:val="es-ES"/>
        </w:rPr>
        <w:t xml:space="preserve">as </w:t>
      </w:r>
      <w:r w:rsidR="00E04ED3" w:rsidRPr="004768D0">
        <w:rPr>
          <w:color w:val="000000" w:themeColor="text1"/>
          <w:sz w:val="20"/>
          <w:szCs w:val="20"/>
          <w:lang w:val="es-ES"/>
        </w:rPr>
        <w:t>investigaciones</w:t>
      </w:r>
      <w:r w:rsidR="00B15DE1" w:rsidRPr="004768D0">
        <w:rPr>
          <w:color w:val="000000" w:themeColor="text1"/>
          <w:sz w:val="20"/>
          <w:szCs w:val="20"/>
          <w:lang w:val="es-ES"/>
        </w:rPr>
        <w:t xml:space="preserve"> </w:t>
      </w:r>
      <w:r>
        <w:rPr>
          <w:color w:val="000000" w:themeColor="text1"/>
          <w:sz w:val="20"/>
          <w:szCs w:val="20"/>
          <w:lang w:val="es-ES"/>
        </w:rPr>
        <w:t xml:space="preserve">seguían </w:t>
      </w:r>
      <w:r w:rsidRPr="004768D0">
        <w:rPr>
          <w:color w:val="000000" w:themeColor="text1"/>
          <w:sz w:val="20"/>
          <w:szCs w:val="20"/>
          <w:lang w:val="es-ES"/>
        </w:rPr>
        <w:t>pendientes</w:t>
      </w:r>
      <w:r w:rsidR="00B15DE1" w:rsidRPr="004768D0">
        <w:rPr>
          <w:color w:val="000000" w:themeColor="text1"/>
          <w:sz w:val="20"/>
          <w:szCs w:val="20"/>
          <w:lang w:val="es-ES"/>
        </w:rPr>
        <w:t xml:space="preserve"> </w:t>
      </w:r>
      <w:r w:rsidR="001B2362" w:rsidRPr="001B2362">
        <w:rPr>
          <w:color w:val="000000" w:themeColor="text1"/>
          <w:sz w:val="20"/>
          <w:szCs w:val="20"/>
          <w:lang w:val="es-ES"/>
        </w:rPr>
        <w:t xml:space="preserve">12 años después de las muertes </w:t>
      </w:r>
      <w:r w:rsidR="00B15DE1" w:rsidRPr="004768D0">
        <w:rPr>
          <w:color w:val="000000" w:themeColor="text1"/>
          <w:sz w:val="20"/>
          <w:szCs w:val="20"/>
          <w:lang w:val="es-ES"/>
        </w:rPr>
        <w:t>(</w:t>
      </w:r>
      <w:r>
        <w:rPr>
          <w:color w:val="000000" w:themeColor="text1"/>
          <w:sz w:val="20"/>
          <w:szCs w:val="20"/>
          <w:lang w:val="es-ES"/>
        </w:rPr>
        <w:t>al respecto, en uno de l</w:t>
      </w:r>
      <w:r w:rsidR="00B15DE1" w:rsidRPr="004768D0">
        <w:rPr>
          <w:color w:val="000000" w:themeColor="text1"/>
          <w:sz w:val="20"/>
          <w:szCs w:val="20"/>
          <w:lang w:val="es-ES"/>
        </w:rPr>
        <w:t xml:space="preserve">os anexos </w:t>
      </w:r>
      <w:r>
        <w:rPr>
          <w:color w:val="000000" w:themeColor="text1"/>
          <w:sz w:val="20"/>
          <w:szCs w:val="20"/>
          <w:lang w:val="es-ES"/>
        </w:rPr>
        <w:t xml:space="preserve">del escrito presentado por </w:t>
      </w:r>
      <w:r w:rsidR="003C58C5" w:rsidRPr="004768D0">
        <w:rPr>
          <w:color w:val="000000" w:themeColor="text1"/>
          <w:sz w:val="20"/>
          <w:szCs w:val="20"/>
          <w:lang w:val="es-ES"/>
        </w:rPr>
        <w:t>el Estado</w:t>
      </w:r>
      <w:r w:rsidR="00B15DE1" w:rsidRPr="004768D0">
        <w:rPr>
          <w:color w:val="000000" w:themeColor="text1"/>
          <w:sz w:val="20"/>
          <w:szCs w:val="20"/>
          <w:lang w:val="es-ES"/>
        </w:rPr>
        <w:t xml:space="preserve"> </w:t>
      </w:r>
      <w:r>
        <w:rPr>
          <w:color w:val="000000" w:themeColor="text1"/>
          <w:sz w:val="20"/>
          <w:szCs w:val="20"/>
          <w:lang w:val="es-ES"/>
        </w:rPr>
        <w:t xml:space="preserve">a la </w:t>
      </w:r>
      <w:r w:rsidR="00B15DE1" w:rsidRPr="004768D0">
        <w:rPr>
          <w:color w:val="000000" w:themeColor="text1"/>
          <w:sz w:val="20"/>
          <w:szCs w:val="20"/>
          <w:lang w:val="es-ES"/>
        </w:rPr>
        <w:t xml:space="preserve">CIDH </w:t>
      </w:r>
      <w:r>
        <w:rPr>
          <w:color w:val="000000" w:themeColor="text1"/>
          <w:sz w:val="20"/>
          <w:szCs w:val="20"/>
          <w:lang w:val="es-ES"/>
        </w:rPr>
        <w:t xml:space="preserve">en </w:t>
      </w:r>
      <w:r w:rsidR="007F4608" w:rsidRPr="004768D0">
        <w:rPr>
          <w:color w:val="000000" w:themeColor="text1"/>
          <w:sz w:val="20"/>
          <w:szCs w:val="20"/>
          <w:lang w:val="es-ES"/>
        </w:rPr>
        <w:t>julio</w:t>
      </w:r>
      <w:r w:rsidR="00B15DE1" w:rsidRPr="004768D0">
        <w:rPr>
          <w:color w:val="000000" w:themeColor="text1"/>
          <w:sz w:val="20"/>
          <w:szCs w:val="20"/>
          <w:lang w:val="es-ES"/>
        </w:rPr>
        <w:t xml:space="preserve"> de 2019, </w:t>
      </w:r>
      <w:r>
        <w:rPr>
          <w:color w:val="000000" w:themeColor="text1"/>
          <w:sz w:val="20"/>
          <w:szCs w:val="20"/>
          <w:lang w:val="es-ES"/>
        </w:rPr>
        <w:t xml:space="preserve">con fecha de febrero </w:t>
      </w:r>
      <w:r w:rsidR="00B15DE1" w:rsidRPr="004768D0">
        <w:rPr>
          <w:color w:val="000000" w:themeColor="text1"/>
          <w:sz w:val="20"/>
          <w:szCs w:val="20"/>
          <w:lang w:val="es-ES"/>
        </w:rPr>
        <w:t>de 2018</w:t>
      </w:r>
      <w:r w:rsidR="001B2362">
        <w:rPr>
          <w:color w:val="000000" w:themeColor="text1"/>
          <w:sz w:val="20"/>
          <w:szCs w:val="20"/>
          <w:lang w:val="es-ES"/>
        </w:rPr>
        <w:t>,</w:t>
      </w:r>
      <w:r>
        <w:rPr>
          <w:color w:val="000000" w:themeColor="text1"/>
          <w:sz w:val="20"/>
          <w:szCs w:val="20"/>
          <w:lang w:val="es-ES"/>
        </w:rPr>
        <w:t xml:space="preserve"> </w:t>
      </w:r>
      <w:r w:rsidR="00B15DE1" w:rsidRPr="004768D0">
        <w:rPr>
          <w:color w:val="000000" w:themeColor="text1"/>
          <w:sz w:val="20"/>
          <w:szCs w:val="20"/>
          <w:lang w:val="es-ES"/>
        </w:rPr>
        <w:t xml:space="preserve">relacionado </w:t>
      </w:r>
      <w:r>
        <w:rPr>
          <w:color w:val="000000" w:themeColor="text1"/>
          <w:sz w:val="20"/>
          <w:szCs w:val="20"/>
          <w:lang w:val="es-ES"/>
        </w:rPr>
        <w:t>con el</w:t>
      </w:r>
      <w:r w:rsidR="00B15DE1" w:rsidRPr="004768D0">
        <w:rPr>
          <w:color w:val="000000" w:themeColor="text1"/>
          <w:sz w:val="20"/>
          <w:szCs w:val="20"/>
          <w:lang w:val="es-ES"/>
        </w:rPr>
        <w:t xml:space="preserve"> </w:t>
      </w:r>
      <w:r w:rsidR="000A5DA2" w:rsidRPr="004768D0">
        <w:rPr>
          <w:color w:val="000000" w:themeColor="text1"/>
          <w:sz w:val="20"/>
          <w:szCs w:val="20"/>
          <w:lang w:val="es-ES"/>
        </w:rPr>
        <w:t>procedimiento investigativo penal</w:t>
      </w:r>
      <w:r w:rsidR="00B15DE1" w:rsidRPr="004768D0">
        <w:rPr>
          <w:color w:val="000000" w:themeColor="text1"/>
          <w:sz w:val="20"/>
          <w:szCs w:val="20"/>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00B15DE1" w:rsidRPr="004768D0">
        <w:rPr>
          <w:color w:val="000000" w:themeColor="text1"/>
          <w:sz w:val="20"/>
          <w:szCs w:val="20"/>
          <w:lang w:val="es-ES"/>
        </w:rPr>
        <w:t xml:space="preserve"> 94.0563.0000071/2010-8, </w:t>
      </w:r>
      <w:r>
        <w:rPr>
          <w:color w:val="000000" w:themeColor="text1"/>
          <w:sz w:val="20"/>
          <w:szCs w:val="20"/>
          <w:lang w:val="es-ES"/>
        </w:rPr>
        <w:t>el</w:t>
      </w:r>
      <w:r w:rsidR="00B15DE1" w:rsidRPr="004768D0">
        <w:rPr>
          <w:color w:val="000000" w:themeColor="text1"/>
          <w:sz w:val="20"/>
          <w:szCs w:val="20"/>
          <w:lang w:val="es-ES"/>
        </w:rPr>
        <w:t xml:space="preserve"> Pro</w:t>
      </w:r>
      <w:r>
        <w:rPr>
          <w:color w:val="000000" w:themeColor="text1"/>
          <w:sz w:val="20"/>
          <w:szCs w:val="20"/>
          <w:lang w:val="es-ES"/>
        </w:rPr>
        <w:t xml:space="preserve">curador </w:t>
      </w:r>
      <w:r w:rsidR="00B15DE1" w:rsidRPr="004768D0">
        <w:rPr>
          <w:color w:val="000000" w:themeColor="text1"/>
          <w:sz w:val="20"/>
          <w:szCs w:val="20"/>
          <w:lang w:val="es-ES"/>
        </w:rPr>
        <w:t xml:space="preserve">de </w:t>
      </w:r>
      <w:r w:rsidR="00C65DE2" w:rsidRPr="004768D0">
        <w:rPr>
          <w:color w:val="000000" w:themeColor="text1"/>
          <w:sz w:val="20"/>
          <w:szCs w:val="20"/>
          <w:lang w:val="es-ES"/>
        </w:rPr>
        <w:t>Justicia</w:t>
      </w:r>
      <w:r w:rsidR="00B15DE1" w:rsidRPr="004768D0">
        <w:rPr>
          <w:color w:val="000000" w:themeColor="text1"/>
          <w:sz w:val="20"/>
          <w:szCs w:val="20"/>
          <w:lang w:val="es-ES"/>
        </w:rPr>
        <w:t xml:space="preserve"> d</w:t>
      </w:r>
      <w:r>
        <w:rPr>
          <w:color w:val="000000" w:themeColor="text1"/>
          <w:sz w:val="20"/>
          <w:szCs w:val="20"/>
          <w:lang w:val="es-ES"/>
        </w:rPr>
        <w:t>el</w:t>
      </w:r>
      <w:r w:rsidR="00B15DE1" w:rsidRPr="004768D0">
        <w:rPr>
          <w:color w:val="000000" w:themeColor="text1"/>
          <w:sz w:val="20"/>
          <w:szCs w:val="20"/>
          <w:lang w:val="es-ES"/>
        </w:rPr>
        <w:t xml:space="preserve"> GAECO as</w:t>
      </w:r>
      <w:r>
        <w:rPr>
          <w:color w:val="000000" w:themeColor="text1"/>
          <w:sz w:val="20"/>
          <w:szCs w:val="20"/>
          <w:lang w:val="es-ES"/>
        </w:rPr>
        <w:t xml:space="preserve">everó que las </w:t>
      </w:r>
      <w:r w:rsidR="00E04ED3" w:rsidRPr="004768D0">
        <w:rPr>
          <w:color w:val="000000" w:themeColor="text1"/>
          <w:sz w:val="20"/>
          <w:szCs w:val="20"/>
          <w:lang w:val="es-ES"/>
        </w:rPr>
        <w:t>investigaciones</w:t>
      </w:r>
      <w:r w:rsidR="00B15DE1" w:rsidRPr="004768D0">
        <w:rPr>
          <w:color w:val="000000" w:themeColor="text1"/>
          <w:sz w:val="20"/>
          <w:szCs w:val="20"/>
          <w:lang w:val="es-ES"/>
        </w:rPr>
        <w:t xml:space="preserve"> </w:t>
      </w:r>
      <w:r>
        <w:rPr>
          <w:color w:val="000000" w:themeColor="text1"/>
          <w:sz w:val="20"/>
          <w:szCs w:val="20"/>
          <w:lang w:val="es-ES"/>
        </w:rPr>
        <w:t xml:space="preserve">seguían su curso, “en particular a la espera del informe pericial de las pruebas de </w:t>
      </w:r>
      <w:r w:rsidR="00B15DE1" w:rsidRPr="004768D0">
        <w:rPr>
          <w:color w:val="000000" w:themeColor="text1"/>
          <w:sz w:val="20"/>
          <w:szCs w:val="20"/>
          <w:lang w:val="es-ES"/>
        </w:rPr>
        <w:t>balístic</w:t>
      </w:r>
      <w:r>
        <w:rPr>
          <w:color w:val="000000" w:themeColor="text1"/>
          <w:sz w:val="20"/>
          <w:szCs w:val="20"/>
          <w:lang w:val="es-ES"/>
        </w:rPr>
        <w:t>a</w:t>
      </w:r>
      <w:r w:rsidR="00B15DE1" w:rsidRPr="004768D0">
        <w:rPr>
          <w:color w:val="000000" w:themeColor="text1"/>
          <w:sz w:val="20"/>
          <w:szCs w:val="20"/>
          <w:lang w:val="es-ES"/>
        </w:rPr>
        <w:t xml:space="preserve"> </w:t>
      </w:r>
      <w:r>
        <w:rPr>
          <w:color w:val="000000" w:themeColor="text1"/>
          <w:sz w:val="20"/>
          <w:szCs w:val="20"/>
          <w:lang w:val="es-ES"/>
        </w:rPr>
        <w:t xml:space="preserve">ordenadas en el marco de la </w:t>
      </w:r>
      <w:r w:rsidR="00C03E33" w:rsidRPr="004768D0">
        <w:rPr>
          <w:color w:val="000000" w:themeColor="text1"/>
          <w:sz w:val="20"/>
          <w:szCs w:val="20"/>
          <w:lang w:val="es-ES"/>
        </w:rPr>
        <w:t>investigación</w:t>
      </w:r>
      <w:r w:rsidR="00B15DE1" w:rsidRPr="004768D0">
        <w:rPr>
          <w:color w:val="000000" w:themeColor="text1"/>
          <w:sz w:val="20"/>
          <w:szCs w:val="20"/>
          <w:lang w:val="es-ES"/>
        </w:rPr>
        <w:t xml:space="preserve"> policial 0017836-32.2012.8.26.0562</w:t>
      </w:r>
      <w:r w:rsidR="004744F0" w:rsidRPr="004768D0">
        <w:rPr>
          <w:color w:val="000000" w:themeColor="text1"/>
          <w:sz w:val="20"/>
          <w:szCs w:val="20"/>
          <w:lang w:val="es-ES"/>
        </w:rPr>
        <w:t>”</w:t>
      </w:r>
      <w:r w:rsidR="00B15DE1" w:rsidRPr="004768D0">
        <w:rPr>
          <w:color w:val="000000" w:themeColor="text1"/>
          <w:sz w:val="20"/>
          <w:szCs w:val="20"/>
          <w:lang w:val="es-ES"/>
        </w:rPr>
        <w:t xml:space="preserve">); ii) </w:t>
      </w:r>
      <w:r>
        <w:rPr>
          <w:color w:val="000000" w:themeColor="text1"/>
          <w:sz w:val="20"/>
          <w:szCs w:val="20"/>
          <w:lang w:val="es-ES"/>
        </w:rPr>
        <w:t xml:space="preserve">el </w:t>
      </w:r>
      <w:r w:rsidR="000A5DA2" w:rsidRPr="004768D0">
        <w:rPr>
          <w:color w:val="000000" w:themeColor="text1"/>
          <w:sz w:val="20"/>
          <w:szCs w:val="20"/>
          <w:lang w:val="es-ES"/>
        </w:rPr>
        <w:t>procedimiento investigativo penal</w:t>
      </w:r>
      <w:r w:rsidR="00B15DE1" w:rsidRPr="004768D0">
        <w:rPr>
          <w:color w:val="000000" w:themeColor="text1"/>
          <w:sz w:val="20"/>
          <w:szCs w:val="20"/>
          <w:lang w:val="es-ES"/>
        </w:rPr>
        <w:t xml:space="preserve">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00B15DE1" w:rsidRPr="004768D0">
        <w:rPr>
          <w:color w:val="000000" w:themeColor="text1"/>
          <w:sz w:val="20"/>
          <w:szCs w:val="20"/>
          <w:lang w:val="es-ES"/>
        </w:rPr>
        <w:t xml:space="preserve"> 94.0563.0000071/2010-8, in</w:t>
      </w:r>
      <w:r>
        <w:rPr>
          <w:color w:val="000000" w:themeColor="text1"/>
          <w:sz w:val="20"/>
          <w:szCs w:val="20"/>
          <w:lang w:val="es-ES"/>
        </w:rPr>
        <w:t xml:space="preserve">iciado por el </w:t>
      </w:r>
      <w:r w:rsidR="00B15DE1" w:rsidRPr="004768D0">
        <w:rPr>
          <w:color w:val="000000" w:themeColor="text1"/>
          <w:sz w:val="20"/>
          <w:szCs w:val="20"/>
          <w:lang w:val="es-ES"/>
        </w:rPr>
        <w:t>GAECO e</w:t>
      </w:r>
      <w:r>
        <w:rPr>
          <w:color w:val="000000" w:themeColor="text1"/>
          <w:sz w:val="20"/>
          <w:szCs w:val="20"/>
          <w:lang w:val="es-ES"/>
        </w:rPr>
        <w:t>n</w:t>
      </w:r>
      <w:r w:rsidR="00B15DE1" w:rsidRPr="004768D0">
        <w:rPr>
          <w:color w:val="000000" w:themeColor="text1"/>
          <w:sz w:val="20"/>
          <w:szCs w:val="20"/>
          <w:lang w:val="es-ES"/>
        </w:rPr>
        <w:t xml:space="preserve"> </w:t>
      </w:r>
      <w:r w:rsidR="00174FDD" w:rsidRPr="004768D0">
        <w:rPr>
          <w:color w:val="000000" w:themeColor="text1"/>
          <w:sz w:val="20"/>
          <w:szCs w:val="20"/>
          <w:lang w:val="es-ES"/>
        </w:rPr>
        <w:t>diciembre</w:t>
      </w:r>
      <w:r w:rsidR="00B15DE1" w:rsidRPr="004768D0">
        <w:rPr>
          <w:color w:val="000000" w:themeColor="text1"/>
          <w:sz w:val="20"/>
          <w:szCs w:val="20"/>
          <w:lang w:val="es-ES"/>
        </w:rPr>
        <w:t xml:space="preserve"> de 2010, </w:t>
      </w:r>
      <w:r>
        <w:rPr>
          <w:color w:val="000000" w:themeColor="text1"/>
          <w:sz w:val="20"/>
          <w:szCs w:val="20"/>
          <w:lang w:val="es-ES"/>
        </w:rPr>
        <w:t xml:space="preserve">todavía tenía </w:t>
      </w:r>
      <w:r w:rsidR="00E04ED3" w:rsidRPr="004768D0">
        <w:rPr>
          <w:color w:val="000000" w:themeColor="text1"/>
          <w:sz w:val="20"/>
          <w:szCs w:val="20"/>
          <w:lang w:val="es-ES"/>
        </w:rPr>
        <w:t>investigaciones</w:t>
      </w:r>
      <w:r w:rsidR="00B15DE1" w:rsidRPr="004768D0">
        <w:rPr>
          <w:color w:val="000000" w:themeColor="text1"/>
          <w:sz w:val="20"/>
          <w:szCs w:val="20"/>
          <w:lang w:val="es-ES"/>
        </w:rPr>
        <w:t xml:space="preserve"> </w:t>
      </w:r>
      <w:r w:rsidR="002946BE" w:rsidRPr="004768D0">
        <w:rPr>
          <w:color w:val="000000" w:themeColor="text1"/>
          <w:sz w:val="20"/>
          <w:szCs w:val="20"/>
          <w:lang w:val="es-ES"/>
        </w:rPr>
        <w:t>pendientes</w:t>
      </w:r>
      <w:r w:rsidR="00B15DE1" w:rsidRPr="004768D0">
        <w:rPr>
          <w:color w:val="000000" w:themeColor="text1"/>
          <w:sz w:val="20"/>
          <w:szCs w:val="20"/>
          <w:lang w:val="es-ES"/>
        </w:rPr>
        <w:t xml:space="preserve"> e</w:t>
      </w:r>
      <w:r>
        <w:rPr>
          <w:color w:val="000000" w:themeColor="text1"/>
          <w:sz w:val="20"/>
          <w:szCs w:val="20"/>
          <w:lang w:val="es-ES"/>
        </w:rPr>
        <w:t>n</w:t>
      </w:r>
      <w:r w:rsidR="00B15DE1" w:rsidRPr="004768D0">
        <w:rPr>
          <w:color w:val="000000" w:themeColor="text1"/>
          <w:sz w:val="20"/>
          <w:szCs w:val="20"/>
          <w:lang w:val="es-ES"/>
        </w:rPr>
        <w:t xml:space="preserve"> 2018</w:t>
      </w:r>
      <w:r>
        <w:rPr>
          <w:color w:val="000000" w:themeColor="text1"/>
          <w:sz w:val="20"/>
          <w:szCs w:val="20"/>
          <w:lang w:val="es-ES"/>
        </w:rPr>
        <w:t xml:space="preserve">, y en </w:t>
      </w:r>
      <w:r w:rsidR="00B15DE1" w:rsidRPr="004768D0">
        <w:rPr>
          <w:color w:val="000000" w:themeColor="text1"/>
          <w:sz w:val="20"/>
          <w:szCs w:val="20"/>
          <w:lang w:val="es-ES"/>
        </w:rPr>
        <w:t xml:space="preserve">2020 </w:t>
      </w:r>
      <w:r w:rsidR="00A07DD9" w:rsidRPr="004768D0">
        <w:rPr>
          <w:color w:val="000000" w:themeColor="text1"/>
          <w:sz w:val="20"/>
          <w:szCs w:val="20"/>
          <w:lang w:val="es-ES"/>
        </w:rPr>
        <w:t>la parte peticionaria</w:t>
      </w:r>
      <w:r w:rsidR="00B15DE1" w:rsidRPr="004768D0">
        <w:rPr>
          <w:color w:val="000000" w:themeColor="text1"/>
          <w:sz w:val="20"/>
          <w:szCs w:val="20"/>
          <w:lang w:val="es-ES"/>
        </w:rPr>
        <w:t xml:space="preserve"> </w:t>
      </w:r>
      <w:r>
        <w:rPr>
          <w:color w:val="000000" w:themeColor="text1"/>
          <w:sz w:val="20"/>
          <w:szCs w:val="20"/>
          <w:lang w:val="es-ES"/>
        </w:rPr>
        <w:t xml:space="preserve">ni siquiera logró que le informaran acerca del </w:t>
      </w:r>
      <w:r w:rsidR="00B15DE1" w:rsidRPr="004768D0">
        <w:rPr>
          <w:color w:val="000000" w:themeColor="text1"/>
          <w:sz w:val="20"/>
          <w:szCs w:val="20"/>
          <w:lang w:val="es-ES"/>
        </w:rPr>
        <w:t>estado d</w:t>
      </w:r>
      <w:r>
        <w:rPr>
          <w:color w:val="000000" w:themeColor="text1"/>
          <w:sz w:val="20"/>
          <w:szCs w:val="20"/>
          <w:lang w:val="es-ES"/>
        </w:rPr>
        <w:t>e l</w:t>
      </w:r>
      <w:r w:rsidR="00B15DE1" w:rsidRPr="004768D0">
        <w:rPr>
          <w:color w:val="000000" w:themeColor="text1"/>
          <w:sz w:val="20"/>
          <w:szCs w:val="20"/>
          <w:lang w:val="es-ES"/>
        </w:rPr>
        <w:t xml:space="preserve">a </w:t>
      </w:r>
      <w:r w:rsidR="00712D2E" w:rsidRPr="004768D0">
        <w:rPr>
          <w:color w:val="000000" w:themeColor="text1"/>
          <w:sz w:val="20"/>
          <w:szCs w:val="20"/>
          <w:lang w:val="es-ES"/>
        </w:rPr>
        <w:t>investigación</w:t>
      </w:r>
      <w:r w:rsidR="00B15DE1" w:rsidRPr="004768D0">
        <w:rPr>
          <w:color w:val="000000" w:themeColor="text1"/>
          <w:sz w:val="20"/>
          <w:szCs w:val="20"/>
          <w:lang w:val="es-ES"/>
        </w:rPr>
        <w:t xml:space="preserve">; iii) </w:t>
      </w:r>
      <w:r w:rsidR="00BE1A54">
        <w:rPr>
          <w:color w:val="000000" w:themeColor="text1"/>
          <w:sz w:val="20"/>
          <w:szCs w:val="20"/>
          <w:lang w:val="es-ES"/>
        </w:rPr>
        <w:t xml:space="preserve">seguían sin efectuarse importantes </w:t>
      </w:r>
      <w:r w:rsidR="00BE1A54" w:rsidRPr="004768D0">
        <w:rPr>
          <w:color w:val="000000" w:themeColor="text1"/>
          <w:sz w:val="20"/>
          <w:szCs w:val="20"/>
          <w:lang w:val="es-ES"/>
        </w:rPr>
        <w:t>diligencias</w:t>
      </w:r>
      <w:r w:rsidR="00B15DE1" w:rsidRPr="004768D0">
        <w:rPr>
          <w:color w:val="000000" w:themeColor="text1"/>
          <w:sz w:val="20"/>
          <w:szCs w:val="20"/>
          <w:lang w:val="es-ES"/>
        </w:rPr>
        <w:t xml:space="preserve"> </w:t>
      </w:r>
      <w:r w:rsidR="00BE1A54">
        <w:rPr>
          <w:color w:val="000000" w:themeColor="text1"/>
          <w:sz w:val="20"/>
          <w:szCs w:val="20"/>
          <w:lang w:val="es-ES"/>
        </w:rPr>
        <w:t xml:space="preserve">para dilucidar los hechos, como </w:t>
      </w:r>
      <w:r w:rsidR="00B15DE1" w:rsidRPr="004768D0">
        <w:rPr>
          <w:color w:val="000000" w:themeColor="text1"/>
          <w:sz w:val="20"/>
          <w:szCs w:val="20"/>
          <w:lang w:val="es-ES"/>
        </w:rPr>
        <w:t xml:space="preserve">todos </w:t>
      </w:r>
      <w:r w:rsidR="00BE1A54">
        <w:rPr>
          <w:color w:val="000000" w:themeColor="text1"/>
          <w:sz w:val="20"/>
          <w:szCs w:val="20"/>
          <w:lang w:val="es-ES"/>
        </w:rPr>
        <w:t>l</w:t>
      </w:r>
      <w:r w:rsidR="00B15DE1" w:rsidRPr="004768D0">
        <w:rPr>
          <w:color w:val="000000" w:themeColor="text1"/>
          <w:sz w:val="20"/>
          <w:szCs w:val="20"/>
          <w:lang w:val="es-ES"/>
        </w:rPr>
        <w:t>os ex</w:t>
      </w:r>
      <w:r w:rsidR="00BE1A54">
        <w:rPr>
          <w:color w:val="000000" w:themeColor="text1"/>
          <w:sz w:val="20"/>
          <w:szCs w:val="20"/>
          <w:lang w:val="es-ES"/>
        </w:rPr>
        <w:t xml:space="preserve">ámenes </w:t>
      </w:r>
      <w:r w:rsidR="00B15DE1" w:rsidRPr="004768D0">
        <w:rPr>
          <w:color w:val="000000" w:themeColor="text1"/>
          <w:sz w:val="20"/>
          <w:szCs w:val="20"/>
          <w:lang w:val="es-ES"/>
        </w:rPr>
        <w:t>pericia</w:t>
      </w:r>
      <w:r w:rsidR="00BE1A54">
        <w:rPr>
          <w:color w:val="000000" w:themeColor="text1"/>
          <w:sz w:val="20"/>
          <w:szCs w:val="20"/>
          <w:lang w:val="es-ES"/>
        </w:rPr>
        <w:t xml:space="preserve">les de la </w:t>
      </w:r>
      <w:r w:rsidR="00E04ED3" w:rsidRPr="004768D0">
        <w:rPr>
          <w:color w:val="000000" w:themeColor="text1"/>
          <w:sz w:val="20"/>
          <w:szCs w:val="20"/>
          <w:lang w:val="es-ES"/>
        </w:rPr>
        <w:t>escena del delito</w:t>
      </w:r>
      <w:r w:rsidR="00B15DE1" w:rsidRPr="004768D0">
        <w:rPr>
          <w:color w:val="000000" w:themeColor="text1"/>
          <w:sz w:val="20"/>
          <w:szCs w:val="20"/>
          <w:lang w:val="es-ES"/>
        </w:rPr>
        <w:t xml:space="preserve">, </w:t>
      </w:r>
      <w:r w:rsidR="00BE1A54">
        <w:rPr>
          <w:color w:val="000000" w:themeColor="text1"/>
          <w:sz w:val="20"/>
          <w:szCs w:val="20"/>
          <w:lang w:val="es-ES"/>
        </w:rPr>
        <w:t xml:space="preserve">el </w:t>
      </w:r>
      <w:r w:rsidR="006062C8" w:rsidRPr="004768D0">
        <w:rPr>
          <w:color w:val="000000" w:themeColor="text1"/>
          <w:sz w:val="20"/>
          <w:szCs w:val="20"/>
          <w:lang w:val="es-ES"/>
        </w:rPr>
        <w:t>vehículo</w:t>
      </w:r>
      <w:r w:rsidR="00B15DE1" w:rsidRPr="004768D0">
        <w:rPr>
          <w:color w:val="000000" w:themeColor="text1"/>
          <w:sz w:val="20"/>
          <w:szCs w:val="20"/>
          <w:lang w:val="es-ES"/>
        </w:rPr>
        <w:t xml:space="preserve"> </w:t>
      </w:r>
      <w:r w:rsidR="00BE1A54">
        <w:rPr>
          <w:color w:val="000000" w:themeColor="text1"/>
          <w:sz w:val="20"/>
          <w:szCs w:val="20"/>
          <w:lang w:val="es-ES"/>
        </w:rPr>
        <w:t xml:space="preserve">y el cuerpo del </w:t>
      </w:r>
      <w:r w:rsidR="00B15DE1" w:rsidRPr="004768D0">
        <w:rPr>
          <w:color w:val="000000" w:themeColor="text1"/>
          <w:sz w:val="20"/>
          <w:szCs w:val="20"/>
          <w:lang w:val="es-ES"/>
        </w:rPr>
        <w:t>delito d</w:t>
      </w:r>
      <w:r w:rsidR="00BE1A54">
        <w:rPr>
          <w:color w:val="000000" w:themeColor="text1"/>
          <w:sz w:val="20"/>
          <w:szCs w:val="20"/>
          <w:lang w:val="es-ES"/>
        </w:rPr>
        <w:t>e l</w:t>
      </w:r>
      <w:r w:rsidR="00B15DE1" w:rsidRPr="004768D0">
        <w:rPr>
          <w:color w:val="000000" w:themeColor="text1"/>
          <w:sz w:val="20"/>
          <w:szCs w:val="20"/>
          <w:lang w:val="es-ES"/>
        </w:rPr>
        <w:t xml:space="preserve">as </w:t>
      </w:r>
      <w:r w:rsidR="00000CF9" w:rsidRPr="004768D0">
        <w:rPr>
          <w:color w:val="000000" w:themeColor="text1"/>
          <w:sz w:val="20"/>
          <w:szCs w:val="20"/>
          <w:lang w:val="es-ES"/>
        </w:rPr>
        <w:t>víctimas</w:t>
      </w:r>
      <w:r w:rsidR="00B15DE1" w:rsidRPr="004768D0">
        <w:rPr>
          <w:color w:val="000000" w:themeColor="text1"/>
          <w:sz w:val="20"/>
          <w:szCs w:val="20"/>
          <w:lang w:val="es-ES"/>
        </w:rPr>
        <w:t xml:space="preserve"> </w:t>
      </w:r>
      <w:r w:rsidR="00B9588A" w:rsidRPr="004768D0">
        <w:rPr>
          <w:color w:val="000000" w:themeColor="text1"/>
          <w:sz w:val="20"/>
          <w:szCs w:val="20"/>
          <w:lang w:val="es-ES"/>
        </w:rPr>
        <w:t>sobrevivientes</w:t>
      </w:r>
      <w:r w:rsidR="00B15DE1" w:rsidRPr="004768D0">
        <w:rPr>
          <w:color w:val="000000" w:themeColor="text1"/>
          <w:sz w:val="20"/>
          <w:szCs w:val="20"/>
          <w:lang w:val="es-ES"/>
        </w:rPr>
        <w:t xml:space="preserve">; </w:t>
      </w:r>
      <w:r w:rsidR="00BE1A54">
        <w:rPr>
          <w:color w:val="000000" w:themeColor="text1"/>
          <w:sz w:val="20"/>
          <w:szCs w:val="20"/>
          <w:lang w:val="es-ES"/>
        </w:rPr>
        <w:t>l</w:t>
      </w:r>
      <w:r w:rsidR="00B15DE1" w:rsidRPr="004768D0">
        <w:rPr>
          <w:color w:val="000000" w:themeColor="text1"/>
          <w:sz w:val="20"/>
          <w:szCs w:val="20"/>
          <w:lang w:val="es-ES"/>
        </w:rPr>
        <w:t xml:space="preserve">a </w:t>
      </w:r>
      <w:r w:rsidR="00BE1A54">
        <w:rPr>
          <w:color w:val="000000" w:themeColor="text1"/>
          <w:sz w:val="20"/>
          <w:szCs w:val="20"/>
          <w:lang w:val="es-ES"/>
        </w:rPr>
        <w:t xml:space="preserve">investigación y la búsqueda de datos </w:t>
      </w:r>
      <w:r w:rsidR="00B15DE1" w:rsidRPr="004768D0">
        <w:rPr>
          <w:color w:val="000000" w:themeColor="text1"/>
          <w:sz w:val="20"/>
          <w:szCs w:val="20"/>
          <w:lang w:val="es-ES"/>
        </w:rPr>
        <w:t xml:space="preserve">sobre </w:t>
      </w:r>
      <w:r w:rsidR="00BE1A54">
        <w:rPr>
          <w:color w:val="000000" w:themeColor="text1"/>
          <w:sz w:val="20"/>
          <w:szCs w:val="20"/>
          <w:lang w:val="es-ES"/>
        </w:rPr>
        <w:t>l</w:t>
      </w:r>
      <w:r w:rsidR="00B15DE1" w:rsidRPr="004768D0">
        <w:rPr>
          <w:color w:val="000000" w:themeColor="text1"/>
          <w:sz w:val="20"/>
          <w:szCs w:val="20"/>
          <w:lang w:val="es-ES"/>
        </w:rPr>
        <w:t>a a</w:t>
      </w:r>
      <w:r w:rsidR="00BE1A54">
        <w:rPr>
          <w:color w:val="000000" w:themeColor="text1"/>
          <w:sz w:val="20"/>
          <w:szCs w:val="20"/>
          <w:lang w:val="es-ES"/>
        </w:rPr>
        <w:t>c</w:t>
      </w:r>
      <w:r w:rsidR="00B15DE1" w:rsidRPr="004768D0">
        <w:rPr>
          <w:color w:val="000000" w:themeColor="text1"/>
          <w:sz w:val="20"/>
          <w:szCs w:val="20"/>
          <w:lang w:val="es-ES"/>
        </w:rPr>
        <w:t xml:space="preserve">tividad policial </w:t>
      </w:r>
      <w:r w:rsidR="00BE1A54">
        <w:rPr>
          <w:color w:val="000000" w:themeColor="text1"/>
          <w:sz w:val="20"/>
          <w:szCs w:val="20"/>
          <w:lang w:val="es-ES"/>
        </w:rPr>
        <w:t xml:space="preserve">en la zona donde se cometieron los delitos; la </w:t>
      </w:r>
      <w:r w:rsidR="00712D2E" w:rsidRPr="004768D0">
        <w:rPr>
          <w:color w:val="000000" w:themeColor="text1"/>
          <w:sz w:val="20"/>
          <w:szCs w:val="20"/>
          <w:lang w:val="es-ES"/>
        </w:rPr>
        <w:t>investigación</w:t>
      </w:r>
      <w:r w:rsidR="00B15DE1" w:rsidRPr="004768D0">
        <w:rPr>
          <w:color w:val="000000" w:themeColor="text1"/>
          <w:sz w:val="20"/>
          <w:szCs w:val="20"/>
          <w:lang w:val="es-ES"/>
        </w:rPr>
        <w:t xml:space="preserve"> sobre </w:t>
      </w:r>
      <w:r w:rsidR="00472BCC">
        <w:rPr>
          <w:color w:val="000000" w:themeColor="text1"/>
          <w:sz w:val="20"/>
          <w:szCs w:val="20"/>
          <w:lang w:val="es-ES"/>
        </w:rPr>
        <w:t xml:space="preserve">la actuación </w:t>
      </w:r>
      <w:r w:rsidR="00B15DE1" w:rsidRPr="004768D0">
        <w:rPr>
          <w:color w:val="000000" w:themeColor="text1"/>
          <w:sz w:val="20"/>
          <w:szCs w:val="20"/>
          <w:lang w:val="es-ES"/>
        </w:rPr>
        <w:t xml:space="preserve">de grupos de </w:t>
      </w:r>
      <w:r w:rsidR="00472BCC" w:rsidRPr="004768D0">
        <w:rPr>
          <w:color w:val="000000" w:themeColor="text1"/>
          <w:sz w:val="20"/>
          <w:szCs w:val="20"/>
          <w:lang w:val="es-ES"/>
        </w:rPr>
        <w:t>exterminio</w:t>
      </w:r>
      <w:r w:rsidR="00B15DE1" w:rsidRPr="004768D0">
        <w:rPr>
          <w:color w:val="000000" w:themeColor="text1"/>
          <w:sz w:val="20"/>
          <w:szCs w:val="20"/>
          <w:lang w:val="es-ES"/>
        </w:rPr>
        <w:t xml:space="preserve"> (</w:t>
      </w:r>
      <w:r w:rsidR="004744F0" w:rsidRPr="004768D0">
        <w:rPr>
          <w:color w:val="000000" w:themeColor="text1"/>
          <w:sz w:val="20"/>
          <w:szCs w:val="20"/>
          <w:lang w:val="es-ES"/>
        </w:rPr>
        <w:t>“</w:t>
      </w:r>
      <w:r w:rsidR="00B15DE1" w:rsidRPr="004768D0">
        <w:rPr>
          <w:color w:val="000000" w:themeColor="text1"/>
          <w:sz w:val="20"/>
          <w:szCs w:val="20"/>
          <w:lang w:val="es-ES"/>
        </w:rPr>
        <w:t>n</w:t>
      </w:r>
      <w:r w:rsidR="00472BCC">
        <w:rPr>
          <w:color w:val="000000" w:themeColor="text1"/>
          <w:sz w:val="20"/>
          <w:szCs w:val="20"/>
          <w:lang w:val="es-ES"/>
        </w:rPr>
        <w:t xml:space="preserve">inguna de las </w:t>
      </w:r>
      <w:r w:rsidR="00372008" w:rsidRPr="004768D0">
        <w:rPr>
          <w:color w:val="000000" w:themeColor="text1"/>
          <w:sz w:val="20"/>
          <w:szCs w:val="20"/>
          <w:lang w:val="es-ES"/>
        </w:rPr>
        <w:t>investigaciones policiales</w:t>
      </w:r>
      <w:r w:rsidR="00B15DE1" w:rsidRPr="004768D0">
        <w:rPr>
          <w:color w:val="000000" w:themeColor="text1"/>
          <w:sz w:val="20"/>
          <w:szCs w:val="20"/>
          <w:lang w:val="es-ES"/>
        </w:rPr>
        <w:t xml:space="preserve"> </w:t>
      </w:r>
      <w:r w:rsidR="00472BCC">
        <w:rPr>
          <w:color w:val="000000" w:themeColor="text1"/>
          <w:sz w:val="20"/>
          <w:szCs w:val="20"/>
          <w:lang w:val="es-ES"/>
        </w:rPr>
        <w:t xml:space="preserve">realizadas por </w:t>
      </w:r>
      <w:r w:rsidR="00CF044D" w:rsidRPr="004768D0">
        <w:rPr>
          <w:color w:val="000000" w:themeColor="text1"/>
          <w:sz w:val="20"/>
          <w:szCs w:val="20"/>
          <w:lang w:val="es-ES"/>
        </w:rPr>
        <w:t>las</w:t>
      </w:r>
      <w:r w:rsidR="00B15DE1" w:rsidRPr="004768D0">
        <w:rPr>
          <w:color w:val="000000" w:themeColor="text1"/>
          <w:sz w:val="20"/>
          <w:szCs w:val="20"/>
          <w:lang w:val="es-ES"/>
        </w:rPr>
        <w:t xml:space="preserve"> unidades distrita</w:t>
      </w:r>
      <w:r w:rsidR="00472BCC">
        <w:rPr>
          <w:color w:val="000000" w:themeColor="text1"/>
          <w:sz w:val="20"/>
          <w:szCs w:val="20"/>
          <w:lang w:val="es-ES"/>
        </w:rPr>
        <w:t>le</w:t>
      </w:r>
      <w:r w:rsidR="00B15DE1" w:rsidRPr="004768D0">
        <w:rPr>
          <w:color w:val="000000" w:themeColor="text1"/>
          <w:sz w:val="20"/>
          <w:szCs w:val="20"/>
          <w:lang w:val="es-ES"/>
        </w:rPr>
        <w:t>s loca</w:t>
      </w:r>
      <w:r w:rsidR="00472BCC">
        <w:rPr>
          <w:color w:val="000000" w:themeColor="text1"/>
          <w:sz w:val="20"/>
          <w:szCs w:val="20"/>
          <w:lang w:val="es-ES"/>
        </w:rPr>
        <w:t>le</w:t>
      </w:r>
      <w:r w:rsidR="00B15DE1" w:rsidRPr="004768D0">
        <w:rPr>
          <w:color w:val="000000" w:themeColor="text1"/>
          <w:sz w:val="20"/>
          <w:szCs w:val="20"/>
          <w:lang w:val="es-ES"/>
        </w:rPr>
        <w:t>s d</w:t>
      </w:r>
      <w:r w:rsidR="00472BCC">
        <w:rPr>
          <w:color w:val="000000" w:themeColor="text1"/>
          <w:sz w:val="20"/>
          <w:szCs w:val="20"/>
          <w:lang w:val="es-ES"/>
        </w:rPr>
        <w:t>e l</w:t>
      </w:r>
      <w:r w:rsidR="00B15DE1" w:rsidRPr="004768D0">
        <w:rPr>
          <w:color w:val="000000" w:themeColor="text1"/>
          <w:sz w:val="20"/>
          <w:szCs w:val="20"/>
          <w:lang w:val="es-ES"/>
        </w:rPr>
        <w:t xml:space="preserve">a </w:t>
      </w:r>
      <w:r w:rsidR="00372008" w:rsidRPr="004768D0">
        <w:rPr>
          <w:color w:val="000000" w:themeColor="text1"/>
          <w:sz w:val="20"/>
          <w:szCs w:val="20"/>
          <w:lang w:val="es-ES"/>
        </w:rPr>
        <w:t>Policía</w:t>
      </w:r>
      <w:r w:rsidR="00B15DE1" w:rsidRPr="004768D0">
        <w:rPr>
          <w:color w:val="000000" w:themeColor="text1"/>
          <w:sz w:val="20"/>
          <w:szCs w:val="20"/>
          <w:lang w:val="es-ES"/>
        </w:rPr>
        <w:t xml:space="preserve"> Civil de São Paulo </w:t>
      </w:r>
      <w:r w:rsidR="00472BCC">
        <w:rPr>
          <w:color w:val="000000" w:themeColor="text1"/>
          <w:sz w:val="20"/>
          <w:szCs w:val="20"/>
          <w:lang w:val="es-ES"/>
        </w:rPr>
        <w:t xml:space="preserve">se ciñó a las normas </w:t>
      </w:r>
      <w:r w:rsidR="00B15DE1" w:rsidRPr="004768D0">
        <w:rPr>
          <w:color w:val="000000" w:themeColor="text1"/>
          <w:sz w:val="20"/>
          <w:szCs w:val="20"/>
          <w:lang w:val="es-ES"/>
        </w:rPr>
        <w:t>mínim</w:t>
      </w:r>
      <w:r w:rsidR="00472BCC">
        <w:rPr>
          <w:color w:val="000000" w:themeColor="text1"/>
          <w:sz w:val="20"/>
          <w:szCs w:val="20"/>
          <w:lang w:val="es-ES"/>
        </w:rPr>
        <w:t>a</w:t>
      </w:r>
      <w:r w:rsidR="00B15DE1" w:rsidRPr="004768D0">
        <w:rPr>
          <w:color w:val="000000" w:themeColor="text1"/>
          <w:sz w:val="20"/>
          <w:szCs w:val="20"/>
          <w:lang w:val="es-ES"/>
        </w:rPr>
        <w:t>s de u</w:t>
      </w:r>
      <w:r w:rsidR="00472BCC">
        <w:rPr>
          <w:color w:val="000000" w:themeColor="text1"/>
          <w:sz w:val="20"/>
          <w:szCs w:val="20"/>
          <w:lang w:val="es-ES"/>
        </w:rPr>
        <w:t>n</w:t>
      </w:r>
      <w:r w:rsidR="00B15DE1" w:rsidRPr="004768D0">
        <w:rPr>
          <w:color w:val="000000" w:themeColor="text1"/>
          <w:sz w:val="20"/>
          <w:szCs w:val="20"/>
          <w:lang w:val="es-ES"/>
        </w:rPr>
        <w:t xml:space="preserve">a </w:t>
      </w:r>
      <w:r w:rsidR="00712D2E" w:rsidRPr="004768D0">
        <w:rPr>
          <w:color w:val="000000" w:themeColor="text1"/>
          <w:sz w:val="20"/>
          <w:szCs w:val="20"/>
          <w:lang w:val="es-ES"/>
        </w:rPr>
        <w:t>investigación</w:t>
      </w:r>
      <w:r w:rsidR="00B15DE1" w:rsidRPr="004768D0">
        <w:rPr>
          <w:color w:val="000000" w:themeColor="text1"/>
          <w:sz w:val="20"/>
          <w:szCs w:val="20"/>
          <w:lang w:val="es-ES"/>
        </w:rPr>
        <w:t xml:space="preserve"> de </w:t>
      </w:r>
      <w:r w:rsidR="00F154A0" w:rsidRPr="004768D0">
        <w:rPr>
          <w:color w:val="000000" w:themeColor="text1"/>
          <w:sz w:val="20"/>
          <w:szCs w:val="20"/>
          <w:lang w:val="es-ES"/>
        </w:rPr>
        <w:t>homicidio</w:t>
      </w:r>
      <w:r w:rsidR="00B15DE1" w:rsidRPr="004768D0">
        <w:rPr>
          <w:color w:val="000000" w:themeColor="text1"/>
          <w:sz w:val="20"/>
          <w:szCs w:val="20"/>
          <w:lang w:val="es-ES"/>
        </w:rPr>
        <w:t xml:space="preserve"> </w:t>
      </w:r>
      <w:r w:rsidR="00472BCC" w:rsidRPr="004768D0">
        <w:rPr>
          <w:color w:val="000000" w:themeColor="text1"/>
          <w:sz w:val="20"/>
          <w:szCs w:val="20"/>
          <w:lang w:val="es-ES"/>
        </w:rPr>
        <w:t>adecuada</w:t>
      </w:r>
      <w:r w:rsidR="00472BCC">
        <w:rPr>
          <w:color w:val="000000" w:themeColor="text1"/>
          <w:sz w:val="20"/>
          <w:szCs w:val="20"/>
          <w:lang w:val="es-ES"/>
        </w:rPr>
        <w:t xml:space="preserve"> y </w:t>
      </w:r>
      <w:r w:rsidR="00C61F27">
        <w:rPr>
          <w:color w:val="000000" w:themeColor="text1"/>
          <w:sz w:val="20"/>
          <w:szCs w:val="20"/>
          <w:lang w:val="es-ES"/>
        </w:rPr>
        <w:t xml:space="preserve">todas </w:t>
      </w:r>
      <w:r w:rsidR="00472BCC">
        <w:rPr>
          <w:color w:val="000000" w:themeColor="text1"/>
          <w:sz w:val="20"/>
          <w:szCs w:val="20"/>
          <w:lang w:val="es-ES"/>
        </w:rPr>
        <w:t xml:space="preserve">terminaron archivadas sin que se conociera la </w:t>
      </w:r>
      <w:r w:rsidR="00472BCC" w:rsidRPr="004768D0">
        <w:rPr>
          <w:color w:val="000000" w:themeColor="text1"/>
          <w:sz w:val="20"/>
          <w:szCs w:val="20"/>
          <w:lang w:val="es-ES"/>
        </w:rPr>
        <w:t>autoría</w:t>
      </w:r>
      <w:r w:rsidR="00B15DE1" w:rsidRPr="004768D0">
        <w:rPr>
          <w:color w:val="000000" w:themeColor="text1"/>
          <w:sz w:val="20"/>
          <w:szCs w:val="20"/>
          <w:lang w:val="es-ES"/>
        </w:rPr>
        <w:t xml:space="preserve"> d</w:t>
      </w:r>
      <w:r w:rsidR="00472BCC">
        <w:rPr>
          <w:color w:val="000000" w:themeColor="text1"/>
          <w:sz w:val="20"/>
          <w:szCs w:val="20"/>
          <w:lang w:val="es-ES"/>
        </w:rPr>
        <w:t>e l</w:t>
      </w:r>
      <w:r w:rsidR="00B15DE1" w:rsidRPr="004768D0">
        <w:rPr>
          <w:color w:val="000000" w:themeColor="text1"/>
          <w:sz w:val="20"/>
          <w:szCs w:val="20"/>
          <w:lang w:val="es-ES"/>
        </w:rPr>
        <w:t xml:space="preserve">os </w:t>
      </w:r>
      <w:r w:rsidR="00F154A0" w:rsidRPr="004768D0">
        <w:rPr>
          <w:color w:val="000000" w:themeColor="text1"/>
          <w:sz w:val="20"/>
          <w:szCs w:val="20"/>
          <w:lang w:val="es-ES"/>
        </w:rPr>
        <w:t>homicidio</w:t>
      </w:r>
      <w:r w:rsidR="00B15DE1" w:rsidRPr="004768D0">
        <w:rPr>
          <w:color w:val="000000" w:themeColor="text1"/>
          <w:sz w:val="20"/>
          <w:szCs w:val="20"/>
          <w:lang w:val="es-ES"/>
        </w:rPr>
        <w:t>s</w:t>
      </w:r>
      <w:r w:rsidR="004744F0" w:rsidRPr="004768D0">
        <w:rPr>
          <w:color w:val="000000" w:themeColor="text1"/>
          <w:sz w:val="20"/>
          <w:szCs w:val="20"/>
          <w:lang w:val="es-ES"/>
        </w:rPr>
        <w:t>”</w:t>
      </w:r>
      <w:r w:rsidR="00B15DE1" w:rsidRPr="004768D0">
        <w:rPr>
          <w:color w:val="000000" w:themeColor="text1"/>
          <w:sz w:val="20"/>
          <w:szCs w:val="20"/>
          <w:lang w:val="es-ES"/>
        </w:rPr>
        <w:t>)</w:t>
      </w:r>
      <w:r w:rsidR="00C61F27">
        <w:rPr>
          <w:color w:val="000000" w:themeColor="text1"/>
          <w:sz w:val="20"/>
          <w:szCs w:val="20"/>
          <w:lang w:val="es-ES"/>
        </w:rPr>
        <w:t>, y</w:t>
      </w:r>
      <w:r w:rsidR="00B15DE1" w:rsidRPr="004768D0">
        <w:rPr>
          <w:color w:val="000000" w:themeColor="text1"/>
          <w:sz w:val="20"/>
          <w:szCs w:val="20"/>
          <w:lang w:val="es-ES"/>
        </w:rPr>
        <w:t xml:space="preserve"> iv) </w:t>
      </w:r>
      <w:r w:rsidR="00472BCC">
        <w:rPr>
          <w:color w:val="000000" w:themeColor="text1"/>
          <w:sz w:val="20"/>
          <w:szCs w:val="20"/>
          <w:lang w:val="es-ES"/>
        </w:rPr>
        <w:t>l</w:t>
      </w:r>
      <w:r w:rsidR="00B15DE1" w:rsidRPr="004768D0">
        <w:rPr>
          <w:color w:val="000000" w:themeColor="text1"/>
          <w:sz w:val="20"/>
          <w:szCs w:val="20"/>
          <w:lang w:val="es-ES"/>
        </w:rPr>
        <w:t>as fal</w:t>
      </w:r>
      <w:r w:rsidR="00472BCC">
        <w:rPr>
          <w:color w:val="000000" w:themeColor="text1"/>
          <w:sz w:val="20"/>
          <w:szCs w:val="20"/>
          <w:lang w:val="es-ES"/>
        </w:rPr>
        <w:t>l</w:t>
      </w:r>
      <w:r w:rsidR="00B15DE1" w:rsidRPr="004768D0">
        <w:rPr>
          <w:color w:val="000000" w:themeColor="text1"/>
          <w:sz w:val="20"/>
          <w:szCs w:val="20"/>
          <w:lang w:val="es-ES"/>
        </w:rPr>
        <w:t xml:space="preserve">as de </w:t>
      </w:r>
      <w:r w:rsidR="00472BCC">
        <w:rPr>
          <w:color w:val="000000" w:themeColor="text1"/>
          <w:sz w:val="20"/>
          <w:szCs w:val="20"/>
          <w:lang w:val="es-ES"/>
        </w:rPr>
        <w:t xml:space="preserve">la </w:t>
      </w:r>
      <w:r w:rsidR="00712D2E" w:rsidRPr="004768D0">
        <w:rPr>
          <w:color w:val="000000" w:themeColor="text1"/>
          <w:sz w:val="20"/>
          <w:szCs w:val="20"/>
          <w:lang w:val="es-ES"/>
        </w:rPr>
        <w:t>investigación</w:t>
      </w:r>
      <w:r w:rsidR="00B15DE1" w:rsidRPr="004768D0">
        <w:rPr>
          <w:color w:val="000000" w:themeColor="text1"/>
          <w:sz w:val="20"/>
          <w:szCs w:val="20"/>
          <w:lang w:val="es-ES"/>
        </w:rPr>
        <w:t xml:space="preserve"> est</w:t>
      </w:r>
      <w:r w:rsidR="00472BCC">
        <w:rPr>
          <w:color w:val="000000" w:themeColor="text1"/>
          <w:sz w:val="20"/>
          <w:szCs w:val="20"/>
          <w:lang w:val="es-ES"/>
        </w:rPr>
        <w:t xml:space="preserve">án vinculadas a un </w:t>
      </w:r>
      <w:r w:rsidR="00B15DE1" w:rsidRPr="004768D0">
        <w:rPr>
          <w:color w:val="000000" w:themeColor="text1"/>
          <w:sz w:val="20"/>
          <w:szCs w:val="20"/>
          <w:lang w:val="es-ES"/>
        </w:rPr>
        <w:t xml:space="preserve">contexto de </w:t>
      </w:r>
      <w:r w:rsidR="000C0AC4" w:rsidRPr="004768D0">
        <w:rPr>
          <w:color w:val="000000" w:themeColor="text1"/>
          <w:sz w:val="20"/>
          <w:szCs w:val="20"/>
          <w:lang w:val="es-ES"/>
        </w:rPr>
        <w:t>impunidad</w:t>
      </w:r>
      <w:r w:rsidR="00B15DE1" w:rsidRPr="004768D0">
        <w:rPr>
          <w:color w:val="000000" w:themeColor="text1"/>
          <w:sz w:val="20"/>
          <w:szCs w:val="20"/>
          <w:lang w:val="es-ES"/>
        </w:rPr>
        <w:t xml:space="preserve"> </w:t>
      </w:r>
      <w:r w:rsidR="00472BCC">
        <w:rPr>
          <w:color w:val="000000" w:themeColor="text1"/>
          <w:sz w:val="20"/>
          <w:szCs w:val="20"/>
          <w:lang w:val="es-ES"/>
        </w:rPr>
        <w:t>de los agentes de policía que cometen</w:t>
      </w:r>
      <w:r w:rsidR="00B15DE1" w:rsidRPr="004768D0">
        <w:rPr>
          <w:color w:val="000000" w:themeColor="text1"/>
          <w:sz w:val="20"/>
          <w:szCs w:val="20"/>
          <w:lang w:val="es-ES"/>
        </w:rPr>
        <w:t xml:space="preserve"> </w:t>
      </w:r>
      <w:r w:rsidR="00F154A0" w:rsidRPr="004768D0">
        <w:rPr>
          <w:color w:val="000000" w:themeColor="text1"/>
          <w:sz w:val="20"/>
          <w:szCs w:val="20"/>
          <w:lang w:val="es-ES"/>
        </w:rPr>
        <w:t>homicidio</w:t>
      </w:r>
      <w:r w:rsidR="00B15DE1" w:rsidRPr="004768D0">
        <w:rPr>
          <w:color w:val="000000" w:themeColor="text1"/>
          <w:sz w:val="20"/>
          <w:szCs w:val="20"/>
          <w:lang w:val="es-ES"/>
        </w:rPr>
        <w:t xml:space="preserve">s, </w:t>
      </w:r>
      <w:r w:rsidR="00472BCC">
        <w:rPr>
          <w:color w:val="000000" w:themeColor="text1"/>
          <w:sz w:val="20"/>
          <w:szCs w:val="20"/>
          <w:lang w:val="es-ES"/>
        </w:rPr>
        <w:t xml:space="preserve">caracterizado también por altas tasas </w:t>
      </w:r>
      <w:r w:rsidR="00B15DE1" w:rsidRPr="004768D0">
        <w:rPr>
          <w:color w:val="000000" w:themeColor="text1"/>
          <w:sz w:val="20"/>
          <w:szCs w:val="20"/>
          <w:lang w:val="es-ES"/>
        </w:rPr>
        <w:t xml:space="preserve">de </w:t>
      </w:r>
      <w:r w:rsidR="003D19EA" w:rsidRPr="004768D0">
        <w:rPr>
          <w:color w:val="000000" w:themeColor="text1"/>
          <w:sz w:val="20"/>
          <w:szCs w:val="20"/>
          <w:lang w:val="es-ES"/>
        </w:rPr>
        <w:t>archivamiento</w:t>
      </w:r>
      <w:r w:rsidR="00B15DE1" w:rsidRPr="004768D0">
        <w:rPr>
          <w:color w:val="000000" w:themeColor="text1"/>
          <w:sz w:val="20"/>
          <w:szCs w:val="20"/>
          <w:lang w:val="es-ES"/>
        </w:rPr>
        <w:t xml:space="preserve"> </w:t>
      </w:r>
      <w:r w:rsidR="00472BCC">
        <w:rPr>
          <w:color w:val="000000" w:themeColor="text1"/>
          <w:sz w:val="20"/>
          <w:szCs w:val="20"/>
          <w:lang w:val="es-ES"/>
        </w:rPr>
        <w:t>de l</w:t>
      </w:r>
      <w:r w:rsidR="00B15DE1" w:rsidRPr="004768D0">
        <w:rPr>
          <w:color w:val="000000" w:themeColor="text1"/>
          <w:sz w:val="20"/>
          <w:szCs w:val="20"/>
          <w:lang w:val="es-ES"/>
        </w:rPr>
        <w:t xml:space="preserve">os casos </w:t>
      </w:r>
      <w:r w:rsidR="00472BCC">
        <w:rPr>
          <w:color w:val="000000" w:themeColor="text1"/>
          <w:sz w:val="20"/>
          <w:szCs w:val="20"/>
          <w:lang w:val="es-ES"/>
        </w:rPr>
        <w:t xml:space="preserve">calificados </w:t>
      </w:r>
      <w:r w:rsidR="00B15DE1" w:rsidRPr="004768D0">
        <w:rPr>
          <w:color w:val="000000" w:themeColor="text1"/>
          <w:sz w:val="20"/>
          <w:szCs w:val="20"/>
          <w:lang w:val="es-ES"/>
        </w:rPr>
        <w:t xml:space="preserve">como </w:t>
      </w:r>
      <w:r w:rsidR="004744F0" w:rsidRPr="004768D0">
        <w:rPr>
          <w:color w:val="000000" w:themeColor="text1"/>
          <w:sz w:val="20"/>
          <w:szCs w:val="20"/>
          <w:lang w:val="es-ES"/>
        </w:rPr>
        <w:t>“</w:t>
      </w:r>
      <w:r w:rsidR="00B15DE1" w:rsidRPr="004768D0">
        <w:rPr>
          <w:color w:val="000000" w:themeColor="text1"/>
          <w:sz w:val="20"/>
          <w:szCs w:val="20"/>
          <w:lang w:val="es-ES"/>
        </w:rPr>
        <w:t xml:space="preserve">autos de </w:t>
      </w:r>
      <w:r w:rsidR="00472BCC" w:rsidRPr="004768D0">
        <w:rPr>
          <w:color w:val="000000" w:themeColor="text1"/>
          <w:sz w:val="20"/>
          <w:szCs w:val="20"/>
          <w:lang w:val="es-ES"/>
        </w:rPr>
        <w:t>resistencia</w:t>
      </w:r>
      <w:r w:rsidR="004744F0" w:rsidRPr="004768D0">
        <w:rPr>
          <w:color w:val="000000" w:themeColor="text1"/>
          <w:sz w:val="20"/>
          <w:szCs w:val="20"/>
          <w:lang w:val="es-ES"/>
        </w:rPr>
        <w:t>”</w:t>
      </w:r>
      <w:r w:rsidR="00B15DE1" w:rsidRPr="004768D0">
        <w:rPr>
          <w:color w:val="000000" w:themeColor="text1"/>
          <w:sz w:val="20"/>
          <w:szCs w:val="20"/>
          <w:lang w:val="es-ES"/>
        </w:rPr>
        <w:t xml:space="preserve"> p</w:t>
      </w:r>
      <w:r w:rsidR="00472BCC">
        <w:rPr>
          <w:color w:val="000000" w:themeColor="text1"/>
          <w:sz w:val="20"/>
          <w:szCs w:val="20"/>
          <w:lang w:val="es-ES"/>
        </w:rPr>
        <w:t>or la policía</w:t>
      </w:r>
      <w:r w:rsidR="00B15DE1" w:rsidRPr="004768D0">
        <w:rPr>
          <w:color w:val="000000" w:themeColor="text1"/>
          <w:sz w:val="20"/>
          <w:szCs w:val="20"/>
          <w:lang w:val="es-ES"/>
        </w:rPr>
        <w:t>.</w:t>
      </w:r>
    </w:p>
    <w:p w14:paraId="7B787550" w14:textId="77777777" w:rsidR="00B15DE1" w:rsidRPr="004768D0" w:rsidRDefault="00B15DE1" w:rsidP="00B15DE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p>
    <w:p w14:paraId="57397FD6" w14:textId="77777777" w:rsidR="00945902" w:rsidRPr="004768D0" w:rsidRDefault="00A07DD9" w:rsidP="00A104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r w:rsidRPr="004768D0">
        <w:rPr>
          <w:color w:val="000000" w:themeColor="text1"/>
          <w:sz w:val="20"/>
          <w:szCs w:val="20"/>
          <w:lang w:val="es-ES"/>
        </w:rPr>
        <w:t>La parte peticionaria</w:t>
      </w:r>
      <w:r w:rsidR="00B15DE1" w:rsidRPr="004768D0">
        <w:rPr>
          <w:color w:val="000000" w:themeColor="text1"/>
          <w:sz w:val="20"/>
          <w:szCs w:val="20"/>
          <w:lang w:val="es-ES"/>
        </w:rPr>
        <w:t xml:space="preserve"> </w:t>
      </w:r>
      <w:r w:rsidR="00C61F27">
        <w:rPr>
          <w:color w:val="000000" w:themeColor="text1"/>
          <w:sz w:val="20"/>
          <w:szCs w:val="20"/>
          <w:lang w:val="es-ES"/>
        </w:rPr>
        <w:t>señal</w:t>
      </w:r>
      <w:r w:rsidR="00472BCC">
        <w:rPr>
          <w:color w:val="000000" w:themeColor="text1"/>
          <w:sz w:val="20"/>
          <w:szCs w:val="20"/>
          <w:lang w:val="es-ES"/>
        </w:rPr>
        <w:t xml:space="preserve">ó </w:t>
      </w:r>
      <w:r w:rsidR="00B15DE1" w:rsidRPr="004768D0">
        <w:rPr>
          <w:color w:val="000000" w:themeColor="text1"/>
          <w:sz w:val="20"/>
          <w:szCs w:val="20"/>
          <w:lang w:val="es-ES"/>
        </w:rPr>
        <w:t xml:space="preserve">que i) </w:t>
      </w:r>
      <w:r w:rsidR="00472BCC">
        <w:rPr>
          <w:color w:val="000000" w:themeColor="text1"/>
          <w:sz w:val="20"/>
          <w:szCs w:val="20"/>
          <w:lang w:val="es-ES"/>
        </w:rPr>
        <w:t xml:space="preserve">la acción </w:t>
      </w:r>
      <w:r w:rsidR="00B15DE1" w:rsidRPr="004768D0">
        <w:rPr>
          <w:color w:val="000000" w:themeColor="text1"/>
          <w:sz w:val="20"/>
          <w:szCs w:val="20"/>
          <w:lang w:val="es-ES"/>
        </w:rPr>
        <w:t xml:space="preserve">civil pública (ACP)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00B15DE1" w:rsidRPr="004768D0">
        <w:rPr>
          <w:color w:val="000000" w:themeColor="text1"/>
          <w:sz w:val="20"/>
          <w:szCs w:val="20"/>
          <w:lang w:val="es-ES"/>
        </w:rPr>
        <w:t xml:space="preserve"> 1062551-10.2018.8.26.0053, </w:t>
      </w:r>
      <w:r w:rsidR="00472BCC" w:rsidRPr="004768D0">
        <w:rPr>
          <w:color w:val="000000" w:themeColor="text1"/>
          <w:sz w:val="20"/>
          <w:szCs w:val="20"/>
          <w:lang w:val="es-ES"/>
        </w:rPr>
        <w:t>también</w:t>
      </w:r>
      <w:r w:rsidR="00B15DE1" w:rsidRPr="004768D0">
        <w:rPr>
          <w:color w:val="000000" w:themeColor="text1"/>
          <w:sz w:val="20"/>
          <w:szCs w:val="20"/>
          <w:lang w:val="es-ES"/>
        </w:rPr>
        <w:t xml:space="preserve"> mencionada </w:t>
      </w:r>
      <w:r w:rsidR="00472BCC">
        <w:rPr>
          <w:color w:val="000000" w:themeColor="text1"/>
          <w:sz w:val="20"/>
          <w:szCs w:val="20"/>
          <w:lang w:val="es-ES"/>
        </w:rPr>
        <w:t>por el</w:t>
      </w:r>
      <w:r w:rsidR="003C58C5" w:rsidRPr="004768D0">
        <w:rPr>
          <w:color w:val="000000" w:themeColor="text1"/>
          <w:sz w:val="20"/>
          <w:szCs w:val="20"/>
          <w:lang w:val="es-ES"/>
        </w:rPr>
        <w:t xml:space="preserve"> Estado</w:t>
      </w:r>
      <w:r w:rsidR="00B15DE1" w:rsidRPr="004768D0">
        <w:rPr>
          <w:color w:val="000000" w:themeColor="text1"/>
          <w:sz w:val="20"/>
          <w:szCs w:val="20"/>
          <w:lang w:val="es-ES"/>
        </w:rPr>
        <w:t xml:space="preserve">, </w:t>
      </w:r>
      <w:r w:rsidR="00472BCC">
        <w:rPr>
          <w:color w:val="000000" w:themeColor="text1"/>
          <w:sz w:val="20"/>
          <w:szCs w:val="20"/>
          <w:lang w:val="es-ES"/>
        </w:rPr>
        <w:t xml:space="preserve">fue interpuesta recién el </w:t>
      </w:r>
      <w:r w:rsidR="00B15DE1" w:rsidRPr="004768D0">
        <w:rPr>
          <w:color w:val="000000" w:themeColor="text1"/>
          <w:sz w:val="20"/>
          <w:szCs w:val="20"/>
          <w:lang w:val="es-ES"/>
        </w:rPr>
        <w:t xml:space="preserve">14 </w:t>
      </w:r>
      <w:r w:rsidR="00174FDD" w:rsidRPr="004768D0">
        <w:rPr>
          <w:color w:val="000000" w:themeColor="text1"/>
          <w:sz w:val="20"/>
          <w:szCs w:val="20"/>
          <w:lang w:val="es-ES"/>
        </w:rPr>
        <w:t>diciembre</w:t>
      </w:r>
      <w:r w:rsidR="00B15DE1" w:rsidRPr="004768D0">
        <w:rPr>
          <w:color w:val="000000" w:themeColor="text1"/>
          <w:sz w:val="20"/>
          <w:szCs w:val="20"/>
          <w:lang w:val="es-ES"/>
        </w:rPr>
        <w:t xml:space="preserve"> de 2018, </w:t>
      </w:r>
      <w:r w:rsidR="00472BCC">
        <w:rPr>
          <w:color w:val="000000" w:themeColor="text1"/>
          <w:sz w:val="20"/>
          <w:szCs w:val="20"/>
          <w:lang w:val="es-ES"/>
        </w:rPr>
        <w:t>es decir</w:t>
      </w:r>
      <w:r w:rsidR="00B15DE1" w:rsidRPr="004768D0">
        <w:rPr>
          <w:color w:val="000000" w:themeColor="text1"/>
          <w:sz w:val="20"/>
          <w:szCs w:val="20"/>
          <w:lang w:val="es-ES"/>
        </w:rPr>
        <w:t>, m</w:t>
      </w:r>
      <w:r w:rsidR="00472BCC">
        <w:rPr>
          <w:color w:val="000000" w:themeColor="text1"/>
          <w:sz w:val="20"/>
          <w:szCs w:val="20"/>
          <w:lang w:val="es-ES"/>
        </w:rPr>
        <w:t xml:space="preserve">ás </w:t>
      </w:r>
      <w:r w:rsidR="00B15DE1" w:rsidRPr="004768D0">
        <w:rPr>
          <w:color w:val="000000" w:themeColor="text1"/>
          <w:sz w:val="20"/>
          <w:szCs w:val="20"/>
          <w:lang w:val="es-ES"/>
        </w:rPr>
        <w:t xml:space="preserve">de 12 </w:t>
      </w:r>
      <w:r w:rsidR="000C0AC4" w:rsidRPr="004768D0">
        <w:rPr>
          <w:color w:val="000000" w:themeColor="text1"/>
          <w:sz w:val="20"/>
          <w:szCs w:val="20"/>
          <w:lang w:val="es-ES"/>
        </w:rPr>
        <w:t>años</w:t>
      </w:r>
      <w:r w:rsidR="00B15DE1" w:rsidRPr="004768D0">
        <w:rPr>
          <w:color w:val="000000" w:themeColor="text1"/>
          <w:sz w:val="20"/>
          <w:szCs w:val="20"/>
          <w:lang w:val="es-ES"/>
        </w:rPr>
        <w:t xml:space="preserve"> </w:t>
      </w:r>
      <w:r w:rsidR="00472BCC">
        <w:rPr>
          <w:color w:val="000000" w:themeColor="text1"/>
          <w:sz w:val="20"/>
          <w:szCs w:val="20"/>
          <w:lang w:val="es-ES"/>
        </w:rPr>
        <w:t>después de l</w:t>
      </w:r>
      <w:r w:rsidR="00B15DE1" w:rsidRPr="004768D0">
        <w:rPr>
          <w:color w:val="000000" w:themeColor="text1"/>
          <w:sz w:val="20"/>
          <w:szCs w:val="20"/>
          <w:lang w:val="es-ES"/>
        </w:rPr>
        <w:t xml:space="preserve">os </w:t>
      </w:r>
      <w:r w:rsidR="000C0AC4" w:rsidRPr="004768D0">
        <w:rPr>
          <w:color w:val="000000" w:themeColor="text1"/>
          <w:sz w:val="20"/>
          <w:szCs w:val="20"/>
          <w:lang w:val="es-ES"/>
        </w:rPr>
        <w:t>hechos</w:t>
      </w:r>
      <w:r w:rsidR="00B15DE1" w:rsidRPr="004768D0">
        <w:rPr>
          <w:color w:val="000000" w:themeColor="text1"/>
          <w:sz w:val="20"/>
          <w:szCs w:val="20"/>
          <w:lang w:val="es-ES"/>
        </w:rPr>
        <w:t xml:space="preserve">; ii) </w:t>
      </w:r>
      <w:r w:rsidR="00472BCC" w:rsidRPr="004768D0">
        <w:rPr>
          <w:color w:val="000000" w:themeColor="text1"/>
          <w:sz w:val="20"/>
          <w:szCs w:val="20"/>
          <w:lang w:val="es-ES"/>
        </w:rPr>
        <w:t>en</w:t>
      </w:r>
      <w:r w:rsidR="00B15DE1" w:rsidRPr="004768D0">
        <w:rPr>
          <w:color w:val="000000" w:themeColor="text1"/>
          <w:sz w:val="20"/>
          <w:szCs w:val="20"/>
          <w:lang w:val="es-ES"/>
        </w:rPr>
        <w:t xml:space="preserve"> </w:t>
      </w:r>
      <w:r w:rsidR="00472BCC" w:rsidRPr="004768D0">
        <w:rPr>
          <w:color w:val="000000" w:themeColor="text1"/>
          <w:sz w:val="20"/>
          <w:szCs w:val="20"/>
          <w:lang w:val="es-ES"/>
        </w:rPr>
        <w:t>virtud</w:t>
      </w:r>
      <w:r w:rsidR="00B15DE1" w:rsidRPr="004768D0">
        <w:rPr>
          <w:color w:val="000000" w:themeColor="text1"/>
          <w:sz w:val="20"/>
          <w:szCs w:val="20"/>
          <w:lang w:val="es-ES"/>
        </w:rPr>
        <w:t xml:space="preserve"> de</w:t>
      </w:r>
      <w:r w:rsidR="00472BCC">
        <w:rPr>
          <w:color w:val="000000" w:themeColor="text1"/>
          <w:sz w:val="20"/>
          <w:szCs w:val="20"/>
          <w:lang w:val="es-ES"/>
        </w:rPr>
        <w:t xml:space="preserve"> e</w:t>
      </w:r>
      <w:r w:rsidR="00B15DE1" w:rsidRPr="004768D0">
        <w:rPr>
          <w:color w:val="000000" w:themeColor="text1"/>
          <w:sz w:val="20"/>
          <w:szCs w:val="20"/>
          <w:lang w:val="es-ES"/>
        </w:rPr>
        <w:t xml:space="preserve">sa demora, </w:t>
      </w:r>
      <w:r w:rsidR="00472BCC">
        <w:rPr>
          <w:color w:val="000000" w:themeColor="text1"/>
          <w:sz w:val="20"/>
          <w:szCs w:val="20"/>
          <w:lang w:val="es-ES"/>
        </w:rPr>
        <w:t xml:space="preserve">el juez de primera instancia juzgó </w:t>
      </w:r>
      <w:r w:rsidR="00B15DE1" w:rsidRPr="004768D0">
        <w:rPr>
          <w:color w:val="000000" w:themeColor="text1"/>
          <w:sz w:val="20"/>
          <w:szCs w:val="20"/>
          <w:lang w:val="es-ES"/>
        </w:rPr>
        <w:t xml:space="preserve">improcedente </w:t>
      </w:r>
      <w:r w:rsidR="00472BCC">
        <w:rPr>
          <w:color w:val="000000" w:themeColor="text1"/>
          <w:sz w:val="20"/>
          <w:szCs w:val="20"/>
          <w:lang w:val="es-ES"/>
        </w:rPr>
        <w:t xml:space="preserve">la acción en </w:t>
      </w:r>
      <w:r w:rsidR="00346878" w:rsidRPr="004768D0">
        <w:rPr>
          <w:color w:val="000000" w:themeColor="text1"/>
          <w:sz w:val="20"/>
          <w:szCs w:val="20"/>
          <w:lang w:val="es-ES"/>
        </w:rPr>
        <w:t>junio</w:t>
      </w:r>
      <w:r w:rsidR="00B15DE1" w:rsidRPr="004768D0">
        <w:rPr>
          <w:color w:val="000000" w:themeColor="text1"/>
          <w:sz w:val="20"/>
          <w:szCs w:val="20"/>
          <w:lang w:val="es-ES"/>
        </w:rPr>
        <w:t xml:space="preserve"> de 2019</w:t>
      </w:r>
      <w:r w:rsidR="006D7C17">
        <w:rPr>
          <w:color w:val="000000" w:themeColor="text1"/>
          <w:sz w:val="20"/>
          <w:szCs w:val="20"/>
          <w:lang w:val="es-ES"/>
        </w:rPr>
        <w:t xml:space="preserve"> y señaló que se debería haber </w:t>
      </w:r>
      <w:r w:rsidR="00B15DE1" w:rsidRPr="004768D0">
        <w:rPr>
          <w:color w:val="000000" w:themeColor="text1"/>
          <w:sz w:val="20"/>
          <w:szCs w:val="20"/>
          <w:lang w:val="es-ES"/>
        </w:rPr>
        <w:t xml:space="preserve">observado </w:t>
      </w:r>
      <w:r w:rsidR="006D7C17">
        <w:rPr>
          <w:color w:val="000000" w:themeColor="text1"/>
          <w:sz w:val="20"/>
          <w:szCs w:val="20"/>
          <w:lang w:val="es-ES"/>
        </w:rPr>
        <w:t>el plazo de prescripción</w:t>
      </w:r>
      <w:r w:rsidR="00B15DE1" w:rsidRPr="004768D0">
        <w:rPr>
          <w:color w:val="000000" w:themeColor="text1"/>
          <w:sz w:val="20"/>
          <w:szCs w:val="20"/>
          <w:lang w:val="es-ES"/>
        </w:rPr>
        <w:t xml:space="preserve"> de </w:t>
      </w:r>
      <w:r w:rsidR="00C61F27">
        <w:rPr>
          <w:color w:val="000000" w:themeColor="text1"/>
          <w:sz w:val="20"/>
          <w:szCs w:val="20"/>
          <w:lang w:val="es-ES"/>
        </w:rPr>
        <w:t>cinco</w:t>
      </w:r>
      <w:r w:rsidR="00B15DE1" w:rsidRPr="004768D0">
        <w:rPr>
          <w:color w:val="000000" w:themeColor="text1"/>
          <w:sz w:val="20"/>
          <w:szCs w:val="20"/>
          <w:lang w:val="es-ES"/>
        </w:rPr>
        <w:t xml:space="preserve"> </w:t>
      </w:r>
      <w:r w:rsidR="000C0AC4" w:rsidRPr="004768D0">
        <w:rPr>
          <w:color w:val="000000" w:themeColor="text1"/>
          <w:sz w:val="20"/>
          <w:szCs w:val="20"/>
          <w:lang w:val="es-ES"/>
        </w:rPr>
        <w:t>años</w:t>
      </w:r>
      <w:r w:rsidR="00B15DE1" w:rsidRPr="004768D0">
        <w:rPr>
          <w:color w:val="000000" w:themeColor="text1"/>
          <w:sz w:val="20"/>
          <w:szCs w:val="20"/>
          <w:lang w:val="es-ES"/>
        </w:rPr>
        <w:t xml:space="preserve"> previsto </w:t>
      </w:r>
      <w:r w:rsidR="006D7C17">
        <w:rPr>
          <w:color w:val="000000" w:themeColor="text1"/>
          <w:sz w:val="20"/>
          <w:szCs w:val="20"/>
          <w:lang w:val="es-ES"/>
        </w:rPr>
        <w:t>en el artículo 1</w:t>
      </w:r>
      <w:r w:rsidR="00B15DE1" w:rsidRPr="004768D0">
        <w:rPr>
          <w:color w:val="000000" w:themeColor="text1"/>
          <w:sz w:val="20"/>
          <w:szCs w:val="20"/>
          <w:lang w:val="es-ES"/>
        </w:rPr>
        <w:t xml:space="preserve"> d</w:t>
      </w:r>
      <w:r w:rsidR="006D7C17">
        <w:rPr>
          <w:color w:val="000000" w:themeColor="text1"/>
          <w:sz w:val="20"/>
          <w:szCs w:val="20"/>
          <w:lang w:val="es-ES"/>
        </w:rPr>
        <w:t>el</w:t>
      </w:r>
      <w:r w:rsidR="00B15DE1" w:rsidRPr="004768D0">
        <w:rPr>
          <w:color w:val="000000" w:themeColor="text1"/>
          <w:sz w:val="20"/>
          <w:szCs w:val="20"/>
          <w:lang w:val="es-ES"/>
        </w:rPr>
        <w:t xml:space="preserve"> Decreto </w:t>
      </w:r>
      <w:proofErr w:type="spellStart"/>
      <w:r w:rsidR="009615E2" w:rsidRPr="004768D0">
        <w:rPr>
          <w:rFonts w:asciiTheme="majorHAnsi" w:hAnsiTheme="majorHAnsi"/>
          <w:bCs/>
          <w:color w:val="000000" w:themeColor="text1"/>
          <w:sz w:val="20"/>
          <w:szCs w:val="20"/>
          <w:lang w:val="es-ES"/>
        </w:rPr>
        <w:t>N.</w:t>
      </w:r>
      <w:r w:rsidR="009615E2" w:rsidRPr="004768D0">
        <w:rPr>
          <w:rFonts w:asciiTheme="majorHAnsi" w:hAnsiTheme="majorHAnsi"/>
          <w:bCs/>
          <w:color w:val="000000" w:themeColor="text1"/>
          <w:sz w:val="20"/>
          <w:szCs w:val="20"/>
          <w:vertAlign w:val="superscript"/>
          <w:lang w:val="es-ES"/>
        </w:rPr>
        <w:t>o</w:t>
      </w:r>
      <w:proofErr w:type="spellEnd"/>
      <w:r w:rsidR="00B15DE1" w:rsidRPr="004768D0">
        <w:rPr>
          <w:color w:val="000000" w:themeColor="text1"/>
          <w:sz w:val="20"/>
          <w:szCs w:val="20"/>
          <w:lang w:val="es-ES"/>
        </w:rPr>
        <w:t xml:space="preserve"> 20.910/1932; iii) </w:t>
      </w:r>
      <w:r w:rsidR="006D7C17">
        <w:rPr>
          <w:color w:val="000000" w:themeColor="text1"/>
          <w:sz w:val="20"/>
          <w:szCs w:val="20"/>
          <w:lang w:val="es-ES"/>
        </w:rPr>
        <w:t>e</w:t>
      </w:r>
      <w:r w:rsidR="00B15DE1" w:rsidRPr="004768D0">
        <w:rPr>
          <w:color w:val="000000" w:themeColor="text1"/>
          <w:sz w:val="20"/>
          <w:szCs w:val="20"/>
          <w:lang w:val="es-ES"/>
        </w:rPr>
        <w:t>n</w:t>
      </w:r>
      <w:r w:rsidR="006D7C17">
        <w:rPr>
          <w:color w:val="000000" w:themeColor="text1"/>
          <w:sz w:val="20"/>
          <w:szCs w:val="20"/>
          <w:lang w:val="es-ES"/>
        </w:rPr>
        <w:t xml:space="preserve"> el</w:t>
      </w:r>
      <w:r w:rsidR="00B15DE1" w:rsidRPr="004768D0">
        <w:rPr>
          <w:color w:val="000000" w:themeColor="text1"/>
          <w:sz w:val="20"/>
          <w:szCs w:val="20"/>
          <w:lang w:val="es-ES"/>
        </w:rPr>
        <w:t xml:space="preserve"> </w:t>
      </w:r>
      <w:r w:rsidR="006D7C17" w:rsidRPr="004768D0">
        <w:rPr>
          <w:color w:val="000000" w:themeColor="text1"/>
          <w:sz w:val="20"/>
          <w:szCs w:val="20"/>
          <w:lang w:val="es-ES"/>
        </w:rPr>
        <w:t>ámbito</w:t>
      </w:r>
      <w:r w:rsidR="00B15DE1" w:rsidRPr="004768D0">
        <w:rPr>
          <w:color w:val="000000" w:themeColor="text1"/>
          <w:sz w:val="20"/>
          <w:szCs w:val="20"/>
          <w:lang w:val="es-ES"/>
        </w:rPr>
        <w:t xml:space="preserve"> de</w:t>
      </w:r>
      <w:r w:rsidR="006D7C17">
        <w:rPr>
          <w:color w:val="000000" w:themeColor="text1"/>
          <w:sz w:val="20"/>
          <w:szCs w:val="20"/>
          <w:lang w:val="es-ES"/>
        </w:rPr>
        <w:t xml:space="preserve"> e</w:t>
      </w:r>
      <w:r w:rsidR="00B15DE1" w:rsidRPr="004768D0">
        <w:rPr>
          <w:color w:val="000000" w:themeColor="text1"/>
          <w:sz w:val="20"/>
          <w:szCs w:val="20"/>
          <w:lang w:val="es-ES"/>
        </w:rPr>
        <w:t>sa m</w:t>
      </w:r>
      <w:r w:rsidR="006D7C17">
        <w:rPr>
          <w:color w:val="000000" w:themeColor="text1"/>
          <w:sz w:val="20"/>
          <w:szCs w:val="20"/>
          <w:lang w:val="es-ES"/>
        </w:rPr>
        <w:t>i</w:t>
      </w:r>
      <w:r w:rsidR="00B15DE1" w:rsidRPr="004768D0">
        <w:rPr>
          <w:color w:val="000000" w:themeColor="text1"/>
          <w:sz w:val="20"/>
          <w:szCs w:val="20"/>
          <w:lang w:val="es-ES"/>
        </w:rPr>
        <w:t>sma a</w:t>
      </w:r>
      <w:r w:rsidR="006D7C17">
        <w:rPr>
          <w:color w:val="000000" w:themeColor="text1"/>
          <w:sz w:val="20"/>
          <w:szCs w:val="20"/>
          <w:lang w:val="es-ES"/>
        </w:rPr>
        <w:t>cción</w:t>
      </w:r>
      <w:r w:rsidR="00B15DE1" w:rsidRPr="004768D0">
        <w:rPr>
          <w:color w:val="000000" w:themeColor="text1"/>
          <w:sz w:val="20"/>
          <w:szCs w:val="20"/>
          <w:lang w:val="es-ES"/>
        </w:rPr>
        <w:t xml:space="preserve">, </w:t>
      </w:r>
      <w:r w:rsidR="006D7C17" w:rsidRPr="004768D0">
        <w:rPr>
          <w:color w:val="000000" w:themeColor="text1"/>
          <w:sz w:val="20"/>
          <w:szCs w:val="20"/>
          <w:lang w:val="es-ES"/>
        </w:rPr>
        <w:t>en</w:t>
      </w:r>
      <w:r w:rsidR="00B15DE1" w:rsidRPr="004768D0">
        <w:rPr>
          <w:color w:val="000000" w:themeColor="text1"/>
          <w:sz w:val="20"/>
          <w:szCs w:val="20"/>
          <w:lang w:val="es-ES"/>
        </w:rPr>
        <w:t xml:space="preserve"> </w:t>
      </w:r>
      <w:r w:rsidR="00B2685F" w:rsidRPr="004768D0">
        <w:rPr>
          <w:color w:val="000000" w:themeColor="text1"/>
          <w:sz w:val="20"/>
          <w:szCs w:val="20"/>
          <w:lang w:val="es-ES"/>
        </w:rPr>
        <w:t>noviembre</w:t>
      </w:r>
      <w:r w:rsidR="00B15DE1" w:rsidRPr="004768D0">
        <w:rPr>
          <w:color w:val="000000" w:themeColor="text1"/>
          <w:sz w:val="20"/>
          <w:szCs w:val="20"/>
          <w:lang w:val="es-ES"/>
        </w:rPr>
        <w:t xml:space="preserve"> de 2019 </w:t>
      </w:r>
      <w:r w:rsidR="006D7C17">
        <w:rPr>
          <w:color w:val="000000" w:themeColor="text1"/>
          <w:sz w:val="20"/>
          <w:szCs w:val="20"/>
          <w:lang w:val="es-ES"/>
        </w:rPr>
        <w:t xml:space="preserve">se desestimaron las apelaciones interpuestas por </w:t>
      </w:r>
      <w:r w:rsidR="00B15DE1" w:rsidRPr="004768D0">
        <w:rPr>
          <w:color w:val="000000" w:themeColor="text1"/>
          <w:sz w:val="20"/>
          <w:szCs w:val="20"/>
          <w:lang w:val="es-ES"/>
        </w:rPr>
        <w:t xml:space="preserve">el </w:t>
      </w:r>
      <w:r w:rsidR="00F154A0" w:rsidRPr="004768D0">
        <w:rPr>
          <w:color w:val="000000" w:themeColor="text1"/>
          <w:sz w:val="20"/>
          <w:szCs w:val="20"/>
          <w:lang w:val="es-ES"/>
        </w:rPr>
        <w:t>Ministerio</w:t>
      </w:r>
      <w:r w:rsidR="00B15DE1" w:rsidRPr="004768D0">
        <w:rPr>
          <w:color w:val="000000" w:themeColor="text1"/>
          <w:sz w:val="20"/>
          <w:szCs w:val="20"/>
          <w:lang w:val="es-ES"/>
        </w:rPr>
        <w:t xml:space="preserve"> Público </w:t>
      </w:r>
      <w:r w:rsidR="006D7C17">
        <w:rPr>
          <w:color w:val="000000" w:themeColor="text1"/>
          <w:sz w:val="20"/>
          <w:szCs w:val="20"/>
          <w:lang w:val="es-ES"/>
        </w:rPr>
        <w:t xml:space="preserve">y </w:t>
      </w:r>
      <w:r w:rsidR="00B15DE1" w:rsidRPr="004768D0">
        <w:rPr>
          <w:color w:val="000000" w:themeColor="text1"/>
          <w:sz w:val="20"/>
          <w:szCs w:val="20"/>
          <w:lang w:val="es-ES"/>
        </w:rPr>
        <w:t xml:space="preserve">la </w:t>
      </w:r>
      <w:r w:rsidR="007F4608" w:rsidRPr="004768D0">
        <w:rPr>
          <w:color w:val="000000" w:themeColor="text1"/>
          <w:sz w:val="20"/>
          <w:szCs w:val="20"/>
          <w:lang w:val="es-ES"/>
        </w:rPr>
        <w:t>Defensoría</w:t>
      </w:r>
      <w:r w:rsidR="00B15DE1" w:rsidRPr="004768D0">
        <w:rPr>
          <w:color w:val="000000" w:themeColor="text1"/>
          <w:sz w:val="20"/>
          <w:szCs w:val="20"/>
          <w:lang w:val="es-ES"/>
        </w:rPr>
        <w:t xml:space="preserve"> Pública </w:t>
      </w:r>
      <w:r w:rsidR="007F4608" w:rsidRPr="004768D0">
        <w:rPr>
          <w:color w:val="000000" w:themeColor="text1"/>
          <w:sz w:val="20"/>
          <w:szCs w:val="20"/>
          <w:lang w:val="es-ES"/>
        </w:rPr>
        <w:t xml:space="preserve">del </w:t>
      </w:r>
      <w:r w:rsidR="0000579C">
        <w:rPr>
          <w:color w:val="000000" w:themeColor="text1"/>
          <w:sz w:val="20"/>
          <w:szCs w:val="20"/>
          <w:lang w:val="es-ES"/>
        </w:rPr>
        <w:t>estado de São Paulo</w:t>
      </w:r>
      <w:r w:rsidR="00B15DE1" w:rsidRPr="004768D0">
        <w:rPr>
          <w:color w:val="000000" w:themeColor="text1"/>
          <w:sz w:val="20"/>
          <w:szCs w:val="20"/>
          <w:lang w:val="es-ES"/>
        </w:rPr>
        <w:t>, por me</w:t>
      </w:r>
      <w:r w:rsidR="006D7C17">
        <w:rPr>
          <w:color w:val="000000" w:themeColor="text1"/>
          <w:sz w:val="20"/>
          <w:szCs w:val="20"/>
          <w:lang w:val="es-ES"/>
        </w:rPr>
        <w:t>d</w:t>
      </w:r>
      <w:r w:rsidR="00B15DE1" w:rsidRPr="004768D0">
        <w:rPr>
          <w:color w:val="000000" w:themeColor="text1"/>
          <w:sz w:val="20"/>
          <w:szCs w:val="20"/>
          <w:lang w:val="es-ES"/>
        </w:rPr>
        <w:t xml:space="preserve">io de su Núcleo Especializado de </w:t>
      </w:r>
      <w:r w:rsidR="002946BE" w:rsidRPr="004768D0">
        <w:rPr>
          <w:color w:val="000000" w:themeColor="text1"/>
          <w:sz w:val="20"/>
          <w:szCs w:val="20"/>
          <w:lang w:val="es-ES"/>
        </w:rPr>
        <w:t>Ciudadanía</w:t>
      </w:r>
      <w:r w:rsidR="00B15DE1" w:rsidRPr="004768D0">
        <w:rPr>
          <w:color w:val="000000" w:themeColor="text1"/>
          <w:sz w:val="20"/>
          <w:szCs w:val="20"/>
          <w:lang w:val="es-ES"/>
        </w:rPr>
        <w:t xml:space="preserve"> </w:t>
      </w:r>
      <w:r w:rsidR="002946BE" w:rsidRPr="004768D0">
        <w:rPr>
          <w:color w:val="000000" w:themeColor="text1"/>
          <w:sz w:val="20"/>
          <w:szCs w:val="20"/>
          <w:lang w:val="es-ES"/>
        </w:rPr>
        <w:t>y</w:t>
      </w:r>
      <w:r w:rsidR="00B15DE1" w:rsidRPr="004768D0">
        <w:rPr>
          <w:color w:val="000000" w:themeColor="text1"/>
          <w:sz w:val="20"/>
          <w:szCs w:val="20"/>
          <w:lang w:val="es-ES"/>
        </w:rPr>
        <w:t xml:space="preserve"> </w:t>
      </w:r>
      <w:r w:rsidR="00246A29" w:rsidRPr="004768D0">
        <w:rPr>
          <w:color w:val="000000" w:themeColor="text1"/>
          <w:sz w:val="20"/>
          <w:szCs w:val="20"/>
          <w:lang w:val="es-ES"/>
        </w:rPr>
        <w:t>Derechos</w:t>
      </w:r>
      <w:r w:rsidR="00B15DE1" w:rsidRPr="004768D0">
        <w:rPr>
          <w:color w:val="000000" w:themeColor="text1"/>
          <w:sz w:val="20"/>
          <w:szCs w:val="20"/>
          <w:lang w:val="es-ES"/>
        </w:rPr>
        <w:t xml:space="preserve"> Humanos, </w:t>
      </w:r>
      <w:r w:rsidR="006D7C17">
        <w:rPr>
          <w:color w:val="000000" w:themeColor="text1"/>
          <w:sz w:val="20"/>
          <w:szCs w:val="20"/>
          <w:lang w:val="es-ES"/>
        </w:rPr>
        <w:t>en tanto que l</w:t>
      </w:r>
      <w:r w:rsidR="00B15DE1" w:rsidRPr="004768D0">
        <w:rPr>
          <w:color w:val="000000" w:themeColor="text1"/>
          <w:sz w:val="20"/>
          <w:szCs w:val="20"/>
          <w:lang w:val="es-ES"/>
        </w:rPr>
        <w:t xml:space="preserve">os </w:t>
      </w:r>
      <w:r w:rsidR="006D7C17">
        <w:rPr>
          <w:color w:val="000000" w:themeColor="text1"/>
          <w:sz w:val="20"/>
          <w:szCs w:val="20"/>
          <w:lang w:val="es-ES"/>
        </w:rPr>
        <w:t>r</w:t>
      </w:r>
      <w:r w:rsidR="00B15DE1" w:rsidRPr="004768D0">
        <w:rPr>
          <w:color w:val="000000" w:themeColor="text1"/>
          <w:sz w:val="20"/>
          <w:szCs w:val="20"/>
          <w:lang w:val="es-ES"/>
        </w:rPr>
        <w:t xml:space="preserve">ecursos </w:t>
      </w:r>
      <w:r w:rsidR="006D7C17">
        <w:rPr>
          <w:color w:val="000000" w:themeColor="text1"/>
          <w:sz w:val="20"/>
          <w:szCs w:val="20"/>
          <w:lang w:val="es-ES"/>
        </w:rPr>
        <w:t>e</w:t>
      </w:r>
      <w:r w:rsidR="00B15DE1" w:rsidRPr="004768D0">
        <w:rPr>
          <w:color w:val="000000" w:themeColor="text1"/>
          <w:sz w:val="20"/>
          <w:szCs w:val="20"/>
          <w:lang w:val="es-ES"/>
        </w:rPr>
        <w:t xml:space="preserve">special </w:t>
      </w:r>
      <w:r w:rsidR="006D7C17">
        <w:rPr>
          <w:color w:val="000000" w:themeColor="text1"/>
          <w:sz w:val="20"/>
          <w:szCs w:val="20"/>
          <w:lang w:val="es-ES"/>
        </w:rPr>
        <w:t>y e</w:t>
      </w:r>
      <w:r w:rsidR="006D7C17" w:rsidRPr="004768D0">
        <w:rPr>
          <w:color w:val="000000" w:themeColor="text1"/>
          <w:sz w:val="20"/>
          <w:szCs w:val="20"/>
          <w:lang w:val="es-ES"/>
        </w:rPr>
        <w:t>xtraordinario</w:t>
      </w:r>
      <w:r w:rsidR="00B15DE1" w:rsidRPr="004768D0">
        <w:rPr>
          <w:color w:val="000000" w:themeColor="text1"/>
          <w:sz w:val="20"/>
          <w:szCs w:val="20"/>
          <w:lang w:val="es-ES"/>
        </w:rPr>
        <w:t xml:space="preserve"> interp</w:t>
      </w:r>
      <w:r w:rsidR="006D7C17">
        <w:rPr>
          <w:color w:val="000000" w:themeColor="text1"/>
          <w:sz w:val="20"/>
          <w:szCs w:val="20"/>
          <w:lang w:val="es-ES"/>
        </w:rPr>
        <w:t xml:space="preserve">uestos por </w:t>
      </w:r>
      <w:r w:rsidR="00B15DE1" w:rsidRPr="004768D0">
        <w:rPr>
          <w:color w:val="000000" w:themeColor="text1"/>
          <w:sz w:val="20"/>
          <w:szCs w:val="20"/>
          <w:lang w:val="es-ES"/>
        </w:rPr>
        <w:t xml:space="preserve">la </w:t>
      </w:r>
      <w:r w:rsidR="007F4608" w:rsidRPr="004768D0">
        <w:rPr>
          <w:color w:val="000000" w:themeColor="text1"/>
          <w:sz w:val="20"/>
          <w:szCs w:val="20"/>
          <w:lang w:val="es-ES"/>
        </w:rPr>
        <w:t>Defensoría</w:t>
      </w:r>
      <w:r w:rsidR="00B15DE1" w:rsidRPr="004768D0">
        <w:rPr>
          <w:color w:val="000000" w:themeColor="text1"/>
          <w:sz w:val="20"/>
          <w:szCs w:val="20"/>
          <w:lang w:val="es-ES"/>
        </w:rPr>
        <w:t xml:space="preserve"> Pública f</w:t>
      </w:r>
      <w:r w:rsidR="006D7C17">
        <w:rPr>
          <w:color w:val="000000" w:themeColor="text1"/>
          <w:sz w:val="20"/>
          <w:szCs w:val="20"/>
          <w:lang w:val="es-ES"/>
        </w:rPr>
        <w:t xml:space="preserve">ueron desestimados en </w:t>
      </w:r>
      <w:r w:rsidR="00346878" w:rsidRPr="004768D0">
        <w:rPr>
          <w:color w:val="000000" w:themeColor="text1"/>
          <w:sz w:val="20"/>
          <w:szCs w:val="20"/>
          <w:lang w:val="es-ES"/>
        </w:rPr>
        <w:t>junio</w:t>
      </w:r>
      <w:r w:rsidR="00B15DE1" w:rsidRPr="004768D0">
        <w:rPr>
          <w:color w:val="000000" w:themeColor="text1"/>
          <w:sz w:val="20"/>
          <w:szCs w:val="20"/>
          <w:lang w:val="es-ES"/>
        </w:rPr>
        <w:t xml:space="preserve"> de 2020.</w:t>
      </w:r>
    </w:p>
    <w:p w14:paraId="53EA25A9" w14:textId="77777777" w:rsidR="002E1290" w:rsidRPr="004768D0" w:rsidRDefault="002E1290" w:rsidP="002E1290">
      <w:pPr>
        <w:pStyle w:val="ListParagraph"/>
        <w:jc w:val="both"/>
        <w:rPr>
          <w:color w:val="000000" w:themeColor="text1"/>
          <w:sz w:val="20"/>
          <w:szCs w:val="20"/>
          <w:lang w:val="es-ES"/>
        </w:rPr>
      </w:pPr>
    </w:p>
    <w:p w14:paraId="58B393F8" w14:textId="77777777" w:rsidR="002E1290" w:rsidRPr="004768D0" w:rsidRDefault="006D7C17" w:rsidP="00A104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r w:rsidRPr="004768D0">
        <w:rPr>
          <w:color w:val="000000" w:themeColor="text1"/>
          <w:sz w:val="20"/>
          <w:szCs w:val="20"/>
          <w:lang w:val="es-ES"/>
        </w:rPr>
        <w:t>En</w:t>
      </w:r>
      <w:r w:rsidR="002E1290" w:rsidRPr="004768D0">
        <w:rPr>
          <w:color w:val="000000" w:themeColor="text1"/>
          <w:sz w:val="20"/>
          <w:szCs w:val="20"/>
          <w:lang w:val="es-ES"/>
        </w:rPr>
        <w:t xml:space="preserve"> </w:t>
      </w:r>
      <w:r>
        <w:rPr>
          <w:color w:val="000000" w:themeColor="text1"/>
          <w:sz w:val="20"/>
          <w:szCs w:val="20"/>
          <w:lang w:val="es-ES"/>
        </w:rPr>
        <w:t>primer</w:t>
      </w:r>
      <w:r w:rsidR="002E1290" w:rsidRPr="004768D0">
        <w:rPr>
          <w:color w:val="000000" w:themeColor="text1"/>
          <w:sz w:val="20"/>
          <w:szCs w:val="20"/>
          <w:lang w:val="es-ES"/>
        </w:rPr>
        <w:t xml:space="preserve"> lugar, </w:t>
      </w:r>
      <w:r>
        <w:rPr>
          <w:color w:val="000000" w:themeColor="text1"/>
          <w:sz w:val="20"/>
          <w:szCs w:val="20"/>
          <w:lang w:val="es-ES"/>
        </w:rPr>
        <w:t>l</w:t>
      </w:r>
      <w:r w:rsidR="002E1290" w:rsidRPr="004768D0">
        <w:rPr>
          <w:color w:val="000000" w:themeColor="text1"/>
          <w:sz w:val="20"/>
          <w:szCs w:val="20"/>
          <w:lang w:val="es-ES"/>
        </w:rPr>
        <w:t xml:space="preserve">a </w:t>
      </w:r>
      <w:r w:rsidR="00C65DE2" w:rsidRPr="004768D0">
        <w:rPr>
          <w:color w:val="000000" w:themeColor="text1"/>
          <w:sz w:val="20"/>
          <w:szCs w:val="20"/>
          <w:lang w:val="es-ES"/>
        </w:rPr>
        <w:t>Comisión</w:t>
      </w:r>
      <w:r w:rsidR="002E1290" w:rsidRPr="004768D0">
        <w:rPr>
          <w:color w:val="000000" w:themeColor="text1"/>
          <w:sz w:val="20"/>
          <w:szCs w:val="20"/>
          <w:lang w:val="es-ES"/>
        </w:rPr>
        <w:t xml:space="preserve"> Interamericana </w:t>
      </w:r>
      <w:r>
        <w:rPr>
          <w:color w:val="000000" w:themeColor="text1"/>
          <w:sz w:val="20"/>
          <w:szCs w:val="20"/>
          <w:lang w:val="es-ES"/>
        </w:rPr>
        <w:t xml:space="preserve">observa </w:t>
      </w:r>
      <w:r w:rsidR="002E1290" w:rsidRPr="004768D0">
        <w:rPr>
          <w:color w:val="000000" w:themeColor="text1"/>
          <w:sz w:val="20"/>
          <w:szCs w:val="20"/>
          <w:lang w:val="es-ES"/>
        </w:rPr>
        <w:t xml:space="preserve">que </w:t>
      </w:r>
      <w:r w:rsidR="00A07DD9" w:rsidRPr="004768D0">
        <w:rPr>
          <w:color w:val="000000" w:themeColor="text1"/>
          <w:sz w:val="20"/>
          <w:szCs w:val="20"/>
          <w:lang w:val="es-ES"/>
        </w:rPr>
        <w:t>la parte peticionaria</w:t>
      </w:r>
      <w:r w:rsidR="002E1290" w:rsidRPr="004768D0">
        <w:rPr>
          <w:color w:val="000000" w:themeColor="text1"/>
          <w:sz w:val="20"/>
          <w:szCs w:val="20"/>
          <w:lang w:val="es-ES"/>
        </w:rPr>
        <w:t xml:space="preserve"> </w:t>
      </w:r>
      <w:r w:rsidRPr="004768D0">
        <w:rPr>
          <w:color w:val="000000" w:themeColor="text1"/>
          <w:sz w:val="20"/>
          <w:szCs w:val="20"/>
          <w:lang w:val="es-ES"/>
        </w:rPr>
        <w:t>relat</w:t>
      </w:r>
      <w:r>
        <w:rPr>
          <w:color w:val="000000" w:themeColor="text1"/>
          <w:sz w:val="20"/>
          <w:szCs w:val="20"/>
          <w:lang w:val="es-ES"/>
        </w:rPr>
        <w:t>ó los</w:t>
      </w:r>
      <w:r w:rsidR="002E1290" w:rsidRPr="004768D0">
        <w:rPr>
          <w:color w:val="000000" w:themeColor="text1"/>
          <w:sz w:val="20"/>
          <w:szCs w:val="20"/>
          <w:lang w:val="es-ES"/>
        </w:rPr>
        <w:t xml:space="preserve"> </w:t>
      </w:r>
      <w:r w:rsidR="000C0AC4" w:rsidRPr="004768D0">
        <w:rPr>
          <w:color w:val="000000" w:themeColor="text1"/>
          <w:sz w:val="20"/>
          <w:szCs w:val="20"/>
          <w:lang w:val="es-ES"/>
        </w:rPr>
        <w:t>hechos</w:t>
      </w:r>
      <w:r w:rsidR="002E1290" w:rsidRPr="004768D0">
        <w:rPr>
          <w:color w:val="000000" w:themeColor="text1"/>
          <w:sz w:val="20"/>
          <w:szCs w:val="20"/>
          <w:lang w:val="es-ES"/>
        </w:rPr>
        <w:t xml:space="preserve"> de </w:t>
      </w:r>
      <w:r w:rsidRPr="004768D0">
        <w:rPr>
          <w:color w:val="000000" w:themeColor="text1"/>
          <w:sz w:val="20"/>
          <w:szCs w:val="20"/>
          <w:lang w:val="es-ES"/>
        </w:rPr>
        <w:t>manera</w:t>
      </w:r>
      <w:r w:rsidR="002E1290" w:rsidRPr="004768D0">
        <w:rPr>
          <w:color w:val="000000" w:themeColor="text1"/>
          <w:sz w:val="20"/>
          <w:szCs w:val="20"/>
          <w:lang w:val="es-ES"/>
        </w:rPr>
        <w:t xml:space="preserve"> suficiente </w:t>
      </w:r>
      <w:r>
        <w:rPr>
          <w:color w:val="000000" w:themeColor="text1"/>
          <w:sz w:val="20"/>
          <w:szCs w:val="20"/>
          <w:lang w:val="es-ES"/>
        </w:rPr>
        <w:t>par</w:t>
      </w:r>
      <w:r w:rsidR="002E1290" w:rsidRPr="004768D0">
        <w:rPr>
          <w:color w:val="000000" w:themeColor="text1"/>
          <w:sz w:val="20"/>
          <w:szCs w:val="20"/>
          <w:lang w:val="es-ES"/>
        </w:rPr>
        <w:t xml:space="preserve">a </w:t>
      </w:r>
      <w:r>
        <w:rPr>
          <w:color w:val="000000" w:themeColor="text1"/>
          <w:sz w:val="20"/>
          <w:szCs w:val="20"/>
          <w:lang w:val="es-ES"/>
        </w:rPr>
        <w:t xml:space="preserve">que </w:t>
      </w:r>
      <w:r w:rsidR="002E1290" w:rsidRPr="004768D0">
        <w:rPr>
          <w:color w:val="000000" w:themeColor="text1"/>
          <w:sz w:val="20"/>
          <w:szCs w:val="20"/>
          <w:lang w:val="es-ES"/>
        </w:rPr>
        <w:t xml:space="preserve">tanto </w:t>
      </w:r>
      <w:r>
        <w:rPr>
          <w:color w:val="000000" w:themeColor="text1"/>
          <w:sz w:val="20"/>
          <w:szCs w:val="20"/>
          <w:lang w:val="es-ES"/>
        </w:rPr>
        <w:t>l</w:t>
      </w:r>
      <w:r w:rsidR="002E1290" w:rsidRPr="004768D0">
        <w:rPr>
          <w:color w:val="000000" w:themeColor="text1"/>
          <w:sz w:val="20"/>
          <w:szCs w:val="20"/>
          <w:lang w:val="es-ES"/>
        </w:rPr>
        <w:t xml:space="preserve">a </w:t>
      </w:r>
      <w:r w:rsidR="00A34E74" w:rsidRPr="004768D0">
        <w:rPr>
          <w:color w:val="000000" w:themeColor="text1"/>
          <w:sz w:val="20"/>
          <w:szCs w:val="20"/>
          <w:lang w:val="es-ES"/>
        </w:rPr>
        <w:t>defensa</w:t>
      </w:r>
      <w:r w:rsidR="002E1290" w:rsidRPr="004768D0">
        <w:rPr>
          <w:color w:val="000000" w:themeColor="text1"/>
          <w:sz w:val="20"/>
          <w:szCs w:val="20"/>
          <w:lang w:val="es-ES"/>
        </w:rPr>
        <w:t xml:space="preserve"> d</w:t>
      </w:r>
      <w:r w:rsidR="003C58C5" w:rsidRPr="004768D0">
        <w:rPr>
          <w:color w:val="000000" w:themeColor="text1"/>
          <w:sz w:val="20"/>
          <w:szCs w:val="20"/>
          <w:lang w:val="es-ES"/>
        </w:rPr>
        <w:t>el Estado</w:t>
      </w:r>
      <w:r w:rsidR="002E1290" w:rsidRPr="004768D0">
        <w:rPr>
          <w:color w:val="000000" w:themeColor="text1"/>
          <w:sz w:val="20"/>
          <w:szCs w:val="20"/>
          <w:lang w:val="es-ES"/>
        </w:rPr>
        <w:t xml:space="preserve"> </w:t>
      </w:r>
      <w:r>
        <w:rPr>
          <w:color w:val="000000" w:themeColor="text1"/>
          <w:sz w:val="20"/>
          <w:szCs w:val="20"/>
          <w:lang w:val="es-ES"/>
        </w:rPr>
        <w:t xml:space="preserve">como la </w:t>
      </w:r>
      <w:r w:rsidR="00C65DE2" w:rsidRPr="004768D0">
        <w:rPr>
          <w:color w:val="000000" w:themeColor="text1"/>
          <w:sz w:val="20"/>
          <w:szCs w:val="20"/>
          <w:lang w:val="es-ES"/>
        </w:rPr>
        <w:t>Comisión</w:t>
      </w:r>
      <w:r w:rsidR="002E1290" w:rsidRPr="004768D0">
        <w:rPr>
          <w:color w:val="000000" w:themeColor="text1"/>
          <w:sz w:val="20"/>
          <w:szCs w:val="20"/>
          <w:lang w:val="es-ES"/>
        </w:rPr>
        <w:t xml:space="preserve"> </w:t>
      </w:r>
      <w:r>
        <w:rPr>
          <w:color w:val="000000" w:themeColor="text1"/>
          <w:sz w:val="20"/>
          <w:szCs w:val="20"/>
          <w:lang w:val="es-ES"/>
        </w:rPr>
        <w:t xml:space="preserve">pudieran analizar el </w:t>
      </w:r>
      <w:r w:rsidR="002E1290" w:rsidRPr="004768D0">
        <w:rPr>
          <w:color w:val="000000" w:themeColor="text1"/>
          <w:sz w:val="20"/>
          <w:szCs w:val="20"/>
          <w:lang w:val="es-ES"/>
        </w:rPr>
        <w:t xml:space="preserve">caso. </w:t>
      </w:r>
      <w:r>
        <w:rPr>
          <w:color w:val="000000" w:themeColor="text1"/>
          <w:sz w:val="20"/>
          <w:szCs w:val="20"/>
          <w:lang w:val="es-ES"/>
        </w:rPr>
        <w:t xml:space="preserve">Incumbe a la </w:t>
      </w:r>
      <w:r w:rsidR="00C65DE2" w:rsidRPr="004768D0">
        <w:rPr>
          <w:color w:val="000000" w:themeColor="text1"/>
          <w:sz w:val="20"/>
          <w:szCs w:val="20"/>
          <w:lang w:val="es-ES"/>
        </w:rPr>
        <w:t>Comisión</w:t>
      </w:r>
      <w:r w:rsidR="002E1290" w:rsidRPr="004768D0">
        <w:rPr>
          <w:color w:val="000000" w:themeColor="text1"/>
          <w:sz w:val="20"/>
          <w:szCs w:val="20"/>
          <w:lang w:val="es-ES"/>
        </w:rPr>
        <w:t xml:space="preserve"> </w:t>
      </w:r>
      <w:r>
        <w:rPr>
          <w:color w:val="000000" w:themeColor="text1"/>
          <w:sz w:val="20"/>
          <w:szCs w:val="20"/>
          <w:lang w:val="es-ES"/>
        </w:rPr>
        <w:t xml:space="preserve">hacer un </w:t>
      </w:r>
      <w:r w:rsidR="002946BE" w:rsidRPr="004768D0">
        <w:rPr>
          <w:color w:val="000000" w:themeColor="text1"/>
          <w:sz w:val="20"/>
          <w:szCs w:val="20"/>
          <w:lang w:val="es-ES"/>
        </w:rPr>
        <w:t>análisis</w:t>
      </w:r>
      <w:r w:rsidR="002E1290" w:rsidRPr="004768D0">
        <w:rPr>
          <w:color w:val="000000" w:themeColor="text1"/>
          <w:sz w:val="20"/>
          <w:szCs w:val="20"/>
          <w:lang w:val="es-ES"/>
        </w:rPr>
        <w:t xml:space="preserve"> </w:t>
      </w:r>
      <w:r w:rsidR="002E1290" w:rsidRPr="004768D0">
        <w:rPr>
          <w:i/>
          <w:iCs/>
          <w:color w:val="000000" w:themeColor="text1"/>
          <w:sz w:val="20"/>
          <w:szCs w:val="20"/>
          <w:lang w:val="es-ES"/>
        </w:rPr>
        <w:t xml:space="preserve">prima facie </w:t>
      </w:r>
      <w:r w:rsidR="002E1290" w:rsidRPr="004768D0">
        <w:rPr>
          <w:color w:val="000000" w:themeColor="text1"/>
          <w:sz w:val="20"/>
          <w:szCs w:val="20"/>
          <w:lang w:val="es-ES"/>
        </w:rPr>
        <w:t>co</w:t>
      </w:r>
      <w:r>
        <w:rPr>
          <w:color w:val="000000" w:themeColor="text1"/>
          <w:sz w:val="20"/>
          <w:szCs w:val="20"/>
          <w:lang w:val="es-ES"/>
        </w:rPr>
        <w:t xml:space="preserve">n el </w:t>
      </w:r>
      <w:r w:rsidR="002E1290" w:rsidRPr="004768D0">
        <w:rPr>
          <w:color w:val="000000" w:themeColor="text1"/>
          <w:sz w:val="20"/>
          <w:szCs w:val="20"/>
          <w:lang w:val="es-ES"/>
        </w:rPr>
        <w:t>único objetivo de determinar s</w:t>
      </w:r>
      <w:r>
        <w:rPr>
          <w:color w:val="000000" w:themeColor="text1"/>
          <w:sz w:val="20"/>
          <w:szCs w:val="20"/>
          <w:lang w:val="es-ES"/>
        </w:rPr>
        <w:t>i</w:t>
      </w:r>
      <w:r w:rsidR="002E1290" w:rsidRPr="004768D0">
        <w:rPr>
          <w:color w:val="000000" w:themeColor="text1"/>
          <w:sz w:val="20"/>
          <w:szCs w:val="20"/>
          <w:lang w:val="es-ES"/>
        </w:rPr>
        <w:t xml:space="preserve"> </w:t>
      </w:r>
      <w:r>
        <w:rPr>
          <w:color w:val="000000" w:themeColor="text1"/>
          <w:sz w:val="20"/>
          <w:szCs w:val="20"/>
          <w:lang w:val="es-ES"/>
        </w:rPr>
        <w:t>l</w:t>
      </w:r>
      <w:r w:rsidR="002E1290" w:rsidRPr="004768D0">
        <w:rPr>
          <w:color w:val="000000" w:themeColor="text1"/>
          <w:sz w:val="20"/>
          <w:szCs w:val="20"/>
          <w:lang w:val="es-ES"/>
        </w:rPr>
        <w:t xml:space="preserve">os </w:t>
      </w:r>
      <w:r w:rsidR="000C0AC4" w:rsidRPr="004768D0">
        <w:rPr>
          <w:color w:val="000000" w:themeColor="text1"/>
          <w:sz w:val="20"/>
          <w:szCs w:val="20"/>
          <w:lang w:val="es-ES"/>
        </w:rPr>
        <w:t>hechos</w:t>
      </w:r>
      <w:r w:rsidR="002E1290" w:rsidRPr="004768D0">
        <w:rPr>
          <w:color w:val="000000" w:themeColor="text1"/>
          <w:sz w:val="20"/>
          <w:szCs w:val="20"/>
          <w:lang w:val="es-ES"/>
        </w:rPr>
        <w:t xml:space="preserve"> exp</w:t>
      </w:r>
      <w:r>
        <w:rPr>
          <w:color w:val="000000" w:themeColor="text1"/>
          <w:sz w:val="20"/>
          <w:szCs w:val="20"/>
          <w:lang w:val="es-ES"/>
        </w:rPr>
        <w:t xml:space="preserve">uestos caracterizan una </w:t>
      </w:r>
      <w:r w:rsidRPr="004768D0">
        <w:rPr>
          <w:color w:val="000000" w:themeColor="text1"/>
          <w:sz w:val="20"/>
          <w:szCs w:val="20"/>
          <w:lang w:val="es-ES"/>
        </w:rPr>
        <w:t>posible</w:t>
      </w:r>
      <w:r w:rsidR="002E1290" w:rsidRPr="004768D0">
        <w:rPr>
          <w:color w:val="000000" w:themeColor="text1"/>
          <w:sz w:val="20"/>
          <w:szCs w:val="20"/>
          <w:lang w:val="es-ES"/>
        </w:rPr>
        <w:t xml:space="preserve"> </w:t>
      </w:r>
      <w:r w:rsidR="002946BE" w:rsidRPr="004768D0">
        <w:rPr>
          <w:color w:val="000000" w:themeColor="text1"/>
          <w:sz w:val="20"/>
          <w:szCs w:val="20"/>
          <w:lang w:val="es-ES"/>
        </w:rPr>
        <w:t>violación</w:t>
      </w:r>
      <w:r w:rsidR="002E1290" w:rsidRPr="004768D0">
        <w:rPr>
          <w:color w:val="000000" w:themeColor="text1"/>
          <w:sz w:val="20"/>
          <w:szCs w:val="20"/>
          <w:lang w:val="es-ES"/>
        </w:rPr>
        <w:t xml:space="preserve"> de </w:t>
      </w:r>
      <w:r w:rsidR="00246A29" w:rsidRPr="004768D0">
        <w:rPr>
          <w:color w:val="000000" w:themeColor="text1"/>
          <w:sz w:val="20"/>
          <w:szCs w:val="20"/>
          <w:lang w:val="es-ES"/>
        </w:rPr>
        <w:t>derechos</w:t>
      </w:r>
      <w:r w:rsidR="002E1290" w:rsidRPr="004768D0">
        <w:rPr>
          <w:color w:val="000000" w:themeColor="text1"/>
          <w:sz w:val="20"/>
          <w:szCs w:val="20"/>
          <w:lang w:val="es-ES"/>
        </w:rPr>
        <w:t xml:space="preserve"> humanos</w:t>
      </w:r>
      <w:r>
        <w:rPr>
          <w:color w:val="000000" w:themeColor="text1"/>
          <w:sz w:val="20"/>
          <w:szCs w:val="20"/>
          <w:lang w:val="es-ES"/>
        </w:rPr>
        <w:t xml:space="preserve"> y si los </w:t>
      </w:r>
      <w:r w:rsidR="000C0AC4" w:rsidRPr="004768D0">
        <w:rPr>
          <w:color w:val="000000" w:themeColor="text1"/>
          <w:sz w:val="20"/>
          <w:szCs w:val="20"/>
          <w:lang w:val="es-ES"/>
        </w:rPr>
        <w:t>hechos</w:t>
      </w:r>
      <w:r w:rsidR="002E1290" w:rsidRPr="004768D0">
        <w:rPr>
          <w:color w:val="000000" w:themeColor="text1"/>
          <w:sz w:val="20"/>
          <w:szCs w:val="20"/>
          <w:lang w:val="es-ES"/>
        </w:rPr>
        <w:t xml:space="preserve"> no </w:t>
      </w:r>
      <w:r>
        <w:rPr>
          <w:color w:val="000000" w:themeColor="text1"/>
          <w:sz w:val="20"/>
          <w:szCs w:val="20"/>
          <w:lang w:val="es-ES"/>
        </w:rPr>
        <w:t xml:space="preserve">son </w:t>
      </w:r>
      <w:r w:rsidRPr="004768D0">
        <w:rPr>
          <w:color w:val="000000" w:themeColor="text1"/>
          <w:sz w:val="20"/>
          <w:szCs w:val="20"/>
          <w:lang w:val="es-ES"/>
        </w:rPr>
        <w:t>manifiestamente</w:t>
      </w:r>
      <w:r w:rsidR="002E1290" w:rsidRPr="004768D0">
        <w:rPr>
          <w:color w:val="000000" w:themeColor="text1"/>
          <w:sz w:val="20"/>
          <w:szCs w:val="20"/>
          <w:lang w:val="es-ES"/>
        </w:rPr>
        <w:t xml:space="preserve"> infundados o improcedentes</w:t>
      </w:r>
      <w:r w:rsidR="002E1290" w:rsidRPr="004768D0">
        <w:rPr>
          <w:bCs/>
          <w:sz w:val="20"/>
          <w:szCs w:val="20"/>
          <w:vertAlign w:val="superscript"/>
          <w:lang w:val="es-ES"/>
        </w:rPr>
        <w:footnoteReference w:id="19"/>
      </w:r>
      <w:r>
        <w:rPr>
          <w:color w:val="000000" w:themeColor="text1"/>
          <w:sz w:val="20"/>
          <w:szCs w:val="20"/>
          <w:lang w:val="es-ES"/>
        </w:rPr>
        <w:t>. En el caso de autos</w:t>
      </w:r>
      <w:r w:rsidR="002E1290" w:rsidRPr="004768D0">
        <w:rPr>
          <w:color w:val="000000" w:themeColor="text1"/>
          <w:sz w:val="20"/>
          <w:szCs w:val="20"/>
          <w:lang w:val="es-ES"/>
        </w:rPr>
        <w:t xml:space="preserve">, </w:t>
      </w:r>
      <w:r>
        <w:rPr>
          <w:color w:val="000000" w:themeColor="text1"/>
          <w:sz w:val="20"/>
          <w:szCs w:val="20"/>
          <w:lang w:val="es-ES"/>
        </w:rPr>
        <w:t>l</w:t>
      </w:r>
      <w:r w:rsidR="002E1290" w:rsidRPr="004768D0">
        <w:rPr>
          <w:color w:val="000000" w:themeColor="text1"/>
          <w:sz w:val="20"/>
          <w:szCs w:val="20"/>
          <w:lang w:val="es-ES"/>
        </w:rPr>
        <w:t xml:space="preserve">os </w:t>
      </w:r>
      <w:r w:rsidR="000C0AC4" w:rsidRPr="004768D0">
        <w:rPr>
          <w:color w:val="000000" w:themeColor="text1"/>
          <w:sz w:val="20"/>
          <w:szCs w:val="20"/>
          <w:lang w:val="es-ES"/>
        </w:rPr>
        <w:t>hechos</w:t>
      </w:r>
      <w:r w:rsidR="002E1290" w:rsidRPr="004768D0">
        <w:rPr>
          <w:color w:val="000000" w:themeColor="text1"/>
          <w:sz w:val="20"/>
          <w:szCs w:val="20"/>
          <w:lang w:val="es-ES"/>
        </w:rPr>
        <w:t xml:space="preserve"> exp</w:t>
      </w:r>
      <w:r>
        <w:rPr>
          <w:color w:val="000000" w:themeColor="text1"/>
          <w:sz w:val="20"/>
          <w:szCs w:val="20"/>
          <w:lang w:val="es-ES"/>
        </w:rPr>
        <w:t xml:space="preserve">uestos cumplen ese </w:t>
      </w:r>
      <w:r w:rsidR="002E1290" w:rsidRPr="004768D0">
        <w:rPr>
          <w:color w:val="000000" w:themeColor="text1"/>
          <w:sz w:val="20"/>
          <w:szCs w:val="20"/>
          <w:lang w:val="es-ES"/>
        </w:rPr>
        <w:t xml:space="preserve">requisito. </w:t>
      </w:r>
      <w:r>
        <w:rPr>
          <w:color w:val="000000" w:themeColor="text1"/>
          <w:sz w:val="20"/>
          <w:szCs w:val="20"/>
          <w:lang w:val="es-ES"/>
        </w:rPr>
        <w:t>La</w:t>
      </w:r>
      <w:r w:rsidR="002E1290" w:rsidRPr="004768D0">
        <w:rPr>
          <w:color w:val="000000" w:themeColor="text1"/>
          <w:sz w:val="20"/>
          <w:szCs w:val="20"/>
          <w:lang w:val="es-ES"/>
        </w:rPr>
        <w:t>s considera</w:t>
      </w:r>
      <w:r>
        <w:rPr>
          <w:color w:val="000000" w:themeColor="text1"/>
          <w:sz w:val="20"/>
          <w:szCs w:val="20"/>
          <w:lang w:val="es-ES"/>
        </w:rPr>
        <w:t>cion</w:t>
      </w:r>
      <w:r w:rsidR="002E1290" w:rsidRPr="004768D0">
        <w:rPr>
          <w:color w:val="000000" w:themeColor="text1"/>
          <w:sz w:val="20"/>
          <w:szCs w:val="20"/>
          <w:lang w:val="es-ES"/>
        </w:rPr>
        <w:t>es d</w:t>
      </w:r>
      <w:r w:rsidR="003C58C5" w:rsidRPr="004768D0">
        <w:rPr>
          <w:color w:val="000000" w:themeColor="text1"/>
          <w:sz w:val="20"/>
          <w:szCs w:val="20"/>
          <w:lang w:val="es-ES"/>
        </w:rPr>
        <w:t>el Estado</w:t>
      </w:r>
      <w:r w:rsidR="002E1290" w:rsidRPr="004768D0">
        <w:rPr>
          <w:color w:val="000000" w:themeColor="text1"/>
          <w:sz w:val="20"/>
          <w:szCs w:val="20"/>
          <w:lang w:val="es-ES"/>
        </w:rPr>
        <w:t xml:space="preserve"> sobre s</w:t>
      </w:r>
      <w:r>
        <w:rPr>
          <w:color w:val="000000" w:themeColor="text1"/>
          <w:sz w:val="20"/>
          <w:szCs w:val="20"/>
          <w:lang w:val="es-ES"/>
        </w:rPr>
        <w:t xml:space="preserve">i hubo un </w:t>
      </w:r>
      <w:r w:rsidR="002E1290" w:rsidRPr="004768D0">
        <w:rPr>
          <w:color w:val="000000" w:themeColor="text1"/>
          <w:sz w:val="20"/>
          <w:szCs w:val="20"/>
          <w:lang w:val="es-ES"/>
        </w:rPr>
        <w:t>uso racional d</w:t>
      </w:r>
      <w:r>
        <w:rPr>
          <w:color w:val="000000" w:themeColor="text1"/>
          <w:sz w:val="20"/>
          <w:szCs w:val="20"/>
          <w:lang w:val="es-ES"/>
        </w:rPr>
        <w:t>e l</w:t>
      </w:r>
      <w:r w:rsidR="002E1290" w:rsidRPr="004768D0">
        <w:rPr>
          <w:color w:val="000000" w:themeColor="text1"/>
          <w:sz w:val="20"/>
          <w:szCs w:val="20"/>
          <w:lang w:val="es-ES"/>
        </w:rPr>
        <w:t xml:space="preserve">a </w:t>
      </w:r>
      <w:r w:rsidR="00462731" w:rsidRPr="004768D0">
        <w:rPr>
          <w:color w:val="000000" w:themeColor="text1"/>
          <w:sz w:val="20"/>
          <w:szCs w:val="20"/>
          <w:lang w:val="es-ES"/>
        </w:rPr>
        <w:t>fuerza</w:t>
      </w:r>
      <w:r w:rsidR="002E1290" w:rsidRPr="004768D0">
        <w:rPr>
          <w:color w:val="000000" w:themeColor="text1"/>
          <w:sz w:val="20"/>
          <w:szCs w:val="20"/>
          <w:lang w:val="es-ES"/>
        </w:rPr>
        <w:t xml:space="preserve"> pública </w:t>
      </w:r>
      <w:r>
        <w:rPr>
          <w:color w:val="000000" w:themeColor="text1"/>
          <w:sz w:val="20"/>
          <w:szCs w:val="20"/>
          <w:lang w:val="es-ES"/>
        </w:rPr>
        <w:t>o</w:t>
      </w:r>
      <w:r w:rsidR="002E1290" w:rsidRPr="004768D0">
        <w:rPr>
          <w:color w:val="000000" w:themeColor="text1"/>
          <w:sz w:val="20"/>
          <w:szCs w:val="20"/>
          <w:lang w:val="es-ES"/>
        </w:rPr>
        <w:t xml:space="preserve"> sobre </w:t>
      </w:r>
      <w:r>
        <w:rPr>
          <w:color w:val="000000" w:themeColor="text1"/>
          <w:sz w:val="20"/>
          <w:szCs w:val="20"/>
          <w:lang w:val="es-ES"/>
        </w:rPr>
        <w:t>l</w:t>
      </w:r>
      <w:r w:rsidR="002E1290" w:rsidRPr="004768D0">
        <w:rPr>
          <w:color w:val="000000" w:themeColor="text1"/>
          <w:sz w:val="20"/>
          <w:szCs w:val="20"/>
          <w:lang w:val="es-ES"/>
        </w:rPr>
        <w:t xml:space="preserve">a falta de elementos suficientes para atribuir </w:t>
      </w:r>
      <w:r>
        <w:rPr>
          <w:color w:val="000000" w:themeColor="text1"/>
          <w:sz w:val="20"/>
          <w:szCs w:val="20"/>
          <w:lang w:val="es-ES"/>
        </w:rPr>
        <w:t>la</w:t>
      </w:r>
      <w:r w:rsidR="002E1290" w:rsidRPr="004768D0">
        <w:rPr>
          <w:color w:val="000000" w:themeColor="text1"/>
          <w:sz w:val="20"/>
          <w:szCs w:val="20"/>
          <w:lang w:val="es-ES"/>
        </w:rPr>
        <w:t xml:space="preserve">s </w:t>
      </w:r>
      <w:r w:rsidR="00462731" w:rsidRPr="004768D0">
        <w:rPr>
          <w:color w:val="000000" w:themeColor="text1"/>
          <w:sz w:val="20"/>
          <w:szCs w:val="20"/>
          <w:lang w:val="es-ES"/>
        </w:rPr>
        <w:t>muertes</w:t>
      </w:r>
      <w:r w:rsidR="002E1290" w:rsidRPr="004768D0">
        <w:rPr>
          <w:color w:val="000000" w:themeColor="text1"/>
          <w:sz w:val="20"/>
          <w:szCs w:val="20"/>
          <w:lang w:val="es-ES"/>
        </w:rPr>
        <w:t xml:space="preserve"> a agentes </w:t>
      </w:r>
      <w:r w:rsidR="00462731" w:rsidRPr="004768D0">
        <w:rPr>
          <w:color w:val="000000" w:themeColor="text1"/>
          <w:sz w:val="20"/>
          <w:szCs w:val="20"/>
          <w:lang w:val="es-ES"/>
        </w:rPr>
        <w:t>estatales</w:t>
      </w:r>
      <w:r w:rsidR="002E1290" w:rsidRPr="004768D0">
        <w:rPr>
          <w:color w:val="000000" w:themeColor="text1"/>
          <w:sz w:val="20"/>
          <w:szCs w:val="20"/>
          <w:lang w:val="es-ES"/>
        </w:rPr>
        <w:t xml:space="preserve"> pod</w:t>
      </w:r>
      <w:r>
        <w:rPr>
          <w:color w:val="000000" w:themeColor="text1"/>
          <w:sz w:val="20"/>
          <w:szCs w:val="20"/>
          <w:lang w:val="es-ES"/>
        </w:rPr>
        <w:t xml:space="preserve">rán examinarse en la </w:t>
      </w:r>
      <w:r w:rsidR="002E1290" w:rsidRPr="004768D0">
        <w:rPr>
          <w:color w:val="000000" w:themeColor="text1"/>
          <w:sz w:val="20"/>
          <w:szCs w:val="20"/>
          <w:lang w:val="es-ES"/>
        </w:rPr>
        <w:t xml:space="preserve">etapa de </w:t>
      </w:r>
      <w:r>
        <w:rPr>
          <w:color w:val="000000" w:themeColor="text1"/>
          <w:sz w:val="20"/>
          <w:szCs w:val="20"/>
          <w:lang w:val="es-ES"/>
        </w:rPr>
        <w:t>fondo y no son causa de inadmisibilidad de la</w:t>
      </w:r>
      <w:r w:rsidR="002E1290" w:rsidRPr="004768D0">
        <w:rPr>
          <w:color w:val="000000" w:themeColor="text1"/>
          <w:sz w:val="20"/>
          <w:szCs w:val="20"/>
          <w:lang w:val="es-ES"/>
        </w:rPr>
        <w:t xml:space="preserve"> </w:t>
      </w:r>
      <w:r w:rsidR="00882F67" w:rsidRPr="004768D0">
        <w:rPr>
          <w:color w:val="000000" w:themeColor="text1"/>
          <w:sz w:val="20"/>
          <w:szCs w:val="20"/>
          <w:lang w:val="es-ES"/>
        </w:rPr>
        <w:t>petición</w:t>
      </w:r>
      <w:r w:rsidR="002E1290" w:rsidRPr="004768D0">
        <w:rPr>
          <w:color w:val="000000" w:themeColor="text1"/>
          <w:sz w:val="20"/>
          <w:szCs w:val="20"/>
          <w:lang w:val="es-ES"/>
        </w:rPr>
        <w:t>.</w:t>
      </w:r>
    </w:p>
    <w:p w14:paraId="7C40672F" w14:textId="77777777" w:rsidR="002E1290" w:rsidRPr="004768D0" w:rsidRDefault="002E1290" w:rsidP="00771AB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p>
    <w:p w14:paraId="4DC36AF6" w14:textId="77777777" w:rsidR="00771ABF" w:rsidRPr="004768D0" w:rsidRDefault="006D7C17" w:rsidP="00A104B5">
      <w:pPr>
        <w:pStyle w:val="ListParagraph"/>
        <w:numPr>
          <w:ilvl w:val="0"/>
          <w:numId w:val="103"/>
        </w:numPr>
        <w:jc w:val="both"/>
        <w:rPr>
          <w:color w:val="000000" w:themeColor="text1"/>
          <w:sz w:val="20"/>
          <w:szCs w:val="20"/>
          <w:lang w:val="es-ES"/>
        </w:rPr>
      </w:pPr>
      <w:r>
        <w:rPr>
          <w:color w:val="000000" w:themeColor="text1"/>
          <w:sz w:val="20"/>
          <w:szCs w:val="20"/>
          <w:lang w:val="es-ES"/>
        </w:rPr>
        <w:t>En cuanto a la a</w:t>
      </w:r>
      <w:r w:rsidR="00C61F27">
        <w:rPr>
          <w:color w:val="000000" w:themeColor="text1"/>
          <w:sz w:val="20"/>
          <w:szCs w:val="20"/>
          <w:lang w:val="es-ES"/>
        </w:rPr>
        <w:t>severa</w:t>
      </w:r>
      <w:r>
        <w:rPr>
          <w:color w:val="000000" w:themeColor="text1"/>
          <w:sz w:val="20"/>
          <w:szCs w:val="20"/>
          <w:lang w:val="es-ES"/>
        </w:rPr>
        <w:t xml:space="preserve">ción del Estado de que la </w:t>
      </w:r>
      <w:r w:rsidR="00882F67" w:rsidRPr="004768D0">
        <w:rPr>
          <w:color w:val="000000" w:themeColor="text1"/>
          <w:sz w:val="20"/>
          <w:szCs w:val="20"/>
          <w:lang w:val="es-ES"/>
        </w:rPr>
        <w:t>petición</w:t>
      </w:r>
      <w:r w:rsidR="002E1290" w:rsidRPr="004768D0">
        <w:rPr>
          <w:color w:val="000000" w:themeColor="text1"/>
          <w:sz w:val="20"/>
          <w:szCs w:val="20"/>
          <w:lang w:val="es-ES"/>
        </w:rPr>
        <w:t xml:space="preserve"> </w:t>
      </w:r>
      <w:r w:rsidRPr="004768D0">
        <w:rPr>
          <w:color w:val="000000" w:themeColor="text1"/>
          <w:sz w:val="20"/>
          <w:szCs w:val="20"/>
          <w:lang w:val="es-ES"/>
        </w:rPr>
        <w:t>debe</w:t>
      </w:r>
      <w:r w:rsidR="002E1290" w:rsidRPr="004768D0">
        <w:rPr>
          <w:color w:val="000000" w:themeColor="text1"/>
          <w:sz w:val="20"/>
          <w:szCs w:val="20"/>
          <w:lang w:val="es-ES"/>
        </w:rPr>
        <w:t xml:space="preserve"> ser declarada </w:t>
      </w:r>
      <w:r w:rsidR="002946BE" w:rsidRPr="004768D0">
        <w:rPr>
          <w:color w:val="000000" w:themeColor="text1"/>
          <w:sz w:val="20"/>
          <w:szCs w:val="20"/>
          <w:lang w:val="es-ES"/>
        </w:rPr>
        <w:t>inadmisible</w:t>
      </w:r>
      <w:r w:rsidR="002E1290" w:rsidRPr="004768D0">
        <w:rPr>
          <w:color w:val="000000" w:themeColor="text1"/>
          <w:sz w:val="20"/>
          <w:szCs w:val="20"/>
          <w:lang w:val="es-ES"/>
        </w:rPr>
        <w:t xml:space="preserve"> </w:t>
      </w:r>
      <w:r>
        <w:rPr>
          <w:color w:val="000000" w:themeColor="text1"/>
          <w:sz w:val="20"/>
          <w:szCs w:val="20"/>
          <w:lang w:val="es-ES"/>
        </w:rPr>
        <w:t xml:space="preserve">en vista de las informaciones o pruebas </w:t>
      </w:r>
      <w:r w:rsidR="002E1290" w:rsidRPr="004768D0">
        <w:rPr>
          <w:color w:val="000000" w:themeColor="text1"/>
          <w:sz w:val="20"/>
          <w:szCs w:val="20"/>
          <w:lang w:val="es-ES"/>
        </w:rPr>
        <w:t xml:space="preserve">supervenientes de que </w:t>
      </w:r>
      <w:r w:rsidR="003C58C5" w:rsidRPr="004768D0">
        <w:rPr>
          <w:color w:val="000000" w:themeColor="text1"/>
          <w:sz w:val="20"/>
          <w:szCs w:val="20"/>
          <w:lang w:val="es-ES"/>
        </w:rPr>
        <w:t>el Estado</w:t>
      </w:r>
      <w:r w:rsidR="002E1290" w:rsidRPr="004768D0">
        <w:rPr>
          <w:color w:val="000000" w:themeColor="text1"/>
          <w:sz w:val="20"/>
          <w:szCs w:val="20"/>
          <w:lang w:val="es-ES"/>
        </w:rPr>
        <w:t xml:space="preserve"> </w:t>
      </w:r>
      <w:r>
        <w:rPr>
          <w:color w:val="000000" w:themeColor="text1"/>
          <w:sz w:val="20"/>
          <w:szCs w:val="20"/>
          <w:lang w:val="es-ES"/>
        </w:rPr>
        <w:t xml:space="preserve">ha adoptado, en el plano </w:t>
      </w:r>
      <w:r w:rsidR="002E1290" w:rsidRPr="004768D0">
        <w:rPr>
          <w:color w:val="000000" w:themeColor="text1"/>
          <w:sz w:val="20"/>
          <w:szCs w:val="20"/>
          <w:lang w:val="es-ES"/>
        </w:rPr>
        <w:t xml:space="preserve">interno, medidas para esclarecer e </w:t>
      </w:r>
      <w:r>
        <w:rPr>
          <w:color w:val="000000" w:themeColor="text1"/>
          <w:sz w:val="20"/>
          <w:szCs w:val="20"/>
          <w:lang w:val="es-ES"/>
        </w:rPr>
        <w:t xml:space="preserve">investigar las </w:t>
      </w:r>
      <w:r w:rsidR="002E1290" w:rsidRPr="004768D0">
        <w:rPr>
          <w:color w:val="000000" w:themeColor="text1"/>
          <w:sz w:val="20"/>
          <w:szCs w:val="20"/>
          <w:lang w:val="es-ES"/>
        </w:rPr>
        <w:t xml:space="preserve">responsabilidades </w:t>
      </w:r>
      <w:r w:rsidR="00882F67" w:rsidRPr="004768D0">
        <w:rPr>
          <w:color w:val="000000" w:themeColor="text1"/>
          <w:sz w:val="20"/>
          <w:szCs w:val="20"/>
          <w:lang w:val="es-ES"/>
        </w:rPr>
        <w:t>individuales</w:t>
      </w:r>
      <w:r w:rsidR="002E1290" w:rsidRPr="004768D0">
        <w:rPr>
          <w:color w:val="000000" w:themeColor="text1"/>
          <w:sz w:val="20"/>
          <w:szCs w:val="20"/>
          <w:lang w:val="es-ES"/>
        </w:rPr>
        <w:t xml:space="preserve"> </w:t>
      </w:r>
      <w:r w:rsidR="00CF044D" w:rsidRPr="004768D0">
        <w:rPr>
          <w:color w:val="000000" w:themeColor="text1"/>
          <w:sz w:val="20"/>
          <w:szCs w:val="20"/>
          <w:lang w:val="es-ES"/>
        </w:rPr>
        <w:t>por las</w:t>
      </w:r>
      <w:r w:rsidR="002E1290" w:rsidRPr="004768D0">
        <w:rPr>
          <w:color w:val="000000" w:themeColor="text1"/>
          <w:sz w:val="20"/>
          <w:szCs w:val="20"/>
          <w:lang w:val="es-ES"/>
        </w:rPr>
        <w:t xml:space="preserve"> </w:t>
      </w:r>
      <w:r w:rsidR="00462731" w:rsidRPr="004768D0">
        <w:rPr>
          <w:color w:val="000000" w:themeColor="text1"/>
          <w:sz w:val="20"/>
          <w:szCs w:val="20"/>
          <w:lang w:val="es-ES"/>
        </w:rPr>
        <w:t>muertes</w:t>
      </w:r>
      <w:r w:rsidR="002E1290" w:rsidRPr="004768D0">
        <w:rPr>
          <w:color w:val="000000" w:themeColor="text1"/>
          <w:sz w:val="20"/>
          <w:szCs w:val="20"/>
          <w:lang w:val="es-ES"/>
        </w:rPr>
        <w:t xml:space="preserve"> </w:t>
      </w:r>
      <w:r>
        <w:rPr>
          <w:color w:val="000000" w:themeColor="text1"/>
          <w:sz w:val="20"/>
          <w:szCs w:val="20"/>
          <w:lang w:val="es-ES"/>
        </w:rPr>
        <w:t>y</w:t>
      </w:r>
      <w:r w:rsidR="002E1290" w:rsidRPr="004768D0">
        <w:rPr>
          <w:color w:val="000000" w:themeColor="text1"/>
          <w:sz w:val="20"/>
          <w:szCs w:val="20"/>
          <w:lang w:val="es-ES"/>
        </w:rPr>
        <w:t xml:space="preserve"> reparar </w:t>
      </w:r>
      <w:r>
        <w:rPr>
          <w:color w:val="000000" w:themeColor="text1"/>
          <w:sz w:val="20"/>
          <w:szCs w:val="20"/>
          <w:lang w:val="es-ES"/>
        </w:rPr>
        <w:t>l</w:t>
      </w:r>
      <w:r w:rsidR="002E1290" w:rsidRPr="004768D0">
        <w:rPr>
          <w:color w:val="000000" w:themeColor="text1"/>
          <w:sz w:val="20"/>
          <w:szCs w:val="20"/>
          <w:lang w:val="es-ES"/>
        </w:rPr>
        <w:t xml:space="preserve">os </w:t>
      </w:r>
      <w:r w:rsidR="002946BE" w:rsidRPr="004768D0">
        <w:rPr>
          <w:color w:val="000000" w:themeColor="text1"/>
          <w:sz w:val="20"/>
          <w:szCs w:val="20"/>
          <w:lang w:val="es-ES"/>
        </w:rPr>
        <w:t>daños</w:t>
      </w:r>
      <w:r w:rsidR="002E1290" w:rsidRPr="004768D0">
        <w:rPr>
          <w:color w:val="000000" w:themeColor="text1"/>
          <w:sz w:val="20"/>
          <w:szCs w:val="20"/>
          <w:lang w:val="es-ES"/>
        </w:rPr>
        <w:t xml:space="preserve"> </w:t>
      </w:r>
      <w:r w:rsidR="002946BE" w:rsidRPr="004768D0">
        <w:rPr>
          <w:color w:val="000000" w:themeColor="text1"/>
          <w:sz w:val="20"/>
          <w:szCs w:val="20"/>
          <w:lang w:val="es-ES"/>
        </w:rPr>
        <w:lastRenderedPageBreak/>
        <w:t>morales</w:t>
      </w:r>
      <w:r w:rsidR="002E1290" w:rsidRPr="004768D0">
        <w:rPr>
          <w:color w:val="000000" w:themeColor="text1"/>
          <w:sz w:val="20"/>
          <w:szCs w:val="20"/>
          <w:lang w:val="es-ES"/>
        </w:rPr>
        <w:t xml:space="preserve"> </w:t>
      </w:r>
      <w:r>
        <w:rPr>
          <w:color w:val="000000" w:themeColor="text1"/>
          <w:sz w:val="20"/>
          <w:szCs w:val="20"/>
          <w:lang w:val="es-ES"/>
        </w:rPr>
        <w:t>y</w:t>
      </w:r>
      <w:r w:rsidR="002E1290" w:rsidRPr="004768D0">
        <w:rPr>
          <w:color w:val="000000" w:themeColor="text1"/>
          <w:sz w:val="20"/>
          <w:szCs w:val="20"/>
          <w:lang w:val="es-ES"/>
        </w:rPr>
        <w:t xml:space="preserve"> </w:t>
      </w:r>
      <w:r w:rsidR="002946BE" w:rsidRPr="004768D0">
        <w:rPr>
          <w:color w:val="000000" w:themeColor="text1"/>
          <w:sz w:val="20"/>
          <w:szCs w:val="20"/>
          <w:lang w:val="es-ES"/>
        </w:rPr>
        <w:t>materiales</w:t>
      </w:r>
      <w:r w:rsidR="002E1290" w:rsidRPr="004768D0">
        <w:rPr>
          <w:color w:val="000000" w:themeColor="text1"/>
          <w:sz w:val="20"/>
          <w:szCs w:val="20"/>
          <w:lang w:val="es-ES"/>
        </w:rPr>
        <w:t xml:space="preserve"> d</w:t>
      </w:r>
      <w:r>
        <w:rPr>
          <w:color w:val="000000" w:themeColor="text1"/>
          <w:sz w:val="20"/>
          <w:szCs w:val="20"/>
          <w:lang w:val="es-ES"/>
        </w:rPr>
        <w:t>e l</w:t>
      </w:r>
      <w:r w:rsidR="002E1290" w:rsidRPr="004768D0">
        <w:rPr>
          <w:color w:val="000000" w:themeColor="text1"/>
          <w:sz w:val="20"/>
          <w:szCs w:val="20"/>
          <w:lang w:val="es-ES"/>
        </w:rPr>
        <w:t xml:space="preserve">as </w:t>
      </w:r>
      <w:r w:rsidR="00000CF9" w:rsidRPr="004768D0">
        <w:rPr>
          <w:color w:val="000000" w:themeColor="text1"/>
          <w:sz w:val="20"/>
          <w:szCs w:val="20"/>
          <w:lang w:val="es-ES"/>
        </w:rPr>
        <w:t>víctimas</w:t>
      </w:r>
      <w:r w:rsidR="002E1290" w:rsidRPr="004768D0">
        <w:rPr>
          <w:color w:val="000000" w:themeColor="text1"/>
          <w:sz w:val="20"/>
          <w:szCs w:val="20"/>
          <w:lang w:val="es-ES"/>
        </w:rPr>
        <w:t xml:space="preserve"> </w:t>
      </w:r>
      <w:r>
        <w:rPr>
          <w:color w:val="000000" w:themeColor="text1"/>
          <w:sz w:val="20"/>
          <w:szCs w:val="20"/>
          <w:lang w:val="es-ES"/>
        </w:rPr>
        <w:t>y</w:t>
      </w:r>
      <w:r w:rsidR="002E1290" w:rsidRPr="004768D0">
        <w:rPr>
          <w:color w:val="000000" w:themeColor="text1"/>
          <w:sz w:val="20"/>
          <w:szCs w:val="20"/>
          <w:lang w:val="es-ES"/>
        </w:rPr>
        <w:t xml:space="preserve"> </w:t>
      </w:r>
      <w:r w:rsidR="000C0AC4" w:rsidRPr="004768D0">
        <w:rPr>
          <w:color w:val="000000" w:themeColor="text1"/>
          <w:sz w:val="20"/>
          <w:szCs w:val="20"/>
          <w:lang w:val="es-ES"/>
        </w:rPr>
        <w:t>sus</w:t>
      </w:r>
      <w:r w:rsidR="002E1290" w:rsidRPr="004768D0">
        <w:rPr>
          <w:color w:val="000000" w:themeColor="text1"/>
          <w:sz w:val="20"/>
          <w:szCs w:val="20"/>
          <w:lang w:val="es-ES"/>
        </w:rPr>
        <w:t xml:space="preserve"> familiares, </w:t>
      </w:r>
      <w:r>
        <w:rPr>
          <w:color w:val="000000" w:themeColor="text1"/>
          <w:sz w:val="20"/>
          <w:szCs w:val="20"/>
          <w:lang w:val="es-ES"/>
        </w:rPr>
        <w:t>l</w:t>
      </w:r>
      <w:r w:rsidR="002E1290" w:rsidRPr="004768D0">
        <w:rPr>
          <w:color w:val="000000" w:themeColor="text1"/>
          <w:sz w:val="20"/>
          <w:szCs w:val="20"/>
          <w:lang w:val="es-ES"/>
        </w:rPr>
        <w:t xml:space="preserve">a </w:t>
      </w:r>
      <w:r w:rsidR="00C65DE2" w:rsidRPr="004768D0">
        <w:rPr>
          <w:color w:val="000000" w:themeColor="text1"/>
          <w:sz w:val="20"/>
          <w:szCs w:val="20"/>
          <w:lang w:val="es-ES"/>
        </w:rPr>
        <w:t>Comisión</w:t>
      </w:r>
      <w:r w:rsidR="002E1290" w:rsidRPr="004768D0">
        <w:rPr>
          <w:color w:val="000000" w:themeColor="text1"/>
          <w:sz w:val="20"/>
          <w:szCs w:val="20"/>
          <w:lang w:val="es-ES"/>
        </w:rPr>
        <w:t xml:space="preserve"> </w:t>
      </w:r>
      <w:r>
        <w:rPr>
          <w:color w:val="000000" w:themeColor="text1"/>
          <w:sz w:val="20"/>
          <w:szCs w:val="20"/>
          <w:lang w:val="es-ES"/>
        </w:rPr>
        <w:t xml:space="preserve">aclara que los cambios inherentes a la evolución de las </w:t>
      </w:r>
      <w:r w:rsidRPr="004768D0">
        <w:rPr>
          <w:color w:val="000000" w:themeColor="text1"/>
          <w:sz w:val="20"/>
          <w:szCs w:val="20"/>
          <w:lang w:val="es-ES"/>
        </w:rPr>
        <w:t>circunstancias</w:t>
      </w:r>
      <w:r w:rsidR="002E1290" w:rsidRPr="004768D0">
        <w:rPr>
          <w:color w:val="000000" w:themeColor="text1"/>
          <w:sz w:val="20"/>
          <w:szCs w:val="20"/>
          <w:lang w:val="es-ES"/>
        </w:rPr>
        <w:t xml:space="preserve"> d</w:t>
      </w:r>
      <w:r>
        <w:rPr>
          <w:color w:val="000000" w:themeColor="text1"/>
          <w:sz w:val="20"/>
          <w:szCs w:val="20"/>
          <w:lang w:val="es-ES"/>
        </w:rPr>
        <w:t>e los</w:t>
      </w:r>
      <w:r w:rsidR="002E1290" w:rsidRPr="004768D0">
        <w:rPr>
          <w:color w:val="000000" w:themeColor="text1"/>
          <w:sz w:val="20"/>
          <w:szCs w:val="20"/>
          <w:lang w:val="es-ES"/>
        </w:rPr>
        <w:t xml:space="preserve"> </w:t>
      </w:r>
      <w:r w:rsidR="000C0AC4" w:rsidRPr="004768D0">
        <w:rPr>
          <w:color w:val="000000" w:themeColor="text1"/>
          <w:sz w:val="20"/>
          <w:szCs w:val="20"/>
          <w:lang w:val="es-ES"/>
        </w:rPr>
        <w:t>hechos</w:t>
      </w:r>
      <w:r w:rsidR="002E1290" w:rsidRPr="004768D0">
        <w:rPr>
          <w:color w:val="000000" w:themeColor="text1"/>
          <w:sz w:val="20"/>
          <w:szCs w:val="20"/>
          <w:lang w:val="es-ES"/>
        </w:rPr>
        <w:t xml:space="preserve"> </w:t>
      </w:r>
      <w:r w:rsidRPr="004768D0">
        <w:rPr>
          <w:color w:val="000000" w:themeColor="text1"/>
          <w:sz w:val="20"/>
          <w:szCs w:val="20"/>
          <w:lang w:val="es-ES"/>
        </w:rPr>
        <w:t>en</w:t>
      </w:r>
      <w:r w:rsidR="002E1290" w:rsidRPr="004768D0">
        <w:rPr>
          <w:color w:val="000000" w:themeColor="text1"/>
          <w:sz w:val="20"/>
          <w:szCs w:val="20"/>
          <w:lang w:val="es-ES"/>
        </w:rPr>
        <w:t xml:space="preserve"> </w:t>
      </w:r>
      <w:r>
        <w:rPr>
          <w:color w:val="000000" w:themeColor="text1"/>
          <w:sz w:val="20"/>
          <w:szCs w:val="20"/>
          <w:lang w:val="es-ES"/>
        </w:rPr>
        <w:t xml:space="preserve">el </w:t>
      </w:r>
      <w:r w:rsidRPr="004768D0">
        <w:rPr>
          <w:color w:val="000000" w:themeColor="text1"/>
          <w:sz w:val="20"/>
          <w:szCs w:val="20"/>
          <w:lang w:val="es-ES"/>
        </w:rPr>
        <w:t>ámbito</w:t>
      </w:r>
      <w:r w:rsidR="002E1290" w:rsidRPr="004768D0">
        <w:rPr>
          <w:color w:val="000000" w:themeColor="text1"/>
          <w:sz w:val="20"/>
          <w:szCs w:val="20"/>
          <w:lang w:val="es-ES"/>
        </w:rPr>
        <w:t xml:space="preserve"> interno no imp</w:t>
      </w:r>
      <w:r>
        <w:rPr>
          <w:color w:val="000000" w:themeColor="text1"/>
          <w:sz w:val="20"/>
          <w:szCs w:val="20"/>
          <w:lang w:val="es-ES"/>
        </w:rPr>
        <w:t>iden la</w:t>
      </w:r>
      <w:r w:rsidR="002E1290" w:rsidRPr="004768D0">
        <w:rPr>
          <w:color w:val="000000" w:themeColor="text1"/>
          <w:sz w:val="20"/>
          <w:szCs w:val="20"/>
          <w:lang w:val="es-ES"/>
        </w:rPr>
        <w:t xml:space="preserve"> </w:t>
      </w:r>
      <w:r w:rsidR="00472BCC" w:rsidRPr="004768D0">
        <w:rPr>
          <w:color w:val="000000" w:themeColor="text1"/>
          <w:sz w:val="20"/>
          <w:szCs w:val="20"/>
          <w:lang w:val="es-ES"/>
        </w:rPr>
        <w:t>admisibilidad</w:t>
      </w:r>
      <w:r w:rsidR="002E1290" w:rsidRPr="004768D0">
        <w:rPr>
          <w:color w:val="000000" w:themeColor="text1"/>
          <w:sz w:val="20"/>
          <w:szCs w:val="20"/>
          <w:lang w:val="es-ES"/>
        </w:rPr>
        <w:t xml:space="preserve"> o </w:t>
      </w:r>
      <w:r w:rsidR="00D81C52">
        <w:rPr>
          <w:color w:val="000000" w:themeColor="text1"/>
          <w:sz w:val="20"/>
          <w:szCs w:val="20"/>
          <w:lang w:val="es-ES"/>
        </w:rPr>
        <w:t xml:space="preserve">la </w:t>
      </w:r>
      <w:r w:rsidR="002E1290" w:rsidRPr="004768D0">
        <w:rPr>
          <w:color w:val="000000" w:themeColor="text1"/>
          <w:sz w:val="20"/>
          <w:szCs w:val="20"/>
          <w:lang w:val="es-ES"/>
        </w:rPr>
        <w:t xml:space="preserve">eventual </w:t>
      </w:r>
      <w:r w:rsidR="00D81C52">
        <w:rPr>
          <w:color w:val="000000" w:themeColor="text1"/>
          <w:sz w:val="20"/>
          <w:szCs w:val="20"/>
          <w:lang w:val="es-ES"/>
        </w:rPr>
        <w:t xml:space="preserve">investigación de las </w:t>
      </w:r>
      <w:r w:rsidR="00F5490C" w:rsidRPr="004768D0">
        <w:rPr>
          <w:color w:val="000000" w:themeColor="text1"/>
          <w:sz w:val="20"/>
          <w:szCs w:val="20"/>
          <w:lang w:val="es-ES"/>
        </w:rPr>
        <w:t>violaciones</w:t>
      </w:r>
      <w:r w:rsidR="002E1290" w:rsidRPr="004768D0">
        <w:rPr>
          <w:color w:val="000000" w:themeColor="text1"/>
          <w:sz w:val="20"/>
          <w:szCs w:val="20"/>
          <w:lang w:val="es-ES"/>
        </w:rPr>
        <w:t xml:space="preserve"> cometidas</w:t>
      </w:r>
      <w:r w:rsidR="002E1290" w:rsidRPr="004768D0">
        <w:rPr>
          <w:bCs/>
          <w:sz w:val="20"/>
          <w:szCs w:val="20"/>
          <w:vertAlign w:val="superscript"/>
          <w:lang w:val="es-ES"/>
        </w:rPr>
        <w:footnoteReference w:id="20"/>
      </w:r>
      <w:r w:rsidR="00771ABF" w:rsidRPr="004768D0">
        <w:rPr>
          <w:color w:val="000000" w:themeColor="text1"/>
          <w:sz w:val="20"/>
          <w:szCs w:val="20"/>
          <w:lang w:val="es-ES"/>
        </w:rPr>
        <w:t xml:space="preserve"> </w:t>
      </w:r>
      <w:r w:rsidR="00D81C52">
        <w:rPr>
          <w:color w:val="000000" w:themeColor="text1"/>
          <w:sz w:val="20"/>
          <w:szCs w:val="20"/>
          <w:lang w:val="es-ES"/>
        </w:rPr>
        <w:t>y</w:t>
      </w:r>
      <w:r w:rsidR="00771ABF" w:rsidRPr="004768D0">
        <w:rPr>
          <w:color w:val="000000" w:themeColor="text1"/>
          <w:sz w:val="20"/>
          <w:szCs w:val="20"/>
          <w:lang w:val="es-ES"/>
        </w:rPr>
        <w:t xml:space="preserve"> que </w:t>
      </w:r>
      <w:r w:rsidR="00D81C52">
        <w:rPr>
          <w:color w:val="000000" w:themeColor="text1"/>
          <w:sz w:val="20"/>
          <w:szCs w:val="20"/>
          <w:lang w:val="es-ES"/>
        </w:rPr>
        <w:t xml:space="preserve">las </w:t>
      </w:r>
      <w:r w:rsidR="00771ABF" w:rsidRPr="004768D0">
        <w:rPr>
          <w:color w:val="000000" w:themeColor="text1"/>
          <w:sz w:val="20"/>
          <w:szCs w:val="20"/>
          <w:lang w:val="es-ES"/>
        </w:rPr>
        <w:t>considera</w:t>
      </w:r>
      <w:r w:rsidR="00D81C52">
        <w:rPr>
          <w:color w:val="000000" w:themeColor="text1"/>
          <w:sz w:val="20"/>
          <w:szCs w:val="20"/>
          <w:lang w:val="es-ES"/>
        </w:rPr>
        <w:t xml:space="preserve">ciones </w:t>
      </w:r>
      <w:r w:rsidR="00771ABF" w:rsidRPr="004768D0">
        <w:rPr>
          <w:color w:val="000000" w:themeColor="text1"/>
          <w:sz w:val="20"/>
          <w:szCs w:val="20"/>
          <w:lang w:val="es-ES"/>
        </w:rPr>
        <w:t xml:space="preserve">sobre </w:t>
      </w:r>
      <w:r w:rsidR="00D81C52">
        <w:rPr>
          <w:color w:val="000000" w:themeColor="text1"/>
          <w:sz w:val="20"/>
          <w:szCs w:val="20"/>
          <w:lang w:val="es-ES"/>
        </w:rPr>
        <w:t xml:space="preserve">la </w:t>
      </w:r>
      <w:r w:rsidR="00771ABF" w:rsidRPr="004768D0">
        <w:rPr>
          <w:color w:val="000000" w:themeColor="text1"/>
          <w:sz w:val="20"/>
          <w:szCs w:val="20"/>
          <w:lang w:val="es-ES"/>
        </w:rPr>
        <w:t>repara</w:t>
      </w:r>
      <w:r w:rsidR="00D81C52">
        <w:rPr>
          <w:color w:val="000000" w:themeColor="text1"/>
          <w:sz w:val="20"/>
          <w:szCs w:val="20"/>
          <w:lang w:val="es-ES"/>
        </w:rPr>
        <w:t xml:space="preserve">ción </w:t>
      </w:r>
      <w:r w:rsidR="00D81C52" w:rsidRPr="004768D0">
        <w:rPr>
          <w:color w:val="000000" w:themeColor="text1"/>
          <w:sz w:val="20"/>
          <w:szCs w:val="20"/>
          <w:lang w:val="es-ES"/>
        </w:rPr>
        <w:t>corresponden</w:t>
      </w:r>
      <w:r w:rsidR="00771ABF" w:rsidRPr="004768D0">
        <w:rPr>
          <w:color w:val="000000" w:themeColor="text1"/>
          <w:sz w:val="20"/>
          <w:szCs w:val="20"/>
          <w:lang w:val="es-ES"/>
        </w:rPr>
        <w:t xml:space="preserve"> </w:t>
      </w:r>
      <w:r w:rsidR="00D81C52">
        <w:rPr>
          <w:color w:val="000000" w:themeColor="text1"/>
          <w:sz w:val="20"/>
          <w:szCs w:val="20"/>
          <w:lang w:val="es-ES"/>
        </w:rPr>
        <w:t>a la</w:t>
      </w:r>
      <w:r w:rsidR="00771ABF" w:rsidRPr="004768D0">
        <w:rPr>
          <w:color w:val="000000" w:themeColor="text1"/>
          <w:sz w:val="20"/>
          <w:szCs w:val="20"/>
          <w:lang w:val="es-ES"/>
        </w:rPr>
        <w:t xml:space="preserve"> etapa de </w:t>
      </w:r>
      <w:r w:rsidR="00D81C52">
        <w:rPr>
          <w:color w:val="000000" w:themeColor="text1"/>
          <w:sz w:val="20"/>
          <w:szCs w:val="20"/>
          <w:lang w:val="es-ES"/>
        </w:rPr>
        <w:t>fondo</w:t>
      </w:r>
      <w:r w:rsidR="00771ABF" w:rsidRPr="004768D0">
        <w:rPr>
          <w:bCs/>
          <w:color w:val="000000" w:themeColor="text1"/>
          <w:sz w:val="20"/>
          <w:szCs w:val="20"/>
          <w:vertAlign w:val="superscript"/>
          <w:lang w:val="es-ES"/>
        </w:rPr>
        <w:footnoteReference w:id="21"/>
      </w:r>
      <w:r w:rsidR="00D81C52">
        <w:rPr>
          <w:color w:val="000000" w:themeColor="text1"/>
          <w:sz w:val="20"/>
          <w:szCs w:val="20"/>
          <w:lang w:val="es-ES"/>
        </w:rPr>
        <w:t>.</w:t>
      </w:r>
      <w:r w:rsidR="00771ABF" w:rsidRPr="004768D0">
        <w:rPr>
          <w:color w:val="000000" w:themeColor="text1"/>
          <w:sz w:val="20"/>
          <w:szCs w:val="20"/>
          <w:lang w:val="es-ES"/>
        </w:rPr>
        <w:t xml:space="preserve"> </w:t>
      </w:r>
    </w:p>
    <w:p w14:paraId="5CEB46FE" w14:textId="77777777" w:rsidR="00771ABF" w:rsidRPr="004768D0" w:rsidRDefault="00771ABF" w:rsidP="00771ABF">
      <w:pPr>
        <w:pStyle w:val="ListParagraph"/>
        <w:jc w:val="both"/>
        <w:rPr>
          <w:color w:val="000000" w:themeColor="text1"/>
          <w:sz w:val="20"/>
          <w:szCs w:val="20"/>
          <w:lang w:val="es-ES"/>
        </w:rPr>
      </w:pPr>
    </w:p>
    <w:p w14:paraId="490F6021" w14:textId="77777777" w:rsidR="00771ABF" w:rsidRPr="004768D0" w:rsidRDefault="00D81C52" w:rsidP="00A104B5">
      <w:pPr>
        <w:pStyle w:val="ListParagraph"/>
        <w:numPr>
          <w:ilvl w:val="0"/>
          <w:numId w:val="103"/>
        </w:numPr>
        <w:jc w:val="both"/>
        <w:rPr>
          <w:color w:val="000000" w:themeColor="text1"/>
          <w:sz w:val="20"/>
          <w:szCs w:val="20"/>
          <w:lang w:val="es-ES"/>
        </w:rPr>
      </w:pPr>
      <w:r>
        <w:rPr>
          <w:color w:val="000000" w:themeColor="text1"/>
          <w:sz w:val="20"/>
          <w:szCs w:val="20"/>
          <w:lang w:val="es-ES"/>
        </w:rPr>
        <w:t xml:space="preserve">Con respecto al agotamiento de los </w:t>
      </w:r>
      <w:r w:rsidR="00771ABF" w:rsidRPr="004768D0">
        <w:rPr>
          <w:color w:val="000000" w:themeColor="text1"/>
          <w:sz w:val="20"/>
          <w:szCs w:val="20"/>
          <w:lang w:val="es-ES"/>
        </w:rPr>
        <w:t xml:space="preserve">recursos internos, </w:t>
      </w:r>
      <w:r>
        <w:rPr>
          <w:color w:val="000000" w:themeColor="text1"/>
          <w:sz w:val="20"/>
          <w:szCs w:val="20"/>
          <w:lang w:val="es-ES"/>
        </w:rPr>
        <w:t>l</w:t>
      </w:r>
      <w:r w:rsidR="00771ABF" w:rsidRPr="004768D0">
        <w:rPr>
          <w:color w:val="000000" w:themeColor="text1"/>
          <w:sz w:val="20"/>
          <w:szCs w:val="20"/>
          <w:lang w:val="es-ES"/>
        </w:rPr>
        <w:t xml:space="preserve">a </w:t>
      </w:r>
      <w:r w:rsidR="00C65DE2" w:rsidRPr="004768D0">
        <w:rPr>
          <w:color w:val="000000" w:themeColor="text1"/>
          <w:sz w:val="20"/>
          <w:szCs w:val="20"/>
          <w:lang w:val="es-ES"/>
        </w:rPr>
        <w:t>Comisión</w:t>
      </w:r>
      <w:r w:rsidR="00771ABF" w:rsidRPr="004768D0">
        <w:rPr>
          <w:color w:val="000000" w:themeColor="text1"/>
          <w:sz w:val="20"/>
          <w:szCs w:val="20"/>
          <w:lang w:val="es-ES"/>
        </w:rPr>
        <w:t xml:space="preserve"> observa que, </w:t>
      </w:r>
      <w:r w:rsidRPr="004768D0">
        <w:rPr>
          <w:color w:val="000000" w:themeColor="text1"/>
          <w:sz w:val="20"/>
          <w:szCs w:val="20"/>
          <w:lang w:val="es-ES"/>
        </w:rPr>
        <w:t>en</w:t>
      </w:r>
      <w:r w:rsidR="00771ABF" w:rsidRPr="004768D0">
        <w:rPr>
          <w:color w:val="000000" w:themeColor="text1"/>
          <w:sz w:val="20"/>
          <w:szCs w:val="20"/>
          <w:lang w:val="es-ES"/>
        </w:rPr>
        <w:t xml:space="preserve"> </w:t>
      </w:r>
      <w:r>
        <w:rPr>
          <w:color w:val="000000" w:themeColor="text1"/>
          <w:sz w:val="20"/>
          <w:szCs w:val="20"/>
          <w:lang w:val="es-ES"/>
        </w:rPr>
        <w:t xml:space="preserve">casos de </w:t>
      </w:r>
      <w:r w:rsidR="00771ABF" w:rsidRPr="004768D0">
        <w:rPr>
          <w:color w:val="000000" w:themeColor="text1"/>
          <w:sz w:val="20"/>
          <w:szCs w:val="20"/>
          <w:lang w:val="es-ES"/>
        </w:rPr>
        <w:t xml:space="preserve">delitos contra </w:t>
      </w:r>
      <w:r>
        <w:rPr>
          <w:color w:val="000000" w:themeColor="text1"/>
          <w:sz w:val="20"/>
          <w:szCs w:val="20"/>
          <w:lang w:val="es-ES"/>
        </w:rPr>
        <w:t>l</w:t>
      </w:r>
      <w:r w:rsidR="00771ABF" w:rsidRPr="004768D0">
        <w:rPr>
          <w:color w:val="000000" w:themeColor="text1"/>
          <w:sz w:val="20"/>
          <w:szCs w:val="20"/>
          <w:lang w:val="es-ES"/>
        </w:rPr>
        <w:t xml:space="preserve">a vida </w:t>
      </w:r>
      <w:r>
        <w:rPr>
          <w:color w:val="000000" w:themeColor="text1"/>
          <w:sz w:val="20"/>
          <w:szCs w:val="20"/>
          <w:lang w:val="es-ES"/>
        </w:rPr>
        <w:t>y l</w:t>
      </w:r>
      <w:r w:rsidR="00771ABF" w:rsidRPr="004768D0">
        <w:rPr>
          <w:color w:val="000000" w:themeColor="text1"/>
          <w:sz w:val="20"/>
          <w:szCs w:val="20"/>
          <w:lang w:val="es-ES"/>
        </w:rPr>
        <w:t xml:space="preserve">a integridad, </w:t>
      </w:r>
      <w:r>
        <w:rPr>
          <w:color w:val="000000" w:themeColor="text1"/>
          <w:sz w:val="20"/>
          <w:szCs w:val="20"/>
          <w:lang w:val="es-ES"/>
        </w:rPr>
        <w:t>l</w:t>
      </w:r>
      <w:r w:rsidR="00771ABF" w:rsidRPr="004768D0">
        <w:rPr>
          <w:color w:val="000000" w:themeColor="text1"/>
          <w:sz w:val="20"/>
          <w:szCs w:val="20"/>
          <w:lang w:val="es-ES"/>
        </w:rPr>
        <w:t xml:space="preserve">os recursos internos </w:t>
      </w:r>
      <w:r>
        <w:rPr>
          <w:color w:val="000000" w:themeColor="text1"/>
          <w:sz w:val="20"/>
          <w:szCs w:val="20"/>
          <w:lang w:val="es-ES"/>
        </w:rPr>
        <w:t xml:space="preserve">que deben agotarse son los </w:t>
      </w:r>
      <w:r w:rsidR="00771ABF" w:rsidRPr="004768D0">
        <w:rPr>
          <w:color w:val="000000" w:themeColor="text1"/>
          <w:sz w:val="20"/>
          <w:szCs w:val="20"/>
          <w:lang w:val="es-ES"/>
        </w:rPr>
        <w:t xml:space="preserve">relativos </w:t>
      </w:r>
      <w:r>
        <w:rPr>
          <w:color w:val="000000" w:themeColor="text1"/>
          <w:sz w:val="20"/>
          <w:szCs w:val="20"/>
          <w:lang w:val="es-ES"/>
        </w:rPr>
        <w:t>a la</w:t>
      </w:r>
      <w:r w:rsidR="00771ABF" w:rsidRPr="004768D0">
        <w:rPr>
          <w:color w:val="000000" w:themeColor="text1"/>
          <w:sz w:val="20"/>
          <w:szCs w:val="20"/>
          <w:lang w:val="es-ES"/>
        </w:rPr>
        <w:t xml:space="preserve"> </w:t>
      </w:r>
      <w:r w:rsidR="00712D2E" w:rsidRPr="004768D0">
        <w:rPr>
          <w:color w:val="000000" w:themeColor="text1"/>
          <w:sz w:val="20"/>
          <w:szCs w:val="20"/>
          <w:lang w:val="es-ES"/>
        </w:rPr>
        <w:t>investigación</w:t>
      </w:r>
      <w:r w:rsidR="00771ABF" w:rsidRPr="004768D0">
        <w:rPr>
          <w:color w:val="000000" w:themeColor="text1"/>
          <w:sz w:val="20"/>
          <w:szCs w:val="20"/>
          <w:lang w:val="es-ES"/>
        </w:rPr>
        <w:t xml:space="preserve"> penal </w:t>
      </w:r>
      <w:r>
        <w:rPr>
          <w:color w:val="000000" w:themeColor="text1"/>
          <w:sz w:val="20"/>
          <w:szCs w:val="20"/>
          <w:lang w:val="es-ES"/>
        </w:rPr>
        <w:t xml:space="preserve">y la sanción de los </w:t>
      </w:r>
      <w:r w:rsidR="000A5DA2" w:rsidRPr="004768D0">
        <w:rPr>
          <w:color w:val="000000" w:themeColor="text1"/>
          <w:sz w:val="20"/>
          <w:szCs w:val="20"/>
          <w:lang w:val="es-ES"/>
        </w:rPr>
        <w:t>responsables</w:t>
      </w:r>
      <w:r w:rsidR="00771ABF" w:rsidRPr="004768D0">
        <w:rPr>
          <w:bCs/>
          <w:sz w:val="20"/>
          <w:szCs w:val="20"/>
          <w:vertAlign w:val="superscript"/>
          <w:lang w:val="es-ES"/>
        </w:rPr>
        <w:footnoteReference w:id="22"/>
      </w:r>
      <w:r>
        <w:rPr>
          <w:color w:val="000000" w:themeColor="text1"/>
          <w:sz w:val="20"/>
          <w:szCs w:val="20"/>
          <w:lang w:val="es-ES"/>
        </w:rPr>
        <w:t>.</w:t>
      </w:r>
    </w:p>
    <w:p w14:paraId="6DE7B45E" w14:textId="77777777" w:rsidR="00C106FD" w:rsidRPr="004768D0" w:rsidRDefault="00C106FD" w:rsidP="00C106FD">
      <w:pPr>
        <w:jc w:val="both"/>
        <w:rPr>
          <w:rFonts w:ascii="Cambria" w:hAnsi="Cambria"/>
          <w:color w:val="000000" w:themeColor="text1"/>
          <w:sz w:val="20"/>
          <w:szCs w:val="20"/>
          <w:lang w:val="es-ES"/>
        </w:rPr>
      </w:pPr>
    </w:p>
    <w:p w14:paraId="6CFF66F1" w14:textId="77777777" w:rsidR="00771ABF" w:rsidRPr="004768D0" w:rsidRDefault="00D81C52" w:rsidP="00A104B5">
      <w:pPr>
        <w:pStyle w:val="ListParagraph"/>
        <w:numPr>
          <w:ilvl w:val="0"/>
          <w:numId w:val="103"/>
        </w:numPr>
        <w:jc w:val="both"/>
        <w:rPr>
          <w:color w:val="000000" w:themeColor="text1"/>
          <w:sz w:val="20"/>
          <w:szCs w:val="20"/>
          <w:lang w:val="es-ES"/>
        </w:rPr>
      </w:pPr>
      <w:r>
        <w:rPr>
          <w:color w:val="000000" w:themeColor="text1"/>
          <w:sz w:val="20"/>
          <w:szCs w:val="20"/>
          <w:lang w:val="es-ES"/>
        </w:rPr>
        <w:t xml:space="preserve">De acuerdo con el </w:t>
      </w:r>
      <w:r w:rsidR="0052395A" w:rsidRPr="004768D0">
        <w:rPr>
          <w:color w:val="000000" w:themeColor="text1"/>
          <w:sz w:val="20"/>
          <w:szCs w:val="20"/>
          <w:lang w:val="es-ES"/>
        </w:rPr>
        <w:t>artículo</w:t>
      </w:r>
      <w:r w:rsidR="00771ABF" w:rsidRPr="004768D0">
        <w:rPr>
          <w:color w:val="000000" w:themeColor="text1"/>
          <w:sz w:val="20"/>
          <w:szCs w:val="20"/>
          <w:lang w:val="es-ES"/>
        </w:rPr>
        <w:t xml:space="preserve"> 46.2</w:t>
      </w:r>
      <w:r>
        <w:rPr>
          <w:color w:val="000000" w:themeColor="text1"/>
          <w:sz w:val="20"/>
          <w:szCs w:val="20"/>
          <w:lang w:val="es-ES"/>
        </w:rPr>
        <w:t>.</w:t>
      </w:r>
      <w:r w:rsidR="00771ABF" w:rsidRPr="004768D0">
        <w:rPr>
          <w:color w:val="000000" w:themeColor="text1"/>
          <w:sz w:val="20"/>
          <w:szCs w:val="20"/>
          <w:lang w:val="es-ES"/>
        </w:rPr>
        <w:t xml:space="preserve">c </w:t>
      </w:r>
      <w:r w:rsidR="0052395A" w:rsidRPr="004768D0">
        <w:rPr>
          <w:color w:val="000000" w:themeColor="text1"/>
          <w:sz w:val="20"/>
          <w:szCs w:val="20"/>
          <w:lang w:val="es-ES"/>
        </w:rPr>
        <w:t>de la Convención</w:t>
      </w:r>
      <w:r w:rsidR="00771ABF" w:rsidRPr="004768D0">
        <w:rPr>
          <w:color w:val="000000" w:themeColor="text1"/>
          <w:sz w:val="20"/>
          <w:szCs w:val="20"/>
          <w:lang w:val="es-ES"/>
        </w:rPr>
        <w:t xml:space="preserve"> Americana, </w:t>
      </w:r>
      <w:r>
        <w:rPr>
          <w:color w:val="000000" w:themeColor="text1"/>
          <w:sz w:val="20"/>
          <w:szCs w:val="20"/>
          <w:lang w:val="es-ES"/>
        </w:rPr>
        <w:t xml:space="preserve">la regla del agotamiento no </w:t>
      </w:r>
      <w:r w:rsidR="00771ABF" w:rsidRPr="004768D0">
        <w:rPr>
          <w:color w:val="000000" w:themeColor="text1"/>
          <w:sz w:val="20"/>
          <w:szCs w:val="20"/>
          <w:lang w:val="es-ES"/>
        </w:rPr>
        <w:t xml:space="preserve">se aplica </w:t>
      </w:r>
      <w:r w:rsidRPr="004768D0">
        <w:rPr>
          <w:color w:val="000000" w:themeColor="text1"/>
          <w:sz w:val="20"/>
          <w:szCs w:val="20"/>
          <w:lang w:val="es-ES"/>
        </w:rPr>
        <w:t>cuando</w:t>
      </w:r>
      <w:r w:rsidR="00771ABF" w:rsidRPr="004768D0">
        <w:rPr>
          <w:color w:val="000000" w:themeColor="text1"/>
          <w:sz w:val="20"/>
          <w:szCs w:val="20"/>
          <w:lang w:val="es-ES"/>
        </w:rPr>
        <w:t xml:space="preserve"> h</w:t>
      </w:r>
      <w:r>
        <w:rPr>
          <w:color w:val="000000" w:themeColor="text1"/>
          <w:sz w:val="20"/>
          <w:szCs w:val="20"/>
          <w:lang w:val="es-ES"/>
        </w:rPr>
        <w:t xml:space="preserve">ay una </w:t>
      </w:r>
      <w:r w:rsidR="00771ABF" w:rsidRPr="004768D0">
        <w:rPr>
          <w:color w:val="000000" w:themeColor="text1"/>
          <w:sz w:val="20"/>
          <w:szCs w:val="20"/>
          <w:lang w:val="es-ES"/>
        </w:rPr>
        <w:t xml:space="preserve">demora injustificada </w:t>
      </w:r>
      <w:r>
        <w:rPr>
          <w:color w:val="000000" w:themeColor="text1"/>
          <w:sz w:val="20"/>
          <w:szCs w:val="20"/>
          <w:lang w:val="es-ES"/>
        </w:rPr>
        <w:t>e</w:t>
      </w:r>
      <w:r w:rsidR="00771ABF" w:rsidRPr="004768D0">
        <w:rPr>
          <w:color w:val="000000" w:themeColor="text1"/>
          <w:sz w:val="20"/>
          <w:szCs w:val="20"/>
          <w:lang w:val="es-ES"/>
        </w:rPr>
        <w:t>n</w:t>
      </w:r>
      <w:r>
        <w:rPr>
          <w:color w:val="000000" w:themeColor="text1"/>
          <w:sz w:val="20"/>
          <w:szCs w:val="20"/>
          <w:lang w:val="es-ES"/>
        </w:rPr>
        <w:t xml:space="preserve"> l</w:t>
      </w:r>
      <w:r w:rsidR="00771ABF" w:rsidRPr="004768D0">
        <w:rPr>
          <w:color w:val="000000" w:themeColor="text1"/>
          <w:sz w:val="20"/>
          <w:szCs w:val="20"/>
          <w:lang w:val="es-ES"/>
        </w:rPr>
        <w:t>a decis</w:t>
      </w:r>
      <w:r>
        <w:rPr>
          <w:color w:val="000000" w:themeColor="text1"/>
          <w:sz w:val="20"/>
          <w:szCs w:val="20"/>
          <w:lang w:val="es-ES"/>
        </w:rPr>
        <w:t xml:space="preserve">ión </w:t>
      </w:r>
      <w:r w:rsidR="00771ABF" w:rsidRPr="004768D0">
        <w:rPr>
          <w:color w:val="000000" w:themeColor="text1"/>
          <w:sz w:val="20"/>
          <w:szCs w:val="20"/>
          <w:lang w:val="es-ES"/>
        </w:rPr>
        <w:t xml:space="preserve">sobre </w:t>
      </w:r>
      <w:r>
        <w:rPr>
          <w:color w:val="000000" w:themeColor="text1"/>
          <w:sz w:val="20"/>
          <w:szCs w:val="20"/>
          <w:lang w:val="es-ES"/>
        </w:rPr>
        <w:t>l</w:t>
      </w:r>
      <w:r w:rsidR="00771ABF" w:rsidRPr="004768D0">
        <w:rPr>
          <w:color w:val="000000" w:themeColor="text1"/>
          <w:sz w:val="20"/>
          <w:szCs w:val="20"/>
          <w:lang w:val="es-ES"/>
        </w:rPr>
        <w:t xml:space="preserve">os recursos internos </w:t>
      </w:r>
      <w:r w:rsidRPr="004768D0">
        <w:rPr>
          <w:color w:val="000000" w:themeColor="text1"/>
          <w:sz w:val="20"/>
          <w:szCs w:val="20"/>
          <w:lang w:val="es-ES"/>
        </w:rPr>
        <w:t>en</w:t>
      </w:r>
      <w:r w:rsidR="00771ABF" w:rsidRPr="004768D0">
        <w:rPr>
          <w:color w:val="000000" w:themeColor="text1"/>
          <w:sz w:val="20"/>
          <w:szCs w:val="20"/>
          <w:lang w:val="es-ES"/>
        </w:rPr>
        <w:t xml:space="preserve"> </w:t>
      </w:r>
      <w:r>
        <w:rPr>
          <w:color w:val="000000" w:themeColor="text1"/>
          <w:sz w:val="20"/>
          <w:szCs w:val="20"/>
          <w:lang w:val="es-ES"/>
        </w:rPr>
        <w:t>cuestión</w:t>
      </w:r>
      <w:r w:rsidR="00771ABF" w:rsidRPr="004768D0">
        <w:rPr>
          <w:color w:val="000000" w:themeColor="text1"/>
          <w:sz w:val="20"/>
          <w:szCs w:val="20"/>
          <w:lang w:val="es-ES"/>
        </w:rPr>
        <w:t>. No h</w:t>
      </w:r>
      <w:r>
        <w:rPr>
          <w:color w:val="000000" w:themeColor="text1"/>
          <w:sz w:val="20"/>
          <w:szCs w:val="20"/>
          <w:lang w:val="es-ES"/>
        </w:rPr>
        <w:t>ay</w:t>
      </w:r>
      <w:r w:rsidR="00771ABF" w:rsidRPr="004768D0">
        <w:rPr>
          <w:color w:val="000000" w:themeColor="text1"/>
          <w:sz w:val="20"/>
          <w:szCs w:val="20"/>
          <w:lang w:val="es-ES"/>
        </w:rPr>
        <w:t xml:space="preserve"> disposi</w:t>
      </w:r>
      <w:r>
        <w:rPr>
          <w:color w:val="000000" w:themeColor="text1"/>
          <w:sz w:val="20"/>
          <w:szCs w:val="20"/>
          <w:lang w:val="es-ES"/>
        </w:rPr>
        <w:t>cion</w:t>
      </w:r>
      <w:r w:rsidR="00771ABF" w:rsidRPr="004768D0">
        <w:rPr>
          <w:color w:val="000000" w:themeColor="text1"/>
          <w:sz w:val="20"/>
          <w:szCs w:val="20"/>
          <w:lang w:val="es-ES"/>
        </w:rPr>
        <w:t>es convenciona</w:t>
      </w:r>
      <w:r>
        <w:rPr>
          <w:color w:val="000000" w:themeColor="text1"/>
          <w:sz w:val="20"/>
          <w:szCs w:val="20"/>
          <w:lang w:val="es-ES"/>
        </w:rPr>
        <w:t>le</w:t>
      </w:r>
      <w:r w:rsidR="00771ABF" w:rsidRPr="004768D0">
        <w:rPr>
          <w:color w:val="000000" w:themeColor="text1"/>
          <w:sz w:val="20"/>
          <w:szCs w:val="20"/>
          <w:lang w:val="es-ES"/>
        </w:rPr>
        <w:t>s o reglamentar</w:t>
      </w:r>
      <w:r>
        <w:rPr>
          <w:color w:val="000000" w:themeColor="text1"/>
          <w:sz w:val="20"/>
          <w:szCs w:val="20"/>
          <w:lang w:val="es-ES"/>
        </w:rPr>
        <w:t xml:space="preserve">ias que establezcan </w:t>
      </w:r>
      <w:r w:rsidR="00771ABF" w:rsidRPr="004768D0">
        <w:rPr>
          <w:color w:val="000000" w:themeColor="text1"/>
          <w:sz w:val="20"/>
          <w:szCs w:val="20"/>
          <w:lang w:val="es-ES"/>
        </w:rPr>
        <w:t>de forma específica</w:t>
      </w:r>
      <w:r>
        <w:rPr>
          <w:color w:val="000000" w:themeColor="text1"/>
          <w:sz w:val="20"/>
          <w:szCs w:val="20"/>
          <w:lang w:val="es-ES"/>
        </w:rPr>
        <w:t xml:space="preserve"> qué plazo constituye una </w:t>
      </w:r>
      <w:r w:rsidR="00771ABF" w:rsidRPr="004768D0">
        <w:rPr>
          <w:color w:val="000000" w:themeColor="text1"/>
          <w:sz w:val="20"/>
          <w:szCs w:val="20"/>
          <w:lang w:val="es-ES"/>
        </w:rPr>
        <w:t xml:space="preserve">demora injustificada. Por </w:t>
      </w:r>
      <w:r>
        <w:rPr>
          <w:color w:val="000000" w:themeColor="text1"/>
          <w:sz w:val="20"/>
          <w:szCs w:val="20"/>
          <w:lang w:val="es-ES"/>
        </w:rPr>
        <w:t>eso incumbe a la</w:t>
      </w:r>
      <w:r w:rsidR="00771ABF" w:rsidRPr="004768D0">
        <w:rPr>
          <w:color w:val="000000" w:themeColor="text1"/>
          <w:sz w:val="20"/>
          <w:szCs w:val="20"/>
          <w:lang w:val="es-ES"/>
        </w:rPr>
        <w:t xml:space="preserve"> </w:t>
      </w:r>
      <w:r w:rsidR="00C65DE2" w:rsidRPr="004768D0">
        <w:rPr>
          <w:color w:val="000000" w:themeColor="text1"/>
          <w:sz w:val="20"/>
          <w:szCs w:val="20"/>
          <w:lang w:val="es-ES"/>
        </w:rPr>
        <w:t>Comisión</w:t>
      </w:r>
      <w:r w:rsidR="00771ABF" w:rsidRPr="004768D0">
        <w:rPr>
          <w:color w:val="000000" w:themeColor="text1"/>
          <w:sz w:val="20"/>
          <w:szCs w:val="20"/>
          <w:lang w:val="es-ES"/>
        </w:rPr>
        <w:t xml:space="preserve"> </w:t>
      </w:r>
      <w:r>
        <w:rPr>
          <w:color w:val="000000" w:themeColor="text1"/>
          <w:sz w:val="20"/>
          <w:szCs w:val="20"/>
          <w:lang w:val="es-ES"/>
        </w:rPr>
        <w:t>e</w:t>
      </w:r>
      <w:r w:rsidR="00771ABF" w:rsidRPr="004768D0">
        <w:rPr>
          <w:color w:val="000000" w:themeColor="text1"/>
          <w:sz w:val="20"/>
          <w:szCs w:val="20"/>
          <w:lang w:val="es-ES"/>
        </w:rPr>
        <w:t>val</w:t>
      </w:r>
      <w:r>
        <w:rPr>
          <w:color w:val="000000" w:themeColor="text1"/>
          <w:sz w:val="20"/>
          <w:szCs w:val="20"/>
          <w:lang w:val="es-ES"/>
        </w:rPr>
        <w:t>u</w:t>
      </w:r>
      <w:r w:rsidR="00771ABF" w:rsidRPr="004768D0">
        <w:rPr>
          <w:color w:val="000000" w:themeColor="text1"/>
          <w:sz w:val="20"/>
          <w:szCs w:val="20"/>
          <w:lang w:val="es-ES"/>
        </w:rPr>
        <w:t xml:space="preserve">ar </w:t>
      </w:r>
      <w:r>
        <w:rPr>
          <w:color w:val="000000" w:themeColor="text1"/>
          <w:sz w:val="20"/>
          <w:szCs w:val="20"/>
          <w:lang w:val="es-ES"/>
        </w:rPr>
        <w:t>y</w:t>
      </w:r>
      <w:r w:rsidR="00771ABF" w:rsidRPr="004768D0">
        <w:rPr>
          <w:color w:val="000000" w:themeColor="text1"/>
          <w:sz w:val="20"/>
          <w:szCs w:val="20"/>
          <w:lang w:val="es-ES"/>
        </w:rPr>
        <w:t xml:space="preserve"> determinar, e</w:t>
      </w:r>
      <w:r>
        <w:rPr>
          <w:color w:val="000000" w:themeColor="text1"/>
          <w:sz w:val="20"/>
          <w:szCs w:val="20"/>
          <w:lang w:val="es-ES"/>
        </w:rPr>
        <w:t>n</w:t>
      </w:r>
      <w:r w:rsidR="00771ABF" w:rsidRPr="004768D0">
        <w:rPr>
          <w:color w:val="000000" w:themeColor="text1"/>
          <w:sz w:val="20"/>
          <w:szCs w:val="20"/>
          <w:lang w:val="es-ES"/>
        </w:rPr>
        <w:t xml:space="preserve"> cada caso concreto, s</w:t>
      </w:r>
      <w:r>
        <w:rPr>
          <w:color w:val="000000" w:themeColor="text1"/>
          <w:sz w:val="20"/>
          <w:szCs w:val="20"/>
          <w:lang w:val="es-ES"/>
        </w:rPr>
        <w:t>i se ha producido o no una demora de ese tipo</w:t>
      </w:r>
      <w:r w:rsidR="00771ABF" w:rsidRPr="00D81C52">
        <w:rPr>
          <w:color w:val="000000" w:themeColor="text1"/>
          <w:sz w:val="20"/>
          <w:szCs w:val="20"/>
          <w:vertAlign w:val="superscript"/>
          <w:lang w:val="es-ES"/>
        </w:rPr>
        <w:footnoteReference w:id="23"/>
      </w:r>
      <w:r>
        <w:rPr>
          <w:color w:val="000000" w:themeColor="text1"/>
          <w:sz w:val="20"/>
          <w:szCs w:val="20"/>
          <w:lang w:val="es-ES"/>
        </w:rPr>
        <w:t>.</w:t>
      </w:r>
    </w:p>
    <w:p w14:paraId="1D1D21DD" w14:textId="77777777" w:rsidR="00D56A62" w:rsidRPr="004768D0" w:rsidRDefault="00D56A62" w:rsidP="00771ABF">
      <w:pPr>
        <w:rPr>
          <w:color w:val="000000" w:themeColor="text1"/>
          <w:sz w:val="20"/>
          <w:szCs w:val="20"/>
          <w:lang w:val="es-ES"/>
        </w:rPr>
      </w:pPr>
    </w:p>
    <w:p w14:paraId="01A8EDEF" w14:textId="77777777" w:rsidR="00D56A62" w:rsidRPr="004768D0" w:rsidRDefault="00D81C52" w:rsidP="00A104B5">
      <w:pPr>
        <w:pStyle w:val="ListParagraph"/>
        <w:numPr>
          <w:ilvl w:val="0"/>
          <w:numId w:val="103"/>
        </w:numPr>
        <w:jc w:val="both"/>
        <w:rPr>
          <w:color w:val="000000" w:themeColor="text1"/>
          <w:sz w:val="20"/>
          <w:szCs w:val="20"/>
          <w:lang w:val="es-ES"/>
        </w:rPr>
      </w:pPr>
      <w:r>
        <w:rPr>
          <w:color w:val="000000" w:themeColor="text1"/>
          <w:sz w:val="20"/>
          <w:szCs w:val="20"/>
          <w:lang w:val="es-ES"/>
        </w:rPr>
        <w:t>Lo</w:t>
      </w:r>
      <w:r w:rsidR="00C106FD" w:rsidRPr="004768D0">
        <w:rPr>
          <w:color w:val="000000" w:themeColor="text1"/>
          <w:sz w:val="20"/>
          <w:szCs w:val="20"/>
          <w:lang w:val="es-ES"/>
        </w:rPr>
        <w:t xml:space="preserve">s elementos </w:t>
      </w:r>
      <w:r>
        <w:rPr>
          <w:color w:val="000000" w:themeColor="text1"/>
          <w:sz w:val="20"/>
          <w:szCs w:val="20"/>
          <w:lang w:val="es-ES"/>
        </w:rPr>
        <w:t xml:space="preserve">aportados </w:t>
      </w:r>
      <w:r w:rsidR="00CF044D" w:rsidRPr="004768D0">
        <w:rPr>
          <w:color w:val="000000" w:themeColor="text1"/>
          <w:sz w:val="20"/>
          <w:szCs w:val="20"/>
          <w:lang w:val="es-ES"/>
        </w:rPr>
        <w:t>por las</w:t>
      </w:r>
      <w:r w:rsidR="00C106FD" w:rsidRPr="004768D0">
        <w:rPr>
          <w:color w:val="000000" w:themeColor="text1"/>
          <w:sz w:val="20"/>
          <w:szCs w:val="20"/>
          <w:lang w:val="es-ES"/>
        </w:rPr>
        <w:t xml:space="preserve"> partes </w:t>
      </w:r>
      <w:r w:rsidR="00033EE0" w:rsidRPr="004768D0">
        <w:rPr>
          <w:color w:val="000000" w:themeColor="text1"/>
          <w:sz w:val="20"/>
          <w:szCs w:val="20"/>
          <w:lang w:val="es-ES"/>
        </w:rPr>
        <w:t>indican</w:t>
      </w:r>
      <w:r w:rsidR="00950761" w:rsidRPr="004768D0">
        <w:rPr>
          <w:color w:val="000000" w:themeColor="text1"/>
          <w:sz w:val="20"/>
          <w:szCs w:val="20"/>
          <w:lang w:val="es-ES"/>
        </w:rPr>
        <w:t xml:space="preserve"> que, </w:t>
      </w:r>
      <w:r w:rsidR="00033EE0" w:rsidRPr="004768D0">
        <w:rPr>
          <w:color w:val="000000" w:themeColor="text1"/>
          <w:sz w:val="20"/>
          <w:szCs w:val="20"/>
          <w:lang w:val="es-ES"/>
        </w:rPr>
        <w:t>más</w:t>
      </w:r>
      <w:r w:rsidR="00950761" w:rsidRPr="004768D0">
        <w:rPr>
          <w:color w:val="000000" w:themeColor="text1"/>
          <w:sz w:val="20"/>
          <w:szCs w:val="20"/>
          <w:lang w:val="es-ES"/>
        </w:rPr>
        <w:t xml:space="preserve"> de 15 </w:t>
      </w:r>
      <w:r w:rsidR="000C0AC4" w:rsidRPr="004768D0">
        <w:rPr>
          <w:color w:val="000000" w:themeColor="text1"/>
          <w:sz w:val="20"/>
          <w:szCs w:val="20"/>
          <w:lang w:val="es-ES"/>
        </w:rPr>
        <w:t>años</w:t>
      </w:r>
      <w:r w:rsidR="00950761" w:rsidRPr="004768D0">
        <w:rPr>
          <w:color w:val="000000" w:themeColor="text1"/>
          <w:sz w:val="20"/>
          <w:szCs w:val="20"/>
          <w:lang w:val="es-ES"/>
        </w:rPr>
        <w:t xml:space="preserve"> </w:t>
      </w:r>
      <w:r w:rsidR="00033EE0">
        <w:rPr>
          <w:color w:val="000000" w:themeColor="text1"/>
          <w:sz w:val="20"/>
          <w:szCs w:val="20"/>
          <w:lang w:val="es-ES"/>
        </w:rPr>
        <w:t>después</w:t>
      </w:r>
      <w:r w:rsidR="00950761" w:rsidRPr="004768D0">
        <w:rPr>
          <w:color w:val="000000" w:themeColor="text1"/>
          <w:sz w:val="20"/>
          <w:szCs w:val="20"/>
          <w:lang w:val="es-ES"/>
        </w:rPr>
        <w:t xml:space="preserve"> </w:t>
      </w:r>
      <w:r w:rsidR="00033EE0">
        <w:rPr>
          <w:color w:val="000000" w:themeColor="text1"/>
          <w:sz w:val="20"/>
          <w:szCs w:val="20"/>
          <w:lang w:val="es-ES"/>
        </w:rPr>
        <w:t>de l</w:t>
      </w:r>
      <w:r w:rsidR="00950761" w:rsidRPr="004768D0">
        <w:rPr>
          <w:color w:val="000000" w:themeColor="text1"/>
          <w:sz w:val="20"/>
          <w:szCs w:val="20"/>
          <w:lang w:val="es-ES"/>
        </w:rPr>
        <w:t xml:space="preserve">as </w:t>
      </w:r>
      <w:r w:rsidR="00462731" w:rsidRPr="004768D0">
        <w:rPr>
          <w:color w:val="000000" w:themeColor="text1"/>
          <w:sz w:val="20"/>
          <w:szCs w:val="20"/>
          <w:lang w:val="es-ES"/>
        </w:rPr>
        <w:t>muertes</w:t>
      </w:r>
      <w:r w:rsidR="00950761" w:rsidRPr="004768D0">
        <w:rPr>
          <w:color w:val="000000" w:themeColor="text1"/>
          <w:sz w:val="20"/>
          <w:szCs w:val="20"/>
          <w:lang w:val="es-ES"/>
        </w:rPr>
        <w:t xml:space="preserve">, </w:t>
      </w:r>
      <w:r w:rsidR="00033EE0">
        <w:rPr>
          <w:color w:val="000000" w:themeColor="text1"/>
          <w:sz w:val="20"/>
          <w:szCs w:val="20"/>
          <w:lang w:val="es-ES"/>
        </w:rPr>
        <w:t>l</w:t>
      </w:r>
      <w:r w:rsidR="00950761" w:rsidRPr="004768D0">
        <w:rPr>
          <w:color w:val="000000" w:themeColor="text1"/>
          <w:sz w:val="20"/>
          <w:szCs w:val="20"/>
          <w:lang w:val="es-ES"/>
        </w:rPr>
        <w:t xml:space="preserve">os </w:t>
      </w:r>
      <w:r w:rsidR="00033EE0">
        <w:rPr>
          <w:color w:val="000000" w:themeColor="text1"/>
          <w:sz w:val="20"/>
          <w:szCs w:val="20"/>
          <w:lang w:val="es-ES"/>
        </w:rPr>
        <w:t>delitos siguen sin resolver. Sin prejuzgar el fo</w:t>
      </w:r>
      <w:r w:rsidR="00D05578">
        <w:rPr>
          <w:color w:val="000000" w:themeColor="text1"/>
          <w:sz w:val="20"/>
          <w:szCs w:val="20"/>
          <w:lang w:val="es-ES"/>
        </w:rPr>
        <w:t>ndo</w:t>
      </w:r>
      <w:r w:rsidR="00950761" w:rsidRPr="004768D0">
        <w:rPr>
          <w:color w:val="000000" w:themeColor="text1"/>
          <w:sz w:val="20"/>
          <w:szCs w:val="20"/>
          <w:lang w:val="es-ES"/>
        </w:rPr>
        <w:t>, h</w:t>
      </w:r>
      <w:r w:rsidR="00033EE0">
        <w:rPr>
          <w:color w:val="000000" w:themeColor="text1"/>
          <w:sz w:val="20"/>
          <w:szCs w:val="20"/>
          <w:lang w:val="es-ES"/>
        </w:rPr>
        <w:t>ay</w:t>
      </w:r>
      <w:r w:rsidR="00950761" w:rsidRPr="004768D0">
        <w:rPr>
          <w:color w:val="000000" w:themeColor="text1"/>
          <w:sz w:val="20"/>
          <w:szCs w:val="20"/>
          <w:lang w:val="es-ES"/>
        </w:rPr>
        <w:t xml:space="preserve"> </w:t>
      </w:r>
      <w:r w:rsidR="00033EE0" w:rsidRPr="004768D0">
        <w:rPr>
          <w:color w:val="000000" w:themeColor="text1"/>
          <w:sz w:val="20"/>
          <w:szCs w:val="20"/>
          <w:lang w:val="es-ES"/>
        </w:rPr>
        <w:t>indicios</w:t>
      </w:r>
      <w:r w:rsidR="00950761" w:rsidRPr="004768D0">
        <w:rPr>
          <w:color w:val="000000" w:themeColor="text1"/>
          <w:sz w:val="20"/>
          <w:szCs w:val="20"/>
          <w:lang w:val="es-ES"/>
        </w:rPr>
        <w:t xml:space="preserve"> suficientes de que </w:t>
      </w:r>
      <w:r w:rsidR="00033EE0" w:rsidRPr="004768D0">
        <w:rPr>
          <w:color w:val="000000" w:themeColor="text1"/>
          <w:sz w:val="20"/>
          <w:szCs w:val="20"/>
          <w:lang w:val="es-ES"/>
        </w:rPr>
        <w:t>ese</w:t>
      </w:r>
      <w:r w:rsidR="00950761" w:rsidRPr="004768D0">
        <w:rPr>
          <w:color w:val="000000" w:themeColor="text1"/>
          <w:sz w:val="20"/>
          <w:szCs w:val="20"/>
          <w:lang w:val="es-ES"/>
        </w:rPr>
        <w:t xml:space="preserve"> </w:t>
      </w:r>
      <w:r w:rsidR="00033EE0">
        <w:rPr>
          <w:color w:val="000000" w:themeColor="text1"/>
          <w:sz w:val="20"/>
          <w:szCs w:val="20"/>
          <w:lang w:val="es-ES"/>
        </w:rPr>
        <w:t xml:space="preserve">lapso no tiene una justificación </w:t>
      </w:r>
      <w:r w:rsidR="00950761" w:rsidRPr="004768D0">
        <w:rPr>
          <w:color w:val="000000" w:themeColor="text1"/>
          <w:sz w:val="20"/>
          <w:szCs w:val="20"/>
          <w:lang w:val="es-ES"/>
        </w:rPr>
        <w:t>fá</w:t>
      </w:r>
      <w:r w:rsidR="008A7862">
        <w:rPr>
          <w:color w:val="000000" w:themeColor="text1"/>
          <w:sz w:val="20"/>
          <w:szCs w:val="20"/>
          <w:lang w:val="es-ES"/>
        </w:rPr>
        <w:t>c</w:t>
      </w:r>
      <w:r w:rsidR="00950761" w:rsidRPr="004768D0">
        <w:rPr>
          <w:color w:val="000000" w:themeColor="text1"/>
          <w:sz w:val="20"/>
          <w:szCs w:val="20"/>
          <w:lang w:val="es-ES"/>
        </w:rPr>
        <w:t xml:space="preserve">tica o jurídica. </w:t>
      </w:r>
      <w:r w:rsidR="00033EE0">
        <w:rPr>
          <w:color w:val="000000" w:themeColor="text1"/>
          <w:sz w:val="20"/>
          <w:szCs w:val="20"/>
          <w:lang w:val="es-ES"/>
        </w:rPr>
        <w:t>En ese</w:t>
      </w:r>
      <w:r w:rsidR="00950761" w:rsidRPr="004768D0">
        <w:rPr>
          <w:color w:val="000000" w:themeColor="text1"/>
          <w:sz w:val="20"/>
          <w:szCs w:val="20"/>
          <w:lang w:val="es-ES"/>
        </w:rPr>
        <w:t xml:space="preserve"> sentido s</w:t>
      </w:r>
      <w:r w:rsidR="00033EE0">
        <w:rPr>
          <w:color w:val="000000" w:themeColor="text1"/>
          <w:sz w:val="20"/>
          <w:szCs w:val="20"/>
          <w:lang w:val="es-ES"/>
        </w:rPr>
        <w:t>on</w:t>
      </w:r>
      <w:r w:rsidR="00950761" w:rsidRPr="004768D0">
        <w:rPr>
          <w:color w:val="000000" w:themeColor="text1"/>
          <w:sz w:val="20"/>
          <w:szCs w:val="20"/>
          <w:lang w:val="es-ES"/>
        </w:rPr>
        <w:t xml:space="preserve"> ilustrativos tanto </w:t>
      </w:r>
      <w:r w:rsidR="00033EE0">
        <w:rPr>
          <w:color w:val="000000" w:themeColor="text1"/>
          <w:sz w:val="20"/>
          <w:szCs w:val="20"/>
          <w:lang w:val="es-ES"/>
        </w:rPr>
        <w:t>l</w:t>
      </w:r>
      <w:r w:rsidR="00950761" w:rsidRPr="004768D0">
        <w:rPr>
          <w:color w:val="000000" w:themeColor="text1"/>
          <w:sz w:val="20"/>
          <w:szCs w:val="20"/>
          <w:lang w:val="es-ES"/>
        </w:rPr>
        <w:t xml:space="preserve">os elementos </w:t>
      </w:r>
      <w:r w:rsidR="00033EE0">
        <w:rPr>
          <w:color w:val="000000" w:themeColor="text1"/>
          <w:sz w:val="20"/>
          <w:szCs w:val="20"/>
          <w:lang w:val="es-ES"/>
        </w:rPr>
        <w:t xml:space="preserve">aportados </w:t>
      </w:r>
      <w:r w:rsidR="000C0AC4" w:rsidRPr="004768D0">
        <w:rPr>
          <w:color w:val="000000" w:themeColor="text1"/>
          <w:sz w:val="20"/>
          <w:szCs w:val="20"/>
          <w:lang w:val="es-ES"/>
        </w:rPr>
        <w:t>por la parte</w:t>
      </w:r>
      <w:r w:rsidR="00A07DD9" w:rsidRPr="004768D0">
        <w:rPr>
          <w:color w:val="000000" w:themeColor="text1"/>
          <w:sz w:val="20"/>
          <w:szCs w:val="20"/>
          <w:lang w:val="es-ES"/>
        </w:rPr>
        <w:t xml:space="preserve"> peticionaria</w:t>
      </w:r>
      <w:r w:rsidR="00950761" w:rsidRPr="004768D0">
        <w:rPr>
          <w:color w:val="000000" w:themeColor="text1"/>
          <w:sz w:val="20"/>
          <w:szCs w:val="20"/>
          <w:lang w:val="es-ES"/>
        </w:rPr>
        <w:t xml:space="preserve"> </w:t>
      </w:r>
      <w:r w:rsidR="00033EE0">
        <w:rPr>
          <w:color w:val="000000" w:themeColor="text1"/>
          <w:sz w:val="20"/>
          <w:szCs w:val="20"/>
          <w:lang w:val="es-ES"/>
        </w:rPr>
        <w:t xml:space="preserve">en relación con las limitaciones </w:t>
      </w:r>
      <w:r w:rsidR="00950761" w:rsidRPr="004768D0">
        <w:rPr>
          <w:color w:val="000000" w:themeColor="text1"/>
          <w:sz w:val="20"/>
          <w:szCs w:val="20"/>
          <w:lang w:val="es-ES"/>
        </w:rPr>
        <w:t>d</w:t>
      </w:r>
      <w:r w:rsidR="00033EE0">
        <w:rPr>
          <w:color w:val="000000" w:themeColor="text1"/>
          <w:sz w:val="20"/>
          <w:szCs w:val="20"/>
          <w:lang w:val="es-ES"/>
        </w:rPr>
        <w:t>e l</w:t>
      </w:r>
      <w:r w:rsidR="00950761" w:rsidRPr="004768D0">
        <w:rPr>
          <w:color w:val="000000" w:themeColor="text1"/>
          <w:sz w:val="20"/>
          <w:szCs w:val="20"/>
          <w:lang w:val="es-ES"/>
        </w:rPr>
        <w:t xml:space="preserve">as </w:t>
      </w:r>
      <w:r w:rsidR="00E04ED3" w:rsidRPr="004768D0">
        <w:rPr>
          <w:color w:val="000000" w:themeColor="text1"/>
          <w:sz w:val="20"/>
          <w:szCs w:val="20"/>
          <w:lang w:val="es-ES"/>
        </w:rPr>
        <w:t>investigaciones</w:t>
      </w:r>
      <w:r w:rsidR="00950761" w:rsidRPr="004768D0">
        <w:rPr>
          <w:color w:val="000000" w:themeColor="text1"/>
          <w:sz w:val="20"/>
          <w:szCs w:val="20"/>
          <w:lang w:val="es-ES"/>
        </w:rPr>
        <w:t xml:space="preserve"> policia</w:t>
      </w:r>
      <w:r w:rsidR="00472BCC">
        <w:rPr>
          <w:color w:val="000000" w:themeColor="text1"/>
          <w:sz w:val="20"/>
          <w:szCs w:val="20"/>
          <w:lang w:val="es-ES"/>
        </w:rPr>
        <w:t>le</w:t>
      </w:r>
      <w:r w:rsidR="00950761" w:rsidRPr="004768D0">
        <w:rPr>
          <w:color w:val="000000" w:themeColor="text1"/>
          <w:sz w:val="20"/>
          <w:szCs w:val="20"/>
          <w:lang w:val="es-ES"/>
        </w:rPr>
        <w:t>s realizadas</w:t>
      </w:r>
      <w:r w:rsidR="00033EE0">
        <w:rPr>
          <w:color w:val="000000" w:themeColor="text1"/>
          <w:sz w:val="20"/>
          <w:szCs w:val="20"/>
          <w:lang w:val="es-ES"/>
        </w:rPr>
        <w:t xml:space="preserve"> como la profusión de </w:t>
      </w:r>
      <w:r w:rsidR="00950761" w:rsidRPr="004768D0">
        <w:rPr>
          <w:color w:val="000000" w:themeColor="text1"/>
          <w:sz w:val="20"/>
          <w:szCs w:val="20"/>
          <w:lang w:val="es-ES"/>
        </w:rPr>
        <w:t xml:space="preserve">medidas </w:t>
      </w:r>
      <w:r w:rsidR="00033EE0">
        <w:rPr>
          <w:color w:val="000000" w:themeColor="text1"/>
          <w:sz w:val="20"/>
          <w:szCs w:val="20"/>
          <w:lang w:val="es-ES"/>
        </w:rPr>
        <w:t xml:space="preserve">notificadas </w:t>
      </w:r>
      <w:r w:rsidR="00472BCC">
        <w:rPr>
          <w:color w:val="000000" w:themeColor="text1"/>
          <w:sz w:val="20"/>
          <w:szCs w:val="20"/>
          <w:lang w:val="es-ES"/>
        </w:rPr>
        <w:t>por el</w:t>
      </w:r>
      <w:r w:rsidR="003C58C5" w:rsidRPr="004768D0">
        <w:rPr>
          <w:color w:val="000000" w:themeColor="text1"/>
          <w:sz w:val="20"/>
          <w:szCs w:val="20"/>
          <w:lang w:val="es-ES"/>
        </w:rPr>
        <w:t xml:space="preserve"> Estado</w:t>
      </w:r>
      <w:r w:rsidR="00950761" w:rsidRPr="004768D0">
        <w:rPr>
          <w:color w:val="000000" w:themeColor="text1"/>
          <w:sz w:val="20"/>
          <w:szCs w:val="20"/>
          <w:lang w:val="es-ES"/>
        </w:rPr>
        <w:t xml:space="preserve"> s</w:t>
      </w:r>
      <w:r w:rsidR="00033EE0">
        <w:rPr>
          <w:color w:val="000000" w:themeColor="text1"/>
          <w:sz w:val="20"/>
          <w:szCs w:val="20"/>
          <w:lang w:val="es-ES"/>
        </w:rPr>
        <w:t>in</w:t>
      </w:r>
      <w:r w:rsidR="00950761" w:rsidRPr="004768D0">
        <w:rPr>
          <w:color w:val="000000" w:themeColor="text1"/>
          <w:sz w:val="20"/>
          <w:szCs w:val="20"/>
          <w:lang w:val="es-ES"/>
        </w:rPr>
        <w:t xml:space="preserve"> que </w:t>
      </w:r>
      <w:r w:rsidR="00033EE0">
        <w:rPr>
          <w:color w:val="000000" w:themeColor="text1"/>
          <w:sz w:val="20"/>
          <w:szCs w:val="20"/>
          <w:lang w:val="es-ES"/>
        </w:rPr>
        <w:t>haya sido posible, después</w:t>
      </w:r>
      <w:r w:rsidR="00950761" w:rsidRPr="004768D0">
        <w:rPr>
          <w:color w:val="000000" w:themeColor="text1"/>
          <w:sz w:val="20"/>
          <w:szCs w:val="20"/>
          <w:lang w:val="es-ES"/>
        </w:rPr>
        <w:t xml:space="preserve"> tanto t</w:t>
      </w:r>
      <w:r w:rsidR="008A7862">
        <w:rPr>
          <w:color w:val="000000" w:themeColor="text1"/>
          <w:sz w:val="20"/>
          <w:szCs w:val="20"/>
          <w:lang w:val="es-ES"/>
        </w:rPr>
        <w:t>i</w:t>
      </w:r>
      <w:r w:rsidR="00950761" w:rsidRPr="004768D0">
        <w:rPr>
          <w:color w:val="000000" w:themeColor="text1"/>
          <w:sz w:val="20"/>
          <w:szCs w:val="20"/>
          <w:lang w:val="es-ES"/>
        </w:rPr>
        <w:t xml:space="preserve">empo, </w:t>
      </w:r>
      <w:r w:rsidR="00033EE0">
        <w:rPr>
          <w:color w:val="000000" w:themeColor="text1"/>
          <w:sz w:val="20"/>
          <w:szCs w:val="20"/>
          <w:lang w:val="es-ES"/>
        </w:rPr>
        <w:t xml:space="preserve">agotar las líneas de </w:t>
      </w:r>
      <w:r w:rsidR="00950761" w:rsidRPr="004768D0">
        <w:rPr>
          <w:color w:val="000000" w:themeColor="text1"/>
          <w:sz w:val="20"/>
          <w:szCs w:val="20"/>
          <w:lang w:val="es-ES"/>
        </w:rPr>
        <w:t>investiga</w:t>
      </w:r>
      <w:r w:rsidR="00033EE0">
        <w:rPr>
          <w:color w:val="000000" w:themeColor="text1"/>
          <w:sz w:val="20"/>
          <w:szCs w:val="20"/>
          <w:lang w:val="es-ES"/>
        </w:rPr>
        <w:t xml:space="preserve">ción y </w:t>
      </w:r>
      <w:r w:rsidR="00950761" w:rsidRPr="004768D0">
        <w:rPr>
          <w:color w:val="000000" w:themeColor="text1"/>
          <w:sz w:val="20"/>
          <w:szCs w:val="20"/>
          <w:lang w:val="es-ES"/>
        </w:rPr>
        <w:t xml:space="preserve">realizar </w:t>
      </w:r>
      <w:r w:rsidR="00033EE0">
        <w:rPr>
          <w:color w:val="000000" w:themeColor="text1"/>
          <w:sz w:val="20"/>
          <w:szCs w:val="20"/>
          <w:lang w:val="es-ES"/>
        </w:rPr>
        <w:t>l</w:t>
      </w:r>
      <w:r w:rsidR="00950761" w:rsidRPr="004768D0">
        <w:rPr>
          <w:color w:val="000000" w:themeColor="text1"/>
          <w:sz w:val="20"/>
          <w:szCs w:val="20"/>
          <w:lang w:val="es-ES"/>
        </w:rPr>
        <w:t xml:space="preserve">as </w:t>
      </w:r>
      <w:r w:rsidR="00472BCC" w:rsidRPr="004768D0">
        <w:rPr>
          <w:color w:val="000000" w:themeColor="text1"/>
          <w:sz w:val="20"/>
          <w:szCs w:val="20"/>
          <w:lang w:val="es-ES"/>
        </w:rPr>
        <w:t>diligencias</w:t>
      </w:r>
      <w:r w:rsidR="00950761" w:rsidRPr="004768D0">
        <w:rPr>
          <w:color w:val="000000" w:themeColor="text1"/>
          <w:sz w:val="20"/>
          <w:szCs w:val="20"/>
          <w:lang w:val="es-ES"/>
        </w:rPr>
        <w:t xml:space="preserve"> </w:t>
      </w:r>
      <w:r w:rsidR="00472BCC" w:rsidRPr="004768D0">
        <w:rPr>
          <w:color w:val="000000" w:themeColor="text1"/>
          <w:sz w:val="20"/>
          <w:szCs w:val="20"/>
          <w:lang w:val="es-ES"/>
        </w:rPr>
        <w:t>necesarias</w:t>
      </w:r>
      <w:r w:rsidR="00950761" w:rsidRPr="004768D0">
        <w:rPr>
          <w:color w:val="000000" w:themeColor="text1"/>
          <w:sz w:val="20"/>
          <w:szCs w:val="20"/>
          <w:lang w:val="es-ES"/>
        </w:rPr>
        <w:t xml:space="preserve"> para </w:t>
      </w:r>
      <w:r w:rsidR="008A7862">
        <w:rPr>
          <w:color w:val="000000" w:themeColor="text1"/>
          <w:sz w:val="20"/>
          <w:szCs w:val="20"/>
          <w:lang w:val="es-ES"/>
        </w:rPr>
        <w:t>dilucidar</w:t>
      </w:r>
      <w:r w:rsidR="00950761" w:rsidRPr="004768D0">
        <w:rPr>
          <w:color w:val="000000" w:themeColor="text1"/>
          <w:sz w:val="20"/>
          <w:szCs w:val="20"/>
          <w:lang w:val="es-ES"/>
        </w:rPr>
        <w:t xml:space="preserve"> </w:t>
      </w:r>
      <w:r w:rsidR="00033EE0">
        <w:rPr>
          <w:color w:val="000000" w:themeColor="text1"/>
          <w:sz w:val="20"/>
          <w:szCs w:val="20"/>
          <w:lang w:val="es-ES"/>
        </w:rPr>
        <w:t>l</w:t>
      </w:r>
      <w:r w:rsidR="00950761" w:rsidRPr="004768D0">
        <w:rPr>
          <w:color w:val="000000" w:themeColor="text1"/>
          <w:sz w:val="20"/>
          <w:szCs w:val="20"/>
          <w:lang w:val="es-ES"/>
        </w:rPr>
        <w:t xml:space="preserve">os </w:t>
      </w:r>
      <w:r w:rsidR="00033EE0">
        <w:rPr>
          <w:color w:val="000000" w:themeColor="text1"/>
          <w:sz w:val="20"/>
          <w:szCs w:val="20"/>
          <w:lang w:val="es-ES"/>
        </w:rPr>
        <w:t>delitos</w:t>
      </w:r>
      <w:r w:rsidR="00950761" w:rsidRPr="004768D0">
        <w:rPr>
          <w:color w:val="000000" w:themeColor="text1"/>
          <w:sz w:val="20"/>
          <w:szCs w:val="20"/>
          <w:lang w:val="es-ES"/>
        </w:rPr>
        <w:t xml:space="preserve"> </w:t>
      </w:r>
      <w:r w:rsidR="00472BCC">
        <w:rPr>
          <w:color w:val="000000" w:themeColor="text1"/>
          <w:sz w:val="20"/>
          <w:szCs w:val="20"/>
          <w:lang w:val="es-ES"/>
        </w:rPr>
        <w:t>en cuestión</w:t>
      </w:r>
      <w:r w:rsidR="00950761" w:rsidRPr="004768D0">
        <w:rPr>
          <w:color w:val="000000" w:themeColor="text1"/>
          <w:sz w:val="20"/>
          <w:szCs w:val="20"/>
          <w:lang w:val="es-ES"/>
        </w:rPr>
        <w:t>.</w:t>
      </w:r>
      <w:r w:rsidR="00D56A62" w:rsidRPr="004768D0">
        <w:rPr>
          <w:color w:val="000000" w:themeColor="text1"/>
          <w:sz w:val="20"/>
          <w:szCs w:val="20"/>
          <w:lang w:val="es-ES"/>
        </w:rPr>
        <w:t xml:space="preserve"> </w:t>
      </w:r>
    </w:p>
    <w:p w14:paraId="48BCAAB6" w14:textId="77777777" w:rsidR="00D56A62" w:rsidRPr="004768D0" w:rsidRDefault="00D56A62" w:rsidP="00D56A62">
      <w:pPr>
        <w:pStyle w:val="ListParagraph"/>
        <w:jc w:val="both"/>
        <w:rPr>
          <w:color w:val="000000" w:themeColor="text1"/>
          <w:sz w:val="20"/>
          <w:szCs w:val="20"/>
          <w:lang w:val="es-ES"/>
        </w:rPr>
      </w:pPr>
    </w:p>
    <w:p w14:paraId="08EDED80" w14:textId="77777777" w:rsidR="00073049" w:rsidRPr="004768D0" w:rsidRDefault="00D56A62" w:rsidP="00A104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r w:rsidRPr="004768D0">
        <w:rPr>
          <w:color w:val="000000" w:themeColor="text1"/>
          <w:sz w:val="20"/>
          <w:szCs w:val="20"/>
          <w:lang w:val="es-ES"/>
        </w:rPr>
        <w:t>Co</w:t>
      </w:r>
      <w:r w:rsidR="00033EE0">
        <w:rPr>
          <w:color w:val="000000" w:themeColor="text1"/>
          <w:sz w:val="20"/>
          <w:szCs w:val="20"/>
          <w:lang w:val="es-ES"/>
        </w:rPr>
        <w:t xml:space="preserve">n el fin de </w:t>
      </w:r>
      <w:r w:rsidRPr="004768D0">
        <w:rPr>
          <w:color w:val="000000" w:themeColor="text1"/>
          <w:sz w:val="20"/>
          <w:szCs w:val="20"/>
          <w:lang w:val="es-ES"/>
        </w:rPr>
        <w:t xml:space="preserve">evitar </w:t>
      </w:r>
      <w:r w:rsidR="00033EE0">
        <w:rPr>
          <w:color w:val="000000" w:themeColor="text1"/>
          <w:sz w:val="20"/>
          <w:szCs w:val="20"/>
          <w:lang w:val="es-ES"/>
        </w:rPr>
        <w:t>l</w:t>
      </w:r>
      <w:r w:rsidRPr="004768D0">
        <w:rPr>
          <w:color w:val="000000" w:themeColor="text1"/>
          <w:sz w:val="20"/>
          <w:szCs w:val="20"/>
          <w:lang w:val="es-ES"/>
        </w:rPr>
        <w:t xml:space="preserve">a </w:t>
      </w:r>
      <w:r w:rsidR="000C0AC4" w:rsidRPr="004768D0">
        <w:rPr>
          <w:color w:val="000000" w:themeColor="text1"/>
          <w:sz w:val="20"/>
          <w:szCs w:val="20"/>
          <w:lang w:val="es-ES"/>
        </w:rPr>
        <w:t>impunidad</w:t>
      </w:r>
      <w:r w:rsidRPr="004768D0">
        <w:rPr>
          <w:color w:val="000000" w:themeColor="text1"/>
          <w:sz w:val="20"/>
          <w:szCs w:val="20"/>
          <w:lang w:val="es-ES"/>
        </w:rPr>
        <w:t xml:space="preserve"> </w:t>
      </w:r>
      <w:r w:rsidR="00033EE0" w:rsidRPr="004768D0">
        <w:rPr>
          <w:color w:val="000000" w:themeColor="text1"/>
          <w:sz w:val="20"/>
          <w:szCs w:val="20"/>
          <w:lang w:val="es-ES"/>
        </w:rPr>
        <w:t>en</w:t>
      </w:r>
      <w:r w:rsidRPr="004768D0">
        <w:rPr>
          <w:color w:val="000000" w:themeColor="text1"/>
          <w:sz w:val="20"/>
          <w:szCs w:val="20"/>
          <w:lang w:val="es-ES"/>
        </w:rPr>
        <w:t xml:space="preserve"> casos de pos</w:t>
      </w:r>
      <w:r w:rsidR="00033EE0">
        <w:rPr>
          <w:color w:val="000000" w:themeColor="text1"/>
          <w:sz w:val="20"/>
          <w:szCs w:val="20"/>
          <w:lang w:val="es-ES"/>
        </w:rPr>
        <w:t>ibles</w:t>
      </w:r>
      <w:r w:rsidRPr="004768D0">
        <w:rPr>
          <w:color w:val="000000" w:themeColor="text1"/>
          <w:sz w:val="20"/>
          <w:szCs w:val="20"/>
          <w:lang w:val="es-ES"/>
        </w:rPr>
        <w:t xml:space="preserve"> </w:t>
      </w:r>
      <w:r w:rsidR="00F5490C" w:rsidRPr="004768D0">
        <w:rPr>
          <w:color w:val="000000" w:themeColor="text1"/>
          <w:sz w:val="20"/>
          <w:szCs w:val="20"/>
          <w:lang w:val="es-ES"/>
        </w:rPr>
        <w:t>violaciones</w:t>
      </w:r>
      <w:r w:rsidRPr="004768D0">
        <w:rPr>
          <w:color w:val="000000" w:themeColor="text1"/>
          <w:sz w:val="20"/>
          <w:szCs w:val="20"/>
          <w:lang w:val="es-ES"/>
        </w:rPr>
        <w:t xml:space="preserve"> graves de </w:t>
      </w:r>
      <w:r w:rsidR="00246A29" w:rsidRPr="004768D0">
        <w:rPr>
          <w:color w:val="000000" w:themeColor="text1"/>
          <w:sz w:val="20"/>
          <w:szCs w:val="20"/>
          <w:lang w:val="es-ES"/>
        </w:rPr>
        <w:t>derechos</w:t>
      </w:r>
      <w:r w:rsidRPr="004768D0">
        <w:rPr>
          <w:color w:val="000000" w:themeColor="text1"/>
          <w:sz w:val="20"/>
          <w:szCs w:val="20"/>
          <w:lang w:val="es-ES"/>
        </w:rPr>
        <w:t xml:space="preserve"> humanos, </w:t>
      </w:r>
      <w:r w:rsidR="00033EE0">
        <w:rPr>
          <w:color w:val="000000" w:themeColor="text1"/>
          <w:sz w:val="20"/>
          <w:szCs w:val="20"/>
          <w:lang w:val="es-ES"/>
        </w:rPr>
        <w:t>l</w:t>
      </w:r>
      <w:r w:rsidRPr="004768D0">
        <w:rPr>
          <w:color w:val="000000" w:themeColor="text1"/>
          <w:sz w:val="20"/>
          <w:szCs w:val="20"/>
          <w:lang w:val="es-ES"/>
        </w:rPr>
        <w:t xml:space="preserve">a </w:t>
      </w:r>
      <w:r w:rsidR="00C65DE2" w:rsidRPr="004768D0">
        <w:rPr>
          <w:color w:val="000000" w:themeColor="text1"/>
          <w:sz w:val="20"/>
          <w:szCs w:val="20"/>
          <w:lang w:val="es-ES"/>
        </w:rPr>
        <w:t>Comisión</w:t>
      </w:r>
      <w:r w:rsidR="00033EE0">
        <w:rPr>
          <w:color w:val="000000" w:themeColor="text1"/>
          <w:sz w:val="20"/>
          <w:szCs w:val="20"/>
          <w:lang w:val="es-ES"/>
        </w:rPr>
        <w:t xml:space="preserve"> Interamericana ya había </w:t>
      </w:r>
      <w:r w:rsidRPr="004768D0">
        <w:rPr>
          <w:color w:val="000000" w:themeColor="text1"/>
          <w:sz w:val="20"/>
          <w:szCs w:val="20"/>
          <w:lang w:val="es-ES"/>
        </w:rPr>
        <w:t>recomendado a</w:t>
      </w:r>
      <w:r w:rsidR="00A07DD9" w:rsidRPr="004768D0">
        <w:rPr>
          <w:color w:val="000000" w:themeColor="text1"/>
          <w:sz w:val="20"/>
          <w:szCs w:val="20"/>
          <w:lang w:val="es-ES"/>
        </w:rPr>
        <w:t>l Estado brasileño</w:t>
      </w:r>
      <w:r w:rsidRPr="004768D0">
        <w:rPr>
          <w:color w:val="000000" w:themeColor="text1"/>
          <w:sz w:val="20"/>
          <w:szCs w:val="20"/>
          <w:lang w:val="es-ES"/>
        </w:rPr>
        <w:t>, e</w:t>
      </w:r>
      <w:r w:rsidR="00033EE0">
        <w:rPr>
          <w:color w:val="000000" w:themeColor="text1"/>
          <w:sz w:val="20"/>
          <w:szCs w:val="20"/>
          <w:lang w:val="es-ES"/>
        </w:rPr>
        <w:t>n</w:t>
      </w:r>
      <w:r w:rsidRPr="004768D0">
        <w:rPr>
          <w:color w:val="000000" w:themeColor="text1"/>
          <w:sz w:val="20"/>
          <w:szCs w:val="20"/>
          <w:lang w:val="es-ES"/>
        </w:rPr>
        <w:t xml:space="preserve"> 1997, </w:t>
      </w:r>
      <w:r w:rsidR="00033EE0">
        <w:rPr>
          <w:color w:val="000000" w:themeColor="text1"/>
          <w:sz w:val="20"/>
          <w:szCs w:val="20"/>
          <w:lang w:val="es-ES"/>
        </w:rPr>
        <w:t xml:space="preserve">que tomara </w:t>
      </w:r>
      <w:r w:rsidRPr="004768D0">
        <w:rPr>
          <w:color w:val="000000" w:themeColor="text1"/>
          <w:sz w:val="20"/>
          <w:szCs w:val="20"/>
          <w:lang w:val="es-ES"/>
        </w:rPr>
        <w:t>medida</w:t>
      </w:r>
      <w:r w:rsidR="00033EE0">
        <w:rPr>
          <w:color w:val="000000" w:themeColor="text1"/>
          <w:sz w:val="20"/>
          <w:szCs w:val="20"/>
          <w:lang w:val="es-ES"/>
        </w:rPr>
        <w:t>s</w:t>
      </w:r>
      <w:r w:rsidRPr="004768D0">
        <w:rPr>
          <w:color w:val="000000" w:themeColor="text1"/>
          <w:sz w:val="20"/>
          <w:szCs w:val="20"/>
          <w:lang w:val="es-ES"/>
        </w:rPr>
        <w:t xml:space="preserve"> para posibilitar </w:t>
      </w:r>
      <w:r w:rsidR="00033EE0">
        <w:rPr>
          <w:color w:val="000000" w:themeColor="text1"/>
          <w:sz w:val="20"/>
          <w:szCs w:val="20"/>
          <w:lang w:val="es-ES"/>
        </w:rPr>
        <w:t xml:space="preserve">el traslado de la </w:t>
      </w:r>
      <w:r w:rsidR="00712D2E" w:rsidRPr="004768D0">
        <w:rPr>
          <w:color w:val="000000" w:themeColor="text1"/>
          <w:sz w:val="20"/>
          <w:szCs w:val="20"/>
          <w:lang w:val="es-ES"/>
        </w:rPr>
        <w:t>investigación</w:t>
      </w:r>
      <w:r w:rsidRPr="004768D0">
        <w:rPr>
          <w:color w:val="000000" w:themeColor="text1"/>
          <w:sz w:val="20"/>
          <w:szCs w:val="20"/>
          <w:lang w:val="es-ES"/>
        </w:rPr>
        <w:t xml:space="preserve"> </w:t>
      </w:r>
      <w:r w:rsidR="00033EE0">
        <w:rPr>
          <w:color w:val="000000" w:themeColor="text1"/>
          <w:sz w:val="20"/>
          <w:szCs w:val="20"/>
          <w:lang w:val="es-ES"/>
        </w:rPr>
        <w:t xml:space="preserve">y el </w:t>
      </w:r>
      <w:r w:rsidR="00472BCC" w:rsidRPr="004768D0">
        <w:rPr>
          <w:color w:val="000000" w:themeColor="text1"/>
          <w:sz w:val="20"/>
          <w:szCs w:val="20"/>
          <w:lang w:val="es-ES"/>
        </w:rPr>
        <w:t>procesamiento</w:t>
      </w:r>
      <w:r w:rsidRPr="004768D0">
        <w:rPr>
          <w:color w:val="000000" w:themeColor="text1"/>
          <w:sz w:val="20"/>
          <w:szCs w:val="20"/>
          <w:lang w:val="es-ES"/>
        </w:rPr>
        <w:t xml:space="preserve"> de </w:t>
      </w:r>
      <w:r w:rsidR="000C0AC4" w:rsidRPr="004768D0">
        <w:rPr>
          <w:color w:val="000000" w:themeColor="text1"/>
          <w:sz w:val="20"/>
          <w:szCs w:val="20"/>
          <w:lang w:val="es-ES"/>
        </w:rPr>
        <w:t>hechos</w:t>
      </w:r>
      <w:r w:rsidRPr="004768D0">
        <w:rPr>
          <w:color w:val="000000" w:themeColor="text1"/>
          <w:sz w:val="20"/>
          <w:szCs w:val="20"/>
          <w:lang w:val="es-ES"/>
        </w:rPr>
        <w:t xml:space="preserve"> de</w:t>
      </w:r>
      <w:r w:rsidR="00033EE0">
        <w:rPr>
          <w:color w:val="000000" w:themeColor="text1"/>
          <w:sz w:val="20"/>
          <w:szCs w:val="20"/>
          <w:lang w:val="es-ES"/>
        </w:rPr>
        <w:t xml:space="preserve"> e</w:t>
      </w:r>
      <w:r w:rsidRPr="004768D0">
        <w:rPr>
          <w:color w:val="000000" w:themeColor="text1"/>
          <w:sz w:val="20"/>
          <w:szCs w:val="20"/>
          <w:lang w:val="es-ES"/>
        </w:rPr>
        <w:t>se tipo</w:t>
      </w:r>
      <w:r w:rsidR="008A7862">
        <w:rPr>
          <w:color w:val="000000" w:themeColor="text1"/>
          <w:sz w:val="20"/>
          <w:szCs w:val="20"/>
          <w:lang w:val="es-ES"/>
        </w:rPr>
        <w:t xml:space="preserve"> al ámbito federal</w:t>
      </w:r>
      <w:r w:rsidRPr="004768D0">
        <w:rPr>
          <w:color w:val="000000" w:themeColor="text1"/>
          <w:sz w:val="20"/>
          <w:szCs w:val="20"/>
          <w:vertAlign w:val="superscript"/>
          <w:lang w:val="es-ES"/>
        </w:rPr>
        <w:footnoteReference w:id="24"/>
      </w:r>
      <w:r w:rsidR="00033EE0">
        <w:rPr>
          <w:color w:val="000000" w:themeColor="text1"/>
          <w:sz w:val="20"/>
          <w:szCs w:val="20"/>
          <w:lang w:val="es-ES"/>
        </w:rPr>
        <w:t xml:space="preserve">. En el caso de autos, dos </w:t>
      </w:r>
      <w:r w:rsidRPr="004768D0">
        <w:rPr>
          <w:color w:val="000000" w:themeColor="text1"/>
          <w:sz w:val="20"/>
          <w:szCs w:val="20"/>
          <w:lang w:val="es-ES"/>
        </w:rPr>
        <w:t xml:space="preserve">incidentes </w:t>
      </w:r>
      <w:r w:rsidR="00472BCC">
        <w:rPr>
          <w:color w:val="000000" w:themeColor="text1"/>
          <w:sz w:val="20"/>
          <w:szCs w:val="20"/>
          <w:lang w:val="es-ES"/>
        </w:rPr>
        <w:t>de traslado de competencia</w:t>
      </w:r>
      <w:r w:rsidRPr="004768D0">
        <w:rPr>
          <w:color w:val="000000" w:themeColor="text1"/>
          <w:sz w:val="20"/>
          <w:szCs w:val="20"/>
          <w:lang w:val="es-ES"/>
        </w:rPr>
        <w:t xml:space="preserve"> </w:t>
      </w:r>
      <w:r w:rsidR="00033EE0">
        <w:rPr>
          <w:color w:val="000000" w:themeColor="text1"/>
          <w:sz w:val="20"/>
          <w:szCs w:val="20"/>
          <w:lang w:val="es-ES"/>
        </w:rPr>
        <w:t xml:space="preserve">ilustran la </w:t>
      </w:r>
      <w:r w:rsidRPr="004768D0">
        <w:rPr>
          <w:color w:val="000000" w:themeColor="text1"/>
          <w:sz w:val="20"/>
          <w:szCs w:val="20"/>
          <w:lang w:val="es-ES"/>
        </w:rPr>
        <w:t>demora injustificada. U</w:t>
      </w:r>
      <w:r w:rsidR="00033EE0">
        <w:rPr>
          <w:color w:val="000000" w:themeColor="text1"/>
          <w:sz w:val="20"/>
          <w:szCs w:val="20"/>
          <w:lang w:val="es-ES"/>
        </w:rPr>
        <w:t xml:space="preserve">no </w:t>
      </w:r>
      <w:r w:rsidR="008A7862">
        <w:rPr>
          <w:color w:val="000000" w:themeColor="text1"/>
          <w:sz w:val="20"/>
          <w:szCs w:val="20"/>
          <w:lang w:val="es-ES"/>
        </w:rPr>
        <w:t xml:space="preserve">de ellos </w:t>
      </w:r>
      <w:r w:rsidR="00033EE0">
        <w:rPr>
          <w:color w:val="000000" w:themeColor="text1"/>
          <w:sz w:val="20"/>
          <w:szCs w:val="20"/>
          <w:lang w:val="es-ES"/>
        </w:rPr>
        <w:t xml:space="preserve">es el </w:t>
      </w:r>
      <w:r w:rsidRPr="004768D0">
        <w:rPr>
          <w:color w:val="000000" w:themeColor="text1"/>
          <w:sz w:val="20"/>
          <w:szCs w:val="20"/>
          <w:lang w:val="es-ES"/>
        </w:rPr>
        <w:t xml:space="preserve">No. 9, mencionado </w:t>
      </w:r>
      <w:r w:rsidR="00472BCC">
        <w:rPr>
          <w:color w:val="000000" w:themeColor="text1"/>
          <w:sz w:val="20"/>
          <w:szCs w:val="20"/>
          <w:lang w:val="es-ES"/>
        </w:rPr>
        <w:t>por el</w:t>
      </w:r>
      <w:r w:rsidR="003C58C5" w:rsidRPr="004768D0">
        <w:rPr>
          <w:color w:val="000000" w:themeColor="text1"/>
          <w:sz w:val="20"/>
          <w:szCs w:val="20"/>
          <w:lang w:val="es-ES"/>
        </w:rPr>
        <w:t xml:space="preserve"> Estado</w:t>
      </w:r>
      <w:r w:rsidRPr="004768D0">
        <w:rPr>
          <w:color w:val="000000" w:themeColor="text1"/>
          <w:sz w:val="20"/>
          <w:szCs w:val="20"/>
          <w:lang w:val="es-ES"/>
        </w:rPr>
        <w:t xml:space="preserve"> </w:t>
      </w:r>
      <w:r w:rsidR="00033EE0">
        <w:rPr>
          <w:color w:val="000000" w:themeColor="text1"/>
          <w:sz w:val="20"/>
          <w:szCs w:val="20"/>
          <w:lang w:val="es-ES"/>
        </w:rPr>
        <w:t xml:space="preserve">a la </w:t>
      </w:r>
      <w:r w:rsidRPr="004768D0">
        <w:rPr>
          <w:color w:val="000000" w:themeColor="text1"/>
          <w:sz w:val="20"/>
          <w:szCs w:val="20"/>
          <w:lang w:val="es-ES"/>
        </w:rPr>
        <w:t xml:space="preserve">CIDH </w:t>
      </w:r>
      <w:r w:rsidR="00033EE0">
        <w:rPr>
          <w:color w:val="000000" w:themeColor="text1"/>
          <w:sz w:val="20"/>
          <w:szCs w:val="20"/>
          <w:lang w:val="es-ES"/>
        </w:rPr>
        <w:t>e</w:t>
      </w:r>
      <w:r w:rsidRPr="004768D0">
        <w:rPr>
          <w:color w:val="000000" w:themeColor="text1"/>
          <w:sz w:val="20"/>
          <w:szCs w:val="20"/>
          <w:lang w:val="es-ES"/>
        </w:rPr>
        <w:t>n</w:t>
      </w:r>
      <w:r w:rsidR="00033EE0">
        <w:rPr>
          <w:color w:val="000000" w:themeColor="text1"/>
          <w:sz w:val="20"/>
          <w:szCs w:val="20"/>
          <w:lang w:val="es-ES"/>
        </w:rPr>
        <w:t xml:space="preserve"> el caso de autos </w:t>
      </w:r>
      <w:r w:rsidR="00073049" w:rsidRPr="004768D0">
        <w:rPr>
          <w:color w:val="000000" w:themeColor="text1"/>
          <w:sz w:val="20"/>
          <w:szCs w:val="20"/>
          <w:lang w:val="es-ES"/>
        </w:rPr>
        <w:t xml:space="preserve">como medida </w:t>
      </w:r>
      <w:r w:rsidR="00033EE0">
        <w:rPr>
          <w:color w:val="000000" w:themeColor="text1"/>
          <w:sz w:val="20"/>
          <w:szCs w:val="20"/>
          <w:lang w:val="es-ES"/>
        </w:rPr>
        <w:t>para</w:t>
      </w:r>
      <w:r w:rsidR="00073049" w:rsidRPr="004768D0">
        <w:rPr>
          <w:color w:val="000000" w:themeColor="text1"/>
          <w:sz w:val="20"/>
          <w:szCs w:val="20"/>
          <w:lang w:val="es-ES"/>
        </w:rPr>
        <w:t xml:space="preserve"> </w:t>
      </w:r>
      <w:r w:rsidR="004744F0" w:rsidRPr="004768D0">
        <w:rPr>
          <w:color w:val="000000" w:themeColor="text1"/>
          <w:sz w:val="20"/>
          <w:szCs w:val="20"/>
          <w:lang w:val="es-ES"/>
        </w:rPr>
        <w:t>“</w:t>
      </w:r>
      <w:r w:rsidR="00073049" w:rsidRPr="004768D0">
        <w:rPr>
          <w:color w:val="000000" w:themeColor="text1"/>
          <w:sz w:val="20"/>
          <w:szCs w:val="20"/>
          <w:lang w:val="es-ES"/>
        </w:rPr>
        <w:t>ofrecer u</w:t>
      </w:r>
      <w:r w:rsidR="00033EE0">
        <w:rPr>
          <w:color w:val="000000" w:themeColor="text1"/>
          <w:sz w:val="20"/>
          <w:szCs w:val="20"/>
          <w:lang w:val="es-ES"/>
        </w:rPr>
        <w:t>n</w:t>
      </w:r>
      <w:r w:rsidR="00073049" w:rsidRPr="004768D0">
        <w:rPr>
          <w:color w:val="000000" w:themeColor="text1"/>
          <w:sz w:val="20"/>
          <w:szCs w:val="20"/>
          <w:lang w:val="es-ES"/>
        </w:rPr>
        <w:t>a resp</w:t>
      </w:r>
      <w:r w:rsidR="00033EE0">
        <w:rPr>
          <w:color w:val="000000" w:themeColor="text1"/>
          <w:sz w:val="20"/>
          <w:szCs w:val="20"/>
          <w:lang w:val="es-ES"/>
        </w:rPr>
        <w:t xml:space="preserve">uesta a las </w:t>
      </w:r>
      <w:r w:rsidR="00000CF9" w:rsidRPr="004768D0">
        <w:rPr>
          <w:color w:val="000000" w:themeColor="text1"/>
          <w:sz w:val="20"/>
          <w:szCs w:val="20"/>
          <w:lang w:val="es-ES"/>
        </w:rPr>
        <w:t>víctimas</w:t>
      </w:r>
      <w:r w:rsidR="00073049" w:rsidRPr="004768D0">
        <w:rPr>
          <w:color w:val="000000" w:themeColor="text1"/>
          <w:sz w:val="20"/>
          <w:szCs w:val="20"/>
          <w:lang w:val="es-ES"/>
        </w:rPr>
        <w:t xml:space="preserve"> </w:t>
      </w:r>
      <w:r w:rsidR="00033EE0">
        <w:rPr>
          <w:color w:val="000000" w:themeColor="text1"/>
          <w:sz w:val="20"/>
          <w:szCs w:val="20"/>
          <w:lang w:val="es-ES"/>
        </w:rPr>
        <w:t>y los</w:t>
      </w:r>
      <w:r w:rsidR="00073049" w:rsidRPr="004768D0">
        <w:rPr>
          <w:color w:val="000000" w:themeColor="text1"/>
          <w:sz w:val="20"/>
          <w:szCs w:val="20"/>
          <w:lang w:val="es-ES"/>
        </w:rPr>
        <w:t xml:space="preserve"> familiares d</w:t>
      </w:r>
      <w:r w:rsidR="00033EE0">
        <w:rPr>
          <w:color w:val="000000" w:themeColor="text1"/>
          <w:sz w:val="20"/>
          <w:szCs w:val="20"/>
          <w:lang w:val="es-ES"/>
        </w:rPr>
        <w:t>e la</w:t>
      </w:r>
      <w:r w:rsidR="00073049" w:rsidRPr="004768D0">
        <w:rPr>
          <w:color w:val="000000" w:themeColor="text1"/>
          <w:sz w:val="20"/>
          <w:szCs w:val="20"/>
          <w:lang w:val="es-ES"/>
        </w:rPr>
        <w:t xml:space="preserve">s </w:t>
      </w:r>
      <w:r w:rsidR="00000CF9" w:rsidRPr="004768D0">
        <w:rPr>
          <w:color w:val="000000" w:themeColor="text1"/>
          <w:sz w:val="20"/>
          <w:szCs w:val="20"/>
          <w:lang w:val="es-ES"/>
        </w:rPr>
        <w:t>víctimas</w:t>
      </w:r>
      <w:r w:rsidR="00073049" w:rsidRPr="004768D0">
        <w:rPr>
          <w:color w:val="000000" w:themeColor="text1"/>
          <w:sz w:val="20"/>
          <w:szCs w:val="20"/>
          <w:lang w:val="es-ES"/>
        </w:rPr>
        <w:t xml:space="preserve"> d</w:t>
      </w:r>
      <w:r w:rsidR="00033EE0">
        <w:rPr>
          <w:color w:val="000000" w:themeColor="text1"/>
          <w:sz w:val="20"/>
          <w:szCs w:val="20"/>
          <w:lang w:val="es-ES"/>
        </w:rPr>
        <w:t>e l</w:t>
      </w:r>
      <w:r w:rsidR="00073049" w:rsidRPr="004768D0">
        <w:rPr>
          <w:color w:val="000000" w:themeColor="text1"/>
          <w:sz w:val="20"/>
          <w:szCs w:val="20"/>
          <w:lang w:val="es-ES"/>
        </w:rPr>
        <w:t xml:space="preserve">os </w:t>
      </w:r>
      <w:r w:rsidR="00033EE0">
        <w:rPr>
          <w:color w:val="000000" w:themeColor="text1"/>
          <w:sz w:val="20"/>
          <w:szCs w:val="20"/>
          <w:lang w:val="es-ES"/>
        </w:rPr>
        <w:t xml:space="preserve">delitos cometidos </w:t>
      </w:r>
      <w:r w:rsidR="00073049" w:rsidRPr="004768D0">
        <w:rPr>
          <w:color w:val="000000" w:themeColor="text1"/>
          <w:sz w:val="20"/>
          <w:szCs w:val="20"/>
          <w:lang w:val="es-ES"/>
        </w:rPr>
        <w:t xml:space="preserve">entre </w:t>
      </w:r>
      <w:r w:rsidR="007F4608" w:rsidRPr="004768D0">
        <w:rPr>
          <w:color w:val="000000" w:themeColor="text1"/>
          <w:sz w:val="20"/>
          <w:szCs w:val="20"/>
          <w:lang w:val="es-ES"/>
        </w:rPr>
        <w:t>mayo</w:t>
      </w:r>
      <w:r w:rsidR="00073049" w:rsidRPr="004768D0">
        <w:rPr>
          <w:color w:val="000000" w:themeColor="text1"/>
          <w:sz w:val="20"/>
          <w:szCs w:val="20"/>
          <w:lang w:val="es-ES"/>
        </w:rPr>
        <w:t xml:space="preserve"> de 2006 </w:t>
      </w:r>
      <w:r w:rsidR="00033EE0">
        <w:rPr>
          <w:color w:val="000000" w:themeColor="text1"/>
          <w:sz w:val="20"/>
          <w:szCs w:val="20"/>
          <w:lang w:val="es-ES"/>
        </w:rPr>
        <w:t>y</w:t>
      </w:r>
      <w:r w:rsidR="00073049" w:rsidRPr="004768D0">
        <w:rPr>
          <w:color w:val="000000" w:themeColor="text1"/>
          <w:sz w:val="20"/>
          <w:szCs w:val="20"/>
          <w:lang w:val="es-ES"/>
        </w:rPr>
        <w:t xml:space="preserve"> </w:t>
      </w:r>
      <w:r w:rsidR="007F4608" w:rsidRPr="004768D0">
        <w:rPr>
          <w:color w:val="000000" w:themeColor="text1"/>
          <w:sz w:val="20"/>
          <w:szCs w:val="20"/>
          <w:lang w:val="es-ES"/>
        </w:rPr>
        <w:t>marzo</w:t>
      </w:r>
      <w:r w:rsidR="00073049" w:rsidRPr="004768D0">
        <w:rPr>
          <w:color w:val="000000" w:themeColor="text1"/>
          <w:sz w:val="20"/>
          <w:szCs w:val="20"/>
          <w:lang w:val="es-ES"/>
        </w:rPr>
        <w:t xml:space="preserve"> de 2007 </w:t>
      </w:r>
      <w:r w:rsidR="00033EE0">
        <w:rPr>
          <w:color w:val="000000" w:themeColor="text1"/>
          <w:sz w:val="20"/>
          <w:szCs w:val="20"/>
          <w:lang w:val="es-ES"/>
        </w:rPr>
        <w:t>e</w:t>
      </w:r>
      <w:r w:rsidR="00073049" w:rsidRPr="004768D0">
        <w:rPr>
          <w:color w:val="000000" w:themeColor="text1"/>
          <w:sz w:val="20"/>
          <w:szCs w:val="20"/>
          <w:lang w:val="es-ES"/>
        </w:rPr>
        <w:t>n</w:t>
      </w:r>
      <w:r w:rsidR="00033EE0">
        <w:rPr>
          <w:color w:val="000000" w:themeColor="text1"/>
          <w:sz w:val="20"/>
          <w:szCs w:val="20"/>
          <w:lang w:val="es-ES"/>
        </w:rPr>
        <w:t xml:space="preserve"> el</w:t>
      </w:r>
      <w:r w:rsidR="00073049" w:rsidRPr="004768D0">
        <w:rPr>
          <w:color w:val="000000" w:themeColor="text1"/>
          <w:sz w:val="20"/>
          <w:szCs w:val="20"/>
          <w:lang w:val="es-ES"/>
        </w:rPr>
        <w:t xml:space="preserve"> estado de São Paulo</w:t>
      </w:r>
      <w:r w:rsidR="004744F0" w:rsidRPr="004768D0">
        <w:rPr>
          <w:color w:val="000000" w:themeColor="text1"/>
          <w:sz w:val="20"/>
          <w:szCs w:val="20"/>
          <w:lang w:val="es-ES"/>
        </w:rPr>
        <w:t>”</w:t>
      </w:r>
      <w:r w:rsidRPr="004768D0">
        <w:rPr>
          <w:bCs/>
          <w:color w:val="000000" w:themeColor="text1"/>
          <w:sz w:val="20"/>
          <w:szCs w:val="20"/>
          <w:vertAlign w:val="superscript"/>
          <w:lang w:val="es-ES"/>
        </w:rPr>
        <w:footnoteReference w:id="25"/>
      </w:r>
      <w:r w:rsidR="00033EE0">
        <w:rPr>
          <w:color w:val="000000" w:themeColor="text1"/>
          <w:sz w:val="20"/>
          <w:szCs w:val="20"/>
          <w:lang w:val="es-ES"/>
        </w:rPr>
        <w:t xml:space="preserve">. En la propia </w:t>
      </w:r>
      <w:r w:rsidR="00882F67" w:rsidRPr="004768D0">
        <w:rPr>
          <w:color w:val="000000" w:themeColor="text1"/>
          <w:sz w:val="20"/>
          <w:szCs w:val="20"/>
          <w:lang w:val="es-ES"/>
        </w:rPr>
        <w:t>petición</w:t>
      </w:r>
      <w:r w:rsidR="00073049" w:rsidRPr="004768D0">
        <w:rPr>
          <w:color w:val="000000" w:themeColor="text1"/>
          <w:sz w:val="20"/>
          <w:szCs w:val="20"/>
          <w:lang w:val="es-ES"/>
        </w:rPr>
        <w:t xml:space="preserve"> d</w:t>
      </w:r>
      <w:r w:rsidR="00033EE0">
        <w:rPr>
          <w:color w:val="000000" w:themeColor="text1"/>
          <w:sz w:val="20"/>
          <w:szCs w:val="20"/>
          <w:lang w:val="es-ES"/>
        </w:rPr>
        <w:t xml:space="preserve">e traslado de competencia, el </w:t>
      </w:r>
      <w:r w:rsidR="00F154A0" w:rsidRPr="004768D0">
        <w:rPr>
          <w:color w:val="000000" w:themeColor="text1"/>
          <w:sz w:val="20"/>
          <w:szCs w:val="20"/>
          <w:lang w:val="es-ES"/>
        </w:rPr>
        <w:t>Ministerio</w:t>
      </w:r>
      <w:r w:rsidR="00073049" w:rsidRPr="004768D0">
        <w:rPr>
          <w:color w:val="000000" w:themeColor="text1"/>
          <w:sz w:val="20"/>
          <w:szCs w:val="20"/>
          <w:lang w:val="es-ES"/>
        </w:rPr>
        <w:t xml:space="preserve"> Público Federal afirma que </w:t>
      </w:r>
      <w:r w:rsidR="00033EE0">
        <w:rPr>
          <w:color w:val="000000" w:themeColor="text1"/>
          <w:sz w:val="20"/>
          <w:szCs w:val="20"/>
          <w:lang w:val="es-ES"/>
        </w:rPr>
        <w:t>l</w:t>
      </w:r>
      <w:r w:rsidR="00073049" w:rsidRPr="004768D0">
        <w:rPr>
          <w:color w:val="000000" w:themeColor="text1"/>
          <w:sz w:val="20"/>
          <w:szCs w:val="20"/>
          <w:lang w:val="es-ES"/>
        </w:rPr>
        <w:t xml:space="preserve">a </w:t>
      </w:r>
      <w:r w:rsidR="00712D2E" w:rsidRPr="004768D0">
        <w:rPr>
          <w:color w:val="000000" w:themeColor="text1"/>
          <w:sz w:val="20"/>
          <w:szCs w:val="20"/>
          <w:lang w:val="es-ES"/>
        </w:rPr>
        <w:t>investigación</w:t>
      </w:r>
      <w:r w:rsidR="00073049" w:rsidRPr="004768D0">
        <w:rPr>
          <w:color w:val="000000" w:themeColor="text1"/>
          <w:sz w:val="20"/>
          <w:szCs w:val="20"/>
          <w:lang w:val="es-ES"/>
        </w:rPr>
        <w:t xml:space="preserve"> d</w:t>
      </w:r>
      <w:r w:rsidR="00033EE0">
        <w:rPr>
          <w:color w:val="000000" w:themeColor="text1"/>
          <w:sz w:val="20"/>
          <w:szCs w:val="20"/>
          <w:lang w:val="es-ES"/>
        </w:rPr>
        <w:t>e l</w:t>
      </w:r>
      <w:r w:rsidR="00073049" w:rsidRPr="004768D0">
        <w:rPr>
          <w:color w:val="000000" w:themeColor="text1"/>
          <w:sz w:val="20"/>
          <w:szCs w:val="20"/>
          <w:lang w:val="es-ES"/>
        </w:rPr>
        <w:t xml:space="preserve">os </w:t>
      </w:r>
      <w:r w:rsidR="00033EE0">
        <w:rPr>
          <w:color w:val="000000" w:themeColor="text1"/>
          <w:sz w:val="20"/>
          <w:szCs w:val="20"/>
          <w:lang w:val="es-ES"/>
        </w:rPr>
        <w:t xml:space="preserve">delitos había sido </w:t>
      </w:r>
      <w:r w:rsidR="004744F0" w:rsidRPr="004768D0">
        <w:rPr>
          <w:color w:val="000000" w:themeColor="text1"/>
          <w:sz w:val="20"/>
          <w:szCs w:val="20"/>
          <w:lang w:val="es-ES"/>
        </w:rPr>
        <w:t>“</w:t>
      </w:r>
      <w:r w:rsidR="00950761" w:rsidRPr="004768D0">
        <w:rPr>
          <w:color w:val="000000" w:themeColor="text1"/>
          <w:sz w:val="20"/>
          <w:szCs w:val="20"/>
          <w:lang w:val="es-ES"/>
        </w:rPr>
        <w:t>meramente protocolar</w:t>
      </w:r>
      <w:r w:rsidR="004744F0" w:rsidRPr="004768D0">
        <w:rPr>
          <w:color w:val="000000" w:themeColor="text1"/>
          <w:sz w:val="20"/>
          <w:szCs w:val="20"/>
          <w:lang w:val="es-ES"/>
        </w:rPr>
        <w:t>”</w:t>
      </w:r>
      <w:r w:rsidR="00033EE0">
        <w:rPr>
          <w:color w:val="000000" w:themeColor="text1"/>
          <w:sz w:val="20"/>
          <w:szCs w:val="20"/>
          <w:lang w:val="es-ES"/>
        </w:rPr>
        <w:t xml:space="preserve"> y que, por esa razón</w:t>
      </w:r>
      <w:r w:rsidR="00950761" w:rsidRPr="004768D0">
        <w:rPr>
          <w:color w:val="000000" w:themeColor="text1"/>
          <w:sz w:val="20"/>
          <w:szCs w:val="20"/>
          <w:lang w:val="es-ES"/>
        </w:rPr>
        <w:t xml:space="preserve">, </w:t>
      </w:r>
      <w:r w:rsidR="00033EE0">
        <w:rPr>
          <w:color w:val="000000" w:themeColor="text1"/>
          <w:sz w:val="20"/>
          <w:szCs w:val="20"/>
          <w:lang w:val="es-ES"/>
        </w:rPr>
        <w:t xml:space="preserve">no se habían obtenido </w:t>
      </w:r>
      <w:r w:rsidR="004744F0" w:rsidRPr="004768D0">
        <w:rPr>
          <w:color w:val="000000" w:themeColor="text1"/>
          <w:sz w:val="20"/>
          <w:szCs w:val="20"/>
          <w:lang w:val="es-ES"/>
        </w:rPr>
        <w:t>“</w:t>
      </w:r>
      <w:r w:rsidR="00950761" w:rsidRPr="004768D0">
        <w:rPr>
          <w:color w:val="000000" w:themeColor="text1"/>
          <w:sz w:val="20"/>
          <w:szCs w:val="20"/>
          <w:lang w:val="es-ES"/>
        </w:rPr>
        <w:t xml:space="preserve">resultados </w:t>
      </w:r>
      <w:r w:rsidR="00033EE0" w:rsidRPr="004768D0">
        <w:rPr>
          <w:color w:val="000000" w:themeColor="text1"/>
          <w:sz w:val="20"/>
          <w:szCs w:val="20"/>
          <w:lang w:val="es-ES"/>
        </w:rPr>
        <w:t>prácticos</w:t>
      </w:r>
      <w:r w:rsidR="00950761" w:rsidRPr="004768D0">
        <w:rPr>
          <w:color w:val="000000" w:themeColor="text1"/>
          <w:sz w:val="20"/>
          <w:szCs w:val="20"/>
          <w:lang w:val="es-ES"/>
        </w:rPr>
        <w:t xml:space="preserve"> </w:t>
      </w:r>
      <w:r w:rsidR="00033EE0">
        <w:rPr>
          <w:color w:val="000000" w:themeColor="text1"/>
          <w:sz w:val="20"/>
          <w:szCs w:val="20"/>
          <w:lang w:val="es-ES"/>
        </w:rPr>
        <w:t xml:space="preserve">en lo que </w:t>
      </w:r>
      <w:r w:rsidR="008A7862">
        <w:rPr>
          <w:color w:val="000000" w:themeColor="text1"/>
          <w:sz w:val="20"/>
          <w:szCs w:val="20"/>
          <w:lang w:val="es-ES"/>
        </w:rPr>
        <w:t xml:space="preserve">concierne </w:t>
      </w:r>
      <w:r w:rsidR="00033EE0">
        <w:rPr>
          <w:color w:val="000000" w:themeColor="text1"/>
          <w:sz w:val="20"/>
          <w:szCs w:val="20"/>
          <w:lang w:val="es-ES"/>
        </w:rPr>
        <w:t xml:space="preserve">a la </w:t>
      </w:r>
      <w:r w:rsidR="00950761" w:rsidRPr="004768D0">
        <w:rPr>
          <w:color w:val="000000" w:themeColor="text1"/>
          <w:sz w:val="20"/>
          <w:szCs w:val="20"/>
          <w:lang w:val="es-ES"/>
        </w:rPr>
        <w:t>responsabiliza</w:t>
      </w:r>
      <w:r w:rsidR="00033EE0">
        <w:rPr>
          <w:color w:val="000000" w:themeColor="text1"/>
          <w:sz w:val="20"/>
          <w:szCs w:val="20"/>
          <w:lang w:val="es-ES"/>
        </w:rPr>
        <w:t xml:space="preserve">ción de los </w:t>
      </w:r>
      <w:r w:rsidR="00950761" w:rsidRPr="004768D0">
        <w:rPr>
          <w:color w:val="000000" w:themeColor="text1"/>
          <w:sz w:val="20"/>
          <w:szCs w:val="20"/>
          <w:lang w:val="es-ES"/>
        </w:rPr>
        <w:t>autores</w:t>
      </w:r>
      <w:r w:rsidR="004744F0" w:rsidRPr="004768D0">
        <w:rPr>
          <w:color w:val="000000" w:themeColor="text1"/>
          <w:sz w:val="20"/>
          <w:szCs w:val="20"/>
          <w:lang w:val="es-ES"/>
        </w:rPr>
        <w:t>”</w:t>
      </w:r>
      <w:r w:rsidR="00950761" w:rsidRPr="004768D0">
        <w:rPr>
          <w:sz w:val="20"/>
          <w:szCs w:val="20"/>
          <w:vertAlign w:val="superscript"/>
          <w:lang w:val="es-ES"/>
        </w:rPr>
        <w:footnoteReference w:id="26"/>
      </w:r>
      <w:r w:rsidR="00033EE0">
        <w:rPr>
          <w:color w:val="000000" w:themeColor="text1"/>
          <w:sz w:val="20"/>
          <w:szCs w:val="20"/>
          <w:lang w:val="es-ES"/>
        </w:rPr>
        <w:t xml:space="preserve">. </w:t>
      </w:r>
      <w:r w:rsidR="00D37AFA">
        <w:rPr>
          <w:color w:val="000000" w:themeColor="text1"/>
          <w:sz w:val="20"/>
          <w:szCs w:val="20"/>
          <w:lang w:val="es-ES"/>
        </w:rPr>
        <w:t xml:space="preserve">El otro </w:t>
      </w:r>
      <w:r w:rsidR="00D37AFA" w:rsidRPr="00D37AFA">
        <w:rPr>
          <w:color w:val="000000" w:themeColor="text1"/>
          <w:sz w:val="20"/>
          <w:szCs w:val="20"/>
          <w:lang w:val="es-ES"/>
        </w:rPr>
        <w:t>—</w:t>
      </w:r>
      <w:r w:rsidR="00D37AFA">
        <w:rPr>
          <w:color w:val="000000" w:themeColor="text1"/>
          <w:sz w:val="20"/>
          <w:szCs w:val="20"/>
          <w:lang w:val="es-ES"/>
        </w:rPr>
        <w:t>el p</w:t>
      </w:r>
      <w:r w:rsidR="00712D2E" w:rsidRPr="004768D0">
        <w:rPr>
          <w:color w:val="000000" w:themeColor="text1"/>
          <w:sz w:val="20"/>
          <w:szCs w:val="20"/>
          <w:lang w:val="es-ES"/>
        </w:rPr>
        <w:t>rocedimiento</w:t>
      </w:r>
      <w:r w:rsidR="00073049" w:rsidRPr="004768D0">
        <w:rPr>
          <w:color w:val="000000" w:themeColor="text1"/>
          <w:sz w:val="20"/>
          <w:szCs w:val="20"/>
          <w:lang w:val="es-ES"/>
        </w:rPr>
        <w:t xml:space="preserve"> </w:t>
      </w:r>
      <w:r w:rsidR="00D37AFA">
        <w:rPr>
          <w:color w:val="000000" w:themeColor="text1"/>
          <w:sz w:val="20"/>
          <w:szCs w:val="20"/>
          <w:lang w:val="es-ES"/>
        </w:rPr>
        <w:t>p</w:t>
      </w:r>
      <w:r w:rsidR="00D37AFA" w:rsidRPr="004768D0">
        <w:rPr>
          <w:color w:val="000000" w:themeColor="text1"/>
          <w:sz w:val="20"/>
          <w:szCs w:val="20"/>
          <w:lang w:val="es-ES"/>
        </w:rPr>
        <w:t>reparatorio</w:t>
      </w:r>
      <w:r w:rsidR="00073049" w:rsidRPr="004768D0">
        <w:rPr>
          <w:color w:val="000000" w:themeColor="text1"/>
          <w:sz w:val="20"/>
          <w:szCs w:val="20"/>
          <w:lang w:val="es-ES"/>
        </w:rPr>
        <w:t xml:space="preserve"> de </w:t>
      </w:r>
      <w:r w:rsidR="00472BCC">
        <w:rPr>
          <w:color w:val="000000" w:themeColor="text1"/>
          <w:sz w:val="20"/>
          <w:szCs w:val="20"/>
          <w:lang w:val="es-ES"/>
        </w:rPr>
        <w:t>incidente de traslado de competencia</w:t>
      </w:r>
      <w:r w:rsidR="00073049" w:rsidRPr="004768D0">
        <w:rPr>
          <w:color w:val="000000" w:themeColor="text1"/>
          <w:sz w:val="20"/>
          <w:szCs w:val="20"/>
          <w:lang w:val="es-ES"/>
        </w:rPr>
        <w:t xml:space="preserve"> (PPIDC-PGR) </w:t>
      </w:r>
      <w:proofErr w:type="spellStart"/>
      <w:r w:rsidR="009615E2" w:rsidRPr="00D37AFA">
        <w:rPr>
          <w:color w:val="000000" w:themeColor="text1"/>
          <w:sz w:val="20"/>
          <w:szCs w:val="20"/>
          <w:lang w:val="es-ES"/>
        </w:rPr>
        <w:t>N.</w:t>
      </w:r>
      <w:r w:rsidR="009615E2" w:rsidRPr="008A7862">
        <w:rPr>
          <w:color w:val="000000" w:themeColor="text1"/>
          <w:sz w:val="20"/>
          <w:szCs w:val="20"/>
          <w:vertAlign w:val="superscript"/>
          <w:lang w:val="es-ES"/>
        </w:rPr>
        <w:t>o</w:t>
      </w:r>
      <w:proofErr w:type="spellEnd"/>
      <w:r w:rsidR="00073049" w:rsidRPr="004768D0">
        <w:rPr>
          <w:color w:val="000000" w:themeColor="text1"/>
          <w:sz w:val="20"/>
          <w:szCs w:val="20"/>
          <w:lang w:val="es-ES"/>
        </w:rPr>
        <w:t xml:space="preserve"> 1.00.000.005535/2010-00</w:t>
      </w:r>
      <w:r w:rsidR="00D37AFA" w:rsidRPr="00D37AFA">
        <w:rPr>
          <w:color w:val="000000" w:themeColor="text1"/>
          <w:sz w:val="20"/>
          <w:szCs w:val="20"/>
          <w:lang w:val="es-ES"/>
        </w:rPr>
        <w:t>—</w:t>
      </w:r>
      <w:r w:rsidR="008A7862">
        <w:rPr>
          <w:color w:val="000000" w:themeColor="text1"/>
          <w:sz w:val="20"/>
          <w:szCs w:val="20"/>
          <w:lang w:val="es-ES"/>
        </w:rPr>
        <w:t xml:space="preserve">, </w:t>
      </w:r>
      <w:r w:rsidR="00D37AFA">
        <w:rPr>
          <w:color w:val="000000" w:themeColor="text1"/>
          <w:sz w:val="20"/>
          <w:szCs w:val="20"/>
          <w:lang w:val="es-ES"/>
        </w:rPr>
        <w:t xml:space="preserve">incorporado en autos el </w:t>
      </w:r>
      <w:r w:rsidR="00073049" w:rsidRPr="004768D0">
        <w:rPr>
          <w:color w:val="000000" w:themeColor="text1"/>
          <w:sz w:val="20"/>
          <w:szCs w:val="20"/>
          <w:lang w:val="es-ES"/>
        </w:rPr>
        <w:t xml:space="preserve">18 de </w:t>
      </w:r>
      <w:r w:rsidR="007F4608" w:rsidRPr="004768D0">
        <w:rPr>
          <w:color w:val="000000" w:themeColor="text1"/>
          <w:sz w:val="20"/>
          <w:szCs w:val="20"/>
          <w:lang w:val="es-ES"/>
        </w:rPr>
        <w:t>mayo</w:t>
      </w:r>
      <w:r w:rsidR="00073049" w:rsidRPr="004768D0">
        <w:rPr>
          <w:color w:val="000000" w:themeColor="text1"/>
          <w:sz w:val="20"/>
          <w:szCs w:val="20"/>
          <w:lang w:val="es-ES"/>
        </w:rPr>
        <w:t xml:space="preserve"> de 2010, </w:t>
      </w:r>
      <w:r w:rsidR="008A7862" w:rsidRPr="008A7862">
        <w:rPr>
          <w:color w:val="000000" w:themeColor="text1"/>
          <w:sz w:val="20"/>
          <w:szCs w:val="20"/>
          <w:lang w:val="es-ES"/>
        </w:rPr>
        <w:t xml:space="preserve">no presentaba ningún movimiento procesal relevante </w:t>
      </w:r>
      <w:r w:rsidR="00073049" w:rsidRPr="004768D0">
        <w:rPr>
          <w:color w:val="000000" w:themeColor="text1"/>
          <w:sz w:val="20"/>
          <w:szCs w:val="20"/>
          <w:lang w:val="es-ES"/>
        </w:rPr>
        <w:t>seg</w:t>
      </w:r>
      <w:r w:rsidR="00D37AFA">
        <w:rPr>
          <w:color w:val="000000" w:themeColor="text1"/>
          <w:sz w:val="20"/>
          <w:szCs w:val="20"/>
          <w:lang w:val="es-ES"/>
        </w:rPr>
        <w:t xml:space="preserve">ún el propio </w:t>
      </w:r>
      <w:r w:rsidR="003C58C5" w:rsidRPr="004768D0">
        <w:rPr>
          <w:color w:val="000000" w:themeColor="text1"/>
          <w:sz w:val="20"/>
          <w:szCs w:val="20"/>
          <w:lang w:val="es-ES"/>
        </w:rPr>
        <w:t>Estado</w:t>
      </w:r>
      <w:r w:rsidR="00073049" w:rsidRPr="004768D0">
        <w:rPr>
          <w:sz w:val="20"/>
          <w:szCs w:val="20"/>
          <w:vertAlign w:val="superscript"/>
          <w:lang w:val="es-ES"/>
        </w:rPr>
        <w:footnoteReference w:id="27"/>
      </w:r>
      <w:r w:rsidR="00073049" w:rsidRPr="004768D0">
        <w:rPr>
          <w:color w:val="000000" w:themeColor="text1"/>
          <w:sz w:val="20"/>
          <w:szCs w:val="20"/>
          <w:lang w:val="es-ES"/>
        </w:rPr>
        <w:t xml:space="preserve"> </w:t>
      </w:r>
      <w:r w:rsidR="00D37AFA">
        <w:rPr>
          <w:color w:val="000000" w:themeColor="text1"/>
          <w:sz w:val="20"/>
          <w:szCs w:val="20"/>
          <w:lang w:val="es-ES"/>
        </w:rPr>
        <w:t xml:space="preserve">y, según </w:t>
      </w:r>
      <w:r w:rsidR="00A07DD9" w:rsidRPr="004768D0">
        <w:rPr>
          <w:color w:val="000000" w:themeColor="text1"/>
          <w:sz w:val="20"/>
          <w:szCs w:val="20"/>
          <w:lang w:val="es-ES"/>
        </w:rPr>
        <w:t>la parte peticionaria</w:t>
      </w:r>
      <w:r w:rsidR="00073049" w:rsidRPr="004768D0">
        <w:rPr>
          <w:color w:val="000000" w:themeColor="text1"/>
          <w:sz w:val="20"/>
          <w:szCs w:val="20"/>
          <w:lang w:val="es-ES"/>
        </w:rPr>
        <w:t xml:space="preserve">, </w:t>
      </w:r>
      <w:r w:rsidR="00D37AFA" w:rsidRPr="004768D0">
        <w:rPr>
          <w:color w:val="000000" w:themeColor="text1"/>
          <w:sz w:val="20"/>
          <w:szCs w:val="20"/>
          <w:lang w:val="es-ES"/>
        </w:rPr>
        <w:t>en</w:t>
      </w:r>
      <w:r w:rsidR="00073049" w:rsidRPr="004768D0">
        <w:rPr>
          <w:color w:val="000000" w:themeColor="text1"/>
          <w:sz w:val="20"/>
          <w:szCs w:val="20"/>
          <w:lang w:val="es-ES"/>
        </w:rPr>
        <w:t xml:space="preserve"> 2020 </w:t>
      </w:r>
      <w:r w:rsidR="00D37AFA">
        <w:rPr>
          <w:color w:val="000000" w:themeColor="text1"/>
          <w:sz w:val="20"/>
          <w:szCs w:val="20"/>
          <w:lang w:val="es-ES"/>
        </w:rPr>
        <w:t xml:space="preserve">todavía no había surtido ningún efecto </w:t>
      </w:r>
      <w:r w:rsidR="00073049" w:rsidRPr="004768D0">
        <w:rPr>
          <w:color w:val="000000" w:themeColor="text1"/>
          <w:sz w:val="20"/>
          <w:szCs w:val="20"/>
          <w:lang w:val="es-ES"/>
        </w:rPr>
        <w:t>concreto.</w:t>
      </w:r>
    </w:p>
    <w:p w14:paraId="2ABCFD3A" w14:textId="77777777" w:rsidR="00073049" w:rsidRPr="004768D0" w:rsidRDefault="00073049" w:rsidP="0007304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p>
    <w:p w14:paraId="2F4B569D" w14:textId="77777777" w:rsidR="00073049" w:rsidRPr="004768D0" w:rsidRDefault="00B27BF4" w:rsidP="00A104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r>
        <w:rPr>
          <w:color w:val="000000" w:themeColor="text1"/>
          <w:sz w:val="20"/>
          <w:szCs w:val="20"/>
          <w:lang w:val="es-ES"/>
        </w:rPr>
        <w:t>En vista de lo</w:t>
      </w:r>
      <w:r w:rsidR="00073049" w:rsidRPr="004768D0">
        <w:rPr>
          <w:color w:val="000000" w:themeColor="text1"/>
          <w:sz w:val="20"/>
          <w:szCs w:val="20"/>
          <w:lang w:val="es-ES"/>
        </w:rPr>
        <w:t xml:space="preserve">s elementos </w:t>
      </w:r>
      <w:r>
        <w:rPr>
          <w:color w:val="000000" w:themeColor="text1"/>
          <w:sz w:val="20"/>
          <w:szCs w:val="20"/>
          <w:lang w:val="es-ES"/>
        </w:rPr>
        <w:t xml:space="preserve">aportados </w:t>
      </w:r>
      <w:r w:rsidR="00CF044D" w:rsidRPr="004768D0">
        <w:rPr>
          <w:color w:val="000000" w:themeColor="text1"/>
          <w:sz w:val="20"/>
          <w:szCs w:val="20"/>
          <w:lang w:val="es-ES"/>
        </w:rPr>
        <w:t>por las</w:t>
      </w:r>
      <w:r w:rsidR="00073049" w:rsidRPr="004768D0">
        <w:rPr>
          <w:color w:val="000000" w:themeColor="text1"/>
          <w:sz w:val="20"/>
          <w:szCs w:val="20"/>
          <w:lang w:val="es-ES"/>
        </w:rPr>
        <w:t xml:space="preserve"> partes </w:t>
      </w:r>
      <w:r>
        <w:rPr>
          <w:color w:val="000000" w:themeColor="text1"/>
          <w:sz w:val="20"/>
          <w:szCs w:val="20"/>
          <w:lang w:val="es-ES"/>
        </w:rPr>
        <w:t>y d</w:t>
      </w:r>
      <w:r w:rsidR="00073049" w:rsidRPr="004768D0">
        <w:rPr>
          <w:color w:val="000000" w:themeColor="text1"/>
          <w:sz w:val="20"/>
          <w:szCs w:val="20"/>
          <w:lang w:val="es-ES"/>
        </w:rPr>
        <w:t xml:space="preserve">e </w:t>
      </w:r>
      <w:r>
        <w:rPr>
          <w:color w:val="000000" w:themeColor="text1"/>
          <w:sz w:val="20"/>
          <w:szCs w:val="20"/>
          <w:lang w:val="es-ES"/>
        </w:rPr>
        <w:t>l</w:t>
      </w:r>
      <w:r w:rsidR="00073049" w:rsidRPr="004768D0">
        <w:rPr>
          <w:color w:val="000000" w:themeColor="text1"/>
          <w:sz w:val="20"/>
          <w:szCs w:val="20"/>
          <w:lang w:val="es-ES"/>
        </w:rPr>
        <w:t>as considera</w:t>
      </w:r>
      <w:r>
        <w:rPr>
          <w:color w:val="000000" w:themeColor="text1"/>
          <w:sz w:val="20"/>
          <w:szCs w:val="20"/>
          <w:lang w:val="es-ES"/>
        </w:rPr>
        <w:t>ciones precedentes</w:t>
      </w:r>
      <w:r w:rsidR="00073049" w:rsidRPr="004768D0">
        <w:rPr>
          <w:color w:val="000000" w:themeColor="text1"/>
          <w:sz w:val="20"/>
          <w:szCs w:val="20"/>
          <w:lang w:val="es-ES"/>
        </w:rPr>
        <w:t xml:space="preserve">, </w:t>
      </w:r>
      <w:r>
        <w:rPr>
          <w:color w:val="000000" w:themeColor="text1"/>
          <w:sz w:val="20"/>
          <w:szCs w:val="20"/>
          <w:lang w:val="es-ES"/>
        </w:rPr>
        <w:t>l</w:t>
      </w:r>
      <w:r w:rsidR="00073049" w:rsidRPr="004768D0">
        <w:rPr>
          <w:color w:val="000000" w:themeColor="text1"/>
          <w:sz w:val="20"/>
          <w:szCs w:val="20"/>
          <w:lang w:val="es-ES"/>
        </w:rPr>
        <w:t>a CIDH conclu</w:t>
      </w:r>
      <w:r>
        <w:rPr>
          <w:color w:val="000000" w:themeColor="text1"/>
          <w:sz w:val="20"/>
          <w:szCs w:val="20"/>
          <w:lang w:val="es-ES"/>
        </w:rPr>
        <w:t xml:space="preserve">ye </w:t>
      </w:r>
      <w:r w:rsidR="00073049" w:rsidRPr="004768D0">
        <w:rPr>
          <w:color w:val="000000" w:themeColor="text1"/>
          <w:sz w:val="20"/>
          <w:szCs w:val="20"/>
          <w:lang w:val="es-ES"/>
        </w:rPr>
        <w:t>que se aplica</w:t>
      </w:r>
      <w:r>
        <w:rPr>
          <w:color w:val="000000" w:themeColor="text1"/>
          <w:sz w:val="20"/>
          <w:szCs w:val="20"/>
          <w:lang w:val="es-ES"/>
        </w:rPr>
        <w:t xml:space="preserve"> al </w:t>
      </w:r>
      <w:r w:rsidR="00073049" w:rsidRPr="004768D0">
        <w:rPr>
          <w:color w:val="000000" w:themeColor="text1"/>
          <w:sz w:val="20"/>
          <w:szCs w:val="20"/>
          <w:lang w:val="es-ES"/>
        </w:rPr>
        <w:t>presente caso</w:t>
      </w:r>
      <w:r>
        <w:rPr>
          <w:color w:val="000000" w:themeColor="text1"/>
          <w:sz w:val="20"/>
          <w:szCs w:val="20"/>
          <w:lang w:val="es-ES"/>
        </w:rPr>
        <w:t xml:space="preserve"> la excepción a la regla del agotamiento de los </w:t>
      </w:r>
      <w:r w:rsidR="00073049" w:rsidRPr="004768D0">
        <w:rPr>
          <w:color w:val="000000" w:themeColor="text1"/>
          <w:sz w:val="20"/>
          <w:szCs w:val="20"/>
          <w:lang w:val="es-ES"/>
        </w:rPr>
        <w:t xml:space="preserve">recursos internos prevista </w:t>
      </w:r>
      <w:r>
        <w:rPr>
          <w:color w:val="000000" w:themeColor="text1"/>
          <w:sz w:val="20"/>
          <w:szCs w:val="20"/>
          <w:lang w:val="es-ES"/>
        </w:rPr>
        <w:t xml:space="preserve">en el </w:t>
      </w:r>
      <w:r w:rsidR="0052395A" w:rsidRPr="004768D0">
        <w:rPr>
          <w:color w:val="000000" w:themeColor="text1"/>
          <w:sz w:val="20"/>
          <w:szCs w:val="20"/>
          <w:lang w:val="es-ES"/>
        </w:rPr>
        <w:t>artículo</w:t>
      </w:r>
      <w:r w:rsidR="00073049" w:rsidRPr="004768D0">
        <w:rPr>
          <w:color w:val="000000" w:themeColor="text1"/>
          <w:sz w:val="20"/>
          <w:szCs w:val="20"/>
          <w:lang w:val="es-ES"/>
        </w:rPr>
        <w:t xml:space="preserve"> 46.2</w:t>
      </w:r>
      <w:r>
        <w:rPr>
          <w:color w:val="000000" w:themeColor="text1"/>
          <w:sz w:val="20"/>
          <w:szCs w:val="20"/>
          <w:lang w:val="es-ES"/>
        </w:rPr>
        <w:t>.</w:t>
      </w:r>
      <w:r w:rsidR="00073049" w:rsidRPr="004768D0">
        <w:rPr>
          <w:color w:val="000000" w:themeColor="text1"/>
          <w:sz w:val="20"/>
          <w:szCs w:val="20"/>
          <w:lang w:val="es-ES"/>
        </w:rPr>
        <w:t xml:space="preserve">c </w:t>
      </w:r>
      <w:r w:rsidR="0052395A" w:rsidRPr="004768D0">
        <w:rPr>
          <w:color w:val="000000" w:themeColor="text1"/>
          <w:sz w:val="20"/>
          <w:szCs w:val="20"/>
          <w:lang w:val="es-ES"/>
        </w:rPr>
        <w:t>de la Convención</w:t>
      </w:r>
      <w:r w:rsidR="00073049" w:rsidRPr="004768D0">
        <w:rPr>
          <w:color w:val="000000" w:themeColor="text1"/>
          <w:sz w:val="20"/>
          <w:szCs w:val="20"/>
          <w:lang w:val="es-ES"/>
        </w:rPr>
        <w:t xml:space="preserve"> Americana. </w:t>
      </w:r>
      <w:r>
        <w:rPr>
          <w:color w:val="000000" w:themeColor="text1"/>
          <w:sz w:val="20"/>
          <w:szCs w:val="20"/>
          <w:lang w:val="es-ES"/>
        </w:rPr>
        <w:t xml:space="preserve">En cuanto al plazo de </w:t>
      </w:r>
      <w:r w:rsidR="0070578D" w:rsidRPr="004768D0">
        <w:rPr>
          <w:color w:val="000000" w:themeColor="text1"/>
          <w:sz w:val="20"/>
          <w:szCs w:val="20"/>
          <w:lang w:val="es-ES"/>
        </w:rPr>
        <w:t>presenta</w:t>
      </w:r>
      <w:r>
        <w:rPr>
          <w:color w:val="000000" w:themeColor="text1"/>
          <w:sz w:val="20"/>
          <w:szCs w:val="20"/>
          <w:lang w:val="es-ES"/>
        </w:rPr>
        <w:t>ción</w:t>
      </w:r>
      <w:r w:rsidR="0070578D" w:rsidRPr="004768D0">
        <w:rPr>
          <w:color w:val="000000" w:themeColor="text1"/>
          <w:sz w:val="20"/>
          <w:szCs w:val="20"/>
          <w:lang w:val="es-ES"/>
        </w:rPr>
        <w:t xml:space="preserve">, </w:t>
      </w:r>
      <w:r>
        <w:rPr>
          <w:color w:val="000000" w:themeColor="text1"/>
          <w:sz w:val="20"/>
          <w:szCs w:val="20"/>
          <w:lang w:val="es-ES"/>
        </w:rPr>
        <w:t xml:space="preserve">en vista de </w:t>
      </w:r>
      <w:r w:rsidR="0070578D" w:rsidRPr="004768D0">
        <w:rPr>
          <w:color w:val="000000" w:themeColor="text1"/>
          <w:sz w:val="20"/>
          <w:szCs w:val="20"/>
          <w:lang w:val="es-ES"/>
        </w:rPr>
        <w:t xml:space="preserve">que </w:t>
      </w:r>
      <w:r>
        <w:rPr>
          <w:color w:val="000000" w:themeColor="text1"/>
          <w:sz w:val="20"/>
          <w:szCs w:val="20"/>
          <w:lang w:val="es-ES"/>
        </w:rPr>
        <w:t>l</w:t>
      </w:r>
      <w:r w:rsidR="0070578D" w:rsidRPr="004768D0">
        <w:rPr>
          <w:color w:val="000000" w:themeColor="text1"/>
          <w:sz w:val="20"/>
          <w:szCs w:val="20"/>
          <w:lang w:val="es-ES"/>
        </w:rPr>
        <w:t xml:space="preserve">as </w:t>
      </w:r>
      <w:r w:rsidR="00372008" w:rsidRPr="004768D0">
        <w:rPr>
          <w:color w:val="000000" w:themeColor="text1"/>
          <w:sz w:val="20"/>
          <w:szCs w:val="20"/>
          <w:lang w:val="es-ES"/>
        </w:rPr>
        <w:t>mue</w:t>
      </w:r>
      <w:r>
        <w:rPr>
          <w:color w:val="000000" w:themeColor="text1"/>
          <w:sz w:val="20"/>
          <w:szCs w:val="20"/>
          <w:lang w:val="es-ES"/>
        </w:rPr>
        <w:t>r</w:t>
      </w:r>
      <w:r w:rsidR="00372008" w:rsidRPr="004768D0">
        <w:rPr>
          <w:color w:val="000000" w:themeColor="text1"/>
          <w:sz w:val="20"/>
          <w:szCs w:val="20"/>
          <w:lang w:val="es-ES"/>
        </w:rPr>
        <w:t>te</w:t>
      </w:r>
      <w:r>
        <w:rPr>
          <w:color w:val="000000" w:themeColor="text1"/>
          <w:sz w:val="20"/>
          <w:szCs w:val="20"/>
          <w:lang w:val="es-ES"/>
        </w:rPr>
        <w:t>s</w:t>
      </w:r>
      <w:r w:rsidR="00372008" w:rsidRPr="004768D0">
        <w:rPr>
          <w:color w:val="000000" w:themeColor="text1"/>
          <w:sz w:val="20"/>
          <w:szCs w:val="20"/>
          <w:lang w:val="es-ES"/>
        </w:rPr>
        <w:t xml:space="preserve"> de</w:t>
      </w:r>
      <w:r w:rsidR="0070578D" w:rsidRPr="004768D0">
        <w:rPr>
          <w:color w:val="000000" w:themeColor="text1"/>
          <w:sz w:val="20"/>
          <w:szCs w:val="20"/>
          <w:lang w:val="es-ES"/>
        </w:rPr>
        <w:t xml:space="preserve">nunciadas </w:t>
      </w:r>
      <w:r>
        <w:rPr>
          <w:color w:val="000000" w:themeColor="text1"/>
          <w:sz w:val="20"/>
          <w:szCs w:val="20"/>
          <w:lang w:val="es-ES"/>
        </w:rPr>
        <w:t>se produjeron en 2</w:t>
      </w:r>
      <w:r w:rsidR="0070578D" w:rsidRPr="004768D0">
        <w:rPr>
          <w:color w:val="000000" w:themeColor="text1"/>
          <w:sz w:val="20"/>
          <w:szCs w:val="20"/>
          <w:lang w:val="es-ES"/>
        </w:rPr>
        <w:t xml:space="preserve">006 </w:t>
      </w:r>
      <w:r>
        <w:rPr>
          <w:color w:val="000000" w:themeColor="text1"/>
          <w:sz w:val="20"/>
          <w:szCs w:val="20"/>
          <w:lang w:val="es-ES"/>
        </w:rPr>
        <w:t xml:space="preserve">y a principios de </w:t>
      </w:r>
      <w:r w:rsidR="0070578D" w:rsidRPr="004768D0">
        <w:rPr>
          <w:color w:val="000000" w:themeColor="text1"/>
          <w:sz w:val="20"/>
          <w:szCs w:val="20"/>
          <w:lang w:val="es-ES"/>
        </w:rPr>
        <w:t xml:space="preserve">2007 </w:t>
      </w:r>
      <w:r>
        <w:rPr>
          <w:color w:val="000000" w:themeColor="text1"/>
          <w:sz w:val="20"/>
          <w:szCs w:val="20"/>
          <w:lang w:val="es-ES"/>
        </w:rPr>
        <w:t>y</w:t>
      </w:r>
      <w:r w:rsidR="0070578D" w:rsidRPr="004768D0">
        <w:rPr>
          <w:color w:val="000000" w:themeColor="text1"/>
          <w:sz w:val="20"/>
          <w:szCs w:val="20"/>
          <w:lang w:val="es-ES"/>
        </w:rPr>
        <w:t xml:space="preserve"> </w:t>
      </w:r>
      <w:r w:rsidR="00116E27">
        <w:rPr>
          <w:color w:val="000000" w:themeColor="text1"/>
          <w:sz w:val="20"/>
          <w:szCs w:val="20"/>
          <w:lang w:val="es-ES"/>
        </w:rPr>
        <w:t xml:space="preserve">de que </w:t>
      </w:r>
      <w:r>
        <w:rPr>
          <w:color w:val="000000" w:themeColor="text1"/>
          <w:sz w:val="20"/>
          <w:szCs w:val="20"/>
          <w:lang w:val="es-ES"/>
        </w:rPr>
        <w:t>l</w:t>
      </w:r>
      <w:r w:rsidR="0070578D" w:rsidRPr="004768D0">
        <w:rPr>
          <w:color w:val="000000" w:themeColor="text1"/>
          <w:sz w:val="20"/>
          <w:szCs w:val="20"/>
          <w:lang w:val="es-ES"/>
        </w:rPr>
        <w:t xml:space="preserve">a </w:t>
      </w:r>
      <w:r w:rsidR="00882F67" w:rsidRPr="004768D0">
        <w:rPr>
          <w:color w:val="000000" w:themeColor="text1"/>
          <w:sz w:val="20"/>
          <w:szCs w:val="20"/>
          <w:lang w:val="es-ES"/>
        </w:rPr>
        <w:t>petición</w:t>
      </w:r>
      <w:r w:rsidR="0070578D" w:rsidRPr="004768D0">
        <w:rPr>
          <w:color w:val="000000" w:themeColor="text1"/>
          <w:sz w:val="20"/>
          <w:szCs w:val="20"/>
          <w:lang w:val="es-ES"/>
        </w:rPr>
        <w:t xml:space="preserve"> f</w:t>
      </w:r>
      <w:r>
        <w:rPr>
          <w:color w:val="000000" w:themeColor="text1"/>
          <w:sz w:val="20"/>
          <w:szCs w:val="20"/>
          <w:lang w:val="es-ES"/>
        </w:rPr>
        <w:t xml:space="preserve">ue </w:t>
      </w:r>
      <w:r w:rsidR="0070578D" w:rsidRPr="004768D0">
        <w:rPr>
          <w:color w:val="000000" w:themeColor="text1"/>
          <w:sz w:val="20"/>
          <w:szCs w:val="20"/>
          <w:lang w:val="es-ES"/>
        </w:rPr>
        <w:t>presentada e</w:t>
      </w:r>
      <w:r>
        <w:rPr>
          <w:color w:val="000000" w:themeColor="text1"/>
          <w:sz w:val="20"/>
          <w:szCs w:val="20"/>
          <w:lang w:val="es-ES"/>
        </w:rPr>
        <w:t>n</w:t>
      </w:r>
      <w:r w:rsidR="0070578D" w:rsidRPr="004768D0">
        <w:rPr>
          <w:color w:val="000000" w:themeColor="text1"/>
          <w:sz w:val="20"/>
          <w:szCs w:val="20"/>
          <w:lang w:val="es-ES"/>
        </w:rPr>
        <w:t xml:space="preserve"> 2015, </w:t>
      </w:r>
      <w:r>
        <w:rPr>
          <w:color w:val="000000" w:themeColor="text1"/>
          <w:sz w:val="20"/>
          <w:szCs w:val="20"/>
          <w:lang w:val="es-ES"/>
        </w:rPr>
        <w:t>l</w:t>
      </w:r>
      <w:r w:rsidR="0070578D" w:rsidRPr="004768D0">
        <w:rPr>
          <w:color w:val="000000" w:themeColor="text1"/>
          <w:sz w:val="20"/>
          <w:szCs w:val="20"/>
          <w:lang w:val="es-ES"/>
        </w:rPr>
        <w:t xml:space="preserve">a </w:t>
      </w:r>
      <w:r w:rsidR="00C65DE2" w:rsidRPr="004768D0">
        <w:rPr>
          <w:color w:val="000000" w:themeColor="text1"/>
          <w:sz w:val="20"/>
          <w:szCs w:val="20"/>
          <w:lang w:val="es-ES"/>
        </w:rPr>
        <w:t>Comisión</w:t>
      </w:r>
      <w:r w:rsidR="0070578D" w:rsidRPr="004768D0">
        <w:rPr>
          <w:color w:val="000000" w:themeColor="text1"/>
          <w:sz w:val="20"/>
          <w:szCs w:val="20"/>
          <w:lang w:val="es-ES"/>
        </w:rPr>
        <w:t xml:space="preserve"> considera que </w:t>
      </w:r>
      <w:r>
        <w:rPr>
          <w:color w:val="000000" w:themeColor="text1"/>
          <w:sz w:val="20"/>
          <w:szCs w:val="20"/>
          <w:lang w:val="es-ES"/>
        </w:rPr>
        <w:t>l</w:t>
      </w:r>
      <w:r w:rsidR="0070578D" w:rsidRPr="004768D0">
        <w:rPr>
          <w:color w:val="000000" w:themeColor="text1"/>
          <w:sz w:val="20"/>
          <w:szCs w:val="20"/>
          <w:lang w:val="es-ES"/>
        </w:rPr>
        <w:t xml:space="preserve">a </w:t>
      </w:r>
      <w:r w:rsidR="00F154A0" w:rsidRPr="004768D0">
        <w:rPr>
          <w:color w:val="000000" w:themeColor="text1"/>
          <w:sz w:val="20"/>
          <w:szCs w:val="20"/>
          <w:lang w:val="es-ES"/>
        </w:rPr>
        <w:t>denuncia</w:t>
      </w:r>
      <w:r w:rsidR="0070578D" w:rsidRPr="004768D0">
        <w:rPr>
          <w:color w:val="000000" w:themeColor="text1"/>
          <w:sz w:val="20"/>
          <w:szCs w:val="20"/>
          <w:lang w:val="es-ES"/>
        </w:rPr>
        <w:t xml:space="preserve"> f</w:t>
      </w:r>
      <w:r>
        <w:rPr>
          <w:color w:val="000000" w:themeColor="text1"/>
          <w:sz w:val="20"/>
          <w:szCs w:val="20"/>
          <w:lang w:val="es-ES"/>
        </w:rPr>
        <w:t xml:space="preserve">ue </w:t>
      </w:r>
      <w:r w:rsidR="0070578D" w:rsidRPr="004768D0">
        <w:rPr>
          <w:color w:val="000000" w:themeColor="text1"/>
          <w:sz w:val="20"/>
          <w:szCs w:val="20"/>
          <w:lang w:val="es-ES"/>
        </w:rPr>
        <w:t xml:space="preserve">presentada dentro de </w:t>
      </w:r>
      <w:r>
        <w:rPr>
          <w:color w:val="000000" w:themeColor="text1"/>
          <w:sz w:val="20"/>
          <w:szCs w:val="20"/>
          <w:lang w:val="es-ES"/>
        </w:rPr>
        <w:t xml:space="preserve">un plazo </w:t>
      </w:r>
      <w:r w:rsidRPr="004768D0">
        <w:rPr>
          <w:color w:val="000000" w:themeColor="text1"/>
          <w:sz w:val="20"/>
          <w:szCs w:val="20"/>
          <w:lang w:val="es-ES"/>
        </w:rPr>
        <w:t>razonable</w:t>
      </w:r>
      <w:r w:rsidR="0070578D" w:rsidRPr="004768D0">
        <w:rPr>
          <w:color w:val="000000" w:themeColor="text1"/>
          <w:sz w:val="20"/>
          <w:szCs w:val="20"/>
          <w:lang w:val="es-ES"/>
        </w:rPr>
        <w:t>.</w:t>
      </w:r>
    </w:p>
    <w:p w14:paraId="784695E1" w14:textId="77777777" w:rsidR="00073049" w:rsidRPr="004768D0" w:rsidRDefault="00073049" w:rsidP="00073049">
      <w:pPr>
        <w:pStyle w:val="ListParagraph"/>
        <w:rPr>
          <w:color w:val="000000" w:themeColor="text1"/>
          <w:sz w:val="20"/>
          <w:szCs w:val="20"/>
          <w:lang w:val="es-ES"/>
        </w:rPr>
      </w:pPr>
    </w:p>
    <w:p w14:paraId="46F0D891" w14:textId="77777777" w:rsidR="00073049" w:rsidRPr="004768D0" w:rsidRDefault="0070578D" w:rsidP="00A104B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r w:rsidRPr="004768D0">
        <w:rPr>
          <w:color w:val="000000" w:themeColor="text1"/>
          <w:sz w:val="20"/>
          <w:szCs w:val="20"/>
          <w:lang w:val="es-ES"/>
        </w:rPr>
        <w:lastRenderedPageBreak/>
        <w:t xml:space="preserve">Por </w:t>
      </w:r>
      <w:r w:rsidR="00B27BF4">
        <w:rPr>
          <w:color w:val="000000" w:themeColor="text1"/>
          <w:sz w:val="20"/>
          <w:szCs w:val="20"/>
          <w:lang w:val="es-ES"/>
        </w:rPr>
        <w:t>último, l</w:t>
      </w:r>
      <w:r w:rsidRPr="004768D0">
        <w:rPr>
          <w:color w:val="000000" w:themeColor="text1"/>
          <w:sz w:val="20"/>
          <w:szCs w:val="20"/>
          <w:lang w:val="es-ES"/>
        </w:rPr>
        <w:t>a</w:t>
      </w:r>
      <w:r w:rsidR="00073049" w:rsidRPr="004768D0">
        <w:rPr>
          <w:color w:val="000000" w:themeColor="text1"/>
          <w:sz w:val="20"/>
          <w:szCs w:val="20"/>
          <w:lang w:val="es-ES"/>
        </w:rPr>
        <w:t xml:space="preserve"> </w:t>
      </w:r>
      <w:r w:rsidR="00C65DE2" w:rsidRPr="004768D0">
        <w:rPr>
          <w:color w:val="000000" w:themeColor="text1"/>
          <w:sz w:val="20"/>
          <w:szCs w:val="20"/>
          <w:lang w:val="es-ES"/>
        </w:rPr>
        <w:t>Comisión</w:t>
      </w:r>
      <w:r w:rsidR="00073049" w:rsidRPr="004768D0">
        <w:rPr>
          <w:color w:val="000000" w:themeColor="text1"/>
          <w:sz w:val="20"/>
          <w:szCs w:val="20"/>
          <w:lang w:val="es-ES"/>
        </w:rPr>
        <w:t xml:space="preserve"> </w:t>
      </w:r>
      <w:r w:rsidR="00B27BF4" w:rsidRPr="004768D0">
        <w:rPr>
          <w:color w:val="000000" w:themeColor="text1"/>
          <w:sz w:val="20"/>
          <w:szCs w:val="20"/>
          <w:lang w:val="es-ES"/>
        </w:rPr>
        <w:t>desea</w:t>
      </w:r>
      <w:r w:rsidR="00073049" w:rsidRPr="004768D0">
        <w:rPr>
          <w:color w:val="000000" w:themeColor="text1"/>
          <w:sz w:val="20"/>
          <w:szCs w:val="20"/>
          <w:lang w:val="es-ES"/>
        </w:rPr>
        <w:t xml:space="preserve"> </w:t>
      </w:r>
      <w:r w:rsidR="00B27BF4">
        <w:rPr>
          <w:color w:val="000000" w:themeColor="text1"/>
          <w:sz w:val="20"/>
          <w:szCs w:val="20"/>
          <w:lang w:val="es-ES"/>
        </w:rPr>
        <w:t>a</w:t>
      </w:r>
      <w:r w:rsidR="00073049" w:rsidRPr="004768D0">
        <w:rPr>
          <w:color w:val="000000" w:themeColor="text1"/>
          <w:sz w:val="20"/>
          <w:szCs w:val="20"/>
          <w:lang w:val="es-ES"/>
        </w:rPr>
        <w:t>clar</w:t>
      </w:r>
      <w:r w:rsidR="00B27BF4">
        <w:rPr>
          <w:color w:val="000000" w:themeColor="text1"/>
          <w:sz w:val="20"/>
          <w:szCs w:val="20"/>
          <w:lang w:val="es-ES"/>
        </w:rPr>
        <w:t>ar</w:t>
      </w:r>
      <w:r w:rsidR="00073049" w:rsidRPr="004768D0">
        <w:rPr>
          <w:color w:val="000000" w:themeColor="text1"/>
          <w:sz w:val="20"/>
          <w:szCs w:val="20"/>
          <w:lang w:val="es-ES"/>
        </w:rPr>
        <w:t xml:space="preserve">, como </w:t>
      </w:r>
      <w:r w:rsidR="00B27BF4">
        <w:rPr>
          <w:color w:val="000000" w:themeColor="text1"/>
          <w:sz w:val="20"/>
          <w:szCs w:val="20"/>
          <w:lang w:val="es-ES"/>
        </w:rPr>
        <w:t xml:space="preserve">lo hizo en </w:t>
      </w:r>
      <w:r w:rsidR="00073049" w:rsidRPr="004768D0">
        <w:rPr>
          <w:color w:val="000000" w:themeColor="text1"/>
          <w:sz w:val="20"/>
          <w:szCs w:val="20"/>
          <w:lang w:val="es-ES"/>
        </w:rPr>
        <w:t>ocasi</w:t>
      </w:r>
      <w:r w:rsidR="00B27BF4">
        <w:rPr>
          <w:color w:val="000000" w:themeColor="text1"/>
          <w:sz w:val="20"/>
          <w:szCs w:val="20"/>
          <w:lang w:val="es-ES"/>
        </w:rPr>
        <w:t>on</w:t>
      </w:r>
      <w:r w:rsidR="00073049" w:rsidRPr="004768D0">
        <w:rPr>
          <w:color w:val="000000" w:themeColor="text1"/>
          <w:sz w:val="20"/>
          <w:szCs w:val="20"/>
          <w:lang w:val="es-ES"/>
        </w:rPr>
        <w:t>es anteriores</w:t>
      </w:r>
      <w:r w:rsidR="00073049" w:rsidRPr="004768D0">
        <w:rPr>
          <w:color w:val="000000" w:themeColor="text1"/>
          <w:sz w:val="20"/>
          <w:szCs w:val="20"/>
          <w:vertAlign w:val="superscript"/>
          <w:lang w:val="es-ES"/>
        </w:rPr>
        <w:footnoteReference w:id="28"/>
      </w:r>
      <w:r w:rsidR="00073049" w:rsidRPr="004768D0">
        <w:rPr>
          <w:color w:val="000000" w:themeColor="text1"/>
          <w:sz w:val="20"/>
          <w:szCs w:val="20"/>
          <w:lang w:val="es-ES"/>
        </w:rPr>
        <w:t xml:space="preserve">, que </w:t>
      </w:r>
      <w:r w:rsidR="00B27BF4">
        <w:rPr>
          <w:color w:val="000000" w:themeColor="text1"/>
          <w:sz w:val="20"/>
          <w:szCs w:val="20"/>
          <w:lang w:val="es-ES"/>
        </w:rPr>
        <w:t>l</w:t>
      </w:r>
      <w:r w:rsidR="00073049" w:rsidRPr="004768D0">
        <w:rPr>
          <w:color w:val="000000" w:themeColor="text1"/>
          <w:sz w:val="20"/>
          <w:szCs w:val="20"/>
          <w:lang w:val="es-ES"/>
        </w:rPr>
        <w:t>a aplica</w:t>
      </w:r>
      <w:r w:rsidR="00B27BF4">
        <w:rPr>
          <w:color w:val="000000" w:themeColor="text1"/>
          <w:sz w:val="20"/>
          <w:szCs w:val="20"/>
          <w:lang w:val="es-ES"/>
        </w:rPr>
        <w:t xml:space="preserve">ción de las excepciones previstas en el </w:t>
      </w:r>
      <w:r w:rsidR="0052395A" w:rsidRPr="004768D0">
        <w:rPr>
          <w:color w:val="000000" w:themeColor="text1"/>
          <w:sz w:val="20"/>
          <w:szCs w:val="20"/>
          <w:lang w:val="es-ES"/>
        </w:rPr>
        <w:t>artículo</w:t>
      </w:r>
      <w:r w:rsidR="00073049" w:rsidRPr="004768D0">
        <w:rPr>
          <w:color w:val="000000" w:themeColor="text1"/>
          <w:sz w:val="20"/>
          <w:szCs w:val="20"/>
          <w:lang w:val="es-ES"/>
        </w:rPr>
        <w:t xml:space="preserve"> 46 </w:t>
      </w:r>
      <w:r w:rsidR="0052395A" w:rsidRPr="004768D0">
        <w:rPr>
          <w:color w:val="000000" w:themeColor="text1"/>
          <w:sz w:val="20"/>
          <w:szCs w:val="20"/>
          <w:lang w:val="es-ES"/>
        </w:rPr>
        <w:t>de la Convención</w:t>
      </w:r>
      <w:r w:rsidR="00073049" w:rsidRPr="004768D0">
        <w:rPr>
          <w:color w:val="000000" w:themeColor="text1"/>
          <w:sz w:val="20"/>
          <w:szCs w:val="20"/>
          <w:lang w:val="es-ES"/>
        </w:rPr>
        <w:t xml:space="preserve"> para determinar </w:t>
      </w:r>
      <w:r w:rsidR="00B27BF4">
        <w:rPr>
          <w:color w:val="000000" w:themeColor="text1"/>
          <w:sz w:val="20"/>
          <w:szCs w:val="20"/>
          <w:lang w:val="es-ES"/>
        </w:rPr>
        <w:t>l</w:t>
      </w:r>
      <w:r w:rsidR="00073049" w:rsidRPr="004768D0">
        <w:rPr>
          <w:color w:val="000000" w:themeColor="text1"/>
          <w:sz w:val="20"/>
          <w:szCs w:val="20"/>
          <w:lang w:val="es-ES"/>
        </w:rPr>
        <w:t xml:space="preserve">a </w:t>
      </w:r>
      <w:r w:rsidR="00B27BF4" w:rsidRPr="004768D0">
        <w:rPr>
          <w:color w:val="000000" w:themeColor="text1"/>
          <w:sz w:val="20"/>
          <w:szCs w:val="20"/>
          <w:lang w:val="es-ES"/>
        </w:rPr>
        <w:t>admisibilidad</w:t>
      </w:r>
      <w:r w:rsidR="00073049" w:rsidRPr="004768D0">
        <w:rPr>
          <w:color w:val="000000" w:themeColor="text1"/>
          <w:sz w:val="20"/>
          <w:szCs w:val="20"/>
          <w:lang w:val="es-ES"/>
        </w:rPr>
        <w:t xml:space="preserve"> de </w:t>
      </w:r>
      <w:r w:rsidR="00B27BF4" w:rsidRPr="004768D0">
        <w:rPr>
          <w:color w:val="000000" w:themeColor="text1"/>
          <w:sz w:val="20"/>
          <w:szCs w:val="20"/>
          <w:lang w:val="es-ES"/>
        </w:rPr>
        <w:t>una</w:t>
      </w:r>
      <w:r w:rsidR="00073049" w:rsidRPr="004768D0">
        <w:rPr>
          <w:color w:val="000000" w:themeColor="text1"/>
          <w:sz w:val="20"/>
          <w:szCs w:val="20"/>
          <w:lang w:val="es-ES"/>
        </w:rPr>
        <w:t xml:space="preserve"> </w:t>
      </w:r>
      <w:r w:rsidR="00882F67" w:rsidRPr="004768D0">
        <w:rPr>
          <w:color w:val="000000" w:themeColor="text1"/>
          <w:sz w:val="20"/>
          <w:szCs w:val="20"/>
          <w:lang w:val="es-ES"/>
        </w:rPr>
        <w:t>petición</w:t>
      </w:r>
      <w:r w:rsidR="00073049" w:rsidRPr="004768D0">
        <w:rPr>
          <w:color w:val="000000" w:themeColor="text1"/>
          <w:sz w:val="20"/>
          <w:szCs w:val="20"/>
          <w:lang w:val="es-ES"/>
        </w:rPr>
        <w:t xml:space="preserve"> no implica preju</w:t>
      </w:r>
      <w:r w:rsidR="00B27BF4">
        <w:rPr>
          <w:color w:val="000000" w:themeColor="text1"/>
          <w:sz w:val="20"/>
          <w:szCs w:val="20"/>
          <w:lang w:val="es-ES"/>
        </w:rPr>
        <w:t>z</w:t>
      </w:r>
      <w:r w:rsidR="00073049" w:rsidRPr="004768D0">
        <w:rPr>
          <w:color w:val="000000" w:themeColor="text1"/>
          <w:sz w:val="20"/>
          <w:szCs w:val="20"/>
          <w:lang w:val="es-ES"/>
        </w:rPr>
        <w:t xml:space="preserve">gar </w:t>
      </w:r>
      <w:r w:rsidR="00B27BF4">
        <w:rPr>
          <w:color w:val="000000" w:themeColor="text1"/>
          <w:sz w:val="20"/>
          <w:szCs w:val="20"/>
          <w:lang w:val="es-ES"/>
        </w:rPr>
        <w:t>el</w:t>
      </w:r>
      <w:r w:rsidR="00073049" w:rsidRPr="004768D0">
        <w:rPr>
          <w:color w:val="000000" w:themeColor="text1"/>
          <w:sz w:val="20"/>
          <w:szCs w:val="20"/>
          <w:lang w:val="es-ES"/>
        </w:rPr>
        <w:t xml:space="preserve"> </w:t>
      </w:r>
      <w:r w:rsidR="00D05578">
        <w:rPr>
          <w:color w:val="000000" w:themeColor="text1"/>
          <w:sz w:val="20"/>
          <w:szCs w:val="20"/>
          <w:lang w:val="es-ES"/>
        </w:rPr>
        <w:t>fondo</w:t>
      </w:r>
      <w:r w:rsidR="00073049" w:rsidRPr="004768D0">
        <w:rPr>
          <w:color w:val="000000" w:themeColor="text1"/>
          <w:sz w:val="20"/>
          <w:szCs w:val="20"/>
          <w:lang w:val="es-ES"/>
        </w:rPr>
        <w:t xml:space="preserve"> d</w:t>
      </w:r>
      <w:r w:rsidR="00B27BF4">
        <w:rPr>
          <w:color w:val="000000" w:themeColor="text1"/>
          <w:sz w:val="20"/>
          <w:szCs w:val="20"/>
          <w:lang w:val="es-ES"/>
        </w:rPr>
        <w:t>e l</w:t>
      </w:r>
      <w:r w:rsidR="00073049" w:rsidRPr="004768D0">
        <w:rPr>
          <w:color w:val="000000" w:themeColor="text1"/>
          <w:sz w:val="20"/>
          <w:szCs w:val="20"/>
          <w:lang w:val="es-ES"/>
        </w:rPr>
        <w:t xml:space="preserve">a </w:t>
      </w:r>
      <w:r w:rsidR="00F154A0" w:rsidRPr="004768D0">
        <w:rPr>
          <w:color w:val="000000" w:themeColor="text1"/>
          <w:sz w:val="20"/>
          <w:szCs w:val="20"/>
          <w:lang w:val="es-ES"/>
        </w:rPr>
        <w:t>denuncia</w:t>
      </w:r>
      <w:r w:rsidR="00073049" w:rsidRPr="004768D0">
        <w:rPr>
          <w:color w:val="000000" w:themeColor="text1"/>
          <w:sz w:val="20"/>
          <w:szCs w:val="20"/>
          <w:lang w:val="es-ES"/>
        </w:rPr>
        <w:t xml:space="preserve">. </w:t>
      </w:r>
      <w:r w:rsidR="00B27BF4">
        <w:rPr>
          <w:color w:val="000000" w:themeColor="text1"/>
          <w:sz w:val="20"/>
          <w:szCs w:val="20"/>
          <w:lang w:val="es-ES"/>
        </w:rPr>
        <w:t>El</w:t>
      </w:r>
      <w:r w:rsidR="00073049" w:rsidRPr="004768D0">
        <w:rPr>
          <w:color w:val="000000" w:themeColor="text1"/>
          <w:sz w:val="20"/>
          <w:szCs w:val="20"/>
          <w:lang w:val="es-ES"/>
        </w:rPr>
        <w:t xml:space="preserve"> </w:t>
      </w:r>
      <w:r w:rsidR="009615E2" w:rsidRPr="004768D0">
        <w:rPr>
          <w:color w:val="000000" w:themeColor="text1"/>
          <w:sz w:val="20"/>
          <w:szCs w:val="20"/>
          <w:lang w:val="es-ES"/>
        </w:rPr>
        <w:t>criterio</w:t>
      </w:r>
      <w:r w:rsidR="00073049" w:rsidRPr="004768D0">
        <w:rPr>
          <w:color w:val="000000" w:themeColor="text1"/>
          <w:sz w:val="20"/>
          <w:szCs w:val="20"/>
          <w:lang w:val="es-ES"/>
        </w:rPr>
        <w:t xml:space="preserve"> seguido </w:t>
      </w:r>
      <w:r w:rsidR="000C0AC4" w:rsidRPr="004768D0">
        <w:rPr>
          <w:color w:val="000000" w:themeColor="text1"/>
          <w:sz w:val="20"/>
          <w:szCs w:val="20"/>
          <w:lang w:val="es-ES"/>
        </w:rPr>
        <w:t>por la Comisión</w:t>
      </w:r>
      <w:r w:rsidR="00073049" w:rsidRPr="004768D0">
        <w:rPr>
          <w:color w:val="000000" w:themeColor="text1"/>
          <w:sz w:val="20"/>
          <w:szCs w:val="20"/>
          <w:lang w:val="es-ES"/>
        </w:rPr>
        <w:t xml:space="preserve"> para </w:t>
      </w:r>
      <w:r w:rsidR="00B27BF4" w:rsidRPr="004768D0">
        <w:rPr>
          <w:color w:val="000000" w:themeColor="text1"/>
          <w:sz w:val="20"/>
          <w:szCs w:val="20"/>
          <w:lang w:val="es-ES"/>
        </w:rPr>
        <w:t>analizar</w:t>
      </w:r>
      <w:r w:rsidR="00073049" w:rsidRPr="004768D0">
        <w:rPr>
          <w:color w:val="000000" w:themeColor="text1"/>
          <w:sz w:val="20"/>
          <w:szCs w:val="20"/>
          <w:lang w:val="es-ES"/>
        </w:rPr>
        <w:t xml:space="preserve"> </w:t>
      </w:r>
      <w:r w:rsidR="00B27BF4">
        <w:rPr>
          <w:color w:val="000000" w:themeColor="text1"/>
          <w:sz w:val="20"/>
          <w:szCs w:val="20"/>
          <w:lang w:val="es-ES"/>
        </w:rPr>
        <w:t>l</w:t>
      </w:r>
      <w:r w:rsidR="00073049" w:rsidRPr="004768D0">
        <w:rPr>
          <w:color w:val="000000" w:themeColor="text1"/>
          <w:sz w:val="20"/>
          <w:szCs w:val="20"/>
          <w:lang w:val="es-ES"/>
        </w:rPr>
        <w:t xml:space="preserve">a </w:t>
      </w:r>
      <w:r w:rsidR="00882F67" w:rsidRPr="004768D0">
        <w:rPr>
          <w:color w:val="000000" w:themeColor="text1"/>
          <w:sz w:val="20"/>
          <w:szCs w:val="20"/>
          <w:lang w:val="es-ES"/>
        </w:rPr>
        <w:t>petición</w:t>
      </w:r>
      <w:r w:rsidR="00073049" w:rsidRPr="004768D0">
        <w:rPr>
          <w:color w:val="000000" w:themeColor="text1"/>
          <w:sz w:val="20"/>
          <w:szCs w:val="20"/>
          <w:lang w:val="es-ES"/>
        </w:rPr>
        <w:t xml:space="preserve"> </w:t>
      </w:r>
      <w:r w:rsidR="00B27BF4">
        <w:rPr>
          <w:color w:val="000000" w:themeColor="text1"/>
          <w:sz w:val="20"/>
          <w:szCs w:val="20"/>
          <w:lang w:val="es-ES"/>
        </w:rPr>
        <w:t>e</w:t>
      </w:r>
      <w:r w:rsidR="00073049" w:rsidRPr="004768D0">
        <w:rPr>
          <w:color w:val="000000" w:themeColor="text1"/>
          <w:sz w:val="20"/>
          <w:szCs w:val="20"/>
          <w:lang w:val="es-ES"/>
        </w:rPr>
        <w:t>n</w:t>
      </w:r>
      <w:r w:rsidR="00B27BF4">
        <w:rPr>
          <w:color w:val="000000" w:themeColor="text1"/>
          <w:sz w:val="20"/>
          <w:szCs w:val="20"/>
          <w:lang w:val="es-ES"/>
        </w:rPr>
        <w:t xml:space="preserve"> l</w:t>
      </w:r>
      <w:r w:rsidR="00073049" w:rsidRPr="004768D0">
        <w:rPr>
          <w:color w:val="000000" w:themeColor="text1"/>
          <w:sz w:val="20"/>
          <w:szCs w:val="20"/>
          <w:lang w:val="es-ES"/>
        </w:rPr>
        <w:t xml:space="preserve">a etapa de </w:t>
      </w:r>
      <w:r w:rsidR="00B27BF4" w:rsidRPr="004768D0">
        <w:rPr>
          <w:color w:val="000000" w:themeColor="text1"/>
          <w:sz w:val="20"/>
          <w:szCs w:val="20"/>
          <w:lang w:val="es-ES"/>
        </w:rPr>
        <w:t>admisibilidad</w:t>
      </w:r>
      <w:r w:rsidR="00073049" w:rsidRPr="004768D0">
        <w:rPr>
          <w:color w:val="000000" w:themeColor="text1"/>
          <w:sz w:val="20"/>
          <w:szCs w:val="20"/>
          <w:lang w:val="es-ES"/>
        </w:rPr>
        <w:t xml:space="preserve"> </w:t>
      </w:r>
      <w:r w:rsidR="00B27BF4">
        <w:rPr>
          <w:color w:val="000000" w:themeColor="text1"/>
          <w:sz w:val="20"/>
          <w:szCs w:val="20"/>
          <w:lang w:val="es-ES"/>
        </w:rPr>
        <w:t>es</w:t>
      </w:r>
      <w:r w:rsidR="00073049" w:rsidRPr="004768D0">
        <w:rPr>
          <w:color w:val="000000" w:themeColor="text1"/>
          <w:sz w:val="20"/>
          <w:szCs w:val="20"/>
          <w:lang w:val="es-ES"/>
        </w:rPr>
        <w:t xml:space="preserve"> de </w:t>
      </w:r>
      <w:r w:rsidR="00B27BF4" w:rsidRPr="004768D0">
        <w:rPr>
          <w:color w:val="000000" w:themeColor="text1"/>
          <w:sz w:val="20"/>
          <w:szCs w:val="20"/>
          <w:lang w:val="es-ES"/>
        </w:rPr>
        <w:t>carácter</w:t>
      </w:r>
      <w:r w:rsidR="00073049" w:rsidRPr="004768D0">
        <w:rPr>
          <w:color w:val="000000" w:themeColor="text1"/>
          <w:sz w:val="20"/>
          <w:szCs w:val="20"/>
          <w:lang w:val="es-ES"/>
        </w:rPr>
        <w:t xml:space="preserve"> preliminar. </w:t>
      </w:r>
      <w:r w:rsidR="00B27BF4" w:rsidRPr="004768D0">
        <w:rPr>
          <w:color w:val="000000" w:themeColor="text1"/>
          <w:sz w:val="20"/>
          <w:szCs w:val="20"/>
          <w:lang w:val="es-ES"/>
        </w:rPr>
        <w:t>En</w:t>
      </w:r>
      <w:r w:rsidR="00073049" w:rsidRPr="004768D0">
        <w:rPr>
          <w:color w:val="000000" w:themeColor="text1"/>
          <w:sz w:val="20"/>
          <w:szCs w:val="20"/>
          <w:lang w:val="es-ES"/>
        </w:rPr>
        <w:t xml:space="preserve"> </w:t>
      </w:r>
      <w:r w:rsidR="00B27BF4" w:rsidRPr="004768D0">
        <w:rPr>
          <w:color w:val="000000" w:themeColor="text1"/>
          <w:sz w:val="20"/>
          <w:szCs w:val="20"/>
          <w:lang w:val="es-ES"/>
        </w:rPr>
        <w:t>consecuencia</w:t>
      </w:r>
      <w:r w:rsidR="00073049" w:rsidRPr="004768D0">
        <w:rPr>
          <w:color w:val="000000" w:themeColor="text1"/>
          <w:sz w:val="20"/>
          <w:szCs w:val="20"/>
          <w:lang w:val="es-ES"/>
        </w:rPr>
        <w:t xml:space="preserve">, </w:t>
      </w:r>
      <w:r w:rsidR="00B27BF4">
        <w:rPr>
          <w:color w:val="000000" w:themeColor="text1"/>
          <w:sz w:val="20"/>
          <w:szCs w:val="20"/>
          <w:lang w:val="es-ES"/>
        </w:rPr>
        <w:t xml:space="preserve">aunque la </w:t>
      </w:r>
      <w:r w:rsidR="00C65DE2" w:rsidRPr="004768D0">
        <w:rPr>
          <w:color w:val="000000" w:themeColor="text1"/>
          <w:sz w:val="20"/>
          <w:szCs w:val="20"/>
          <w:lang w:val="es-ES"/>
        </w:rPr>
        <w:t>Comisión</w:t>
      </w:r>
      <w:r w:rsidR="00073049" w:rsidRPr="004768D0">
        <w:rPr>
          <w:color w:val="000000" w:themeColor="text1"/>
          <w:sz w:val="20"/>
          <w:szCs w:val="20"/>
          <w:lang w:val="es-ES"/>
        </w:rPr>
        <w:t xml:space="preserve"> conclu</w:t>
      </w:r>
      <w:r w:rsidR="00B27BF4">
        <w:rPr>
          <w:color w:val="000000" w:themeColor="text1"/>
          <w:sz w:val="20"/>
          <w:szCs w:val="20"/>
          <w:lang w:val="es-ES"/>
        </w:rPr>
        <w:t>y</w:t>
      </w:r>
      <w:r w:rsidR="00073049" w:rsidRPr="004768D0">
        <w:rPr>
          <w:color w:val="000000" w:themeColor="text1"/>
          <w:sz w:val="20"/>
          <w:szCs w:val="20"/>
          <w:lang w:val="es-ES"/>
        </w:rPr>
        <w:t xml:space="preserve">a que </w:t>
      </w:r>
      <w:r w:rsidR="00B27BF4">
        <w:rPr>
          <w:color w:val="000000" w:themeColor="text1"/>
          <w:sz w:val="20"/>
          <w:szCs w:val="20"/>
          <w:lang w:val="es-ES"/>
        </w:rPr>
        <w:t>l</w:t>
      </w:r>
      <w:r w:rsidR="00073049" w:rsidRPr="004768D0">
        <w:rPr>
          <w:color w:val="000000" w:themeColor="text1"/>
          <w:sz w:val="20"/>
          <w:szCs w:val="20"/>
          <w:lang w:val="es-ES"/>
        </w:rPr>
        <w:t>os antecedentes d</w:t>
      </w:r>
      <w:r w:rsidR="00B27BF4">
        <w:rPr>
          <w:color w:val="000000" w:themeColor="text1"/>
          <w:sz w:val="20"/>
          <w:szCs w:val="20"/>
          <w:lang w:val="es-ES"/>
        </w:rPr>
        <w:t>el</w:t>
      </w:r>
      <w:r w:rsidR="00073049" w:rsidRPr="004768D0">
        <w:rPr>
          <w:color w:val="000000" w:themeColor="text1"/>
          <w:sz w:val="20"/>
          <w:szCs w:val="20"/>
          <w:lang w:val="es-ES"/>
        </w:rPr>
        <w:t xml:space="preserve"> caso respalda</w:t>
      </w:r>
      <w:r w:rsidR="00B27BF4">
        <w:rPr>
          <w:color w:val="000000" w:themeColor="text1"/>
          <w:sz w:val="20"/>
          <w:szCs w:val="20"/>
          <w:lang w:val="es-ES"/>
        </w:rPr>
        <w:t>n</w:t>
      </w:r>
      <w:r w:rsidR="00073049" w:rsidRPr="004768D0">
        <w:rPr>
          <w:color w:val="000000" w:themeColor="text1"/>
          <w:sz w:val="20"/>
          <w:szCs w:val="20"/>
          <w:lang w:val="es-ES"/>
        </w:rPr>
        <w:t xml:space="preserve"> </w:t>
      </w:r>
      <w:r w:rsidR="003C58C5" w:rsidRPr="004768D0">
        <w:rPr>
          <w:color w:val="000000" w:themeColor="text1"/>
          <w:sz w:val="20"/>
          <w:szCs w:val="20"/>
          <w:lang w:val="es-ES"/>
        </w:rPr>
        <w:t>su</w:t>
      </w:r>
      <w:r w:rsidR="00073049" w:rsidRPr="004768D0">
        <w:rPr>
          <w:color w:val="000000" w:themeColor="text1"/>
          <w:sz w:val="20"/>
          <w:szCs w:val="20"/>
          <w:lang w:val="es-ES"/>
        </w:rPr>
        <w:t xml:space="preserve"> </w:t>
      </w:r>
      <w:r w:rsidR="009615E2" w:rsidRPr="004768D0">
        <w:rPr>
          <w:color w:val="000000" w:themeColor="text1"/>
          <w:sz w:val="20"/>
          <w:szCs w:val="20"/>
          <w:lang w:val="es-ES"/>
        </w:rPr>
        <w:t>admisibilidad</w:t>
      </w:r>
      <w:r w:rsidR="00073049" w:rsidRPr="004768D0">
        <w:rPr>
          <w:color w:val="000000" w:themeColor="text1"/>
          <w:sz w:val="20"/>
          <w:szCs w:val="20"/>
          <w:lang w:val="es-ES"/>
        </w:rPr>
        <w:t xml:space="preserve">, </w:t>
      </w:r>
      <w:r w:rsidR="00B27BF4">
        <w:rPr>
          <w:color w:val="000000" w:themeColor="text1"/>
          <w:sz w:val="20"/>
          <w:szCs w:val="20"/>
          <w:lang w:val="es-ES"/>
        </w:rPr>
        <w:t>l</w:t>
      </w:r>
      <w:r w:rsidR="00073049" w:rsidRPr="004768D0">
        <w:rPr>
          <w:color w:val="000000" w:themeColor="text1"/>
          <w:sz w:val="20"/>
          <w:szCs w:val="20"/>
          <w:lang w:val="es-ES"/>
        </w:rPr>
        <w:t xml:space="preserve">as causas </w:t>
      </w:r>
      <w:r w:rsidR="00B27BF4">
        <w:rPr>
          <w:color w:val="000000" w:themeColor="text1"/>
          <w:sz w:val="20"/>
          <w:szCs w:val="20"/>
          <w:lang w:val="es-ES"/>
        </w:rPr>
        <w:t>y l</w:t>
      </w:r>
      <w:r w:rsidR="00073049" w:rsidRPr="004768D0">
        <w:rPr>
          <w:color w:val="000000" w:themeColor="text1"/>
          <w:sz w:val="20"/>
          <w:szCs w:val="20"/>
          <w:lang w:val="es-ES"/>
        </w:rPr>
        <w:t>os efe</w:t>
      </w:r>
      <w:r w:rsidR="00B27BF4">
        <w:rPr>
          <w:color w:val="000000" w:themeColor="text1"/>
          <w:sz w:val="20"/>
          <w:szCs w:val="20"/>
          <w:lang w:val="es-ES"/>
        </w:rPr>
        <w:t>c</w:t>
      </w:r>
      <w:r w:rsidR="00073049" w:rsidRPr="004768D0">
        <w:rPr>
          <w:color w:val="000000" w:themeColor="text1"/>
          <w:sz w:val="20"/>
          <w:szCs w:val="20"/>
          <w:lang w:val="es-ES"/>
        </w:rPr>
        <w:t>tos que imp</w:t>
      </w:r>
      <w:r w:rsidR="00B27BF4">
        <w:rPr>
          <w:color w:val="000000" w:themeColor="text1"/>
          <w:sz w:val="20"/>
          <w:szCs w:val="20"/>
          <w:lang w:val="es-ES"/>
        </w:rPr>
        <w:t xml:space="preserve">idieron el agotamiento de los </w:t>
      </w:r>
      <w:r w:rsidR="00073049" w:rsidRPr="004768D0">
        <w:rPr>
          <w:color w:val="000000" w:themeColor="text1"/>
          <w:sz w:val="20"/>
          <w:szCs w:val="20"/>
          <w:lang w:val="es-ES"/>
        </w:rPr>
        <w:t>recursos internos se</w:t>
      </w:r>
      <w:r w:rsidR="00B27BF4">
        <w:rPr>
          <w:color w:val="000000" w:themeColor="text1"/>
          <w:sz w:val="20"/>
          <w:szCs w:val="20"/>
          <w:lang w:val="es-ES"/>
        </w:rPr>
        <w:t xml:space="preserve"> analizarán </w:t>
      </w:r>
      <w:r w:rsidR="00073049" w:rsidRPr="004768D0">
        <w:rPr>
          <w:color w:val="000000" w:themeColor="text1"/>
          <w:sz w:val="20"/>
          <w:szCs w:val="20"/>
          <w:lang w:val="es-ES"/>
        </w:rPr>
        <w:t xml:space="preserve">durante </w:t>
      </w:r>
      <w:r w:rsidR="00B27BF4">
        <w:rPr>
          <w:color w:val="000000" w:themeColor="text1"/>
          <w:sz w:val="20"/>
          <w:szCs w:val="20"/>
          <w:lang w:val="es-ES"/>
        </w:rPr>
        <w:t>el</w:t>
      </w:r>
      <w:r w:rsidR="00073049" w:rsidRPr="004768D0">
        <w:rPr>
          <w:color w:val="000000" w:themeColor="text1"/>
          <w:sz w:val="20"/>
          <w:szCs w:val="20"/>
          <w:lang w:val="es-ES"/>
        </w:rPr>
        <w:t xml:space="preserve"> </w:t>
      </w:r>
      <w:r w:rsidR="00B27BF4" w:rsidRPr="004768D0">
        <w:rPr>
          <w:color w:val="000000" w:themeColor="text1"/>
          <w:sz w:val="20"/>
          <w:szCs w:val="20"/>
          <w:lang w:val="es-ES"/>
        </w:rPr>
        <w:t>trámite</w:t>
      </w:r>
      <w:r w:rsidR="00073049" w:rsidRPr="004768D0">
        <w:rPr>
          <w:color w:val="000000" w:themeColor="text1"/>
          <w:sz w:val="20"/>
          <w:szCs w:val="20"/>
          <w:lang w:val="es-ES"/>
        </w:rPr>
        <w:t xml:space="preserve"> relativo a</w:t>
      </w:r>
      <w:r w:rsidR="00B27BF4">
        <w:rPr>
          <w:color w:val="000000" w:themeColor="text1"/>
          <w:sz w:val="20"/>
          <w:szCs w:val="20"/>
          <w:lang w:val="es-ES"/>
        </w:rPr>
        <w:t>l</w:t>
      </w:r>
      <w:r w:rsidR="00073049" w:rsidRPr="004768D0">
        <w:rPr>
          <w:color w:val="000000" w:themeColor="text1"/>
          <w:sz w:val="20"/>
          <w:szCs w:val="20"/>
          <w:lang w:val="es-ES"/>
        </w:rPr>
        <w:t xml:space="preserve"> </w:t>
      </w:r>
      <w:r w:rsidR="00D05578">
        <w:rPr>
          <w:color w:val="000000" w:themeColor="text1"/>
          <w:sz w:val="20"/>
          <w:szCs w:val="20"/>
          <w:lang w:val="es-ES"/>
        </w:rPr>
        <w:t>fondo</w:t>
      </w:r>
      <w:r w:rsidR="00073049" w:rsidRPr="004768D0">
        <w:rPr>
          <w:color w:val="000000" w:themeColor="text1"/>
          <w:sz w:val="20"/>
          <w:szCs w:val="20"/>
          <w:lang w:val="es-ES"/>
        </w:rPr>
        <w:t xml:space="preserve"> d</w:t>
      </w:r>
      <w:r w:rsidR="00B27BF4">
        <w:rPr>
          <w:color w:val="000000" w:themeColor="text1"/>
          <w:sz w:val="20"/>
          <w:szCs w:val="20"/>
          <w:lang w:val="es-ES"/>
        </w:rPr>
        <w:t xml:space="preserve">el asunto, a fin de </w:t>
      </w:r>
      <w:r w:rsidR="00073049" w:rsidRPr="004768D0">
        <w:rPr>
          <w:color w:val="000000" w:themeColor="text1"/>
          <w:sz w:val="20"/>
          <w:szCs w:val="20"/>
          <w:lang w:val="es-ES"/>
        </w:rPr>
        <w:t>constatar s</w:t>
      </w:r>
      <w:r w:rsidR="00305934">
        <w:rPr>
          <w:color w:val="000000" w:themeColor="text1"/>
          <w:sz w:val="20"/>
          <w:szCs w:val="20"/>
          <w:lang w:val="es-ES"/>
        </w:rPr>
        <w:t xml:space="preserve">i hubo </w:t>
      </w:r>
      <w:r w:rsidR="00F5490C" w:rsidRPr="004768D0">
        <w:rPr>
          <w:color w:val="000000" w:themeColor="text1"/>
          <w:sz w:val="20"/>
          <w:szCs w:val="20"/>
          <w:lang w:val="es-ES"/>
        </w:rPr>
        <w:t>violaciones</w:t>
      </w:r>
      <w:r w:rsidR="00073049" w:rsidRPr="004768D0">
        <w:rPr>
          <w:color w:val="000000" w:themeColor="text1"/>
          <w:sz w:val="20"/>
          <w:szCs w:val="20"/>
          <w:lang w:val="es-ES"/>
        </w:rPr>
        <w:t xml:space="preserve"> </w:t>
      </w:r>
      <w:r w:rsidR="00305934">
        <w:rPr>
          <w:color w:val="000000" w:themeColor="text1"/>
          <w:sz w:val="20"/>
          <w:szCs w:val="20"/>
          <w:lang w:val="es-ES"/>
        </w:rPr>
        <w:t>de la</w:t>
      </w:r>
      <w:r w:rsidR="00073049" w:rsidRPr="004768D0">
        <w:rPr>
          <w:color w:val="000000" w:themeColor="text1"/>
          <w:sz w:val="20"/>
          <w:szCs w:val="20"/>
          <w:lang w:val="es-ES"/>
        </w:rPr>
        <w:t xml:space="preserve"> </w:t>
      </w:r>
      <w:r w:rsidR="00462731" w:rsidRPr="004768D0">
        <w:rPr>
          <w:color w:val="000000" w:themeColor="text1"/>
          <w:sz w:val="20"/>
          <w:szCs w:val="20"/>
          <w:lang w:val="es-ES"/>
        </w:rPr>
        <w:t>Convención</w:t>
      </w:r>
      <w:r w:rsidR="00073049" w:rsidRPr="004768D0">
        <w:rPr>
          <w:color w:val="000000" w:themeColor="text1"/>
          <w:sz w:val="20"/>
          <w:szCs w:val="20"/>
          <w:lang w:val="es-ES"/>
        </w:rPr>
        <w:t xml:space="preserve"> Americana.</w:t>
      </w:r>
    </w:p>
    <w:p w14:paraId="20B10805" w14:textId="77777777" w:rsidR="00073049" w:rsidRPr="004768D0"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
        </w:rPr>
      </w:pPr>
    </w:p>
    <w:p w14:paraId="428D7D62" w14:textId="77777777" w:rsidR="00985FD4" w:rsidRPr="004768D0" w:rsidRDefault="00985FD4" w:rsidP="00073049">
      <w:pPr>
        <w:pStyle w:val="ListParagraph"/>
        <w:jc w:val="both"/>
        <w:rPr>
          <w:rFonts w:asciiTheme="majorHAnsi" w:hAnsiTheme="majorHAnsi"/>
          <w:b/>
          <w:color w:val="000000" w:themeColor="text1"/>
          <w:sz w:val="20"/>
          <w:szCs w:val="20"/>
          <w:lang w:val="es-ES"/>
        </w:rPr>
      </w:pPr>
      <w:r w:rsidRPr="004768D0">
        <w:rPr>
          <w:rFonts w:asciiTheme="majorHAnsi" w:hAnsiTheme="majorHAnsi"/>
          <w:b/>
          <w:bCs/>
          <w:color w:val="000000" w:themeColor="text1"/>
          <w:sz w:val="20"/>
          <w:szCs w:val="20"/>
          <w:lang w:val="es-ES"/>
        </w:rPr>
        <w:t>VII.</w:t>
      </w:r>
      <w:r w:rsidRPr="004768D0">
        <w:rPr>
          <w:rFonts w:asciiTheme="majorHAnsi" w:hAnsiTheme="majorHAnsi"/>
          <w:b/>
          <w:bCs/>
          <w:color w:val="000000" w:themeColor="text1"/>
          <w:sz w:val="20"/>
          <w:szCs w:val="20"/>
          <w:lang w:val="es-ES"/>
        </w:rPr>
        <w:tab/>
      </w:r>
      <w:r w:rsidR="00A07DD9" w:rsidRPr="004768D0">
        <w:rPr>
          <w:rFonts w:asciiTheme="majorHAnsi" w:hAnsiTheme="majorHAnsi"/>
          <w:b/>
          <w:bCs/>
          <w:color w:val="000000" w:themeColor="text1"/>
          <w:sz w:val="20"/>
          <w:szCs w:val="20"/>
          <w:lang w:val="es-ES"/>
        </w:rPr>
        <w:t>CARACTERIZACIÓN DE LOS HECHOS ALEGADOS</w:t>
      </w:r>
    </w:p>
    <w:p w14:paraId="49100313" w14:textId="77777777" w:rsidR="00073049" w:rsidRPr="004768D0"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es-ES"/>
        </w:rPr>
      </w:pPr>
    </w:p>
    <w:p w14:paraId="0652CE04" w14:textId="77777777" w:rsidR="00073049" w:rsidRPr="004768D0" w:rsidRDefault="00AE349B" w:rsidP="00A104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r>
        <w:rPr>
          <w:rFonts w:asciiTheme="majorHAnsi" w:hAnsiTheme="majorHAnsi"/>
          <w:color w:val="000000" w:themeColor="text1"/>
          <w:sz w:val="20"/>
          <w:szCs w:val="20"/>
          <w:lang w:val="es-ES"/>
        </w:rPr>
        <w:t>La</w:t>
      </w:r>
      <w:r w:rsidR="00985FD4" w:rsidRPr="004768D0">
        <w:rPr>
          <w:rFonts w:asciiTheme="majorHAnsi" w:hAnsiTheme="majorHAnsi"/>
          <w:color w:val="000000" w:themeColor="text1"/>
          <w:sz w:val="20"/>
          <w:szCs w:val="20"/>
          <w:lang w:val="es-ES"/>
        </w:rPr>
        <w:t xml:space="preserve"> presente </w:t>
      </w:r>
      <w:r w:rsidR="00882F67" w:rsidRPr="004768D0">
        <w:rPr>
          <w:rFonts w:asciiTheme="majorHAnsi" w:hAnsiTheme="majorHAnsi"/>
          <w:color w:val="000000" w:themeColor="text1"/>
          <w:sz w:val="20"/>
          <w:szCs w:val="20"/>
          <w:lang w:val="es-ES"/>
        </w:rPr>
        <w:t>petición</w:t>
      </w:r>
      <w:r w:rsidR="00985FD4" w:rsidRPr="004768D0">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 xml:space="preserve">contiene </w:t>
      </w:r>
      <w:r w:rsidR="000C0AC4" w:rsidRPr="004768D0">
        <w:rPr>
          <w:rFonts w:asciiTheme="majorHAnsi" w:hAnsiTheme="majorHAnsi"/>
          <w:color w:val="000000" w:themeColor="text1"/>
          <w:sz w:val="20"/>
          <w:szCs w:val="20"/>
          <w:lang w:val="es-ES"/>
        </w:rPr>
        <w:t>alegaciones</w:t>
      </w:r>
      <w:r w:rsidR="00985FD4" w:rsidRPr="004768D0">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 xml:space="preserve">con </w:t>
      </w:r>
      <w:r w:rsidR="00985FD4" w:rsidRPr="004768D0">
        <w:rPr>
          <w:rFonts w:asciiTheme="majorHAnsi" w:hAnsiTheme="majorHAnsi"/>
          <w:color w:val="000000" w:themeColor="text1"/>
          <w:sz w:val="20"/>
          <w:szCs w:val="20"/>
          <w:lang w:val="es-ES"/>
        </w:rPr>
        <w:t>respe</w:t>
      </w:r>
      <w:r>
        <w:rPr>
          <w:rFonts w:asciiTheme="majorHAnsi" w:hAnsiTheme="majorHAnsi"/>
          <w:color w:val="000000" w:themeColor="text1"/>
          <w:sz w:val="20"/>
          <w:szCs w:val="20"/>
          <w:lang w:val="es-ES"/>
        </w:rPr>
        <w:t>c</w:t>
      </w:r>
      <w:r w:rsidR="00985FD4" w:rsidRPr="004768D0">
        <w:rPr>
          <w:rFonts w:asciiTheme="majorHAnsi" w:hAnsiTheme="majorHAnsi"/>
          <w:color w:val="000000" w:themeColor="text1"/>
          <w:sz w:val="20"/>
          <w:szCs w:val="20"/>
          <w:lang w:val="es-ES"/>
        </w:rPr>
        <w:t xml:space="preserve">to </w:t>
      </w:r>
      <w:r>
        <w:rPr>
          <w:rFonts w:asciiTheme="majorHAnsi" w:hAnsiTheme="majorHAnsi"/>
          <w:color w:val="000000" w:themeColor="text1"/>
          <w:sz w:val="20"/>
          <w:szCs w:val="20"/>
          <w:lang w:val="es-ES"/>
        </w:rPr>
        <w:t>a</w:t>
      </w:r>
      <w:r w:rsidR="00073049" w:rsidRPr="004768D0">
        <w:rPr>
          <w:rFonts w:asciiTheme="majorHAnsi" w:hAnsiTheme="majorHAnsi"/>
          <w:color w:val="000000" w:themeColor="text1"/>
          <w:sz w:val="20"/>
          <w:szCs w:val="20"/>
          <w:lang w:val="es-ES"/>
        </w:rPr>
        <w:t xml:space="preserve"> agres</w:t>
      </w:r>
      <w:r w:rsidR="009615E2" w:rsidRPr="004768D0">
        <w:rPr>
          <w:rFonts w:asciiTheme="majorHAnsi" w:hAnsiTheme="majorHAnsi"/>
          <w:color w:val="000000" w:themeColor="text1"/>
          <w:sz w:val="20"/>
          <w:szCs w:val="20"/>
          <w:lang w:val="es-ES"/>
        </w:rPr>
        <w:t>ion</w:t>
      </w:r>
      <w:r w:rsidR="00073049" w:rsidRPr="004768D0">
        <w:rPr>
          <w:rFonts w:asciiTheme="majorHAnsi" w:hAnsiTheme="majorHAnsi"/>
          <w:color w:val="000000" w:themeColor="text1"/>
          <w:sz w:val="20"/>
          <w:szCs w:val="20"/>
          <w:lang w:val="es-ES"/>
        </w:rPr>
        <w:t xml:space="preserve">es </w:t>
      </w:r>
      <w:r w:rsidR="009615E2" w:rsidRPr="004768D0">
        <w:rPr>
          <w:rFonts w:asciiTheme="majorHAnsi" w:hAnsiTheme="majorHAnsi"/>
          <w:color w:val="000000" w:themeColor="text1"/>
          <w:sz w:val="20"/>
          <w:szCs w:val="20"/>
          <w:lang w:val="es-ES"/>
        </w:rPr>
        <w:t>y</w:t>
      </w:r>
      <w:r w:rsidR="00073049" w:rsidRPr="004768D0">
        <w:rPr>
          <w:rFonts w:asciiTheme="majorHAnsi" w:hAnsiTheme="majorHAnsi"/>
          <w:color w:val="000000" w:themeColor="text1"/>
          <w:sz w:val="20"/>
          <w:szCs w:val="20"/>
          <w:lang w:val="es-ES"/>
        </w:rPr>
        <w:t xml:space="preserve"> </w:t>
      </w:r>
      <w:r w:rsidR="009615E2" w:rsidRPr="004768D0">
        <w:rPr>
          <w:rFonts w:asciiTheme="majorHAnsi" w:hAnsiTheme="majorHAnsi"/>
          <w:color w:val="000000" w:themeColor="text1"/>
          <w:sz w:val="20"/>
          <w:szCs w:val="20"/>
          <w:lang w:val="es-ES"/>
        </w:rPr>
        <w:t>asesinatos</w:t>
      </w:r>
      <w:r w:rsidR="00073049" w:rsidRPr="004768D0">
        <w:rPr>
          <w:rFonts w:asciiTheme="majorHAnsi" w:hAnsiTheme="majorHAnsi"/>
          <w:color w:val="000000" w:themeColor="text1"/>
          <w:sz w:val="20"/>
          <w:szCs w:val="20"/>
          <w:lang w:val="es-ES"/>
        </w:rPr>
        <w:t>,</w:t>
      </w:r>
      <w:r w:rsidR="00A30795" w:rsidRPr="004768D0">
        <w:rPr>
          <w:rFonts w:asciiTheme="majorHAnsi" w:hAnsiTheme="majorHAnsi"/>
          <w:color w:val="000000" w:themeColor="text1"/>
          <w:sz w:val="20"/>
          <w:szCs w:val="20"/>
          <w:lang w:val="es-ES"/>
        </w:rPr>
        <w:t xml:space="preserve"> a</w:t>
      </w:r>
      <w:r>
        <w:rPr>
          <w:rFonts w:asciiTheme="majorHAnsi" w:hAnsiTheme="majorHAnsi"/>
          <w:color w:val="000000" w:themeColor="text1"/>
          <w:sz w:val="20"/>
          <w:szCs w:val="20"/>
          <w:lang w:val="es-ES"/>
        </w:rPr>
        <w:t>c</w:t>
      </w:r>
      <w:r w:rsidR="00A30795" w:rsidRPr="004768D0">
        <w:rPr>
          <w:rFonts w:asciiTheme="majorHAnsi" w:hAnsiTheme="majorHAnsi"/>
          <w:color w:val="000000" w:themeColor="text1"/>
          <w:sz w:val="20"/>
          <w:szCs w:val="20"/>
          <w:lang w:val="es-ES"/>
        </w:rPr>
        <w:t>tos de intimida</w:t>
      </w:r>
      <w:r>
        <w:rPr>
          <w:rFonts w:asciiTheme="majorHAnsi" w:hAnsiTheme="majorHAnsi"/>
          <w:color w:val="000000" w:themeColor="text1"/>
          <w:sz w:val="20"/>
          <w:szCs w:val="20"/>
          <w:lang w:val="es-ES"/>
        </w:rPr>
        <w:t xml:space="preserve">ción y </w:t>
      </w:r>
      <w:r w:rsidR="00A30795" w:rsidRPr="004768D0">
        <w:rPr>
          <w:rFonts w:asciiTheme="majorHAnsi" w:hAnsiTheme="majorHAnsi"/>
          <w:color w:val="000000" w:themeColor="text1"/>
          <w:sz w:val="20"/>
          <w:szCs w:val="20"/>
          <w:lang w:val="es-ES"/>
        </w:rPr>
        <w:t>deten</w:t>
      </w:r>
      <w:r>
        <w:rPr>
          <w:rFonts w:asciiTheme="majorHAnsi" w:hAnsiTheme="majorHAnsi"/>
          <w:color w:val="000000" w:themeColor="text1"/>
          <w:sz w:val="20"/>
          <w:szCs w:val="20"/>
          <w:lang w:val="es-ES"/>
        </w:rPr>
        <w:t>ción</w:t>
      </w:r>
      <w:r w:rsidR="00A30795" w:rsidRPr="004768D0">
        <w:rPr>
          <w:rFonts w:asciiTheme="majorHAnsi" w:hAnsiTheme="majorHAnsi"/>
          <w:color w:val="000000" w:themeColor="text1"/>
          <w:sz w:val="20"/>
          <w:szCs w:val="20"/>
          <w:lang w:val="es-ES"/>
        </w:rPr>
        <w:t xml:space="preserve"> </w:t>
      </w:r>
      <w:r w:rsidR="009615E2" w:rsidRPr="004768D0">
        <w:rPr>
          <w:rFonts w:asciiTheme="majorHAnsi" w:hAnsiTheme="majorHAnsi"/>
          <w:color w:val="000000" w:themeColor="text1"/>
          <w:sz w:val="20"/>
          <w:szCs w:val="20"/>
          <w:lang w:val="es-ES"/>
        </w:rPr>
        <w:t>arbitraria</w:t>
      </w:r>
      <w:r w:rsidR="00BC2A79" w:rsidRPr="004768D0">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particularmente en relación con</w:t>
      </w:r>
      <w:r w:rsidR="00BC2A79" w:rsidRPr="004768D0">
        <w:rPr>
          <w:rFonts w:asciiTheme="majorHAnsi" w:hAnsiTheme="majorHAnsi"/>
          <w:color w:val="000000" w:themeColor="text1"/>
          <w:sz w:val="20"/>
          <w:szCs w:val="20"/>
          <w:lang w:val="es-ES"/>
        </w:rPr>
        <w:t xml:space="preserve"> Rogério Monteiro Ferreira)</w:t>
      </w:r>
      <w:r w:rsidR="00A30795" w:rsidRPr="004768D0">
        <w:rPr>
          <w:rFonts w:asciiTheme="majorHAnsi" w:hAnsiTheme="majorHAnsi"/>
          <w:color w:val="000000" w:themeColor="text1"/>
          <w:sz w:val="20"/>
          <w:szCs w:val="20"/>
          <w:lang w:val="es-ES"/>
        </w:rPr>
        <w:t>,</w:t>
      </w:r>
      <w:r w:rsidR="00073049" w:rsidRPr="004768D0">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 xml:space="preserve">así como presuntas fallas en la investigación y el </w:t>
      </w:r>
      <w:r w:rsidRPr="004768D0">
        <w:rPr>
          <w:rFonts w:asciiTheme="majorHAnsi" w:hAnsiTheme="majorHAnsi"/>
          <w:color w:val="000000" w:themeColor="text1"/>
          <w:sz w:val="20"/>
          <w:szCs w:val="20"/>
          <w:lang w:val="es-ES"/>
        </w:rPr>
        <w:t>procesamiento</w:t>
      </w:r>
      <w:r w:rsidR="00073049" w:rsidRPr="004768D0">
        <w:rPr>
          <w:rFonts w:asciiTheme="majorHAnsi" w:hAnsiTheme="majorHAnsi"/>
          <w:color w:val="000000" w:themeColor="text1"/>
          <w:sz w:val="20"/>
          <w:szCs w:val="20"/>
          <w:lang w:val="es-ES"/>
        </w:rPr>
        <w:t xml:space="preserve"> d</w:t>
      </w:r>
      <w:r>
        <w:rPr>
          <w:rFonts w:asciiTheme="majorHAnsi" w:hAnsiTheme="majorHAnsi"/>
          <w:color w:val="000000" w:themeColor="text1"/>
          <w:sz w:val="20"/>
          <w:szCs w:val="20"/>
          <w:lang w:val="es-ES"/>
        </w:rPr>
        <w:t>e l</w:t>
      </w:r>
      <w:r w:rsidR="00073049" w:rsidRPr="004768D0">
        <w:rPr>
          <w:rFonts w:asciiTheme="majorHAnsi" w:hAnsiTheme="majorHAnsi"/>
          <w:color w:val="000000" w:themeColor="text1"/>
          <w:sz w:val="20"/>
          <w:szCs w:val="20"/>
          <w:lang w:val="es-ES"/>
        </w:rPr>
        <w:t xml:space="preserve">os </w:t>
      </w:r>
      <w:r>
        <w:rPr>
          <w:rFonts w:asciiTheme="majorHAnsi" w:hAnsiTheme="majorHAnsi"/>
          <w:color w:val="000000" w:themeColor="text1"/>
          <w:sz w:val="20"/>
          <w:szCs w:val="20"/>
          <w:lang w:val="es-ES"/>
        </w:rPr>
        <w:t xml:space="preserve">delitos que dieron lugar a la </w:t>
      </w:r>
      <w:r w:rsidR="000C0AC4" w:rsidRPr="004768D0">
        <w:rPr>
          <w:rFonts w:asciiTheme="majorHAnsi" w:hAnsiTheme="majorHAnsi"/>
          <w:color w:val="000000" w:themeColor="text1"/>
          <w:sz w:val="20"/>
          <w:szCs w:val="20"/>
          <w:lang w:val="es-ES"/>
        </w:rPr>
        <w:t>impunidad</w:t>
      </w:r>
      <w:r w:rsidR="00073049" w:rsidRPr="004768D0">
        <w:rPr>
          <w:rFonts w:asciiTheme="majorHAnsi" w:hAnsiTheme="majorHAnsi"/>
          <w:color w:val="000000" w:themeColor="text1"/>
          <w:sz w:val="20"/>
          <w:szCs w:val="20"/>
          <w:lang w:val="es-ES"/>
        </w:rPr>
        <w:t>.</w:t>
      </w:r>
      <w:r w:rsidR="00BA5ACD" w:rsidRPr="004768D0">
        <w:rPr>
          <w:rFonts w:asciiTheme="majorHAnsi" w:hAnsiTheme="majorHAnsi"/>
          <w:color w:val="000000" w:themeColor="text1"/>
          <w:sz w:val="20"/>
          <w:szCs w:val="20"/>
          <w:lang w:val="es-ES"/>
        </w:rPr>
        <w:t xml:space="preserve"> </w:t>
      </w:r>
      <w:r w:rsidRPr="004768D0">
        <w:rPr>
          <w:rFonts w:asciiTheme="majorHAnsi" w:hAnsiTheme="majorHAnsi"/>
          <w:color w:val="000000" w:themeColor="text1"/>
          <w:sz w:val="20"/>
          <w:szCs w:val="20"/>
          <w:lang w:val="es-ES"/>
        </w:rPr>
        <w:t>Una</w:t>
      </w:r>
      <w:r w:rsidR="00BA5ACD" w:rsidRPr="004768D0">
        <w:rPr>
          <w:rFonts w:asciiTheme="majorHAnsi" w:hAnsiTheme="majorHAnsi"/>
          <w:color w:val="000000" w:themeColor="text1"/>
          <w:sz w:val="20"/>
          <w:szCs w:val="20"/>
          <w:lang w:val="es-ES"/>
        </w:rPr>
        <w:t xml:space="preserve"> d</w:t>
      </w:r>
      <w:r>
        <w:rPr>
          <w:rFonts w:asciiTheme="majorHAnsi" w:hAnsiTheme="majorHAnsi"/>
          <w:color w:val="000000" w:themeColor="text1"/>
          <w:sz w:val="20"/>
          <w:szCs w:val="20"/>
          <w:lang w:val="es-ES"/>
        </w:rPr>
        <w:t>e l</w:t>
      </w:r>
      <w:r w:rsidR="00BA5ACD" w:rsidRPr="004768D0">
        <w:rPr>
          <w:rFonts w:asciiTheme="majorHAnsi" w:hAnsiTheme="majorHAnsi"/>
          <w:color w:val="000000" w:themeColor="text1"/>
          <w:sz w:val="20"/>
          <w:szCs w:val="20"/>
          <w:lang w:val="es-ES"/>
        </w:rPr>
        <w:t xml:space="preserve">as </w:t>
      </w:r>
      <w:r w:rsidR="00000CF9" w:rsidRPr="004768D0">
        <w:rPr>
          <w:rFonts w:asciiTheme="majorHAnsi" w:hAnsiTheme="majorHAnsi"/>
          <w:color w:val="000000" w:themeColor="text1"/>
          <w:sz w:val="20"/>
          <w:szCs w:val="20"/>
          <w:lang w:val="es-ES"/>
        </w:rPr>
        <w:t>víctimas</w:t>
      </w:r>
      <w:r w:rsidR="00BA5ACD" w:rsidRPr="004768D0">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 xml:space="preserve">señaladas tenía </w:t>
      </w:r>
      <w:r w:rsidR="00BA5ACD" w:rsidRPr="004768D0">
        <w:rPr>
          <w:rFonts w:asciiTheme="majorHAnsi" w:hAnsiTheme="majorHAnsi"/>
          <w:color w:val="000000" w:themeColor="text1"/>
          <w:sz w:val="20"/>
          <w:szCs w:val="20"/>
          <w:lang w:val="es-ES"/>
        </w:rPr>
        <w:t xml:space="preserve">16 </w:t>
      </w:r>
      <w:r w:rsidR="000C0AC4" w:rsidRPr="004768D0">
        <w:rPr>
          <w:rFonts w:asciiTheme="majorHAnsi" w:hAnsiTheme="majorHAnsi"/>
          <w:color w:val="000000" w:themeColor="text1"/>
          <w:sz w:val="20"/>
          <w:szCs w:val="20"/>
          <w:lang w:val="es-ES"/>
        </w:rPr>
        <w:t>años</w:t>
      </w:r>
      <w:r w:rsidR="00BA5ACD" w:rsidRPr="004768D0">
        <w:rPr>
          <w:rFonts w:asciiTheme="majorHAnsi" w:hAnsiTheme="majorHAnsi"/>
          <w:color w:val="000000" w:themeColor="text1"/>
          <w:sz w:val="20"/>
          <w:szCs w:val="20"/>
          <w:lang w:val="es-ES"/>
        </w:rPr>
        <w:t>.</w:t>
      </w:r>
      <w:r w:rsidR="00073049" w:rsidRPr="004768D0">
        <w:rPr>
          <w:rFonts w:asciiTheme="majorHAnsi" w:hAnsiTheme="majorHAnsi"/>
          <w:color w:val="000000" w:themeColor="text1"/>
          <w:sz w:val="20"/>
          <w:szCs w:val="20"/>
          <w:lang w:val="es-ES"/>
        </w:rPr>
        <w:t xml:space="preserve"> </w:t>
      </w:r>
      <w:r w:rsidR="00116E27">
        <w:rPr>
          <w:rFonts w:asciiTheme="majorHAnsi" w:hAnsiTheme="majorHAnsi"/>
          <w:color w:val="000000" w:themeColor="text1"/>
          <w:sz w:val="20"/>
          <w:szCs w:val="20"/>
          <w:lang w:val="es-ES"/>
        </w:rPr>
        <w:t>La petición c</w:t>
      </w:r>
      <w:r>
        <w:rPr>
          <w:rFonts w:asciiTheme="majorHAnsi" w:hAnsiTheme="majorHAnsi"/>
          <w:color w:val="000000" w:themeColor="text1"/>
          <w:sz w:val="20"/>
          <w:szCs w:val="20"/>
          <w:lang w:val="es-ES"/>
        </w:rPr>
        <w:t xml:space="preserve">ontiene asimismo </w:t>
      </w:r>
      <w:r w:rsidR="000C0AC4" w:rsidRPr="004768D0">
        <w:rPr>
          <w:rFonts w:asciiTheme="majorHAnsi" w:hAnsiTheme="majorHAnsi"/>
          <w:color w:val="000000" w:themeColor="text1"/>
          <w:sz w:val="20"/>
          <w:szCs w:val="20"/>
          <w:lang w:val="es-ES"/>
        </w:rPr>
        <w:t>alegaciones</w:t>
      </w:r>
      <w:r w:rsidR="00073049" w:rsidRPr="004768D0">
        <w:rPr>
          <w:rFonts w:asciiTheme="majorHAnsi" w:hAnsiTheme="majorHAnsi"/>
          <w:color w:val="000000" w:themeColor="text1"/>
          <w:sz w:val="20"/>
          <w:szCs w:val="20"/>
          <w:lang w:val="es-ES"/>
        </w:rPr>
        <w:t xml:space="preserve"> relativas </w:t>
      </w:r>
      <w:r>
        <w:rPr>
          <w:rFonts w:asciiTheme="majorHAnsi" w:hAnsiTheme="majorHAnsi"/>
          <w:color w:val="000000" w:themeColor="text1"/>
          <w:sz w:val="20"/>
          <w:szCs w:val="20"/>
          <w:lang w:val="es-ES"/>
        </w:rPr>
        <w:t xml:space="preserve">a </w:t>
      </w:r>
      <w:r w:rsidR="00116E27">
        <w:rPr>
          <w:rFonts w:asciiTheme="majorHAnsi" w:hAnsiTheme="majorHAnsi"/>
          <w:color w:val="000000" w:themeColor="text1"/>
          <w:sz w:val="20"/>
          <w:szCs w:val="20"/>
          <w:lang w:val="es-ES"/>
        </w:rPr>
        <w:t>una</w:t>
      </w:r>
      <w:r w:rsidR="00073049" w:rsidRPr="004768D0">
        <w:rPr>
          <w:rFonts w:asciiTheme="majorHAnsi" w:hAnsiTheme="majorHAnsi"/>
          <w:color w:val="000000" w:themeColor="text1"/>
          <w:sz w:val="20"/>
          <w:szCs w:val="20"/>
          <w:lang w:val="es-ES"/>
        </w:rPr>
        <w:t xml:space="preserve"> falta de disposi</w:t>
      </w:r>
      <w:r>
        <w:rPr>
          <w:rFonts w:asciiTheme="majorHAnsi" w:hAnsiTheme="majorHAnsi"/>
          <w:color w:val="000000" w:themeColor="text1"/>
          <w:sz w:val="20"/>
          <w:szCs w:val="20"/>
          <w:lang w:val="es-ES"/>
        </w:rPr>
        <w:t>cion</w:t>
      </w:r>
      <w:r w:rsidR="00073049" w:rsidRPr="004768D0">
        <w:rPr>
          <w:rFonts w:asciiTheme="majorHAnsi" w:hAnsiTheme="majorHAnsi"/>
          <w:color w:val="000000" w:themeColor="text1"/>
          <w:sz w:val="20"/>
          <w:szCs w:val="20"/>
          <w:lang w:val="es-ES"/>
        </w:rPr>
        <w:t xml:space="preserve">es de </w:t>
      </w:r>
      <w:r w:rsidR="001343FF" w:rsidRPr="004768D0">
        <w:rPr>
          <w:rFonts w:asciiTheme="majorHAnsi" w:hAnsiTheme="majorHAnsi"/>
          <w:color w:val="000000" w:themeColor="text1"/>
          <w:sz w:val="20"/>
          <w:szCs w:val="20"/>
          <w:lang w:val="es-ES"/>
        </w:rPr>
        <w:t>derecho</w:t>
      </w:r>
      <w:r w:rsidR="00073049" w:rsidRPr="004768D0">
        <w:rPr>
          <w:rFonts w:asciiTheme="majorHAnsi" w:hAnsiTheme="majorHAnsi"/>
          <w:color w:val="000000" w:themeColor="text1"/>
          <w:sz w:val="20"/>
          <w:szCs w:val="20"/>
          <w:lang w:val="es-ES"/>
        </w:rPr>
        <w:t xml:space="preserve"> interno</w:t>
      </w:r>
      <w:r w:rsidR="00116E27">
        <w:rPr>
          <w:rFonts w:asciiTheme="majorHAnsi" w:hAnsiTheme="majorHAnsi"/>
          <w:color w:val="000000" w:themeColor="text1"/>
          <w:sz w:val="20"/>
          <w:szCs w:val="20"/>
          <w:lang w:val="es-ES"/>
        </w:rPr>
        <w:t xml:space="preserve"> que podría </w:t>
      </w:r>
      <w:r>
        <w:rPr>
          <w:rFonts w:asciiTheme="majorHAnsi" w:hAnsiTheme="majorHAnsi"/>
          <w:color w:val="000000" w:themeColor="text1"/>
          <w:sz w:val="20"/>
          <w:szCs w:val="20"/>
          <w:lang w:val="es-ES"/>
        </w:rPr>
        <w:t xml:space="preserve">haber contribuido a ese resultado, </w:t>
      </w:r>
      <w:r w:rsidR="00073049" w:rsidRPr="004768D0">
        <w:rPr>
          <w:rFonts w:asciiTheme="majorHAnsi" w:hAnsiTheme="majorHAnsi"/>
          <w:color w:val="000000" w:themeColor="text1"/>
          <w:sz w:val="20"/>
          <w:szCs w:val="20"/>
          <w:lang w:val="es-ES"/>
        </w:rPr>
        <w:t xml:space="preserve">como </w:t>
      </w:r>
      <w:r>
        <w:rPr>
          <w:rFonts w:asciiTheme="majorHAnsi" w:hAnsiTheme="majorHAnsi"/>
          <w:color w:val="000000" w:themeColor="text1"/>
          <w:sz w:val="20"/>
          <w:szCs w:val="20"/>
          <w:lang w:val="es-ES"/>
        </w:rPr>
        <w:t>l</w:t>
      </w:r>
      <w:r w:rsidR="00073049" w:rsidRPr="004768D0">
        <w:rPr>
          <w:rFonts w:asciiTheme="majorHAnsi" w:hAnsiTheme="majorHAnsi"/>
          <w:color w:val="000000" w:themeColor="text1"/>
          <w:sz w:val="20"/>
          <w:szCs w:val="20"/>
          <w:lang w:val="es-ES"/>
        </w:rPr>
        <w:t xml:space="preserve">a </w:t>
      </w:r>
      <w:r>
        <w:rPr>
          <w:rFonts w:asciiTheme="majorHAnsi" w:hAnsiTheme="majorHAnsi"/>
          <w:color w:val="000000" w:themeColor="text1"/>
          <w:sz w:val="20"/>
          <w:szCs w:val="20"/>
          <w:lang w:val="es-ES"/>
        </w:rPr>
        <w:t xml:space="preserve">presunta </w:t>
      </w:r>
      <w:r w:rsidRPr="004768D0">
        <w:rPr>
          <w:rFonts w:asciiTheme="majorHAnsi" w:hAnsiTheme="majorHAnsi"/>
          <w:color w:val="000000" w:themeColor="text1"/>
          <w:sz w:val="20"/>
          <w:szCs w:val="20"/>
          <w:lang w:val="es-ES"/>
        </w:rPr>
        <w:t>ausencia</w:t>
      </w:r>
      <w:r w:rsidR="00073049" w:rsidRPr="004768D0">
        <w:rPr>
          <w:rFonts w:asciiTheme="majorHAnsi" w:hAnsiTheme="majorHAnsi"/>
          <w:color w:val="000000" w:themeColor="text1"/>
          <w:sz w:val="20"/>
          <w:szCs w:val="20"/>
          <w:lang w:val="es-ES"/>
        </w:rPr>
        <w:t xml:space="preserve"> de recursos previstos contra </w:t>
      </w:r>
      <w:r w:rsidRPr="004768D0">
        <w:rPr>
          <w:rFonts w:asciiTheme="majorHAnsi" w:hAnsiTheme="majorHAnsi"/>
          <w:color w:val="000000" w:themeColor="text1"/>
          <w:sz w:val="20"/>
          <w:szCs w:val="20"/>
          <w:lang w:val="es-ES"/>
        </w:rPr>
        <w:t>decis</w:t>
      </w:r>
      <w:r w:rsidR="00116E27">
        <w:rPr>
          <w:rFonts w:asciiTheme="majorHAnsi" w:hAnsiTheme="majorHAnsi"/>
          <w:color w:val="000000" w:themeColor="text1"/>
          <w:sz w:val="20"/>
          <w:szCs w:val="20"/>
          <w:lang w:val="es-ES"/>
        </w:rPr>
        <w:t xml:space="preserve">iones </w:t>
      </w:r>
      <w:r w:rsidR="00073049" w:rsidRPr="004768D0">
        <w:rPr>
          <w:rFonts w:asciiTheme="majorHAnsi" w:hAnsiTheme="majorHAnsi"/>
          <w:color w:val="000000" w:themeColor="text1"/>
          <w:sz w:val="20"/>
          <w:szCs w:val="20"/>
          <w:lang w:val="es-ES"/>
        </w:rPr>
        <w:t xml:space="preserve">de </w:t>
      </w:r>
      <w:r w:rsidR="003D19EA" w:rsidRPr="004768D0">
        <w:rPr>
          <w:rFonts w:asciiTheme="majorHAnsi" w:hAnsiTheme="majorHAnsi"/>
          <w:color w:val="000000" w:themeColor="text1"/>
          <w:sz w:val="20"/>
          <w:szCs w:val="20"/>
          <w:lang w:val="es-ES"/>
        </w:rPr>
        <w:t>archivamiento</w:t>
      </w:r>
      <w:r w:rsidR="00073049" w:rsidRPr="004768D0">
        <w:rPr>
          <w:rFonts w:asciiTheme="majorHAnsi" w:hAnsiTheme="majorHAnsi"/>
          <w:color w:val="000000" w:themeColor="text1"/>
          <w:sz w:val="20"/>
          <w:szCs w:val="20"/>
          <w:lang w:val="es-ES"/>
        </w:rPr>
        <w:t xml:space="preserve"> de </w:t>
      </w:r>
      <w:r w:rsidR="00C03E33" w:rsidRPr="004768D0">
        <w:rPr>
          <w:rFonts w:asciiTheme="majorHAnsi" w:hAnsiTheme="majorHAnsi"/>
          <w:color w:val="000000" w:themeColor="text1"/>
          <w:sz w:val="20"/>
          <w:szCs w:val="20"/>
          <w:lang w:val="es-ES"/>
        </w:rPr>
        <w:t>investigaci</w:t>
      </w:r>
      <w:r>
        <w:rPr>
          <w:rFonts w:asciiTheme="majorHAnsi" w:hAnsiTheme="majorHAnsi"/>
          <w:color w:val="000000" w:themeColor="text1"/>
          <w:sz w:val="20"/>
          <w:szCs w:val="20"/>
          <w:lang w:val="es-ES"/>
        </w:rPr>
        <w:t>ones</w:t>
      </w:r>
      <w:r w:rsidR="00073049" w:rsidRPr="004768D0">
        <w:rPr>
          <w:rFonts w:asciiTheme="majorHAnsi" w:hAnsiTheme="majorHAnsi"/>
          <w:color w:val="000000" w:themeColor="text1"/>
          <w:sz w:val="20"/>
          <w:szCs w:val="20"/>
          <w:lang w:val="es-ES"/>
        </w:rPr>
        <w:t xml:space="preserve"> policial</w:t>
      </w:r>
      <w:r>
        <w:rPr>
          <w:rFonts w:asciiTheme="majorHAnsi" w:hAnsiTheme="majorHAnsi"/>
          <w:color w:val="000000" w:themeColor="text1"/>
          <w:sz w:val="20"/>
          <w:szCs w:val="20"/>
          <w:lang w:val="es-ES"/>
        </w:rPr>
        <w:t>es y la</w:t>
      </w:r>
      <w:r w:rsidR="00073049" w:rsidRPr="004768D0">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presunta falta de reglamentación oportuna del i</w:t>
      </w:r>
      <w:r w:rsidR="00073049" w:rsidRPr="004768D0">
        <w:rPr>
          <w:rFonts w:asciiTheme="majorHAnsi" w:hAnsiTheme="majorHAnsi"/>
          <w:color w:val="000000" w:themeColor="text1"/>
          <w:sz w:val="20"/>
          <w:szCs w:val="20"/>
          <w:lang w:val="es-ES"/>
        </w:rPr>
        <w:t xml:space="preserve">ncidente de </w:t>
      </w:r>
      <w:r>
        <w:rPr>
          <w:rFonts w:asciiTheme="majorHAnsi" w:hAnsiTheme="majorHAnsi"/>
          <w:color w:val="000000" w:themeColor="text1"/>
          <w:sz w:val="20"/>
          <w:szCs w:val="20"/>
          <w:lang w:val="es-ES"/>
        </w:rPr>
        <w:t>traslado de competencia</w:t>
      </w:r>
      <w:r w:rsidR="00073049" w:rsidRPr="004768D0">
        <w:rPr>
          <w:rFonts w:asciiTheme="majorHAnsi" w:hAnsiTheme="majorHAnsi"/>
          <w:color w:val="000000" w:themeColor="text1"/>
          <w:sz w:val="20"/>
          <w:szCs w:val="20"/>
          <w:lang w:val="es-ES"/>
        </w:rPr>
        <w:t>.</w:t>
      </w:r>
    </w:p>
    <w:p w14:paraId="31B62853" w14:textId="77777777" w:rsidR="00073049" w:rsidRPr="004768D0"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es-ES"/>
        </w:rPr>
      </w:pPr>
    </w:p>
    <w:p w14:paraId="3435CCD3" w14:textId="77777777" w:rsidR="00985FD4" w:rsidRPr="004768D0" w:rsidRDefault="00A327AC" w:rsidP="00A104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r w:rsidRPr="004768D0">
        <w:rPr>
          <w:rFonts w:asciiTheme="majorHAnsi" w:hAnsiTheme="majorHAnsi"/>
          <w:color w:val="000000" w:themeColor="text1"/>
          <w:sz w:val="20"/>
          <w:szCs w:val="20"/>
          <w:lang w:val="es-ES"/>
        </w:rPr>
        <w:t xml:space="preserve">Por consiguiente, en vista de los elementos de hecho y de derecho expuestos por las partes, la Comisión considera que los hechos alegados por </w:t>
      </w:r>
      <w:r w:rsidR="00A07DD9" w:rsidRPr="004768D0">
        <w:rPr>
          <w:rFonts w:asciiTheme="majorHAnsi" w:hAnsiTheme="majorHAnsi"/>
          <w:color w:val="000000" w:themeColor="text1"/>
          <w:sz w:val="20"/>
          <w:szCs w:val="20"/>
          <w:lang w:val="es-ES"/>
        </w:rPr>
        <w:t>la parte peticionaria</w:t>
      </w:r>
      <w:r w:rsidR="00985FD4" w:rsidRPr="004768D0">
        <w:rPr>
          <w:rFonts w:asciiTheme="majorHAnsi" w:hAnsiTheme="majorHAnsi"/>
          <w:color w:val="000000" w:themeColor="text1"/>
          <w:sz w:val="20"/>
          <w:szCs w:val="20"/>
          <w:lang w:val="es-ES"/>
        </w:rPr>
        <w:t xml:space="preserve"> </w:t>
      </w:r>
      <w:r w:rsidRPr="004768D0">
        <w:rPr>
          <w:rFonts w:asciiTheme="majorHAnsi" w:hAnsiTheme="majorHAnsi"/>
          <w:color w:val="000000" w:themeColor="text1"/>
          <w:sz w:val="20"/>
          <w:szCs w:val="20"/>
          <w:lang w:val="es-ES"/>
        </w:rPr>
        <w:t>no son manifiestamente infundados y requieren un estudio del fondo, ya que los hechos alegados, de probarse, podrían llegar a caracterizar violaciones de los derechos protegidos en los artículos</w:t>
      </w:r>
      <w:r w:rsidRPr="004768D0">
        <w:rPr>
          <w:rFonts w:asciiTheme="majorHAnsi" w:hAnsiTheme="majorHAnsi"/>
          <w:bCs/>
          <w:color w:val="000000" w:themeColor="text1"/>
          <w:sz w:val="20"/>
          <w:szCs w:val="20"/>
          <w:lang w:val="es-ES"/>
        </w:rPr>
        <w:t xml:space="preserve"> </w:t>
      </w:r>
      <w:r w:rsidR="00073049" w:rsidRPr="004768D0">
        <w:rPr>
          <w:rFonts w:asciiTheme="majorHAnsi" w:hAnsiTheme="majorHAnsi"/>
          <w:bCs/>
          <w:color w:val="000000" w:themeColor="text1"/>
          <w:sz w:val="20"/>
          <w:szCs w:val="20"/>
          <w:lang w:val="es-ES"/>
        </w:rPr>
        <w:t xml:space="preserve">4 </w:t>
      </w:r>
      <w:r w:rsidR="007F4608" w:rsidRPr="004768D0">
        <w:rPr>
          <w:rFonts w:asciiTheme="majorHAnsi" w:hAnsiTheme="majorHAnsi"/>
          <w:bCs/>
          <w:color w:val="000000" w:themeColor="text1"/>
          <w:sz w:val="20"/>
          <w:szCs w:val="20"/>
          <w:lang w:val="es-ES"/>
        </w:rPr>
        <w:t>(derecho a la vida)</w:t>
      </w:r>
      <w:r w:rsidR="00073049" w:rsidRPr="004768D0">
        <w:rPr>
          <w:rFonts w:asciiTheme="majorHAnsi" w:hAnsiTheme="majorHAnsi"/>
          <w:bCs/>
          <w:color w:val="000000" w:themeColor="text1"/>
          <w:sz w:val="20"/>
          <w:szCs w:val="20"/>
          <w:lang w:val="es-ES"/>
        </w:rPr>
        <w:t xml:space="preserve">, </w:t>
      </w:r>
      <w:r w:rsidR="00985FD4" w:rsidRPr="004768D0">
        <w:rPr>
          <w:rFonts w:asciiTheme="majorHAnsi" w:hAnsiTheme="majorHAnsi"/>
          <w:bCs/>
          <w:color w:val="000000" w:themeColor="text1"/>
          <w:sz w:val="20"/>
          <w:szCs w:val="20"/>
          <w:lang w:val="es-ES"/>
        </w:rPr>
        <w:t xml:space="preserve">5 </w:t>
      </w:r>
      <w:r w:rsidR="007F4608" w:rsidRPr="004768D0">
        <w:rPr>
          <w:rFonts w:asciiTheme="majorHAnsi" w:hAnsiTheme="majorHAnsi"/>
          <w:bCs/>
          <w:color w:val="000000" w:themeColor="text1"/>
          <w:sz w:val="20"/>
          <w:szCs w:val="20"/>
          <w:lang w:val="es-ES"/>
        </w:rPr>
        <w:t>(derecho a la integridad personal)</w:t>
      </w:r>
      <w:r w:rsidR="00985FD4" w:rsidRPr="004768D0">
        <w:rPr>
          <w:rFonts w:asciiTheme="majorHAnsi" w:hAnsiTheme="majorHAnsi"/>
          <w:bCs/>
          <w:color w:val="000000" w:themeColor="text1"/>
          <w:sz w:val="20"/>
          <w:szCs w:val="20"/>
          <w:lang w:val="es-ES"/>
        </w:rPr>
        <w:t>,</w:t>
      </w:r>
      <w:r w:rsidR="00A30795" w:rsidRPr="004768D0">
        <w:rPr>
          <w:rFonts w:asciiTheme="majorHAnsi" w:hAnsiTheme="majorHAnsi"/>
          <w:bCs/>
          <w:color w:val="000000" w:themeColor="text1"/>
          <w:sz w:val="20"/>
          <w:szCs w:val="20"/>
          <w:lang w:val="es-ES"/>
        </w:rPr>
        <w:t xml:space="preserve"> 7 </w:t>
      </w:r>
      <w:r w:rsidR="007F4608" w:rsidRPr="004768D0">
        <w:rPr>
          <w:rFonts w:asciiTheme="majorHAnsi" w:hAnsiTheme="majorHAnsi"/>
          <w:bCs/>
          <w:color w:val="000000" w:themeColor="text1"/>
          <w:sz w:val="20"/>
          <w:szCs w:val="20"/>
          <w:lang w:val="es-ES"/>
        </w:rPr>
        <w:t>(derecho a la libertad personal)</w:t>
      </w:r>
      <w:r w:rsidR="00A30795" w:rsidRPr="004768D0">
        <w:rPr>
          <w:rFonts w:asciiTheme="majorHAnsi" w:hAnsiTheme="majorHAnsi"/>
          <w:bCs/>
          <w:color w:val="000000" w:themeColor="text1"/>
          <w:sz w:val="20"/>
          <w:szCs w:val="20"/>
          <w:lang w:val="es-ES"/>
        </w:rPr>
        <w:t>,</w:t>
      </w:r>
      <w:r w:rsidR="00985FD4" w:rsidRPr="004768D0">
        <w:rPr>
          <w:rFonts w:asciiTheme="majorHAnsi" w:hAnsiTheme="majorHAnsi"/>
          <w:bCs/>
          <w:color w:val="000000" w:themeColor="text1"/>
          <w:sz w:val="20"/>
          <w:szCs w:val="20"/>
          <w:lang w:val="es-ES"/>
        </w:rPr>
        <w:t xml:space="preserve"> </w:t>
      </w:r>
      <w:r w:rsidR="00073049" w:rsidRPr="004768D0">
        <w:rPr>
          <w:rFonts w:asciiTheme="majorHAnsi" w:hAnsiTheme="majorHAnsi"/>
          <w:bCs/>
          <w:color w:val="000000" w:themeColor="text1"/>
          <w:sz w:val="20"/>
          <w:szCs w:val="20"/>
          <w:lang w:val="es-ES"/>
        </w:rPr>
        <w:t>8</w:t>
      </w:r>
      <w:r w:rsidR="00790EC3" w:rsidRPr="004768D0">
        <w:rPr>
          <w:rFonts w:asciiTheme="majorHAnsi" w:hAnsiTheme="majorHAnsi"/>
          <w:bCs/>
          <w:color w:val="000000" w:themeColor="text1"/>
          <w:sz w:val="20"/>
          <w:szCs w:val="20"/>
          <w:lang w:val="es-ES"/>
        </w:rPr>
        <w:t xml:space="preserve"> </w:t>
      </w:r>
      <w:r w:rsidR="00073049" w:rsidRPr="004768D0">
        <w:rPr>
          <w:rFonts w:asciiTheme="majorHAnsi" w:hAnsiTheme="majorHAnsi"/>
          <w:bCs/>
          <w:color w:val="000000" w:themeColor="text1"/>
          <w:sz w:val="20"/>
          <w:szCs w:val="20"/>
          <w:lang w:val="es-ES"/>
        </w:rPr>
        <w:t>(</w:t>
      </w:r>
      <w:r w:rsidR="0052395A" w:rsidRPr="004768D0">
        <w:rPr>
          <w:rFonts w:asciiTheme="majorHAnsi" w:hAnsiTheme="majorHAnsi"/>
          <w:bCs/>
          <w:color w:val="000000" w:themeColor="text1"/>
          <w:sz w:val="20"/>
          <w:szCs w:val="20"/>
          <w:lang w:val="es-ES"/>
        </w:rPr>
        <w:t>garantías judiciales</w:t>
      </w:r>
      <w:r w:rsidR="00073049" w:rsidRPr="004768D0">
        <w:rPr>
          <w:rFonts w:asciiTheme="majorHAnsi" w:hAnsiTheme="majorHAnsi"/>
          <w:bCs/>
          <w:color w:val="000000" w:themeColor="text1"/>
          <w:sz w:val="20"/>
          <w:szCs w:val="20"/>
          <w:lang w:val="es-ES"/>
        </w:rPr>
        <w:t>)</w:t>
      </w:r>
      <w:r w:rsidR="00BA5ACD" w:rsidRPr="004768D0">
        <w:rPr>
          <w:rFonts w:asciiTheme="majorHAnsi" w:hAnsiTheme="majorHAnsi"/>
          <w:bCs/>
          <w:color w:val="000000" w:themeColor="text1"/>
          <w:sz w:val="20"/>
          <w:szCs w:val="20"/>
          <w:lang w:val="es-ES"/>
        </w:rPr>
        <w:t>, 19 (d</w:t>
      </w:r>
      <w:r w:rsidRPr="004768D0">
        <w:rPr>
          <w:rFonts w:asciiTheme="majorHAnsi" w:hAnsiTheme="majorHAnsi"/>
          <w:bCs/>
          <w:color w:val="000000" w:themeColor="text1"/>
          <w:sz w:val="20"/>
          <w:szCs w:val="20"/>
          <w:lang w:val="es-ES"/>
        </w:rPr>
        <w:t>erechos del niño</w:t>
      </w:r>
      <w:r w:rsidR="00BA5ACD" w:rsidRPr="004768D0">
        <w:rPr>
          <w:rFonts w:asciiTheme="majorHAnsi" w:hAnsiTheme="majorHAnsi"/>
          <w:bCs/>
          <w:color w:val="000000" w:themeColor="text1"/>
          <w:sz w:val="20"/>
          <w:szCs w:val="20"/>
          <w:lang w:val="es-ES"/>
        </w:rPr>
        <w:t>)</w:t>
      </w:r>
      <w:r w:rsidR="00073049"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y</w:t>
      </w:r>
      <w:r w:rsidR="00073049" w:rsidRPr="004768D0">
        <w:rPr>
          <w:rFonts w:asciiTheme="majorHAnsi" w:hAnsiTheme="majorHAnsi"/>
          <w:bCs/>
          <w:color w:val="000000" w:themeColor="text1"/>
          <w:sz w:val="20"/>
          <w:szCs w:val="20"/>
          <w:lang w:val="es-ES"/>
        </w:rPr>
        <w:t xml:space="preserve"> 25 (</w:t>
      </w:r>
      <w:r w:rsidR="0052395A" w:rsidRPr="004768D0">
        <w:rPr>
          <w:rFonts w:asciiTheme="majorHAnsi" w:hAnsiTheme="majorHAnsi"/>
          <w:bCs/>
          <w:color w:val="000000" w:themeColor="text1"/>
          <w:sz w:val="20"/>
          <w:szCs w:val="20"/>
          <w:lang w:val="es-ES"/>
        </w:rPr>
        <w:t>protección</w:t>
      </w:r>
      <w:r w:rsidR="00073049" w:rsidRPr="004768D0">
        <w:rPr>
          <w:rFonts w:asciiTheme="majorHAnsi" w:hAnsiTheme="majorHAnsi"/>
          <w:bCs/>
          <w:color w:val="000000" w:themeColor="text1"/>
          <w:sz w:val="20"/>
          <w:szCs w:val="20"/>
          <w:lang w:val="es-ES"/>
        </w:rPr>
        <w:t xml:space="preserve"> judicial),</w:t>
      </w:r>
      <w:r w:rsidR="00985FD4"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 xml:space="preserve">en relación con los </w:t>
      </w:r>
      <w:r w:rsidR="0052395A" w:rsidRPr="004768D0">
        <w:rPr>
          <w:rFonts w:asciiTheme="majorHAnsi" w:hAnsiTheme="majorHAnsi"/>
          <w:bCs/>
          <w:color w:val="000000" w:themeColor="text1"/>
          <w:sz w:val="20"/>
          <w:szCs w:val="20"/>
          <w:lang w:val="es-ES"/>
        </w:rPr>
        <w:t>artículos</w:t>
      </w:r>
      <w:r w:rsidR="00985FD4" w:rsidRPr="004768D0">
        <w:rPr>
          <w:rFonts w:asciiTheme="majorHAnsi" w:hAnsiTheme="majorHAnsi"/>
          <w:bCs/>
          <w:color w:val="000000" w:themeColor="text1"/>
          <w:sz w:val="20"/>
          <w:szCs w:val="20"/>
          <w:lang w:val="es-ES"/>
        </w:rPr>
        <w:t xml:space="preserve"> 1.1 (ob</w:t>
      </w:r>
      <w:r w:rsidRPr="004768D0">
        <w:rPr>
          <w:rFonts w:asciiTheme="majorHAnsi" w:hAnsiTheme="majorHAnsi"/>
          <w:bCs/>
          <w:color w:val="000000" w:themeColor="text1"/>
          <w:sz w:val="20"/>
          <w:szCs w:val="20"/>
          <w:lang w:val="es-ES"/>
        </w:rPr>
        <w:t>ligación de</w:t>
      </w:r>
      <w:r w:rsidR="00985FD4" w:rsidRPr="004768D0">
        <w:rPr>
          <w:rFonts w:asciiTheme="majorHAnsi" w:hAnsiTheme="majorHAnsi"/>
          <w:bCs/>
          <w:color w:val="000000" w:themeColor="text1"/>
          <w:sz w:val="20"/>
          <w:szCs w:val="20"/>
          <w:lang w:val="es-ES"/>
        </w:rPr>
        <w:t xml:space="preserve"> respetar </w:t>
      </w:r>
      <w:r w:rsidRPr="004768D0">
        <w:rPr>
          <w:rFonts w:asciiTheme="majorHAnsi" w:hAnsiTheme="majorHAnsi"/>
          <w:bCs/>
          <w:color w:val="000000" w:themeColor="text1"/>
          <w:sz w:val="20"/>
          <w:szCs w:val="20"/>
          <w:lang w:val="es-ES"/>
        </w:rPr>
        <w:t>l</w:t>
      </w:r>
      <w:r w:rsidR="00985FD4" w:rsidRPr="004768D0">
        <w:rPr>
          <w:rFonts w:asciiTheme="majorHAnsi" w:hAnsiTheme="majorHAnsi"/>
          <w:bCs/>
          <w:color w:val="000000" w:themeColor="text1"/>
          <w:sz w:val="20"/>
          <w:szCs w:val="20"/>
          <w:lang w:val="es-ES"/>
        </w:rPr>
        <w:t xml:space="preserve">os </w:t>
      </w:r>
      <w:r w:rsidR="009615E2" w:rsidRPr="004768D0">
        <w:rPr>
          <w:rFonts w:asciiTheme="majorHAnsi" w:hAnsiTheme="majorHAnsi"/>
          <w:bCs/>
          <w:color w:val="000000" w:themeColor="text1"/>
          <w:sz w:val="20"/>
          <w:szCs w:val="20"/>
          <w:lang w:val="es-ES"/>
        </w:rPr>
        <w:t>derechos</w:t>
      </w:r>
      <w:r w:rsidR="00985FD4" w:rsidRPr="004768D0">
        <w:rPr>
          <w:rFonts w:asciiTheme="majorHAnsi" w:hAnsiTheme="majorHAnsi"/>
          <w:bCs/>
          <w:color w:val="000000" w:themeColor="text1"/>
          <w:sz w:val="20"/>
          <w:szCs w:val="20"/>
          <w:lang w:val="es-ES"/>
        </w:rPr>
        <w:t>)</w:t>
      </w:r>
      <w:r w:rsidR="00790EC3" w:rsidRPr="004768D0">
        <w:rPr>
          <w:rFonts w:asciiTheme="majorHAnsi" w:hAnsiTheme="majorHAnsi"/>
          <w:bCs/>
          <w:color w:val="000000" w:themeColor="text1"/>
          <w:sz w:val="20"/>
          <w:szCs w:val="20"/>
          <w:lang w:val="es-ES"/>
        </w:rPr>
        <w:t xml:space="preserve"> </w:t>
      </w:r>
      <w:r w:rsidRPr="004768D0">
        <w:rPr>
          <w:rFonts w:asciiTheme="majorHAnsi" w:hAnsiTheme="majorHAnsi"/>
          <w:bCs/>
          <w:color w:val="000000" w:themeColor="text1"/>
          <w:sz w:val="20"/>
          <w:szCs w:val="20"/>
          <w:lang w:val="es-ES"/>
        </w:rPr>
        <w:t>y</w:t>
      </w:r>
      <w:r w:rsidR="00790EC3" w:rsidRPr="004768D0">
        <w:rPr>
          <w:rFonts w:asciiTheme="majorHAnsi" w:hAnsiTheme="majorHAnsi"/>
          <w:bCs/>
          <w:color w:val="000000" w:themeColor="text1"/>
          <w:sz w:val="20"/>
          <w:szCs w:val="20"/>
          <w:lang w:val="es-ES"/>
        </w:rPr>
        <w:t xml:space="preserve"> 2 (</w:t>
      </w:r>
      <w:r w:rsidR="007F4608" w:rsidRPr="004768D0">
        <w:rPr>
          <w:rFonts w:asciiTheme="majorHAnsi" w:hAnsiTheme="majorHAnsi"/>
          <w:bCs/>
          <w:color w:val="000000" w:themeColor="text1"/>
          <w:sz w:val="20"/>
          <w:szCs w:val="20"/>
          <w:lang w:val="es-ES"/>
        </w:rPr>
        <w:t>deber de adoptar disposiciones de derecho interno</w:t>
      </w:r>
      <w:r w:rsidR="00790EC3" w:rsidRPr="004768D0">
        <w:rPr>
          <w:rFonts w:asciiTheme="majorHAnsi" w:hAnsiTheme="majorHAnsi"/>
          <w:bCs/>
          <w:color w:val="000000" w:themeColor="text1"/>
          <w:sz w:val="20"/>
          <w:szCs w:val="20"/>
          <w:lang w:val="es-ES"/>
        </w:rPr>
        <w:t>)</w:t>
      </w:r>
      <w:r w:rsidR="00985FD4" w:rsidRPr="004768D0">
        <w:rPr>
          <w:rFonts w:asciiTheme="majorHAnsi" w:hAnsiTheme="majorHAnsi"/>
          <w:bCs/>
          <w:color w:val="000000" w:themeColor="text1"/>
          <w:sz w:val="20"/>
          <w:szCs w:val="20"/>
          <w:lang w:val="es-ES"/>
        </w:rPr>
        <w:t xml:space="preserve"> </w:t>
      </w:r>
      <w:r w:rsidR="0052395A" w:rsidRPr="004768D0">
        <w:rPr>
          <w:rFonts w:asciiTheme="majorHAnsi" w:hAnsiTheme="majorHAnsi"/>
          <w:bCs/>
          <w:color w:val="000000" w:themeColor="text1"/>
          <w:sz w:val="20"/>
          <w:szCs w:val="20"/>
          <w:lang w:val="es-ES"/>
        </w:rPr>
        <w:t>de la Convención</w:t>
      </w:r>
      <w:r w:rsidR="00985FD4" w:rsidRPr="004768D0">
        <w:rPr>
          <w:rFonts w:asciiTheme="majorHAnsi" w:hAnsiTheme="majorHAnsi"/>
          <w:bCs/>
          <w:color w:val="000000" w:themeColor="text1"/>
          <w:sz w:val="20"/>
          <w:szCs w:val="20"/>
          <w:lang w:val="es-ES"/>
        </w:rPr>
        <w:t xml:space="preserve"> Americana.</w:t>
      </w:r>
    </w:p>
    <w:p w14:paraId="0EFF77DF" w14:textId="77777777" w:rsidR="00073049" w:rsidRPr="004768D0"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p>
    <w:p w14:paraId="79A668D8" w14:textId="77777777" w:rsidR="00985FD4" w:rsidRPr="004768D0" w:rsidRDefault="00985FD4" w:rsidP="00073049">
      <w:pPr>
        <w:pStyle w:val="ListParagraph"/>
        <w:jc w:val="both"/>
        <w:rPr>
          <w:rFonts w:asciiTheme="majorHAnsi" w:hAnsiTheme="majorHAnsi"/>
          <w:b/>
          <w:bCs/>
          <w:color w:val="000000" w:themeColor="text1"/>
          <w:sz w:val="20"/>
          <w:szCs w:val="20"/>
          <w:lang w:val="es-ES"/>
        </w:rPr>
      </w:pPr>
      <w:r w:rsidRPr="004768D0">
        <w:rPr>
          <w:rFonts w:asciiTheme="majorHAnsi" w:hAnsiTheme="majorHAnsi"/>
          <w:b/>
          <w:bCs/>
          <w:color w:val="000000" w:themeColor="text1"/>
          <w:sz w:val="20"/>
          <w:szCs w:val="20"/>
          <w:lang w:val="es-ES"/>
        </w:rPr>
        <w:t xml:space="preserve">VIII. </w:t>
      </w:r>
      <w:r w:rsidRPr="004768D0">
        <w:rPr>
          <w:rFonts w:asciiTheme="majorHAnsi" w:hAnsiTheme="majorHAnsi"/>
          <w:b/>
          <w:bCs/>
          <w:color w:val="000000" w:themeColor="text1"/>
          <w:sz w:val="20"/>
          <w:szCs w:val="20"/>
          <w:lang w:val="es-ES"/>
        </w:rPr>
        <w:tab/>
      </w:r>
      <w:r w:rsidR="00A327AC" w:rsidRPr="004768D0">
        <w:rPr>
          <w:rFonts w:asciiTheme="majorHAnsi" w:hAnsiTheme="majorHAnsi"/>
          <w:b/>
          <w:bCs/>
          <w:color w:val="000000" w:themeColor="text1"/>
          <w:sz w:val="20"/>
          <w:szCs w:val="20"/>
          <w:lang w:val="es-ES"/>
        </w:rPr>
        <w:t>DECISIÓN</w:t>
      </w:r>
    </w:p>
    <w:p w14:paraId="00112793" w14:textId="77777777" w:rsidR="00073049" w:rsidRPr="004768D0"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p>
    <w:p w14:paraId="2D27E4AE" w14:textId="77777777" w:rsidR="00985FD4" w:rsidRPr="004768D0" w:rsidRDefault="00A327AC" w:rsidP="000730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r w:rsidRPr="004768D0">
        <w:rPr>
          <w:rFonts w:asciiTheme="majorHAnsi" w:hAnsiTheme="majorHAnsi"/>
          <w:color w:val="000000" w:themeColor="text1"/>
          <w:sz w:val="20"/>
          <w:szCs w:val="20"/>
          <w:lang w:val="es-ES"/>
        </w:rPr>
        <w:t>Declarar admisible la presente petición en lo que respecta a los artículos</w:t>
      </w:r>
      <w:r w:rsidR="00985FD4" w:rsidRPr="004768D0">
        <w:rPr>
          <w:rFonts w:asciiTheme="majorHAnsi" w:hAnsiTheme="majorHAnsi"/>
          <w:color w:val="000000" w:themeColor="text1"/>
          <w:sz w:val="20"/>
          <w:szCs w:val="20"/>
          <w:lang w:val="es-ES"/>
        </w:rPr>
        <w:t xml:space="preserve"> </w:t>
      </w:r>
      <w:r w:rsidR="00A30795" w:rsidRPr="004768D0">
        <w:rPr>
          <w:rFonts w:asciiTheme="majorHAnsi" w:hAnsiTheme="majorHAnsi"/>
          <w:color w:val="000000" w:themeColor="text1"/>
          <w:sz w:val="20"/>
          <w:szCs w:val="20"/>
          <w:lang w:val="es-ES"/>
        </w:rPr>
        <w:t xml:space="preserve">4, </w:t>
      </w:r>
      <w:r w:rsidR="00985FD4" w:rsidRPr="004768D0">
        <w:rPr>
          <w:rFonts w:asciiTheme="majorHAnsi" w:hAnsiTheme="majorHAnsi"/>
          <w:color w:val="000000" w:themeColor="text1"/>
          <w:sz w:val="20"/>
          <w:szCs w:val="20"/>
          <w:lang w:val="es-ES"/>
        </w:rPr>
        <w:t xml:space="preserve">5, </w:t>
      </w:r>
      <w:r w:rsidR="00790EC3" w:rsidRPr="004768D0">
        <w:rPr>
          <w:rFonts w:asciiTheme="majorHAnsi" w:hAnsiTheme="majorHAnsi"/>
          <w:color w:val="000000" w:themeColor="text1"/>
          <w:sz w:val="20"/>
          <w:szCs w:val="20"/>
          <w:lang w:val="es-ES"/>
        </w:rPr>
        <w:t>7</w:t>
      </w:r>
      <w:r w:rsidR="00A30795" w:rsidRPr="004768D0">
        <w:rPr>
          <w:rFonts w:asciiTheme="majorHAnsi" w:hAnsiTheme="majorHAnsi"/>
          <w:color w:val="000000" w:themeColor="text1"/>
          <w:sz w:val="20"/>
          <w:szCs w:val="20"/>
          <w:lang w:val="es-ES"/>
        </w:rPr>
        <w:t>, 8</w:t>
      </w:r>
      <w:r w:rsidR="00BA5ACD" w:rsidRPr="004768D0">
        <w:rPr>
          <w:rFonts w:asciiTheme="majorHAnsi" w:hAnsiTheme="majorHAnsi"/>
          <w:color w:val="000000" w:themeColor="text1"/>
          <w:sz w:val="20"/>
          <w:szCs w:val="20"/>
          <w:lang w:val="es-ES"/>
        </w:rPr>
        <w:t>, 19</w:t>
      </w:r>
      <w:r w:rsidR="00985FD4" w:rsidRPr="004768D0">
        <w:rPr>
          <w:rFonts w:asciiTheme="majorHAnsi" w:hAnsiTheme="majorHAnsi"/>
          <w:color w:val="000000" w:themeColor="text1"/>
          <w:sz w:val="20"/>
          <w:szCs w:val="20"/>
          <w:lang w:val="es-ES"/>
        </w:rPr>
        <w:t xml:space="preserve"> </w:t>
      </w:r>
      <w:r w:rsidRPr="004768D0">
        <w:rPr>
          <w:rFonts w:asciiTheme="majorHAnsi" w:hAnsiTheme="majorHAnsi"/>
          <w:color w:val="000000" w:themeColor="text1"/>
          <w:sz w:val="20"/>
          <w:szCs w:val="20"/>
          <w:lang w:val="es-ES"/>
        </w:rPr>
        <w:t>y</w:t>
      </w:r>
      <w:r w:rsidR="00985FD4" w:rsidRPr="004768D0">
        <w:rPr>
          <w:rFonts w:asciiTheme="majorHAnsi" w:hAnsiTheme="majorHAnsi"/>
          <w:color w:val="000000" w:themeColor="text1"/>
          <w:sz w:val="20"/>
          <w:szCs w:val="20"/>
          <w:lang w:val="es-ES"/>
        </w:rPr>
        <w:t xml:space="preserve"> 2</w:t>
      </w:r>
      <w:r w:rsidR="00A30795" w:rsidRPr="004768D0">
        <w:rPr>
          <w:rFonts w:asciiTheme="majorHAnsi" w:hAnsiTheme="majorHAnsi"/>
          <w:color w:val="000000" w:themeColor="text1"/>
          <w:sz w:val="20"/>
          <w:szCs w:val="20"/>
          <w:lang w:val="es-ES"/>
        </w:rPr>
        <w:t>5</w:t>
      </w:r>
      <w:r w:rsidR="00985FD4" w:rsidRPr="004768D0">
        <w:rPr>
          <w:rFonts w:asciiTheme="majorHAnsi" w:hAnsiTheme="majorHAnsi"/>
          <w:color w:val="000000" w:themeColor="text1"/>
          <w:sz w:val="20"/>
          <w:szCs w:val="20"/>
          <w:lang w:val="es-ES"/>
        </w:rPr>
        <w:t xml:space="preserve"> </w:t>
      </w:r>
      <w:r w:rsidR="0052395A" w:rsidRPr="004768D0">
        <w:rPr>
          <w:rFonts w:asciiTheme="majorHAnsi" w:hAnsiTheme="majorHAnsi"/>
          <w:color w:val="000000" w:themeColor="text1"/>
          <w:sz w:val="20"/>
          <w:szCs w:val="20"/>
          <w:lang w:val="es-ES"/>
        </w:rPr>
        <w:t>de la Convención</w:t>
      </w:r>
      <w:r w:rsidR="00985FD4" w:rsidRPr="004768D0">
        <w:rPr>
          <w:rFonts w:asciiTheme="majorHAnsi" w:hAnsiTheme="majorHAnsi"/>
          <w:color w:val="000000" w:themeColor="text1"/>
          <w:sz w:val="20"/>
          <w:szCs w:val="20"/>
          <w:lang w:val="es-ES"/>
        </w:rPr>
        <w:t xml:space="preserve"> Americana, </w:t>
      </w:r>
      <w:r w:rsidRPr="004768D0">
        <w:rPr>
          <w:rFonts w:asciiTheme="majorHAnsi" w:hAnsiTheme="majorHAnsi"/>
          <w:color w:val="000000" w:themeColor="text1"/>
          <w:sz w:val="20"/>
          <w:szCs w:val="20"/>
          <w:lang w:val="es-ES"/>
        </w:rPr>
        <w:t xml:space="preserve">en </w:t>
      </w:r>
      <w:r w:rsidR="00985FD4" w:rsidRPr="004768D0">
        <w:rPr>
          <w:rFonts w:asciiTheme="majorHAnsi" w:hAnsiTheme="majorHAnsi"/>
          <w:color w:val="000000" w:themeColor="text1"/>
          <w:sz w:val="20"/>
          <w:szCs w:val="20"/>
          <w:lang w:val="es-ES"/>
        </w:rPr>
        <w:t>relaci</w:t>
      </w:r>
      <w:r w:rsidRPr="004768D0">
        <w:rPr>
          <w:rFonts w:asciiTheme="majorHAnsi" w:hAnsiTheme="majorHAnsi"/>
          <w:color w:val="000000" w:themeColor="text1"/>
          <w:sz w:val="20"/>
          <w:szCs w:val="20"/>
          <w:lang w:val="es-ES"/>
        </w:rPr>
        <w:t xml:space="preserve">ón con los </w:t>
      </w:r>
      <w:r w:rsidR="0052395A" w:rsidRPr="004768D0">
        <w:rPr>
          <w:rFonts w:asciiTheme="majorHAnsi" w:hAnsiTheme="majorHAnsi"/>
          <w:color w:val="000000" w:themeColor="text1"/>
          <w:sz w:val="20"/>
          <w:szCs w:val="20"/>
          <w:lang w:val="es-ES"/>
        </w:rPr>
        <w:t>artículos</w:t>
      </w:r>
      <w:r w:rsidR="00985FD4" w:rsidRPr="004768D0">
        <w:rPr>
          <w:rFonts w:asciiTheme="majorHAnsi" w:hAnsiTheme="majorHAnsi"/>
          <w:color w:val="000000" w:themeColor="text1"/>
          <w:sz w:val="20"/>
          <w:szCs w:val="20"/>
          <w:lang w:val="es-ES"/>
        </w:rPr>
        <w:t xml:space="preserve"> 1.1</w:t>
      </w:r>
      <w:r w:rsidR="00790EC3" w:rsidRPr="004768D0">
        <w:rPr>
          <w:rFonts w:asciiTheme="majorHAnsi" w:hAnsiTheme="majorHAnsi"/>
          <w:color w:val="000000" w:themeColor="text1"/>
          <w:sz w:val="20"/>
          <w:szCs w:val="20"/>
          <w:lang w:val="es-ES"/>
        </w:rPr>
        <w:t xml:space="preserve"> </w:t>
      </w:r>
      <w:r w:rsidRPr="004768D0">
        <w:rPr>
          <w:rFonts w:asciiTheme="majorHAnsi" w:hAnsiTheme="majorHAnsi"/>
          <w:color w:val="000000" w:themeColor="text1"/>
          <w:sz w:val="20"/>
          <w:szCs w:val="20"/>
          <w:lang w:val="es-ES"/>
        </w:rPr>
        <w:t>y</w:t>
      </w:r>
      <w:r w:rsidR="00790EC3" w:rsidRPr="004768D0">
        <w:rPr>
          <w:rFonts w:asciiTheme="majorHAnsi" w:hAnsiTheme="majorHAnsi"/>
          <w:color w:val="000000" w:themeColor="text1"/>
          <w:sz w:val="20"/>
          <w:szCs w:val="20"/>
          <w:lang w:val="es-ES"/>
        </w:rPr>
        <w:t xml:space="preserve"> 2</w:t>
      </w:r>
      <w:r w:rsidRPr="004768D0">
        <w:rPr>
          <w:rFonts w:asciiTheme="majorHAnsi" w:hAnsiTheme="majorHAnsi"/>
          <w:color w:val="000000" w:themeColor="text1"/>
          <w:sz w:val="20"/>
          <w:szCs w:val="20"/>
          <w:lang w:val="es-ES"/>
        </w:rPr>
        <w:t>.</w:t>
      </w:r>
    </w:p>
    <w:p w14:paraId="6E7CBC7A" w14:textId="77777777" w:rsidR="00073049" w:rsidRPr="004768D0"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p>
    <w:p w14:paraId="425796EC" w14:textId="77777777" w:rsidR="00985FD4" w:rsidRDefault="00A327AC" w:rsidP="007F460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r w:rsidRPr="004768D0">
        <w:rPr>
          <w:rFonts w:asciiTheme="majorHAnsi" w:hAnsiTheme="majorHAnsi"/>
          <w:color w:val="000000" w:themeColor="text1"/>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985FD4" w:rsidRPr="004768D0">
        <w:rPr>
          <w:rFonts w:asciiTheme="majorHAnsi" w:hAnsiTheme="majorHAnsi"/>
          <w:color w:val="000000" w:themeColor="text1"/>
          <w:sz w:val="20"/>
          <w:szCs w:val="20"/>
          <w:lang w:val="es-ES"/>
        </w:rPr>
        <w:t xml:space="preserve">. </w:t>
      </w:r>
    </w:p>
    <w:p w14:paraId="16860008" w14:textId="77777777" w:rsidR="001C3D62" w:rsidRDefault="001C3D62" w:rsidP="001C3D62">
      <w:pPr>
        <w:pStyle w:val="ListParagraph"/>
        <w:rPr>
          <w:rFonts w:asciiTheme="majorHAnsi" w:hAnsiTheme="majorHAnsi"/>
          <w:color w:val="000000" w:themeColor="text1"/>
          <w:sz w:val="20"/>
          <w:szCs w:val="20"/>
          <w:lang w:val="es-ES"/>
        </w:rPr>
      </w:pPr>
    </w:p>
    <w:p w14:paraId="45D3F5C4" w14:textId="7C0879EB" w:rsidR="001C3D62" w:rsidRPr="00A37B82" w:rsidRDefault="001C3D62" w:rsidP="001C3D6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Pr>
          <w:rFonts w:asciiTheme="majorHAnsi" w:hAnsiTheme="majorHAnsi" w:cs="Arial"/>
          <w:noProof/>
          <w:spacing w:val="-2"/>
          <w:sz w:val="20"/>
          <w:szCs w:val="20"/>
          <w:lang w:val="es-CL"/>
        </w:rPr>
        <w:t xml:space="preserve">Julissa Mantilla Falcón, Segunda Vicepresidenta;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6564445" w14:textId="77777777" w:rsidR="001C3D62" w:rsidRPr="001C3D62" w:rsidRDefault="001C3D62" w:rsidP="001C3D6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CL"/>
        </w:rPr>
      </w:pPr>
    </w:p>
    <w:sectPr w:rsidR="001C3D62" w:rsidRPr="001C3D6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2C307" w14:textId="77777777" w:rsidR="00A0088B" w:rsidRDefault="00A0088B">
      <w:r>
        <w:separator/>
      </w:r>
    </w:p>
  </w:endnote>
  <w:endnote w:type="continuationSeparator" w:id="0">
    <w:p w14:paraId="025D7E24" w14:textId="77777777" w:rsidR="00A0088B" w:rsidRDefault="00A0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D6BAD" w14:textId="77777777" w:rsidR="00D57875" w:rsidRDefault="00D57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BC7BFBF" w14:textId="77777777" w:rsidR="00ED3D6C" w:rsidRPr="00934A2C" w:rsidRDefault="00ED3D6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57875">
          <w:rPr>
            <w:noProof/>
            <w:sz w:val="16"/>
            <w:szCs w:val="22"/>
          </w:rPr>
          <w:t>1</w:t>
        </w:r>
        <w:r w:rsidRPr="00934A2C">
          <w:rPr>
            <w:noProof/>
            <w:sz w:val="16"/>
            <w:szCs w:val="22"/>
          </w:rPr>
          <w:fldChar w:fldCharType="end"/>
        </w:r>
      </w:p>
    </w:sdtContent>
  </w:sdt>
  <w:p w14:paraId="5913D601" w14:textId="77777777" w:rsidR="00ED3D6C" w:rsidRDefault="00ED3D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F37D" w14:textId="77777777" w:rsidR="00ED3D6C" w:rsidRPr="00934A2C" w:rsidRDefault="00ED3D6C">
    <w:pPr>
      <w:pStyle w:val="Footer"/>
      <w:jc w:val="center"/>
      <w:rPr>
        <w:sz w:val="16"/>
        <w:szCs w:val="22"/>
      </w:rPr>
    </w:pPr>
  </w:p>
  <w:p w14:paraId="41ADD7E7" w14:textId="77777777" w:rsidR="00ED3D6C" w:rsidRDefault="00ED3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A5EE9" w14:textId="77777777" w:rsidR="00A0088B" w:rsidRPr="000F35ED" w:rsidRDefault="00A0088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80D185" w14:textId="77777777" w:rsidR="00A0088B" w:rsidRPr="000F35ED" w:rsidRDefault="00A0088B" w:rsidP="000F35ED">
      <w:pPr>
        <w:rPr>
          <w:rFonts w:asciiTheme="majorHAnsi" w:hAnsiTheme="majorHAnsi"/>
          <w:sz w:val="16"/>
          <w:szCs w:val="16"/>
        </w:rPr>
      </w:pPr>
      <w:r w:rsidRPr="000F35ED">
        <w:rPr>
          <w:rFonts w:asciiTheme="majorHAnsi" w:hAnsiTheme="majorHAnsi"/>
          <w:sz w:val="16"/>
          <w:szCs w:val="16"/>
        </w:rPr>
        <w:separator/>
      </w:r>
    </w:p>
    <w:p w14:paraId="72F2886C" w14:textId="77777777" w:rsidR="00A0088B" w:rsidRPr="000F35ED" w:rsidRDefault="00A0088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E7F9CD2" w14:textId="77777777" w:rsidR="00A0088B" w:rsidRPr="000F35ED" w:rsidRDefault="00A0088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34E0189" w14:textId="77777777" w:rsidR="00ED3D6C" w:rsidRPr="003D19EA" w:rsidRDefault="00ED3D6C" w:rsidP="00771ABF">
      <w:pPr>
        <w:pStyle w:val="FootnoteText"/>
        <w:tabs>
          <w:tab w:val="left" w:pos="0"/>
          <w:tab w:val="left" w:pos="567"/>
        </w:tabs>
        <w:jc w:val="both"/>
        <w:rPr>
          <w:rFonts w:asciiTheme="majorHAnsi" w:hAnsiTheme="majorHAnsi"/>
          <w:color w:val="000000" w:themeColor="text1"/>
          <w:sz w:val="16"/>
          <w:szCs w:val="16"/>
          <w:lang w:val="es-ES"/>
        </w:rPr>
      </w:pPr>
      <w:r w:rsidRPr="003D19EA">
        <w:rPr>
          <w:rStyle w:val="FootnoteReference"/>
          <w:rFonts w:asciiTheme="majorHAnsi" w:hAnsiTheme="majorHAnsi"/>
          <w:color w:val="000000" w:themeColor="text1"/>
          <w:sz w:val="16"/>
          <w:szCs w:val="16"/>
          <w:lang w:val="es-ES"/>
        </w:rPr>
        <w:footnoteRef/>
      </w:r>
      <w:r w:rsidRPr="003D19EA">
        <w:rPr>
          <w:rFonts w:asciiTheme="majorHAnsi" w:hAnsiTheme="majorHAnsi"/>
          <w:color w:val="000000" w:themeColor="text1"/>
          <w:sz w:val="16"/>
          <w:szCs w:val="16"/>
          <w:lang w:val="es-ES"/>
        </w:rPr>
        <w:t xml:space="preserve"> De conformidad con lo dispuesto en el artículo 17.2.a del Reglamento de la Comisión, la comisionada </w:t>
      </w:r>
      <w:proofErr w:type="spellStart"/>
      <w:r w:rsidRPr="003D19EA">
        <w:rPr>
          <w:rFonts w:asciiTheme="majorHAnsi" w:hAnsiTheme="majorHAnsi"/>
          <w:color w:val="000000" w:themeColor="text1"/>
          <w:sz w:val="16"/>
          <w:szCs w:val="16"/>
          <w:lang w:val="es-ES"/>
        </w:rPr>
        <w:t>Flávia</w:t>
      </w:r>
      <w:proofErr w:type="spellEnd"/>
      <w:r w:rsidRPr="003D19EA">
        <w:rPr>
          <w:rFonts w:asciiTheme="majorHAnsi" w:hAnsiTheme="majorHAnsi"/>
          <w:color w:val="000000" w:themeColor="text1"/>
          <w:sz w:val="16"/>
          <w:szCs w:val="16"/>
          <w:lang w:val="es-ES"/>
        </w:rPr>
        <w:t xml:space="preserve"> </w:t>
      </w:r>
      <w:proofErr w:type="spellStart"/>
      <w:r w:rsidRPr="003D19EA">
        <w:rPr>
          <w:rFonts w:asciiTheme="majorHAnsi" w:hAnsiTheme="majorHAnsi"/>
          <w:color w:val="000000" w:themeColor="text1"/>
          <w:sz w:val="16"/>
          <w:szCs w:val="16"/>
          <w:lang w:val="es-ES"/>
        </w:rPr>
        <w:t>Piovesan</w:t>
      </w:r>
      <w:proofErr w:type="spellEnd"/>
      <w:r w:rsidRPr="003D19EA">
        <w:rPr>
          <w:rFonts w:asciiTheme="majorHAnsi" w:hAnsiTheme="majorHAnsi"/>
          <w:color w:val="000000" w:themeColor="text1"/>
          <w:sz w:val="16"/>
          <w:szCs w:val="16"/>
          <w:lang w:val="es-ES"/>
        </w:rPr>
        <w:t>, de nacionalidad brasileña, no participó en el debate ni en la decisión sobre este caso.</w:t>
      </w:r>
    </w:p>
  </w:footnote>
  <w:footnote w:id="3">
    <w:p w14:paraId="429DD11E" w14:textId="77777777" w:rsidR="00ED3D6C" w:rsidRPr="003D19EA" w:rsidRDefault="00ED3D6C" w:rsidP="00771ABF">
      <w:pPr>
        <w:pStyle w:val="FootnoteText"/>
        <w:tabs>
          <w:tab w:val="left" w:pos="0"/>
          <w:tab w:val="left" w:pos="567"/>
        </w:tabs>
        <w:jc w:val="both"/>
        <w:rPr>
          <w:rFonts w:asciiTheme="majorHAnsi" w:hAnsiTheme="majorHAnsi"/>
          <w:color w:val="000000" w:themeColor="text1"/>
          <w:sz w:val="16"/>
          <w:szCs w:val="16"/>
          <w:lang w:val="es-ES"/>
        </w:rPr>
      </w:pPr>
      <w:r w:rsidRPr="003D19EA">
        <w:rPr>
          <w:rStyle w:val="FootnoteReference"/>
          <w:rFonts w:asciiTheme="majorHAnsi" w:hAnsiTheme="majorHAnsi"/>
          <w:color w:val="000000" w:themeColor="text1"/>
          <w:sz w:val="16"/>
          <w:szCs w:val="16"/>
          <w:lang w:val="es-ES"/>
        </w:rPr>
        <w:footnoteRef/>
      </w:r>
      <w:r w:rsidRPr="003D19EA">
        <w:rPr>
          <w:rFonts w:asciiTheme="majorHAnsi" w:hAnsiTheme="majorHAnsi"/>
          <w:color w:val="000000" w:themeColor="text1"/>
          <w:sz w:val="16"/>
          <w:szCs w:val="16"/>
          <w:lang w:val="es-ES"/>
        </w:rPr>
        <w:t xml:space="preserve"> En adelante “la Convención Americana” o “la Convención”.</w:t>
      </w:r>
    </w:p>
  </w:footnote>
  <w:footnote w:id="4">
    <w:p w14:paraId="3B6C3867" w14:textId="77777777" w:rsidR="00ED3D6C" w:rsidRPr="003D19EA" w:rsidRDefault="00ED3D6C" w:rsidP="00771ABF">
      <w:pPr>
        <w:pStyle w:val="FootnoteText"/>
        <w:tabs>
          <w:tab w:val="left" w:pos="0"/>
          <w:tab w:val="left" w:pos="567"/>
        </w:tabs>
        <w:jc w:val="both"/>
        <w:rPr>
          <w:rFonts w:asciiTheme="majorHAnsi" w:hAnsiTheme="majorHAnsi"/>
          <w:color w:val="000000" w:themeColor="text1"/>
          <w:sz w:val="16"/>
          <w:szCs w:val="16"/>
          <w:lang w:val="es-ES"/>
        </w:rPr>
      </w:pPr>
      <w:r w:rsidRPr="003D19EA">
        <w:rPr>
          <w:rStyle w:val="FootnoteReference"/>
          <w:rFonts w:asciiTheme="majorHAnsi" w:hAnsiTheme="majorHAnsi"/>
          <w:color w:val="000000" w:themeColor="text1"/>
          <w:sz w:val="16"/>
          <w:szCs w:val="16"/>
          <w:lang w:val="es-ES"/>
        </w:rPr>
        <w:footnoteRef/>
      </w:r>
      <w:r w:rsidRPr="003D19EA">
        <w:rPr>
          <w:rFonts w:asciiTheme="majorHAnsi" w:hAnsiTheme="majorHAnsi"/>
          <w:color w:val="000000" w:themeColor="text1"/>
          <w:sz w:val="16"/>
          <w:szCs w:val="16"/>
          <w:lang w:val="es-ES"/>
        </w:rPr>
        <w:t xml:space="preserve"> Las observaciones de cada parte fueron transmitidas debidamente a la parte contraria.</w:t>
      </w:r>
    </w:p>
  </w:footnote>
  <w:footnote w:id="5">
    <w:p w14:paraId="41BC8C5A"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6">
    <w:p w14:paraId="796136BA"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7">
    <w:p w14:paraId="217D7C34"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8">
    <w:p w14:paraId="66128977"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9">
    <w:p w14:paraId="70308B5F"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10">
    <w:p w14:paraId="115F9FFE"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 (en el cual se destaca, además, </w:t>
      </w:r>
      <w:r>
        <w:rPr>
          <w:rFonts w:asciiTheme="majorHAnsi" w:hAnsiTheme="majorHAnsi"/>
          <w:sz w:val="16"/>
          <w:szCs w:val="16"/>
          <w:lang w:val="es-ES"/>
        </w:rPr>
        <w:t xml:space="preserve">que el </w:t>
      </w:r>
      <w:r w:rsidRPr="003D19EA">
        <w:rPr>
          <w:rFonts w:asciiTheme="majorHAnsi" w:hAnsiTheme="majorHAnsi"/>
          <w:sz w:val="16"/>
          <w:szCs w:val="16"/>
          <w:lang w:val="es-ES"/>
        </w:rPr>
        <w:t>GAECO “tom</w:t>
      </w:r>
      <w:r>
        <w:rPr>
          <w:rFonts w:asciiTheme="majorHAnsi" w:hAnsiTheme="majorHAnsi"/>
          <w:sz w:val="16"/>
          <w:szCs w:val="16"/>
          <w:lang w:val="es-ES"/>
        </w:rPr>
        <w:t xml:space="preserve">ó varias declaraciones y buscó </w:t>
      </w:r>
      <w:r w:rsidRPr="003D19EA">
        <w:rPr>
          <w:rFonts w:asciiTheme="majorHAnsi" w:hAnsiTheme="majorHAnsi"/>
          <w:sz w:val="16"/>
          <w:szCs w:val="16"/>
          <w:lang w:val="es-ES"/>
        </w:rPr>
        <w:t xml:space="preserve">elementos </w:t>
      </w:r>
      <w:r>
        <w:rPr>
          <w:rFonts w:asciiTheme="majorHAnsi" w:hAnsiTheme="majorHAnsi"/>
          <w:sz w:val="16"/>
          <w:szCs w:val="16"/>
          <w:lang w:val="es-ES"/>
        </w:rPr>
        <w:t xml:space="preserve">inculpatorios en las pruebas periciales, en particular los exámenes de proyectiles </w:t>
      </w:r>
      <w:r w:rsidRPr="003D19EA">
        <w:rPr>
          <w:rFonts w:asciiTheme="majorHAnsi" w:hAnsiTheme="majorHAnsi"/>
          <w:sz w:val="16"/>
          <w:szCs w:val="16"/>
          <w:lang w:val="es-ES"/>
        </w:rPr>
        <w:t xml:space="preserve">encontrados </w:t>
      </w:r>
      <w:r>
        <w:rPr>
          <w:rFonts w:asciiTheme="majorHAnsi" w:hAnsiTheme="majorHAnsi"/>
          <w:sz w:val="16"/>
          <w:szCs w:val="16"/>
          <w:lang w:val="es-ES"/>
        </w:rPr>
        <w:t>e</w:t>
      </w:r>
      <w:r w:rsidRPr="003D19EA">
        <w:rPr>
          <w:rFonts w:asciiTheme="majorHAnsi" w:hAnsiTheme="majorHAnsi"/>
          <w:sz w:val="16"/>
          <w:szCs w:val="16"/>
          <w:lang w:val="es-ES"/>
        </w:rPr>
        <w:t>n</w:t>
      </w:r>
      <w:r>
        <w:rPr>
          <w:rFonts w:asciiTheme="majorHAnsi" w:hAnsiTheme="majorHAnsi"/>
          <w:sz w:val="16"/>
          <w:szCs w:val="16"/>
          <w:lang w:val="es-ES"/>
        </w:rPr>
        <w:t xml:space="preserve"> l</w:t>
      </w:r>
      <w:r w:rsidRPr="003D19EA">
        <w:rPr>
          <w:rFonts w:asciiTheme="majorHAnsi" w:hAnsiTheme="majorHAnsi"/>
          <w:sz w:val="16"/>
          <w:szCs w:val="16"/>
          <w:lang w:val="es-ES"/>
        </w:rPr>
        <w:t xml:space="preserve">os cadáveres </w:t>
      </w:r>
      <w:r>
        <w:rPr>
          <w:rFonts w:asciiTheme="majorHAnsi" w:hAnsiTheme="majorHAnsi"/>
          <w:sz w:val="16"/>
          <w:szCs w:val="16"/>
          <w:lang w:val="es-ES"/>
        </w:rPr>
        <w:t>y las respectivas pruebas de</w:t>
      </w:r>
      <w:r w:rsidRPr="003D19EA">
        <w:rPr>
          <w:rFonts w:asciiTheme="majorHAnsi" w:hAnsiTheme="majorHAnsi"/>
          <w:sz w:val="16"/>
          <w:szCs w:val="16"/>
          <w:lang w:val="es-ES"/>
        </w:rPr>
        <w:t xml:space="preserve"> balístic</w:t>
      </w:r>
      <w:r>
        <w:rPr>
          <w:rFonts w:asciiTheme="majorHAnsi" w:hAnsiTheme="majorHAnsi"/>
          <w:sz w:val="16"/>
          <w:szCs w:val="16"/>
          <w:lang w:val="es-ES"/>
        </w:rPr>
        <w:t>a. Asimismo, se elaboró el historial funcional de los policías que pudieran estar involucrados en los hechos investigados y a quienes se hubiera hecho referencia en algún momento en las declaraciones testimoniales</w:t>
      </w:r>
      <w:r w:rsidRPr="003D19EA">
        <w:rPr>
          <w:rFonts w:asciiTheme="majorHAnsi" w:hAnsiTheme="majorHAnsi"/>
          <w:sz w:val="16"/>
          <w:szCs w:val="16"/>
          <w:lang w:val="es-ES"/>
        </w:rPr>
        <w:t>”).</w:t>
      </w:r>
    </w:p>
  </w:footnote>
  <w:footnote w:id="11">
    <w:p w14:paraId="1C899D15"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12">
    <w:p w14:paraId="665BDEE1"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13">
    <w:p w14:paraId="6D825D0A"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14">
    <w:p w14:paraId="3D3839C6"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15">
    <w:p w14:paraId="310D458F"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16">
    <w:p w14:paraId="6532569D"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18 de julio de 2019.</w:t>
      </w:r>
    </w:p>
  </w:footnote>
  <w:footnote w:id="17">
    <w:p w14:paraId="5731B2CE"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 de agosto de 2018.</w:t>
      </w:r>
    </w:p>
  </w:footnote>
  <w:footnote w:id="18">
    <w:p w14:paraId="28A566A6" w14:textId="77777777" w:rsidR="00ED3D6C" w:rsidRPr="003D19EA" w:rsidRDefault="00ED3D6C" w:rsidP="00771ABF">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18 de jul</w:t>
      </w:r>
      <w:r>
        <w:rPr>
          <w:rFonts w:asciiTheme="majorHAnsi" w:hAnsiTheme="majorHAnsi"/>
          <w:sz w:val="16"/>
          <w:szCs w:val="16"/>
          <w:lang w:val="es-ES"/>
        </w:rPr>
        <w:t>i</w:t>
      </w:r>
      <w:r w:rsidRPr="003D19EA">
        <w:rPr>
          <w:rFonts w:asciiTheme="majorHAnsi" w:hAnsiTheme="majorHAnsi"/>
          <w:sz w:val="16"/>
          <w:szCs w:val="16"/>
          <w:lang w:val="es-ES"/>
        </w:rPr>
        <w:t>o de 2019.</w:t>
      </w:r>
    </w:p>
  </w:footnote>
  <w:footnote w:id="19">
    <w:p w14:paraId="6C5FB1AA" w14:textId="77777777" w:rsidR="00ED3D6C" w:rsidRPr="003D19EA" w:rsidRDefault="00ED3D6C" w:rsidP="00771ABF">
      <w:pPr>
        <w:pStyle w:val="FootnoteText"/>
        <w:tabs>
          <w:tab w:val="left" w:pos="0"/>
          <w:tab w:val="left" w:pos="567"/>
        </w:tabs>
        <w:jc w:val="both"/>
        <w:rPr>
          <w:rFonts w:ascii="Cambria" w:hAnsi="Cambria"/>
          <w:sz w:val="16"/>
          <w:szCs w:val="16"/>
          <w:lang w:val="es-ES"/>
        </w:rPr>
      </w:pPr>
      <w:r w:rsidRPr="003D19EA">
        <w:rPr>
          <w:rStyle w:val="FootnoteReference"/>
          <w:rFonts w:ascii="Cambria" w:hAnsi="Cambria"/>
          <w:sz w:val="16"/>
          <w:szCs w:val="16"/>
          <w:lang w:val="es-ES"/>
        </w:rPr>
        <w:footnoteRef/>
      </w:r>
      <w:r w:rsidRPr="003D19EA">
        <w:rPr>
          <w:rFonts w:ascii="Cambria" w:hAnsi="Cambria"/>
          <w:sz w:val="16"/>
          <w:szCs w:val="16"/>
          <w:lang w:val="es-ES"/>
        </w:rPr>
        <w:t xml:space="preserve"> CIDH, Informe</w:t>
      </w:r>
      <w:r w:rsidR="009A608A">
        <w:rPr>
          <w:rFonts w:ascii="Cambria" w:hAnsi="Cambria"/>
          <w:sz w:val="16"/>
          <w:szCs w:val="16"/>
          <w:lang w:val="es-ES"/>
        </w:rPr>
        <w:t xml:space="preserve"> </w:t>
      </w:r>
      <w:r w:rsidR="00116E27">
        <w:rPr>
          <w:rFonts w:ascii="Cambria" w:hAnsi="Cambria"/>
          <w:sz w:val="16"/>
          <w:szCs w:val="16"/>
          <w:lang w:val="es-ES"/>
        </w:rPr>
        <w:t xml:space="preserve">No. </w:t>
      </w:r>
      <w:r w:rsidRPr="003D19EA">
        <w:rPr>
          <w:rFonts w:ascii="Cambria" w:hAnsi="Cambria"/>
          <w:sz w:val="16"/>
          <w:szCs w:val="16"/>
          <w:lang w:val="es-ES"/>
        </w:rPr>
        <w:t xml:space="preserve">93/17, Petición 48-08. Admisibilidad. Ernesto Lizarralde Ardila y otros. Colombia. 8 de agosto de 2017, </w:t>
      </w:r>
      <w:r>
        <w:rPr>
          <w:rFonts w:ascii="Cambria" w:hAnsi="Cambria"/>
          <w:sz w:val="16"/>
          <w:szCs w:val="16"/>
          <w:lang w:val="es-ES"/>
        </w:rPr>
        <w:t>párr.</w:t>
      </w:r>
      <w:r w:rsidRPr="003D19EA">
        <w:rPr>
          <w:rFonts w:ascii="Cambria" w:hAnsi="Cambria"/>
          <w:sz w:val="16"/>
          <w:szCs w:val="16"/>
          <w:lang w:val="es-ES"/>
        </w:rPr>
        <w:t xml:space="preserve"> 13.</w:t>
      </w:r>
    </w:p>
  </w:footnote>
  <w:footnote w:id="20">
    <w:p w14:paraId="2E2FABEA" w14:textId="77777777" w:rsidR="00ED3D6C" w:rsidRPr="003D19EA" w:rsidRDefault="00ED3D6C" w:rsidP="00771ABF">
      <w:pPr>
        <w:pStyle w:val="FootnoteText"/>
        <w:tabs>
          <w:tab w:val="left" w:pos="0"/>
          <w:tab w:val="left" w:pos="567"/>
        </w:tabs>
        <w:jc w:val="both"/>
        <w:rPr>
          <w:rFonts w:ascii="Cambria" w:hAnsi="Cambria"/>
          <w:sz w:val="16"/>
          <w:szCs w:val="16"/>
          <w:lang w:val="es-ES"/>
        </w:rPr>
      </w:pPr>
      <w:r w:rsidRPr="003D19EA">
        <w:rPr>
          <w:rStyle w:val="FootnoteReference"/>
          <w:rFonts w:ascii="Cambria" w:hAnsi="Cambria"/>
          <w:sz w:val="16"/>
          <w:szCs w:val="16"/>
          <w:lang w:val="es-ES"/>
        </w:rPr>
        <w:footnoteRef/>
      </w:r>
      <w:r w:rsidRPr="003D19EA">
        <w:rPr>
          <w:rFonts w:ascii="Cambria" w:hAnsi="Cambria"/>
          <w:sz w:val="16"/>
          <w:szCs w:val="16"/>
          <w:lang w:val="es-ES"/>
        </w:rPr>
        <w:t xml:space="preserve"> CIDH.</w:t>
      </w:r>
      <w:r w:rsidR="009A608A">
        <w:rPr>
          <w:rFonts w:ascii="Cambria" w:hAnsi="Cambria"/>
          <w:sz w:val="16"/>
          <w:szCs w:val="16"/>
          <w:lang w:val="es-ES"/>
        </w:rPr>
        <w:t xml:space="preserve"> </w:t>
      </w:r>
      <w:r w:rsidRPr="003D19EA">
        <w:rPr>
          <w:rFonts w:ascii="Cambria" w:hAnsi="Cambria"/>
          <w:i/>
          <w:iCs/>
          <w:sz w:val="16"/>
          <w:szCs w:val="16"/>
          <w:lang w:val="es-ES"/>
        </w:rPr>
        <w:t>Digesto de decisiones sobre admisibilidad y competencia de la CIDH</w:t>
      </w:r>
      <w:r w:rsidRPr="003D19EA">
        <w:rPr>
          <w:rFonts w:ascii="Cambria" w:hAnsi="Cambria"/>
          <w:sz w:val="16"/>
          <w:szCs w:val="16"/>
          <w:lang w:val="es-ES"/>
        </w:rPr>
        <w:t xml:space="preserve">. OEA/Ser.L/V/II.175, Doc. 20, 4 </w:t>
      </w:r>
      <w:r>
        <w:rPr>
          <w:rFonts w:ascii="Cambria" w:hAnsi="Cambria"/>
          <w:sz w:val="16"/>
          <w:szCs w:val="16"/>
          <w:lang w:val="es-ES"/>
        </w:rPr>
        <w:t xml:space="preserve">de </w:t>
      </w:r>
      <w:r w:rsidRPr="003D19EA">
        <w:rPr>
          <w:rFonts w:ascii="Cambria" w:hAnsi="Cambria"/>
          <w:sz w:val="16"/>
          <w:szCs w:val="16"/>
          <w:lang w:val="es-ES"/>
        </w:rPr>
        <w:t xml:space="preserve">marzo </w:t>
      </w:r>
      <w:r>
        <w:rPr>
          <w:rFonts w:ascii="Cambria" w:hAnsi="Cambria"/>
          <w:sz w:val="16"/>
          <w:szCs w:val="16"/>
          <w:lang w:val="es-ES"/>
        </w:rPr>
        <w:t xml:space="preserve">de </w:t>
      </w:r>
      <w:r w:rsidRPr="003D19EA">
        <w:rPr>
          <w:rFonts w:ascii="Cambria" w:hAnsi="Cambria"/>
          <w:sz w:val="16"/>
          <w:szCs w:val="16"/>
          <w:lang w:val="es-ES"/>
        </w:rPr>
        <w:t xml:space="preserve">2020, </w:t>
      </w:r>
      <w:r>
        <w:rPr>
          <w:rFonts w:ascii="Cambria" w:hAnsi="Cambria"/>
          <w:sz w:val="16"/>
          <w:szCs w:val="16"/>
          <w:lang w:val="es-ES"/>
        </w:rPr>
        <w:t>párr.</w:t>
      </w:r>
      <w:r w:rsidRPr="003D19EA">
        <w:rPr>
          <w:rFonts w:ascii="Cambria" w:hAnsi="Cambria"/>
          <w:sz w:val="16"/>
          <w:szCs w:val="16"/>
          <w:lang w:val="es-ES"/>
        </w:rPr>
        <w:t xml:space="preserve"> 266.</w:t>
      </w:r>
    </w:p>
  </w:footnote>
  <w:footnote w:id="21">
    <w:p w14:paraId="75E2EBDF" w14:textId="77777777" w:rsidR="00ED3D6C" w:rsidRPr="003D19EA" w:rsidRDefault="00ED3D6C" w:rsidP="00771ABF">
      <w:pPr>
        <w:pStyle w:val="FootnoteText"/>
        <w:tabs>
          <w:tab w:val="left" w:pos="0"/>
          <w:tab w:val="left" w:pos="567"/>
        </w:tabs>
        <w:jc w:val="both"/>
        <w:rPr>
          <w:rFonts w:ascii="Cambria" w:hAnsi="Cambria"/>
          <w:sz w:val="16"/>
          <w:szCs w:val="16"/>
          <w:lang w:val="es-ES"/>
        </w:rPr>
      </w:pPr>
      <w:r w:rsidRPr="003D19EA">
        <w:rPr>
          <w:rStyle w:val="FootnoteReference"/>
          <w:rFonts w:ascii="Cambria" w:hAnsi="Cambria"/>
          <w:sz w:val="16"/>
          <w:szCs w:val="16"/>
          <w:lang w:val="es-ES"/>
        </w:rPr>
        <w:footnoteRef/>
      </w:r>
      <w:r w:rsidRPr="003D19EA">
        <w:rPr>
          <w:rFonts w:ascii="Cambria" w:hAnsi="Cambria"/>
          <w:sz w:val="16"/>
          <w:szCs w:val="16"/>
          <w:lang w:val="es-ES"/>
        </w:rPr>
        <w:t xml:space="preserve"> </w:t>
      </w:r>
      <w:r>
        <w:rPr>
          <w:rFonts w:ascii="Cambria" w:hAnsi="Cambria"/>
          <w:sz w:val="16"/>
          <w:szCs w:val="16"/>
          <w:lang w:val="es-ES"/>
        </w:rPr>
        <w:t xml:space="preserve">Véase también </w:t>
      </w:r>
      <w:r w:rsidRPr="003D19EA">
        <w:rPr>
          <w:rFonts w:ascii="Cambria" w:hAnsi="Cambria"/>
          <w:sz w:val="16"/>
          <w:szCs w:val="16"/>
          <w:lang w:val="es-ES"/>
        </w:rPr>
        <w:t xml:space="preserve">CIDH, Informe No. 55/08, Petición 532-98. Admisibilidad. Trabajadores de la Empresa Nacional de Puertos S.A. (ENAPU). Perú. 24 de julio de 2008, </w:t>
      </w:r>
      <w:r>
        <w:rPr>
          <w:rFonts w:ascii="Cambria" w:hAnsi="Cambria"/>
          <w:sz w:val="16"/>
          <w:szCs w:val="16"/>
          <w:lang w:val="es-ES"/>
        </w:rPr>
        <w:t>párr.</w:t>
      </w:r>
      <w:r w:rsidRPr="003D19EA">
        <w:rPr>
          <w:rFonts w:ascii="Cambria" w:hAnsi="Cambria"/>
          <w:sz w:val="16"/>
          <w:szCs w:val="16"/>
          <w:lang w:val="es-ES"/>
        </w:rPr>
        <w:t xml:space="preserve"> 46.</w:t>
      </w:r>
    </w:p>
  </w:footnote>
  <w:footnote w:id="22">
    <w:p w14:paraId="1D7FCF3D" w14:textId="77777777" w:rsidR="00ED3D6C" w:rsidRPr="003D19EA" w:rsidRDefault="00ED3D6C" w:rsidP="00771ABF">
      <w:pPr>
        <w:pStyle w:val="FootnoteText"/>
        <w:tabs>
          <w:tab w:val="left" w:pos="0"/>
          <w:tab w:val="left" w:pos="567"/>
        </w:tabs>
        <w:jc w:val="both"/>
        <w:rPr>
          <w:rFonts w:ascii="Cambria" w:hAnsi="Cambria"/>
          <w:sz w:val="16"/>
          <w:szCs w:val="16"/>
          <w:lang w:val="es-ES"/>
        </w:rPr>
      </w:pPr>
      <w:r w:rsidRPr="003D19EA">
        <w:rPr>
          <w:rStyle w:val="FootnoteReference"/>
          <w:rFonts w:ascii="Cambria" w:hAnsi="Cambria"/>
          <w:sz w:val="16"/>
          <w:szCs w:val="16"/>
          <w:lang w:val="es-ES"/>
        </w:rPr>
        <w:footnoteRef/>
      </w:r>
      <w:r w:rsidRPr="003D19EA">
        <w:rPr>
          <w:rFonts w:ascii="Cambria" w:hAnsi="Cambria"/>
          <w:sz w:val="16"/>
          <w:szCs w:val="16"/>
          <w:lang w:val="es-ES"/>
        </w:rPr>
        <w:t xml:space="preserve"> CIDH, Informe </w:t>
      </w:r>
      <w:r w:rsidR="00116E27">
        <w:rPr>
          <w:rFonts w:ascii="Cambria" w:hAnsi="Cambria"/>
          <w:sz w:val="16"/>
          <w:szCs w:val="16"/>
          <w:lang w:val="es-ES"/>
        </w:rPr>
        <w:t xml:space="preserve">No. </w:t>
      </w:r>
      <w:r w:rsidRPr="003D19EA">
        <w:rPr>
          <w:rFonts w:ascii="Cambria" w:hAnsi="Cambria"/>
          <w:sz w:val="16"/>
          <w:szCs w:val="16"/>
          <w:lang w:val="es-ES"/>
        </w:rPr>
        <w:t xml:space="preserve">72/18, Petición 1131-08. Admisibilidad. Moisés de Jesús Hernández Pinto y familia. Guatemala. 20 de junio de 2018, </w:t>
      </w:r>
      <w:r>
        <w:rPr>
          <w:rFonts w:ascii="Cambria" w:hAnsi="Cambria"/>
          <w:sz w:val="16"/>
          <w:szCs w:val="16"/>
          <w:lang w:val="es-ES"/>
        </w:rPr>
        <w:t>párr.</w:t>
      </w:r>
      <w:r w:rsidRPr="003D19EA">
        <w:rPr>
          <w:rFonts w:ascii="Cambria" w:hAnsi="Cambria"/>
          <w:sz w:val="16"/>
          <w:szCs w:val="16"/>
          <w:lang w:val="es-ES"/>
        </w:rPr>
        <w:t xml:space="preserve"> 10.</w:t>
      </w:r>
    </w:p>
  </w:footnote>
  <w:footnote w:id="23">
    <w:p w14:paraId="4B3E0923" w14:textId="77777777" w:rsidR="00ED3D6C" w:rsidRPr="003D19EA" w:rsidRDefault="00ED3D6C" w:rsidP="00771ABF">
      <w:pPr>
        <w:tabs>
          <w:tab w:val="left" w:pos="499"/>
        </w:tabs>
        <w:spacing w:before="39"/>
        <w:jc w:val="both"/>
        <w:rPr>
          <w:rFonts w:ascii="Cambria" w:hAnsi="Cambria"/>
          <w:sz w:val="16"/>
          <w:szCs w:val="16"/>
          <w:lang w:val="es-ES"/>
        </w:rPr>
      </w:pPr>
      <w:r w:rsidRPr="003D19EA">
        <w:rPr>
          <w:rStyle w:val="FootnoteReference"/>
          <w:rFonts w:ascii="Cambria" w:hAnsi="Cambria"/>
          <w:sz w:val="16"/>
          <w:szCs w:val="16"/>
          <w:lang w:val="es-ES"/>
        </w:rPr>
        <w:footnoteRef/>
      </w:r>
      <w:r w:rsidRPr="003D19EA">
        <w:rPr>
          <w:rFonts w:ascii="Cambria" w:hAnsi="Cambria"/>
          <w:sz w:val="16"/>
          <w:szCs w:val="16"/>
          <w:lang w:val="es-ES"/>
        </w:rPr>
        <w:t xml:space="preserve"> CIDH, </w:t>
      </w:r>
      <w:r>
        <w:rPr>
          <w:rFonts w:ascii="Cambria" w:hAnsi="Cambria"/>
          <w:sz w:val="16"/>
          <w:szCs w:val="16"/>
          <w:lang w:val="es-ES"/>
        </w:rPr>
        <w:t>Informe</w:t>
      </w:r>
      <w:r w:rsidRPr="003D19EA">
        <w:rPr>
          <w:rFonts w:ascii="Cambria" w:hAnsi="Cambria"/>
          <w:sz w:val="16"/>
          <w:szCs w:val="16"/>
          <w:lang w:val="es-ES"/>
        </w:rPr>
        <w:t xml:space="preserve"> </w:t>
      </w:r>
      <w:r w:rsidR="00116E27">
        <w:rPr>
          <w:rFonts w:ascii="Cambria" w:hAnsi="Cambria"/>
          <w:sz w:val="16"/>
          <w:szCs w:val="16"/>
          <w:lang w:val="es-ES"/>
        </w:rPr>
        <w:t xml:space="preserve">No. </w:t>
      </w:r>
      <w:r w:rsidRPr="003D19EA">
        <w:rPr>
          <w:rFonts w:ascii="Cambria" w:hAnsi="Cambria"/>
          <w:sz w:val="16"/>
          <w:szCs w:val="16"/>
          <w:lang w:val="es-ES"/>
        </w:rPr>
        <w:t xml:space="preserve">14/08, </w:t>
      </w:r>
      <w:r>
        <w:rPr>
          <w:rFonts w:ascii="Cambria" w:hAnsi="Cambria"/>
          <w:sz w:val="16"/>
          <w:szCs w:val="16"/>
          <w:lang w:val="es-ES"/>
        </w:rPr>
        <w:t>Petición</w:t>
      </w:r>
      <w:r w:rsidRPr="003D19EA">
        <w:rPr>
          <w:rFonts w:ascii="Cambria" w:hAnsi="Cambria"/>
          <w:sz w:val="16"/>
          <w:szCs w:val="16"/>
          <w:lang w:val="es-ES"/>
        </w:rPr>
        <w:t xml:space="preserve"> 652-04. Admisibilidad. Hugo Humberto Ruiz Fuentes. Guatemala. 5 de marzo de 2008, </w:t>
      </w:r>
      <w:r>
        <w:rPr>
          <w:rFonts w:ascii="Cambria" w:hAnsi="Cambria"/>
          <w:sz w:val="16"/>
          <w:szCs w:val="16"/>
          <w:lang w:val="es-ES"/>
        </w:rPr>
        <w:t>párr.</w:t>
      </w:r>
      <w:r w:rsidR="009A608A">
        <w:rPr>
          <w:rFonts w:ascii="Cambria" w:hAnsi="Cambria"/>
          <w:spacing w:val="-26"/>
          <w:sz w:val="16"/>
          <w:szCs w:val="16"/>
          <w:lang w:val="es-ES"/>
        </w:rPr>
        <w:t xml:space="preserve"> </w:t>
      </w:r>
      <w:r w:rsidRPr="003D19EA">
        <w:rPr>
          <w:rFonts w:ascii="Cambria" w:hAnsi="Cambria"/>
          <w:sz w:val="16"/>
          <w:szCs w:val="16"/>
          <w:lang w:val="es-ES"/>
        </w:rPr>
        <w:t>68.</w:t>
      </w:r>
    </w:p>
  </w:footnote>
  <w:footnote w:id="24">
    <w:p w14:paraId="25F1637A" w14:textId="77777777" w:rsidR="00ED3D6C" w:rsidRPr="003D19EA" w:rsidRDefault="00ED3D6C" w:rsidP="00D56A62">
      <w:pPr>
        <w:tabs>
          <w:tab w:val="left" w:pos="499"/>
        </w:tabs>
        <w:spacing w:before="39"/>
        <w:jc w:val="both"/>
        <w:rPr>
          <w:rFonts w:ascii="Cambria" w:hAnsi="Cambria"/>
          <w:sz w:val="16"/>
          <w:szCs w:val="16"/>
          <w:lang w:val="es-ES"/>
        </w:rPr>
      </w:pPr>
      <w:r w:rsidRPr="003D19EA">
        <w:rPr>
          <w:rStyle w:val="FootnoteReference"/>
          <w:rFonts w:ascii="Cambria" w:hAnsi="Cambria"/>
          <w:sz w:val="16"/>
          <w:szCs w:val="16"/>
          <w:lang w:val="es-ES"/>
        </w:rPr>
        <w:footnoteRef/>
      </w:r>
      <w:r w:rsidRPr="003D19EA">
        <w:rPr>
          <w:rFonts w:ascii="Cambria" w:hAnsi="Cambria"/>
          <w:sz w:val="16"/>
          <w:szCs w:val="16"/>
          <w:lang w:val="es-ES"/>
        </w:rPr>
        <w:t xml:space="preserve"> CIDH</w:t>
      </w:r>
      <w:r>
        <w:rPr>
          <w:rFonts w:ascii="Cambria" w:hAnsi="Cambria"/>
          <w:sz w:val="16"/>
          <w:szCs w:val="16"/>
          <w:lang w:val="es-ES"/>
        </w:rPr>
        <w:t>.</w:t>
      </w:r>
      <w:r w:rsidRPr="003D19EA">
        <w:rPr>
          <w:rFonts w:ascii="Cambria" w:hAnsi="Cambria"/>
          <w:sz w:val="16"/>
          <w:szCs w:val="16"/>
          <w:lang w:val="es-ES"/>
        </w:rPr>
        <w:t xml:space="preserve"> </w:t>
      </w:r>
      <w:r w:rsidRPr="00B27BF4">
        <w:rPr>
          <w:rFonts w:ascii="Cambria" w:hAnsi="Cambria"/>
          <w:i/>
          <w:sz w:val="16"/>
          <w:szCs w:val="16"/>
          <w:lang w:val="es-ES"/>
        </w:rPr>
        <w:t>Informe sobre la situación de los derechos humanos en Brasil</w:t>
      </w:r>
      <w:r w:rsidRPr="003D19EA">
        <w:rPr>
          <w:rFonts w:ascii="Cambria" w:hAnsi="Cambria"/>
          <w:sz w:val="16"/>
          <w:szCs w:val="16"/>
          <w:lang w:val="es-ES"/>
        </w:rPr>
        <w:t xml:space="preserve">, 29 </w:t>
      </w:r>
      <w:r>
        <w:rPr>
          <w:rFonts w:ascii="Cambria" w:hAnsi="Cambria"/>
          <w:sz w:val="16"/>
          <w:szCs w:val="16"/>
          <w:lang w:val="es-ES"/>
        </w:rPr>
        <w:t xml:space="preserve">de septiembre de </w:t>
      </w:r>
      <w:r w:rsidRPr="003D19EA">
        <w:rPr>
          <w:rFonts w:ascii="Cambria" w:hAnsi="Cambria"/>
          <w:sz w:val="16"/>
          <w:szCs w:val="16"/>
          <w:lang w:val="es-ES"/>
        </w:rPr>
        <w:t xml:space="preserve">1997, </w:t>
      </w:r>
      <w:r>
        <w:rPr>
          <w:rFonts w:ascii="Cambria" w:hAnsi="Cambria"/>
          <w:sz w:val="16"/>
          <w:szCs w:val="16"/>
          <w:lang w:val="es-ES"/>
        </w:rPr>
        <w:t>c</w:t>
      </w:r>
      <w:r w:rsidRPr="003D19EA">
        <w:rPr>
          <w:rFonts w:ascii="Cambria" w:hAnsi="Cambria"/>
          <w:sz w:val="16"/>
          <w:szCs w:val="16"/>
          <w:lang w:val="es-ES"/>
        </w:rPr>
        <w:t xml:space="preserve">apítulo III, </w:t>
      </w:r>
      <w:r>
        <w:rPr>
          <w:rFonts w:ascii="Cambria" w:hAnsi="Cambria"/>
          <w:sz w:val="16"/>
          <w:szCs w:val="16"/>
          <w:lang w:val="es-ES"/>
        </w:rPr>
        <w:t>“La v</w:t>
      </w:r>
      <w:r w:rsidRPr="003D19EA">
        <w:rPr>
          <w:rFonts w:ascii="Cambria" w:hAnsi="Cambria"/>
          <w:sz w:val="16"/>
          <w:szCs w:val="16"/>
          <w:lang w:val="es-ES"/>
        </w:rPr>
        <w:t xml:space="preserve">iolencia </w:t>
      </w:r>
      <w:r>
        <w:rPr>
          <w:rFonts w:ascii="Cambria" w:hAnsi="Cambria"/>
          <w:sz w:val="16"/>
          <w:szCs w:val="16"/>
          <w:lang w:val="es-ES"/>
        </w:rPr>
        <w:t>p</w:t>
      </w:r>
      <w:r w:rsidRPr="003D19EA">
        <w:rPr>
          <w:rFonts w:ascii="Cambria" w:hAnsi="Cambria"/>
          <w:sz w:val="16"/>
          <w:szCs w:val="16"/>
          <w:lang w:val="es-ES"/>
        </w:rPr>
        <w:t xml:space="preserve">olicial, </w:t>
      </w:r>
      <w:r>
        <w:rPr>
          <w:rFonts w:ascii="Cambria" w:hAnsi="Cambria"/>
          <w:sz w:val="16"/>
          <w:szCs w:val="16"/>
          <w:lang w:val="es-ES"/>
        </w:rPr>
        <w:t>l</w:t>
      </w:r>
      <w:r w:rsidRPr="003D19EA">
        <w:rPr>
          <w:rFonts w:ascii="Cambria" w:hAnsi="Cambria"/>
          <w:sz w:val="16"/>
          <w:szCs w:val="16"/>
          <w:lang w:val="es-ES"/>
        </w:rPr>
        <w:t xml:space="preserve">a </w:t>
      </w:r>
      <w:r>
        <w:rPr>
          <w:rFonts w:ascii="Cambria" w:hAnsi="Cambria"/>
          <w:sz w:val="16"/>
          <w:szCs w:val="16"/>
          <w:lang w:val="es-ES"/>
        </w:rPr>
        <w:t>i</w:t>
      </w:r>
      <w:r w:rsidRPr="003D19EA">
        <w:rPr>
          <w:rFonts w:ascii="Cambria" w:hAnsi="Cambria"/>
          <w:sz w:val="16"/>
          <w:szCs w:val="16"/>
          <w:lang w:val="es-ES"/>
        </w:rPr>
        <w:t>mpunidad</w:t>
      </w:r>
      <w:r>
        <w:rPr>
          <w:rFonts w:ascii="Cambria" w:hAnsi="Cambria"/>
          <w:sz w:val="16"/>
          <w:szCs w:val="16"/>
          <w:lang w:val="es-ES"/>
        </w:rPr>
        <w:t xml:space="preserve"> y el fuero p</w:t>
      </w:r>
      <w:r w:rsidRPr="003D19EA">
        <w:rPr>
          <w:rFonts w:ascii="Cambria" w:hAnsi="Cambria"/>
          <w:sz w:val="16"/>
          <w:szCs w:val="16"/>
          <w:lang w:val="es-ES"/>
        </w:rPr>
        <w:t xml:space="preserve">rivativo </w:t>
      </w:r>
      <w:r>
        <w:rPr>
          <w:rFonts w:ascii="Cambria" w:hAnsi="Cambria"/>
          <w:sz w:val="16"/>
          <w:szCs w:val="16"/>
          <w:lang w:val="es-ES"/>
        </w:rPr>
        <w:t>m</w:t>
      </w:r>
      <w:r w:rsidRPr="003D19EA">
        <w:rPr>
          <w:rFonts w:ascii="Cambria" w:hAnsi="Cambria"/>
          <w:sz w:val="16"/>
          <w:szCs w:val="16"/>
          <w:lang w:val="es-ES"/>
        </w:rPr>
        <w:t xml:space="preserve">ilitar para </w:t>
      </w:r>
      <w:r>
        <w:rPr>
          <w:rFonts w:ascii="Cambria" w:hAnsi="Cambria"/>
          <w:sz w:val="16"/>
          <w:szCs w:val="16"/>
          <w:lang w:val="es-ES"/>
        </w:rPr>
        <w:t>la</w:t>
      </w:r>
      <w:r w:rsidRPr="003D19EA">
        <w:rPr>
          <w:rFonts w:ascii="Cambria" w:hAnsi="Cambria"/>
          <w:sz w:val="16"/>
          <w:szCs w:val="16"/>
          <w:lang w:val="es-ES"/>
        </w:rPr>
        <w:t xml:space="preserve"> </w:t>
      </w:r>
      <w:r>
        <w:rPr>
          <w:rFonts w:ascii="Cambria" w:hAnsi="Cambria"/>
          <w:sz w:val="16"/>
          <w:szCs w:val="16"/>
          <w:lang w:val="es-ES"/>
        </w:rPr>
        <w:t>policía</w:t>
      </w:r>
      <w:r w:rsidR="00116E27">
        <w:rPr>
          <w:rFonts w:ascii="Cambria" w:hAnsi="Cambria"/>
          <w:sz w:val="16"/>
          <w:szCs w:val="16"/>
          <w:lang w:val="es-ES"/>
        </w:rPr>
        <w:t>”</w:t>
      </w:r>
      <w:r>
        <w:rPr>
          <w:rFonts w:ascii="Cambria" w:hAnsi="Cambria"/>
          <w:sz w:val="16"/>
          <w:szCs w:val="16"/>
          <w:lang w:val="es-ES"/>
        </w:rPr>
        <w:t xml:space="preserve">, apartado </w:t>
      </w:r>
      <w:r w:rsidRPr="003D19EA">
        <w:rPr>
          <w:rFonts w:ascii="Cambria" w:hAnsi="Cambria"/>
          <w:sz w:val="16"/>
          <w:szCs w:val="16"/>
          <w:lang w:val="es-ES"/>
        </w:rPr>
        <w:t>D</w:t>
      </w:r>
      <w:r>
        <w:rPr>
          <w:rFonts w:ascii="Cambria" w:hAnsi="Cambria"/>
          <w:sz w:val="16"/>
          <w:szCs w:val="16"/>
          <w:lang w:val="es-ES"/>
        </w:rPr>
        <w:t>, “Conclusiones”, párr.</w:t>
      </w:r>
      <w:r w:rsidRPr="003D19EA">
        <w:rPr>
          <w:rFonts w:ascii="Cambria" w:hAnsi="Cambria"/>
          <w:sz w:val="16"/>
          <w:szCs w:val="16"/>
          <w:lang w:val="es-ES"/>
        </w:rPr>
        <w:t xml:space="preserve"> 95, </w:t>
      </w:r>
      <w:r>
        <w:rPr>
          <w:rFonts w:ascii="Cambria" w:hAnsi="Cambria"/>
          <w:sz w:val="16"/>
          <w:szCs w:val="16"/>
          <w:lang w:val="es-ES"/>
        </w:rPr>
        <w:t xml:space="preserve">inciso </w:t>
      </w:r>
      <w:r w:rsidRPr="003D19EA">
        <w:rPr>
          <w:rFonts w:ascii="Cambria" w:hAnsi="Cambria"/>
          <w:sz w:val="16"/>
          <w:szCs w:val="16"/>
          <w:lang w:val="es-ES"/>
        </w:rPr>
        <w:t>j.</w:t>
      </w:r>
    </w:p>
  </w:footnote>
  <w:footnote w:id="25">
    <w:p w14:paraId="3881F80B" w14:textId="77777777" w:rsidR="00ED3D6C" w:rsidRPr="003D19EA" w:rsidRDefault="00ED3D6C" w:rsidP="00D56A62">
      <w:pPr>
        <w:pStyle w:val="FootnoteText"/>
        <w:jc w:val="both"/>
        <w:rPr>
          <w:rFonts w:asciiTheme="majorHAnsi" w:hAnsiTheme="majorHAnsi"/>
          <w:sz w:val="16"/>
          <w:szCs w:val="16"/>
          <w:lang w:val="es-ES"/>
        </w:rPr>
      </w:pPr>
      <w:r w:rsidRPr="003D19EA">
        <w:rPr>
          <w:rStyle w:val="FootnoteReference"/>
          <w:rFonts w:asciiTheme="majorHAnsi" w:hAnsiTheme="majorHAnsi"/>
          <w:sz w:val="16"/>
          <w:szCs w:val="16"/>
          <w:lang w:val="es-ES"/>
        </w:rPr>
        <w:footnoteRef/>
      </w:r>
      <w:r w:rsidRPr="003D19EA">
        <w:rPr>
          <w:rFonts w:asciiTheme="majorHAnsi" w:hAnsiTheme="majorHAnsi"/>
          <w:sz w:val="16"/>
          <w:szCs w:val="16"/>
          <w:lang w:val="es-ES"/>
        </w:rPr>
        <w:t xml:space="preserve"> Escrito del Estado del 18 de julio de 2019.</w:t>
      </w:r>
    </w:p>
  </w:footnote>
  <w:footnote w:id="26">
    <w:p w14:paraId="6D1584BA" w14:textId="77777777" w:rsidR="00ED3D6C" w:rsidRPr="003D19EA" w:rsidRDefault="00ED3D6C" w:rsidP="00950761">
      <w:pPr>
        <w:tabs>
          <w:tab w:val="left" w:pos="499"/>
        </w:tabs>
        <w:spacing w:before="39"/>
        <w:jc w:val="both"/>
        <w:rPr>
          <w:rFonts w:ascii="Cambria" w:hAnsi="Cambria"/>
          <w:sz w:val="16"/>
          <w:szCs w:val="16"/>
          <w:lang w:val="es-ES"/>
        </w:rPr>
      </w:pPr>
      <w:r w:rsidRPr="003D19EA">
        <w:rPr>
          <w:rStyle w:val="FootnoteReference"/>
          <w:rFonts w:ascii="Cambria" w:hAnsi="Cambria"/>
          <w:sz w:val="16"/>
          <w:szCs w:val="16"/>
          <w:lang w:val="es-ES"/>
        </w:rPr>
        <w:footnoteRef/>
      </w:r>
      <w:r w:rsidRPr="000211CE">
        <w:rPr>
          <w:rFonts w:ascii="Cambria" w:hAnsi="Cambria"/>
          <w:sz w:val="16"/>
          <w:szCs w:val="16"/>
          <w:lang w:val="es-ES"/>
        </w:rPr>
        <w:t xml:space="preserve"> Cf. Brasil</w:t>
      </w:r>
      <w:r w:rsidR="00116E27" w:rsidRPr="000211CE">
        <w:rPr>
          <w:rFonts w:ascii="Cambria" w:hAnsi="Cambria"/>
          <w:sz w:val="16"/>
          <w:szCs w:val="16"/>
          <w:lang w:val="es-ES"/>
        </w:rPr>
        <w:t>,</w:t>
      </w:r>
      <w:r w:rsidRPr="000211CE">
        <w:rPr>
          <w:rFonts w:ascii="Cambria" w:hAnsi="Cambria"/>
          <w:sz w:val="16"/>
          <w:szCs w:val="16"/>
          <w:lang w:val="es-ES"/>
        </w:rPr>
        <w:t xml:space="preserve"> Ministerio Público Federal, </w:t>
      </w:r>
      <w:r w:rsidRPr="000211CE">
        <w:rPr>
          <w:rFonts w:ascii="Cambria" w:hAnsi="Cambria"/>
          <w:i/>
          <w:iCs/>
          <w:sz w:val="16"/>
          <w:szCs w:val="16"/>
          <w:lang w:val="es-ES"/>
        </w:rPr>
        <w:t>Incidente de Deslocamento de Competência N</w:t>
      </w:r>
      <w:proofErr w:type="gramStart"/>
      <w:r w:rsidRPr="000211CE">
        <w:rPr>
          <w:rFonts w:ascii="Cambria" w:hAnsi="Cambria"/>
          <w:i/>
          <w:iCs/>
          <w:sz w:val="16"/>
          <w:szCs w:val="16"/>
          <w:lang w:val="es-ES"/>
        </w:rPr>
        <w:t>.º</w:t>
      </w:r>
      <w:proofErr w:type="gramEnd"/>
      <w:r w:rsidRPr="000211CE">
        <w:rPr>
          <w:rFonts w:ascii="Cambria" w:hAnsi="Cambria"/>
          <w:i/>
          <w:iCs/>
          <w:sz w:val="16"/>
          <w:szCs w:val="16"/>
          <w:lang w:val="es-ES"/>
        </w:rPr>
        <w:t xml:space="preserve"> 98625/2016 - ASJTC/SAJ/PGR</w:t>
      </w:r>
      <w:r w:rsidRPr="000211CE">
        <w:rPr>
          <w:rFonts w:ascii="Cambria" w:hAnsi="Cambria"/>
          <w:sz w:val="16"/>
          <w:szCs w:val="16"/>
          <w:lang w:val="es-ES"/>
        </w:rPr>
        <w:t xml:space="preserve">, 9 de mayo de 2016, pág. 5. </w:t>
      </w:r>
      <w:r>
        <w:rPr>
          <w:rFonts w:ascii="Cambria" w:hAnsi="Cambria"/>
          <w:sz w:val="16"/>
          <w:szCs w:val="16"/>
          <w:lang w:val="es-ES"/>
        </w:rPr>
        <w:t xml:space="preserve">Se encuentra en </w:t>
      </w:r>
      <w:r w:rsidRPr="003D19EA">
        <w:rPr>
          <w:rFonts w:ascii="Cambria" w:hAnsi="Cambria"/>
          <w:sz w:val="16"/>
          <w:szCs w:val="16"/>
          <w:lang w:val="es-ES"/>
        </w:rPr>
        <w:t>http://www.mpf.mp.br/pgr/documentos/FederalizaoCrimesdeMaio.pdf (</w:t>
      </w:r>
      <w:r>
        <w:rPr>
          <w:rFonts w:ascii="Cambria" w:hAnsi="Cambria"/>
          <w:sz w:val="16"/>
          <w:szCs w:val="16"/>
          <w:lang w:val="es-ES"/>
        </w:rPr>
        <w:t xml:space="preserve">consultado el </w:t>
      </w:r>
      <w:r w:rsidRPr="003D19EA">
        <w:rPr>
          <w:rFonts w:ascii="Cambria" w:hAnsi="Cambria"/>
          <w:sz w:val="16"/>
          <w:szCs w:val="16"/>
          <w:lang w:val="es-ES"/>
        </w:rPr>
        <w:t>26 de ma</w:t>
      </w:r>
      <w:r>
        <w:rPr>
          <w:rFonts w:ascii="Cambria" w:hAnsi="Cambria"/>
          <w:sz w:val="16"/>
          <w:szCs w:val="16"/>
          <w:lang w:val="es-ES"/>
        </w:rPr>
        <w:t>y</w:t>
      </w:r>
      <w:r w:rsidRPr="003D19EA">
        <w:rPr>
          <w:rFonts w:ascii="Cambria" w:hAnsi="Cambria"/>
          <w:sz w:val="16"/>
          <w:szCs w:val="16"/>
          <w:lang w:val="es-ES"/>
        </w:rPr>
        <w:t>o de 2021).</w:t>
      </w:r>
    </w:p>
  </w:footnote>
  <w:footnote w:id="27">
    <w:p w14:paraId="6D91BF64" w14:textId="77777777" w:rsidR="00ED3D6C" w:rsidRPr="003D19EA" w:rsidRDefault="00ED3D6C" w:rsidP="00073049">
      <w:pPr>
        <w:tabs>
          <w:tab w:val="left" w:pos="499"/>
        </w:tabs>
        <w:spacing w:before="39"/>
        <w:jc w:val="both"/>
        <w:rPr>
          <w:rFonts w:ascii="Cambria" w:hAnsi="Cambria"/>
          <w:sz w:val="16"/>
          <w:szCs w:val="16"/>
          <w:lang w:val="es-ES"/>
        </w:rPr>
      </w:pPr>
      <w:r w:rsidRPr="003D19EA">
        <w:rPr>
          <w:rStyle w:val="FootnoteReference"/>
          <w:rFonts w:ascii="Cambria" w:hAnsi="Cambria"/>
          <w:sz w:val="16"/>
          <w:szCs w:val="16"/>
          <w:lang w:val="es-ES"/>
        </w:rPr>
        <w:footnoteRef/>
      </w:r>
      <w:r w:rsidRPr="003D19EA">
        <w:rPr>
          <w:rFonts w:ascii="Cambria" w:hAnsi="Cambria"/>
          <w:sz w:val="16"/>
          <w:szCs w:val="16"/>
          <w:lang w:val="es-ES"/>
        </w:rPr>
        <w:t xml:space="preserve"> </w:t>
      </w:r>
      <w:r w:rsidRPr="003D19EA">
        <w:rPr>
          <w:rFonts w:asciiTheme="majorHAnsi" w:hAnsiTheme="majorHAnsi"/>
          <w:sz w:val="16"/>
          <w:szCs w:val="16"/>
          <w:lang w:val="es-ES"/>
        </w:rPr>
        <w:t>Escrito del Estado del 18 de julio de 2019, Anexo 1.</w:t>
      </w:r>
    </w:p>
  </w:footnote>
  <w:footnote w:id="28">
    <w:p w14:paraId="0B6847DB" w14:textId="77777777" w:rsidR="00ED3D6C" w:rsidRPr="003D19EA" w:rsidRDefault="00ED3D6C" w:rsidP="00073049">
      <w:pPr>
        <w:pStyle w:val="FootnoteText"/>
        <w:jc w:val="both"/>
        <w:rPr>
          <w:rFonts w:ascii="Cambria" w:hAnsi="Cambria"/>
          <w:sz w:val="16"/>
          <w:szCs w:val="16"/>
          <w:lang w:val="es-ES"/>
        </w:rPr>
      </w:pPr>
      <w:r w:rsidRPr="003D19EA">
        <w:rPr>
          <w:rStyle w:val="FootnoteReference"/>
          <w:rFonts w:ascii="Cambria" w:hAnsi="Cambria"/>
          <w:sz w:val="16"/>
          <w:szCs w:val="16"/>
          <w:lang w:val="es-ES"/>
        </w:rPr>
        <w:footnoteRef/>
      </w:r>
      <w:r w:rsidRPr="003D19EA">
        <w:rPr>
          <w:rFonts w:ascii="Cambria" w:hAnsi="Cambria"/>
          <w:sz w:val="16"/>
          <w:szCs w:val="16"/>
          <w:lang w:val="es-ES"/>
        </w:rPr>
        <w:t xml:space="preserve"> CIDH, </w:t>
      </w:r>
      <w:r>
        <w:rPr>
          <w:rFonts w:ascii="Cambria" w:hAnsi="Cambria"/>
          <w:sz w:val="16"/>
          <w:szCs w:val="16"/>
          <w:lang w:val="es-ES"/>
        </w:rPr>
        <w:t>Informe</w:t>
      </w:r>
      <w:r w:rsidRPr="003D19EA">
        <w:rPr>
          <w:rFonts w:ascii="Cambria" w:hAnsi="Cambria"/>
          <w:sz w:val="16"/>
          <w:szCs w:val="16"/>
          <w:lang w:val="es-ES"/>
        </w:rPr>
        <w:t xml:space="preserve"> No. 72/03, </w:t>
      </w:r>
      <w:r>
        <w:rPr>
          <w:rFonts w:ascii="Cambria" w:hAnsi="Cambria"/>
          <w:sz w:val="16"/>
          <w:szCs w:val="16"/>
          <w:lang w:val="es-ES"/>
        </w:rPr>
        <w:t>Petición</w:t>
      </w:r>
      <w:r w:rsidRPr="003D19EA">
        <w:rPr>
          <w:rFonts w:ascii="Cambria" w:hAnsi="Cambria"/>
          <w:sz w:val="16"/>
          <w:szCs w:val="16"/>
          <w:lang w:val="es-ES"/>
        </w:rPr>
        <w:t xml:space="preserve"> 12.159. Admisibilidad. Gabriel Egisto </w:t>
      </w:r>
      <w:r w:rsidR="00116E27" w:rsidRPr="003D19EA">
        <w:rPr>
          <w:rFonts w:ascii="Cambria" w:hAnsi="Cambria"/>
          <w:sz w:val="16"/>
          <w:szCs w:val="16"/>
          <w:lang w:val="es-ES"/>
        </w:rPr>
        <w:t>Santillán</w:t>
      </w:r>
      <w:r w:rsidRPr="003D19EA">
        <w:rPr>
          <w:rFonts w:ascii="Cambria" w:hAnsi="Cambria"/>
          <w:sz w:val="16"/>
          <w:szCs w:val="16"/>
          <w:lang w:val="es-ES"/>
        </w:rPr>
        <w:t xml:space="preserve">, Argentina. 22 de </w:t>
      </w:r>
      <w:r w:rsidR="00116E27" w:rsidRPr="003D19EA">
        <w:rPr>
          <w:rFonts w:ascii="Cambria" w:hAnsi="Cambria"/>
          <w:sz w:val="16"/>
          <w:szCs w:val="16"/>
          <w:lang w:val="es-ES"/>
        </w:rPr>
        <w:t>octubre</w:t>
      </w:r>
      <w:r w:rsidRPr="003D19EA">
        <w:rPr>
          <w:rFonts w:ascii="Cambria" w:hAnsi="Cambria"/>
          <w:sz w:val="16"/>
          <w:szCs w:val="16"/>
          <w:lang w:val="es-ES"/>
        </w:rPr>
        <w:t xml:space="preserve"> de 2003, </w:t>
      </w:r>
      <w:r>
        <w:rPr>
          <w:rFonts w:ascii="Cambria" w:hAnsi="Cambria"/>
          <w:sz w:val="16"/>
          <w:szCs w:val="16"/>
          <w:lang w:val="es-ES"/>
        </w:rPr>
        <w:t>párr.</w:t>
      </w:r>
      <w:r w:rsidRPr="003D19EA">
        <w:rPr>
          <w:rFonts w:ascii="Cambria" w:hAnsi="Cambria"/>
          <w:sz w:val="16"/>
          <w:szCs w:val="16"/>
          <w:lang w:val="es-ES"/>
        </w:rPr>
        <w:t xml:space="preserve">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0838" w14:textId="77777777" w:rsidR="00ED3D6C" w:rsidRDefault="00ED3D6C" w:rsidP="007F460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7FAF928" w14:textId="77777777" w:rsidR="00ED3D6C" w:rsidRDefault="00ED3D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8A27E" w14:textId="77777777" w:rsidR="00ED3D6C" w:rsidRDefault="00ED3D6C" w:rsidP="00A50FCF">
    <w:pPr>
      <w:pStyle w:val="Header"/>
      <w:tabs>
        <w:tab w:val="clear" w:pos="4320"/>
        <w:tab w:val="clear" w:pos="8640"/>
      </w:tabs>
      <w:jc w:val="center"/>
      <w:rPr>
        <w:sz w:val="22"/>
        <w:szCs w:val="22"/>
      </w:rPr>
    </w:pPr>
    <w:r>
      <w:rPr>
        <w:noProof/>
        <w:sz w:val="22"/>
        <w:szCs w:val="22"/>
      </w:rPr>
      <w:drawing>
        <wp:inline distT="0" distB="0" distL="0" distR="0" wp14:anchorId="3C1A5D17" wp14:editId="5A72138B">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27E68A8" w14:textId="77777777" w:rsidR="00ED3D6C" w:rsidRPr="00EC7D62" w:rsidRDefault="00A0088B" w:rsidP="00A50FCF">
    <w:pPr>
      <w:pStyle w:val="Header"/>
      <w:tabs>
        <w:tab w:val="clear" w:pos="4320"/>
        <w:tab w:val="clear" w:pos="8640"/>
      </w:tabs>
      <w:jc w:val="center"/>
      <w:rPr>
        <w:sz w:val="22"/>
        <w:szCs w:val="22"/>
      </w:rPr>
    </w:pPr>
    <w:r>
      <w:rPr>
        <w:noProof/>
        <w:sz w:val="22"/>
        <w:szCs w:val="22"/>
        <w:bdr w:val="nil"/>
      </w:rPr>
      <w:pict w14:anchorId="6564B3AE">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B5031" w14:textId="77777777" w:rsidR="00D57875" w:rsidRDefault="00D57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B64461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0CF9"/>
    <w:rsid w:val="0000115C"/>
    <w:rsid w:val="0000579C"/>
    <w:rsid w:val="00006E1F"/>
    <w:rsid w:val="000070D7"/>
    <w:rsid w:val="0001788C"/>
    <w:rsid w:val="000211CE"/>
    <w:rsid w:val="00023CCC"/>
    <w:rsid w:val="000246EA"/>
    <w:rsid w:val="00030309"/>
    <w:rsid w:val="000337EF"/>
    <w:rsid w:val="00033EE0"/>
    <w:rsid w:val="000364FC"/>
    <w:rsid w:val="00040C3A"/>
    <w:rsid w:val="000419AD"/>
    <w:rsid w:val="000433C9"/>
    <w:rsid w:val="00050065"/>
    <w:rsid w:val="000529AD"/>
    <w:rsid w:val="000541A2"/>
    <w:rsid w:val="0005538C"/>
    <w:rsid w:val="000644E5"/>
    <w:rsid w:val="0006641F"/>
    <w:rsid w:val="000716C5"/>
    <w:rsid w:val="00073049"/>
    <w:rsid w:val="00075E23"/>
    <w:rsid w:val="000865AB"/>
    <w:rsid w:val="0009280F"/>
    <w:rsid w:val="0009344A"/>
    <w:rsid w:val="000A1AC3"/>
    <w:rsid w:val="000A392E"/>
    <w:rsid w:val="000A575F"/>
    <w:rsid w:val="000A5B01"/>
    <w:rsid w:val="000A5DA2"/>
    <w:rsid w:val="000B43BB"/>
    <w:rsid w:val="000B614B"/>
    <w:rsid w:val="000C0AC4"/>
    <w:rsid w:val="000C2F1A"/>
    <w:rsid w:val="000C4640"/>
    <w:rsid w:val="000C5C69"/>
    <w:rsid w:val="000D0997"/>
    <w:rsid w:val="000D10DB"/>
    <w:rsid w:val="000D7963"/>
    <w:rsid w:val="000E19DC"/>
    <w:rsid w:val="000E5EB5"/>
    <w:rsid w:val="000F34D0"/>
    <w:rsid w:val="000F35ED"/>
    <w:rsid w:val="000F3FF5"/>
    <w:rsid w:val="000F6A5C"/>
    <w:rsid w:val="001002C6"/>
    <w:rsid w:val="001069B6"/>
    <w:rsid w:val="00107131"/>
    <w:rsid w:val="0010736F"/>
    <w:rsid w:val="001112AC"/>
    <w:rsid w:val="001123B4"/>
    <w:rsid w:val="00113C3D"/>
    <w:rsid w:val="00113F73"/>
    <w:rsid w:val="0011535F"/>
    <w:rsid w:val="00116E27"/>
    <w:rsid w:val="00121CC2"/>
    <w:rsid w:val="00126384"/>
    <w:rsid w:val="0012736F"/>
    <w:rsid w:val="00133EE5"/>
    <w:rsid w:val="001343FF"/>
    <w:rsid w:val="00134B08"/>
    <w:rsid w:val="00135DA0"/>
    <w:rsid w:val="00141C48"/>
    <w:rsid w:val="001441FE"/>
    <w:rsid w:val="00147DD4"/>
    <w:rsid w:val="00150313"/>
    <w:rsid w:val="001539AC"/>
    <w:rsid w:val="00161A86"/>
    <w:rsid w:val="00161EA8"/>
    <w:rsid w:val="00164DD1"/>
    <w:rsid w:val="00167A34"/>
    <w:rsid w:val="00174FDD"/>
    <w:rsid w:val="00175527"/>
    <w:rsid w:val="00191DB5"/>
    <w:rsid w:val="001934A4"/>
    <w:rsid w:val="001A7870"/>
    <w:rsid w:val="001B0CB5"/>
    <w:rsid w:val="001B2362"/>
    <w:rsid w:val="001B3A00"/>
    <w:rsid w:val="001B7B7E"/>
    <w:rsid w:val="001C1B41"/>
    <w:rsid w:val="001C3D62"/>
    <w:rsid w:val="001C7ECC"/>
    <w:rsid w:val="001D2206"/>
    <w:rsid w:val="001D4B88"/>
    <w:rsid w:val="001D65EF"/>
    <w:rsid w:val="001E49E7"/>
    <w:rsid w:val="001E7F07"/>
    <w:rsid w:val="001E7F13"/>
    <w:rsid w:val="001F69B8"/>
    <w:rsid w:val="001F7201"/>
    <w:rsid w:val="00204009"/>
    <w:rsid w:val="00207ECC"/>
    <w:rsid w:val="00213A51"/>
    <w:rsid w:val="00223A29"/>
    <w:rsid w:val="002250A3"/>
    <w:rsid w:val="002271FD"/>
    <w:rsid w:val="0022736D"/>
    <w:rsid w:val="00233CFB"/>
    <w:rsid w:val="00235217"/>
    <w:rsid w:val="00235691"/>
    <w:rsid w:val="00242B93"/>
    <w:rsid w:val="00246A29"/>
    <w:rsid w:val="00246D1F"/>
    <w:rsid w:val="00247403"/>
    <w:rsid w:val="00247542"/>
    <w:rsid w:val="0025182B"/>
    <w:rsid w:val="00253B95"/>
    <w:rsid w:val="00253E93"/>
    <w:rsid w:val="002562F9"/>
    <w:rsid w:val="00257978"/>
    <w:rsid w:val="00266B61"/>
    <w:rsid w:val="0026712A"/>
    <w:rsid w:val="002704DB"/>
    <w:rsid w:val="0027100F"/>
    <w:rsid w:val="00273C62"/>
    <w:rsid w:val="00291ED7"/>
    <w:rsid w:val="002946BE"/>
    <w:rsid w:val="00296900"/>
    <w:rsid w:val="002A0AAE"/>
    <w:rsid w:val="002A0C19"/>
    <w:rsid w:val="002A4763"/>
    <w:rsid w:val="002A5820"/>
    <w:rsid w:val="002B3EC6"/>
    <w:rsid w:val="002B6870"/>
    <w:rsid w:val="002C507C"/>
    <w:rsid w:val="002D2B26"/>
    <w:rsid w:val="002D7EA2"/>
    <w:rsid w:val="002E1290"/>
    <w:rsid w:val="002E187C"/>
    <w:rsid w:val="002F379B"/>
    <w:rsid w:val="00302733"/>
    <w:rsid w:val="003039E4"/>
    <w:rsid w:val="00305934"/>
    <w:rsid w:val="00311C9C"/>
    <w:rsid w:val="00312C63"/>
    <w:rsid w:val="00314078"/>
    <w:rsid w:val="0031535D"/>
    <w:rsid w:val="003239B8"/>
    <w:rsid w:val="00323A46"/>
    <w:rsid w:val="00323D9D"/>
    <w:rsid w:val="003315FE"/>
    <w:rsid w:val="0033169F"/>
    <w:rsid w:val="003346C1"/>
    <w:rsid w:val="00334857"/>
    <w:rsid w:val="00344977"/>
    <w:rsid w:val="00346878"/>
    <w:rsid w:val="00346C95"/>
    <w:rsid w:val="003535A3"/>
    <w:rsid w:val="00354756"/>
    <w:rsid w:val="00356185"/>
    <w:rsid w:val="00360380"/>
    <w:rsid w:val="00363F62"/>
    <w:rsid w:val="003642D6"/>
    <w:rsid w:val="00372008"/>
    <w:rsid w:val="00373E5F"/>
    <w:rsid w:val="0037519E"/>
    <w:rsid w:val="0037551B"/>
    <w:rsid w:val="003805B5"/>
    <w:rsid w:val="00386CF0"/>
    <w:rsid w:val="0038709A"/>
    <w:rsid w:val="003A1AB2"/>
    <w:rsid w:val="003B3A8F"/>
    <w:rsid w:val="003B70FB"/>
    <w:rsid w:val="003C2955"/>
    <w:rsid w:val="003C58C5"/>
    <w:rsid w:val="003C5EF0"/>
    <w:rsid w:val="003C676B"/>
    <w:rsid w:val="003D13F3"/>
    <w:rsid w:val="003D19EA"/>
    <w:rsid w:val="003D3BC2"/>
    <w:rsid w:val="003E644D"/>
    <w:rsid w:val="003E6CA1"/>
    <w:rsid w:val="003E76DB"/>
    <w:rsid w:val="003F1230"/>
    <w:rsid w:val="003F410A"/>
    <w:rsid w:val="003F5235"/>
    <w:rsid w:val="004023EB"/>
    <w:rsid w:val="004065A8"/>
    <w:rsid w:val="00414976"/>
    <w:rsid w:val="00414A93"/>
    <w:rsid w:val="00415F9F"/>
    <w:rsid w:val="004165C2"/>
    <w:rsid w:val="00420EC6"/>
    <w:rsid w:val="00422745"/>
    <w:rsid w:val="004246B8"/>
    <w:rsid w:val="00424F4B"/>
    <w:rsid w:val="004253A6"/>
    <w:rsid w:val="00433114"/>
    <w:rsid w:val="00441ECB"/>
    <w:rsid w:val="00445193"/>
    <w:rsid w:val="00447C46"/>
    <w:rsid w:val="00455296"/>
    <w:rsid w:val="00462731"/>
    <w:rsid w:val="00462C1B"/>
    <w:rsid w:val="00467B7E"/>
    <w:rsid w:val="00472BCC"/>
    <w:rsid w:val="00473BB4"/>
    <w:rsid w:val="004744F0"/>
    <w:rsid w:val="004768D0"/>
    <w:rsid w:val="00477592"/>
    <w:rsid w:val="00477B74"/>
    <w:rsid w:val="004827EC"/>
    <w:rsid w:val="00486F1C"/>
    <w:rsid w:val="0049419D"/>
    <w:rsid w:val="00495BDC"/>
    <w:rsid w:val="00496970"/>
    <w:rsid w:val="004A29C0"/>
    <w:rsid w:val="004A3499"/>
    <w:rsid w:val="004A6A54"/>
    <w:rsid w:val="004C20D2"/>
    <w:rsid w:val="004C2312"/>
    <w:rsid w:val="004C4B62"/>
    <w:rsid w:val="004C54C9"/>
    <w:rsid w:val="004D4ABA"/>
    <w:rsid w:val="004D6025"/>
    <w:rsid w:val="004E2649"/>
    <w:rsid w:val="004E7298"/>
    <w:rsid w:val="004F1F31"/>
    <w:rsid w:val="00501399"/>
    <w:rsid w:val="00502BA4"/>
    <w:rsid w:val="0050633D"/>
    <w:rsid w:val="00507BC4"/>
    <w:rsid w:val="005128E4"/>
    <w:rsid w:val="00512C56"/>
    <w:rsid w:val="005133DB"/>
    <w:rsid w:val="00515A10"/>
    <w:rsid w:val="00516A0D"/>
    <w:rsid w:val="00522115"/>
    <w:rsid w:val="0052234F"/>
    <w:rsid w:val="0052395A"/>
    <w:rsid w:val="00525560"/>
    <w:rsid w:val="00527F9C"/>
    <w:rsid w:val="00533AEE"/>
    <w:rsid w:val="00537F33"/>
    <w:rsid w:val="005408AF"/>
    <w:rsid w:val="00544C49"/>
    <w:rsid w:val="00545A17"/>
    <w:rsid w:val="00547CCB"/>
    <w:rsid w:val="005516A1"/>
    <w:rsid w:val="005620DD"/>
    <w:rsid w:val="00563557"/>
    <w:rsid w:val="00567F67"/>
    <w:rsid w:val="0057402A"/>
    <w:rsid w:val="005769C8"/>
    <w:rsid w:val="005771D0"/>
    <w:rsid w:val="005776AC"/>
    <w:rsid w:val="00584073"/>
    <w:rsid w:val="0058409C"/>
    <w:rsid w:val="005904C8"/>
    <w:rsid w:val="005912C9"/>
    <w:rsid w:val="0059191A"/>
    <w:rsid w:val="005921FF"/>
    <w:rsid w:val="005A23BC"/>
    <w:rsid w:val="005A24ED"/>
    <w:rsid w:val="005A6D0E"/>
    <w:rsid w:val="005A7BFD"/>
    <w:rsid w:val="005B421D"/>
    <w:rsid w:val="005B52B0"/>
    <w:rsid w:val="005B6806"/>
    <w:rsid w:val="005B6A07"/>
    <w:rsid w:val="005C05A4"/>
    <w:rsid w:val="005C2C65"/>
    <w:rsid w:val="005C4225"/>
    <w:rsid w:val="005D63D3"/>
    <w:rsid w:val="005E26E1"/>
    <w:rsid w:val="005E4951"/>
    <w:rsid w:val="005F0DAD"/>
    <w:rsid w:val="005F0F33"/>
    <w:rsid w:val="00600DEB"/>
    <w:rsid w:val="00602ABD"/>
    <w:rsid w:val="00602ECE"/>
    <w:rsid w:val="006062C8"/>
    <w:rsid w:val="00614BEA"/>
    <w:rsid w:val="00617A3D"/>
    <w:rsid w:val="0062595C"/>
    <w:rsid w:val="00627C9F"/>
    <w:rsid w:val="006311E9"/>
    <w:rsid w:val="00631D05"/>
    <w:rsid w:val="00632354"/>
    <w:rsid w:val="00642810"/>
    <w:rsid w:val="00646EEB"/>
    <w:rsid w:val="00652333"/>
    <w:rsid w:val="00654B53"/>
    <w:rsid w:val="00662DA3"/>
    <w:rsid w:val="00664F8A"/>
    <w:rsid w:val="00665F82"/>
    <w:rsid w:val="006660E3"/>
    <w:rsid w:val="00666F42"/>
    <w:rsid w:val="0068009E"/>
    <w:rsid w:val="006867D6"/>
    <w:rsid w:val="00692219"/>
    <w:rsid w:val="006A01C5"/>
    <w:rsid w:val="006A17D2"/>
    <w:rsid w:val="006A192C"/>
    <w:rsid w:val="006A20E7"/>
    <w:rsid w:val="006A4EAF"/>
    <w:rsid w:val="006A73E6"/>
    <w:rsid w:val="006B2D5C"/>
    <w:rsid w:val="006B5A25"/>
    <w:rsid w:val="006B5EE6"/>
    <w:rsid w:val="006B65F4"/>
    <w:rsid w:val="006C0B01"/>
    <w:rsid w:val="006C4EB1"/>
    <w:rsid w:val="006C5675"/>
    <w:rsid w:val="006D1983"/>
    <w:rsid w:val="006D7C17"/>
    <w:rsid w:val="006E0166"/>
    <w:rsid w:val="006E22A3"/>
    <w:rsid w:val="006E7B34"/>
    <w:rsid w:val="007037C8"/>
    <w:rsid w:val="00704E90"/>
    <w:rsid w:val="0070578D"/>
    <w:rsid w:val="0070697F"/>
    <w:rsid w:val="00712D2E"/>
    <w:rsid w:val="007169FF"/>
    <w:rsid w:val="0072199C"/>
    <w:rsid w:val="00722C9F"/>
    <w:rsid w:val="0072489E"/>
    <w:rsid w:val="007253B8"/>
    <w:rsid w:val="0073741F"/>
    <w:rsid w:val="007477C2"/>
    <w:rsid w:val="00760838"/>
    <w:rsid w:val="00763A93"/>
    <w:rsid w:val="0076643F"/>
    <w:rsid w:val="007665A8"/>
    <w:rsid w:val="00771ABF"/>
    <w:rsid w:val="00777F63"/>
    <w:rsid w:val="00790EC3"/>
    <w:rsid w:val="00791A37"/>
    <w:rsid w:val="007A3A6B"/>
    <w:rsid w:val="007A5817"/>
    <w:rsid w:val="007B05C4"/>
    <w:rsid w:val="007B0CAB"/>
    <w:rsid w:val="007B319F"/>
    <w:rsid w:val="007B60E9"/>
    <w:rsid w:val="007B6CC3"/>
    <w:rsid w:val="007B76D3"/>
    <w:rsid w:val="007C3334"/>
    <w:rsid w:val="007D2B98"/>
    <w:rsid w:val="007D5B29"/>
    <w:rsid w:val="007E21BC"/>
    <w:rsid w:val="007E5D1F"/>
    <w:rsid w:val="007E7C82"/>
    <w:rsid w:val="007F4608"/>
    <w:rsid w:val="007F588D"/>
    <w:rsid w:val="007F7312"/>
    <w:rsid w:val="0080214D"/>
    <w:rsid w:val="00803E0D"/>
    <w:rsid w:val="00803F1C"/>
    <w:rsid w:val="0080600E"/>
    <w:rsid w:val="00806C00"/>
    <w:rsid w:val="00817612"/>
    <w:rsid w:val="008338A4"/>
    <w:rsid w:val="00834D49"/>
    <w:rsid w:val="00835C72"/>
    <w:rsid w:val="00837C45"/>
    <w:rsid w:val="0084311A"/>
    <w:rsid w:val="0084419A"/>
    <w:rsid w:val="00844730"/>
    <w:rsid w:val="008457C2"/>
    <w:rsid w:val="00855486"/>
    <w:rsid w:val="00857A82"/>
    <w:rsid w:val="00860DC6"/>
    <w:rsid w:val="008652C5"/>
    <w:rsid w:val="00873836"/>
    <w:rsid w:val="00882F67"/>
    <w:rsid w:val="00885737"/>
    <w:rsid w:val="00886028"/>
    <w:rsid w:val="00890650"/>
    <w:rsid w:val="00890943"/>
    <w:rsid w:val="00896A3E"/>
    <w:rsid w:val="00897E12"/>
    <w:rsid w:val="008A7862"/>
    <w:rsid w:val="008A7E0F"/>
    <w:rsid w:val="008B0D3C"/>
    <w:rsid w:val="008B12F5"/>
    <w:rsid w:val="008B3786"/>
    <w:rsid w:val="008C02A6"/>
    <w:rsid w:val="008C651D"/>
    <w:rsid w:val="008D6F96"/>
    <w:rsid w:val="008D768D"/>
    <w:rsid w:val="008E3759"/>
    <w:rsid w:val="008E3BFE"/>
    <w:rsid w:val="008F1912"/>
    <w:rsid w:val="0090270B"/>
    <w:rsid w:val="009041DC"/>
    <w:rsid w:val="009116E8"/>
    <w:rsid w:val="00915936"/>
    <w:rsid w:val="00917B5A"/>
    <w:rsid w:val="00920A58"/>
    <w:rsid w:val="00920A8C"/>
    <w:rsid w:val="00920E6D"/>
    <w:rsid w:val="009305F7"/>
    <w:rsid w:val="00931CE6"/>
    <w:rsid w:val="00933BE8"/>
    <w:rsid w:val="00934A2C"/>
    <w:rsid w:val="00936647"/>
    <w:rsid w:val="009404EB"/>
    <w:rsid w:val="00942945"/>
    <w:rsid w:val="00945902"/>
    <w:rsid w:val="00946ACD"/>
    <w:rsid w:val="00950761"/>
    <w:rsid w:val="0095180E"/>
    <w:rsid w:val="00951C2A"/>
    <w:rsid w:val="00953DBA"/>
    <w:rsid w:val="009615E2"/>
    <w:rsid w:val="0096706E"/>
    <w:rsid w:val="00974491"/>
    <w:rsid w:val="00975C4E"/>
    <w:rsid w:val="00981571"/>
    <w:rsid w:val="00981FBA"/>
    <w:rsid w:val="009847EF"/>
    <w:rsid w:val="00985868"/>
    <w:rsid w:val="00985FD4"/>
    <w:rsid w:val="009959F6"/>
    <w:rsid w:val="00997BC5"/>
    <w:rsid w:val="009A17FD"/>
    <w:rsid w:val="009A4F41"/>
    <w:rsid w:val="009A5FDB"/>
    <w:rsid w:val="009A608A"/>
    <w:rsid w:val="009A61EC"/>
    <w:rsid w:val="009B1E73"/>
    <w:rsid w:val="009B23A8"/>
    <w:rsid w:val="009B381B"/>
    <w:rsid w:val="009D1200"/>
    <w:rsid w:val="009D1753"/>
    <w:rsid w:val="009D3249"/>
    <w:rsid w:val="009D7611"/>
    <w:rsid w:val="009E0296"/>
    <w:rsid w:val="009E0B61"/>
    <w:rsid w:val="009E1174"/>
    <w:rsid w:val="009E204C"/>
    <w:rsid w:val="009E53DE"/>
    <w:rsid w:val="009E592E"/>
    <w:rsid w:val="009F2506"/>
    <w:rsid w:val="009F3A7E"/>
    <w:rsid w:val="009F618A"/>
    <w:rsid w:val="00A0088B"/>
    <w:rsid w:val="00A0220F"/>
    <w:rsid w:val="00A047E3"/>
    <w:rsid w:val="00A07DD9"/>
    <w:rsid w:val="00A104B5"/>
    <w:rsid w:val="00A11212"/>
    <w:rsid w:val="00A11E44"/>
    <w:rsid w:val="00A12375"/>
    <w:rsid w:val="00A146A8"/>
    <w:rsid w:val="00A27CDF"/>
    <w:rsid w:val="00A30795"/>
    <w:rsid w:val="00A323B5"/>
    <w:rsid w:val="00A327AC"/>
    <w:rsid w:val="00A328B3"/>
    <w:rsid w:val="00A34E74"/>
    <w:rsid w:val="00A357BE"/>
    <w:rsid w:val="00A372DA"/>
    <w:rsid w:val="00A37F2E"/>
    <w:rsid w:val="00A456C0"/>
    <w:rsid w:val="00A50FCF"/>
    <w:rsid w:val="00A528D1"/>
    <w:rsid w:val="00A53003"/>
    <w:rsid w:val="00A610CD"/>
    <w:rsid w:val="00A706EC"/>
    <w:rsid w:val="00A70AAA"/>
    <w:rsid w:val="00A758AA"/>
    <w:rsid w:val="00A75CC3"/>
    <w:rsid w:val="00A84B77"/>
    <w:rsid w:val="00A92649"/>
    <w:rsid w:val="00AA09A2"/>
    <w:rsid w:val="00AA7996"/>
    <w:rsid w:val="00AB0171"/>
    <w:rsid w:val="00AC118A"/>
    <w:rsid w:val="00AC1419"/>
    <w:rsid w:val="00AC19CB"/>
    <w:rsid w:val="00AD1CC2"/>
    <w:rsid w:val="00AE349B"/>
    <w:rsid w:val="00AE5488"/>
    <w:rsid w:val="00AE6D2B"/>
    <w:rsid w:val="00AE6F91"/>
    <w:rsid w:val="00AF3067"/>
    <w:rsid w:val="00AF5571"/>
    <w:rsid w:val="00B00746"/>
    <w:rsid w:val="00B02389"/>
    <w:rsid w:val="00B034C6"/>
    <w:rsid w:val="00B07341"/>
    <w:rsid w:val="00B15DE1"/>
    <w:rsid w:val="00B2685F"/>
    <w:rsid w:val="00B27BF4"/>
    <w:rsid w:val="00B30539"/>
    <w:rsid w:val="00B314DB"/>
    <w:rsid w:val="00B361F2"/>
    <w:rsid w:val="00B3718B"/>
    <w:rsid w:val="00B44BCA"/>
    <w:rsid w:val="00B45456"/>
    <w:rsid w:val="00B45AE6"/>
    <w:rsid w:val="00B4632A"/>
    <w:rsid w:val="00B51266"/>
    <w:rsid w:val="00B530F1"/>
    <w:rsid w:val="00B74BF9"/>
    <w:rsid w:val="00B81B65"/>
    <w:rsid w:val="00B86604"/>
    <w:rsid w:val="00B86788"/>
    <w:rsid w:val="00B9588A"/>
    <w:rsid w:val="00BA276C"/>
    <w:rsid w:val="00BA2A06"/>
    <w:rsid w:val="00BA5ACD"/>
    <w:rsid w:val="00BB120B"/>
    <w:rsid w:val="00BB306F"/>
    <w:rsid w:val="00BB3B20"/>
    <w:rsid w:val="00BC2A79"/>
    <w:rsid w:val="00BD4B89"/>
    <w:rsid w:val="00BD5922"/>
    <w:rsid w:val="00BD6291"/>
    <w:rsid w:val="00BE1A54"/>
    <w:rsid w:val="00BE2021"/>
    <w:rsid w:val="00BE4B9C"/>
    <w:rsid w:val="00BF02CB"/>
    <w:rsid w:val="00BF1A9B"/>
    <w:rsid w:val="00BF564F"/>
    <w:rsid w:val="00BF6FD8"/>
    <w:rsid w:val="00C029EA"/>
    <w:rsid w:val="00C03680"/>
    <w:rsid w:val="00C03E33"/>
    <w:rsid w:val="00C054DF"/>
    <w:rsid w:val="00C0639D"/>
    <w:rsid w:val="00C106FD"/>
    <w:rsid w:val="00C111FF"/>
    <w:rsid w:val="00C1138B"/>
    <w:rsid w:val="00C12F6B"/>
    <w:rsid w:val="00C21657"/>
    <w:rsid w:val="00C21762"/>
    <w:rsid w:val="00C21FEF"/>
    <w:rsid w:val="00C24543"/>
    <w:rsid w:val="00C25420"/>
    <w:rsid w:val="00C256A2"/>
    <w:rsid w:val="00C33CE7"/>
    <w:rsid w:val="00C36409"/>
    <w:rsid w:val="00C45BC6"/>
    <w:rsid w:val="00C5080F"/>
    <w:rsid w:val="00C51515"/>
    <w:rsid w:val="00C5660B"/>
    <w:rsid w:val="00C61F27"/>
    <w:rsid w:val="00C648FD"/>
    <w:rsid w:val="00C65DE2"/>
    <w:rsid w:val="00C66B72"/>
    <w:rsid w:val="00C67DD9"/>
    <w:rsid w:val="00C81501"/>
    <w:rsid w:val="00C87AC4"/>
    <w:rsid w:val="00C9567A"/>
    <w:rsid w:val="00C96AFF"/>
    <w:rsid w:val="00CA76B2"/>
    <w:rsid w:val="00CB212D"/>
    <w:rsid w:val="00CB2660"/>
    <w:rsid w:val="00CC1094"/>
    <w:rsid w:val="00CC5E90"/>
    <w:rsid w:val="00CD046C"/>
    <w:rsid w:val="00CD5CEE"/>
    <w:rsid w:val="00CD6CCF"/>
    <w:rsid w:val="00CE076C"/>
    <w:rsid w:val="00CE212A"/>
    <w:rsid w:val="00CE240E"/>
    <w:rsid w:val="00CE5199"/>
    <w:rsid w:val="00CE66D5"/>
    <w:rsid w:val="00CF044D"/>
    <w:rsid w:val="00CF58CD"/>
    <w:rsid w:val="00CF637A"/>
    <w:rsid w:val="00D02CD8"/>
    <w:rsid w:val="00D03E48"/>
    <w:rsid w:val="00D04E5A"/>
    <w:rsid w:val="00D05578"/>
    <w:rsid w:val="00D0566E"/>
    <w:rsid w:val="00D059DE"/>
    <w:rsid w:val="00D05ABD"/>
    <w:rsid w:val="00D13FCE"/>
    <w:rsid w:val="00D16BB5"/>
    <w:rsid w:val="00D202EB"/>
    <w:rsid w:val="00D21316"/>
    <w:rsid w:val="00D217C5"/>
    <w:rsid w:val="00D22BCB"/>
    <w:rsid w:val="00D26228"/>
    <w:rsid w:val="00D306D1"/>
    <w:rsid w:val="00D30800"/>
    <w:rsid w:val="00D34786"/>
    <w:rsid w:val="00D358AF"/>
    <w:rsid w:val="00D37AFA"/>
    <w:rsid w:val="00D37BFC"/>
    <w:rsid w:val="00D42125"/>
    <w:rsid w:val="00D42F1E"/>
    <w:rsid w:val="00D47A8E"/>
    <w:rsid w:val="00D52C24"/>
    <w:rsid w:val="00D52D14"/>
    <w:rsid w:val="00D56A62"/>
    <w:rsid w:val="00D57875"/>
    <w:rsid w:val="00D65118"/>
    <w:rsid w:val="00D6711B"/>
    <w:rsid w:val="00D677F2"/>
    <w:rsid w:val="00D712D3"/>
    <w:rsid w:val="00D71422"/>
    <w:rsid w:val="00D72DC6"/>
    <w:rsid w:val="00D7558D"/>
    <w:rsid w:val="00D81C52"/>
    <w:rsid w:val="00D81D92"/>
    <w:rsid w:val="00D834AA"/>
    <w:rsid w:val="00D87517"/>
    <w:rsid w:val="00D876F9"/>
    <w:rsid w:val="00D91630"/>
    <w:rsid w:val="00DA2224"/>
    <w:rsid w:val="00DA7B5F"/>
    <w:rsid w:val="00DC11E7"/>
    <w:rsid w:val="00DC15CF"/>
    <w:rsid w:val="00DC2CFD"/>
    <w:rsid w:val="00DC7023"/>
    <w:rsid w:val="00DC769A"/>
    <w:rsid w:val="00DD145E"/>
    <w:rsid w:val="00DD3D86"/>
    <w:rsid w:val="00DD4AD2"/>
    <w:rsid w:val="00DD5BA4"/>
    <w:rsid w:val="00DF1E04"/>
    <w:rsid w:val="00DF1EC4"/>
    <w:rsid w:val="00DF266C"/>
    <w:rsid w:val="00DF3401"/>
    <w:rsid w:val="00E01C0E"/>
    <w:rsid w:val="00E02ED6"/>
    <w:rsid w:val="00E0340B"/>
    <w:rsid w:val="00E04A90"/>
    <w:rsid w:val="00E04CE6"/>
    <w:rsid w:val="00E04ED3"/>
    <w:rsid w:val="00E0551F"/>
    <w:rsid w:val="00E1172C"/>
    <w:rsid w:val="00E167CE"/>
    <w:rsid w:val="00E219C7"/>
    <w:rsid w:val="00E2348E"/>
    <w:rsid w:val="00E3460C"/>
    <w:rsid w:val="00E40376"/>
    <w:rsid w:val="00E4118C"/>
    <w:rsid w:val="00E43157"/>
    <w:rsid w:val="00E43DE8"/>
    <w:rsid w:val="00E461CE"/>
    <w:rsid w:val="00E55F62"/>
    <w:rsid w:val="00E720CA"/>
    <w:rsid w:val="00E757F9"/>
    <w:rsid w:val="00E770E8"/>
    <w:rsid w:val="00E77B2D"/>
    <w:rsid w:val="00E812CC"/>
    <w:rsid w:val="00E84EB5"/>
    <w:rsid w:val="00E85662"/>
    <w:rsid w:val="00E8789F"/>
    <w:rsid w:val="00E97B71"/>
    <w:rsid w:val="00EA1A34"/>
    <w:rsid w:val="00EA3D34"/>
    <w:rsid w:val="00EB454D"/>
    <w:rsid w:val="00EB6142"/>
    <w:rsid w:val="00EC3C4B"/>
    <w:rsid w:val="00ED1CD4"/>
    <w:rsid w:val="00ED1DAC"/>
    <w:rsid w:val="00ED3D6C"/>
    <w:rsid w:val="00ED3EC5"/>
    <w:rsid w:val="00ED43D9"/>
    <w:rsid w:val="00ED471A"/>
    <w:rsid w:val="00ED549D"/>
    <w:rsid w:val="00ED76BE"/>
    <w:rsid w:val="00EE00E9"/>
    <w:rsid w:val="00EE10AD"/>
    <w:rsid w:val="00EE2C30"/>
    <w:rsid w:val="00EF619B"/>
    <w:rsid w:val="00F00B55"/>
    <w:rsid w:val="00F02AD1"/>
    <w:rsid w:val="00F07C05"/>
    <w:rsid w:val="00F154A0"/>
    <w:rsid w:val="00F17F2E"/>
    <w:rsid w:val="00F253CC"/>
    <w:rsid w:val="00F26DFA"/>
    <w:rsid w:val="00F27918"/>
    <w:rsid w:val="00F3067C"/>
    <w:rsid w:val="00F34727"/>
    <w:rsid w:val="00F34D16"/>
    <w:rsid w:val="00F37106"/>
    <w:rsid w:val="00F372FC"/>
    <w:rsid w:val="00F40309"/>
    <w:rsid w:val="00F41459"/>
    <w:rsid w:val="00F468DB"/>
    <w:rsid w:val="00F519CF"/>
    <w:rsid w:val="00F52001"/>
    <w:rsid w:val="00F5490C"/>
    <w:rsid w:val="00F56BA5"/>
    <w:rsid w:val="00F60E22"/>
    <w:rsid w:val="00F62569"/>
    <w:rsid w:val="00F63FC9"/>
    <w:rsid w:val="00F64D6A"/>
    <w:rsid w:val="00F7331D"/>
    <w:rsid w:val="00F74313"/>
    <w:rsid w:val="00F74F6E"/>
    <w:rsid w:val="00F7645C"/>
    <w:rsid w:val="00F76CD3"/>
    <w:rsid w:val="00F81395"/>
    <w:rsid w:val="00F81BB8"/>
    <w:rsid w:val="00F917D1"/>
    <w:rsid w:val="00F9653B"/>
    <w:rsid w:val="00F96572"/>
    <w:rsid w:val="00FA134D"/>
    <w:rsid w:val="00FA66C4"/>
    <w:rsid w:val="00FB62CF"/>
    <w:rsid w:val="00FC3E1F"/>
    <w:rsid w:val="00FC4885"/>
    <w:rsid w:val="00FC7E3E"/>
    <w:rsid w:val="00FC7F77"/>
    <w:rsid w:val="00FD3C3B"/>
    <w:rsid w:val="00FE07DD"/>
    <w:rsid w:val="00FE5E34"/>
    <w:rsid w:val="00FE5F5D"/>
    <w:rsid w:val="00FE6B45"/>
    <w:rsid w:val="00FF40C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EE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MenoPendente1">
    <w:name w:val="Menção Pendente1"/>
    <w:basedOn w:val="DefaultParagraphFont"/>
    <w:uiPriority w:val="99"/>
    <w:semiHidden/>
    <w:unhideWhenUsed/>
    <w:rsid w:val="0094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4B8D-7361-419B-8E63-422353EF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12435</Words>
  <Characters>63421</Characters>
  <Application>Microsoft Office Word</Application>
  <DocSecurity>0</DocSecurity>
  <Lines>960</Lines>
  <Paragraphs>247</Paragraphs>
  <ScaleCrop>false</ScaleCrop>
  <Company/>
  <LinksUpToDate>false</LinksUpToDate>
  <CharactersWithSpaces>75609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155/21</dc:title>
  <dc:creator/>
  <cp:lastModifiedBy/>
  <cp:revision>1</cp:revision>
  <dcterms:created xsi:type="dcterms:W3CDTF">2021-08-17T20:27:00Z</dcterms:created>
  <dcterms:modified xsi:type="dcterms:W3CDTF">2021-08-17T20:28:00Z</dcterms:modified>
</cp:coreProperties>
</file>