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4AE7" w14:textId="77777777" w:rsidR="001B3677" w:rsidRPr="00011738" w:rsidRDefault="001B3677" w:rsidP="001B3677">
      <w:pPr>
        <w:spacing w:after="0" w:line="240" w:lineRule="auto"/>
        <w:ind w:firstLine="567"/>
        <w:jc w:val="both"/>
        <w:rPr>
          <w:rFonts w:ascii="Cambria" w:hAnsi="Cambria" w:cs="Univers"/>
          <w:b/>
          <w:bCs/>
          <w:sz w:val="20"/>
          <w:szCs w:val="20"/>
        </w:rPr>
      </w:pPr>
      <w:r w:rsidRPr="00011738">
        <w:rPr>
          <w:noProof/>
        </w:rPr>
        <mc:AlternateContent>
          <mc:Choice Requires="wps">
            <w:drawing>
              <wp:anchor distT="0" distB="0" distL="114300" distR="114300" simplePos="0" relativeHeight="251659264" behindDoc="0" locked="0" layoutInCell="1" allowOverlap="1" wp14:anchorId="405B85A4" wp14:editId="1222CDB5">
                <wp:simplePos x="0" y="0"/>
                <wp:positionH relativeFrom="column">
                  <wp:posOffset>-415290</wp:posOffset>
                </wp:positionH>
                <wp:positionV relativeFrom="paragraph">
                  <wp:posOffset>-438785</wp:posOffset>
                </wp:positionV>
                <wp:extent cx="1543050" cy="9096375"/>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4C53" id="Rectangle 3" o:spid="_x0000_s1026" style="position:absolute;margin-left:-32.7pt;margin-top:-34.5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" fillcolor="#4a7194" stroked="f" strokeweight="2pt"/>
            </w:pict>
          </mc:Fallback>
        </mc:AlternateContent>
      </w:r>
      <w:r w:rsidRPr="00011738">
        <w:rPr>
          <w:noProof/>
        </w:rPr>
        <mc:AlternateContent>
          <mc:Choice Requires="wps">
            <w:drawing>
              <wp:anchor distT="0" distB="0" distL="114300" distR="114300" simplePos="0" relativeHeight="251663360" behindDoc="0" locked="0" layoutInCell="1" allowOverlap="1" wp14:anchorId="5C3A4629" wp14:editId="42A26F95">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62C94E49" w14:textId="77777777" w:rsidR="003767A6" w:rsidRDefault="003767A6" w:rsidP="001B3677">
                            <w:r w:rsidRPr="00BF2FAB">
                              <w:rPr>
                                <w:noProof/>
                              </w:rPr>
                              <w:drawing>
                                <wp:inline distT="0" distB="0" distL="0" distR="0" wp14:anchorId="04CE8680" wp14:editId="020A94A0">
                                  <wp:extent cx="2646680" cy="508635"/>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680" cy="50863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A4629"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" filled="f" stroked="f" strokeweight=".5pt">
                <v:textbox>
                  <w:txbxContent>
                    <w:p w14:paraId="62C94E49" w14:textId="77777777" w:rsidR="003767A6" w:rsidRDefault="003767A6" w:rsidP="001B3677">
                      <w:r w:rsidRPr="00BF2FAB">
                        <w:rPr>
                          <w:noProof/>
                        </w:rPr>
                        <w:drawing>
                          <wp:inline distT="0" distB="0" distL="0" distR="0" wp14:anchorId="04CE8680" wp14:editId="020A94A0">
                            <wp:extent cx="2646680" cy="508635"/>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680" cy="508635"/>
                                    </a:xfrm>
                                    <a:prstGeom prst="rect">
                                      <a:avLst/>
                                    </a:prstGeom>
                                    <a:noFill/>
                                    <a:ln>
                                      <a:noFill/>
                                    </a:ln>
                                  </pic:spPr>
                                </pic:pic>
                              </a:graphicData>
                            </a:graphic>
                          </wp:inline>
                        </w:drawing>
                      </w:r>
                      <w:r>
                        <w:tab/>
                        <w:t xml:space="preserve">                              </w:t>
                      </w:r>
                    </w:p>
                  </w:txbxContent>
                </v:textbox>
              </v:shape>
            </w:pict>
          </mc:Fallback>
        </mc:AlternateContent>
      </w:r>
      <w:r w:rsidRPr="00011738">
        <w:rPr>
          <w:rFonts w:ascii="Cambria" w:hAnsi="Cambria" w:cs="Univers"/>
          <w:b/>
          <w:bCs/>
          <w:sz w:val="20"/>
          <w:szCs w:val="20"/>
        </w:rPr>
        <w:tab/>
      </w:r>
      <w:r w:rsidRPr="00011738">
        <w:rPr>
          <w:rFonts w:ascii="Cambria" w:hAnsi="Cambria" w:cs="Univers"/>
          <w:b/>
          <w:bCs/>
          <w:sz w:val="20"/>
          <w:szCs w:val="20"/>
        </w:rPr>
        <w:tab/>
      </w:r>
    </w:p>
    <w:p w14:paraId="549C2B86" w14:textId="77777777" w:rsidR="001B3677" w:rsidRPr="00011738" w:rsidRDefault="001B3677" w:rsidP="001B3677">
      <w:pPr>
        <w:tabs>
          <w:tab w:val="center" w:pos="5400"/>
        </w:tabs>
        <w:suppressAutoHyphens/>
        <w:spacing w:after="0" w:line="240" w:lineRule="auto"/>
        <w:ind w:firstLine="567"/>
        <w:jc w:val="both"/>
        <w:rPr>
          <w:rFonts w:ascii="Cambria" w:hAnsi="Cambria"/>
          <w:sz w:val="20"/>
          <w:szCs w:val="20"/>
          <w:lang w:val="es-ES"/>
        </w:rPr>
      </w:pPr>
    </w:p>
    <w:p w14:paraId="063EA8F2" w14:textId="77777777" w:rsidR="001B3677" w:rsidRPr="00011738" w:rsidRDefault="001B3677" w:rsidP="001B3677">
      <w:pPr>
        <w:tabs>
          <w:tab w:val="center" w:pos="5400"/>
        </w:tabs>
        <w:suppressAutoHyphens/>
        <w:spacing w:after="0" w:line="240" w:lineRule="auto"/>
        <w:ind w:firstLine="567"/>
        <w:jc w:val="both"/>
        <w:rPr>
          <w:rFonts w:ascii="Cambria" w:hAnsi="Cambria"/>
          <w:sz w:val="20"/>
          <w:szCs w:val="20"/>
          <w:lang w:val="es-ES"/>
        </w:rPr>
      </w:pPr>
    </w:p>
    <w:p w14:paraId="2CE409A8" w14:textId="77777777" w:rsidR="001B3677" w:rsidRPr="00011738" w:rsidRDefault="001B3677" w:rsidP="001B3677">
      <w:pPr>
        <w:tabs>
          <w:tab w:val="center" w:pos="5400"/>
        </w:tabs>
        <w:suppressAutoHyphens/>
        <w:spacing w:after="0" w:line="240" w:lineRule="auto"/>
        <w:ind w:firstLine="567"/>
        <w:rPr>
          <w:rFonts w:ascii="Cambria" w:hAnsi="Cambria"/>
          <w:sz w:val="20"/>
          <w:szCs w:val="20"/>
        </w:rPr>
      </w:pPr>
    </w:p>
    <w:p w14:paraId="43533F48" w14:textId="77777777" w:rsidR="001B3677" w:rsidRPr="00011738" w:rsidRDefault="001B3677" w:rsidP="001B3677">
      <w:pPr>
        <w:tabs>
          <w:tab w:val="center" w:pos="5400"/>
        </w:tabs>
        <w:suppressAutoHyphens/>
        <w:spacing w:after="0" w:line="240" w:lineRule="auto"/>
        <w:ind w:firstLine="567"/>
        <w:rPr>
          <w:rFonts w:ascii="Cambria" w:hAnsi="Cambria"/>
          <w:sz w:val="20"/>
          <w:szCs w:val="20"/>
        </w:rPr>
      </w:pPr>
    </w:p>
    <w:p w14:paraId="6BAF9168" w14:textId="77777777" w:rsidR="001B3677" w:rsidRPr="00011738" w:rsidRDefault="001B3677" w:rsidP="001B3677">
      <w:pPr>
        <w:tabs>
          <w:tab w:val="center" w:pos="5400"/>
        </w:tabs>
        <w:suppressAutoHyphens/>
        <w:spacing w:after="0" w:line="240" w:lineRule="auto"/>
        <w:ind w:firstLine="567"/>
        <w:rPr>
          <w:rFonts w:ascii="Cambria" w:hAnsi="Cambria"/>
          <w:sz w:val="20"/>
          <w:szCs w:val="20"/>
        </w:rPr>
      </w:pPr>
    </w:p>
    <w:p w14:paraId="496A4455"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0CCC4CF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14B182A4"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78ED780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923D747"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7F069422"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A6DD849"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30F2CC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r w:rsidRPr="00011738">
        <w:rPr>
          <w:noProof/>
        </w:rPr>
        <mc:AlternateContent>
          <mc:Choice Requires="wps">
            <w:drawing>
              <wp:anchor distT="0" distB="0" distL="114300" distR="114300" simplePos="0" relativeHeight="251660288" behindDoc="0" locked="0" layoutInCell="1" allowOverlap="1" wp14:anchorId="6C9F750D" wp14:editId="3C5A7054">
                <wp:simplePos x="0" y="0"/>
                <wp:positionH relativeFrom="column">
                  <wp:posOffset>1371600</wp:posOffset>
                </wp:positionH>
                <wp:positionV relativeFrom="paragraph">
                  <wp:posOffset>121920</wp:posOffset>
                </wp:positionV>
                <wp:extent cx="4441190" cy="2955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955290"/>
                        </a:xfrm>
                        <a:prstGeom prst="rect">
                          <a:avLst/>
                        </a:prstGeom>
                        <a:noFill/>
                        <a:ln w="6350">
                          <a:noFill/>
                        </a:ln>
                        <a:effectLst/>
                      </wps:spPr>
                      <wps:txbx>
                        <w:txbxContent>
                          <w:p w14:paraId="60220442" w14:textId="5ADA04DD" w:rsidR="003767A6" w:rsidRPr="00317DB1" w:rsidRDefault="003767A6" w:rsidP="00A04C13">
                            <w:pPr>
                              <w:spacing w:after="0"/>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w:t>
                            </w:r>
                            <w:r w:rsidR="00C61543">
                              <w:rPr>
                                <w:rFonts w:ascii="Cambria" w:hAnsi="Cambria" w:cs="Arial"/>
                                <w:b/>
                                <w:bCs/>
                                <w:color w:val="0D0D0D"/>
                                <w:sz w:val="36"/>
                                <w:lang w:val="es-ES"/>
                              </w:rPr>
                              <w:t>268</w:t>
                            </w:r>
                            <w:r>
                              <w:rPr>
                                <w:rFonts w:ascii="Cambria" w:hAnsi="Cambria" w:cs="Arial"/>
                                <w:b/>
                                <w:bCs/>
                                <w:color w:val="0D0D0D"/>
                                <w:sz w:val="36"/>
                                <w:lang w:val="es-ES"/>
                              </w:rPr>
                              <w:t>/21</w:t>
                            </w:r>
                          </w:p>
                          <w:p w14:paraId="140A42C1" w14:textId="77777777" w:rsidR="003767A6" w:rsidRPr="00BD43D7" w:rsidRDefault="003767A6" w:rsidP="00A04C13">
                            <w:pPr>
                              <w:spacing w:after="0"/>
                              <w:rPr>
                                <w:rFonts w:ascii="Cambria" w:hAnsi="Cambria" w:cs="Arial"/>
                                <w:b/>
                                <w:color w:val="0D0D0D"/>
                                <w:sz w:val="36"/>
                                <w:lang w:val="es-CO"/>
                              </w:rPr>
                            </w:pPr>
                            <w:r>
                              <w:rPr>
                                <w:rFonts w:ascii="Cambria" w:hAnsi="Cambria" w:cs="Arial"/>
                                <w:b/>
                                <w:color w:val="0D0D0D"/>
                                <w:sz w:val="36"/>
                                <w:lang w:val="es-ES"/>
                              </w:rPr>
                              <w:t>CASO 12.681</w:t>
                            </w:r>
                          </w:p>
                          <w:p w14:paraId="68AF935E" w14:textId="7B240233" w:rsidR="003767A6" w:rsidRPr="00A04C13" w:rsidRDefault="003767A6" w:rsidP="00A04C13">
                            <w:pPr>
                              <w:spacing w:after="0"/>
                              <w:rPr>
                                <w:rFonts w:ascii="Cambria" w:hAnsi="Cambria" w:cs="Arial"/>
                                <w:color w:val="0D0D0D"/>
                                <w:sz w:val="24"/>
                                <w:szCs w:val="24"/>
                                <w:lang w:val="es-CO"/>
                              </w:rPr>
                            </w:pPr>
                            <w:bookmarkStart w:id="0" w:name="_ftnref1"/>
                            <w:r w:rsidRPr="00A04C13">
                              <w:rPr>
                                <w:rFonts w:ascii="Cambria" w:hAnsi="Cambria" w:cs="Arial"/>
                                <w:color w:val="0D0D0D"/>
                                <w:sz w:val="24"/>
                                <w:szCs w:val="24"/>
                                <w:lang w:val="es-CO"/>
                              </w:rPr>
                              <w:t>INFORME DE FONDO (PUBLICACI</w:t>
                            </w:r>
                            <w:proofErr w:type="spellStart"/>
                            <w:r w:rsidRPr="00A04C13">
                              <w:rPr>
                                <w:rFonts w:ascii="Cambria" w:hAnsi="Cambria" w:cs="Arial"/>
                                <w:color w:val="0D0D0D"/>
                                <w:sz w:val="24"/>
                                <w:szCs w:val="24"/>
                                <w:lang w:val="es-ES"/>
                              </w:rPr>
                              <w:t>Ó</w:t>
                            </w:r>
                            <w:proofErr w:type="spellEnd"/>
                            <w:r w:rsidRPr="00A04C13">
                              <w:rPr>
                                <w:rFonts w:ascii="Cambria" w:hAnsi="Cambria" w:cs="Arial"/>
                                <w:color w:val="0D0D0D"/>
                                <w:sz w:val="24"/>
                                <w:szCs w:val="24"/>
                                <w:lang w:val="es-CO"/>
                              </w:rPr>
                              <w:t xml:space="preserve">N) </w:t>
                            </w:r>
                          </w:p>
                          <w:p w14:paraId="32B57243" w14:textId="77777777" w:rsidR="003767A6" w:rsidRPr="00A04C13" w:rsidRDefault="003767A6" w:rsidP="00A04C13">
                            <w:pPr>
                              <w:spacing w:after="0"/>
                              <w:rPr>
                                <w:rFonts w:ascii="Cambria" w:hAnsi="Cambria" w:cs="Arial"/>
                                <w:color w:val="0D0D0D"/>
                                <w:sz w:val="24"/>
                                <w:szCs w:val="24"/>
                                <w:lang w:val="es-CO"/>
                              </w:rPr>
                            </w:pPr>
                          </w:p>
                          <w:p w14:paraId="75ED4A81" w14:textId="77777777" w:rsidR="003767A6" w:rsidRPr="00A04C13" w:rsidRDefault="003767A6" w:rsidP="00A04C13">
                            <w:pPr>
                              <w:spacing w:after="0"/>
                              <w:rPr>
                                <w:rFonts w:ascii="Cambria" w:hAnsi="Cambria" w:cs="Arial"/>
                                <w:color w:val="0D0D0D"/>
                                <w:sz w:val="24"/>
                                <w:szCs w:val="24"/>
                                <w:lang w:val="es-CO"/>
                              </w:rPr>
                            </w:pPr>
                            <w:r w:rsidRPr="00A04C13">
                              <w:rPr>
                                <w:rFonts w:ascii="Cambria" w:hAnsi="Cambria" w:cs="Arial"/>
                                <w:color w:val="0D0D0D"/>
                                <w:sz w:val="24"/>
                                <w:szCs w:val="24"/>
                                <w:lang w:val="es-CO"/>
                              </w:rPr>
                              <w:t>MARCOS ALEJANDRO MARTÍN</w:t>
                            </w:r>
                          </w:p>
                          <w:bookmarkEnd w:id="0"/>
                          <w:p w14:paraId="3EB6A06D" w14:textId="77777777" w:rsidR="003767A6" w:rsidRPr="00A04C13" w:rsidRDefault="003767A6" w:rsidP="00A04C13">
                            <w:pPr>
                              <w:spacing w:after="0"/>
                              <w:rPr>
                                <w:rFonts w:ascii="Cambria" w:hAnsi="Cambria" w:cs="Arial"/>
                                <w:color w:val="0D0D0D"/>
                                <w:sz w:val="24"/>
                                <w:szCs w:val="24"/>
                                <w:lang w:val="es-MX"/>
                              </w:rPr>
                            </w:pPr>
                            <w:r w:rsidRPr="00A04C13">
                              <w:rPr>
                                <w:rFonts w:ascii="Cambria" w:hAnsi="Cambria" w:cs="Arial"/>
                                <w:color w:val="0D0D0D"/>
                                <w:sz w:val="24"/>
                                <w:szCs w:val="24"/>
                                <w:lang w:val="es-MX"/>
                              </w:rPr>
                              <w:t>ARGENTINA</w:t>
                            </w:r>
                          </w:p>
                          <w:p w14:paraId="7F35386E" w14:textId="77777777" w:rsidR="003767A6" w:rsidRPr="0047013A" w:rsidRDefault="003767A6" w:rsidP="00A04C13">
                            <w:pPr>
                              <w:spacing w:after="0"/>
                              <w:rPr>
                                <w:color w:val="0D0D0D"/>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F750D" id="_x0000_t202" coordsize="21600,21600" o:spt="202" path="m,l,21600r21600,l21600,xe">
                <v:stroke joinstyle="miter"/>
                <v:path gradientshapeok="t" o:connecttype="rect"/>
              </v:shapetype>
              <v:shape id="Text Box 5" o:spid="_x0000_s1027" type="#_x0000_t202" style="position:absolute;left:0;text-align:left;margin-left:108pt;margin-top:9.6pt;width:349.7pt;height:2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" filled="f" stroked="f" strokeweight=".5pt">
                <v:textbox>
                  <w:txbxContent>
                    <w:p w14:paraId="60220442" w14:textId="5ADA04DD" w:rsidR="003767A6" w:rsidRPr="00317DB1" w:rsidRDefault="003767A6" w:rsidP="00A04C13">
                      <w:pPr>
                        <w:spacing w:after="0"/>
                        <w:rPr>
                          <w:rFonts w:ascii="Cambria" w:hAnsi="Cambria" w:cs="Arial"/>
                          <w:b/>
                          <w:bCs/>
                          <w:color w:val="0D0D0D"/>
                          <w:sz w:val="36"/>
                          <w:lang w:val="es-ES"/>
                        </w:rPr>
                      </w:pPr>
                      <w:r w:rsidRPr="00317DB1">
                        <w:rPr>
                          <w:rFonts w:ascii="Cambria" w:hAnsi="Cambria" w:cs="Arial"/>
                          <w:b/>
                          <w:bCs/>
                          <w:color w:val="0D0D0D"/>
                          <w:sz w:val="36"/>
                          <w:lang w:val="es-ES"/>
                        </w:rPr>
                        <w:t xml:space="preserve">INFORME </w:t>
                      </w:r>
                      <w:r w:rsidRPr="00317DB1">
                        <w:rPr>
                          <w:rFonts w:ascii="Cambria" w:hAnsi="Cambria" w:cs="Arial"/>
                          <w:b/>
                          <w:bCs/>
                          <w:color w:val="0D0D0D"/>
                          <w:sz w:val="36"/>
                          <w:szCs w:val="40"/>
                          <w:lang w:val="es-ES"/>
                        </w:rPr>
                        <w:t>No.</w:t>
                      </w:r>
                      <w:r>
                        <w:rPr>
                          <w:rFonts w:ascii="Cambria" w:hAnsi="Cambria" w:cs="Arial"/>
                          <w:b/>
                          <w:bCs/>
                          <w:color w:val="0D0D0D"/>
                          <w:sz w:val="36"/>
                          <w:lang w:val="es-ES"/>
                        </w:rPr>
                        <w:t xml:space="preserve"> </w:t>
                      </w:r>
                      <w:r w:rsidR="00C61543">
                        <w:rPr>
                          <w:rFonts w:ascii="Cambria" w:hAnsi="Cambria" w:cs="Arial"/>
                          <w:b/>
                          <w:bCs/>
                          <w:color w:val="0D0D0D"/>
                          <w:sz w:val="36"/>
                          <w:lang w:val="es-ES"/>
                        </w:rPr>
                        <w:t>268</w:t>
                      </w:r>
                      <w:r>
                        <w:rPr>
                          <w:rFonts w:ascii="Cambria" w:hAnsi="Cambria" w:cs="Arial"/>
                          <w:b/>
                          <w:bCs/>
                          <w:color w:val="0D0D0D"/>
                          <w:sz w:val="36"/>
                          <w:lang w:val="es-ES"/>
                        </w:rPr>
                        <w:t>/21</w:t>
                      </w:r>
                    </w:p>
                    <w:p w14:paraId="140A42C1" w14:textId="77777777" w:rsidR="003767A6" w:rsidRPr="00BD43D7" w:rsidRDefault="003767A6" w:rsidP="00A04C13">
                      <w:pPr>
                        <w:spacing w:after="0"/>
                        <w:rPr>
                          <w:rFonts w:ascii="Cambria" w:hAnsi="Cambria" w:cs="Arial"/>
                          <w:b/>
                          <w:color w:val="0D0D0D"/>
                          <w:sz w:val="36"/>
                          <w:lang w:val="es-CO"/>
                        </w:rPr>
                      </w:pPr>
                      <w:r>
                        <w:rPr>
                          <w:rFonts w:ascii="Cambria" w:hAnsi="Cambria" w:cs="Arial"/>
                          <w:b/>
                          <w:color w:val="0D0D0D"/>
                          <w:sz w:val="36"/>
                          <w:lang w:val="es-ES"/>
                        </w:rPr>
                        <w:t>CASO 12.681</w:t>
                      </w:r>
                    </w:p>
                    <w:p w14:paraId="68AF935E" w14:textId="7B240233" w:rsidR="003767A6" w:rsidRPr="00A04C13" w:rsidRDefault="003767A6" w:rsidP="00A04C13">
                      <w:pPr>
                        <w:spacing w:after="0"/>
                        <w:rPr>
                          <w:rFonts w:ascii="Cambria" w:hAnsi="Cambria" w:cs="Arial"/>
                          <w:color w:val="0D0D0D"/>
                          <w:sz w:val="24"/>
                          <w:szCs w:val="24"/>
                          <w:lang w:val="es-CO"/>
                        </w:rPr>
                      </w:pPr>
                      <w:bookmarkStart w:id="1" w:name="_ftnref1"/>
                      <w:r w:rsidRPr="00A04C13">
                        <w:rPr>
                          <w:rFonts w:ascii="Cambria" w:hAnsi="Cambria" w:cs="Arial"/>
                          <w:color w:val="0D0D0D"/>
                          <w:sz w:val="24"/>
                          <w:szCs w:val="24"/>
                          <w:lang w:val="es-CO"/>
                        </w:rPr>
                        <w:t>INFORME DE FONDO (PUBLICACI</w:t>
                      </w:r>
                      <w:proofErr w:type="spellStart"/>
                      <w:r w:rsidRPr="00A04C13">
                        <w:rPr>
                          <w:rFonts w:ascii="Cambria" w:hAnsi="Cambria" w:cs="Arial"/>
                          <w:color w:val="0D0D0D"/>
                          <w:sz w:val="24"/>
                          <w:szCs w:val="24"/>
                          <w:lang w:val="es-ES"/>
                        </w:rPr>
                        <w:t>Ó</w:t>
                      </w:r>
                      <w:proofErr w:type="spellEnd"/>
                      <w:r w:rsidRPr="00A04C13">
                        <w:rPr>
                          <w:rFonts w:ascii="Cambria" w:hAnsi="Cambria" w:cs="Arial"/>
                          <w:color w:val="0D0D0D"/>
                          <w:sz w:val="24"/>
                          <w:szCs w:val="24"/>
                          <w:lang w:val="es-CO"/>
                        </w:rPr>
                        <w:t xml:space="preserve">N) </w:t>
                      </w:r>
                    </w:p>
                    <w:p w14:paraId="32B57243" w14:textId="77777777" w:rsidR="003767A6" w:rsidRPr="00A04C13" w:rsidRDefault="003767A6" w:rsidP="00A04C13">
                      <w:pPr>
                        <w:spacing w:after="0"/>
                        <w:rPr>
                          <w:rFonts w:ascii="Cambria" w:hAnsi="Cambria" w:cs="Arial"/>
                          <w:color w:val="0D0D0D"/>
                          <w:sz w:val="24"/>
                          <w:szCs w:val="24"/>
                          <w:lang w:val="es-CO"/>
                        </w:rPr>
                      </w:pPr>
                    </w:p>
                    <w:p w14:paraId="75ED4A81" w14:textId="77777777" w:rsidR="003767A6" w:rsidRPr="00A04C13" w:rsidRDefault="003767A6" w:rsidP="00A04C13">
                      <w:pPr>
                        <w:spacing w:after="0"/>
                        <w:rPr>
                          <w:rFonts w:ascii="Cambria" w:hAnsi="Cambria" w:cs="Arial"/>
                          <w:color w:val="0D0D0D"/>
                          <w:sz w:val="24"/>
                          <w:szCs w:val="24"/>
                          <w:lang w:val="es-CO"/>
                        </w:rPr>
                      </w:pPr>
                      <w:r w:rsidRPr="00A04C13">
                        <w:rPr>
                          <w:rFonts w:ascii="Cambria" w:hAnsi="Cambria" w:cs="Arial"/>
                          <w:color w:val="0D0D0D"/>
                          <w:sz w:val="24"/>
                          <w:szCs w:val="24"/>
                          <w:lang w:val="es-CO"/>
                        </w:rPr>
                        <w:t>MARCOS ALEJANDRO MARTÍN</w:t>
                      </w:r>
                    </w:p>
                    <w:bookmarkEnd w:id="1"/>
                    <w:p w14:paraId="3EB6A06D" w14:textId="77777777" w:rsidR="003767A6" w:rsidRPr="00A04C13" w:rsidRDefault="003767A6" w:rsidP="00A04C13">
                      <w:pPr>
                        <w:spacing w:after="0"/>
                        <w:rPr>
                          <w:rFonts w:ascii="Cambria" w:hAnsi="Cambria" w:cs="Arial"/>
                          <w:color w:val="0D0D0D"/>
                          <w:sz w:val="24"/>
                          <w:szCs w:val="24"/>
                          <w:lang w:val="es-MX"/>
                        </w:rPr>
                      </w:pPr>
                      <w:r w:rsidRPr="00A04C13">
                        <w:rPr>
                          <w:rFonts w:ascii="Cambria" w:hAnsi="Cambria" w:cs="Arial"/>
                          <w:color w:val="0D0D0D"/>
                          <w:sz w:val="24"/>
                          <w:szCs w:val="24"/>
                          <w:lang w:val="es-MX"/>
                        </w:rPr>
                        <w:t>ARGENTINA</w:t>
                      </w:r>
                    </w:p>
                    <w:p w14:paraId="7F35386E" w14:textId="77777777" w:rsidR="003767A6" w:rsidRPr="0047013A" w:rsidRDefault="003767A6" w:rsidP="00A04C13">
                      <w:pPr>
                        <w:spacing w:after="0"/>
                        <w:rPr>
                          <w:color w:val="0D0D0D"/>
                          <w:lang w:val="es-MX"/>
                        </w:rPr>
                      </w:pPr>
                    </w:p>
                  </w:txbxContent>
                </v:textbox>
              </v:shape>
            </w:pict>
          </mc:Fallback>
        </mc:AlternateContent>
      </w:r>
    </w:p>
    <w:p w14:paraId="1835BA5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r w:rsidRPr="00011738">
        <w:rPr>
          <w:noProof/>
        </w:rPr>
        <mc:AlternateContent>
          <mc:Choice Requires="wps">
            <w:drawing>
              <wp:anchor distT="0" distB="0" distL="114300" distR="114300" simplePos="0" relativeHeight="251662336" behindDoc="0" locked="0" layoutInCell="1" allowOverlap="1" wp14:anchorId="7494230D" wp14:editId="35A54AB2">
                <wp:simplePos x="0" y="0"/>
                <wp:positionH relativeFrom="column">
                  <wp:posOffset>-451180</wp:posOffset>
                </wp:positionH>
                <wp:positionV relativeFrom="paragraph">
                  <wp:posOffset>16510</wp:posOffset>
                </wp:positionV>
                <wp:extent cx="1624936" cy="14662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936" cy="1466215"/>
                        </a:xfrm>
                        <a:prstGeom prst="rect">
                          <a:avLst/>
                        </a:prstGeom>
                        <a:noFill/>
                        <a:ln w="6350">
                          <a:noFill/>
                        </a:ln>
                        <a:effectLst/>
                      </wps:spPr>
                      <wps:txbx>
                        <w:txbxContent>
                          <w:p w14:paraId="48749F74" w14:textId="1710C1AC" w:rsidR="003767A6" w:rsidRPr="00317DB1" w:rsidRDefault="003767A6" w:rsidP="001B3677">
                            <w:pPr>
                              <w:spacing w:after="0" w:line="240" w:lineRule="auto"/>
                              <w:jc w:val="right"/>
                              <w:rPr>
                                <w:color w:val="FFFFFF"/>
                                <w:lang w:val="pt-BR"/>
                              </w:rPr>
                            </w:pPr>
                            <w:r w:rsidRPr="00317DB1">
                              <w:rPr>
                                <w:color w:val="FFFFFF"/>
                                <w:lang w:val="pt-BR"/>
                              </w:rPr>
                              <w:t>OEA/Ser.L/V/II.</w:t>
                            </w:r>
                          </w:p>
                          <w:p w14:paraId="3D15FA69" w14:textId="538490BC" w:rsidR="003767A6" w:rsidRPr="00317DB1" w:rsidRDefault="003767A6" w:rsidP="001B3677">
                            <w:pPr>
                              <w:spacing w:after="0" w:line="240" w:lineRule="auto"/>
                              <w:jc w:val="right"/>
                              <w:rPr>
                                <w:color w:val="FFFFFF"/>
                                <w:lang w:val="pt-BR"/>
                              </w:rPr>
                            </w:pPr>
                            <w:r w:rsidRPr="00317DB1">
                              <w:rPr>
                                <w:color w:val="FFFFFF"/>
                                <w:lang w:val="pt-BR"/>
                              </w:rPr>
                              <w:t xml:space="preserve">Doc. </w:t>
                            </w:r>
                            <w:r w:rsidR="00C61543">
                              <w:rPr>
                                <w:color w:val="FFFFFF"/>
                                <w:lang w:val="pt-BR"/>
                              </w:rPr>
                              <w:t>276</w:t>
                            </w:r>
                          </w:p>
                          <w:p w14:paraId="0F345CBF" w14:textId="10A0129C" w:rsidR="003767A6" w:rsidRPr="00317DB1" w:rsidRDefault="00C61543" w:rsidP="001B3677">
                            <w:pPr>
                              <w:spacing w:after="0" w:line="240" w:lineRule="auto"/>
                              <w:jc w:val="right"/>
                              <w:rPr>
                                <w:color w:val="FFFFFF"/>
                                <w:lang w:val="es-ES"/>
                              </w:rPr>
                            </w:pPr>
                            <w:r>
                              <w:rPr>
                                <w:color w:val="FFFFFF"/>
                                <w:lang w:val="es-ES"/>
                              </w:rPr>
                              <w:t>5</w:t>
                            </w:r>
                            <w:r w:rsidR="003767A6" w:rsidRPr="00C61543">
                              <w:rPr>
                                <w:color w:val="FFFFFF"/>
                                <w:lang w:val="es-ES"/>
                              </w:rPr>
                              <w:t xml:space="preserve"> </w:t>
                            </w:r>
                            <w:r>
                              <w:rPr>
                                <w:color w:val="FFFFFF"/>
                                <w:lang w:val="es-ES"/>
                              </w:rPr>
                              <w:t>octub</w:t>
                            </w:r>
                            <w:r w:rsidR="003767A6" w:rsidRPr="00C61543">
                              <w:rPr>
                                <w:color w:val="FFFFFF"/>
                                <w:lang w:val="es-ES"/>
                              </w:rPr>
                              <w:t>re</w:t>
                            </w:r>
                            <w:r w:rsidR="003767A6">
                              <w:rPr>
                                <w:color w:val="FFFFFF"/>
                                <w:lang w:val="es-ES"/>
                              </w:rPr>
                              <w:t xml:space="preserve"> 2021</w:t>
                            </w:r>
                          </w:p>
                          <w:p w14:paraId="66D6D39E" w14:textId="77777777" w:rsidR="003767A6" w:rsidRPr="00317DB1" w:rsidRDefault="003767A6" w:rsidP="001B3677">
                            <w:pPr>
                              <w:spacing w:after="0" w:line="240" w:lineRule="auto"/>
                              <w:jc w:val="right"/>
                              <w:rPr>
                                <w:color w:val="FFFFFF"/>
                                <w:lang w:val="es-ES"/>
                              </w:rPr>
                            </w:pPr>
                            <w:r w:rsidRPr="00317DB1">
                              <w:rPr>
                                <w:color w:val="FFFFFF"/>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4230D" id="Text Box 8" o:spid="_x0000_s1028" type="#_x0000_t202" style="position:absolute;left:0;text-align:left;margin-left:-35.55pt;margin-top:1.3pt;width:127.95pt;height:1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" filled="f" stroked="f" strokeweight=".5pt">
                <v:textbox>
                  <w:txbxContent>
                    <w:p w14:paraId="48749F74" w14:textId="1710C1AC" w:rsidR="003767A6" w:rsidRPr="00317DB1" w:rsidRDefault="003767A6" w:rsidP="001B3677">
                      <w:pPr>
                        <w:spacing w:after="0" w:line="240" w:lineRule="auto"/>
                        <w:jc w:val="right"/>
                        <w:rPr>
                          <w:color w:val="FFFFFF"/>
                          <w:lang w:val="pt-BR"/>
                        </w:rPr>
                      </w:pPr>
                      <w:r w:rsidRPr="00317DB1">
                        <w:rPr>
                          <w:color w:val="FFFFFF"/>
                          <w:lang w:val="pt-BR"/>
                        </w:rPr>
                        <w:t>OEA/Ser.L/V/II.</w:t>
                      </w:r>
                    </w:p>
                    <w:p w14:paraId="3D15FA69" w14:textId="538490BC" w:rsidR="003767A6" w:rsidRPr="00317DB1" w:rsidRDefault="003767A6" w:rsidP="001B3677">
                      <w:pPr>
                        <w:spacing w:after="0" w:line="240" w:lineRule="auto"/>
                        <w:jc w:val="right"/>
                        <w:rPr>
                          <w:color w:val="FFFFFF"/>
                          <w:lang w:val="pt-BR"/>
                        </w:rPr>
                      </w:pPr>
                      <w:r w:rsidRPr="00317DB1">
                        <w:rPr>
                          <w:color w:val="FFFFFF"/>
                          <w:lang w:val="pt-BR"/>
                        </w:rPr>
                        <w:t xml:space="preserve">Doc. </w:t>
                      </w:r>
                      <w:r w:rsidR="00C61543">
                        <w:rPr>
                          <w:color w:val="FFFFFF"/>
                          <w:lang w:val="pt-BR"/>
                        </w:rPr>
                        <w:t>276</w:t>
                      </w:r>
                    </w:p>
                    <w:p w14:paraId="0F345CBF" w14:textId="10A0129C" w:rsidR="003767A6" w:rsidRPr="00317DB1" w:rsidRDefault="00C61543" w:rsidP="001B3677">
                      <w:pPr>
                        <w:spacing w:after="0" w:line="240" w:lineRule="auto"/>
                        <w:jc w:val="right"/>
                        <w:rPr>
                          <w:color w:val="FFFFFF"/>
                          <w:lang w:val="es-ES"/>
                        </w:rPr>
                      </w:pPr>
                      <w:r>
                        <w:rPr>
                          <w:color w:val="FFFFFF"/>
                          <w:lang w:val="es-ES"/>
                        </w:rPr>
                        <w:t>5</w:t>
                      </w:r>
                      <w:r w:rsidR="003767A6" w:rsidRPr="00C61543">
                        <w:rPr>
                          <w:color w:val="FFFFFF"/>
                          <w:lang w:val="es-ES"/>
                        </w:rPr>
                        <w:t xml:space="preserve"> </w:t>
                      </w:r>
                      <w:r>
                        <w:rPr>
                          <w:color w:val="FFFFFF"/>
                          <w:lang w:val="es-ES"/>
                        </w:rPr>
                        <w:t>octub</w:t>
                      </w:r>
                      <w:r w:rsidR="003767A6" w:rsidRPr="00C61543">
                        <w:rPr>
                          <w:color w:val="FFFFFF"/>
                          <w:lang w:val="es-ES"/>
                        </w:rPr>
                        <w:t>re</w:t>
                      </w:r>
                      <w:r w:rsidR="003767A6">
                        <w:rPr>
                          <w:color w:val="FFFFFF"/>
                          <w:lang w:val="es-ES"/>
                        </w:rPr>
                        <w:t xml:space="preserve"> 2021</w:t>
                      </w:r>
                    </w:p>
                    <w:p w14:paraId="66D6D39E" w14:textId="77777777" w:rsidR="003767A6" w:rsidRPr="00317DB1" w:rsidRDefault="003767A6" w:rsidP="001B3677">
                      <w:pPr>
                        <w:spacing w:after="0" w:line="240" w:lineRule="auto"/>
                        <w:jc w:val="right"/>
                        <w:rPr>
                          <w:color w:val="FFFFFF"/>
                          <w:lang w:val="es-ES"/>
                        </w:rPr>
                      </w:pPr>
                      <w:r w:rsidRPr="00317DB1">
                        <w:rPr>
                          <w:color w:val="FFFFFF"/>
                          <w:lang w:val="es-ES"/>
                        </w:rPr>
                        <w:t>Original: español</w:t>
                      </w:r>
                    </w:p>
                  </w:txbxContent>
                </v:textbox>
              </v:shape>
            </w:pict>
          </mc:Fallback>
        </mc:AlternateContent>
      </w:r>
    </w:p>
    <w:p w14:paraId="603A729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D4B2D00" w14:textId="77777777" w:rsidR="001B3677" w:rsidRPr="00011738" w:rsidRDefault="001B3677" w:rsidP="001B3677">
      <w:pPr>
        <w:tabs>
          <w:tab w:val="center" w:pos="5400"/>
        </w:tabs>
        <w:suppressAutoHyphens/>
        <w:spacing w:after="0" w:line="240" w:lineRule="auto"/>
        <w:ind w:firstLine="567"/>
        <w:jc w:val="center"/>
        <w:rPr>
          <w:rFonts w:ascii="Cambria" w:hAnsi="Cambria" w:cs="Arial"/>
          <w:sz w:val="20"/>
          <w:szCs w:val="20"/>
        </w:rPr>
      </w:pPr>
    </w:p>
    <w:p w14:paraId="080A358A"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0AB4AF20"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50AF16B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68087919"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81A9A83"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1FA652A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ABEB4CD"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112B0347"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A29765D"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63AE90C5"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AF4BE3E"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5A3320D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767FF3E1"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5BBF0C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610EDD1"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2803781"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BDE1BC4"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2DC081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6E303F89"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C026667"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131F4C2C"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2B9E3CA"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06491E1"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D3D21E1"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3D4996F8"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B3186F4"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r w:rsidRPr="00011738">
        <w:rPr>
          <w:noProof/>
        </w:rPr>
        <mc:AlternateContent>
          <mc:Choice Requires="wps">
            <w:drawing>
              <wp:anchor distT="0" distB="0" distL="114300" distR="114300" simplePos="0" relativeHeight="251661312" behindDoc="0" locked="0" layoutInCell="1" allowOverlap="1" wp14:anchorId="26D1078A" wp14:editId="3C1AFC7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296D251C" w14:textId="37B6217A" w:rsidR="003767A6" w:rsidRPr="00BD43D7" w:rsidRDefault="003767A6" w:rsidP="001B3677">
                            <w:pPr>
                              <w:tabs>
                                <w:tab w:val="center" w:pos="5400"/>
                              </w:tabs>
                              <w:suppressAutoHyphens/>
                              <w:spacing w:before="60"/>
                              <w:rPr>
                                <w:rFonts w:ascii="Cambria" w:hAnsi="Cambria" w:cs="Univers"/>
                                <w:color w:val="0D0D0D"/>
                                <w:sz w:val="18"/>
                                <w:szCs w:val="20"/>
                                <w:lang w:val="es-CO"/>
                              </w:rPr>
                            </w:pPr>
                            <w:r>
                              <w:rPr>
                                <w:rFonts w:ascii="Cambria" w:hAnsi="Cambria"/>
                                <w:color w:val="0D0D0D"/>
                                <w:sz w:val="18"/>
                                <w:szCs w:val="20"/>
                                <w:lang w:val="es-ES"/>
                              </w:rPr>
                              <w:t xml:space="preserve">Aprobado electrónicamente por la Comisión el </w:t>
                            </w:r>
                            <w:r w:rsidR="00C61543">
                              <w:rPr>
                                <w:rFonts w:ascii="Cambria" w:hAnsi="Cambria"/>
                                <w:color w:val="0D0D0D"/>
                                <w:sz w:val="18"/>
                                <w:szCs w:val="20"/>
                                <w:lang w:val="es-ES"/>
                              </w:rPr>
                              <w:t>5</w:t>
                            </w:r>
                            <w:r>
                              <w:rPr>
                                <w:rFonts w:ascii="Cambria" w:hAnsi="Cambria"/>
                                <w:color w:val="0D0D0D"/>
                                <w:sz w:val="18"/>
                                <w:szCs w:val="20"/>
                                <w:lang w:val="es-ES"/>
                              </w:rPr>
                              <w:t xml:space="preserve"> de </w:t>
                            </w:r>
                            <w:r w:rsidR="00C61543">
                              <w:rPr>
                                <w:rFonts w:ascii="Cambria" w:hAnsi="Cambria"/>
                                <w:color w:val="0D0D0D"/>
                                <w:sz w:val="18"/>
                                <w:szCs w:val="20"/>
                                <w:lang w:val="es-ES"/>
                              </w:rPr>
                              <w:t>octubre</w:t>
                            </w:r>
                            <w:r>
                              <w:rPr>
                                <w:rFonts w:ascii="Cambria" w:hAnsi="Cambria"/>
                                <w:color w:val="0D0D0D"/>
                                <w:sz w:val="18"/>
                                <w:szCs w:val="20"/>
                                <w:lang w:val="es-ES"/>
                              </w:rPr>
                              <w:t xml:space="preserve"> de 2021</w:t>
                            </w:r>
                            <w:r w:rsidR="00A04C13">
                              <w:rPr>
                                <w:rFonts w:ascii="Cambria" w:hAnsi="Cambria"/>
                                <w:color w:val="0D0D0D"/>
                                <w:sz w:val="18"/>
                                <w:szCs w:val="20"/>
                                <w:lang w:val="es-ES"/>
                              </w:rPr>
                              <w:t>.</w:t>
                            </w:r>
                            <w:r w:rsidRPr="00317DB1">
                              <w:rPr>
                                <w:rFonts w:ascii="Cambria" w:hAnsi="Cambria"/>
                                <w:color w:val="0D0D0D"/>
                                <w:sz w:val="18"/>
                                <w:szCs w:val="20"/>
                                <w:lang w:val="es-ES"/>
                              </w:rPr>
                              <w:br/>
                            </w:r>
                          </w:p>
                          <w:p w14:paraId="5B356615" w14:textId="77777777" w:rsidR="003767A6" w:rsidRPr="00317DB1" w:rsidRDefault="003767A6" w:rsidP="001B3677">
                            <w:pPr>
                              <w:tabs>
                                <w:tab w:val="center" w:pos="5400"/>
                              </w:tabs>
                              <w:suppressAutoHyphens/>
                              <w:spacing w:before="60"/>
                              <w:rPr>
                                <w:rFonts w:cs="Univers"/>
                                <w:color w:val="0D0D0D"/>
                                <w:sz w:val="20"/>
                                <w:szCs w:val="20"/>
                                <w:lang w:val="es-ES"/>
                              </w:rPr>
                            </w:pPr>
                          </w:p>
                          <w:p w14:paraId="2A9A1556" w14:textId="77777777" w:rsidR="003767A6" w:rsidRPr="00317DB1" w:rsidRDefault="003767A6" w:rsidP="001B3677">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078A"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" filled="f" stroked="f" strokeweight=".5pt">
                <v:textbox>
                  <w:txbxContent>
                    <w:p w14:paraId="296D251C" w14:textId="37B6217A" w:rsidR="003767A6" w:rsidRPr="00BD43D7" w:rsidRDefault="003767A6" w:rsidP="001B3677">
                      <w:pPr>
                        <w:tabs>
                          <w:tab w:val="center" w:pos="5400"/>
                        </w:tabs>
                        <w:suppressAutoHyphens/>
                        <w:spacing w:before="60"/>
                        <w:rPr>
                          <w:rFonts w:ascii="Cambria" w:hAnsi="Cambria" w:cs="Univers"/>
                          <w:color w:val="0D0D0D"/>
                          <w:sz w:val="18"/>
                          <w:szCs w:val="20"/>
                          <w:lang w:val="es-CO"/>
                        </w:rPr>
                      </w:pPr>
                      <w:r>
                        <w:rPr>
                          <w:rFonts w:ascii="Cambria" w:hAnsi="Cambria"/>
                          <w:color w:val="0D0D0D"/>
                          <w:sz w:val="18"/>
                          <w:szCs w:val="20"/>
                          <w:lang w:val="es-ES"/>
                        </w:rPr>
                        <w:t xml:space="preserve">Aprobado electrónicamente por la Comisión el </w:t>
                      </w:r>
                      <w:r w:rsidR="00C61543">
                        <w:rPr>
                          <w:rFonts w:ascii="Cambria" w:hAnsi="Cambria"/>
                          <w:color w:val="0D0D0D"/>
                          <w:sz w:val="18"/>
                          <w:szCs w:val="20"/>
                          <w:lang w:val="es-ES"/>
                        </w:rPr>
                        <w:t>5</w:t>
                      </w:r>
                      <w:r>
                        <w:rPr>
                          <w:rFonts w:ascii="Cambria" w:hAnsi="Cambria"/>
                          <w:color w:val="0D0D0D"/>
                          <w:sz w:val="18"/>
                          <w:szCs w:val="20"/>
                          <w:lang w:val="es-ES"/>
                        </w:rPr>
                        <w:t xml:space="preserve"> de </w:t>
                      </w:r>
                      <w:r w:rsidR="00C61543">
                        <w:rPr>
                          <w:rFonts w:ascii="Cambria" w:hAnsi="Cambria"/>
                          <w:color w:val="0D0D0D"/>
                          <w:sz w:val="18"/>
                          <w:szCs w:val="20"/>
                          <w:lang w:val="es-ES"/>
                        </w:rPr>
                        <w:t>octubre</w:t>
                      </w:r>
                      <w:r>
                        <w:rPr>
                          <w:rFonts w:ascii="Cambria" w:hAnsi="Cambria"/>
                          <w:color w:val="0D0D0D"/>
                          <w:sz w:val="18"/>
                          <w:szCs w:val="20"/>
                          <w:lang w:val="es-ES"/>
                        </w:rPr>
                        <w:t xml:space="preserve"> de 2021</w:t>
                      </w:r>
                      <w:r w:rsidR="00A04C13">
                        <w:rPr>
                          <w:rFonts w:ascii="Cambria" w:hAnsi="Cambria"/>
                          <w:color w:val="0D0D0D"/>
                          <w:sz w:val="18"/>
                          <w:szCs w:val="20"/>
                          <w:lang w:val="es-ES"/>
                        </w:rPr>
                        <w:t>.</w:t>
                      </w:r>
                      <w:r w:rsidRPr="00317DB1">
                        <w:rPr>
                          <w:rFonts w:ascii="Cambria" w:hAnsi="Cambria"/>
                          <w:color w:val="0D0D0D"/>
                          <w:sz w:val="18"/>
                          <w:szCs w:val="20"/>
                          <w:lang w:val="es-ES"/>
                        </w:rPr>
                        <w:br/>
                      </w:r>
                    </w:p>
                    <w:p w14:paraId="5B356615" w14:textId="77777777" w:rsidR="003767A6" w:rsidRPr="00317DB1" w:rsidRDefault="003767A6" w:rsidP="001B3677">
                      <w:pPr>
                        <w:tabs>
                          <w:tab w:val="center" w:pos="5400"/>
                        </w:tabs>
                        <w:suppressAutoHyphens/>
                        <w:spacing w:before="60"/>
                        <w:rPr>
                          <w:rFonts w:cs="Univers"/>
                          <w:color w:val="0D0D0D"/>
                          <w:sz w:val="20"/>
                          <w:szCs w:val="20"/>
                          <w:lang w:val="es-ES"/>
                        </w:rPr>
                      </w:pPr>
                    </w:p>
                    <w:p w14:paraId="2A9A1556" w14:textId="77777777" w:rsidR="003767A6" w:rsidRPr="00317DB1" w:rsidRDefault="003767A6" w:rsidP="001B3677">
                      <w:pPr>
                        <w:tabs>
                          <w:tab w:val="center" w:pos="5400"/>
                        </w:tabs>
                        <w:suppressAutoHyphens/>
                        <w:spacing w:before="60"/>
                        <w:rPr>
                          <w:color w:val="FFFFFF"/>
                          <w:spacing w:val="-2"/>
                          <w:sz w:val="16"/>
                          <w:lang w:val="es-ES"/>
                        </w:rPr>
                      </w:pPr>
                    </w:p>
                  </w:txbxContent>
                </v:textbox>
              </v:shape>
            </w:pict>
          </mc:Fallback>
        </mc:AlternateContent>
      </w:r>
    </w:p>
    <w:p w14:paraId="461316D5"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655FBB33"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49D7ADB"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87EE98B"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47D245F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r w:rsidRPr="00011738">
        <w:rPr>
          <w:noProof/>
        </w:rPr>
        <mc:AlternateContent>
          <mc:Choice Requires="wps">
            <w:drawing>
              <wp:anchor distT="0" distB="0" distL="114300" distR="114300" simplePos="0" relativeHeight="251664384" behindDoc="0" locked="0" layoutInCell="1" allowOverlap="1" wp14:anchorId="725552ED" wp14:editId="4E5B302E">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2424269D" w14:textId="72819584" w:rsidR="003767A6" w:rsidRPr="000227F1" w:rsidRDefault="003767A6" w:rsidP="00045386">
                            <w:pPr>
                              <w:jc w:val="both"/>
                              <w:rPr>
                                <w:rFonts w:ascii="Cambria" w:hAnsi="Cambria"/>
                                <w:color w:val="595959"/>
                                <w:sz w:val="18"/>
                                <w:szCs w:val="18"/>
                                <w:lang w:val="es-ES"/>
                              </w:rPr>
                            </w:pPr>
                            <w:r w:rsidRPr="00317DB1">
                              <w:rPr>
                                <w:rFonts w:ascii="Cambria" w:hAnsi="Cambria"/>
                                <w:b/>
                                <w:color w:val="595959"/>
                                <w:sz w:val="18"/>
                                <w:szCs w:val="18"/>
                                <w:lang w:val="pt-BR"/>
                              </w:rPr>
                              <w:t>Citar como:</w:t>
                            </w:r>
                            <w:r>
                              <w:rPr>
                                <w:rFonts w:ascii="Cambria" w:hAnsi="Cambria"/>
                                <w:color w:val="595959"/>
                                <w:sz w:val="18"/>
                                <w:szCs w:val="18"/>
                                <w:lang w:val="pt-BR"/>
                              </w:rPr>
                              <w:t xml:space="preserve"> CIDH. Informe No.</w:t>
                            </w:r>
                            <w:r w:rsidRPr="00317DB1">
                              <w:rPr>
                                <w:rFonts w:ascii="Cambria" w:hAnsi="Cambria"/>
                                <w:color w:val="595959"/>
                                <w:sz w:val="18"/>
                                <w:szCs w:val="18"/>
                                <w:lang w:val="pt-BR"/>
                              </w:rPr>
                              <w:t xml:space="preserve"> </w:t>
                            </w:r>
                            <w:r w:rsidR="00C61543">
                              <w:rPr>
                                <w:rFonts w:ascii="Cambria" w:hAnsi="Cambria"/>
                                <w:color w:val="595959"/>
                                <w:sz w:val="18"/>
                                <w:szCs w:val="18"/>
                                <w:lang w:val="es-US"/>
                              </w:rPr>
                              <w:t>268</w:t>
                            </w:r>
                            <w:r w:rsidRPr="00BD2F95">
                              <w:rPr>
                                <w:rFonts w:ascii="Cambria" w:hAnsi="Cambria"/>
                                <w:color w:val="595959"/>
                                <w:sz w:val="18"/>
                                <w:szCs w:val="18"/>
                                <w:lang w:val="es-US"/>
                              </w:rPr>
                              <w:t xml:space="preserve">/21. </w:t>
                            </w:r>
                            <w:r>
                              <w:rPr>
                                <w:rFonts w:ascii="Cambria" w:hAnsi="Cambria"/>
                                <w:color w:val="595959"/>
                                <w:sz w:val="18"/>
                                <w:szCs w:val="18"/>
                                <w:lang w:val="es-ES"/>
                              </w:rPr>
                              <w:t>Caso 12.681.</w:t>
                            </w:r>
                            <w:r w:rsidRPr="000227F1">
                              <w:rPr>
                                <w:rFonts w:ascii="Cambria" w:hAnsi="Cambria"/>
                                <w:color w:val="595959"/>
                                <w:sz w:val="18"/>
                                <w:szCs w:val="18"/>
                                <w:lang w:val="es-ES"/>
                              </w:rPr>
                              <w:t xml:space="preserve"> Fondo</w:t>
                            </w:r>
                            <w:r>
                              <w:rPr>
                                <w:rFonts w:ascii="Cambria" w:hAnsi="Cambria"/>
                                <w:color w:val="595959"/>
                                <w:sz w:val="18"/>
                                <w:szCs w:val="18"/>
                                <w:lang w:val="es-ES"/>
                              </w:rPr>
                              <w:t xml:space="preserve"> </w:t>
                            </w:r>
                            <w:r w:rsidRPr="00C61543">
                              <w:rPr>
                                <w:rFonts w:ascii="Cambria" w:hAnsi="Cambria"/>
                                <w:color w:val="595959"/>
                                <w:sz w:val="18"/>
                                <w:szCs w:val="18"/>
                                <w:lang w:val="es-ES"/>
                              </w:rPr>
                              <w:t>(Publicación</w:t>
                            </w:r>
                            <w:r>
                              <w:rPr>
                                <w:rFonts w:ascii="Cambria" w:hAnsi="Cambria"/>
                                <w:color w:val="595959"/>
                                <w:sz w:val="18"/>
                                <w:szCs w:val="18"/>
                                <w:lang w:val="es-ES"/>
                              </w:rPr>
                              <w:t>). Marcos Alejandro Martín. Argentina.</w:t>
                            </w:r>
                            <w:r w:rsidRPr="000227F1">
                              <w:rPr>
                                <w:rFonts w:ascii="Cambria" w:hAnsi="Cambria"/>
                                <w:color w:val="595959"/>
                                <w:sz w:val="18"/>
                                <w:szCs w:val="18"/>
                                <w:lang w:val="es-ES"/>
                              </w:rPr>
                              <w:t xml:space="preserve"> </w:t>
                            </w:r>
                            <w:r w:rsidR="00C61543">
                              <w:rPr>
                                <w:rFonts w:ascii="Cambria" w:hAnsi="Cambria"/>
                                <w:color w:val="595959"/>
                                <w:sz w:val="18"/>
                                <w:szCs w:val="18"/>
                                <w:lang w:val="es-ES"/>
                              </w:rPr>
                              <w:t>5</w:t>
                            </w:r>
                            <w:r>
                              <w:rPr>
                                <w:rFonts w:ascii="Cambria" w:hAnsi="Cambria"/>
                                <w:color w:val="595959"/>
                                <w:sz w:val="18"/>
                                <w:szCs w:val="18"/>
                                <w:lang w:val="es-ES"/>
                              </w:rPr>
                              <w:t xml:space="preserve"> de </w:t>
                            </w:r>
                            <w:r w:rsidR="00C61543" w:rsidRPr="00C61543">
                              <w:rPr>
                                <w:rFonts w:ascii="Cambria" w:hAnsi="Cambria"/>
                                <w:color w:val="595959"/>
                                <w:sz w:val="18"/>
                                <w:szCs w:val="18"/>
                                <w:lang w:val="es-ES"/>
                              </w:rPr>
                              <w:t>octu</w:t>
                            </w:r>
                            <w:r w:rsidRPr="00C61543">
                              <w:rPr>
                                <w:rFonts w:ascii="Cambria" w:hAnsi="Cambria"/>
                                <w:color w:val="595959"/>
                                <w:sz w:val="18"/>
                                <w:szCs w:val="18"/>
                                <w:lang w:val="es-ES"/>
                              </w:rPr>
                              <w:t>bre</w:t>
                            </w:r>
                            <w:r>
                              <w:rPr>
                                <w:rFonts w:ascii="Cambria" w:hAnsi="Cambria"/>
                                <w:color w:val="595959"/>
                                <w:sz w:val="18"/>
                                <w:szCs w:val="18"/>
                                <w:lang w:val="es-ES"/>
                              </w:rPr>
                              <w:t xml:space="preserve"> de 2021</w:t>
                            </w:r>
                            <w:r w:rsidRPr="000227F1">
                              <w:rPr>
                                <w:rFonts w:ascii="Cambria" w:hAnsi="Cambria"/>
                                <w:color w:val="595959"/>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52ED"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" filled="f" stroked="f" strokeweight=".5pt">
                <v:textbox>
                  <w:txbxContent>
                    <w:p w14:paraId="2424269D" w14:textId="72819584" w:rsidR="003767A6" w:rsidRPr="000227F1" w:rsidRDefault="003767A6" w:rsidP="00045386">
                      <w:pPr>
                        <w:jc w:val="both"/>
                        <w:rPr>
                          <w:rFonts w:ascii="Cambria" w:hAnsi="Cambria"/>
                          <w:color w:val="595959"/>
                          <w:sz w:val="18"/>
                          <w:szCs w:val="18"/>
                          <w:lang w:val="es-ES"/>
                        </w:rPr>
                      </w:pPr>
                      <w:r w:rsidRPr="00317DB1">
                        <w:rPr>
                          <w:rFonts w:ascii="Cambria" w:hAnsi="Cambria"/>
                          <w:b/>
                          <w:color w:val="595959"/>
                          <w:sz w:val="18"/>
                          <w:szCs w:val="18"/>
                          <w:lang w:val="pt-BR"/>
                        </w:rPr>
                        <w:t>Citar como:</w:t>
                      </w:r>
                      <w:r>
                        <w:rPr>
                          <w:rFonts w:ascii="Cambria" w:hAnsi="Cambria"/>
                          <w:color w:val="595959"/>
                          <w:sz w:val="18"/>
                          <w:szCs w:val="18"/>
                          <w:lang w:val="pt-BR"/>
                        </w:rPr>
                        <w:t xml:space="preserve"> CIDH. Informe No.</w:t>
                      </w:r>
                      <w:r w:rsidRPr="00317DB1">
                        <w:rPr>
                          <w:rFonts w:ascii="Cambria" w:hAnsi="Cambria"/>
                          <w:color w:val="595959"/>
                          <w:sz w:val="18"/>
                          <w:szCs w:val="18"/>
                          <w:lang w:val="pt-BR"/>
                        </w:rPr>
                        <w:t xml:space="preserve"> </w:t>
                      </w:r>
                      <w:r w:rsidR="00C61543">
                        <w:rPr>
                          <w:rFonts w:ascii="Cambria" w:hAnsi="Cambria"/>
                          <w:color w:val="595959"/>
                          <w:sz w:val="18"/>
                          <w:szCs w:val="18"/>
                          <w:lang w:val="es-US"/>
                        </w:rPr>
                        <w:t>268</w:t>
                      </w:r>
                      <w:r w:rsidRPr="00BD2F95">
                        <w:rPr>
                          <w:rFonts w:ascii="Cambria" w:hAnsi="Cambria"/>
                          <w:color w:val="595959"/>
                          <w:sz w:val="18"/>
                          <w:szCs w:val="18"/>
                          <w:lang w:val="es-US"/>
                        </w:rPr>
                        <w:t xml:space="preserve">/21. </w:t>
                      </w:r>
                      <w:r>
                        <w:rPr>
                          <w:rFonts w:ascii="Cambria" w:hAnsi="Cambria"/>
                          <w:color w:val="595959"/>
                          <w:sz w:val="18"/>
                          <w:szCs w:val="18"/>
                          <w:lang w:val="es-ES"/>
                        </w:rPr>
                        <w:t>Caso 12.681.</w:t>
                      </w:r>
                      <w:r w:rsidRPr="000227F1">
                        <w:rPr>
                          <w:rFonts w:ascii="Cambria" w:hAnsi="Cambria"/>
                          <w:color w:val="595959"/>
                          <w:sz w:val="18"/>
                          <w:szCs w:val="18"/>
                          <w:lang w:val="es-ES"/>
                        </w:rPr>
                        <w:t xml:space="preserve"> Fondo</w:t>
                      </w:r>
                      <w:r>
                        <w:rPr>
                          <w:rFonts w:ascii="Cambria" w:hAnsi="Cambria"/>
                          <w:color w:val="595959"/>
                          <w:sz w:val="18"/>
                          <w:szCs w:val="18"/>
                          <w:lang w:val="es-ES"/>
                        </w:rPr>
                        <w:t xml:space="preserve"> </w:t>
                      </w:r>
                      <w:r w:rsidRPr="00C61543">
                        <w:rPr>
                          <w:rFonts w:ascii="Cambria" w:hAnsi="Cambria"/>
                          <w:color w:val="595959"/>
                          <w:sz w:val="18"/>
                          <w:szCs w:val="18"/>
                          <w:lang w:val="es-ES"/>
                        </w:rPr>
                        <w:t>(Publicación</w:t>
                      </w:r>
                      <w:r>
                        <w:rPr>
                          <w:rFonts w:ascii="Cambria" w:hAnsi="Cambria"/>
                          <w:color w:val="595959"/>
                          <w:sz w:val="18"/>
                          <w:szCs w:val="18"/>
                          <w:lang w:val="es-ES"/>
                        </w:rPr>
                        <w:t>). Marcos Alejandro Martín. Argentina.</w:t>
                      </w:r>
                      <w:r w:rsidRPr="000227F1">
                        <w:rPr>
                          <w:rFonts w:ascii="Cambria" w:hAnsi="Cambria"/>
                          <w:color w:val="595959"/>
                          <w:sz w:val="18"/>
                          <w:szCs w:val="18"/>
                          <w:lang w:val="es-ES"/>
                        </w:rPr>
                        <w:t xml:space="preserve"> </w:t>
                      </w:r>
                      <w:r w:rsidR="00C61543">
                        <w:rPr>
                          <w:rFonts w:ascii="Cambria" w:hAnsi="Cambria"/>
                          <w:color w:val="595959"/>
                          <w:sz w:val="18"/>
                          <w:szCs w:val="18"/>
                          <w:lang w:val="es-ES"/>
                        </w:rPr>
                        <w:t>5</w:t>
                      </w:r>
                      <w:r>
                        <w:rPr>
                          <w:rFonts w:ascii="Cambria" w:hAnsi="Cambria"/>
                          <w:color w:val="595959"/>
                          <w:sz w:val="18"/>
                          <w:szCs w:val="18"/>
                          <w:lang w:val="es-ES"/>
                        </w:rPr>
                        <w:t xml:space="preserve"> de </w:t>
                      </w:r>
                      <w:r w:rsidR="00C61543" w:rsidRPr="00C61543">
                        <w:rPr>
                          <w:rFonts w:ascii="Cambria" w:hAnsi="Cambria"/>
                          <w:color w:val="595959"/>
                          <w:sz w:val="18"/>
                          <w:szCs w:val="18"/>
                          <w:lang w:val="es-ES"/>
                        </w:rPr>
                        <w:t>octu</w:t>
                      </w:r>
                      <w:r w:rsidRPr="00C61543">
                        <w:rPr>
                          <w:rFonts w:ascii="Cambria" w:hAnsi="Cambria"/>
                          <w:color w:val="595959"/>
                          <w:sz w:val="18"/>
                          <w:szCs w:val="18"/>
                          <w:lang w:val="es-ES"/>
                        </w:rPr>
                        <w:t>bre</w:t>
                      </w:r>
                      <w:r>
                        <w:rPr>
                          <w:rFonts w:ascii="Cambria" w:hAnsi="Cambria"/>
                          <w:color w:val="595959"/>
                          <w:sz w:val="18"/>
                          <w:szCs w:val="18"/>
                          <w:lang w:val="es-ES"/>
                        </w:rPr>
                        <w:t xml:space="preserve"> de 2021</w:t>
                      </w:r>
                      <w:r w:rsidRPr="000227F1">
                        <w:rPr>
                          <w:rFonts w:ascii="Cambria" w:hAnsi="Cambria"/>
                          <w:color w:val="595959"/>
                          <w:sz w:val="18"/>
                          <w:szCs w:val="18"/>
                          <w:lang w:val="es-ES"/>
                        </w:rPr>
                        <w:t xml:space="preserve">. </w:t>
                      </w:r>
                    </w:p>
                  </w:txbxContent>
                </v:textbox>
              </v:shape>
            </w:pict>
          </mc:Fallback>
        </mc:AlternateContent>
      </w:r>
    </w:p>
    <w:p w14:paraId="68D432EF" w14:textId="77777777" w:rsidR="001B3677" w:rsidRPr="00011738" w:rsidRDefault="001B3677" w:rsidP="001B3677">
      <w:pPr>
        <w:tabs>
          <w:tab w:val="center" w:pos="5400"/>
        </w:tabs>
        <w:suppressAutoHyphens/>
        <w:spacing w:after="0" w:line="240" w:lineRule="auto"/>
        <w:ind w:firstLine="567"/>
        <w:jc w:val="center"/>
        <w:rPr>
          <w:rFonts w:ascii="Cambria" w:hAnsi="Cambria"/>
          <w:sz w:val="20"/>
          <w:szCs w:val="20"/>
        </w:rPr>
      </w:pPr>
    </w:p>
    <w:p w14:paraId="2FB2D8DC" w14:textId="007E8006" w:rsidR="001B3677" w:rsidRPr="00011738" w:rsidRDefault="00BE44F1" w:rsidP="001B3677">
      <w:pPr>
        <w:tabs>
          <w:tab w:val="center" w:pos="5400"/>
        </w:tabs>
        <w:suppressAutoHyphens/>
        <w:spacing w:after="0" w:line="240" w:lineRule="auto"/>
        <w:ind w:firstLine="567"/>
        <w:jc w:val="center"/>
        <w:rPr>
          <w:rFonts w:ascii="Cambria" w:hAnsi="Cambria"/>
          <w:b/>
          <w:sz w:val="20"/>
          <w:szCs w:val="20"/>
        </w:rPr>
      </w:pPr>
      <w:r w:rsidRPr="00011738">
        <w:rPr>
          <w:noProof/>
        </w:rPr>
        <mc:AlternateContent>
          <mc:Choice Requires="wps">
            <w:drawing>
              <wp:anchor distT="0" distB="0" distL="114300" distR="114300" simplePos="0" relativeHeight="251666432" behindDoc="0" locked="0" layoutInCell="1" allowOverlap="1" wp14:anchorId="1909637C" wp14:editId="5FD100A4">
                <wp:simplePos x="0" y="0"/>
                <wp:positionH relativeFrom="column">
                  <wp:posOffset>-271780</wp:posOffset>
                </wp:positionH>
                <wp:positionV relativeFrom="paragraph">
                  <wp:posOffset>851947</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21434997" w14:textId="77777777" w:rsidR="003767A6" w:rsidRPr="00317DB1" w:rsidRDefault="003767A6" w:rsidP="001B3677">
                            <w:pPr>
                              <w:jc w:val="center"/>
                              <w:rPr>
                                <w:b/>
                                <w:color w:val="FFFFFF"/>
                              </w:rPr>
                            </w:pPr>
                            <w:r w:rsidRPr="00317DB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637C" id="Text Box 4" o:spid="_x0000_s1031" type="#_x0000_t202" style="position:absolute;left:0;text-align:left;margin-left:-21.4pt;margin-top:67.1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qO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qKZ&#10;Qom2ovPkC3RkG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" filled="f" stroked="f" strokeweight=".5pt">
                <v:textbox>
                  <w:txbxContent>
                    <w:p w14:paraId="21434997" w14:textId="77777777" w:rsidR="003767A6" w:rsidRPr="00317DB1" w:rsidRDefault="003767A6" w:rsidP="001B3677">
                      <w:pPr>
                        <w:jc w:val="center"/>
                        <w:rPr>
                          <w:b/>
                          <w:color w:val="FFFFFF"/>
                        </w:rPr>
                      </w:pPr>
                      <w:r w:rsidRPr="00317DB1">
                        <w:rPr>
                          <w:b/>
                          <w:color w:val="FFFFFF"/>
                          <w:lang w:val="pt-BR"/>
                        </w:rPr>
                        <w:t>www.cidh.org</w:t>
                      </w:r>
                    </w:p>
                  </w:txbxContent>
                </v:textbox>
              </v:shape>
            </w:pict>
          </mc:Fallback>
        </mc:AlternateContent>
      </w:r>
      <w:r w:rsidR="001B3677" w:rsidRPr="00011738">
        <w:rPr>
          <w:noProof/>
        </w:rPr>
        <mc:AlternateContent>
          <mc:Choice Requires="wps">
            <w:drawing>
              <wp:anchor distT="0" distB="0" distL="114300" distR="114300" simplePos="0" relativeHeight="251665408" behindDoc="0" locked="0" layoutInCell="1" allowOverlap="1" wp14:anchorId="1B5425B6" wp14:editId="10021863">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4682AB27" w14:textId="2E473850" w:rsidR="003767A6" w:rsidRPr="00317DB1" w:rsidRDefault="003767A6" w:rsidP="001B3677">
                            <w:pPr>
                              <w:rPr>
                                <w:color w:val="FFFFFF"/>
                              </w:rPr>
                            </w:pPr>
                            <w:r>
                              <w:rPr>
                                <w:noProof/>
                                <w:color w:val="FFFFFF" w:themeColor="background1"/>
                              </w:rPr>
                              <w:drawing>
                                <wp:inline distT="0" distB="0" distL="0" distR="0" wp14:anchorId="2C90BD2C" wp14:editId="37275040">
                                  <wp:extent cx="1658203" cy="4265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8203" cy="426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425B6" id="Text Box 9" o:spid="_x0000_s1032"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F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" fillcolor="window" stroked="f" strokeweight=".5pt">
                <v:textbox>
                  <w:txbxContent>
                    <w:p w14:paraId="4682AB27" w14:textId="2E473850" w:rsidR="003767A6" w:rsidRPr="00317DB1" w:rsidRDefault="003767A6" w:rsidP="001B3677">
                      <w:pPr>
                        <w:rPr>
                          <w:color w:val="FFFFFF"/>
                        </w:rPr>
                      </w:pPr>
                      <w:r>
                        <w:rPr>
                          <w:noProof/>
                          <w:color w:val="FFFFFF" w:themeColor="background1"/>
                        </w:rPr>
                        <w:drawing>
                          <wp:inline distT="0" distB="0" distL="0" distR="0" wp14:anchorId="2C90BD2C" wp14:editId="37275040">
                            <wp:extent cx="1658203" cy="4265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8203" cy="426527"/>
                                    </a:xfrm>
                                    <a:prstGeom prst="rect">
                                      <a:avLst/>
                                    </a:prstGeom>
                                  </pic:spPr>
                                </pic:pic>
                              </a:graphicData>
                            </a:graphic>
                          </wp:inline>
                        </w:drawing>
                      </w:r>
                    </w:p>
                  </w:txbxContent>
                </v:textbox>
              </v:shape>
            </w:pict>
          </mc:Fallback>
        </mc:AlternateContent>
      </w:r>
    </w:p>
    <w:p w14:paraId="7B36482F" w14:textId="77777777" w:rsidR="001B3677" w:rsidRPr="00011738" w:rsidRDefault="001B3677" w:rsidP="001B3677">
      <w:pPr>
        <w:tabs>
          <w:tab w:val="center" w:pos="5400"/>
        </w:tabs>
        <w:suppressAutoHyphens/>
        <w:spacing w:after="0" w:line="240" w:lineRule="auto"/>
        <w:ind w:firstLine="567"/>
        <w:jc w:val="center"/>
        <w:rPr>
          <w:rFonts w:ascii="Cambria" w:hAnsi="Cambria"/>
          <w:b/>
          <w:sz w:val="20"/>
          <w:szCs w:val="20"/>
        </w:rPr>
        <w:sectPr w:rsidR="001B3677" w:rsidRPr="00011738" w:rsidSect="00852AF5">
          <w:headerReference w:type="even" r:id="rId12"/>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26"/>
        </w:sectPr>
      </w:pPr>
    </w:p>
    <w:p w14:paraId="45B6909B" w14:textId="77777777" w:rsidR="001B3677" w:rsidRPr="00011738" w:rsidRDefault="001B3677" w:rsidP="00045386">
      <w:pPr>
        <w:tabs>
          <w:tab w:val="center" w:pos="5400"/>
        </w:tabs>
        <w:suppressAutoHyphens/>
        <w:spacing w:after="0" w:line="240" w:lineRule="auto"/>
        <w:rPr>
          <w:rFonts w:ascii="Cambria" w:hAnsi="Cambria"/>
          <w:sz w:val="20"/>
          <w:szCs w:val="20"/>
        </w:rPr>
      </w:pPr>
    </w:p>
    <w:p w14:paraId="07D674EF" w14:textId="77777777" w:rsidR="001B3677" w:rsidRPr="00216C4E" w:rsidRDefault="001B3677" w:rsidP="00045386">
      <w:pPr>
        <w:tabs>
          <w:tab w:val="center" w:pos="5400"/>
        </w:tabs>
        <w:suppressAutoHyphens/>
        <w:spacing w:after="0" w:line="240" w:lineRule="auto"/>
        <w:jc w:val="center"/>
        <w:rPr>
          <w:rFonts w:ascii="Cambria" w:hAnsi="Cambria"/>
          <w:b/>
          <w:sz w:val="24"/>
          <w:szCs w:val="24"/>
        </w:rPr>
      </w:pPr>
      <w:r w:rsidRPr="00216C4E">
        <w:rPr>
          <w:rFonts w:ascii="Cambria" w:hAnsi="Cambria"/>
          <w:b/>
          <w:sz w:val="24"/>
          <w:szCs w:val="24"/>
        </w:rPr>
        <w:t>ÍNDICE</w:t>
      </w:r>
    </w:p>
    <w:p w14:paraId="4950BA82" w14:textId="77777777" w:rsidR="00EC291A" w:rsidRDefault="00EC291A" w:rsidP="001B3677">
      <w:pPr>
        <w:tabs>
          <w:tab w:val="center" w:pos="5400"/>
        </w:tabs>
        <w:suppressAutoHyphens/>
        <w:spacing w:after="0" w:line="240" w:lineRule="auto"/>
        <w:ind w:firstLine="567"/>
        <w:jc w:val="center"/>
        <w:rPr>
          <w:rFonts w:ascii="Cambria" w:hAnsi="Cambria"/>
          <w:b/>
          <w:sz w:val="20"/>
          <w:szCs w:val="20"/>
        </w:rPr>
      </w:pPr>
    </w:p>
    <w:p w14:paraId="58116A75" w14:textId="77777777" w:rsidR="000227F1" w:rsidRPr="00011738" w:rsidRDefault="000227F1" w:rsidP="001B3677">
      <w:pPr>
        <w:tabs>
          <w:tab w:val="center" w:pos="5400"/>
        </w:tabs>
        <w:suppressAutoHyphens/>
        <w:spacing w:after="0" w:line="240" w:lineRule="auto"/>
        <w:ind w:firstLine="567"/>
        <w:jc w:val="center"/>
        <w:rPr>
          <w:rFonts w:ascii="Cambria" w:hAnsi="Cambria"/>
          <w:b/>
          <w:sz w:val="20"/>
          <w:szCs w:val="20"/>
        </w:rPr>
      </w:pPr>
    </w:p>
    <w:p w14:paraId="68574E5B" w14:textId="6B819E6C" w:rsidR="00FB791D" w:rsidRPr="00A04C13" w:rsidRDefault="002D3696">
      <w:pPr>
        <w:pStyle w:val="TOC1"/>
        <w:rPr>
          <w:rFonts w:eastAsiaTheme="minorEastAsia" w:cstheme="minorBidi"/>
          <w:b w:val="0"/>
          <w:bdr w:val="none" w:sz="0" w:space="0" w:color="auto"/>
          <w:lang w:val="es-US" w:eastAsia="zh-CN"/>
        </w:rPr>
      </w:pPr>
      <w:r w:rsidRPr="00A04C13">
        <w:rPr>
          <w:b w:val="0"/>
          <w:lang w:val="es-CO"/>
        </w:rPr>
        <w:fldChar w:fldCharType="begin"/>
      </w:r>
      <w:r w:rsidRPr="00A04C13">
        <w:rPr>
          <w:b w:val="0"/>
          <w:lang w:val="es-CO"/>
        </w:rPr>
        <w:instrText xml:space="preserve"> TOC \o "1-3" \h \z \u </w:instrText>
      </w:r>
      <w:r w:rsidRPr="00A04C13">
        <w:rPr>
          <w:b w:val="0"/>
          <w:lang w:val="es-CO"/>
        </w:rPr>
        <w:fldChar w:fldCharType="separate"/>
      </w:r>
      <w:hyperlink w:anchor="_Toc84427117" w:history="1">
        <w:r w:rsidR="00FB791D" w:rsidRPr="00A04C13">
          <w:rPr>
            <w:rStyle w:val="Hyperlink"/>
          </w:rPr>
          <w:t>I.</w:t>
        </w:r>
        <w:r w:rsidR="00FB791D" w:rsidRPr="00A04C13">
          <w:rPr>
            <w:rFonts w:eastAsiaTheme="minorEastAsia" w:cstheme="minorBidi"/>
            <w:b w:val="0"/>
            <w:bdr w:val="none" w:sz="0" w:space="0" w:color="auto"/>
            <w:lang w:val="es-US" w:eastAsia="zh-CN"/>
          </w:rPr>
          <w:tab/>
        </w:r>
        <w:r w:rsidR="00FB791D" w:rsidRPr="00A04C13">
          <w:rPr>
            <w:rStyle w:val="Hyperlink"/>
          </w:rPr>
          <w:t>RESUMEN</w:t>
        </w:r>
        <w:r w:rsidR="00FB791D" w:rsidRPr="00A04C13">
          <w:rPr>
            <w:webHidden/>
          </w:rPr>
          <w:tab/>
        </w:r>
        <w:r w:rsidR="00FB791D" w:rsidRPr="00A04C13">
          <w:rPr>
            <w:webHidden/>
          </w:rPr>
          <w:fldChar w:fldCharType="begin"/>
        </w:r>
        <w:r w:rsidR="00FB791D" w:rsidRPr="00A04C13">
          <w:rPr>
            <w:webHidden/>
          </w:rPr>
          <w:instrText xml:space="preserve"> PAGEREF _Toc84427117 \h </w:instrText>
        </w:r>
        <w:r w:rsidR="00FB791D" w:rsidRPr="00A04C13">
          <w:rPr>
            <w:webHidden/>
          </w:rPr>
        </w:r>
        <w:r w:rsidR="00FB791D" w:rsidRPr="00A04C13">
          <w:rPr>
            <w:webHidden/>
          </w:rPr>
          <w:fldChar w:fldCharType="separate"/>
        </w:r>
        <w:r w:rsidR="00FB791D" w:rsidRPr="00A04C13">
          <w:rPr>
            <w:webHidden/>
          </w:rPr>
          <w:t>2</w:t>
        </w:r>
        <w:r w:rsidR="00FB791D" w:rsidRPr="00A04C13">
          <w:rPr>
            <w:webHidden/>
          </w:rPr>
          <w:fldChar w:fldCharType="end"/>
        </w:r>
      </w:hyperlink>
    </w:p>
    <w:p w14:paraId="7865F942" w14:textId="6D40A58F" w:rsidR="00FB791D" w:rsidRPr="00A04C13" w:rsidRDefault="00CB0BA3">
      <w:pPr>
        <w:pStyle w:val="TOC1"/>
        <w:rPr>
          <w:rFonts w:eastAsiaTheme="minorEastAsia" w:cstheme="minorBidi"/>
          <w:b w:val="0"/>
          <w:bdr w:val="none" w:sz="0" w:space="0" w:color="auto"/>
          <w:lang w:val="es-US" w:eastAsia="zh-CN"/>
        </w:rPr>
      </w:pPr>
      <w:hyperlink w:anchor="_Toc84427118" w:history="1">
        <w:r w:rsidR="00FB791D" w:rsidRPr="00A04C13">
          <w:rPr>
            <w:rStyle w:val="Hyperlink"/>
          </w:rPr>
          <w:t>II.</w:t>
        </w:r>
        <w:r w:rsidR="00FB791D" w:rsidRPr="00A04C13">
          <w:rPr>
            <w:rFonts w:eastAsiaTheme="minorEastAsia" w:cstheme="minorBidi"/>
            <w:b w:val="0"/>
            <w:bdr w:val="none" w:sz="0" w:space="0" w:color="auto"/>
            <w:lang w:val="es-US" w:eastAsia="zh-CN"/>
          </w:rPr>
          <w:tab/>
        </w:r>
        <w:r w:rsidR="00FB791D" w:rsidRPr="00A04C13">
          <w:rPr>
            <w:rStyle w:val="Hyperlink"/>
          </w:rPr>
          <w:t>TRÁMITE</w:t>
        </w:r>
        <w:r w:rsidR="00FB791D" w:rsidRPr="00A04C13">
          <w:rPr>
            <w:webHidden/>
          </w:rPr>
          <w:tab/>
        </w:r>
        <w:r w:rsidR="00FB791D" w:rsidRPr="00A04C13">
          <w:rPr>
            <w:webHidden/>
          </w:rPr>
          <w:fldChar w:fldCharType="begin"/>
        </w:r>
        <w:r w:rsidR="00FB791D" w:rsidRPr="00A04C13">
          <w:rPr>
            <w:webHidden/>
          </w:rPr>
          <w:instrText xml:space="preserve"> PAGEREF _Toc84427118 \h </w:instrText>
        </w:r>
        <w:r w:rsidR="00FB791D" w:rsidRPr="00A04C13">
          <w:rPr>
            <w:webHidden/>
          </w:rPr>
        </w:r>
        <w:r w:rsidR="00FB791D" w:rsidRPr="00A04C13">
          <w:rPr>
            <w:webHidden/>
          </w:rPr>
          <w:fldChar w:fldCharType="separate"/>
        </w:r>
        <w:r w:rsidR="00FB791D" w:rsidRPr="00A04C13">
          <w:rPr>
            <w:webHidden/>
          </w:rPr>
          <w:t>2</w:t>
        </w:r>
        <w:r w:rsidR="00FB791D" w:rsidRPr="00A04C13">
          <w:rPr>
            <w:webHidden/>
          </w:rPr>
          <w:fldChar w:fldCharType="end"/>
        </w:r>
      </w:hyperlink>
    </w:p>
    <w:p w14:paraId="7B185102" w14:textId="1394E567" w:rsidR="00FB791D" w:rsidRPr="00A04C13" w:rsidRDefault="00CB0BA3">
      <w:pPr>
        <w:pStyle w:val="TOC1"/>
        <w:rPr>
          <w:rFonts w:eastAsiaTheme="minorEastAsia" w:cstheme="minorBidi"/>
          <w:b w:val="0"/>
          <w:bdr w:val="none" w:sz="0" w:space="0" w:color="auto"/>
          <w:lang w:val="es-US" w:eastAsia="zh-CN"/>
        </w:rPr>
      </w:pPr>
      <w:hyperlink w:anchor="_Toc84427119" w:history="1">
        <w:r w:rsidR="00FB791D" w:rsidRPr="00A04C13">
          <w:rPr>
            <w:rStyle w:val="Hyperlink"/>
          </w:rPr>
          <w:t>III.</w:t>
        </w:r>
        <w:r w:rsidR="00FB791D" w:rsidRPr="00A04C13">
          <w:rPr>
            <w:rFonts w:eastAsiaTheme="minorEastAsia" w:cstheme="minorBidi"/>
            <w:b w:val="0"/>
            <w:bdr w:val="none" w:sz="0" w:space="0" w:color="auto"/>
            <w:lang w:val="es-US" w:eastAsia="zh-CN"/>
          </w:rPr>
          <w:tab/>
        </w:r>
        <w:r w:rsidR="00FB791D" w:rsidRPr="00A04C13">
          <w:rPr>
            <w:rStyle w:val="Hyperlink"/>
          </w:rPr>
          <w:t>ALEGATOS DE LAS PARTES</w:t>
        </w:r>
        <w:r w:rsidR="00FB791D" w:rsidRPr="00A04C13">
          <w:rPr>
            <w:webHidden/>
          </w:rPr>
          <w:tab/>
        </w:r>
        <w:r w:rsidR="00FB791D" w:rsidRPr="00A04C13">
          <w:rPr>
            <w:webHidden/>
          </w:rPr>
          <w:fldChar w:fldCharType="begin"/>
        </w:r>
        <w:r w:rsidR="00FB791D" w:rsidRPr="00A04C13">
          <w:rPr>
            <w:webHidden/>
          </w:rPr>
          <w:instrText xml:space="preserve"> PAGEREF _Toc84427119 \h </w:instrText>
        </w:r>
        <w:r w:rsidR="00FB791D" w:rsidRPr="00A04C13">
          <w:rPr>
            <w:webHidden/>
          </w:rPr>
        </w:r>
        <w:r w:rsidR="00FB791D" w:rsidRPr="00A04C13">
          <w:rPr>
            <w:webHidden/>
          </w:rPr>
          <w:fldChar w:fldCharType="separate"/>
        </w:r>
        <w:r w:rsidR="00FB791D" w:rsidRPr="00A04C13">
          <w:rPr>
            <w:webHidden/>
          </w:rPr>
          <w:t>2</w:t>
        </w:r>
        <w:r w:rsidR="00FB791D" w:rsidRPr="00A04C13">
          <w:rPr>
            <w:webHidden/>
          </w:rPr>
          <w:fldChar w:fldCharType="end"/>
        </w:r>
      </w:hyperlink>
    </w:p>
    <w:p w14:paraId="6EE8B9A0" w14:textId="717D3DE9" w:rsidR="00FB791D" w:rsidRPr="00A04C13" w:rsidRDefault="00CB0BA3">
      <w:pPr>
        <w:pStyle w:val="TOC2"/>
        <w:rPr>
          <w:rFonts w:ascii="Cambria" w:eastAsiaTheme="minorEastAsia" w:hAnsi="Cambria" w:cstheme="minorBidi"/>
          <w:noProof/>
          <w:sz w:val="20"/>
          <w:szCs w:val="20"/>
          <w:bdr w:val="none" w:sz="0" w:space="0" w:color="auto"/>
          <w:lang w:val="es-US" w:eastAsia="zh-CN"/>
        </w:rPr>
      </w:pPr>
      <w:hyperlink w:anchor="_Toc84427120" w:history="1">
        <w:r w:rsidR="00FB791D" w:rsidRPr="00A04C13">
          <w:rPr>
            <w:rStyle w:val="Hyperlink"/>
            <w:rFonts w:ascii="Cambria" w:hAnsi="Cambria"/>
            <w:noProof/>
            <w:sz w:val="20"/>
            <w:szCs w:val="20"/>
          </w:rPr>
          <w:t>A.</w:t>
        </w:r>
        <w:r w:rsidR="00FB791D" w:rsidRPr="00A04C13">
          <w:rPr>
            <w:rFonts w:ascii="Cambria" w:eastAsiaTheme="minorEastAsia" w:hAnsi="Cambria" w:cstheme="minorBidi"/>
            <w:noProof/>
            <w:sz w:val="20"/>
            <w:szCs w:val="20"/>
            <w:bdr w:val="none" w:sz="0" w:space="0" w:color="auto"/>
            <w:lang w:val="es-US" w:eastAsia="zh-CN"/>
          </w:rPr>
          <w:tab/>
        </w:r>
        <w:r w:rsidR="00FB791D" w:rsidRPr="00A04C13">
          <w:rPr>
            <w:rStyle w:val="Hyperlink"/>
            <w:rFonts w:ascii="Cambria" w:hAnsi="Cambria"/>
            <w:noProof/>
            <w:sz w:val="20"/>
            <w:szCs w:val="20"/>
          </w:rPr>
          <w:t>Parte peticionaria</w:t>
        </w:r>
        <w:r w:rsidR="00FB791D" w:rsidRPr="00A04C13">
          <w:rPr>
            <w:rFonts w:ascii="Cambria" w:hAnsi="Cambria"/>
            <w:noProof/>
            <w:webHidden/>
            <w:sz w:val="20"/>
            <w:szCs w:val="20"/>
          </w:rPr>
          <w:tab/>
        </w:r>
        <w:r w:rsidR="00FB791D" w:rsidRPr="00A04C13">
          <w:rPr>
            <w:rFonts w:ascii="Cambria" w:hAnsi="Cambria"/>
            <w:noProof/>
            <w:webHidden/>
            <w:sz w:val="20"/>
            <w:szCs w:val="20"/>
          </w:rPr>
          <w:fldChar w:fldCharType="begin"/>
        </w:r>
        <w:r w:rsidR="00FB791D" w:rsidRPr="00A04C13">
          <w:rPr>
            <w:rFonts w:ascii="Cambria" w:hAnsi="Cambria"/>
            <w:noProof/>
            <w:webHidden/>
            <w:sz w:val="20"/>
            <w:szCs w:val="20"/>
          </w:rPr>
          <w:instrText xml:space="preserve"> PAGEREF _Toc84427120 \h </w:instrText>
        </w:r>
        <w:r w:rsidR="00FB791D" w:rsidRPr="00A04C13">
          <w:rPr>
            <w:rFonts w:ascii="Cambria" w:hAnsi="Cambria"/>
            <w:noProof/>
            <w:webHidden/>
            <w:sz w:val="20"/>
            <w:szCs w:val="20"/>
          </w:rPr>
        </w:r>
        <w:r w:rsidR="00FB791D" w:rsidRPr="00A04C13">
          <w:rPr>
            <w:rFonts w:ascii="Cambria" w:hAnsi="Cambria"/>
            <w:noProof/>
            <w:webHidden/>
            <w:sz w:val="20"/>
            <w:szCs w:val="20"/>
          </w:rPr>
          <w:fldChar w:fldCharType="separate"/>
        </w:r>
        <w:r w:rsidR="00FB791D" w:rsidRPr="00A04C13">
          <w:rPr>
            <w:rFonts w:ascii="Cambria" w:hAnsi="Cambria"/>
            <w:noProof/>
            <w:webHidden/>
            <w:sz w:val="20"/>
            <w:szCs w:val="20"/>
          </w:rPr>
          <w:t>2</w:t>
        </w:r>
        <w:r w:rsidR="00FB791D" w:rsidRPr="00A04C13">
          <w:rPr>
            <w:rFonts w:ascii="Cambria" w:hAnsi="Cambria"/>
            <w:noProof/>
            <w:webHidden/>
            <w:sz w:val="20"/>
            <w:szCs w:val="20"/>
          </w:rPr>
          <w:fldChar w:fldCharType="end"/>
        </w:r>
      </w:hyperlink>
    </w:p>
    <w:p w14:paraId="712631B9" w14:textId="3D23D979" w:rsidR="00FB791D" w:rsidRPr="00A04C13" w:rsidRDefault="00CB0BA3">
      <w:pPr>
        <w:pStyle w:val="TOC2"/>
        <w:rPr>
          <w:rFonts w:ascii="Cambria" w:eastAsiaTheme="minorEastAsia" w:hAnsi="Cambria" w:cstheme="minorBidi"/>
          <w:noProof/>
          <w:sz w:val="20"/>
          <w:szCs w:val="20"/>
          <w:bdr w:val="none" w:sz="0" w:space="0" w:color="auto"/>
          <w:lang w:val="es-US" w:eastAsia="zh-CN"/>
        </w:rPr>
      </w:pPr>
      <w:hyperlink w:anchor="_Toc84427121" w:history="1">
        <w:r w:rsidR="00FB791D" w:rsidRPr="00A04C13">
          <w:rPr>
            <w:rStyle w:val="Hyperlink"/>
            <w:rFonts w:ascii="Cambria" w:eastAsia="MS Gothic" w:hAnsi="Cambria"/>
            <w:noProof/>
            <w:sz w:val="20"/>
            <w:szCs w:val="20"/>
          </w:rPr>
          <w:t>B.</w:t>
        </w:r>
        <w:r w:rsidR="00FB791D" w:rsidRPr="00A04C13">
          <w:rPr>
            <w:rFonts w:ascii="Cambria" w:eastAsiaTheme="minorEastAsia" w:hAnsi="Cambria" w:cstheme="minorBidi"/>
            <w:noProof/>
            <w:sz w:val="20"/>
            <w:szCs w:val="20"/>
            <w:bdr w:val="none" w:sz="0" w:space="0" w:color="auto"/>
            <w:lang w:val="es-US" w:eastAsia="zh-CN"/>
          </w:rPr>
          <w:tab/>
        </w:r>
        <w:r w:rsidR="00FB791D" w:rsidRPr="00A04C13">
          <w:rPr>
            <w:rStyle w:val="Hyperlink"/>
            <w:rFonts w:ascii="Cambria" w:eastAsia="MS Gothic" w:hAnsi="Cambria"/>
            <w:noProof/>
            <w:sz w:val="20"/>
            <w:szCs w:val="20"/>
          </w:rPr>
          <w:t>Estado</w:t>
        </w:r>
        <w:r w:rsidR="00FB791D" w:rsidRPr="00A04C13">
          <w:rPr>
            <w:rFonts w:ascii="Cambria" w:hAnsi="Cambria"/>
            <w:noProof/>
            <w:webHidden/>
            <w:sz w:val="20"/>
            <w:szCs w:val="20"/>
          </w:rPr>
          <w:tab/>
        </w:r>
        <w:r w:rsidR="00FB791D" w:rsidRPr="00A04C13">
          <w:rPr>
            <w:rFonts w:ascii="Cambria" w:hAnsi="Cambria"/>
            <w:noProof/>
            <w:webHidden/>
            <w:sz w:val="20"/>
            <w:szCs w:val="20"/>
          </w:rPr>
          <w:fldChar w:fldCharType="begin"/>
        </w:r>
        <w:r w:rsidR="00FB791D" w:rsidRPr="00A04C13">
          <w:rPr>
            <w:rFonts w:ascii="Cambria" w:hAnsi="Cambria"/>
            <w:noProof/>
            <w:webHidden/>
            <w:sz w:val="20"/>
            <w:szCs w:val="20"/>
          </w:rPr>
          <w:instrText xml:space="preserve"> PAGEREF _Toc84427121 \h </w:instrText>
        </w:r>
        <w:r w:rsidR="00FB791D" w:rsidRPr="00A04C13">
          <w:rPr>
            <w:rFonts w:ascii="Cambria" w:hAnsi="Cambria"/>
            <w:noProof/>
            <w:webHidden/>
            <w:sz w:val="20"/>
            <w:szCs w:val="20"/>
          </w:rPr>
        </w:r>
        <w:r w:rsidR="00FB791D" w:rsidRPr="00A04C13">
          <w:rPr>
            <w:rFonts w:ascii="Cambria" w:hAnsi="Cambria"/>
            <w:noProof/>
            <w:webHidden/>
            <w:sz w:val="20"/>
            <w:szCs w:val="20"/>
          </w:rPr>
          <w:fldChar w:fldCharType="separate"/>
        </w:r>
        <w:r w:rsidR="00FB791D" w:rsidRPr="00A04C13">
          <w:rPr>
            <w:rFonts w:ascii="Cambria" w:hAnsi="Cambria"/>
            <w:noProof/>
            <w:webHidden/>
            <w:sz w:val="20"/>
            <w:szCs w:val="20"/>
          </w:rPr>
          <w:t>3</w:t>
        </w:r>
        <w:r w:rsidR="00FB791D" w:rsidRPr="00A04C13">
          <w:rPr>
            <w:rFonts w:ascii="Cambria" w:hAnsi="Cambria"/>
            <w:noProof/>
            <w:webHidden/>
            <w:sz w:val="20"/>
            <w:szCs w:val="20"/>
          </w:rPr>
          <w:fldChar w:fldCharType="end"/>
        </w:r>
      </w:hyperlink>
    </w:p>
    <w:p w14:paraId="614E771F" w14:textId="306F1621" w:rsidR="00FB791D" w:rsidRPr="00A04C13" w:rsidRDefault="00CB0BA3">
      <w:pPr>
        <w:pStyle w:val="TOC1"/>
        <w:rPr>
          <w:rFonts w:eastAsiaTheme="minorEastAsia" w:cstheme="minorBidi"/>
          <w:b w:val="0"/>
          <w:bdr w:val="none" w:sz="0" w:space="0" w:color="auto"/>
          <w:lang w:val="es-US" w:eastAsia="zh-CN"/>
        </w:rPr>
      </w:pPr>
      <w:hyperlink w:anchor="_Toc84427122" w:history="1">
        <w:r w:rsidR="00FB791D" w:rsidRPr="00A04C13">
          <w:rPr>
            <w:rStyle w:val="Hyperlink"/>
            <w:lang w:val="es-MX"/>
          </w:rPr>
          <w:t>IV.</w:t>
        </w:r>
        <w:r w:rsidR="00FB791D" w:rsidRPr="00A04C13">
          <w:rPr>
            <w:rFonts w:eastAsiaTheme="minorEastAsia" w:cstheme="minorBidi"/>
            <w:b w:val="0"/>
            <w:bdr w:val="none" w:sz="0" w:space="0" w:color="auto"/>
            <w:lang w:val="es-US" w:eastAsia="zh-CN"/>
          </w:rPr>
          <w:tab/>
        </w:r>
        <w:r w:rsidR="00FB791D" w:rsidRPr="00A04C13">
          <w:rPr>
            <w:rStyle w:val="Hyperlink"/>
            <w:lang w:val="es-MX"/>
          </w:rPr>
          <w:t>DETERMINACIONES DE HECHO</w:t>
        </w:r>
        <w:r w:rsidR="00FB791D" w:rsidRPr="00A04C13">
          <w:rPr>
            <w:webHidden/>
          </w:rPr>
          <w:tab/>
        </w:r>
        <w:r w:rsidR="00FB791D" w:rsidRPr="00A04C13">
          <w:rPr>
            <w:webHidden/>
          </w:rPr>
          <w:fldChar w:fldCharType="begin"/>
        </w:r>
        <w:r w:rsidR="00FB791D" w:rsidRPr="00A04C13">
          <w:rPr>
            <w:webHidden/>
          </w:rPr>
          <w:instrText xml:space="preserve"> PAGEREF _Toc84427122 \h </w:instrText>
        </w:r>
        <w:r w:rsidR="00FB791D" w:rsidRPr="00A04C13">
          <w:rPr>
            <w:webHidden/>
          </w:rPr>
        </w:r>
        <w:r w:rsidR="00FB791D" w:rsidRPr="00A04C13">
          <w:rPr>
            <w:webHidden/>
          </w:rPr>
          <w:fldChar w:fldCharType="separate"/>
        </w:r>
        <w:r w:rsidR="00FB791D" w:rsidRPr="00A04C13">
          <w:rPr>
            <w:webHidden/>
          </w:rPr>
          <w:t>3</w:t>
        </w:r>
        <w:r w:rsidR="00FB791D" w:rsidRPr="00A04C13">
          <w:rPr>
            <w:webHidden/>
          </w:rPr>
          <w:fldChar w:fldCharType="end"/>
        </w:r>
      </w:hyperlink>
    </w:p>
    <w:p w14:paraId="1A3CD647" w14:textId="43336048" w:rsidR="00FB791D" w:rsidRPr="00A04C13" w:rsidRDefault="00CB0BA3">
      <w:pPr>
        <w:pStyle w:val="TOC1"/>
        <w:rPr>
          <w:rFonts w:eastAsiaTheme="minorEastAsia" w:cstheme="minorBidi"/>
          <w:b w:val="0"/>
          <w:bdr w:val="none" w:sz="0" w:space="0" w:color="auto"/>
          <w:lang w:val="es-US" w:eastAsia="zh-CN"/>
        </w:rPr>
      </w:pPr>
      <w:hyperlink w:anchor="_Toc84427123" w:history="1">
        <w:r w:rsidR="00FB791D" w:rsidRPr="00A04C13">
          <w:rPr>
            <w:rStyle w:val="Hyperlink"/>
          </w:rPr>
          <w:t>V.</w:t>
        </w:r>
        <w:r w:rsidR="00FB791D" w:rsidRPr="00A04C13">
          <w:rPr>
            <w:rFonts w:eastAsiaTheme="minorEastAsia" w:cstheme="minorBidi"/>
            <w:b w:val="0"/>
            <w:bdr w:val="none" w:sz="0" w:space="0" w:color="auto"/>
            <w:lang w:val="es-US" w:eastAsia="zh-CN"/>
          </w:rPr>
          <w:tab/>
        </w:r>
        <w:r w:rsidR="00FB791D" w:rsidRPr="00A04C13">
          <w:rPr>
            <w:rStyle w:val="Hyperlink"/>
          </w:rPr>
          <w:t>ANÁLISIS DE DERECHO</w:t>
        </w:r>
        <w:r w:rsidR="00FB791D" w:rsidRPr="00A04C13">
          <w:rPr>
            <w:webHidden/>
          </w:rPr>
          <w:tab/>
        </w:r>
        <w:r w:rsidR="00FB791D" w:rsidRPr="00A04C13">
          <w:rPr>
            <w:webHidden/>
          </w:rPr>
          <w:fldChar w:fldCharType="begin"/>
        </w:r>
        <w:r w:rsidR="00FB791D" w:rsidRPr="00A04C13">
          <w:rPr>
            <w:webHidden/>
          </w:rPr>
          <w:instrText xml:space="preserve"> PAGEREF _Toc84427123 \h </w:instrText>
        </w:r>
        <w:r w:rsidR="00FB791D" w:rsidRPr="00A04C13">
          <w:rPr>
            <w:webHidden/>
          </w:rPr>
        </w:r>
        <w:r w:rsidR="00FB791D" w:rsidRPr="00A04C13">
          <w:rPr>
            <w:webHidden/>
          </w:rPr>
          <w:fldChar w:fldCharType="separate"/>
        </w:r>
        <w:r w:rsidR="00FB791D" w:rsidRPr="00A04C13">
          <w:rPr>
            <w:webHidden/>
          </w:rPr>
          <w:t>7</w:t>
        </w:r>
        <w:r w:rsidR="00FB791D" w:rsidRPr="00A04C13">
          <w:rPr>
            <w:webHidden/>
          </w:rPr>
          <w:fldChar w:fldCharType="end"/>
        </w:r>
      </w:hyperlink>
    </w:p>
    <w:p w14:paraId="2AF5187E" w14:textId="05341D4B" w:rsidR="00FB791D" w:rsidRPr="00A04C13" w:rsidRDefault="00CB0BA3">
      <w:pPr>
        <w:pStyle w:val="TOC2"/>
        <w:rPr>
          <w:rFonts w:ascii="Cambria" w:eastAsiaTheme="minorEastAsia" w:hAnsi="Cambria" w:cstheme="minorBidi"/>
          <w:noProof/>
          <w:sz w:val="20"/>
          <w:szCs w:val="20"/>
          <w:bdr w:val="none" w:sz="0" w:space="0" w:color="auto"/>
          <w:lang w:val="es-US" w:eastAsia="zh-CN"/>
        </w:rPr>
      </w:pPr>
      <w:hyperlink w:anchor="_Toc84427124" w:history="1">
        <w:r w:rsidR="00FB791D" w:rsidRPr="00A04C13">
          <w:rPr>
            <w:rStyle w:val="Hyperlink"/>
            <w:rFonts w:ascii="Cambria" w:hAnsi="Cambria"/>
            <w:noProof/>
            <w:sz w:val="20"/>
            <w:szCs w:val="20"/>
          </w:rPr>
          <w:t>A.</w:t>
        </w:r>
        <w:r w:rsidR="00FB791D" w:rsidRPr="00A04C13">
          <w:rPr>
            <w:rFonts w:ascii="Cambria" w:eastAsiaTheme="minorEastAsia" w:hAnsi="Cambria" w:cstheme="minorBidi"/>
            <w:noProof/>
            <w:sz w:val="20"/>
            <w:szCs w:val="20"/>
            <w:bdr w:val="none" w:sz="0" w:space="0" w:color="auto"/>
            <w:lang w:val="es-US" w:eastAsia="zh-CN"/>
          </w:rPr>
          <w:tab/>
        </w:r>
        <w:r w:rsidR="00FB791D" w:rsidRPr="00A04C13">
          <w:rPr>
            <w:rStyle w:val="Hyperlink"/>
            <w:rFonts w:ascii="Cambria" w:hAnsi="Cambria"/>
            <w:noProof/>
            <w:sz w:val="20"/>
            <w:szCs w:val="20"/>
          </w:rPr>
          <w:t>Derechos a las garantías judiciales y protección judicial (artículos 8 y 25 de la Convención Americana)</w:t>
        </w:r>
        <w:r w:rsidR="00FB791D" w:rsidRPr="00A04C13">
          <w:rPr>
            <w:rFonts w:ascii="Cambria" w:hAnsi="Cambria"/>
            <w:noProof/>
            <w:webHidden/>
            <w:sz w:val="20"/>
            <w:szCs w:val="20"/>
          </w:rPr>
          <w:tab/>
        </w:r>
        <w:r w:rsidR="00FB791D" w:rsidRPr="00A04C13">
          <w:rPr>
            <w:rFonts w:ascii="Cambria" w:hAnsi="Cambria"/>
            <w:noProof/>
            <w:webHidden/>
            <w:sz w:val="20"/>
            <w:szCs w:val="20"/>
          </w:rPr>
          <w:fldChar w:fldCharType="begin"/>
        </w:r>
        <w:r w:rsidR="00FB791D" w:rsidRPr="00A04C13">
          <w:rPr>
            <w:rFonts w:ascii="Cambria" w:hAnsi="Cambria"/>
            <w:noProof/>
            <w:webHidden/>
            <w:sz w:val="20"/>
            <w:szCs w:val="20"/>
          </w:rPr>
          <w:instrText xml:space="preserve"> PAGEREF _Toc84427124 \h </w:instrText>
        </w:r>
        <w:r w:rsidR="00FB791D" w:rsidRPr="00A04C13">
          <w:rPr>
            <w:rFonts w:ascii="Cambria" w:hAnsi="Cambria"/>
            <w:noProof/>
            <w:webHidden/>
            <w:sz w:val="20"/>
            <w:szCs w:val="20"/>
          </w:rPr>
        </w:r>
        <w:r w:rsidR="00FB791D" w:rsidRPr="00A04C13">
          <w:rPr>
            <w:rFonts w:ascii="Cambria" w:hAnsi="Cambria"/>
            <w:noProof/>
            <w:webHidden/>
            <w:sz w:val="20"/>
            <w:szCs w:val="20"/>
          </w:rPr>
          <w:fldChar w:fldCharType="separate"/>
        </w:r>
        <w:r w:rsidR="00FB791D" w:rsidRPr="00A04C13">
          <w:rPr>
            <w:rFonts w:ascii="Cambria" w:hAnsi="Cambria"/>
            <w:noProof/>
            <w:webHidden/>
            <w:sz w:val="20"/>
            <w:szCs w:val="20"/>
          </w:rPr>
          <w:t>7</w:t>
        </w:r>
        <w:r w:rsidR="00FB791D" w:rsidRPr="00A04C13">
          <w:rPr>
            <w:rFonts w:ascii="Cambria" w:hAnsi="Cambria"/>
            <w:noProof/>
            <w:webHidden/>
            <w:sz w:val="20"/>
            <w:szCs w:val="20"/>
          </w:rPr>
          <w:fldChar w:fldCharType="end"/>
        </w:r>
      </w:hyperlink>
    </w:p>
    <w:p w14:paraId="17B9642E" w14:textId="25ABC8BB" w:rsidR="00FB791D" w:rsidRPr="00A04C13" w:rsidRDefault="00CB0BA3">
      <w:pPr>
        <w:pStyle w:val="TOC2"/>
        <w:rPr>
          <w:rFonts w:ascii="Cambria" w:eastAsiaTheme="minorEastAsia" w:hAnsi="Cambria" w:cstheme="minorBidi"/>
          <w:noProof/>
          <w:sz w:val="20"/>
          <w:szCs w:val="20"/>
          <w:bdr w:val="none" w:sz="0" w:space="0" w:color="auto"/>
          <w:lang w:val="es-US" w:eastAsia="zh-CN"/>
        </w:rPr>
      </w:pPr>
      <w:hyperlink w:anchor="_Toc84427125" w:history="1">
        <w:r w:rsidR="00FB791D" w:rsidRPr="00A04C13">
          <w:rPr>
            <w:rStyle w:val="Hyperlink"/>
            <w:rFonts w:ascii="Cambria" w:hAnsi="Cambria"/>
            <w:noProof/>
            <w:sz w:val="20"/>
            <w:szCs w:val="20"/>
          </w:rPr>
          <w:t xml:space="preserve">B. </w:t>
        </w:r>
        <w:r w:rsidR="00FB791D" w:rsidRPr="00A04C13">
          <w:rPr>
            <w:rFonts w:ascii="Cambria" w:eastAsiaTheme="minorEastAsia" w:hAnsi="Cambria" w:cstheme="minorBidi"/>
            <w:noProof/>
            <w:sz w:val="20"/>
            <w:szCs w:val="20"/>
            <w:bdr w:val="none" w:sz="0" w:space="0" w:color="auto"/>
            <w:lang w:val="es-US" w:eastAsia="zh-CN"/>
          </w:rPr>
          <w:tab/>
        </w:r>
        <w:r w:rsidR="00FB791D" w:rsidRPr="00A04C13">
          <w:rPr>
            <w:rStyle w:val="Hyperlink"/>
            <w:rFonts w:ascii="Cambria" w:hAnsi="Cambria"/>
            <w:noProof/>
            <w:sz w:val="20"/>
            <w:szCs w:val="20"/>
          </w:rPr>
          <w:t>Derecho a la libertad personal (artículo 7 de la Convención Americana, en relación con el artículo 1.1 del mismo instrumento)</w:t>
        </w:r>
        <w:r w:rsidR="00FB791D" w:rsidRPr="00A04C13">
          <w:rPr>
            <w:rFonts w:ascii="Cambria" w:hAnsi="Cambria"/>
            <w:noProof/>
            <w:webHidden/>
            <w:sz w:val="20"/>
            <w:szCs w:val="20"/>
          </w:rPr>
          <w:tab/>
        </w:r>
        <w:r w:rsidR="00FB791D" w:rsidRPr="00A04C13">
          <w:rPr>
            <w:rFonts w:ascii="Cambria" w:hAnsi="Cambria"/>
            <w:noProof/>
            <w:webHidden/>
            <w:sz w:val="20"/>
            <w:szCs w:val="20"/>
          </w:rPr>
          <w:fldChar w:fldCharType="begin"/>
        </w:r>
        <w:r w:rsidR="00FB791D" w:rsidRPr="00A04C13">
          <w:rPr>
            <w:rFonts w:ascii="Cambria" w:hAnsi="Cambria"/>
            <w:noProof/>
            <w:webHidden/>
            <w:sz w:val="20"/>
            <w:szCs w:val="20"/>
          </w:rPr>
          <w:instrText xml:space="preserve"> PAGEREF _Toc84427125 \h </w:instrText>
        </w:r>
        <w:r w:rsidR="00FB791D" w:rsidRPr="00A04C13">
          <w:rPr>
            <w:rFonts w:ascii="Cambria" w:hAnsi="Cambria"/>
            <w:noProof/>
            <w:webHidden/>
            <w:sz w:val="20"/>
            <w:szCs w:val="20"/>
          </w:rPr>
        </w:r>
        <w:r w:rsidR="00FB791D" w:rsidRPr="00A04C13">
          <w:rPr>
            <w:rFonts w:ascii="Cambria" w:hAnsi="Cambria"/>
            <w:noProof/>
            <w:webHidden/>
            <w:sz w:val="20"/>
            <w:szCs w:val="20"/>
          </w:rPr>
          <w:fldChar w:fldCharType="separate"/>
        </w:r>
        <w:r w:rsidR="00FB791D" w:rsidRPr="00A04C13">
          <w:rPr>
            <w:rFonts w:ascii="Cambria" w:hAnsi="Cambria"/>
            <w:noProof/>
            <w:webHidden/>
            <w:sz w:val="20"/>
            <w:szCs w:val="20"/>
          </w:rPr>
          <w:t>12</w:t>
        </w:r>
        <w:r w:rsidR="00FB791D" w:rsidRPr="00A04C13">
          <w:rPr>
            <w:rFonts w:ascii="Cambria" w:hAnsi="Cambria"/>
            <w:noProof/>
            <w:webHidden/>
            <w:sz w:val="20"/>
            <w:szCs w:val="20"/>
          </w:rPr>
          <w:fldChar w:fldCharType="end"/>
        </w:r>
      </w:hyperlink>
    </w:p>
    <w:p w14:paraId="3E44FA59" w14:textId="4975B3F1" w:rsidR="00FB791D" w:rsidRPr="00A04C13" w:rsidRDefault="00CB0BA3">
      <w:pPr>
        <w:pStyle w:val="TOC1"/>
        <w:rPr>
          <w:rFonts w:eastAsiaTheme="minorEastAsia" w:cstheme="minorBidi"/>
          <w:b w:val="0"/>
          <w:bdr w:val="none" w:sz="0" w:space="0" w:color="auto"/>
          <w:lang w:val="es-US" w:eastAsia="zh-CN"/>
        </w:rPr>
      </w:pPr>
      <w:hyperlink w:anchor="_Toc84427126" w:history="1">
        <w:r w:rsidR="00FB791D" w:rsidRPr="00A04C13">
          <w:rPr>
            <w:rStyle w:val="Hyperlink"/>
            <w:lang w:val="es-ES_tradnl"/>
          </w:rPr>
          <w:t>VI.</w:t>
        </w:r>
        <w:r w:rsidR="00FB791D" w:rsidRPr="00A04C13">
          <w:rPr>
            <w:rFonts w:eastAsiaTheme="minorEastAsia" w:cstheme="minorBidi"/>
            <w:b w:val="0"/>
            <w:bdr w:val="none" w:sz="0" w:space="0" w:color="auto"/>
            <w:lang w:val="es-US" w:eastAsia="zh-CN"/>
          </w:rPr>
          <w:tab/>
        </w:r>
        <w:r w:rsidR="00FB791D" w:rsidRPr="00A04C13">
          <w:rPr>
            <w:rStyle w:val="Hyperlink"/>
            <w:lang w:val="es-ES_tradnl"/>
          </w:rPr>
          <w:t>ACTUACIONES POSTERIORES AL INFORME No. 95/17 E INFORMACIÓN SOBRE CUMPLIMIENTO</w:t>
        </w:r>
        <w:r w:rsidR="00FB791D" w:rsidRPr="00A04C13">
          <w:rPr>
            <w:webHidden/>
          </w:rPr>
          <w:tab/>
        </w:r>
        <w:r w:rsidR="00FB791D" w:rsidRPr="00A04C13">
          <w:rPr>
            <w:webHidden/>
          </w:rPr>
          <w:fldChar w:fldCharType="begin"/>
        </w:r>
        <w:r w:rsidR="00FB791D" w:rsidRPr="00A04C13">
          <w:rPr>
            <w:webHidden/>
          </w:rPr>
          <w:instrText xml:space="preserve"> PAGEREF _Toc84427126 \h </w:instrText>
        </w:r>
        <w:r w:rsidR="00FB791D" w:rsidRPr="00A04C13">
          <w:rPr>
            <w:webHidden/>
          </w:rPr>
        </w:r>
        <w:r w:rsidR="00FB791D" w:rsidRPr="00A04C13">
          <w:rPr>
            <w:webHidden/>
          </w:rPr>
          <w:fldChar w:fldCharType="separate"/>
        </w:r>
        <w:r w:rsidR="00FB791D" w:rsidRPr="00A04C13">
          <w:rPr>
            <w:webHidden/>
          </w:rPr>
          <w:t>12</w:t>
        </w:r>
        <w:r w:rsidR="00FB791D" w:rsidRPr="00A04C13">
          <w:rPr>
            <w:webHidden/>
          </w:rPr>
          <w:fldChar w:fldCharType="end"/>
        </w:r>
      </w:hyperlink>
    </w:p>
    <w:p w14:paraId="774506AA" w14:textId="2EE57FE2" w:rsidR="00FB791D" w:rsidRPr="00A04C13" w:rsidRDefault="00CB0BA3">
      <w:pPr>
        <w:pStyle w:val="TOC1"/>
        <w:rPr>
          <w:rFonts w:eastAsiaTheme="minorEastAsia" w:cstheme="minorBidi"/>
          <w:b w:val="0"/>
          <w:bdr w:val="none" w:sz="0" w:space="0" w:color="auto"/>
          <w:lang w:val="es-US" w:eastAsia="zh-CN"/>
        </w:rPr>
      </w:pPr>
      <w:hyperlink w:anchor="_Toc84427127" w:history="1">
        <w:r w:rsidR="00FB791D" w:rsidRPr="00A04C13">
          <w:rPr>
            <w:rStyle w:val="Hyperlink"/>
            <w:lang w:val="es-ES_tradnl"/>
          </w:rPr>
          <w:t>VII.</w:t>
        </w:r>
        <w:r w:rsidR="00FB791D" w:rsidRPr="00A04C13">
          <w:rPr>
            <w:rFonts w:eastAsiaTheme="minorEastAsia" w:cstheme="minorBidi"/>
            <w:b w:val="0"/>
            <w:bdr w:val="none" w:sz="0" w:space="0" w:color="auto"/>
            <w:lang w:val="es-US" w:eastAsia="zh-CN"/>
          </w:rPr>
          <w:tab/>
        </w:r>
        <w:r w:rsidR="00FB791D" w:rsidRPr="00A04C13">
          <w:rPr>
            <w:rStyle w:val="Hyperlink"/>
            <w:lang w:val="es-ES_tradnl"/>
          </w:rPr>
          <w:t>ACTUACIONES POSTERIORES AL INFORME No. 98/19 E INFORMACIÓN SOBRE CUMPLIMIENTO</w:t>
        </w:r>
        <w:r w:rsidR="00FB791D" w:rsidRPr="00A04C13">
          <w:rPr>
            <w:webHidden/>
          </w:rPr>
          <w:tab/>
        </w:r>
        <w:r w:rsidR="00FB791D" w:rsidRPr="00A04C13">
          <w:rPr>
            <w:webHidden/>
          </w:rPr>
          <w:fldChar w:fldCharType="begin"/>
        </w:r>
        <w:r w:rsidR="00FB791D" w:rsidRPr="00A04C13">
          <w:rPr>
            <w:webHidden/>
          </w:rPr>
          <w:instrText xml:space="preserve"> PAGEREF _Toc84427127 \h </w:instrText>
        </w:r>
        <w:r w:rsidR="00FB791D" w:rsidRPr="00A04C13">
          <w:rPr>
            <w:webHidden/>
          </w:rPr>
        </w:r>
        <w:r w:rsidR="00FB791D" w:rsidRPr="00A04C13">
          <w:rPr>
            <w:webHidden/>
          </w:rPr>
          <w:fldChar w:fldCharType="separate"/>
        </w:r>
        <w:r w:rsidR="00FB791D" w:rsidRPr="00A04C13">
          <w:rPr>
            <w:webHidden/>
          </w:rPr>
          <w:t>13</w:t>
        </w:r>
        <w:r w:rsidR="00FB791D" w:rsidRPr="00A04C13">
          <w:rPr>
            <w:webHidden/>
          </w:rPr>
          <w:fldChar w:fldCharType="end"/>
        </w:r>
      </w:hyperlink>
    </w:p>
    <w:p w14:paraId="2E1D9BE6" w14:textId="285702F9" w:rsidR="00FB791D" w:rsidRPr="00A04C13" w:rsidRDefault="00CB0BA3">
      <w:pPr>
        <w:pStyle w:val="TOC1"/>
        <w:rPr>
          <w:rFonts w:eastAsiaTheme="minorEastAsia" w:cstheme="minorBidi"/>
          <w:b w:val="0"/>
          <w:bdr w:val="none" w:sz="0" w:space="0" w:color="auto"/>
          <w:lang w:val="es-US" w:eastAsia="zh-CN"/>
        </w:rPr>
      </w:pPr>
      <w:hyperlink w:anchor="_Toc84427128" w:history="1">
        <w:r w:rsidR="00FB791D" w:rsidRPr="00A04C13">
          <w:rPr>
            <w:rStyle w:val="Hyperlink"/>
            <w:lang w:val="es-ES_tradnl"/>
          </w:rPr>
          <w:t>VIII.</w:t>
        </w:r>
        <w:r w:rsidR="00FB791D" w:rsidRPr="00A04C13">
          <w:rPr>
            <w:rFonts w:eastAsiaTheme="minorEastAsia" w:cstheme="minorBidi"/>
            <w:b w:val="0"/>
            <w:bdr w:val="none" w:sz="0" w:space="0" w:color="auto"/>
            <w:lang w:val="es-US" w:eastAsia="zh-CN"/>
          </w:rPr>
          <w:tab/>
        </w:r>
        <w:r w:rsidR="00FB791D" w:rsidRPr="00A04C13">
          <w:rPr>
            <w:rStyle w:val="Hyperlink"/>
            <w:lang w:val="es-ES_tradnl"/>
          </w:rPr>
          <w:t>CONCUSIONES Y RECOMENDACIONES FINALES</w:t>
        </w:r>
        <w:r w:rsidR="00FB791D" w:rsidRPr="00A04C13">
          <w:rPr>
            <w:webHidden/>
          </w:rPr>
          <w:tab/>
        </w:r>
        <w:r w:rsidR="00FB791D" w:rsidRPr="00A04C13">
          <w:rPr>
            <w:webHidden/>
          </w:rPr>
          <w:fldChar w:fldCharType="begin"/>
        </w:r>
        <w:r w:rsidR="00FB791D" w:rsidRPr="00A04C13">
          <w:rPr>
            <w:webHidden/>
          </w:rPr>
          <w:instrText xml:space="preserve"> PAGEREF _Toc84427128 \h </w:instrText>
        </w:r>
        <w:r w:rsidR="00FB791D" w:rsidRPr="00A04C13">
          <w:rPr>
            <w:webHidden/>
          </w:rPr>
        </w:r>
        <w:r w:rsidR="00FB791D" w:rsidRPr="00A04C13">
          <w:rPr>
            <w:webHidden/>
          </w:rPr>
          <w:fldChar w:fldCharType="separate"/>
        </w:r>
        <w:r w:rsidR="00FB791D" w:rsidRPr="00A04C13">
          <w:rPr>
            <w:webHidden/>
          </w:rPr>
          <w:t>14</w:t>
        </w:r>
        <w:r w:rsidR="00FB791D" w:rsidRPr="00A04C13">
          <w:rPr>
            <w:webHidden/>
          </w:rPr>
          <w:fldChar w:fldCharType="end"/>
        </w:r>
      </w:hyperlink>
    </w:p>
    <w:p w14:paraId="40F28F03" w14:textId="3F6268A6" w:rsidR="00FB791D" w:rsidRPr="00A04C13" w:rsidRDefault="00CB0BA3">
      <w:pPr>
        <w:pStyle w:val="TOC1"/>
        <w:rPr>
          <w:rFonts w:eastAsiaTheme="minorEastAsia" w:cstheme="minorBidi"/>
          <w:b w:val="0"/>
          <w:bdr w:val="none" w:sz="0" w:space="0" w:color="auto"/>
          <w:lang w:val="es-US" w:eastAsia="zh-CN"/>
        </w:rPr>
      </w:pPr>
      <w:hyperlink w:anchor="_Toc84427129" w:history="1">
        <w:r w:rsidR="00FB791D" w:rsidRPr="00A04C13">
          <w:rPr>
            <w:rStyle w:val="Hyperlink"/>
            <w:lang w:val="es-ES_tradnl"/>
          </w:rPr>
          <w:t>IX.</w:t>
        </w:r>
        <w:r w:rsidR="00FB791D" w:rsidRPr="00A04C13">
          <w:rPr>
            <w:rFonts w:eastAsiaTheme="minorEastAsia" w:cstheme="minorBidi"/>
            <w:b w:val="0"/>
            <w:bdr w:val="none" w:sz="0" w:space="0" w:color="auto"/>
            <w:lang w:val="es-US" w:eastAsia="zh-CN"/>
          </w:rPr>
          <w:tab/>
        </w:r>
        <w:r w:rsidR="00FB791D" w:rsidRPr="00A04C13">
          <w:rPr>
            <w:rStyle w:val="Hyperlink"/>
            <w:lang w:val="es-ES_tradnl"/>
          </w:rPr>
          <w:t>PUBLICACIÓN</w:t>
        </w:r>
        <w:r w:rsidR="00FB791D" w:rsidRPr="00A04C13">
          <w:rPr>
            <w:webHidden/>
          </w:rPr>
          <w:tab/>
        </w:r>
        <w:r w:rsidR="00FB791D" w:rsidRPr="00A04C13">
          <w:rPr>
            <w:webHidden/>
          </w:rPr>
          <w:fldChar w:fldCharType="begin"/>
        </w:r>
        <w:r w:rsidR="00FB791D" w:rsidRPr="00A04C13">
          <w:rPr>
            <w:webHidden/>
          </w:rPr>
          <w:instrText xml:space="preserve"> PAGEREF _Toc84427129 \h </w:instrText>
        </w:r>
        <w:r w:rsidR="00FB791D" w:rsidRPr="00A04C13">
          <w:rPr>
            <w:webHidden/>
          </w:rPr>
        </w:r>
        <w:r w:rsidR="00FB791D" w:rsidRPr="00A04C13">
          <w:rPr>
            <w:webHidden/>
          </w:rPr>
          <w:fldChar w:fldCharType="separate"/>
        </w:r>
        <w:r w:rsidR="00FB791D" w:rsidRPr="00A04C13">
          <w:rPr>
            <w:webHidden/>
          </w:rPr>
          <w:t>15</w:t>
        </w:r>
        <w:r w:rsidR="00FB791D" w:rsidRPr="00A04C13">
          <w:rPr>
            <w:webHidden/>
          </w:rPr>
          <w:fldChar w:fldCharType="end"/>
        </w:r>
      </w:hyperlink>
    </w:p>
    <w:p w14:paraId="1910C3FB" w14:textId="3465325E" w:rsidR="00BE44F1" w:rsidRPr="00A04C13" w:rsidRDefault="002D3696" w:rsidP="006646D6">
      <w:pPr>
        <w:tabs>
          <w:tab w:val="center" w:pos="5400"/>
        </w:tabs>
        <w:suppressAutoHyphens/>
        <w:spacing w:after="0" w:line="240" w:lineRule="auto"/>
        <w:jc w:val="center"/>
        <w:rPr>
          <w:rFonts w:ascii="Cambria" w:eastAsia="Arial Unicode MS" w:hAnsi="Cambria"/>
          <w:noProof/>
          <w:sz w:val="20"/>
          <w:szCs w:val="20"/>
          <w:bdr w:val="nil"/>
          <w:lang w:val="es-CO"/>
        </w:rPr>
      </w:pPr>
      <w:r w:rsidRPr="00A04C13">
        <w:rPr>
          <w:rFonts w:ascii="Cambria" w:eastAsia="Arial Unicode MS" w:hAnsi="Cambria"/>
          <w:noProof/>
          <w:sz w:val="20"/>
          <w:szCs w:val="20"/>
          <w:bdr w:val="nil"/>
          <w:lang w:val="es-CO"/>
        </w:rPr>
        <w:fldChar w:fldCharType="end"/>
      </w:r>
    </w:p>
    <w:p w14:paraId="5589B7AC" w14:textId="03F69BD3" w:rsidR="00F96671" w:rsidRPr="00A04C13" w:rsidRDefault="00BE44F1" w:rsidP="006646D6">
      <w:pPr>
        <w:tabs>
          <w:tab w:val="center" w:pos="5400"/>
        </w:tabs>
        <w:suppressAutoHyphens/>
        <w:spacing w:after="0" w:line="240" w:lineRule="auto"/>
        <w:jc w:val="center"/>
        <w:rPr>
          <w:rFonts w:ascii="Cambria" w:hAnsi="Cambria"/>
          <w:sz w:val="20"/>
          <w:szCs w:val="20"/>
          <w:lang w:val="es-CO"/>
        </w:rPr>
      </w:pPr>
      <w:r w:rsidRPr="00A04C13">
        <w:rPr>
          <w:rFonts w:ascii="Cambria" w:eastAsia="Arial Unicode MS" w:hAnsi="Cambria"/>
          <w:noProof/>
          <w:sz w:val="20"/>
          <w:szCs w:val="20"/>
          <w:bdr w:val="nil"/>
          <w:lang w:val="es-CO"/>
        </w:rPr>
        <w:t>.</w:t>
      </w:r>
      <w:r w:rsidR="001B3677" w:rsidRPr="00A04C13">
        <w:rPr>
          <w:rFonts w:ascii="Cambria" w:hAnsi="Cambria"/>
          <w:sz w:val="20"/>
          <w:szCs w:val="20"/>
        </w:rPr>
        <w:br w:type="page"/>
      </w:r>
    </w:p>
    <w:p w14:paraId="1F581854" w14:textId="77777777" w:rsidR="001B3677" w:rsidRPr="00C876F7" w:rsidRDefault="001B3677" w:rsidP="00C876F7">
      <w:pPr>
        <w:pStyle w:val="Heading1"/>
        <w:ind w:left="1440" w:hanging="720"/>
      </w:pPr>
      <w:bookmarkStart w:id="2" w:name="_Toc430268166"/>
      <w:bookmarkStart w:id="3" w:name="_Toc446591740"/>
      <w:bookmarkStart w:id="4" w:name="_Toc480636761"/>
      <w:bookmarkStart w:id="5" w:name="_Toc84427117"/>
      <w:r w:rsidRPr="00C876F7">
        <w:lastRenderedPageBreak/>
        <w:t>RESUMEN</w:t>
      </w:r>
      <w:bookmarkEnd w:id="2"/>
      <w:bookmarkEnd w:id="3"/>
      <w:bookmarkEnd w:id="4"/>
      <w:bookmarkEnd w:id="5"/>
    </w:p>
    <w:p w14:paraId="11AA1600" w14:textId="77777777" w:rsidR="001B3677" w:rsidRPr="00C876F7" w:rsidRDefault="001B3677" w:rsidP="00C876F7">
      <w:pPr>
        <w:spacing w:after="0" w:line="240" w:lineRule="auto"/>
        <w:ind w:firstLine="567"/>
        <w:jc w:val="both"/>
        <w:rPr>
          <w:rFonts w:ascii="Cambria" w:hAnsi="Cambria"/>
          <w:sz w:val="20"/>
          <w:szCs w:val="20"/>
          <w:lang w:val="es-PE"/>
        </w:rPr>
      </w:pPr>
    </w:p>
    <w:p w14:paraId="451ABC6A" w14:textId="108396F6" w:rsidR="002C4DA4" w:rsidRPr="00C876F7" w:rsidRDefault="001B3677"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1440"/>
        </w:tabs>
        <w:ind w:left="0"/>
        <w:jc w:val="both"/>
        <w:rPr>
          <w:rFonts w:ascii="Cambria" w:hAnsi="Cambria"/>
          <w:sz w:val="20"/>
          <w:szCs w:val="20"/>
        </w:rPr>
      </w:pPr>
      <w:r w:rsidRPr="00C876F7">
        <w:rPr>
          <w:rFonts w:ascii="Cambria" w:hAnsi="Cambria"/>
          <w:sz w:val="20"/>
          <w:szCs w:val="20"/>
        </w:rPr>
        <w:t>E</w:t>
      </w:r>
      <w:r w:rsidR="00045386" w:rsidRPr="00C876F7">
        <w:rPr>
          <w:rFonts w:ascii="Cambria" w:hAnsi="Cambria"/>
          <w:sz w:val="20"/>
          <w:szCs w:val="20"/>
        </w:rPr>
        <w:t xml:space="preserve">l </w:t>
      </w:r>
      <w:r w:rsidR="00C01EBC" w:rsidRPr="00C876F7">
        <w:rPr>
          <w:rFonts w:ascii="Cambria" w:hAnsi="Cambria"/>
          <w:sz w:val="20"/>
          <w:szCs w:val="20"/>
        </w:rPr>
        <w:t>15 de febrero de 2001</w:t>
      </w:r>
      <w:r w:rsidR="00045386" w:rsidRPr="00C876F7">
        <w:rPr>
          <w:rFonts w:ascii="Cambria" w:hAnsi="Cambria"/>
          <w:sz w:val="20"/>
          <w:szCs w:val="20"/>
        </w:rPr>
        <w:t xml:space="preserve"> la </w:t>
      </w:r>
      <w:r w:rsidRPr="00C876F7">
        <w:rPr>
          <w:rFonts w:ascii="Cambria" w:hAnsi="Cambria"/>
          <w:sz w:val="20"/>
          <w:szCs w:val="20"/>
        </w:rPr>
        <w:t xml:space="preserve">Comisión Interamericana de Derechos Humanos (en adelante “la Comisión”, “la Comisión Interamericana” o “la CIDH”) recibió </w:t>
      </w:r>
      <w:r w:rsidR="00C01EBC" w:rsidRPr="00C876F7">
        <w:rPr>
          <w:rFonts w:ascii="Cambria" w:hAnsi="Cambria"/>
          <w:sz w:val="20"/>
          <w:szCs w:val="20"/>
        </w:rPr>
        <w:t xml:space="preserve">una petición por parte de la Defensoría General de la Nación (en adelante “la </w:t>
      </w:r>
      <w:r w:rsidR="006677EB" w:rsidRPr="00C876F7">
        <w:rPr>
          <w:rFonts w:ascii="Cambria" w:hAnsi="Cambria"/>
          <w:sz w:val="20"/>
          <w:szCs w:val="20"/>
        </w:rPr>
        <w:t xml:space="preserve">parte </w:t>
      </w:r>
      <w:r w:rsidR="00C01EBC" w:rsidRPr="00C876F7">
        <w:rPr>
          <w:rFonts w:ascii="Cambria" w:hAnsi="Cambria"/>
          <w:sz w:val="20"/>
          <w:szCs w:val="20"/>
        </w:rPr>
        <w:t>peticionaria”</w:t>
      </w:r>
      <w:r w:rsidR="00130109" w:rsidRPr="00C876F7">
        <w:rPr>
          <w:rFonts w:ascii="Cambria" w:hAnsi="Cambria"/>
          <w:sz w:val="20"/>
          <w:szCs w:val="20"/>
        </w:rPr>
        <w:t>)</w:t>
      </w:r>
      <w:r w:rsidR="00C01EBC" w:rsidRPr="00C876F7">
        <w:rPr>
          <w:rFonts w:ascii="Cambria" w:hAnsi="Cambria"/>
          <w:sz w:val="20"/>
          <w:szCs w:val="20"/>
        </w:rPr>
        <w:t>, en la cual</w:t>
      </w:r>
      <w:r w:rsidRPr="00C876F7">
        <w:rPr>
          <w:rFonts w:ascii="Cambria" w:hAnsi="Cambria"/>
          <w:sz w:val="20"/>
          <w:szCs w:val="20"/>
        </w:rPr>
        <w:t xml:space="preserve"> se alegó la responsabilidad internacional de la República </w:t>
      </w:r>
      <w:r w:rsidR="00045386" w:rsidRPr="00C876F7">
        <w:rPr>
          <w:rFonts w:ascii="Cambria" w:hAnsi="Cambria"/>
          <w:sz w:val="20"/>
          <w:szCs w:val="20"/>
        </w:rPr>
        <w:t>de Argentina</w:t>
      </w:r>
      <w:r w:rsidRPr="00C876F7">
        <w:rPr>
          <w:rFonts w:ascii="Cambria" w:hAnsi="Cambria"/>
          <w:sz w:val="20"/>
          <w:szCs w:val="20"/>
        </w:rPr>
        <w:t xml:space="preserve"> (en adelante “el Estado”, “el Estado </w:t>
      </w:r>
      <w:r w:rsidR="00045386" w:rsidRPr="00C876F7">
        <w:rPr>
          <w:rFonts w:ascii="Cambria" w:hAnsi="Cambria"/>
          <w:sz w:val="20"/>
          <w:szCs w:val="20"/>
        </w:rPr>
        <w:t>argentin</w:t>
      </w:r>
      <w:r w:rsidR="00F739F3" w:rsidRPr="00C876F7">
        <w:rPr>
          <w:rFonts w:ascii="Cambria" w:hAnsi="Cambria"/>
          <w:sz w:val="20"/>
          <w:szCs w:val="20"/>
        </w:rPr>
        <w:t>o</w:t>
      </w:r>
      <w:r w:rsidRPr="00C876F7">
        <w:rPr>
          <w:rFonts w:ascii="Cambria" w:hAnsi="Cambria"/>
          <w:sz w:val="20"/>
          <w:szCs w:val="20"/>
        </w:rPr>
        <w:t>” o “</w:t>
      </w:r>
      <w:r w:rsidR="00045386" w:rsidRPr="00C876F7">
        <w:rPr>
          <w:rFonts w:ascii="Cambria" w:hAnsi="Cambria"/>
          <w:sz w:val="20"/>
          <w:szCs w:val="20"/>
        </w:rPr>
        <w:t>Argentina</w:t>
      </w:r>
      <w:r w:rsidRPr="00C876F7">
        <w:rPr>
          <w:rFonts w:ascii="Cambria" w:hAnsi="Cambria"/>
          <w:sz w:val="20"/>
          <w:szCs w:val="20"/>
        </w:rPr>
        <w:t>”) por la</w:t>
      </w:r>
      <w:r w:rsidR="005F437F" w:rsidRPr="00C876F7">
        <w:rPr>
          <w:rFonts w:ascii="Cambria" w:hAnsi="Cambria"/>
          <w:sz w:val="20"/>
          <w:szCs w:val="20"/>
        </w:rPr>
        <w:t xml:space="preserve"> </w:t>
      </w:r>
      <w:r w:rsidR="002C4DA4" w:rsidRPr="00C876F7">
        <w:rPr>
          <w:rFonts w:ascii="Cambria" w:hAnsi="Cambria"/>
          <w:sz w:val="20"/>
          <w:szCs w:val="20"/>
        </w:rPr>
        <w:t xml:space="preserve">vulneración al derecho a la defensa en perjuicio de Marcos Alejandro Martín (en adelante “la presunta víctima”) en el marco del proceso penal </w:t>
      </w:r>
      <w:r w:rsidR="00C74C4D" w:rsidRPr="00C876F7">
        <w:rPr>
          <w:rFonts w:ascii="Cambria" w:hAnsi="Cambria"/>
          <w:sz w:val="20"/>
          <w:szCs w:val="20"/>
        </w:rPr>
        <w:t>seguido en su contra</w:t>
      </w:r>
      <w:r w:rsidR="002C4DA4" w:rsidRPr="00C876F7">
        <w:rPr>
          <w:rFonts w:ascii="Cambria" w:hAnsi="Cambria"/>
          <w:sz w:val="20"/>
          <w:szCs w:val="20"/>
        </w:rPr>
        <w:t xml:space="preserve">. Se alegó que la sentencia condenatoria en dicho proceso resulta arbitraria al haberse tomado en cuenta como evidencia sustancial </w:t>
      </w:r>
      <w:r w:rsidR="002C4DA4" w:rsidRPr="00C876F7">
        <w:rPr>
          <w:rFonts w:ascii="Cambria" w:hAnsi="Cambria"/>
          <w:sz w:val="20"/>
          <w:szCs w:val="20"/>
          <w:lang w:val="es-ES"/>
        </w:rPr>
        <w:t xml:space="preserve">una declaración </w:t>
      </w:r>
      <w:r w:rsidR="00562779" w:rsidRPr="00C876F7">
        <w:rPr>
          <w:rFonts w:ascii="Cambria" w:hAnsi="Cambria"/>
          <w:sz w:val="20"/>
          <w:szCs w:val="20"/>
          <w:lang w:val="es-ES"/>
        </w:rPr>
        <w:t>rendida en la etapa de instrucción e incorporada en</w:t>
      </w:r>
      <w:r w:rsidR="008B664E" w:rsidRPr="00C876F7">
        <w:rPr>
          <w:rFonts w:ascii="Cambria" w:hAnsi="Cambria"/>
          <w:sz w:val="20"/>
          <w:szCs w:val="20"/>
          <w:lang w:val="es-ES"/>
        </w:rPr>
        <w:t xml:space="preserve"> la audiencia pública</w:t>
      </w:r>
      <w:r w:rsidR="00562779" w:rsidRPr="00C876F7">
        <w:rPr>
          <w:rFonts w:ascii="Cambria" w:hAnsi="Cambria"/>
          <w:sz w:val="20"/>
          <w:szCs w:val="20"/>
          <w:lang w:val="es-ES"/>
        </w:rPr>
        <w:t xml:space="preserve"> por </w:t>
      </w:r>
      <w:r w:rsidR="005E0038" w:rsidRPr="00C876F7">
        <w:rPr>
          <w:rFonts w:ascii="Cambria" w:hAnsi="Cambria"/>
          <w:sz w:val="20"/>
          <w:szCs w:val="20"/>
          <w:lang w:val="es-ES"/>
        </w:rPr>
        <w:t>lectura</w:t>
      </w:r>
      <w:r w:rsidR="00562779" w:rsidRPr="00C876F7">
        <w:rPr>
          <w:rFonts w:ascii="Cambria" w:hAnsi="Cambria"/>
          <w:sz w:val="20"/>
          <w:szCs w:val="20"/>
          <w:lang w:val="es-ES"/>
        </w:rPr>
        <w:t xml:space="preserve"> sin </w:t>
      </w:r>
      <w:r w:rsidR="002C4DA4" w:rsidRPr="00C876F7">
        <w:rPr>
          <w:rFonts w:ascii="Cambria" w:hAnsi="Cambria"/>
          <w:sz w:val="20"/>
          <w:szCs w:val="20"/>
          <w:lang w:val="es-ES"/>
        </w:rPr>
        <w:t>control previo de la defensa.</w:t>
      </w:r>
      <w:r w:rsidR="00DE2012" w:rsidRPr="00C876F7">
        <w:rPr>
          <w:rFonts w:ascii="Cambria" w:hAnsi="Cambria"/>
          <w:sz w:val="20"/>
          <w:szCs w:val="20"/>
          <w:lang w:val="es-ES"/>
        </w:rPr>
        <w:t xml:space="preserve"> También se alegó</w:t>
      </w:r>
      <w:r w:rsidR="007A58F2" w:rsidRPr="00C876F7">
        <w:rPr>
          <w:rFonts w:ascii="Cambria" w:hAnsi="Cambria"/>
          <w:sz w:val="20"/>
          <w:szCs w:val="20"/>
          <w:lang w:val="es-ES"/>
        </w:rPr>
        <w:t xml:space="preserve"> la violación </w:t>
      </w:r>
      <w:r w:rsidR="009F7C9D" w:rsidRPr="00C876F7">
        <w:rPr>
          <w:rFonts w:ascii="Cambria" w:hAnsi="Cambria"/>
          <w:sz w:val="20"/>
          <w:szCs w:val="20"/>
          <w:lang w:val="es-ES"/>
        </w:rPr>
        <w:t>d</w:t>
      </w:r>
      <w:r w:rsidR="00DE2012" w:rsidRPr="00C876F7">
        <w:rPr>
          <w:rFonts w:ascii="Cambria" w:hAnsi="Cambria"/>
          <w:sz w:val="20"/>
          <w:szCs w:val="20"/>
          <w:lang w:val="es-ES"/>
        </w:rPr>
        <w:t>el derecho a recurrir el fallo condenatorio</w:t>
      </w:r>
      <w:r w:rsidR="006B3E82" w:rsidRPr="00C876F7">
        <w:rPr>
          <w:rFonts w:ascii="Cambria" w:hAnsi="Cambria"/>
          <w:sz w:val="20"/>
          <w:szCs w:val="20"/>
          <w:lang w:val="es-ES"/>
        </w:rPr>
        <w:t xml:space="preserve">. Finalmente, alegó que por las anteriores razones, </w:t>
      </w:r>
      <w:r w:rsidR="00DE2012" w:rsidRPr="00C876F7">
        <w:rPr>
          <w:rFonts w:ascii="Cambria" w:hAnsi="Cambria"/>
          <w:sz w:val="20"/>
          <w:szCs w:val="20"/>
          <w:lang w:val="es-ES"/>
        </w:rPr>
        <w:t>la</w:t>
      </w:r>
      <w:r w:rsidR="00B1785F" w:rsidRPr="00C876F7">
        <w:rPr>
          <w:rFonts w:ascii="Cambria" w:hAnsi="Cambria"/>
          <w:sz w:val="20"/>
          <w:szCs w:val="20"/>
          <w:lang w:val="es-ES"/>
        </w:rPr>
        <w:t xml:space="preserve"> privación de libertad </w:t>
      </w:r>
      <w:r w:rsidR="00DE2012" w:rsidRPr="00C876F7">
        <w:rPr>
          <w:rFonts w:ascii="Cambria" w:hAnsi="Cambria"/>
          <w:sz w:val="20"/>
          <w:szCs w:val="20"/>
          <w:lang w:val="es-ES"/>
        </w:rPr>
        <w:t>del señor Martín devino en arbitraria.</w:t>
      </w:r>
    </w:p>
    <w:p w14:paraId="2DBB141D" w14:textId="77777777" w:rsidR="005F437F" w:rsidRPr="00C876F7" w:rsidRDefault="005F437F"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firstLine="0"/>
        <w:jc w:val="both"/>
        <w:rPr>
          <w:rFonts w:ascii="Cambria" w:hAnsi="Cambria"/>
          <w:sz w:val="20"/>
          <w:szCs w:val="20"/>
        </w:rPr>
      </w:pPr>
    </w:p>
    <w:p w14:paraId="7CFF5BB2" w14:textId="0D3BE0C7" w:rsidR="005F437F" w:rsidRPr="00C876F7" w:rsidRDefault="00462FF4"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rPr>
        <w:t xml:space="preserve">El Estado alegó que no tiene responsabilidad internacional en </w:t>
      </w:r>
      <w:r w:rsidR="005F437F" w:rsidRPr="00C876F7">
        <w:rPr>
          <w:rFonts w:ascii="Cambria" w:hAnsi="Cambria"/>
          <w:sz w:val="20"/>
          <w:szCs w:val="20"/>
        </w:rPr>
        <w:t xml:space="preserve">tanto el proceso penal seguido al señor Martín cumplió con todas las garantías judiciales. Indicó que de acuerdo a su normativa interna sí resultaba posible incorporar </w:t>
      </w:r>
      <w:r w:rsidR="005F437F" w:rsidRPr="00C876F7">
        <w:rPr>
          <w:rFonts w:ascii="Cambria" w:hAnsi="Cambria"/>
          <w:sz w:val="20"/>
          <w:szCs w:val="20"/>
          <w:lang w:val="es-ES"/>
        </w:rPr>
        <w:t>por lectura la declaración rendida por el testigo principal durante la etapa instrucción. El Estado agregó que</w:t>
      </w:r>
      <w:r w:rsidR="00C00163" w:rsidRPr="00C876F7">
        <w:rPr>
          <w:rFonts w:ascii="Cambria" w:hAnsi="Cambria"/>
          <w:sz w:val="20"/>
          <w:szCs w:val="20"/>
          <w:lang w:val="es-ES"/>
        </w:rPr>
        <w:t xml:space="preserve"> en</w:t>
      </w:r>
      <w:r w:rsidR="005F437F" w:rsidRPr="00C876F7">
        <w:rPr>
          <w:rFonts w:ascii="Cambria" w:hAnsi="Cambria"/>
          <w:sz w:val="20"/>
          <w:szCs w:val="20"/>
          <w:lang w:val="es-ES"/>
        </w:rPr>
        <w:t xml:space="preserve"> la sentencia condenatoria </w:t>
      </w:r>
      <w:r w:rsidR="004C0892" w:rsidRPr="00C876F7">
        <w:rPr>
          <w:rFonts w:ascii="Cambria" w:hAnsi="Cambria"/>
          <w:sz w:val="20"/>
          <w:szCs w:val="20"/>
          <w:lang w:val="es-ES"/>
        </w:rPr>
        <w:t xml:space="preserve">también </w:t>
      </w:r>
      <w:r w:rsidR="00C00163" w:rsidRPr="00C876F7">
        <w:rPr>
          <w:rFonts w:ascii="Cambria" w:hAnsi="Cambria"/>
          <w:sz w:val="20"/>
          <w:szCs w:val="20"/>
          <w:lang w:val="es-ES"/>
        </w:rPr>
        <w:t>se valoraron</w:t>
      </w:r>
      <w:r w:rsidR="005F437F" w:rsidRPr="00C876F7">
        <w:rPr>
          <w:rFonts w:ascii="Cambria" w:hAnsi="Cambria"/>
          <w:sz w:val="20"/>
          <w:szCs w:val="20"/>
        </w:rPr>
        <w:t xml:space="preserve"> los diversos medios de prueba que fueron presentados durante el proceso</w:t>
      </w:r>
      <w:r w:rsidR="004571CF" w:rsidRPr="00C876F7">
        <w:rPr>
          <w:rFonts w:ascii="Cambria" w:hAnsi="Cambria"/>
          <w:sz w:val="20"/>
          <w:szCs w:val="20"/>
        </w:rPr>
        <w:t xml:space="preserve">. </w:t>
      </w:r>
    </w:p>
    <w:p w14:paraId="6B6DC096" w14:textId="77777777" w:rsidR="001B3677" w:rsidRPr="00C876F7" w:rsidRDefault="001B3677" w:rsidP="00C876F7">
      <w:pPr>
        <w:tabs>
          <w:tab w:val="num" w:pos="1440"/>
        </w:tabs>
        <w:spacing w:after="0" w:line="240" w:lineRule="auto"/>
        <w:jc w:val="both"/>
        <w:rPr>
          <w:rFonts w:ascii="Cambria" w:hAnsi="Cambria"/>
          <w:sz w:val="20"/>
          <w:szCs w:val="20"/>
          <w:lang w:val="es-ES_tradnl"/>
        </w:rPr>
      </w:pPr>
    </w:p>
    <w:p w14:paraId="6C821D52" w14:textId="56CCB7D5" w:rsidR="001B3677" w:rsidRPr="00C876F7" w:rsidRDefault="00D014F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C876F7">
        <w:rPr>
          <w:rFonts w:ascii="Cambria" w:hAnsi="Cambria"/>
          <w:sz w:val="20"/>
          <w:szCs w:val="20"/>
        </w:rPr>
        <w:t>L</w:t>
      </w:r>
      <w:r w:rsidR="001B3677" w:rsidRPr="00C876F7">
        <w:rPr>
          <w:rFonts w:ascii="Cambria" w:hAnsi="Cambria"/>
          <w:sz w:val="20"/>
          <w:szCs w:val="20"/>
        </w:rPr>
        <w:t xml:space="preserve">a Comisión concluyó que el Estado </w:t>
      </w:r>
      <w:r w:rsidR="00CC122A" w:rsidRPr="00C876F7">
        <w:rPr>
          <w:rFonts w:ascii="Cambria" w:hAnsi="Cambria"/>
          <w:sz w:val="20"/>
          <w:szCs w:val="20"/>
        </w:rPr>
        <w:t>argentin</w:t>
      </w:r>
      <w:r w:rsidR="00DE2012" w:rsidRPr="00C876F7">
        <w:rPr>
          <w:rFonts w:ascii="Cambria" w:hAnsi="Cambria"/>
          <w:sz w:val="20"/>
          <w:szCs w:val="20"/>
        </w:rPr>
        <w:t>o</w:t>
      </w:r>
      <w:r w:rsidR="001B3677" w:rsidRPr="00C876F7">
        <w:rPr>
          <w:rFonts w:ascii="Cambria" w:hAnsi="Cambria"/>
          <w:sz w:val="20"/>
          <w:szCs w:val="20"/>
        </w:rPr>
        <w:t xml:space="preserve"> es responsable por la violación de l</w:t>
      </w:r>
      <w:r w:rsidR="00CC122A" w:rsidRPr="00C876F7">
        <w:rPr>
          <w:rFonts w:ascii="Cambria" w:hAnsi="Cambria"/>
          <w:sz w:val="20"/>
          <w:szCs w:val="20"/>
        </w:rPr>
        <w:t xml:space="preserve">os derechos a la libertad personal, </w:t>
      </w:r>
      <w:r w:rsidR="00A40726" w:rsidRPr="00C876F7">
        <w:rPr>
          <w:rFonts w:ascii="Cambria" w:hAnsi="Cambria"/>
          <w:sz w:val="20"/>
          <w:szCs w:val="20"/>
        </w:rPr>
        <w:t xml:space="preserve">a las </w:t>
      </w:r>
      <w:r w:rsidR="00CC122A" w:rsidRPr="00C876F7">
        <w:rPr>
          <w:rFonts w:ascii="Cambria" w:hAnsi="Cambria"/>
          <w:sz w:val="20"/>
          <w:szCs w:val="20"/>
        </w:rPr>
        <w:t xml:space="preserve">garantías judiciales </w:t>
      </w:r>
      <w:r w:rsidR="001B3677" w:rsidRPr="00C876F7">
        <w:rPr>
          <w:rFonts w:ascii="Cambria" w:hAnsi="Cambria"/>
          <w:sz w:val="20"/>
          <w:szCs w:val="20"/>
        </w:rPr>
        <w:t>y</w:t>
      </w:r>
      <w:r w:rsidR="00A40726" w:rsidRPr="00C876F7">
        <w:rPr>
          <w:rFonts w:ascii="Cambria" w:hAnsi="Cambria"/>
          <w:sz w:val="20"/>
          <w:szCs w:val="20"/>
        </w:rPr>
        <w:t xml:space="preserve"> a la</w:t>
      </w:r>
      <w:r w:rsidR="001B3677" w:rsidRPr="00C876F7">
        <w:rPr>
          <w:rFonts w:ascii="Cambria" w:hAnsi="Cambria"/>
          <w:sz w:val="20"/>
          <w:szCs w:val="20"/>
        </w:rPr>
        <w:t xml:space="preserve"> protección judicial, establecidos en los artículos </w:t>
      </w:r>
      <w:r w:rsidR="00CC122A" w:rsidRPr="00C876F7">
        <w:rPr>
          <w:rFonts w:ascii="Cambria" w:hAnsi="Cambria"/>
          <w:sz w:val="20"/>
          <w:szCs w:val="20"/>
        </w:rPr>
        <w:t>7</w:t>
      </w:r>
      <w:r w:rsidR="00DE2012" w:rsidRPr="00C876F7">
        <w:rPr>
          <w:rFonts w:ascii="Cambria" w:hAnsi="Cambria"/>
          <w:sz w:val="20"/>
          <w:szCs w:val="20"/>
        </w:rPr>
        <w:t>.1</w:t>
      </w:r>
      <w:r w:rsidR="00CC122A" w:rsidRPr="00C876F7">
        <w:rPr>
          <w:rFonts w:ascii="Cambria" w:hAnsi="Cambria"/>
          <w:sz w:val="20"/>
          <w:szCs w:val="20"/>
        </w:rPr>
        <w:t>,</w:t>
      </w:r>
      <w:r w:rsidR="00DE2012" w:rsidRPr="00C876F7">
        <w:rPr>
          <w:rFonts w:ascii="Cambria" w:hAnsi="Cambria"/>
          <w:sz w:val="20"/>
          <w:szCs w:val="20"/>
        </w:rPr>
        <w:t xml:space="preserve"> 7.3,</w:t>
      </w:r>
      <w:r w:rsidR="00CC122A" w:rsidRPr="00C876F7">
        <w:rPr>
          <w:rFonts w:ascii="Cambria" w:hAnsi="Cambria"/>
          <w:sz w:val="20"/>
          <w:szCs w:val="20"/>
        </w:rPr>
        <w:t xml:space="preserve"> </w:t>
      </w:r>
      <w:r w:rsidR="00D51BD8" w:rsidRPr="00C876F7">
        <w:rPr>
          <w:rFonts w:ascii="Cambria" w:hAnsi="Cambria"/>
          <w:sz w:val="20"/>
          <w:szCs w:val="20"/>
        </w:rPr>
        <w:t xml:space="preserve">8.1, 8.2, </w:t>
      </w:r>
      <w:r w:rsidR="002C4DA4" w:rsidRPr="00C876F7">
        <w:rPr>
          <w:rFonts w:ascii="Cambria" w:hAnsi="Cambria"/>
          <w:sz w:val="20"/>
          <w:szCs w:val="20"/>
        </w:rPr>
        <w:t>8.2.</w:t>
      </w:r>
      <w:r w:rsidR="00130109" w:rsidRPr="00C876F7">
        <w:rPr>
          <w:rFonts w:ascii="Cambria" w:hAnsi="Cambria"/>
          <w:sz w:val="20"/>
          <w:szCs w:val="20"/>
        </w:rPr>
        <w:t>c</w:t>
      </w:r>
      <w:r w:rsidR="00DE2012" w:rsidRPr="00C876F7">
        <w:rPr>
          <w:rFonts w:ascii="Cambria" w:hAnsi="Cambria"/>
          <w:sz w:val="20"/>
          <w:szCs w:val="20"/>
        </w:rPr>
        <w:t>, 8.2.</w:t>
      </w:r>
      <w:r w:rsidR="002C4DA4" w:rsidRPr="00C876F7">
        <w:rPr>
          <w:rFonts w:ascii="Cambria" w:hAnsi="Cambria"/>
          <w:sz w:val="20"/>
          <w:szCs w:val="20"/>
        </w:rPr>
        <w:t>f</w:t>
      </w:r>
      <w:r w:rsidR="00130109" w:rsidRPr="00C876F7">
        <w:rPr>
          <w:rFonts w:ascii="Cambria" w:hAnsi="Cambria"/>
          <w:sz w:val="20"/>
          <w:szCs w:val="20"/>
        </w:rPr>
        <w:t xml:space="preserve">, </w:t>
      </w:r>
      <w:r w:rsidR="00DE2012" w:rsidRPr="00C876F7">
        <w:rPr>
          <w:rFonts w:ascii="Cambria" w:hAnsi="Cambria"/>
          <w:sz w:val="20"/>
          <w:szCs w:val="20"/>
        </w:rPr>
        <w:t>8.2.h</w:t>
      </w:r>
      <w:r w:rsidR="00130109" w:rsidRPr="00C876F7">
        <w:rPr>
          <w:rFonts w:ascii="Cambria" w:hAnsi="Cambria"/>
          <w:sz w:val="20"/>
          <w:szCs w:val="20"/>
        </w:rPr>
        <w:t xml:space="preserve"> y 25.1</w:t>
      </w:r>
      <w:r w:rsidR="00DE2012" w:rsidRPr="00C876F7">
        <w:rPr>
          <w:rFonts w:ascii="Cambria" w:hAnsi="Cambria"/>
          <w:sz w:val="20"/>
          <w:szCs w:val="20"/>
        </w:rPr>
        <w:t xml:space="preserve"> </w:t>
      </w:r>
      <w:r w:rsidR="001B3677" w:rsidRPr="00C876F7">
        <w:rPr>
          <w:rFonts w:ascii="Cambria" w:hAnsi="Cambria"/>
          <w:sz w:val="20"/>
          <w:szCs w:val="20"/>
        </w:rPr>
        <w:t xml:space="preserve">de la Convención Americana, en relación con las obligaciones establecidas en </w:t>
      </w:r>
      <w:r w:rsidR="00D52FE1" w:rsidRPr="00C876F7">
        <w:rPr>
          <w:rFonts w:ascii="Cambria" w:hAnsi="Cambria"/>
          <w:sz w:val="20"/>
          <w:szCs w:val="20"/>
        </w:rPr>
        <w:t xml:space="preserve">el </w:t>
      </w:r>
      <w:r w:rsidR="001B3677" w:rsidRPr="00C876F7">
        <w:rPr>
          <w:rFonts w:ascii="Cambria" w:hAnsi="Cambria"/>
          <w:sz w:val="20"/>
          <w:szCs w:val="20"/>
        </w:rPr>
        <w:t>artículo 1.1</w:t>
      </w:r>
      <w:r w:rsidR="00A40726" w:rsidRPr="00C876F7">
        <w:rPr>
          <w:rFonts w:ascii="Cambria" w:hAnsi="Cambria"/>
          <w:sz w:val="20"/>
          <w:szCs w:val="20"/>
        </w:rPr>
        <w:t xml:space="preserve"> </w:t>
      </w:r>
      <w:r w:rsidR="001B3677" w:rsidRPr="00C876F7">
        <w:rPr>
          <w:rFonts w:ascii="Cambria" w:hAnsi="Cambria"/>
          <w:sz w:val="20"/>
          <w:szCs w:val="20"/>
        </w:rPr>
        <w:t xml:space="preserve">del mismo instrumento, en perjuicio de </w:t>
      </w:r>
      <w:r w:rsidR="004571CF" w:rsidRPr="00C876F7">
        <w:rPr>
          <w:rFonts w:ascii="Cambria" w:hAnsi="Cambria"/>
          <w:sz w:val="20"/>
          <w:szCs w:val="20"/>
          <w:lang w:val="es-ES"/>
        </w:rPr>
        <w:t>Marcos Alejandro Martín</w:t>
      </w:r>
      <w:r w:rsidR="001B3677" w:rsidRPr="00C876F7">
        <w:rPr>
          <w:rFonts w:ascii="Cambria" w:hAnsi="Cambria"/>
          <w:sz w:val="20"/>
          <w:szCs w:val="20"/>
        </w:rPr>
        <w:t xml:space="preserve">.  </w:t>
      </w:r>
    </w:p>
    <w:p w14:paraId="56ABC31B" w14:textId="77777777" w:rsidR="001B3677" w:rsidRPr="00C876F7" w:rsidRDefault="001B3677" w:rsidP="00C876F7">
      <w:pPr>
        <w:spacing w:after="0" w:line="240" w:lineRule="auto"/>
        <w:ind w:firstLine="567"/>
        <w:jc w:val="both"/>
        <w:rPr>
          <w:rFonts w:ascii="Cambria" w:hAnsi="Cambria"/>
          <w:sz w:val="20"/>
          <w:szCs w:val="20"/>
          <w:lang w:val="es-ES_tradnl"/>
        </w:rPr>
      </w:pPr>
    </w:p>
    <w:p w14:paraId="1668C771" w14:textId="77777777" w:rsidR="001B3677" w:rsidRPr="00C876F7" w:rsidRDefault="001B3677" w:rsidP="00C876F7">
      <w:pPr>
        <w:pStyle w:val="Heading1"/>
        <w:ind w:left="1440" w:hanging="720"/>
      </w:pPr>
      <w:bookmarkStart w:id="6" w:name="_Toc84427118"/>
      <w:bookmarkStart w:id="7" w:name="_Toc430268167"/>
      <w:bookmarkStart w:id="8" w:name="_Toc446591741"/>
      <w:bookmarkStart w:id="9" w:name="_Toc480636762"/>
      <w:r w:rsidRPr="00C876F7">
        <w:t>TRÁMITE</w:t>
      </w:r>
      <w:bookmarkEnd w:id="6"/>
      <w:r w:rsidRPr="00C876F7">
        <w:t xml:space="preserve"> </w:t>
      </w:r>
      <w:bookmarkEnd w:id="7"/>
      <w:bookmarkEnd w:id="8"/>
      <w:bookmarkEnd w:id="9"/>
    </w:p>
    <w:p w14:paraId="4CB7EB5A" w14:textId="77777777" w:rsidR="001B3677" w:rsidRPr="00C876F7" w:rsidRDefault="001B3677"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s-ES"/>
        </w:rPr>
      </w:pPr>
    </w:p>
    <w:p w14:paraId="46CCC977" w14:textId="7793F9B8" w:rsidR="00CC122A" w:rsidRPr="00C876F7" w:rsidRDefault="00BE624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El trámite de la</w:t>
      </w:r>
      <w:r w:rsidR="00CC122A" w:rsidRPr="00C876F7">
        <w:rPr>
          <w:rFonts w:ascii="Cambria" w:hAnsi="Cambria"/>
          <w:sz w:val="20"/>
          <w:szCs w:val="20"/>
          <w:lang w:val="es-ES"/>
        </w:rPr>
        <w:t xml:space="preserve"> </w:t>
      </w:r>
      <w:r w:rsidRPr="00C876F7">
        <w:rPr>
          <w:rFonts w:ascii="Cambria" w:hAnsi="Cambria"/>
          <w:sz w:val="20"/>
          <w:szCs w:val="20"/>
          <w:lang w:val="es-ES"/>
        </w:rPr>
        <w:t>petición</w:t>
      </w:r>
      <w:r w:rsidR="00CC122A" w:rsidRPr="00C876F7">
        <w:rPr>
          <w:rFonts w:ascii="Cambria" w:hAnsi="Cambria"/>
          <w:sz w:val="20"/>
          <w:szCs w:val="20"/>
          <w:lang w:val="es-ES"/>
        </w:rPr>
        <w:t xml:space="preserve"> hasta la emisión del informe de admisibilidad se encuentra registrado en el Informe No. </w:t>
      </w:r>
      <w:r w:rsidR="004571CF" w:rsidRPr="00C876F7">
        <w:rPr>
          <w:rFonts w:ascii="Cambria" w:hAnsi="Cambria"/>
          <w:sz w:val="20"/>
          <w:szCs w:val="20"/>
          <w:lang w:val="es-ES"/>
        </w:rPr>
        <w:t>79/08</w:t>
      </w:r>
      <w:r w:rsidR="00CC122A" w:rsidRPr="00C876F7">
        <w:rPr>
          <w:rFonts w:ascii="Cambria" w:hAnsi="Cambria"/>
          <w:sz w:val="20"/>
          <w:szCs w:val="20"/>
          <w:lang w:val="es-ES"/>
        </w:rPr>
        <w:t xml:space="preserve"> de </w:t>
      </w:r>
      <w:r w:rsidR="004571CF" w:rsidRPr="00C876F7">
        <w:rPr>
          <w:rFonts w:ascii="Cambria" w:hAnsi="Cambria"/>
          <w:sz w:val="20"/>
          <w:szCs w:val="20"/>
          <w:lang w:val="es-ES"/>
        </w:rPr>
        <w:t>17 de octubre de 2008</w:t>
      </w:r>
      <w:r w:rsidR="00CC122A" w:rsidRPr="00C876F7">
        <w:rPr>
          <w:rStyle w:val="FootnoteReference"/>
          <w:rFonts w:ascii="Cambria" w:hAnsi="Cambria"/>
          <w:sz w:val="20"/>
          <w:szCs w:val="20"/>
          <w:lang w:val="es-ES"/>
        </w:rPr>
        <w:footnoteReference w:id="1"/>
      </w:r>
      <w:r w:rsidR="00CC122A" w:rsidRPr="00C876F7">
        <w:rPr>
          <w:rFonts w:ascii="Cambria" w:hAnsi="Cambria"/>
          <w:sz w:val="20"/>
          <w:szCs w:val="20"/>
          <w:lang w:val="es-ES"/>
        </w:rPr>
        <w:t xml:space="preserve">. El 11 de </w:t>
      </w:r>
      <w:r w:rsidR="004571CF" w:rsidRPr="00C876F7">
        <w:rPr>
          <w:rFonts w:ascii="Cambria" w:hAnsi="Cambria"/>
          <w:sz w:val="20"/>
          <w:szCs w:val="20"/>
          <w:lang w:val="es-ES"/>
        </w:rPr>
        <w:t>noviembre de 2008</w:t>
      </w:r>
      <w:r w:rsidR="00CC122A" w:rsidRPr="00C876F7">
        <w:rPr>
          <w:rFonts w:ascii="Cambria" w:hAnsi="Cambria"/>
          <w:sz w:val="20"/>
          <w:szCs w:val="20"/>
          <w:lang w:val="es-ES"/>
        </w:rPr>
        <w:t xml:space="preserve"> la Comisión notificó a las partes dicho informe</w:t>
      </w:r>
      <w:r w:rsidR="004571CF" w:rsidRPr="00C876F7">
        <w:rPr>
          <w:rFonts w:ascii="Cambria" w:hAnsi="Cambria"/>
          <w:sz w:val="20"/>
          <w:szCs w:val="20"/>
          <w:lang w:val="es-ES"/>
        </w:rPr>
        <w:t xml:space="preserve"> y se </w:t>
      </w:r>
      <w:r w:rsidR="00CC122A" w:rsidRPr="00C876F7">
        <w:rPr>
          <w:rFonts w:ascii="Cambria" w:hAnsi="Cambria"/>
          <w:sz w:val="20"/>
          <w:szCs w:val="20"/>
          <w:lang w:val="es-ES"/>
        </w:rPr>
        <w:t xml:space="preserve">puso a </w:t>
      </w:r>
      <w:r w:rsidR="004571CF" w:rsidRPr="00C876F7">
        <w:rPr>
          <w:rFonts w:ascii="Cambria" w:hAnsi="Cambria"/>
          <w:sz w:val="20"/>
          <w:szCs w:val="20"/>
          <w:lang w:val="es-ES"/>
        </w:rPr>
        <w:t xml:space="preserve">su </w:t>
      </w:r>
      <w:r w:rsidR="00CC122A" w:rsidRPr="00C876F7">
        <w:rPr>
          <w:rFonts w:ascii="Cambria" w:hAnsi="Cambria"/>
          <w:sz w:val="20"/>
          <w:szCs w:val="20"/>
          <w:lang w:val="es-ES"/>
        </w:rPr>
        <w:t xml:space="preserve">disposición a fin de llegar a una solución amistosa. El </w:t>
      </w:r>
      <w:r w:rsidR="004571CF" w:rsidRPr="00C876F7">
        <w:rPr>
          <w:rFonts w:ascii="Cambria" w:hAnsi="Cambria"/>
          <w:sz w:val="20"/>
          <w:szCs w:val="20"/>
          <w:lang w:val="es-ES"/>
        </w:rPr>
        <w:t>9 de enero de 2009 la</w:t>
      </w:r>
      <w:r w:rsidR="00CA43B3" w:rsidRPr="00C876F7">
        <w:rPr>
          <w:rFonts w:ascii="Cambria" w:hAnsi="Cambria"/>
          <w:sz w:val="20"/>
          <w:szCs w:val="20"/>
          <w:lang w:val="es-ES"/>
        </w:rPr>
        <w:t xml:space="preserve"> parte</w:t>
      </w:r>
      <w:r w:rsidR="004571CF" w:rsidRPr="00C876F7">
        <w:rPr>
          <w:rFonts w:ascii="Cambria" w:hAnsi="Cambria"/>
          <w:sz w:val="20"/>
          <w:szCs w:val="20"/>
          <w:lang w:val="es-ES"/>
        </w:rPr>
        <w:t xml:space="preserve"> peticionaria presentó</w:t>
      </w:r>
      <w:r w:rsidR="00CC122A" w:rsidRPr="00C876F7">
        <w:rPr>
          <w:rFonts w:ascii="Cambria" w:hAnsi="Cambria"/>
          <w:sz w:val="20"/>
          <w:szCs w:val="20"/>
          <w:lang w:val="es-ES"/>
        </w:rPr>
        <w:t xml:space="preserve"> sus observaciones sobre el fondo</w:t>
      </w:r>
      <w:r w:rsidR="00281532" w:rsidRPr="00C876F7">
        <w:rPr>
          <w:rFonts w:ascii="Cambria" w:hAnsi="Cambria"/>
          <w:sz w:val="20"/>
          <w:szCs w:val="20"/>
          <w:lang w:val="es-ES"/>
        </w:rPr>
        <w:t xml:space="preserve">. El </w:t>
      </w:r>
      <w:r w:rsidR="005949D0" w:rsidRPr="00C876F7">
        <w:rPr>
          <w:rFonts w:ascii="Cambria" w:hAnsi="Cambria"/>
          <w:sz w:val="20"/>
          <w:szCs w:val="20"/>
          <w:lang w:val="es-ES"/>
        </w:rPr>
        <w:t>10 de febrero de 2009</w:t>
      </w:r>
      <w:r w:rsidR="00281532" w:rsidRPr="00C876F7">
        <w:rPr>
          <w:rFonts w:ascii="Cambria" w:hAnsi="Cambria"/>
          <w:sz w:val="20"/>
          <w:szCs w:val="20"/>
          <w:lang w:val="es-ES"/>
        </w:rPr>
        <w:t xml:space="preserve"> la CIDH trasladó dichas observaciones al Estado y le otorgó el plazo reglamentario para presentar sus observaciones </w:t>
      </w:r>
      <w:r w:rsidR="00122D7D" w:rsidRPr="00C876F7">
        <w:rPr>
          <w:rFonts w:ascii="Cambria" w:hAnsi="Cambria"/>
          <w:sz w:val="20"/>
          <w:szCs w:val="20"/>
          <w:lang w:val="es-ES"/>
        </w:rPr>
        <w:t xml:space="preserve">adicionales sobre el </w:t>
      </w:r>
      <w:r w:rsidR="00281532" w:rsidRPr="00C876F7">
        <w:rPr>
          <w:rFonts w:ascii="Cambria" w:hAnsi="Cambria"/>
          <w:sz w:val="20"/>
          <w:szCs w:val="20"/>
          <w:lang w:val="es-ES"/>
        </w:rPr>
        <w:t xml:space="preserve">fondo. </w:t>
      </w:r>
      <w:r w:rsidR="005949D0" w:rsidRPr="00C876F7">
        <w:rPr>
          <w:rFonts w:ascii="Cambria" w:hAnsi="Cambria"/>
          <w:sz w:val="20"/>
          <w:szCs w:val="20"/>
          <w:lang w:val="es-ES"/>
        </w:rPr>
        <w:t xml:space="preserve">El 25 de septiembre de 2009 el Estado </w:t>
      </w:r>
      <w:r w:rsidR="00514666" w:rsidRPr="00C876F7">
        <w:rPr>
          <w:rFonts w:ascii="Cambria" w:hAnsi="Cambria"/>
          <w:sz w:val="20"/>
          <w:szCs w:val="20"/>
          <w:lang w:val="es-ES"/>
        </w:rPr>
        <w:t>expresó</w:t>
      </w:r>
      <w:r w:rsidR="005949D0" w:rsidRPr="00C876F7">
        <w:rPr>
          <w:rFonts w:ascii="Cambria" w:hAnsi="Cambria"/>
          <w:sz w:val="20"/>
          <w:szCs w:val="20"/>
          <w:lang w:val="es-ES"/>
        </w:rPr>
        <w:t xml:space="preserve"> interés en iniciar un procedimiento de solución amistosa. El 10 de agosto de 2016 la </w:t>
      </w:r>
      <w:r w:rsidR="00B27DE0" w:rsidRPr="00C876F7">
        <w:rPr>
          <w:rFonts w:ascii="Cambria" w:hAnsi="Cambria"/>
          <w:sz w:val="20"/>
          <w:szCs w:val="20"/>
          <w:lang w:val="es-ES"/>
        </w:rPr>
        <w:t xml:space="preserve">parte </w:t>
      </w:r>
      <w:r w:rsidR="005949D0" w:rsidRPr="00C876F7">
        <w:rPr>
          <w:rFonts w:ascii="Cambria" w:hAnsi="Cambria"/>
          <w:sz w:val="20"/>
          <w:szCs w:val="20"/>
          <w:lang w:val="es-ES"/>
        </w:rPr>
        <w:t>peticionaria envió una comunicación a la CIDH indicando que a la fecha no se ha llegado a un acuerdo de solución amistosa y que, en caso</w:t>
      </w:r>
      <w:r w:rsidR="000025DA" w:rsidRPr="00C876F7">
        <w:rPr>
          <w:rFonts w:ascii="Cambria" w:hAnsi="Cambria"/>
          <w:sz w:val="20"/>
          <w:szCs w:val="20"/>
          <w:lang w:val="es-ES"/>
        </w:rPr>
        <w:t xml:space="preserve"> de que</w:t>
      </w:r>
      <w:r w:rsidR="005949D0" w:rsidRPr="00C876F7">
        <w:rPr>
          <w:rFonts w:ascii="Cambria" w:hAnsi="Cambria"/>
          <w:sz w:val="20"/>
          <w:szCs w:val="20"/>
          <w:lang w:val="es-ES"/>
        </w:rPr>
        <w:t xml:space="preserve"> el Estado no tenga voluntad para avanzar </w:t>
      </w:r>
      <w:r w:rsidR="00F16583" w:rsidRPr="00C876F7">
        <w:rPr>
          <w:rFonts w:ascii="Cambria" w:hAnsi="Cambria"/>
          <w:sz w:val="20"/>
          <w:szCs w:val="20"/>
          <w:lang w:val="es-ES"/>
        </w:rPr>
        <w:t>sobre dicho procedimiento</w:t>
      </w:r>
      <w:r w:rsidR="005949D0" w:rsidRPr="00C876F7">
        <w:rPr>
          <w:rFonts w:ascii="Cambria" w:hAnsi="Cambria"/>
          <w:sz w:val="20"/>
          <w:szCs w:val="20"/>
          <w:lang w:val="es-ES"/>
        </w:rPr>
        <w:t>, se avance con el trámite de fondo.</w:t>
      </w:r>
      <w:r w:rsidR="00F16583" w:rsidRPr="00C876F7">
        <w:rPr>
          <w:rFonts w:ascii="Cambria" w:hAnsi="Cambria"/>
          <w:sz w:val="20"/>
          <w:szCs w:val="20"/>
          <w:lang w:val="es-ES"/>
        </w:rPr>
        <w:t xml:space="preserve"> A la fecha de la adopción de este informe el Estado no presentó ningún escrito de respuesta a lo señalado por la </w:t>
      </w:r>
      <w:r w:rsidR="00C46120" w:rsidRPr="00C876F7">
        <w:rPr>
          <w:rFonts w:ascii="Cambria" w:hAnsi="Cambria"/>
          <w:sz w:val="20"/>
          <w:szCs w:val="20"/>
          <w:lang w:val="es-ES"/>
        </w:rPr>
        <w:t xml:space="preserve">parte </w:t>
      </w:r>
      <w:r w:rsidR="00F16583" w:rsidRPr="00C876F7">
        <w:rPr>
          <w:rFonts w:ascii="Cambria" w:hAnsi="Cambria"/>
          <w:sz w:val="20"/>
          <w:szCs w:val="20"/>
          <w:lang w:val="es-ES"/>
        </w:rPr>
        <w:t>peticionaria</w:t>
      </w:r>
      <w:r w:rsidR="00122D7D" w:rsidRPr="00C876F7">
        <w:rPr>
          <w:rFonts w:ascii="Cambria" w:hAnsi="Cambria"/>
          <w:sz w:val="20"/>
          <w:szCs w:val="20"/>
          <w:lang w:val="es-ES"/>
        </w:rPr>
        <w:t xml:space="preserve"> ni ha presentado sus observaciones adicionales sobre el fondo. </w:t>
      </w:r>
    </w:p>
    <w:p w14:paraId="3959B80B" w14:textId="77777777" w:rsidR="001B3677" w:rsidRPr="00C876F7" w:rsidRDefault="001B3677" w:rsidP="00C876F7">
      <w:pPr>
        <w:spacing w:after="0" w:line="240" w:lineRule="auto"/>
        <w:jc w:val="both"/>
        <w:rPr>
          <w:rFonts w:ascii="Cambria" w:hAnsi="Cambria"/>
          <w:b/>
          <w:sz w:val="20"/>
          <w:szCs w:val="20"/>
          <w:lang w:val="es-ES"/>
        </w:rPr>
      </w:pPr>
    </w:p>
    <w:p w14:paraId="41F6415B" w14:textId="77777777" w:rsidR="001B3677" w:rsidRPr="00C876F7" w:rsidRDefault="00130109" w:rsidP="00C876F7">
      <w:pPr>
        <w:pStyle w:val="Heading1"/>
        <w:ind w:left="1440" w:hanging="720"/>
      </w:pPr>
      <w:bookmarkStart w:id="10" w:name="_Toc430268168"/>
      <w:bookmarkStart w:id="11" w:name="_Toc446591742"/>
      <w:bookmarkStart w:id="12" w:name="_Toc480636763"/>
      <w:bookmarkStart w:id="13" w:name="_Toc84427119"/>
      <w:r w:rsidRPr="00C876F7">
        <w:t>ALEGATOS</w:t>
      </w:r>
      <w:r w:rsidR="001B3677" w:rsidRPr="00C876F7">
        <w:t xml:space="preserve"> DE LAS PARTES</w:t>
      </w:r>
      <w:bookmarkEnd w:id="10"/>
      <w:bookmarkEnd w:id="11"/>
      <w:bookmarkEnd w:id="12"/>
      <w:bookmarkEnd w:id="13"/>
    </w:p>
    <w:p w14:paraId="1F362537" w14:textId="77777777" w:rsidR="001B3677" w:rsidRPr="00C876F7" w:rsidRDefault="001B3677" w:rsidP="00C876F7">
      <w:pPr>
        <w:pStyle w:val="Heading1"/>
        <w:numPr>
          <w:ilvl w:val="0"/>
          <w:numId w:val="0"/>
        </w:numPr>
        <w:ind w:left="567"/>
      </w:pPr>
    </w:p>
    <w:p w14:paraId="7B3E6AB2" w14:textId="02E0092D" w:rsidR="001B3677" w:rsidRPr="00C876F7" w:rsidRDefault="006B0AC4" w:rsidP="00C876F7">
      <w:pPr>
        <w:pStyle w:val="Heading2"/>
        <w:ind w:left="1440" w:hanging="720"/>
      </w:pPr>
      <w:bookmarkStart w:id="14" w:name="_Toc84427120"/>
      <w:r w:rsidRPr="00C876F7">
        <w:t>Parte p</w:t>
      </w:r>
      <w:r w:rsidR="00130109" w:rsidRPr="00C876F7">
        <w:t>eticionaria</w:t>
      </w:r>
      <w:bookmarkEnd w:id="14"/>
    </w:p>
    <w:p w14:paraId="249025F4" w14:textId="77777777" w:rsidR="001B3677" w:rsidRPr="00C876F7" w:rsidRDefault="001B3677" w:rsidP="00C876F7">
      <w:pPr>
        <w:spacing w:after="0" w:line="240" w:lineRule="auto"/>
        <w:jc w:val="both"/>
        <w:rPr>
          <w:rFonts w:ascii="Cambria" w:hAnsi="Cambria"/>
          <w:sz w:val="20"/>
          <w:szCs w:val="20"/>
          <w:lang w:val="es-MX"/>
        </w:rPr>
      </w:pPr>
    </w:p>
    <w:p w14:paraId="490CBBB6" w14:textId="0D432026" w:rsidR="008B5700" w:rsidRPr="00C876F7" w:rsidRDefault="003C7B7A"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C876F7">
        <w:rPr>
          <w:rFonts w:ascii="Cambria" w:hAnsi="Cambria"/>
          <w:sz w:val="20"/>
          <w:szCs w:val="20"/>
        </w:rPr>
        <w:t xml:space="preserve">La </w:t>
      </w:r>
      <w:r w:rsidR="008B664E" w:rsidRPr="00C876F7">
        <w:rPr>
          <w:rFonts w:ascii="Cambria" w:hAnsi="Cambria"/>
          <w:sz w:val="20"/>
          <w:szCs w:val="20"/>
        </w:rPr>
        <w:t xml:space="preserve">parte </w:t>
      </w:r>
      <w:r w:rsidRPr="00C876F7">
        <w:rPr>
          <w:rFonts w:ascii="Cambria" w:hAnsi="Cambria"/>
          <w:sz w:val="20"/>
          <w:szCs w:val="20"/>
        </w:rPr>
        <w:t>peticionaria alegó</w:t>
      </w:r>
      <w:r w:rsidR="00C602D3" w:rsidRPr="00C876F7">
        <w:rPr>
          <w:rFonts w:ascii="Cambria" w:hAnsi="Cambria"/>
          <w:sz w:val="20"/>
          <w:szCs w:val="20"/>
        </w:rPr>
        <w:t xml:space="preserve"> que el Estado argentino es responsable internacionalmente por</w:t>
      </w:r>
      <w:r w:rsidR="008B5700" w:rsidRPr="00C876F7">
        <w:rPr>
          <w:rFonts w:ascii="Cambria" w:hAnsi="Cambria"/>
          <w:sz w:val="20"/>
          <w:szCs w:val="20"/>
        </w:rPr>
        <w:t xml:space="preserve"> la vulneración al derecho a la defensa en perjuicio de Marcos Alejandro Martín en el proceso penal que se le inició en 1998 por el presunto delito de robo. Se alegó que </w:t>
      </w:r>
      <w:r w:rsidR="006C75AA" w:rsidRPr="00C876F7">
        <w:rPr>
          <w:rFonts w:ascii="Cambria" w:hAnsi="Cambria"/>
          <w:sz w:val="20"/>
          <w:szCs w:val="20"/>
        </w:rPr>
        <w:t>durante la audiencia pública</w:t>
      </w:r>
      <w:r w:rsidR="008B5700" w:rsidRPr="00C876F7">
        <w:rPr>
          <w:rFonts w:ascii="Cambria" w:hAnsi="Cambria"/>
          <w:sz w:val="20"/>
          <w:szCs w:val="20"/>
        </w:rPr>
        <w:t xml:space="preserve"> se aceptó</w:t>
      </w:r>
      <w:r w:rsidR="00682F59" w:rsidRPr="00C876F7">
        <w:rPr>
          <w:rFonts w:ascii="Cambria" w:hAnsi="Cambria"/>
          <w:sz w:val="20"/>
          <w:szCs w:val="20"/>
        </w:rPr>
        <w:t xml:space="preserve"> </w:t>
      </w:r>
      <w:r w:rsidR="008B5700" w:rsidRPr="00C876F7">
        <w:rPr>
          <w:rFonts w:ascii="Cambria" w:hAnsi="Cambria"/>
          <w:sz w:val="20"/>
          <w:szCs w:val="20"/>
        </w:rPr>
        <w:t xml:space="preserve"> como evidencia sustancial</w:t>
      </w:r>
      <w:r w:rsidR="00682F59" w:rsidRPr="00C876F7">
        <w:rPr>
          <w:rFonts w:ascii="Cambria" w:hAnsi="Cambria"/>
          <w:sz w:val="20"/>
          <w:szCs w:val="20"/>
        </w:rPr>
        <w:t xml:space="preserve"> y por lectura,</w:t>
      </w:r>
      <w:r w:rsidR="008B5700" w:rsidRPr="00C876F7">
        <w:rPr>
          <w:rFonts w:ascii="Cambria" w:hAnsi="Cambria"/>
          <w:sz w:val="20"/>
          <w:szCs w:val="20"/>
        </w:rPr>
        <w:t xml:space="preserve"> </w:t>
      </w:r>
      <w:r w:rsidR="008B5700" w:rsidRPr="00C876F7">
        <w:rPr>
          <w:rFonts w:ascii="Cambria" w:hAnsi="Cambria"/>
          <w:sz w:val="20"/>
          <w:szCs w:val="20"/>
          <w:lang w:val="es-ES"/>
        </w:rPr>
        <w:t xml:space="preserve">la declaración de la persona </w:t>
      </w:r>
      <w:r w:rsidR="001348FF" w:rsidRPr="00C876F7">
        <w:rPr>
          <w:rFonts w:ascii="Cambria" w:hAnsi="Cambria"/>
          <w:sz w:val="20"/>
          <w:szCs w:val="20"/>
          <w:lang w:val="es-ES"/>
        </w:rPr>
        <w:t xml:space="preserve">presuntamente </w:t>
      </w:r>
      <w:r w:rsidR="008B5700" w:rsidRPr="00C876F7">
        <w:rPr>
          <w:rFonts w:ascii="Cambria" w:hAnsi="Cambria"/>
          <w:sz w:val="20"/>
          <w:szCs w:val="20"/>
          <w:lang w:val="es-ES"/>
        </w:rPr>
        <w:t>asaltada</w:t>
      </w:r>
      <w:r w:rsidR="00CD1A40" w:rsidRPr="00C876F7">
        <w:rPr>
          <w:rFonts w:ascii="Cambria" w:hAnsi="Cambria"/>
          <w:sz w:val="20"/>
          <w:szCs w:val="20"/>
          <w:lang w:val="es-ES"/>
        </w:rPr>
        <w:t>, rendida</w:t>
      </w:r>
      <w:r w:rsidR="006C75AA" w:rsidRPr="00C876F7">
        <w:rPr>
          <w:rFonts w:ascii="Cambria" w:hAnsi="Cambria"/>
          <w:sz w:val="20"/>
          <w:szCs w:val="20"/>
          <w:lang w:val="es-ES"/>
        </w:rPr>
        <w:t xml:space="preserve"> en</w:t>
      </w:r>
      <w:r w:rsidR="008B5700" w:rsidRPr="00C876F7">
        <w:rPr>
          <w:rFonts w:ascii="Cambria" w:hAnsi="Cambria"/>
          <w:sz w:val="20"/>
          <w:szCs w:val="20"/>
          <w:lang w:val="es-ES"/>
        </w:rPr>
        <w:t xml:space="preserve"> la etapa de instrucción, la cual no fue sometida al control previo de la defensa. Se sostuvo que dicha declaración fue rendida únicamente</w:t>
      </w:r>
      <w:r w:rsidR="00CF3F5F" w:rsidRPr="00C876F7">
        <w:rPr>
          <w:rFonts w:ascii="Cambria" w:hAnsi="Cambria"/>
          <w:sz w:val="20"/>
          <w:szCs w:val="20"/>
          <w:lang w:val="es-ES"/>
        </w:rPr>
        <w:t xml:space="preserve"> ante</w:t>
      </w:r>
      <w:r w:rsidR="008B5700" w:rsidRPr="00C876F7">
        <w:rPr>
          <w:rFonts w:ascii="Cambria" w:hAnsi="Cambria"/>
          <w:sz w:val="20"/>
          <w:szCs w:val="20"/>
          <w:lang w:val="es-ES"/>
        </w:rPr>
        <w:t xml:space="preserve"> agentes policiales y no </w:t>
      </w:r>
      <w:r w:rsidR="00CF3F5F" w:rsidRPr="00C876F7">
        <w:rPr>
          <w:rFonts w:ascii="Cambria" w:hAnsi="Cambria"/>
          <w:sz w:val="20"/>
          <w:szCs w:val="20"/>
          <w:lang w:val="es-ES"/>
        </w:rPr>
        <w:t xml:space="preserve">ante </w:t>
      </w:r>
      <w:r w:rsidR="008B5700" w:rsidRPr="00C876F7">
        <w:rPr>
          <w:rFonts w:ascii="Cambria" w:hAnsi="Cambria"/>
          <w:sz w:val="20"/>
          <w:szCs w:val="20"/>
          <w:lang w:val="es-ES"/>
        </w:rPr>
        <w:t>autoridades judiciales</w:t>
      </w:r>
      <w:r w:rsidR="00DE2012" w:rsidRPr="00C876F7">
        <w:rPr>
          <w:rFonts w:ascii="Cambria" w:hAnsi="Cambria"/>
          <w:sz w:val="20"/>
          <w:szCs w:val="20"/>
          <w:lang w:val="es-ES"/>
        </w:rPr>
        <w:t>, y que además presentaba inconsistencias sobre el modo, tiempo y lugar del</w:t>
      </w:r>
      <w:r w:rsidR="009B719F" w:rsidRPr="00C876F7">
        <w:rPr>
          <w:rFonts w:ascii="Cambria" w:hAnsi="Cambria"/>
          <w:sz w:val="20"/>
          <w:szCs w:val="20"/>
          <w:lang w:val="es-ES"/>
        </w:rPr>
        <w:t xml:space="preserve"> presunto robo</w:t>
      </w:r>
      <w:r w:rsidR="008B5700" w:rsidRPr="00C876F7">
        <w:rPr>
          <w:rFonts w:ascii="Cambria" w:hAnsi="Cambria"/>
          <w:sz w:val="20"/>
          <w:szCs w:val="20"/>
          <w:lang w:val="es-ES"/>
        </w:rPr>
        <w:t>.</w:t>
      </w:r>
      <w:r w:rsidR="00DE2012" w:rsidRPr="00C876F7">
        <w:rPr>
          <w:rFonts w:ascii="Cambria" w:hAnsi="Cambria"/>
          <w:sz w:val="20"/>
          <w:szCs w:val="20"/>
          <w:lang w:val="es-ES"/>
        </w:rPr>
        <w:t xml:space="preserve"> </w:t>
      </w:r>
    </w:p>
    <w:p w14:paraId="088A0631" w14:textId="77777777" w:rsidR="008B5700" w:rsidRPr="00C876F7" w:rsidRDefault="008B5700"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s-ES"/>
        </w:rPr>
      </w:pPr>
    </w:p>
    <w:p w14:paraId="321C4DCF" w14:textId="5B90CD15" w:rsidR="006C75AA" w:rsidRPr="00C876F7" w:rsidRDefault="008B5700"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La </w:t>
      </w:r>
      <w:r w:rsidR="003619FE" w:rsidRPr="00C876F7">
        <w:rPr>
          <w:rFonts w:ascii="Cambria" w:hAnsi="Cambria"/>
          <w:sz w:val="20"/>
          <w:szCs w:val="20"/>
          <w:lang w:val="es-ES"/>
        </w:rPr>
        <w:t xml:space="preserve">parte </w:t>
      </w:r>
      <w:r w:rsidRPr="00C876F7">
        <w:rPr>
          <w:rFonts w:ascii="Cambria" w:hAnsi="Cambria"/>
          <w:sz w:val="20"/>
          <w:szCs w:val="20"/>
          <w:lang w:val="es-ES"/>
        </w:rPr>
        <w:t>pe</w:t>
      </w:r>
      <w:r w:rsidR="006C75AA" w:rsidRPr="00C876F7">
        <w:rPr>
          <w:rFonts w:ascii="Cambria" w:hAnsi="Cambria"/>
          <w:sz w:val="20"/>
          <w:szCs w:val="20"/>
          <w:lang w:val="es-ES"/>
        </w:rPr>
        <w:t xml:space="preserve">ticionaria sostuvo que dicha situación </w:t>
      </w:r>
      <w:r w:rsidR="000E3A84" w:rsidRPr="00C876F7">
        <w:rPr>
          <w:rFonts w:ascii="Cambria" w:hAnsi="Cambria"/>
          <w:sz w:val="20"/>
          <w:szCs w:val="20"/>
          <w:lang w:val="es-ES"/>
        </w:rPr>
        <w:t>es violatoria d</w:t>
      </w:r>
      <w:r w:rsidR="006C75AA" w:rsidRPr="00C876F7">
        <w:rPr>
          <w:rFonts w:ascii="Cambria" w:hAnsi="Cambria"/>
          <w:sz w:val="20"/>
          <w:szCs w:val="20"/>
          <w:lang w:val="es-ES"/>
        </w:rPr>
        <w:t xml:space="preserve">el derecho </w:t>
      </w:r>
      <w:r w:rsidR="000E3A84" w:rsidRPr="00C876F7">
        <w:rPr>
          <w:rFonts w:ascii="Cambria" w:hAnsi="Cambria"/>
          <w:sz w:val="20"/>
          <w:szCs w:val="20"/>
          <w:lang w:val="es-ES"/>
        </w:rPr>
        <w:t>de</w:t>
      </w:r>
      <w:r w:rsidR="00AA1F46" w:rsidRPr="00C876F7">
        <w:rPr>
          <w:rFonts w:ascii="Cambria" w:hAnsi="Cambria"/>
          <w:sz w:val="20"/>
          <w:szCs w:val="20"/>
          <w:lang w:val="es-ES"/>
        </w:rPr>
        <w:t xml:space="preserve"> defensa establecido</w:t>
      </w:r>
      <w:r w:rsidR="006C75AA" w:rsidRPr="00C876F7">
        <w:rPr>
          <w:rFonts w:ascii="Cambria" w:hAnsi="Cambria"/>
          <w:sz w:val="20"/>
          <w:szCs w:val="20"/>
          <w:lang w:val="es-ES"/>
        </w:rPr>
        <w:t xml:space="preserve"> en los artículos 8.2.</w:t>
      </w:r>
      <w:r w:rsidR="00AA1F46" w:rsidRPr="00C876F7">
        <w:rPr>
          <w:rFonts w:ascii="Cambria" w:hAnsi="Cambria"/>
          <w:sz w:val="20"/>
          <w:szCs w:val="20"/>
          <w:lang w:val="es-ES"/>
        </w:rPr>
        <w:t xml:space="preserve">d, </w:t>
      </w:r>
      <w:r w:rsidR="006C75AA" w:rsidRPr="00C876F7">
        <w:rPr>
          <w:rFonts w:ascii="Cambria" w:hAnsi="Cambria"/>
          <w:sz w:val="20"/>
          <w:szCs w:val="20"/>
          <w:lang w:val="es-ES"/>
        </w:rPr>
        <w:t xml:space="preserve">8.2.f </w:t>
      </w:r>
      <w:r w:rsidR="00AA1F46" w:rsidRPr="00C876F7">
        <w:rPr>
          <w:rFonts w:ascii="Cambria" w:hAnsi="Cambria"/>
          <w:sz w:val="20"/>
          <w:szCs w:val="20"/>
          <w:lang w:val="es-ES"/>
        </w:rPr>
        <w:t xml:space="preserve">y 8.5 </w:t>
      </w:r>
      <w:r w:rsidR="006C75AA" w:rsidRPr="00C876F7">
        <w:rPr>
          <w:rFonts w:ascii="Cambria" w:hAnsi="Cambria"/>
          <w:sz w:val="20"/>
          <w:szCs w:val="20"/>
          <w:lang w:val="es-ES"/>
        </w:rPr>
        <w:t>de la Convención Americana</w:t>
      </w:r>
      <w:r w:rsidR="000E3A84" w:rsidRPr="00C876F7">
        <w:rPr>
          <w:rFonts w:ascii="Cambria" w:hAnsi="Cambria"/>
          <w:sz w:val="20"/>
          <w:szCs w:val="20"/>
          <w:lang w:val="es-ES"/>
        </w:rPr>
        <w:t>,</w:t>
      </w:r>
      <w:r w:rsidR="006C75AA" w:rsidRPr="00C876F7">
        <w:rPr>
          <w:rFonts w:ascii="Cambria" w:hAnsi="Cambria"/>
          <w:sz w:val="20"/>
          <w:szCs w:val="20"/>
          <w:lang w:val="es-ES"/>
        </w:rPr>
        <w:t xml:space="preserve"> en tanto no se pudo interrogar al presunto afectado ni controvertir su declaración. Sostuvo que </w:t>
      </w:r>
      <w:r w:rsidR="00AA1F46" w:rsidRPr="00C876F7">
        <w:rPr>
          <w:rFonts w:ascii="Cambria" w:hAnsi="Cambria"/>
          <w:sz w:val="20"/>
          <w:szCs w:val="20"/>
          <w:lang w:val="es-ES"/>
        </w:rPr>
        <w:t xml:space="preserve">a pesar de que </w:t>
      </w:r>
      <w:r w:rsidR="006C75AA" w:rsidRPr="00C876F7">
        <w:rPr>
          <w:rFonts w:ascii="Cambria" w:hAnsi="Cambria"/>
          <w:sz w:val="20"/>
          <w:szCs w:val="20"/>
          <w:lang w:val="es-ES"/>
        </w:rPr>
        <w:t>el Código Proces</w:t>
      </w:r>
      <w:r w:rsidR="000E3A84" w:rsidRPr="00C876F7">
        <w:rPr>
          <w:rFonts w:ascii="Cambria" w:hAnsi="Cambria"/>
          <w:sz w:val="20"/>
          <w:szCs w:val="20"/>
          <w:lang w:val="es-ES"/>
        </w:rPr>
        <w:t>al</w:t>
      </w:r>
      <w:r w:rsidR="006C75AA" w:rsidRPr="00C876F7">
        <w:rPr>
          <w:rFonts w:ascii="Cambria" w:hAnsi="Cambria"/>
          <w:sz w:val="20"/>
          <w:szCs w:val="20"/>
          <w:lang w:val="es-ES"/>
        </w:rPr>
        <w:t xml:space="preserve"> Penal de la </w:t>
      </w:r>
      <w:r w:rsidR="006C75AA" w:rsidRPr="00C876F7">
        <w:rPr>
          <w:rFonts w:ascii="Cambria" w:hAnsi="Cambria"/>
          <w:sz w:val="20"/>
          <w:szCs w:val="20"/>
          <w:lang w:val="es-ES"/>
        </w:rPr>
        <w:lastRenderedPageBreak/>
        <w:t>Nación permite que se incorpore</w:t>
      </w:r>
      <w:r w:rsidR="000E3A84" w:rsidRPr="00C876F7">
        <w:rPr>
          <w:rFonts w:ascii="Cambria" w:hAnsi="Cambria"/>
          <w:sz w:val="20"/>
          <w:szCs w:val="20"/>
          <w:lang w:val="es-ES"/>
        </w:rPr>
        <w:t>n</w:t>
      </w:r>
      <w:r w:rsidR="006C75AA" w:rsidRPr="00C876F7">
        <w:rPr>
          <w:rFonts w:ascii="Cambria" w:hAnsi="Cambria"/>
          <w:sz w:val="20"/>
          <w:szCs w:val="20"/>
          <w:lang w:val="es-ES"/>
        </w:rPr>
        <w:t xml:space="preserve"> declaraciones tomadas en la etapa de instrucción </w:t>
      </w:r>
      <w:r w:rsidR="00AA1F46" w:rsidRPr="00C876F7">
        <w:rPr>
          <w:rFonts w:ascii="Cambria" w:hAnsi="Cambria"/>
          <w:sz w:val="20"/>
          <w:szCs w:val="20"/>
          <w:lang w:val="es-ES"/>
        </w:rPr>
        <w:t>cuando se desconozca el paradero del testigo, ést</w:t>
      </w:r>
      <w:r w:rsidR="00851D59" w:rsidRPr="00C876F7">
        <w:rPr>
          <w:rFonts w:ascii="Cambria" w:hAnsi="Cambria"/>
          <w:sz w:val="20"/>
          <w:szCs w:val="20"/>
          <w:lang w:val="es-ES"/>
        </w:rPr>
        <w:t>a incorporación</w:t>
      </w:r>
      <w:r w:rsidR="00AA1F46" w:rsidRPr="00C876F7">
        <w:rPr>
          <w:rFonts w:ascii="Cambria" w:hAnsi="Cambria"/>
          <w:sz w:val="20"/>
          <w:szCs w:val="20"/>
          <w:lang w:val="es-ES"/>
        </w:rPr>
        <w:t xml:space="preserve"> se realizó sin consentimiento de la defensa. </w:t>
      </w:r>
    </w:p>
    <w:p w14:paraId="02E1C709" w14:textId="77777777" w:rsidR="00DE2012" w:rsidRPr="00C876F7" w:rsidRDefault="00DE2012"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A9D46AA" w14:textId="12AF38C8" w:rsidR="006C75AA" w:rsidRPr="00C876F7" w:rsidRDefault="006C75AA"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La </w:t>
      </w:r>
      <w:r w:rsidR="00220CE0" w:rsidRPr="00C876F7">
        <w:rPr>
          <w:rFonts w:ascii="Cambria" w:hAnsi="Cambria"/>
          <w:sz w:val="20"/>
          <w:szCs w:val="20"/>
          <w:lang w:val="es-ES"/>
        </w:rPr>
        <w:t xml:space="preserve">parte </w:t>
      </w:r>
      <w:r w:rsidRPr="00C876F7">
        <w:rPr>
          <w:rFonts w:ascii="Cambria" w:hAnsi="Cambria"/>
          <w:sz w:val="20"/>
          <w:szCs w:val="20"/>
          <w:lang w:val="es-ES"/>
        </w:rPr>
        <w:t xml:space="preserve">peticionaria agregó que debido a que el proceso penal adoleció de </w:t>
      </w:r>
      <w:r w:rsidR="00C778DE" w:rsidRPr="00C876F7">
        <w:rPr>
          <w:rFonts w:ascii="Cambria" w:hAnsi="Cambria"/>
          <w:sz w:val="20"/>
          <w:szCs w:val="20"/>
          <w:lang w:val="es-ES"/>
        </w:rPr>
        <w:t xml:space="preserve">esta </w:t>
      </w:r>
      <w:r w:rsidRPr="00C876F7">
        <w:rPr>
          <w:rFonts w:ascii="Cambria" w:hAnsi="Cambria"/>
          <w:sz w:val="20"/>
          <w:szCs w:val="20"/>
          <w:lang w:val="es-ES"/>
        </w:rPr>
        <w:t xml:space="preserve">grave </w:t>
      </w:r>
      <w:r w:rsidR="00DE2012" w:rsidRPr="00C876F7">
        <w:rPr>
          <w:rFonts w:ascii="Cambria" w:hAnsi="Cambria"/>
          <w:sz w:val="20"/>
          <w:szCs w:val="20"/>
          <w:lang w:val="es-ES"/>
        </w:rPr>
        <w:t xml:space="preserve">vulneración </w:t>
      </w:r>
      <w:r w:rsidRPr="00C876F7">
        <w:rPr>
          <w:rFonts w:ascii="Cambria" w:hAnsi="Cambria"/>
          <w:sz w:val="20"/>
          <w:szCs w:val="20"/>
          <w:lang w:val="es-ES"/>
        </w:rPr>
        <w:t>al derecho a la defensa, la privación de libertad del señor Martín devino en arbitraria. Sostuvo que dicha situación vulnera el artículo 7</w:t>
      </w:r>
      <w:r w:rsidR="00DE2012" w:rsidRPr="00C876F7">
        <w:rPr>
          <w:rFonts w:ascii="Cambria" w:hAnsi="Cambria"/>
          <w:sz w:val="20"/>
          <w:szCs w:val="20"/>
          <w:lang w:val="es-ES"/>
        </w:rPr>
        <w:t>.3</w:t>
      </w:r>
      <w:r w:rsidRPr="00C876F7">
        <w:rPr>
          <w:rFonts w:ascii="Cambria" w:hAnsi="Cambria"/>
          <w:sz w:val="20"/>
          <w:szCs w:val="20"/>
          <w:lang w:val="es-ES"/>
        </w:rPr>
        <w:t xml:space="preserve"> de la Convención Americana.</w:t>
      </w:r>
    </w:p>
    <w:p w14:paraId="6EACA98B" w14:textId="77777777" w:rsidR="00AA1F46" w:rsidRPr="00C876F7" w:rsidRDefault="00AA1F4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70F13CC5" w14:textId="6722057B" w:rsidR="00AA1F46" w:rsidRPr="00C876F7" w:rsidRDefault="00AA1F46"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Finalmente, la </w:t>
      </w:r>
      <w:r w:rsidR="00CF2FA6" w:rsidRPr="00C876F7">
        <w:rPr>
          <w:rFonts w:ascii="Cambria" w:hAnsi="Cambria"/>
          <w:sz w:val="20"/>
          <w:szCs w:val="20"/>
          <w:lang w:val="es-ES"/>
        </w:rPr>
        <w:t xml:space="preserve">parte </w:t>
      </w:r>
      <w:r w:rsidRPr="00C876F7">
        <w:rPr>
          <w:rFonts w:ascii="Cambria" w:hAnsi="Cambria"/>
          <w:sz w:val="20"/>
          <w:szCs w:val="20"/>
          <w:lang w:val="es-ES"/>
        </w:rPr>
        <w:t xml:space="preserve">peticionaria alegó que se afectó el derecho a recurrir el fallo, establecido en el artículo 8.2.h de la Convención Americana. Indicó que la Cámara Nacional de Casación Penal no realizó un examen integral de los planteos fácticos y jurídicos presentados por la defensa, sino que declaró inadmisible el recurso de casación presentado </w:t>
      </w:r>
      <w:r w:rsidR="00CF2FA6" w:rsidRPr="00C876F7">
        <w:rPr>
          <w:rFonts w:ascii="Cambria" w:hAnsi="Cambria"/>
          <w:sz w:val="20"/>
          <w:szCs w:val="20"/>
          <w:lang w:val="es-ES"/>
        </w:rPr>
        <w:t xml:space="preserve">contra </w:t>
      </w:r>
      <w:r w:rsidRPr="00C876F7">
        <w:rPr>
          <w:rFonts w:ascii="Cambria" w:hAnsi="Cambria"/>
          <w:sz w:val="20"/>
          <w:szCs w:val="20"/>
          <w:lang w:val="es-ES"/>
        </w:rPr>
        <w:t>la sentencia condenatoria.</w:t>
      </w:r>
    </w:p>
    <w:p w14:paraId="71B53465" w14:textId="77777777" w:rsidR="003C7B7A" w:rsidRPr="00C876F7" w:rsidRDefault="003C7B7A"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4FA7F702" w14:textId="77777777" w:rsidR="001B3677" w:rsidRPr="00C876F7" w:rsidRDefault="001B3677" w:rsidP="00C876F7">
      <w:pPr>
        <w:pStyle w:val="Heading2"/>
        <w:ind w:left="1440" w:hanging="720"/>
        <w:rPr>
          <w:rStyle w:val="Heading2Char"/>
          <w:rFonts w:eastAsia="MS Gothic"/>
          <w:b/>
        </w:rPr>
      </w:pPr>
      <w:bookmarkStart w:id="15" w:name="_Toc430268170"/>
      <w:bookmarkStart w:id="16" w:name="_Toc446591744"/>
      <w:bookmarkStart w:id="17" w:name="_Toc480636765"/>
      <w:bookmarkStart w:id="18" w:name="_Toc84427121"/>
      <w:r w:rsidRPr="00C876F7">
        <w:rPr>
          <w:rStyle w:val="Heading2Char"/>
          <w:rFonts w:eastAsia="MS Gothic"/>
          <w:b/>
        </w:rPr>
        <w:t>Estado</w:t>
      </w:r>
      <w:bookmarkEnd w:id="15"/>
      <w:bookmarkEnd w:id="16"/>
      <w:bookmarkEnd w:id="17"/>
      <w:bookmarkEnd w:id="18"/>
    </w:p>
    <w:p w14:paraId="79BBEC5A" w14:textId="77777777" w:rsidR="001B3677" w:rsidRPr="00C876F7" w:rsidRDefault="001B3677" w:rsidP="00C876F7">
      <w:pPr>
        <w:spacing w:after="0" w:line="240" w:lineRule="auto"/>
        <w:rPr>
          <w:rFonts w:ascii="Cambria" w:hAnsi="Cambria"/>
          <w:sz w:val="20"/>
          <w:szCs w:val="20"/>
          <w:lang w:val="es-ES"/>
        </w:rPr>
      </w:pPr>
    </w:p>
    <w:p w14:paraId="396736BA" w14:textId="287583EA" w:rsidR="003167E2" w:rsidRPr="00C876F7" w:rsidRDefault="00484D39"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Como se indicó anteriormente, </w:t>
      </w:r>
      <w:r w:rsidR="003167E2" w:rsidRPr="00C876F7">
        <w:rPr>
          <w:rFonts w:ascii="Cambria" w:hAnsi="Cambria"/>
          <w:sz w:val="20"/>
          <w:szCs w:val="20"/>
          <w:lang w:val="es-ES"/>
        </w:rPr>
        <w:t>el Estado no ha presentado a la fecha sus observaciones</w:t>
      </w:r>
      <w:r w:rsidR="00400D14" w:rsidRPr="00C876F7">
        <w:rPr>
          <w:rFonts w:ascii="Cambria" w:hAnsi="Cambria"/>
          <w:sz w:val="20"/>
          <w:szCs w:val="20"/>
          <w:lang w:val="es-ES"/>
        </w:rPr>
        <w:t xml:space="preserve"> adicionales sobre el </w:t>
      </w:r>
      <w:r w:rsidR="003167E2" w:rsidRPr="00C876F7">
        <w:rPr>
          <w:rFonts w:ascii="Cambria" w:hAnsi="Cambria"/>
          <w:sz w:val="20"/>
          <w:szCs w:val="20"/>
          <w:lang w:val="es-ES"/>
        </w:rPr>
        <w:t>fondo. Sin perjuicio de ello, la Comisión pasa a recapitular los alegatos presentados por Argentina durante la etapa de admisibilidad</w:t>
      </w:r>
      <w:r w:rsidR="00BE624B" w:rsidRPr="00C876F7">
        <w:rPr>
          <w:rFonts w:ascii="Cambria" w:hAnsi="Cambria"/>
          <w:sz w:val="20"/>
          <w:szCs w:val="20"/>
          <w:lang w:val="es-ES"/>
        </w:rPr>
        <w:t xml:space="preserve"> que se relacionan con el fondo</w:t>
      </w:r>
      <w:r w:rsidR="003167E2" w:rsidRPr="00C876F7">
        <w:rPr>
          <w:rFonts w:ascii="Cambria" w:hAnsi="Cambria"/>
          <w:sz w:val="20"/>
          <w:szCs w:val="20"/>
          <w:lang w:val="es-ES"/>
        </w:rPr>
        <w:t>.</w:t>
      </w:r>
    </w:p>
    <w:p w14:paraId="47AB4520" w14:textId="77777777" w:rsidR="003167E2" w:rsidRPr="00C876F7" w:rsidRDefault="003167E2"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087C860" w14:textId="781C8DBE" w:rsidR="002C4DA4" w:rsidRPr="00C876F7" w:rsidRDefault="002C4DA4"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rPr>
        <w:t xml:space="preserve">El Estado alegó que no tiene responsabilidad internacional en tanto el proceso penal seguido al señor Martín cumplió con todas las garantías judiciales. Indicó que de acuerdo a su normativa interna sí resultaba posible incorporar </w:t>
      </w:r>
      <w:r w:rsidRPr="00C876F7">
        <w:rPr>
          <w:rFonts w:ascii="Cambria" w:hAnsi="Cambria"/>
          <w:sz w:val="20"/>
          <w:szCs w:val="20"/>
          <w:lang w:val="es-ES"/>
        </w:rPr>
        <w:t xml:space="preserve">por lectura la declaración rendida por el testigo principal durante la etapa </w:t>
      </w:r>
      <w:r w:rsidR="002F630F" w:rsidRPr="00C876F7">
        <w:rPr>
          <w:rFonts w:ascii="Cambria" w:hAnsi="Cambria"/>
          <w:sz w:val="20"/>
          <w:szCs w:val="20"/>
          <w:lang w:val="es-ES"/>
        </w:rPr>
        <w:t xml:space="preserve">de </w:t>
      </w:r>
      <w:r w:rsidRPr="00C876F7">
        <w:rPr>
          <w:rFonts w:ascii="Cambria" w:hAnsi="Cambria"/>
          <w:sz w:val="20"/>
          <w:szCs w:val="20"/>
          <w:lang w:val="es-ES"/>
        </w:rPr>
        <w:t>instrucción.</w:t>
      </w:r>
      <w:r w:rsidR="00AA1F46" w:rsidRPr="00C876F7">
        <w:rPr>
          <w:rFonts w:ascii="Cambria" w:hAnsi="Cambria"/>
          <w:sz w:val="20"/>
          <w:szCs w:val="20"/>
          <w:lang w:val="es-ES"/>
        </w:rPr>
        <w:t xml:space="preserve"> Ello en tanto no fue posible ubicarlo a efectos de que rindiera su declaración en </w:t>
      </w:r>
      <w:r w:rsidR="002B6C2D" w:rsidRPr="00C876F7">
        <w:rPr>
          <w:rFonts w:ascii="Cambria" w:hAnsi="Cambria"/>
          <w:sz w:val="20"/>
          <w:szCs w:val="20"/>
          <w:lang w:val="es-ES"/>
        </w:rPr>
        <w:t xml:space="preserve">la </w:t>
      </w:r>
      <w:r w:rsidR="00AA1F46" w:rsidRPr="00C876F7">
        <w:rPr>
          <w:rFonts w:ascii="Cambria" w:hAnsi="Cambria"/>
          <w:sz w:val="20"/>
          <w:szCs w:val="20"/>
          <w:lang w:val="es-ES"/>
        </w:rPr>
        <w:t>audiencia pública.</w:t>
      </w:r>
      <w:r w:rsidRPr="00C876F7">
        <w:rPr>
          <w:rFonts w:ascii="Cambria" w:hAnsi="Cambria"/>
          <w:sz w:val="20"/>
          <w:szCs w:val="20"/>
          <w:lang w:val="es-ES"/>
        </w:rPr>
        <w:t xml:space="preserve"> El Estado agregó que la sentencia condenatoria también valor</w:t>
      </w:r>
      <w:r w:rsidRPr="00C876F7">
        <w:rPr>
          <w:rFonts w:ascii="Cambria" w:hAnsi="Cambria"/>
          <w:sz w:val="20"/>
          <w:szCs w:val="20"/>
        </w:rPr>
        <w:t xml:space="preserve">ó otros medios de prueba que fueron presentados durante el proceso, tales como las declaraciones de un agente policial y dos testigos. </w:t>
      </w:r>
    </w:p>
    <w:p w14:paraId="441EC5FE" w14:textId="77777777" w:rsidR="00761C01" w:rsidRPr="00C876F7" w:rsidRDefault="00761C0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s-ES"/>
        </w:rPr>
      </w:pPr>
    </w:p>
    <w:p w14:paraId="6B9E872C" w14:textId="5B2F74CC" w:rsidR="003167E2" w:rsidRPr="00C876F7" w:rsidRDefault="00003703"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C876F7">
        <w:rPr>
          <w:rFonts w:ascii="Cambria" w:hAnsi="Cambria"/>
          <w:sz w:val="20"/>
          <w:szCs w:val="20"/>
        </w:rPr>
        <w:t xml:space="preserve">Argentina sostuvo que la </w:t>
      </w:r>
      <w:r w:rsidR="002B6C2D" w:rsidRPr="00C876F7">
        <w:rPr>
          <w:rFonts w:ascii="Cambria" w:hAnsi="Cambria"/>
          <w:sz w:val="20"/>
          <w:szCs w:val="20"/>
        </w:rPr>
        <w:t xml:space="preserve">parte </w:t>
      </w:r>
      <w:r w:rsidRPr="00C876F7">
        <w:rPr>
          <w:rFonts w:ascii="Cambria" w:hAnsi="Cambria"/>
          <w:sz w:val="20"/>
          <w:szCs w:val="20"/>
        </w:rPr>
        <w:t xml:space="preserve">peticionaria pretende que la CIDH actúe “como una cuarta instancia judicial y revise las valoraciones de </w:t>
      </w:r>
      <w:r w:rsidR="00492E23" w:rsidRPr="00C876F7">
        <w:rPr>
          <w:rFonts w:ascii="Cambria" w:hAnsi="Cambria"/>
          <w:sz w:val="20"/>
          <w:szCs w:val="20"/>
        </w:rPr>
        <w:t>hecho y de derecho emitidas por los jueces y tribunales que intervinieron en el trámite de la causa</w:t>
      </w:r>
      <w:r w:rsidRPr="00C876F7">
        <w:rPr>
          <w:rFonts w:ascii="Cambria" w:hAnsi="Cambria"/>
          <w:sz w:val="20"/>
          <w:szCs w:val="20"/>
        </w:rPr>
        <w:t>”</w:t>
      </w:r>
      <w:r w:rsidR="00492E23" w:rsidRPr="00C876F7">
        <w:rPr>
          <w:rFonts w:ascii="Cambria" w:hAnsi="Cambria"/>
          <w:sz w:val="20"/>
          <w:szCs w:val="20"/>
        </w:rPr>
        <w:t xml:space="preserve">. Indicó que </w:t>
      </w:r>
      <w:r w:rsidR="002B6C2D" w:rsidRPr="00C876F7">
        <w:rPr>
          <w:rFonts w:ascii="Cambria" w:hAnsi="Cambria"/>
          <w:sz w:val="20"/>
          <w:szCs w:val="20"/>
        </w:rPr>
        <w:t xml:space="preserve">lo que </w:t>
      </w:r>
      <w:r w:rsidR="00492E23" w:rsidRPr="00C876F7">
        <w:rPr>
          <w:rFonts w:ascii="Cambria" w:hAnsi="Cambria"/>
          <w:sz w:val="20"/>
          <w:szCs w:val="20"/>
        </w:rPr>
        <w:t xml:space="preserve">existe </w:t>
      </w:r>
      <w:r w:rsidR="002B6C2D" w:rsidRPr="00C876F7">
        <w:rPr>
          <w:rFonts w:ascii="Cambria" w:hAnsi="Cambria"/>
          <w:sz w:val="20"/>
          <w:szCs w:val="20"/>
        </w:rPr>
        <w:t xml:space="preserve">es </w:t>
      </w:r>
      <w:r w:rsidR="00492E23" w:rsidRPr="00C876F7">
        <w:rPr>
          <w:rFonts w:ascii="Cambria" w:hAnsi="Cambria"/>
          <w:sz w:val="20"/>
          <w:szCs w:val="20"/>
        </w:rPr>
        <w:t>inconformidad de la</w:t>
      </w:r>
      <w:r w:rsidR="002B6C2D" w:rsidRPr="00C876F7">
        <w:rPr>
          <w:rFonts w:ascii="Cambria" w:hAnsi="Cambria"/>
          <w:sz w:val="20"/>
          <w:szCs w:val="20"/>
        </w:rPr>
        <w:t xml:space="preserve"> parte</w:t>
      </w:r>
      <w:r w:rsidR="00492E23" w:rsidRPr="00C876F7">
        <w:rPr>
          <w:rFonts w:ascii="Cambria" w:hAnsi="Cambria"/>
          <w:sz w:val="20"/>
          <w:szCs w:val="20"/>
        </w:rPr>
        <w:t xml:space="preserve"> peticionaria con la sentencia condenatoria en contra del señor Martín</w:t>
      </w:r>
      <w:r w:rsidR="002C4DA4" w:rsidRPr="00C876F7">
        <w:rPr>
          <w:rFonts w:ascii="Cambria" w:hAnsi="Cambria"/>
          <w:sz w:val="20"/>
          <w:szCs w:val="20"/>
        </w:rPr>
        <w:t xml:space="preserve">, lo cual no puede bastar para que </w:t>
      </w:r>
      <w:r w:rsidR="002B6C2D" w:rsidRPr="00C876F7">
        <w:rPr>
          <w:rFonts w:ascii="Cambria" w:hAnsi="Cambria"/>
          <w:sz w:val="20"/>
          <w:szCs w:val="20"/>
        </w:rPr>
        <w:t xml:space="preserve">se </w:t>
      </w:r>
      <w:r w:rsidR="002C4DA4" w:rsidRPr="00C876F7">
        <w:rPr>
          <w:rFonts w:ascii="Cambria" w:hAnsi="Cambria"/>
          <w:sz w:val="20"/>
          <w:szCs w:val="20"/>
        </w:rPr>
        <w:t>declare la responsabilidad internacional del Estado</w:t>
      </w:r>
      <w:r w:rsidR="00492E23" w:rsidRPr="00C876F7">
        <w:rPr>
          <w:rFonts w:ascii="Cambria" w:hAnsi="Cambria"/>
          <w:sz w:val="20"/>
          <w:szCs w:val="20"/>
        </w:rPr>
        <w:t>.</w:t>
      </w:r>
    </w:p>
    <w:p w14:paraId="3BB4A463" w14:textId="77777777" w:rsidR="002C4DA4" w:rsidRPr="00C876F7" w:rsidRDefault="002C4DA4"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1C13381E" w14:textId="77777777" w:rsidR="001B3677" w:rsidRPr="00C876F7" w:rsidRDefault="00130109" w:rsidP="00C876F7">
      <w:pPr>
        <w:pStyle w:val="Heading1"/>
        <w:ind w:left="1440" w:hanging="720"/>
        <w:jc w:val="both"/>
        <w:rPr>
          <w:lang w:val="es-MX"/>
        </w:rPr>
      </w:pPr>
      <w:bookmarkStart w:id="19" w:name="_Toc84427122"/>
      <w:r w:rsidRPr="00C876F7">
        <w:rPr>
          <w:lang w:val="es-MX"/>
        </w:rPr>
        <w:t>DETERMINACIONES DE HECHO</w:t>
      </w:r>
      <w:bookmarkEnd w:id="19"/>
    </w:p>
    <w:p w14:paraId="285C9BAF" w14:textId="77777777" w:rsidR="001B3677" w:rsidRPr="00C876F7" w:rsidRDefault="001B3677" w:rsidP="00C876F7">
      <w:pPr>
        <w:suppressAutoHyphens/>
        <w:spacing w:after="0" w:line="240" w:lineRule="auto"/>
        <w:jc w:val="both"/>
        <w:rPr>
          <w:rFonts w:ascii="Cambria" w:hAnsi="Cambria"/>
          <w:sz w:val="20"/>
          <w:szCs w:val="20"/>
          <w:lang w:val="es-MX"/>
        </w:rPr>
      </w:pPr>
    </w:p>
    <w:p w14:paraId="03CD58AD" w14:textId="191B2AD0" w:rsidR="00BE624B" w:rsidRPr="00C876F7" w:rsidRDefault="00BE624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Los hechos que se describen a continuación se desprenden de las piezas del expediente ante la CIDH y no </w:t>
      </w:r>
      <w:r w:rsidR="00D6043E" w:rsidRPr="00C876F7">
        <w:rPr>
          <w:rFonts w:ascii="Cambria" w:hAnsi="Cambria"/>
          <w:sz w:val="20"/>
          <w:szCs w:val="20"/>
          <w:lang w:val="es-ES"/>
        </w:rPr>
        <w:t xml:space="preserve">se encuentran </w:t>
      </w:r>
      <w:r w:rsidRPr="00C876F7">
        <w:rPr>
          <w:rFonts w:ascii="Cambria" w:hAnsi="Cambria"/>
          <w:sz w:val="20"/>
          <w:szCs w:val="20"/>
          <w:lang w:val="es-ES"/>
        </w:rPr>
        <w:t>en controversia.</w:t>
      </w:r>
    </w:p>
    <w:p w14:paraId="77CF9EFD" w14:textId="77777777" w:rsidR="00BE624B" w:rsidRPr="00C876F7" w:rsidRDefault="00BE624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3134E50" w14:textId="14E99F7D" w:rsidR="002B4031" w:rsidRPr="00C876F7" w:rsidRDefault="00575348"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MX"/>
        </w:rPr>
        <w:t>E</w:t>
      </w:r>
      <w:r w:rsidR="0059345F" w:rsidRPr="00C876F7">
        <w:rPr>
          <w:rFonts w:ascii="Cambria" w:hAnsi="Cambria"/>
          <w:sz w:val="20"/>
          <w:szCs w:val="20"/>
          <w:lang w:val="es-ES"/>
        </w:rPr>
        <w:t xml:space="preserve">l 30 de agosto de 1998 Alfredo Martín Cugat se encontraba en un transporte público en Buenos Aires cuando </w:t>
      </w:r>
      <w:r w:rsidR="008E4400" w:rsidRPr="00C876F7">
        <w:rPr>
          <w:rFonts w:ascii="Cambria" w:hAnsi="Cambria"/>
          <w:sz w:val="20"/>
          <w:szCs w:val="20"/>
          <w:lang w:val="es-ES"/>
        </w:rPr>
        <w:t>dos jóvenes</w:t>
      </w:r>
      <w:r w:rsidR="0059345F" w:rsidRPr="00C876F7">
        <w:rPr>
          <w:rFonts w:ascii="Cambria" w:hAnsi="Cambria"/>
          <w:sz w:val="20"/>
          <w:szCs w:val="20"/>
          <w:lang w:val="es-ES"/>
        </w:rPr>
        <w:t xml:space="preserve"> no identificado</w:t>
      </w:r>
      <w:r w:rsidR="008E4400" w:rsidRPr="00C876F7">
        <w:rPr>
          <w:rFonts w:ascii="Cambria" w:hAnsi="Cambria"/>
          <w:sz w:val="20"/>
          <w:szCs w:val="20"/>
          <w:lang w:val="es-ES"/>
        </w:rPr>
        <w:t>s</w:t>
      </w:r>
      <w:r w:rsidR="0059345F" w:rsidRPr="00C876F7">
        <w:rPr>
          <w:rFonts w:ascii="Cambria" w:hAnsi="Cambria"/>
          <w:sz w:val="20"/>
          <w:szCs w:val="20"/>
          <w:lang w:val="es-ES"/>
        </w:rPr>
        <w:t xml:space="preserve"> lo amenaz</w:t>
      </w:r>
      <w:r w:rsidR="008E4400" w:rsidRPr="00C876F7">
        <w:rPr>
          <w:rFonts w:ascii="Cambria" w:hAnsi="Cambria"/>
          <w:sz w:val="20"/>
          <w:szCs w:val="20"/>
          <w:lang w:val="es-ES"/>
        </w:rPr>
        <w:t>aron</w:t>
      </w:r>
      <w:r w:rsidR="0059345F" w:rsidRPr="00C876F7">
        <w:rPr>
          <w:rFonts w:ascii="Cambria" w:hAnsi="Cambria"/>
          <w:sz w:val="20"/>
          <w:szCs w:val="20"/>
          <w:lang w:val="es-ES"/>
        </w:rPr>
        <w:t xml:space="preserve"> con una navaja</w:t>
      </w:r>
      <w:r w:rsidR="008E4400" w:rsidRPr="00C876F7">
        <w:rPr>
          <w:rFonts w:ascii="Cambria" w:hAnsi="Cambria"/>
          <w:sz w:val="20"/>
          <w:szCs w:val="20"/>
          <w:lang w:val="es-ES"/>
        </w:rPr>
        <w:t>,</w:t>
      </w:r>
      <w:r w:rsidR="0059345F" w:rsidRPr="00C876F7">
        <w:rPr>
          <w:rFonts w:ascii="Cambria" w:hAnsi="Cambria"/>
          <w:sz w:val="20"/>
          <w:szCs w:val="20"/>
          <w:lang w:val="es-ES"/>
        </w:rPr>
        <w:t xml:space="preserve"> y le rob</w:t>
      </w:r>
      <w:r w:rsidR="008E4400" w:rsidRPr="00C876F7">
        <w:rPr>
          <w:rFonts w:ascii="Cambria" w:hAnsi="Cambria"/>
          <w:sz w:val="20"/>
          <w:szCs w:val="20"/>
          <w:lang w:val="es-ES"/>
        </w:rPr>
        <w:t>aron</w:t>
      </w:r>
      <w:r w:rsidR="0059345F" w:rsidRPr="00C876F7">
        <w:rPr>
          <w:rFonts w:ascii="Cambria" w:hAnsi="Cambria"/>
          <w:sz w:val="20"/>
          <w:szCs w:val="20"/>
          <w:lang w:val="es-ES"/>
        </w:rPr>
        <w:t xml:space="preserve"> dinero</w:t>
      </w:r>
      <w:r w:rsidR="008E4400" w:rsidRPr="00C876F7">
        <w:rPr>
          <w:rFonts w:ascii="Cambria" w:hAnsi="Cambria"/>
          <w:sz w:val="20"/>
          <w:szCs w:val="20"/>
          <w:lang w:val="es-ES"/>
        </w:rPr>
        <w:t xml:space="preserve"> y una casaca</w:t>
      </w:r>
      <w:r w:rsidRPr="00C876F7">
        <w:rPr>
          <w:rStyle w:val="FootnoteReference"/>
          <w:rFonts w:ascii="Cambria" w:hAnsi="Cambria"/>
          <w:sz w:val="20"/>
          <w:szCs w:val="20"/>
          <w:lang w:val="es-ES"/>
        </w:rPr>
        <w:footnoteReference w:id="2"/>
      </w:r>
      <w:r w:rsidR="0059345F" w:rsidRPr="00C876F7">
        <w:rPr>
          <w:rFonts w:ascii="Cambria" w:hAnsi="Cambria"/>
          <w:sz w:val="20"/>
          <w:szCs w:val="20"/>
          <w:lang w:val="es-ES"/>
        </w:rPr>
        <w:t xml:space="preserve">. </w:t>
      </w:r>
      <w:r w:rsidR="002B4031" w:rsidRPr="00C876F7">
        <w:rPr>
          <w:rFonts w:ascii="Cambria" w:hAnsi="Cambria"/>
          <w:sz w:val="20"/>
          <w:szCs w:val="20"/>
          <w:lang w:val="es-ES"/>
        </w:rPr>
        <w:t xml:space="preserve">El señor Cugat </w:t>
      </w:r>
      <w:r w:rsidR="00E20501" w:rsidRPr="00C876F7">
        <w:rPr>
          <w:rFonts w:ascii="Cambria" w:hAnsi="Cambria"/>
          <w:sz w:val="20"/>
          <w:szCs w:val="20"/>
          <w:lang w:val="es-ES"/>
        </w:rPr>
        <w:t>sostuvo en su denuncia penal</w:t>
      </w:r>
      <w:r w:rsidR="002B4031" w:rsidRPr="00C876F7">
        <w:rPr>
          <w:rFonts w:ascii="Cambria" w:hAnsi="Cambria"/>
          <w:sz w:val="20"/>
          <w:szCs w:val="20"/>
          <w:lang w:val="es-ES"/>
        </w:rPr>
        <w:t xml:space="preserve"> que se bajó </w:t>
      </w:r>
      <w:r w:rsidR="001A4419" w:rsidRPr="00C876F7">
        <w:rPr>
          <w:rFonts w:ascii="Cambria" w:hAnsi="Cambria"/>
          <w:sz w:val="20"/>
          <w:szCs w:val="20"/>
          <w:lang w:val="es-ES"/>
        </w:rPr>
        <w:t>d</w:t>
      </w:r>
      <w:r w:rsidR="002B4031" w:rsidRPr="00C876F7">
        <w:rPr>
          <w:rFonts w:ascii="Cambria" w:hAnsi="Cambria"/>
          <w:sz w:val="20"/>
          <w:szCs w:val="20"/>
          <w:lang w:val="es-ES"/>
        </w:rPr>
        <w:t>el vehículo y empezó a correr por la calle hasta encontrar a un agente policial</w:t>
      </w:r>
      <w:r w:rsidR="002B4031" w:rsidRPr="00C876F7">
        <w:rPr>
          <w:rStyle w:val="FootnoteReference"/>
          <w:rFonts w:ascii="Cambria" w:hAnsi="Cambria"/>
          <w:sz w:val="20"/>
          <w:szCs w:val="20"/>
          <w:lang w:val="es-ES"/>
        </w:rPr>
        <w:footnoteReference w:id="3"/>
      </w:r>
      <w:r w:rsidR="002B4031" w:rsidRPr="00C876F7">
        <w:rPr>
          <w:rFonts w:ascii="Cambria" w:hAnsi="Cambria"/>
          <w:sz w:val="20"/>
          <w:szCs w:val="20"/>
          <w:lang w:val="es-ES"/>
        </w:rPr>
        <w:t>. Sostuvo que vio a un patrullero y que, tras denunciar lo sucedido a los agentes policiales que se encontraban al interior, se subió al mismo</w:t>
      </w:r>
      <w:r w:rsidR="002B4031" w:rsidRPr="00C876F7">
        <w:rPr>
          <w:rStyle w:val="FootnoteReference"/>
          <w:rFonts w:ascii="Cambria" w:hAnsi="Cambria"/>
          <w:sz w:val="20"/>
          <w:szCs w:val="20"/>
          <w:lang w:val="es-ES"/>
        </w:rPr>
        <w:footnoteReference w:id="4"/>
      </w:r>
      <w:r w:rsidR="002B4031" w:rsidRPr="00C876F7">
        <w:rPr>
          <w:rFonts w:ascii="Cambria" w:hAnsi="Cambria"/>
          <w:sz w:val="20"/>
          <w:szCs w:val="20"/>
          <w:lang w:val="es-ES"/>
        </w:rPr>
        <w:t>. Manifestó que se interceptó a un transporte público en donde identificó a uno de los agresores</w:t>
      </w:r>
      <w:r w:rsidR="002B4031" w:rsidRPr="00C876F7">
        <w:rPr>
          <w:rStyle w:val="FootnoteReference"/>
          <w:rFonts w:ascii="Cambria" w:hAnsi="Cambria"/>
          <w:sz w:val="20"/>
          <w:szCs w:val="20"/>
          <w:lang w:val="es-ES"/>
        </w:rPr>
        <w:footnoteReference w:id="5"/>
      </w:r>
      <w:r w:rsidR="002B4031" w:rsidRPr="00C876F7">
        <w:rPr>
          <w:rFonts w:ascii="Cambria" w:hAnsi="Cambria"/>
          <w:sz w:val="20"/>
          <w:szCs w:val="20"/>
          <w:lang w:val="es-ES"/>
        </w:rPr>
        <w:t>. Los peticionarios informaron que el señor Cugat identificó a Marcos Alejandro Martín como uno de los agresores</w:t>
      </w:r>
      <w:r w:rsidR="002B4031" w:rsidRPr="00C876F7">
        <w:rPr>
          <w:rStyle w:val="FootnoteReference"/>
          <w:rFonts w:ascii="Cambria" w:hAnsi="Cambria"/>
          <w:sz w:val="20"/>
          <w:szCs w:val="20"/>
          <w:lang w:val="es-ES"/>
        </w:rPr>
        <w:footnoteReference w:id="6"/>
      </w:r>
      <w:r w:rsidR="002B4031" w:rsidRPr="00C876F7">
        <w:rPr>
          <w:rFonts w:ascii="Cambria" w:hAnsi="Cambria"/>
          <w:sz w:val="20"/>
          <w:szCs w:val="20"/>
          <w:lang w:val="es-ES"/>
        </w:rPr>
        <w:t>. Agregó que el agente policial encontró una navaja y su casaca debajo de</w:t>
      </w:r>
      <w:r w:rsidR="00531772" w:rsidRPr="00C876F7">
        <w:rPr>
          <w:rFonts w:ascii="Cambria" w:hAnsi="Cambria"/>
          <w:sz w:val="20"/>
          <w:szCs w:val="20"/>
          <w:lang w:val="es-ES"/>
        </w:rPr>
        <w:t>l</w:t>
      </w:r>
      <w:r w:rsidR="002B4031" w:rsidRPr="00C876F7">
        <w:rPr>
          <w:rFonts w:ascii="Cambria" w:hAnsi="Cambria"/>
          <w:sz w:val="20"/>
          <w:szCs w:val="20"/>
          <w:lang w:val="es-ES"/>
        </w:rPr>
        <w:t xml:space="preserve"> asiento donde estaba sentado el señor Martín</w:t>
      </w:r>
      <w:r w:rsidR="002B4031" w:rsidRPr="00C876F7">
        <w:rPr>
          <w:rStyle w:val="FootnoteReference"/>
          <w:rFonts w:ascii="Cambria" w:hAnsi="Cambria"/>
          <w:sz w:val="20"/>
          <w:szCs w:val="20"/>
          <w:lang w:val="es-ES"/>
        </w:rPr>
        <w:footnoteReference w:id="7"/>
      </w:r>
      <w:r w:rsidR="002B4031" w:rsidRPr="00C876F7">
        <w:rPr>
          <w:rFonts w:ascii="Cambria" w:hAnsi="Cambria"/>
          <w:sz w:val="20"/>
          <w:szCs w:val="20"/>
          <w:lang w:val="es-ES"/>
        </w:rPr>
        <w:t xml:space="preserve">. </w:t>
      </w:r>
      <w:r w:rsidR="00C75B45" w:rsidRPr="00C876F7">
        <w:rPr>
          <w:rFonts w:ascii="Cambria" w:hAnsi="Cambria"/>
          <w:sz w:val="20"/>
          <w:szCs w:val="20"/>
          <w:lang w:val="es-ES"/>
        </w:rPr>
        <w:t>El señor Cugat sostuvo que uno de los agentes policiales detuvo al señor Martín y procedió “a la posterior lectura de derechos”</w:t>
      </w:r>
      <w:r w:rsidR="00C75B45" w:rsidRPr="00C876F7">
        <w:rPr>
          <w:rStyle w:val="FootnoteReference"/>
          <w:rFonts w:ascii="Cambria" w:hAnsi="Cambria"/>
          <w:sz w:val="20"/>
          <w:szCs w:val="20"/>
          <w:lang w:val="es-ES"/>
        </w:rPr>
        <w:footnoteReference w:id="8"/>
      </w:r>
      <w:r w:rsidR="00C75B45" w:rsidRPr="00C876F7">
        <w:rPr>
          <w:rFonts w:ascii="Cambria" w:hAnsi="Cambria"/>
          <w:sz w:val="20"/>
          <w:szCs w:val="20"/>
          <w:lang w:val="es-ES"/>
        </w:rPr>
        <w:t>.</w:t>
      </w:r>
    </w:p>
    <w:p w14:paraId="46B03D63" w14:textId="77777777" w:rsidR="002B4031" w:rsidRPr="00C876F7" w:rsidRDefault="002B403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22FCF36" w14:textId="774F84E4" w:rsidR="00E20501" w:rsidRPr="00C876F7" w:rsidRDefault="00E20501"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lastRenderedPageBreak/>
        <w:t xml:space="preserve">La Comisión no cuenta con la documentación </w:t>
      </w:r>
      <w:r w:rsidR="00A268AF" w:rsidRPr="00C876F7">
        <w:rPr>
          <w:rFonts w:ascii="Cambria" w:hAnsi="Cambria"/>
          <w:sz w:val="20"/>
          <w:szCs w:val="20"/>
          <w:lang w:val="es-ES"/>
        </w:rPr>
        <w:t>completa</w:t>
      </w:r>
      <w:r w:rsidRPr="00C876F7">
        <w:rPr>
          <w:rFonts w:ascii="Cambria" w:hAnsi="Cambria"/>
          <w:sz w:val="20"/>
          <w:szCs w:val="20"/>
          <w:lang w:val="es-ES"/>
        </w:rPr>
        <w:t xml:space="preserve"> sobre el proceso penal seguido al señor Martín. </w:t>
      </w:r>
      <w:r w:rsidR="00A268AF" w:rsidRPr="00C876F7">
        <w:rPr>
          <w:rFonts w:ascii="Cambria" w:hAnsi="Cambria"/>
          <w:sz w:val="20"/>
          <w:szCs w:val="20"/>
          <w:lang w:val="es-ES"/>
        </w:rPr>
        <w:t>De la información disponible, l</w:t>
      </w:r>
      <w:r w:rsidRPr="00C876F7">
        <w:rPr>
          <w:rFonts w:ascii="Cambria" w:hAnsi="Cambria"/>
          <w:sz w:val="20"/>
          <w:szCs w:val="20"/>
          <w:lang w:val="es-ES"/>
        </w:rPr>
        <w:t>a CIDH toma nota de las siguientes declaraciones que se produjeron en el marco del proceso:</w:t>
      </w:r>
    </w:p>
    <w:p w14:paraId="2F2D3910" w14:textId="77777777" w:rsidR="00E20501" w:rsidRPr="00C876F7" w:rsidRDefault="00E2050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Batang" w:hAnsi="Cambria"/>
          <w:color w:val="auto"/>
          <w:sz w:val="20"/>
          <w:szCs w:val="20"/>
          <w:bdr w:val="none" w:sz="0" w:space="0" w:color="auto"/>
          <w:lang w:val="es-ES" w:eastAsia="en-US"/>
        </w:rPr>
      </w:pPr>
    </w:p>
    <w:p w14:paraId="74F2EAC2" w14:textId="77777777" w:rsidR="002B4031" w:rsidRPr="00C876F7" w:rsidRDefault="000E06B9" w:rsidP="00C876F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ES"/>
        </w:rPr>
      </w:pPr>
      <w:r w:rsidRPr="00C876F7">
        <w:rPr>
          <w:rFonts w:ascii="Cambria" w:hAnsi="Cambria"/>
          <w:sz w:val="20"/>
          <w:szCs w:val="20"/>
          <w:lang w:val="es-ES"/>
        </w:rPr>
        <w:t>El agente policial que detuvo al señor Martín, Daniel Priolo, declaró</w:t>
      </w:r>
      <w:r w:rsidR="00E20501" w:rsidRPr="00C876F7">
        <w:rPr>
          <w:rFonts w:ascii="Cambria" w:hAnsi="Cambria"/>
          <w:sz w:val="20"/>
          <w:szCs w:val="20"/>
          <w:lang w:val="es-ES"/>
        </w:rPr>
        <w:t xml:space="preserve"> </w:t>
      </w:r>
      <w:r w:rsidRPr="00C876F7">
        <w:rPr>
          <w:rFonts w:ascii="Cambria" w:hAnsi="Cambria"/>
          <w:sz w:val="20"/>
          <w:szCs w:val="20"/>
          <w:lang w:val="es-ES"/>
        </w:rPr>
        <w:t>que cuando el señor Cugat identificó a Marcos Alejandro Martín como uno de los agresores, procedió con su detención</w:t>
      </w:r>
      <w:r w:rsidRPr="00C876F7">
        <w:rPr>
          <w:rStyle w:val="FootnoteReference"/>
          <w:rFonts w:ascii="Cambria" w:hAnsi="Cambria"/>
          <w:sz w:val="20"/>
          <w:szCs w:val="20"/>
          <w:lang w:val="es-ES"/>
        </w:rPr>
        <w:footnoteReference w:id="9"/>
      </w:r>
      <w:r w:rsidRPr="00C876F7">
        <w:rPr>
          <w:rFonts w:ascii="Cambria" w:hAnsi="Cambria"/>
          <w:sz w:val="20"/>
          <w:szCs w:val="20"/>
          <w:lang w:val="es-ES"/>
        </w:rPr>
        <w:t>. Sostuvo que “no recuerda con exactitud quién fue el que secuestró el arma y cuánto era el monto de lo sustraído, pero esos detalles deben surgir de [la] declaración [del señor Cugat]”</w:t>
      </w:r>
      <w:r w:rsidRPr="00C876F7">
        <w:rPr>
          <w:rStyle w:val="FootnoteReference"/>
          <w:rFonts w:ascii="Cambria" w:hAnsi="Cambria"/>
          <w:sz w:val="20"/>
          <w:szCs w:val="20"/>
          <w:lang w:val="es-ES"/>
        </w:rPr>
        <w:footnoteReference w:id="10"/>
      </w:r>
      <w:r w:rsidRPr="00C876F7">
        <w:rPr>
          <w:rFonts w:ascii="Cambria" w:hAnsi="Cambria"/>
          <w:sz w:val="20"/>
          <w:szCs w:val="20"/>
          <w:lang w:val="es-ES"/>
        </w:rPr>
        <w:t>.</w:t>
      </w:r>
    </w:p>
    <w:p w14:paraId="26250D6A" w14:textId="77777777" w:rsidR="00E20501" w:rsidRPr="00C876F7" w:rsidRDefault="00E2050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6805593" w14:textId="44CDFA78" w:rsidR="00E20501" w:rsidRPr="00C876F7" w:rsidRDefault="00E20501" w:rsidP="00C876F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ES"/>
        </w:rPr>
      </w:pPr>
      <w:r w:rsidRPr="00C876F7">
        <w:rPr>
          <w:rFonts w:ascii="Cambria" w:hAnsi="Cambria"/>
          <w:sz w:val="20"/>
          <w:szCs w:val="20"/>
          <w:lang w:val="es-ES"/>
        </w:rPr>
        <w:t>El testigo Fernando Bernal declaró que él se encontraba en el transporte público cuando un agente policial y el señor Cugat subieron al mismo</w:t>
      </w:r>
      <w:r w:rsidRPr="00C876F7">
        <w:rPr>
          <w:rStyle w:val="FootnoteReference"/>
          <w:rFonts w:ascii="Cambria" w:hAnsi="Cambria"/>
          <w:sz w:val="20"/>
          <w:szCs w:val="20"/>
          <w:lang w:val="es-ES"/>
        </w:rPr>
        <w:footnoteReference w:id="11"/>
      </w:r>
      <w:r w:rsidRPr="00C876F7">
        <w:rPr>
          <w:rFonts w:ascii="Cambria" w:hAnsi="Cambria"/>
          <w:sz w:val="20"/>
          <w:szCs w:val="20"/>
          <w:lang w:val="es-ES"/>
        </w:rPr>
        <w:t>. Indicó que el agente policial encontró una navaja y una casaca cerca de donde se encontraba el presunto agresor</w:t>
      </w:r>
      <w:r w:rsidRPr="00C876F7">
        <w:rPr>
          <w:rStyle w:val="FootnoteReference"/>
          <w:rFonts w:ascii="Cambria" w:hAnsi="Cambria"/>
          <w:sz w:val="20"/>
          <w:szCs w:val="20"/>
          <w:lang w:val="es-ES"/>
        </w:rPr>
        <w:footnoteReference w:id="12"/>
      </w:r>
      <w:r w:rsidR="006B05BD" w:rsidRPr="00C876F7">
        <w:rPr>
          <w:rFonts w:ascii="Cambria" w:hAnsi="Cambria"/>
          <w:sz w:val="20"/>
          <w:szCs w:val="20"/>
          <w:lang w:val="es-ES"/>
        </w:rPr>
        <w:t>.</w:t>
      </w:r>
      <w:r w:rsidRPr="00C876F7">
        <w:rPr>
          <w:rFonts w:ascii="Cambria" w:hAnsi="Cambria"/>
          <w:sz w:val="20"/>
          <w:szCs w:val="20"/>
          <w:lang w:val="es-ES"/>
        </w:rPr>
        <w:t xml:space="preserve"> Sostuvo que “detuvieron a una persona a la que le leyeron sus derechos en su presencia”</w:t>
      </w:r>
      <w:r w:rsidRPr="00C876F7">
        <w:rPr>
          <w:rStyle w:val="FootnoteReference"/>
          <w:rFonts w:ascii="Cambria" w:hAnsi="Cambria"/>
          <w:sz w:val="20"/>
          <w:szCs w:val="20"/>
          <w:lang w:val="es-ES"/>
        </w:rPr>
        <w:footnoteReference w:id="13"/>
      </w:r>
      <w:r w:rsidRPr="00C876F7">
        <w:rPr>
          <w:rFonts w:ascii="Cambria" w:hAnsi="Cambria"/>
          <w:sz w:val="20"/>
          <w:szCs w:val="20"/>
          <w:lang w:val="es-ES"/>
        </w:rPr>
        <w:t>.</w:t>
      </w:r>
    </w:p>
    <w:p w14:paraId="345FDFD7" w14:textId="77777777" w:rsidR="00E20501" w:rsidRPr="00C876F7" w:rsidRDefault="00E2050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5D1B0343" w14:textId="77777777" w:rsidR="00785976" w:rsidRPr="00C876F7" w:rsidRDefault="00E20501" w:rsidP="00C876F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hAnsi="Cambria"/>
          <w:sz w:val="20"/>
          <w:szCs w:val="20"/>
          <w:lang w:val="es-ES"/>
        </w:rPr>
      </w:pPr>
      <w:r w:rsidRPr="00C876F7">
        <w:rPr>
          <w:rFonts w:ascii="Cambria" w:hAnsi="Cambria"/>
          <w:sz w:val="20"/>
          <w:szCs w:val="20"/>
          <w:lang w:val="es-ES"/>
        </w:rPr>
        <w:t xml:space="preserve">El chofer del </w:t>
      </w:r>
      <w:r w:rsidR="00E1606B" w:rsidRPr="00C876F7">
        <w:rPr>
          <w:rFonts w:ascii="Cambria" w:hAnsi="Cambria"/>
          <w:sz w:val="20"/>
          <w:szCs w:val="20"/>
          <w:lang w:val="es-ES"/>
        </w:rPr>
        <w:t>transporte público</w:t>
      </w:r>
      <w:r w:rsidR="00785976" w:rsidRPr="00C876F7">
        <w:rPr>
          <w:rFonts w:ascii="Cambria" w:hAnsi="Cambria"/>
          <w:sz w:val="20"/>
          <w:szCs w:val="20"/>
          <w:lang w:val="es-ES"/>
        </w:rPr>
        <w:t xml:space="preserve"> declaró que vio subir al señor Cugat y a un agente policial</w:t>
      </w:r>
      <w:r w:rsidR="00785976" w:rsidRPr="00C876F7">
        <w:rPr>
          <w:rStyle w:val="FootnoteReference"/>
          <w:rFonts w:ascii="Cambria" w:hAnsi="Cambria"/>
          <w:sz w:val="20"/>
          <w:szCs w:val="20"/>
          <w:lang w:val="es-ES"/>
        </w:rPr>
        <w:footnoteReference w:id="14"/>
      </w:r>
      <w:r w:rsidR="00785976" w:rsidRPr="00C876F7">
        <w:rPr>
          <w:rFonts w:ascii="Cambria" w:hAnsi="Cambria"/>
          <w:sz w:val="20"/>
          <w:szCs w:val="20"/>
          <w:lang w:val="es-ES"/>
        </w:rPr>
        <w:t>. Manifestó que vio cuando una persona fue detenida dentro del vehículo y se requisó una navaja y una casaca</w:t>
      </w:r>
      <w:r w:rsidR="00785976" w:rsidRPr="00C876F7">
        <w:rPr>
          <w:rStyle w:val="FootnoteReference"/>
          <w:rFonts w:ascii="Cambria" w:hAnsi="Cambria"/>
          <w:sz w:val="20"/>
          <w:szCs w:val="20"/>
          <w:lang w:val="es-ES"/>
        </w:rPr>
        <w:footnoteReference w:id="15"/>
      </w:r>
      <w:r w:rsidR="00785976" w:rsidRPr="00C876F7">
        <w:rPr>
          <w:rFonts w:ascii="Cambria" w:hAnsi="Cambria"/>
          <w:sz w:val="20"/>
          <w:szCs w:val="20"/>
          <w:lang w:val="es-ES"/>
        </w:rPr>
        <w:t>.</w:t>
      </w:r>
    </w:p>
    <w:p w14:paraId="7058F81B" w14:textId="77777777" w:rsidR="000E06B9" w:rsidRPr="00C876F7" w:rsidRDefault="000E06B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0330AB0" w14:textId="52C7E654" w:rsidR="004C39D3" w:rsidRPr="00C876F7" w:rsidRDefault="00003703"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El Estado informó que e</w:t>
      </w:r>
      <w:r w:rsidR="004C39D3" w:rsidRPr="00C876F7">
        <w:rPr>
          <w:rFonts w:ascii="Cambria" w:hAnsi="Cambria"/>
          <w:sz w:val="20"/>
          <w:szCs w:val="20"/>
          <w:lang w:val="es-ES"/>
        </w:rPr>
        <w:t xml:space="preserve">l </w:t>
      </w:r>
      <w:r w:rsidR="00B14D2B" w:rsidRPr="00C876F7">
        <w:rPr>
          <w:rFonts w:ascii="Cambria" w:hAnsi="Cambria"/>
          <w:sz w:val="20"/>
          <w:szCs w:val="20"/>
          <w:lang w:val="es-ES"/>
        </w:rPr>
        <w:t>1 de septiembre de 1998</w:t>
      </w:r>
      <w:r w:rsidRPr="00C876F7">
        <w:rPr>
          <w:rFonts w:ascii="Cambria" w:hAnsi="Cambria"/>
          <w:sz w:val="20"/>
          <w:szCs w:val="20"/>
          <w:lang w:val="es-ES"/>
        </w:rPr>
        <w:t xml:space="preserve"> se dictó prisión preventiva en contra del señor Martín</w:t>
      </w:r>
      <w:r w:rsidRPr="00C876F7">
        <w:rPr>
          <w:rStyle w:val="FootnoteReference"/>
          <w:rFonts w:ascii="Cambria" w:hAnsi="Cambria"/>
          <w:sz w:val="20"/>
          <w:szCs w:val="20"/>
          <w:lang w:val="es-ES"/>
        </w:rPr>
        <w:footnoteReference w:id="16"/>
      </w:r>
      <w:r w:rsidRPr="00C876F7">
        <w:rPr>
          <w:rFonts w:ascii="Cambria" w:hAnsi="Cambria"/>
          <w:sz w:val="20"/>
          <w:szCs w:val="20"/>
          <w:lang w:val="es-ES"/>
        </w:rPr>
        <w:t xml:space="preserve">. </w:t>
      </w:r>
      <w:r w:rsidR="006C2FB8" w:rsidRPr="00C876F7">
        <w:rPr>
          <w:rFonts w:ascii="Cambria" w:hAnsi="Cambria"/>
          <w:sz w:val="20"/>
          <w:szCs w:val="20"/>
          <w:lang w:val="es-ES"/>
        </w:rPr>
        <w:t xml:space="preserve">La CIDH no cuenta con información sobre </w:t>
      </w:r>
      <w:r w:rsidR="00336F19" w:rsidRPr="00C876F7">
        <w:rPr>
          <w:rFonts w:ascii="Cambria" w:hAnsi="Cambria"/>
          <w:sz w:val="20"/>
          <w:szCs w:val="20"/>
          <w:lang w:val="es-ES"/>
        </w:rPr>
        <w:t xml:space="preserve">la motivación para aplicar dicha figura. </w:t>
      </w:r>
      <w:r w:rsidRPr="00C876F7">
        <w:rPr>
          <w:rFonts w:ascii="Cambria" w:hAnsi="Cambria"/>
          <w:sz w:val="20"/>
          <w:szCs w:val="20"/>
          <w:lang w:val="es-ES"/>
        </w:rPr>
        <w:t>Ese mismo día</w:t>
      </w:r>
      <w:r w:rsidR="00B14D2B" w:rsidRPr="00C876F7">
        <w:rPr>
          <w:rFonts w:ascii="Cambria" w:hAnsi="Cambria"/>
          <w:sz w:val="20"/>
          <w:szCs w:val="20"/>
          <w:lang w:val="es-ES"/>
        </w:rPr>
        <w:t xml:space="preserve"> el </w:t>
      </w:r>
      <w:r w:rsidR="004C39D3" w:rsidRPr="00C876F7">
        <w:rPr>
          <w:rFonts w:ascii="Cambria" w:hAnsi="Cambria"/>
          <w:sz w:val="20"/>
          <w:szCs w:val="20"/>
          <w:lang w:val="es-ES"/>
        </w:rPr>
        <w:t>señor Martín brindó su declaración en la etapa introductoria</w:t>
      </w:r>
      <w:r w:rsidR="004C39D3" w:rsidRPr="00C876F7">
        <w:rPr>
          <w:rStyle w:val="FootnoteReference"/>
          <w:rFonts w:ascii="Cambria" w:hAnsi="Cambria"/>
          <w:sz w:val="20"/>
          <w:szCs w:val="20"/>
          <w:lang w:val="es-ES"/>
        </w:rPr>
        <w:footnoteReference w:id="17"/>
      </w:r>
      <w:r w:rsidR="004C39D3" w:rsidRPr="00C876F7">
        <w:rPr>
          <w:rFonts w:ascii="Cambria" w:hAnsi="Cambria"/>
          <w:sz w:val="20"/>
          <w:szCs w:val="20"/>
          <w:lang w:val="es-ES"/>
        </w:rPr>
        <w:t>. El señor Martín</w:t>
      </w:r>
      <w:r w:rsidR="00B14D2B" w:rsidRPr="00C876F7">
        <w:rPr>
          <w:rFonts w:ascii="Cambria" w:hAnsi="Cambria"/>
          <w:sz w:val="20"/>
          <w:szCs w:val="20"/>
          <w:lang w:val="es-ES"/>
        </w:rPr>
        <w:t xml:space="preserve"> negó los hechos</w:t>
      </w:r>
      <w:r w:rsidR="001E7DE9" w:rsidRPr="00C876F7">
        <w:rPr>
          <w:rFonts w:ascii="Cambria" w:hAnsi="Cambria"/>
          <w:sz w:val="20"/>
          <w:szCs w:val="20"/>
          <w:lang w:val="es-ES"/>
        </w:rPr>
        <w:t xml:space="preserve"> y según lo relatado en la sentencia</w:t>
      </w:r>
      <w:r w:rsidR="004C39D3" w:rsidRPr="00C876F7">
        <w:rPr>
          <w:rFonts w:ascii="Cambria" w:hAnsi="Cambria"/>
          <w:sz w:val="20"/>
          <w:szCs w:val="20"/>
          <w:lang w:val="es-ES"/>
        </w:rPr>
        <w:t>:</w:t>
      </w:r>
    </w:p>
    <w:p w14:paraId="612DC48C" w14:textId="77777777" w:rsidR="004C39D3" w:rsidRPr="00C876F7" w:rsidRDefault="004C39D3"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3DA1B0F" w14:textId="77777777" w:rsidR="00BE624B" w:rsidRPr="00C876F7" w:rsidRDefault="004C39D3"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Sostuvo que luego de salir de la cancha de River junto a su novia abordan el colectivo (…); que observó que unos chicos que subieron estaban nerviosos y uno hizo un movimiento raro en la parte trasera del colectivo y luego baja del mismo junto con su compañero; que al lado suyo no tenía ni la campera ni la navaja secuestrada</w:t>
      </w:r>
      <w:r w:rsidRPr="00C876F7">
        <w:rPr>
          <w:rStyle w:val="FootnoteReference"/>
          <w:rFonts w:ascii="Cambria" w:hAnsi="Cambria"/>
          <w:sz w:val="20"/>
          <w:szCs w:val="20"/>
          <w:lang w:val="es-ES"/>
        </w:rPr>
        <w:footnoteReference w:id="18"/>
      </w:r>
      <w:r w:rsidRPr="00C876F7">
        <w:rPr>
          <w:rFonts w:ascii="Cambria" w:hAnsi="Cambria"/>
          <w:sz w:val="20"/>
          <w:szCs w:val="20"/>
          <w:lang w:val="es-ES"/>
        </w:rPr>
        <w:t>.</w:t>
      </w:r>
    </w:p>
    <w:p w14:paraId="514CCD03" w14:textId="77777777" w:rsidR="00BE624B" w:rsidRPr="00C876F7" w:rsidRDefault="00BE624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sz w:val="20"/>
          <w:szCs w:val="20"/>
          <w:lang w:val="es-ES"/>
        </w:rPr>
      </w:pPr>
    </w:p>
    <w:p w14:paraId="0A61DFA2" w14:textId="36988565" w:rsidR="00B14D2B" w:rsidRPr="00C876F7" w:rsidRDefault="00B14D2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El 16 de febrero de 1999 se llevó a cabo la audiencia pública</w:t>
      </w:r>
      <w:r w:rsidRPr="00C876F7">
        <w:rPr>
          <w:rStyle w:val="FootnoteReference"/>
          <w:rFonts w:ascii="Cambria" w:eastAsia="Batang" w:hAnsi="Cambria"/>
          <w:color w:val="auto"/>
          <w:sz w:val="20"/>
          <w:szCs w:val="20"/>
          <w:bdr w:val="none" w:sz="0" w:space="0" w:color="auto"/>
          <w:lang w:val="es-ES" w:eastAsia="en-US"/>
        </w:rPr>
        <w:footnoteReference w:id="19"/>
      </w:r>
      <w:r w:rsidRPr="00C876F7">
        <w:rPr>
          <w:rFonts w:ascii="Cambria" w:hAnsi="Cambria"/>
          <w:sz w:val="20"/>
          <w:szCs w:val="20"/>
          <w:lang w:val="es-ES"/>
        </w:rPr>
        <w:t>. El señor Cugat no acudió a la misma</w:t>
      </w:r>
      <w:r w:rsidRPr="00C876F7">
        <w:rPr>
          <w:rStyle w:val="FootnoteReference"/>
          <w:rFonts w:ascii="Cambria" w:eastAsia="Batang" w:hAnsi="Cambria"/>
          <w:color w:val="auto"/>
          <w:sz w:val="20"/>
          <w:szCs w:val="20"/>
          <w:bdr w:val="none" w:sz="0" w:space="0" w:color="auto"/>
          <w:lang w:val="es-ES" w:eastAsia="en-US"/>
        </w:rPr>
        <w:footnoteReference w:id="20"/>
      </w:r>
      <w:r w:rsidRPr="00C876F7">
        <w:rPr>
          <w:rFonts w:ascii="Cambria" w:hAnsi="Cambria"/>
          <w:sz w:val="20"/>
          <w:szCs w:val="20"/>
          <w:lang w:val="es-ES"/>
        </w:rPr>
        <w:t>. El Ministerio Público solicitó que se incorpore la declaración del señor Cugat rendida en la etapa de instrucción</w:t>
      </w:r>
      <w:r w:rsidRPr="00C876F7">
        <w:rPr>
          <w:rStyle w:val="FootnoteReference"/>
          <w:rFonts w:ascii="Cambria" w:eastAsia="Batang" w:hAnsi="Cambria"/>
          <w:color w:val="auto"/>
          <w:sz w:val="20"/>
          <w:szCs w:val="20"/>
          <w:bdr w:val="none" w:sz="0" w:space="0" w:color="auto"/>
          <w:lang w:val="es-ES" w:eastAsia="en-US"/>
        </w:rPr>
        <w:footnoteReference w:id="21"/>
      </w:r>
      <w:r w:rsidRPr="00C876F7">
        <w:rPr>
          <w:rFonts w:ascii="Cambria" w:hAnsi="Cambria"/>
          <w:sz w:val="20"/>
          <w:szCs w:val="20"/>
          <w:lang w:val="es-ES"/>
        </w:rPr>
        <w:t>. La defensa del señor Martín se opuso a ello “argumentando que se trataba de una prueba esencial, que no había sido controlada por el imputado quien (…) había negado su participación en el hecho”</w:t>
      </w:r>
      <w:r w:rsidRPr="00C876F7">
        <w:rPr>
          <w:rStyle w:val="FootnoteReference"/>
          <w:rFonts w:ascii="Cambria" w:eastAsia="Batang" w:hAnsi="Cambria"/>
          <w:color w:val="auto"/>
          <w:sz w:val="20"/>
          <w:szCs w:val="20"/>
          <w:bdr w:val="none" w:sz="0" w:space="0" w:color="auto"/>
          <w:lang w:val="es-ES" w:eastAsia="en-US"/>
        </w:rPr>
        <w:footnoteReference w:id="22"/>
      </w:r>
      <w:r w:rsidRPr="00C876F7">
        <w:rPr>
          <w:rFonts w:ascii="Cambria" w:hAnsi="Cambria"/>
          <w:sz w:val="20"/>
          <w:szCs w:val="20"/>
          <w:lang w:val="es-ES"/>
        </w:rPr>
        <w:t>. La defensa</w:t>
      </w:r>
      <w:r w:rsidR="00BD3F37" w:rsidRPr="00C876F7">
        <w:rPr>
          <w:rFonts w:ascii="Cambria" w:hAnsi="Cambria"/>
          <w:sz w:val="20"/>
          <w:szCs w:val="20"/>
          <w:lang w:val="es-ES"/>
        </w:rPr>
        <w:t xml:space="preserve"> indicó que aceptar la inclusión de dicha declaración vulneraría el derecho de defensa establecido en el artículo 8.2.f de la Convención Americana</w:t>
      </w:r>
      <w:r w:rsidR="00BD3F37" w:rsidRPr="00C876F7">
        <w:rPr>
          <w:rStyle w:val="FootnoteReference"/>
          <w:rFonts w:ascii="Cambria" w:eastAsia="Batang" w:hAnsi="Cambria"/>
          <w:color w:val="auto"/>
          <w:sz w:val="20"/>
          <w:szCs w:val="20"/>
          <w:bdr w:val="none" w:sz="0" w:space="0" w:color="auto"/>
          <w:lang w:val="es-ES" w:eastAsia="en-US"/>
        </w:rPr>
        <w:footnoteReference w:id="23"/>
      </w:r>
      <w:r w:rsidR="00BD3F37" w:rsidRPr="00C876F7">
        <w:rPr>
          <w:rFonts w:ascii="Cambria" w:hAnsi="Cambria"/>
          <w:sz w:val="20"/>
          <w:szCs w:val="20"/>
          <w:lang w:val="es-ES"/>
        </w:rPr>
        <w:t>.</w:t>
      </w:r>
      <w:r w:rsidR="006C2FB8" w:rsidRPr="00C876F7">
        <w:rPr>
          <w:rFonts w:ascii="Cambria" w:hAnsi="Cambria"/>
          <w:sz w:val="20"/>
          <w:szCs w:val="20"/>
          <w:lang w:val="es-ES"/>
        </w:rPr>
        <w:t xml:space="preserve"> La </w:t>
      </w:r>
      <w:r w:rsidR="00591065" w:rsidRPr="00C876F7">
        <w:rPr>
          <w:rFonts w:ascii="Cambria" w:hAnsi="Cambria"/>
          <w:sz w:val="20"/>
          <w:szCs w:val="20"/>
          <w:lang w:val="es-ES"/>
        </w:rPr>
        <w:t xml:space="preserve">parte </w:t>
      </w:r>
      <w:r w:rsidR="006C2FB8" w:rsidRPr="00C876F7">
        <w:rPr>
          <w:rFonts w:ascii="Cambria" w:hAnsi="Cambria"/>
          <w:sz w:val="20"/>
          <w:szCs w:val="20"/>
          <w:lang w:val="es-ES"/>
        </w:rPr>
        <w:t>peticionaria indicó que en la audiencia el Tribunal “ordenó la incorporación por lectura de la declaración brindada durante la prevención policial”</w:t>
      </w:r>
      <w:r w:rsidR="006C2FB8" w:rsidRPr="00C876F7">
        <w:rPr>
          <w:rStyle w:val="FootnoteReference"/>
          <w:rFonts w:ascii="Cambria" w:eastAsia="Batang" w:hAnsi="Cambria"/>
          <w:color w:val="auto"/>
          <w:sz w:val="20"/>
          <w:szCs w:val="20"/>
          <w:bdr w:val="none" w:sz="0" w:space="0" w:color="auto"/>
          <w:lang w:val="es-ES" w:eastAsia="en-US"/>
        </w:rPr>
        <w:footnoteReference w:id="24"/>
      </w:r>
      <w:r w:rsidR="006C2FB8" w:rsidRPr="00C876F7">
        <w:rPr>
          <w:rFonts w:ascii="Cambria" w:hAnsi="Cambria"/>
          <w:sz w:val="20"/>
          <w:szCs w:val="20"/>
          <w:lang w:val="es-ES"/>
        </w:rPr>
        <w:t>.</w:t>
      </w:r>
    </w:p>
    <w:p w14:paraId="67CD00C6" w14:textId="77777777" w:rsidR="00B14D2B" w:rsidRPr="00C876F7" w:rsidRDefault="00B14D2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EA38B3D" w14:textId="77777777" w:rsidR="007662F9" w:rsidRPr="00C876F7" w:rsidRDefault="00865BFA"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El 25 de febrero de 1999 el Tribunal Oral en lo Criminal No. 15 de Capital Federal emitió una sentencia condenatoria en contra del señor Martín por ser coautor del delito de robo </w:t>
      </w:r>
      <w:r w:rsidR="00C1759E" w:rsidRPr="00C876F7">
        <w:rPr>
          <w:rFonts w:ascii="Cambria" w:hAnsi="Cambria"/>
          <w:sz w:val="20"/>
          <w:szCs w:val="20"/>
          <w:lang w:val="es-ES"/>
        </w:rPr>
        <w:t>con</w:t>
      </w:r>
      <w:r w:rsidRPr="00C876F7">
        <w:rPr>
          <w:rFonts w:ascii="Cambria" w:hAnsi="Cambria"/>
          <w:sz w:val="20"/>
          <w:szCs w:val="20"/>
          <w:lang w:val="es-ES"/>
        </w:rPr>
        <w:t xml:space="preserve"> armas</w:t>
      </w:r>
      <w:r w:rsidRPr="00C876F7">
        <w:rPr>
          <w:rStyle w:val="FootnoteReference"/>
          <w:rFonts w:ascii="Cambria" w:hAnsi="Cambria"/>
          <w:sz w:val="20"/>
          <w:szCs w:val="20"/>
          <w:lang w:val="es-ES"/>
        </w:rPr>
        <w:footnoteReference w:id="25"/>
      </w:r>
      <w:r w:rsidRPr="00C876F7">
        <w:rPr>
          <w:rFonts w:ascii="Cambria" w:hAnsi="Cambria"/>
          <w:sz w:val="20"/>
          <w:szCs w:val="20"/>
          <w:lang w:val="es-ES"/>
        </w:rPr>
        <w:t>. El Tribunal lo condenó a una pena de cinco años de prisión</w:t>
      </w:r>
      <w:r w:rsidR="008E4400" w:rsidRPr="00C876F7">
        <w:rPr>
          <w:rStyle w:val="FootnoteReference"/>
          <w:rFonts w:ascii="Cambria" w:hAnsi="Cambria"/>
          <w:sz w:val="20"/>
          <w:szCs w:val="20"/>
          <w:lang w:val="es-ES"/>
        </w:rPr>
        <w:footnoteReference w:id="26"/>
      </w:r>
      <w:r w:rsidRPr="00C876F7">
        <w:rPr>
          <w:rFonts w:ascii="Cambria" w:hAnsi="Cambria"/>
          <w:sz w:val="20"/>
          <w:szCs w:val="20"/>
          <w:lang w:val="es-ES"/>
        </w:rPr>
        <w:t>.</w:t>
      </w:r>
    </w:p>
    <w:p w14:paraId="23217ECD" w14:textId="77777777" w:rsidR="00575348" w:rsidRPr="00C876F7" w:rsidRDefault="00575348"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570A3791" w14:textId="77FD96E0" w:rsidR="00575348" w:rsidRPr="00C876F7" w:rsidRDefault="00575348"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En su sentencia el Tribunal incorporó la declaración que el señor Cugat formuló durante la etapa de instrucción</w:t>
      </w:r>
      <w:r w:rsidRPr="00C876F7">
        <w:rPr>
          <w:rStyle w:val="FootnoteReference"/>
          <w:rFonts w:ascii="Cambria" w:hAnsi="Cambria"/>
          <w:sz w:val="20"/>
          <w:szCs w:val="20"/>
          <w:lang w:val="es-ES"/>
        </w:rPr>
        <w:footnoteReference w:id="27"/>
      </w:r>
      <w:r w:rsidRPr="00C876F7">
        <w:rPr>
          <w:rFonts w:ascii="Cambria" w:hAnsi="Cambria"/>
          <w:sz w:val="20"/>
          <w:szCs w:val="20"/>
          <w:lang w:val="es-ES"/>
        </w:rPr>
        <w:t>. El Tribunal</w:t>
      </w:r>
      <w:r w:rsidR="00730F15" w:rsidRPr="00C876F7">
        <w:rPr>
          <w:rFonts w:ascii="Cambria" w:hAnsi="Cambria"/>
          <w:sz w:val="20"/>
          <w:szCs w:val="20"/>
          <w:lang w:val="es-ES"/>
        </w:rPr>
        <w:t>, frente a los cuestionamientos de la defensa del señor Martín sobre dicha situación,</w:t>
      </w:r>
      <w:r w:rsidRPr="00C876F7">
        <w:rPr>
          <w:rFonts w:ascii="Cambria" w:hAnsi="Cambria"/>
          <w:sz w:val="20"/>
          <w:szCs w:val="20"/>
          <w:lang w:val="es-ES"/>
        </w:rPr>
        <w:t xml:space="preserve"> </w:t>
      </w:r>
      <w:r w:rsidR="002B4031" w:rsidRPr="00C876F7">
        <w:rPr>
          <w:rFonts w:ascii="Cambria" w:hAnsi="Cambria"/>
          <w:sz w:val="20"/>
          <w:szCs w:val="20"/>
          <w:lang w:val="es-ES"/>
        </w:rPr>
        <w:t>indicó que dicho documento fue incorporado</w:t>
      </w:r>
      <w:r w:rsidR="004C39D3" w:rsidRPr="00C876F7">
        <w:rPr>
          <w:rFonts w:ascii="Cambria" w:hAnsi="Cambria"/>
          <w:sz w:val="20"/>
          <w:szCs w:val="20"/>
          <w:lang w:val="es-ES"/>
        </w:rPr>
        <w:t xml:space="preserve"> y leído durante</w:t>
      </w:r>
      <w:r w:rsidR="002B4031" w:rsidRPr="00C876F7">
        <w:rPr>
          <w:rFonts w:ascii="Cambria" w:hAnsi="Cambria"/>
          <w:sz w:val="20"/>
          <w:szCs w:val="20"/>
          <w:lang w:val="es-ES"/>
        </w:rPr>
        <w:t xml:space="preserve"> </w:t>
      </w:r>
      <w:r w:rsidR="004C39D3" w:rsidRPr="00C876F7">
        <w:rPr>
          <w:rFonts w:ascii="Cambria" w:hAnsi="Cambria"/>
          <w:sz w:val="20"/>
          <w:szCs w:val="20"/>
          <w:lang w:val="es-ES"/>
        </w:rPr>
        <w:t>la audiencia</w:t>
      </w:r>
      <w:r w:rsidR="002B4031" w:rsidRPr="00C876F7">
        <w:rPr>
          <w:rFonts w:ascii="Cambria" w:hAnsi="Cambria"/>
          <w:sz w:val="20"/>
          <w:szCs w:val="20"/>
          <w:lang w:val="es-ES"/>
        </w:rPr>
        <w:t xml:space="preserve">, </w:t>
      </w:r>
      <w:r w:rsidR="0097267C" w:rsidRPr="00C876F7">
        <w:rPr>
          <w:rFonts w:ascii="Cambria" w:hAnsi="Cambria"/>
          <w:sz w:val="20"/>
          <w:szCs w:val="20"/>
          <w:lang w:val="es-ES"/>
        </w:rPr>
        <w:t xml:space="preserve">con </w:t>
      </w:r>
      <w:r w:rsidR="002B4031" w:rsidRPr="00C876F7">
        <w:rPr>
          <w:rFonts w:ascii="Cambria" w:hAnsi="Cambria"/>
          <w:sz w:val="20"/>
          <w:szCs w:val="20"/>
          <w:lang w:val="es-ES"/>
        </w:rPr>
        <w:t>base</w:t>
      </w:r>
      <w:r w:rsidR="0097267C" w:rsidRPr="00C876F7">
        <w:rPr>
          <w:rFonts w:ascii="Cambria" w:hAnsi="Cambria"/>
          <w:sz w:val="20"/>
          <w:szCs w:val="20"/>
          <w:lang w:val="es-ES"/>
        </w:rPr>
        <w:t xml:space="preserve"> en el</w:t>
      </w:r>
      <w:r w:rsidR="002B4031" w:rsidRPr="00C876F7">
        <w:rPr>
          <w:rFonts w:ascii="Cambria" w:hAnsi="Cambria"/>
          <w:sz w:val="20"/>
          <w:szCs w:val="20"/>
          <w:lang w:val="es-ES"/>
        </w:rPr>
        <w:t xml:space="preserve"> </w:t>
      </w:r>
      <w:r w:rsidR="00003703" w:rsidRPr="00C876F7">
        <w:rPr>
          <w:rFonts w:ascii="Cambria" w:hAnsi="Cambria"/>
          <w:sz w:val="20"/>
          <w:szCs w:val="20"/>
          <w:lang w:val="es-ES"/>
        </w:rPr>
        <w:t xml:space="preserve">entonces </w:t>
      </w:r>
      <w:r w:rsidR="002B4031" w:rsidRPr="00C876F7">
        <w:rPr>
          <w:rFonts w:ascii="Cambria" w:hAnsi="Cambria"/>
          <w:sz w:val="20"/>
          <w:szCs w:val="20"/>
          <w:lang w:val="es-ES"/>
        </w:rPr>
        <w:t>artículo 3</w:t>
      </w:r>
      <w:r w:rsidR="00003703" w:rsidRPr="00C876F7">
        <w:rPr>
          <w:rFonts w:ascii="Cambria" w:hAnsi="Cambria"/>
          <w:sz w:val="20"/>
          <w:szCs w:val="20"/>
          <w:lang w:val="es-ES"/>
        </w:rPr>
        <w:t>91</w:t>
      </w:r>
      <w:r w:rsidR="002B4031" w:rsidRPr="00C876F7">
        <w:rPr>
          <w:rFonts w:ascii="Cambria" w:hAnsi="Cambria"/>
          <w:sz w:val="20"/>
          <w:szCs w:val="20"/>
          <w:lang w:val="es-ES"/>
        </w:rPr>
        <w:t xml:space="preserve"> del Código Procesal Penal de la Nación</w:t>
      </w:r>
      <w:r w:rsidR="00003703" w:rsidRPr="00C876F7">
        <w:rPr>
          <w:rStyle w:val="FootnoteReference"/>
          <w:rFonts w:ascii="Cambria" w:hAnsi="Cambria"/>
          <w:sz w:val="20"/>
          <w:szCs w:val="20"/>
          <w:lang w:val="es-ES"/>
        </w:rPr>
        <w:footnoteReference w:id="28"/>
      </w:r>
      <w:r w:rsidR="002B4031" w:rsidRPr="00C876F7">
        <w:rPr>
          <w:rFonts w:ascii="Cambria" w:hAnsi="Cambria"/>
          <w:sz w:val="20"/>
          <w:szCs w:val="20"/>
          <w:lang w:val="es-ES"/>
        </w:rPr>
        <w:t xml:space="preserve"> debido a que “fue imposible de localizar” al señor Cugat “para que declarara en el debate”</w:t>
      </w:r>
      <w:r w:rsidR="002B4031" w:rsidRPr="00C876F7">
        <w:rPr>
          <w:rStyle w:val="FootnoteReference"/>
          <w:rFonts w:ascii="Cambria" w:hAnsi="Cambria"/>
          <w:sz w:val="20"/>
          <w:szCs w:val="20"/>
          <w:lang w:val="es-ES"/>
        </w:rPr>
        <w:footnoteReference w:id="29"/>
      </w:r>
      <w:r w:rsidR="002B4031" w:rsidRPr="00C876F7">
        <w:rPr>
          <w:rFonts w:ascii="Cambria" w:hAnsi="Cambria"/>
          <w:sz w:val="20"/>
          <w:szCs w:val="20"/>
          <w:lang w:val="es-ES"/>
        </w:rPr>
        <w:t>.</w:t>
      </w:r>
      <w:r w:rsidR="00730F15" w:rsidRPr="00C876F7">
        <w:rPr>
          <w:rFonts w:ascii="Cambria" w:hAnsi="Cambria"/>
          <w:sz w:val="20"/>
          <w:szCs w:val="20"/>
          <w:lang w:val="es-ES"/>
        </w:rPr>
        <w:t xml:space="preserve"> El Tribunal agregó lo siguiente:</w:t>
      </w:r>
    </w:p>
    <w:p w14:paraId="3E029F40" w14:textId="77777777" w:rsidR="00730F15" w:rsidRPr="00C876F7" w:rsidRDefault="00730F15"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05A43178" w14:textId="3C27759E" w:rsidR="00730F15" w:rsidRPr="00C876F7" w:rsidRDefault="00730F15"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Suponer lo contrario sería admitir una ecuación inaceptable; ante la no localización de un denunciante –por cualquier motivo</w:t>
      </w:r>
      <w:r w:rsidR="00AD3684" w:rsidRPr="00C876F7">
        <w:rPr>
          <w:rFonts w:ascii="Cambria" w:hAnsi="Cambria"/>
          <w:sz w:val="20"/>
          <w:szCs w:val="20"/>
          <w:lang w:val="es-ES"/>
        </w:rPr>
        <w:t>–</w:t>
      </w:r>
      <w:r w:rsidRPr="00C876F7">
        <w:rPr>
          <w:rFonts w:ascii="Cambria" w:hAnsi="Cambria"/>
          <w:sz w:val="20"/>
          <w:szCs w:val="20"/>
          <w:lang w:val="es-ES"/>
        </w:rPr>
        <w:t xml:space="preserve"> se le corresponde absolución. De admitir esta premisa significaría dejar en la más absoluta indefensión a las víctimas que serían b</w:t>
      </w:r>
      <w:r w:rsidR="00A16AEE" w:rsidRPr="00C876F7">
        <w:rPr>
          <w:rFonts w:ascii="Cambria" w:hAnsi="Cambria"/>
          <w:sz w:val="20"/>
          <w:szCs w:val="20"/>
          <w:lang w:val="es-ES"/>
        </w:rPr>
        <w:t>l</w:t>
      </w:r>
      <w:r w:rsidRPr="00C876F7">
        <w:rPr>
          <w:rFonts w:ascii="Cambria" w:hAnsi="Cambria"/>
          <w:sz w:val="20"/>
          <w:szCs w:val="20"/>
          <w:lang w:val="es-ES"/>
        </w:rPr>
        <w:t>anco de cualquier tropelía. (…) [La] ausencia de un testigo se compensa con un contorno probatorio coherente, tal como se produce en este caso. [L]a prueba reunida es sumamente confiable</w:t>
      </w:r>
      <w:r w:rsidR="00E24A47" w:rsidRPr="00C876F7">
        <w:rPr>
          <w:rFonts w:ascii="Cambria" w:hAnsi="Cambria"/>
          <w:sz w:val="20"/>
          <w:szCs w:val="20"/>
          <w:lang w:val="es-ES"/>
        </w:rPr>
        <w:t>.</w:t>
      </w:r>
    </w:p>
    <w:p w14:paraId="37D11EA0" w14:textId="77777777" w:rsidR="000F52CC" w:rsidRPr="00C876F7" w:rsidRDefault="000F52CC"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C876F7">
        <w:rPr>
          <w:rFonts w:ascii="Cambria" w:hAnsi="Cambria"/>
          <w:sz w:val="20"/>
          <w:szCs w:val="20"/>
          <w:lang w:val="es-ES"/>
        </w:rPr>
        <w:tab/>
      </w:r>
    </w:p>
    <w:p w14:paraId="2E99F295" w14:textId="50D7FE92" w:rsidR="000F52CC" w:rsidRPr="00C876F7" w:rsidRDefault="000F52CC"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C876F7">
        <w:rPr>
          <w:rFonts w:ascii="Cambria" w:hAnsi="Cambria"/>
          <w:sz w:val="20"/>
          <w:szCs w:val="20"/>
          <w:lang w:val="es-ES"/>
        </w:rPr>
        <w:t>(…)</w:t>
      </w:r>
    </w:p>
    <w:p w14:paraId="4A9A40F4" w14:textId="77777777" w:rsidR="008E7DF8" w:rsidRPr="00C876F7" w:rsidRDefault="008E7DF8"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Batang" w:hAnsi="Cambria"/>
          <w:color w:val="auto"/>
          <w:sz w:val="20"/>
          <w:szCs w:val="20"/>
          <w:bdr w:val="none" w:sz="0" w:space="0" w:color="auto"/>
          <w:lang w:val="es-ES" w:eastAsia="en-US"/>
        </w:rPr>
      </w:pPr>
    </w:p>
    <w:p w14:paraId="1ABAA490" w14:textId="03A333CA" w:rsidR="008E7DF8" w:rsidRPr="00C876F7" w:rsidRDefault="00730F15"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Encontramos así un cuadro sólido por tres testigos [el señor Cugat, el agente policial y el chofer del vehículo] que aparecieron ante el Tribunal como sumamente confiables. Exponen con sinceridad, sin observarse la más mínima predisposición contra el inocente (….). [La denuncia del señor Cugat] coincide plenamente con las versiones recibidas en la audiencia. (…) [E]l hallazgo del arma se encuentra plenamente acreditado</w:t>
      </w:r>
      <w:r w:rsidR="000F52CC" w:rsidRPr="00C876F7">
        <w:rPr>
          <w:rStyle w:val="FootnoteReference"/>
          <w:rFonts w:ascii="Cambria" w:hAnsi="Cambria"/>
          <w:sz w:val="20"/>
          <w:szCs w:val="20"/>
          <w:lang w:val="es-ES"/>
        </w:rPr>
        <w:footnoteReference w:id="30"/>
      </w:r>
      <w:r w:rsidRPr="00C876F7">
        <w:rPr>
          <w:rFonts w:ascii="Cambria" w:hAnsi="Cambria"/>
          <w:sz w:val="20"/>
          <w:szCs w:val="20"/>
          <w:lang w:val="es-ES"/>
        </w:rPr>
        <w:t xml:space="preserve">. </w:t>
      </w:r>
    </w:p>
    <w:p w14:paraId="0547EC93" w14:textId="77777777" w:rsidR="002B4031" w:rsidRPr="00C876F7" w:rsidRDefault="002B403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Batang" w:hAnsi="Cambria"/>
          <w:color w:val="auto"/>
          <w:sz w:val="20"/>
          <w:szCs w:val="20"/>
          <w:bdr w:val="none" w:sz="0" w:space="0" w:color="auto"/>
          <w:lang w:val="es-ES" w:eastAsia="en-US"/>
        </w:rPr>
      </w:pPr>
    </w:p>
    <w:p w14:paraId="334B8916" w14:textId="286E41B4" w:rsidR="00E24A47" w:rsidRPr="00C876F7" w:rsidRDefault="00E24A47"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eastAsia="Batang" w:hAnsi="Cambria"/>
          <w:color w:val="auto"/>
          <w:sz w:val="20"/>
          <w:szCs w:val="20"/>
          <w:bdr w:val="none" w:sz="0" w:space="0" w:color="auto"/>
          <w:lang w:val="es-ES" w:eastAsia="en-US"/>
        </w:rPr>
      </w:pPr>
      <w:r w:rsidRPr="00C876F7">
        <w:rPr>
          <w:rFonts w:ascii="Cambria" w:eastAsia="Batang" w:hAnsi="Cambria"/>
          <w:color w:val="auto"/>
          <w:sz w:val="20"/>
          <w:szCs w:val="20"/>
          <w:bdr w:val="none" w:sz="0" w:space="0" w:color="auto"/>
          <w:lang w:val="es-ES" w:eastAsia="en-US"/>
        </w:rPr>
        <w:t xml:space="preserve">La </w:t>
      </w:r>
      <w:r w:rsidR="00BD3F37" w:rsidRPr="00C876F7">
        <w:rPr>
          <w:rFonts w:ascii="Cambria" w:eastAsia="Batang" w:hAnsi="Cambria"/>
          <w:color w:val="auto"/>
          <w:sz w:val="20"/>
          <w:szCs w:val="20"/>
          <w:bdr w:val="none" w:sz="0" w:space="0" w:color="auto"/>
          <w:lang w:val="es-ES" w:eastAsia="en-US"/>
        </w:rPr>
        <w:t>defensa</w:t>
      </w:r>
      <w:r w:rsidRPr="00C876F7">
        <w:rPr>
          <w:rFonts w:ascii="Cambria" w:eastAsia="Batang" w:hAnsi="Cambria"/>
          <w:color w:val="auto"/>
          <w:sz w:val="20"/>
          <w:szCs w:val="20"/>
          <w:bdr w:val="none" w:sz="0" w:space="0" w:color="auto"/>
          <w:lang w:val="es-ES" w:eastAsia="en-US"/>
        </w:rPr>
        <w:t xml:space="preserve"> del señor Martín presentó un recurso de casación </w:t>
      </w:r>
      <w:r w:rsidR="00AD1D74" w:rsidRPr="00C876F7">
        <w:rPr>
          <w:rFonts w:ascii="Cambria" w:eastAsia="Batang" w:hAnsi="Cambria"/>
          <w:color w:val="auto"/>
          <w:sz w:val="20"/>
          <w:szCs w:val="20"/>
          <w:bdr w:val="none" w:sz="0" w:space="0" w:color="auto"/>
          <w:lang w:val="es-ES" w:eastAsia="en-US"/>
        </w:rPr>
        <w:t xml:space="preserve">contra </w:t>
      </w:r>
      <w:r w:rsidRPr="00C876F7">
        <w:rPr>
          <w:rFonts w:ascii="Cambria" w:eastAsia="Batang" w:hAnsi="Cambria"/>
          <w:color w:val="auto"/>
          <w:sz w:val="20"/>
          <w:szCs w:val="20"/>
          <w:bdr w:val="none" w:sz="0" w:space="0" w:color="auto"/>
          <w:lang w:val="es-ES" w:eastAsia="en-US"/>
        </w:rPr>
        <w:t>la sentencia condenatoria</w:t>
      </w:r>
      <w:r w:rsidR="00BD3F37" w:rsidRPr="00C876F7">
        <w:rPr>
          <w:rStyle w:val="FootnoteReference"/>
          <w:rFonts w:ascii="Cambria" w:eastAsia="Batang" w:hAnsi="Cambria"/>
          <w:color w:val="auto"/>
          <w:sz w:val="20"/>
          <w:szCs w:val="20"/>
          <w:bdr w:val="none" w:sz="0" w:space="0" w:color="auto"/>
          <w:lang w:val="es-ES" w:eastAsia="en-US"/>
        </w:rPr>
        <w:footnoteReference w:id="31"/>
      </w:r>
      <w:r w:rsidR="00BD3F37" w:rsidRPr="00C876F7">
        <w:rPr>
          <w:rFonts w:ascii="Cambria" w:eastAsia="Batang" w:hAnsi="Cambria"/>
          <w:color w:val="auto"/>
          <w:sz w:val="20"/>
          <w:szCs w:val="20"/>
          <w:bdr w:val="none" w:sz="0" w:space="0" w:color="auto"/>
          <w:lang w:val="es-ES" w:eastAsia="en-US"/>
        </w:rPr>
        <w:t>. Se alegó</w:t>
      </w:r>
      <w:r w:rsidR="00B14D2B" w:rsidRPr="00C876F7">
        <w:rPr>
          <w:rFonts w:ascii="Cambria" w:eastAsia="Batang" w:hAnsi="Cambria"/>
          <w:color w:val="auto"/>
          <w:sz w:val="20"/>
          <w:szCs w:val="20"/>
          <w:bdr w:val="none" w:sz="0" w:space="0" w:color="auto"/>
          <w:lang w:val="es-ES" w:eastAsia="en-US"/>
        </w:rPr>
        <w:t xml:space="preserve"> </w:t>
      </w:r>
      <w:r w:rsidR="00BD3F37" w:rsidRPr="00C876F7">
        <w:rPr>
          <w:rFonts w:ascii="Cambria" w:eastAsia="Batang" w:hAnsi="Cambria"/>
          <w:color w:val="auto"/>
          <w:sz w:val="20"/>
          <w:szCs w:val="20"/>
          <w:bdr w:val="none" w:sz="0" w:space="0" w:color="auto"/>
          <w:lang w:val="es-ES" w:eastAsia="en-US"/>
        </w:rPr>
        <w:t>que la inclusión de la declaratoria del señor Cugat realizada en etapa de instrucción afect</w:t>
      </w:r>
      <w:r w:rsidR="00AD1D74" w:rsidRPr="00C876F7">
        <w:rPr>
          <w:rFonts w:ascii="Cambria" w:eastAsia="Batang" w:hAnsi="Cambria"/>
          <w:color w:val="auto"/>
          <w:sz w:val="20"/>
          <w:szCs w:val="20"/>
          <w:bdr w:val="none" w:sz="0" w:space="0" w:color="auto"/>
          <w:lang w:val="es-ES" w:eastAsia="en-US"/>
        </w:rPr>
        <w:t>ó</w:t>
      </w:r>
      <w:r w:rsidR="00BD3F37" w:rsidRPr="00C876F7">
        <w:rPr>
          <w:rFonts w:ascii="Cambria" w:eastAsia="Batang" w:hAnsi="Cambria"/>
          <w:color w:val="auto"/>
          <w:sz w:val="20"/>
          <w:szCs w:val="20"/>
          <w:bdr w:val="none" w:sz="0" w:space="0" w:color="auto"/>
          <w:lang w:val="es-ES" w:eastAsia="en-US"/>
        </w:rPr>
        <w:t xml:space="preserve"> el derecho de defensa del señor Martín</w:t>
      </w:r>
      <w:r w:rsidRPr="00C876F7">
        <w:rPr>
          <w:rStyle w:val="FootnoteReference"/>
          <w:rFonts w:ascii="Cambria" w:eastAsia="Batang" w:hAnsi="Cambria"/>
          <w:color w:val="auto"/>
          <w:sz w:val="20"/>
          <w:szCs w:val="20"/>
          <w:bdr w:val="none" w:sz="0" w:space="0" w:color="auto"/>
          <w:lang w:val="es-ES" w:eastAsia="en-US"/>
        </w:rPr>
        <w:footnoteReference w:id="32"/>
      </w:r>
      <w:r w:rsidRPr="00C876F7">
        <w:rPr>
          <w:rFonts w:ascii="Cambria" w:eastAsia="Batang" w:hAnsi="Cambria"/>
          <w:color w:val="auto"/>
          <w:sz w:val="20"/>
          <w:szCs w:val="20"/>
          <w:bdr w:val="none" w:sz="0" w:space="0" w:color="auto"/>
          <w:lang w:val="es-ES" w:eastAsia="en-US"/>
        </w:rPr>
        <w:t xml:space="preserve">. </w:t>
      </w:r>
      <w:r w:rsidR="00BD3F37" w:rsidRPr="00C876F7">
        <w:rPr>
          <w:rFonts w:ascii="Cambria" w:eastAsia="Batang" w:hAnsi="Cambria"/>
          <w:color w:val="auto"/>
          <w:sz w:val="20"/>
          <w:szCs w:val="20"/>
          <w:bdr w:val="none" w:sz="0" w:space="0" w:color="auto"/>
          <w:lang w:val="es-ES" w:eastAsia="en-US"/>
        </w:rPr>
        <w:t>La defensa agregó lo siguiente:</w:t>
      </w:r>
    </w:p>
    <w:p w14:paraId="73D6E7FB" w14:textId="77777777" w:rsidR="00B14D2B" w:rsidRPr="00C876F7" w:rsidRDefault="00B14D2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Batang" w:hAnsi="Cambria"/>
          <w:color w:val="auto"/>
          <w:sz w:val="20"/>
          <w:szCs w:val="20"/>
          <w:bdr w:val="none" w:sz="0" w:space="0" w:color="auto"/>
          <w:lang w:val="es-ES" w:eastAsia="en-US"/>
        </w:rPr>
      </w:pPr>
    </w:p>
    <w:p w14:paraId="168E83F8" w14:textId="0E4B67AB" w:rsidR="00C77ED8" w:rsidRPr="00C876F7" w:rsidRDefault="00C77ED8"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color w:val="auto"/>
          <w:sz w:val="20"/>
          <w:szCs w:val="20"/>
          <w:bdr w:val="none" w:sz="0" w:space="0" w:color="auto"/>
          <w:lang w:val="es-ES" w:eastAsia="en-US"/>
        </w:rPr>
      </w:pPr>
      <w:r w:rsidRPr="00C876F7">
        <w:rPr>
          <w:rFonts w:ascii="Cambria" w:eastAsia="Batang" w:hAnsi="Cambria"/>
          <w:color w:val="auto"/>
          <w:sz w:val="20"/>
          <w:szCs w:val="20"/>
          <w:bdr w:val="none" w:sz="0" w:space="0" w:color="auto"/>
          <w:lang w:val="es-ES" w:eastAsia="en-US"/>
        </w:rPr>
        <w:t>De la lectura integral del fallo surge que los dichos de Cugat (…) es el fundamento de la sentencia condenatoria (…) pues la prueba restante (secuestro de una campera tirada en el pasillo del colectivo donde viajaban más de treinta personas y un estilete, que encontró la víctima, debajo del asiento donde viajaba mi defendido, y declaraciones del c</w:t>
      </w:r>
      <w:r w:rsidR="001B70FB" w:rsidRPr="00C876F7">
        <w:rPr>
          <w:rFonts w:ascii="Cambria" w:eastAsia="Batang" w:hAnsi="Cambria"/>
          <w:color w:val="auto"/>
          <w:sz w:val="20"/>
          <w:szCs w:val="20"/>
          <w:bdr w:val="none" w:sz="0" w:space="0" w:color="auto"/>
          <w:lang w:val="es-ES" w:eastAsia="en-US"/>
        </w:rPr>
        <w:t>h</w:t>
      </w:r>
      <w:r w:rsidRPr="00C876F7">
        <w:rPr>
          <w:rFonts w:ascii="Cambria" w:eastAsia="Batang" w:hAnsi="Cambria"/>
          <w:color w:val="auto"/>
          <w:sz w:val="20"/>
          <w:szCs w:val="20"/>
          <w:bdr w:val="none" w:sz="0" w:space="0" w:color="auto"/>
          <w:lang w:val="es-ES" w:eastAsia="en-US"/>
        </w:rPr>
        <w:t>ofer, del policía (…) y del otro pasajero (…)) sólo tienen relevancia a partir de los dichos primeros del denunciante.</w:t>
      </w:r>
    </w:p>
    <w:p w14:paraId="27AD481B" w14:textId="77777777" w:rsidR="00AD1D74" w:rsidRPr="00C876F7" w:rsidRDefault="00AD1D74"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color w:val="auto"/>
          <w:sz w:val="20"/>
          <w:szCs w:val="20"/>
          <w:bdr w:val="none" w:sz="0" w:space="0" w:color="auto"/>
          <w:lang w:val="es-ES" w:eastAsia="en-US"/>
        </w:rPr>
      </w:pPr>
    </w:p>
    <w:p w14:paraId="74697744" w14:textId="77777777" w:rsidR="00C77ED8" w:rsidRPr="00C876F7" w:rsidRDefault="00C77ED8"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color w:val="auto"/>
          <w:sz w:val="20"/>
          <w:szCs w:val="20"/>
          <w:bdr w:val="none" w:sz="0" w:space="0" w:color="auto"/>
          <w:lang w:val="es-ES" w:eastAsia="en-US"/>
        </w:rPr>
      </w:pPr>
      <w:r w:rsidRPr="00C876F7">
        <w:rPr>
          <w:rFonts w:ascii="Cambria" w:eastAsia="Batang" w:hAnsi="Cambria"/>
          <w:color w:val="auto"/>
          <w:sz w:val="20"/>
          <w:szCs w:val="20"/>
          <w:bdr w:val="none" w:sz="0" w:space="0" w:color="auto"/>
          <w:lang w:val="es-ES" w:eastAsia="en-US"/>
        </w:rPr>
        <w:t>(…)</w:t>
      </w:r>
    </w:p>
    <w:p w14:paraId="3F14EFA2" w14:textId="77777777" w:rsidR="00AD1D74" w:rsidRPr="00C876F7" w:rsidRDefault="00AD1D74"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color w:val="auto"/>
          <w:sz w:val="20"/>
          <w:szCs w:val="20"/>
          <w:bdr w:val="none" w:sz="0" w:space="0" w:color="auto"/>
          <w:lang w:val="es-ES" w:eastAsia="en-US"/>
        </w:rPr>
      </w:pPr>
    </w:p>
    <w:p w14:paraId="0D11520F" w14:textId="77777777" w:rsidR="00C77ED8" w:rsidRPr="00C876F7" w:rsidRDefault="00C77ED8"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color w:val="auto"/>
          <w:sz w:val="20"/>
          <w:szCs w:val="20"/>
          <w:bdr w:val="none" w:sz="0" w:space="0" w:color="auto"/>
          <w:lang w:val="es-ES" w:eastAsia="en-US"/>
        </w:rPr>
      </w:pPr>
      <w:r w:rsidRPr="00C876F7">
        <w:rPr>
          <w:rFonts w:ascii="Cambria" w:eastAsia="Batang" w:hAnsi="Cambria"/>
          <w:color w:val="auto"/>
          <w:sz w:val="20"/>
          <w:szCs w:val="20"/>
          <w:bdr w:val="none" w:sz="0" w:space="0" w:color="auto"/>
          <w:lang w:val="es-ES" w:eastAsia="en-US"/>
        </w:rPr>
        <w:t xml:space="preserve">No existe vía de prueba independiente que determine con certeza la participación de mi defendido en el hecho objeto de la investigación, pues las personas que declararon en juicio solo fueron testigos de la detención (pacífica, no en flagrante delito) de una persona que viajaba sentada en el colectivo (…). [N]o se secuestró en su poder ningún elemento, y quedó demostrado también durante el debate que la acusación a Martín (sin antecedentes penales, con un excelente concepto de vecinos que lo consideran un joven trabajador, y que se declaró </w:t>
      </w:r>
      <w:r w:rsidRPr="00C876F7">
        <w:rPr>
          <w:rFonts w:ascii="Cambria" w:eastAsia="Batang" w:hAnsi="Cambria"/>
          <w:color w:val="auto"/>
          <w:sz w:val="20"/>
          <w:szCs w:val="20"/>
          <w:bdr w:val="none" w:sz="0" w:space="0" w:color="auto"/>
          <w:lang w:val="es-ES" w:eastAsia="en-US"/>
        </w:rPr>
        <w:lastRenderedPageBreak/>
        <w:t>inocente desde la primera oportunidad) la produjo una persona que estaba “nerviosa” y luego de haber subido ya en otra oportunidad al colectivo sin haber indicado a nadie</w:t>
      </w:r>
      <w:r w:rsidRPr="00C876F7">
        <w:rPr>
          <w:rStyle w:val="FootnoteReference"/>
          <w:rFonts w:ascii="Cambria" w:eastAsia="Batang" w:hAnsi="Cambria"/>
          <w:color w:val="auto"/>
          <w:sz w:val="20"/>
          <w:szCs w:val="20"/>
          <w:bdr w:val="none" w:sz="0" w:space="0" w:color="auto"/>
          <w:lang w:val="es-ES" w:eastAsia="en-US"/>
        </w:rPr>
        <w:footnoteReference w:id="33"/>
      </w:r>
      <w:r w:rsidRPr="00C876F7">
        <w:rPr>
          <w:rFonts w:ascii="Cambria" w:eastAsia="Batang" w:hAnsi="Cambria"/>
          <w:color w:val="auto"/>
          <w:sz w:val="20"/>
          <w:szCs w:val="20"/>
          <w:bdr w:val="none" w:sz="0" w:space="0" w:color="auto"/>
          <w:lang w:val="es-ES" w:eastAsia="en-US"/>
        </w:rPr>
        <w:t>.</w:t>
      </w:r>
    </w:p>
    <w:p w14:paraId="6C85C1B8" w14:textId="77777777" w:rsidR="005D3094" w:rsidRPr="00C876F7" w:rsidRDefault="005D3094" w:rsidP="00C876F7">
      <w:pPr>
        <w:suppressAutoHyphens/>
        <w:spacing w:after="0" w:line="240" w:lineRule="auto"/>
        <w:jc w:val="both"/>
        <w:rPr>
          <w:rFonts w:ascii="Cambria" w:hAnsi="Cambria"/>
          <w:sz w:val="20"/>
          <w:szCs w:val="20"/>
          <w:lang w:val="es-ES"/>
        </w:rPr>
      </w:pPr>
    </w:p>
    <w:p w14:paraId="0351A3CB" w14:textId="34FA656A" w:rsidR="00AD575B" w:rsidRPr="00C876F7" w:rsidRDefault="00C77ED8"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El 23 de abril de 1999 la Cámara Nacional de Casación Penal declaró inadmisible el recurso de casación presentado</w:t>
      </w:r>
      <w:r w:rsidRPr="00C876F7">
        <w:rPr>
          <w:rStyle w:val="FootnoteReference"/>
          <w:rFonts w:ascii="Cambria" w:hAnsi="Cambria"/>
          <w:sz w:val="20"/>
          <w:szCs w:val="20"/>
          <w:lang w:val="es-ES"/>
        </w:rPr>
        <w:footnoteReference w:id="34"/>
      </w:r>
      <w:r w:rsidRPr="00C876F7">
        <w:rPr>
          <w:rFonts w:ascii="Cambria" w:hAnsi="Cambria"/>
          <w:sz w:val="20"/>
          <w:szCs w:val="20"/>
          <w:lang w:val="es-ES"/>
        </w:rPr>
        <w:t>.</w:t>
      </w:r>
      <w:r w:rsidR="00286326" w:rsidRPr="00C876F7">
        <w:rPr>
          <w:rFonts w:ascii="Cambria" w:hAnsi="Cambria"/>
          <w:sz w:val="20"/>
          <w:szCs w:val="20"/>
          <w:lang w:val="es-ES"/>
        </w:rPr>
        <w:t xml:space="preserve"> </w:t>
      </w:r>
      <w:r w:rsidR="00AD575B" w:rsidRPr="00C876F7">
        <w:rPr>
          <w:rFonts w:ascii="Cambria" w:hAnsi="Cambria"/>
          <w:sz w:val="20"/>
          <w:szCs w:val="20"/>
          <w:lang w:val="es-ES"/>
        </w:rPr>
        <w:t>En cuanto a la incorporación por lectura de la declaración rendida en la etapa de instrucció</w:t>
      </w:r>
      <w:r w:rsidR="00E45A40" w:rsidRPr="00C876F7">
        <w:rPr>
          <w:rFonts w:ascii="Cambria" w:hAnsi="Cambria"/>
          <w:sz w:val="20"/>
          <w:szCs w:val="20"/>
          <w:lang w:val="es-ES"/>
        </w:rPr>
        <w:t>n, la Cámara Nacional indicó lo siguiente:</w:t>
      </w:r>
    </w:p>
    <w:p w14:paraId="0F8679C6" w14:textId="77777777" w:rsidR="00E45A40" w:rsidRPr="00C876F7" w:rsidRDefault="00E45A40"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421E04B" w14:textId="4288D592" w:rsidR="00E45A40" w:rsidRPr="00C876F7" w:rsidRDefault="00D4011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 Que si bien esta Sala tiene dicho que aquel control (se refiere al de la defensa respecto de la producción del testimonio de la v</w:t>
      </w:r>
      <w:r w:rsidR="006C3D69" w:rsidRPr="00C876F7">
        <w:rPr>
          <w:rFonts w:ascii="Cambria" w:hAnsi="Cambria"/>
          <w:sz w:val="20"/>
          <w:szCs w:val="20"/>
          <w:lang w:val="es-ES"/>
        </w:rPr>
        <w:t>íctima) “</w:t>
      </w:r>
      <w:r w:rsidR="006C1626" w:rsidRPr="00C876F7">
        <w:rPr>
          <w:rFonts w:ascii="Cambria" w:hAnsi="Cambria"/>
          <w:sz w:val="20"/>
          <w:szCs w:val="20"/>
          <w:lang w:val="es-ES"/>
        </w:rPr>
        <w:t>ú</w:t>
      </w:r>
      <w:r w:rsidR="00BF2B10" w:rsidRPr="00C876F7">
        <w:rPr>
          <w:rFonts w:ascii="Cambria" w:hAnsi="Cambria"/>
          <w:sz w:val="20"/>
          <w:szCs w:val="20"/>
          <w:lang w:val="es-ES"/>
        </w:rPr>
        <w:t xml:space="preserve">til y eficaz” </w:t>
      </w:r>
      <w:r w:rsidR="00780530" w:rsidRPr="00C876F7">
        <w:rPr>
          <w:rFonts w:ascii="Cambria" w:hAnsi="Cambria"/>
          <w:sz w:val="20"/>
          <w:szCs w:val="20"/>
          <w:lang w:val="es-ES"/>
        </w:rPr>
        <w:t xml:space="preserve">no pudo cumplirse porque las declaraciones fueron recibidas en un </w:t>
      </w:r>
      <w:r w:rsidR="00A615BE" w:rsidRPr="00C876F7">
        <w:rPr>
          <w:rFonts w:ascii="Cambria" w:hAnsi="Cambria"/>
          <w:sz w:val="20"/>
          <w:szCs w:val="20"/>
          <w:lang w:val="es-ES"/>
        </w:rPr>
        <w:t xml:space="preserve">estadio procesal en que la defensa aún no existía </w:t>
      </w:r>
      <w:r w:rsidR="001E1CDC" w:rsidRPr="00C876F7">
        <w:rPr>
          <w:rFonts w:ascii="Cambria" w:hAnsi="Cambria"/>
          <w:sz w:val="20"/>
          <w:szCs w:val="20"/>
          <w:lang w:val="es-ES"/>
        </w:rPr>
        <w:t xml:space="preserve">como parte, si el juzgado previniente no arbitró </w:t>
      </w:r>
      <w:r w:rsidR="007D7234" w:rsidRPr="00C876F7">
        <w:rPr>
          <w:rFonts w:ascii="Cambria" w:hAnsi="Cambria"/>
          <w:sz w:val="20"/>
          <w:szCs w:val="20"/>
          <w:lang w:val="es-ES"/>
        </w:rPr>
        <w:t>medio alguno que posibilitara un ulterior interrogatorio ni aseguró que las denunciantes permanecieran en su jurisdicción, la incorporación por lectura de los dichos incriminatorios conculca</w:t>
      </w:r>
      <w:r w:rsidR="0009255C" w:rsidRPr="00C876F7">
        <w:rPr>
          <w:rFonts w:ascii="Cambria" w:hAnsi="Cambria"/>
          <w:sz w:val="20"/>
          <w:szCs w:val="20"/>
          <w:lang w:val="es-ES"/>
        </w:rPr>
        <w:t xml:space="preserve"> los derechos que consagra la Convención Americana de Derechos Humanos </w:t>
      </w:r>
      <w:r w:rsidR="00632617" w:rsidRPr="00C876F7">
        <w:rPr>
          <w:rFonts w:ascii="Cambria" w:hAnsi="Cambria"/>
          <w:sz w:val="20"/>
          <w:szCs w:val="20"/>
          <w:lang w:val="es-ES"/>
        </w:rPr>
        <w:t xml:space="preserve">y el </w:t>
      </w:r>
      <w:r w:rsidR="00FE3A68" w:rsidRPr="00C876F7">
        <w:rPr>
          <w:rFonts w:ascii="Cambria" w:hAnsi="Cambria"/>
          <w:sz w:val="20"/>
          <w:szCs w:val="20"/>
          <w:lang w:val="es-ES"/>
        </w:rPr>
        <w:t>Pacto Internacional de Derechos Civiles y Políticos, cuyo rango constitucional (…)</w:t>
      </w:r>
      <w:r w:rsidR="007D4FF2" w:rsidRPr="00C876F7">
        <w:rPr>
          <w:rFonts w:ascii="Cambria" w:hAnsi="Cambria"/>
          <w:sz w:val="20"/>
          <w:szCs w:val="20"/>
          <w:lang w:val="es-ES"/>
        </w:rPr>
        <w:t xml:space="preserve"> implica que su violación sea de aquellas previstas en el art. 167, inc. 3, y 168 del C.P.P.N. y que conlleve </w:t>
      </w:r>
      <w:r w:rsidR="004B403E" w:rsidRPr="00C876F7">
        <w:rPr>
          <w:rFonts w:ascii="Cambria" w:hAnsi="Cambria"/>
          <w:sz w:val="20"/>
          <w:szCs w:val="20"/>
          <w:lang w:val="es-ES"/>
        </w:rPr>
        <w:t xml:space="preserve">la descalificación del acto procesal </w:t>
      </w:r>
      <w:r w:rsidR="00415346" w:rsidRPr="00C876F7">
        <w:rPr>
          <w:rFonts w:ascii="Cambria" w:hAnsi="Cambria"/>
          <w:sz w:val="20"/>
          <w:szCs w:val="20"/>
          <w:lang w:val="es-ES"/>
        </w:rPr>
        <w:t>y del pronunciamiento que ha sido su consecuencia</w:t>
      </w:r>
      <w:r w:rsidR="00BF56BE" w:rsidRPr="00C876F7">
        <w:rPr>
          <w:rFonts w:ascii="Cambria" w:hAnsi="Cambria"/>
          <w:sz w:val="20"/>
          <w:szCs w:val="20"/>
          <w:lang w:val="es-ES"/>
        </w:rPr>
        <w:t xml:space="preserve"> cuando, como aquí ocurre, la prueba restante no </w:t>
      </w:r>
      <w:r w:rsidR="00050256" w:rsidRPr="00C876F7">
        <w:rPr>
          <w:rFonts w:ascii="Cambria" w:hAnsi="Cambria"/>
          <w:sz w:val="20"/>
          <w:szCs w:val="20"/>
          <w:lang w:val="es-ES"/>
        </w:rPr>
        <w:t xml:space="preserve">habilita un juicio de certeza acerca de la culpabilidad del acusado (…) la situación de autos </w:t>
      </w:r>
      <w:r w:rsidR="006C5379" w:rsidRPr="00C876F7">
        <w:rPr>
          <w:rFonts w:ascii="Cambria" w:hAnsi="Cambria"/>
          <w:sz w:val="20"/>
          <w:szCs w:val="20"/>
          <w:lang w:val="es-ES"/>
        </w:rPr>
        <w:t xml:space="preserve">no es análoga, pues en este caso, no se ha demostrado que, excluida </w:t>
      </w:r>
      <w:r w:rsidR="00CE31C7" w:rsidRPr="00C876F7">
        <w:rPr>
          <w:rFonts w:ascii="Cambria" w:hAnsi="Cambria"/>
          <w:sz w:val="20"/>
          <w:szCs w:val="20"/>
          <w:lang w:val="es-ES"/>
        </w:rPr>
        <w:t xml:space="preserve">la declaración de la víctima, la restante </w:t>
      </w:r>
      <w:r w:rsidR="00B56CD9" w:rsidRPr="00C876F7">
        <w:rPr>
          <w:rFonts w:ascii="Cambria" w:hAnsi="Cambria"/>
          <w:sz w:val="20"/>
          <w:szCs w:val="20"/>
          <w:lang w:val="es-ES"/>
        </w:rPr>
        <w:t>prueba colectada, impida alcanzar la certidumbre</w:t>
      </w:r>
      <w:r w:rsidR="00415346" w:rsidRPr="00C876F7">
        <w:rPr>
          <w:rFonts w:ascii="Cambria" w:hAnsi="Cambria"/>
          <w:sz w:val="20"/>
          <w:szCs w:val="20"/>
          <w:lang w:val="es-ES"/>
        </w:rPr>
        <w:t xml:space="preserve"> </w:t>
      </w:r>
      <w:r w:rsidR="00B56CD9" w:rsidRPr="00C876F7">
        <w:rPr>
          <w:rFonts w:ascii="Cambria" w:hAnsi="Cambria"/>
          <w:sz w:val="20"/>
          <w:szCs w:val="20"/>
          <w:lang w:val="es-ES"/>
        </w:rPr>
        <w:t xml:space="preserve">acerca de la forma en la que sucedió el hecho y de la autoría </w:t>
      </w:r>
      <w:r w:rsidR="007C6540" w:rsidRPr="00C876F7">
        <w:rPr>
          <w:rFonts w:ascii="Cambria" w:hAnsi="Cambria"/>
          <w:sz w:val="20"/>
          <w:szCs w:val="20"/>
          <w:lang w:val="es-ES"/>
        </w:rPr>
        <w:t xml:space="preserve">penalmente responsable </w:t>
      </w:r>
      <w:r w:rsidR="00BB1975" w:rsidRPr="00C876F7">
        <w:rPr>
          <w:rFonts w:ascii="Cambria" w:hAnsi="Cambria"/>
          <w:sz w:val="20"/>
          <w:szCs w:val="20"/>
          <w:lang w:val="es-ES"/>
        </w:rPr>
        <w:t>del imputado que permitió a los magistrados formar su convicción para condenar.</w:t>
      </w:r>
    </w:p>
    <w:p w14:paraId="2DCCB775" w14:textId="77777777" w:rsidR="00AD575B" w:rsidRPr="00C876F7" w:rsidRDefault="00AD575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265997E" w14:textId="75D99246" w:rsidR="00C77ED8" w:rsidRPr="00C876F7" w:rsidRDefault="0066602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Tras esta motivación, l</w:t>
      </w:r>
      <w:r w:rsidR="00286326" w:rsidRPr="00C876F7">
        <w:rPr>
          <w:rFonts w:ascii="Cambria" w:hAnsi="Cambria"/>
          <w:sz w:val="20"/>
          <w:szCs w:val="20"/>
          <w:lang w:val="es-ES"/>
        </w:rPr>
        <w:t xml:space="preserve">a Cámara </w:t>
      </w:r>
      <w:r w:rsidRPr="00C876F7">
        <w:rPr>
          <w:rFonts w:ascii="Cambria" w:hAnsi="Cambria"/>
          <w:sz w:val="20"/>
          <w:szCs w:val="20"/>
          <w:lang w:val="es-ES"/>
        </w:rPr>
        <w:t>efectuó su valoración de la prueba disponible indicando que</w:t>
      </w:r>
      <w:r w:rsidR="00286326" w:rsidRPr="00C876F7">
        <w:rPr>
          <w:rFonts w:ascii="Cambria" w:hAnsi="Cambria"/>
          <w:sz w:val="20"/>
          <w:szCs w:val="20"/>
          <w:lang w:val="es-ES"/>
        </w:rPr>
        <w:t>:</w:t>
      </w:r>
    </w:p>
    <w:p w14:paraId="6EBE551B" w14:textId="77777777" w:rsidR="00286326" w:rsidRPr="00C876F7" w:rsidRDefault="002863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16D3E0F3" w14:textId="77777777" w:rsidR="00286326" w:rsidRPr="00C876F7" w:rsidRDefault="002863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[Las declaraciones] coincidieron en sus líneas fundamentales con la denuncia efectuada por Cugat (…) lo que conforma un contorno probatorio coherente (…). Así, no se ha evidenciado que la sentencia impugnada resulte ser arbitraria o violatoria de los derechos invocados por la recurrente, toda vez que se asienta en prueba cuya incorporación al proceso no ha sido cuestionada, distinta e independiente del testimonio de la víctima, cuya eliminación –por el método de supresión mental hipotética- no se advierte –ni se ha demostrado- que afecte el mérito incriminador que condujo al estado de certeza de los jueces respecto de los aspectos fácticos y subjetivos de la imputación</w:t>
      </w:r>
      <w:r w:rsidRPr="00C876F7">
        <w:rPr>
          <w:rStyle w:val="FootnoteReference"/>
          <w:rFonts w:ascii="Cambria" w:hAnsi="Cambria"/>
          <w:sz w:val="20"/>
          <w:szCs w:val="20"/>
          <w:lang w:val="es-ES"/>
        </w:rPr>
        <w:footnoteReference w:id="35"/>
      </w:r>
      <w:r w:rsidRPr="00C876F7">
        <w:rPr>
          <w:rFonts w:ascii="Cambria" w:hAnsi="Cambria"/>
          <w:sz w:val="20"/>
          <w:szCs w:val="20"/>
          <w:lang w:val="es-ES"/>
        </w:rPr>
        <w:t>.</w:t>
      </w:r>
    </w:p>
    <w:p w14:paraId="596992BB" w14:textId="77777777" w:rsidR="00286326" w:rsidRPr="00C876F7" w:rsidRDefault="002863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14:paraId="422F0293" w14:textId="167617AF" w:rsidR="00286326" w:rsidRPr="00C876F7" w:rsidRDefault="00286326"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Frente a un recurso extraordinario presentado por la defensa del señor Martín, el 3 de junio de 1999 la Cámara declaró inadmisible el recurso</w:t>
      </w:r>
      <w:r w:rsidRPr="00C876F7">
        <w:rPr>
          <w:rStyle w:val="FootnoteReference"/>
          <w:rFonts w:ascii="Cambria" w:hAnsi="Cambria"/>
          <w:sz w:val="20"/>
          <w:szCs w:val="20"/>
          <w:lang w:val="es-ES"/>
        </w:rPr>
        <w:footnoteReference w:id="36"/>
      </w:r>
      <w:r w:rsidRPr="00C876F7">
        <w:rPr>
          <w:rFonts w:ascii="Cambria" w:hAnsi="Cambria"/>
          <w:sz w:val="20"/>
          <w:szCs w:val="20"/>
          <w:lang w:val="es-ES"/>
        </w:rPr>
        <w:t>. La Cámara sostuvo lo siguiente:</w:t>
      </w:r>
    </w:p>
    <w:p w14:paraId="208297CC" w14:textId="77777777" w:rsidR="00286326" w:rsidRPr="00C876F7" w:rsidRDefault="002863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D063125" w14:textId="77777777" w:rsidR="00286326" w:rsidRPr="00C876F7" w:rsidRDefault="002863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 xml:space="preserve">[E]l recurrente sostiene que resultaba imprescindible la presencia del damnificado en el debate pues fue la única persona que </w:t>
      </w:r>
      <w:r w:rsidR="00A85E3B" w:rsidRPr="00C876F7">
        <w:rPr>
          <w:rFonts w:ascii="Cambria" w:hAnsi="Cambria"/>
          <w:sz w:val="20"/>
          <w:szCs w:val="20"/>
          <w:lang w:val="es-ES"/>
        </w:rPr>
        <w:t>reconoció</w:t>
      </w:r>
      <w:r w:rsidRPr="00C876F7">
        <w:rPr>
          <w:rFonts w:ascii="Cambria" w:hAnsi="Cambria"/>
          <w:sz w:val="20"/>
          <w:szCs w:val="20"/>
          <w:lang w:val="es-ES"/>
        </w:rPr>
        <w:t xml:space="preserve"> a su asistido Martín, y, sin la identificación efectuada por la víctima, las restantes pruebas –declaraciones testimoniales (…) y secuestro de la campera y del estilete- carecían de aptitud y relevancia para la determinación del autor del delito. (…)</w:t>
      </w:r>
    </w:p>
    <w:p w14:paraId="01982F96" w14:textId="77777777" w:rsidR="00286326" w:rsidRPr="00C876F7" w:rsidRDefault="00985A7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w:t>
      </w:r>
    </w:p>
    <w:p w14:paraId="46664A7C" w14:textId="77777777" w:rsidR="00286326" w:rsidRPr="00C876F7" w:rsidRDefault="00985A7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[L]os agravios expresados por el recurrente (…) remiten a la apreciación de cuestiones de hecho y prueba ya decididas (…) por esta Sala con fundamentos suficientes</w:t>
      </w:r>
      <w:r w:rsidRPr="00C876F7">
        <w:rPr>
          <w:rStyle w:val="FootnoteReference"/>
          <w:rFonts w:ascii="Cambria" w:hAnsi="Cambria"/>
          <w:sz w:val="20"/>
          <w:szCs w:val="20"/>
          <w:lang w:val="es-ES"/>
        </w:rPr>
        <w:footnoteReference w:id="37"/>
      </w:r>
      <w:r w:rsidRPr="00C876F7">
        <w:rPr>
          <w:rFonts w:ascii="Cambria" w:hAnsi="Cambria"/>
          <w:sz w:val="20"/>
          <w:szCs w:val="20"/>
          <w:lang w:val="es-ES"/>
        </w:rPr>
        <w:t>.</w:t>
      </w:r>
    </w:p>
    <w:p w14:paraId="5D444B57" w14:textId="77777777" w:rsidR="00985A79" w:rsidRPr="00C876F7" w:rsidRDefault="00985A7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00B3B2C" w14:textId="36CD8A55" w:rsidR="00985A79" w:rsidRPr="00C876F7" w:rsidRDefault="00985A79"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Frente a un recurso de </w:t>
      </w:r>
      <w:r w:rsidR="008E533C" w:rsidRPr="00C876F7">
        <w:rPr>
          <w:rFonts w:ascii="Cambria" w:hAnsi="Cambria"/>
          <w:sz w:val="20"/>
          <w:szCs w:val="20"/>
          <w:lang w:val="es-ES"/>
        </w:rPr>
        <w:t>queja</w:t>
      </w:r>
      <w:r w:rsidRPr="00C876F7">
        <w:rPr>
          <w:rFonts w:ascii="Cambria" w:hAnsi="Cambria"/>
          <w:sz w:val="20"/>
          <w:szCs w:val="20"/>
          <w:lang w:val="es-ES"/>
        </w:rPr>
        <w:t xml:space="preserve"> presentado por la defensa del señor Martín, el 2 de agosto de 2000 la Corte Suprema de Justicia de la Nación declaró inadmisible el recurso presentado</w:t>
      </w:r>
      <w:r w:rsidRPr="00C876F7">
        <w:rPr>
          <w:rStyle w:val="FootnoteReference"/>
          <w:rFonts w:ascii="Cambria" w:hAnsi="Cambria"/>
          <w:sz w:val="20"/>
          <w:szCs w:val="20"/>
          <w:lang w:val="es-ES"/>
        </w:rPr>
        <w:footnoteReference w:id="38"/>
      </w:r>
      <w:r w:rsidRPr="00C876F7">
        <w:rPr>
          <w:rFonts w:ascii="Cambria" w:hAnsi="Cambria"/>
          <w:sz w:val="20"/>
          <w:szCs w:val="20"/>
          <w:lang w:val="es-ES"/>
        </w:rPr>
        <w:t>. La Corte Suprema indicó lo siguiente:</w:t>
      </w:r>
    </w:p>
    <w:p w14:paraId="69E9D668" w14:textId="77777777" w:rsidR="00985A79" w:rsidRPr="00C876F7" w:rsidRDefault="00985A7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4AD3424D" w14:textId="77777777" w:rsidR="00985A79" w:rsidRPr="00C876F7" w:rsidRDefault="00985A79"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C876F7">
        <w:rPr>
          <w:rFonts w:ascii="Cambria" w:hAnsi="Cambria"/>
          <w:sz w:val="20"/>
          <w:szCs w:val="20"/>
          <w:lang w:val="es-ES"/>
        </w:rPr>
        <w:t>Que el recurso extraordinario, cuya denegación dio origen a la presente queja, es inadmisible (art. 290 del Código Procesal Civil y Comercial de la Nación). Por ello, se desestima la queja</w:t>
      </w:r>
      <w:r w:rsidRPr="00C876F7">
        <w:rPr>
          <w:rStyle w:val="FootnoteReference"/>
          <w:rFonts w:ascii="Cambria" w:hAnsi="Cambria"/>
          <w:sz w:val="20"/>
          <w:szCs w:val="20"/>
          <w:lang w:val="es-ES"/>
        </w:rPr>
        <w:footnoteReference w:id="39"/>
      </w:r>
      <w:r w:rsidRPr="00C876F7">
        <w:rPr>
          <w:rFonts w:ascii="Cambria" w:hAnsi="Cambria"/>
          <w:sz w:val="20"/>
          <w:szCs w:val="20"/>
          <w:lang w:val="es-ES"/>
        </w:rPr>
        <w:t>.</w:t>
      </w:r>
    </w:p>
    <w:p w14:paraId="25A35ABE" w14:textId="77777777" w:rsidR="00E9590B" w:rsidRPr="00C876F7" w:rsidRDefault="00E9590B"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14:paraId="06DCEB8A" w14:textId="06409EF2" w:rsidR="00E9590B" w:rsidRPr="00C876F7" w:rsidRDefault="00E9590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La parte peticionaria indicó que el señor Martín cumplió con </w:t>
      </w:r>
      <w:r w:rsidR="0067691F" w:rsidRPr="00C876F7">
        <w:rPr>
          <w:rFonts w:ascii="Cambria" w:hAnsi="Cambria"/>
          <w:sz w:val="20"/>
          <w:szCs w:val="20"/>
          <w:lang w:val="es-ES"/>
        </w:rPr>
        <w:t xml:space="preserve">su </w:t>
      </w:r>
      <w:r w:rsidRPr="00C876F7">
        <w:rPr>
          <w:rFonts w:ascii="Cambria" w:hAnsi="Cambria"/>
          <w:sz w:val="20"/>
          <w:szCs w:val="20"/>
          <w:lang w:val="es-ES"/>
        </w:rPr>
        <w:t>condena</w:t>
      </w:r>
      <w:r w:rsidRPr="00C876F7">
        <w:rPr>
          <w:rStyle w:val="FootnoteReference"/>
          <w:rFonts w:ascii="Cambria" w:hAnsi="Cambria"/>
          <w:sz w:val="20"/>
          <w:szCs w:val="20"/>
          <w:lang w:val="es-ES"/>
        </w:rPr>
        <w:footnoteReference w:id="40"/>
      </w:r>
      <w:r w:rsidRPr="00C876F7">
        <w:rPr>
          <w:rFonts w:ascii="Cambria" w:hAnsi="Cambria"/>
          <w:sz w:val="20"/>
          <w:szCs w:val="20"/>
          <w:lang w:val="es-ES"/>
        </w:rPr>
        <w:t>. El Estado no controvirtió dicha información.</w:t>
      </w:r>
    </w:p>
    <w:p w14:paraId="6444CFAB" w14:textId="77777777" w:rsidR="000F6952" w:rsidRPr="00C876F7" w:rsidRDefault="000F6952"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3EDFB85A" w14:textId="77777777" w:rsidR="001B3677" w:rsidRPr="00C876F7" w:rsidRDefault="001B3677" w:rsidP="00C876F7">
      <w:pPr>
        <w:pStyle w:val="Heading1"/>
        <w:ind w:left="1440" w:hanging="720"/>
      </w:pPr>
      <w:bookmarkStart w:id="20" w:name="_Toc480636772"/>
      <w:bookmarkStart w:id="21" w:name="_Toc84427123"/>
      <w:bookmarkStart w:id="22" w:name="_Toc370830584"/>
      <w:bookmarkStart w:id="23" w:name="_Toc370831309"/>
      <w:bookmarkStart w:id="24" w:name="_Toc430268190"/>
      <w:bookmarkStart w:id="25" w:name="_Toc446591757"/>
      <w:r w:rsidRPr="00C876F7">
        <w:t>ANÁLISIS DE DERECHO</w:t>
      </w:r>
      <w:bookmarkEnd w:id="20"/>
      <w:bookmarkEnd w:id="21"/>
    </w:p>
    <w:p w14:paraId="27B01762" w14:textId="77777777" w:rsidR="001B3677" w:rsidRPr="00C876F7" w:rsidRDefault="001B3677" w:rsidP="00C876F7">
      <w:pPr>
        <w:spacing w:after="0" w:line="240" w:lineRule="auto"/>
        <w:rPr>
          <w:rFonts w:ascii="Cambria" w:hAnsi="Cambria"/>
          <w:b/>
          <w:sz w:val="20"/>
          <w:szCs w:val="20"/>
          <w:lang w:val="es-ES"/>
        </w:rPr>
      </w:pPr>
      <w:bookmarkStart w:id="26" w:name="_Toc413687836"/>
    </w:p>
    <w:p w14:paraId="297DD768" w14:textId="41237C9E" w:rsidR="003C7B7A" w:rsidRPr="00C876F7" w:rsidRDefault="00A85E3B" w:rsidP="00C876F7">
      <w:pPr>
        <w:pStyle w:val="Heading2"/>
        <w:numPr>
          <w:ilvl w:val="0"/>
          <w:numId w:val="58"/>
        </w:numPr>
      </w:pPr>
      <w:bookmarkStart w:id="27" w:name="_Toc84427124"/>
      <w:r w:rsidRPr="00C876F7">
        <w:t>Derecho</w:t>
      </w:r>
      <w:r w:rsidR="00225E1C" w:rsidRPr="00C876F7">
        <w:t>s</w:t>
      </w:r>
      <w:r w:rsidRPr="00C876F7">
        <w:t xml:space="preserve"> a las garantías judiciales y protección judicial (artículos 8</w:t>
      </w:r>
      <w:r w:rsidRPr="00C876F7">
        <w:rPr>
          <w:rStyle w:val="FootnoteReference"/>
        </w:rPr>
        <w:footnoteReference w:id="41"/>
      </w:r>
      <w:r w:rsidRPr="00C876F7">
        <w:t xml:space="preserve"> y 25</w:t>
      </w:r>
      <w:r w:rsidRPr="00C876F7">
        <w:rPr>
          <w:rStyle w:val="FootnoteReference"/>
        </w:rPr>
        <w:footnoteReference w:id="42"/>
      </w:r>
      <w:r w:rsidRPr="00C876F7">
        <w:t xml:space="preserve"> de la Convención Americana)</w:t>
      </w:r>
      <w:bookmarkEnd w:id="27"/>
    </w:p>
    <w:p w14:paraId="060EA65F" w14:textId="77777777" w:rsidR="00CC4329" w:rsidRDefault="00CC4329" w:rsidP="00CC432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14B39512" w14:textId="3D9D63A8" w:rsidR="002474C5" w:rsidRPr="00C876F7" w:rsidRDefault="002474C5"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C876F7">
        <w:rPr>
          <w:rFonts w:ascii="Cambria" w:hAnsi="Cambria"/>
          <w:sz w:val="20"/>
          <w:szCs w:val="20"/>
        </w:rPr>
        <w:t xml:space="preserve">De las posiciones de las partes y de los hechos probados, la Comisión considera que el presente caso requiere de </w:t>
      </w:r>
      <w:r w:rsidRPr="00C876F7">
        <w:rPr>
          <w:rFonts w:ascii="Cambria" w:hAnsi="Cambria" w:cs="TimesNewRoman"/>
          <w:sz w:val="20"/>
          <w:szCs w:val="20"/>
          <w:lang w:val="es-ES" w:eastAsia="es-ES_tradnl"/>
        </w:rPr>
        <w:t>un</w:t>
      </w:r>
      <w:r w:rsidRPr="00C876F7">
        <w:rPr>
          <w:rFonts w:ascii="Cambria" w:hAnsi="Cambria"/>
          <w:sz w:val="20"/>
          <w:szCs w:val="20"/>
        </w:rPr>
        <w:t xml:space="preserve"> análisis conjunto del derecho de defensa, del principio de presunción de inocencia, </w:t>
      </w:r>
      <w:r w:rsidR="009F3E66" w:rsidRPr="00C876F7">
        <w:rPr>
          <w:rFonts w:ascii="Cambria" w:hAnsi="Cambria"/>
          <w:sz w:val="20"/>
          <w:szCs w:val="20"/>
        </w:rPr>
        <w:t xml:space="preserve">del derecho a contar con decisiones debidamente motivadas, </w:t>
      </w:r>
      <w:r w:rsidRPr="00C876F7">
        <w:rPr>
          <w:rFonts w:ascii="Cambria" w:hAnsi="Cambria"/>
          <w:sz w:val="20"/>
          <w:szCs w:val="20"/>
        </w:rPr>
        <w:t>del derecho a recurrir el fallo y del derecho a la protección judicial. En ese sentido, la Comisión efectuará</w:t>
      </w:r>
      <w:r w:rsidR="006632B4" w:rsidRPr="00C876F7">
        <w:rPr>
          <w:rFonts w:ascii="Cambria" w:hAnsi="Cambria"/>
          <w:sz w:val="20"/>
          <w:szCs w:val="20"/>
        </w:rPr>
        <w:t>,</w:t>
      </w:r>
      <w:r w:rsidRPr="00C876F7">
        <w:rPr>
          <w:rFonts w:ascii="Cambria" w:hAnsi="Cambria"/>
          <w:sz w:val="20"/>
          <w:szCs w:val="20"/>
        </w:rPr>
        <w:t xml:space="preserve"> en primer lugar</w:t>
      </w:r>
      <w:r w:rsidR="006632B4" w:rsidRPr="00C876F7">
        <w:rPr>
          <w:rFonts w:ascii="Cambria" w:hAnsi="Cambria"/>
          <w:sz w:val="20"/>
          <w:szCs w:val="20"/>
        </w:rPr>
        <w:t>,</w:t>
      </w:r>
      <w:r w:rsidRPr="00C876F7">
        <w:rPr>
          <w:rFonts w:ascii="Cambria" w:hAnsi="Cambria"/>
          <w:sz w:val="20"/>
          <w:szCs w:val="20"/>
        </w:rPr>
        <w:t xml:space="preserve"> algunas consideraciones generales sobre tales derechos y, posteriormente, analizará el caso concreto. </w:t>
      </w:r>
    </w:p>
    <w:p w14:paraId="5BBD6B39" w14:textId="77777777" w:rsidR="0062270F" w:rsidRPr="00C876F7" w:rsidRDefault="0062270F" w:rsidP="00C876F7">
      <w:pPr>
        <w:spacing w:after="0" w:line="240" w:lineRule="auto"/>
        <w:jc w:val="both"/>
        <w:rPr>
          <w:rFonts w:ascii="Cambria" w:hAnsi="Cambria"/>
          <w:b/>
          <w:sz w:val="20"/>
          <w:szCs w:val="20"/>
          <w:lang w:val="es-ES"/>
        </w:rPr>
      </w:pPr>
    </w:p>
    <w:p w14:paraId="5470A197" w14:textId="3DB6043B" w:rsidR="00A1054C" w:rsidRPr="00C876F7" w:rsidRDefault="002474C5" w:rsidP="00C876F7">
      <w:pPr>
        <w:pStyle w:val="ListParagraph"/>
        <w:numPr>
          <w:ilvl w:val="3"/>
          <w:numId w:val="53"/>
        </w:numPr>
        <w:tabs>
          <w:tab w:val="clear" w:pos="2880"/>
          <w:tab w:val="num" w:pos="1440"/>
          <w:tab w:val="left" w:pos="2700"/>
        </w:tabs>
        <w:spacing w:after="0" w:line="240" w:lineRule="auto"/>
        <w:ind w:left="1440" w:hanging="720"/>
        <w:jc w:val="both"/>
        <w:rPr>
          <w:rFonts w:ascii="Cambria" w:hAnsi="Cambria"/>
          <w:b/>
          <w:sz w:val="20"/>
          <w:szCs w:val="20"/>
          <w:lang w:val="es-ES"/>
        </w:rPr>
      </w:pPr>
      <w:r w:rsidRPr="00C876F7">
        <w:rPr>
          <w:rFonts w:ascii="Cambria" w:hAnsi="Cambria"/>
          <w:b/>
          <w:sz w:val="20"/>
          <w:szCs w:val="20"/>
          <w:lang w:val="es-ES"/>
        </w:rPr>
        <w:t xml:space="preserve">Consideraciones generales sobre el derecho de defensa, el principio de presunción de </w:t>
      </w:r>
      <w:r w:rsidR="00EC425C" w:rsidRPr="00C876F7">
        <w:rPr>
          <w:rFonts w:ascii="Cambria" w:hAnsi="Cambria"/>
          <w:b/>
          <w:sz w:val="20"/>
          <w:szCs w:val="20"/>
          <w:lang w:val="es-ES"/>
        </w:rPr>
        <w:t xml:space="preserve">inocencia, </w:t>
      </w:r>
      <w:r w:rsidR="009F3E66" w:rsidRPr="00C876F7">
        <w:rPr>
          <w:rFonts w:ascii="Cambria" w:hAnsi="Cambria"/>
          <w:b/>
          <w:sz w:val="20"/>
          <w:szCs w:val="20"/>
          <w:lang w:val="es-ES"/>
        </w:rPr>
        <w:t xml:space="preserve">el derecho a contar con decisiones debidamente motivadas, </w:t>
      </w:r>
      <w:r w:rsidR="00EC425C" w:rsidRPr="00C876F7">
        <w:rPr>
          <w:rFonts w:ascii="Cambria" w:hAnsi="Cambria"/>
          <w:b/>
          <w:sz w:val="20"/>
          <w:szCs w:val="20"/>
          <w:lang w:val="es-ES"/>
        </w:rPr>
        <w:t xml:space="preserve">el derecho a recurrir el fallo y el </w:t>
      </w:r>
      <w:r w:rsidR="00A1054C" w:rsidRPr="00C876F7">
        <w:rPr>
          <w:rFonts w:ascii="Cambria" w:hAnsi="Cambria"/>
          <w:b/>
          <w:sz w:val="20"/>
          <w:szCs w:val="20"/>
          <w:lang w:val="es-ES"/>
        </w:rPr>
        <w:t>derecho a la protección judicial</w:t>
      </w:r>
    </w:p>
    <w:p w14:paraId="6AB02D5D" w14:textId="77777777" w:rsidR="002474C5" w:rsidRPr="00C876F7" w:rsidRDefault="002474C5" w:rsidP="00C876F7">
      <w:pPr>
        <w:spacing w:after="0" w:line="240" w:lineRule="auto"/>
        <w:jc w:val="both"/>
        <w:rPr>
          <w:rFonts w:ascii="Cambria" w:hAnsi="Cambria"/>
          <w:b/>
          <w:sz w:val="20"/>
          <w:szCs w:val="20"/>
          <w:lang w:val="es-ES"/>
        </w:rPr>
      </w:pPr>
    </w:p>
    <w:p w14:paraId="25803F98" w14:textId="77777777" w:rsidR="00812826" w:rsidRPr="00C876F7" w:rsidRDefault="005442CD"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La Comisión ha indicado que el derecho a las garantías judiciales incluye el derecho a</w:t>
      </w:r>
      <w:r w:rsidR="006C288D" w:rsidRPr="00C876F7">
        <w:rPr>
          <w:rFonts w:ascii="Cambria" w:hAnsi="Cambria"/>
          <w:sz w:val="20"/>
          <w:szCs w:val="20"/>
          <w:lang w:val="es-ES"/>
        </w:rPr>
        <w:t xml:space="preserve"> contar con </w:t>
      </w:r>
      <w:r w:rsidR="00E77460" w:rsidRPr="00C876F7">
        <w:rPr>
          <w:rFonts w:ascii="Cambria" w:hAnsi="Cambria"/>
          <w:sz w:val="20"/>
          <w:szCs w:val="20"/>
          <w:lang w:val="es-ES"/>
        </w:rPr>
        <w:t xml:space="preserve">el tiempo y </w:t>
      </w:r>
      <w:r w:rsidR="006C288D" w:rsidRPr="00C876F7">
        <w:rPr>
          <w:rFonts w:ascii="Cambria" w:hAnsi="Cambria"/>
          <w:sz w:val="20"/>
          <w:szCs w:val="20"/>
          <w:lang w:val="es-ES"/>
        </w:rPr>
        <w:t xml:space="preserve">los </w:t>
      </w:r>
      <w:r w:rsidRPr="00C876F7">
        <w:rPr>
          <w:rFonts w:ascii="Cambria" w:hAnsi="Cambria"/>
          <w:sz w:val="20"/>
          <w:szCs w:val="20"/>
          <w:lang w:val="es-ES"/>
        </w:rPr>
        <w:t>medios adecuados para la preparación de la defensa</w:t>
      </w:r>
      <w:r w:rsidR="006C288D" w:rsidRPr="00C876F7">
        <w:rPr>
          <w:rFonts w:ascii="Cambria" w:hAnsi="Cambria"/>
          <w:sz w:val="20"/>
          <w:szCs w:val="20"/>
          <w:lang w:val="es-ES"/>
        </w:rPr>
        <w:t>, el cual se encuentra establecido en términos generales en el artículo 8.2 c) de la Convención</w:t>
      </w:r>
      <w:r w:rsidR="00860711" w:rsidRPr="00C876F7">
        <w:rPr>
          <w:rStyle w:val="FootnoteReference"/>
          <w:rFonts w:ascii="Cambria" w:hAnsi="Cambria" w:cs="TimesNewRoman"/>
          <w:sz w:val="20"/>
          <w:szCs w:val="20"/>
          <w:lang w:val="es-ES" w:eastAsia="es-ES_tradnl"/>
        </w:rPr>
        <w:footnoteReference w:id="43"/>
      </w:r>
      <w:r w:rsidR="006C288D" w:rsidRPr="00C876F7">
        <w:rPr>
          <w:rFonts w:ascii="Cambria" w:hAnsi="Cambria"/>
          <w:sz w:val="20"/>
          <w:szCs w:val="20"/>
          <w:lang w:val="es-ES"/>
        </w:rPr>
        <w:t xml:space="preserve">. </w:t>
      </w:r>
      <w:r w:rsidR="00D64042" w:rsidRPr="00C876F7">
        <w:rPr>
          <w:rFonts w:ascii="Cambria" w:hAnsi="Cambria"/>
          <w:sz w:val="20"/>
          <w:szCs w:val="20"/>
        </w:rPr>
        <w:t>La Corte ha señalado que el derecho a la defensa debe necesariamente poder ejercerse desde que se señala a una persona como posible autor o partícipe de un hecho punible y sólo culmina cuando finaliza el proceso</w:t>
      </w:r>
      <w:bookmarkStart w:id="28" w:name="_Ref247953326"/>
      <w:r w:rsidR="00D64042" w:rsidRPr="00C876F7">
        <w:rPr>
          <w:rStyle w:val="FootnoteReference"/>
          <w:rFonts w:ascii="Cambria" w:hAnsi="Cambria"/>
          <w:sz w:val="20"/>
          <w:szCs w:val="20"/>
        </w:rPr>
        <w:footnoteReference w:id="44"/>
      </w:r>
      <w:bookmarkEnd w:id="28"/>
      <w:r w:rsidR="00D64042" w:rsidRPr="00C876F7">
        <w:rPr>
          <w:rFonts w:ascii="Cambria" w:hAnsi="Cambria"/>
          <w:sz w:val="20"/>
          <w:szCs w:val="20"/>
        </w:rPr>
        <w:t xml:space="preserve">. </w:t>
      </w:r>
    </w:p>
    <w:p w14:paraId="5EFBE912" w14:textId="77777777" w:rsidR="00812826" w:rsidRPr="00C876F7" w:rsidRDefault="0081282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8EBAA9B" w14:textId="577E13B8" w:rsidR="00B75BE0" w:rsidRPr="00C876F7" w:rsidRDefault="00D64042"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rPr>
        <w:t xml:space="preserve">Sobre la relación entre la prueba practicada y el derecho de defensa, la CIDH ha destacado el principio de contradictorio, el cual implica la </w:t>
      </w:r>
      <w:r w:rsidR="006E1E73" w:rsidRPr="00C876F7">
        <w:rPr>
          <w:rFonts w:ascii="Cambria" w:hAnsi="Cambria"/>
          <w:sz w:val="20"/>
          <w:szCs w:val="20"/>
        </w:rPr>
        <w:t xml:space="preserve">intervención del inculpado en la recepción y control </w:t>
      </w:r>
      <w:r w:rsidR="00E77460" w:rsidRPr="00C876F7">
        <w:rPr>
          <w:rFonts w:ascii="Cambria" w:hAnsi="Cambria"/>
          <w:sz w:val="20"/>
          <w:szCs w:val="20"/>
          <w:lang w:val="es-ES"/>
        </w:rPr>
        <w:t>de la prueba</w:t>
      </w:r>
      <w:r w:rsidRPr="00C876F7">
        <w:rPr>
          <w:rStyle w:val="FootnoteReference"/>
          <w:rFonts w:ascii="Cambria" w:hAnsi="Cambria" w:cs="TimesNewRoman"/>
          <w:sz w:val="20"/>
          <w:szCs w:val="20"/>
          <w:lang w:val="es-ES" w:eastAsia="es-ES_tradnl"/>
        </w:rPr>
        <w:footnoteReference w:id="45"/>
      </w:r>
      <w:r w:rsidR="00E77460" w:rsidRPr="00C876F7">
        <w:rPr>
          <w:rFonts w:ascii="Cambria" w:hAnsi="Cambria"/>
          <w:sz w:val="20"/>
          <w:szCs w:val="20"/>
          <w:lang w:val="es-ES"/>
        </w:rPr>
        <w:t xml:space="preserve">. </w:t>
      </w:r>
      <w:r w:rsidR="00812826" w:rsidRPr="00C876F7">
        <w:rPr>
          <w:rFonts w:ascii="Cambria" w:hAnsi="Cambria"/>
          <w:sz w:val="20"/>
          <w:szCs w:val="20"/>
          <w:lang w:val="es-ES"/>
        </w:rPr>
        <w:t xml:space="preserve">Por su parte, </w:t>
      </w:r>
      <w:r w:rsidR="00812826" w:rsidRPr="00C876F7">
        <w:rPr>
          <w:rFonts w:ascii="Cambria" w:hAnsi="Cambria" w:cs="ACaslonPro-Regular"/>
          <w:sz w:val="20"/>
          <w:szCs w:val="20"/>
          <w:lang w:val="es-ES"/>
        </w:rPr>
        <w:t>la Corte ha considerado como una violación del derecho de defensa, el hecho de</w:t>
      </w:r>
      <w:r w:rsidR="00D00BF8" w:rsidRPr="00C876F7">
        <w:rPr>
          <w:rFonts w:ascii="Cambria" w:hAnsi="Cambria" w:cs="ACaslonPro-Regular"/>
          <w:sz w:val="20"/>
          <w:szCs w:val="20"/>
          <w:lang w:val="es-ES"/>
        </w:rPr>
        <w:t xml:space="preserve"> que</w:t>
      </w:r>
      <w:r w:rsidR="00812826" w:rsidRPr="00C876F7">
        <w:rPr>
          <w:rFonts w:ascii="Cambria" w:hAnsi="Cambria" w:cs="ACaslonPro-Regular"/>
          <w:sz w:val="20"/>
          <w:szCs w:val="20"/>
          <w:lang w:val="es-ES"/>
        </w:rPr>
        <w:t xml:space="preserve"> </w:t>
      </w:r>
      <w:r w:rsidR="00DE014D" w:rsidRPr="00C876F7">
        <w:rPr>
          <w:rFonts w:ascii="Cambria" w:hAnsi="Cambria" w:cs="ACaslonPro-Regular"/>
          <w:sz w:val="20"/>
          <w:szCs w:val="20"/>
          <w:lang w:val="es-ES"/>
        </w:rPr>
        <w:t xml:space="preserve">la </w:t>
      </w:r>
      <w:r w:rsidR="00DE014D" w:rsidRPr="00C876F7">
        <w:rPr>
          <w:rFonts w:ascii="Cambria" w:hAnsi="Cambria" w:cs="ACaslonPro-Regular"/>
          <w:sz w:val="20"/>
          <w:szCs w:val="20"/>
          <w:lang w:val="es-ES"/>
        </w:rPr>
        <w:lastRenderedPageBreak/>
        <w:t xml:space="preserve">defensa legal </w:t>
      </w:r>
      <w:r w:rsidR="00812826" w:rsidRPr="00C876F7">
        <w:rPr>
          <w:rFonts w:ascii="Cambria" w:hAnsi="Cambria" w:cs="ACaslonPro-Regular"/>
          <w:sz w:val="20"/>
          <w:szCs w:val="20"/>
          <w:lang w:val="es-ES"/>
        </w:rPr>
        <w:t>no pudier</w:t>
      </w:r>
      <w:r w:rsidR="00DE014D" w:rsidRPr="00C876F7">
        <w:rPr>
          <w:rFonts w:ascii="Cambria" w:hAnsi="Cambria" w:cs="ACaslonPro-Regular"/>
          <w:sz w:val="20"/>
          <w:szCs w:val="20"/>
          <w:lang w:val="es-ES"/>
        </w:rPr>
        <w:t>a</w:t>
      </w:r>
      <w:r w:rsidR="00812826" w:rsidRPr="00C876F7">
        <w:rPr>
          <w:rFonts w:ascii="Cambria" w:hAnsi="Cambria" w:cs="ACaslonPro-Italic"/>
          <w:i/>
          <w:iCs/>
          <w:sz w:val="20"/>
          <w:szCs w:val="20"/>
          <w:lang w:val="es-ES"/>
        </w:rPr>
        <w:t xml:space="preserve"> </w:t>
      </w:r>
      <w:r w:rsidR="00812826" w:rsidRPr="00C876F7">
        <w:rPr>
          <w:rFonts w:ascii="Cambria" w:hAnsi="Cambria" w:cs="ACaslonPro-Regular"/>
          <w:sz w:val="20"/>
          <w:szCs w:val="20"/>
          <w:lang w:val="es-ES"/>
        </w:rPr>
        <w:t>estar presente en la realización de una diligencia fundamental en el marco de un proceso penal</w:t>
      </w:r>
      <w:r w:rsidR="00812826" w:rsidRPr="00C876F7">
        <w:rPr>
          <w:rStyle w:val="FootnoteReference"/>
          <w:rFonts w:ascii="Cambria" w:hAnsi="Cambria" w:cs="ACaslonPro-Regular"/>
          <w:sz w:val="20"/>
          <w:szCs w:val="20"/>
          <w:lang w:val="es-ES"/>
        </w:rPr>
        <w:footnoteReference w:id="46"/>
      </w:r>
      <w:r w:rsidR="00812826" w:rsidRPr="00C876F7">
        <w:rPr>
          <w:rFonts w:ascii="Cambria" w:hAnsi="Cambria" w:cs="ACaslonPro-Regular"/>
          <w:sz w:val="20"/>
          <w:szCs w:val="20"/>
          <w:lang w:val="es-ES"/>
        </w:rPr>
        <w:t>.</w:t>
      </w:r>
    </w:p>
    <w:p w14:paraId="416ED27E" w14:textId="77777777" w:rsidR="00B75BE0" w:rsidRPr="00C876F7" w:rsidRDefault="00B75BE0"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B365DED" w14:textId="524D5686" w:rsidR="00B616E6" w:rsidRPr="00C876F7" w:rsidRDefault="00B75BE0"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876F7">
        <w:rPr>
          <w:rFonts w:ascii="Cambria" w:hAnsi="Cambria"/>
          <w:sz w:val="20"/>
          <w:szCs w:val="20"/>
          <w:lang w:val="es-ES"/>
        </w:rPr>
        <w:t xml:space="preserve">Una de las manifestaciones concretas de este derecho se encuentra regulada en el artículo 8.2 f) de la Convención, relacionado con el derecho </w:t>
      </w:r>
      <w:r w:rsidRPr="00C876F7">
        <w:rPr>
          <w:rFonts w:ascii="Cambria" w:hAnsi="Cambria" w:cs="TimesNewRoman"/>
          <w:sz w:val="20"/>
          <w:szCs w:val="20"/>
          <w:lang w:val="es-ES" w:eastAsia="es-ES_tradnl"/>
        </w:rPr>
        <w:t>de la defensa de interrogar a los testigos presentes en el tribunal y de obtener la comparecencia, como testigos o peritos, de otras personas que puedan arrojar luz sobre los hechos. La Corte ha señalado que entre las garantías reconocidas a quienes hayan sido acusados está la de examinar los testigos en su contra y a su favor, bajo las mismas condiciones, con el objeto de ejercer su defensa</w:t>
      </w:r>
      <w:r w:rsidRPr="00C876F7">
        <w:rPr>
          <w:rStyle w:val="FootnoteReference"/>
          <w:rFonts w:ascii="Cambria" w:hAnsi="Cambria" w:cs="TimesNewRoman"/>
          <w:sz w:val="20"/>
          <w:szCs w:val="20"/>
          <w:lang w:val="es-ES" w:eastAsia="es-ES_tradnl"/>
        </w:rPr>
        <w:footnoteReference w:id="47"/>
      </w:r>
      <w:r w:rsidRPr="00C876F7">
        <w:rPr>
          <w:rFonts w:ascii="Cambria" w:hAnsi="Cambria" w:cs="TimesNewRoman"/>
          <w:sz w:val="20"/>
          <w:szCs w:val="20"/>
          <w:lang w:val="es-ES" w:eastAsia="es-ES_tradnl"/>
        </w:rPr>
        <w:t>.</w:t>
      </w:r>
      <w:r w:rsidR="00B616E6" w:rsidRPr="00C876F7">
        <w:rPr>
          <w:rFonts w:ascii="Cambria" w:hAnsi="Cambria"/>
          <w:sz w:val="20"/>
          <w:szCs w:val="20"/>
          <w:lang w:val="es-ES"/>
        </w:rPr>
        <w:t xml:space="preserve"> </w:t>
      </w:r>
      <w:r w:rsidR="00B616E6" w:rsidRPr="00C876F7">
        <w:rPr>
          <w:rFonts w:ascii="Cambria" w:hAnsi="Cambria" w:cs="ACaslonPro-Regular"/>
          <w:sz w:val="20"/>
          <w:szCs w:val="20"/>
          <w:lang w:val="es-ES"/>
        </w:rPr>
        <w:t>La CIDH ha declarado la violación del derecho de defensa por la admisión de una declaración escrita considerada como una de las pruebas fundamentales para una sentencia condenatoria, y la imposibilidad de cuestionar dicha prueba durante todo el proceso</w:t>
      </w:r>
      <w:r w:rsidR="00B616E6" w:rsidRPr="00C876F7">
        <w:rPr>
          <w:rStyle w:val="FootnoteReference"/>
          <w:rFonts w:ascii="Cambria" w:hAnsi="Cambria" w:cs="ACaslonPro-Regular"/>
          <w:sz w:val="20"/>
          <w:szCs w:val="20"/>
          <w:lang w:val="es-ES"/>
        </w:rPr>
        <w:footnoteReference w:id="48"/>
      </w:r>
      <w:r w:rsidR="00B616E6" w:rsidRPr="00C876F7">
        <w:rPr>
          <w:rFonts w:ascii="Cambria" w:hAnsi="Cambria" w:cs="ACaslonPro-Regular"/>
          <w:sz w:val="20"/>
          <w:szCs w:val="20"/>
          <w:lang w:val="es-ES"/>
        </w:rPr>
        <w:t>.</w:t>
      </w:r>
    </w:p>
    <w:p w14:paraId="31936F14" w14:textId="77777777" w:rsidR="005442CD" w:rsidRPr="00C876F7" w:rsidRDefault="005442C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71A0426" w14:textId="39166F0C" w:rsidR="005442CD" w:rsidRPr="00C876F7" w:rsidRDefault="002F3722"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C876F7">
        <w:rPr>
          <w:rFonts w:ascii="Cambria" w:hAnsi="Cambria" w:cs="TimesNewRoman"/>
          <w:sz w:val="20"/>
          <w:szCs w:val="20"/>
          <w:lang w:val="es-ES" w:eastAsia="es-ES_tradnl"/>
        </w:rPr>
        <w:t>L</w:t>
      </w:r>
      <w:r w:rsidR="005442CD" w:rsidRPr="00C876F7">
        <w:rPr>
          <w:rFonts w:ascii="Cambria" w:hAnsi="Cambria" w:cs="TimesNewRoman"/>
          <w:sz w:val="20"/>
          <w:szCs w:val="20"/>
          <w:lang w:val="es-ES" w:eastAsia="es-ES_tradnl"/>
        </w:rPr>
        <w:t xml:space="preserve">a Corte Europea de Derechos Humanos ha sostenido </w:t>
      </w:r>
      <w:r w:rsidRPr="00C876F7">
        <w:rPr>
          <w:rFonts w:ascii="Cambria" w:hAnsi="Cambria" w:cs="TimesNewRoman"/>
          <w:sz w:val="20"/>
          <w:szCs w:val="20"/>
          <w:lang w:val="es-ES" w:eastAsia="es-ES_tradnl"/>
        </w:rPr>
        <w:t xml:space="preserve">la importancia de </w:t>
      </w:r>
      <w:r w:rsidR="005442CD" w:rsidRPr="00C876F7">
        <w:rPr>
          <w:rFonts w:ascii="Cambria" w:hAnsi="Cambria" w:cs="TimesNewRoman"/>
          <w:sz w:val="20"/>
          <w:szCs w:val="20"/>
          <w:lang w:val="es-ES" w:eastAsia="es-ES_tradnl"/>
        </w:rPr>
        <w:t xml:space="preserve">que a efectos de garantizar este derecho, el Estado </w:t>
      </w:r>
      <w:r w:rsidRPr="00C876F7">
        <w:rPr>
          <w:rFonts w:ascii="Cambria" w:hAnsi="Cambria" w:cs="TimesNewRoman"/>
          <w:sz w:val="20"/>
          <w:szCs w:val="20"/>
          <w:lang w:val="es-ES" w:eastAsia="es-ES_tradnl"/>
        </w:rPr>
        <w:t xml:space="preserve">se asegure de que </w:t>
      </w:r>
      <w:r w:rsidR="005442CD" w:rsidRPr="00C876F7">
        <w:rPr>
          <w:rFonts w:ascii="Cambria" w:hAnsi="Cambria" w:cs="TimesNewRoman"/>
          <w:sz w:val="20"/>
          <w:szCs w:val="20"/>
          <w:lang w:val="es-ES" w:eastAsia="es-ES_tradnl"/>
        </w:rPr>
        <w:t xml:space="preserve">la autoridad judicial tenga la posibilidad de observar el comportamiento del testigo durante el interrogatorio </w:t>
      </w:r>
      <w:r w:rsidR="005442CD" w:rsidRPr="00C876F7">
        <w:rPr>
          <w:rFonts w:ascii="Cambria" w:hAnsi="Cambria"/>
          <w:sz w:val="20"/>
          <w:szCs w:val="20"/>
        </w:rPr>
        <w:t xml:space="preserve">con el objeto de que pueda formar su propia impresión sobre su confiabilidad </w:t>
      </w:r>
      <w:r w:rsidR="009615C1" w:rsidRPr="00C876F7">
        <w:rPr>
          <w:rFonts w:ascii="Cambria" w:hAnsi="Cambria"/>
          <w:sz w:val="20"/>
          <w:szCs w:val="20"/>
        </w:rPr>
        <w:t xml:space="preserve">y su declaración. Asimismo, ha indicado que la defensa debe tener </w:t>
      </w:r>
      <w:r w:rsidR="005442CD" w:rsidRPr="00C876F7">
        <w:rPr>
          <w:rFonts w:ascii="Cambria" w:hAnsi="Cambria"/>
          <w:sz w:val="20"/>
          <w:szCs w:val="20"/>
        </w:rPr>
        <w:t>amplia oportunidad de interrogar directamente al testigo</w:t>
      </w:r>
      <w:r w:rsidR="005442CD" w:rsidRPr="00C876F7">
        <w:rPr>
          <w:rStyle w:val="FootnoteReference"/>
          <w:rFonts w:ascii="Cambria" w:hAnsi="Cambria"/>
          <w:sz w:val="20"/>
          <w:szCs w:val="20"/>
        </w:rPr>
        <w:footnoteReference w:id="49"/>
      </w:r>
      <w:r w:rsidR="005442CD" w:rsidRPr="00C876F7">
        <w:rPr>
          <w:rFonts w:ascii="Cambria" w:hAnsi="Cambria"/>
          <w:sz w:val="20"/>
          <w:szCs w:val="20"/>
        </w:rPr>
        <w:t xml:space="preserve">. </w:t>
      </w:r>
      <w:r w:rsidR="009615C1" w:rsidRPr="00C876F7">
        <w:rPr>
          <w:rFonts w:ascii="Cambria" w:hAnsi="Cambria"/>
          <w:sz w:val="20"/>
          <w:szCs w:val="20"/>
        </w:rPr>
        <w:t>En similar sentido, el mismo Tribunal indicó que la oralidad y la inmediación al momento de interrogar testigos resulta fundamental a efectos de que la defensa pueda apreciar el comportamiento del testigo bajo interrogatorio, de modo que pueda desacreditarlo o, por lo menos, plantear dudas sobre la confiabilidad de su declaración</w:t>
      </w:r>
      <w:r w:rsidR="009615C1" w:rsidRPr="00C876F7">
        <w:rPr>
          <w:rStyle w:val="FootnoteReference"/>
          <w:rFonts w:ascii="Cambria" w:hAnsi="Cambria"/>
          <w:sz w:val="20"/>
          <w:szCs w:val="20"/>
        </w:rPr>
        <w:footnoteReference w:id="50"/>
      </w:r>
      <w:r w:rsidR="009615C1" w:rsidRPr="00C876F7">
        <w:rPr>
          <w:rFonts w:ascii="Cambria" w:hAnsi="Cambria"/>
          <w:sz w:val="20"/>
          <w:szCs w:val="20"/>
        </w:rPr>
        <w:t>.</w:t>
      </w:r>
    </w:p>
    <w:p w14:paraId="5C1DEE42" w14:textId="77777777" w:rsidR="005442CD" w:rsidRPr="00C876F7" w:rsidRDefault="005442C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CDAC763" w14:textId="22C897B3" w:rsidR="00812826" w:rsidRPr="00C876F7" w:rsidRDefault="007D399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ACaslonPro-Regular"/>
          <w:sz w:val="20"/>
          <w:szCs w:val="20"/>
          <w:lang w:val="es-ES"/>
        </w:rPr>
        <w:t>E</w:t>
      </w:r>
      <w:r w:rsidR="00812826" w:rsidRPr="00C876F7">
        <w:rPr>
          <w:rFonts w:ascii="Cambria" w:hAnsi="Cambria" w:cs="ACaslonPro-Regular"/>
          <w:sz w:val="20"/>
          <w:szCs w:val="20"/>
          <w:lang w:val="es-ES"/>
        </w:rPr>
        <w:t xml:space="preserve">n el caso </w:t>
      </w:r>
      <w:r w:rsidR="00812826" w:rsidRPr="00C876F7">
        <w:rPr>
          <w:rFonts w:ascii="Cambria" w:hAnsi="Cambria" w:cs="ACaslonPro-Regular"/>
          <w:i/>
          <w:sz w:val="20"/>
          <w:szCs w:val="20"/>
          <w:lang w:val="es-ES"/>
        </w:rPr>
        <w:t>Luca v. Ital</w:t>
      </w:r>
      <w:r w:rsidR="00FF47AE">
        <w:rPr>
          <w:rFonts w:ascii="Cambria" w:hAnsi="Cambria" w:cs="ACaslonPro-Regular"/>
          <w:i/>
          <w:sz w:val="20"/>
          <w:szCs w:val="20"/>
          <w:lang w:val="es-ES"/>
        </w:rPr>
        <w:t>ia</w:t>
      </w:r>
      <w:r w:rsidRPr="00C876F7">
        <w:rPr>
          <w:rFonts w:ascii="Cambria" w:hAnsi="Cambria" w:cs="ACaslonPro-Regular"/>
          <w:i/>
          <w:sz w:val="20"/>
          <w:szCs w:val="20"/>
          <w:lang w:val="es-ES"/>
        </w:rPr>
        <w:t xml:space="preserve">, </w:t>
      </w:r>
      <w:r w:rsidRPr="00C876F7">
        <w:rPr>
          <w:rFonts w:ascii="Cambria" w:hAnsi="Cambria" w:cs="ACaslonPro-Regular"/>
          <w:sz w:val="20"/>
          <w:szCs w:val="20"/>
          <w:lang w:val="es-ES"/>
        </w:rPr>
        <w:t xml:space="preserve">la </w:t>
      </w:r>
      <w:r w:rsidR="00812826" w:rsidRPr="00C876F7">
        <w:rPr>
          <w:rFonts w:ascii="Cambria" w:hAnsi="Cambria" w:cs="ACaslonPro-Regular"/>
          <w:sz w:val="20"/>
          <w:szCs w:val="20"/>
          <w:lang w:val="es-ES"/>
        </w:rPr>
        <w:t>Corte Europea</w:t>
      </w:r>
      <w:r w:rsidRPr="00C876F7">
        <w:rPr>
          <w:rFonts w:ascii="Cambria" w:hAnsi="Cambria" w:cs="ACaslonPro-Regular"/>
          <w:sz w:val="20"/>
          <w:szCs w:val="20"/>
          <w:lang w:val="es-ES"/>
        </w:rPr>
        <w:t xml:space="preserve"> se pronunció sobre la condena de </w:t>
      </w:r>
      <w:r w:rsidR="00812826" w:rsidRPr="00C876F7">
        <w:rPr>
          <w:rFonts w:ascii="Cambria" w:hAnsi="Cambria" w:cs="ACaslonPro-Regular"/>
          <w:sz w:val="20"/>
          <w:szCs w:val="20"/>
          <w:lang w:val="es-ES"/>
        </w:rPr>
        <w:t xml:space="preserve">una persona en base a la declaración de un testigo, </w:t>
      </w:r>
      <w:r w:rsidRPr="00C876F7">
        <w:rPr>
          <w:rFonts w:ascii="Cambria" w:hAnsi="Cambria" w:cs="ACaslonPro-Regular"/>
          <w:sz w:val="20"/>
          <w:szCs w:val="20"/>
          <w:lang w:val="es-ES"/>
        </w:rPr>
        <w:t>la</w:t>
      </w:r>
      <w:r w:rsidR="00812826" w:rsidRPr="00C876F7">
        <w:rPr>
          <w:rFonts w:ascii="Cambria" w:hAnsi="Cambria" w:cs="ACaslonPro-Regular"/>
          <w:sz w:val="20"/>
          <w:szCs w:val="20"/>
          <w:lang w:val="es-ES"/>
        </w:rPr>
        <w:t xml:space="preserve"> cual se dio durante la investigación, sin la presencia de la defensa del imputado. En dicho supuesto, </w:t>
      </w:r>
      <w:r w:rsidRPr="00C876F7">
        <w:rPr>
          <w:rFonts w:ascii="Cambria" w:hAnsi="Cambria" w:cs="ACaslonPro-Regular"/>
          <w:sz w:val="20"/>
          <w:szCs w:val="20"/>
          <w:lang w:val="es-ES"/>
        </w:rPr>
        <w:t xml:space="preserve">el referido Tribunal </w:t>
      </w:r>
      <w:r w:rsidR="00812826" w:rsidRPr="00C876F7">
        <w:rPr>
          <w:rFonts w:ascii="Cambria" w:hAnsi="Cambria" w:cs="ACaslonPro-Regular"/>
          <w:sz w:val="20"/>
          <w:szCs w:val="20"/>
          <w:lang w:val="es-ES"/>
        </w:rPr>
        <w:t xml:space="preserve">consideró que el Estado vulneró el derecho </w:t>
      </w:r>
      <w:r w:rsidRPr="00C876F7">
        <w:rPr>
          <w:rFonts w:ascii="Cambria" w:hAnsi="Cambria" w:cs="ACaslonPro-Regular"/>
          <w:sz w:val="20"/>
          <w:szCs w:val="20"/>
          <w:lang w:val="es-ES"/>
        </w:rPr>
        <w:t>de</w:t>
      </w:r>
      <w:r w:rsidR="00812826" w:rsidRPr="00C876F7">
        <w:rPr>
          <w:rFonts w:ascii="Cambria" w:hAnsi="Cambria" w:cs="ACaslonPro-Regular"/>
          <w:sz w:val="20"/>
          <w:szCs w:val="20"/>
          <w:lang w:val="es-ES"/>
        </w:rPr>
        <w:t xml:space="preserve"> defensa y el derecho a la presunción de inocencia en tanto dicha prueba no pudo ser refutada por la defensa y fue un elemento probatorio sustancial para la condena de la víctima</w:t>
      </w:r>
      <w:r w:rsidR="00812826" w:rsidRPr="00C876F7">
        <w:rPr>
          <w:rStyle w:val="FootnoteReference"/>
          <w:rFonts w:ascii="Cambria" w:hAnsi="Cambria" w:cs="ACaslonPro-Regular"/>
          <w:sz w:val="20"/>
          <w:szCs w:val="20"/>
          <w:lang w:val="es-ES"/>
        </w:rPr>
        <w:footnoteReference w:id="51"/>
      </w:r>
      <w:r w:rsidR="00812826" w:rsidRPr="00C876F7">
        <w:rPr>
          <w:rFonts w:ascii="Cambria" w:hAnsi="Cambria" w:cs="ACaslonPro-Regular"/>
          <w:sz w:val="20"/>
          <w:szCs w:val="20"/>
          <w:lang w:val="es-ES"/>
        </w:rPr>
        <w:t xml:space="preserve">. </w:t>
      </w:r>
    </w:p>
    <w:p w14:paraId="4C93744F" w14:textId="77777777" w:rsidR="005442CD" w:rsidRPr="00C876F7" w:rsidRDefault="005442C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s-ES"/>
        </w:rPr>
      </w:pPr>
    </w:p>
    <w:p w14:paraId="0CC75DA0" w14:textId="60BFE1C3" w:rsidR="00AD6C3E" w:rsidRPr="00C876F7" w:rsidRDefault="007D399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C876F7">
        <w:rPr>
          <w:rFonts w:ascii="Cambria" w:hAnsi="Cambria" w:cs="Arial"/>
          <w:sz w:val="20"/>
          <w:szCs w:val="20"/>
          <w:lang w:val="es-ES"/>
        </w:rPr>
        <w:t xml:space="preserve">Por otra parte, otro elemento fundamental del debido proceso lo constituye el principio de presunción de inocencia, el cual se encuentra íntimamente relacionado con el derecho a contar con decisiones debidamente motivadas. </w:t>
      </w:r>
    </w:p>
    <w:p w14:paraId="575F7686" w14:textId="77777777" w:rsidR="001D2873" w:rsidRPr="00C876F7" w:rsidRDefault="001D2873" w:rsidP="00C876F7">
      <w:pPr>
        <w:spacing w:after="0" w:line="240" w:lineRule="auto"/>
        <w:rPr>
          <w:rFonts w:ascii="Cambria" w:hAnsi="Cambria"/>
          <w:b/>
          <w:sz w:val="20"/>
          <w:szCs w:val="20"/>
          <w:lang w:val="es-ES"/>
        </w:rPr>
      </w:pPr>
    </w:p>
    <w:p w14:paraId="163C2320" w14:textId="77777777" w:rsidR="007D399C" w:rsidRPr="00C876F7" w:rsidRDefault="007D399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sz w:val="20"/>
          <w:szCs w:val="20"/>
          <w:lang w:val="es-ES"/>
        </w:rPr>
        <w:t xml:space="preserve">La </w:t>
      </w:r>
      <w:r w:rsidRPr="00C876F7">
        <w:rPr>
          <w:rFonts w:ascii="Cambria" w:hAnsi="Cambria"/>
          <w:sz w:val="20"/>
          <w:szCs w:val="20"/>
        </w:rPr>
        <w:t>presunción de inocencia implica que el imputado goza de un estado jurídico de inocencia o no culpabilidad mientras se resuelve acerca de su responsabilidad penal, de modo tal que debe recibir del Estado un trato acorde con su condición de persona no condenada</w:t>
      </w:r>
      <w:r w:rsidRPr="00C876F7">
        <w:rPr>
          <w:rStyle w:val="FootnoteReference"/>
          <w:rFonts w:ascii="Cambria" w:hAnsi="Cambria"/>
          <w:sz w:val="20"/>
          <w:szCs w:val="20"/>
        </w:rPr>
        <w:footnoteReference w:id="52"/>
      </w:r>
      <w:r w:rsidRPr="00C876F7">
        <w:rPr>
          <w:rFonts w:ascii="Cambria" w:hAnsi="Cambria"/>
          <w:sz w:val="20"/>
          <w:szCs w:val="20"/>
        </w:rPr>
        <w:t>. La Corte ha sostenido que ello implica que la persona acusada</w:t>
      </w:r>
      <w:r w:rsidRPr="00C876F7">
        <w:rPr>
          <w:rFonts w:ascii="Cambria" w:hAnsi="Cambria" w:cs="TimesNewRoman"/>
          <w:sz w:val="20"/>
          <w:szCs w:val="20"/>
          <w:lang w:val="es-ES" w:eastAsia="es-ES_tradnl"/>
        </w:rPr>
        <w:t xml:space="preserve"> no </w:t>
      </w:r>
      <w:r w:rsidRPr="00C876F7">
        <w:rPr>
          <w:rFonts w:ascii="Cambria" w:hAnsi="Cambria"/>
          <w:sz w:val="20"/>
          <w:szCs w:val="20"/>
          <w:lang w:val="es-ES"/>
        </w:rPr>
        <w:t xml:space="preserve">debe demostrar que no ha cometido el delito que se le atribuye, ya que el </w:t>
      </w:r>
      <w:r w:rsidRPr="00C876F7">
        <w:rPr>
          <w:rFonts w:ascii="Cambria" w:hAnsi="Cambria"/>
          <w:i/>
          <w:sz w:val="20"/>
          <w:szCs w:val="20"/>
          <w:lang w:val="es-ES"/>
        </w:rPr>
        <w:t>onus probandi</w:t>
      </w:r>
      <w:r w:rsidRPr="00C876F7">
        <w:rPr>
          <w:rFonts w:ascii="Cambria" w:hAnsi="Cambria"/>
          <w:sz w:val="20"/>
          <w:szCs w:val="20"/>
          <w:lang w:val="es-ES"/>
        </w:rPr>
        <w:t xml:space="preserve"> corresponde a quien acusa</w:t>
      </w:r>
      <w:r w:rsidRPr="00C876F7">
        <w:rPr>
          <w:rStyle w:val="FootnoteReference"/>
          <w:rFonts w:ascii="Cambria" w:hAnsi="Cambria"/>
          <w:sz w:val="20"/>
          <w:szCs w:val="20"/>
          <w:lang w:val="es-ES"/>
        </w:rPr>
        <w:footnoteReference w:id="53"/>
      </w:r>
      <w:r w:rsidRPr="00C876F7">
        <w:rPr>
          <w:rFonts w:ascii="Cambria" w:hAnsi="Cambria"/>
          <w:sz w:val="20"/>
          <w:szCs w:val="20"/>
          <w:lang w:val="es-ES"/>
        </w:rPr>
        <w:t>. De esta forma, la CIDH ha resaltado que la demostración fehaciente de la culpabilidad constituye un requisito indispensable para la sanción penal, de modo que la carga de la prueba recae en la parte acusadora y no en la persona acusada</w:t>
      </w:r>
      <w:r w:rsidRPr="00C876F7">
        <w:rPr>
          <w:rStyle w:val="FootnoteReference"/>
          <w:rFonts w:ascii="Cambria" w:hAnsi="Cambria"/>
          <w:sz w:val="20"/>
          <w:szCs w:val="20"/>
          <w:lang w:val="es-ES"/>
        </w:rPr>
        <w:footnoteReference w:id="54"/>
      </w:r>
      <w:r w:rsidRPr="00C876F7">
        <w:rPr>
          <w:rFonts w:ascii="Cambria" w:hAnsi="Cambria"/>
          <w:sz w:val="20"/>
          <w:szCs w:val="20"/>
          <w:lang w:val="es-ES"/>
        </w:rPr>
        <w:t xml:space="preserve">. </w:t>
      </w:r>
    </w:p>
    <w:p w14:paraId="1C1C514D" w14:textId="77777777" w:rsidR="007D399C" w:rsidRPr="00C876F7" w:rsidRDefault="007D399C" w:rsidP="00C876F7">
      <w:pPr>
        <w:suppressAutoHyphens/>
        <w:spacing w:after="0" w:line="240" w:lineRule="auto"/>
        <w:jc w:val="both"/>
        <w:rPr>
          <w:rFonts w:ascii="Cambria" w:hAnsi="Cambria" w:cs="TimesNewRoman"/>
          <w:sz w:val="20"/>
          <w:szCs w:val="20"/>
          <w:lang w:val="es-ES" w:eastAsia="es-ES_tradnl"/>
        </w:rPr>
      </w:pPr>
    </w:p>
    <w:p w14:paraId="0567C62D" w14:textId="7097156A" w:rsidR="007D399C" w:rsidRPr="00C876F7" w:rsidRDefault="007D399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sz w:val="20"/>
          <w:szCs w:val="20"/>
          <w:lang w:val="es-ES"/>
        </w:rPr>
        <w:t xml:space="preserve">Conforme a lo expuesto, el derecho internacional de los derechos humanos establece que ninguna persona puede ser condenada mientras no exista prueba plena de su responsabilidad penal. En palabras de la Corte, “si obra contra ella prueba incompleta o insuficiente, no es procedente condenarla, sino </w:t>
      </w:r>
      <w:r w:rsidRPr="00C876F7">
        <w:rPr>
          <w:rFonts w:ascii="Cambria" w:hAnsi="Cambria"/>
          <w:sz w:val="20"/>
          <w:szCs w:val="20"/>
          <w:lang w:val="es-ES"/>
        </w:rPr>
        <w:lastRenderedPageBreak/>
        <w:t>absolverla”</w:t>
      </w:r>
      <w:r w:rsidRPr="00C876F7">
        <w:rPr>
          <w:rStyle w:val="FootnoteReference"/>
          <w:rFonts w:ascii="Cambria" w:hAnsi="Cambria"/>
          <w:sz w:val="20"/>
          <w:szCs w:val="20"/>
          <w:lang w:val="es-ES"/>
        </w:rPr>
        <w:footnoteReference w:id="55"/>
      </w:r>
      <w:r w:rsidRPr="00C876F7">
        <w:rPr>
          <w:rFonts w:ascii="Cambria" w:hAnsi="Cambria"/>
          <w:sz w:val="20"/>
          <w:szCs w:val="20"/>
          <w:lang w:val="es-ES"/>
        </w:rPr>
        <w:t xml:space="preserve">. </w:t>
      </w:r>
      <w:r w:rsidR="00CA78C1" w:rsidRPr="00C876F7">
        <w:rPr>
          <w:rFonts w:ascii="Cambria" w:hAnsi="Cambria"/>
          <w:sz w:val="20"/>
          <w:szCs w:val="20"/>
          <w:lang w:val="es-ES"/>
        </w:rPr>
        <w:t>En el mismo sentido, l</w:t>
      </w:r>
      <w:r w:rsidRPr="00C876F7">
        <w:rPr>
          <w:rFonts w:ascii="Cambria" w:hAnsi="Cambria"/>
          <w:sz w:val="20"/>
          <w:szCs w:val="20"/>
          <w:lang w:val="es-ES"/>
        </w:rPr>
        <w:t>a Comisión ha considerado que la falta de prueba plena de la responsabilidad penal en una sentencia condenatoria constituye una violación al principio de presunción de inocencia</w:t>
      </w:r>
      <w:r w:rsidRPr="00C876F7">
        <w:rPr>
          <w:rStyle w:val="FootnoteReference"/>
          <w:rFonts w:ascii="Cambria" w:hAnsi="Cambria"/>
          <w:sz w:val="20"/>
          <w:szCs w:val="20"/>
          <w:lang w:val="es-ES"/>
        </w:rPr>
        <w:footnoteReference w:id="56"/>
      </w:r>
      <w:r w:rsidRPr="00C876F7">
        <w:rPr>
          <w:rFonts w:ascii="Cambria" w:hAnsi="Cambria"/>
          <w:sz w:val="20"/>
          <w:szCs w:val="20"/>
          <w:lang w:val="es-ES"/>
        </w:rPr>
        <w:t xml:space="preserve">. </w:t>
      </w:r>
    </w:p>
    <w:p w14:paraId="4C208286" w14:textId="77777777" w:rsidR="007D399C" w:rsidRPr="00C876F7" w:rsidRDefault="007D399C" w:rsidP="00C876F7">
      <w:pPr>
        <w:spacing w:after="0" w:line="240" w:lineRule="auto"/>
        <w:rPr>
          <w:rFonts w:ascii="Cambria" w:hAnsi="Cambria"/>
          <w:b/>
          <w:sz w:val="20"/>
          <w:szCs w:val="20"/>
          <w:lang w:val="es-ES"/>
        </w:rPr>
      </w:pPr>
    </w:p>
    <w:p w14:paraId="2B29A1D5" w14:textId="77777777" w:rsidR="009F3E66" w:rsidRPr="00C876F7" w:rsidRDefault="009F3E66"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MSTT3132dbeaafO05102100"/>
          <w:sz w:val="20"/>
          <w:szCs w:val="20"/>
          <w:lang w:val="es-CR"/>
        </w:rPr>
      </w:pPr>
      <w:r w:rsidRPr="00C876F7">
        <w:rPr>
          <w:rFonts w:ascii="Cambria" w:hAnsi="Cambria"/>
          <w:sz w:val="20"/>
          <w:szCs w:val="20"/>
          <w:lang w:val="es-CR"/>
        </w:rPr>
        <w:t xml:space="preserve">En su sentencia reciente en el casi </w:t>
      </w:r>
      <w:r w:rsidRPr="00C876F7">
        <w:rPr>
          <w:rFonts w:ascii="Cambria" w:hAnsi="Cambria"/>
          <w:i/>
          <w:sz w:val="20"/>
          <w:szCs w:val="20"/>
          <w:lang w:val="es-CR"/>
        </w:rPr>
        <w:t xml:space="preserve">Zegarra Marín vs. Perú, </w:t>
      </w:r>
      <w:r w:rsidRPr="00C876F7">
        <w:rPr>
          <w:rFonts w:ascii="Cambria" w:hAnsi="Cambria"/>
          <w:sz w:val="20"/>
          <w:szCs w:val="20"/>
          <w:lang w:val="es-CR"/>
        </w:rPr>
        <w:t>la</w:t>
      </w:r>
      <w:r w:rsidRPr="00C876F7">
        <w:rPr>
          <w:rFonts w:ascii="Cambria" w:hAnsi="Cambria" w:cs="MSTT3132dbeaafO05102100"/>
          <w:sz w:val="20"/>
          <w:szCs w:val="20"/>
          <w:lang w:val="es-CR"/>
        </w:rPr>
        <w:t xml:space="preserve"> Corte se refirió a la garantía de motivación en relación </w:t>
      </w:r>
      <w:r w:rsidRPr="00C876F7">
        <w:rPr>
          <w:rFonts w:ascii="Cambria" w:hAnsi="Cambria"/>
          <w:sz w:val="20"/>
          <w:szCs w:val="20"/>
          <w:lang w:val="es-VE"/>
        </w:rPr>
        <w:t>con</w:t>
      </w:r>
      <w:r w:rsidRPr="00C876F7">
        <w:rPr>
          <w:rFonts w:ascii="Cambria" w:hAnsi="Cambria" w:cs="MSTT3132dbeaafO05102100"/>
          <w:sz w:val="20"/>
          <w:szCs w:val="20"/>
          <w:lang w:val="es-CR"/>
        </w:rPr>
        <w:t xml:space="preserve"> el principio de presunción de inocencia, en los siguientes términos: </w:t>
      </w:r>
    </w:p>
    <w:p w14:paraId="598E64C8" w14:textId="77777777" w:rsidR="009F3E66" w:rsidRPr="00C876F7" w:rsidRDefault="009F3E66" w:rsidP="00C876F7">
      <w:pPr>
        <w:shd w:val="clear" w:color="auto" w:fill="FFFFFF"/>
        <w:tabs>
          <w:tab w:val="num" w:pos="720"/>
          <w:tab w:val="left" w:pos="1440"/>
          <w:tab w:val="num" w:pos="2040"/>
        </w:tabs>
        <w:spacing w:after="0" w:line="240" w:lineRule="auto"/>
        <w:jc w:val="both"/>
        <w:rPr>
          <w:rFonts w:ascii="Cambria" w:hAnsi="Cambria" w:cs="MSTT3132dbeaafO05102100"/>
          <w:sz w:val="20"/>
          <w:szCs w:val="20"/>
          <w:lang w:val="es-CR"/>
        </w:rPr>
      </w:pPr>
    </w:p>
    <w:p w14:paraId="74519EE3" w14:textId="2D4A3B6F" w:rsidR="009F3E66" w:rsidRPr="00C876F7" w:rsidRDefault="00FF47AE" w:rsidP="00C876F7">
      <w:pPr>
        <w:shd w:val="clear" w:color="auto" w:fill="FFFFFF"/>
        <w:tabs>
          <w:tab w:val="num" w:pos="720"/>
          <w:tab w:val="left" w:pos="1440"/>
          <w:tab w:val="num" w:pos="2040"/>
        </w:tabs>
        <w:spacing w:after="0" w:line="240" w:lineRule="auto"/>
        <w:ind w:left="720" w:right="720"/>
        <w:jc w:val="both"/>
        <w:rPr>
          <w:rFonts w:ascii="Cambria" w:hAnsi="Cambria" w:cs="MSTT3132dbeaafO05102100"/>
          <w:sz w:val="20"/>
          <w:szCs w:val="20"/>
          <w:lang w:val="es-CR"/>
        </w:rPr>
      </w:pPr>
      <w:r>
        <w:rPr>
          <w:rFonts w:ascii="Cambria" w:hAnsi="Cambria" w:cs="MSTT3132dbeaafO05102100"/>
          <w:sz w:val="20"/>
          <w:szCs w:val="20"/>
          <w:lang w:val="es-CR"/>
        </w:rPr>
        <w:t xml:space="preserve">(…) </w:t>
      </w:r>
      <w:r w:rsidR="009F3E66" w:rsidRPr="00C876F7">
        <w:rPr>
          <w:rFonts w:ascii="Cambria" w:hAnsi="Cambria" w:cs="MSTT3132dbeaafO05102100"/>
          <w:sz w:val="20"/>
          <w:szCs w:val="20"/>
          <w:lang w:val="es-CR"/>
        </w:rPr>
        <w:t xml:space="preserve">la relevancia de la motivación, a fin de garantizar el principio de presunción de inocencia, principalmente en una sentencia condenatoria, la cual </w:t>
      </w:r>
      <w:r w:rsidR="009F3E66" w:rsidRPr="00C876F7">
        <w:rPr>
          <w:rFonts w:ascii="Cambria" w:hAnsi="Cambria"/>
          <w:sz w:val="20"/>
          <w:szCs w:val="20"/>
          <w:lang w:val="es-CR"/>
        </w:rPr>
        <w:t xml:space="preserve">debe expresar la suficiencia de prueba de cargo para confirmar la hipótesis acusatoria; </w:t>
      </w:r>
      <w:r w:rsidR="009F3E66" w:rsidRPr="00C876F7">
        <w:rPr>
          <w:rFonts w:ascii="Cambria" w:hAnsi="Cambria" w:cs="MSTT3132dbeaafO05102100"/>
          <w:sz w:val="20"/>
          <w:szCs w:val="20"/>
          <w:lang w:val="es-CR"/>
        </w:rPr>
        <w:t>la observancia de las reglas de la sana crítica en la apreciación de la prueba</w:t>
      </w:r>
      <w:r w:rsidR="009F3E66" w:rsidRPr="00C876F7">
        <w:rPr>
          <w:rFonts w:ascii="Cambria" w:hAnsi="Cambria"/>
          <w:sz w:val="20"/>
          <w:szCs w:val="20"/>
          <w:lang w:val="es-CR"/>
        </w:rPr>
        <w:t xml:space="preserve">, incluidas aquellas que pudieran generar duda de la responsabilidad penal; y el juicio final que deriva de esta valoración. En su caso, debe reflejar las razones por las que fue posible obtener convicción sobre la imputación y la responsabilidad penal, así como la apreciación de las pruebas para desvirtuar cualquier hipótesis de inocencia, y solo así poder confirmar o refutar la hipótesis acusatoria. Lo anterior, permitiría desvirtuar la presunción de inocencia y determinar la responsabilidad penal más allá de toda duda razonable. Ante la duda, la presunción de inocencia y el principio </w:t>
      </w:r>
      <w:r w:rsidR="009F3E66" w:rsidRPr="00C876F7">
        <w:rPr>
          <w:rFonts w:ascii="Cambria" w:hAnsi="Cambria"/>
          <w:i/>
          <w:sz w:val="20"/>
          <w:szCs w:val="20"/>
          <w:lang w:val="es-CR"/>
        </w:rPr>
        <w:t>in dubio pro reo</w:t>
      </w:r>
      <w:r w:rsidR="009F3E66" w:rsidRPr="00C876F7">
        <w:rPr>
          <w:rFonts w:ascii="Cambria" w:hAnsi="Cambria"/>
          <w:sz w:val="20"/>
          <w:szCs w:val="20"/>
          <w:lang w:val="es-CR"/>
        </w:rPr>
        <w:t>,</w:t>
      </w:r>
      <w:r w:rsidR="009F3E66" w:rsidRPr="00C876F7">
        <w:rPr>
          <w:rFonts w:ascii="Cambria" w:hAnsi="Cambria"/>
          <w:i/>
          <w:sz w:val="20"/>
          <w:szCs w:val="20"/>
          <w:lang w:val="es-CR"/>
        </w:rPr>
        <w:t xml:space="preserve"> </w:t>
      </w:r>
      <w:r w:rsidR="009F3E66" w:rsidRPr="00C876F7">
        <w:rPr>
          <w:rFonts w:ascii="Cambria" w:hAnsi="Cambria"/>
          <w:sz w:val="20"/>
          <w:szCs w:val="20"/>
          <w:lang w:val="es-CR"/>
        </w:rPr>
        <w:t>operan como criterio decisorio al momento de emitir el fallo</w:t>
      </w:r>
      <w:r w:rsidR="009F3E66" w:rsidRPr="00C876F7">
        <w:rPr>
          <w:rStyle w:val="FootnoteReference"/>
          <w:rFonts w:ascii="Cambria" w:hAnsi="Cambria"/>
          <w:sz w:val="20"/>
          <w:szCs w:val="20"/>
          <w:lang w:val="es-CR"/>
        </w:rPr>
        <w:footnoteReference w:id="57"/>
      </w:r>
      <w:r w:rsidR="009F3E66" w:rsidRPr="00C876F7">
        <w:rPr>
          <w:rFonts w:ascii="Cambria" w:hAnsi="Cambria"/>
          <w:sz w:val="20"/>
          <w:szCs w:val="20"/>
          <w:lang w:val="es-CR"/>
        </w:rPr>
        <w:t>.</w:t>
      </w:r>
    </w:p>
    <w:p w14:paraId="7A496F4F" w14:textId="77777777" w:rsidR="009F3E66" w:rsidRPr="00C876F7" w:rsidRDefault="009F3E66" w:rsidP="00C876F7">
      <w:pPr>
        <w:spacing w:after="0" w:line="240" w:lineRule="auto"/>
        <w:rPr>
          <w:rFonts w:ascii="Cambria" w:hAnsi="Cambria"/>
          <w:b/>
          <w:sz w:val="20"/>
          <w:szCs w:val="20"/>
          <w:lang w:val="es-ES"/>
        </w:rPr>
      </w:pPr>
    </w:p>
    <w:p w14:paraId="4A3F1A49" w14:textId="60130C7C" w:rsidR="00E24B59" w:rsidRPr="00C876F7" w:rsidRDefault="00E24B59"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C876F7">
        <w:rPr>
          <w:rFonts w:ascii="Cambria" w:hAnsi="Cambria" w:cs="TimesNewRoman"/>
          <w:sz w:val="20"/>
          <w:szCs w:val="20"/>
          <w:lang w:val="es-ES" w:eastAsia="es-ES_tradnl"/>
        </w:rPr>
        <w:t xml:space="preserve">Sobre el derecho a recurrir el fallo, la </w:t>
      </w:r>
      <w:r w:rsidRPr="00C876F7">
        <w:rPr>
          <w:rFonts w:ascii="Cambria" w:hAnsi="Cambria"/>
          <w:sz w:val="20"/>
          <w:szCs w:val="20"/>
          <w:lang w:val="es-ES"/>
        </w:rPr>
        <w:t>CIDH ha sostenido que dicho derecho es una garantía primordial en el marco del debido proceso legal, cuya finalidad es evitar que se consolide una situación de injusticia</w:t>
      </w:r>
      <w:r w:rsidRPr="00C876F7">
        <w:rPr>
          <w:rStyle w:val="FootnoteReference"/>
          <w:rFonts w:ascii="Cambria" w:hAnsi="Cambria"/>
          <w:sz w:val="20"/>
          <w:szCs w:val="20"/>
        </w:rPr>
        <w:footnoteReference w:id="58"/>
      </w:r>
      <w:r w:rsidRPr="00C876F7">
        <w:rPr>
          <w:rFonts w:ascii="Cambria" w:hAnsi="Cambria"/>
          <w:sz w:val="20"/>
          <w:szCs w:val="20"/>
          <w:lang w:val="es-ES"/>
        </w:rPr>
        <w:t>. El objetivo de este derecho es permitir que una sentencia adversa pueda ser revisada por un juez o tribunal distinto y de superior jerarquía orgánica</w:t>
      </w:r>
      <w:r w:rsidRPr="00C876F7">
        <w:rPr>
          <w:rStyle w:val="FootnoteReference"/>
          <w:rFonts w:ascii="Cambria" w:hAnsi="Cambria"/>
          <w:sz w:val="20"/>
          <w:szCs w:val="20"/>
        </w:rPr>
        <w:footnoteReference w:id="59"/>
      </w:r>
      <w:r w:rsidRPr="00C876F7">
        <w:rPr>
          <w:rFonts w:ascii="Cambria" w:hAnsi="Cambria"/>
          <w:sz w:val="20"/>
          <w:szCs w:val="20"/>
          <w:lang w:val="es-ES"/>
        </w:rPr>
        <w:t xml:space="preserve"> y evitar que quede firme una decisión que fue adoptada con vicios y que contiene errores que ocasionarán un perjuicio indebido a los intereses de una persona</w:t>
      </w:r>
      <w:r w:rsidRPr="00C876F7">
        <w:rPr>
          <w:rStyle w:val="FootnoteReference"/>
          <w:rFonts w:ascii="Cambria" w:hAnsi="Cambria"/>
          <w:sz w:val="20"/>
          <w:szCs w:val="20"/>
        </w:rPr>
        <w:footnoteReference w:id="60"/>
      </w:r>
      <w:r w:rsidRPr="00C876F7">
        <w:rPr>
          <w:rFonts w:ascii="Cambria" w:hAnsi="Cambria"/>
          <w:sz w:val="20"/>
          <w:szCs w:val="20"/>
          <w:lang w:val="es-ES"/>
        </w:rPr>
        <w:t xml:space="preserve">. </w:t>
      </w:r>
      <w:r w:rsidR="00651916" w:rsidRPr="00C876F7">
        <w:rPr>
          <w:rFonts w:ascii="Cambria" w:hAnsi="Cambria"/>
          <w:sz w:val="20"/>
          <w:szCs w:val="20"/>
        </w:rPr>
        <w:t xml:space="preserve">La Corte ha sostenido que “la doble conformidad judicial, expresada mediante el acceso a un recurso que </w:t>
      </w:r>
      <w:r w:rsidR="00651916" w:rsidRPr="00C876F7">
        <w:rPr>
          <w:rFonts w:ascii="Cambria" w:hAnsi="Cambria"/>
          <w:spacing w:val="-2"/>
          <w:sz w:val="20"/>
          <w:szCs w:val="20"/>
        </w:rPr>
        <w:t>otorgue</w:t>
      </w:r>
      <w:r w:rsidR="00651916" w:rsidRPr="00C876F7">
        <w:rPr>
          <w:rFonts w:ascii="Cambria" w:hAnsi="Cambria"/>
          <w:sz w:val="20"/>
          <w:szCs w:val="20"/>
        </w:rPr>
        <w:t xml:space="preserve"> la posibilidad de una revisión íntegra del fallo condenatorio, confirma el fundamento y otorga mayor credibilidad al acto jurisdiccional del Estado, y al mismo tiempo brinda mayor seguridad y tutela a los derechos del condenado”</w:t>
      </w:r>
      <w:r w:rsidR="00651916" w:rsidRPr="00C876F7">
        <w:rPr>
          <w:rStyle w:val="FootnoteReference"/>
          <w:rFonts w:ascii="Cambria" w:hAnsi="Cambria"/>
          <w:sz w:val="20"/>
          <w:szCs w:val="20"/>
        </w:rPr>
        <w:footnoteReference w:id="61"/>
      </w:r>
      <w:r w:rsidR="00651916" w:rsidRPr="00C876F7">
        <w:rPr>
          <w:rFonts w:ascii="Cambria" w:hAnsi="Cambria"/>
          <w:sz w:val="20"/>
          <w:szCs w:val="20"/>
        </w:rPr>
        <w:t xml:space="preserve">. </w:t>
      </w:r>
    </w:p>
    <w:p w14:paraId="71E03EE7" w14:textId="77777777" w:rsidR="00E24B59" w:rsidRPr="00C876F7" w:rsidRDefault="00E24B59" w:rsidP="00C876F7">
      <w:pPr>
        <w:spacing w:after="0" w:line="240" w:lineRule="auto"/>
        <w:rPr>
          <w:rFonts w:ascii="Cambria" w:hAnsi="Cambria"/>
          <w:b/>
          <w:sz w:val="20"/>
          <w:szCs w:val="20"/>
          <w:lang w:val="es-ES"/>
        </w:rPr>
      </w:pPr>
    </w:p>
    <w:p w14:paraId="79B362D9" w14:textId="5C2B4138" w:rsidR="007D399C" w:rsidRPr="00C876F7" w:rsidRDefault="002C526B"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C876F7">
        <w:rPr>
          <w:rFonts w:ascii="Cambria" w:hAnsi="Cambria"/>
          <w:bCs/>
          <w:sz w:val="20"/>
          <w:szCs w:val="20"/>
          <w:lang w:val="es-CO"/>
        </w:rPr>
        <w:t xml:space="preserve">Por otra parte, </w:t>
      </w:r>
      <w:r w:rsidRPr="00C876F7">
        <w:rPr>
          <w:rFonts w:ascii="Cambria" w:hAnsi="Cambria" w:cs="TimesNewRoman"/>
          <w:sz w:val="20"/>
          <w:szCs w:val="20"/>
          <w:lang w:val="es-ES" w:eastAsia="es-ES_tradnl"/>
        </w:rPr>
        <w:t>en</w:t>
      </w:r>
      <w:r w:rsidRPr="00C876F7">
        <w:rPr>
          <w:rFonts w:ascii="Cambria" w:hAnsi="Cambria"/>
          <w:sz w:val="20"/>
          <w:szCs w:val="20"/>
          <w:lang w:val="es-CO"/>
        </w:rPr>
        <w:t xml:space="preserve"> virtud del artículo 25 de la Convención, los Estados deben de ofrecer un recurso adecuado y efectivo contra actos violatorios de sus derechos, tanto los establecidos en la Convención como en la Constitución y la ley</w:t>
      </w:r>
      <w:r w:rsidRPr="00C876F7">
        <w:rPr>
          <w:rStyle w:val="FootnoteReference"/>
          <w:rFonts w:ascii="Cambria" w:eastAsia="MS Gothic" w:hAnsi="Cambria"/>
          <w:sz w:val="20"/>
          <w:szCs w:val="20"/>
        </w:rPr>
        <w:footnoteReference w:id="62"/>
      </w:r>
      <w:r w:rsidRPr="00C876F7">
        <w:rPr>
          <w:rFonts w:ascii="Cambria" w:hAnsi="Cambria"/>
          <w:sz w:val="20"/>
          <w:szCs w:val="20"/>
          <w:lang w:val="es-CO"/>
        </w:rPr>
        <w:t>.</w:t>
      </w:r>
    </w:p>
    <w:p w14:paraId="22CB0543" w14:textId="77777777" w:rsidR="00245BCD" w:rsidRPr="00C876F7" w:rsidRDefault="00245BCD" w:rsidP="00C876F7">
      <w:pPr>
        <w:pStyle w:val="ListParagraph"/>
        <w:spacing w:after="0" w:line="240" w:lineRule="auto"/>
        <w:ind w:left="2880"/>
        <w:jc w:val="both"/>
        <w:rPr>
          <w:rFonts w:ascii="Cambria" w:hAnsi="Cambria"/>
          <w:b/>
          <w:sz w:val="20"/>
          <w:szCs w:val="20"/>
          <w:lang w:val="es-ES"/>
        </w:rPr>
      </w:pPr>
    </w:p>
    <w:p w14:paraId="6195A6CA" w14:textId="2DB71074" w:rsidR="00245BCD" w:rsidRPr="00C876F7" w:rsidRDefault="001B533E" w:rsidP="00C876F7">
      <w:pPr>
        <w:spacing w:after="0" w:line="240" w:lineRule="auto"/>
        <w:ind w:firstLine="720"/>
        <w:jc w:val="both"/>
        <w:rPr>
          <w:rFonts w:ascii="Cambria" w:hAnsi="Cambria"/>
          <w:b/>
          <w:sz w:val="20"/>
          <w:szCs w:val="20"/>
          <w:lang w:val="es-ES"/>
        </w:rPr>
      </w:pPr>
      <w:r w:rsidRPr="00C876F7">
        <w:rPr>
          <w:rFonts w:ascii="Cambria" w:hAnsi="Cambria"/>
          <w:b/>
          <w:sz w:val="20"/>
          <w:szCs w:val="20"/>
          <w:lang w:val="es-ES"/>
        </w:rPr>
        <w:t>2.</w:t>
      </w:r>
      <w:r w:rsidRPr="00C876F7">
        <w:rPr>
          <w:rFonts w:ascii="Cambria" w:hAnsi="Cambria"/>
          <w:b/>
          <w:sz w:val="20"/>
          <w:szCs w:val="20"/>
          <w:lang w:val="es-ES"/>
        </w:rPr>
        <w:tab/>
      </w:r>
      <w:r w:rsidR="00245BCD" w:rsidRPr="00C876F7">
        <w:rPr>
          <w:rFonts w:ascii="Cambria" w:hAnsi="Cambria"/>
          <w:b/>
          <w:sz w:val="20"/>
          <w:szCs w:val="20"/>
          <w:lang w:val="es-ES"/>
        </w:rPr>
        <w:t xml:space="preserve">Análisis del caso </w:t>
      </w:r>
    </w:p>
    <w:p w14:paraId="25079C1B" w14:textId="1D53DB93" w:rsidR="007D399C" w:rsidRPr="00C876F7" w:rsidRDefault="00245BCD" w:rsidP="00C876F7">
      <w:pPr>
        <w:spacing w:after="0" w:line="240" w:lineRule="auto"/>
        <w:ind w:left="1440" w:hanging="720"/>
        <w:jc w:val="both"/>
        <w:rPr>
          <w:rFonts w:ascii="Cambria" w:hAnsi="Cambria"/>
          <w:b/>
          <w:sz w:val="20"/>
          <w:szCs w:val="20"/>
          <w:lang w:val="es-ES"/>
        </w:rPr>
      </w:pPr>
      <w:r w:rsidRPr="00C876F7">
        <w:rPr>
          <w:rFonts w:ascii="Cambria" w:hAnsi="Cambria"/>
          <w:b/>
          <w:sz w:val="20"/>
          <w:szCs w:val="20"/>
          <w:lang w:val="es-ES"/>
        </w:rPr>
        <w:t xml:space="preserve"> </w:t>
      </w:r>
    </w:p>
    <w:p w14:paraId="00CF244E" w14:textId="0FB44DC6" w:rsidR="001D2873" w:rsidRPr="00C876F7" w:rsidRDefault="00084B91"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L</w:t>
      </w:r>
      <w:r w:rsidR="001D2873" w:rsidRPr="00C876F7">
        <w:rPr>
          <w:rFonts w:ascii="Cambria" w:hAnsi="Cambria" w:cs="TimesNewRoman"/>
          <w:sz w:val="20"/>
          <w:szCs w:val="20"/>
          <w:lang w:val="es-ES" w:eastAsia="es-ES_tradnl"/>
        </w:rPr>
        <w:t>a Comisión reitera que es a las autoridades internas y</w:t>
      </w:r>
      <w:r w:rsidRPr="00C876F7">
        <w:rPr>
          <w:rFonts w:ascii="Cambria" w:hAnsi="Cambria" w:cs="TimesNewRoman"/>
          <w:sz w:val="20"/>
          <w:szCs w:val="20"/>
          <w:lang w:val="es-ES" w:eastAsia="es-ES_tradnl"/>
        </w:rPr>
        <w:t>,</w:t>
      </w:r>
      <w:r w:rsidR="001D2873" w:rsidRPr="00C876F7">
        <w:rPr>
          <w:rFonts w:ascii="Cambria" w:hAnsi="Cambria" w:cs="TimesNewRoman"/>
          <w:sz w:val="20"/>
          <w:szCs w:val="20"/>
          <w:lang w:val="es-ES" w:eastAsia="es-ES_tradnl"/>
        </w:rPr>
        <w:t xml:space="preserve"> en casos como el presente, a los jueces penales, a </w:t>
      </w:r>
      <w:r w:rsidRPr="00C876F7">
        <w:rPr>
          <w:rFonts w:ascii="Cambria" w:hAnsi="Cambria" w:cs="TimesNewRoman"/>
          <w:sz w:val="20"/>
          <w:szCs w:val="20"/>
          <w:lang w:val="es-ES" w:eastAsia="es-ES_tradnl"/>
        </w:rPr>
        <w:t>quienes</w:t>
      </w:r>
      <w:r w:rsidR="001D2873" w:rsidRPr="00C876F7">
        <w:rPr>
          <w:rFonts w:ascii="Cambria" w:hAnsi="Cambria" w:cs="TimesNewRoman"/>
          <w:sz w:val="20"/>
          <w:szCs w:val="20"/>
          <w:lang w:val="es-ES" w:eastAsia="es-ES_tradnl"/>
        </w:rPr>
        <w:t xml:space="preserve"> corresponde</w:t>
      </w:r>
      <w:r w:rsidRPr="00C876F7">
        <w:rPr>
          <w:rFonts w:ascii="Cambria" w:hAnsi="Cambria" w:cs="TimesNewRoman"/>
          <w:sz w:val="20"/>
          <w:szCs w:val="20"/>
          <w:lang w:val="es-ES" w:eastAsia="es-ES_tradnl"/>
        </w:rPr>
        <w:t xml:space="preserve"> primariamente</w:t>
      </w:r>
      <w:r w:rsidR="001D2873" w:rsidRPr="00C876F7">
        <w:rPr>
          <w:rFonts w:ascii="Cambria" w:hAnsi="Cambria" w:cs="TimesNewRoman"/>
          <w:sz w:val="20"/>
          <w:szCs w:val="20"/>
          <w:lang w:val="es-ES" w:eastAsia="es-ES_tradnl"/>
        </w:rPr>
        <w:t xml:space="preserve"> valorar la prueba </w:t>
      </w:r>
      <w:r w:rsidRPr="00C876F7">
        <w:rPr>
          <w:rFonts w:ascii="Cambria" w:hAnsi="Cambria" w:cs="TimesNewRoman"/>
          <w:sz w:val="20"/>
          <w:szCs w:val="20"/>
          <w:lang w:val="es-ES" w:eastAsia="es-ES_tradnl"/>
        </w:rPr>
        <w:t xml:space="preserve">practicada a nivel interno y determinar sus efectos en cuanto a la posible responsabilidad penal de una persona respecto de la cual se ejerce el poder </w:t>
      </w:r>
      <w:r w:rsidRPr="00C876F7">
        <w:rPr>
          <w:rFonts w:ascii="Cambria" w:hAnsi="Cambria" w:cs="TimesNewRoman"/>
          <w:sz w:val="20"/>
          <w:szCs w:val="20"/>
          <w:lang w:val="es-ES" w:eastAsia="es-ES_tradnl"/>
        </w:rPr>
        <w:lastRenderedPageBreak/>
        <w:t>punitivo</w:t>
      </w:r>
      <w:r w:rsidR="00645A25" w:rsidRPr="00C876F7">
        <w:rPr>
          <w:rStyle w:val="FootnoteReference"/>
          <w:rFonts w:ascii="Cambria" w:hAnsi="Cambria"/>
          <w:sz w:val="20"/>
          <w:szCs w:val="20"/>
          <w:lang w:val="es-ES"/>
        </w:rPr>
        <w:footnoteReference w:id="63"/>
      </w:r>
      <w:r w:rsidRPr="00C876F7">
        <w:rPr>
          <w:rFonts w:ascii="Cambria" w:hAnsi="Cambria" w:cs="TimesNewRoman"/>
          <w:sz w:val="20"/>
          <w:szCs w:val="20"/>
          <w:lang w:val="es-ES" w:eastAsia="es-ES_tradnl"/>
        </w:rPr>
        <w:t xml:space="preserve">. </w:t>
      </w:r>
      <w:r w:rsidR="00753FF1" w:rsidRPr="00C876F7">
        <w:rPr>
          <w:rFonts w:ascii="Cambria" w:hAnsi="Cambria" w:cs="TimesNewRoman"/>
          <w:sz w:val="20"/>
          <w:szCs w:val="20"/>
          <w:lang w:val="es-ES" w:eastAsia="es-ES_tradnl"/>
        </w:rPr>
        <w:t xml:space="preserve">Sin embargo, es el rol de la CIDH establecer si a lo largo de un proceso penal se cumplieron las garantías previstas en el artículo 8 de la Convención Americana, lo que implica necesariamente la revisión de la actuación de las autoridades estatales a cargo de dicho proceso, incluyendo, en ciertos casos, la forma en que </w:t>
      </w:r>
      <w:r w:rsidR="00145D5E" w:rsidRPr="00C876F7">
        <w:rPr>
          <w:rFonts w:ascii="Cambria" w:hAnsi="Cambria" w:cs="TimesNewRoman"/>
          <w:sz w:val="20"/>
          <w:szCs w:val="20"/>
          <w:lang w:val="es-ES" w:eastAsia="es-ES_tradnl"/>
        </w:rPr>
        <w:t xml:space="preserve">fue recibida y analizada </w:t>
      </w:r>
      <w:r w:rsidR="00753FF1" w:rsidRPr="00C876F7">
        <w:rPr>
          <w:rFonts w:ascii="Cambria" w:hAnsi="Cambria" w:cs="TimesNewRoman"/>
          <w:sz w:val="20"/>
          <w:szCs w:val="20"/>
          <w:lang w:val="es-ES" w:eastAsia="es-ES_tradnl"/>
        </w:rPr>
        <w:t>la prueba disponible</w:t>
      </w:r>
      <w:r w:rsidR="001D2873" w:rsidRPr="00C876F7">
        <w:rPr>
          <w:rFonts w:ascii="Cambria" w:hAnsi="Cambria" w:cs="TimesNewRoman"/>
          <w:sz w:val="20"/>
          <w:szCs w:val="20"/>
          <w:lang w:val="es-ES" w:eastAsia="es-ES_tradnl"/>
        </w:rPr>
        <w:t xml:space="preserve">. </w:t>
      </w:r>
    </w:p>
    <w:p w14:paraId="25B08527" w14:textId="77777777" w:rsidR="001D2873" w:rsidRPr="00C876F7" w:rsidRDefault="001D2873" w:rsidP="00C876F7">
      <w:pPr>
        <w:suppressAutoHyphens/>
        <w:spacing w:after="0" w:line="240" w:lineRule="auto"/>
        <w:jc w:val="both"/>
        <w:rPr>
          <w:rFonts w:ascii="Cambria" w:hAnsi="Cambria" w:cs="TimesNewRoman"/>
          <w:sz w:val="20"/>
          <w:szCs w:val="20"/>
          <w:lang w:val="es-ES" w:eastAsia="es-ES_tradnl"/>
        </w:rPr>
      </w:pPr>
    </w:p>
    <w:p w14:paraId="35866D9B" w14:textId="70CECF63" w:rsidR="00537F24" w:rsidRPr="00C876F7" w:rsidRDefault="001E116D"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No existe controversia entre las partes sobre el hecho de que la declaración testimonial de Alfredo Cugat fue rendida en la etapa instructiva ante autoridad policial, sin presencia ni participación del abogado defensor de Marcos Alejandro Martin. Conforme a los estándares indicados, el derecho de defensa debe garantizarse desde el momento en que una persona es individualizada como posible responsable de un delito, por lo que la ausencia de su abogado en la práctica de esta</w:t>
      </w:r>
      <w:r w:rsidR="006107BD" w:rsidRPr="00C876F7">
        <w:rPr>
          <w:rFonts w:ascii="Cambria" w:hAnsi="Cambria" w:cs="TimesNewRoman"/>
          <w:sz w:val="20"/>
          <w:szCs w:val="20"/>
          <w:lang w:val="es-ES" w:eastAsia="es-ES_tradnl"/>
        </w:rPr>
        <w:t xml:space="preserve"> prueba, resulta violatoria del derecho consagrado en el artículo 8.2 c) de la Convención</w:t>
      </w:r>
      <w:r w:rsidRPr="00C876F7">
        <w:rPr>
          <w:rFonts w:ascii="Cambria" w:hAnsi="Cambria" w:cs="TimesNewRoman"/>
          <w:sz w:val="20"/>
          <w:szCs w:val="20"/>
          <w:lang w:val="es-ES" w:eastAsia="es-ES_tradnl"/>
        </w:rPr>
        <w:t>.</w:t>
      </w:r>
    </w:p>
    <w:p w14:paraId="6D532691" w14:textId="01279447" w:rsidR="00537F24" w:rsidRPr="00C876F7" w:rsidRDefault="001E116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 </w:t>
      </w:r>
    </w:p>
    <w:p w14:paraId="6605E39C" w14:textId="77777777" w:rsidR="00673959" w:rsidRPr="00C876F7" w:rsidRDefault="00084B81"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Asimismo, tomando en cuenta que la prueba practicada sin participación de la defensa, fue una declaración testimonial, esta situación constituyó también una violación del artículo 8.2 f) de la Convención, el cual consagra, entre otros, el derecho de toda persona procesada penalmente, a interrogar a los testigos. Esto incluye, evidentemente, los testigos tanto de cargo como de descargo.</w:t>
      </w:r>
    </w:p>
    <w:p w14:paraId="299E41D4" w14:textId="0AF9BD34" w:rsidR="00673959" w:rsidRPr="00C876F7" w:rsidRDefault="00084B81"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 </w:t>
      </w:r>
    </w:p>
    <w:p w14:paraId="59DF2401" w14:textId="77777777" w:rsidR="003A22D7" w:rsidRPr="00C876F7" w:rsidRDefault="00673959"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Estas violaciones, originadas en la práctica de la declaración testimonial, continu</w:t>
      </w:r>
      <w:r w:rsidR="00481200" w:rsidRPr="00C876F7">
        <w:rPr>
          <w:rFonts w:ascii="Cambria" w:hAnsi="Cambria" w:cs="TimesNewRoman"/>
          <w:sz w:val="20"/>
          <w:szCs w:val="20"/>
          <w:lang w:val="es-ES" w:eastAsia="es-ES_tradnl"/>
        </w:rPr>
        <w:t>aron</w:t>
      </w:r>
      <w:r w:rsidRPr="00C876F7">
        <w:rPr>
          <w:rFonts w:ascii="Cambria" w:hAnsi="Cambria" w:cs="TimesNewRoman"/>
          <w:sz w:val="20"/>
          <w:szCs w:val="20"/>
          <w:lang w:val="es-ES" w:eastAsia="es-ES_tradnl"/>
        </w:rPr>
        <w:t xml:space="preserve"> </w:t>
      </w:r>
      <w:r w:rsidR="00481200" w:rsidRPr="00C876F7">
        <w:rPr>
          <w:rFonts w:ascii="Cambria" w:hAnsi="Cambria" w:cs="TimesNewRoman"/>
          <w:sz w:val="20"/>
          <w:szCs w:val="20"/>
          <w:lang w:val="es-ES" w:eastAsia="es-ES_tradnl"/>
        </w:rPr>
        <w:t xml:space="preserve">a lo largo del </w:t>
      </w:r>
      <w:r w:rsidRPr="00C876F7">
        <w:rPr>
          <w:rFonts w:ascii="Cambria" w:hAnsi="Cambria" w:cs="TimesNewRoman"/>
          <w:sz w:val="20"/>
          <w:szCs w:val="20"/>
          <w:lang w:val="es-ES" w:eastAsia="es-ES_tradnl"/>
        </w:rPr>
        <w:t xml:space="preserve">proceso, específicamente mediante la incorporación en la audiencia de la declaración testimonial por escrito, sin posibilidad de control alguno por parte de la defensa. </w:t>
      </w:r>
      <w:r w:rsidR="00481200" w:rsidRPr="00C876F7">
        <w:rPr>
          <w:rFonts w:ascii="Cambria" w:hAnsi="Cambria" w:cs="TimesNewRoman"/>
          <w:sz w:val="20"/>
          <w:szCs w:val="20"/>
          <w:lang w:val="es-ES" w:eastAsia="es-ES_tradnl"/>
        </w:rPr>
        <w:t>Además, como se analiza más adelante, esta situación se consolidó a trav</w:t>
      </w:r>
      <w:r w:rsidR="00B53C16" w:rsidRPr="00C876F7">
        <w:rPr>
          <w:rFonts w:ascii="Cambria" w:hAnsi="Cambria" w:cs="TimesNewRoman"/>
          <w:sz w:val="20"/>
          <w:szCs w:val="20"/>
          <w:lang w:val="es-ES" w:eastAsia="es-ES_tradnl"/>
        </w:rPr>
        <w:t>és de la sentencia condenatoria y los fallos emitidos con ocasión a los recursos interpuestos por el señor Martin.</w:t>
      </w:r>
    </w:p>
    <w:p w14:paraId="52E36F30" w14:textId="60752476" w:rsidR="003A22D7" w:rsidRPr="00C876F7" w:rsidRDefault="00B53C1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 </w:t>
      </w:r>
    </w:p>
    <w:p w14:paraId="23B62682" w14:textId="2413D16B" w:rsidR="006564B7" w:rsidRPr="00C876F7" w:rsidRDefault="003A22D7"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Si bien es cierto que, conforme a los estándares citados, el derecho a interrogar a los testigos puede ser restringido en circunstancias excepcionales</w:t>
      </w:r>
      <w:r w:rsidR="00BE2F5A" w:rsidRPr="00C876F7">
        <w:rPr>
          <w:rFonts w:ascii="Cambria" w:hAnsi="Cambria" w:cs="TimesNewRoman"/>
          <w:sz w:val="20"/>
          <w:szCs w:val="20"/>
          <w:lang w:val="es-ES" w:eastAsia="es-ES_tradnl"/>
        </w:rPr>
        <w:t xml:space="preserve">, tal limitación debe estar fundamentada en razones de mucho peso, tales como </w:t>
      </w:r>
      <w:r w:rsidRPr="00C876F7">
        <w:rPr>
          <w:rFonts w:ascii="Cambria" w:hAnsi="Cambria" w:cs="TimesNewRoman"/>
          <w:sz w:val="20"/>
          <w:szCs w:val="20"/>
          <w:lang w:val="es-ES" w:eastAsia="es-ES_tradnl"/>
        </w:rPr>
        <w:t>el riesgo a la vida e integridad personal de los declarantes</w:t>
      </w:r>
      <w:r w:rsidR="00BE2F5A" w:rsidRPr="00C876F7">
        <w:rPr>
          <w:rFonts w:ascii="Cambria" w:hAnsi="Cambria" w:cs="TimesNewRoman"/>
          <w:sz w:val="20"/>
          <w:szCs w:val="20"/>
          <w:lang w:val="es-ES" w:eastAsia="es-ES_tradnl"/>
        </w:rPr>
        <w:t>, y siempre que se dispongan medidas de compensación respecto del derecho de defensa de la persona procesada. En el presente caso, el Estado de Argentina se limitó a indicar que la incorporación por lectura de la declaración testimonial estaba permitida en la normativa i</w:t>
      </w:r>
      <w:r w:rsidR="002B181C" w:rsidRPr="00C876F7">
        <w:rPr>
          <w:rFonts w:ascii="Cambria" w:hAnsi="Cambria" w:cs="TimesNewRoman"/>
          <w:sz w:val="20"/>
          <w:szCs w:val="20"/>
          <w:lang w:val="es-ES" w:eastAsia="es-ES_tradnl"/>
        </w:rPr>
        <w:t>nterna, pero no alegó razones imperativas que justificaran</w:t>
      </w:r>
      <w:r w:rsidR="00C620EC" w:rsidRPr="00C876F7">
        <w:rPr>
          <w:rFonts w:ascii="Cambria" w:hAnsi="Cambria" w:cs="TimesNewRoman"/>
          <w:sz w:val="20"/>
          <w:szCs w:val="20"/>
          <w:lang w:val="es-ES" w:eastAsia="es-ES_tradnl"/>
        </w:rPr>
        <w:t xml:space="preserve"> dicha incorporación a la luz de la Convención Americana, </w:t>
      </w:r>
      <w:r w:rsidR="003F0587" w:rsidRPr="00C876F7">
        <w:rPr>
          <w:rFonts w:ascii="Cambria" w:hAnsi="Cambria" w:cs="TimesNewRoman"/>
          <w:sz w:val="20"/>
          <w:szCs w:val="20"/>
          <w:lang w:val="es-ES" w:eastAsia="es-ES_tradnl"/>
        </w:rPr>
        <w:t xml:space="preserve">a pesar de la afectación </w:t>
      </w:r>
      <w:r w:rsidR="00D62C9B" w:rsidRPr="00C876F7">
        <w:rPr>
          <w:rFonts w:ascii="Cambria" w:hAnsi="Cambria" w:cs="TimesNewRoman"/>
          <w:sz w:val="20"/>
          <w:szCs w:val="20"/>
          <w:lang w:val="es-ES" w:eastAsia="es-ES_tradnl"/>
        </w:rPr>
        <w:t xml:space="preserve">que implicaba respecto del </w:t>
      </w:r>
      <w:r w:rsidR="003F0587" w:rsidRPr="00C876F7">
        <w:rPr>
          <w:rFonts w:ascii="Cambria" w:hAnsi="Cambria" w:cs="TimesNewRoman"/>
          <w:sz w:val="20"/>
          <w:szCs w:val="20"/>
          <w:lang w:val="es-ES" w:eastAsia="es-ES_tradnl"/>
        </w:rPr>
        <w:t>derecho de defensa del señor Martin</w:t>
      </w:r>
      <w:r w:rsidR="00CF11D0" w:rsidRPr="00C876F7">
        <w:rPr>
          <w:rFonts w:ascii="Cambria" w:hAnsi="Cambria" w:cs="TimesNewRoman"/>
          <w:sz w:val="20"/>
          <w:szCs w:val="20"/>
          <w:lang w:val="es-ES" w:eastAsia="es-ES_tradnl"/>
        </w:rPr>
        <w:t>.</w:t>
      </w:r>
      <w:r w:rsidR="00A707F1" w:rsidRPr="00C876F7">
        <w:rPr>
          <w:rFonts w:ascii="Cambria" w:hAnsi="Cambria" w:cs="TimesNewRoman"/>
          <w:sz w:val="20"/>
          <w:szCs w:val="20"/>
          <w:lang w:val="es-ES" w:eastAsia="es-ES_tradnl"/>
        </w:rPr>
        <w:t xml:space="preserve"> </w:t>
      </w:r>
      <w:r w:rsidR="00287986" w:rsidRPr="00C876F7">
        <w:rPr>
          <w:rFonts w:ascii="Cambria" w:hAnsi="Cambria" w:cs="TimesNewRoman"/>
          <w:sz w:val="20"/>
          <w:szCs w:val="20"/>
          <w:lang w:val="es-ES" w:eastAsia="es-ES_tradnl"/>
        </w:rPr>
        <w:t xml:space="preserve">La Comisión considera que la sola referencia </w:t>
      </w:r>
      <w:r w:rsidR="00A707F1" w:rsidRPr="00C876F7">
        <w:rPr>
          <w:rFonts w:ascii="Cambria" w:hAnsi="Cambria" w:cs="TimesNewRoman"/>
          <w:sz w:val="20"/>
          <w:szCs w:val="20"/>
          <w:lang w:val="es-ES" w:eastAsia="es-ES_tradnl"/>
        </w:rPr>
        <w:t xml:space="preserve">a que no fue posible localizar al detenido, en un caso de esta naturaleza, no constituye una situación que justifique la restricción en el derecho de defensa y específicamente en el derecho a interrogar testigos. </w:t>
      </w:r>
      <w:r w:rsidR="007C0F36" w:rsidRPr="00C876F7">
        <w:rPr>
          <w:rFonts w:ascii="Cambria" w:hAnsi="Cambria" w:cs="TimesNewRoman"/>
          <w:sz w:val="20"/>
          <w:szCs w:val="20"/>
          <w:lang w:val="es-ES" w:eastAsia="es-ES_tradnl"/>
        </w:rPr>
        <w:t xml:space="preserve">La Comisión no cuenta con información sobre esfuerzos adicionales para localizarlo ni indicios de otra posible situación de excepcionalidad.  </w:t>
      </w:r>
    </w:p>
    <w:p w14:paraId="36F30BD0" w14:textId="77777777" w:rsidR="006564B7" w:rsidRPr="00C876F7" w:rsidRDefault="006564B7"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p>
    <w:p w14:paraId="0AD65577" w14:textId="374B68FC" w:rsidR="00932C53" w:rsidRPr="00C876F7" w:rsidRDefault="005F3F2A"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Habiendo establecido lo anterior, la Comisión considera pertinente referirse a la relevancia que tuvo la declaración de Alfredo Cugat en la condena del señor Martin. </w:t>
      </w:r>
    </w:p>
    <w:p w14:paraId="39FF32CA" w14:textId="77777777" w:rsidR="00932C53" w:rsidRPr="00C876F7" w:rsidRDefault="00932C53"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s-ES" w:eastAsia="es-ES_tradnl"/>
        </w:rPr>
      </w:pPr>
    </w:p>
    <w:p w14:paraId="6BB02A7A" w14:textId="37855BE7" w:rsidR="003E526A" w:rsidRPr="00C876F7" w:rsidRDefault="00932C53"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sz w:val="20"/>
          <w:szCs w:val="20"/>
          <w:lang w:val="es-ES"/>
        </w:rPr>
        <w:t xml:space="preserve">De los hechos probados resulta que las pruebas en las que se basó la decisión judicial fueron: i) la declaración </w:t>
      </w:r>
      <w:r w:rsidRPr="00C876F7">
        <w:rPr>
          <w:rFonts w:ascii="Cambria" w:hAnsi="Cambria" w:cs="TimesNewRoman"/>
          <w:sz w:val="20"/>
          <w:szCs w:val="20"/>
          <w:lang w:val="es-ES" w:eastAsia="es-ES_tradnl"/>
        </w:rPr>
        <w:t>de Alfredo Cugat, quien identificó al señor Martin como la persona que lo asaltó,</w:t>
      </w:r>
      <w:r w:rsidR="00AE467E" w:rsidRPr="00C876F7">
        <w:rPr>
          <w:rFonts w:ascii="Cambria" w:hAnsi="Cambria" w:cs="TimesNewRoman"/>
          <w:sz w:val="20"/>
          <w:szCs w:val="20"/>
          <w:lang w:val="es-ES" w:eastAsia="es-ES_tradnl"/>
        </w:rPr>
        <w:t xml:space="preserve"> e indicó que </w:t>
      </w:r>
      <w:r w:rsidRPr="00C876F7">
        <w:rPr>
          <w:rFonts w:ascii="Cambria" w:hAnsi="Cambria" w:cs="TimesNewRoman"/>
          <w:sz w:val="20"/>
          <w:szCs w:val="20"/>
          <w:lang w:val="es-ES" w:eastAsia="es-ES_tradnl"/>
        </w:rPr>
        <w:t>al momento de la detención tenía bajo</w:t>
      </w:r>
      <w:r w:rsidR="003E526A" w:rsidRPr="00C876F7">
        <w:rPr>
          <w:rFonts w:ascii="Cambria" w:hAnsi="Cambria" w:cs="TimesNewRoman"/>
          <w:sz w:val="20"/>
          <w:szCs w:val="20"/>
          <w:lang w:val="es-ES" w:eastAsia="es-ES_tradnl"/>
        </w:rPr>
        <w:t xml:space="preserve"> su poder la casaca y la navaja; y</w:t>
      </w:r>
      <w:r w:rsidRPr="00C876F7">
        <w:rPr>
          <w:rFonts w:ascii="Cambria" w:hAnsi="Cambria" w:cs="TimesNewRoman"/>
          <w:sz w:val="20"/>
          <w:szCs w:val="20"/>
          <w:lang w:val="es-ES" w:eastAsia="es-ES_tradnl"/>
        </w:rPr>
        <w:t xml:space="preserve"> </w:t>
      </w:r>
      <w:r w:rsidRPr="00C876F7">
        <w:rPr>
          <w:rFonts w:ascii="Cambria" w:hAnsi="Cambria"/>
          <w:sz w:val="20"/>
          <w:szCs w:val="20"/>
          <w:lang w:val="es-ES"/>
        </w:rPr>
        <w:t xml:space="preserve">ii) </w:t>
      </w:r>
      <w:r w:rsidRPr="00C876F7">
        <w:rPr>
          <w:rFonts w:ascii="Cambria" w:hAnsi="Cambria" w:cs="TimesNewRoman"/>
          <w:sz w:val="20"/>
          <w:szCs w:val="20"/>
          <w:lang w:val="es-ES" w:eastAsia="es-ES_tradnl"/>
        </w:rPr>
        <w:t>los testimonios de tres personas (el agente policial que arrestó al señor Cugat, el chofer del vehículo donde se produjo el arresto, y un pasajero que estuvo presente durante la detención)</w:t>
      </w:r>
      <w:r w:rsidR="003E526A" w:rsidRPr="00C876F7">
        <w:rPr>
          <w:rFonts w:ascii="Cambria" w:hAnsi="Cambria" w:cs="TimesNewRoman"/>
          <w:sz w:val="20"/>
          <w:szCs w:val="20"/>
          <w:lang w:val="es-ES" w:eastAsia="es-ES_tradnl"/>
        </w:rPr>
        <w:t xml:space="preserve">. </w:t>
      </w:r>
    </w:p>
    <w:p w14:paraId="7EE96F79" w14:textId="77777777" w:rsidR="003E526A" w:rsidRPr="00C876F7" w:rsidRDefault="003E526A"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s-ES" w:eastAsia="es-ES_tradnl"/>
        </w:rPr>
      </w:pPr>
    </w:p>
    <w:p w14:paraId="6AC97998" w14:textId="38875098" w:rsidR="00932C53" w:rsidRPr="00C876F7" w:rsidRDefault="00C6489F"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Sobre el contenido de las declaraciones de estas tres perso</w:t>
      </w:r>
      <w:r w:rsidR="00CB3BC1" w:rsidRPr="00C876F7">
        <w:rPr>
          <w:rFonts w:ascii="Cambria" w:hAnsi="Cambria" w:cs="TimesNewRoman"/>
          <w:sz w:val="20"/>
          <w:szCs w:val="20"/>
          <w:lang w:val="es-ES" w:eastAsia="es-ES_tradnl"/>
        </w:rPr>
        <w:t xml:space="preserve">nas que se desprenden del expediente ante la Comisión, </w:t>
      </w:r>
      <w:r w:rsidRPr="00C876F7">
        <w:rPr>
          <w:rFonts w:ascii="Cambria" w:hAnsi="Cambria" w:cs="TimesNewRoman"/>
          <w:sz w:val="20"/>
          <w:szCs w:val="20"/>
          <w:lang w:val="es-ES" w:eastAsia="es-ES_tradnl"/>
        </w:rPr>
        <w:t>e</w:t>
      </w:r>
      <w:r w:rsidR="003E526A" w:rsidRPr="00C876F7">
        <w:rPr>
          <w:rFonts w:ascii="Cambria" w:hAnsi="Cambria" w:cs="TimesNewRoman"/>
          <w:sz w:val="20"/>
          <w:szCs w:val="20"/>
          <w:lang w:val="es-ES" w:eastAsia="es-ES_tradnl"/>
        </w:rPr>
        <w:t xml:space="preserve">l agente policial declaró que detuvo a Marcos Alejandro Martin, pero que no recordaba quién secuestró el arma y lo sustraído, para lo cual se remitía a la declaración del señor Cugat. </w:t>
      </w:r>
      <w:r w:rsidR="00574D1A" w:rsidRPr="00C876F7">
        <w:rPr>
          <w:rFonts w:ascii="Cambria" w:hAnsi="Cambria" w:cs="TimesNewRoman"/>
          <w:sz w:val="20"/>
          <w:szCs w:val="20"/>
          <w:lang w:val="es-ES" w:eastAsia="es-ES_tradnl"/>
        </w:rPr>
        <w:t>El pasajero declaró sobre el hecho de que, estando en el transporte público, presenció</w:t>
      </w:r>
      <w:r w:rsidR="00F57A5D" w:rsidRPr="00C876F7">
        <w:rPr>
          <w:rFonts w:ascii="Cambria" w:hAnsi="Cambria" w:cs="TimesNewRoman"/>
          <w:sz w:val="20"/>
          <w:szCs w:val="20"/>
          <w:lang w:val="es-ES" w:eastAsia="es-ES_tradnl"/>
        </w:rPr>
        <w:t xml:space="preserve"> cuando la policía y el señor Cugat subieron al mism</w:t>
      </w:r>
      <w:r w:rsidR="005B556B" w:rsidRPr="00C876F7">
        <w:rPr>
          <w:rFonts w:ascii="Cambria" w:hAnsi="Cambria" w:cs="TimesNewRoman"/>
          <w:sz w:val="20"/>
          <w:szCs w:val="20"/>
          <w:lang w:val="es-ES" w:eastAsia="es-ES_tradnl"/>
        </w:rPr>
        <w:t>o y que encontraron la navaja y la casaca “cerca”</w:t>
      </w:r>
      <w:r w:rsidR="009D7D24" w:rsidRPr="00C876F7">
        <w:rPr>
          <w:rFonts w:ascii="Cambria" w:hAnsi="Cambria" w:cs="TimesNewRoman"/>
          <w:sz w:val="20"/>
          <w:szCs w:val="20"/>
          <w:lang w:val="es-ES" w:eastAsia="es-ES_tradnl"/>
        </w:rPr>
        <w:t xml:space="preserve"> de Marcos Alejandro Martin, a quien detuvieron y le leyeron sus derechos. </w:t>
      </w:r>
      <w:r w:rsidR="005B556B" w:rsidRPr="00C876F7">
        <w:rPr>
          <w:rFonts w:ascii="Cambria" w:hAnsi="Cambria" w:cs="TimesNewRoman"/>
          <w:sz w:val="20"/>
          <w:szCs w:val="20"/>
          <w:lang w:val="es-ES" w:eastAsia="es-ES_tradnl"/>
        </w:rPr>
        <w:t xml:space="preserve">El chofer del transporte público declaró que </w:t>
      </w:r>
      <w:r w:rsidR="009D7D24" w:rsidRPr="00C876F7">
        <w:rPr>
          <w:rFonts w:ascii="Cambria" w:hAnsi="Cambria" w:cs="TimesNewRoman"/>
          <w:sz w:val="20"/>
          <w:szCs w:val="20"/>
          <w:lang w:val="es-ES" w:eastAsia="es-ES_tradnl"/>
        </w:rPr>
        <w:t>vio subir a la policía y al señor Cugat, así como la detención de una persona y que se secuestró una navaja y una casaca.</w:t>
      </w:r>
    </w:p>
    <w:p w14:paraId="49DE00D6" w14:textId="77777777" w:rsidR="009D7D24" w:rsidRPr="00C876F7" w:rsidRDefault="009D7D24"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p>
    <w:p w14:paraId="2FA6C4DD" w14:textId="11FAB9AD" w:rsidR="00002C2D" w:rsidRPr="00C876F7" w:rsidRDefault="00AE467E"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lastRenderedPageBreak/>
        <w:t xml:space="preserve">De lo anterior se desprende que ninguna de estas tres personas presenció la ocurrencia del delito, </w:t>
      </w:r>
      <w:r w:rsidR="00002C2D" w:rsidRPr="00C876F7">
        <w:rPr>
          <w:rFonts w:ascii="Cambria" w:hAnsi="Cambria" w:cs="TimesNewRoman"/>
          <w:sz w:val="20"/>
          <w:szCs w:val="20"/>
          <w:lang w:val="es-ES" w:eastAsia="es-ES_tradnl"/>
        </w:rPr>
        <w:t>sino que únicamente fueron testigos de</w:t>
      </w:r>
      <w:r w:rsidRPr="00C876F7">
        <w:rPr>
          <w:rFonts w:ascii="Cambria" w:hAnsi="Cambria" w:cs="TimesNewRoman"/>
          <w:sz w:val="20"/>
          <w:szCs w:val="20"/>
          <w:lang w:val="es-ES" w:eastAsia="es-ES_tradnl"/>
        </w:rPr>
        <w:t xml:space="preserve">l </w:t>
      </w:r>
      <w:r w:rsidR="00255EB9" w:rsidRPr="00C876F7">
        <w:rPr>
          <w:rFonts w:ascii="Cambria" w:hAnsi="Cambria" w:cs="TimesNewRoman"/>
          <w:sz w:val="20"/>
          <w:szCs w:val="20"/>
          <w:lang w:val="es-ES" w:eastAsia="es-ES_tradnl"/>
        </w:rPr>
        <w:t xml:space="preserve">señor Cugat </w:t>
      </w:r>
      <w:r w:rsidRPr="00C876F7">
        <w:rPr>
          <w:rFonts w:ascii="Cambria" w:hAnsi="Cambria" w:cs="TimesNewRoman"/>
          <w:sz w:val="20"/>
          <w:szCs w:val="20"/>
          <w:lang w:val="es-ES" w:eastAsia="es-ES_tradnl"/>
        </w:rPr>
        <w:t xml:space="preserve">con la policía al transporte público, así como de la detención. Sobre la localización de la navaja y la casaca, la CIDH destaca que ninguna de estas personas afirmó que </w:t>
      </w:r>
      <w:r w:rsidR="00E6730A" w:rsidRPr="00C876F7">
        <w:rPr>
          <w:rFonts w:ascii="Cambria" w:hAnsi="Cambria" w:cs="TimesNewRoman"/>
          <w:sz w:val="20"/>
          <w:szCs w:val="20"/>
          <w:lang w:val="es-ES" w:eastAsia="es-ES_tradnl"/>
        </w:rPr>
        <w:t xml:space="preserve">tales objetos </w:t>
      </w:r>
      <w:r w:rsidRPr="00C876F7">
        <w:rPr>
          <w:rFonts w:ascii="Cambria" w:hAnsi="Cambria" w:cs="TimesNewRoman"/>
          <w:sz w:val="20"/>
          <w:szCs w:val="20"/>
          <w:lang w:val="es-ES" w:eastAsia="es-ES_tradnl"/>
        </w:rPr>
        <w:t>se encontraban en poder del señor Martin, sino que, s</w:t>
      </w:r>
      <w:r w:rsidR="00E6730A" w:rsidRPr="00C876F7">
        <w:rPr>
          <w:rFonts w:ascii="Cambria" w:hAnsi="Cambria" w:cs="TimesNewRoman"/>
          <w:sz w:val="20"/>
          <w:szCs w:val="20"/>
          <w:lang w:val="es-ES" w:eastAsia="es-ES_tradnl"/>
        </w:rPr>
        <w:t>e</w:t>
      </w:r>
      <w:r w:rsidRPr="00C876F7">
        <w:rPr>
          <w:rFonts w:ascii="Cambria" w:hAnsi="Cambria" w:cs="TimesNewRoman"/>
          <w:sz w:val="20"/>
          <w:szCs w:val="20"/>
          <w:lang w:val="es-ES" w:eastAsia="es-ES_tradnl"/>
        </w:rPr>
        <w:t>gún uno de los testigos, fue encontrada “cerca” y el propio polic</w:t>
      </w:r>
      <w:r w:rsidR="004E005F" w:rsidRPr="00C876F7">
        <w:rPr>
          <w:rFonts w:ascii="Cambria" w:hAnsi="Cambria" w:cs="TimesNewRoman"/>
          <w:sz w:val="20"/>
          <w:szCs w:val="20"/>
          <w:lang w:val="es-ES" w:eastAsia="es-ES_tradnl"/>
        </w:rPr>
        <w:t>ía dijo no recordar quié</w:t>
      </w:r>
      <w:r w:rsidRPr="00C876F7">
        <w:rPr>
          <w:rFonts w:ascii="Cambria" w:hAnsi="Cambria" w:cs="TimesNewRoman"/>
          <w:sz w:val="20"/>
          <w:szCs w:val="20"/>
          <w:lang w:val="es-ES" w:eastAsia="es-ES_tradnl"/>
        </w:rPr>
        <w:t>n hizo el secuestro de tales objetos. De esta manera, resulta claro que la declaración testimonial del señor Cugat constituía la prueba fundamental en cuanto a la identificación d</w:t>
      </w:r>
      <w:r w:rsidR="00E6730A" w:rsidRPr="00C876F7">
        <w:rPr>
          <w:rFonts w:ascii="Cambria" w:hAnsi="Cambria" w:cs="TimesNewRoman"/>
          <w:sz w:val="20"/>
          <w:szCs w:val="20"/>
          <w:lang w:val="es-ES" w:eastAsia="es-ES_tradnl"/>
        </w:rPr>
        <w:t xml:space="preserve">e Marcos Alejandro Martin como autor del delito, así como del hecho de que la casaca </w:t>
      </w:r>
      <w:r w:rsidR="00265872" w:rsidRPr="00C876F7">
        <w:rPr>
          <w:rFonts w:ascii="Cambria" w:hAnsi="Cambria" w:cs="TimesNewRoman"/>
          <w:sz w:val="20"/>
          <w:szCs w:val="20"/>
          <w:lang w:val="es-ES" w:eastAsia="es-ES_tradnl"/>
        </w:rPr>
        <w:t xml:space="preserve">y la navaja estaban en su poder, ambos elementos centrales para la determinación de su responsabilidad penal. </w:t>
      </w:r>
      <w:r w:rsidRPr="00C876F7">
        <w:rPr>
          <w:rFonts w:ascii="Cambria" w:hAnsi="Cambria" w:cs="TimesNewRoman"/>
          <w:sz w:val="20"/>
          <w:szCs w:val="20"/>
          <w:lang w:val="es-ES" w:eastAsia="es-ES_tradnl"/>
        </w:rPr>
        <w:t xml:space="preserve">  </w:t>
      </w:r>
    </w:p>
    <w:p w14:paraId="2BDB0CCE" w14:textId="77777777" w:rsidR="00002C2D" w:rsidRPr="00C876F7" w:rsidRDefault="00002C2D" w:rsidP="00C876F7">
      <w:pPr>
        <w:suppressAutoHyphens/>
        <w:spacing w:after="0" w:line="240" w:lineRule="auto"/>
        <w:jc w:val="both"/>
        <w:rPr>
          <w:rFonts w:ascii="Cambria" w:hAnsi="Cambria" w:cs="TimesNewRoman"/>
          <w:sz w:val="20"/>
          <w:szCs w:val="20"/>
          <w:lang w:val="es-ES" w:eastAsia="es-ES_tradnl"/>
        </w:rPr>
      </w:pPr>
    </w:p>
    <w:p w14:paraId="4C1A66E2" w14:textId="491E34DF" w:rsidR="00984146" w:rsidRPr="00C876F7" w:rsidRDefault="002A0501"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La Comisión reitera que no le corresponde valorar las pruebas </w:t>
      </w:r>
      <w:r w:rsidR="00CE6934" w:rsidRPr="00C876F7">
        <w:rPr>
          <w:rFonts w:ascii="Cambria" w:hAnsi="Cambria" w:cs="TimesNewRoman"/>
          <w:sz w:val="20"/>
          <w:szCs w:val="20"/>
          <w:lang w:val="es-ES" w:eastAsia="es-ES_tradnl"/>
        </w:rPr>
        <w:t>para</w:t>
      </w:r>
      <w:r w:rsidRPr="00C876F7">
        <w:rPr>
          <w:rFonts w:ascii="Cambria" w:hAnsi="Cambria" w:cs="TimesNewRoman"/>
          <w:sz w:val="20"/>
          <w:szCs w:val="20"/>
          <w:lang w:val="es-ES" w:eastAsia="es-ES_tradnl"/>
        </w:rPr>
        <w:t xml:space="preserve"> la responsabilidad penal de Marcos Alejandro Martin. Sin embargo, sí le corresponde evaluar, a la luz del principio de presunción de inocencia y del derecho de defensa, si la prueba practicada con serias limitaciones a dicho derecho, tuvo un valor fundamental en la condena. Como se indicó anteriormente, </w:t>
      </w:r>
      <w:r w:rsidRPr="00C876F7">
        <w:rPr>
          <w:rFonts w:ascii="Cambria" w:hAnsi="Cambria" w:cs="ACaslonPro-Regular"/>
          <w:sz w:val="20"/>
          <w:szCs w:val="20"/>
          <w:lang w:val="es-ES"/>
        </w:rPr>
        <w:t xml:space="preserve">la Corte Interamericana y la Corte Europea han señalado que la condena no puede estar fundada “únicamente o en grado decisivo” </w:t>
      </w:r>
      <w:r w:rsidR="005F3F2A" w:rsidRPr="00C876F7">
        <w:rPr>
          <w:rFonts w:ascii="Cambria" w:hAnsi="Cambria" w:cs="ACaslonPro-Regular"/>
          <w:sz w:val="20"/>
          <w:szCs w:val="20"/>
          <w:lang w:val="es-ES"/>
        </w:rPr>
        <w:t xml:space="preserve">en </w:t>
      </w:r>
      <w:r w:rsidRPr="00C876F7">
        <w:rPr>
          <w:rFonts w:ascii="Cambria" w:hAnsi="Cambria" w:cs="ACaslonPro-Regular"/>
          <w:sz w:val="20"/>
          <w:szCs w:val="20"/>
          <w:lang w:val="es-ES"/>
        </w:rPr>
        <w:t>declaraciones de testigos en las que los derechos del inculpado han sido limitados</w:t>
      </w:r>
      <w:r w:rsidRPr="00C876F7">
        <w:rPr>
          <w:rStyle w:val="FootnoteReference"/>
          <w:rFonts w:ascii="Cambria" w:hAnsi="Cambria" w:cs="ACaslonPro-Regular"/>
          <w:sz w:val="20"/>
          <w:szCs w:val="20"/>
          <w:lang w:val="es-ES"/>
        </w:rPr>
        <w:footnoteReference w:id="64"/>
      </w:r>
      <w:r w:rsidRPr="00C876F7">
        <w:rPr>
          <w:rFonts w:ascii="Cambria" w:hAnsi="Cambria" w:cs="ACaslonPro-Regular"/>
          <w:sz w:val="20"/>
          <w:szCs w:val="20"/>
          <w:lang w:val="es-ES"/>
        </w:rPr>
        <w:t>.</w:t>
      </w:r>
    </w:p>
    <w:p w14:paraId="45265FF9" w14:textId="2BE9D96C" w:rsidR="00984146" w:rsidRPr="00C876F7" w:rsidRDefault="0098414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r w:rsidRPr="00C876F7">
        <w:rPr>
          <w:rFonts w:ascii="Cambria" w:hAnsi="Cambria" w:cs="ACaslonPro-Regular"/>
          <w:sz w:val="20"/>
          <w:szCs w:val="20"/>
          <w:lang w:val="es-ES"/>
        </w:rPr>
        <w:t xml:space="preserve"> </w:t>
      </w:r>
    </w:p>
    <w:p w14:paraId="7FF0E136" w14:textId="5FDE4FF2" w:rsidR="00193A05" w:rsidRPr="00C876F7" w:rsidRDefault="00ED0B08"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Con base en lo anterior, </w:t>
      </w:r>
      <w:r w:rsidR="00984146" w:rsidRPr="00C876F7">
        <w:rPr>
          <w:rFonts w:ascii="Cambria" w:hAnsi="Cambria" w:cs="TimesNewRoman"/>
          <w:sz w:val="20"/>
          <w:szCs w:val="20"/>
          <w:lang w:val="es-ES" w:eastAsia="es-ES_tradnl"/>
        </w:rPr>
        <w:t xml:space="preserve">la Comisión considera que la violación al derecho de defensa resultó especialmente grave en el presente caso, tomando en cuenta que la declaración testimonial del señor Cugat, </w:t>
      </w:r>
      <w:r w:rsidR="006263A9" w:rsidRPr="00C876F7">
        <w:rPr>
          <w:rFonts w:ascii="Cambria" w:hAnsi="Cambria" w:cs="TimesNewRoman"/>
          <w:sz w:val="20"/>
          <w:szCs w:val="20"/>
          <w:lang w:val="es-ES" w:eastAsia="es-ES_tradnl"/>
        </w:rPr>
        <w:t xml:space="preserve">tuvo un valor fundamental en </w:t>
      </w:r>
      <w:r w:rsidR="00984146" w:rsidRPr="00C876F7">
        <w:rPr>
          <w:rFonts w:ascii="Cambria" w:hAnsi="Cambria" w:cs="TimesNewRoman"/>
          <w:sz w:val="20"/>
          <w:szCs w:val="20"/>
          <w:lang w:val="es-ES" w:eastAsia="es-ES_tradnl"/>
        </w:rPr>
        <w:t>la condena.</w:t>
      </w:r>
      <w:r w:rsidR="00FB0D8D" w:rsidRPr="00C876F7">
        <w:rPr>
          <w:rFonts w:ascii="Cambria" w:hAnsi="Cambria" w:cs="TimesNewRoman"/>
          <w:sz w:val="20"/>
          <w:szCs w:val="20"/>
          <w:lang w:val="es-ES" w:eastAsia="es-ES_tradnl"/>
        </w:rPr>
        <w:t xml:space="preserve"> Igualmente, la Comisión considera que otorgarle un fuerte valor probatorio a una prueba practicada en violación al derecho de defensa, y condenar fundamentalmente con base en dicha prueba, cuando no existen otros elementos de corroboración sobre aspectos esenciales para determinar la responsabilidad penal de una persona, resulta violatorio también del principio de presunción de inocencia. </w:t>
      </w:r>
    </w:p>
    <w:p w14:paraId="56FCDB3A" w14:textId="77777777" w:rsidR="00193A05" w:rsidRPr="00C876F7" w:rsidRDefault="00193A05"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s-ES" w:eastAsia="es-ES_tradnl"/>
        </w:rPr>
      </w:pPr>
    </w:p>
    <w:p w14:paraId="4B29B68A" w14:textId="6761BBE2" w:rsidR="00F41690" w:rsidRPr="00C876F7" w:rsidRDefault="00ED0B08"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E</w:t>
      </w:r>
      <w:r w:rsidR="00FA6738" w:rsidRPr="00C876F7">
        <w:rPr>
          <w:rFonts w:ascii="Cambria" w:hAnsi="Cambria" w:cs="TimesNewRoman"/>
          <w:sz w:val="20"/>
          <w:szCs w:val="20"/>
          <w:lang w:val="es-ES" w:eastAsia="es-ES_tradnl"/>
        </w:rPr>
        <w:t xml:space="preserve">l señor Martín presentó un recurso de casación </w:t>
      </w:r>
      <w:r w:rsidR="00295EAE" w:rsidRPr="00C876F7">
        <w:rPr>
          <w:rFonts w:ascii="Cambria" w:hAnsi="Cambria" w:cs="TimesNewRoman"/>
          <w:sz w:val="20"/>
          <w:szCs w:val="20"/>
          <w:lang w:val="es-ES" w:eastAsia="es-ES_tradnl"/>
        </w:rPr>
        <w:t xml:space="preserve">contra la </w:t>
      </w:r>
      <w:r w:rsidR="00FA6738" w:rsidRPr="00C876F7">
        <w:rPr>
          <w:rFonts w:ascii="Cambria" w:hAnsi="Cambria" w:cs="TimesNewRoman"/>
          <w:sz w:val="20"/>
          <w:szCs w:val="20"/>
          <w:lang w:val="es-ES" w:eastAsia="es-ES_tradnl"/>
        </w:rPr>
        <w:t>sentencia condenatoria, el cual fue declarado inadmisible por la Cámara Nacional de Casación Penal. Al respecto, la CIDH nota que la Cámara</w:t>
      </w:r>
      <w:r w:rsidR="00181790" w:rsidRPr="00C876F7">
        <w:rPr>
          <w:rFonts w:ascii="Cambria" w:hAnsi="Cambria" w:cs="TimesNewRoman"/>
          <w:sz w:val="20"/>
          <w:szCs w:val="20"/>
          <w:lang w:val="es-ES" w:eastAsia="es-ES_tradnl"/>
        </w:rPr>
        <w:t xml:space="preserve"> reconoció que conforme a su propio precedente, la imposibilidad de interrogar a un testigo </w:t>
      </w:r>
      <w:r w:rsidR="00A54D49" w:rsidRPr="00C876F7">
        <w:rPr>
          <w:rFonts w:ascii="Cambria" w:hAnsi="Cambria" w:cs="TimesNewRoman"/>
          <w:sz w:val="20"/>
          <w:szCs w:val="20"/>
          <w:lang w:val="es-ES" w:eastAsia="es-ES_tradnl"/>
        </w:rPr>
        <w:t>y la posterior incorporación por lectura de “los dichos incriminatorios” resulta violatorio de la Convención Americana. Sin embargo, indicó que tal precedente no era aplicable al caso. Para sustentar esta afirmación la Cámara hizo referencia al “</w:t>
      </w:r>
      <w:r w:rsidR="00FA6738" w:rsidRPr="00C876F7">
        <w:rPr>
          <w:rFonts w:ascii="Cambria" w:hAnsi="Cambria" w:cs="TimesNewRoman"/>
          <w:sz w:val="20"/>
          <w:szCs w:val="20"/>
          <w:lang w:val="es-ES" w:eastAsia="es-ES_tradnl"/>
        </w:rPr>
        <w:t>método de supresión mental hipotética</w:t>
      </w:r>
      <w:r w:rsidR="00A54D49" w:rsidRPr="00C876F7">
        <w:rPr>
          <w:rFonts w:ascii="Cambria" w:hAnsi="Cambria" w:cs="TimesNewRoman"/>
          <w:sz w:val="20"/>
          <w:szCs w:val="20"/>
          <w:lang w:val="es-ES" w:eastAsia="es-ES_tradnl"/>
        </w:rPr>
        <w:t>”, conforme al cual “n</w:t>
      </w:r>
      <w:r w:rsidR="00FA6738" w:rsidRPr="00C876F7">
        <w:rPr>
          <w:rFonts w:ascii="Cambria" w:hAnsi="Cambria" w:cs="TimesNewRoman"/>
          <w:sz w:val="20"/>
          <w:szCs w:val="20"/>
          <w:lang w:val="es-ES" w:eastAsia="es-ES_tradnl"/>
        </w:rPr>
        <w:t>o se advierte ni se ha demostrado que [se] afecte el mérito incriminador que condujo al estado de certeza [de la condena]”.</w:t>
      </w:r>
      <w:r w:rsidR="00F41690" w:rsidRPr="00C876F7">
        <w:rPr>
          <w:rFonts w:ascii="Cambria" w:hAnsi="Cambria" w:cs="TimesNewRoman"/>
          <w:sz w:val="20"/>
          <w:szCs w:val="20"/>
          <w:lang w:val="es-ES" w:eastAsia="es-ES_tradnl"/>
        </w:rPr>
        <w:t xml:space="preserve"> Sobre esta decisión, la Comisión efectúa las siguientes consideraciones.</w:t>
      </w:r>
    </w:p>
    <w:p w14:paraId="6C4D21AE" w14:textId="1A4CA1A1" w:rsidR="00F41690" w:rsidRPr="00C876F7" w:rsidRDefault="00F41690"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 </w:t>
      </w:r>
    </w:p>
    <w:p w14:paraId="5B3C9FFC" w14:textId="2DC39535" w:rsidR="008257BF" w:rsidRPr="00C876F7" w:rsidRDefault="00F41690"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En primer lugar, la Comisión estima que la decisión de la Cámara Nacional de Casación Penal, consolida las violaciones al derecho de defensa, al de</w:t>
      </w:r>
      <w:r w:rsidR="00375337" w:rsidRPr="00C876F7">
        <w:rPr>
          <w:rFonts w:ascii="Cambria" w:hAnsi="Cambria" w:cs="TimesNewRoman"/>
          <w:sz w:val="20"/>
          <w:szCs w:val="20"/>
          <w:lang w:val="es-ES" w:eastAsia="es-ES_tradnl"/>
        </w:rPr>
        <w:t xml:space="preserve">recho de interrogar testigos y al principio de presunción de inocencia, en los términos analizados. </w:t>
      </w:r>
    </w:p>
    <w:p w14:paraId="4D024C3C" w14:textId="77777777" w:rsidR="00E95A87" w:rsidRPr="00C876F7" w:rsidRDefault="00E95A87"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NewRoman"/>
          <w:sz w:val="20"/>
          <w:szCs w:val="20"/>
          <w:lang w:val="es-ES" w:eastAsia="es-ES_tradnl"/>
        </w:rPr>
      </w:pPr>
    </w:p>
    <w:p w14:paraId="43433B72" w14:textId="77777777" w:rsidR="00E95A87" w:rsidRPr="00C876F7" w:rsidRDefault="00E95A87"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La Comisión considera que, a fin de garantizar el derecho de defensa y el principio de presunción de inocencia, en situaciones en las cuales en segunda instancia se determina que una prueba fue recibida en violación del debido proceso, lo que le corresponde a dicha autoridad es declarar tal situación y devolver el caso a la autoridad inferior a fin de que excluya del proceso decisorio la referida prueba y haga una nueva determinación sobre la responsabilidad penal a la luz de la prueba restante o si corresponde la absolución. Esta nueva determinación debe poder contar con un doble conforme. </w:t>
      </w:r>
    </w:p>
    <w:p w14:paraId="433FD4B7" w14:textId="77777777" w:rsidR="008257BF" w:rsidRPr="00C876F7" w:rsidRDefault="008257BF"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p>
    <w:p w14:paraId="19897F8C" w14:textId="5FFAFE70" w:rsidR="008257BF" w:rsidRPr="00C876F7" w:rsidRDefault="00375337"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t xml:space="preserve">En segundo lugar, la Comisión destaca el lenguaje utilizado por la Cámara al señalar que no “se ha demostrado” que eliminando la declaración del señor Cugat, se afecta el “mérito incriminador”. </w:t>
      </w:r>
      <w:r w:rsidR="00FF3CD3" w:rsidRPr="00C876F7">
        <w:rPr>
          <w:rFonts w:ascii="Cambria" w:hAnsi="Cambria" w:cs="TimesNewRoman"/>
          <w:sz w:val="20"/>
          <w:szCs w:val="20"/>
          <w:lang w:val="es-ES" w:eastAsia="es-ES_tradnl"/>
        </w:rPr>
        <w:t xml:space="preserve">La Cámara </w:t>
      </w:r>
      <w:r w:rsidR="008257BF" w:rsidRPr="00C876F7">
        <w:rPr>
          <w:rFonts w:ascii="Cambria" w:hAnsi="Cambria" w:cs="TimesNewRoman"/>
          <w:sz w:val="20"/>
          <w:szCs w:val="20"/>
          <w:lang w:val="es-ES" w:eastAsia="es-ES_tradnl"/>
        </w:rPr>
        <w:t xml:space="preserve">no explicó de qué forma las </w:t>
      </w:r>
      <w:r w:rsidR="00FF3CD3" w:rsidRPr="00C876F7">
        <w:rPr>
          <w:rFonts w:ascii="Cambria" w:hAnsi="Cambria" w:cs="TimesNewRoman"/>
          <w:sz w:val="20"/>
          <w:szCs w:val="20"/>
          <w:lang w:val="es-ES" w:eastAsia="es-ES_tradnl"/>
        </w:rPr>
        <w:t xml:space="preserve">tres </w:t>
      </w:r>
      <w:r w:rsidR="008257BF" w:rsidRPr="00C876F7">
        <w:rPr>
          <w:rFonts w:ascii="Cambria" w:hAnsi="Cambria" w:cs="TimesNewRoman"/>
          <w:sz w:val="20"/>
          <w:szCs w:val="20"/>
          <w:lang w:val="es-ES" w:eastAsia="es-ES_tradnl"/>
        </w:rPr>
        <w:t>declaraciones coincidían con lo señalado por el señor Cugat. Ello</w:t>
      </w:r>
      <w:r w:rsidR="00FF3CD3" w:rsidRPr="00C876F7">
        <w:rPr>
          <w:rFonts w:ascii="Cambria" w:hAnsi="Cambria" w:cs="TimesNewRoman"/>
          <w:sz w:val="20"/>
          <w:szCs w:val="20"/>
          <w:lang w:val="es-ES" w:eastAsia="es-ES_tradnl"/>
        </w:rPr>
        <w:t xml:space="preserve">, a pesar de que las declaraciones de dichas personas sólo tienen relevancia a partir del testimonio del señor Cugat pues, </w:t>
      </w:r>
      <w:r w:rsidR="008257BF" w:rsidRPr="00C876F7">
        <w:rPr>
          <w:rFonts w:ascii="Cambria" w:hAnsi="Cambria" w:cs="TimesNewRoman"/>
          <w:sz w:val="20"/>
          <w:szCs w:val="20"/>
          <w:lang w:val="es-ES" w:eastAsia="es-ES_tradnl"/>
        </w:rPr>
        <w:t xml:space="preserve">como se indicó, </w:t>
      </w:r>
      <w:r w:rsidR="00FF3CD3" w:rsidRPr="00C876F7">
        <w:rPr>
          <w:rFonts w:ascii="Cambria" w:hAnsi="Cambria" w:cs="TimesNewRoman"/>
          <w:sz w:val="20"/>
          <w:szCs w:val="20"/>
          <w:lang w:val="es-ES" w:eastAsia="es-ES_tradnl"/>
        </w:rPr>
        <w:t>ninguno de ellos presenció el robo ni afirm</w:t>
      </w:r>
      <w:r w:rsidR="00C33FE0" w:rsidRPr="00C876F7">
        <w:rPr>
          <w:rFonts w:ascii="Cambria" w:hAnsi="Cambria" w:cs="TimesNewRoman"/>
          <w:sz w:val="20"/>
          <w:szCs w:val="20"/>
          <w:lang w:val="es-ES" w:eastAsia="es-ES_tradnl"/>
        </w:rPr>
        <w:t>ó</w:t>
      </w:r>
      <w:r w:rsidR="00FF3CD3" w:rsidRPr="00C876F7">
        <w:rPr>
          <w:rFonts w:ascii="Cambria" w:hAnsi="Cambria" w:cs="TimesNewRoman"/>
          <w:sz w:val="20"/>
          <w:szCs w:val="20"/>
          <w:lang w:val="es-ES" w:eastAsia="es-ES_tradnl"/>
        </w:rPr>
        <w:t xml:space="preserve"> que efectivamente el arma y la cas</w:t>
      </w:r>
      <w:r w:rsidR="001232FA" w:rsidRPr="00C876F7">
        <w:rPr>
          <w:rFonts w:ascii="Cambria" w:hAnsi="Cambria" w:cs="TimesNewRoman"/>
          <w:sz w:val="20"/>
          <w:szCs w:val="20"/>
          <w:lang w:val="es-ES" w:eastAsia="es-ES_tradnl"/>
        </w:rPr>
        <w:t>a</w:t>
      </w:r>
      <w:r w:rsidR="00FF3CD3" w:rsidRPr="00C876F7">
        <w:rPr>
          <w:rFonts w:ascii="Cambria" w:hAnsi="Cambria" w:cs="TimesNewRoman"/>
          <w:sz w:val="20"/>
          <w:szCs w:val="20"/>
          <w:lang w:val="es-ES" w:eastAsia="es-ES_tradnl"/>
        </w:rPr>
        <w:t xml:space="preserve">ca estaban en poder del señor Martin. </w:t>
      </w:r>
      <w:r w:rsidR="001232FA" w:rsidRPr="00C876F7">
        <w:rPr>
          <w:rFonts w:ascii="Cambria" w:hAnsi="Cambria" w:cs="TimesNewRoman"/>
          <w:sz w:val="20"/>
          <w:szCs w:val="20"/>
          <w:lang w:val="es-ES" w:eastAsia="es-ES_tradnl"/>
        </w:rPr>
        <w:t>En ese sentido, la Cámara no sólo</w:t>
      </w:r>
      <w:r w:rsidR="00361FD5" w:rsidRPr="00C876F7">
        <w:rPr>
          <w:rFonts w:ascii="Cambria" w:hAnsi="Cambria" w:cs="TimesNewRoman"/>
          <w:sz w:val="20"/>
          <w:szCs w:val="20"/>
          <w:lang w:val="es-ES" w:eastAsia="es-ES_tradnl"/>
        </w:rPr>
        <w:t xml:space="preserve"> consolidó la </w:t>
      </w:r>
      <w:r w:rsidR="001232FA" w:rsidRPr="00C876F7">
        <w:rPr>
          <w:rFonts w:ascii="Cambria" w:hAnsi="Cambria" w:cs="TimesNewRoman"/>
          <w:sz w:val="20"/>
          <w:szCs w:val="20"/>
          <w:lang w:val="es-ES" w:eastAsia="es-ES_tradnl"/>
        </w:rPr>
        <w:t xml:space="preserve">violación del principio de presunción de inocencia, sino que del lenguaje de la sentencia, es posible afirmar que invirtió la carga de la prueba. </w:t>
      </w:r>
      <w:r w:rsidR="008257BF" w:rsidRPr="00C876F7">
        <w:rPr>
          <w:rFonts w:ascii="Cambria" w:hAnsi="Cambria" w:cs="TimesNewRoman"/>
          <w:sz w:val="20"/>
          <w:szCs w:val="20"/>
          <w:lang w:val="es-ES" w:eastAsia="es-ES_tradnl"/>
        </w:rPr>
        <w:t xml:space="preserve"> </w:t>
      </w:r>
    </w:p>
    <w:p w14:paraId="4DBF2595" w14:textId="77777777" w:rsidR="004830D4" w:rsidRPr="00C876F7" w:rsidRDefault="004830D4"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NewRoman"/>
          <w:sz w:val="20"/>
          <w:szCs w:val="20"/>
          <w:lang w:val="es-ES" w:eastAsia="es-ES_tradnl"/>
        </w:rPr>
      </w:pPr>
    </w:p>
    <w:p w14:paraId="36515E05" w14:textId="21025D1A" w:rsidR="004830D4" w:rsidRPr="00C876F7" w:rsidRDefault="0006047C"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TimesNewRoman"/>
          <w:sz w:val="20"/>
          <w:szCs w:val="20"/>
          <w:lang w:val="es-ES" w:eastAsia="es-ES_tradnl"/>
        </w:rPr>
        <w:lastRenderedPageBreak/>
        <w:t>L</w:t>
      </w:r>
      <w:r w:rsidR="004830D4" w:rsidRPr="00C876F7">
        <w:rPr>
          <w:rFonts w:ascii="Cambria" w:hAnsi="Cambria" w:cs="TimesNewRoman"/>
          <w:sz w:val="20"/>
          <w:szCs w:val="20"/>
          <w:lang w:val="es-ES" w:eastAsia="es-ES_tradnl"/>
        </w:rPr>
        <w:t xml:space="preserve">a Comisión considera que ni el recurso de casación ni los recursos interpuestos posteriormente, constituyeron recursos efectivos para remediar las violaciones al debido proceso en perjuicio de Marcos Alejandro Martin, lo que constituyó una violación al derecho a la protección judicial. </w:t>
      </w:r>
    </w:p>
    <w:p w14:paraId="5AF9B44E" w14:textId="77777777" w:rsidR="00047656" w:rsidRPr="00C876F7" w:rsidRDefault="00047656"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Batang" w:hAnsi="Cambria" w:cs="TimesNewRoman"/>
          <w:color w:val="auto"/>
          <w:sz w:val="20"/>
          <w:szCs w:val="20"/>
          <w:bdr w:val="none" w:sz="0" w:space="0" w:color="auto"/>
          <w:lang w:val="es-ES" w:eastAsia="es-ES_tradnl"/>
        </w:rPr>
      </w:pPr>
    </w:p>
    <w:p w14:paraId="22915635" w14:textId="49C3BD51" w:rsidR="007E070A" w:rsidRPr="00C876F7" w:rsidRDefault="007E070A"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TimesNewRoman"/>
          <w:sz w:val="20"/>
          <w:szCs w:val="20"/>
          <w:lang w:val="es-ES" w:eastAsia="es-ES_tradnl"/>
        </w:rPr>
      </w:pPr>
      <w:r w:rsidRPr="00C876F7">
        <w:rPr>
          <w:rFonts w:ascii="Cambria" w:hAnsi="Cambria" w:cs="ACaslonPro-Regular"/>
          <w:sz w:val="20"/>
          <w:szCs w:val="20"/>
          <w:lang w:val="es-ES"/>
        </w:rPr>
        <w:t>En vista de</w:t>
      </w:r>
      <w:r w:rsidR="004830D4" w:rsidRPr="00C876F7">
        <w:rPr>
          <w:rFonts w:ascii="Cambria" w:hAnsi="Cambria" w:cs="ACaslonPro-Regular"/>
          <w:sz w:val="20"/>
          <w:szCs w:val="20"/>
          <w:lang w:val="es-ES"/>
        </w:rPr>
        <w:t xml:space="preserve"> todo</w:t>
      </w:r>
      <w:r w:rsidRPr="00C876F7">
        <w:rPr>
          <w:rFonts w:ascii="Cambria" w:hAnsi="Cambria" w:cs="ACaslonPro-Regular"/>
          <w:sz w:val="20"/>
          <w:szCs w:val="20"/>
          <w:lang w:val="es-ES"/>
        </w:rPr>
        <w:t xml:space="preserve"> lo expuesto, la Comisión con</w:t>
      </w:r>
      <w:r w:rsidR="004830D4" w:rsidRPr="00C876F7">
        <w:rPr>
          <w:rFonts w:ascii="Cambria" w:hAnsi="Cambria" w:cs="ACaslonPro-Regular"/>
          <w:sz w:val="20"/>
          <w:szCs w:val="20"/>
          <w:lang w:val="es-ES"/>
        </w:rPr>
        <w:t xml:space="preserve">cluye </w:t>
      </w:r>
      <w:r w:rsidRPr="00C876F7">
        <w:rPr>
          <w:rFonts w:ascii="Cambria" w:hAnsi="Cambria" w:cs="ACaslonPro-Regular"/>
          <w:sz w:val="20"/>
          <w:szCs w:val="20"/>
          <w:lang w:val="es-ES"/>
        </w:rPr>
        <w:t xml:space="preserve">que el Estado </w:t>
      </w:r>
      <w:r w:rsidR="004830D4" w:rsidRPr="00C876F7">
        <w:rPr>
          <w:rFonts w:ascii="Cambria" w:hAnsi="Cambria" w:cs="ACaslonPro-Regular"/>
          <w:sz w:val="20"/>
          <w:szCs w:val="20"/>
          <w:lang w:val="es-ES"/>
        </w:rPr>
        <w:t xml:space="preserve">de Argentina </w:t>
      </w:r>
      <w:r w:rsidR="00DD7558" w:rsidRPr="00C876F7">
        <w:rPr>
          <w:rFonts w:ascii="Cambria" w:hAnsi="Cambria" w:cs="ACaslonPro-Regular"/>
          <w:sz w:val="20"/>
          <w:szCs w:val="20"/>
          <w:lang w:val="es-ES"/>
        </w:rPr>
        <w:t xml:space="preserve">es responsable por la violación del </w:t>
      </w:r>
      <w:r w:rsidR="00FA6738" w:rsidRPr="00C876F7">
        <w:rPr>
          <w:rFonts w:ascii="Cambria" w:hAnsi="Cambria" w:cs="ACaslonPro-Regular"/>
          <w:sz w:val="20"/>
          <w:szCs w:val="20"/>
          <w:lang w:val="es-ES"/>
        </w:rPr>
        <w:t xml:space="preserve">derecho de defensa, el </w:t>
      </w:r>
      <w:r w:rsidRPr="00C876F7">
        <w:rPr>
          <w:rFonts w:ascii="Cambria" w:hAnsi="Cambria" w:cs="ACaslonPro-Regular"/>
          <w:sz w:val="20"/>
          <w:szCs w:val="20"/>
          <w:lang w:val="es-ES"/>
        </w:rPr>
        <w:t xml:space="preserve">principio </w:t>
      </w:r>
      <w:r w:rsidR="004830D4" w:rsidRPr="00C876F7">
        <w:rPr>
          <w:rFonts w:ascii="Cambria" w:hAnsi="Cambria" w:cs="ACaslonPro-Regular"/>
          <w:sz w:val="20"/>
          <w:szCs w:val="20"/>
          <w:lang w:val="es-ES"/>
        </w:rPr>
        <w:t>de</w:t>
      </w:r>
      <w:r w:rsidRPr="00C876F7">
        <w:rPr>
          <w:rFonts w:ascii="Cambria" w:hAnsi="Cambria" w:cs="ACaslonPro-Regular"/>
          <w:sz w:val="20"/>
          <w:szCs w:val="20"/>
          <w:lang w:val="es-ES"/>
        </w:rPr>
        <w:t xml:space="preserve"> presunción de inocencia, el derecho de interrogar </w:t>
      </w:r>
      <w:r w:rsidR="00DD7558" w:rsidRPr="00C876F7">
        <w:rPr>
          <w:rFonts w:ascii="Cambria" w:hAnsi="Cambria" w:cs="ACaslonPro-Regular"/>
          <w:sz w:val="20"/>
          <w:szCs w:val="20"/>
          <w:lang w:val="es-ES"/>
        </w:rPr>
        <w:t>testigos,</w:t>
      </w:r>
      <w:r w:rsidRPr="00C876F7">
        <w:rPr>
          <w:rFonts w:ascii="Cambria" w:hAnsi="Cambria" w:cs="ACaslonPro-Regular"/>
          <w:sz w:val="20"/>
          <w:szCs w:val="20"/>
          <w:lang w:val="es-ES"/>
        </w:rPr>
        <w:t xml:space="preserve"> </w:t>
      </w:r>
      <w:r w:rsidR="00DD7558" w:rsidRPr="00C876F7">
        <w:rPr>
          <w:rFonts w:ascii="Cambria" w:hAnsi="Cambria" w:cs="ACaslonPro-Regular"/>
          <w:sz w:val="20"/>
          <w:szCs w:val="20"/>
          <w:lang w:val="es-ES"/>
        </w:rPr>
        <w:t xml:space="preserve">el derecho a contar con decisiones debidamente motivadas, </w:t>
      </w:r>
      <w:r w:rsidRPr="00C876F7">
        <w:rPr>
          <w:rFonts w:ascii="Cambria" w:hAnsi="Cambria" w:cs="ACaslonPro-Regular"/>
          <w:sz w:val="20"/>
          <w:szCs w:val="20"/>
          <w:lang w:val="es-ES"/>
        </w:rPr>
        <w:t>el derecho</w:t>
      </w:r>
      <w:r w:rsidR="004830D4" w:rsidRPr="00C876F7">
        <w:rPr>
          <w:rFonts w:ascii="Cambria" w:hAnsi="Cambria" w:cs="ACaslonPro-Regular"/>
          <w:sz w:val="20"/>
          <w:szCs w:val="20"/>
          <w:lang w:val="es-ES"/>
        </w:rPr>
        <w:t xml:space="preserve"> a recurrir el</w:t>
      </w:r>
      <w:r w:rsidR="00DD7558" w:rsidRPr="00C876F7">
        <w:rPr>
          <w:rFonts w:ascii="Cambria" w:hAnsi="Cambria" w:cs="ACaslonPro-Regular"/>
          <w:sz w:val="20"/>
          <w:szCs w:val="20"/>
          <w:lang w:val="es-ES"/>
        </w:rPr>
        <w:t xml:space="preserve"> fallo y el derecho </w:t>
      </w:r>
      <w:r w:rsidRPr="00C876F7">
        <w:rPr>
          <w:rFonts w:ascii="Cambria" w:hAnsi="Cambria" w:cs="ACaslonPro-Regular"/>
          <w:sz w:val="20"/>
          <w:szCs w:val="20"/>
          <w:lang w:val="es-ES"/>
        </w:rPr>
        <w:t>a la protección judicial, establecidos en los artículos</w:t>
      </w:r>
      <w:r w:rsidR="00DD7558" w:rsidRPr="00C876F7">
        <w:rPr>
          <w:rFonts w:ascii="Cambria" w:hAnsi="Cambria" w:cs="ACaslonPro-Regular"/>
          <w:sz w:val="20"/>
          <w:szCs w:val="20"/>
          <w:lang w:val="es-ES"/>
        </w:rPr>
        <w:t xml:space="preserve"> 8.1,</w:t>
      </w:r>
      <w:r w:rsidRPr="00C876F7">
        <w:rPr>
          <w:rFonts w:ascii="Cambria" w:hAnsi="Cambria" w:cs="ACaslonPro-Regular"/>
          <w:sz w:val="20"/>
          <w:szCs w:val="20"/>
          <w:lang w:val="es-ES"/>
        </w:rPr>
        <w:t xml:space="preserve"> 8.2, </w:t>
      </w:r>
      <w:r w:rsidR="00DD7558" w:rsidRPr="00C876F7">
        <w:rPr>
          <w:rFonts w:ascii="Cambria" w:hAnsi="Cambria" w:cs="ACaslonPro-Regular"/>
          <w:sz w:val="20"/>
          <w:szCs w:val="20"/>
          <w:lang w:val="es-ES"/>
        </w:rPr>
        <w:t xml:space="preserve">8.2 c), </w:t>
      </w:r>
      <w:r w:rsidRPr="00C876F7">
        <w:rPr>
          <w:rFonts w:ascii="Cambria" w:hAnsi="Cambria" w:cs="ACaslonPro-Regular"/>
          <w:sz w:val="20"/>
          <w:szCs w:val="20"/>
          <w:lang w:val="es-ES"/>
        </w:rPr>
        <w:t>8.2</w:t>
      </w:r>
      <w:r w:rsidR="00DD7558" w:rsidRPr="00C876F7">
        <w:rPr>
          <w:rFonts w:ascii="Cambria" w:hAnsi="Cambria" w:cs="ACaslonPro-Regular"/>
          <w:sz w:val="20"/>
          <w:szCs w:val="20"/>
          <w:lang w:val="es-ES"/>
        </w:rPr>
        <w:t xml:space="preserve"> </w:t>
      </w:r>
      <w:r w:rsidRPr="00C876F7">
        <w:rPr>
          <w:rFonts w:ascii="Cambria" w:hAnsi="Cambria" w:cs="ACaslonPro-Regular"/>
          <w:sz w:val="20"/>
          <w:szCs w:val="20"/>
          <w:lang w:val="es-ES"/>
        </w:rPr>
        <w:t>f</w:t>
      </w:r>
      <w:r w:rsidR="00DD7558" w:rsidRPr="00C876F7">
        <w:rPr>
          <w:rFonts w:ascii="Cambria" w:hAnsi="Cambria" w:cs="ACaslonPro-Regular"/>
          <w:sz w:val="20"/>
          <w:szCs w:val="20"/>
          <w:lang w:val="es-ES"/>
        </w:rPr>
        <w:t>), 8.2 h)</w:t>
      </w:r>
      <w:r w:rsidRPr="00C876F7">
        <w:rPr>
          <w:rFonts w:ascii="Cambria" w:hAnsi="Cambria" w:cs="ACaslonPro-Regular"/>
          <w:sz w:val="20"/>
          <w:szCs w:val="20"/>
          <w:lang w:val="es-ES"/>
        </w:rPr>
        <w:t xml:space="preserve"> y 25.1 de la Convención Americana, en relación con el artículo 1.</w:t>
      </w:r>
      <w:r w:rsidR="00FA6738" w:rsidRPr="00C876F7">
        <w:rPr>
          <w:rFonts w:ascii="Cambria" w:hAnsi="Cambria" w:cs="ACaslonPro-Regular"/>
          <w:sz w:val="20"/>
          <w:szCs w:val="20"/>
          <w:lang w:val="es-ES"/>
        </w:rPr>
        <w:t>1 del mismo instrumento, en perjuicio de Marcos Alejandro Martín.</w:t>
      </w:r>
      <w:r w:rsidRPr="00C876F7">
        <w:rPr>
          <w:rFonts w:ascii="Cambria" w:hAnsi="Cambria" w:cs="ACaslonPro-Regular"/>
          <w:sz w:val="20"/>
          <w:szCs w:val="20"/>
          <w:lang w:val="es-ES"/>
        </w:rPr>
        <w:t xml:space="preserve"> </w:t>
      </w:r>
    </w:p>
    <w:p w14:paraId="27DF04AF" w14:textId="3C6B05F8" w:rsidR="001A0E2D" w:rsidRPr="00C876F7" w:rsidRDefault="001A0E2D" w:rsidP="00C876F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cs="TimesNewRoman"/>
          <w:sz w:val="20"/>
          <w:szCs w:val="20"/>
          <w:lang w:val="es-ES" w:eastAsia="es-ES_tradnl"/>
        </w:rPr>
      </w:pPr>
      <w:r w:rsidRPr="00C876F7">
        <w:rPr>
          <w:rFonts w:ascii="Cambria" w:hAnsi="Cambria"/>
          <w:spacing w:val="-2"/>
          <w:sz w:val="20"/>
          <w:szCs w:val="20"/>
        </w:rPr>
        <w:t>  </w:t>
      </w:r>
    </w:p>
    <w:p w14:paraId="30D0D7E2" w14:textId="77777777" w:rsidR="00BC035F" w:rsidRPr="00C876F7" w:rsidRDefault="00BC035F" w:rsidP="00C876F7">
      <w:pPr>
        <w:pStyle w:val="Heading2"/>
        <w:numPr>
          <w:ilvl w:val="0"/>
          <w:numId w:val="0"/>
        </w:numPr>
        <w:ind w:left="1440" w:hanging="720"/>
      </w:pPr>
      <w:bookmarkStart w:id="29" w:name="_Toc84427125"/>
      <w:r w:rsidRPr="00C876F7">
        <w:t xml:space="preserve">B. </w:t>
      </w:r>
      <w:r w:rsidRPr="00C876F7">
        <w:tab/>
        <w:t>Derecho a la libertad personal (artículo 7</w:t>
      </w:r>
      <w:r w:rsidR="00CA6B7E" w:rsidRPr="00C876F7">
        <w:rPr>
          <w:rStyle w:val="FootnoteReference"/>
        </w:rPr>
        <w:footnoteReference w:id="65"/>
      </w:r>
      <w:r w:rsidRPr="00C876F7">
        <w:t xml:space="preserve"> de la Convención Americana, en relación con el artículo 1.1 del mismo instrumento)</w:t>
      </w:r>
      <w:bookmarkEnd w:id="29"/>
    </w:p>
    <w:p w14:paraId="56F6D50A" w14:textId="77777777" w:rsidR="00CA6B7E" w:rsidRPr="00C876F7" w:rsidRDefault="00CA6B7E" w:rsidP="00C876F7">
      <w:pPr>
        <w:suppressAutoHyphens/>
        <w:spacing w:after="0" w:line="240" w:lineRule="auto"/>
        <w:jc w:val="both"/>
        <w:rPr>
          <w:rFonts w:ascii="Cambria" w:hAnsi="Cambria"/>
          <w:bCs/>
          <w:sz w:val="20"/>
          <w:szCs w:val="20"/>
          <w:lang w:val="es-ES"/>
        </w:rPr>
      </w:pPr>
    </w:p>
    <w:p w14:paraId="5657B59A" w14:textId="49851108" w:rsidR="00CA6B7E" w:rsidRPr="00C876F7" w:rsidRDefault="005632ED"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Cs/>
          <w:sz w:val="20"/>
          <w:szCs w:val="20"/>
          <w:lang w:val="es-ES"/>
        </w:rPr>
      </w:pPr>
      <w:r w:rsidRPr="00C876F7">
        <w:rPr>
          <w:rFonts w:ascii="Cambria" w:hAnsi="Cambria"/>
          <w:bCs/>
          <w:sz w:val="20"/>
          <w:szCs w:val="20"/>
          <w:lang w:val="es-ES"/>
        </w:rPr>
        <w:t>La Comisión ha sostenido que, en ciertas circunstancias, las violaciones a derechos humanos al momento de adoptar decisiones relacionadas con la libertad de una persona, pueden tornar arbitraria la detención que pudiere resultar de dichas decisiones</w:t>
      </w:r>
      <w:r w:rsidRPr="00C876F7">
        <w:rPr>
          <w:rStyle w:val="FootnoteReference"/>
          <w:rFonts w:ascii="Cambria" w:hAnsi="Cambria"/>
          <w:bCs/>
          <w:sz w:val="20"/>
          <w:szCs w:val="20"/>
          <w:lang w:val="es-ES"/>
        </w:rPr>
        <w:footnoteReference w:id="66"/>
      </w:r>
      <w:r w:rsidRPr="00C876F7">
        <w:rPr>
          <w:rFonts w:ascii="Cambria" w:hAnsi="Cambria"/>
          <w:bCs/>
          <w:sz w:val="20"/>
          <w:szCs w:val="20"/>
          <w:lang w:val="es-ES"/>
        </w:rPr>
        <w:t>. En similar sentido, l</w:t>
      </w:r>
      <w:r w:rsidR="00CA6B7E" w:rsidRPr="00C876F7">
        <w:rPr>
          <w:rFonts w:ascii="Cambria" w:hAnsi="Cambria"/>
          <w:bCs/>
          <w:sz w:val="20"/>
          <w:szCs w:val="20"/>
          <w:lang w:val="es-ES"/>
        </w:rPr>
        <w:t>a Corte ha considerado que la violación a las garantías judiciales puede generar el efecto de viciar el proceso, así como las consecuencias derivadas del mismo, incluyendo la detención de una persona</w:t>
      </w:r>
      <w:r w:rsidR="00CA6B7E" w:rsidRPr="00C876F7">
        <w:rPr>
          <w:rStyle w:val="FootnoteReference"/>
          <w:rFonts w:ascii="Cambria" w:hAnsi="Cambria"/>
          <w:bCs/>
          <w:sz w:val="20"/>
          <w:szCs w:val="20"/>
          <w:lang w:val="es-ES"/>
        </w:rPr>
        <w:footnoteReference w:id="67"/>
      </w:r>
      <w:r w:rsidRPr="00C876F7">
        <w:rPr>
          <w:rFonts w:ascii="Cambria" w:hAnsi="Cambria"/>
          <w:bCs/>
          <w:sz w:val="20"/>
          <w:szCs w:val="20"/>
          <w:lang w:val="es-ES"/>
        </w:rPr>
        <w:t xml:space="preserve">. </w:t>
      </w:r>
      <w:r w:rsidR="00CA6B7E" w:rsidRPr="00C876F7">
        <w:rPr>
          <w:rFonts w:ascii="Cambria" w:hAnsi="Cambria"/>
          <w:bCs/>
          <w:sz w:val="20"/>
          <w:szCs w:val="20"/>
          <w:lang w:val="es-ES"/>
        </w:rPr>
        <w:t xml:space="preserve">Así por ejemplo, uno de los criterios tomados en cuenta por el Grupo de Trabajo de Naciones Unidas sobre la Detención Arbitraria para determinar </w:t>
      </w:r>
      <w:r w:rsidR="00150D9C" w:rsidRPr="00C876F7">
        <w:rPr>
          <w:rFonts w:ascii="Cambria" w:hAnsi="Cambria"/>
          <w:bCs/>
          <w:sz w:val="20"/>
          <w:szCs w:val="20"/>
          <w:lang w:val="es-ES"/>
        </w:rPr>
        <w:t>cuándo</w:t>
      </w:r>
      <w:r w:rsidR="00CA6B7E" w:rsidRPr="00C876F7">
        <w:rPr>
          <w:rFonts w:ascii="Cambria" w:hAnsi="Cambria"/>
          <w:bCs/>
          <w:sz w:val="20"/>
          <w:szCs w:val="20"/>
          <w:lang w:val="es-ES"/>
        </w:rPr>
        <w:t xml:space="preserve"> una privación de libertad puede considerarse arbitraria, se encuentra definido en los siguientes términos: </w:t>
      </w:r>
    </w:p>
    <w:p w14:paraId="7DDEAE08" w14:textId="77777777" w:rsidR="00CA6B7E" w:rsidRPr="00C876F7" w:rsidRDefault="00CA6B7E" w:rsidP="00C876F7">
      <w:pPr>
        <w:suppressAutoHyphens/>
        <w:spacing w:after="0" w:line="240" w:lineRule="auto"/>
        <w:jc w:val="both"/>
        <w:rPr>
          <w:rFonts w:ascii="Cambria" w:hAnsi="Cambria"/>
          <w:bCs/>
          <w:sz w:val="20"/>
          <w:szCs w:val="20"/>
          <w:lang w:val="es-ES"/>
        </w:rPr>
      </w:pPr>
    </w:p>
    <w:p w14:paraId="62C767FC" w14:textId="77777777" w:rsidR="00CA6B7E" w:rsidRPr="00C876F7" w:rsidRDefault="00CA6B7E" w:rsidP="00C876F7">
      <w:pPr>
        <w:suppressAutoHyphens/>
        <w:spacing w:after="0" w:line="240" w:lineRule="auto"/>
        <w:ind w:left="708" w:right="720"/>
        <w:jc w:val="both"/>
        <w:rPr>
          <w:rFonts w:ascii="Cambria" w:hAnsi="Cambria"/>
          <w:bCs/>
          <w:sz w:val="20"/>
          <w:szCs w:val="20"/>
          <w:lang w:val="es-ES"/>
        </w:rPr>
      </w:pPr>
      <w:r w:rsidRPr="00C876F7">
        <w:rPr>
          <w:rFonts w:ascii="Cambria" w:hAnsi="Cambria"/>
          <w:bCs/>
          <w:sz w:val="20"/>
          <w:szCs w:val="20"/>
          <w:lang w:val="es-ES"/>
        </w:rPr>
        <w:t>[C]uando la inobservancia, total o parcial, de las normas internacionales relativas al derecho a un juicio imparcial, establecidas en […] los instrumentos internacionales pertinentes aceptados por los Estados afectados, es de una gravedad tal que confiere a la privación de libertad carácter arbitrario</w:t>
      </w:r>
      <w:r w:rsidRPr="00C876F7">
        <w:rPr>
          <w:rStyle w:val="FootnoteReference"/>
          <w:rFonts w:ascii="Cambria" w:hAnsi="Cambria"/>
          <w:bCs/>
          <w:sz w:val="20"/>
          <w:szCs w:val="20"/>
          <w:lang w:val="es-ES"/>
        </w:rPr>
        <w:footnoteReference w:id="68"/>
      </w:r>
      <w:r w:rsidRPr="00C876F7">
        <w:rPr>
          <w:rFonts w:ascii="Cambria" w:hAnsi="Cambria"/>
          <w:bCs/>
          <w:sz w:val="20"/>
          <w:szCs w:val="20"/>
          <w:lang w:val="es-ES"/>
        </w:rPr>
        <w:t xml:space="preserve">.  </w:t>
      </w:r>
    </w:p>
    <w:p w14:paraId="16ED0AC9" w14:textId="77777777" w:rsidR="00CA6B7E" w:rsidRPr="00C876F7" w:rsidRDefault="00CA6B7E" w:rsidP="00C876F7">
      <w:pPr>
        <w:suppressAutoHyphens/>
        <w:spacing w:after="0" w:line="240" w:lineRule="auto"/>
        <w:jc w:val="both"/>
        <w:rPr>
          <w:rFonts w:ascii="Cambria" w:hAnsi="Cambria"/>
          <w:bCs/>
          <w:sz w:val="20"/>
          <w:szCs w:val="20"/>
          <w:lang w:val="es-ES"/>
        </w:rPr>
      </w:pPr>
    </w:p>
    <w:p w14:paraId="1EC38B80" w14:textId="077E9426" w:rsidR="00CA6B7E" w:rsidRPr="00C876F7" w:rsidRDefault="00CA6B7E" w:rsidP="00C876F7">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Cs/>
          <w:sz w:val="20"/>
          <w:szCs w:val="20"/>
          <w:lang w:val="es-ES"/>
        </w:rPr>
      </w:pPr>
      <w:r w:rsidRPr="00C876F7">
        <w:rPr>
          <w:rFonts w:ascii="Cambria" w:hAnsi="Cambria"/>
          <w:bCs/>
          <w:sz w:val="20"/>
          <w:szCs w:val="20"/>
          <w:lang w:val="es-ES"/>
        </w:rPr>
        <w:t xml:space="preserve">De esta forma, la Comisión constata que si bien la privación de libertad de </w:t>
      </w:r>
      <w:r w:rsidR="00150D9C" w:rsidRPr="00C876F7">
        <w:rPr>
          <w:rFonts w:ascii="Cambria" w:hAnsi="Cambria"/>
          <w:bCs/>
          <w:sz w:val="20"/>
          <w:szCs w:val="20"/>
          <w:lang w:val="es-ES"/>
        </w:rPr>
        <w:t xml:space="preserve">Marcos Alejandro Martín se basó en una sentencia condenatoria emitida por una autoridad judicial, </w:t>
      </w:r>
      <w:r w:rsidRPr="00C876F7">
        <w:rPr>
          <w:rFonts w:ascii="Cambria" w:hAnsi="Cambria"/>
          <w:bCs/>
          <w:sz w:val="20"/>
          <w:szCs w:val="20"/>
          <w:lang w:val="es-ES"/>
        </w:rPr>
        <w:t>ésta devino arbitraria</w:t>
      </w:r>
      <w:r w:rsidRPr="00C876F7">
        <w:rPr>
          <w:rStyle w:val="FootnoteReference"/>
          <w:rFonts w:ascii="Cambria" w:hAnsi="Cambria"/>
          <w:bCs/>
          <w:sz w:val="20"/>
          <w:szCs w:val="20"/>
          <w:lang w:val="es-ES"/>
        </w:rPr>
        <w:footnoteReference w:id="69"/>
      </w:r>
      <w:r w:rsidRPr="00C876F7">
        <w:rPr>
          <w:rFonts w:ascii="Cambria" w:hAnsi="Cambria"/>
          <w:bCs/>
          <w:sz w:val="20"/>
          <w:szCs w:val="20"/>
          <w:lang w:val="es-ES"/>
        </w:rPr>
        <w:t xml:space="preserve">. </w:t>
      </w:r>
      <w:r w:rsidRPr="00C876F7">
        <w:rPr>
          <w:rFonts w:ascii="Cambria" w:hAnsi="Cambria" w:cs="Arial"/>
          <w:sz w:val="20"/>
          <w:szCs w:val="20"/>
          <w:lang w:val="es-ES"/>
        </w:rPr>
        <w:t>La Comisión ha señalado que las personas sólo pueden ser objeto de una restricción a su libertad mediante sentencia basada en</w:t>
      </w:r>
      <w:r w:rsidR="004B1AA4" w:rsidRPr="00C876F7">
        <w:rPr>
          <w:rFonts w:ascii="Cambria" w:hAnsi="Cambria" w:cs="Arial"/>
          <w:sz w:val="20"/>
          <w:szCs w:val="20"/>
          <w:lang w:val="es-ES"/>
        </w:rPr>
        <w:t xml:space="preserve"> un proceso penal</w:t>
      </w:r>
      <w:r w:rsidRPr="00C876F7">
        <w:rPr>
          <w:rFonts w:ascii="Cambria" w:hAnsi="Cambria" w:cs="Arial"/>
          <w:sz w:val="20"/>
          <w:szCs w:val="20"/>
          <w:lang w:val="es-ES"/>
        </w:rPr>
        <w:t xml:space="preserve"> durante el cual hayan tenido la oportunidad de defenderse</w:t>
      </w:r>
      <w:r w:rsidRPr="00C876F7">
        <w:rPr>
          <w:rStyle w:val="FootnoteReference"/>
          <w:rFonts w:ascii="Cambria" w:hAnsi="Cambria" w:cs="Arial"/>
          <w:sz w:val="20"/>
          <w:szCs w:val="20"/>
          <w:lang w:val="es-ES"/>
        </w:rPr>
        <w:footnoteReference w:id="70"/>
      </w:r>
      <w:r w:rsidRPr="00C876F7">
        <w:rPr>
          <w:rFonts w:ascii="Cambria" w:hAnsi="Cambria" w:cs="Arial"/>
          <w:sz w:val="20"/>
          <w:szCs w:val="20"/>
          <w:lang w:val="es-ES"/>
        </w:rPr>
        <w:t xml:space="preserve">, situación que no se presentó </w:t>
      </w:r>
      <w:r w:rsidR="00150D9C" w:rsidRPr="00C876F7">
        <w:rPr>
          <w:rFonts w:ascii="Cambria" w:hAnsi="Cambria" w:cs="Arial"/>
          <w:sz w:val="20"/>
          <w:szCs w:val="20"/>
          <w:lang w:val="es-ES"/>
        </w:rPr>
        <w:t>en el presente caso</w:t>
      </w:r>
      <w:r w:rsidR="004C6C52" w:rsidRPr="00C876F7">
        <w:rPr>
          <w:rFonts w:ascii="Cambria" w:hAnsi="Cambria" w:cs="Arial"/>
          <w:sz w:val="20"/>
          <w:szCs w:val="20"/>
          <w:lang w:val="es-ES"/>
        </w:rPr>
        <w:t>, como se analizó en la sección anterior.</w:t>
      </w:r>
      <w:r w:rsidRPr="00C876F7">
        <w:rPr>
          <w:rFonts w:ascii="Cambria" w:hAnsi="Cambria" w:cs="Arial"/>
          <w:sz w:val="20"/>
          <w:szCs w:val="20"/>
          <w:lang w:val="es-ES"/>
        </w:rPr>
        <w:t xml:space="preserve"> </w:t>
      </w:r>
      <w:r w:rsidRPr="00C876F7">
        <w:rPr>
          <w:rFonts w:ascii="Cambria" w:hAnsi="Cambria"/>
          <w:bCs/>
          <w:sz w:val="20"/>
          <w:szCs w:val="20"/>
          <w:lang w:val="es-ES"/>
        </w:rPr>
        <w:t xml:space="preserve">En ese sentido, la Comisión concluye que el Estado violó </w:t>
      </w:r>
      <w:r w:rsidR="00727FF4" w:rsidRPr="00C876F7">
        <w:rPr>
          <w:rFonts w:ascii="Cambria" w:hAnsi="Cambria"/>
          <w:bCs/>
          <w:sz w:val="20"/>
          <w:szCs w:val="20"/>
          <w:lang w:val="es-ES"/>
        </w:rPr>
        <w:t>los artículos 7.1 y</w:t>
      </w:r>
      <w:r w:rsidRPr="00C876F7">
        <w:rPr>
          <w:rFonts w:ascii="Cambria" w:hAnsi="Cambria"/>
          <w:bCs/>
          <w:sz w:val="20"/>
          <w:szCs w:val="20"/>
          <w:lang w:val="es-ES"/>
        </w:rPr>
        <w:t xml:space="preserve"> 7.3 de la Convención Americana, en relación con el artículo 1.1 de la misma, en perjuicio </w:t>
      </w:r>
      <w:r w:rsidR="00874F2C" w:rsidRPr="00C876F7">
        <w:rPr>
          <w:rFonts w:ascii="Cambria" w:hAnsi="Cambria"/>
          <w:sz w:val="20"/>
          <w:szCs w:val="20"/>
        </w:rPr>
        <w:t xml:space="preserve">de </w:t>
      </w:r>
      <w:r w:rsidR="00874F2C" w:rsidRPr="00C876F7">
        <w:rPr>
          <w:rFonts w:ascii="Cambria" w:hAnsi="Cambria"/>
          <w:sz w:val="20"/>
          <w:szCs w:val="20"/>
          <w:lang w:val="es-ES"/>
        </w:rPr>
        <w:t>Marcos Alejandro Martín</w:t>
      </w:r>
      <w:r w:rsidRPr="00C876F7">
        <w:rPr>
          <w:rFonts w:ascii="Cambria" w:hAnsi="Cambria"/>
          <w:bCs/>
          <w:sz w:val="20"/>
          <w:szCs w:val="20"/>
          <w:lang w:val="es-ES"/>
        </w:rPr>
        <w:t>.</w:t>
      </w:r>
    </w:p>
    <w:p w14:paraId="4ECB761B" w14:textId="77777777" w:rsidR="001D2873" w:rsidRPr="00C876F7" w:rsidRDefault="001D2873" w:rsidP="00C876F7">
      <w:pPr>
        <w:spacing w:after="0" w:line="240" w:lineRule="auto"/>
        <w:jc w:val="both"/>
        <w:rPr>
          <w:rFonts w:ascii="Cambria" w:hAnsi="Cambria"/>
          <w:b/>
          <w:sz w:val="20"/>
          <w:szCs w:val="20"/>
          <w:lang w:val="es-ES"/>
        </w:rPr>
      </w:pPr>
    </w:p>
    <w:p w14:paraId="01C68BE3" w14:textId="1CEB7EA6" w:rsidR="006646D6" w:rsidRPr="00567EFF" w:rsidRDefault="006646D6" w:rsidP="00A04C13">
      <w:pPr>
        <w:pStyle w:val="Heading1"/>
        <w:tabs>
          <w:tab w:val="left" w:pos="1440"/>
        </w:tabs>
        <w:ind w:left="1440" w:hanging="720"/>
        <w:jc w:val="both"/>
        <w:rPr>
          <w:lang w:val="es-ES_tradnl"/>
        </w:rPr>
      </w:pPr>
      <w:bookmarkStart w:id="30" w:name="_Toc84427126"/>
      <w:bookmarkStart w:id="31" w:name="_Toc480636780"/>
      <w:bookmarkStart w:id="32" w:name="_Toc346449098"/>
      <w:bookmarkStart w:id="33" w:name="_Toc474398504"/>
      <w:bookmarkEnd w:id="26"/>
      <w:r w:rsidRPr="00567EFF">
        <w:rPr>
          <w:lang w:val="es-ES_tradnl"/>
        </w:rPr>
        <w:t>ACTUACIONES POSTERIORES AL INFORME No</w:t>
      </w:r>
      <w:r w:rsidR="00D51AF0" w:rsidRPr="00567EFF">
        <w:rPr>
          <w:lang w:val="es-ES_tradnl"/>
        </w:rPr>
        <w:t>. 95/17</w:t>
      </w:r>
      <w:r w:rsidR="00AD23EF" w:rsidRPr="00567EFF">
        <w:rPr>
          <w:lang w:val="es-ES_tradnl"/>
        </w:rPr>
        <w:t xml:space="preserve"> E INFORMACIÓN SOBRE CUMPLIMIENTO</w:t>
      </w:r>
      <w:bookmarkEnd w:id="30"/>
    </w:p>
    <w:p w14:paraId="38F12A6E" w14:textId="77777777" w:rsidR="006646D6" w:rsidRPr="00BE44F1" w:rsidRDefault="006646D6" w:rsidP="006646D6">
      <w:pPr>
        <w:pStyle w:val="Heading1"/>
        <w:numPr>
          <w:ilvl w:val="0"/>
          <w:numId w:val="0"/>
        </w:numPr>
        <w:tabs>
          <w:tab w:val="left" w:pos="1440"/>
        </w:tabs>
        <w:ind w:left="720"/>
        <w:jc w:val="both"/>
        <w:rPr>
          <w:lang w:val="es-ES_tradnl"/>
        </w:rPr>
      </w:pPr>
    </w:p>
    <w:p w14:paraId="7C53861C" w14:textId="0114CC85" w:rsidR="006646D6" w:rsidRPr="00BE44F1" w:rsidRDefault="006646D6" w:rsidP="006646D6">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BE44F1">
        <w:rPr>
          <w:rFonts w:ascii="Cambria" w:hAnsi="Cambria"/>
          <w:sz w:val="20"/>
          <w:szCs w:val="20"/>
          <w:lang w:val="es-ES"/>
        </w:rPr>
        <w:t>La</w:t>
      </w:r>
      <w:r w:rsidRPr="00BE44F1">
        <w:rPr>
          <w:rFonts w:ascii="Cambria" w:hAnsi="Cambria" w:cs="Verdana"/>
          <w:sz w:val="20"/>
          <w:szCs w:val="20"/>
          <w:lang w:val="es-ES" w:bidi="en-US"/>
        </w:rPr>
        <w:t xml:space="preserve"> Comisión adoptó el informe de fondo No. </w:t>
      </w:r>
      <w:r w:rsidR="00D51AF0" w:rsidRPr="00BE44F1">
        <w:rPr>
          <w:rFonts w:ascii="Cambria" w:hAnsi="Cambria" w:cs="Verdana"/>
          <w:sz w:val="20"/>
          <w:szCs w:val="20"/>
          <w:lang w:val="es-ES" w:bidi="en-US"/>
        </w:rPr>
        <w:t>95</w:t>
      </w:r>
      <w:r w:rsidRPr="00BE44F1">
        <w:rPr>
          <w:rFonts w:ascii="Cambria" w:hAnsi="Cambria"/>
          <w:sz w:val="20"/>
          <w:szCs w:val="20"/>
          <w:lang w:val="es-VE"/>
        </w:rPr>
        <w:t>/</w:t>
      </w:r>
      <w:r w:rsidR="00D51AF0" w:rsidRPr="00BE44F1">
        <w:rPr>
          <w:rFonts w:ascii="Cambria" w:hAnsi="Cambria" w:cs="Verdana"/>
          <w:sz w:val="20"/>
          <w:szCs w:val="20"/>
          <w:lang w:val="es-ES" w:bidi="en-US"/>
        </w:rPr>
        <w:t>17</w:t>
      </w:r>
      <w:r w:rsidRPr="00BE44F1">
        <w:rPr>
          <w:rFonts w:ascii="Cambria" w:hAnsi="Cambria" w:cs="Verdana"/>
          <w:sz w:val="20"/>
          <w:szCs w:val="20"/>
          <w:lang w:val="es-ES" w:bidi="en-US"/>
        </w:rPr>
        <w:t xml:space="preserve"> el </w:t>
      </w:r>
      <w:r w:rsidR="00D51AF0" w:rsidRPr="00BE44F1">
        <w:rPr>
          <w:rFonts w:ascii="Cambria" w:hAnsi="Cambria" w:cs="Verdana"/>
          <w:sz w:val="20"/>
          <w:szCs w:val="20"/>
          <w:lang w:val="es-ES" w:bidi="en-US"/>
        </w:rPr>
        <w:t>5 de septiembre de 2017</w:t>
      </w:r>
      <w:r w:rsidRPr="00BE44F1">
        <w:rPr>
          <w:rFonts w:ascii="Cambria" w:hAnsi="Cambria" w:cs="Verdana"/>
          <w:sz w:val="20"/>
          <w:szCs w:val="20"/>
          <w:lang w:val="es-ES" w:bidi="en-US"/>
        </w:rPr>
        <w:t xml:space="preserve"> y lo transmitió al Estado el </w:t>
      </w:r>
      <w:r w:rsidR="00D51AF0" w:rsidRPr="00BE44F1">
        <w:rPr>
          <w:rFonts w:ascii="Cambria" w:hAnsi="Cambria" w:cs="Verdana"/>
          <w:sz w:val="20"/>
          <w:szCs w:val="20"/>
          <w:lang w:val="es-ES" w:bidi="en-US"/>
        </w:rPr>
        <w:t>28 de septiembre</w:t>
      </w:r>
      <w:r w:rsidRPr="00BE44F1">
        <w:rPr>
          <w:rFonts w:ascii="Cambria" w:hAnsi="Cambria" w:cs="Verdana"/>
          <w:sz w:val="20"/>
          <w:szCs w:val="20"/>
          <w:lang w:val="es-ES" w:bidi="en-US"/>
        </w:rPr>
        <w:t xml:space="preserve"> del mismo año. En dicho informe la Comisión recomendó:</w:t>
      </w:r>
    </w:p>
    <w:p w14:paraId="62967C5E" w14:textId="77777777" w:rsidR="006646D6" w:rsidRPr="00BE44F1" w:rsidRDefault="006646D6" w:rsidP="006646D6">
      <w:pPr>
        <w:spacing w:after="0" w:line="240" w:lineRule="auto"/>
        <w:rPr>
          <w:rFonts w:ascii="Cambria" w:hAnsi="Cambria"/>
          <w:sz w:val="20"/>
          <w:szCs w:val="20"/>
          <w:lang w:val="es-ES_tradnl"/>
        </w:rPr>
      </w:pPr>
    </w:p>
    <w:p w14:paraId="31B801BB" w14:textId="09D1661C" w:rsidR="006646D6" w:rsidRPr="00BE44F1" w:rsidRDefault="006646D6" w:rsidP="006646D6">
      <w:pPr>
        <w:pStyle w:val="BodyText3"/>
        <w:tabs>
          <w:tab w:val="left" w:pos="1440"/>
        </w:tabs>
        <w:spacing w:after="0"/>
        <w:ind w:left="1440" w:right="720" w:hanging="720"/>
        <w:jc w:val="both"/>
        <w:rPr>
          <w:rFonts w:ascii="Cambria" w:hAnsi="Cambria"/>
          <w:sz w:val="20"/>
          <w:szCs w:val="20"/>
          <w:lang w:val="es-ES"/>
        </w:rPr>
      </w:pPr>
      <w:r w:rsidRPr="00BE44F1">
        <w:rPr>
          <w:rFonts w:ascii="Cambria" w:hAnsi="Cambria"/>
          <w:sz w:val="20"/>
          <w:szCs w:val="20"/>
          <w:lang w:val="es-ES"/>
        </w:rPr>
        <w:t xml:space="preserve">1. </w:t>
      </w:r>
      <w:r w:rsidRPr="00BE44F1">
        <w:rPr>
          <w:rFonts w:ascii="Cambria" w:hAnsi="Cambria"/>
          <w:sz w:val="20"/>
          <w:szCs w:val="20"/>
          <w:lang w:val="es-ES"/>
        </w:rPr>
        <w:tab/>
      </w:r>
      <w:r w:rsidRPr="00BE44F1">
        <w:rPr>
          <w:rFonts w:ascii="Cambria" w:hAnsi="Cambria" w:cs="Arial"/>
          <w:sz w:val="20"/>
          <w:szCs w:val="20"/>
        </w:rPr>
        <w:t xml:space="preserve">Adoptar las medidas necesarias para dejar sin efectos la condena en contra de </w:t>
      </w:r>
      <w:r w:rsidRPr="00BE44F1">
        <w:rPr>
          <w:rFonts w:ascii="Cambria" w:hAnsi="Cambria"/>
          <w:sz w:val="20"/>
          <w:szCs w:val="20"/>
          <w:lang w:val="es-ES"/>
        </w:rPr>
        <w:t>Marcos Alejandro Martín.</w:t>
      </w:r>
    </w:p>
    <w:p w14:paraId="7B272CBD" w14:textId="77777777" w:rsidR="006646D6" w:rsidRPr="00BE44F1" w:rsidRDefault="006646D6" w:rsidP="006646D6">
      <w:pPr>
        <w:pStyle w:val="BodyText3"/>
        <w:tabs>
          <w:tab w:val="left" w:pos="1440"/>
        </w:tabs>
        <w:spacing w:after="0"/>
        <w:ind w:left="1440" w:right="720" w:hanging="720"/>
        <w:jc w:val="both"/>
        <w:rPr>
          <w:rFonts w:ascii="Cambria" w:hAnsi="Cambria"/>
          <w:sz w:val="20"/>
          <w:szCs w:val="20"/>
          <w:lang w:val="es-ES"/>
        </w:rPr>
      </w:pPr>
    </w:p>
    <w:p w14:paraId="28EC3C48" w14:textId="4146EC61" w:rsidR="006646D6" w:rsidRPr="00BE44F1" w:rsidRDefault="006646D6" w:rsidP="006646D6">
      <w:pPr>
        <w:pStyle w:val="BodyText3"/>
        <w:tabs>
          <w:tab w:val="left" w:pos="1440"/>
        </w:tabs>
        <w:spacing w:after="0"/>
        <w:ind w:left="1440" w:right="720" w:hanging="720"/>
        <w:jc w:val="both"/>
        <w:rPr>
          <w:rFonts w:ascii="Cambria" w:hAnsi="Cambria"/>
          <w:sz w:val="20"/>
          <w:szCs w:val="20"/>
          <w:lang w:val="es-ES"/>
        </w:rPr>
      </w:pPr>
      <w:r w:rsidRPr="00BE44F1">
        <w:rPr>
          <w:rFonts w:ascii="Cambria" w:hAnsi="Cambria"/>
          <w:sz w:val="20"/>
          <w:szCs w:val="20"/>
          <w:lang w:val="es-ES"/>
        </w:rPr>
        <w:t xml:space="preserve">2. </w:t>
      </w:r>
      <w:r w:rsidRPr="00BE44F1">
        <w:rPr>
          <w:rFonts w:ascii="Cambria" w:hAnsi="Cambria"/>
          <w:sz w:val="20"/>
          <w:szCs w:val="20"/>
          <w:lang w:val="es-ES"/>
        </w:rPr>
        <w:tab/>
      </w:r>
      <w:r w:rsidRPr="00BE44F1">
        <w:rPr>
          <w:rFonts w:ascii="Cambria" w:hAnsi="Cambria" w:cs="Tahoma"/>
          <w:sz w:val="20"/>
          <w:szCs w:val="20"/>
          <w:lang w:val="es-ES"/>
        </w:rPr>
        <w:t xml:space="preserve">Reparar integralmente las violaciones de derechos humanos declaradas en el presente informe tanto en el aspecto material como inmaterial. Para ello, el Estado </w:t>
      </w:r>
      <w:r w:rsidRPr="00BE44F1">
        <w:rPr>
          <w:rFonts w:ascii="Cambria" w:hAnsi="Cambria" w:cs="Tahoma"/>
          <w:sz w:val="20"/>
          <w:szCs w:val="20"/>
          <w:lang w:val="es-ES"/>
        </w:rPr>
        <w:lastRenderedPageBreak/>
        <w:t>deberá adoptar medidas de compensación económica y satisfacción en favor de la víctima.</w:t>
      </w:r>
    </w:p>
    <w:p w14:paraId="31DE3FD8" w14:textId="77777777" w:rsidR="006646D6" w:rsidRPr="00BE44F1" w:rsidRDefault="006646D6" w:rsidP="006646D6">
      <w:pPr>
        <w:spacing w:after="0" w:line="240" w:lineRule="auto"/>
        <w:rPr>
          <w:rFonts w:ascii="Cambria" w:hAnsi="Cambria"/>
          <w:sz w:val="20"/>
          <w:szCs w:val="20"/>
          <w:lang w:val="es-ES"/>
        </w:rPr>
      </w:pPr>
    </w:p>
    <w:p w14:paraId="390E13C3" w14:textId="77BE5AE9" w:rsidR="006646D6" w:rsidRPr="00567EFF" w:rsidRDefault="006646D6" w:rsidP="006646D6">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Verdana"/>
          <w:sz w:val="20"/>
          <w:szCs w:val="20"/>
          <w:lang w:val="es-ES" w:bidi="en-US"/>
        </w:rPr>
      </w:pPr>
      <w:r w:rsidRPr="00BE44F1">
        <w:rPr>
          <w:rFonts w:ascii="Cambria" w:hAnsi="Cambria" w:cs="Verdana"/>
          <w:sz w:val="20"/>
          <w:szCs w:val="20"/>
          <w:lang w:val="es-ES" w:bidi="en-US"/>
        </w:rPr>
        <w:t xml:space="preserve">En el trámite seguido con posterioridad a la notificación del informe de fondo, la Comisión recibió varios informes del Estado y escritos de la parte peticionaria sobre el cumplimiento de las recomendaciones establecidas por la CIDH. Durante este periodo la Comisión otorgó </w:t>
      </w:r>
      <w:r w:rsidR="00D51AF0" w:rsidRPr="00BE44F1">
        <w:rPr>
          <w:rFonts w:ascii="Cambria" w:hAnsi="Cambria" w:cs="Verdana"/>
          <w:sz w:val="20"/>
          <w:szCs w:val="20"/>
          <w:lang w:val="es-ES" w:bidi="en-US"/>
        </w:rPr>
        <w:t>seis</w:t>
      </w:r>
      <w:r w:rsidRPr="00BE44F1">
        <w:rPr>
          <w:rFonts w:ascii="Cambria" w:hAnsi="Cambria" w:cs="Verdana"/>
          <w:sz w:val="20"/>
          <w:szCs w:val="20"/>
          <w:lang w:val="es-ES" w:bidi="en-US"/>
        </w:rPr>
        <w:t xml:space="preserve"> prórrogas al Estado para la suspensión del plazo previsto en el artículo 51 de la Convención Americana. En dichas solicitudes de prórroga el Estado </w:t>
      </w:r>
      <w:r w:rsidR="00D51AF0" w:rsidRPr="00BE44F1">
        <w:rPr>
          <w:rFonts w:ascii="Cambria" w:hAnsi="Cambria" w:cs="Verdana"/>
          <w:sz w:val="20"/>
          <w:szCs w:val="20"/>
          <w:lang w:val="es-ES" w:bidi="en-US"/>
        </w:rPr>
        <w:t>argentino</w:t>
      </w:r>
      <w:r w:rsidRPr="00BE44F1">
        <w:rPr>
          <w:rFonts w:ascii="Cambria" w:hAnsi="Cambria" w:cs="Verdana"/>
          <w:sz w:val="20"/>
          <w:szCs w:val="20"/>
          <w:lang w:val="es-ES" w:bidi="en-US"/>
        </w:rPr>
        <w:t xml:space="preserve"> reiteró su voluntad de cumplir con las recomendaciones. Asimismo, renunció expresamente a interponer excepciones preliminares por incumplimiento del referido plazo en la eventualidad de que el caso fuera sometido a la Corte </w:t>
      </w:r>
      <w:r w:rsidRPr="00567EFF">
        <w:rPr>
          <w:rFonts w:ascii="Cambria" w:hAnsi="Cambria" w:cs="Verdana"/>
          <w:sz w:val="20"/>
          <w:szCs w:val="20"/>
          <w:lang w:val="es-ES" w:bidi="en-US"/>
        </w:rPr>
        <w:t>Interamericana.</w:t>
      </w:r>
    </w:p>
    <w:p w14:paraId="2C9E3118" w14:textId="77777777" w:rsidR="006646D6" w:rsidRPr="00567EFF" w:rsidRDefault="006646D6" w:rsidP="006646D6">
      <w:pPr>
        <w:spacing w:after="0" w:line="240" w:lineRule="auto"/>
        <w:rPr>
          <w:rFonts w:ascii="Cambria" w:hAnsi="Cambria"/>
          <w:sz w:val="20"/>
          <w:szCs w:val="20"/>
          <w:lang w:val="es-ES"/>
        </w:rPr>
      </w:pPr>
    </w:p>
    <w:p w14:paraId="56274DE7" w14:textId="6428C315" w:rsidR="00116C28" w:rsidRPr="00567EFF" w:rsidRDefault="006646D6" w:rsidP="00116C28">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CO"/>
        </w:rPr>
      </w:pPr>
      <w:r w:rsidRPr="00567EFF">
        <w:rPr>
          <w:rFonts w:ascii="Cambria" w:hAnsi="Cambria"/>
          <w:spacing w:val="-3"/>
          <w:sz w:val="20"/>
          <w:szCs w:val="20"/>
          <w:lang w:val="es-ES"/>
        </w:rPr>
        <w:t xml:space="preserve">La </w:t>
      </w:r>
      <w:r w:rsidRPr="00567EFF">
        <w:rPr>
          <w:rFonts w:ascii="Cambria" w:hAnsi="Cambria" w:cs="Verdana"/>
          <w:sz w:val="20"/>
          <w:szCs w:val="20"/>
          <w:lang w:val="es-ES" w:bidi="en-US"/>
        </w:rPr>
        <w:t>CIDH</w:t>
      </w:r>
      <w:r w:rsidRPr="00567EFF">
        <w:rPr>
          <w:rFonts w:ascii="Cambria" w:hAnsi="Cambria"/>
          <w:spacing w:val="-3"/>
          <w:sz w:val="20"/>
          <w:szCs w:val="20"/>
          <w:lang w:val="es-ES"/>
        </w:rPr>
        <w:t xml:space="preserve"> toma nota de que el </w:t>
      </w:r>
      <w:r w:rsidR="00116C28" w:rsidRPr="00567EFF">
        <w:rPr>
          <w:rFonts w:ascii="Cambria" w:hAnsi="Cambria"/>
          <w:sz w:val="20"/>
          <w:szCs w:val="20"/>
          <w:lang w:val="es-CO"/>
        </w:rPr>
        <w:t>12 de junio de 2018 las partes suscribieron un “Acuerdo de Cumplimiento de Recomendaciones”. Asimismo, la Comisión observa que el 18 de marzo de 2019 se aprobó dicho acuerdo mediante Decreto Ejecutivo No. 201/2019 y se publicó al día siguiente en el Boletín Oficial.</w:t>
      </w:r>
    </w:p>
    <w:p w14:paraId="608331FE" w14:textId="4D0D048D" w:rsidR="00116C28" w:rsidRPr="00567EFF" w:rsidRDefault="00116C28" w:rsidP="00291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pacing w:val="-3"/>
          <w:sz w:val="20"/>
          <w:szCs w:val="20"/>
          <w:lang w:val="es-ES"/>
        </w:rPr>
      </w:pPr>
    </w:p>
    <w:p w14:paraId="7111D839" w14:textId="050C9256" w:rsidR="00291B68" w:rsidRPr="00567EFF" w:rsidRDefault="00291B68" w:rsidP="006646D6">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3"/>
          <w:sz w:val="20"/>
          <w:szCs w:val="20"/>
          <w:lang w:val="es-ES"/>
        </w:rPr>
      </w:pPr>
      <w:r w:rsidRPr="00567EFF">
        <w:rPr>
          <w:rFonts w:ascii="Cambria" w:hAnsi="Cambria"/>
          <w:spacing w:val="-3"/>
          <w:sz w:val="20"/>
          <w:szCs w:val="20"/>
          <w:lang w:val="es-ES"/>
        </w:rPr>
        <w:t xml:space="preserve">La Comisión observa que en el Acuerdo de Cumplimiento de Recomendaciones señala que el Estado adoptará las siguientes medidas: i) se constituirá un tribunal ad-hoc a efectos de que determine el monto de indemnización que corresponde; ii) se publicará el acuerdo en un diario de alcance nacional; y iii) se prestará atención médica y/o psicológica a la víctima en caso lo solicite. Asimismo, el Estado informó que el registro de la condena impuesta a la víctima caducó y que ni el Registro Nacional de Reincidencia ni la Policía Federal Argentina tienen registros sobre dicha condena. Agregó que sin perjuicio de ello, se compromete a </w:t>
      </w:r>
      <w:r w:rsidR="002D3696" w:rsidRPr="00567EFF">
        <w:rPr>
          <w:rFonts w:ascii="Cambria" w:hAnsi="Cambria"/>
          <w:spacing w:val="-3"/>
          <w:sz w:val="20"/>
          <w:szCs w:val="20"/>
          <w:lang w:val="es-ES"/>
        </w:rPr>
        <w:t xml:space="preserve">comunicar a cualquier juzgado que indique la parte peticionaria que se deje sin efectos la condena a la víctima. </w:t>
      </w:r>
    </w:p>
    <w:p w14:paraId="3F66DCEA" w14:textId="77777777" w:rsidR="00291B68" w:rsidRPr="00567EFF" w:rsidRDefault="00291B68" w:rsidP="00291B6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pacing w:val="-3"/>
          <w:sz w:val="20"/>
          <w:szCs w:val="20"/>
          <w:lang w:val="es-ES"/>
        </w:rPr>
      </w:pPr>
    </w:p>
    <w:p w14:paraId="29009921" w14:textId="40314057" w:rsidR="00291B68" w:rsidRPr="00567EFF" w:rsidRDefault="00291B68" w:rsidP="006646D6">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pacing w:val="-3"/>
          <w:sz w:val="20"/>
          <w:szCs w:val="20"/>
          <w:lang w:val="es-ES"/>
        </w:rPr>
      </w:pPr>
      <w:r w:rsidRPr="00567EFF">
        <w:rPr>
          <w:rFonts w:ascii="Cambria" w:hAnsi="Cambria"/>
          <w:spacing w:val="-3"/>
          <w:sz w:val="20"/>
          <w:szCs w:val="20"/>
          <w:lang w:val="es-ES"/>
        </w:rPr>
        <w:t xml:space="preserve">La CIDH valora las medidas adoptadas por el Estado para alcanzar un acuerdo de cumplimiento de recomendaciones con la parte peticionaria. La Comisión observa que, tal como ha sostenido la parte peticionaria y que no ha sido controvertido por el Estado, dichas medidas </w:t>
      </w:r>
      <w:r w:rsidR="008F0453" w:rsidRPr="00567EFF">
        <w:rPr>
          <w:rFonts w:ascii="Cambria" w:hAnsi="Cambria"/>
          <w:spacing w:val="-3"/>
          <w:sz w:val="20"/>
          <w:szCs w:val="20"/>
          <w:lang w:val="es-ES"/>
        </w:rPr>
        <w:t>se encuentran pendientes de cumplimiento.</w:t>
      </w:r>
    </w:p>
    <w:p w14:paraId="3C7E1E5A" w14:textId="77777777" w:rsidR="00AD23EF" w:rsidRPr="00567EFF" w:rsidRDefault="00AD23EF" w:rsidP="00AD23E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3"/>
          <w:sz w:val="20"/>
          <w:szCs w:val="20"/>
          <w:lang w:val="es-ES"/>
        </w:rPr>
      </w:pPr>
    </w:p>
    <w:p w14:paraId="308A2EC6" w14:textId="4E7CB7E8" w:rsidR="00AD23EF" w:rsidRPr="00567EFF" w:rsidRDefault="00AD23EF" w:rsidP="00AD23EF">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Verdana"/>
          <w:sz w:val="20"/>
          <w:szCs w:val="20"/>
          <w:lang w:val="es-ES" w:bidi="en-US"/>
        </w:rPr>
      </w:pPr>
      <w:r w:rsidRPr="00567EFF">
        <w:rPr>
          <w:rFonts w:ascii="Cambria" w:hAnsi="Cambria" w:cs="Verdana"/>
          <w:sz w:val="20"/>
          <w:szCs w:val="20"/>
          <w:lang w:val="es-ES" w:bidi="en-US"/>
        </w:rPr>
        <w:t xml:space="preserve">Tras evaluar la información disponible sobre el estado de cumplimiento de las recomendaciones, la Comisión decidió el 26 de abril de 2019 por mayoría absoluta no enviar el caso a la Corte Interamericana y proceder hacia la publicación del informe de fondo. </w:t>
      </w:r>
    </w:p>
    <w:p w14:paraId="480F54FC" w14:textId="77777777" w:rsidR="00AD23EF" w:rsidRPr="00567EFF" w:rsidRDefault="00AD23EF" w:rsidP="0048754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es-ES" w:bidi="en-US"/>
        </w:rPr>
      </w:pPr>
    </w:p>
    <w:p w14:paraId="13C50304" w14:textId="551F730E" w:rsidR="00AD23EF" w:rsidRPr="00567EFF" w:rsidRDefault="00AD23EF" w:rsidP="00A04C13">
      <w:pPr>
        <w:pStyle w:val="Heading1"/>
        <w:tabs>
          <w:tab w:val="left" w:pos="1440"/>
        </w:tabs>
        <w:ind w:left="1440" w:hanging="720"/>
        <w:jc w:val="both"/>
        <w:rPr>
          <w:lang w:val="es-ES_tradnl"/>
        </w:rPr>
      </w:pPr>
      <w:bookmarkStart w:id="34" w:name="_Toc84427127"/>
      <w:r w:rsidRPr="00567EFF">
        <w:rPr>
          <w:lang w:val="es-ES_tradnl"/>
        </w:rPr>
        <w:t>ACTUACIONES POSTERIORES AL INFORME No. 98/19 E INFORMACIÓN SOBRE CUMPLIMIENTO</w:t>
      </w:r>
      <w:bookmarkEnd w:id="34"/>
    </w:p>
    <w:p w14:paraId="21A813E1" w14:textId="77777777" w:rsidR="00AD23EF" w:rsidRPr="00567EFF" w:rsidRDefault="00AD23EF" w:rsidP="00AD23EF">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427013D8" w14:textId="0DE76382" w:rsidR="00AD23EF" w:rsidRPr="00567EFF" w:rsidRDefault="00AD23EF" w:rsidP="00AD23EF">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567EFF">
        <w:rPr>
          <w:rFonts w:ascii="Cambria" w:hAnsi="Cambria"/>
          <w:sz w:val="20"/>
          <w:szCs w:val="20"/>
          <w:lang w:val="es-ES"/>
        </w:rPr>
        <w:t>La</w:t>
      </w:r>
      <w:r w:rsidRPr="00567EFF">
        <w:rPr>
          <w:rFonts w:ascii="Cambria" w:hAnsi="Cambria" w:cs="Verdana"/>
          <w:sz w:val="20"/>
          <w:szCs w:val="20"/>
          <w:lang w:val="es-ES" w:bidi="en-US"/>
        </w:rPr>
        <w:t xml:space="preserve"> Comisión adoptó el informe de fondo No. 98</w:t>
      </w:r>
      <w:r w:rsidRPr="00567EFF">
        <w:rPr>
          <w:rFonts w:ascii="Cambria" w:hAnsi="Cambria"/>
          <w:sz w:val="20"/>
          <w:szCs w:val="20"/>
          <w:lang w:val="es-VE"/>
        </w:rPr>
        <w:t>/</w:t>
      </w:r>
      <w:r w:rsidRPr="00567EFF">
        <w:rPr>
          <w:rFonts w:ascii="Cambria" w:hAnsi="Cambria" w:cs="Verdana"/>
          <w:sz w:val="20"/>
          <w:szCs w:val="20"/>
          <w:lang w:val="es-ES" w:bidi="en-US"/>
        </w:rPr>
        <w:t xml:space="preserve">19 </w:t>
      </w:r>
      <w:r w:rsidR="00BD2F95" w:rsidRPr="00567EFF">
        <w:rPr>
          <w:rFonts w:ascii="Cambria" w:hAnsi="Cambria" w:cs="Verdana"/>
          <w:sz w:val="20"/>
          <w:szCs w:val="20"/>
          <w:lang w:val="es-ES" w:bidi="en-US"/>
        </w:rPr>
        <w:t xml:space="preserve">(final) </w:t>
      </w:r>
      <w:r w:rsidRPr="00567EFF">
        <w:rPr>
          <w:rFonts w:ascii="Cambria" w:hAnsi="Cambria" w:cs="Verdana"/>
          <w:sz w:val="20"/>
          <w:szCs w:val="20"/>
          <w:lang w:val="es-ES" w:bidi="en-US"/>
        </w:rPr>
        <w:t xml:space="preserve">el 17 de junio de 2019 y lo transmitió al Estado el 3 de julio del mismo año otorgándole el plazo de dos meses para informar a la CIDH sobre las medidas adoptadas para el cumplimiento de sus recomendaciones. </w:t>
      </w:r>
    </w:p>
    <w:bookmarkEnd w:id="31"/>
    <w:p w14:paraId="1032E855" w14:textId="77777777" w:rsidR="001B3677" w:rsidRPr="00567EFF" w:rsidRDefault="001B3677" w:rsidP="006646D6">
      <w:pPr>
        <w:spacing w:after="0" w:line="240" w:lineRule="auto"/>
        <w:jc w:val="both"/>
        <w:rPr>
          <w:rFonts w:ascii="Cambria" w:hAnsi="Cambria"/>
          <w:sz w:val="20"/>
          <w:szCs w:val="20"/>
          <w:lang w:val="es-ES_tradnl"/>
        </w:rPr>
      </w:pPr>
    </w:p>
    <w:bookmarkEnd w:id="22"/>
    <w:bookmarkEnd w:id="23"/>
    <w:bookmarkEnd w:id="24"/>
    <w:bookmarkEnd w:id="25"/>
    <w:bookmarkEnd w:id="32"/>
    <w:bookmarkEnd w:id="33"/>
    <w:p w14:paraId="60356B52" w14:textId="0B9F416F" w:rsidR="00DA356C" w:rsidRPr="00567EFF" w:rsidRDefault="007A382B" w:rsidP="00EF278B">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En</w:t>
      </w:r>
      <w:r w:rsidRPr="00567EFF">
        <w:rPr>
          <w:rFonts w:ascii="Cambria" w:hAnsi="Cambria" w:cs="Verdana"/>
          <w:sz w:val="20"/>
          <w:szCs w:val="20"/>
          <w:lang w:val="es-ES" w:bidi="en-US"/>
        </w:rPr>
        <w:t xml:space="preserve"> el trámite seguido con posterioridad a la notificación del informe de fondo final, la Comisión recibió informes del Estado y escritos de la parte peticionaria </w:t>
      </w:r>
      <w:r w:rsidR="00EF278B" w:rsidRPr="00567EFF">
        <w:rPr>
          <w:rFonts w:ascii="Cambria" w:hAnsi="Cambria" w:cs="Verdana"/>
          <w:sz w:val="20"/>
          <w:szCs w:val="20"/>
          <w:lang w:val="es-ES" w:bidi="en-US"/>
        </w:rPr>
        <w:t xml:space="preserve">en relación </w:t>
      </w:r>
      <w:r w:rsidR="00591D2F" w:rsidRPr="00567EFF">
        <w:rPr>
          <w:rFonts w:ascii="Cambria" w:hAnsi="Cambria" w:cs="Verdana"/>
          <w:sz w:val="20"/>
          <w:szCs w:val="20"/>
          <w:lang w:val="es-ES" w:bidi="en-US"/>
        </w:rPr>
        <w:t>con el</w:t>
      </w:r>
      <w:r w:rsidR="00EF278B" w:rsidRPr="00567EFF">
        <w:rPr>
          <w:rFonts w:ascii="Cambria" w:hAnsi="Cambria" w:cs="Verdana"/>
          <w:sz w:val="20"/>
          <w:szCs w:val="20"/>
          <w:lang w:val="es-ES" w:bidi="en-US"/>
        </w:rPr>
        <w:t xml:space="preserve"> cumplimiento de las recomendaciones,</w:t>
      </w:r>
      <w:r w:rsidR="00591D2F" w:rsidRPr="00567EFF">
        <w:rPr>
          <w:rFonts w:ascii="Cambria" w:hAnsi="Cambria" w:cs="Verdana"/>
          <w:sz w:val="20"/>
          <w:szCs w:val="20"/>
          <w:lang w:val="es-ES" w:bidi="en-US"/>
        </w:rPr>
        <w:t xml:space="preserve"> </w:t>
      </w:r>
      <w:r w:rsidRPr="00567EFF">
        <w:rPr>
          <w:rFonts w:ascii="Cambria" w:hAnsi="Cambria" w:cs="Verdana"/>
          <w:sz w:val="20"/>
          <w:szCs w:val="20"/>
          <w:lang w:val="es-ES" w:bidi="en-US"/>
        </w:rPr>
        <w:t>la adopción de</w:t>
      </w:r>
      <w:r w:rsidRPr="00567EFF">
        <w:rPr>
          <w:rFonts w:ascii="Cambria" w:hAnsi="Cambria"/>
          <w:sz w:val="20"/>
          <w:szCs w:val="20"/>
          <w:lang w:val="es-ES"/>
        </w:rPr>
        <w:t>l Reglamento del Tribunal Arbitral Ad Hoc para la determinación del monto de la reparación pecuniaria a otorgar al peticionario en el presente caso</w:t>
      </w:r>
      <w:r w:rsidRPr="00567EFF">
        <w:rPr>
          <w:rFonts w:ascii="Cambria" w:hAnsi="Cambria" w:cs="Verdana"/>
          <w:sz w:val="20"/>
          <w:szCs w:val="20"/>
          <w:lang w:val="es-ES" w:bidi="en-US"/>
        </w:rPr>
        <w:t xml:space="preserve"> y su conformación</w:t>
      </w:r>
      <w:r w:rsidR="00EF278B" w:rsidRPr="00567EFF">
        <w:rPr>
          <w:rFonts w:ascii="Cambria" w:hAnsi="Cambria" w:cs="Verdana"/>
          <w:sz w:val="20"/>
          <w:szCs w:val="20"/>
          <w:lang w:val="es-ES" w:bidi="en-US"/>
        </w:rPr>
        <w:t>, comunicaciones que fueron debidamente trasladadas a las partes.</w:t>
      </w:r>
      <w:r w:rsidR="00DA356C" w:rsidRPr="00567EFF">
        <w:rPr>
          <w:rFonts w:ascii="Cambria" w:hAnsi="Cambria" w:cs="Verdana"/>
          <w:sz w:val="20"/>
          <w:szCs w:val="20"/>
          <w:lang w:val="es-ES" w:bidi="en-US"/>
        </w:rPr>
        <w:t xml:space="preserve"> </w:t>
      </w:r>
    </w:p>
    <w:p w14:paraId="174A4ABB" w14:textId="77777777" w:rsidR="00EF278B" w:rsidRPr="00567EFF" w:rsidRDefault="00EF278B" w:rsidP="00EF278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3BBB4BA6" w14:textId="7FC76B23" w:rsidR="00DA356C" w:rsidRPr="00567EFF" w:rsidRDefault="00DA356C" w:rsidP="00AD23EF">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El 14 de septiembre de 2021 el Estado remitió el Laudo Arbitral adoptado por el Tribunal Arbitral Ad Hoc antes citado, el 7 de septiembre de 2021</w:t>
      </w:r>
      <w:r w:rsidR="00EF278B" w:rsidRPr="00567EFF">
        <w:rPr>
          <w:rFonts w:ascii="Cambria" w:hAnsi="Cambria"/>
          <w:sz w:val="20"/>
          <w:szCs w:val="20"/>
          <w:lang w:val="es-ES"/>
        </w:rPr>
        <w:t xml:space="preserve">, el que fue trasladado a la parte peticionaria para sus observaciones. </w:t>
      </w:r>
      <w:r w:rsidRPr="00567EFF">
        <w:rPr>
          <w:rFonts w:ascii="Cambria" w:hAnsi="Cambria"/>
          <w:sz w:val="20"/>
          <w:szCs w:val="20"/>
          <w:lang w:val="es-ES"/>
        </w:rPr>
        <w:t xml:space="preserve">En </w:t>
      </w:r>
      <w:r w:rsidR="003767A6" w:rsidRPr="00567EFF">
        <w:rPr>
          <w:rFonts w:ascii="Cambria" w:hAnsi="Cambria"/>
          <w:sz w:val="20"/>
          <w:szCs w:val="20"/>
          <w:lang w:val="es-ES"/>
        </w:rPr>
        <w:t>dicho</w:t>
      </w:r>
      <w:r w:rsidRPr="00567EFF">
        <w:rPr>
          <w:rFonts w:ascii="Cambria" w:hAnsi="Cambria"/>
          <w:sz w:val="20"/>
          <w:szCs w:val="20"/>
          <w:lang w:val="es-ES"/>
        </w:rPr>
        <w:t xml:space="preserve"> Laudo</w:t>
      </w:r>
      <w:r w:rsidR="003767A6" w:rsidRPr="00567EFF">
        <w:rPr>
          <w:rFonts w:ascii="Cambria" w:hAnsi="Cambria"/>
          <w:sz w:val="20"/>
          <w:szCs w:val="20"/>
          <w:lang w:val="es-ES"/>
        </w:rPr>
        <w:t xml:space="preserve"> el Tribunal Arbitral decidió por unanimidad que</w:t>
      </w:r>
      <w:r w:rsidRPr="00567EFF">
        <w:rPr>
          <w:rFonts w:ascii="Cambria" w:hAnsi="Cambria"/>
          <w:sz w:val="20"/>
          <w:szCs w:val="20"/>
          <w:lang w:val="es-US"/>
        </w:rPr>
        <w:t>:</w:t>
      </w:r>
    </w:p>
    <w:p w14:paraId="1B51EF41" w14:textId="77777777" w:rsidR="00DA356C" w:rsidRPr="00567EFF" w:rsidRDefault="00DA356C"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55589925" w14:textId="12A05BBC" w:rsidR="00C27E4E" w:rsidRPr="00567EFF" w:rsidRDefault="003767A6"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67EFF">
        <w:rPr>
          <w:rFonts w:ascii="Cambria" w:hAnsi="Cambria"/>
          <w:sz w:val="20"/>
          <w:szCs w:val="20"/>
          <w:lang w:val="es-ES"/>
        </w:rPr>
        <w:t>El Estado demandado debe pagar al señor Marcos Alejandro Martín, en moneda argentina, al tipo de cambio oficial vigente a la fecha del día anterior al que se haga efectivo el pago, por concepto de indemnización del daño material -daño emergente y lucro cesante-, el monto de US$10.000 (diez mil dólares de los Estados Unidos de América).</w:t>
      </w:r>
    </w:p>
    <w:p w14:paraId="1412F030" w14:textId="77777777" w:rsidR="003767A6" w:rsidRPr="00567EFF" w:rsidRDefault="003767A6"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0AF2A19A" w14:textId="2CEBE6AF" w:rsidR="003767A6" w:rsidRPr="00567EFF" w:rsidRDefault="003767A6"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67EFF">
        <w:rPr>
          <w:rFonts w:ascii="Cambria" w:hAnsi="Cambria"/>
          <w:sz w:val="20"/>
          <w:szCs w:val="20"/>
          <w:lang w:val="es-ES"/>
        </w:rPr>
        <w:t xml:space="preserve">El Estado demandado debe pagar al señor Marcos Alejandro Martín, en moneda argentina, al tipo de cambio oficial vigente a la fecha del día anterior al que se haga efectivo el pago, por concepto </w:t>
      </w:r>
      <w:r w:rsidRPr="00567EFF">
        <w:rPr>
          <w:rFonts w:ascii="Cambria" w:hAnsi="Cambria"/>
          <w:sz w:val="20"/>
          <w:szCs w:val="20"/>
          <w:lang w:val="es-ES"/>
        </w:rPr>
        <w:lastRenderedPageBreak/>
        <w:t>de indemnización del daño inmaterial -daño moral-, el monto de US$ 35.000 (treinta y cinco mil dólares de los Estados Unidos de América).</w:t>
      </w:r>
    </w:p>
    <w:p w14:paraId="335E8609" w14:textId="77777777" w:rsidR="003767A6" w:rsidRPr="00567EFF" w:rsidRDefault="003767A6"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2C3502E0" w14:textId="719A263E" w:rsidR="003767A6" w:rsidRPr="00567EFF" w:rsidRDefault="003767A6"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67EFF">
        <w:rPr>
          <w:rFonts w:ascii="Cambria" w:hAnsi="Cambria"/>
          <w:sz w:val="20"/>
          <w:szCs w:val="20"/>
        </w:rPr>
        <w:t>El Estado demandado debe pagar la cantidad de US$ 2.000 (dos mil dólares de los Estados Unidos de América), al tipo de cambio oficial vigente a la fecha del día anterior al que se haga efectivo el pago, por concepto de gastos, en los términos del párrafo 105 del presente laudo.</w:t>
      </w:r>
    </w:p>
    <w:p w14:paraId="41B9FB47" w14:textId="17E8688B" w:rsidR="003767A6" w:rsidRPr="00567EFF" w:rsidRDefault="003767A6"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r w:rsidRPr="00567EFF">
        <w:rPr>
          <w:rFonts w:ascii="Cambria" w:hAnsi="Cambria"/>
          <w:sz w:val="20"/>
          <w:szCs w:val="20"/>
        </w:rPr>
        <w:t>[…]</w:t>
      </w:r>
    </w:p>
    <w:p w14:paraId="49FF4D20" w14:textId="77777777"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2A3E06A2" w14:textId="623E9A0B" w:rsidR="003767A6" w:rsidRPr="00567EFF" w:rsidRDefault="003767A6"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67EFF">
        <w:rPr>
          <w:rFonts w:ascii="Cambria" w:hAnsi="Cambria"/>
          <w:sz w:val="20"/>
          <w:szCs w:val="20"/>
        </w:rPr>
        <w:t>El Estado demandado deberá pagar las indemnizaciones y el reintegro de costas y gastos ordenadas en el presente laudo dentro del plazo de tres meses contado a partir de la notificación del presente por part</w:t>
      </w:r>
      <w:r w:rsidR="00D537D7" w:rsidRPr="00567EFF">
        <w:rPr>
          <w:rFonts w:ascii="Cambria" w:hAnsi="Cambria"/>
          <w:sz w:val="20"/>
          <w:szCs w:val="20"/>
        </w:rPr>
        <w:t>e de</w:t>
      </w:r>
      <w:r w:rsidRPr="00567EFF">
        <w:rPr>
          <w:rFonts w:ascii="Cambria" w:hAnsi="Cambria"/>
          <w:sz w:val="20"/>
          <w:szCs w:val="20"/>
        </w:rPr>
        <w:t xml:space="preserve"> la H. Comisión Interamericana de Derechos Humanos.</w:t>
      </w:r>
    </w:p>
    <w:p w14:paraId="16A87489" w14:textId="77777777"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6F40211B" w14:textId="578B6BC2" w:rsidR="003767A6" w:rsidRPr="00567EFF" w:rsidRDefault="003767A6"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67EFF">
        <w:rPr>
          <w:rFonts w:ascii="Cambria" w:hAnsi="Cambria"/>
          <w:sz w:val="20"/>
          <w:szCs w:val="20"/>
        </w:rPr>
        <w:t xml:space="preserve">La indemnización por concepto de daño material, daño inmaterial, y gastos establecida en el presente laudo, no podrá ser objeto a impuesto alguno, gravamen o tasa actualmente existente </w:t>
      </w:r>
      <w:r w:rsidR="00D537D7" w:rsidRPr="00567EFF">
        <w:rPr>
          <w:rFonts w:ascii="Cambria" w:hAnsi="Cambria"/>
          <w:sz w:val="20"/>
          <w:szCs w:val="20"/>
        </w:rPr>
        <w:t>o que pudiera decretarse en el futuro.</w:t>
      </w:r>
    </w:p>
    <w:p w14:paraId="1AB1CFF7" w14:textId="77777777"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5880461" w14:textId="0A04A1B2" w:rsidR="00D537D7" w:rsidRPr="00567EFF" w:rsidRDefault="00D537D7"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67EFF">
        <w:rPr>
          <w:rFonts w:ascii="Cambria" w:hAnsi="Cambria"/>
          <w:sz w:val="20"/>
          <w:szCs w:val="20"/>
        </w:rPr>
        <w:t>En caso de que el Estado demandado incurriese en mora, deberá pagar un interés sobre la cantidad adeudada que corresponderá a la tasa de interés judicial que se utiliza conforme a la práctica usual en los procesos de ejecución de sentencias contra el Estado en la República Argentina.</w:t>
      </w:r>
    </w:p>
    <w:p w14:paraId="6EBBE8C0" w14:textId="77777777"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4F8FDE4" w14:textId="34E6F0E9" w:rsidR="00D537D7" w:rsidRPr="00567EFF" w:rsidRDefault="00D537D7" w:rsidP="00547B7B">
      <w:pPr>
        <w:pStyle w:val="BodyTextIndent"/>
        <w:numPr>
          <w:ilvl w:val="3"/>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67EFF">
        <w:rPr>
          <w:rFonts w:ascii="Cambria" w:hAnsi="Cambria"/>
          <w:sz w:val="20"/>
          <w:szCs w:val="20"/>
        </w:rPr>
        <w:t>Notificar a</w:t>
      </w:r>
      <w:r w:rsidR="00CB6B35" w:rsidRPr="00567EFF">
        <w:rPr>
          <w:rFonts w:ascii="Cambria" w:hAnsi="Cambria"/>
          <w:sz w:val="20"/>
          <w:szCs w:val="20"/>
        </w:rPr>
        <w:t xml:space="preserve"> </w:t>
      </w:r>
      <w:r w:rsidRPr="00567EFF">
        <w:rPr>
          <w:rFonts w:ascii="Cambria" w:hAnsi="Cambria"/>
          <w:sz w:val="20"/>
          <w:szCs w:val="20"/>
        </w:rPr>
        <w:t>la Honorable Comisión Interamericana de Derechos Humanos el presente laudo a los efectos determinados en el marco del Acuerdo de Cumplimiento de Recomendaciones Formuladas por la Comisión Interamericana de Derechos Humanos en el informe 95/17, celebrado entre la República Argentina y la parte peticionaria en el Caso Martín, tramitado ante ella, el que fuera receptado en s</w:t>
      </w:r>
      <w:r w:rsidR="00804823" w:rsidRPr="00567EFF">
        <w:rPr>
          <w:rFonts w:ascii="Cambria" w:hAnsi="Cambria"/>
          <w:sz w:val="20"/>
          <w:szCs w:val="20"/>
        </w:rPr>
        <w:t>u</w:t>
      </w:r>
      <w:r w:rsidRPr="00567EFF">
        <w:rPr>
          <w:rFonts w:ascii="Cambria" w:hAnsi="Cambria"/>
          <w:sz w:val="20"/>
          <w:szCs w:val="20"/>
        </w:rPr>
        <w:t xml:space="preserve"> Informe final 98-19.</w:t>
      </w:r>
    </w:p>
    <w:p w14:paraId="23009BFC" w14:textId="77777777"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US"/>
        </w:rPr>
      </w:pPr>
    </w:p>
    <w:p w14:paraId="3FBE1012" w14:textId="0DDAEE9C" w:rsidR="00D537D7" w:rsidRPr="00567EFF" w:rsidRDefault="00D537D7" w:rsidP="00547B7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sidRPr="00567EFF">
        <w:rPr>
          <w:rFonts w:ascii="Cambria" w:hAnsi="Cambria"/>
          <w:sz w:val="20"/>
          <w:szCs w:val="20"/>
          <w:lang w:val="en-US"/>
        </w:rPr>
        <w:t>[…]</w:t>
      </w:r>
    </w:p>
    <w:p w14:paraId="68B70F05" w14:textId="77777777" w:rsidR="003767A6" w:rsidRPr="00567EFF" w:rsidRDefault="003767A6" w:rsidP="00D537D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3E50E2A6" w14:textId="24D3E5B3" w:rsidR="00CB6B35" w:rsidRPr="00567EFF" w:rsidRDefault="00CB6B35" w:rsidP="00CB6B35">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El 20 de septiembre del 20</w:t>
      </w:r>
      <w:r w:rsidR="00D248B7" w:rsidRPr="00567EFF">
        <w:rPr>
          <w:rFonts w:ascii="Cambria" w:hAnsi="Cambria"/>
          <w:sz w:val="20"/>
          <w:szCs w:val="20"/>
          <w:lang w:val="es-ES"/>
        </w:rPr>
        <w:t>21</w:t>
      </w:r>
      <w:r w:rsidRPr="00567EFF">
        <w:rPr>
          <w:rFonts w:ascii="Cambria" w:hAnsi="Cambria"/>
          <w:sz w:val="20"/>
          <w:szCs w:val="20"/>
          <w:lang w:val="es-ES"/>
        </w:rPr>
        <w:t xml:space="preserve"> la parte peticionaria informó a la CID</w:t>
      </w:r>
      <w:r w:rsidR="00D248B7" w:rsidRPr="00567EFF">
        <w:rPr>
          <w:rFonts w:ascii="Cambria" w:hAnsi="Cambria"/>
          <w:sz w:val="20"/>
          <w:szCs w:val="20"/>
          <w:lang w:val="es-ES"/>
        </w:rPr>
        <w:t>H</w:t>
      </w:r>
      <w:r w:rsidRPr="00567EFF">
        <w:rPr>
          <w:rFonts w:ascii="Cambria" w:hAnsi="Cambria"/>
          <w:sz w:val="20"/>
          <w:szCs w:val="20"/>
          <w:lang w:val="es-ES"/>
        </w:rPr>
        <w:t xml:space="preserve"> de </w:t>
      </w:r>
      <w:r w:rsidR="00D248B7" w:rsidRPr="00567EFF">
        <w:rPr>
          <w:rFonts w:ascii="Cambria" w:hAnsi="Cambria"/>
          <w:sz w:val="20"/>
          <w:szCs w:val="20"/>
          <w:lang w:val="es-US"/>
        </w:rPr>
        <w:t>“</w:t>
      </w:r>
      <w:r w:rsidRPr="00567EFF">
        <w:rPr>
          <w:rFonts w:ascii="Cambria" w:hAnsi="Cambria"/>
          <w:sz w:val="20"/>
          <w:szCs w:val="20"/>
          <w:lang w:val="es-ES"/>
        </w:rPr>
        <w:t>su gran satisfacción frente al trabajo realizado por el Tribunal Arbitral Ad Hoc, en especial por la celeridad con la que sustanció el trámite, por su actuación desinteresada y por la adopción del laudo en tiempo útil para la víctima”. Con</w:t>
      </w:r>
      <w:r w:rsidR="00D248B7" w:rsidRPr="00567EFF">
        <w:rPr>
          <w:rFonts w:ascii="Cambria" w:hAnsi="Cambria"/>
          <w:sz w:val="20"/>
          <w:szCs w:val="20"/>
          <w:lang w:val="es-ES"/>
        </w:rPr>
        <w:t>c</w:t>
      </w:r>
      <w:r w:rsidRPr="00567EFF">
        <w:rPr>
          <w:rFonts w:ascii="Cambria" w:hAnsi="Cambria"/>
          <w:sz w:val="20"/>
          <w:szCs w:val="20"/>
          <w:lang w:val="es-ES"/>
        </w:rPr>
        <w:t>luyó</w:t>
      </w:r>
      <w:r w:rsidR="00D248B7" w:rsidRPr="00567EFF">
        <w:rPr>
          <w:rFonts w:ascii="Cambria" w:hAnsi="Cambria"/>
          <w:sz w:val="20"/>
          <w:szCs w:val="20"/>
          <w:lang w:val="es-ES"/>
        </w:rPr>
        <w:t>: “</w:t>
      </w:r>
      <w:r w:rsidRPr="00567EFF">
        <w:rPr>
          <w:rFonts w:ascii="Cambria" w:hAnsi="Cambria"/>
          <w:sz w:val="20"/>
          <w:szCs w:val="20"/>
          <w:lang w:val="es-ES"/>
        </w:rPr>
        <w:t>(a) que se consideraron adecuadamente los argumentos de las partes y la prueba ofrecida, (b) que se respetó el análisis de hechos y derecho realizado por la CIDH en el caso, y (c) que la determinación de los rubros a reparar, su cuantificación económica y su modalidad de pago se efectuó de modo compatible con los parámetros internacionales que rigen la materia y de forma ajustada a las prácticas del Sistema Interamericano de Derechos Humanos</w:t>
      </w:r>
      <w:r w:rsidR="00D248B7" w:rsidRPr="00567EFF">
        <w:rPr>
          <w:rFonts w:ascii="Cambria" w:hAnsi="Cambria"/>
          <w:sz w:val="20"/>
          <w:szCs w:val="20"/>
          <w:lang w:val="es-ES"/>
        </w:rPr>
        <w:t>”.</w:t>
      </w:r>
    </w:p>
    <w:p w14:paraId="35757507" w14:textId="4013C708" w:rsidR="00CB6B35" w:rsidRPr="00567EFF" w:rsidRDefault="00CB6B35" w:rsidP="00D248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65C802C8" w14:textId="26CE9C04" w:rsidR="00BD2F95" w:rsidRPr="00567EFF" w:rsidRDefault="00BD2F95" w:rsidP="00BD2F95">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 xml:space="preserve">Con base en la totalidad de la información disponible, la Comisión valora muy positivamente los esfuerzos del Estado argentino dirigidos hacia el cumplimiento de las recomendaciones y saluda el Laudo adoptado por el Tribunal Arbitral Ad Hoc que determinó el monto de la reparación pecuniaria para el señor Marcos Alejandro Martín de manera compatible </w:t>
      </w:r>
      <w:r w:rsidR="00107C32" w:rsidRPr="00567EFF">
        <w:rPr>
          <w:rFonts w:ascii="Cambria" w:hAnsi="Cambria"/>
          <w:sz w:val="20"/>
          <w:szCs w:val="20"/>
          <w:lang w:val="es-ES"/>
        </w:rPr>
        <w:t xml:space="preserve">a </w:t>
      </w:r>
      <w:r w:rsidRPr="00567EFF">
        <w:rPr>
          <w:rFonts w:ascii="Cambria" w:hAnsi="Cambria"/>
          <w:sz w:val="20"/>
          <w:szCs w:val="20"/>
          <w:lang w:val="es-ES"/>
        </w:rPr>
        <w:t>las reparaciones determinadas en el informe de fondo. La Comisión hace un llamado a adoptar los pasos necesarios para lograr el cumplimiento total de las recomendaciones.</w:t>
      </w:r>
    </w:p>
    <w:p w14:paraId="0BA32650" w14:textId="0D017B3F" w:rsidR="00BD2F95" w:rsidRPr="00567EFF" w:rsidRDefault="00BD2F95" w:rsidP="0030493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4D489609" w14:textId="77777777" w:rsidR="00BD2F95" w:rsidRPr="00567EFF" w:rsidRDefault="00BD2F95" w:rsidP="00BD2F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74B0BB5F" w14:textId="77777777" w:rsidR="00BD2F95" w:rsidRPr="00567EFF" w:rsidRDefault="00BD2F95" w:rsidP="00BD2F95">
      <w:pPr>
        <w:pStyle w:val="Heading1"/>
        <w:tabs>
          <w:tab w:val="left" w:pos="1440"/>
        </w:tabs>
        <w:ind w:left="720" w:firstLine="0"/>
        <w:jc w:val="both"/>
        <w:rPr>
          <w:lang w:val="es-ES_tradnl"/>
        </w:rPr>
      </w:pPr>
      <w:bookmarkStart w:id="35" w:name="_Toc84427128"/>
      <w:r w:rsidRPr="00567EFF">
        <w:rPr>
          <w:lang w:val="es-ES_tradnl"/>
        </w:rPr>
        <w:t>CONCUSIONES Y RECOMENDACIONES FINALES</w:t>
      </w:r>
      <w:bookmarkEnd w:id="35"/>
    </w:p>
    <w:p w14:paraId="3B111F20" w14:textId="77777777" w:rsidR="00BD2F95" w:rsidRPr="00567EFF" w:rsidRDefault="00BD2F95" w:rsidP="00BD2F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AE3F2F5" w14:textId="47B0D600" w:rsidR="00BD2F95" w:rsidRPr="00567EFF" w:rsidRDefault="00BD2F95" w:rsidP="00BD2F95">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 xml:space="preserve">Con base en las consideraciones de hecho y de derecho, la Comisión Interamericana concluyó que en el informe de fondo No. 95/17 </w:t>
      </w:r>
      <w:r w:rsidRPr="00567EFF">
        <w:rPr>
          <w:rFonts w:ascii="Cambria" w:hAnsi="Cambria"/>
          <w:sz w:val="20"/>
          <w:szCs w:val="20"/>
        </w:rPr>
        <w:t xml:space="preserve">el Estado argentino resultó responsable por la violación de los derechos a la libertad personal, garantías judiciales y protección judicial, establecidos en los artículos 7.1, 7.3, 8.1, 8.2, 8.2 c), 8.2 f), 8.2 h) y 25.1 de la Convención Americana, en relación con las obligaciones establecidas en el artículo 1.1 del mismo instrumento, en perjuicio de </w:t>
      </w:r>
      <w:r w:rsidRPr="00567EFF">
        <w:rPr>
          <w:rFonts w:ascii="Cambria" w:hAnsi="Cambria"/>
          <w:sz w:val="20"/>
          <w:szCs w:val="20"/>
          <w:lang w:val="es-ES"/>
        </w:rPr>
        <w:t>Marcos Alejandro Martín</w:t>
      </w:r>
      <w:r w:rsidRPr="00567EFF">
        <w:rPr>
          <w:rFonts w:ascii="Cambria" w:hAnsi="Cambria"/>
          <w:sz w:val="20"/>
          <w:szCs w:val="20"/>
        </w:rPr>
        <w:t xml:space="preserve">.  </w:t>
      </w:r>
    </w:p>
    <w:p w14:paraId="6221817D" w14:textId="77777777" w:rsidR="00BD2F95" w:rsidRPr="00567EFF" w:rsidRDefault="00BD2F95" w:rsidP="00BD2F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5942C082" w14:textId="614CE358" w:rsidR="00BD2F95" w:rsidRPr="00567EFF" w:rsidRDefault="00BD2F95" w:rsidP="00BD2F95">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567EFF">
        <w:rPr>
          <w:rFonts w:ascii="Cambria" w:hAnsi="Cambria"/>
          <w:sz w:val="20"/>
          <w:szCs w:val="20"/>
          <w:lang w:val="es-ES"/>
        </w:rPr>
        <w:t>En virtud de las anteriores conclusiones,</w:t>
      </w:r>
    </w:p>
    <w:p w14:paraId="660E9A4F" w14:textId="77777777" w:rsidR="00BD2F95" w:rsidRPr="00DD0561" w:rsidRDefault="00BD2F95" w:rsidP="00BD2F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0CE1CB80" w14:textId="77777777" w:rsidR="00BD2F95" w:rsidRPr="00BD2F95" w:rsidRDefault="00BD2F95" w:rsidP="0030493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9A41A89" w14:textId="77777777" w:rsidR="00CB6B35" w:rsidRPr="00C61543" w:rsidRDefault="00CB6B35" w:rsidP="00CB6B35">
      <w:pPr>
        <w:spacing w:after="0" w:line="240" w:lineRule="auto"/>
        <w:jc w:val="center"/>
        <w:rPr>
          <w:rFonts w:ascii="Cambria" w:eastAsia="Times New Roman" w:hAnsi="Cambria"/>
          <w:b/>
          <w:sz w:val="20"/>
          <w:szCs w:val="20"/>
          <w:lang w:val="es-ES"/>
        </w:rPr>
      </w:pPr>
      <w:r w:rsidRPr="00C61543">
        <w:rPr>
          <w:rFonts w:ascii="Cambria" w:eastAsia="Times New Roman" w:hAnsi="Cambria"/>
          <w:b/>
          <w:sz w:val="20"/>
          <w:szCs w:val="20"/>
          <w:lang w:val="es-ES"/>
        </w:rPr>
        <w:t>LA COMISIÓN INTERAMERICANA DE DERECHOS HUMANOS</w:t>
      </w:r>
    </w:p>
    <w:p w14:paraId="6CEDD43A" w14:textId="28021261" w:rsidR="00CB6B35" w:rsidRPr="00BE44F1" w:rsidRDefault="00CB6B35" w:rsidP="006909FA">
      <w:pPr>
        <w:spacing w:after="0" w:line="240" w:lineRule="auto"/>
        <w:jc w:val="center"/>
        <w:rPr>
          <w:rFonts w:ascii="Cambria" w:eastAsia="Times New Roman" w:hAnsi="Cambria"/>
          <w:sz w:val="20"/>
          <w:szCs w:val="20"/>
          <w:lang w:val="es-ES"/>
        </w:rPr>
      </w:pPr>
      <w:r w:rsidRPr="00C61543">
        <w:rPr>
          <w:rFonts w:ascii="Cambria" w:eastAsia="Times New Roman" w:hAnsi="Cambria"/>
          <w:b/>
          <w:sz w:val="20"/>
          <w:szCs w:val="20"/>
          <w:lang w:val="es-ES"/>
        </w:rPr>
        <w:t>REITERA AL ESTADO DE ARGENTINA</w:t>
      </w:r>
      <w:r w:rsidR="00BD2F95" w:rsidRPr="00C61543">
        <w:rPr>
          <w:rFonts w:ascii="Cambria" w:eastAsia="Times New Roman" w:hAnsi="Cambria"/>
          <w:b/>
          <w:sz w:val="20"/>
          <w:szCs w:val="20"/>
          <w:lang w:val="es-ES"/>
        </w:rPr>
        <w:t xml:space="preserve"> LAS SIGUIEN</w:t>
      </w:r>
      <w:r w:rsidR="00FF3DBE" w:rsidRPr="00C61543">
        <w:rPr>
          <w:rFonts w:ascii="Cambria" w:eastAsia="Times New Roman" w:hAnsi="Cambria"/>
          <w:b/>
          <w:sz w:val="20"/>
          <w:szCs w:val="20"/>
          <w:lang w:val="es-ES"/>
        </w:rPr>
        <w:t>T</w:t>
      </w:r>
      <w:r w:rsidR="00BD2F95" w:rsidRPr="00C61543">
        <w:rPr>
          <w:rFonts w:ascii="Cambria" w:eastAsia="Times New Roman" w:hAnsi="Cambria"/>
          <w:b/>
          <w:sz w:val="20"/>
          <w:szCs w:val="20"/>
          <w:lang w:val="es-ES"/>
        </w:rPr>
        <w:t>ES RECOMENDACIONES, CON MIRAS A SU CUMPLIMIENTO TOTAL</w:t>
      </w:r>
      <w:r w:rsidR="006909FA" w:rsidRPr="00C61543">
        <w:rPr>
          <w:rFonts w:ascii="Cambria" w:eastAsia="Times New Roman" w:hAnsi="Cambria"/>
          <w:b/>
          <w:sz w:val="20"/>
          <w:szCs w:val="20"/>
          <w:lang w:val="es-ES"/>
        </w:rPr>
        <w:t>:</w:t>
      </w:r>
    </w:p>
    <w:p w14:paraId="7AF394FA" w14:textId="77777777" w:rsidR="00CB6B35" w:rsidRPr="00BE44F1" w:rsidRDefault="00CB6B35" w:rsidP="00CB6B35">
      <w:pPr>
        <w:pStyle w:val="BodyText3"/>
        <w:spacing w:after="0"/>
        <w:ind w:left="1440" w:right="720" w:hanging="720"/>
        <w:jc w:val="both"/>
        <w:rPr>
          <w:rFonts w:ascii="Cambria" w:hAnsi="Cambria"/>
          <w:sz w:val="20"/>
          <w:szCs w:val="20"/>
          <w:lang w:val="es-ES"/>
        </w:rPr>
      </w:pPr>
      <w:r w:rsidRPr="00BE44F1">
        <w:rPr>
          <w:rFonts w:ascii="Cambria" w:hAnsi="Cambria"/>
          <w:sz w:val="20"/>
          <w:szCs w:val="20"/>
          <w:lang w:val="es-ES"/>
        </w:rPr>
        <w:t xml:space="preserve">1. </w:t>
      </w:r>
      <w:r w:rsidRPr="00BE44F1">
        <w:rPr>
          <w:rFonts w:ascii="Cambria" w:hAnsi="Cambria"/>
          <w:sz w:val="20"/>
          <w:szCs w:val="20"/>
          <w:lang w:val="es-ES"/>
        </w:rPr>
        <w:tab/>
      </w:r>
      <w:r w:rsidRPr="00BE44F1">
        <w:rPr>
          <w:rFonts w:ascii="Cambria" w:hAnsi="Cambria" w:cs="Arial"/>
          <w:sz w:val="20"/>
          <w:szCs w:val="20"/>
        </w:rPr>
        <w:t xml:space="preserve">Adoptar las medidas necesarias para dejar sin efectos la condena en contra de </w:t>
      </w:r>
      <w:r w:rsidRPr="00BE44F1">
        <w:rPr>
          <w:rFonts w:ascii="Cambria" w:hAnsi="Cambria"/>
          <w:sz w:val="20"/>
          <w:szCs w:val="20"/>
          <w:lang w:val="es-ES"/>
        </w:rPr>
        <w:t>Marcos Alejandro Martín.</w:t>
      </w:r>
    </w:p>
    <w:p w14:paraId="6DA727D7" w14:textId="77777777" w:rsidR="00CB6B35" w:rsidRPr="00BE44F1" w:rsidRDefault="00CB6B35" w:rsidP="00CB6B35">
      <w:pPr>
        <w:pStyle w:val="BodyText3"/>
        <w:spacing w:after="0"/>
        <w:ind w:left="1440" w:right="720" w:hanging="720"/>
        <w:jc w:val="both"/>
        <w:rPr>
          <w:rFonts w:ascii="Cambria" w:hAnsi="Cambria"/>
          <w:sz w:val="20"/>
          <w:szCs w:val="20"/>
          <w:lang w:val="es-ES"/>
        </w:rPr>
      </w:pPr>
    </w:p>
    <w:p w14:paraId="7219F41E" w14:textId="6B33B878" w:rsidR="003767A6" w:rsidRPr="00BE44F1" w:rsidRDefault="00CB6B35" w:rsidP="00CB6B35">
      <w:pPr>
        <w:pStyle w:val="BodyText3"/>
        <w:spacing w:after="0"/>
        <w:ind w:left="1440" w:right="720" w:hanging="720"/>
        <w:jc w:val="both"/>
        <w:rPr>
          <w:rFonts w:ascii="Cambria" w:hAnsi="Cambria"/>
          <w:sz w:val="20"/>
          <w:szCs w:val="20"/>
          <w:lang w:val="es-ES"/>
        </w:rPr>
      </w:pPr>
      <w:r w:rsidRPr="00BE44F1">
        <w:rPr>
          <w:rFonts w:ascii="Cambria" w:hAnsi="Cambria"/>
          <w:sz w:val="20"/>
          <w:szCs w:val="20"/>
          <w:lang w:val="es-ES"/>
        </w:rPr>
        <w:t xml:space="preserve">2. </w:t>
      </w:r>
      <w:r w:rsidRPr="00BE44F1">
        <w:rPr>
          <w:rFonts w:ascii="Cambria" w:hAnsi="Cambria"/>
          <w:sz w:val="20"/>
          <w:szCs w:val="20"/>
          <w:lang w:val="es-ES"/>
        </w:rPr>
        <w:tab/>
      </w:r>
      <w:r w:rsidRPr="00BE44F1">
        <w:rPr>
          <w:rFonts w:ascii="Cambria" w:hAnsi="Cambria" w:cs="Tahoma"/>
          <w:sz w:val="20"/>
          <w:szCs w:val="20"/>
          <w:lang w:val="es-ES"/>
        </w:rPr>
        <w:t>Reparar integralmente las violaciones de derechos humanos declaradas en el presente informe tanto en el aspecto material como inmaterial. Para ello, el Estado deberá adoptar medidas de compensación económica y satisfacción en favor de la víctima.</w:t>
      </w:r>
    </w:p>
    <w:p w14:paraId="26833F83" w14:textId="77777777" w:rsidR="006E44BD" w:rsidRPr="00BE44F1" w:rsidRDefault="006E44BD" w:rsidP="006646D6">
      <w:pPr>
        <w:spacing w:after="0" w:line="240" w:lineRule="auto"/>
        <w:ind w:firstLine="720"/>
        <w:jc w:val="both"/>
        <w:rPr>
          <w:rFonts w:ascii="Cambria" w:hAnsi="Cambria" w:cs="Arial"/>
          <w:noProof/>
          <w:spacing w:val="-2"/>
          <w:sz w:val="20"/>
          <w:szCs w:val="20"/>
          <w:lang w:val="es-CL"/>
        </w:rPr>
      </w:pPr>
    </w:p>
    <w:p w14:paraId="5FBB85E6" w14:textId="01412123" w:rsidR="006646D6" w:rsidRPr="00C61543" w:rsidRDefault="00CB6B35" w:rsidP="006646D6">
      <w:pPr>
        <w:pStyle w:val="Heading1"/>
        <w:tabs>
          <w:tab w:val="left" w:pos="1440"/>
        </w:tabs>
        <w:ind w:left="720" w:firstLine="0"/>
        <w:jc w:val="both"/>
        <w:rPr>
          <w:lang w:val="es-ES_tradnl"/>
        </w:rPr>
      </w:pPr>
      <w:bookmarkStart w:id="36" w:name="_Toc84427129"/>
      <w:r w:rsidRPr="00C61543">
        <w:rPr>
          <w:lang w:val="es-ES_tradnl"/>
        </w:rPr>
        <w:t>PUBLICACIÓN</w:t>
      </w:r>
      <w:bookmarkEnd w:id="36"/>
    </w:p>
    <w:p w14:paraId="380CAF22" w14:textId="77777777" w:rsidR="006646D6" w:rsidRPr="00C61543" w:rsidRDefault="006646D6" w:rsidP="006646D6">
      <w:pPr>
        <w:spacing w:after="0" w:line="240" w:lineRule="auto"/>
        <w:jc w:val="both"/>
        <w:rPr>
          <w:rFonts w:ascii="Cambria" w:eastAsia="Times New Roman" w:hAnsi="Cambria" w:cs="Tahoma"/>
          <w:color w:val="000000"/>
          <w:sz w:val="20"/>
          <w:szCs w:val="20"/>
          <w:u w:color="000000"/>
          <w:bdr w:val="none" w:sz="0" w:space="0" w:color="auto" w:frame="1"/>
          <w:lang w:val="es-ES_tradnl"/>
        </w:rPr>
      </w:pPr>
    </w:p>
    <w:p w14:paraId="325DC52F" w14:textId="06723CC6" w:rsidR="00CB6B35" w:rsidRPr="00C61543" w:rsidRDefault="00CB6B35" w:rsidP="00C61543">
      <w:pPr>
        <w:pStyle w:val="BodyTextInden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C61543">
        <w:rPr>
          <w:rFonts w:ascii="Cambria" w:hAnsi="Cambria"/>
          <w:sz w:val="20"/>
          <w:szCs w:val="20"/>
          <w:lang w:val="es-ES"/>
        </w:rPr>
        <w:t xml:space="preserve">De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w:t>
      </w:r>
      <w:r w:rsidR="00D248B7" w:rsidRPr="00C61543">
        <w:rPr>
          <w:rFonts w:ascii="Cambria" w:hAnsi="Cambria"/>
          <w:sz w:val="20"/>
          <w:szCs w:val="20"/>
          <w:lang w:val="es-ES"/>
        </w:rPr>
        <w:t>con</w:t>
      </w:r>
      <w:r w:rsidRPr="00C61543">
        <w:rPr>
          <w:rFonts w:ascii="Cambria" w:hAnsi="Cambria"/>
          <w:sz w:val="20"/>
          <w:szCs w:val="20"/>
          <w:lang w:val="es-ES"/>
        </w:rPr>
        <w:t xml:space="preserve"> las normas establecidas en los instrumentos que regulan su mandato, continuará evaluando las medidas adoptadas por el Estado de Argentina respecto de las recomendaciones arriba señaladas, hasta que determine que se </w:t>
      </w:r>
      <w:r w:rsidR="00D248B7" w:rsidRPr="00C61543">
        <w:rPr>
          <w:rFonts w:ascii="Cambria" w:hAnsi="Cambria"/>
          <w:sz w:val="20"/>
          <w:szCs w:val="20"/>
          <w:lang w:val="es-ES"/>
        </w:rPr>
        <w:t xml:space="preserve">les </w:t>
      </w:r>
      <w:r w:rsidRPr="00C61543">
        <w:rPr>
          <w:rFonts w:ascii="Cambria" w:hAnsi="Cambria"/>
          <w:sz w:val="20"/>
          <w:szCs w:val="20"/>
          <w:lang w:val="es-ES"/>
        </w:rPr>
        <w:t xml:space="preserve">ha dado un total cumplimiento. </w:t>
      </w:r>
    </w:p>
    <w:p w14:paraId="2C3C12A8" w14:textId="38954E69" w:rsidR="003E234D" w:rsidRDefault="003E234D" w:rsidP="00CB6B35">
      <w:pPr>
        <w:suppressAutoHyphens/>
        <w:spacing w:after="0" w:line="240" w:lineRule="auto"/>
        <w:jc w:val="both"/>
        <w:rPr>
          <w:rFonts w:ascii="Cambria" w:hAnsi="Cambria" w:cs="Arial"/>
          <w:noProof/>
          <w:spacing w:val="-2"/>
          <w:sz w:val="20"/>
          <w:szCs w:val="20"/>
          <w:lang w:val="es-CL"/>
        </w:rPr>
      </w:pPr>
    </w:p>
    <w:p w14:paraId="0C82F439" w14:textId="2E3DB863" w:rsidR="00C61543" w:rsidRDefault="00C61543" w:rsidP="00A04C13">
      <w:pPr>
        <w:pStyle w:val="xmsonormal"/>
        <w:spacing w:before="0" w:beforeAutospacing="0" w:after="0" w:afterAutospacing="0"/>
        <w:ind w:firstLine="72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hAnsi="Cambria" w:cs="Calibri"/>
          <w:color w:val="201F1E"/>
          <w:spacing w:val="-2"/>
          <w:sz w:val="20"/>
          <w:szCs w:val="20"/>
          <w:bdr w:val="none" w:sz="0" w:space="0" w:color="auto" w:frame="1"/>
          <w:lang w:val="es-CL"/>
        </w:rPr>
        <w:t xml:space="preserve"> 5 días del mes de octubre de 2021. </w:t>
      </w:r>
      <w:r>
        <w:rPr>
          <w:rFonts w:ascii="Cambria" w:hAnsi="Cambria" w:cs="Calibri"/>
          <w:color w:val="201F1E"/>
          <w:spacing w:val="-2"/>
          <w:sz w:val="20"/>
          <w:szCs w:val="20"/>
          <w:bdr w:val="none" w:sz="0" w:space="0" w:color="auto" w:frame="1"/>
          <w:lang w:val="es-CL"/>
        </w:rPr>
        <w:t>(Firmado): Antonia Urrejola, Presidenta; Julissa Mantilla Falcón, Primera Vicepresidenta; Flávia Piovesan, Segunda Vicepresidenta; Margarette May Macaulay, Esmeralda Arosemena de Troitiño, y Stuardo Ralón Orellana, Miembros de la Comisión.</w:t>
      </w:r>
    </w:p>
    <w:p w14:paraId="16DFE1BC" w14:textId="77777777" w:rsidR="00C61543" w:rsidRDefault="00C61543" w:rsidP="00C61543">
      <w:pPr>
        <w:pStyle w:val="xparrafos"/>
        <w:spacing w:before="0" w:beforeAutospacing="0" w:after="0" w:afterAutospacing="0"/>
        <w:jc w:val="both"/>
        <w:rPr>
          <w:rFonts w:ascii="Cambria" w:hAnsi="Cambria"/>
          <w:color w:val="000000"/>
          <w:sz w:val="20"/>
          <w:szCs w:val="20"/>
        </w:rPr>
      </w:pPr>
    </w:p>
    <w:sectPr w:rsidR="00C61543" w:rsidSect="00852AF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4569" w14:textId="77777777" w:rsidR="00CB0BA3" w:rsidRDefault="00CB0BA3" w:rsidP="001B3677">
      <w:pPr>
        <w:spacing w:after="0" w:line="240" w:lineRule="auto"/>
      </w:pPr>
      <w:r>
        <w:separator/>
      </w:r>
    </w:p>
  </w:endnote>
  <w:endnote w:type="continuationSeparator" w:id="0">
    <w:p w14:paraId="35AA2AC7" w14:textId="77777777" w:rsidR="00CB0BA3" w:rsidRDefault="00CB0BA3" w:rsidP="001B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MSTT3132dbeaafO05102100">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881E" w14:textId="1693EB0F" w:rsidR="003767A6" w:rsidRPr="00934A2C" w:rsidRDefault="003767A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14</w:t>
    </w:r>
    <w:r w:rsidRPr="00934A2C">
      <w:rPr>
        <w:noProof/>
        <w:sz w:val="16"/>
        <w:szCs w:val="22"/>
      </w:rPr>
      <w:fldChar w:fldCharType="end"/>
    </w:r>
  </w:p>
  <w:p w14:paraId="3571CD1A" w14:textId="77777777" w:rsidR="003767A6" w:rsidRDefault="0037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A3A" w14:textId="77777777" w:rsidR="003767A6" w:rsidRPr="00934A2C" w:rsidRDefault="003767A6">
    <w:pPr>
      <w:pStyle w:val="Footer"/>
      <w:jc w:val="center"/>
      <w:rPr>
        <w:sz w:val="16"/>
        <w:szCs w:val="22"/>
      </w:rPr>
    </w:pPr>
  </w:p>
  <w:p w14:paraId="17F058C0" w14:textId="77777777" w:rsidR="003767A6" w:rsidRDefault="00376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290" w14:textId="77777777" w:rsidR="00CB0BA3" w:rsidRDefault="00CB0BA3" w:rsidP="001B3677">
      <w:pPr>
        <w:spacing w:after="0" w:line="240" w:lineRule="auto"/>
      </w:pPr>
      <w:r>
        <w:separator/>
      </w:r>
    </w:p>
  </w:footnote>
  <w:footnote w:type="continuationSeparator" w:id="0">
    <w:p w14:paraId="3281DD9C" w14:textId="77777777" w:rsidR="00CB0BA3" w:rsidRDefault="00CB0BA3" w:rsidP="001B3677">
      <w:pPr>
        <w:spacing w:after="0" w:line="240" w:lineRule="auto"/>
      </w:pPr>
      <w:r>
        <w:continuationSeparator/>
      </w:r>
    </w:p>
  </w:footnote>
  <w:footnote w:id="1">
    <w:p w14:paraId="5BEFC39B" w14:textId="77777777" w:rsidR="003767A6" w:rsidRPr="00C876F7" w:rsidRDefault="003767A6" w:rsidP="00D51AF0">
      <w:pPr>
        <w:pStyle w:val="FootnoteText"/>
        <w:jc w:val="both"/>
        <w:rPr>
          <w:rFonts w:ascii="Cambria" w:hAnsi="Cambria"/>
          <w:color w:val="auto"/>
          <w:sz w:val="16"/>
          <w:szCs w:val="16"/>
          <w:lang w:val="es-CO"/>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w:t>
      </w:r>
      <w:r w:rsidRPr="00C876F7">
        <w:rPr>
          <w:rFonts w:ascii="Cambria" w:hAnsi="Cambria"/>
          <w:color w:val="auto"/>
          <w:sz w:val="16"/>
          <w:szCs w:val="16"/>
          <w:lang w:val="es-CO"/>
        </w:rPr>
        <w:t>C</w:t>
      </w:r>
      <w:r w:rsidRPr="00C876F7">
        <w:rPr>
          <w:rFonts w:ascii="Cambria" w:hAnsi="Cambria"/>
          <w:color w:val="auto"/>
          <w:sz w:val="16"/>
          <w:szCs w:val="16"/>
          <w:lang w:val="es-ES"/>
        </w:rPr>
        <w:t xml:space="preserve">IDH, </w:t>
      </w:r>
      <w:hyperlink r:id="rId1" w:history="1">
        <w:r w:rsidRPr="00C876F7">
          <w:rPr>
            <w:rFonts w:ascii="Cambria" w:hAnsi="Cambria"/>
            <w:color w:val="auto"/>
            <w:sz w:val="16"/>
            <w:szCs w:val="16"/>
            <w:lang w:val="es-ES"/>
          </w:rPr>
          <w:t>Informe No. 79/08</w:t>
        </w:r>
      </w:hyperlink>
      <w:r w:rsidRPr="00C876F7">
        <w:rPr>
          <w:rFonts w:ascii="Cambria" w:hAnsi="Cambria"/>
          <w:color w:val="auto"/>
          <w:sz w:val="16"/>
          <w:szCs w:val="16"/>
          <w:lang w:val="es-ES"/>
        </w:rPr>
        <w:t>, Petición 95-01</w:t>
      </w:r>
      <w:r w:rsidRPr="00C876F7">
        <w:rPr>
          <w:rFonts w:ascii="Cambria" w:hAnsi="Cambria"/>
          <w:color w:val="auto"/>
          <w:sz w:val="16"/>
          <w:szCs w:val="16"/>
          <w:lang w:val="es-CO"/>
        </w:rPr>
        <w:t xml:space="preserve">, Admisibilidad, Marcos Alejandro Martín, Argentina, 17 de octubre de 2008. </w:t>
      </w:r>
    </w:p>
  </w:footnote>
  <w:footnote w:id="2">
    <w:p w14:paraId="182FF4BE" w14:textId="2F2DF3C8"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3">
    <w:p w14:paraId="02CCD1ED" w14:textId="6818708D"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4">
    <w:p w14:paraId="069E2DB8" w14:textId="0CA2D134"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5">
    <w:p w14:paraId="7D4C9D4C" w14:textId="5D4074A8"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6">
    <w:p w14:paraId="7F3B58F1" w14:textId="0CC836CA"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2. Petición inicial.</w:t>
      </w:r>
    </w:p>
  </w:footnote>
  <w:footnote w:id="7">
    <w:p w14:paraId="22D01FA5" w14:textId="4DC71A32"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8">
    <w:p w14:paraId="255ACDCA" w14:textId="6A44CB80"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9">
    <w:p w14:paraId="279597D9" w14:textId="6C3FD772"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0">
    <w:p w14:paraId="30EF3507" w14:textId="68392A78"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1">
    <w:p w14:paraId="63D2152C" w14:textId="741F39BF"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2">
    <w:p w14:paraId="0D832BB4" w14:textId="6CF753C3"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3">
    <w:p w14:paraId="7C304F62" w14:textId="675557F3"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4">
    <w:p w14:paraId="64626F3D" w14:textId="501BE5B6"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5">
    <w:p w14:paraId="2F52751E" w14:textId="59484830"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6">
    <w:p w14:paraId="0963C057" w14:textId="520370DD"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3. Comunicación del Estado de 10 de octubre de 2006.</w:t>
      </w:r>
    </w:p>
  </w:footnote>
  <w:footnote w:id="17">
    <w:p w14:paraId="52D6852C" w14:textId="468C6029"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8">
    <w:p w14:paraId="0ABFD256" w14:textId="5484716A"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19">
    <w:p w14:paraId="7BF4EF8D" w14:textId="77FFE0A5"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20">
    <w:p w14:paraId="7E96EAE8" w14:textId="258D0145"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21">
    <w:p w14:paraId="7EBEBBB1" w14:textId="2D768D02"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22">
    <w:p w14:paraId="7633676A" w14:textId="380C5081"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23">
    <w:p w14:paraId="2D133FED" w14:textId="4B79495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24">
    <w:p w14:paraId="568828A9" w14:textId="34343325"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5. Comunicación de la peticionaria de 9 de enero de 2009.</w:t>
      </w:r>
    </w:p>
  </w:footnote>
  <w:footnote w:id="25">
    <w:p w14:paraId="408CB2C3" w14:textId="36F7FBA4"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26">
    <w:p w14:paraId="70B2B4BC" w14:textId="627D9A8B"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27">
    <w:p w14:paraId="12CC7E98" w14:textId="079EA9C8"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28">
    <w:p w14:paraId="4A214F15" w14:textId="77777777" w:rsidR="003767A6" w:rsidRPr="00C876F7" w:rsidRDefault="003767A6" w:rsidP="00D51AF0">
      <w:pPr>
        <w:pStyle w:val="FootnoteText"/>
        <w:jc w:val="both"/>
        <w:rPr>
          <w:rFonts w:ascii="Cambria" w:hAnsi="Cambria"/>
          <w:color w:val="auto"/>
          <w:sz w:val="16"/>
          <w:szCs w:val="16"/>
          <w:lang w:val="es-CO"/>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Artículo 391 del Código Procesal Penal de la Nación: </w:t>
      </w:r>
      <w:r w:rsidRPr="00C876F7">
        <w:rPr>
          <w:rFonts w:ascii="Cambria" w:hAnsi="Cambria"/>
          <w:color w:val="auto"/>
          <w:sz w:val="16"/>
          <w:szCs w:val="16"/>
          <w:lang w:val="es-CO"/>
        </w:rPr>
        <w:t>Las declaraciones testimoniales no podrán ser suplidas, bajo pena de nulidad, por la lectura de las recibidas durante la instrucción, salvo en los siguientes casos y siempre que se hayan observado las formalidades de la instrucción:</w:t>
      </w:r>
    </w:p>
    <w:p w14:paraId="7AE3A581" w14:textId="77777777" w:rsidR="003767A6" w:rsidRPr="00C876F7" w:rsidRDefault="003767A6" w:rsidP="00D51AF0">
      <w:pPr>
        <w:spacing w:after="0" w:line="240" w:lineRule="auto"/>
        <w:jc w:val="both"/>
        <w:rPr>
          <w:rFonts w:ascii="Cambria" w:eastAsia="Times New Roman" w:hAnsi="Cambria"/>
          <w:sz w:val="16"/>
          <w:szCs w:val="16"/>
          <w:lang w:val="es-ES" w:eastAsia="es-ES"/>
        </w:rPr>
      </w:pPr>
      <w:r w:rsidRPr="00C876F7">
        <w:rPr>
          <w:rFonts w:ascii="Cambria" w:eastAsia="Times New Roman" w:hAnsi="Cambria"/>
          <w:sz w:val="16"/>
          <w:szCs w:val="16"/>
          <w:lang w:val="es-ES" w:eastAsia="es-ES"/>
        </w:rPr>
        <w:t>1°) Cuando el ministerio fiscal y las partes hubieren prestado su conformidad o la presten cuando no comparezca el testigo cuya citación se ordenó.</w:t>
      </w:r>
    </w:p>
    <w:p w14:paraId="0A512DA4" w14:textId="77777777" w:rsidR="003767A6" w:rsidRPr="00C876F7" w:rsidRDefault="003767A6" w:rsidP="00D51AF0">
      <w:pPr>
        <w:spacing w:after="0" w:line="240" w:lineRule="auto"/>
        <w:jc w:val="both"/>
        <w:rPr>
          <w:rFonts w:ascii="Cambria" w:eastAsia="Times New Roman" w:hAnsi="Cambria"/>
          <w:sz w:val="16"/>
          <w:szCs w:val="16"/>
          <w:lang w:val="es-ES" w:eastAsia="es-ES"/>
        </w:rPr>
      </w:pPr>
      <w:r w:rsidRPr="00C876F7">
        <w:rPr>
          <w:rFonts w:ascii="Cambria" w:eastAsia="Times New Roman" w:hAnsi="Cambria"/>
          <w:sz w:val="16"/>
          <w:szCs w:val="16"/>
          <w:lang w:val="es-ES" w:eastAsia="es-ES"/>
        </w:rPr>
        <w:t>2°) Cuando se trate de demostrar contradicciones o variaciones entre ellas y las prestadas en el debate, o fuere necesario ayudar la memoria del testigo.</w:t>
      </w:r>
    </w:p>
    <w:p w14:paraId="6750B615" w14:textId="77777777" w:rsidR="003767A6" w:rsidRPr="00C876F7" w:rsidRDefault="003767A6" w:rsidP="00D51AF0">
      <w:pPr>
        <w:spacing w:after="0" w:line="240" w:lineRule="auto"/>
        <w:jc w:val="both"/>
        <w:rPr>
          <w:rFonts w:ascii="Cambria" w:eastAsia="Times New Roman" w:hAnsi="Cambria"/>
          <w:sz w:val="16"/>
          <w:szCs w:val="16"/>
          <w:lang w:val="es-ES" w:eastAsia="es-ES"/>
        </w:rPr>
      </w:pPr>
      <w:r w:rsidRPr="00C876F7">
        <w:rPr>
          <w:rFonts w:ascii="Cambria" w:eastAsia="Times New Roman" w:hAnsi="Cambria"/>
          <w:sz w:val="16"/>
          <w:szCs w:val="16"/>
          <w:lang w:val="es-ES" w:eastAsia="es-ES"/>
        </w:rPr>
        <w:t>3°) Cuando el testigo hubiere fallecido, estuviere ausente del país, se ignorare su residencia o se hallare inhabilitado por cualquier causa para declarar.</w:t>
      </w:r>
    </w:p>
    <w:p w14:paraId="1E6624BD" w14:textId="77777777" w:rsidR="003767A6" w:rsidRPr="00C876F7" w:rsidRDefault="003767A6" w:rsidP="00D51AF0">
      <w:pPr>
        <w:spacing w:after="0" w:line="240" w:lineRule="auto"/>
        <w:jc w:val="both"/>
        <w:rPr>
          <w:rFonts w:ascii="Cambria" w:eastAsia="Times New Roman" w:hAnsi="Cambria"/>
          <w:sz w:val="16"/>
          <w:szCs w:val="16"/>
          <w:lang w:val="es-ES" w:eastAsia="es-ES"/>
        </w:rPr>
      </w:pPr>
      <w:r w:rsidRPr="00C876F7">
        <w:rPr>
          <w:rFonts w:ascii="Cambria" w:eastAsia="Times New Roman" w:hAnsi="Cambria"/>
          <w:sz w:val="16"/>
          <w:szCs w:val="16"/>
          <w:lang w:val="es-ES" w:eastAsia="es-ES"/>
        </w:rPr>
        <w:t>4°) Cuando el testigo hubiere declarado por medio de exhorto o informe, siempre que se hubiese ofrecido su testimonio de conformidad a lo dispuesto en los artículos 357 ó 386.</w:t>
      </w:r>
    </w:p>
  </w:footnote>
  <w:footnote w:id="29">
    <w:p w14:paraId="4F9C29B8" w14:textId="6CE4049E"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30">
    <w:p w14:paraId="27068DF2" w14:textId="02920CA0"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1. Sentencia del Tribunal Oral en lo Criminal No. 15 de Capital Federal, 25 de febrero de 1999. Anexo a la petición inicial.</w:t>
      </w:r>
    </w:p>
  </w:footnote>
  <w:footnote w:id="31">
    <w:p w14:paraId="5F03F29C" w14:textId="7B3891E8"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32">
    <w:p w14:paraId="357F4076" w14:textId="41B84E6F"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33">
    <w:p w14:paraId="6DD8B705" w14:textId="56A5DDA0"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4. Recurso de casación, sin fecha. Anexo a la petición inicial.</w:t>
      </w:r>
    </w:p>
  </w:footnote>
  <w:footnote w:id="34">
    <w:p w14:paraId="2DF237F3" w14:textId="22E05A93"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6. Resolución de la Cámara Nacional de Casación Penal, 23 de abril de 1999. Anexo a la petición inicial.</w:t>
      </w:r>
    </w:p>
  </w:footnote>
  <w:footnote w:id="35">
    <w:p w14:paraId="405925F1" w14:textId="0BC6B7E9"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6. Resolución de la Cámara Nacional de Casación Penal, 23 de abril de 1999. Anexo a la petición inicial.</w:t>
      </w:r>
    </w:p>
  </w:footnote>
  <w:footnote w:id="36">
    <w:p w14:paraId="37115F06" w14:textId="54888AF6"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7. Resolución de la Cámara Nacional de Casación Penal, 3 de junio de 1999. Anexo a la petición inicial.</w:t>
      </w:r>
    </w:p>
  </w:footnote>
  <w:footnote w:id="37">
    <w:p w14:paraId="3077462B" w14:textId="0055CC34"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7. Resolución de la Cámara Nacional de Casación Penal, 3 de junio de 1999. Anexo a la petición inicial.</w:t>
      </w:r>
    </w:p>
  </w:footnote>
  <w:footnote w:id="38">
    <w:p w14:paraId="6ACBA30E" w14:textId="420F6A8B"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8. Resolución de la Corte Suprema de Justicia de la Nación, 2 de agosto de 2000. Anexo a la petición inicial.</w:t>
      </w:r>
    </w:p>
  </w:footnote>
  <w:footnote w:id="39">
    <w:p w14:paraId="213B3C36" w14:textId="33ACE3B0"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8. Resolución de la Corte Suprema de Justicia de la Nación, 2 de agosto de 2000. Anexo a la petición inicial.</w:t>
      </w:r>
    </w:p>
  </w:footnote>
  <w:footnote w:id="40">
    <w:p w14:paraId="78819B49" w14:textId="55A48071"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Anexo 5. Comunicación de la peticionaria de 9 de enero de 2009. </w:t>
      </w:r>
    </w:p>
  </w:footnote>
  <w:footnote w:id="41">
    <w:p w14:paraId="1F2F3E27"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Artículo 8. Garantías judiciales.</w:t>
      </w:r>
    </w:p>
    <w:p w14:paraId="727010BE"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503F3A2A"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2. Toda persona inculpada de delito tiene derecho a que se presuma su inocencia mientras no se establezca legalmente su culpabilidad.  Durante el proceso, toda persona tiene derecho, en plena igualdad, a las siguientes garantías mínimas:</w:t>
      </w:r>
    </w:p>
    <w:p w14:paraId="24A741E3"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w:t>
      </w:r>
    </w:p>
    <w:p w14:paraId="3F977922"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c) concesión al inculpado del tiempo y de los medios adecuados para la preparación de su defensa;</w:t>
      </w:r>
    </w:p>
    <w:p w14:paraId="310ED4C2"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w:t>
      </w:r>
    </w:p>
    <w:p w14:paraId="2104F44A"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f) derecho de la defensa de interrogar a los testigos presentes en el tribunal y de obtener la comparecencia, como testigos o peritos, de otras personas que puedan arrojar luz sobre los hechos;</w:t>
      </w:r>
    </w:p>
    <w:p w14:paraId="561C7E3E"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w:t>
      </w:r>
    </w:p>
    <w:p w14:paraId="1E23F5AE" w14:textId="77777777"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h) derecho de recurrir del fallo ante juez o tribunal superior.</w:t>
      </w:r>
    </w:p>
    <w:p w14:paraId="3BF9AE62" w14:textId="09C2F1FA"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 (…)</w:t>
      </w:r>
    </w:p>
  </w:footnote>
  <w:footnote w:id="42">
    <w:p w14:paraId="74A3C608"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Artículo 25. Protección judicial.</w:t>
      </w:r>
    </w:p>
    <w:p w14:paraId="49F11857" w14:textId="52CEFD48" w:rsidR="003767A6" w:rsidRPr="00C876F7" w:rsidRDefault="003767A6" w:rsidP="00D51AF0">
      <w:pPr>
        <w:spacing w:after="0" w:line="240" w:lineRule="auto"/>
        <w:jc w:val="both"/>
        <w:rPr>
          <w:rFonts w:ascii="Cambria" w:eastAsia="Times New Roman" w:hAnsi="Cambria" w:cs="Tahoma"/>
          <w:sz w:val="16"/>
          <w:szCs w:val="16"/>
          <w:lang w:val="es-ES" w:eastAsia="es-ES"/>
        </w:rPr>
      </w:pPr>
      <w:r w:rsidRPr="00C876F7">
        <w:rPr>
          <w:rFonts w:ascii="Cambria" w:eastAsia="Times New Roman" w:hAnsi="Cambria" w:cs="Tahoma"/>
          <w:sz w:val="16"/>
          <w:szCs w:val="16"/>
          <w:lang w:val="es-ES" w:eastAsia="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43">
    <w:p w14:paraId="179B80CC" w14:textId="12A68099" w:rsidR="003767A6" w:rsidRPr="008604C4" w:rsidRDefault="003767A6" w:rsidP="00D51AF0">
      <w:pPr>
        <w:pStyle w:val="FootnoteText"/>
        <w:jc w:val="both"/>
        <w:rPr>
          <w:rFonts w:ascii="Cambria" w:hAnsi="Cambria"/>
          <w:color w:val="auto"/>
          <w:sz w:val="16"/>
          <w:szCs w:val="16"/>
          <w:lang w:val="pt-BR"/>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CIDH. Informe No. 76/11. Caso 11.769. Fondo. J. Perú. 20 de julio de 2011, párr. 248; e Informe No. 78/15. Caso 12.831. Fondo (Publicación). Kevin Cooper. Estados Unidos. </w:t>
      </w:r>
      <w:r w:rsidRPr="008604C4">
        <w:rPr>
          <w:rFonts w:ascii="Cambria" w:hAnsi="Cambria"/>
          <w:color w:val="auto"/>
          <w:sz w:val="16"/>
          <w:szCs w:val="16"/>
          <w:lang w:val="pt-BR"/>
        </w:rPr>
        <w:t xml:space="preserve">28 de octubre de 2015, párr.129.  </w:t>
      </w:r>
    </w:p>
  </w:footnote>
  <w:footnote w:id="44">
    <w:p w14:paraId="7DE23A65" w14:textId="231BE882" w:rsidR="003767A6" w:rsidRPr="00C876F7" w:rsidRDefault="003767A6" w:rsidP="00D51AF0">
      <w:pPr>
        <w:spacing w:after="0" w:line="240" w:lineRule="auto"/>
        <w:jc w:val="both"/>
        <w:rPr>
          <w:rFonts w:ascii="Cambria" w:hAnsi="Cambria"/>
          <w:sz w:val="16"/>
          <w:szCs w:val="16"/>
          <w:lang w:val="es-ES"/>
        </w:rPr>
      </w:pPr>
      <w:r w:rsidRPr="00C876F7">
        <w:rPr>
          <w:rStyle w:val="FootnoteReference"/>
          <w:rFonts w:ascii="Cambria" w:hAnsi="Cambria"/>
          <w:sz w:val="16"/>
          <w:szCs w:val="16"/>
        </w:rPr>
        <w:footnoteRef/>
      </w:r>
      <w:r w:rsidRPr="008604C4">
        <w:rPr>
          <w:rFonts w:ascii="Cambria" w:hAnsi="Cambria"/>
          <w:sz w:val="16"/>
          <w:szCs w:val="16"/>
          <w:lang w:val="pt-BR"/>
        </w:rPr>
        <w:t xml:space="preserve"> Corte IDH. </w:t>
      </w:r>
      <w:r w:rsidRPr="008604C4">
        <w:rPr>
          <w:rFonts w:ascii="Cambria" w:hAnsi="Cambria"/>
          <w:bCs/>
          <w:i/>
          <w:sz w:val="16"/>
          <w:szCs w:val="16"/>
          <w:lang w:val="pt-BR"/>
        </w:rPr>
        <w:t xml:space="preserve">Caso Barreto Leiva Vs. </w:t>
      </w:r>
      <w:r w:rsidRPr="00C876F7">
        <w:rPr>
          <w:rFonts w:ascii="Cambria" w:hAnsi="Cambria"/>
          <w:bCs/>
          <w:i/>
          <w:sz w:val="16"/>
          <w:szCs w:val="16"/>
          <w:lang w:val="es-ES"/>
        </w:rPr>
        <w:t>Venezuela.</w:t>
      </w:r>
      <w:r w:rsidRPr="00C876F7">
        <w:rPr>
          <w:rFonts w:ascii="Cambria" w:hAnsi="Cambria"/>
          <w:b/>
          <w:bCs/>
          <w:sz w:val="16"/>
          <w:szCs w:val="16"/>
          <w:lang w:val="es-ES"/>
        </w:rPr>
        <w:t xml:space="preserve"> </w:t>
      </w:r>
      <w:r w:rsidRPr="00C876F7">
        <w:rPr>
          <w:rFonts w:ascii="Cambria" w:hAnsi="Cambria"/>
          <w:sz w:val="16"/>
          <w:szCs w:val="16"/>
          <w:lang w:val="es-ES"/>
        </w:rPr>
        <w:t xml:space="preserve">Fondo, Reparaciones y Costas. Sentencia de 17 de noviembre de 2009. Serie C No. 206. Párr. 29. </w:t>
      </w:r>
    </w:p>
  </w:footnote>
  <w:footnote w:id="45">
    <w:p w14:paraId="5F6AF916" w14:textId="534F4244"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CIDH. Informe No. 76/11. Caso 11.769. Fondo. J. Perú. 20 de julio de 2011, párr. 253; e Informe No. 78/15. Caso 12.831. Fondo (Publicación). Kevin Cooper. Estados Unidos. 28 de octubre de 2015, párr.129.  </w:t>
      </w:r>
    </w:p>
  </w:footnote>
  <w:footnote w:id="46">
    <w:p w14:paraId="6D990992" w14:textId="77777777" w:rsidR="003767A6" w:rsidRPr="00C876F7" w:rsidRDefault="003767A6" w:rsidP="00D51AF0">
      <w:pPr>
        <w:autoSpaceDE w:val="0"/>
        <w:autoSpaceDN w:val="0"/>
        <w:adjustRightInd w:val="0"/>
        <w:spacing w:after="0" w:line="240" w:lineRule="auto"/>
        <w:jc w:val="both"/>
        <w:rPr>
          <w:rFonts w:ascii="Cambria" w:hAnsi="Cambria" w:cs="ACaslonPro-Regular"/>
          <w:sz w:val="16"/>
          <w:szCs w:val="16"/>
          <w:lang w:val="es-ES"/>
        </w:rPr>
      </w:pPr>
      <w:r w:rsidRPr="00C876F7">
        <w:rPr>
          <w:rStyle w:val="FootnoteReference"/>
          <w:rFonts w:ascii="Cambria" w:hAnsi="Cambria"/>
          <w:sz w:val="16"/>
          <w:szCs w:val="16"/>
          <w:lang w:val="es-ES"/>
        </w:rPr>
        <w:footnoteRef/>
      </w:r>
      <w:r w:rsidRPr="00C876F7">
        <w:rPr>
          <w:rFonts w:ascii="Cambria" w:hAnsi="Cambria"/>
          <w:sz w:val="16"/>
          <w:szCs w:val="16"/>
          <w:lang w:val="es-ES"/>
        </w:rPr>
        <w:t xml:space="preserve"> Corte IDH. </w:t>
      </w:r>
      <w:r w:rsidRPr="00C876F7">
        <w:rPr>
          <w:rFonts w:ascii="Cambria" w:hAnsi="Cambria" w:cs="ACaslonPro-Italic"/>
          <w:i/>
          <w:iCs/>
          <w:sz w:val="16"/>
          <w:szCs w:val="16"/>
          <w:lang w:val="es-ES"/>
        </w:rPr>
        <w:t>Caso Chaparro Álvarez y Lapo Íñiguez Vs. Ecuador</w:t>
      </w:r>
      <w:r w:rsidRPr="00C876F7">
        <w:rPr>
          <w:rFonts w:ascii="Cambria" w:hAnsi="Cambria"/>
          <w:sz w:val="16"/>
          <w:szCs w:val="16"/>
          <w:lang w:val="es-ES"/>
        </w:rPr>
        <w:t>. Sentencia de 21 de noviembre de 2007, párr. 154.</w:t>
      </w:r>
    </w:p>
  </w:footnote>
  <w:footnote w:id="47">
    <w:p w14:paraId="22FFAC38"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w:t>
      </w:r>
      <w:r w:rsidRPr="00C876F7">
        <w:rPr>
          <w:rStyle w:val="Strong"/>
          <w:rFonts w:ascii="Cambria" w:hAnsi="Cambria"/>
          <w:b w:val="0"/>
          <w:color w:val="auto"/>
          <w:sz w:val="16"/>
          <w:szCs w:val="16"/>
          <w:shd w:val="clear" w:color="auto" w:fill="FFFFFF"/>
          <w:lang w:val="es-ES"/>
        </w:rPr>
        <w:t xml:space="preserve">Corte IDH. </w:t>
      </w:r>
      <w:r w:rsidRPr="00C876F7">
        <w:rPr>
          <w:rStyle w:val="Strong"/>
          <w:rFonts w:ascii="Cambria" w:hAnsi="Cambria"/>
          <w:b w:val="0"/>
          <w:i/>
          <w:color w:val="auto"/>
          <w:sz w:val="16"/>
          <w:szCs w:val="16"/>
          <w:shd w:val="clear" w:color="auto" w:fill="FFFFFF"/>
          <w:lang w:val="es-ES"/>
        </w:rPr>
        <w:t>Caso Norín Catrimán y otros (Dirigentes, miembros y activista del Pueblo Indígena Mapuche) Vs. Chile</w:t>
      </w:r>
      <w:r w:rsidRPr="00C876F7">
        <w:rPr>
          <w:rStyle w:val="Strong"/>
          <w:rFonts w:ascii="Cambria" w:hAnsi="Cambria"/>
          <w:b w:val="0"/>
          <w:color w:val="auto"/>
          <w:sz w:val="16"/>
          <w:szCs w:val="16"/>
          <w:shd w:val="clear" w:color="auto" w:fill="FFFFFF"/>
          <w:lang w:val="es-ES"/>
        </w:rPr>
        <w:t>. Fondo, Reparaciones y Costas. Sentencia de 29 de mayo de 2014. Serie C No. 279, párr. 242.</w:t>
      </w:r>
    </w:p>
  </w:footnote>
  <w:footnote w:id="48">
    <w:p w14:paraId="2FBE2A16" w14:textId="7FDC5DC3"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CIDH. Informe No. 82/13. Caso 12.679. Fondo. José Agapito Ruano Torres y familia. El Salvador. 4 de noviembre de 2013, párr. 141.</w:t>
      </w:r>
    </w:p>
  </w:footnote>
  <w:footnote w:id="49">
    <w:p w14:paraId="065272CA"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Corte Europea de Derechos Humanos (CEDH).  </w:t>
      </w:r>
      <w:r w:rsidRPr="00C876F7">
        <w:rPr>
          <w:rFonts w:ascii="Cambria" w:hAnsi="Cambria"/>
          <w:bCs/>
          <w:i/>
          <w:iCs/>
          <w:color w:val="auto"/>
          <w:spacing w:val="-4"/>
          <w:sz w:val="16"/>
          <w:szCs w:val="16"/>
          <w:lang w:val="es-ES"/>
        </w:rPr>
        <w:t>Kostovski v. Países Bajos</w:t>
      </w:r>
      <w:r w:rsidRPr="00C876F7">
        <w:rPr>
          <w:rFonts w:ascii="Cambria" w:hAnsi="Cambria"/>
          <w:bCs/>
          <w:iCs/>
          <w:color w:val="auto"/>
          <w:spacing w:val="-4"/>
          <w:sz w:val="16"/>
          <w:szCs w:val="16"/>
          <w:lang w:val="es-ES"/>
        </w:rPr>
        <w:t>. Sentencia de 20 de noviembre de 1989, párrs. 42-43; y</w:t>
      </w:r>
      <w:r w:rsidRPr="00C876F7">
        <w:rPr>
          <w:rFonts w:ascii="Cambria" w:hAnsi="Cambria"/>
          <w:bCs/>
          <w:i/>
          <w:iCs/>
          <w:color w:val="auto"/>
          <w:spacing w:val="-4"/>
          <w:sz w:val="16"/>
          <w:szCs w:val="16"/>
          <w:lang w:val="es-ES"/>
        </w:rPr>
        <w:t xml:space="preserve"> Windisch v. Austria</w:t>
      </w:r>
      <w:r w:rsidRPr="00C876F7">
        <w:rPr>
          <w:rFonts w:ascii="Cambria" w:hAnsi="Cambria"/>
          <w:bCs/>
          <w:iCs/>
          <w:color w:val="auto"/>
          <w:spacing w:val="-4"/>
          <w:sz w:val="16"/>
          <w:szCs w:val="16"/>
          <w:lang w:val="es-ES"/>
        </w:rPr>
        <w:t xml:space="preserve">. Sentencia de 27 de septiembre de 1990, párrs. 28-29. </w:t>
      </w:r>
    </w:p>
  </w:footnote>
  <w:footnote w:id="50">
    <w:p w14:paraId="33401B6C" w14:textId="26C49165" w:rsidR="003767A6" w:rsidRPr="00C876F7" w:rsidRDefault="003767A6" w:rsidP="00D51AF0">
      <w:pPr>
        <w:pStyle w:val="FootnoteText"/>
        <w:tabs>
          <w:tab w:val="left" w:pos="0"/>
          <w:tab w:val="left" w:pos="720"/>
        </w:tabs>
        <w:jc w:val="both"/>
        <w:rPr>
          <w:rFonts w:ascii="Cambria" w:hAnsi="Cambria"/>
          <w:color w:val="auto"/>
          <w:spacing w:val="-4"/>
          <w:sz w:val="16"/>
          <w:szCs w:val="16"/>
          <w:lang w:val="es-ES"/>
        </w:rPr>
      </w:pPr>
      <w:r w:rsidRPr="00C876F7">
        <w:rPr>
          <w:rStyle w:val="FootnoteReference"/>
          <w:rFonts w:ascii="Cambria" w:hAnsi="Cambria"/>
          <w:color w:val="auto"/>
          <w:spacing w:val="-4"/>
          <w:sz w:val="16"/>
          <w:szCs w:val="16"/>
        </w:rPr>
        <w:footnoteRef/>
      </w:r>
      <w:r w:rsidRPr="00C876F7">
        <w:rPr>
          <w:rFonts w:ascii="Cambria" w:hAnsi="Cambria"/>
          <w:color w:val="auto"/>
          <w:spacing w:val="-4"/>
          <w:sz w:val="16"/>
          <w:szCs w:val="16"/>
          <w:lang w:val="es-ES"/>
        </w:rPr>
        <w:t xml:space="preserve"> CEDH. </w:t>
      </w:r>
      <w:r w:rsidRPr="00C876F7">
        <w:rPr>
          <w:rFonts w:ascii="Cambria" w:hAnsi="Cambria"/>
          <w:bCs/>
          <w:i/>
          <w:iCs/>
          <w:color w:val="auto"/>
          <w:spacing w:val="-4"/>
          <w:sz w:val="16"/>
          <w:szCs w:val="16"/>
          <w:lang w:val="es-ES"/>
        </w:rPr>
        <w:t xml:space="preserve">Doorson v. Países Bajos. </w:t>
      </w:r>
      <w:r w:rsidRPr="00C876F7">
        <w:rPr>
          <w:rFonts w:ascii="Cambria" w:hAnsi="Cambria"/>
          <w:bCs/>
          <w:iCs/>
          <w:color w:val="auto"/>
          <w:spacing w:val="-4"/>
          <w:sz w:val="16"/>
          <w:szCs w:val="16"/>
          <w:lang w:val="es-ES"/>
        </w:rPr>
        <w:t xml:space="preserve">Sentencia de 26 de marzo de 1996, párr. 73; </w:t>
      </w:r>
      <w:r w:rsidRPr="00C876F7">
        <w:rPr>
          <w:rFonts w:ascii="Cambria" w:hAnsi="Cambria"/>
          <w:bCs/>
          <w:i/>
          <w:iCs/>
          <w:color w:val="auto"/>
          <w:spacing w:val="-4"/>
          <w:sz w:val="16"/>
          <w:szCs w:val="16"/>
          <w:lang w:val="es-ES"/>
        </w:rPr>
        <w:t>y  Van Mechelen y otros v. Países Bajos</w:t>
      </w:r>
      <w:r w:rsidRPr="00C876F7">
        <w:rPr>
          <w:rFonts w:ascii="Cambria" w:hAnsi="Cambria"/>
          <w:bCs/>
          <w:iCs/>
          <w:color w:val="auto"/>
          <w:spacing w:val="-4"/>
          <w:sz w:val="16"/>
          <w:szCs w:val="16"/>
          <w:lang w:val="es-ES"/>
        </w:rPr>
        <w:t xml:space="preserve">. Sentencia de 23 de abril de 1997, párrs. 59-60. </w:t>
      </w:r>
    </w:p>
  </w:footnote>
  <w:footnote w:id="51">
    <w:p w14:paraId="3B919B71"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CEDH. </w:t>
      </w:r>
      <w:r w:rsidRPr="00C876F7">
        <w:rPr>
          <w:rFonts w:ascii="Cambria" w:hAnsi="Cambria"/>
          <w:i/>
          <w:color w:val="auto"/>
          <w:sz w:val="16"/>
          <w:szCs w:val="16"/>
          <w:lang w:val="es-ES"/>
        </w:rPr>
        <w:t>Luca v. Italia</w:t>
      </w:r>
      <w:r w:rsidRPr="00C876F7">
        <w:rPr>
          <w:rFonts w:ascii="Cambria" w:hAnsi="Cambria"/>
          <w:color w:val="auto"/>
          <w:sz w:val="16"/>
          <w:szCs w:val="16"/>
          <w:lang w:val="es-ES"/>
        </w:rPr>
        <w:t xml:space="preserve">. Sentencia de 27 de febrero de 2001, párr. 40. </w:t>
      </w:r>
    </w:p>
  </w:footnote>
  <w:footnote w:id="52">
    <w:p w14:paraId="792A5F98"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w:t>
      </w:r>
      <w:r w:rsidRPr="00C876F7">
        <w:rPr>
          <w:rStyle w:val="Strong"/>
          <w:rFonts w:ascii="Cambria" w:hAnsi="Cambria"/>
          <w:b w:val="0"/>
          <w:color w:val="auto"/>
          <w:sz w:val="16"/>
          <w:szCs w:val="16"/>
          <w:shd w:val="clear" w:color="auto" w:fill="FFFFFF"/>
          <w:lang w:val="es-ES"/>
        </w:rPr>
        <w:t xml:space="preserve">Corte IDH. </w:t>
      </w:r>
      <w:r w:rsidRPr="00C876F7">
        <w:rPr>
          <w:rStyle w:val="Strong"/>
          <w:rFonts w:ascii="Cambria" w:hAnsi="Cambria"/>
          <w:b w:val="0"/>
          <w:i/>
          <w:color w:val="auto"/>
          <w:sz w:val="16"/>
          <w:szCs w:val="16"/>
          <w:shd w:val="clear" w:color="auto" w:fill="FFFFFF"/>
          <w:lang w:val="es-ES"/>
        </w:rPr>
        <w:t>Caso Ruano Torres y otros Vs. El Salvador</w:t>
      </w:r>
      <w:r w:rsidRPr="00C876F7">
        <w:rPr>
          <w:rStyle w:val="Strong"/>
          <w:rFonts w:ascii="Cambria" w:hAnsi="Cambria"/>
          <w:b w:val="0"/>
          <w:color w:val="auto"/>
          <w:sz w:val="16"/>
          <w:szCs w:val="16"/>
          <w:shd w:val="clear" w:color="auto" w:fill="FFFFFF"/>
          <w:lang w:val="es-ES"/>
        </w:rPr>
        <w:t>. Fondo, Reparaciones y Costas. Sentencia de 5 de octubre de 2015. Serie C No. 303, párr. 126.</w:t>
      </w:r>
    </w:p>
  </w:footnote>
  <w:footnote w:id="53">
    <w:p w14:paraId="69A253B6"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Corte IDH. </w:t>
      </w:r>
      <w:r w:rsidRPr="00C876F7">
        <w:rPr>
          <w:rFonts w:ascii="Cambria" w:hAnsi="Cambria"/>
          <w:i/>
          <w:color w:val="auto"/>
          <w:sz w:val="16"/>
          <w:szCs w:val="16"/>
          <w:lang w:val="es-ES"/>
        </w:rPr>
        <w:t xml:space="preserve">Caso Ricardo Canese Vs. Paraguay. </w:t>
      </w:r>
      <w:r w:rsidRPr="00C876F7">
        <w:rPr>
          <w:rFonts w:ascii="Cambria" w:hAnsi="Cambria"/>
          <w:color w:val="auto"/>
          <w:sz w:val="16"/>
          <w:szCs w:val="16"/>
          <w:lang w:val="es-ES"/>
        </w:rPr>
        <w:t>Sentencia de 31 de agosto de 2004. Serie C No. 111, párr. 154.</w:t>
      </w:r>
    </w:p>
  </w:footnote>
  <w:footnote w:id="54">
    <w:p w14:paraId="137252F3"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CIDH. Informe No. 82/13. Caso 12.679. Fondo. José Agapito Ruano Torres y familia. El Salvador. 4 de noviembre de 2013, párr. 118.</w:t>
      </w:r>
    </w:p>
  </w:footnote>
  <w:footnote w:id="55">
    <w:p w14:paraId="23E4E1FC" w14:textId="77777777" w:rsidR="003767A6" w:rsidRPr="00C876F7" w:rsidRDefault="003767A6" w:rsidP="00D51AF0">
      <w:pPr>
        <w:pStyle w:val="FootnoteText"/>
        <w:jc w:val="both"/>
        <w:rPr>
          <w:rFonts w:ascii="Cambria" w:hAnsi="Cambria"/>
          <w:color w:val="auto"/>
          <w:sz w:val="16"/>
          <w:szCs w:val="16"/>
          <w:lang w:val="pt-BR"/>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Corte IDH. </w:t>
      </w:r>
      <w:r w:rsidRPr="00C876F7">
        <w:rPr>
          <w:rFonts w:ascii="Cambria" w:hAnsi="Cambria"/>
          <w:i/>
          <w:color w:val="auto"/>
          <w:sz w:val="16"/>
          <w:szCs w:val="16"/>
          <w:lang w:val="es-ES"/>
        </w:rPr>
        <w:t xml:space="preserve">Caso Cantoral Benavides Vs. </w:t>
      </w:r>
      <w:r w:rsidRPr="00C876F7">
        <w:rPr>
          <w:rFonts w:ascii="Cambria" w:hAnsi="Cambria"/>
          <w:i/>
          <w:color w:val="auto"/>
          <w:sz w:val="16"/>
          <w:szCs w:val="16"/>
          <w:lang w:val="pt-BR"/>
        </w:rPr>
        <w:t>Peru</w:t>
      </w:r>
      <w:r w:rsidRPr="00C876F7">
        <w:rPr>
          <w:rFonts w:ascii="Cambria" w:hAnsi="Cambria"/>
          <w:color w:val="auto"/>
          <w:sz w:val="16"/>
          <w:szCs w:val="16"/>
          <w:lang w:val="pt-BR"/>
        </w:rPr>
        <w:t xml:space="preserve">. Sentencia de 18 de agosto de 2000. Serie C No. 69, párr. 120; </w:t>
      </w:r>
      <w:r w:rsidRPr="00C876F7">
        <w:rPr>
          <w:rFonts w:ascii="Cambria" w:hAnsi="Cambria"/>
          <w:i/>
          <w:color w:val="auto"/>
          <w:sz w:val="16"/>
          <w:szCs w:val="16"/>
          <w:lang w:val="pt-BR"/>
        </w:rPr>
        <w:t>Caso Ricardo Canese vs. Paraguay</w:t>
      </w:r>
      <w:r w:rsidRPr="00C876F7">
        <w:rPr>
          <w:rFonts w:ascii="Cambria" w:hAnsi="Cambria"/>
          <w:color w:val="auto"/>
          <w:sz w:val="16"/>
          <w:szCs w:val="16"/>
          <w:lang w:val="pt-BR"/>
        </w:rPr>
        <w:t>. Sentencia de 31 de agosto de 2004. Serie C No. 111, párr. 153.</w:t>
      </w:r>
    </w:p>
  </w:footnote>
  <w:footnote w:id="56">
    <w:p w14:paraId="1EBE52BF" w14:textId="77777777" w:rsidR="003767A6" w:rsidRPr="00BE44F1"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pt-BR"/>
        </w:rPr>
        <w:t xml:space="preserve"> CIDH. Informe No. 82/13. </w:t>
      </w:r>
      <w:r w:rsidRPr="00BE44F1">
        <w:rPr>
          <w:rFonts w:ascii="Cambria" w:hAnsi="Cambria"/>
          <w:color w:val="auto"/>
          <w:sz w:val="16"/>
          <w:szCs w:val="16"/>
          <w:lang w:val="es-ES"/>
        </w:rPr>
        <w:t>Caso 12.679. Fondo. José Agapito Ruano Torres y familia. El Salvador. 4 de noviembre de 2013, párr. 130.</w:t>
      </w:r>
    </w:p>
  </w:footnote>
  <w:footnote w:id="57">
    <w:p w14:paraId="07B4796C" w14:textId="0062BCE0" w:rsidR="003767A6" w:rsidRPr="00C876F7" w:rsidRDefault="003767A6" w:rsidP="00D51AF0">
      <w:pPr>
        <w:spacing w:after="0" w:line="240" w:lineRule="auto"/>
        <w:jc w:val="both"/>
        <w:rPr>
          <w:rFonts w:ascii="Cambria" w:eastAsia="Times New Roman" w:hAnsi="Cambria"/>
          <w:sz w:val="16"/>
          <w:szCs w:val="16"/>
          <w:lang w:val="es-VE"/>
        </w:rPr>
      </w:pPr>
      <w:r w:rsidRPr="00C876F7">
        <w:rPr>
          <w:rStyle w:val="FootnoteReference"/>
          <w:rFonts w:ascii="Cambria" w:hAnsi="Cambria"/>
          <w:sz w:val="16"/>
          <w:szCs w:val="16"/>
        </w:rPr>
        <w:footnoteRef/>
      </w:r>
      <w:r w:rsidRPr="00BE44F1">
        <w:rPr>
          <w:rFonts w:ascii="Cambria" w:hAnsi="Cambria"/>
          <w:sz w:val="16"/>
          <w:szCs w:val="16"/>
          <w:lang w:val="es-ES"/>
        </w:rPr>
        <w:t xml:space="preserve"> </w:t>
      </w:r>
      <w:r w:rsidRPr="00BE44F1">
        <w:rPr>
          <w:rFonts w:ascii="Cambria" w:eastAsia="Times New Roman" w:hAnsi="Cambria"/>
          <w:bCs/>
          <w:sz w:val="16"/>
          <w:szCs w:val="16"/>
          <w:lang w:val="es-ES"/>
        </w:rPr>
        <w:t xml:space="preserve">Corte IDH. Caso Zegarra Marín Vs. </w:t>
      </w:r>
      <w:r w:rsidRPr="00C876F7">
        <w:rPr>
          <w:rFonts w:ascii="Cambria" w:eastAsia="Times New Roman" w:hAnsi="Cambria"/>
          <w:bCs/>
          <w:sz w:val="16"/>
          <w:szCs w:val="16"/>
          <w:lang w:val="es-VE"/>
        </w:rPr>
        <w:t xml:space="preserve">Perú. Excepciones Preliminares, Fondo, Reparaciones y Costas. Sentencia de 15 de febrero de 2017. Serie C No. 331. Párr. 147. </w:t>
      </w:r>
    </w:p>
  </w:footnote>
  <w:footnote w:id="58">
    <w:p w14:paraId="4571ED64"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CIDH. Informe No. 33/14, Caso 12.820. Fondo. </w:t>
      </w:r>
      <w:r w:rsidRPr="00C876F7">
        <w:rPr>
          <w:rFonts w:ascii="Cambria" w:hAnsi="Cambria"/>
          <w:color w:val="auto"/>
          <w:sz w:val="16"/>
          <w:szCs w:val="16"/>
          <w:lang w:val="es-ES_tradnl"/>
        </w:rPr>
        <w:t>Manfred Amrhein y otros. Costa Rica. 4 de abril de 2014, párr. 186.</w:t>
      </w:r>
    </w:p>
  </w:footnote>
  <w:footnote w:id="59">
    <w:p w14:paraId="3EACF04B" w14:textId="77777777" w:rsidR="003767A6" w:rsidRPr="00C876F7" w:rsidRDefault="003767A6" w:rsidP="00D51AF0">
      <w:pPr>
        <w:spacing w:after="0" w:line="240" w:lineRule="auto"/>
        <w:jc w:val="both"/>
        <w:rPr>
          <w:rFonts w:ascii="Cambria" w:hAnsi="Cambria"/>
          <w:sz w:val="16"/>
          <w:szCs w:val="16"/>
          <w:lang w:val="es-ES_tradnl"/>
        </w:rPr>
      </w:pPr>
      <w:r w:rsidRPr="00C876F7">
        <w:rPr>
          <w:rStyle w:val="FootnoteReference"/>
          <w:rFonts w:ascii="Cambria" w:hAnsi="Cambria"/>
          <w:sz w:val="16"/>
          <w:szCs w:val="16"/>
        </w:rPr>
        <w:footnoteRef/>
      </w:r>
      <w:r w:rsidRPr="00C876F7">
        <w:rPr>
          <w:rFonts w:ascii="Cambria" w:hAnsi="Cambria"/>
          <w:sz w:val="16"/>
          <w:szCs w:val="16"/>
          <w:lang w:val="es-ES_tradnl"/>
        </w:rPr>
        <w:t xml:space="preserve"> Corte IDH. </w:t>
      </w:r>
      <w:r w:rsidRPr="00C876F7">
        <w:rPr>
          <w:rFonts w:ascii="Cambria" w:hAnsi="Cambria"/>
          <w:i/>
          <w:sz w:val="16"/>
          <w:szCs w:val="16"/>
          <w:lang w:val="es-ES_tradnl"/>
        </w:rPr>
        <w:t>Caso Mendoza y otros Vs. Argentina</w:t>
      </w:r>
      <w:r w:rsidRPr="00C876F7">
        <w:rPr>
          <w:rFonts w:ascii="Cambria" w:hAnsi="Cambria"/>
          <w:sz w:val="16"/>
          <w:szCs w:val="16"/>
          <w:lang w:val="es-ES_tradnl"/>
        </w:rPr>
        <w:t xml:space="preserve">. Sentencia de Excepciones Preliminares, Fondo y Reparaciones. 14 de mayo de 2013. Serie C No. 260, párr. 242; </w:t>
      </w:r>
      <w:r w:rsidRPr="00C876F7">
        <w:rPr>
          <w:rFonts w:ascii="Cambria" w:hAnsi="Cambria"/>
          <w:i/>
          <w:sz w:val="16"/>
          <w:szCs w:val="16"/>
          <w:lang w:val="es-ES_tradnl"/>
        </w:rPr>
        <w:t xml:space="preserve">Caso Herrera Ulloa Vs. Costa Rica. </w:t>
      </w:r>
      <w:r w:rsidRPr="00C876F7">
        <w:rPr>
          <w:rFonts w:ascii="Cambria" w:hAnsi="Cambria"/>
          <w:sz w:val="16"/>
          <w:szCs w:val="16"/>
          <w:lang w:val="es-ES_tradnl"/>
        </w:rPr>
        <w:t>Sentencia de Excepciones Preliminares, Fondo, Reparaciones y Costas.</w:t>
      </w:r>
      <w:r w:rsidRPr="00C876F7">
        <w:rPr>
          <w:rFonts w:ascii="Cambria" w:hAnsi="Cambria"/>
          <w:i/>
          <w:sz w:val="16"/>
          <w:szCs w:val="16"/>
          <w:lang w:val="es-ES_tradnl"/>
        </w:rPr>
        <w:t xml:space="preserve"> </w:t>
      </w:r>
      <w:r w:rsidRPr="00C876F7">
        <w:rPr>
          <w:rFonts w:ascii="Cambria" w:hAnsi="Cambria"/>
          <w:sz w:val="16"/>
          <w:szCs w:val="16"/>
          <w:lang w:val="es-ES_tradnl"/>
        </w:rPr>
        <w:t>Sentencia de 2 julio de 2004. Serie C No. 107, párr. 158</w:t>
      </w:r>
      <w:r w:rsidRPr="00C876F7">
        <w:rPr>
          <w:rFonts w:ascii="Cambria" w:hAnsi="Cambria"/>
          <w:i/>
          <w:sz w:val="16"/>
          <w:szCs w:val="16"/>
          <w:lang w:val="es-ES_tradnl"/>
        </w:rPr>
        <w:t xml:space="preserve">, y </w:t>
      </w:r>
      <w:r w:rsidRPr="00C876F7">
        <w:rPr>
          <w:rFonts w:ascii="Cambria" w:hAnsi="Cambria"/>
          <w:bCs/>
          <w:i/>
          <w:sz w:val="16"/>
          <w:szCs w:val="16"/>
          <w:lang w:val="es-ES_tradnl"/>
        </w:rPr>
        <w:t xml:space="preserve">Caso Mohamed Vs. Argentina. </w:t>
      </w:r>
      <w:r w:rsidRPr="00C876F7">
        <w:rPr>
          <w:rFonts w:ascii="Cambria" w:hAnsi="Cambria"/>
          <w:bCs/>
          <w:sz w:val="16"/>
          <w:szCs w:val="16"/>
          <w:lang w:val="es-ES_tradnl"/>
        </w:rPr>
        <w:t xml:space="preserve">Sentencia de </w:t>
      </w:r>
      <w:r w:rsidRPr="00C876F7">
        <w:rPr>
          <w:rFonts w:ascii="Cambria" w:hAnsi="Cambria"/>
          <w:sz w:val="16"/>
          <w:szCs w:val="16"/>
          <w:lang w:val="es-ES_tradnl"/>
        </w:rPr>
        <w:t>Excepción Preliminar, Fondo, Reparaciones y Costas. 23 noviembre de 2012. Serie C No. 255, párr. 97.</w:t>
      </w:r>
    </w:p>
  </w:footnote>
  <w:footnote w:id="60">
    <w:p w14:paraId="0B8B345B" w14:textId="77777777" w:rsidR="003767A6" w:rsidRPr="00C876F7" w:rsidRDefault="003767A6" w:rsidP="00D51AF0">
      <w:pPr>
        <w:tabs>
          <w:tab w:val="left" w:pos="720"/>
        </w:tabs>
        <w:spacing w:after="0" w:line="240" w:lineRule="auto"/>
        <w:jc w:val="both"/>
        <w:rPr>
          <w:rFonts w:ascii="Cambria" w:hAnsi="Cambria"/>
          <w:sz w:val="16"/>
          <w:szCs w:val="16"/>
          <w:lang w:val="es-ES_tradnl"/>
        </w:rPr>
      </w:pPr>
      <w:r w:rsidRPr="00C876F7">
        <w:rPr>
          <w:rStyle w:val="FootnoteReference"/>
          <w:rFonts w:ascii="Cambria" w:hAnsi="Cambria"/>
          <w:sz w:val="16"/>
          <w:szCs w:val="16"/>
        </w:rPr>
        <w:footnoteRef/>
      </w:r>
      <w:r w:rsidRPr="00C876F7">
        <w:rPr>
          <w:rFonts w:ascii="Cambria" w:hAnsi="Cambria"/>
          <w:sz w:val="16"/>
          <w:szCs w:val="16"/>
          <w:lang w:val="es-ES"/>
        </w:rPr>
        <w:t xml:space="preserve"> Corte IDH. </w:t>
      </w:r>
      <w:r w:rsidRPr="00C876F7">
        <w:rPr>
          <w:rFonts w:ascii="Cambria" w:hAnsi="Cambria"/>
          <w:i/>
          <w:sz w:val="16"/>
          <w:szCs w:val="16"/>
          <w:lang w:val="es-ES"/>
        </w:rPr>
        <w:t xml:space="preserve">Caso Herrera Ulloa Vs. </w:t>
      </w:r>
      <w:r w:rsidRPr="00C876F7">
        <w:rPr>
          <w:rFonts w:ascii="Cambria" w:hAnsi="Cambria"/>
          <w:i/>
          <w:sz w:val="16"/>
          <w:szCs w:val="16"/>
          <w:lang w:val="es-ES_tradnl"/>
        </w:rPr>
        <w:t>Costa Rica</w:t>
      </w:r>
      <w:r w:rsidRPr="00C876F7">
        <w:rPr>
          <w:rFonts w:ascii="Cambria" w:hAnsi="Cambria"/>
          <w:sz w:val="16"/>
          <w:szCs w:val="16"/>
          <w:lang w:val="es-ES_tradnl"/>
        </w:rPr>
        <w:t>. Sentencia de Excepciones Preliminares, Fondo, Reparaciones y Costas. 2 de julio de 2004. Serie C No. 107, párr. 158.</w:t>
      </w:r>
    </w:p>
  </w:footnote>
  <w:footnote w:id="61">
    <w:p w14:paraId="4EA225C7" w14:textId="10DA9915" w:rsidR="003767A6" w:rsidRPr="00C876F7" w:rsidRDefault="003767A6" w:rsidP="00D51AF0">
      <w:pPr>
        <w:spacing w:after="0" w:line="240" w:lineRule="auto"/>
        <w:jc w:val="both"/>
        <w:rPr>
          <w:rFonts w:ascii="Cambria" w:hAnsi="Cambria" w:cs="Arial"/>
          <w:sz w:val="16"/>
          <w:szCs w:val="16"/>
          <w:lang w:val="es-ES_tradnl"/>
        </w:rPr>
      </w:pPr>
      <w:r w:rsidRPr="00C876F7">
        <w:rPr>
          <w:rStyle w:val="FootnoteReference"/>
          <w:rFonts w:ascii="Cambria" w:hAnsi="Cambria"/>
          <w:sz w:val="16"/>
          <w:szCs w:val="16"/>
        </w:rPr>
        <w:footnoteRef/>
      </w:r>
      <w:r w:rsidRPr="00C876F7">
        <w:rPr>
          <w:rFonts w:ascii="Cambria" w:hAnsi="Cambria"/>
          <w:sz w:val="16"/>
          <w:szCs w:val="16"/>
          <w:lang w:val="es-ES_tradnl"/>
        </w:rPr>
        <w:t xml:space="preserve"> Corte IDH. </w:t>
      </w:r>
      <w:r w:rsidRPr="00C876F7">
        <w:rPr>
          <w:rFonts w:ascii="Cambria" w:hAnsi="Cambria"/>
          <w:i/>
          <w:sz w:val="16"/>
          <w:szCs w:val="16"/>
          <w:lang w:val="es-ES_tradnl"/>
        </w:rPr>
        <w:t>Caso Mendoza y otros Vs. Argentina</w:t>
      </w:r>
      <w:r w:rsidRPr="00C876F7">
        <w:rPr>
          <w:rFonts w:ascii="Cambria" w:hAnsi="Cambria"/>
          <w:sz w:val="16"/>
          <w:szCs w:val="16"/>
          <w:lang w:val="es-ES_tradnl"/>
        </w:rPr>
        <w:t xml:space="preserve">. Sentencia de Excepciones Preliminares, Fondo y Reparaciones. 14 de mayo de 2013. Serie C No. 260, párr. 242; </w:t>
      </w:r>
      <w:r w:rsidRPr="00C876F7">
        <w:rPr>
          <w:rFonts w:ascii="Cambria" w:hAnsi="Cambria"/>
          <w:i/>
          <w:sz w:val="16"/>
          <w:szCs w:val="16"/>
          <w:lang w:val="es-ES_tradnl"/>
        </w:rPr>
        <w:t xml:space="preserve">Caso Barreto Leiva Vs. Venezuela. </w:t>
      </w:r>
      <w:r w:rsidRPr="00C876F7">
        <w:rPr>
          <w:rFonts w:ascii="Cambria" w:hAnsi="Cambria"/>
          <w:sz w:val="16"/>
          <w:szCs w:val="16"/>
          <w:lang w:val="es-ES_tradnl"/>
        </w:rPr>
        <w:t>Sentencia de Fondo, Reparaciones y Costas 17 de noviembre de 2009. Serie C No. 206</w:t>
      </w:r>
      <w:r w:rsidRPr="00C876F7">
        <w:rPr>
          <w:rFonts w:ascii="Cambria" w:hAnsi="Cambria"/>
          <w:i/>
          <w:sz w:val="16"/>
          <w:szCs w:val="16"/>
          <w:lang w:val="es-ES_tradnl"/>
        </w:rPr>
        <w:t xml:space="preserve">, </w:t>
      </w:r>
      <w:r w:rsidRPr="00C876F7">
        <w:rPr>
          <w:rFonts w:ascii="Cambria" w:hAnsi="Cambria"/>
          <w:sz w:val="16"/>
          <w:szCs w:val="16"/>
          <w:lang w:val="es-ES_tradnl"/>
        </w:rPr>
        <w:t xml:space="preserve">párr. 89; </w:t>
      </w:r>
      <w:r w:rsidRPr="00C876F7">
        <w:rPr>
          <w:rFonts w:ascii="Cambria" w:hAnsi="Cambria"/>
          <w:bCs/>
          <w:i/>
          <w:sz w:val="16"/>
          <w:szCs w:val="16"/>
          <w:lang w:val="es-ES_tradnl"/>
        </w:rPr>
        <w:t xml:space="preserve">Caso Mohamed Vs. Argentina. </w:t>
      </w:r>
      <w:r w:rsidRPr="00C876F7">
        <w:rPr>
          <w:rFonts w:ascii="Cambria" w:hAnsi="Cambria"/>
          <w:bCs/>
          <w:sz w:val="16"/>
          <w:szCs w:val="16"/>
          <w:lang w:val="es-ES_tradnl"/>
        </w:rPr>
        <w:t xml:space="preserve">Sentencia de </w:t>
      </w:r>
      <w:r w:rsidRPr="00C876F7">
        <w:rPr>
          <w:rFonts w:ascii="Cambria" w:hAnsi="Cambria"/>
          <w:sz w:val="16"/>
          <w:szCs w:val="16"/>
          <w:lang w:val="es-ES_tradnl"/>
        </w:rPr>
        <w:t xml:space="preserve">Excepción Preliminar, Fondo, Reparaciones y Costas. </w:t>
      </w:r>
      <w:r w:rsidRPr="008604C4">
        <w:rPr>
          <w:rFonts w:ascii="Cambria" w:hAnsi="Cambria"/>
          <w:sz w:val="16"/>
          <w:szCs w:val="16"/>
          <w:lang w:val="es-PE"/>
        </w:rPr>
        <w:t>23 noviembre de 2012. Serie C No. 255, párr. 97; y</w:t>
      </w:r>
      <w:r w:rsidRPr="008604C4">
        <w:rPr>
          <w:rFonts w:ascii="Cambria" w:hAnsi="Cambria" w:cs="Arial"/>
          <w:sz w:val="16"/>
          <w:szCs w:val="16"/>
          <w:lang w:val="es-PE"/>
        </w:rPr>
        <w:t xml:space="preserve"> </w:t>
      </w:r>
      <w:r w:rsidRPr="008604C4">
        <w:rPr>
          <w:rFonts w:ascii="Cambria" w:hAnsi="Cambria" w:cs="Arial"/>
          <w:i/>
          <w:sz w:val="16"/>
          <w:szCs w:val="16"/>
          <w:lang w:val="es-PE"/>
        </w:rPr>
        <w:t>Caso Liakat Ali Alibux Vs. Suriname</w:t>
      </w:r>
      <w:r w:rsidRPr="008604C4">
        <w:rPr>
          <w:rFonts w:ascii="Cambria" w:hAnsi="Cambria" w:cs="Arial"/>
          <w:sz w:val="16"/>
          <w:szCs w:val="16"/>
          <w:lang w:val="es-PE"/>
        </w:rPr>
        <w:t xml:space="preserve">. </w:t>
      </w:r>
      <w:r w:rsidRPr="00C876F7">
        <w:rPr>
          <w:rFonts w:ascii="Cambria" w:hAnsi="Cambria" w:cs="Arial"/>
          <w:sz w:val="16"/>
          <w:szCs w:val="16"/>
          <w:lang w:val="es-ES_tradnl"/>
        </w:rPr>
        <w:t>Excepciones Preliminares, Fondo, Reparaciones y Costas. Sentencia de 30 de enero de 2014. Serie C No. 276, párr. 85.</w:t>
      </w:r>
    </w:p>
  </w:footnote>
  <w:footnote w:id="62">
    <w:p w14:paraId="0271DC16" w14:textId="77777777" w:rsidR="003767A6" w:rsidRPr="00C876F7" w:rsidRDefault="003767A6" w:rsidP="00D51AF0">
      <w:pPr>
        <w:spacing w:after="0" w:line="240" w:lineRule="auto"/>
        <w:jc w:val="both"/>
        <w:rPr>
          <w:rFonts w:ascii="Cambria" w:hAnsi="Cambria"/>
          <w:sz w:val="16"/>
          <w:szCs w:val="16"/>
          <w:lang w:val="es-CO"/>
        </w:rPr>
      </w:pPr>
      <w:r w:rsidRPr="00C876F7">
        <w:rPr>
          <w:rStyle w:val="FootnoteReference"/>
          <w:rFonts w:ascii="Cambria" w:hAnsi="Cambria"/>
          <w:sz w:val="16"/>
          <w:szCs w:val="16"/>
        </w:rPr>
        <w:footnoteRef/>
      </w:r>
      <w:r w:rsidRPr="00C876F7">
        <w:rPr>
          <w:rFonts w:ascii="Cambria" w:hAnsi="Cambria"/>
          <w:sz w:val="16"/>
          <w:szCs w:val="16"/>
          <w:lang w:val="es-ES_tradnl"/>
        </w:rPr>
        <w:t xml:space="preserve"> </w:t>
      </w:r>
      <w:r w:rsidRPr="00C876F7">
        <w:rPr>
          <w:rFonts w:ascii="Cambria" w:hAnsi="Cambria" w:cs="Arial"/>
          <w:sz w:val="16"/>
          <w:szCs w:val="16"/>
          <w:lang w:val="es-ES_tradnl"/>
        </w:rPr>
        <w:t>Corte IDH.</w:t>
      </w:r>
      <w:r w:rsidRPr="00C876F7">
        <w:rPr>
          <w:rFonts w:ascii="Cambria" w:hAnsi="Cambria"/>
          <w:sz w:val="16"/>
          <w:szCs w:val="16"/>
          <w:lang w:val="es-ES_tradnl"/>
        </w:rPr>
        <w:t xml:space="preserve"> </w:t>
      </w:r>
      <w:r w:rsidRPr="00C876F7">
        <w:rPr>
          <w:rFonts w:ascii="Cambria" w:hAnsi="Cambria"/>
          <w:i/>
          <w:sz w:val="16"/>
          <w:szCs w:val="16"/>
          <w:lang w:val="es-ES_tradnl"/>
        </w:rPr>
        <w:t>Caso Castillo Páez Vs. Perú.</w:t>
      </w:r>
      <w:r w:rsidRPr="00C876F7">
        <w:rPr>
          <w:rFonts w:ascii="Cambria" w:hAnsi="Cambria"/>
          <w:sz w:val="16"/>
          <w:szCs w:val="16"/>
          <w:lang w:val="es-ES_tradnl"/>
        </w:rPr>
        <w:t xml:space="preserve"> Fondo. Sentencia de 3 de noviembre de 1997. </w:t>
      </w:r>
      <w:r w:rsidRPr="00C876F7">
        <w:rPr>
          <w:rFonts w:ascii="Cambria" w:hAnsi="Cambria"/>
          <w:sz w:val="16"/>
          <w:szCs w:val="16"/>
          <w:lang w:val="es-CO"/>
        </w:rPr>
        <w:t xml:space="preserve">Serie C No. 34, párr. 82; </w:t>
      </w:r>
      <w:r w:rsidRPr="00C876F7">
        <w:rPr>
          <w:rFonts w:ascii="Cambria" w:hAnsi="Cambria"/>
          <w:i/>
          <w:sz w:val="16"/>
          <w:szCs w:val="16"/>
          <w:lang w:val="es-CO"/>
        </w:rPr>
        <w:t>Caso Claude Reyes y otros Vs. Chile</w:t>
      </w:r>
      <w:r w:rsidRPr="00C876F7">
        <w:rPr>
          <w:rFonts w:ascii="Cambria" w:hAnsi="Cambria"/>
          <w:sz w:val="16"/>
          <w:szCs w:val="16"/>
          <w:lang w:val="es-CO"/>
        </w:rPr>
        <w:t xml:space="preserve">. Fondo, Reparaciones y Costas. Sentencia de 19 de septiembre de 2006. Serie C No. 151, párr. 131, y </w:t>
      </w:r>
      <w:r w:rsidRPr="00C876F7">
        <w:rPr>
          <w:rFonts w:ascii="Cambria" w:hAnsi="Cambria" w:cs="Verdana-Bold"/>
          <w:bCs/>
          <w:i/>
          <w:sz w:val="16"/>
          <w:szCs w:val="16"/>
          <w:lang w:val="es-CO" w:bidi="en-US"/>
        </w:rPr>
        <w:t>Caso Castañeda Gutman Vs. México</w:t>
      </w:r>
      <w:r w:rsidRPr="00C876F7">
        <w:rPr>
          <w:rFonts w:ascii="Cambria" w:hAnsi="Cambria" w:cs="Verdana-Bold"/>
          <w:bCs/>
          <w:sz w:val="16"/>
          <w:szCs w:val="16"/>
          <w:lang w:val="es-CO" w:bidi="en-US"/>
        </w:rPr>
        <w:t xml:space="preserve">. </w:t>
      </w:r>
      <w:r w:rsidRPr="00C876F7">
        <w:rPr>
          <w:rFonts w:ascii="Cambria" w:hAnsi="Cambria" w:cs="Verdana"/>
          <w:sz w:val="16"/>
          <w:szCs w:val="16"/>
          <w:lang w:val="es-CO" w:bidi="en-US"/>
        </w:rPr>
        <w:t>Excepciones Preliminares, Fondo, Reparaciones y Costas. Sentencia de 6 de agosto de 2008. Serie C No. 18</w:t>
      </w:r>
      <w:r w:rsidRPr="00C876F7">
        <w:rPr>
          <w:rFonts w:ascii="Cambria" w:hAnsi="Cambria"/>
          <w:sz w:val="16"/>
          <w:szCs w:val="16"/>
          <w:lang w:val="es-CO"/>
        </w:rPr>
        <w:t xml:space="preserve">3, párr. 78.  </w:t>
      </w:r>
    </w:p>
  </w:footnote>
  <w:footnote w:id="63">
    <w:p w14:paraId="03C190A1"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CIDH. Informe No. 82/13. Caso 12.679. Fondo. José Agapito Ruano Torres y familia. El Salvador. 4 de noviembre de 2013, párr. 119.</w:t>
      </w:r>
    </w:p>
  </w:footnote>
  <w:footnote w:id="64">
    <w:p w14:paraId="4625344C" w14:textId="168540FE"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w:t>
      </w:r>
      <w:r w:rsidRPr="00C876F7">
        <w:rPr>
          <w:rStyle w:val="Strong"/>
          <w:rFonts w:ascii="Cambria" w:hAnsi="Cambria"/>
          <w:b w:val="0"/>
          <w:color w:val="auto"/>
          <w:sz w:val="16"/>
          <w:szCs w:val="16"/>
          <w:shd w:val="clear" w:color="auto" w:fill="FFFFFF"/>
          <w:lang w:val="es-ES"/>
        </w:rPr>
        <w:t xml:space="preserve">Corte IDH. </w:t>
      </w:r>
      <w:r w:rsidRPr="00C876F7">
        <w:rPr>
          <w:rStyle w:val="Strong"/>
          <w:rFonts w:ascii="Cambria" w:hAnsi="Cambria"/>
          <w:b w:val="0"/>
          <w:i/>
          <w:color w:val="auto"/>
          <w:sz w:val="16"/>
          <w:szCs w:val="16"/>
          <w:shd w:val="clear" w:color="auto" w:fill="FFFFFF"/>
          <w:lang w:val="es-ES"/>
        </w:rPr>
        <w:t>Caso Norín Catrimán y otros (Dirigentes, miembros y activista del Pueblo Indígena Mapuche) Vs. Chile</w:t>
      </w:r>
      <w:r w:rsidRPr="00C876F7">
        <w:rPr>
          <w:rStyle w:val="Strong"/>
          <w:rFonts w:ascii="Cambria" w:hAnsi="Cambria"/>
          <w:b w:val="0"/>
          <w:color w:val="auto"/>
          <w:sz w:val="16"/>
          <w:szCs w:val="16"/>
          <w:shd w:val="clear" w:color="auto" w:fill="FFFFFF"/>
          <w:lang w:val="es-ES"/>
        </w:rPr>
        <w:t xml:space="preserve">. Fondo, Reparaciones y Costas. Sentencia de 29 de mayo de 2014. Serie C No. 279, párr. 247. </w:t>
      </w:r>
      <w:r w:rsidRPr="00C876F7">
        <w:rPr>
          <w:rFonts w:ascii="Cambria" w:hAnsi="Cambria"/>
          <w:color w:val="auto"/>
          <w:spacing w:val="-4"/>
          <w:sz w:val="16"/>
          <w:szCs w:val="16"/>
          <w:lang w:val="es-ES"/>
        </w:rPr>
        <w:t xml:space="preserve">CEDH. </w:t>
      </w:r>
      <w:r w:rsidRPr="00C876F7">
        <w:rPr>
          <w:rFonts w:ascii="Cambria" w:hAnsi="Cambria"/>
          <w:bCs/>
          <w:i/>
          <w:iCs/>
          <w:color w:val="auto"/>
          <w:spacing w:val="-4"/>
          <w:sz w:val="16"/>
          <w:szCs w:val="16"/>
          <w:lang w:val="es-ES"/>
        </w:rPr>
        <w:t xml:space="preserve">Doorson v. Países Bajos. </w:t>
      </w:r>
      <w:r w:rsidRPr="00C876F7">
        <w:rPr>
          <w:rFonts w:ascii="Cambria" w:hAnsi="Cambria"/>
          <w:bCs/>
          <w:iCs/>
          <w:color w:val="auto"/>
          <w:spacing w:val="-4"/>
          <w:sz w:val="16"/>
          <w:szCs w:val="16"/>
          <w:lang w:val="es-ES"/>
        </w:rPr>
        <w:t>Sentencia de 26 de marzo de 1996, párr. 76.</w:t>
      </w:r>
    </w:p>
  </w:footnote>
  <w:footnote w:id="65">
    <w:p w14:paraId="39AE4264"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rPr>
        <w:footnoteRef/>
      </w:r>
      <w:r w:rsidRPr="00C876F7">
        <w:rPr>
          <w:rFonts w:ascii="Cambria" w:hAnsi="Cambria"/>
          <w:color w:val="auto"/>
          <w:sz w:val="16"/>
          <w:szCs w:val="16"/>
          <w:lang w:val="es-ES"/>
        </w:rPr>
        <w:t xml:space="preserve"> Artículo 7. Derecho a la libertad personal.</w:t>
      </w:r>
    </w:p>
    <w:p w14:paraId="6D35DB41" w14:textId="2EC8DB3D" w:rsidR="003767A6" w:rsidRPr="00C876F7" w:rsidRDefault="003767A6" w:rsidP="00D51AF0">
      <w:pPr>
        <w:pStyle w:val="FootnoteText"/>
        <w:jc w:val="both"/>
        <w:rPr>
          <w:rFonts w:ascii="Cambria" w:hAnsi="Cambria" w:cs="Tahoma"/>
          <w:color w:val="auto"/>
          <w:sz w:val="16"/>
          <w:szCs w:val="16"/>
          <w:lang w:val="es-ES"/>
        </w:rPr>
      </w:pPr>
      <w:r w:rsidRPr="00C876F7">
        <w:rPr>
          <w:rFonts w:ascii="Cambria" w:hAnsi="Cambria" w:cs="Tahoma"/>
          <w:color w:val="auto"/>
          <w:sz w:val="16"/>
          <w:szCs w:val="16"/>
          <w:lang w:val="es-ES"/>
        </w:rPr>
        <w:t xml:space="preserve">1. Toda persona tiene derecho a la libertad y a la seguridad personales (…). </w:t>
      </w:r>
    </w:p>
    <w:p w14:paraId="46294027" w14:textId="77777777" w:rsidR="003767A6" w:rsidRPr="00C876F7" w:rsidRDefault="003767A6" w:rsidP="00D51AF0">
      <w:pPr>
        <w:pStyle w:val="FootnoteText"/>
        <w:jc w:val="both"/>
        <w:rPr>
          <w:rFonts w:ascii="Cambria" w:hAnsi="Cambria"/>
          <w:color w:val="auto"/>
          <w:sz w:val="16"/>
          <w:szCs w:val="16"/>
          <w:lang w:val="es-ES"/>
        </w:rPr>
      </w:pPr>
      <w:r w:rsidRPr="00C876F7">
        <w:rPr>
          <w:rFonts w:ascii="Cambria" w:hAnsi="Cambria"/>
          <w:color w:val="auto"/>
          <w:sz w:val="16"/>
          <w:szCs w:val="16"/>
          <w:lang w:val="es-ES"/>
        </w:rPr>
        <w:t xml:space="preserve">3. </w:t>
      </w:r>
      <w:r w:rsidRPr="00C876F7">
        <w:rPr>
          <w:rFonts w:ascii="Cambria" w:hAnsi="Cambria" w:cs="Tahoma"/>
          <w:color w:val="auto"/>
          <w:sz w:val="16"/>
          <w:szCs w:val="16"/>
          <w:lang w:val="es-ES"/>
        </w:rPr>
        <w:t>Nadie puede ser sometido a detención o encarcelamiento arbitrarios.</w:t>
      </w:r>
    </w:p>
  </w:footnote>
  <w:footnote w:id="66">
    <w:p w14:paraId="4BFED029"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CIDH. Informe No. 172/10. Caso 12.561. Fondo. César Alberto Mendoza y otros (Prisión y reclusión perpetuas de adolescentes). Argentina. 2 de noviembre de 2000, párr. 175.</w:t>
      </w:r>
    </w:p>
  </w:footnote>
  <w:footnote w:id="67">
    <w:p w14:paraId="378EF59B"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Corte IDH. </w:t>
      </w:r>
      <w:r w:rsidRPr="00C876F7">
        <w:rPr>
          <w:rFonts w:ascii="Cambria" w:hAnsi="Cambria"/>
          <w:i/>
          <w:color w:val="auto"/>
          <w:sz w:val="16"/>
          <w:szCs w:val="16"/>
          <w:lang w:val="es-ES"/>
        </w:rPr>
        <w:t>Caso Usón Ramírez Vs. Venezuela</w:t>
      </w:r>
      <w:r w:rsidRPr="00C876F7">
        <w:rPr>
          <w:rFonts w:ascii="Cambria" w:hAnsi="Cambria"/>
          <w:color w:val="auto"/>
          <w:sz w:val="16"/>
          <w:szCs w:val="16"/>
          <w:lang w:val="es-ES"/>
        </w:rPr>
        <w:t>. Sentencia de 20 de noviembre de 2009. Serie C No. 207, párr. 148.</w:t>
      </w:r>
    </w:p>
  </w:footnote>
  <w:footnote w:id="68">
    <w:p w14:paraId="446DE532"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Grupo de Trabajo sobre la Detención Arbitraria de la Oficina del Alto Comisionado de las Naciones Unidas para los Derechos Humanos. Folleto informativo No. 26: “Nadie podrá ser arbitrariamente detenido, preso ni desterrado”. </w:t>
      </w:r>
    </w:p>
  </w:footnote>
  <w:footnote w:id="69">
    <w:p w14:paraId="46FE8F60"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Para mayor información, véase: CIDH. Informe No. 172/10. Caso 12.561. Fondo. César Alberto Mendoza y otros (Prisión y reclusión perpetuas de adolescentes). Argentina. 2 de noviembre de 2000, párr. 179.</w:t>
      </w:r>
    </w:p>
  </w:footnote>
  <w:footnote w:id="70">
    <w:p w14:paraId="2ECF290C" w14:textId="77777777" w:rsidR="003767A6" w:rsidRPr="00C876F7" w:rsidRDefault="003767A6" w:rsidP="00D51AF0">
      <w:pPr>
        <w:pStyle w:val="FootnoteText"/>
        <w:jc w:val="both"/>
        <w:rPr>
          <w:rFonts w:ascii="Cambria" w:hAnsi="Cambria"/>
          <w:color w:val="auto"/>
          <w:sz w:val="16"/>
          <w:szCs w:val="16"/>
          <w:lang w:val="es-ES"/>
        </w:rPr>
      </w:pPr>
      <w:r w:rsidRPr="00C876F7">
        <w:rPr>
          <w:rStyle w:val="FootnoteReference"/>
          <w:rFonts w:ascii="Cambria" w:hAnsi="Cambria"/>
          <w:color w:val="auto"/>
          <w:sz w:val="16"/>
          <w:szCs w:val="16"/>
          <w:lang w:val="es-ES"/>
        </w:rPr>
        <w:footnoteRef/>
      </w:r>
      <w:r w:rsidRPr="00C876F7">
        <w:rPr>
          <w:rFonts w:ascii="Cambria" w:hAnsi="Cambria"/>
          <w:color w:val="auto"/>
          <w:sz w:val="16"/>
          <w:szCs w:val="16"/>
          <w:lang w:val="es-ES"/>
        </w:rPr>
        <w:t xml:space="preserve"> CIDH. Informe No. 64/99. Caso 11.778. Fondo. Ruth del Rosario Garcés Valladares. Ecuador. 13 de abril de 1999, párr.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8B83" w14:textId="77777777" w:rsidR="003767A6" w:rsidRDefault="003767A6" w:rsidP="00852AF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49F33C" w14:textId="77777777" w:rsidR="003767A6" w:rsidRDefault="0037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ADE4" w14:textId="77777777" w:rsidR="003767A6" w:rsidRDefault="003767A6" w:rsidP="00852AF5">
    <w:pPr>
      <w:pStyle w:val="Header"/>
      <w:tabs>
        <w:tab w:val="clear" w:pos="4320"/>
        <w:tab w:val="clear" w:pos="8640"/>
      </w:tabs>
      <w:jc w:val="center"/>
      <w:rPr>
        <w:sz w:val="22"/>
        <w:szCs w:val="22"/>
      </w:rPr>
    </w:pPr>
    <w:r>
      <w:rPr>
        <w:noProof/>
        <w:sz w:val="22"/>
        <w:szCs w:val="22"/>
        <w:lang w:val="en-US"/>
      </w:rPr>
      <w:drawing>
        <wp:inline distT="0" distB="0" distL="0" distR="0" wp14:anchorId="63194443" wp14:editId="5B5CA417">
          <wp:extent cx="1976755" cy="102870"/>
          <wp:effectExtent l="0" t="0" r="4445" b="0"/>
          <wp:docPr id="6" name="Picture 6"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102870"/>
                  </a:xfrm>
                  <a:prstGeom prst="rect">
                    <a:avLst/>
                  </a:prstGeom>
                  <a:noFill/>
                  <a:ln>
                    <a:noFill/>
                  </a:ln>
                </pic:spPr>
              </pic:pic>
            </a:graphicData>
          </a:graphic>
        </wp:inline>
      </w:drawing>
    </w:r>
  </w:p>
  <w:p w14:paraId="3656BC1A" w14:textId="77777777" w:rsidR="003767A6" w:rsidRPr="00EC7D62" w:rsidRDefault="00CB0BA3" w:rsidP="00852AF5">
    <w:pPr>
      <w:pStyle w:val="Header"/>
      <w:tabs>
        <w:tab w:val="clear" w:pos="4320"/>
        <w:tab w:val="clear" w:pos="8640"/>
      </w:tabs>
      <w:jc w:val="center"/>
      <w:rPr>
        <w:sz w:val="22"/>
        <w:szCs w:val="22"/>
      </w:rPr>
    </w:pPr>
    <w:r>
      <w:rPr>
        <w:noProof/>
        <w:sz w:val="22"/>
        <w:szCs w:val="22"/>
      </w:rPr>
      <w:pict w14:anchorId="67CC3A9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 w15:restartNumberingAfterBreak="0">
    <w:nsid w:val="08D63185"/>
    <w:multiLevelType w:val="hybridMultilevel"/>
    <w:tmpl w:val="D62024C8"/>
    <w:lvl w:ilvl="0" w:tplc="87E609D8">
      <w:start w:val="1"/>
      <w:numFmt w:val="decimal"/>
      <w:lvlText w:val="%1."/>
      <w:lvlJc w:val="left"/>
      <w:pPr>
        <w:tabs>
          <w:tab w:val="num" w:pos="1440"/>
        </w:tabs>
        <w:ind w:left="1440" w:hanging="720"/>
      </w:pPr>
      <w:rPr>
        <w:rFonts w:ascii="Cambria" w:hAnsi="Cambria" w:hint="default"/>
        <w:b/>
        <w:sz w:val="20"/>
        <w:szCs w:val="20"/>
      </w:rPr>
    </w:lvl>
    <w:lvl w:ilvl="1" w:tplc="04090019">
      <w:start w:val="1"/>
      <w:numFmt w:val="lowerLetter"/>
      <w:lvlText w:val="%2."/>
      <w:lvlJc w:val="left"/>
      <w:pPr>
        <w:tabs>
          <w:tab w:val="num" w:pos="1800"/>
        </w:tabs>
        <w:ind w:left="1800" w:hanging="360"/>
      </w:pPr>
    </w:lvl>
    <w:lvl w:ilvl="2" w:tplc="3CA6FEDA">
      <w:start w:val="5"/>
      <w:numFmt w:val="upperRoman"/>
      <w:lvlText w:val="%3."/>
      <w:lvlJc w:val="left"/>
      <w:pPr>
        <w:tabs>
          <w:tab w:val="num" w:pos="3060"/>
        </w:tabs>
        <w:ind w:left="3060" w:hanging="720"/>
      </w:pPr>
      <w:rPr>
        <w:rFonts w:hint="default"/>
      </w:rPr>
    </w:lvl>
    <w:lvl w:ilvl="3" w:tplc="71681AC0">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5" w15:restartNumberingAfterBreak="0">
    <w:nsid w:val="105425F5"/>
    <w:multiLevelType w:val="hybridMultilevel"/>
    <w:tmpl w:val="BCCA122C"/>
    <w:lvl w:ilvl="0" w:tplc="D9FC28FC">
      <w:numFmt w:val="bullet"/>
      <w:lvlText w:val="-"/>
      <w:lvlJc w:val="left"/>
      <w:pPr>
        <w:ind w:left="720" w:hanging="360"/>
      </w:pPr>
      <w:rPr>
        <w:rFonts w:ascii="Cambria" w:eastAsia="Batang" w:hAnsi="Cambria"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7" w15:restartNumberingAfterBreak="0">
    <w:nsid w:val="16C401F2"/>
    <w:multiLevelType w:val="multilevel"/>
    <w:tmpl w:val="30208C14"/>
    <w:lvl w:ilvl="0">
      <w:start w:val="1"/>
      <w:numFmt w:val="decimal"/>
      <w:pStyle w:val="Heading3"/>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50020"/>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mbri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17" w15:restartNumberingAfterBreak="0">
    <w:nsid w:val="26390CC8"/>
    <w:multiLevelType w:val="hybridMultilevel"/>
    <w:tmpl w:val="C664874A"/>
    <w:lvl w:ilvl="0" w:tplc="B4D28AD6">
      <w:start w:val="1"/>
      <w:numFmt w:val="decimal"/>
      <w:lvlText w:val="%1."/>
      <w:lvlJc w:val="left"/>
      <w:pPr>
        <w:ind w:left="720" w:hanging="360"/>
      </w:pPr>
      <w:rPr>
        <w:rFonts w:ascii="Cambria" w:hAnsi="Cambria"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3" w15:restartNumberingAfterBreak="0">
    <w:nsid w:val="31A54F88"/>
    <w:multiLevelType w:val="hybridMultilevel"/>
    <w:tmpl w:val="658876AC"/>
    <w:lvl w:ilvl="0" w:tplc="A39040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mbri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31" w15:restartNumberingAfterBreak="0">
    <w:nsid w:val="3DC61D90"/>
    <w:multiLevelType w:val="hybridMultilevel"/>
    <w:tmpl w:val="48F201A8"/>
    <w:lvl w:ilvl="0" w:tplc="27B830F4">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3" w15:restartNumberingAfterBreak="0">
    <w:nsid w:val="41077DE8"/>
    <w:multiLevelType w:val="hybridMultilevel"/>
    <w:tmpl w:val="F222CB00"/>
    <w:lvl w:ilvl="0" w:tplc="454277C6">
      <w:start w:val="1"/>
      <w:numFmt w:val="upperLetter"/>
      <w:pStyle w:val="Heading2"/>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3258CAC6">
      <w:start w:val="1"/>
      <w:numFmt w:val="decimal"/>
      <w:lvlText w:val="%4."/>
      <w:lvlJc w:val="left"/>
      <w:pPr>
        <w:ind w:left="3087" w:hanging="360"/>
      </w:pPr>
      <w:rPr>
        <w:b/>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mbria"/>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45"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abstractNum w:abstractNumId="47" w15:restartNumberingAfterBreak="0">
    <w:nsid w:val="5ADF6884"/>
    <w:multiLevelType w:val="hybridMultilevel"/>
    <w:tmpl w:val="BDCE111A"/>
    <w:lvl w:ilvl="0" w:tplc="8454F4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485FBF"/>
    <w:multiLevelType w:val="hybridMultilevel"/>
    <w:tmpl w:val="78ACCCBA"/>
    <w:lvl w:ilvl="0" w:tplc="7876CB10">
      <w:start w:val="1"/>
      <w:numFmt w:val="decimal"/>
      <w:lvlText w:val="%1."/>
      <w:lvlJc w:val="left"/>
      <w:pPr>
        <w:tabs>
          <w:tab w:val="num" w:pos="1080"/>
        </w:tabs>
        <w:ind w:left="1080" w:hanging="360"/>
      </w:pPr>
      <w:rPr>
        <w:rFonts w:ascii="Calibri" w:hAnsi="Calibri"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D7D4B9D"/>
    <w:multiLevelType w:val="hybridMultilevel"/>
    <w:tmpl w:val="B596B422"/>
    <w:lvl w:ilvl="0" w:tplc="2D3CB81C">
      <w:start w:val="1"/>
      <w:numFmt w:val="decimal"/>
      <w:lvlText w:val="%1."/>
      <w:lvlJc w:val="left"/>
      <w:pPr>
        <w:ind w:left="1350" w:hanging="360"/>
      </w:pPr>
      <w:rPr>
        <w:rFonts w:ascii="Cambria" w:hAnsi="Cambria" w:hint="default"/>
        <w:b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color="000000"/>
        <w:lang w:val="es-ES_tradnl"/>
      </w:rPr>
    </w:lvl>
  </w:abstractNum>
  <w:abstractNum w:abstractNumId="52" w15:restartNumberingAfterBreak="0">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5" w15:restartNumberingAfterBreak="0">
    <w:nsid w:val="70786ED7"/>
    <w:multiLevelType w:val="hybridMultilevel"/>
    <w:tmpl w:val="FF66AEF4"/>
    <w:lvl w:ilvl="0" w:tplc="7C5C7372">
      <w:start w:val="1"/>
      <w:numFmt w:val="upperRoman"/>
      <w:pStyle w:val="Heading1"/>
      <w:lvlText w:val="%1."/>
      <w:lvlJc w:val="left"/>
      <w:pPr>
        <w:ind w:left="639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Cambri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61" w15:restartNumberingAfterBreak="0">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Cambri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Cambri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4"/>
  </w:num>
  <w:num w:numId="5">
    <w:abstractNumId w:val="51"/>
  </w:num>
  <w:num w:numId="6">
    <w:abstractNumId w:val="29"/>
  </w:num>
  <w:num w:numId="7">
    <w:abstractNumId w:val="9"/>
  </w:num>
  <w:num w:numId="8">
    <w:abstractNumId w:val="20"/>
  </w:num>
  <w:num w:numId="9">
    <w:abstractNumId w:val="44"/>
  </w:num>
  <w:num w:numId="10">
    <w:abstractNumId w:val="0"/>
  </w:num>
  <w:num w:numId="11">
    <w:abstractNumId w:val="40"/>
  </w:num>
  <w:num w:numId="12">
    <w:abstractNumId w:val="41"/>
  </w:num>
  <w:num w:numId="13">
    <w:abstractNumId w:val="46"/>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0"/>
  </w:num>
  <w:num w:numId="42">
    <w:abstractNumId w:val="53"/>
  </w:num>
  <w:num w:numId="43">
    <w:abstractNumId w:val="54"/>
  </w:num>
  <w:num w:numId="44">
    <w:abstractNumId w:val="56"/>
  </w:num>
  <w:num w:numId="45">
    <w:abstractNumId w:val="58"/>
  </w:num>
  <w:num w:numId="46">
    <w:abstractNumId w:val="59"/>
  </w:num>
  <w:num w:numId="47">
    <w:abstractNumId w:val="60"/>
  </w:num>
  <w:num w:numId="48">
    <w:abstractNumId w:val="62"/>
  </w:num>
  <w:num w:numId="49">
    <w:abstractNumId w:val="63"/>
  </w:num>
  <w:num w:numId="50">
    <w:abstractNumId w:val="55"/>
  </w:num>
  <w:num w:numId="51">
    <w:abstractNumId w:val="61"/>
  </w:num>
  <w:num w:numId="52">
    <w:abstractNumId w:val="7"/>
  </w:num>
  <w:num w:numId="53">
    <w:abstractNumId w:val="8"/>
  </w:num>
  <w:num w:numId="54">
    <w:abstractNumId w:val="33"/>
  </w:num>
  <w:num w:numId="55">
    <w:abstractNumId w:val="5"/>
  </w:num>
  <w:num w:numId="56">
    <w:abstractNumId w:val="2"/>
  </w:num>
  <w:num w:numId="57">
    <w:abstractNumId w:val="48"/>
  </w:num>
  <w:num w:numId="58">
    <w:abstractNumId w:val="47"/>
  </w:num>
  <w:num w:numId="59">
    <w:abstractNumId w:val="31"/>
  </w:num>
  <w:num w:numId="60">
    <w:abstractNumId w:val="45"/>
  </w:num>
  <w:num w:numId="61">
    <w:abstractNumId w:val="17"/>
  </w:num>
  <w:num w:numId="62">
    <w:abstractNumId w:val="52"/>
  </w:num>
  <w:num w:numId="63">
    <w:abstractNumId w:val="23"/>
  </w:num>
  <w:num w:numId="64">
    <w:abstractNumId w:val="55"/>
  </w:num>
  <w:num w:numId="65">
    <w:abstractNumId w:val="55"/>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77"/>
    <w:rsid w:val="000025DA"/>
    <w:rsid w:val="00002C2D"/>
    <w:rsid w:val="00003703"/>
    <w:rsid w:val="00003C80"/>
    <w:rsid w:val="00003CFD"/>
    <w:rsid w:val="00010BDC"/>
    <w:rsid w:val="00011738"/>
    <w:rsid w:val="000125BD"/>
    <w:rsid w:val="000227F1"/>
    <w:rsid w:val="00037128"/>
    <w:rsid w:val="00041BE3"/>
    <w:rsid w:val="00045386"/>
    <w:rsid w:val="0004599A"/>
    <w:rsid w:val="00047656"/>
    <w:rsid w:val="000477E7"/>
    <w:rsid w:val="00050256"/>
    <w:rsid w:val="000512DD"/>
    <w:rsid w:val="000517DD"/>
    <w:rsid w:val="00055C36"/>
    <w:rsid w:val="0006047C"/>
    <w:rsid w:val="00062EB6"/>
    <w:rsid w:val="0006495D"/>
    <w:rsid w:val="0007222D"/>
    <w:rsid w:val="00084B81"/>
    <w:rsid w:val="00084B91"/>
    <w:rsid w:val="000859AA"/>
    <w:rsid w:val="00086718"/>
    <w:rsid w:val="0009255C"/>
    <w:rsid w:val="0009353C"/>
    <w:rsid w:val="000A187A"/>
    <w:rsid w:val="000A6B72"/>
    <w:rsid w:val="000B0692"/>
    <w:rsid w:val="000B5E54"/>
    <w:rsid w:val="000B6605"/>
    <w:rsid w:val="000D64BB"/>
    <w:rsid w:val="000E06B9"/>
    <w:rsid w:val="000E3A84"/>
    <w:rsid w:val="000F4A2D"/>
    <w:rsid w:val="000F52CC"/>
    <w:rsid w:val="000F6952"/>
    <w:rsid w:val="000F7FB4"/>
    <w:rsid w:val="001021E5"/>
    <w:rsid w:val="001061DF"/>
    <w:rsid w:val="00107C32"/>
    <w:rsid w:val="00110612"/>
    <w:rsid w:val="00111139"/>
    <w:rsid w:val="00116C28"/>
    <w:rsid w:val="00122D7D"/>
    <w:rsid w:val="001232FA"/>
    <w:rsid w:val="001265E3"/>
    <w:rsid w:val="00130109"/>
    <w:rsid w:val="001348FF"/>
    <w:rsid w:val="00142C6B"/>
    <w:rsid w:val="00145D5E"/>
    <w:rsid w:val="001504C5"/>
    <w:rsid w:val="00150D9C"/>
    <w:rsid w:val="0017539D"/>
    <w:rsid w:val="00181790"/>
    <w:rsid w:val="00193A05"/>
    <w:rsid w:val="001A0E2D"/>
    <w:rsid w:val="001A28B3"/>
    <w:rsid w:val="001A3A38"/>
    <w:rsid w:val="001A4419"/>
    <w:rsid w:val="001B10B2"/>
    <w:rsid w:val="001B2864"/>
    <w:rsid w:val="001B3677"/>
    <w:rsid w:val="001B533E"/>
    <w:rsid w:val="001B70FB"/>
    <w:rsid w:val="001D2873"/>
    <w:rsid w:val="001E116D"/>
    <w:rsid w:val="001E1CDC"/>
    <w:rsid w:val="001E22EF"/>
    <w:rsid w:val="001E7B72"/>
    <w:rsid w:val="001E7DE9"/>
    <w:rsid w:val="001F7418"/>
    <w:rsid w:val="001F7ED2"/>
    <w:rsid w:val="00204597"/>
    <w:rsid w:val="00206DEA"/>
    <w:rsid w:val="00207803"/>
    <w:rsid w:val="00216C4E"/>
    <w:rsid w:val="00220CE0"/>
    <w:rsid w:val="00225E1C"/>
    <w:rsid w:val="00243987"/>
    <w:rsid w:val="00245BCD"/>
    <w:rsid w:val="002474C5"/>
    <w:rsid w:val="002539D5"/>
    <w:rsid w:val="00255EB9"/>
    <w:rsid w:val="00260D31"/>
    <w:rsid w:val="0026361B"/>
    <w:rsid w:val="00265872"/>
    <w:rsid w:val="00280436"/>
    <w:rsid w:val="00281532"/>
    <w:rsid w:val="00286326"/>
    <w:rsid w:val="00287986"/>
    <w:rsid w:val="00291B68"/>
    <w:rsid w:val="00295EAE"/>
    <w:rsid w:val="002A0501"/>
    <w:rsid w:val="002A070A"/>
    <w:rsid w:val="002A4BAC"/>
    <w:rsid w:val="002B181C"/>
    <w:rsid w:val="002B3D53"/>
    <w:rsid w:val="002B4031"/>
    <w:rsid w:val="002B6C2D"/>
    <w:rsid w:val="002C33F9"/>
    <w:rsid w:val="002C4DA4"/>
    <w:rsid w:val="002C526B"/>
    <w:rsid w:val="002C5A2D"/>
    <w:rsid w:val="002C6572"/>
    <w:rsid w:val="002D3696"/>
    <w:rsid w:val="002D3B30"/>
    <w:rsid w:val="002E19F9"/>
    <w:rsid w:val="002F1360"/>
    <w:rsid w:val="002F3722"/>
    <w:rsid w:val="002F45B6"/>
    <w:rsid w:val="002F630F"/>
    <w:rsid w:val="002F7275"/>
    <w:rsid w:val="00300940"/>
    <w:rsid w:val="00304935"/>
    <w:rsid w:val="00305F20"/>
    <w:rsid w:val="00311B4B"/>
    <w:rsid w:val="00313146"/>
    <w:rsid w:val="00313B59"/>
    <w:rsid w:val="0031552E"/>
    <w:rsid w:val="003167E2"/>
    <w:rsid w:val="00316B23"/>
    <w:rsid w:val="0032252D"/>
    <w:rsid w:val="00333826"/>
    <w:rsid w:val="00333DE0"/>
    <w:rsid w:val="00336F19"/>
    <w:rsid w:val="00340313"/>
    <w:rsid w:val="003619FE"/>
    <w:rsid w:val="00361FD5"/>
    <w:rsid w:val="00372D3D"/>
    <w:rsid w:val="00375337"/>
    <w:rsid w:val="003767A6"/>
    <w:rsid w:val="00386CB5"/>
    <w:rsid w:val="00392239"/>
    <w:rsid w:val="003A22D7"/>
    <w:rsid w:val="003B69BB"/>
    <w:rsid w:val="003C0A60"/>
    <w:rsid w:val="003C7B7A"/>
    <w:rsid w:val="003E234D"/>
    <w:rsid w:val="003E526A"/>
    <w:rsid w:val="003E5C2C"/>
    <w:rsid w:val="003F0587"/>
    <w:rsid w:val="003F3B52"/>
    <w:rsid w:val="00400D14"/>
    <w:rsid w:val="00404B69"/>
    <w:rsid w:val="00405445"/>
    <w:rsid w:val="004062F1"/>
    <w:rsid w:val="00415346"/>
    <w:rsid w:val="004305B1"/>
    <w:rsid w:val="0043507F"/>
    <w:rsid w:val="00437DB1"/>
    <w:rsid w:val="00442BD4"/>
    <w:rsid w:val="00442F6F"/>
    <w:rsid w:val="00455F20"/>
    <w:rsid w:val="004571CF"/>
    <w:rsid w:val="00462FF4"/>
    <w:rsid w:val="00471EB4"/>
    <w:rsid w:val="00481200"/>
    <w:rsid w:val="004830D4"/>
    <w:rsid w:val="00484C67"/>
    <w:rsid w:val="00484D39"/>
    <w:rsid w:val="00487546"/>
    <w:rsid w:val="00492E23"/>
    <w:rsid w:val="004A52F0"/>
    <w:rsid w:val="004A7A13"/>
    <w:rsid w:val="004B1AA4"/>
    <w:rsid w:val="004B403E"/>
    <w:rsid w:val="004C0892"/>
    <w:rsid w:val="004C2A85"/>
    <w:rsid w:val="004C39D3"/>
    <w:rsid w:val="004C6C52"/>
    <w:rsid w:val="004D611D"/>
    <w:rsid w:val="004D6B0B"/>
    <w:rsid w:val="004E005F"/>
    <w:rsid w:val="004E3A6D"/>
    <w:rsid w:val="004E3B46"/>
    <w:rsid w:val="004E4D7A"/>
    <w:rsid w:val="004F1FDB"/>
    <w:rsid w:val="004F5B48"/>
    <w:rsid w:val="005055C4"/>
    <w:rsid w:val="0051151C"/>
    <w:rsid w:val="0051157F"/>
    <w:rsid w:val="00514666"/>
    <w:rsid w:val="005152BF"/>
    <w:rsid w:val="005208B1"/>
    <w:rsid w:val="00531772"/>
    <w:rsid w:val="00532248"/>
    <w:rsid w:val="00533563"/>
    <w:rsid w:val="00534926"/>
    <w:rsid w:val="00537F24"/>
    <w:rsid w:val="005442CD"/>
    <w:rsid w:val="00544DA7"/>
    <w:rsid w:val="00547B7B"/>
    <w:rsid w:val="005508DC"/>
    <w:rsid w:val="0055443F"/>
    <w:rsid w:val="00562779"/>
    <w:rsid w:val="005632ED"/>
    <w:rsid w:val="005652C0"/>
    <w:rsid w:val="00567EFF"/>
    <w:rsid w:val="00574D1A"/>
    <w:rsid w:val="00575348"/>
    <w:rsid w:val="00591065"/>
    <w:rsid w:val="00591D2F"/>
    <w:rsid w:val="0059345F"/>
    <w:rsid w:val="005949D0"/>
    <w:rsid w:val="005B556B"/>
    <w:rsid w:val="005B6625"/>
    <w:rsid w:val="005C393C"/>
    <w:rsid w:val="005C4792"/>
    <w:rsid w:val="005D3094"/>
    <w:rsid w:val="005D5F69"/>
    <w:rsid w:val="005E0038"/>
    <w:rsid w:val="005E0A24"/>
    <w:rsid w:val="005F3F2A"/>
    <w:rsid w:val="005F437F"/>
    <w:rsid w:val="005F7BB2"/>
    <w:rsid w:val="00601335"/>
    <w:rsid w:val="006026DC"/>
    <w:rsid w:val="006100AA"/>
    <w:rsid w:val="006107BD"/>
    <w:rsid w:val="006136EE"/>
    <w:rsid w:val="00622269"/>
    <w:rsid w:val="0062270F"/>
    <w:rsid w:val="006263A9"/>
    <w:rsid w:val="006266F6"/>
    <w:rsid w:val="00632617"/>
    <w:rsid w:val="00643BD7"/>
    <w:rsid w:val="00645A25"/>
    <w:rsid w:val="00651916"/>
    <w:rsid w:val="006564B7"/>
    <w:rsid w:val="00657CF4"/>
    <w:rsid w:val="006626DC"/>
    <w:rsid w:val="006632B4"/>
    <w:rsid w:val="006646D6"/>
    <w:rsid w:val="0066602B"/>
    <w:rsid w:val="006668AC"/>
    <w:rsid w:val="006677EB"/>
    <w:rsid w:val="0067218E"/>
    <w:rsid w:val="00673959"/>
    <w:rsid w:val="0067691F"/>
    <w:rsid w:val="0068264F"/>
    <w:rsid w:val="00682F59"/>
    <w:rsid w:val="006859BC"/>
    <w:rsid w:val="006909FA"/>
    <w:rsid w:val="006A0094"/>
    <w:rsid w:val="006B05BD"/>
    <w:rsid w:val="006B0AC4"/>
    <w:rsid w:val="006B3E82"/>
    <w:rsid w:val="006C1626"/>
    <w:rsid w:val="006C288D"/>
    <w:rsid w:val="006C2FB8"/>
    <w:rsid w:val="006C3D69"/>
    <w:rsid w:val="006C4668"/>
    <w:rsid w:val="006C4BAF"/>
    <w:rsid w:val="006C5379"/>
    <w:rsid w:val="006C75AA"/>
    <w:rsid w:val="006E1E73"/>
    <w:rsid w:val="006E44BD"/>
    <w:rsid w:val="006E4EEC"/>
    <w:rsid w:val="007028AE"/>
    <w:rsid w:val="00720758"/>
    <w:rsid w:val="00727FF4"/>
    <w:rsid w:val="00730F15"/>
    <w:rsid w:val="007353A0"/>
    <w:rsid w:val="00751920"/>
    <w:rsid w:val="00753FF1"/>
    <w:rsid w:val="00761C01"/>
    <w:rsid w:val="00762B3F"/>
    <w:rsid w:val="00764E06"/>
    <w:rsid w:val="007662F9"/>
    <w:rsid w:val="00772EFF"/>
    <w:rsid w:val="00775217"/>
    <w:rsid w:val="00776266"/>
    <w:rsid w:val="00780530"/>
    <w:rsid w:val="007813F2"/>
    <w:rsid w:val="0078284F"/>
    <w:rsid w:val="00785976"/>
    <w:rsid w:val="0078653C"/>
    <w:rsid w:val="00795538"/>
    <w:rsid w:val="007A26E4"/>
    <w:rsid w:val="007A382B"/>
    <w:rsid w:val="007A58F2"/>
    <w:rsid w:val="007B4B89"/>
    <w:rsid w:val="007B7B43"/>
    <w:rsid w:val="007C0F36"/>
    <w:rsid w:val="007C25B7"/>
    <w:rsid w:val="007C5B58"/>
    <w:rsid w:val="007C6540"/>
    <w:rsid w:val="007D399C"/>
    <w:rsid w:val="007D4AEB"/>
    <w:rsid w:val="007D4FF2"/>
    <w:rsid w:val="007D7234"/>
    <w:rsid w:val="007E070A"/>
    <w:rsid w:val="007E197E"/>
    <w:rsid w:val="007E4010"/>
    <w:rsid w:val="007E6DEA"/>
    <w:rsid w:val="007F1E84"/>
    <w:rsid w:val="007F63D8"/>
    <w:rsid w:val="00800D2F"/>
    <w:rsid w:val="008017CF"/>
    <w:rsid w:val="00803010"/>
    <w:rsid w:val="00804823"/>
    <w:rsid w:val="00806303"/>
    <w:rsid w:val="00812318"/>
    <w:rsid w:val="00812731"/>
    <w:rsid w:val="00812826"/>
    <w:rsid w:val="00812A80"/>
    <w:rsid w:val="0081699D"/>
    <w:rsid w:val="00824E46"/>
    <w:rsid w:val="008257BF"/>
    <w:rsid w:val="00834243"/>
    <w:rsid w:val="00851D59"/>
    <w:rsid w:val="00852598"/>
    <w:rsid w:val="00852AF5"/>
    <w:rsid w:val="008604C4"/>
    <w:rsid w:val="00860711"/>
    <w:rsid w:val="00860E35"/>
    <w:rsid w:val="00865BFA"/>
    <w:rsid w:val="008673E0"/>
    <w:rsid w:val="008728E0"/>
    <w:rsid w:val="00874AC8"/>
    <w:rsid w:val="00874F2C"/>
    <w:rsid w:val="008851D7"/>
    <w:rsid w:val="00895AB6"/>
    <w:rsid w:val="008B4FE9"/>
    <w:rsid w:val="008B5700"/>
    <w:rsid w:val="008B664E"/>
    <w:rsid w:val="008C07BD"/>
    <w:rsid w:val="008D11AB"/>
    <w:rsid w:val="008E38F3"/>
    <w:rsid w:val="008E4400"/>
    <w:rsid w:val="008E459E"/>
    <w:rsid w:val="008E533C"/>
    <w:rsid w:val="008E7DF8"/>
    <w:rsid w:val="008F0453"/>
    <w:rsid w:val="00900FC0"/>
    <w:rsid w:val="009014AC"/>
    <w:rsid w:val="009037A0"/>
    <w:rsid w:val="0091582F"/>
    <w:rsid w:val="009175B4"/>
    <w:rsid w:val="009210DE"/>
    <w:rsid w:val="0093184B"/>
    <w:rsid w:val="009325F5"/>
    <w:rsid w:val="00932A3E"/>
    <w:rsid w:val="00932C53"/>
    <w:rsid w:val="00936A1F"/>
    <w:rsid w:val="00941691"/>
    <w:rsid w:val="00943F60"/>
    <w:rsid w:val="009510ED"/>
    <w:rsid w:val="00956462"/>
    <w:rsid w:val="009615C1"/>
    <w:rsid w:val="00970722"/>
    <w:rsid w:val="00970BCA"/>
    <w:rsid w:val="009716D8"/>
    <w:rsid w:val="0097267C"/>
    <w:rsid w:val="0097486E"/>
    <w:rsid w:val="0098392A"/>
    <w:rsid w:val="00984146"/>
    <w:rsid w:val="00985A79"/>
    <w:rsid w:val="00985C61"/>
    <w:rsid w:val="00992395"/>
    <w:rsid w:val="0099321D"/>
    <w:rsid w:val="009960D1"/>
    <w:rsid w:val="009966F0"/>
    <w:rsid w:val="00997E61"/>
    <w:rsid w:val="009A2457"/>
    <w:rsid w:val="009B719F"/>
    <w:rsid w:val="009C0080"/>
    <w:rsid w:val="009C16D6"/>
    <w:rsid w:val="009D7D24"/>
    <w:rsid w:val="009E6C53"/>
    <w:rsid w:val="009F3E66"/>
    <w:rsid w:val="009F5FAF"/>
    <w:rsid w:val="009F7C9D"/>
    <w:rsid w:val="00A01A9D"/>
    <w:rsid w:val="00A04C13"/>
    <w:rsid w:val="00A0505B"/>
    <w:rsid w:val="00A1054C"/>
    <w:rsid w:val="00A152D6"/>
    <w:rsid w:val="00A16AEE"/>
    <w:rsid w:val="00A20101"/>
    <w:rsid w:val="00A2328E"/>
    <w:rsid w:val="00A268AF"/>
    <w:rsid w:val="00A27C5C"/>
    <w:rsid w:val="00A334C4"/>
    <w:rsid w:val="00A342CB"/>
    <w:rsid w:val="00A40726"/>
    <w:rsid w:val="00A514EC"/>
    <w:rsid w:val="00A542E3"/>
    <w:rsid w:val="00A54D49"/>
    <w:rsid w:val="00A612D5"/>
    <w:rsid w:val="00A615BE"/>
    <w:rsid w:val="00A707F1"/>
    <w:rsid w:val="00A71FD1"/>
    <w:rsid w:val="00A77086"/>
    <w:rsid w:val="00A85E3B"/>
    <w:rsid w:val="00AA1F46"/>
    <w:rsid w:val="00AA695B"/>
    <w:rsid w:val="00AB2A39"/>
    <w:rsid w:val="00AB33DF"/>
    <w:rsid w:val="00AC1AD3"/>
    <w:rsid w:val="00AD1BB8"/>
    <w:rsid w:val="00AD1D74"/>
    <w:rsid w:val="00AD23EF"/>
    <w:rsid w:val="00AD2DB4"/>
    <w:rsid w:val="00AD3684"/>
    <w:rsid w:val="00AD575B"/>
    <w:rsid w:val="00AD6C3E"/>
    <w:rsid w:val="00AE467E"/>
    <w:rsid w:val="00AF0A87"/>
    <w:rsid w:val="00AF12F8"/>
    <w:rsid w:val="00AF2EDF"/>
    <w:rsid w:val="00B02938"/>
    <w:rsid w:val="00B0379C"/>
    <w:rsid w:val="00B037A1"/>
    <w:rsid w:val="00B14D2B"/>
    <w:rsid w:val="00B1785F"/>
    <w:rsid w:val="00B20224"/>
    <w:rsid w:val="00B236CE"/>
    <w:rsid w:val="00B27DE0"/>
    <w:rsid w:val="00B31ACE"/>
    <w:rsid w:val="00B36442"/>
    <w:rsid w:val="00B467A0"/>
    <w:rsid w:val="00B50083"/>
    <w:rsid w:val="00B53C16"/>
    <w:rsid w:val="00B54364"/>
    <w:rsid w:val="00B56CD9"/>
    <w:rsid w:val="00B616E6"/>
    <w:rsid w:val="00B701CE"/>
    <w:rsid w:val="00B75BE0"/>
    <w:rsid w:val="00B775EA"/>
    <w:rsid w:val="00B82218"/>
    <w:rsid w:val="00B84AAE"/>
    <w:rsid w:val="00BB11C7"/>
    <w:rsid w:val="00BB1975"/>
    <w:rsid w:val="00BC035F"/>
    <w:rsid w:val="00BC23CA"/>
    <w:rsid w:val="00BD2F95"/>
    <w:rsid w:val="00BD32CF"/>
    <w:rsid w:val="00BD3F37"/>
    <w:rsid w:val="00BE2F5A"/>
    <w:rsid w:val="00BE44F1"/>
    <w:rsid w:val="00BE624B"/>
    <w:rsid w:val="00BF044A"/>
    <w:rsid w:val="00BF2B10"/>
    <w:rsid w:val="00BF3DF1"/>
    <w:rsid w:val="00BF56BE"/>
    <w:rsid w:val="00C00163"/>
    <w:rsid w:val="00C00D0B"/>
    <w:rsid w:val="00C01EBC"/>
    <w:rsid w:val="00C040C9"/>
    <w:rsid w:val="00C14C72"/>
    <w:rsid w:val="00C1759E"/>
    <w:rsid w:val="00C1785A"/>
    <w:rsid w:val="00C2083A"/>
    <w:rsid w:val="00C221C9"/>
    <w:rsid w:val="00C26135"/>
    <w:rsid w:val="00C26419"/>
    <w:rsid w:val="00C27E4E"/>
    <w:rsid w:val="00C31B74"/>
    <w:rsid w:val="00C31D08"/>
    <w:rsid w:val="00C322A1"/>
    <w:rsid w:val="00C33FE0"/>
    <w:rsid w:val="00C4276C"/>
    <w:rsid w:val="00C46120"/>
    <w:rsid w:val="00C53C11"/>
    <w:rsid w:val="00C602D3"/>
    <w:rsid w:val="00C6088F"/>
    <w:rsid w:val="00C61543"/>
    <w:rsid w:val="00C620EC"/>
    <w:rsid w:val="00C6489F"/>
    <w:rsid w:val="00C65976"/>
    <w:rsid w:val="00C70E94"/>
    <w:rsid w:val="00C74C4D"/>
    <w:rsid w:val="00C75B19"/>
    <w:rsid w:val="00C75B45"/>
    <w:rsid w:val="00C763B5"/>
    <w:rsid w:val="00C778DE"/>
    <w:rsid w:val="00C77ED8"/>
    <w:rsid w:val="00C82A59"/>
    <w:rsid w:val="00C876F7"/>
    <w:rsid w:val="00C92C3C"/>
    <w:rsid w:val="00CA43B3"/>
    <w:rsid w:val="00CA6B7E"/>
    <w:rsid w:val="00CA78C1"/>
    <w:rsid w:val="00CB0BA3"/>
    <w:rsid w:val="00CB3BC1"/>
    <w:rsid w:val="00CB4795"/>
    <w:rsid w:val="00CB6B35"/>
    <w:rsid w:val="00CC122A"/>
    <w:rsid w:val="00CC2C18"/>
    <w:rsid w:val="00CC4329"/>
    <w:rsid w:val="00CC7284"/>
    <w:rsid w:val="00CC7417"/>
    <w:rsid w:val="00CD1A40"/>
    <w:rsid w:val="00CD27FF"/>
    <w:rsid w:val="00CD2F2C"/>
    <w:rsid w:val="00CD6637"/>
    <w:rsid w:val="00CE31C7"/>
    <w:rsid w:val="00CE6934"/>
    <w:rsid w:val="00CF11D0"/>
    <w:rsid w:val="00CF2FA6"/>
    <w:rsid w:val="00CF3F5F"/>
    <w:rsid w:val="00D00BF8"/>
    <w:rsid w:val="00D014A4"/>
    <w:rsid w:val="00D014FC"/>
    <w:rsid w:val="00D023BC"/>
    <w:rsid w:val="00D06487"/>
    <w:rsid w:val="00D117D9"/>
    <w:rsid w:val="00D15C15"/>
    <w:rsid w:val="00D248B7"/>
    <w:rsid w:val="00D26C31"/>
    <w:rsid w:val="00D4011D"/>
    <w:rsid w:val="00D50065"/>
    <w:rsid w:val="00D51AF0"/>
    <w:rsid w:val="00D51BD8"/>
    <w:rsid w:val="00D52FE1"/>
    <w:rsid w:val="00D537D7"/>
    <w:rsid w:val="00D6043E"/>
    <w:rsid w:val="00D62C9B"/>
    <w:rsid w:val="00D64042"/>
    <w:rsid w:val="00D702F7"/>
    <w:rsid w:val="00DA1D53"/>
    <w:rsid w:val="00DA2B65"/>
    <w:rsid w:val="00DA356C"/>
    <w:rsid w:val="00DB0B91"/>
    <w:rsid w:val="00DC1EF4"/>
    <w:rsid w:val="00DC51BB"/>
    <w:rsid w:val="00DD0561"/>
    <w:rsid w:val="00DD7558"/>
    <w:rsid w:val="00DE014D"/>
    <w:rsid w:val="00DE0D48"/>
    <w:rsid w:val="00DE2012"/>
    <w:rsid w:val="00DE5E4A"/>
    <w:rsid w:val="00DE6EF9"/>
    <w:rsid w:val="00E01989"/>
    <w:rsid w:val="00E06A4F"/>
    <w:rsid w:val="00E1606B"/>
    <w:rsid w:val="00E20501"/>
    <w:rsid w:val="00E24A47"/>
    <w:rsid w:val="00E24B59"/>
    <w:rsid w:val="00E45A40"/>
    <w:rsid w:val="00E51D74"/>
    <w:rsid w:val="00E52D09"/>
    <w:rsid w:val="00E5478D"/>
    <w:rsid w:val="00E55287"/>
    <w:rsid w:val="00E60692"/>
    <w:rsid w:val="00E63656"/>
    <w:rsid w:val="00E6730A"/>
    <w:rsid w:val="00E7740C"/>
    <w:rsid w:val="00E77460"/>
    <w:rsid w:val="00E77774"/>
    <w:rsid w:val="00E777DC"/>
    <w:rsid w:val="00E928BF"/>
    <w:rsid w:val="00E9590B"/>
    <w:rsid w:val="00E95A87"/>
    <w:rsid w:val="00EB0B61"/>
    <w:rsid w:val="00EB6169"/>
    <w:rsid w:val="00EC1C1C"/>
    <w:rsid w:val="00EC291A"/>
    <w:rsid w:val="00EC425C"/>
    <w:rsid w:val="00ED0B08"/>
    <w:rsid w:val="00EF278B"/>
    <w:rsid w:val="00EF7D23"/>
    <w:rsid w:val="00F00C93"/>
    <w:rsid w:val="00F03C9A"/>
    <w:rsid w:val="00F067FA"/>
    <w:rsid w:val="00F117F9"/>
    <w:rsid w:val="00F16583"/>
    <w:rsid w:val="00F20477"/>
    <w:rsid w:val="00F253A7"/>
    <w:rsid w:val="00F32AB7"/>
    <w:rsid w:val="00F36F00"/>
    <w:rsid w:val="00F41690"/>
    <w:rsid w:val="00F43702"/>
    <w:rsid w:val="00F4573C"/>
    <w:rsid w:val="00F47890"/>
    <w:rsid w:val="00F54928"/>
    <w:rsid w:val="00F57A5D"/>
    <w:rsid w:val="00F739F3"/>
    <w:rsid w:val="00F77414"/>
    <w:rsid w:val="00F82D88"/>
    <w:rsid w:val="00F8715D"/>
    <w:rsid w:val="00F96671"/>
    <w:rsid w:val="00FA6738"/>
    <w:rsid w:val="00FA713D"/>
    <w:rsid w:val="00FB0D8D"/>
    <w:rsid w:val="00FB1FCD"/>
    <w:rsid w:val="00FB2B2B"/>
    <w:rsid w:val="00FB4EFD"/>
    <w:rsid w:val="00FB791D"/>
    <w:rsid w:val="00FC43A8"/>
    <w:rsid w:val="00FE3A68"/>
    <w:rsid w:val="00FF26E4"/>
    <w:rsid w:val="00FF3CD3"/>
    <w:rsid w:val="00FF3DBE"/>
    <w:rsid w:val="00FF47AE"/>
    <w:rsid w:val="00FF592D"/>
    <w:rsid w:val="00FF64A4"/>
    <w:rsid w:val="00FF73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10F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7"/>
    <w:pPr>
      <w:spacing w:after="200" w:line="276" w:lineRule="auto"/>
    </w:pPr>
    <w:rPr>
      <w:rFonts w:ascii="Calibri" w:eastAsia="Batang" w:hAnsi="Calibri" w:cs="Times New Roman"/>
      <w:sz w:val="22"/>
      <w:szCs w:val="22"/>
    </w:rPr>
  </w:style>
  <w:style w:type="paragraph" w:styleId="Heading1">
    <w:name w:val="heading 1"/>
    <w:basedOn w:val="Normal"/>
    <w:next w:val="Normal"/>
    <w:link w:val="Heading1Char"/>
    <w:qFormat/>
    <w:rsid w:val="001B3677"/>
    <w:pPr>
      <w:keepNext/>
      <w:keepLines/>
      <w:numPr>
        <w:numId w:val="50"/>
      </w:numPr>
      <w:pBdr>
        <w:top w:val="nil"/>
        <w:left w:val="nil"/>
        <w:bottom w:val="nil"/>
        <w:right w:val="nil"/>
        <w:between w:val="nil"/>
        <w:bar w:val="nil"/>
      </w:pBdr>
      <w:spacing w:after="0" w:line="240" w:lineRule="auto"/>
      <w:outlineLvl w:val="0"/>
    </w:pPr>
    <w:rPr>
      <w:rFonts w:ascii="Cambria" w:eastAsia="MS Gothic" w:hAnsi="Cambria"/>
      <w:b/>
      <w:bCs/>
      <w:sz w:val="20"/>
      <w:szCs w:val="20"/>
      <w:bdr w:val="nil"/>
      <w:lang w:val="es-PE"/>
    </w:rPr>
  </w:style>
  <w:style w:type="paragraph" w:styleId="Heading2">
    <w:name w:val="heading 2"/>
    <w:basedOn w:val="Normal"/>
    <w:next w:val="Normal"/>
    <w:link w:val="Heading2Char"/>
    <w:qFormat/>
    <w:rsid w:val="001B3677"/>
    <w:pPr>
      <w:numPr>
        <w:numId w:val="54"/>
      </w:numPr>
      <w:spacing w:after="0" w:line="240" w:lineRule="auto"/>
      <w:jc w:val="both"/>
      <w:outlineLvl w:val="1"/>
    </w:pPr>
    <w:rPr>
      <w:rFonts w:ascii="Cambria" w:hAnsi="Cambria"/>
      <w:b/>
      <w:sz w:val="20"/>
      <w:szCs w:val="20"/>
      <w:lang w:val="es-CO"/>
    </w:rPr>
  </w:style>
  <w:style w:type="paragraph" w:styleId="Heading3">
    <w:name w:val="heading 3"/>
    <w:basedOn w:val="Normal"/>
    <w:next w:val="Normal"/>
    <w:link w:val="Heading3Char"/>
    <w:qFormat/>
    <w:rsid w:val="001B3677"/>
    <w:pPr>
      <w:numPr>
        <w:numId w:val="52"/>
      </w:numPr>
      <w:spacing w:after="0" w:line="240" w:lineRule="auto"/>
      <w:jc w:val="both"/>
      <w:outlineLvl w:val="2"/>
    </w:pPr>
    <w:rPr>
      <w:rFonts w:ascii="Cambria" w:hAnsi="Cambria"/>
      <w:b/>
      <w:sz w:val="20"/>
      <w:szCs w:val="20"/>
      <w:lang w:val="es-MX"/>
    </w:rPr>
  </w:style>
  <w:style w:type="paragraph" w:styleId="Heading6">
    <w:name w:val="heading 6"/>
    <w:basedOn w:val="Normal"/>
    <w:next w:val="Normal"/>
    <w:link w:val="Heading6Char"/>
    <w:uiPriority w:val="9"/>
    <w:qFormat/>
    <w:rsid w:val="001B367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677"/>
    <w:rPr>
      <w:rFonts w:ascii="Cambria" w:eastAsia="MS Gothic" w:hAnsi="Cambria" w:cs="Times New Roman"/>
      <w:b/>
      <w:bCs/>
      <w:sz w:val="20"/>
      <w:szCs w:val="20"/>
      <w:bdr w:val="nil"/>
      <w:lang w:val="es-PE"/>
    </w:rPr>
  </w:style>
  <w:style w:type="character" w:customStyle="1" w:styleId="Heading2Char">
    <w:name w:val="Heading 2 Char"/>
    <w:basedOn w:val="DefaultParagraphFont"/>
    <w:link w:val="Heading2"/>
    <w:rsid w:val="001B3677"/>
    <w:rPr>
      <w:rFonts w:ascii="Cambria" w:eastAsia="Batang" w:hAnsi="Cambria" w:cs="Times New Roman"/>
      <w:b/>
      <w:sz w:val="20"/>
      <w:szCs w:val="20"/>
      <w:lang w:val="es-CO"/>
    </w:rPr>
  </w:style>
  <w:style w:type="character" w:customStyle="1" w:styleId="Heading3Char">
    <w:name w:val="Heading 3 Char"/>
    <w:basedOn w:val="DefaultParagraphFont"/>
    <w:link w:val="Heading3"/>
    <w:rsid w:val="001B3677"/>
    <w:rPr>
      <w:rFonts w:ascii="Cambria" w:eastAsia="Batang" w:hAnsi="Cambria" w:cs="Times New Roman"/>
      <w:b/>
      <w:sz w:val="20"/>
      <w:szCs w:val="20"/>
      <w:lang w:val="es-MX"/>
    </w:rPr>
  </w:style>
  <w:style w:type="character" w:customStyle="1" w:styleId="Heading6Char">
    <w:name w:val="Heading 6 Char"/>
    <w:basedOn w:val="DefaultParagraphFont"/>
    <w:link w:val="Heading6"/>
    <w:uiPriority w:val="9"/>
    <w:rsid w:val="001B3677"/>
    <w:rPr>
      <w:rFonts w:ascii="Calibri" w:eastAsia="Times New Roman" w:hAnsi="Calibri" w:cs="Times New Roman"/>
      <w:b/>
      <w:bCs/>
      <w:sz w:val="22"/>
      <w:szCs w:val="22"/>
    </w:rPr>
  </w:style>
  <w:style w:type="character" w:styleId="Hyperlink">
    <w:name w:val="Hyperlink"/>
    <w:uiPriority w:val="99"/>
    <w:rsid w:val="001B3677"/>
    <w:rPr>
      <w:u w:val="single"/>
    </w:rPr>
  </w:style>
  <w:style w:type="paragraph" w:customStyle="1" w:styleId="Cabeceraypie">
    <w:name w:val="Cabecera y pie"/>
    <w:rsid w:val="001B3677"/>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1B3677"/>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1B3677"/>
    <w:rPr>
      <w:rFonts w:ascii="Cambria" w:eastAsia="Cambria" w:hAnsi="Cambria" w:cs="Cambria"/>
      <w:color w:val="000000"/>
      <w:u w:color="000000"/>
      <w:bdr w:val="nil"/>
      <w:lang w:eastAsia="es-ES"/>
    </w:rPr>
  </w:style>
  <w:style w:type="paragraph" w:customStyle="1" w:styleId="Cuerpo">
    <w:name w:val="Cuerpo"/>
    <w:rsid w:val="001B3677"/>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1B3677"/>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1B3677"/>
    <w:rPr>
      <w:rFonts w:ascii="Times New Roman" w:eastAsia="Times New Roman" w:hAnsi="Times New Roman" w:cs="Times New Roman"/>
      <w:color w:val="000000"/>
      <w:u w:color="000000"/>
      <w:bdr w:val="nil"/>
      <w:lang w:val="es-ES_tradnl" w:eastAsia="es-ES"/>
    </w:rPr>
  </w:style>
  <w:style w:type="paragraph" w:customStyle="1" w:styleId="ColorfulList-Accent11">
    <w:name w:val="Colorful List - Accent 11"/>
    <w:link w:val="ColorfulList-Accent1Char"/>
    <w:qFormat/>
    <w:rsid w:val="001B3677"/>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1B3677"/>
    <w:pPr>
      <w:numPr>
        <w:numId w:val="31"/>
      </w:numPr>
    </w:pPr>
  </w:style>
  <w:style w:type="numbering" w:customStyle="1" w:styleId="Estiloimportado1">
    <w:name w:val="Estilo importado 1"/>
    <w:rsid w:val="001B3677"/>
  </w:style>
  <w:style w:type="numbering" w:customStyle="1" w:styleId="List1">
    <w:name w:val="List 1"/>
    <w:basedOn w:val="Estiloimportado2"/>
    <w:rsid w:val="001B3677"/>
    <w:pPr>
      <w:numPr>
        <w:numId w:val="1"/>
      </w:numPr>
    </w:pPr>
  </w:style>
  <w:style w:type="numbering" w:customStyle="1" w:styleId="Estiloimportado2">
    <w:name w:val="Estilo importado 2"/>
    <w:rsid w:val="001B3677"/>
  </w:style>
  <w:style w:type="numbering" w:customStyle="1" w:styleId="List21">
    <w:name w:val="List 21"/>
    <w:basedOn w:val="Estiloimportado3"/>
    <w:rsid w:val="001B3677"/>
    <w:pPr>
      <w:numPr>
        <w:numId w:val="38"/>
      </w:numPr>
    </w:pPr>
  </w:style>
  <w:style w:type="numbering" w:customStyle="1" w:styleId="Estiloimportado3">
    <w:name w:val="Estilo importado 3"/>
    <w:rsid w:val="001B3677"/>
  </w:style>
  <w:style w:type="numbering" w:customStyle="1" w:styleId="List31">
    <w:name w:val="List 31"/>
    <w:basedOn w:val="Estiloimportado4"/>
    <w:rsid w:val="001B3677"/>
    <w:pPr>
      <w:numPr>
        <w:numId w:val="44"/>
      </w:numPr>
    </w:pPr>
  </w:style>
  <w:style w:type="numbering" w:customStyle="1" w:styleId="Estiloimportado4">
    <w:name w:val="Estilo importado 4"/>
    <w:rsid w:val="001B3677"/>
  </w:style>
  <w:style w:type="numbering" w:customStyle="1" w:styleId="List41">
    <w:name w:val="List 41"/>
    <w:basedOn w:val="Estiloimportado5"/>
    <w:rsid w:val="001B3677"/>
    <w:pPr>
      <w:numPr>
        <w:numId w:val="2"/>
      </w:numPr>
    </w:pPr>
  </w:style>
  <w:style w:type="numbering" w:customStyle="1" w:styleId="Estiloimportado5">
    <w:name w:val="Estilo importado 5"/>
    <w:rsid w:val="001B3677"/>
  </w:style>
  <w:style w:type="numbering" w:customStyle="1" w:styleId="List51">
    <w:name w:val="List 51"/>
    <w:basedOn w:val="Estiloimportado6"/>
    <w:rsid w:val="001B3677"/>
    <w:pPr>
      <w:numPr>
        <w:numId w:val="33"/>
      </w:numPr>
    </w:pPr>
  </w:style>
  <w:style w:type="numbering" w:customStyle="1" w:styleId="Estiloimportado6">
    <w:name w:val="Estilo importado 6"/>
    <w:rsid w:val="001B3677"/>
  </w:style>
  <w:style w:type="numbering" w:customStyle="1" w:styleId="List6">
    <w:name w:val="List 6"/>
    <w:basedOn w:val="Estiloimportado7"/>
    <w:rsid w:val="001B3677"/>
    <w:pPr>
      <w:numPr>
        <w:numId w:val="3"/>
      </w:numPr>
    </w:pPr>
  </w:style>
  <w:style w:type="numbering" w:customStyle="1" w:styleId="Estiloimportado7">
    <w:name w:val="Estilo importado 7"/>
    <w:rsid w:val="001B3677"/>
  </w:style>
  <w:style w:type="numbering" w:customStyle="1" w:styleId="List7">
    <w:name w:val="List 7"/>
    <w:basedOn w:val="Estiloimportado8"/>
    <w:rsid w:val="001B3677"/>
    <w:pPr>
      <w:numPr>
        <w:numId w:val="4"/>
      </w:numPr>
    </w:pPr>
  </w:style>
  <w:style w:type="numbering" w:customStyle="1" w:styleId="Estiloimportado8">
    <w:name w:val="Estilo importado 8"/>
    <w:rsid w:val="001B3677"/>
  </w:style>
  <w:style w:type="numbering" w:customStyle="1" w:styleId="List8">
    <w:name w:val="List 8"/>
    <w:basedOn w:val="Estiloimportado9"/>
    <w:rsid w:val="001B3677"/>
    <w:pPr>
      <w:numPr>
        <w:numId w:val="5"/>
      </w:numPr>
    </w:pPr>
  </w:style>
  <w:style w:type="numbering" w:customStyle="1" w:styleId="Estiloimportado9">
    <w:name w:val="Estilo importado 9"/>
    <w:rsid w:val="001B3677"/>
  </w:style>
  <w:style w:type="numbering" w:customStyle="1" w:styleId="List9">
    <w:name w:val="List 9"/>
    <w:basedOn w:val="Estiloimportado10"/>
    <w:rsid w:val="001B3677"/>
    <w:pPr>
      <w:numPr>
        <w:numId w:val="22"/>
      </w:numPr>
    </w:pPr>
  </w:style>
  <w:style w:type="numbering" w:customStyle="1" w:styleId="Estiloimportado10">
    <w:name w:val="Estilo importado 10"/>
    <w:rsid w:val="001B3677"/>
  </w:style>
  <w:style w:type="numbering" w:customStyle="1" w:styleId="List10">
    <w:name w:val="List 10"/>
    <w:basedOn w:val="Estiloimportado11"/>
    <w:rsid w:val="001B3677"/>
    <w:pPr>
      <w:numPr>
        <w:numId w:val="6"/>
      </w:numPr>
    </w:pPr>
  </w:style>
  <w:style w:type="numbering" w:customStyle="1" w:styleId="Estiloimportado11">
    <w:name w:val="Estilo importado 11"/>
    <w:rsid w:val="001B3677"/>
  </w:style>
  <w:style w:type="numbering" w:customStyle="1" w:styleId="List11">
    <w:name w:val="List 11"/>
    <w:basedOn w:val="Estiloimportado12"/>
    <w:rsid w:val="001B3677"/>
    <w:pPr>
      <w:numPr>
        <w:numId w:val="7"/>
      </w:numPr>
    </w:pPr>
  </w:style>
  <w:style w:type="numbering" w:customStyle="1" w:styleId="Estiloimportado12">
    <w:name w:val="Estilo importado 12"/>
    <w:rsid w:val="001B3677"/>
  </w:style>
  <w:style w:type="numbering" w:customStyle="1" w:styleId="List12">
    <w:name w:val="List 12"/>
    <w:basedOn w:val="Estiloimportado13"/>
    <w:rsid w:val="001B3677"/>
    <w:pPr>
      <w:numPr>
        <w:numId w:val="36"/>
      </w:numPr>
    </w:pPr>
  </w:style>
  <w:style w:type="numbering" w:customStyle="1" w:styleId="Estiloimportado13">
    <w:name w:val="Estilo importado 13"/>
    <w:rsid w:val="001B3677"/>
  </w:style>
  <w:style w:type="numbering" w:customStyle="1" w:styleId="List13">
    <w:name w:val="List 13"/>
    <w:basedOn w:val="Estiloimportado14"/>
    <w:rsid w:val="001B3677"/>
    <w:pPr>
      <w:numPr>
        <w:numId w:val="42"/>
      </w:numPr>
    </w:pPr>
  </w:style>
  <w:style w:type="numbering" w:customStyle="1" w:styleId="Estiloimportado14">
    <w:name w:val="Estilo importado 14"/>
    <w:rsid w:val="001B3677"/>
  </w:style>
  <w:style w:type="numbering" w:customStyle="1" w:styleId="List14">
    <w:name w:val="List 14"/>
    <w:basedOn w:val="Estiloimportado15"/>
    <w:rsid w:val="001B3677"/>
    <w:pPr>
      <w:numPr>
        <w:numId w:val="17"/>
      </w:numPr>
    </w:pPr>
  </w:style>
  <w:style w:type="numbering" w:customStyle="1" w:styleId="Estiloimportado15">
    <w:name w:val="Estilo importado 15"/>
    <w:rsid w:val="001B3677"/>
  </w:style>
  <w:style w:type="numbering" w:customStyle="1" w:styleId="List15">
    <w:name w:val="List 15"/>
    <w:basedOn w:val="Estiloimportado16"/>
    <w:rsid w:val="001B3677"/>
    <w:pPr>
      <w:numPr>
        <w:numId w:val="16"/>
      </w:numPr>
    </w:pPr>
  </w:style>
  <w:style w:type="numbering" w:customStyle="1" w:styleId="Estiloimportado16">
    <w:name w:val="Estilo importado 16"/>
    <w:rsid w:val="001B3677"/>
  </w:style>
  <w:style w:type="numbering" w:customStyle="1" w:styleId="List16">
    <w:name w:val="List 16"/>
    <w:basedOn w:val="Estiloimportado16"/>
    <w:rsid w:val="001B3677"/>
    <w:pPr>
      <w:numPr>
        <w:numId w:val="10"/>
      </w:numPr>
    </w:pPr>
  </w:style>
  <w:style w:type="numbering" w:customStyle="1" w:styleId="List17">
    <w:name w:val="List 17"/>
    <w:basedOn w:val="Estiloimportado17"/>
    <w:rsid w:val="001B3677"/>
    <w:pPr>
      <w:numPr>
        <w:numId w:val="25"/>
      </w:numPr>
    </w:pPr>
  </w:style>
  <w:style w:type="numbering" w:customStyle="1" w:styleId="Estiloimportado17">
    <w:name w:val="Estilo importado 17"/>
    <w:rsid w:val="001B3677"/>
  </w:style>
  <w:style w:type="numbering" w:customStyle="1" w:styleId="List18">
    <w:name w:val="List 18"/>
    <w:basedOn w:val="Estiloimportado18"/>
    <w:rsid w:val="001B3677"/>
    <w:pPr>
      <w:numPr>
        <w:numId w:val="27"/>
      </w:numPr>
    </w:pPr>
  </w:style>
  <w:style w:type="numbering" w:customStyle="1" w:styleId="Estiloimportado18">
    <w:name w:val="Estilo importado 18"/>
    <w:rsid w:val="001B3677"/>
  </w:style>
  <w:style w:type="numbering" w:customStyle="1" w:styleId="List19">
    <w:name w:val="List 19"/>
    <w:basedOn w:val="Estiloimportado10"/>
    <w:rsid w:val="001B3677"/>
    <w:pPr>
      <w:numPr>
        <w:numId w:val="19"/>
      </w:numPr>
    </w:pPr>
  </w:style>
  <w:style w:type="numbering" w:customStyle="1" w:styleId="List20">
    <w:name w:val="List 20"/>
    <w:basedOn w:val="Estiloimportado12"/>
    <w:rsid w:val="001B3677"/>
    <w:pPr>
      <w:numPr>
        <w:numId w:val="43"/>
      </w:numPr>
    </w:pPr>
  </w:style>
  <w:style w:type="numbering" w:customStyle="1" w:styleId="Estiloimportado19">
    <w:name w:val="Estilo importado 19"/>
    <w:rsid w:val="001B3677"/>
  </w:style>
  <w:style w:type="numbering" w:customStyle="1" w:styleId="List22">
    <w:name w:val="List 22"/>
    <w:basedOn w:val="Estiloimportado19"/>
    <w:rsid w:val="001B3677"/>
    <w:pPr>
      <w:numPr>
        <w:numId w:val="28"/>
      </w:numPr>
    </w:pPr>
  </w:style>
  <w:style w:type="numbering" w:customStyle="1" w:styleId="List23">
    <w:name w:val="List 23"/>
    <w:basedOn w:val="Estiloimportado19"/>
    <w:rsid w:val="001B3677"/>
    <w:pPr>
      <w:numPr>
        <w:numId w:val="18"/>
      </w:numPr>
    </w:pPr>
  </w:style>
  <w:style w:type="numbering" w:customStyle="1" w:styleId="List24">
    <w:name w:val="List 24"/>
    <w:basedOn w:val="Estiloimportado20"/>
    <w:rsid w:val="001B3677"/>
    <w:pPr>
      <w:numPr>
        <w:numId w:val="13"/>
      </w:numPr>
    </w:pPr>
  </w:style>
  <w:style w:type="numbering" w:customStyle="1" w:styleId="Estiloimportado20">
    <w:name w:val="Estilo importado 20"/>
    <w:rsid w:val="001B3677"/>
  </w:style>
  <w:style w:type="numbering" w:customStyle="1" w:styleId="List25">
    <w:name w:val="List 25"/>
    <w:basedOn w:val="Estiloimportado21"/>
    <w:rsid w:val="001B3677"/>
    <w:pPr>
      <w:numPr>
        <w:numId w:val="15"/>
      </w:numPr>
    </w:pPr>
  </w:style>
  <w:style w:type="numbering" w:customStyle="1" w:styleId="Estiloimportado21">
    <w:name w:val="Estilo importado 21"/>
    <w:rsid w:val="001B3677"/>
  </w:style>
  <w:style w:type="numbering" w:customStyle="1" w:styleId="List26">
    <w:name w:val="List 26"/>
    <w:basedOn w:val="Estiloimportado22"/>
    <w:rsid w:val="001B3677"/>
    <w:pPr>
      <w:numPr>
        <w:numId w:val="48"/>
      </w:numPr>
    </w:pPr>
  </w:style>
  <w:style w:type="numbering" w:customStyle="1" w:styleId="Estiloimportado22">
    <w:name w:val="Estilo importado 22"/>
    <w:rsid w:val="001B3677"/>
  </w:style>
  <w:style w:type="numbering" w:customStyle="1" w:styleId="List27">
    <w:name w:val="List 27"/>
    <w:basedOn w:val="Estiloimportado23"/>
    <w:rsid w:val="001B3677"/>
    <w:pPr>
      <w:numPr>
        <w:numId w:val="41"/>
      </w:numPr>
    </w:pPr>
  </w:style>
  <w:style w:type="numbering" w:customStyle="1" w:styleId="Estiloimportado23">
    <w:name w:val="Estilo importado 23"/>
    <w:rsid w:val="001B3677"/>
  </w:style>
  <w:style w:type="numbering" w:customStyle="1" w:styleId="List28">
    <w:name w:val="List 28"/>
    <w:basedOn w:val="Estiloimportado24"/>
    <w:rsid w:val="001B3677"/>
    <w:pPr>
      <w:numPr>
        <w:numId w:val="30"/>
      </w:numPr>
    </w:pPr>
  </w:style>
  <w:style w:type="numbering" w:customStyle="1" w:styleId="Estiloimportado24">
    <w:name w:val="Estilo importado 24"/>
    <w:rsid w:val="001B3677"/>
  </w:style>
  <w:style w:type="numbering" w:customStyle="1" w:styleId="List29">
    <w:name w:val="List 29"/>
    <w:basedOn w:val="Estiloimportado25"/>
    <w:rsid w:val="001B3677"/>
    <w:pPr>
      <w:numPr>
        <w:numId w:val="34"/>
      </w:numPr>
    </w:pPr>
  </w:style>
  <w:style w:type="numbering" w:customStyle="1" w:styleId="Estiloimportado25">
    <w:name w:val="Estilo importado 25"/>
    <w:rsid w:val="001B3677"/>
  </w:style>
  <w:style w:type="numbering" w:customStyle="1" w:styleId="List30">
    <w:name w:val="List 30"/>
    <w:basedOn w:val="Estiloimportado26"/>
    <w:rsid w:val="001B3677"/>
    <w:pPr>
      <w:numPr>
        <w:numId w:val="32"/>
      </w:numPr>
    </w:pPr>
  </w:style>
  <w:style w:type="numbering" w:customStyle="1" w:styleId="Estiloimportado26">
    <w:name w:val="Estilo importado 26"/>
    <w:rsid w:val="001B3677"/>
  </w:style>
  <w:style w:type="numbering" w:customStyle="1" w:styleId="Estiloimportado27">
    <w:name w:val="Estilo importado 27"/>
    <w:rsid w:val="001B3677"/>
  </w:style>
  <w:style w:type="numbering" w:customStyle="1" w:styleId="List32">
    <w:name w:val="List 32"/>
    <w:basedOn w:val="Estiloimportado28"/>
    <w:rsid w:val="001B3677"/>
    <w:pPr>
      <w:numPr>
        <w:numId w:val="47"/>
      </w:numPr>
    </w:pPr>
  </w:style>
  <w:style w:type="numbering" w:customStyle="1" w:styleId="Estiloimportado28">
    <w:name w:val="Estilo importado 28"/>
    <w:rsid w:val="001B3677"/>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1B3677"/>
    <w:pPr>
      <w:pBdr>
        <w:top w:val="nil"/>
        <w:left w:val="nil"/>
        <w:bottom w:val="nil"/>
        <w:right w:val="nil"/>
        <w:between w:val="nil"/>
        <w:bar w:val="nil"/>
      </w:pBdr>
    </w:pPr>
    <w:rPr>
      <w:rFonts w:ascii="Calibri" w:eastAsia="Batang"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1B3677"/>
    <w:rPr>
      <w:rFonts w:ascii="Calibri" w:eastAsia="Batang" w:hAnsi="Calibri" w:cs="Calibri"/>
      <w:color w:val="000000"/>
      <w:sz w:val="20"/>
      <w:szCs w:val="20"/>
      <w:u w:color="000000"/>
      <w:bdr w:val="nil"/>
      <w:lang w:eastAsia="es-ES"/>
    </w:rPr>
  </w:style>
  <w:style w:type="numbering" w:customStyle="1" w:styleId="List33">
    <w:name w:val="List 33"/>
    <w:basedOn w:val="Estiloimportado29"/>
    <w:rsid w:val="001B3677"/>
    <w:pPr>
      <w:numPr>
        <w:numId w:val="26"/>
      </w:numPr>
    </w:pPr>
  </w:style>
  <w:style w:type="numbering" w:customStyle="1" w:styleId="Estiloimportado29">
    <w:name w:val="Estilo importado 29"/>
    <w:rsid w:val="001B3677"/>
  </w:style>
  <w:style w:type="numbering" w:customStyle="1" w:styleId="List34">
    <w:name w:val="List 34"/>
    <w:basedOn w:val="Estiloimportado30"/>
    <w:rsid w:val="001B3677"/>
    <w:pPr>
      <w:numPr>
        <w:numId w:val="11"/>
      </w:numPr>
    </w:pPr>
  </w:style>
  <w:style w:type="numbering" w:customStyle="1" w:styleId="Estiloimportado30">
    <w:name w:val="Estilo importado 30"/>
    <w:rsid w:val="001B3677"/>
  </w:style>
  <w:style w:type="numbering" w:customStyle="1" w:styleId="List35">
    <w:name w:val="List 35"/>
    <w:basedOn w:val="Estiloimportado31"/>
    <w:rsid w:val="001B3677"/>
    <w:pPr>
      <w:numPr>
        <w:numId w:val="8"/>
      </w:numPr>
    </w:pPr>
  </w:style>
  <w:style w:type="numbering" w:customStyle="1" w:styleId="Estiloimportado31">
    <w:name w:val="Estilo importado 31"/>
    <w:rsid w:val="001B3677"/>
  </w:style>
  <w:style w:type="numbering" w:customStyle="1" w:styleId="List36">
    <w:name w:val="List 36"/>
    <w:basedOn w:val="Estiloimportado32"/>
    <w:rsid w:val="001B3677"/>
    <w:pPr>
      <w:numPr>
        <w:numId w:val="14"/>
      </w:numPr>
    </w:pPr>
  </w:style>
  <w:style w:type="numbering" w:customStyle="1" w:styleId="Estiloimportado32">
    <w:name w:val="Estilo importado 32"/>
    <w:rsid w:val="001B3677"/>
  </w:style>
  <w:style w:type="numbering" w:customStyle="1" w:styleId="List37">
    <w:name w:val="List 37"/>
    <w:basedOn w:val="Estiloimportado33"/>
    <w:rsid w:val="001B3677"/>
    <w:pPr>
      <w:numPr>
        <w:numId w:val="46"/>
      </w:numPr>
    </w:pPr>
  </w:style>
  <w:style w:type="numbering" w:customStyle="1" w:styleId="Estiloimportado33">
    <w:name w:val="Estilo importado 33"/>
    <w:rsid w:val="001B3677"/>
  </w:style>
  <w:style w:type="numbering" w:customStyle="1" w:styleId="List38">
    <w:name w:val="List 38"/>
    <w:basedOn w:val="Estiloimportado34"/>
    <w:rsid w:val="001B3677"/>
    <w:pPr>
      <w:numPr>
        <w:numId w:val="35"/>
      </w:numPr>
    </w:pPr>
  </w:style>
  <w:style w:type="numbering" w:customStyle="1" w:styleId="Estiloimportado34">
    <w:name w:val="Estilo importado 34"/>
    <w:rsid w:val="001B3677"/>
  </w:style>
  <w:style w:type="numbering" w:customStyle="1" w:styleId="List39">
    <w:name w:val="List 39"/>
    <w:basedOn w:val="Estiloimportado35"/>
    <w:rsid w:val="001B3677"/>
    <w:pPr>
      <w:numPr>
        <w:numId w:val="45"/>
      </w:numPr>
    </w:pPr>
  </w:style>
  <w:style w:type="numbering" w:customStyle="1" w:styleId="Estiloimportado35">
    <w:name w:val="Estilo importado 35"/>
    <w:rsid w:val="001B3677"/>
  </w:style>
  <w:style w:type="numbering" w:customStyle="1" w:styleId="List40">
    <w:name w:val="List 40"/>
    <w:basedOn w:val="Estiloimportado36"/>
    <w:rsid w:val="001B3677"/>
    <w:pPr>
      <w:numPr>
        <w:numId w:val="21"/>
      </w:numPr>
    </w:pPr>
  </w:style>
  <w:style w:type="numbering" w:customStyle="1" w:styleId="Estiloimportado36">
    <w:name w:val="Estilo importado 36"/>
    <w:rsid w:val="001B3677"/>
  </w:style>
  <w:style w:type="numbering" w:customStyle="1" w:styleId="Estiloimportado37">
    <w:name w:val="Estilo importado 37"/>
    <w:rsid w:val="001B3677"/>
  </w:style>
  <w:style w:type="numbering" w:customStyle="1" w:styleId="List42">
    <w:name w:val="List 42"/>
    <w:basedOn w:val="Estiloimportado12"/>
    <w:rsid w:val="001B3677"/>
    <w:pPr>
      <w:numPr>
        <w:numId w:val="12"/>
      </w:numPr>
    </w:pPr>
  </w:style>
  <w:style w:type="numbering" w:customStyle="1" w:styleId="List43">
    <w:name w:val="List 43"/>
    <w:basedOn w:val="Estiloimportado38"/>
    <w:rsid w:val="001B3677"/>
    <w:pPr>
      <w:numPr>
        <w:numId w:val="23"/>
      </w:numPr>
    </w:pPr>
  </w:style>
  <w:style w:type="numbering" w:customStyle="1" w:styleId="Estiloimportado38">
    <w:name w:val="Estilo importado 38"/>
    <w:rsid w:val="001B3677"/>
  </w:style>
  <w:style w:type="numbering" w:customStyle="1" w:styleId="List44">
    <w:name w:val="List 44"/>
    <w:basedOn w:val="Estiloimportado39"/>
    <w:rsid w:val="001B3677"/>
    <w:pPr>
      <w:numPr>
        <w:numId w:val="40"/>
      </w:numPr>
    </w:pPr>
  </w:style>
  <w:style w:type="numbering" w:customStyle="1" w:styleId="Estiloimportado39">
    <w:name w:val="Estilo importado 39"/>
    <w:rsid w:val="001B3677"/>
  </w:style>
  <w:style w:type="numbering" w:customStyle="1" w:styleId="List45">
    <w:name w:val="List 45"/>
    <w:basedOn w:val="Estiloimportado40"/>
    <w:rsid w:val="001B3677"/>
    <w:pPr>
      <w:numPr>
        <w:numId w:val="20"/>
      </w:numPr>
    </w:pPr>
  </w:style>
  <w:style w:type="numbering" w:customStyle="1" w:styleId="Estiloimportado40">
    <w:name w:val="Estilo importado 40"/>
    <w:rsid w:val="001B3677"/>
  </w:style>
  <w:style w:type="numbering" w:customStyle="1" w:styleId="List46">
    <w:name w:val="List 46"/>
    <w:basedOn w:val="Estiloimportado41"/>
    <w:rsid w:val="001B3677"/>
    <w:pPr>
      <w:numPr>
        <w:numId w:val="24"/>
      </w:numPr>
    </w:pPr>
  </w:style>
  <w:style w:type="numbering" w:customStyle="1" w:styleId="Estiloimportado41">
    <w:name w:val="Estilo importado 41"/>
    <w:rsid w:val="001B3677"/>
  </w:style>
  <w:style w:type="numbering" w:customStyle="1" w:styleId="List47">
    <w:name w:val="List 47"/>
    <w:basedOn w:val="Estiloimportado42"/>
    <w:rsid w:val="001B3677"/>
    <w:pPr>
      <w:numPr>
        <w:numId w:val="29"/>
      </w:numPr>
    </w:pPr>
  </w:style>
  <w:style w:type="numbering" w:customStyle="1" w:styleId="Estiloimportado42">
    <w:name w:val="Estilo importado 42"/>
    <w:rsid w:val="001B3677"/>
  </w:style>
  <w:style w:type="numbering" w:customStyle="1" w:styleId="List48">
    <w:name w:val="List 48"/>
    <w:basedOn w:val="Estiloimportado43"/>
    <w:rsid w:val="001B3677"/>
    <w:pPr>
      <w:numPr>
        <w:numId w:val="49"/>
      </w:numPr>
    </w:pPr>
  </w:style>
  <w:style w:type="numbering" w:customStyle="1" w:styleId="Estiloimportado43">
    <w:name w:val="Estilo importado 43"/>
    <w:rsid w:val="001B3677"/>
  </w:style>
  <w:style w:type="numbering" w:customStyle="1" w:styleId="List49">
    <w:name w:val="List 49"/>
    <w:basedOn w:val="Estiloimportado44"/>
    <w:rsid w:val="001B3677"/>
    <w:pPr>
      <w:numPr>
        <w:numId w:val="39"/>
      </w:numPr>
    </w:pPr>
  </w:style>
  <w:style w:type="numbering" w:customStyle="1" w:styleId="Estiloimportado44">
    <w:name w:val="Estilo importado 44"/>
    <w:rsid w:val="001B3677"/>
  </w:style>
  <w:style w:type="numbering" w:customStyle="1" w:styleId="List50">
    <w:name w:val="List 50"/>
    <w:basedOn w:val="Estiloimportado45"/>
    <w:rsid w:val="001B3677"/>
    <w:pPr>
      <w:numPr>
        <w:numId w:val="37"/>
      </w:numPr>
    </w:pPr>
  </w:style>
  <w:style w:type="numbering" w:customStyle="1" w:styleId="Estiloimportado45">
    <w:name w:val="Estilo importado 45"/>
    <w:rsid w:val="001B3677"/>
  </w:style>
  <w:style w:type="numbering" w:customStyle="1" w:styleId="Estiloimportado46">
    <w:name w:val="Estilo importado 46"/>
    <w:rsid w:val="001B3677"/>
  </w:style>
  <w:style w:type="numbering" w:customStyle="1" w:styleId="List52">
    <w:name w:val="List 52"/>
    <w:basedOn w:val="Estiloimportado1"/>
    <w:rsid w:val="001B3677"/>
    <w:pPr>
      <w:numPr>
        <w:numId w:val="9"/>
      </w:numPr>
    </w:pPr>
  </w:style>
  <w:style w:type="paragraph" w:styleId="BalloonText">
    <w:name w:val="Balloon Text"/>
    <w:basedOn w:val="Normal"/>
    <w:link w:val="BalloonTextChar"/>
    <w:unhideWhenUsed/>
    <w:rsid w:val="001B3677"/>
    <w:pPr>
      <w:pBdr>
        <w:top w:val="nil"/>
        <w:left w:val="nil"/>
        <w:bottom w:val="nil"/>
        <w:right w:val="nil"/>
        <w:between w:val="nil"/>
        <w:bar w:val="nil"/>
      </w:pBdr>
      <w:spacing w:after="0" w:line="240" w:lineRule="auto"/>
    </w:pPr>
    <w:rPr>
      <w:rFonts w:ascii="Tahoma" w:eastAsia="Arial Unicode MS" w:hAnsi="Tahoma" w:cs="Tahoma"/>
      <w:sz w:val="16"/>
      <w:szCs w:val="16"/>
      <w:bdr w:val="nil"/>
      <w:lang w:val="es-ES_tradnl"/>
    </w:rPr>
  </w:style>
  <w:style w:type="character" w:customStyle="1" w:styleId="BalloonTextChar">
    <w:name w:val="Balloon Text Char"/>
    <w:basedOn w:val="DefaultParagraphFont"/>
    <w:link w:val="BalloonText"/>
    <w:rsid w:val="001B3677"/>
    <w:rPr>
      <w:rFonts w:ascii="Tahoma" w:eastAsia="Arial Unicode MS" w:hAnsi="Tahoma" w:cs="Tahoma"/>
      <w:sz w:val="16"/>
      <w:szCs w:val="16"/>
      <w:bdr w:val="nil"/>
      <w:lang w:val="es-ES_tradnl"/>
    </w:rPr>
  </w:style>
  <w:style w:type="paragraph" w:styleId="Header">
    <w:name w:val="header"/>
    <w:aliases w:val="encabezado"/>
    <w:basedOn w:val="Normal"/>
    <w:link w:val="HeaderChar"/>
    <w:rsid w:val="001B3677"/>
    <w:pPr>
      <w:widowControl w:val="0"/>
      <w:tabs>
        <w:tab w:val="center" w:pos="4320"/>
        <w:tab w:val="right" w:pos="8640"/>
      </w:tabs>
      <w:snapToGrid w:val="0"/>
      <w:spacing w:after="0" w:line="240" w:lineRule="auto"/>
    </w:pPr>
    <w:rPr>
      <w:rFonts w:ascii="Univers" w:eastAsia="Times New Roman" w:hAnsi="Univers" w:cs="Univers"/>
      <w:sz w:val="24"/>
      <w:szCs w:val="24"/>
      <w:lang w:val="es-ES_tradnl"/>
    </w:rPr>
  </w:style>
  <w:style w:type="character" w:customStyle="1" w:styleId="HeaderChar">
    <w:name w:val="Header Char"/>
    <w:aliases w:val="encabezado Char"/>
    <w:basedOn w:val="DefaultParagraphFont"/>
    <w:link w:val="Header"/>
    <w:rsid w:val="001B3677"/>
    <w:rPr>
      <w:rFonts w:ascii="Univers" w:eastAsia="Times New Roman" w:hAnsi="Univers" w:cs="Univers"/>
      <w:lang w:val="es-ES_tradnl"/>
    </w:rPr>
  </w:style>
  <w:style w:type="table" w:styleId="MediumShading1-Accent2">
    <w:name w:val="Medium Shading 1 Accent 2"/>
    <w:basedOn w:val="TableNormal"/>
    <w:uiPriority w:val="63"/>
    <w:rsid w:val="001B3677"/>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C291A"/>
    <w:pPr>
      <w:pBdr>
        <w:top w:val="nil"/>
        <w:left w:val="nil"/>
        <w:bottom w:val="nil"/>
        <w:right w:val="nil"/>
        <w:between w:val="nil"/>
        <w:bar w:val="nil"/>
      </w:pBdr>
      <w:tabs>
        <w:tab w:val="left" w:pos="1440"/>
        <w:tab w:val="right" w:leader="dot" w:pos="9350"/>
      </w:tabs>
      <w:spacing w:after="100" w:line="240" w:lineRule="auto"/>
      <w:ind w:left="1440" w:hanging="720"/>
      <w:jc w:val="both"/>
    </w:pPr>
    <w:rPr>
      <w:rFonts w:ascii="Times New Roman" w:eastAsia="Arial Unicode MS" w:hAnsi="Times New Roman"/>
      <w:sz w:val="24"/>
      <w:szCs w:val="24"/>
      <w:bdr w:val="nil"/>
      <w:lang w:val="es-ES_tradnl"/>
    </w:rPr>
  </w:style>
  <w:style w:type="paragraph" w:styleId="TOC1">
    <w:name w:val="toc 1"/>
    <w:basedOn w:val="Normal"/>
    <w:next w:val="Normal"/>
    <w:autoRedefine/>
    <w:uiPriority w:val="39"/>
    <w:unhideWhenUsed/>
    <w:rsid w:val="001B3677"/>
    <w:pPr>
      <w:pBdr>
        <w:top w:val="nil"/>
        <w:left w:val="nil"/>
        <w:bottom w:val="nil"/>
        <w:right w:val="nil"/>
        <w:between w:val="nil"/>
        <w:bar w:val="nil"/>
      </w:pBdr>
      <w:tabs>
        <w:tab w:val="left" w:pos="720"/>
        <w:tab w:val="right" w:leader="dot" w:pos="9350"/>
      </w:tabs>
      <w:spacing w:after="100" w:line="240" w:lineRule="auto"/>
    </w:pPr>
    <w:rPr>
      <w:rFonts w:ascii="Cambria" w:eastAsia="Arial Unicode MS" w:hAnsi="Cambria"/>
      <w:b/>
      <w:noProof/>
      <w:sz w:val="20"/>
      <w:szCs w:val="20"/>
      <w:bdr w:val="nil"/>
      <w:lang w:val="es-PE"/>
    </w:rPr>
  </w:style>
  <w:style w:type="paragraph" w:styleId="TOC3">
    <w:name w:val="toc 3"/>
    <w:basedOn w:val="Normal"/>
    <w:next w:val="Normal"/>
    <w:autoRedefine/>
    <w:uiPriority w:val="39"/>
    <w:unhideWhenUsed/>
    <w:rsid w:val="000227F1"/>
    <w:pPr>
      <w:pBdr>
        <w:top w:val="nil"/>
        <w:left w:val="nil"/>
        <w:bottom w:val="nil"/>
        <w:right w:val="nil"/>
        <w:between w:val="nil"/>
        <w:bar w:val="nil"/>
      </w:pBdr>
      <w:tabs>
        <w:tab w:val="left" w:pos="880"/>
        <w:tab w:val="left" w:pos="2160"/>
        <w:tab w:val="right" w:leader="dot" w:pos="9350"/>
      </w:tabs>
      <w:spacing w:after="100" w:line="240" w:lineRule="auto"/>
      <w:ind w:left="720" w:hanging="720"/>
    </w:pPr>
    <w:rPr>
      <w:rFonts w:ascii="Times New Roman" w:eastAsia="Arial Unicode MS" w:hAnsi="Times New Roman"/>
      <w:sz w:val="24"/>
      <w:szCs w:val="24"/>
      <w:bdr w:val="nil"/>
      <w:lang w:val="es-ES_tradnl"/>
    </w:rPr>
  </w:style>
  <w:style w:type="paragraph" w:styleId="TOC4">
    <w:name w:val="toc 4"/>
    <w:basedOn w:val="Normal"/>
    <w:next w:val="Normal"/>
    <w:autoRedefine/>
    <w:unhideWhenUsed/>
    <w:rsid w:val="001B3677"/>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lang w:val="es-ES_tradnl"/>
    </w:rPr>
  </w:style>
  <w:style w:type="character" w:styleId="PageNumber">
    <w:name w:val="page number"/>
    <w:basedOn w:val="DefaultParagraphFont"/>
    <w:rsid w:val="001B3677"/>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1,Footnote symbol"/>
    <w:link w:val="4GChar"/>
    <w:unhideWhenUsed/>
    <w:qFormat/>
    <w:rsid w:val="001B3677"/>
    <w:rPr>
      <w:vertAlign w:val="superscript"/>
    </w:rPr>
  </w:style>
  <w:style w:type="paragraph" w:styleId="BodyTextIndent2">
    <w:name w:val="Body Text Indent 2"/>
    <w:basedOn w:val="Normal"/>
    <w:link w:val="BodyTextIndent2Char"/>
    <w:unhideWhenUsed/>
    <w:rsid w:val="001B3677"/>
    <w:pPr>
      <w:pBdr>
        <w:top w:val="nil"/>
        <w:left w:val="nil"/>
        <w:bottom w:val="nil"/>
        <w:right w:val="nil"/>
        <w:between w:val="nil"/>
        <w:bar w:val="nil"/>
      </w:pBdr>
      <w:spacing w:after="120" w:line="480" w:lineRule="auto"/>
      <w:ind w:left="360"/>
    </w:pPr>
    <w:rPr>
      <w:rFonts w:ascii="Times New Roman" w:eastAsia="Arial Unicode MS" w:hAnsi="Times New Roman"/>
      <w:sz w:val="24"/>
      <w:szCs w:val="24"/>
      <w:bdr w:val="nil"/>
      <w:lang w:val="es-ES_tradnl"/>
    </w:rPr>
  </w:style>
  <w:style w:type="character" w:customStyle="1" w:styleId="BodyTextIndent2Char">
    <w:name w:val="Body Text Indent 2 Char"/>
    <w:basedOn w:val="DefaultParagraphFont"/>
    <w:link w:val="BodyTextIndent2"/>
    <w:rsid w:val="001B3677"/>
    <w:rPr>
      <w:rFonts w:ascii="Times New Roman" w:eastAsia="Arial Unicode MS" w:hAnsi="Times New Roman" w:cs="Times New Roman"/>
      <w:bdr w:val="nil"/>
      <w:lang w:val="es-ES_tradnl"/>
    </w:rPr>
  </w:style>
  <w:style w:type="paragraph" w:styleId="BodyText">
    <w:name w:val="Body Text"/>
    <w:basedOn w:val="Normal"/>
    <w:link w:val="BodyTextChar"/>
    <w:semiHidden/>
    <w:unhideWhenUsed/>
    <w:rsid w:val="001B3677"/>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_tradnl"/>
    </w:rPr>
  </w:style>
  <w:style w:type="character" w:customStyle="1" w:styleId="BodyTextChar">
    <w:name w:val="Body Text Char"/>
    <w:basedOn w:val="DefaultParagraphFont"/>
    <w:link w:val="BodyText"/>
    <w:semiHidden/>
    <w:rsid w:val="001B3677"/>
    <w:rPr>
      <w:rFonts w:ascii="Times New Roman" w:eastAsia="Arial Unicode MS" w:hAnsi="Times New Roman" w:cs="Times New Roman"/>
      <w:bdr w:val="nil"/>
      <w:lang w:val="es-ES_tradnl"/>
    </w:rPr>
  </w:style>
  <w:style w:type="paragraph" w:customStyle="1" w:styleId="Default">
    <w:name w:val="Default"/>
    <w:link w:val="DefaultChar"/>
    <w:rsid w:val="001B3677"/>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1B3677"/>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EndnoteTextChar">
    <w:name w:val="Endnote Text Char"/>
    <w:basedOn w:val="DefaultParagraphFont"/>
    <w:link w:val="EndnoteText"/>
    <w:rsid w:val="001B3677"/>
    <w:rPr>
      <w:rFonts w:ascii="Times New Roman" w:eastAsia="Times New Roman" w:hAnsi="Times New Roman" w:cs="Times New Roman"/>
      <w:lang w:val="es-ES_tradnl"/>
    </w:rPr>
  </w:style>
  <w:style w:type="character" w:customStyle="1" w:styleId="DefaultChar">
    <w:name w:val="Default Char"/>
    <w:link w:val="Default"/>
    <w:rsid w:val="001B3677"/>
    <w:rPr>
      <w:rFonts w:ascii="Times New Roman" w:eastAsia="Times New Roman" w:hAnsi="Times New Roman" w:cs="Times New Roman"/>
      <w:color w:val="000000"/>
    </w:rPr>
  </w:style>
  <w:style w:type="paragraph" w:styleId="Title">
    <w:name w:val="Title"/>
    <w:basedOn w:val="Normal"/>
    <w:next w:val="Subtitle"/>
    <w:link w:val="TitleChar"/>
    <w:qFormat/>
    <w:rsid w:val="001B3677"/>
    <w:pPr>
      <w:suppressAutoHyphens/>
      <w:spacing w:after="0" w:line="240" w:lineRule="auto"/>
      <w:ind w:firstLine="720"/>
      <w:jc w:val="center"/>
    </w:pPr>
    <w:rPr>
      <w:rFonts w:ascii="Univers" w:eastAsia="MS Mincho" w:hAnsi="Univers"/>
      <w:b/>
      <w:szCs w:val="20"/>
      <w:lang w:val="es-ES_tradnl" w:eastAsia="ar-SA"/>
    </w:rPr>
  </w:style>
  <w:style w:type="character" w:customStyle="1" w:styleId="TitleChar">
    <w:name w:val="Title Char"/>
    <w:basedOn w:val="DefaultParagraphFont"/>
    <w:link w:val="Title"/>
    <w:rsid w:val="001B3677"/>
    <w:rPr>
      <w:rFonts w:ascii="Univers" w:eastAsia="MS Mincho" w:hAnsi="Univers" w:cs="Times New Roman"/>
      <w:b/>
      <w:sz w:val="22"/>
      <w:szCs w:val="20"/>
      <w:lang w:val="es-ES_tradnl" w:eastAsia="ar-SA"/>
    </w:rPr>
  </w:style>
  <w:style w:type="paragraph" w:styleId="Subtitle">
    <w:name w:val="Subtitle"/>
    <w:basedOn w:val="Normal"/>
    <w:link w:val="SubtitleChar"/>
    <w:qFormat/>
    <w:rsid w:val="001B3677"/>
    <w:pPr>
      <w:suppressAutoHyphens/>
      <w:spacing w:after="60" w:line="240" w:lineRule="auto"/>
      <w:jc w:val="center"/>
      <w:outlineLvl w:val="1"/>
    </w:pPr>
    <w:rPr>
      <w:rFonts w:ascii="Arial" w:eastAsia="MS Mincho" w:hAnsi="Arial" w:cs="Arial"/>
      <w:sz w:val="24"/>
      <w:szCs w:val="24"/>
      <w:lang w:val="es-ES_tradnl" w:eastAsia="ar-SA"/>
    </w:rPr>
  </w:style>
  <w:style w:type="character" w:customStyle="1" w:styleId="SubtitleChar">
    <w:name w:val="Subtitle Char"/>
    <w:basedOn w:val="DefaultParagraphFont"/>
    <w:link w:val="Subtitle"/>
    <w:rsid w:val="001B3677"/>
    <w:rPr>
      <w:rFonts w:ascii="Arial" w:eastAsia="MS Mincho" w:hAnsi="Arial" w:cs="Arial"/>
      <w:lang w:val="es-ES_tradnl" w:eastAsia="ar-SA"/>
    </w:rPr>
  </w:style>
  <w:style w:type="paragraph" w:styleId="NormalWeb">
    <w:name w:val="Normal (Web)"/>
    <w:aliases w:val="Normal (Web) Char1,Normal (Web) Char Char,Normal (Web) Char1 Char,Normal (Web) Char Char Char"/>
    <w:basedOn w:val="Normal"/>
    <w:uiPriority w:val="99"/>
    <w:unhideWhenUsed/>
    <w:rsid w:val="001B367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BodyTextIndent3">
    <w:name w:val="Body Text Indent 3"/>
    <w:basedOn w:val="Normal"/>
    <w:link w:val="BodyTextIndent3Char"/>
    <w:rsid w:val="001B3677"/>
    <w:pPr>
      <w:suppressAutoHyphens/>
      <w:spacing w:after="120" w:line="240" w:lineRule="auto"/>
      <w:ind w:left="360"/>
    </w:pPr>
    <w:rPr>
      <w:rFonts w:ascii="Times New Roman" w:eastAsia="MS Mincho" w:hAnsi="Times New Roman"/>
      <w:sz w:val="16"/>
      <w:szCs w:val="16"/>
      <w:lang w:val="es-ES_tradnl" w:eastAsia="ar-SA"/>
    </w:rPr>
  </w:style>
  <w:style w:type="character" w:customStyle="1" w:styleId="BodyTextIndent3Char">
    <w:name w:val="Body Text Indent 3 Char"/>
    <w:basedOn w:val="DefaultParagraphFont"/>
    <w:link w:val="BodyTextIndent3"/>
    <w:rsid w:val="001B3677"/>
    <w:rPr>
      <w:rFonts w:ascii="Times New Roman" w:eastAsia="MS Mincho" w:hAnsi="Times New Roman" w:cs="Times New Roman"/>
      <w:sz w:val="16"/>
      <w:szCs w:val="16"/>
      <w:lang w:val="es-ES_tradnl" w:eastAsia="ar-SA"/>
    </w:rPr>
  </w:style>
  <w:style w:type="paragraph" w:styleId="HTMLPreformatted">
    <w:name w:val="HTML Preformatted"/>
    <w:basedOn w:val="Normal"/>
    <w:link w:val="HTMLPreformattedChar"/>
    <w:rsid w:val="001B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1B3677"/>
    <w:rPr>
      <w:rFonts w:ascii="Courier New" w:eastAsia="Times New Roman" w:hAnsi="Courier New" w:cs="Courier New"/>
      <w:sz w:val="20"/>
      <w:szCs w:val="20"/>
      <w:lang w:val="es-ES_tradnl"/>
    </w:rPr>
  </w:style>
  <w:style w:type="paragraph" w:styleId="BlockText">
    <w:name w:val="Block Text"/>
    <w:basedOn w:val="Normal"/>
    <w:rsid w:val="001B3677"/>
    <w:pPr>
      <w:spacing w:after="0" w:line="240" w:lineRule="auto"/>
      <w:ind w:left="720" w:right="720"/>
      <w:jc w:val="both"/>
    </w:pPr>
    <w:rPr>
      <w:rFonts w:ascii="Univers" w:eastAsia="Times New Roman" w:hAnsi="Univers"/>
      <w:sz w:val="18"/>
      <w:szCs w:val="20"/>
      <w:lang w:val="es-ES_tradnl"/>
    </w:rPr>
  </w:style>
  <w:style w:type="paragraph" w:customStyle="1" w:styleId="Textonotapie1">
    <w:name w:val="Texto nota pie1"/>
    <w:basedOn w:val="Normal"/>
    <w:semiHidden/>
    <w:rsid w:val="001B3677"/>
    <w:pPr>
      <w:spacing w:after="0" w:line="240" w:lineRule="auto"/>
    </w:pPr>
    <w:rPr>
      <w:rFonts w:ascii="Times New Roman" w:eastAsia="Times New Roman" w:hAnsi="Times New Roman"/>
      <w:sz w:val="20"/>
      <w:szCs w:val="20"/>
      <w:lang w:val="es-ES_tradnl" w:eastAsia="es-ES"/>
    </w:rPr>
  </w:style>
  <w:style w:type="character" w:styleId="FollowedHyperlink">
    <w:name w:val="FollowedHyperlink"/>
    <w:rsid w:val="001B3677"/>
    <w:rPr>
      <w:color w:val="800080"/>
      <w:u w:val="single"/>
    </w:rPr>
  </w:style>
  <w:style w:type="character" w:customStyle="1" w:styleId="apple-converted-space">
    <w:name w:val="apple-converted-space"/>
    <w:basedOn w:val="DefaultParagraphFont"/>
    <w:rsid w:val="001B3677"/>
  </w:style>
  <w:style w:type="paragraph" w:styleId="BodyText2">
    <w:name w:val="Body Text 2"/>
    <w:basedOn w:val="Normal"/>
    <w:link w:val="BodyText2Char"/>
    <w:uiPriority w:val="99"/>
    <w:semiHidden/>
    <w:unhideWhenUsed/>
    <w:rsid w:val="001B3677"/>
    <w:pPr>
      <w:pBdr>
        <w:top w:val="nil"/>
        <w:left w:val="nil"/>
        <w:bottom w:val="nil"/>
        <w:right w:val="nil"/>
        <w:between w:val="nil"/>
        <w:bar w:val="nil"/>
      </w:pBdr>
      <w:spacing w:after="120" w:line="480" w:lineRule="auto"/>
    </w:pPr>
    <w:rPr>
      <w:rFonts w:ascii="Times New Roman" w:eastAsia="Arial Unicode MS" w:hAnsi="Times New Roman"/>
      <w:sz w:val="24"/>
      <w:szCs w:val="24"/>
      <w:bdr w:val="nil"/>
      <w:lang w:val="es-ES_tradnl"/>
    </w:rPr>
  </w:style>
  <w:style w:type="character" w:customStyle="1" w:styleId="BodyText2Char">
    <w:name w:val="Body Text 2 Char"/>
    <w:basedOn w:val="DefaultParagraphFont"/>
    <w:link w:val="BodyText2"/>
    <w:uiPriority w:val="99"/>
    <w:semiHidden/>
    <w:rsid w:val="001B3677"/>
    <w:rPr>
      <w:rFonts w:ascii="Times New Roman" w:eastAsia="Arial Unicode MS" w:hAnsi="Times New Roman" w:cs="Times New Roman"/>
      <w:bdr w:val="nil"/>
      <w:lang w:val="es-ES_tradnl"/>
    </w:rPr>
  </w:style>
  <w:style w:type="paragraph" w:customStyle="1" w:styleId="yiv1126921495msonormal">
    <w:name w:val="yiv1126921495msonormal"/>
    <w:basedOn w:val="Normal"/>
    <w:rsid w:val="001B3677"/>
    <w:pPr>
      <w:spacing w:before="100" w:beforeAutospacing="1" w:after="100" w:afterAutospacing="1" w:line="240" w:lineRule="auto"/>
    </w:pPr>
    <w:rPr>
      <w:rFonts w:ascii="Times New Roman" w:eastAsia="Times New Roman" w:hAnsi="Times New Roman"/>
      <w:sz w:val="24"/>
      <w:szCs w:val="24"/>
      <w:lang w:val="es-ES_tradnl"/>
    </w:rPr>
  </w:style>
  <w:style w:type="character" w:customStyle="1" w:styleId="ColorfulList-Accent1Char">
    <w:name w:val="Colorful List - Accent 1 Char"/>
    <w:link w:val="ColorfulList-Accent11"/>
    <w:rsid w:val="001B3677"/>
    <w:rPr>
      <w:rFonts w:ascii="Cambria" w:eastAsia="Cambria" w:hAnsi="Cambria" w:cs="Cambria"/>
      <w:color w:val="000000"/>
      <w:u w:color="000000"/>
      <w:bdr w:val="nil"/>
      <w:lang w:eastAsia="es-ES"/>
    </w:rPr>
  </w:style>
  <w:style w:type="character" w:styleId="BookTitle">
    <w:name w:val="Book Title"/>
    <w:uiPriority w:val="33"/>
    <w:qFormat/>
    <w:rsid w:val="001B3677"/>
    <w:rPr>
      <w:b/>
      <w:bCs/>
      <w:smallCaps/>
      <w:spacing w:val="5"/>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1B3677"/>
    <w:rPr>
      <w:rFonts w:ascii="Univers" w:hAnsi="Univers" w:cs="Times New Roman"/>
      <w:lang w:val="en-US" w:eastAsia="en-US" w:bidi="ar-SA"/>
    </w:rPr>
  </w:style>
  <w:style w:type="character" w:styleId="CommentReference">
    <w:name w:val="annotation reference"/>
    <w:uiPriority w:val="99"/>
    <w:semiHidden/>
    <w:unhideWhenUsed/>
    <w:rsid w:val="001B3677"/>
    <w:rPr>
      <w:sz w:val="18"/>
      <w:szCs w:val="18"/>
    </w:rPr>
  </w:style>
  <w:style w:type="paragraph" w:styleId="CommentText">
    <w:name w:val="annotation text"/>
    <w:basedOn w:val="Normal"/>
    <w:link w:val="CommentTextChar"/>
    <w:uiPriority w:val="99"/>
    <w:semiHidden/>
    <w:unhideWhenUsed/>
    <w:rsid w:val="001B3677"/>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es-ES_tradnl"/>
    </w:rPr>
  </w:style>
  <w:style w:type="character" w:customStyle="1" w:styleId="CommentTextChar">
    <w:name w:val="Comment Text Char"/>
    <w:basedOn w:val="DefaultParagraphFont"/>
    <w:link w:val="CommentText"/>
    <w:uiPriority w:val="99"/>
    <w:semiHidden/>
    <w:rsid w:val="001B3677"/>
    <w:rPr>
      <w:rFonts w:ascii="Times New Roman" w:eastAsia="Arial Unicode MS" w:hAnsi="Times New Roman" w:cs="Times New Roman"/>
      <w:bdr w:val="nil"/>
      <w:lang w:val="es-ES_tradnl"/>
    </w:rPr>
  </w:style>
  <w:style w:type="paragraph" w:styleId="CommentSubject">
    <w:name w:val="annotation subject"/>
    <w:basedOn w:val="CommentText"/>
    <w:next w:val="CommentText"/>
    <w:link w:val="CommentSubjectChar"/>
    <w:uiPriority w:val="99"/>
    <w:semiHidden/>
    <w:unhideWhenUsed/>
    <w:rsid w:val="001B3677"/>
    <w:rPr>
      <w:b/>
      <w:bCs/>
      <w:sz w:val="20"/>
      <w:szCs w:val="20"/>
    </w:rPr>
  </w:style>
  <w:style w:type="character" w:customStyle="1" w:styleId="CommentSubjectChar">
    <w:name w:val="Comment Subject Char"/>
    <w:basedOn w:val="CommentTextChar"/>
    <w:link w:val="CommentSubject"/>
    <w:uiPriority w:val="99"/>
    <w:semiHidden/>
    <w:rsid w:val="001B3677"/>
    <w:rPr>
      <w:rFonts w:ascii="Times New Roman" w:eastAsia="Arial Unicode MS" w:hAnsi="Times New Roman" w:cs="Times New Roman"/>
      <w:b/>
      <w:bCs/>
      <w:sz w:val="20"/>
      <w:szCs w:val="20"/>
      <w:bdr w:val="nil"/>
      <w:lang w:val="es-ES_tradnl"/>
    </w:rPr>
  </w:style>
  <w:style w:type="character" w:styleId="Strong">
    <w:name w:val="Strong"/>
    <w:uiPriority w:val="22"/>
    <w:qFormat/>
    <w:rsid w:val="001B3677"/>
    <w:rPr>
      <w:b/>
      <w:bCs/>
    </w:rPr>
  </w:style>
  <w:style w:type="paragraph" w:styleId="PlainText">
    <w:name w:val="Plain Text"/>
    <w:basedOn w:val="Normal"/>
    <w:link w:val="PlainTextChar"/>
    <w:uiPriority w:val="99"/>
    <w:semiHidden/>
    <w:unhideWhenUsed/>
    <w:rsid w:val="001B3677"/>
    <w:pPr>
      <w:spacing w:after="0" w:line="240" w:lineRule="auto"/>
    </w:pPr>
    <w:rPr>
      <w:rFonts w:eastAsia="Calibri"/>
      <w:szCs w:val="21"/>
    </w:rPr>
  </w:style>
  <w:style w:type="character" w:customStyle="1" w:styleId="PlainTextChar">
    <w:name w:val="Plain Text Char"/>
    <w:basedOn w:val="DefaultParagraphFont"/>
    <w:link w:val="PlainText"/>
    <w:uiPriority w:val="99"/>
    <w:semiHidden/>
    <w:rsid w:val="001B3677"/>
    <w:rPr>
      <w:rFonts w:ascii="Calibri" w:eastAsia="Calibri" w:hAnsi="Calibri" w:cs="Times New Roman"/>
      <w:sz w:val="22"/>
      <w:szCs w:val="21"/>
    </w:rPr>
  </w:style>
  <w:style w:type="paragraph" w:customStyle="1" w:styleId="Estilo7">
    <w:name w:val="Estilo7"/>
    <w:basedOn w:val="Normal"/>
    <w:qFormat/>
    <w:rsid w:val="001B3677"/>
    <w:pPr>
      <w:numPr>
        <w:ilvl w:val="2"/>
        <w:numId w:val="51"/>
      </w:numPr>
      <w:tabs>
        <w:tab w:val="left" w:pos="567"/>
        <w:tab w:val="left" w:pos="851"/>
      </w:tabs>
      <w:spacing w:before="120" w:after="120" w:line="240" w:lineRule="auto"/>
      <w:jc w:val="both"/>
    </w:pPr>
    <w:rPr>
      <w:rFonts w:ascii="Verdana" w:hAnsi="Verdana"/>
      <w:b/>
      <w:i/>
      <w:sz w:val="20"/>
      <w:szCs w:val="20"/>
      <w:lang w:val="es-ES_tradnl" w:eastAsia="es-MX"/>
    </w:rPr>
  </w:style>
  <w:style w:type="character" w:customStyle="1" w:styleId="ColorfulGrid-Accent1Char">
    <w:name w:val="Colorful Grid - Accent 1 Char"/>
    <w:link w:val="ColorfulGrid-Accent1"/>
    <w:uiPriority w:val="29"/>
    <w:rsid w:val="001B3677"/>
    <w:rPr>
      <w:rFonts w:ascii="Calibri" w:eastAsia="Times New Roman" w:hAnsi="Calibri" w:cs="Times New Roman"/>
      <w:sz w:val="20"/>
      <w:szCs w:val="22"/>
      <w:lang w:val="es-ES" w:eastAsia="x-none"/>
    </w:rPr>
  </w:style>
  <w:style w:type="character" w:customStyle="1" w:styleId="skypepnhprintcontainer">
    <w:name w:val="skype_pnh_print_container"/>
    <w:rsid w:val="001B3677"/>
    <w:rPr>
      <w:rFonts w:cs="Times New Roman"/>
    </w:rPr>
  </w:style>
  <w:style w:type="character" w:customStyle="1" w:styleId="skypepnhcontainer">
    <w:name w:val="skype_pnh_container"/>
    <w:rsid w:val="001B3677"/>
    <w:rPr>
      <w:rFonts w:cs="Times New Roman"/>
    </w:rPr>
  </w:style>
  <w:style w:type="character" w:customStyle="1" w:styleId="s6b621b36">
    <w:name w:val="s6b621b36"/>
    <w:rsid w:val="001B3677"/>
    <w:rPr>
      <w:rFonts w:cs="Times New Roman"/>
    </w:rPr>
  </w:style>
  <w:style w:type="paragraph" w:customStyle="1" w:styleId="Footnotes">
    <w:name w:val="Footnotes"/>
    <w:basedOn w:val="FootnoteText"/>
    <w:autoRedefine/>
    <w:qFormat/>
    <w:rsid w:val="001B3677"/>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character" w:customStyle="1" w:styleId="apple-style-span">
    <w:name w:val="apple-style-span"/>
    <w:rsid w:val="001B3677"/>
  </w:style>
  <w:style w:type="character" w:customStyle="1" w:styleId="BodyTextIndentChar1">
    <w:name w:val="Body Text Indent Char1"/>
    <w:locked/>
    <w:rsid w:val="001B3677"/>
    <w:rPr>
      <w:rFonts w:eastAsia="Times New Roman"/>
      <w:color w:val="000000"/>
      <w:sz w:val="24"/>
      <w:szCs w:val="24"/>
      <w:u w:color="000000"/>
      <w:lang w:val="es-ES_tradnl"/>
    </w:rPr>
  </w:style>
  <w:style w:type="table" w:styleId="TableGrid">
    <w:name w:val="Table Grid"/>
    <w:basedOn w:val="TableNormal"/>
    <w:uiPriority w:val="59"/>
    <w:rsid w:val="001B3677"/>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B367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ListParagraph">
    <w:name w:val="List Paragraph"/>
    <w:aliases w:val="Párrafo de lista1,List Paragraph1,List Paragraph11,List Paragraph2"/>
    <w:basedOn w:val="Normal"/>
    <w:link w:val="ListParagraphChar"/>
    <w:uiPriority w:val="99"/>
    <w:qFormat/>
    <w:rsid w:val="001B3677"/>
    <w:pPr>
      <w:ind w:left="708"/>
    </w:pPr>
  </w:style>
  <w:style w:type="table" w:styleId="ColorfulGrid-Accent1">
    <w:name w:val="Colorful Grid Accent 1"/>
    <w:basedOn w:val="TableNormal"/>
    <w:link w:val="ColorfulGrid-Accent1Char"/>
    <w:uiPriority w:val="29"/>
    <w:semiHidden/>
    <w:unhideWhenUsed/>
    <w:rsid w:val="001B3677"/>
    <w:rPr>
      <w:rFonts w:ascii="Calibri" w:eastAsia="Times New Roman" w:hAnsi="Calibri" w:cs="Times New Roman"/>
      <w:sz w:val="20"/>
      <w:szCs w:val="22"/>
      <w:lang w:val="es-ES" w:eastAsia="x-none"/>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BodyText3">
    <w:name w:val="Body Text 3"/>
    <w:basedOn w:val="Normal"/>
    <w:link w:val="BodyText3Char"/>
    <w:rsid w:val="00874F2C"/>
    <w:pPr>
      <w:spacing w:after="120" w:line="240" w:lineRule="auto"/>
    </w:pPr>
    <w:rPr>
      <w:rFonts w:ascii="Univers" w:eastAsia="Times New Roman" w:hAnsi="Univers"/>
      <w:sz w:val="16"/>
      <w:szCs w:val="16"/>
      <w:lang w:val="es-ES_tradnl"/>
    </w:rPr>
  </w:style>
  <w:style w:type="character" w:customStyle="1" w:styleId="BodyText3Char">
    <w:name w:val="Body Text 3 Char"/>
    <w:basedOn w:val="DefaultParagraphFont"/>
    <w:link w:val="BodyText3"/>
    <w:rsid w:val="00874F2C"/>
    <w:rPr>
      <w:rFonts w:ascii="Univers" w:eastAsia="Times New Roman" w:hAnsi="Univers" w:cs="Times New Roman"/>
      <w:sz w:val="16"/>
      <w:szCs w:val="16"/>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7028AE"/>
    <w:pPr>
      <w:spacing w:after="0" w:line="240" w:lineRule="auto"/>
      <w:jc w:val="both"/>
    </w:pPr>
    <w:rPr>
      <w:rFonts w:asciiTheme="minorHAnsi" w:eastAsiaTheme="minorHAnsi" w:hAnsiTheme="minorHAnsi" w:cstheme="minorBidi"/>
      <w:sz w:val="24"/>
      <w:szCs w:val="24"/>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9F3E66"/>
    <w:pPr>
      <w:spacing w:before="200" w:after="160" w:line="240" w:lineRule="exact"/>
    </w:pPr>
    <w:rPr>
      <w:rFonts w:ascii="Verdana" w:eastAsia="Arial Unicode MS" w:hAnsi="Verdana"/>
      <w:szCs w:val="20"/>
      <w:bdr w:val="nil"/>
      <w:vertAlign w:val="superscript"/>
      <w:lang w:val="es-ES" w:eastAsia="es-ES"/>
    </w:rPr>
  </w:style>
  <w:style w:type="character" w:customStyle="1" w:styleId="ListParagraphChar">
    <w:name w:val="List Paragraph Char"/>
    <w:aliases w:val="Párrafo de lista1 Char,List Paragraph1 Char,List Paragraph11 Char,List Paragraph2 Char"/>
    <w:link w:val="ListParagraph"/>
    <w:locked/>
    <w:rsid w:val="005442CD"/>
    <w:rPr>
      <w:rFonts w:ascii="Calibri" w:eastAsia="Batang" w:hAnsi="Calibri" w:cs="Times New Roman"/>
      <w:sz w:val="22"/>
      <w:szCs w:val="22"/>
    </w:rPr>
  </w:style>
  <w:style w:type="paragraph" w:customStyle="1" w:styleId="1">
    <w:name w:val="1"/>
    <w:basedOn w:val="Normal"/>
    <w:rsid w:val="00651916"/>
    <w:pPr>
      <w:spacing w:after="160" w:line="240" w:lineRule="exact"/>
    </w:pPr>
    <w:rPr>
      <w:rFonts w:ascii="Times New Roman" w:eastAsia="Arial Unicode MS" w:hAnsi="Times New Roman"/>
      <w:sz w:val="20"/>
      <w:szCs w:val="20"/>
      <w:bdr w:val="nil"/>
      <w:vertAlign w:val="superscript"/>
      <w:lang w:val="es-ES" w:eastAsia="es-ES"/>
    </w:rPr>
  </w:style>
  <w:style w:type="paragraph" w:customStyle="1" w:styleId="xmsonormal">
    <w:name w:val="x_msonormal"/>
    <w:basedOn w:val="Normal"/>
    <w:rsid w:val="00C61543"/>
    <w:pPr>
      <w:spacing w:before="100" w:beforeAutospacing="1" w:after="100" w:afterAutospacing="1" w:line="240" w:lineRule="auto"/>
    </w:pPr>
    <w:rPr>
      <w:rFonts w:ascii="Times New Roman" w:eastAsia="Times New Roman" w:hAnsi="Times New Roman"/>
      <w:sz w:val="24"/>
      <w:szCs w:val="24"/>
      <w:lang w:val="es-US" w:eastAsia="zh-CN"/>
    </w:rPr>
  </w:style>
  <w:style w:type="paragraph" w:customStyle="1" w:styleId="xparrafos">
    <w:name w:val="x_parrafos"/>
    <w:basedOn w:val="Normal"/>
    <w:rsid w:val="00C61543"/>
    <w:pPr>
      <w:spacing w:before="100" w:beforeAutospacing="1" w:after="100" w:afterAutospacing="1" w:line="240" w:lineRule="auto"/>
    </w:pPr>
    <w:rPr>
      <w:rFonts w:ascii="Times New Roman" w:eastAsia="Times New Roman" w:hAnsi="Times New Roman"/>
      <w:sz w:val="24"/>
      <w:szCs w:val="24"/>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2649">
      <w:bodyDiv w:val="1"/>
      <w:marLeft w:val="0"/>
      <w:marRight w:val="0"/>
      <w:marTop w:val="0"/>
      <w:marBottom w:val="0"/>
      <w:divBdr>
        <w:top w:val="none" w:sz="0" w:space="0" w:color="auto"/>
        <w:left w:val="none" w:sz="0" w:space="0" w:color="auto"/>
        <w:bottom w:val="none" w:sz="0" w:space="0" w:color="auto"/>
        <w:right w:val="none" w:sz="0" w:space="0" w:color="auto"/>
      </w:divBdr>
    </w:div>
    <w:div w:id="954100727">
      <w:bodyDiv w:val="1"/>
      <w:marLeft w:val="0"/>
      <w:marRight w:val="0"/>
      <w:marTop w:val="0"/>
      <w:marBottom w:val="0"/>
      <w:divBdr>
        <w:top w:val="none" w:sz="0" w:space="0" w:color="auto"/>
        <w:left w:val="none" w:sz="0" w:space="0" w:color="auto"/>
        <w:bottom w:val="none" w:sz="0" w:space="0" w:color="auto"/>
        <w:right w:val="none" w:sz="0" w:space="0" w:color="auto"/>
      </w:divBdr>
    </w:div>
    <w:div w:id="1922327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dh.oas.org/annualrep/2008sp/Argentina95-01.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4B5A-2FBA-4615-90F2-306DC18E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7021</Words>
  <Characters>40024</Characters>
  <Application>Microsoft Office Word</Application>
  <DocSecurity>0</DocSecurity>
  <Lines>333</Lines>
  <Paragraphs>93</Paragraphs>
  <ScaleCrop>false</ScaleCrop>
  <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268/21</dc:title>
  <dc:creator/>
  <cp:lastModifiedBy/>
  <cp:revision>1</cp:revision>
  <dcterms:created xsi:type="dcterms:W3CDTF">2021-10-25T18:57:00Z</dcterms:created>
  <dcterms:modified xsi:type="dcterms:W3CDTF">2021-10-25T18:57:00Z</dcterms:modified>
</cp:coreProperties>
</file>